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C1920D" w14:textId="77777777" w:rsidR="0085070A" w:rsidRDefault="0085070A" w:rsidP="0085070A">
      <w:pPr>
        <w:spacing w:after="0" w:line="240" w:lineRule="auto"/>
        <w:jc w:val="both"/>
        <w:rPr>
          <w:rFonts w:ascii="Verdana" w:hAnsi="Verdana"/>
          <w:b/>
          <w:bCs/>
          <w:sz w:val="20"/>
          <w:szCs w:val="20"/>
          <w:lang w:val="es-ES"/>
        </w:rPr>
      </w:pPr>
      <w:bookmarkStart w:id="0" w:name="_Hlk143780582"/>
    </w:p>
    <w:p w14:paraId="250CD477" w14:textId="77777777" w:rsidR="0085070A" w:rsidRDefault="0085070A" w:rsidP="0085070A">
      <w:pPr>
        <w:spacing w:after="0" w:line="240" w:lineRule="auto"/>
        <w:jc w:val="both"/>
        <w:rPr>
          <w:rFonts w:ascii="Verdana" w:hAnsi="Verdana"/>
          <w:b/>
        </w:rPr>
      </w:pPr>
      <w:r>
        <w:rPr>
          <w:rFonts w:ascii="Verdana" w:hAnsi="Verdana"/>
          <w:b/>
        </w:rPr>
        <w:t>ACTO DE ADJUDICACIÓN – Naturaleza jurídica – Características</w:t>
      </w:r>
    </w:p>
    <w:p w14:paraId="783FA79A" w14:textId="77777777" w:rsidR="0085070A" w:rsidRDefault="0085070A" w:rsidP="0085070A">
      <w:pPr>
        <w:spacing w:after="0" w:line="240" w:lineRule="auto"/>
        <w:jc w:val="both"/>
        <w:rPr>
          <w:rFonts w:ascii="Verdana" w:hAnsi="Verdana"/>
          <w:bCs/>
          <w:sz w:val="20"/>
          <w:szCs w:val="20"/>
        </w:rPr>
      </w:pPr>
    </w:p>
    <w:p w14:paraId="3D0DBF00" w14:textId="77777777" w:rsidR="0085070A" w:rsidRDefault="0085070A" w:rsidP="0085070A">
      <w:pPr>
        <w:spacing w:after="0" w:line="240" w:lineRule="auto"/>
        <w:jc w:val="both"/>
        <w:rPr>
          <w:rFonts w:ascii="Verdana" w:eastAsia="Calibri" w:hAnsi="Verdana" w:cs="Arial"/>
          <w:sz w:val="20"/>
          <w:szCs w:val="20"/>
          <w:shd w:val="clear" w:color="auto" w:fill="FFFFFF"/>
          <w:lang w:val="es-ES"/>
        </w:rPr>
      </w:pPr>
      <w:r>
        <w:rPr>
          <w:rFonts w:ascii="Verdana" w:eastAsia="Calibri" w:hAnsi="Verdana" w:cs="Arial"/>
          <w:sz w:val="20"/>
          <w:szCs w:val="20"/>
          <w:shd w:val="clear" w:color="auto" w:fill="FFFFFF"/>
          <w:lang w:val="es-ES"/>
        </w:rPr>
        <w:t xml:space="preserve">El acto de adjudicación es la actuación final de la fase del procedimiento de selección, en la cual se manifiesta la voluntad de la Administración de realizar la contratación con uno o varios oferentes determinados. El acto de adjudicación es una de las formalidades más importantes para la configuración del contrato estatal, en la medida que es a partir de ella que se origina la obligación para las partes de celebrar el contrato objeto del procedimiento de selección. Así lo ha anotado la doctrina al señalar que: “con la adjudicación del contrato surge una relación jurídica de la cual se deriva el compromiso para las partes de observar las formalidades propias del perfeccionamiento del contrato”. </w:t>
      </w:r>
    </w:p>
    <w:p w14:paraId="536526CF" w14:textId="77777777" w:rsidR="0085070A" w:rsidRDefault="0085070A" w:rsidP="0085070A">
      <w:pPr>
        <w:spacing w:after="0" w:line="240" w:lineRule="auto"/>
        <w:jc w:val="both"/>
        <w:rPr>
          <w:rFonts w:ascii="Verdana" w:eastAsia="Calibri" w:hAnsi="Verdana" w:cs="Arial"/>
          <w:sz w:val="20"/>
          <w:szCs w:val="20"/>
          <w:shd w:val="clear" w:color="auto" w:fill="FFFFFF"/>
          <w:lang w:val="es-ES"/>
        </w:rPr>
      </w:pPr>
    </w:p>
    <w:p w14:paraId="6A8EBBCC" w14:textId="77777777" w:rsidR="0085070A" w:rsidRDefault="0085070A" w:rsidP="0085070A">
      <w:pPr>
        <w:spacing w:after="0" w:line="240" w:lineRule="auto"/>
        <w:jc w:val="both"/>
        <w:rPr>
          <w:rFonts w:ascii="Verdana" w:eastAsia="Arial MT" w:hAnsi="Verdana" w:cs="Arial"/>
          <w:sz w:val="20"/>
          <w:szCs w:val="20"/>
          <w:lang w:eastAsia="es-ES" w:bidi="es-ES"/>
        </w:rPr>
      </w:pPr>
      <w:r>
        <w:rPr>
          <w:rFonts w:ascii="Verdana" w:eastAsia="Arial MT" w:hAnsi="Verdana" w:cs="Arial"/>
          <w:sz w:val="20"/>
          <w:szCs w:val="20"/>
          <w:lang w:eastAsia="es-ES" w:bidi="es-ES"/>
        </w:rPr>
        <w:t xml:space="preserve">Adicionalmente, tanto la jurisprudencia del Consejo de Estado como la doctrina han distinguido tres (3) características del acto de adjudicación del contrato estatal, que pueden sintetizarse así: i) es un acto administrativo de carácter definitivo y de alcance particular; </w:t>
      </w:r>
      <w:proofErr w:type="spellStart"/>
      <w:r>
        <w:rPr>
          <w:rFonts w:ascii="Verdana" w:eastAsia="Arial MT" w:hAnsi="Verdana" w:cs="Arial"/>
          <w:sz w:val="20"/>
          <w:szCs w:val="20"/>
          <w:lang w:eastAsia="es-ES" w:bidi="es-ES"/>
        </w:rPr>
        <w:t>ii</w:t>
      </w:r>
      <w:proofErr w:type="spellEnd"/>
      <w:r>
        <w:rPr>
          <w:rFonts w:ascii="Verdana" w:eastAsia="Arial MT" w:hAnsi="Verdana" w:cs="Arial"/>
          <w:sz w:val="20"/>
          <w:szCs w:val="20"/>
          <w:lang w:eastAsia="es-ES" w:bidi="es-ES"/>
        </w:rPr>
        <w:t xml:space="preserve">) es irrevocable, por regla general, y </w:t>
      </w:r>
      <w:proofErr w:type="spellStart"/>
      <w:r>
        <w:rPr>
          <w:rFonts w:ascii="Verdana" w:eastAsia="Arial MT" w:hAnsi="Verdana" w:cs="Arial"/>
          <w:sz w:val="20"/>
          <w:szCs w:val="20"/>
          <w:lang w:eastAsia="es-ES" w:bidi="es-ES"/>
        </w:rPr>
        <w:t>iii</w:t>
      </w:r>
      <w:proofErr w:type="spellEnd"/>
      <w:r>
        <w:rPr>
          <w:rFonts w:ascii="Verdana" w:eastAsia="Arial MT" w:hAnsi="Verdana" w:cs="Arial"/>
          <w:sz w:val="20"/>
          <w:szCs w:val="20"/>
          <w:lang w:eastAsia="es-ES" w:bidi="es-ES"/>
        </w:rPr>
        <w:t>) es obligatorio, tanto para la entidad contratante como para el adjudicatario.</w:t>
      </w:r>
    </w:p>
    <w:p w14:paraId="00C770D5" w14:textId="77777777" w:rsidR="0085070A" w:rsidRDefault="0085070A" w:rsidP="0085070A">
      <w:pPr>
        <w:spacing w:after="0" w:line="240" w:lineRule="auto"/>
        <w:jc w:val="both"/>
        <w:rPr>
          <w:rFonts w:ascii="Verdana" w:hAnsi="Verdana"/>
          <w:bCs/>
          <w:sz w:val="20"/>
          <w:szCs w:val="20"/>
        </w:rPr>
      </w:pPr>
    </w:p>
    <w:p w14:paraId="7E40482F" w14:textId="77777777" w:rsidR="0085070A" w:rsidRDefault="0085070A" w:rsidP="0085070A">
      <w:pPr>
        <w:spacing w:after="0" w:line="240" w:lineRule="auto"/>
        <w:jc w:val="both"/>
        <w:rPr>
          <w:rFonts w:ascii="Verdana" w:hAnsi="Verdana"/>
          <w:b/>
        </w:rPr>
      </w:pPr>
      <w:r>
        <w:rPr>
          <w:rFonts w:ascii="Verdana" w:hAnsi="Verdana"/>
          <w:b/>
        </w:rPr>
        <w:t>ACTO DE ADJUDICACIÓN – Carácter vinculante</w:t>
      </w:r>
    </w:p>
    <w:p w14:paraId="031E24BF" w14:textId="77777777" w:rsidR="0085070A" w:rsidRDefault="0085070A" w:rsidP="0085070A">
      <w:pPr>
        <w:spacing w:after="0" w:line="240" w:lineRule="auto"/>
        <w:jc w:val="both"/>
        <w:rPr>
          <w:rFonts w:ascii="Verdana" w:hAnsi="Verdana"/>
          <w:bCs/>
          <w:sz w:val="20"/>
          <w:szCs w:val="20"/>
        </w:rPr>
      </w:pPr>
    </w:p>
    <w:p w14:paraId="3674612B" w14:textId="77777777" w:rsidR="0085070A" w:rsidRDefault="0085070A" w:rsidP="0085070A">
      <w:pPr>
        <w:spacing w:after="0" w:line="240" w:lineRule="auto"/>
        <w:jc w:val="both"/>
        <w:rPr>
          <w:rFonts w:ascii="Verdana" w:hAnsi="Verdana"/>
          <w:b/>
          <w:bCs/>
          <w:sz w:val="20"/>
          <w:szCs w:val="20"/>
        </w:rPr>
      </w:pPr>
      <w:r>
        <w:rPr>
          <w:rFonts w:ascii="Verdana" w:eastAsia="Arial MT" w:hAnsi="Verdana" w:cs="Arial"/>
          <w:sz w:val="20"/>
          <w:szCs w:val="20"/>
          <w:lang w:eastAsia="es-ES" w:bidi="es-ES"/>
        </w:rPr>
        <w:t>Como se observa, el acto administrativo de adjudicación es irrevocable y obligatorio para las partes, lo que significa que produce el derecho del adjudicatario para contratar con el Estado y el correlativo deber de la entidad contratante de celebrar el contrato, en los términos fijados en los pliegos de condiciones. En este puno es necesario señalar que, tal regla tiene dos excepciones. Al respecto, el artículo 9 de la Ley 1150 de 2007 trajo consigo un cambio frente al numeral 11 del artículo 30 de la Ley 80, que consiste en prever dos excepciones a la irrevocabilidad del acto de adjudicación, que antes estaba consagrada en términos absolutos.</w:t>
      </w:r>
    </w:p>
    <w:p w14:paraId="29C087CA" w14:textId="77777777" w:rsidR="0085070A" w:rsidRDefault="0085070A" w:rsidP="0085070A">
      <w:pPr>
        <w:spacing w:after="0" w:line="240" w:lineRule="auto"/>
        <w:jc w:val="both"/>
        <w:rPr>
          <w:rFonts w:ascii="Verdana" w:hAnsi="Verdana"/>
          <w:b/>
          <w:bCs/>
          <w:sz w:val="20"/>
          <w:szCs w:val="20"/>
        </w:rPr>
      </w:pPr>
    </w:p>
    <w:p w14:paraId="5A2620B4" w14:textId="77777777" w:rsidR="0085070A" w:rsidRDefault="0085070A" w:rsidP="0085070A">
      <w:pPr>
        <w:spacing w:after="0" w:line="240" w:lineRule="auto"/>
        <w:jc w:val="both"/>
        <w:rPr>
          <w:rFonts w:ascii="Verdana" w:hAnsi="Verdana"/>
          <w:b/>
          <w:bCs/>
        </w:rPr>
      </w:pPr>
      <w:r>
        <w:rPr>
          <w:rFonts w:ascii="Verdana" w:hAnsi="Verdana"/>
          <w:b/>
          <w:bCs/>
        </w:rPr>
        <w:t>REVOCACIÓN DIRECTA – Noción</w:t>
      </w:r>
    </w:p>
    <w:p w14:paraId="03C18ECF" w14:textId="77777777" w:rsidR="0085070A" w:rsidRDefault="0085070A" w:rsidP="0085070A">
      <w:pPr>
        <w:spacing w:after="0" w:line="240" w:lineRule="auto"/>
        <w:jc w:val="both"/>
        <w:rPr>
          <w:rFonts w:ascii="Verdana" w:hAnsi="Verdana"/>
          <w:b/>
          <w:bCs/>
          <w:sz w:val="20"/>
          <w:szCs w:val="20"/>
        </w:rPr>
      </w:pPr>
    </w:p>
    <w:p w14:paraId="33904084" w14:textId="77777777" w:rsidR="0085070A" w:rsidRDefault="0085070A" w:rsidP="0085070A">
      <w:pPr>
        <w:spacing w:after="0" w:line="240" w:lineRule="auto"/>
        <w:jc w:val="both"/>
        <w:rPr>
          <w:rFonts w:ascii="Verdana" w:hAnsi="Verdana"/>
          <w:sz w:val="20"/>
          <w:szCs w:val="20"/>
        </w:rPr>
      </w:pPr>
      <w:r>
        <w:rPr>
          <w:rFonts w:ascii="Verdana" w:hAnsi="Verdana"/>
          <w:sz w:val="20"/>
          <w:szCs w:val="20"/>
        </w:rPr>
        <w:t>La revocación directa puede definirse como una de las especies de extinción de los actos administrativos en sede administrativa. Esta especie de extinción se diferencia de otras, pues “se trata de un mecanismo de extinción del acto administrativo y de sus efectos que opera por la voluntad de la propia administración. […] Esta figura debe distinguirse […] de la anulación, que es la desaparición o extinción del acto por decisión de autoridad jurisdiccional”.</w:t>
      </w:r>
    </w:p>
    <w:p w14:paraId="4007CCF6" w14:textId="77777777" w:rsidR="0085070A" w:rsidRDefault="0085070A" w:rsidP="0085070A">
      <w:pPr>
        <w:spacing w:after="0" w:line="240" w:lineRule="auto"/>
        <w:jc w:val="both"/>
        <w:rPr>
          <w:rFonts w:ascii="Verdana" w:hAnsi="Verdana"/>
          <w:sz w:val="20"/>
          <w:szCs w:val="20"/>
        </w:rPr>
      </w:pPr>
    </w:p>
    <w:p w14:paraId="064EDE60" w14:textId="77777777" w:rsidR="0085070A" w:rsidRDefault="0085070A" w:rsidP="0085070A">
      <w:pPr>
        <w:spacing w:after="0" w:line="240" w:lineRule="auto"/>
        <w:jc w:val="both"/>
        <w:rPr>
          <w:rFonts w:ascii="Verdana" w:hAnsi="Verdana"/>
          <w:b/>
          <w:bCs/>
        </w:rPr>
      </w:pPr>
      <w:r>
        <w:rPr>
          <w:rFonts w:ascii="Verdana" w:hAnsi="Verdana"/>
          <w:b/>
          <w:bCs/>
        </w:rPr>
        <w:t>REVOCACIÓN DIRECTA – Naturaleza Jurídica</w:t>
      </w:r>
    </w:p>
    <w:p w14:paraId="1AB5B6A9" w14:textId="77777777" w:rsidR="0085070A" w:rsidRDefault="0085070A" w:rsidP="0085070A">
      <w:pPr>
        <w:spacing w:after="0" w:line="240" w:lineRule="auto"/>
        <w:jc w:val="both"/>
        <w:rPr>
          <w:rFonts w:ascii="Verdana" w:hAnsi="Verdana"/>
          <w:b/>
          <w:bCs/>
          <w:sz w:val="20"/>
          <w:szCs w:val="20"/>
        </w:rPr>
      </w:pPr>
    </w:p>
    <w:p w14:paraId="482D2432" w14:textId="77777777" w:rsidR="0085070A" w:rsidRDefault="0085070A" w:rsidP="0085070A">
      <w:pPr>
        <w:spacing w:after="0" w:line="240" w:lineRule="auto"/>
        <w:jc w:val="both"/>
        <w:rPr>
          <w:rFonts w:ascii="Verdana" w:hAnsi="Verdana" w:cs="Arial"/>
          <w:sz w:val="20"/>
          <w:szCs w:val="20"/>
          <w:lang w:val="es-ES"/>
        </w:rPr>
      </w:pPr>
      <w:r>
        <w:rPr>
          <w:rFonts w:ascii="Verdana" w:hAnsi="Verdana" w:cs="Arial"/>
          <w:sz w:val="20"/>
          <w:szCs w:val="20"/>
          <w:lang w:val="es-ES"/>
        </w:rPr>
        <w:t xml:space="preserve">La revocación directa puede definirse como una de las especies de extinción de los actos administrativos en sede administrativa. Esta especie de extinción se diferencia de otras, pues “se trata de un mecanismo de extinción del acto administrativo y de sus efectos que opera por la voluntad de la propia administración. […] Esta figura debe distinguirse […] de la anulación, que es la desaparición o extinción del acto por decisión de autoridad </w:t>
      </w:r>
      <w:r>
        <w:rPr>
          <w:rFonts w:ascii="Verdana" w:hAnsi="Verdana" w:cs="Arial"/>
          <w:sz w:val="20"/>
          <w:szCs w:val="20"/>
          <w:lang w:val="es-ES"/>
        </w:rPr>
        <w:lastRenderedPageBreak/>
        <w:t xml:space="preserve">jurisdiccional”. Adicionalmente, sobre la particular manera en que el legislador ha reglamentado la revocación directa en Colombia, debe decirse que se trata de un mecanismo unilateral de la administración, otorgado por el legislador para que esta revise sus propias decisiones. </w:t>
      </w:r>
    </w:p>
    <w:p w14:paraId="06D271DA" w14:textId="77777777" w:rsidR="0085070A" w:rsidRDefault="0085070A" w:rsidP="0085070A">
      <w:pPr>
        <w:spacing w:after="0" w:line="240" w:lineRule="auto"/>
        <w:jc w:val="both"/>
        <w:rPr>
          <w:rFonts w:ascii="Verdana" w:hAnsi="Verdana"/>
          <w:sz w:val="20"/>
          <w:szCs w:val="20"/>
          <w:lang w:val="es-ES"/>
        </w:rPr>
      </w:pPr>
    </w:p>
    <w:p w14:paraId="526669F2" w14:textId="77777777" w:rsidR="0085070A" w:rsidRDefault="0085070A" w:rsidP="0085070A">
      <w:pPr>
        <w:spacing w:after="0" w:line="240" w:lineRule="auto"/>
        <w:jc w:val="both"/>
        <w:rPr>
          <w:rFonts w:ascii="Verdana" w:hAnsi="Verdana"/>
          <w:b/>
          <w:bCs/>
        </w:rPr>
      </w:pPr>
      <w:r>
        <w:rPr>
          <w:rFonts w:ascii="Verdana" w:hAnsi="Verdana"/>
          <w:b/>
          <w:bCs/>
        </w:rPr>
        <w:t>REVOCACIÓN DIRECTA – Acto de adjudicación – Consentimiento previo</w:t>
      </w:r>
    </w:p>
    <w:p w14:paraId="3DFB5A22" w14:textId="77777777" w:rsidR="0085070A" w:rsidRDefault="0085070A" w:rsidP="0085070A">
      <w:pPr>
        <w:spacing w:after="0" w:line="240" w:lineRule="auto"/>
        <w:jc w:val="both"/>
        <w:rPr>
          <w:rFonts w:ascii="Verdana" w:hAnsi="Verdana"/>
          <w:b/>
          <w:bCs/>
          <w:sz w:val="20"/>
          <w:szCs w:val="20"/>
        </w:rPr>
      </w:pPr>
    </w:p>
    <w:p w14:paraId="6EBD8F6F" w14:textId="77777777" w:rsidR="0085070A" w:rsidRDefault="0085070A" w:rsidP="0085070A">
      <w:pPr>
        <w:spacing w:after="0" w:line="240" w:lineRule="auto"/>
        <w:jc w:val="both"/>
        <w:rPr>
          <w:rFonts w:ascii="Verdana" w:hAnsi="Verdana" w:cs="Arial"/>
          <w:sz w:val="20"/>
          <w:szCs w:val="20"/>
          <w:lang w:val="es-ES"/>
        </w:rPr>
      </w:pPr>
      <w:r>
        <w:rPr>
          <w:rFonts w:ascii="Verdana" w:hAnsi="Verdana"/>
          <w:sz w:val="20"/>
          <w:szCs w:val="20"/>
        </w:rPr>
        <w:t xml:space="preserve">[…] </w:t>
      </w:r>
      <w:r>
        <w:rPr>
          <w:rFonts w:ascii="Verdana" w:hAnsi="Verdana" w:cs="Arial"/>
          <w:sz w:val="20"/>
          <w:szCs w:val="20"/>
          <w:lang w:val="es-ES"/>
        </w:rPr>
        <w:t>para revocar el acto administrativo de adjudicación de un contrato estatal, cuando se verifique alguna de las dos causales que lo permiten, según el artículo 9, inciso tercero, de la Ley 1150 de 2007, no es necesario obtener “consentimiento previo, expreso y escrito del respectivo” adjudicatario, como lo ordena el artículo 97 del CPACA. Lo anterior es así, pues el artículo 9 de la Ley 1150 de 2007 consagra un régimen especial de revocatoria directa del acto de adjudicación que no exige permiso del titular. La ausencia de una regla en ese sentido, en el entendido de esta Subdirección, no puede interpretarse como un vacío que deba ser llenado con el CPACA, sino como un régimen jurídico diferente: situación análoga a la que en su momento ocurría con los regímenes de la Ley 80 de 1993 y el CCA.</w:t>
      </w:r>
    </w:p>
    <w:p w14:paraId="7934814B" w14:textId="77777777" w:rsidR="0085070A" w:rsidRDefault="0085070A" w:rsidP="0085070A">
      <w:pPr>
        <w:spacing w:after="0" w:line="240" w:lineRule="auto"/>
        <w:jc w:val="both"/>
        <w:rPr>
          <w:rFonts w:ascii="Verdana" w:hAnsi="Verdana"/>
          <w:sz w:val="20"/>
          <w:szCs w:val="20"/>
        </w:rPr>
      </w:pPr>
    </w:p>
    <w:p w14:paraId="6E5110B5" w14:textId="77777777" w:rsidR="0085070A" w:rsidRDefault="0085070A" w:rsidP="0085070A">
      <w:pPr>
        <w:spacing w:after="0" w:line="240" w:lineRule="auto"/>
        <w:jc w:val="both"/>
        <w:rPr>
          <w:rFonts w:ascii="Verdana" w:hAnsi="Verdana"/>
          <w:b/>
          <w:bCs/>
        </w:rPr>
      </w:pPr>
      <w:r>
        <w:rPr>
          <w:rFonts w:ascii="Verdana" w:hAnsi="Verdana"/>
          <w:b/>
          <w:bCs/>
        </w:rPr>
        <w:t>ACTO DE ADJUDICACIÓN – Revocatoria directa – Debido proceso</w:t>
      </w:r>
    </w:p>
    <w:p w14:paraId="36FAD056" w14:textId="77777777" w:rsidR="0085070A" w:rsidRDefault="0085070A" w:rsidP="0085070A">
      <w:pPr>
        <w:spacing w:after="0" w:line="240" w:lineRule="auto"/>
        <w:jc w:val="both"/>
        <w:rPr>
          <w:rFonts w:ascii="Verdana" w:hAnsi="Verdana"/>
          <w:b/>
          <w:bCs/>
          <w:sz w:val="20"/>
          <w:szCs w:val="20"/>
        </w:rPr>
      </w:pPr>
    </w:p>
    <w:p w14:paraId="4F175253" w14:textId="77777777" w:rsidR="0085070A" w:rsidRDefault="0085070A" w:rsidP="0085070A">
      <w:pPr>
        <w:spacing w:after="0" w:line="240" w:lineRule="auto"/>
        <w:jc w:val="both"/>
        <w:rPr>
          <w:rFonts w:ascii="Verdana" w:hAnsi="Verdana" w:cs="Arial"/>
          <w:sz w:val="20"/>
          <w:szCs w:val="20"/>
          <w:lang w:val="es-ES"/>
        </w:rPr>
      </w:pPr>
      <w:r>
        <w:rPr>
          <w:rFonts w:ascii="Verdana" w:hAnsi="Verdana"/>
          <w:sz w:val="20"/>
          <w:szCs w:val="20"/>
        </w:rPr>
        <w:t xml:space="preserve">[…] </w:t>
      </w:r>
      <w:r>
        <w:rPr>
          <w:rFonts w:ascii="Verdana" w:hAnsi="Verdana" w:cs="Arial"/>
          <w:sz w:val="20"/>
          <w:szCs w:val="20"/>
          <w:lang w:val="es-ES"/>
        </w:rPr>
        <w:t xml:space="preserve">la Entidad Estatal debe respetar el debido proceso del adjudicatario cuando pretenda establecer si i) ha sobrevenido una causal de inhabilidad e incompatibilidad entre el acto de adjudicación y la suscripción del contrato o </w:t>
      </w:r>
      <w:proofErr w:type="spellStart"/>
      <w:r>
        <w:rPr>
          <w:rFonts w:ascii="Verdana" w:hAnsi="Verdana" w:cs="Arial"/>
          <w:sz w:val="20"/>
          <w:szCs w:val="20"/>
          <w:lang w:val="es-ES"/>
        </w:rPr>
        <w:t>ii</w:t>
      </w:r>
      <w:proofErr w:type="spellEnd"/>
      <w:r>
        <w:rPr>
          <w:rFonts w:ascii="Verdana" w:hAnsi="Verdana" w:cs="Arial"/>
          <w:sz w:val="20"/>
          <w:szCs w:val="20"/>
          <w:lang w:val="es-ES"/>
        </w:rPr>
        <w:t xml:space="preserve">) si el acto de adjudicación se obtuvo por medios ilegales. En otros términos, con el objeto de verificar la existencia de alguna de las causales que permite la revocación directa del acto de adjudicación, la Entidad Estatal debe llevar a cabo un procedimiento administrativo en el cual se respeten las garantías de que trata el artículo 29 superior y en particular los derechos de audiencia y defensa del adjudicatario. Sin embargo, a la finalización de ese procedimiento administrativo, si la Administración verifica la ocurrencia de alguna de estas situaciones, puede proceder a la revocación del acto administrativo de adjudicación incluso si el adjudicatario no otorga su consentimiento para ello. </w:t>
      </w:r>
    </w:p>
    <w:p w14:paraId="4CBE273F" w14:textId="77777777" w:rsidR="0085070A" w:rsidRDefault="0085070A" w:rsidP="0085070A">
      <w:pPr>
        <w:spacing w:after="0" w:line="240" w:lineRule="auto"/>
        <w:jc w:val="both"/>
        <w:rPr>
          <w:rFonts w:ascii="Verdana" w:eastAsia="Calibri" w:hAnsi="Verdana" w:cs="Arial"/>
          <w:sz w:val="20"/>
          <w:szCs w:val="20"/>
          <w:lang w:val="es-ES_tradnl" w:eastAsia="es-ES"/>
        </w:rPr>
      </w:pPr>
    </w:p>
    <w:p w14:paraId="35F487B6" w14:textId="77777777" w:rsidR="0085070A" w:rsidRDefault="0085070A" w:rsidP="0085070A">
      <w:pPr>
        <w:spacing w:after="0" w:line="240" w:lineRule="auto"/>
        <w:jc w:val="both"/>
        <w:rPr>
          <w:rFonts w:ascii="Verdana" w:eastAsia="Calibri" w:hAnsi="Verdana" w:cs="Arial"/>
          <w:b/>
          <w:bCs/>
          <w:lang w:val="es-ES_tradnl" w:eastAsia="es-ES"/>
        </w:rPr>
      </w:pPr>
      <w:r>
        <w:rPr>
          <w:rFonts w:ascii="Verdana" w:eastAsia="Calibri" w:hAnsi="Verdana" w:cs="Arial"/>
          <w:b/>
          <w:bCs/>
          <w:lang w:val="es-ES_tradnl" w:eastAsia="es-ES"/>
        </w:rPr>
        <w:t>CONTRATO ESTATAL – Régimen mixto – Derecho público – Derecho privado</w:t>
      </w:r>
    </w:p>
    <w:p w14:paraId="01071335" w14:textId="77777777" w:rsidR="0085070A" w:rsidRDefault="0085070A" w:rsidP="0085070A">
      <w:pPr>
        <w:spacing w:after="0" w:line="240" w:lineRule="auto"/>
        <w:jc w:val="both"/>
        <w:rPr>
          <w:rFonts w:ascii="Verdana" w:eastAsia="Calibri" w:hAnsi="Verdana" w:cs="Arial"/>
          <w:sz w:val="20"/>
          <w:szCs w:val="20"/>
          <w:lang w:val="es-ES_tradnl" w:eastAsia="es-ES"/>
        </w:rPr>
      </w:pPr>
    </w:p>
    <w:p w14:paraId="077893AD" w14:textId="77777777" w:rsidR="0085070A" w:rsidRDefault="0085070A" w:rsidP="0085070A">
      <w:pPr>
        <w:spacing w:after="0" w:line="240" w:lineRule="auto"/>
        <w:jc w:val="both"/>
        <w:rPr>
          <w:rFonts w:ascii="Verdana" w:eastAsia="Calibri" w:hAnsi="Verdana" w:cs="Arial"/>
          <w:sz w:val="20"/>
          <w:szCs w:val="20"/>
          <w:lang w:eastAsia="es-ES"/>
        </w:rPr>
      </w:pPr>
      <w:r>
        <w:rPr>
          <w:rFonts w:ascii="Verdana" w:eastAsia="Calibri" w:hAnsi="Verdana" w:cs="Arial"/>
          <w:sz w:val="20"/>
          <w:szCs w:val="20"/>
          <w:lang w:val="es-ES" w:eastAsia="es-ES"/>
        </w:rPr>
        <w:t xml:space="preserve">Tratándose de las entidades sometidas a la Ley 80 de 1993, </w:t>
      </w:r>
      <w:r>
        <w:rPr>
          <w:rFonts w:ascii="Verdana" w:eastAsia="Calibri" w:hAnsi="Verdana" w:cs="Arial"/>
          <w:bCs/>
          <w:sz w:val="20"/>
          <w:szCs w:val="20"/>
          <w:lang w:eastAsia="es-ES"/>
        </w:rPr>
        <w:t xml:space="preserve">el inciso primero del artículo 13 dispone que “Los contratos que celebren las entidades a que se refiere el artículo 2o. del presente estatuto se regirán por las disposiciones comerciales y civiles pertinentes, salvo en las materias particularmente reguladas en esta ley”. Dicha idea también se reitera en el EGCAP considerando que “Son contratos estatales todos los actos jurídicos generadores de obligaciones que celebren las entidades a que se refiere el presente estatuto, previstos en el derecho privado o en disposiciones especiales, o derivados del ejercicio de la autonomía de la voluntad” –art. 32, inciso primero– y que “Las estipulaciones de los contratos serán las que de acuerdo con las normas civiles, comerciales y las previstas en esta ley, correspondan a su esencia y naturaleza” –art. </w:t>
      </w:r>
      <w:r>
        <w:rPr>
          <w:rFonts w:ascii="Verdana" w:eastAsia="Calibri" w:hAnsi="Verdana" w:cs="Arial"/>
          <w:bCs/>
          <w:sz w:val="20"/>
          <w:szCs w:val="20"/>
          <w:lang w:eastAsia="es-ES"/>
        </w:rPr>
        <w:lastRenderedPageBreak/>
        <w:t>40, inciso primero–.</w:t>
      </w:r>
      <w:r>
        <w:rPr>
          <w:rFonts w:ascii="Verdana" w:eastAsia="Calibri" w:hAnsi="Verdana" w:cs="Arial"/>
          <w:sz w:val="20"/>
          <w:szCs w:val="20"/>
          <w:lang w:eastAsia="es-ES"/>
        </w:rPr>
        <w:t xml:space="preserve"> De esta manera, los contratos de las entidades sometidas al Estatuto General de Contratación se rigen generalmente por el derecho privado y excepcionalmente por el derecho público, pues las normas civiles y comerciales son el derecho común de los contratos estatales</w:t>
      </w:r>
      <w:r>
        <w:rPr>
          <w:rFonts w:ascii="Verdana" w:eastAsia="Calibri" w:hAnsi="Verdana" w:cs="Arial"/>
          <w:sz w:val="20"/>
          <w:szCs w:val="20"/>
          <w:lang w:val="es-ES_tradnl" w:eastAsia="es-ES"/>
        </w:rPr>
        <w:t>.</w:t>
      </w:r>
    </w:p>
    <w:p w14:paraId="37C608E6" w14:textId="77777777" w:rsidR="0085070A" w:rsidRDefault="0085070A" w:rsidP="0085070A">
      <w:pPr>
        <w:spacing w:after="0" w:line="240" w:lineRule="auto"/>
        <w:jc w:val="both"/>
        <w:rPr>
          <w:rFonts w:ascii="Verdana" w:eastAsia="Calibri" w:hAnsi="Verdana" w:cs="Arial"/>
          <w:sz w:val="20"/>
          <w:szCs w:val="20"/>
          <w:lang w:val="es-ES_tradnl" w:eastAsia="es-ES"/>
        </w:rPr>
      </w:pPr>
    </w:p>
    <w:p w14:paraId="4350359C" w14:textId="77777777" w:rsidR="0085070A" w:rsidRDefault="0085070A" w:rsidP="0085070A">
      <w:pPr>
        <w:spacing w:after="0" w:line="240" w:lineRule="auto"/>
        <w:jc w:val="both"/>
        <w:rPr>
          <w:rFonts w:ascii="Verdana" w:eastAsia="Calibri" w:hAnsi="Verdana" w:cs="Arial"/>
          <w:sz w:val="20"/>
          <w:szCs w:val="20"/>
          <w:lang w:val="es-ES_tradnl" w:eastAsia="es-ES"/>
        </w:rPr>
      </w:pPr>
      <w:r>
        <w:rPr>
          <w:rFonts w:ascii="Verdana" w:eastAsia="Calibri" w:hAnsi="Verdana" w:cs="Arial"/>
          <w:b/>
          <w:bCs/>
          <w:lang w:val="es-ES_tradnl" w:eastAsia="es-ES"/>
        </w:rPr>
        <w:t xml:space="preserve">NULIDAD DEL CONTRATO – Causales </w:t>
      </w:r>
    </w:p>
    <w:p w14:paraId="77257FEE" w14:textId="77777777" w:rsidR="0085070A" w:rsidRDefault="0085070A" w:rsidP="0085070A">
      <w:pPr>
        <w:spacing w:after="0" w:line="240" w:lineRule="auto"/>
        <w:jc w:val="both"/>
        <w:rPr>
          <w:rFonts w:ascii="Verdana" w:eastAsia="Calibri" w:hAnsi="Verdana" w:cs="Arial"/>
          <w:sz w:val="20"/>
          <w:szCs w:val="20"/>
          <w:lang w:val="es-ES_tradnl" w:eastAsia="es-ES"/>
        </w:rPr>
      </w:pPr>
    </w:p>
    <w:p w14:paraId="74A9BAA1" w14:textId="77777777" w:rsidR="0085070A" w:rsidRDefault="0085070A" w:rsidP="0085070A">
      <w:pPr>
        <w:spacing w:after="0" w:line="240" w:lineRule="auto"/>
        <w:jc w:val="both"/>
        <w:rPr>
          <w:rFonts w:ascii="Verdana" w:eastAsia="Calibri" w:hAnsi="Verdana" w:cs="Arial"/>
          <w:sz w:val="20"/>
          <w:szCs w:val="20"/>
          <w:lang w:val="es-ES_tradnl" w:eastAsia="es-ES"/>
        </w:rPr>
      </w:pPr>
      <w:r>
        <w:rPr>
          <w:rFonts w:ascii="Verdana" w:eastAsia="Calibri" w:hAnsi="Verdana" w:cs="Arial"/>
          <w:sz w:val="20"/>
          <w:szCs w:val="20"/>
          <w:lang w:val="es-ES" w:eastAsia="es-ES"/>
        </w:rPr>
        <w:t xml:space="preserve">De acuerdo con el artículo 1741 del Código Civil, “La nulidad producida por un objeto o causa ilícita, y la nulidad producida por la omisión de algún requisito o formalidad que las leyes prescriben para el valor de ciertos actos o contratos en consideración a la naturaleza de ellos, y no a la calidad o estado de las personas que los ejecutan o acuerdan, son nulidades absolutas. Hay así </w:t>
      </w:r>
      <w:proofErr w:type="gramStart"/>
      <w:r>
        <w:rPr>
          <w:rFonts w:ascii="Verdana" w:eastAsia="Calibri" w:hAnsi="Verdana" w:cs="Arial"/>
          <w:sz w:val="20"/>
          <w:szCs w:val="20"/>
          <w:lang w:val="es-ES" w:eastAsia="es-ES"/>
        </w:rPr>
        <w:t>mismo nulidad absoluta</w:t>
      </w:r>
      <w:proofErr w:type="gramEnd"/>
      <w:r>
        <w:rPr>
          <w:rFonts w:ascii="Verdana" w:eastAsia="Calibri" w:hAnsi="Verdana" w:cs="Arial"/>
          <w:sz w:val="20"/>
          <w:szCs w:val="20"/>
          <w:lang w:val="es-ES" w:eastAsia="es-ES"/>
        </w:rPr>
        <w:t xml:space="preserve"> en los actos y contratos de personas absolutamente incapaces. Cualquiera otra especie de vicio produce nulidad relativa, y da derecho a la rescisión del acto o contrato”. Para la doctrina, las circunstancias que producen nulidad relativa son los vicios del consentimiento –error, fuerza y dolo–, la lesión enorme, los actos de los relativamente incapaces, así como la omisión de formalidades habilitantes distintas a las que se enuncian en la norma precitada</w:t>
      </w:r>
      <w:r>
        <w:rPr>
          <w:rFonts w:ascii="Verdana" w:eastAsia="Calibri" w:hAnsi="Verdana" w:cs="Arial"/>
          <w:sz w:val="20"/>
          <w:szCs w:val="20"/>
          <w:lang w:val="es-ES_tradnl" w:eastAsia="es-ES"/>
        </w:rPr>
        <w:t xml:space="preserve">. </w:t>
      </w:r>
    </w:p>
    <w:p w14:paraId="2E69A55B" w14:textId="77777777" w:rsidR="0085070A" w:rsidRDefault="0085070A" w:rsidP="0085070A">
      <w:pPr>
        <w:spacing w:after="0" w:line="240" w:lineRule="auto"/>
        <w:jc w:val="both"/>
        <w:rPr>
          <w:rFonts w:ascii="Verdana" w:eastAsia="Calibri" w:hAnsi="Verdana" w:cs="Arial"/>
          <w:sz w:val="20"/>
          <w:szCs w:val="20"/>
          <w:lang w:val="es-ES_tradnl" w:eastAsia="es-ES"/>
        </w:rPr>
      </w:pPr>
    </w:p>
    <w:p w14:paraId="25F95912" w14:textId="77777777" w:rsidR="0085070A" w:rsidRDefault="0085070A" w:rsidP="0085070A">
      <w:pPr>
        <w:spacing w:after="0" w:line="240" w:lineRule="auto"/>
        <w:jc w:val="both"/>
        <w:rPr>
          <w:rFonts w:ascii="Verdana" w:eastAsia="Calibri" w:hAnsi="Verdana" w:cs="Arial"/>
          <w:sz w:val="20"/>
          <w:szCs w:val="20"/>
          <w:lang w:val="es-ES" w:eastAsia="es-ES"/>
        </w:rPr>
      </w:pPr>
      <w:r>
        <w:rPr>
          <w:rFonts w:ascii="Verdana" w:eastAsia="Calibri" w:hAnsi="Verdana" w:cs="Arial"/>
          <w:sz w:val="20"/>
          <w:szCs w:val="20"/>
          <w:lang w:val="es-ES" w:eastAsia="es-ES"/>
        </w:rPr>
        <w:t xml:space="preserve">Asimismo, el artículo 899 del Código de Comercio dispone la </w:t>
      </w:r>
      <w:r>
        <w:rPr>
          <w:rFonts w:ascii="Verdana" w:eastAsia="Calibri" w:hAnsi="Verdana" w:cs="Arial"/>
          <w:i/>
          <w:iCs/>
          <w:sz w:val="20"/>
          <w:szCs w:val="20"/>
          <w:lang w:val="es-ES" w:eastAsia="es-ES"/>
        </w:rPr>
        <w:t>nulidad absoluta</w:t>
      </w:r>
      <w:r>
        <w:rPr>
          <w:rFonts w:ascii="Verdana" w:eastAsia="Calibri" w:hAnsi="Verdana" w:cs="Arial"/>
          <w:sz w:val="20"/>
          <w:szCs w:val="20"/>
          <w:lang w:val="es-ES" w:eastAsia="es-ES"/>
        </w:rPr>
        <w:t xml:space="preserve"> de los negocios jurídicos cuando contrarían una norma imperativa, salvo que la ley disponga otra cosa; tengan objeto y causa ilícita, o se hayan celebrado por persona absolutamente incapaz. Por su parte, el artículo 900 </w:t>
      </w:r>
      <w:r>
        <w:rPr>
          <w:rFonts w:ascii="Verdana" w:eastAsia="Calibri" w:hAnsi="Verdana" w:cs="Arial"/>
          <w:i/>
          <w:iCs/>
          <w:sz w:val="20"/>
          <w:szCs w:val="20"/>
          <w:lang w:val="es-ES" w:eastAsia="es-ES"/>
        </w:rPr>
        <w:t>ibidem</w:t>
      </w:r>
      <w:r>
        <w:rPr>
          <w:rFonts w:ascii="Verdana" w:eastAsia="Calibri" w:hAnsi="Verdana" w:cs="Arial"/>
          <w:sz w:val="20"/>
          <w:szCs w:val="20"/>
          <w:lang w:val="es-ES" w:eastAsia="es-ES"/>
        </w:rPr>
        <w:t xml:space="preserve"> precisa que la </w:t>
      </w:r>
      <w:r>
        <w:rPr>
          <w:rFonts w:ascii="Verdana" w:eastAsia="Calibri" w:hAnsi="Verdana" w:cs="Arial"/>
          <w:i/>
          <w:iCs/>
          <w:sz w:val="20"/>
          <w:szCs w:val="20"/>
          <w:lang w:val="es-ES" w:eastAsia="es-ES"/>
        </w:rPr>
        <w:t>anulabilidad</w:t>
      </w:r>
      <w:r>
        <w:rPr>
          <w:rFonts w:ascii="Verdana" w:eastAsia="Calibri" w:hAnsi="Verdana" w:cs="Arial"/>
          <w:sz w:val="20"/>
          <w:szCs w:val="20"/>
          <w:lang w:val="es-ES" w:eastAsia="es-ES"/>
        </w:rPr>
        <w:t xml:space="preserve"> aplica cuando los contratos hayan sido celebrados por persona relativamente incapaz o hayan sido consentidos por error, fuerza o dolo, conforme al Código Civil.</w:t>
      </w:r>
    </w:p>
    <w:p w14:paraId="69DAC62D" w14:textId="77777777" w:rsidR="0085070A" w:rsidRDefault="0085070A" w:rsidP="0085070A">
      <w:pPr>
        <w:spacing w:after="0" w:line="240" w:lineRule="auto"/>
        <w:jc w:val="both"/>
        <w:rPr>
          <w:rFonts w:ascii="Verdana" w:eastAsia="Calibri" w:hAnsi="Verdana" w:cs="Arial"/>
          <w:sz w:val="20"/>
          <w:szCs w:val="20"/>
          <w:lang w:val="es-ES" w:eastAsia="es-ES"/>
        </w:rPr>
      </w:pPr>
    </w:p>
    <w:p w14:paraId="08F1A6DC" w14:textId="77777777" w:rsidR="0085070A" w:rsidRDefault="0085070A" w:rsidP="0085070A">
      <w:pPr>
        <w:spacing w:after="0" w:line="240" w:lineRule="auto"/>
        <w:jc w:val="both"/>
        <w:rPr>
          <w:rFonts w:ascii="Verdana" w:eastAsia="Calibri" w:hAnsi="Verdana" w:cs="Arial"/>
          <w:sz w:val="20"/>
          <w:szCs w:val="20"/>
          <w:lang w:val="es-ES" w:eastAsia="es-ES"/>
        </w:rPr>
      </w:pPr>
      <w:r>
        <w:rPr>
          <w:rFonts w:ascii="Verdana" w:eastAsia="Calibri" w:hAnsi="Verdana" w:cs="Arial"/>
          <w:sz w:val="20"/>
          <w:szCs w:val="20"/>
          <w:lang w:val="es-ES" w:eastAsia="es-ES"/>
        </w:rPr>
        <w:t xml:space="preserve">Por su parte, el artículo 44 de la Ley 80 de 1993 consagra como causales de nulidad absoluta del contrato estatal, además de las antes mencionadas en el derecho común, las siguientes: i) que el contrato se celebre con personas incursas en causales de inhabilidad o incompatibilidad previstas en la Constitución y la ley, </w:t>
      </w:r>
      <w:proofErr w:type="spellStart"/>
      <w:r>
        <w:rPr>
          <w:rFonts w:ascii="Verdana" w:eastAsia="Calibri" w:hAnsi="Verdana" w:cs="Arial"/>
          <w:sz w:val="20"/>
          <w:szCs w:val="20"/>
          <w:lang w:val="es-ES" w:eastAsia="es-ES"/>
        </w:rPr>
        <w:t>ii</w:t>
      </w:r>
      <w:proofErr w:type="spellEnd"/>
      <w:r>
        <w:rPr>
          <w:rFonts w:ascii="Verdana" w:eastAsia="Calibri" w:hAnsi="Verdana" w:cs="Arial"/>
          <w:sz w:val="20"/>
          <w:szCs w:val="20"/>
          <w:lang w:val="es-ES" w:eastAsia="es-ES"/>
        </w:rPr>
        <w:t xml:space="preserve">) se celebre contra expresa prohibición constitucional o legal, </w:t>
      </w:r>
      <w:proofErr w:type="spellStart"/>
      <w:r>
        <w:rPr>
          <w:rFonts w:ascii="Verdana" w:eastAsia="Calibri" w:hAnsi="Verdana" w:cs="Arial"/>
          <w:sz w:val="20"/>
          <w:szCs w:val="20"/>
          <w:lang w:val="es-ES" w:eastAsia="es-ES"/>
        </w:rPr>
        <w:t>iii</w:t>
      </w:r>
      <w:proofErr w:type="spellEnd"/>
      <w:r>
        <w:rPr>
          <w:rFonts w:ascii="Verdana" w:eastAsia="Calibri" w:hAnsi="Verdana" w:cs="Arial"/>
          <w:sz w:val="20"/>
          <w:szCs w:val="20"/>
          <w:lang w:val="es-ES" w:eastAsia="es-ES"/>
        </w:rPr>
        <w:t xml:space="preserve">) se celebre con abuso o desviación de poder, </w:t>
      </w:r>
      <w:proofErr w:type="spellStart"/>
      <w:r>
        <w:rPr>
          <w:rFonts w:ascii="Verdana" w:eastAsia="Calibri" w:hAnsi="Verdana" w:cs="Arial"/>
          <w:sz w:val="20"/>
          <w:szCs w:val="20"/>
          <w:lang w:val="es-ES" w:eastAsia="es-ES"/>
        </w:rPr>
        <w:t>iv</w:t>
      </w:r>
      <w:proofErr w:type="spellEnd"/>
      <w:r>
        <w:rPr>
          <w:rFonts w:ascii="Verdana" w:eastAsia="Calibri" w:hAnsi="Verdana" w:cs="Arial"/>
          <w:sz w:val="20"/>
          <w:szCs w:val="20"/>
          <w:lang w:val="es-ES" w:eastAsia="es-ES"/>
        </w:rPr>
        <w:t>) se declaren nulos los actos administrativos en que se fundamenten, v) se hubieren celebrado con desconocimiento de los criterios previstos para el tratamiento de ofertas nacionales y extranjeras o con violación de la reciprocidad.</w:t>
      </w:r>
    </w:p>
    <w:p w14:paraId="399AF8B9" w14:textId="77777777" w:rsidR="0085070A" w:rsidRDefault="0085070A" w:rsidP="0085070A">
      <w:pPr>
        <w:spacing w:after="0" w:line="240" w:lineRule="auto"/>
        <w:jc w:val="both"/>
        <w:rPr>
          <w:rFonts w:ascii="Verdana" w:eastAsia="Calibri" w:hAnsi="Verdana" w:cs="Arial"/>
          <w:sz w:val="20"/>
          <w:szCs w:val="20"/>
          <w:lang w:val="es-ES" w:eastAsia="es-ES"/>
        </w:rPr>
      </w:pPr>
    </w:p>
    <w:p w14:paraId="0944B0E5" w14:textId="77777777" w:rsidR="0085070A" w:rsidRDefault="0085070A" w:rsidP="0085070A">
      <w:pPr>
        <w:spacing w:after="0" w:line="240" w:lineRule="auto"/>
        <w:jc w:val="both"/>
        <w:rPr>
          <w:rFonts w:ascii="Verdana" w:eastAsia="Calibri" w:hAnsi="Verdana" w:cs="Arial"/>
          <w:sz w:val="20"/>
          <w:szCs w:val="20"/>
          <w:lang w:eastAsia="es-ES"/>
        </w:rPr>
      </w:pPr>
      <w:r>
        <w:rPr>
          <w:rFonts w:ascii="Verdana" w:eastAsia="Calibri" w:hAnsi="Verdana" w:cs="Arial"/>
          <w:sz w:val="20"/>
          <w:szCs w:val="20"/>
          <w:lang w:eastAsia="es-ES"/>
        </w:rPr>
        <w:t>En lo referente a la nulidad relativa, el artículo 46 de la Ley 80 de 1993 le atribuye carácter residual, pues una vez establecido el listado de causales de nulidad absoluta, señala que la nulidad relativa corresponde a los demás vicios que se presenten en los contratos. De igual manera, señala que estos vicios podrán sanearse por ratificación expresa de los interesados o por el transcurso de dos años, contados a partir de la ocurrencia del hecho que genera el vicio.</w:t>
      </w:r>
    </w:p>
    <w:p w14:paraId="2B42F2F2" w14:textId="77777777" w:rsidR="0085070A" w:rsidRDefault="0085070A" w:rsidP="0085070A">
      <w:pPr>
        <w:spacing w:after="0" w:line="240" w:lineRule="auto"/>
        <w:jc w:val="both"/>
        <w:rPr>
          <w:rFonts w:ascii="Verdana" w:eastAsia="Calibri" w:hAnsi="Verdana" w:cs="Arial"/>
          <w:sz w:val="20"/>
          <w:szCs w:val="20"/>
          <w:lang w:eastAsia="es-ES"/>
        </w:rPr>
      </w:pPr>
    </w:p>
    <w:p w14:paraId="426EF8C5" w14:textId="77777777" w:rsidR="0085070A" w:rsidRDefault="0085070A" w:rsidP="0085070A">
      <w:pPr>
        <w:tabs>
          <w:tab w:val="left" w:pos="426"/>
        </w:tabs>
        <w:spacing w:line="240" w:lineRule="auto"/>
        <w:contextualSpacing/>
        <w:jc w:val="both"/>
        <w:rPr>
          <w:rFonts w:ascii="Verdana" w:eastAsia="Calibri" w:hAnsi="Verdana" w:cs="Arial"/>
          <w:noProof/>
          <w:sz w:val="20"/>
          <w:szCs w:val="20"/>
          <w:lang w:val="es-ES_tradnl"/>
        </w:rPr>
      </w:pPr>
      <w:r>
        <w:rPr>
          <w:rFonts w:ascii="Verdana" w:eastAsia="Calibri" w:hAnsi="Verdana" w:cs="Arial"/>
          <w:noProof/>
          <w:sz w:val="20"/>
          <w:szCs w:val="20"/>
          <w:lang w:val="es-ES_tradnl"/>
        </w:rPr>
        <w:t xml:space="preserve">    </w:t>
      </w:r>
    </w:p>
    <w:p w14:paraId="364A62A7" w14:textId="77777777" w:rsidR="0085070A" w:rsidRDefault="0085070A" w:rsidP="0085070A">
      <w:pPr>
        <w:spacing w:after="0" w:line="240" w:lineRule="auto"/>
        <w:rPr>
          <w:rFonts w:ascii="Verdana" w:eastAsia="Geomanist Light" w:hAnsi="Verdana" w:cs="Arial"/>
          <w:color w:val="000000" w:themeColor="text1"/>
          <w:lang w:val="es-ES_tradnl"/>
        </w:rPr>
      </w:pPr>
    </w:p>
    <w:p w14:paraId="5EB76646" w14:textId="77777777" w:rsidR="0085070A" w:rsidRDefault="0085070A" w:rsidP="0085070A">
      <w:pPr>
        <w:tabs>
          <w:tab w:val="left" w:pos="709"/>
        </w:tabs>
        <w:spacing w:after="0" w:line="240" w:lineRule="auto"/>
        <w:jc w:val="both"/>
        <w:rPr>
          <w:rFonts w:ascii="Verdana" w:eastAsia="Geomanist Light" w:hAnsi="Verdana" w:cs="Arial"/>
          <w:color w:val="000000" w:themeColor="text1"/>
          <w:lang w:val="es-ES"/>
        </w:rPr>
      </w:pPr>
    </w:p>
    <w:p w14:paraId="6480954B" w14:textId="77777777" w:rsidR="00236B06" w:rsidRDefault="00236B06" w:rsidP="0085070A">
      <w:pPr>
        <w:spacing w:after="0" w:line="240" w:lineRule="auto"/>
        <w:rPr>
          <w:rFonts w:ascii="Verdana" w:eastAsia="Calibri" w:hAnsi="Verdana" w:cs="Arial"/>
          <w:bCs/>
          <w:sz w:val="20"/>
          <w:szCs w:val="20"/>
          <w:lang w:eastAsia="es-ES_tradnl"/>
        </w:rPr>
      </w:pPr>
    </w:p>
    <w:p w14:paraId="3CDB81D1" w14:textId="77248B40" w:rsidR="0085070A" w:rsidRPr="0014267B" w:rsidRDefault="00236B06" w:rsidP="0085070A">
      <w:pPr>
        <w:spacing w:after="0" w:line="240" w:lineRule="auto"/>
        <w:rPr>
          <w:rFonts w:ascii="Verdana" w:eastAsia="Calibri" w:hAnsi="Verdana" w:cs="Arial"/>
          <w:bCs/>
          <w:lang w:eastAsia="es-ES_tradnl"/>
        </w:rPr>
      </w:pPr>
      <w:r w:rsidRPr="0014267B">
        <w:rPr>
          <w:rFonts w:ascii="Verdana" w:eastAsia="Calibri" w:hAnsi="Verdana" w:cs="Arial"/>
          <w:bCs/>
          <w:lang w:eastAsia="es-ES_tradnl"/>
        </w:rPr>
        <w:lastRenderedPageBreak/>
        <w:t xml:space="preserve">Bogotá D.C., 18 de </w:t>
      </w:r>
      <w:r w:rsidR="0014267B" w:rsidRPr="0014267B">
        <w:rPr>
          <w:rFonts w:ascii="Verdana" w:eastAsia="Calibri" w:hAnsi="Verdana" w:cs="Arial"/>
          <w:bCs/>
          <w:lang w:eastAsia="es-ES_tradnl"/>
        </w:rPr>
        <w:t>mayo</w:t>
      </w:r>
      <w:r w:rsidRPr="0014267B">
        <w:rPr>
          <w:rFonts w:ascii="Verdana" w:eastAsia="Calibri" w:hAnsi="Verdana" w:cs="Arial"/>
          <w:bCs/>
          <w:lang w:eastAsia="es-ES_tradnl"/>
        </w:rPr>
        <w:t xml:space="preserve"> de 2026</w:t>
      </w:r>
    </w:p>
    <w:p w14:paraId="4C100877" w14:textId="32D57097" w:rsidR="0085070A" w:rsidRDefault="00236B06" w:rsidP="0085070A">
      <w:pPr>
        <w:spacing w:after="0" w:line="240" w:lineRule="auto"/>
        <w:rPr>
          <w:rFonts w:ascii="Verdana" w:eastAsia="Calibri" w:hAnsi="Verdana" w:cs="Arial"/>
          <w:b/>
          <w:bCs/>
          <w:lang w:eastAsia="es-ES_tradnl"/>
        </w:rPr>
      </w:pPr>
      <w:r w:rsidRPr="00236B06">
        <w:rPr>
          <w:rFonts w:ascii="Verdana" w:eastAsia="Calibri" w:hAnsi="Verdana" w:cs="Arial"/>
          <w:b/>
          <w:bCs/>
          <w:noProof/>
          <w:lang w:eastAsia="es-ES_tradnl"/>
        </w:rPr>
        <w:drawing>
          <wp:anchor distT="0" distB="0" distL="114300" distR="114300" simplePos="0" relativeHeight="251658240" behindDoc="1" locked="0" layoutInCell="1" allowOverlap="1" wp14:anchorId="5E752D00" wp14:editId="68EDAEB6">
            <wp:simplePos x="0" y="0"/>
            <wp:positionH relativeFrom="column">
              <wp:posOffset>3423285</wp:posOffset>
            </wp:positionH>
            <wp:positionV relativeFrom="paragraph">
              <wp:posOffset>157480</wp:posOffset>
            </wp:positionV>
            <wp:extent cx="2570480" cy="760730"/>
            <wp:effectExtent l="0" t="0" r="1270" b="1270"/>
            <wp:wrapTight wrapText="bothSides">
              <wp:wrapPolygon edited="0">
                <wp:start x="0" y="0"/>
                <wp:lineTo x="0" y="21095"/>
                <wp:lineTo x="21451" y="21095"/>
                <wp:lineTo x="21451" y="0"/>
                <wp:lineTo x="0" y="0"/>
              </wp:wrapPolygon>
            </wp:wrapTight>
            <wp:docPr id="150554162"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554162" name="Imagen 1" descr="Texto&#10;&#10;Descripción generada automáticament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570480" cy="760730"/>
                    </a:xfrm>
                    <a:prstGeom prst="rect">
                      <a:avLst/>
                    </a:prstGeom>
                  </pic:spPr>
                </pic:pic>
              </a:graphicData>
            </a:graphic>
            <wp14:sizeRelH relativeFrom="page">
              <wp14:pctWidth>0</wp14:pctWidth>
            </wp14:sizeRelH>
            <wp14:sizeRelV relativeFrom="page">
              <wp14:pctHeight>0</wp14:pctHeight>
            </wp14:sizeRelV>
          </wp:anchor>
        </w:drawing>
      </w:r>
    </w:p>
    <w:p w14:paraId="1E219965" w14:textId="0045D6F9" w:rsidR="0085070A" w:rsidRDefault="0085070A" w:rsidP="0085070A">
      <w:pPr>
        <w:spacing w:after="0" w:line="240" w:lineRule="auto"/>
        <w:rPr>
          <w:rFonts w:ascii="Verdana" w:eastAsia="Calibri" w:hAnsi="Verdana" w:cs="Arial"/>
          <w:lang w:eastAsia="es-ES_tradnl"/>
        </w:rPr>
      </w:pPr>
      <w:r>
        <w:rPr>
          <w:rFonts w:ascii="Verdana" w:eastAsia="Calibri" w:hAnsi="Verdana" w:cs="Arial"/>
          <w:lang w:eastAsia="es-ES_tradnl"/>
        </w:rPr>
        <w:t>Señor</w:t>
      </w:r>
    </w:p>
    <w:p w14:paraId="0A067B35" w14:textId="327AED28" w:rsidR="0085070A" w:rsidRDefault="0085070A" w:rsidP="0085070A">
      <w:pPr>
        <w:spacing w:after="0" w:line="240" w:lineRule="auto"/>
        <w:rPr>
          <w:rFonts w:ascii="Verdana" w:eastAsia="Calibri" w:hAnsi="Verdana" w:cs="Arial"/>
          <w:b/>
          <w:bCs/>
          <w:lang w:eastAsia="es-ES_tradnl"/>
        </w:rPr>
      </w:pPr>
      <w:r>
        <w:rPr>
          <w:rFonts w:ascii="Verdana" w:eastAsia="Calibri" w:hAnsi="Verdana" w:cs="Arial"/>
          <w:b/>
          <w:bCs/>
          <w:lang w:eastAsia="es-ES_tradnl"/>
        </w:rPr>
        <w:t>Fabián Andrés Murillo Hurtado</w:t>
      </w:r>
      <w:r w:rsidR="00236B06" w:rsidRPr="00236B06">
        <w:rPr>
          <w:noProof/>
        </w:rPr>
        <w:t xml:space="preserve"> </w:t>
      </w:r>
    </w:p>
    <w:p w14:paraId="35B1469E" w14:textId="39B99784" w:rsidR="0085070A" w:rsidRPr="007211E4" w:rsidRDefault="0085070A" w:rsidP="0085070A">
      <w:pPr>
        <w:spacing w:after="0" w:line="240" w:lineRule="auto"/>
        <w:rPr>
          <w:rFonts w:ascii="Verdana" w:eastAsia="Calibri" w:hAnsi="Verdana" w:cs="Arial"/>
          <w:lang w:eastAsia="es-ES_tradnl"/>
        </w:rPr>
      </w:pPr>
      <w:r>
        <w:rPr>
          <w:rFonts w:ascii="Verdana" w:eastAsia="Calibri" w:hAnsi="Verdana" w:cs="Arial"/>
          <w:lang w:eastAsia="es-ES_tradnl"/>
        </w:rPr>
        <w:t>Drfabianmurilloh@gmail.com</w:t>
      </w:r>
    </w:p>
    <w:p w14:paraId="6CEEF53C" w14:textId="2D4377DB" w:rsidR="0085070A" w:rsidRDefault="0085070A" w:rsidP="0085070A">
      <w:pPr>
        <w:spacing w:after="0" w:line="240" w:lineRule="auto"/>
        <w:rPr>
          <w:rFonts w:ascii="Verdana" w:eastAsia="Calibri" w:hAnsi="Verdana" w:cs="Arial"/>
          <w:lang w:eastAsia="es-ES_tradnl"/>
        </w:rPr>
      </w:pPr>
      <w:r>
        <w:rPr>
          <w:rFonts w:ascii="Verdana" w:eastAsia="Calibri" w:hAnsi="Verdana" w:cs="Arial"/>
          <w:lang w:eastAsia="es-ES_tradnl"/>
        </w:rPr>
        <w:t xml:space="preserve">Buenaventura, Valle del Cauca </w:t>
      </w:r>
    </w:p>
    <w:p w14:paraId="2642F6D5" w14:textId="0FBF2404" w:rsidR="0085070A" w:rsidRPr="00514983" w:rsidRDefault="0085070A" w:rsidP="0085070A">
      <w:pPr>
        <w:spacing w:after="0" w:line="240" w:lineRule="auto"/>
        <w:rPr>
          <w:rFonts w:ascii="Verdana" w:eastAsia="Calibri" w:hAnsi="Verdana" w:cs="Arial"/>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5070A" w:rsidRPr="00960F72" w14:paraId="65C22A9F" w14:textId="77777777" w:rsidTr="0085070A">
        <w:trPr>
          <w:trHeight w:val="190"/>
        </w:trPr>
        <w:tc>
          <w:tcPr>
            <w:tcW w:w="2689" w:type="dxa"/>
          </w:tcPr>
          <w:p w14:paraId="720422EA" w14:textId="77777777" w:rsidR="0085070A" w:rsidRPr="00960F72" w:rsidRDefault="0085070A" w:rsidP="0085070A">
            <w:pPr>
              <w:jc w:val="both"/>
              <w:rPr>
                <w:rFonts w:ascii="Verdana" w:eastAsia="Calibri" w:hAnsi="Verdana" w:cs="Arial"/>
                <w:b/>
                <w:bCs/>
                <w:lang w:eastAsia="es-ES_tradnl"/>
              </w:rPr>
            </w:pPr>
          </w:p>
        </w:tc>
        <w:tc>
          <w:tcPr>
            <w:tcW w:w="6100" w:type="dxa"/>
          </w:tcPr>
          <w:p w14:paraId="23BC6D89" w14:textId="77777777" w:rsidR="0085070A" w:rsidRPr="00960F72" w:rsidRDefault="0085070A" w:rsidP="0085070A">
            <w:pPr>
              <w:jc w:val="both"/>
              <w:rPr>
                <w:rFonts w:ascii="Verdana" w:eastAsia="Calibri" w:hAnsi="Verdana" w:cs="Arial"/>
                <w:b/>
                <w:bCs/>
                <w:lang w:eastAsia="es-ES"/>
              </w:rPr>
            </w:pPr>
            <w:r w:rsidRPr="00960F72">
              <w:rPr>
                <w:rFonts w:ascii="Verdana" w:eastAsia="Calibri" w:hAnsi="Verdana" w:cs="Arial"/>
                <w:b/>
                <w:bCs/>
                <w:lang w:eastAsia="es-ES"/>
              </w:rPr>
              <w:t xml:space="preserve">Concepto C- </w:t>
            </w:r>
            <w:r>
              <w:rPr>
                <w:rFonts w:ascii="Verdana" w:eastAsia="Calibri" w:hAnsi="Verdana" w:cs="Arial"/>
                <w:b/>
                <w:bCs/>
                <w:lang w:eastAsia="es-ES"/>
              </w:rPr>
              <w:t xml:space="preserve">557 </w:t>
            </w:r>
            <w:r w:rsidRPr="00960F72">
              <w:rPr>
                <w:rFonts w:ascii="Verdana" w:eastAsia="Calibri" w:hAnsi="Verdana" w:cs="Arial"/>
                <w:b/>
                <w:bCs/>
                <w:lang w:eastAsia="es-ES"/>
              </w:rPr>
              <w:t>de 202</w:t>
            </w:r>
            <w:r>
              <w:rPr>
                <w:rFonts w:ascii="Verdana" w:eastAsia="Calibri" w:hAnsi="Verdana" w:cs="Arial"/>
                <w:b/>
                <w:bCs/>
                <w:lang w:eastAsia="es-ES"/>
              </w:rPr>
              <w:t>6</w:t>
            </w:r>
          </w:p>
          <w:p w14:paraId="0EC2E46F" w14:textId="77777777" w:rsidR="0085070A" w:rsidRPr="00960F72" w:rsidRDefault="0085070A" w:rsidP="0085070A">
            <w:pPr>
              <w:jc w:val="both"/>
              <w:rPr>
                <w:rFonts w:ascii="Verdana" w:eastAsia="Calibri" w:hAnsi="Verdana" w:cs="Arial"/>
                <w:b/>
                <w:bCs/>
                <w:lang w:eastAsia="es-ES"/>
              </w:rPr>
            </w:pPr>
          </w:p>
        </w:tc>
      </w:tr>
      <w:tr w:rsidR="0085070A" w:rsidRPr="00960F72" w14:paraId="73B32B1F" w14:textId="77777777" w:rsidTr="0085070A">
        <w:trPr>
          <w:trHeight w:val="884"/>
        </w:trPr>
        <w:tc>
          <w:tcPr>
            <w:tcW w:w="2689" w:type="dxa"/>
          </w:tcPr>
          <w:p w14:paraId="64EA0DB8" w14:textId="77777777" w:rsidR="0085070A" w:rsidRPr="00960F72" w:rsidRDefault="0085070A" w:rsidP="0085070A">
            <w:pPr>
              <w:jc w:val="both"/>
              <w:rPr>
                <w:rFonts w:ascii="Verdana" w:eastAsia="Calibri" w:hAnsi="Verdana" w:cs="Arial"/>
                <w:lang w:eastAsia="es-ES_tradnl"/>
              </w:rPr>
            </w:pPr>
            <w:r w:rsidRPr="00960F72">
              <w:rPr>
                <w:rFonts w:ascii="Verdana" w:eastAsia="Calibri" w:hAnsi="Verdana" w:cs="Arial"/>
                <w:b/>
                <w:lang w:eastAsia="es-ES_tradnl"/>
              </w:rPr>
              <w:t>Tema:</w:t>
            </w:r>
            <w:r w:rsidRPr="00960F72">
              <w:rPr>
                <w:rFonts w:ascii="Verdana" w:eastAsia="Calibri" w:hAnsi="Verdana" w:cs="Arial"/>
                <w:lang w:eastAsia="es-ES_tradnl"/>
              </w:rPr>
              <w:t xml:space="preserve">                   </w:t>
            </w:r>
          </w:p>
        </w:tc>
        <w:tc>
          <w:tcPr>
            <w:tcW w:w="6100" w:type="dxa"/>
          </w:tcPr>
          <w:p w14:paraId="021D44A2" w14:textId="77777777" w:rsidR="0085070A" w:rsidRPr="00A11406" w:rsidRDefault="0085070A" w:rsidP="0085070A">
            <w:pPr>
              <w:spacing w:line="276" w:lineRule="auto"/>
              <w:jc w:val="both"/>
              <w:rPr>
                <w:rFonts w:ascii="Verdana" w:eastAsia="Calibri" w:hAnsi="Verdana" w:cs="Arial"/>
                <w:lang w:val="es-ES" w:eastAsia="es-ES"/>
              </w:rPr>
            </w:pPr>
            <w:r w:rsidRPr="001549E9">
              <w:rPr>
                <w:rFonts w:ascii="Verdana" w:eastAsia="Calibri" w:hAnsi="Verdana" w:cs="Arial"/>
                <w:lang w:val="es-ES" w:eastAsia="es-ES"/>
              </w:rPr>
              <w:t>ACTO DE ADJUDICACIÓN – Naturaleza jurídica – Características / ACTO DE ADJUDICACIÓN – Carácter vinculante / REVOCACIÓN DIRECTA – Noción / REVOCACIÓN DIRECTA – Naturaleza Jurídica / REVOCACIÓN DIRECTA – Acto de adjudicación – Consentimiento previo / ACTO DE ADJUDICACIÓN – Revocatoria directa – Debido proceso</w:t>
            </w:r>
            <w:r w:rsidRPr="006A662D">
              <w:rPr>
                <w:rFonts w:ascii="Verdana" w:eastAsia="Calibri" w:hAnsi="Verdana" w:cs="Arial"/>
                <w:lang w:val="es-ES" w:eastAsia="es-ES"/>
              </w:rPr>
              <w:t xml:space="preserve"> </w:t>
            </w:r>
            <w:r>
              <w:rPr>
                <w:rFonts w:ascii="Verdana" w:eastAsia="Calibri" w:hAnsi="Verdana" w:cs="Arial"/>
                <w:lang w:val="es-ES" w:eastAsia="es-ES"/>
              </w:rPr>
              <w:t xml:space="preserve">/ </w:t>
            </w:r>
            <w:r w:rsidRPr="00E86D5D">
              <w:rPr>
                <w:rFonts w:ascii="Verdana" w:eastAsia="Calibri" w:hAnsi="Verdana" w:cs="Arial"/>
                <w:lang w:val="es-ES" w:eastAsia="es-ES"/>
              </w:rPr>
              <w:t>CONTRATO ESTATAL – Régimen mixto – Derecho público – Derecho privado / NULIDAD DEL CONTRATO – Causales</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37DEA6D6" w14:textId="77777777" w:rsidR="0085070A" w:rsidRPr="00051D01" w:rsidRDefault="0085070A" w:rsidP="0085070A">
            <w:pPr>
              <w:contextualSpacing/>
              <w:jc w:val="both"/>
              <w:rPr>
                <w:rFonts w:ascii="Verdana" w:eastAsia="Verdana" w:hAnsi="Verdana" w:cs="Verdana"/>
                <w:sz w:val="20"/>
                <w:szCs w:val="20"/>
                <w:lang w:val="es-MX"/>
              </w:rPr>
            </w:pPr>
            <w:r w:rsidRPr="00051D01">
              <w:rPr>
                <w:rFonts w:ascii="Verdana" w:eastAsia="Verdana" w:hAnsi="Verdana" w:cs="Verdana"/>
                <w:sz w:val="20"/>
                <w:szCs w:val="20"/>
                <w:lang w:val="es-MX"/>
              </w:rPr>
              <w:t xml:space="preserve">                      </w:t>
            </w:r>
            <w:r w:rsidRPr="00051D01">
              <w:rPr>
                <w:rFonts w:ascii="Verdana" w:eastAsia="Calibri" w:hAnsi="Verdana" w:cs="Arial"/>
                <w:lang w:val="es-ES" w:eastAsia="es-ES"/>
              </w:rPr>
              <w:t xml:space="preserve">                </w:t>
            </w:r>
          </w:p>
        </w:tc>
      </w:tr>
      <w:tr w:rsidR="0085070A" w:rsidRPr="00960F72" w14:paraId="516148CF" w14:textId="77777777" w:rsidTr="0085070A">
        <w:tc>
          <w:tcPr>
            <w:tcW w:w="2689" w:type="dxa"/>
          </w:tcPr>
          <w:p w14:paraId="3B8A2AC4" w14:textId="77777777" w:rsidR="0085070A" w:rsidRPr="008149BA" w:rsidRDefault="0085070A" w:rsidP="0085070A">
            <w:pPr>
              <w:jc w:val="both"/>
              <w:rPr>
                <w:rFonts w:ascii="Verdana" w:eastAsia="Calibri" w:hAnsi="Verdana" w:cs="Arial"/>
                <w:b/>
                <w:lang w:eastAsia="es-ES_tradnl"/>
              </w:rPr>
            </w:pPr>
            <w:r w:rsidRPr="008149BA">
              <w:rPr>
                <w:rFonts w:ascii="Verdana" w:eastAsia="Calibri" w:hAnsi="Verdana" w:cs="Arial"/>
                <w:b/>
                <w:lang w:eastAsia="es-ES_tradnl"/>
              </w:rPr>
              <w:t>Radicación:</w:t>
            </w:r>
            <w:r w:rsidRPr="008149BA">
              <w:rPr>
                <w:rFonts w:ascii="Verdana" w:eastAsia="Calibri" w:hAnsi="Verdana" w:cs="Arial"/>
                <w:lang w:eastAsia="es-ES_tradnl"/>
              </w:rPr>
              <w:t xml:space="preserve">               </w:t>
            </w:r>
          </w:p>
        </w:tc>
        <w:tc>
          <w:tcPr>
            <w:tcW w:w="6100" w:type="dxa"/>
          </w:tcPr>
          <w:p w14:paraId="3E976743" w14:textId="77777777" w:rsidR="0085070A" w:rsidRPr="008149BA" w:rsidRDefault="0085070A" w:rsidP="0085070A">
            <w:pPr>
              <w:jc w:val="both"/>
              <w:rPr>
                <w:rFonts w:ascii="Verdana" w:eastAsia="Calibri" w:hAnsi="Verdana" w:cs="Arial"/>
                <w:lang w:eastAsia="es-ES_tradnl"/>
              </w:rPr>
            </w:pPr>
            <w:r w:rsidRPr="008149BA">
              <w:rPr>
                <w:rFonts w:ascii="Verdana" w:eastAsia="Calibri" w:hAnsi="Verdana" w:cs="Arial"/>
                <w:lang w:eastAsia="es-ES_tradnl"/>
              </w:rPr>
              <w:t>Respuesta a consulta con radicado No.</w:t>
            </w:r>
            <w:r w:rsidRPr="008149BA">
              <w:rPr>
                <w:rFonts w:ascii="Verdana" w:hAnsi="Verdana" w:cs="Segoe UI"/>
                <w:color w:val="2B2B2B"/>
                <w:shd w:val="clear" w:color="auto" w:fill="FFFFFF"/>
              </w:rPr>
              <w:t xml:space="preserve"> </w:t>
            </w:r>
            <w:r w:rsidRPr="0068231B">
              <w:rPr>
                <w:rFonts w:ascii="Verdana" w:hAnsi="Verdana" w:cs="Segoe UI"/>
                <w:color w:val="2B2B2B"/>
                <w:shd w:val="clear" w:color="auto" w:fill="FFFFFF"/>
              </w:rPr>
              <w:t>1_2026_04_06_004632</w:t>
            </w:r>
          </w:p>
        </w:tc>
      </w:tr>
    </w:tbl>
    <w:p w14:paraId="1C331461" w14:textId="77777777" w:rsidR="0085070A" w:rsidRPr="00960F72" w:rsidRDefault="0085070A" w:rsidP="0085070A">
      <w:pPr>
        <w:spacing w:after="0" w:line="240" w:lineRule="auto"/>
        <w:jc w:val="both"/>
        <w:rPr>
          <w:rFonts w:ascii="Verdana" w:eastAsia="Calibri" w:hAnsi="Verdana" w:cs="Arial"/>
          <w:lang w:eastAsia="es-ES_tradnl"/>
        </w:rPr>
      </w:pPr>
    </w:p>
    <w:p w14:paraId="6EA18548" w14:textId="77777777" w:rsidR="0085070A" w:rsidRPr="00960F72" w:rsidRDefault="0085070A" w:rsidP="0085070A">
      <w:pPr>
        <w:spacing w:after="0" w:line="276" w:lineRule="auto"/>
        <w:jc w:val="both"/>
        <w:rPr>
          <w:rFonts w:ascii="Verdana" w:eastAsia="Calibri" w:hAnsi="Verdana" w:cs="Arial"/>
          <w:lang w:eastAsia="es-ES"/>
        </w:rPr>
      </w:pPr>
      <w:r>
        <w:rPr>
          <w:rFonts w:ascii="Verdana" w:eastAsia="Calibri" w:hAnsi="Verdana" w:cs="Arial"/>
          <w:lang w:eastAsia="es-ES"/>
        </w:rPr>
        <w:t>Estimado señor Murillo:</w:t>
      </w:r>
    </w:p>
    <w:p w14:paraId="45831643" w14:textId="77777777" w:rsidR="0085070A" w:rsidRPr="00960F72" w:rsidRDefault="0085070A" w:rsidP="0085070A">
      <w:pPr>
        <w:tabs>
          <w:tab w:val="left" w:pos="3768"/>
        </w:tabs>
        <w:spacing w:after="0" w:line="276" w:lineRule="auto"/>
        <w:jc w:val="both"/>
        <w:rPr>
          <w:rFonts w:ascii="Verdana" w:eastAsia="Calibri" w:hAnsi="Verdana" w:cs="Arial"/>
          <w:lang w:eastAsia="es-ES"/>
        </w:rPr>
      </w:pPr>
    </w:p>
    <w:p w14:paraId="50F9F2F6" w14:textId="77777777" w:rsidR="0085070A" w:rsidRDefault="0085070A" w:rsidP="0085070A">
      <w:pPr>
        <w:spacing w:after="0" w:line="276" w:lineRule="auto"/>
        <w:jc w:val="both"/>
        <w:rPr>
          <w:rFonts w:ascii="Verdana" w:eastAsia="Calibri" w:hAnsi="Verdana" w:cs="Arial"/>
          <w:lang w:eastAsia="es-ES"/>
        </w:rPr>
      </w:pPr>
      <w:r w:rsidRPr="00960F72">
        <w:rPr>
          <w:rFonts w:ascii="Verdana" w:eastAsia="Calibri" w:hAnsi="Verdana" w:cs="Arial"/>
          <w:lang w:eastAsia="es-ES"/>
        </w:rPr>
        <w:t>En ejercicio de la competencia otorgada por los artículos 3, numeral 5º, y 11, numeral 8º, del Decreto Ley 4170 de 2011,</w:t>
      </w:r>
      <w:r w:rsidRPr="00960F72">
        <w:rPr>
          <w:rFonts w:ascii="Verdana" w:eastAsia="Arial MT" w:hAnsi="Verdana" w:cs="Arial MT"/>
          <w:lang w:eastAsia="es-ES"/>
        </w:rPr>
        <w:t xml:space="preserve"> </w:t>
      </w:r>
      <w:r w:rsidRPr="00960F72">
        <w:rPr>
          <w:rFonts w:ascii="Verdana" w:hAnsi="Verdana" w:cs="Arial"/>
        </w:rPr>
        <w:t xml:space="preserve">así como lo establecido en el artículo 4 de la Resolución 1707 de 2018 expedida por esta Entidad, </w:t>
      </w:r>
      <w:r w:rsidRPr="00960F72">
        <w:rPr>
          <w:rFonts w:ascii="Verdana" w:eastAsia="Calibri" w:hAnsi="Verdana" w:cs="Arial"/>
          <w:lang w:eastAsia="es-ES"/>
        </w:rPr>
        <w:t xml:space="preserve">la Agencia Nacional de Contratación Pública – Colombia Compra Eficiente– responde su solicitud </w:t>
      </w:r>
      <w:r>
        <w:rPr>
          <w:rFonts w:ascii="Verdana" w:eastAsia="Calibri" w:hAnsi="Verdana" w:cs="Arial"/>
          <w:lang w:eastAsia="es-ES"/>
        </w:rPr>
        <w:t xml:space="preserve">la cual fue remitida por competencia a esta Agencia el pasado 06 </w:t>
      </w:r>
      <w:r w:rsidRPr="00960F72">
        <w:rPr>
          <w:rFonts w:ascii="Verdana" w:eastAsia="Calibri" w:hAnsi="Verdana" w:cs="Arial"/>
          <w:lang w:eastAsia="es-ES"/>
        </w:rPr>
        <w:t xml:space="preserve">de </w:t>
      </w:r>
      <w:r>
        <w:rPr>
          <w:rFonts w:ascii="Verdana" w:eastAsia="Calibri" w:hAnsi="Verdana" w:cs="Arial"/>
          <w:lang w:eastAsia="es-ES"/>
        </w:rPr>
        <w:t>abril</w:t>
      </w:r>
      <w:r w:rsidRPr="00960F72">
        <w:rPr>
          <w:rFonts w:ascii="Verdana" w:eastAsia="Calibri" w:hAnsi="Verdana" w:cs="Arial"/>
          <w:lang w:eastAsia="es-ES"/>
        </w:rPr>
        <w:t xml:space="preserve"> de 202</w:t>
      </w:r>
      <w:r>
        <w:rPr>
          <w:rFonts w:ascii="Verdana" w:eastAsia="Calibri" w:hAnsi="Verdana" w:cs="Arial"/>
          <w:lang w:eastAsia="es-ES"/>
        </w:rPr>
        <w:t>6</w:t>
      </w:r>
      <w:r w:rsidRPr="00960F72">
        <w:rPr>
          <w:rFonts w:ascii="Verdana" w:eastAsia="Calibri" w:hAnsi="Verdana" w:cs="Arial"/>
          <w:lang w:eastAsia="es-ES"/>
        </w:rPr>
        <w:t xml:space="preserve">, en la cual manifiesta lo siguiente: </w:t>
      </w:r>
    </w:p>
    <w:p w14:paraId="1FEAB36B" w14:textId="77777777" w:rsidR="0085070A" w:rsidRPr="00960F72" w:rsidRDefault="0085070A" w:rsidP="0085070A">
      <w:pPr>
        <w:spacing w:after="0" w:line="276" w:lineRule="auto"/>
        <w:jc w:val="both"/>
        <w:rPr>
          <w:rFonts w:ascii="Verdana" w:eastAsia="Calibri" w:hAnsi="Verdana" w:cs="Arial"/>
          <w:lang w:eastAsia="es-ES"/>
        </w:rPr>
      </w:pPr>
    </w:p>
    <w:p w14:paraId="09F1C081" w14:textId="1DA2BC2F" w:rsidR="0085070A" w:rsidRPr="0068231B" w:rsidRDefault="0085070A" w:rsidP="00D73E06">
      <w:pPr>
        <w:spacing w:after="0" w:line="240" w:lineRule="auto"/>
        <w:ind w:left="709" w:right="616"/>
        <w:jc w:val="both"/>
        <w:rPr>
          <w:rFonts w:ascii="Verdana" w:eastAsia="Calibri" w:hAnsi="Verdana" w:cs="Arial"/>
          <w:sz w:val="20"/>
          <w:szCs w:val="20"/>
          <w:lang w:eastAsia="es-ES"/>
        </w:rPr>
      </w:pPr>
      <w:r w:rsidRPr="0068231B">
        <w:rPr>
          <w:rFonts w:ascii="Verdana" w:eastAsia="Calibri" w:hAnsi="Verdana" w:cs="Arial"/>
          <w:sz w:val="20"/>
          <w:szCs w:val="20"/>
          <w:lang w:eastAsia="es-ES"/>
        </w:rPr>
        <w:t>“…1. Si una entidad descubre un error grave en la calificación de un requisito habilitante después de la adjudicación, pero antes de la firma del contrato, ¿puede revocar el acto unilateralmente basándose en el principio de legalidad, o está obligada a firmar el contrato para evitar demandas del adjudicatario? </w:t>
      </w:r>
    </w:p>
    <w:p w14:paraId="071A102C" w14:textId="77777777" w:rsidR="006C4772" w:rsidRPr="0068231B" w:rsidRDefault="006C4772" w:rsidP="00D73E06">
      <w:pPr>
        <w:spacing w:after="0" w:line="240" w:lineRule="auto"/>
        <w:ind w:left="709" w:right="616"/>
        <w:jc w:val="both"/>
        <w:rPr>
          <w:rFonts w:ascii="Verdana" w:eastAsia="Calibri" w:hAnsi="Verdana" w:cs="Arial"/>
          <w:sz w:val="20"/>
          <w:szCs w:val="20"/>
          <w:lang w:eastAsia="es-ES"/>
        </w:rPr>
      </w:pPr>
    </w:p>
    <w:p w14:paraId="11E4F462" w14:textId="77777777" w:rsidR="006C4772" w:rsidRDefault="0085070A" w:rsidP="006C4772">
      <w:pPr>
        <w:spacing w:after="0" w:line="240" w:lineRule="auto"/>
        <w:ind w:left="709" w:right="616"/>
        <w:jc w:val="both"/>
        <w:rPr>
          <w:rFonts w:ascii="Verdana" w:eastAsia="Calibri" w:hAnsi="Verdana" w:cs="Arial"/>
          <w:sz w:val="20"/>
          <w:szCs w:val="20"/>
          <w:lang w:eastAsia="es-ES"/>
        </w:rPr>
      </w:pPr>
      <w:r w:rsidRPr="0068231B">
        <w:rPr>
          <w:rFonts w:ascii="Verdana" w:eastAsia="Calibri" w:hAnsi="Verdana" w:cs="Arial"/>
          <w:sz w:val="20"/>
          <w:szCs w:val="20"/>
          <w:lang w:eastAsia="es-ES"/>
        </w:rPr>
        <w:t xml:space="preserve">2. ¿El "error manifiesto" del comité evaluador puede encuadrarse dentro de la causal de "medios ilegales" prevista en el artículo 9 de la Ley 1150 de </w:t>
      </w:r>
      <w:r w:rsidRPr="0068231B">
        <w:rPr>
          <w:rFonts w:ascii="Verdana" w:eastAsia="Calibri" w:hAnsi="Verdana" w:cs="Arial"/>
          <w:sz w:val="20"/>
          <w:szCs w:val="20"/>
          <w:lang w:eastAsia="es-ES"/>
        </w:rPr>
        <w:lastRenderedPageBreak/>
        <w:t>2007, o requiere necesariamente el consentimiento expreso del afectado según el CPACA? </w:t>
      </w:r>
    </w:p>
    <w:p w14:paraId="2814BF7D" w14:textId="77777777" w:rsidR="006C4772" w:rsidRDefault="006C4772" w:rsidP="006C4772">
      <w:pPr>
        <w:spacing w:after="0" w:line="240" w:lineRule="auto"/>
        <w:ind w:left="709" w:right="616"/>
        <w:jc w:val="both"/>
        <w:rPr>
          <w:rFonts w:ascii="Verdana" w:eastAsia="Calibri" w:hAnsi="Verdana" w:cs="Arial"/>
          <w:sz w:val="20"/>
          <w:szCs w:val="20"/>
          <w:lang w:eastAsia="es-ES"/>
        </w:rPr>
      </w:pPr>
    </w:p>
    <w:p w14:paraId="1A72C3EC" w14:textId="3F02DF86" w:rsidR="0085070A" w:rsidRPr="0068231B" w:rsidRDefault="0085070A" w:rsidP="006C4772">
      <w:pPr>
        <w:spacing w:after="0" w:line="240" w:lineRule="auto"/>
        <w:ind w:left="709" w:right="616"/>
        <w:jc w:val="both"/>
        <w:rPr>
          <w:rFonts w:ascii="Verdana" w:eastAsia="Calibri" w:hAnsi="Verdana" w:cs="Arial"/>
          <w:sz w:val="20"/>
          <w:szCs w:val="20"/>
          <w:lang w:eastAsia="es-ES"/>
        </w:rPr>
      </w:pPr>
      <w:r w:rsidRPr="0068231B">
        <w:rPr>
          <w:rFonts w:ascii="Verdana" w:eastAsia="Calibri" w:hAnsi="Verdana" w:cs="Arial"/>
          <w:sz w:val="20"/>
          <w:szCs w:val="20"/>
          <w:lang w:eastAsia="es-ES"/>
        </w:rPr>
        <w:t>3. ¿Qué medidas de mitigación del riesgo debe adoptar el ordenador del gasto cuando se encuentra ante un acto de adjudicación que, de ejecutarse, nacería viciado de nulidad por falta de cumplimiento de requisitos técnicos del proponente? </w:t>
      </w:r>
    </w:p>
    <w:p w14:paraId="6C45EB99" w14:textId="77777777" w:rsidR="006C4772" w:rsidRPr="0068231B" w:rsidRDefault="006C4772" w:rsidP="00D73E06">
      <w:pPr>
        <w:spacing w:after="0" w:line="240" w:lineRule="auto"/>
        <w:ind w:left="709" w:right="616"/>
        <w:jc w:val="both"/>
        <w:rPr>
          <w:rFonts w:ascii="Verdana" w:eastAsia="Calibri" w:hAnsi="Verdana" w:cs="Arial"/>
          <w:sz w:val="20"/>
          <w:szCs w:val="20"/>
          <w:lang w:eastAsia="es-ES"/>
        </w:rPr>
      </w:pPr>
    </w:p>
    <w:p w14:paraId="3FD2EAE8" w14:textId="77777777" w:rsidR="0085070A" w:rsidRPr="0068231B" w:rsidRDefault="0085070A" w:rsidP="00D73E06">
      <w:pPr>
        <w:spacing w:after="0" w:line="240" w:lineRule="auto"/>
        <w:ind w:left="709" w:right="709"/>
        <w:jc w:val="both"/>
        <w:rPr>
          <w:rFonts w:ascii="Verdana" w:eastAsia="Calibri" w:hAnsi="Verdana" w:cs="Arial"/>
          <w:sz w:val="20"/>
          <w:szCs w:val="20"/>
          <w:lang w:eastAsia="es-ES"/>
        </w:rPr>
      </w:pPr>
      <w:r w:rsidRPr="0068231B">
        <w:rPr>
          <w:rFonts w:ascii="Verdana" w:eastAsia="Calibri" w:hAnsi="Verdana" w:cs="Arial"/>
          <w:sz w:val="20"/>
          <w:szCs w:val="20"/>
          <w:lang w:eastAsia="es-ES"/>
        </w:rPr>
        <w:t>Sustentación:</w:t>
      </w:r>
    </w:p>
    <w:p w14:paraId="198AACA3" w14:textId="77777777" w:rsidR="0085070A" w:rsidRPr="0068231B" w:rsidRDefault="0085070A" w:rsidP="00D73E06">
      <w:pPr>
        <w:spacing w:after="0" w:line="240" w:lineRule="auto"/>
        <w:ind w:left="709" w:right="709"/>
        <w:jc w:val="both"/>
        <w:rPr>
          <w:rFonts w:ascii="Verdana" w:eastAsia="Calibri" w:hAnsi="Verdana" w:cs="Arial"/>
          <w:sz w:val="20"/>
          <w:szCs w:val="20"/>
          <w:lang w:eastAsia="es-ES"/>
        </w:rPr>
      </w:pPr>
      <w:r w:rsidRPr="0068231B">
        <w:rPr>
          <w:rFonts w:ascii="Verdana" w:eastAsia="Calibri" w:hAnsi="Verdana" w:cs="Arial"/>
          <w:sz w:val="20"/>
          <w:szCs w:val="20"/>
          <w:lang w:eastAsia="es-ES"/>
        </w:rPr>
        <w:t>La doctrina de la Agencia sostiene que la adjudicación crea una situación jurídica consolidada e irrevocable fuera de las causales taxativas de ley. Sin embargo, existe un vacío sobre la gestión administrativa de los errores propios de la entidad que no involucran dolo del contratista, lo que genera un dilema entre la protección del erario y el derecho a contratar del adjudicatario.”</w:t>
      </w:r>
    </w:p>
    <w:p w14:paraId="5092E882" w14:textId="77777777" w:rsidR="0085070A" w:rsidRPr="00755387" w:rsidRDefault="0085070A" w:rsidP="0085070A">
      <w:pPr>
        <w:spacing w:after="0" w:line="276" w:lineRule="auto"/>
        <w:ind w:right="709"/>
        <w:jc w:val="both"/>
        <w:rPr>
          <w:rFonts w:ascii="Verdana" w:eastAsia="Calibri" w:hAnsi="Verdana" w:cs="Arial"/>
          <w:lang w:eastAsia="es-ES"/>
        </w:rPr>
      </w:pPr>
    </w:p>
    <w:p w14:paraId="2EEE9D84" w14:textId="77777777" w:rsidR="0085070A" w:rsidRPr="00960F72" w:rsidRDefault="0085070A" w:rsidP="0085070A">
      <w:pPr>
        <w:spacing w:after="120" w:line="276" w:lineRule="auto"/>
        <w:ind w:firstLine="709"/>
        <w:jc w:val="both"/>
        <w:rPr>
          <w:rFonts w:ascii="Verdana" w:eastAsia="Calibri" w:hAnsi="Verdana" w:cs="Arial"/>
          <w:szCs w:val="24"/>
          <w:lang w:eastAsia="es-ES_tradnl"/>
        </w:rPr>
      </w:pPr>
      <w:r w:rsidRPr="00960F72">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60F72">
        <w:rPr>
          <w:rFonts w:ascii="Verdana" w:eastAsia="Calibri" w:hAnsi="Verdana" w:cs="Arial"/>
          <w:szCs w:val="24"/>
          <w:lang w:eastAsia="es-ES_tradnl"/>
        </w:rPr>
        <w:tab/>
      </w:r>
    </w:p>
    <w:p w14:paraId="131DA613" w14:textId="77777777" w:rsidR="0085070A" w:rsidRDefault="0085070A" w:rsidP="0085070A">
      <w:pPr>
        <w:spacing w:after="0" w:line="276" w:lineRule="auto"/>
        <w:ind w:firstLine="709"/>
        <w:jc w:val="both"/>
        <w:rPr>
          <w:rFonts w:ascii="Verdana" w:eastAsia="Calibri" w:hAnsi="Verdana" w:cs="Arial"/>
          <w:lang w:eastAsia="es-ES"/>
        </w:rPr>
      </w:pPr>
      <w:r w:rsidRPr="00960F72">
        <w:rPr>
          <w:rFonts w:ascii="Verdana" w:eastAsia="Calibri" w:hAnsi="Verdana" w:cs="Arial"/>
          <w:lang w:eastAsia="es-ES"/>
        </w:rPr>
        <w:t>Conforme lo expuesto, en aras de satisfacer el derecho fundamental de petición</w:t>
      </w:r>
      <w:r>
        <w:rPr>
          <w:rFonts w:ascii="Verdana" w:eastAsia="Calibri" w:hAnsi="Verdana" w:cs="Arial"/>
          <w:lang w:eastAsia="es-ES"/>
        </w:rPr>
        <w:t>,</w:t>
      </w:r>
      <w:r w:rsidRPr="00960F72">
        <w:rPr>
          <w:rFonts w:ascii="Verdana" w:eastAsia="Calibri" w:hAnsi="Verdana" w:cs="Arial"/>
          <w:lang w:eastAsia="es-ES"/>
        </w:rPr>
        <w:t xml:space="preserve">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eastAsia="es-ES"/>
        </w:rPr>
        <w:t>señalando</w:t>
      </w:r>
      <w:r w:rsidRPr="00960F72">
        <w:rPr>
          <w:rFonts w:ascii="Verdana" w:eastAsia="Calibri" w:hAnsi="Verdana" w:cs="Arial"/>
          <w:lang w:eastAsia="es-ES"/>
        </w:rPr>
        <w:t xml:space="preserve"> </w:t>
      </w:r>
      <w:r>
        <w:rPr>
          <w:rFonts w:ascii="Verdana" w:eastAsia="Calibri" w:hAnsi="Verdana" w:cs="Arial"/>
          <w:lang w:eastAsia="es-ES"/>
        </w:rPr>
        <w:t>alg</w:t>
      </w:r>
      <w:r w:rsidRPr="00960F72">
        <w:rPr>
          <w:rFonts w:ascii="Verdana" w:eastAsia="Calibri" w:hAnsi="Verdana" w:cs="Arial"/>
          <w:lang w:eastAsia="es-ES"/>
        </w:rPr>
        <w:t xml:space="preserve">unas consideraciones sobre las normas generales relacionadas con el problema jurídico de su consulta. </w:t>
      </w:r>
    </w:p>
    <w:p w14:paraId="7378E790" w14:textId="77777777" w:rsidR="0085070A" w:rsidRPr="00960F72" w:rsidRDefault="0085070A" w:rsidP="0085070A">
      <w:pPr>
        <w:spacing w:after="0" w:line="276" w:lineRule="auto"/>
        <w:jc w:val="both"/>
        <w:rPr>
          <w:rFonts w:ascii="Verdana" w:eastAsia="Calibri" w:hAnsi="Verdana" w:cs="Arial"/>
          <w:lang w:eastAsia="es-ES"/>
        </w:rPr>
      </w:pPr>
    </w:p>
    <w:p w14:paraId="00587627" w14:textId="77777777" w:rsidR="0085070A" w:rsidRPr="00960F72" w:rsidRDefault="0085070A" w:rsidP="0085070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Problema planteado:</w:t>
      </w:r>
    </w:p>
    <w:p w14:paraId="5CB96CF0" w14:textId="77777777" w:rsidR="0085070A" w:rsidRPr="00960F72" w:rsidRDefault="0085070A" w:rsidP="0085070A">
      <w:pPr>
        <w:tabs>
          <w:tab w:val="left" w:pos="426"/>
        </w:tabs>
        <w:spacing w:after="0" w:line="276" w:lineRule="auto"/>
        <w:jc w:val="both"/>
        <w:rPr>
          <w:rFonts w:ascii="Verdana" w:eastAsia="Century Gothic" w:hAnsi="Verdana" w:cs="Century Gothic"/>
        </w:rPr>
      </w:pPr>
    </w:p>
    <w:p w14:paraId="3772AF1C" w14:textId="77777777" w:rsidR="0085070A" w:rsidRDefault="0085070A" w:rsidP="0085070A">
      <w:pPr>
        <w:spacing w:after="0" w:line="276" w:lineRule="auto"/>
        <w:jc w:val="both"/>
        <w:rPr>
          <w:rFonts w:ascii="Verdana" w:eastAsia="Century Gothic" w:hAnsi="Verdana" w:cs="Century Gothic"/>
        </w:rPr>
      </w:pPr>
      <w:r w:rsidRPr="00960F72">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w:t>
      </w:r>
      <w:r w:rsidRPr="00C3587D">
        <w:rPr>
          <w:rFonts w:ascii="Verdana" w:eastAsia="Century Gothic" w:hAnsi="Verdana" w:cs="Century Gothic"/>
        </w:rPr>
        <w:t>¿</w:t>
      </w:r>
      <w:r w:rsidRPr="007A4245">
        <w:rPr>
          <w:rFonts w:ascii="Verdana" w:eastAsia="Century Gothic" w:hAnsi="Verdana" w:cs="Century Gothic"/>
        </w:rPr>
        <w:t xml:space="preserve">Puede una entidad estatal revocar unilateralmente el acto </w:t>
      </w:r>
      <w:r w:rsidRPr="007A4245">
        <w:rPr>
          <w:rFonts w:ascii="Verdana" w:eastAsia="Century Gothic" w:hAnsi="Verdana" w:cs="Century Gothic"/>
        </w:rPr>
        <w:lastRenderedPageBreak/>
        <w:t xml:space="preserve">de adjudicación cuando, con posterioridad a su </w:t>
      </w:r>
      <w:proofErr w:type="gramStart"/>
      <w:r w:rsidRPr="007A4245">
        <w:rPr>
          <w:rFonts w:ascii="Verdana" w:eastAsia="Century Gothic" w:hAnsi="Verdana" w:cs="Century Gothic"/>
        </w:rPr>
        <w:t>expedición</w:t>
      </w:r>
      <w:proofErr w:type="gramEnd"/>
      <w:r w:rsidRPr="007A4245">
        <w:rPr>
          <w:rFonts w:ascii="Verdana" w:eastAsia="Century Gothic" w:hAnsi="Verdana" w:cs="Century Gothic"/>
        </w:rPr>
        <w:t xml:space="preserve"> pero antes de la suscripción del contrato, advierte un error grave en la calificación de un requisito habilitante</w:t>
      </w:r>
      <w:r w:rsidRPr="00AD0C24">
        <w:rPr>
          <w:rFonts w:ascii="Verdana" w:eastAsia="Century Gothic" w:hAnsi="Verdana" w:cs="Century Gothic"/>
        </w:rPr>
        <w:t>?</w:t>
      </w:r>
    </w:p>
    <w:p w14:paraId="28A9DE78" w14:textId="77777777" w:rsidR="0085070A" w:rsidRPr="00960F72" w:rsidRDefault="0085070A" w:rsidP="0085070A">
      <w:pPr>
        <w:spacing w:after="0" w:line="276" w:lineRule="auto"/>
        <w:jc w:val="both"/>
        <w:rPr>
          <w:rFonts w:ascii="Verdana" w:eastAsia="Century Gothic" w:hAnsi="Verdana" w:cs="Century Gothic"/>
        </w:rPr>
      </w:pPr>
    </w:p>
    <w:p w14:paraId="17C87105" w14:textId="77777777" w:rsidR="0085070A" w:rsidRDefault="0085070A" w:rsidP="0085070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Respuesta:</w:t>
      </w:r>
    </w:p>
    <w:p w14:paraId="7FA494F8" w14:textId="77777777" w:rsidR="0085070A" w:rsidRPr="00027E7B" w:rsidRDefault="0085070A" w:rsidP="0085070A">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tbl>
      <w:tblPr>
        <w:tblStyle w:val="Tablaconcuadrcula"/>
        <w:tblW w:w="17656"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gridCol w:w="8828"/>
      </w:tblGrid>
      <w:tr w:rsidR="0085070A" w:rsidRPr="00960F72" w14:paraId="6A22FC40" w14:textId="77777777" w:rsidTr="0085070A">
        <w:tc>
          <w:tcPr>
            <w:tcW w:w="8828" w:type="dxa"/>
          </w:tcPr>
          <w:p w14:paraId="67F3EB39" w14:textId="3406753D" w:rsidR="0085070A" w:rsidRDefault="0085070A" w:rsidP="00D73E06">
            <w:pPr>
              <w:spacing w:after="120" w:line="276" w:lineRule="auto"/>
              <w:ind w:firstLine="709"/>
              <w:jc w:val="both"/>
              <w:rPr>
                <w:rFonts w:ascii="Verdana" w:hAnsi="Verdana" w:cs="Arial"/>
                <w:lang w:val="es-ES"/>
              </w:rPr>
            </w:pPr>
            <w:r>
              <w:rPr>
                <w:rFonts w:ascii="Verdana" w:eastAsia="Calibri" w:hAnsi="Verdana" w:cs="Times New Roman"/>
                <w:iCs/>
                <w:lang w:val="es-ES"/>
              </w:rPr>
              <w:t>Conforme a la interpretación general de las normas del sistema de compras públicas,</w:t>
            </w:r>
            <w:r w:rsidRPr="00185EE9">
              <w:rPr>
                <w:rFonts w:ascii="Verdana" w:eastAsia="Calibri" w:hAnsi="Verdana" w:cs="Times New Roman"/>
                <w:iCs/>
                <w:lang w:val="es-ES"/>
              </w:rPr>
              <w:t xml:space="preserve"> </w:t>
            </w:r>
            <w:r>
              <w:rPr>
                <w:rFonts w:ascii="Verdana" w:eastAsia="Calibri" w:hAnsi="Verdana" w:cs="Arial"/>
                <w:bCs/>
                <w:color w:val="000000" w:themeColor="text1"/>
              </w:rPr>
              <w:t xml:space="preserve">de acuerdo con el artículo 9 de la Ley 1150 de 2007, la revocatoria directa del acto de adjudicación procede por las siguientes causas: </w:t>
            </w:r>
            <w:r w:rsidRPr="00DA1FE4">
              <w:rPr>
                <w:rFonts w:ascii="Verdana" w:hAnsi="Verdana" w:cs="Arial"/>
                <w:lang w:val="es-ES"/>
              </w:rPr>
              <w:t xml:space="preserve">i) </w:t>
            </w:r>
            <w:r>
              <w:rPr>
                <w:rFonts w:ascii="Verdana" w:hAnsi="Verdana" w:cs="Arial"/>
                <w:lang w:val="es-ES"/>
              </w:rPr>
              <w:t xml:space="preserve">si </w:t>
            </w:r>
            <w:r w:rsidRPr="00DA1FE4">
              <w:rPr>
                <w:rFonts w:ascii="Verdana" w:hAnsi="Verdana" w:cs="Arial"/>
                <w:lang w:val="es-ES"/>
              </w:rPr>
              <w:t xml:space="preserve">ha sobrevenido una causal de inhabilidad e incompatibilidad entre el acto de adjudicación y la suscripción del contrato o </w:t>
            </w:r>
            <w:proofErr w:type="spellStart"/>
            <w:r w:rsidRPr="00DA1FE4">
              <w:rPr>
                <w:rFonts w:ascii="Verdana" w:hAnsi="Verdana" w:cs="Arial"/>
                <w:lang w:val="es-ES"/>
              </w:rPr>
              <w:t>ii</w:t>
            </w:r>
            <w:proofErr w:type="spellEnd"/>
            <w:r w:rsidRPr="00DA1FE4">
              <w:rPr>
                <w:rFonts w:ascii="Verdana" w:hAnsi="Verdana" w:cs="Arial"/>
                <w:lang w:val="es-ES"/>
              </w:rPr>
              <w:t>) si el acto de adjudicación se obtuvo por medios ilegales</w:t>
            </w:r>
            <w:r>
              <w:rPr>
                <w:rFonts w:ascii="Verdana" w:hAnsi="Verdana" w:cs="Arial"/>
                <w:lang w:val="es-ES"/>
              </w:rPr>
              <w:t xml:space="preserve">. </w:t>
            </w:r>
            <w:r w:rsidR="006C4772" w:rsidRPr="00DA1FE4">
              <w:rPr>
                <w:rFonts w:ascii="Verdana" w:hAnsi="Verdana" w:cs="Arial"/>
                <w:lang w:val="es-ES"/>
              </w:rPr>
              <w:t xml:space="preserve">Se considera importante hacer énfasis en el hecho de que la norma utiliza el verbo </w:t>
            </w:r>
            <w:r w:rsidR="006C4772" w:rsidRPr="00DA1FE4">
              <w:rPr>
                <w:rFonts w:ascii="Verdana" w:hAnsi="Verdana" w:cs="Arial"/>
                <w:i/>
                <w:iCs/>
                <w:lang w:val="es-ES"/>
              </w:rPr>
              <w:t>podrá</w:t>
            </w:r>
            <w:r w:rsidR="006C4772" w:rsidRPr="00DA1FE4">
              <w:rPr>
                <w:rFonts w:ascii="Verdana" w:hAnsi="Verdana" w:cs="Arial"/>
                <w:lang w:val="es-ES"/>
              </w:rPr>
              <w:t xml:space="preserve">, sin indicación de ningún requisito adicional para el ejercicio de la prerrogativa de revocación del acto de adjudicación. </w:t>
            </w:r>
          </w:p>
          <w:p w14:paraId="1393D0BD" w14:textId="77777777" w:rsidR="0085070A" w:rsidRPr="00E86D5D" w:rsidRDefault="0085070A" w:rsidP="0085070A">
            <w:pPr>
              <w:spacing w:after="120" w:line="276" w:lineRule="auto"/>
              <w:ind w:firstLine="737"/>
              <w:jc w:val="both"/>
              <w:rPr>
                <w:rFonts w:ascii="Verdana" w:eastAsia="Calibri" w:hAnsi="Verdana" w:cs="Arial"/>
                <w:lang w:val="es-ES"/>
              </w:rPr>
            </w:pPr>
            <w:r>
              <w:rPr>
                <w:rFonts w:ascii="Verdana" w:hAnsi="Verdana" w:cs="Arial"/>
                <w:lang w:val="es-ES"/>
              </w:rPr>
              <w:t>Por otra parte, d</w:t>
            </w:r>
            <w:r w:rsidRPr="006E45BA">
              <w:rPr>
                <w:rFonts w:ascii="Verdana" w:eastAsia="Calibri" w:hAnsi="Verdana" w:cs="Arial"/>
                <w:lang w:val="es-ES"/>
              </w:rPr>
              <w:t xml:space="preserve">e acuerdo con el artículo 1741 del Código Civil, “La nulidad producida por un </w:t>
            </w:r>
            <w:r w:rsidRPr="00E86D5D">
              <w:rPr>
                <w:rFonts w:ascii="Verdana" w:eastAsia="Calibri" w:hAnsi="Verdana" w:cs="Arial"/>
                <w:lang w:val="es-ES"/>
              </w:rPr>
              <w:t xml:space="preserve">objeto o causa ilícita, y la nulidad producida por la omisión de algún requisito o formalidad que las leyes prescriben para el valor de ciertos actos o contratos en consideración a la naturaleza de ellos, y no a la calidad o estado de las personas que los ejecutan o acuerdan, son nulidades absolutas. Hay así </w:t>
            </w:r>
            <w:proofErr w:type="gramStart"/>
            <w:r w:rsidRPr="00E86D5D">
              <w:rPr>
                <w:rFonts w:ascii="Verdana" w:eastAsia="Calibri" w:hAnsi="Verdana" w:cs="Arial"/>
                <w:lang w:val="es-ES"/>
              </w:rPr>
              <w:t>mismo nulidad absoluta</w:t>
            </w:r>
            <w:proofErr w:type="gramEnd"/>
            <w:r w:rsidRPr="00E86D5D">
              <w:rPr>
                <w:rFonts w:ascii="Verdana" w:eastAsia="Calibri" w:hAnsi="Verdana" w:cs="Arial"/>
                <w:lang w:val="es-ES"/>
              </w:rPr>
              <w:t xml:space="preserve"> en los actos y contratos de personas absolutamente incapaces. Cualquiera otra especie de vicio produce nulidad relativa, y da derecho a la rescisión del acto o contrato”. Para la doctrina, las circunstancias que producen nulidad relativa son los vicios del consentimiento –error, fuerza y dolo–, la lesión enorme, los actos de los relativamente incapaces, así como la omisión de formalidades habilitantes distintas a las que se enuncian en la norma precitada. </w:t>
            </w:r>
          </w:p>
          <w:p w14:paraId="28BB8CC6" w14:textId="77777777" w:rsidR="0085070A" w:rsidRPr="00E86D5D" w:rsidRDefault="0085070A" w:rsidP="0085070A">
            <w:pPr>
              <w:spacing w:after="120" w:line="276" w:lineRule="auto"/>
              <w:ind w:firstLine="708"/>
              <w:jc w:val="both"/>
              <w:rPr>
                <w:rFonts w:ascii="Verdana" w:eastAsia="Calibri" w:hAnsi="Verdana" w:cs="Arial"/>
                <w:lang w:val="es-ES"/>
              </w:rPr>
            </w:pPr>
            <w:r>
              <w:rPr>
                <w:rFonts w:ascii="Verdana" w:eastAsia="Calibri" w:hAnsi="Verdana" w:cs="Arial"/>
                <w:lang w:val="es-ES"/>
              </w:rPr>
              <w:t>E</w:t>
            </w:r>
            <w:r w:rsidRPr="00E86D5D">
              <w:rPr>
                <w:rFonts w:ascii="Verdana" w:eastAsia="Calibri" w:hAnsi="Verdana" w:cs="Arial"/>
                <w:lang w:val="es-ES"/>
              </w:rPr>
              <w:t xml:space="preserve">l artículo 899 del Código de Comercio dispone la </w:t>
            </w:r>
            <w:r w:rsidRPr="00E86D5D">
              <w:rPr>
                <w:rFonts w:ascii="Verdana" w:eastAsia="Calibri" w:hAnsi="Verdana" w:cs="Arial"/>
                <w:i/>
                <w:iCs/>
                <w:lang w:val="es-ES"/>
              </w:rPr>
              <w:t>nulidad absoluta</w:t>
            </w:r>
            <w:r w:rsidRPr="00E86D5D">
              <w:rPr>
                <w:rFonts w:ascii="Verdana" w:eastAsia="Calibri" w:hAnsi="Verdana" w:cs="Arial"/>
                <w:lang w:val="es-ES"/>
              </w:rPr>
              <w:t xml:space="preserve"> de los negocios jurídicos cuando contrarían una norma imperativa, salvo que la ley disponga otra cosa; tengan objeto y causa ilícita, o se hayan celebrado por persona absolutamente incapaz. Por su parte, el artículo 900 </w:t>
            </w:r>
            <w:r w:rsidRPr="00E86D5D">
              <w:rPr>
                <w:rFonts w:ascii="Verdana" w:eastAsia="Calibri" w:hAnsi="Verdana" w:cs="Arial"/>
                <w:i/>
                <w:iCs/>
                <w:lang w:val="es-ES"/>
              </w:rPr>
              <w:t>ibidem</w:t>
            </w:r>
            <w:r w:rsidRPr="00E86D5D">
              <w:rPr>
                <w:rFonts w:ascii="Verdana" w:eastAsia="Calibri" w:hAnsi="Verdana" w:cs="Arial"/>
                <w:lang w:val="es-ES"/>
              </w:rPr>
              <w:t xml:space="preserve"> precisa que la </w:t>
            </w:r>
            <w:r w:rsidRPr="00E86D5D">
              <w:rPr>
                <w:rFonts w:ascii="Verdana" w:eastAsia="Calibri" w:hAnsi="Verdana" w:cs="Arial"/>
                <w:i/>
                <w:iCs/>
                <w:lang w:val="es-ES"/>
              </w:rPr>
              <w:t>anulabilidad</w:t>
            </w:r>
            <w:r w:rsidRPr="00E86D5D">
              <w:rPr>
                <w:rFonts w:ascii="Verdana" w:eastAsia="Calibri" w:hAnsi="Verdana" w:cs="Arial"/>
                <w:lang w:val="es-ES"/>
              </w:rPr>
              <w:t xml:space="preserve"> aplica cuando los contratos hayan sido celebrados por persona relativamente incapaz o hayan sido consentidos por error, fuerza o dolo, conforme al Código Civil. </w:t>
            </w:r>
          </w:p>
          <w:p w14:paraId="3E143E8E" w14:textId="77777777" w:rsidR="0085070A" w:rsidRPr="00E86D5D" w:rsidRDefault="0085070A" w:rsidP="00D73E06">
            <w:pPr>
              <w:pStyle w:val="Textoindependiente"/>
              <w:spacing w:after="120"/>
              <w:ind w:right="108" w:firstLine="709"/>
              <w:jc w:val="both"/>
            </w:pPr>
            <w:r>
              <w:t>Por lo demás</w:t>
            </w:r>
            <w:r w:rsidRPr="00E86D5D">
              <w:t xml:space="preserve">, el artículo 44 de la Ley 80 de 1993 consagra como </w:t>
            </w:r>
            <w:r w:rsidRPr="00E86D5D">
              <w:lastRenderedPageBreak/>
              <w:t xml:space="preserve">causales de nulidad absoluta del contrato estatal, además de las antes mencionadas en el derecho común, las siguientes: i) que el contrato se celebre con personas incursas en causales de inhabilidad o incompatibilidad previstas en la Constitución y la ley, </w:t>
            </w:r>
            <w:proofErr w:type="spellStart"/>
            <w:r w:rsidRPr="00E86D5D">
              <w:t>ii</w:t>
            </w:r>
            <w:proofErr w:type="spellEnd"/>
            <w:r w:rsidRPr="00E86D5D">
              <w:t xml:space="preserve">) se celebre contra expresa prohibición constitucional o legal, </w:t>
            </w:r>
            <w:proofErr w:type="spellStart"/>
            <w:r w:rsidRPr="00E86D5D">
              <w:t>iii</w:t>
            </w:r>
            <w:proofErr w:type="spellEnd"/>
            <w:r w:rsidRPr="00E86D5D">
              <w:t xml:space="preserve">) se celebre con abuso o desviación de poder, </w:t>
            </w:r>
            <w:proofErr w:type="spellStart"/>
            <w:r w:rsidRPr="00E86D5D">
              <w:t>iv</w:t>
            </w:r>
            <w:proofErr w:type="spellEnd"/>
            <w:r w:rsidRPr="00E86D5D">
              <w:t>) se declaren nulos los actos administrativos en que se fundamenten, v) se hubieren celebrado con desconocimiento de los criterios previstos para el tratamiento de ofertas nacionales y extranjeras o con violación de la reciprocidad.</w:t>
            </w:r>
          </w:p>
          <w:p w14:paraId="29B09106" w14:textId="77777777" w:rsidR="0085070A" w:rsidRDefault="0085070A" w:rsidP="0085070A">
            <w:pPr>
              <w:spacing w:after="120" w:line="276" w:lineRule="auto"/>
              <w:ind w:firstLine="595"/>
              <w:jc w:val="both"/>
              <w:rPr>
                <w:rFonts w:ascii="Verdana" w:eastAsia="Calibri" w:hAnsi="Verdana" w:cs="Arial"/>
                <w:bCs/>
                <w:color w:val="000000" w:themeColor="text1"/>
              </w:rPr>
            </w:pPr>
            <w:r>
              <w:rPr>
                <w:rFonts w:ascii="Verdana" w:eastAsia="Calibri" w:hAnsi="Verdana" w:cs="Arial"/>
                <w:bCs/>
                <w:color w:val="000000" w:themeColor="text1"/>
              </w:rPr>
              <w:t xml:space="preserve">Tanto las causales de revocatoria directa del acto de adjudicación como las causales de nulidad del contrato son interpretación estricta. En otras palabras, se restringen a los supuestos planteados en los párrafos precedentes, sin posibilidad de aplicación extensiva o analógica. </w:t>
            </w:r>
          </w:p>
          <w:p w14:paraId="75B858EF" w14:textId="77777777" w:rsidR="0085070A" w:rsidRPr="00EB66F0" w:rsidRDefault="0085070A" w:rsidP="00D73E06">
            <w:pPr>
              <w:spacing w:line="276" w:lineRule="auto"/>
              <w:ind w:firstLine="709"/>
              <w:contextualSpacing/>
              <w:jc w:val="both"/>
              <w:rPr>
                <w:rFonts w:ascii="Verdana" w:hAnsi="Verdana" w:cs="Arial"/>
                <w:lang w:eastAsia="es-ES"/>
              </w:rPr>
            </w:pPr>
            <w:r w:rsidRPr="00E853DE">
              <w:rPr>
                <w:rFonts w:ascii="Verdana" w:eastAsia="Calibri" w:hAnsi="Verdana" w:cs="Arial"/>
                <w:bCs/>
                <w:color w:val="000000" w:themeColor="text1"/>
              </w:rPr>
              <w:t xml:space="preserve">Al margen de la explicación precedente debe advertirse que </w:t>
            </w:r>
            <w:r w:rsidRPr="001941FD">
              <w:rPr>
                <w:rStyle w:val="s15"/>
                <w:rFonts w:ascii="Verdana" w:hAnsi="Verdana"/>
                <w:color w:val="000000"/>
              </w:rPr>
              <w:t xml:space="preserve">el análisis requerido para resolver problemas específicos en torno </w:t>
            </w:r>
            <w:r>
              <w:rPr>
                <w:rStyle w:val="s15"/>
                <w:rFonts w:ascii="Verdana" w:hAnsi="Verdana"/>
                <w:color w:val="000000"/>
              </w:rPr>
              <w:t>a los errores en la evaluación de la oferta económica</w:t>
            </w:r>
            <w:r w:rsidRPr="001941FD">
              <w:rPr>
                <w:rStyle w:val="s15"/>
                <w:rFonts w:ascii="Verdana" w:hAnsi="Verdana"/>
                <w:color w:val="000000"/>
              </w:rPr>
              <w:t xml:space="preserve"> debe ser realizado por quienes tengan interés en ello, de acuerdo con lo explicado la aclaración preliminar del presente oficio.</w:t>
            </w:r>
            <w:r w:rsidRPr="001941FD">
              <w:rPr>
                <w:rStyle w:val="apple-converted-space"/>
                <w:rFonts w:ascii="Verdana" w:hAnsi="Verdana"/>
                <w:color w:val="000000"/>
              </w:rPr>
              <w:t> </w:t>
            </w:r>
            <w:r w:rsidRPr="001941FD">
              <w:rPr>
                <w:rStyle w:val="s15"/>
                <w:rFonts w:ascii="Verdana" w:hAnsi="Verdana"/>
                <w:color w:val="000000"/>
              </w:rPr>
              <w:t>Por lo anterior, previo</w:t>
            </w:r>
            <w:r w:rsidRPr="001941FD">
              <w:rPr>
                <w:rStyle w:val="apple-converted-space"/>
                <w:rFonts w:ascii="Verdana" w:hAnsi="Verdana"/>
                <w:color w:val="000000"/>
              </w:rPr>
              <w:t> </w:t>
            </w:r>
            <w:r w:rsidRPr="001941FD">
              <w:rPr>
                <w:rStyle w:val="s15"/>
                <w:rFonts w:ascii="Verdana" w:hAnsi="Verdana"/>
                <w:color w:val="000000"/>
              </w:rPr>
              <w:t>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c>
          <w:tcPr>
            <w:tcW w:w="8828" w:type="dxa"/>
          </w:tcPr>
          <w:p w14:paraId="3C38CD26" w14:textId="77777777" w:rsidR="0085070A" w:rsidRPr="00EB66F0" w:rsidRDefault="0085070A" w:rsidP="0085070A">
            <w:pPr>
              <w:spacing w:line="276" w:lineRule="auto"/>
              <w:contextualSpacing/>
              <w:jc w:val="both"/>
              <w:rPr>
                <w:rFonts w:ascii="Verdana" w:hAnsi="Verdana" w:cs="Arial"/>
                <w:lang w:eastAsia="es-ES"/>
              </w:rPr>
            </w:pPr>
          </w:p>
        </w:tc>
      </w:tr>
    </w:tbl>
    <w:p w14:paraId="5B340E19" w14:textId="77777777" w:rsidR="0085070A" w:rsidRPr="00960F72" w:rsidRDefault="0085070A" w:rsidP="0085070A">
      <w:pPr>
        <w:tabs>
          <w:tab w:val="left" w:pos="142"/>
          <w:tab w:val="left" w:pos="284"/>
        </w:tabs>
        <w:spacing w:after="0" w:line="276" w:lineRule="auto"/>
        <w:jc w:val="both"/>
        <w:rPr>
          <w:rFonts w:ascii="Verdana" w:eastAsia="Century Gothic" w:hAnsi="Verdana" w:cs="Century Gothic"/>
          <w:b/>
          <w:bCs/>
        </w:rPr>
      </w:pPr>
    </w:p>
    <w:p w14:paraId="770DAFAB" w14:textId="77777777" w:rsidR="0085070A" w:rsidRDefault="0085070A" w:rsidP="0085070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Razones de la respuesta:</w:t>
      </w:r>
    </w:p>
    <w:p w14:paraId="6319241C" w14:textId="77777777" w:rsidR="0085070A" w:rsidRDefault="0085070A" w:rsidP="0085070A">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568B4314" w14:textId="77777777" w:rsidR="0085070A" w:rsidRPr="00DA1FE4" w:rsidRDefault="0085070A" w:rsidP="0085070A">
      <w:pPr>
        <w:spacing w:after="120" w:line="276" w:lineRule="auto"/>
        <w:jc w:val="both"/>
        <w:rPr>
          <w:rFonts w:ascii="Verdana" w:eastAsia="Calibri" w:hAnsi="Verdana" w:cs="Arial"/>
          <w:shd w:val="clear" w:color="auto" w:fill="FFFFFF"/>
          <w:lang w:val="es-ES"/>
        </w:rPr>
      </w:pPr>
      <w:r>
        <w:rPr>
          <w:rFonts w:ascii="Verdana" w:eastAsia="Calibri" w:hAnsi="Verdana" w:cs="Arial"/>
        </w:rPr>
        <w:t xml:space="preserve">i. </w:t>
      </w:r>
      <w:r w:rsidRPr="00DA1FE4">
        <w:rPr>
          <w:rFonts w:ascii="Verdana" w:eastAsia="Calibri" w:hAnsi="Verdana" w:cs="Arial"/>
          <w:shd w:val="clear" w:color="auto" w:fill="FFFFFF"/>
          <w:lang w:val="es-ES"/>
        </w:rPr>
        <w:t xml:space="preserve">El </w:t>
      </w:r>
      <w:r w:rsidRPr="00DA1FE4">
        <w:rPr>
          <w:rFonts w:ascii="Verdana" w:eastAsia="Calibri" w:hAnsi="Verdana" w:cs="Arial"/>
          <w:i/>
          <w:iCs/>
          <w:shd w:val="clear" w:color="auto" w:fill="FFFFFF"/>
          <w:lang w:val="es-ES"/>
        </w:rPr>
        <w:t>acto de adjudicación</w:t>
      </w:r>
      <w:r w:rsidRPr="00DA1FE4">
        <w:rPr>
          <w:rFonts w:ascii="Verdana" w:eastAsia="Calibri" w:hAnsi="Verdana" w:cs="Arial"/>
          <w:shd w:val="clear" w:color="auto" w:fill="FFFFFF"/>
          <w:lang w:val="es-ES"/>
        </w:rPr>
        <w:t xml:space="preserve"> es la actuación final de la fase del procedimiento de selección, en la cual se manifiesta la voluntad de la Administración de realizar la contratación con uno o varios oferentes determinados. El acto de adjudicación es una de las formalidades más importantes para la configuración del contrato estatal, en la medida que es a partir de ella que se origina la obligación para las partes de celebrar el contrato objeto del procedimiento de selección</w:t>
      </w:r>
      <w:r w:rsidRPr="00DA1FE4">
        <w:rPr>
          <w:rStyle w:val="Refdenotaalpie"/>
          <w:rFonts w:ascii="Verdana" w:eastAsia="Calibri" w:hAnsi="Verdana" w:cs="Arial"/>
          <w:shd w:val="clear" w:color="auto" w:fill="FFFFFF"/>
          <w:lang w:val="es-ES"/>
        </w:rPr>
        <w:footnoteReference w:id="2"/>
      </w:r>
      <w:r w:rsidRPr="00DA1FE4">
        <w:rPr>
          <w:rFonts w:ascii="Verdana" w:eastAsia="Calibri" w:hAnsi="Verdana" w:cs="Arial"/>
          <w:shd w:val="clear" w:color="auto" w:fill="FFFFFF"/>
          <w:lang w:val="es-ES"/>
        </w:rPr>
        <w:t xml:space="preserve">. Así lo ha anotado la doctrina al señalar que </w:t>
      </w:r>
      <w:r w:rsidRPr="00EB5EE4">
        <w:rPr>
          <w:rFonts w:ascii="Verdana" w:eastAsia="Calibri" w:hAnsi="Verdana" w:cs="Arial"/>
          <w:shd w:val="clear" w:color="auto" w:fill="FFFFFF"/>
          <w:lang w:val="es-ES"/>
        </w:rPr>
        <w:t xml:space="preserve">“con la adjudicación del contrato surge una </w:t>
      </w:r>
      <w:r w:rsidRPr="00EB5EE4">
        <w:rPr>
          <w:rFonts w:ascii="Verdana" w:eastAsia="Calibri" w:hAnsi="Verdana" w:cs="Arial"/>
          <w:shd w:val="clear" w:color="auto" w:fill="FFFFFF"/>
          <w:lang w:val="es-ES"/>
        </w:rPr>
        <w:lastRenderedPageBreak/>
        <w:t>relación jurídica de la cual se deriva el compromiso para las partes de observar las formalidades propias del perfeccionamiento del contrato”</w:t>
      </w:r>
      <w:r w:rsidRPr="00EB5EE4">
        <w:rPr>
          <w:rStyle w:val="Refdenotaalpie"/>
          <w:rFonts w:ascii="Verdana" w:eastAsia="Calibri" w:hAnsi="Verdana" w:cs="Arial"/>
          <w:shd w:val="clear" w:color="auto" w:fill="FFFFFF"/>
          <w:lang w:val="es-ES"/>
        </w:rPr>
        <w:footnoteReference w:id="3"/>
      </w:r>
      <w:r w:rsidRPr="00EB5EE4">
        <w:rPr>
          <w:rFonts w:ascii="Verdana" w:eastAsia="Calibri" w:hAnsi="Verdana" w:cs="Arial"/>
          <w:shd w:val="clear" w:color="auto" w:fill="FFFFFF"/>
          <w:lang w:val="es-ES"/>
        </w:rPr>
        <w:t>.</w:t>
      </w:r>
      <w:r w:rsidRPr="00DA1FE4">
        <w:rPr>
          <w:rFonts w:ascii="Verdana" w:eastAsia="Calibri" w:hAnsi="Verdana" w:cs="Arial"/>
          <w:shd w:val="clear" w:color="auto" w:fill="FFFFFF"/>
          <w:lang w:val="es-ES"/>
        </w:rPr>
        <w:t xml:space="preserve"> </w:t>
      </w:r>
    </w:p>
    <w:p w14:paraId="3799283D" w14:textId="77777777" w:rsidR="0085070A" w:rsidRPr="00DA1FE4" w:rsidRDefault="0085070A" w:rsidP="0085070A">
      <w:pPr>
        <w:spacing w:after="120" w:line="276" w:lineRule="auto"/>
        <w:ind w:firstLine="709"/>
        <w:jc w:val="both"/>
        <w:rPr>
          <w:rFonts w:ascii="Verdana" w:eastAsia="Arial MT" w:hAnsi="Verdana" w:cs="Arial"/>
          <w:lang w:eastAsia="es-ES" w:bidi="es-ES"/>
        </w:rPr>
      </w:pPr>
      <w:r w:rsidRPr="00DA1FE4">
        <w:rPr>
          <w:rFonts w:ascii="Verdana" w:eastAsia="Calibri" w:hAnsi="Verdana" w:cs="Arial"/>
          <w:shd w:val="clear" w:color="auto" w:fill="FFFFFF"/>
          <w:lang w:val="es-ES"/>
        </w:rPr>
        <w:t xml:space="preserve">Por su parte, la Sala de Consulta y Servicio Civil del Consejo de Estado ha señalado que </w:t>
      </w:r>
      <w:r w:rsidRPr="00E45581">
        <w:rPr>
          <w:rFonts w:ascii="Verdana" w:eastAsia="Calibri" w:hAnsi="Verdana" w:cs="Arial"/>
          <w:shd w:val="clear" w:color="auto" w:fill="FFFFFF"/>
          <w:lang w:val="es-ES"/>
        </w:rPr>
        <w:t>“la adjudicación del contrato estatal ha sido entendida jurisprudencial y doctrinalmente como el acto (administrativo) mediante el cual una entidad pública manifiesta su aceptación a la propuesta u oferta presentada por alguno de los participantes en un proceso de selección, y se obliga a suscribir con este el contrato proyectado”</w:t>
      </w:r>
      <w:r w:rsidRPr="00E45581">
        <w:rPr>
          <w:rStyle w:val="Refdenotaalpie"/>
          <w:rFonts w:ascii="Verdana" w:eastAsia="Calibri" w:hAnsi="Verdana" w:cs="Arial"/>
          <w:shd w:val="clear" w:color="auto" w:fill="FFFFFF"/>
          <w:lang w:val="es-ES"/>
        </w:rPr>
        <w:footnoteReference w:id="4"/>
      </w:r>
      <w:r w:rsidRPr="00E45581">
        <w:rPr>
          <w:rFonts w:ascii="Verdana" w:eastAsia="Calibri" w:hAnsi="Verdana" w:cs="Arial"/>
          <w:shd w:val="clear" w:color="auto" w:fill="FFFFFF"/>
          <w:lang w:val="es-ES"/>
        </w:rPr>
        <w:t>.</w:t>
      </w:r>
      <w:r w:rsidRPr="00DA1FE4">
        <w:rPr>
          <w:rFonts w:ascii="Verdana" w:eastAsia="Calibri" w:hAnsi="Verdana" w:cs="Arial"/>
          <w:shd w:val="clear" w:color="auto" w:fill="FFFFFF"/>
          <w:lang w:val="es-ES"/>
        </w:rPr>
        <w:t xml:space="preserve"> </w:t>
      </w:r>
      <w:r w:rsidRPr="00DA1FE4">
        <w:rPr>
          <w:rFonts w:ascii="Verdana" w:eastAsia="Arial MT" w:hAnsi="Verdana" w:cs="Arial"/>
          <w:lang w:val="es-ES" w:eastAsia="es-ES" w:bidi="es-ES"/>
        </w:rPr>
        <w:t>La referida Corporación ha señalado que</w:t>
      </w:r>
      <w:r w:rsidRPr="00DA1FE4">
        <w:rPr>
          <w:rFonts w:ascii="Verdana" w:eastAsia="Arial MT" w:hAnsi="Verdana" w:cs="Arial"/>
          <w:lang w:eastAsia="es-ES" w:bidi="es-ES"/>
        </w:rPr>
        <w:t xml:space="preserve"> la adjudicación del contrato estatal se asemeja a la aceptación de la oferta de los contratos privados, con la diferencia de que aquellos, en virtud de los principios de la autonomía de la voluntad y de la consensualidad, la sola aceptación oportuna perfecciona el contrato suscrito, como regla general, salvo que el contrato privado haga parte de los denominados solemnes y reales, y es fuente de derechos y obligaciones que se hubiesen pactado derivado del mismo. </w:t>
      </w:r>
    </w:p>
    <w:p w14:paraId="09A97B10" w14:textId="77777777" w:rsidR="0085070A" w:rsidRPr="00DA1FE4" w:rsidRDefault="0085070A" w:rsidP="0085070A">
      <w:pPr>
        <w:spacing w:after="120" w:line="276" w:lineRule="auto"/>
        <w:ind w:firstLine="709"/>
        <w:jc w:val="both"/>
        <w:rPr>
          <w:rFonts w:ascii="Verdana" w:eastAsia="Arial MT" w:hAnsi="Verdana" w:cs="Arial"/>
          <w:lang w:eastAsia="es-ES" w:bidi="es-ES"/>
        </w:rPr>
      </w:pPr>
      <w:r w:rsidRPr="00DA1FE4">
        <w:rPr>
          <w:rFonts w:ascii="Verdana" w:eastAsia="Arial MT" w:hAnsi="Verdana" w:cs="Arial"/>
          <w:lang w:eastAsia="es-ES" w:bidi="es-ES"/>
        </w:rPr>
        <w:t>Lo anterior, a diferencia de los contratos estatales, dado que, en virtud del artículo 41 de la Ley 80 de 1993, su carácter es solemne, por cuanto no se perfeccionan con la notificación del acto de adjudicación, de manera que su perfeccionamiento solo se da en la medida en que las partes suscriban el documento que contiene las respectivas cláusulas o estipulaciones, con algunas pocas excepciones</w:t>
      </w:r>
      <w:r w:rsidRPr="00DA1FE4">
        <w:rPr>
          <w:rStyle w:val="Refdenotaalpie"/>
          <w:rFonts w:ascii="Verdana" w:eastAsia="Arial MT" w:hAnsi="Verdana" w:cs="Arial"/>
          <w:lang w:eastAsia="es-ES" w:bidi="es-ES"/>
        </w:rPr>
        <w:footnoteReference w:id="5"/>
      </w:r>
      <w:r w:rsidRPr="00DA1FE4">
        <w:rPr>
          <w:rFonts w:ascii="Verdana" w:eastAsia="Arial MT" w:hAnsi="Verdana" w:cs="Arial"/>
          <w:lang w:eastAsia="es-ES" w:bidi="es-ES"/>
        </w:rPr>
        <w:t>. Esto resulta importante porque el acto de adjudicación no produce en sí mismo las obligaciones y derechos que se desprenden del contrato, pero sí da origen a otras obligaciones y derechos que son recíprocos entre las partes, como por ejemplo, el derecho a suscribir el contrato proyectado, en el plazo acordado y con las previsiones estipuladas en tal documento, en sus modificaciones, adendas, anexos y en la misma propuesta que fue aceptada, siempre que aquella no contradiga el contenido de los documentos del proceso.</w:t>
      </w:r>
    </w:p>
    <w:p w14:paraId="45E2D28E" w14:textId="77777777" w:rsidR="0085070A" w:rsidRPr="00DA1FE4" w:rsidRDefault="0085070A" w:rsidP="0085070A">
      <w:pPr>
        <w:spacing w:after="120" w:line="276" w:lineRule="auto"/>
        <w:jc w:val="both"/>
        <w:rPr>
          <w:rFonts w:ascii="Verdana" w:eastAsia="Arial MT" w:hAnsi="Verdana" w:cs="Arial"/>
          <w:lang w:eastAsia="es-ES" w:bidi="es-ES"/>
        </w:rPr>
      </w:pPr>
      <w:r w:rsidRPr="00DA1FE4">
        <w:rPr>
          <w:rFonts w:ascii="Verdana" w:eastAsia="Arial MT" w:hAnsi="Verdana" w:cs="Arial"/>
          <w:lang w:eastAsia="es-ES" w:bidi="es-ES"/>
        </w:rPr>
        <w:lastRenderedPageBreak/>
        <w:tab/>
        <w:t xml:space="preserve">Adicionalmente, tanto la jurisprudencia del Consejo de Estado como la doctrina han distinguido tres (3) características del acto de adjudicación del contrato estatal, que pueden sintetizarse así: i) es un acto administrativo de carácter definitivo y de alcance particular; </w:t>
      </w:r>
      <w:proofErr w:type="spellStart"/>
      <w:r w:rsidRPr="00DA1FE4">
        <w:rPr>
          <w:rFonts w:ascii="Verdana" w:eastAsia="Arial MT" w:hAnsi="Verdana" w:cs="Arial"/>
          <w:lang w:eastAsia="es-ES" w:bidi="es-ES"/>
        </w:rPr>
        <w:t>ii</w:t>
      </w:r>
      <w:proofErr w:type="spellEnd"/>
      <w:r w:rsidRPr="00DA1FE4">
        <w:rPr>
          <w:rFonts w:ascii="Verdana" w:eastAsia="Arial MT" w:hAnsi="Verdana" w:cs="Arial"/>
          <w:lang w:eastAsia="es-ES" w:bidi="es-ES"/>
        </w:rPr>
        <w:t xml:space="preserve">) es irrevocable, por regla general, y </w:t>
      </w:r>
      <w:proofErr w:type="spellStart"/>
      <w:r w:rsidRPr="00DA1FE4">
        <w:rPr>
          <w:rFonts w:ascii="Verdana" w:eastAsia="Arial MT" w:hAnsi="Verdana" w:cs="Arial"/>
          <w:lang w:eastAsia="es-ES" w:bidi="es-ES"/>
        </w:rPr>
        <w:t>iii</w:t>
      </w:r>
      <w:proofErr w:type="spellEnd"/>
      <w:r w:rsidRPr="00DA1FE4">
        <w:rPr>
          <w:rFonts w:ascii="Verdana" w:eastAsia="Arial MT" w:hAnsi="Verdana" w:cs="Arial"/>
          <w:lang w:eastAsia="es-ES" w:bidi="es-ES"/>
        </w:rPr>
        <w:t>) es obligatorio, tanto para la entidad contratante como para el adjudicatario.</w:t>
      </w:r>
    </w:p>
    <w:p w14:paraId="29B45ED7" w14:textId="77777777" w:rsidR="0085070A" w:rsidRPr="00DA1FE4" w:rsidRDefault="0085070A" w:rsidP="0085070A">
      <w:pPr>
        <w:spacing w:after="120" w:line="276" w:lineRule="auto"/>
        <w:jc w:val="both"/>
        <w:rPr>
          <w:rFonts w:ascii="Verdana" w:eastAsia="Arial MT" w:hAnsi="Verdana" w:cs="Arial"/>
          <w:lang w:eastAsia="es-ES" w:bidi="es-ES"/>
        </w:rPr>
      </w:pPr>
      <w:r w:rsidRPr="00DA1FE4">
        <w:rPr>
          <w:rFonts w:ascii="Verdana" w:eastAsia="Arial MT" w:hAnsi="Verdana" w:cs="Arial"/>
          <w:lang w:eastAsia="es-ES" w:bidi="es-ES"/>
        </w:rPr>
        <w:tab/>
        <w:t xml:space="preserve">De lo anterior se coligen varios elementos: i) al ser un acto administrativo, aquel debe ser motivado en forma razonada y suficiente y debe producirse con las formalidades propias de los actos jurídicos; </w:t>
      </w:r>
      <w:proofErr w:type="spellStart"/>
      <w:r w:rsidRPr="00DA1FE4">
        <w:rPr>
          <w:rFonts w:ascii="Verdana" w:eastAsia="Arial MT" w:hAnsi="Verdana" w:cs="Arial"/>
          <w:lang w:eastAsia="es-ES" w:bidi="es-ES"/>
        </w:rPr>
        <w:t>ii</w:t>
      </w:r>
      <w:proofErr w:type="spellEnd"/>
      <w:r w:rsidRPr="00DA1FE4">
        <w:rPr>
          <w:rFonts w:ascii="Verdana" w:eastAsia="Arial MT" w:hAnsi="Verdana" w:cs="Arial"/>
          <w:lang w:eastAsia="es-ES" w:bidi="es-ES"/>
        </w:rPr>
        <w:t xml:space="preserve">) al ser un acto administrativo de carácter definitivo, significa esto que termina el proceso de selección con su producción y se decide de manera definitiva sobre la futura celebración del contrato estatal y, </w:t>
      </w:r>
      <w:proofErr w:type="spellStart"/>
      <w:r w:rsidRPr="00DA1FE4">
        <w:rPr>
          <w:rFonts w:ascii="Verdana" w:eastAsia="Arial MT" w:hAnsi="Verdana" w:cs="Arial"/>
          <w:lang w:eastAsia="es-ES" w:bidi="es-ES"/>
        </w:rPr>
        <w:t>iii</w:t>
      </w:r>
      <w:proofErr w:type="spellEnd"/>
      <w:r w:rsidRPr="00DA1FE4">
        <w:rPr>
          <w:rFonts w:ascii="Verdana" w:eastAsia="Arial MT" w:hAnsi="Verdana" w:cs="Arial"/>
          <w:lang w:eastAsia="es-ES" w:bidi="es-ES"/>
        </w:rPr>
        <w:t>) al ser un acto administrativo de alcance particular, la administración está obligada a notificarlo al adjudicatario y comunicarlo a los demás oferentes.</w:t>
      </w:r>
    </w:p>
    <w:p w14:paraId="07A71C00" w14:textId="77777777" w:rsidR="0085070A" w:rsidRPr="00DA1FE4" w:rsidRDefault="0085070A" w:rsidP="0085070A">
      <w:pPr>
        <w:spacing w:after="120" w:line="276" w:lineRule="auto"/>
        <w:ind w:firstLine="709"/>
        <w:jc w:val="both"/>
        <w:rPr>
          <w:rFonts w:ascii="Verdana" w:eastAsia="Calibri" w:hAnsi="Verdana" w:cs="Arial"/>
          <w:shd w:val="clear" w:color="auto" w:fill="FFFFFF"/>
          <w:lang w:val="es-ES"/>
        </w:rPr>
      </w:pPr>
      <w:r w:rsidRPr="00DA1FE4">
        <w:rPr>
          <w:rFonts w:ascii="Verdana" w:eastAsia="Calibri" w:hAnsi="Verdana" w:cs="Arial"/>
          <w:shd w:val="clear" w:color="auto" w:fill="FFFFFF"/>
          <w:lang w:val="es-ES"/>
        </w:rPr>
        <w:t>Conforme a lo expuesto, la adjudicación es una de las formalidades principales dentro del recorrido de formación del contrato del Estado, ya que su existencia genera de manera inmediata una relación jurídica que compromete a las partes a celebrar el respectivo contrato. Esto es, firmar un documento en el que conste el acuerdo sobre el objeto y la contraprestación, así como las respectivas previsiones para el correcto desarrollo del objeto contractual</w:t>
      </w:r>
      <w:r w:rsidRPr="00DA1FE4">
        <w:rPr>
          <w:rStyle w:val="Refdenotaalpie"/>
          <w:rFonts w:ascii="Verdana" w:eastAsia="Calibri" w:hAnsi="Verdana" w:cs="Arial"/>
          <w:shd w:val="clear" w:color="auto" w:fill="FFFFFF"/>
          <w:lang w:val="es-ES"/>
        </w:rPr>
        <w:footnoteReference w:id="6"/>
      </w:r>
      <w:r w:rsidRPr="00DA1FE4">
        <w:rPr>
          <w:rFonts w:ascii="Verdana" w:eastAsia="Calibri" w:hAnsi="Verdana" w:cs="Arial"/>
          <w:shd w:val="clear" w:color="auto" w:fill="FFFFFF"/>
          <w:lang w:val="es-ES"/>
        </w:rPr>
        <w:t xml:space="preserve">. Así se desprende del artículo 9° de la Ley 1150 de 2007 cuando expresa que </w:t>
      </w:r>
      <w:r w:rsidRPr="00DA1FE4">
        <w:rPr>
          <w:rFonts w:ascii="Verdana" w:eastAsia="Calibri" w:hAnsi="Verdana" w:cs="Arial"/>
          <w:i/>
          <w:iCs/>
          <w:shd w:val="clear" w:color="auto" w:fill="FFFFFF"/>
          <w:lang w:val="es-ES"/>
        </w:rPr>
        <w:t>“</w:t>
      </w:r>
      <w:r w:rsidRPr="00E45581">
        <w:rPr>
          <w:rFonts w:ascii="Verdana" w:eastAsia="Calibri" w:hAnsi="Verdana" w:cs="Arial"/>
          <w:shd w:val="clear" w:color="auto" w:fill="FFFFFF"/>
          <w:lang w:val="es-ES"/>
        </w:rPr>
        <w:t>el acto de adjudicación es irrevocable y obliga a la entidad y al adjudicatario”.</w:t>
      </w:r>
      <w:r w:rsidRPr="00DA1FE4">
        <w:rPr>
          <w:rFonts w:ascii="Verdana" w:eastAsia="Calibri" w:hAnsi="Verdana" w:cs="Arial"/>
          <w:shd w:val="clear" w:color="auto" w:fill="FFFFFF"/>
          <w:lang w:val="es-ES"/>
        </w:rPr>
        <w:t xml:space="preserve"> Se concluye entonces que, es una obligación reciproca, esto es, oponible tanto a la Administración como al adjudicatario.</w:t>
      </w:r>
    </w:p>
    <w:p w14:paraId="30E9E0D3" w14:textId="77777777" w:rsidR="0085070A" w:rsidRPr="00DA1FE4" w:rsidRDefault="0085070A" w:rsidP="0085070A">
      <w:pPr>
        <w:spacing w:after="0" w:line="276" w:lineRule="auto"/>
        <w:jc w:val="both"/>
        <w:rPr>
          <w:rFonts w:ascii="Verdana" w:eastAsia="Arial MT" w:hAnsi="Verdana" w:cs="Arial"/>
          <w:lang w:eastAsia="es-ES" w:bidi="es-ES"/>
        </w:rPr>
      </w:pPr>
      <w:r w:rsidRPr="00DA1FE4">
        <w:rPr>
          <w:rFonts w:ascii="Verdana" w:eastAsia="Arial MT" w:hAnsi="Verdana" w:cs="Arial"/>
          <w:lang w:eastAsia="es-ES" w:bidi="es-ES"/>
        </w:rPr>
        <w:tab/>
        <w:t>En relación con la obligatoriedad y la irrevocabilidad del acto de adjudicación del contrato estatal, vale la pena mencionar, en primer lugar, que el numeral 11 del artículo 30 de la Ley 80 de 1993 –referente a la “estructura de los procedimientos de selección”– preceptuaba originalmente lo sigu</w:t>
      </w:r>
      <w:r>
        <w:rPr>
          <w:rFonts w:ascii="Verdana" w:eastAsia="Arial MT" w:hAnsi="Verdana" w:cs="Arial"/>
          <w:lang w:eastAsia="es-ES" w:bidi="es-ES"/>
        </w:rPr>
        <w:t>iente</w:t>
      </w:r>
      <w:r w:rsidRPr="00DA1FE4">
        <w:rPr>
          <w:rFonts w:ascii="Verdana" w:eastAsia="Arial MT" w:hAnsi="Verdana" w:cs="Arial"/>
          <w:lang w:eastAsia="es-ES" w:bidi="es-ES"/>
        </w:rPr>
        <w:t xml:space="preserve">: </w:t>
      </w:r>
    </w:p>
    <w:p w14:paraId="1762DAAB" w14:textId="77777777" w:rsidR="0085070A" w:rsidRPr="00DA1FE4" w:rsidRDefault="0085070A" w:rsidP="0085070A">
      <w:pPr>
        <w:spacing w:after="0" w:line="276" w:lineRule="auto"/>
        <w:jc w:val="both"/>
        <w:rPr>
          <w:rFonts w:ascii="Verdana" w:eastAsia="Arial MT" w:hAnsi="Verdana" w:cs="Arial"/>
          <w:lang w:eastAsia="es-ES" w:bidi="es-ES"/>
        </w:rPr>
      </w:pPr>
    </w:p>
    <w:p w14:paraId="466B87B2" w14:textId="0962A620" w:rsidR="0085070A" w:rsidRDefault="0085070A" w:rsidP="004934D9">
      <w:pPr>
        <w:spacing w:after="0" w:line="240" w:lineRule="auto"/>
        <w:ind w:left="709" w:right="709"/>
        <w:jc w:val="both"/>
        <w:rPr>
          <w:rFonts w:ascii="Verdana" w:eastAsia="Arial MT" w:hAnsi="Verdana" w:cs="Arial"/>
          <w:sz w:val="20"/>
          <w:szCs w:val="20"/>
          <w:lang w:eastAsia="es-ES" w:bidi="es-ES"/>
        </w:rPr>
      </w:pPr>
      <w:r w:rsidRPr="00D73E06">
        <w:rPr>
          <w:rFonts w:ascii="Verdana" w:eastAsia="Arial MT" w:hAnsi="Verdana" w:cs="Arial"/>
          <w:sz w:val="20"/>
          <w:szCs w:val="20"/>
          <w:lang w:eastAsia="es-ES" w:bidi="es-ES"/>
        </w:rPr>
        <w:t xml:space="preserve">“11. El acto de adjudicación se hará mediante resolución motivada que se notificará personalmente al proponente favorecido en la forma y términos establecidos para los actos administrativos y, en el evento de no haberse realizado en audiencia pública, se comunicará a los no favorecidos dentro de los cinco (5) días calendario siguientes. </w:t>
      </w:r>
    </w:p>
    <w:p w14:paraId="288BDD23" w14:textId="77777777" w:rsidR="004934D9" w:rsidRPr="00D73E06" w:rsidRDefault="004934D9" w:rsidP="00D73E06">
      <w:pPr>
        <w:spacing w:after="0" w:line="240" w:lineRule="auto"/>
        <w:ind w:left="709" w:right="709"/>
        <w:jc w:val="both"/>
        <w:rPr>
          <w:rFonts w:ascii="Verdana" w:eastAsia="Arial MT" w:hAnsi="Verdana" w:cs="Arial"/>
          <w:sz w:val="20"/>
          <w:szCs w:val="20"/>
          <w:lang w:eastAsia="es-ES" w:bidi="es-ES"/>
        </w:rPr>
      </w:pPr>
    </w:p>
    <w:p w14:paraId="26418CA2" w14:textId="77777777" w:rsidR="0085070A" w:rsidRPr="00D73E06" w:rsidRDefault="0085070A" w:rsidP="0085070A">
      <w:pPr>
        <w:spacing w:after="0" w:line="240" w:lineRule="auto"/>
        <w:ind w:left="709" w:right="709"/>
        <w:jc w:val="both"/>
        <w:rPr>
          <w:rFonts w:ascii="Verdana" w:eastAsia="Arial MT" w:hAnsi="Verdana" w:cs="Arial"/>
          <w:sz w:val="20"/>
          <w:szCs w:val="20"/>
          <w:lang w:eastAsia="es-ES" w:bidi="es-ES"/>
        </w:rPr>
      </w:pPr>
      <w:r w:rsidRPr="00D73E06">
        <w:rPr>
          <w:rFonts w:ascii="Verdana" w:eastAsia="Arial MT" w:hAnsi="Verdana" w:cs="Arial"/>
          <w:i/>
          <w:sz w:val="20"/>
          <w:szCs w:val="20"/>
          <w:lang w:eastAsia="es-ES" w:bidi="es-ES"/>
        </w:rPr>
        <w:lastRenderedPageBreak/>
        <w:t>El acto de adjudicación es irrevocable y obliga a la entidad y al adjudicatario</w:t>
      </w:r>
      <w:r w:rsidRPr="00D73E06">
        <w:rPr>
          <w:rFonts w:ascii="Verdana" w:eastAsia="Arial MT" w:hAnsi="Verdana" w:cs="Arial"/>
          <w:sz w:val="20"/>
          <w:szCs w:val="20"/>
          <w:lang w:eastAsia="es-ES" w:bidi="es-ES"/>
        </w:rPr>
        <w:t xml:space="preserve">”. (Énfasis fuera del texto) </w:t>
      </w:r>
    </w:p>
    <w:p w14:paraId="3BBCFBF1" w14:textId="77777777" w:rsidR="0085070A" w:rsidRPr="00DA1FE4" w:rsidRDefault="0085070A" w:rsidP="0085070A">
      <w:pPr>
        <w:spacing w:after="0" w:line="276" w:lineRule="auto"/>
        <w:jc w:val="both"/>
        <w:rPr>
          <w:rFonts w:ascii="Verdana" w:eastAsia="Arial MT" w:hAnsi="Verdana" w:cs="Arial"/>
          <w:lang w:eastAsia="es-ES" w:bidi="es-ES"/>
        </w:rPr>
      </w:pPr>
    </w:p>
    <w:p w14:paraId="5C1A2544" w14:textId="77777777" w:rsidR="0085070A" w:rsidRPr="00DA1FE4" w:rsidRDefault="0085070A" w:rsidP="0085070A">
      <w:pPr>
        <w:spacing w:after="0" w:line="276" w:lineRule="auto"/>
        <w:ind w:firstLine="708"/>
        <w:jc w:val="both"/>
        <w:rPr>
          <w:rFonts w:ascii="Verdana" w:eastAsia="Arial MT" w:hAnsi="Verdana" w:cs="Arial"/>
          <w:lang w:eastAsia="es-ES" w:bidi="es-ES"/>
        </w:rPr>
      </w:pPr>
      <w:r w:rsidRPr="00DA1FE4">
        <w:rPr>
          <w:rFonts w:ascii="Verdana" w:eastAsia="Arial MT" w:hAnsi="Verdana" w:cs="Arial"/>
          <w:lang w:eastAsia="es-ES" w:bidi="es-ES"/>
        </w:rPr>
        <w:t xml:space="preserve">Aunque el numeral citado fue derogado expresamente por la Ley 1150 de 2007 </w:t>
      </w:r>
      <w:r>
        <w:rPr>
          <w:rFonts w:ascii="Verdana" w:eastAsia="Arial MT" w:hAnsi="Verdana" w:cs="Arial"/>
          <w:lang w:eastAsia="es-ES" w:bidi="es-ES"/>
        </w:rPr>
        <w:t>–</w:t>
      </w:r>
      <w:r w:rsidRPr="00DA1FE4">
        <w:rPr>
          <w:rFonts w:ascii="Verdana" w:eastAsia="Arial MT" w:hAnsi="Verdana" w:cs="Arial"/>
          <w:lang w:eastAsia="es-ES" w:bidi="es-ES"/>
        </w:rPr>
        <w:t>artículo 32</w:t>
      </w:r>
      <w:r>
        <w:rPr>
          <w:rFonts w:ascii="Verdana" w:eastAsia="Arial MT" w:hAnsi="Verdana" w:cs="Arial"/>
          <w:lang w:eastAsia="es-ES" w:bidi="es-ES"/>
        </w:rPr>
        <w:t>–</w:t>
      </w:r>
      <w:r w:rsidRPr="00DA1FE4">
        <w:rPr>
          <w:rFonts w:ascii="Verdana" w:eastAsia="Arial MT" w:hAnsi="Verdana" w:cs="Arial"/>
          <w:lang w:eastAsia="es-ES" w:bidi="es-ES"/>
        </w:rPr>
        <w:t xml:space="preserve">, la misma norma o regla de derecho contenida allí fue reproducida, con algunas modificaciones importantes, por el artículo 9º de la Ley 1150, que dispone, en su inciso tercero, lo siguiente: </w:t>
      </w:r>
    </w:p>
    <w:p w14:paraId="72147DF0" w14:textId="77777777" w:rsidR="0085070A" w:rsidRPr="00DA1FE4" w:rsidRDefault="0085070A" w:rsidP="0085070A">
      <w:pPr>
        <w:spacing w:after="0" w:line="276" w:lineRule="auto"/>
        <w:jc w:val="both"/>
        <w:rPr>
          <w:rFonts w:ascii="Verdana" w:eastAsia="Arial MT" w:hAnsi="Verdana" w:cs="Arial"/>
          <w:sz w:val="20"/>
          <w:szCs w:val="20"/>
          <w:lang w:eastAsia="es-ES" w:bidi="es-ES"/>
        </w:rPr>
      </w:pPr>
    </w:p>
    <w:p w14:paraId="17305108" w14:textId="77777777" w:rsidR="0085070A" w:rsidRPr="00D73E06" w:rsidRDefault="0085070A" w:rsidP="0085070A">
      <w:pPr>
        <w:spacing w:after="0" w:line="240" w:lineRule="auto"/>
        <w:ind w:left="709" w:right="709"/>
        <w:jc w:val="both"/>
        <w:rPr>
          <w:rFonts w:ascii="Verdana" w:eastAsia="Arial MT" w:hAnsi="Verdana" w:cs="Arial"/>
          <w:sz w:val="20"/>
          <w:szCs w:val="20"/>
          <w:lang w:eastAsia="es-ES" w:bidi="es-ES"/>
        </w:rPr>
      </w:pPr>
      <w:r w:rsidRPr="00D73E06">
        <w:rPr>
          <w:rFonts w:ascii="Verdana" w:eastAsia="Arial MT" w:hAnsi="Verdana" w:cs="Arial"/>
          <w:sz w:val="20"/>
          <w:szCs w:val="20"/>
          <w:lang w:eastAsia="es-ES" w:bidi="es-ES"/>
        </w:rPr>
        <w:t xml:space="preserve">“Artículo 9o. De la adjudicación. […] </w:t>
      </w:r>
      <w:r w:rsidRPr="00D73E06">
        <w:rPr>
          <w:rFonts w:ascii="Verdana" w:eastAsia="Arial MT" w:hAnsi="Verdana" w:cs="Arial"/>
          <w:i/>
          <w:sz w:val="20"/>
          <w:szCs w:val="20"/>
          <w:lang w:eastAsia="es-ES" w:bidi="es-ES"/>
        </w:rPr>
        <w:t>El acto de adjudicación es irrevocable y obliga a la entidad y al adjudicatario.</w:t>
      </w:r>
      <w:r w:rsidRPr="00D73E06">
        <w:rPr>
          <w:rFonts w:ascii="Verdana" w:eastAsia="Arial MT" w:hAnsi="Verdana" w:cs="Arial"/>
          <w:sz w:val="20"/>
          <w:szCs w:val="20"/>
          <w:lang w:eastAsia="es-ES" w:bidi="es-ES"/>
        </w:rPr>
        <w:t xml:space="preserve"> No </w:t>
      </w:r>
      <w:proofErr w:type="gramStart"/>
      <w:r w:rsidRPr="00D73E06">
        <w:rPr>
          <w:rFonts w:ascii="Verdana" w:eastAsia="Arial MT" w:hAnsi="Verdana" w:cs="Arial"/>
          <w:sz w:val="20"/>
          <w:szCs w:val="20"/>
          <w:lang w:eastAsia="es-ES" w:bidi="es-ES"/>
        </w:rPr>
        <w:t>obstante</w:t>
      </w:r>
      <w:proofErr w:type="gramEnd"/>
      <w:r w:rsidRPr="00D73E06">
        <w:rPr>
          <w:rFonts w:ascii="Verdana" w:eastAsia="Arial MT" w:hAnsi="Verdana" w:cs="Arial"/>
          <w:sz w:val="20"/>
          <w:szCs w:val="20"/>
          <w:lang w:eastAsia="es-ES" w:bidi="es-ES"/>
        </w:rPr>
        <w:t xml:space="preserve"> lo anterior, si dentro del plazo comprendido entre la adjudicación del contrato y la suscripción </w:t>
      </w:r>
      <w:proofErr w:type="gramStart"/>
      <w:r w:rsidRPr="00D73E06">
        <w:rPr>
          <w:rFonts w:ascii="Verdana" w:eastAsia="Arial MT" w:hAnsi="Verdana" w:cs="Arial"/>
          <w:sz w:val="20"/>
          <w:szCs w:val="20"/>
          <w:lang w:eastAsia="es-ES" w:bidi="es-ES"/>
        </w:rPr>
        <w:t>del mismo</w:t>
      </w:r>
      <w:proofErr w:type="gramEnd"/>
      <w:r w:rsidRPr="00D73E06">
        <w:rPr>
          <w:rFonts w:ascii="Verdana" w:eastAsia="Arial MT" w:hAnsi="Verdana" w:cs="Arial"/>
          <w:sz w:val="20"/>
          <w:szCs w:val="20"/>
          <w:lang w:eastAsia="es-ES" w:bidi="es-ES"/>
        </w:rPr>
        <w:t>, sobreviene una inhabilidad o incompatibilidad o si se demuestra que el acto se obtuvo por medios ilegales, este podrá ser revocado, caso en el cual, la entidad podrá aplicar lo previsto en el inciso final del numeral 12 del artículo 30 de la Ley 80 de 1993. […]”. (Énfasis fuera del texto)</w:t>
      </w:r>
    </w:p>
    <w:p w14:paraId="33A168AA" w14:textId="77777777" w:rsidR="0085070A" w:rsidRPr="00DA1FE4" w:rsidRDefault="0085070A" w:rsidP="0085070A">
      <w:pPr>
        <w:spacing w:after="0" w:line="276" w:lineRule="auto"/>
        <w:ind w:left="709" w:right="709"/>
        <w:jc w:val="both"/>
        <w:rPr>
          <w:rFonts w:ascii="Verdana" w:eastAsia="Arial MT" w:hAnsi="Verdana" w:cs="Arial"/>
          <w:lang w:eastAsia="es-ES" w:bidi="es-ES"/>
        </w:rPr>
      </w:pPr>
    </w:p>
    <w:p w14:paraId="5239038B" w14:textId="77777777" w:rsidR="0085070A" w:rsidRPr="00DA1FE4" w:rsidRDefault="0085070A" w:rsidP="0085070A">
      <w:pPr>
        <w:spacing w:after="0" w:line="276" w:lineRule="auto"/>
        <w:ind w:firstLine="708"/>
        <w:jc w:val="both"/>
        <w:rPr>
          <w:rFonts w:ascii="Verdana" w:eastAsia="Arial MT" w:hAnsi="Verdana" w:cs="Arial"/>
          <w:lang w:eastAsia="es-ES" w:bidi="es-ES"/>
        </w:rPr>
      </w:pPr>
      <w:r w:rsidRPr="00DA1FE4">
        <w:rPr>
          <w:rFonts w:ascii="Verdana" w:eastAsia="Arial MT" w:hAnsi="Verdana" w:cs="Arial"/>
          <w:lang w:eastAsia="es-ES" w:bidi="es-ES"/>
        </w:rPr>
        <w:t xml:space="preserve">Sobre la obligatoriedad y la irrevocabilidad del acto de adjudicación la jurisprudencia del Consejo de Estado se ha manifestado en repetidas ocasiones. Así, por ejemplo, en </w:t>
      </w:r>
      <w:r>
        <w:rPr>
          <w:rFonts w:ascii="Verdana" w:eastAsia="Arial MT" w:hAnsi="Verdana" w:cs="Arial"/>
          <w:lang w:eastAsia="es-ES" w:bidi="es-ES"/>
        </w:rPr>
        <w:t>S</w:t>
      </w:r>
      <w:r w:rsidRPr="00DA1FE4">
        <w:rPr>
          <w:rFonts w:ascii="Verdana" w:eastAsia="Arial MT" w:hAnsi="Verdana" w:cs="Arial"/>
          <w:lang w:eastAsia="es-ES" w:bidi="es-ES"/>
        </w:rPr>
        <w:t xml:space="preserve">entencia del 13 de junio de 2011, la Sección Tercera sostuvo: </w:t>
      </w:r>
    </w:p>
    <w:p w14:paraId="7049D7C4" w14:textId="77777777" w:rsidR="0085070A" w:rsidRPr="00DA1FE4" w:rsidRDefault="0085070A" w:rsidP="00D73E06">
      <w:pPr>
        <w:spacing w:after="0" w:line="276" w:lineRule="auto"/>
        <w:ind w:left="709" w:right="709" w:firstLine="708"/>
        <w:jc w:val="both"/>
        <w:rPr>
          <w:rFonts w:ascii="Verdana" w:eastAsia="Arial MT" w:hAnsi="Verdana" w:cs="Arial"/>
          <w:lang w:eastAsia="es-ES" w:bidi="es-ES"/>
        </w:rPr>
      </w:pPr>
    </w:p>
    <w:p w14:paraId="5BE76619" w14:textId="63962704" w:rsidR="0085070A" w:rsidRDefault="0085070A" w:rsidP="004934D9">
      <w:pPr>
        <w:spacing w:after="0" w:line="240" w:lineRule="auto"/>
        <w:ind w:left="709" w:right="709"/>
        <w:jc w:val="both"/>
        <w:rPr>
          <w:rFonts w:ascii="Verdana" w:eastAsia="Arial MT" w:hAnsi="Verdana" w:cs="Arial"/>
          <w:sz w:val="20"/>
          <w:szCs w:val="20"/>
          <w:lang w:eastAsia="es-ES" w:bidi="es-ES"/>
        </w:rPr>
      </w:pPr>
      <w:r w:rsidRPr="00D73E06">
        <w:rPr>
          <w:rFonts w:ascii="Verdana" w:eastAsia="Arial MT" w:hAnsi="Verdana" w:cs="Arial"/>
          <w:sz w:val="20"/>
          <w:szCs w:val="20"/>
          <w:lang w:eastAsia="es-ES" w:bidi="es-ES"/>
        </w:rPr>
        <w:t xml:space="preserve">“[…] Sin embargo, conviene precisar que el acto de adjudicación, en tanto por él se acepta la oferta del oferente favorecido y se concluye el procedimiento licitatorio, en el derecho </w:t>
      </w:r>
      <w:proofErr w:type="gramStart"/>
      <w:r w:rsidRPr="00D73E06">
        <w:rPr>
          <w:rFonts w:ascii="Verdana" w:eastAsia="Arial MT" w:hAnsi="Verdana" w:cs="Arial"/>
          <w:sz w:val="20"/>
          <w:szCs w:val="20"/>
          <w:lang w:eastAsia="es-ES" w:bidi="es-ES"/>
        </w:rPr>
        <w:t>nacional</w:t>
      </w:r>
      <w:proofErr w:type="gramEnd"/>
      <w:r w:rsidRPr="00D73E06">
        <w:rPr>
          <w:rFonts w:ascii="Verdana" w:eastAsia="Arial MT" w:hAnsi="Verdana" w:cs="Arial"/>
          <w:sz w:val="20"/>
          <w:szCs w:val="20"/>
          <w:lang w:eastAsia="es-ES" w:bidi="es-ES"/>
        </w:rPr>
        <w:t xml:space="preserve"> aunque no perfecciona el vínculo jurídico en tratándose del contrato estatal, es presupuesto </w:t>
      </w:r>
      <w:r w:rsidRPr="00D73E06">
        <w:rPr>
          <w:rFonts w:ascii="Verdana" w:eastAsia="Arial MT" w:hAnsi="Verdana" w:cs="Arial"/>
          <w:i/>
          <w:sz w:val="20"/>
          <w:szCs w:val="20"/>
          <w:lang w:eastAsia="es-ES" w:bidi="es-ES"/>
        </w:rPr>
        <w:t>sine qua non</w:t>
      </w:r>
      <w:r w:rsidRPr="00D73E06">
        <w:rPr>
          <w:rFonts w:ascii="Verdana" w:eastAsia="Arial MT" w:hAnsi="Verdana" w:cs="Arial"/>
          <w:sz w:val="20"/>
          <w:szCs w:val="20"/>
          <w:lang w:eastAsia="es-ES" w:bidi="es-ES"/>
        </w:rPr>
        <w:t xml:space="preserve"> para la ulterior celebración del respectivo contrato, como que crea la obligación tanto para la administración como para el adjudicatario de elevar a escrito el acuerdo de voluntades. </w:t>
      </w:r>
    </w:p>
    <w:p w14:paraId="1263AE2E" w14:textId="77777777" w:rsidR="004934D9" w:rsidRPr="00D73E06" w:rsidRDefault="004934D9" w:rsidP="00D73E06">
      <w:pPr>
        <w:spacing w:after="0" w:line="240" w:lineRule="auto"/>
        <w:ind w:left="709" w:right="709"/>
        <w:jc w:val="both"/>
        <w:rPr>
          <w:rFonts w:ascii="Verdana" w:eastAsia="Arial MT" w:hAnsi="Verdana" w:cs="Arial"/>
          <w:sz w:val="20"/>
          <w:szCs w:val="20"/>
          <w:lang w:eastAsia="es-ES" w:bidi="es-ES"/>
        </w:rPr>
      </w:pPr>
    </w:p>
    <w:p w14:paraId="5744BC80" w14:textId="151DD981" w:rsidR="0085070A" w:rsidRDefault="0085070A" w:rsidP="004934D9">
      <w:pPr>
        <w:spacing w:after="0" w:line="240" w:lineRule="auto"/>
        <w:ind w:left="709" w:right="709"/>
        <w:jc w:val="both"/>
        <w:rPr>
          <w:rFonts w:ascii="Verdana" w:eastAsia="Arial MT" w:hAnsi="Verdana" w:cs="Arial"/>
          <w:sz w:val="20"/>
          <w:szCs w:val="20"/>
          <w:lang w:eastAsia="es-ES" w:bidi="es-ES"/>
        </w:rPr>
      </w:pPr>
      <w:r w:rsidRPr="00D73E06">
        <w:rPr>
          <w:rFonts w:ascii="Verdana" w:eastAsia="Arial MT" w:hAnsi="Verdana" w:cs="Arial"/>
          <w:sz w:val="20"/>
          <w:szCs w:val="20"/>
          <w:lang w:eastAsia="es-ES" w:bidi="es-ES"/>
        </w:rPr>
        <w:t xml:space="preserve">De modo que la suscripción no es sino la formalización de la voluntad administrativa de la entidad licitante expresada a lo largo de ese proceso y de la del </w:t>
      </w:r>
      <w:proofErr w:type="spellStart"/>
      <w:r w:rsidRPr="00D73E06">
        <w:rPr>
          <w:rFonts w:ascii="Verdana" w:eastAsia="Arial MT" w:hAnsi="Verdana" w:cs="Arial"/>
          <w:sz w:val="20"/>
          <w:szCs w:val="20"/>
          <w:lang w:eastAsia="es-ES" w:bidi="es-ES"/>
        </w:rPr>
        <w:t>co-contratante</w:t>
      </w:r>
      <w:proofErr w:type="spellEnd"/>
      <w:r w:rsidRPr="00D73E06">
        <w:rPr>
          <w:rFonts w:ascii="Verdana" w:eastAsia="Arial MT" w:hAnsi="Verdana" w:cs="Arial"/>
          <w:sz w:val="20"/>
          <w:szCs w:val="20"/>
          <w:lang w:eastAsia="es-ES" w:bidi="es-ES"/>
        </w:rPr>
        <w:t xml:space="preserve"> que formuló la oferta seleccionada, en lo que Alessi llama “fase integrativa”, con el fin de lograr el perfeccionamiento del contrato en los términos del artículo 41 de la Ley 80. Con esta perspectiva, el artículo 9º de la Ley 1150 de 2007 establece que el acto de adjudicación es irrevocable y obliga a la entidad y al adjudicatario.</w:t>
      </w:r>
    </w:p>
    <w:p w14:paraId="352DE595" w14:textId="77777777" w:rsidR="004934D9" w:rsidRPr="00D73E06" w:rsidRDefault="004934D9" w:rsidP="00D73E06">
      <w:pPr>
        <w:spacing w:after="0" w:line="240" w:lineRule="auto"/>
        <w:ind w:left="709" w:right="709"/>
        <w:jc w:val="both"/>
        <w:rPr>
          <w:rFonts w:ascii="Verdana" w:eastAsia="Arial MT" w:hAnsi="Verdana" w:cs="Arial"/>
          <w:sz w:val="20"/>
          <w:szCs w:val="20"/>
          <w:lang w:eastAsia="es-ES" w:bidi="es-ES"/>
        </w:rPr>
      </w:pPr>
    </w:p>
    <w:p w14:paraId="0300582A" w14:textId="3CCD560D" w:rsidR="0085070A" w:rsidRDefault="0085070A" w:rsidP="004934D9">
      <w:pPr>
        <w:spacing w:after="0" w:line="240" w:lineRule="auto"/>
        <w:ind w:left="709" w:right="709"/>
        <w:jc w:val="both"/>
        <w:rPr>
          <w:rFonts w:ascii="Verdana" w:eastAsia="Arial MT" w:hAnsi="Verdana" w:cs="Arial"/>
          <w:i/>
          <w:sz w:val="20"/>
          <w:szCs w:val="20"/>
          <w:lang w:eastAsia="es-ES" w:bidi="es-ES"/>
        </w:rPr>
      </w:pPr>
      <w:r w:rsidRPr="00D73E06">
        <w:rPr>
          <w:rFonts w:ascii="Verdana" w:eastAsia="Arial MT" w:hAnsi="Verdana" w:cs="Arial"/>
          <w:sz w:val="20"/>
          <w:szCs w:val="20"/>
          <w:lang w:eastAsia="es-ES" w:bidi="es-ES"/>
        </w:rPr>
        <w:t xml:space="preserve">Así lo había reconocido, de antaño, la jurisprudencia de esta Corporación: </w:t>
      </w:r>
      <w:r w:rsidRPr="00D73E06">
        <w:rPr>
          <w:rFonts w:ascii="Verdana" w:eastAsia="Arial MT" w:hAnsi="Verdana" w:cs="Arial"/>
          <w:i/>
          <w:sz w:val="20"/>
          <w:szCs w:val="20"/>
          <w:lang w:eastAsia="es-ES" w:bidi="es-ES"/>
        </w:rPr>
        <w:t xml:space="preserve">“Los efectos de la adjudicación son bien conocidos, como que se ha afirmado constantemente que, desde que ella se comunica, surge entre adjudicatario y </w:t>
      </w:r>
      <w:proofErr w:type="spellStart"/>
      <w:r w:rsidRPr="00D73E06">
        <w:rPr>
          <w:rFonts w:ascii="Verdana" w:eastAsia="Arial MT" w:hAnsi="Verdana" w:cs="Arial"/>
          <w:i/>
          <w:sz w:val="20"/>
          <w:szCs w:val="20"/>
          <w:lang w:eastAsia="es-ES" w:bidi="es-ES"/>
        </w:rPr>
        <w:t>adjudicante</w:t>
      </w:r>
      <w:proofErr w:type="spellEnd"/>
      <w:r w:rsidRPr="00D73E06">
        <w:rPr>
          <w:rFonts w:ascii="Verdana" w:eastAsia="Arial MT" w:hAnsi="Verdana" w:cs="Arial"/>
          <w:i/>
          <w:sz w:val="20"/>
          <w:szCs w:val="20"/>
          <w:lang w:eastAsia="es-ES" w:bidi="es-ES"/>
        </w:rPr>
        <w:t xml:space="preserve"> una situación contentiva de mutuos derechos </w:t>
      </w:r>
      <w:r w:rsidRPr="00D73E06">
        <w:rPr>
          <w:rFonts w:ascii="Verdana" w:eastAsia="Arial MT" w:hAnsi="Verdana" w:cs="Arial"/>
          <w:i/>
          <w:sz w:val="20"/>
          <w:szCs w:val="20"/>
          <w:lang w:eastAsia="es-ES" w:bidi="es-ES"/>
        </w:rPr>
        <w:lastRenderedPageBreak/>
        <w:t xml:space="preserve">y obligaciones, y de la que el contrato no viene a ser sino la forma instrumental o el acto formal”. </w:t>
      </w:r>
    </w:p>
    <w:p w14:paraId="2C6B1128" w14:textId="77777777" w:rsidR="004934D9" w:rsidRPr="00D73E06" w:rsidRDefault="004934D9" w:rsidP="00D73E06">
      <w:pPr>
        <w:spacing w:after="0" w:line="240" w:lineRule="auto"/>
        <w:ind w:left="709" w:right="709"/>
        <w:jc w:val="both"/>
        <w:rPr>
          <w:rFonts w:ascii="Verdana" w:eastAsia="Arial MT" w:hAnsi="Verdana" w:cs="Arial"/>
          <w:i/>
          <w:iCs/>
          <w:sz w:val="20"/>
          <w:szCs w:val="20"/>
          <w:lang w:eastAsia="es-ES" w:bidi="es-ES"/>
        </w:rPr>
      </w:pPr>
    </w:p>
    <w:p w14:paraId="3F42F8AF" w14:textId="77777777" w:rsidR="0085070A" w:rsidRPr="00DA1FE4" w:rsidRDefault="0085070A" w:rsidP="0085070A">
      <w:pPr>
        <w:spacing w:after="0" w:line="240" w:lineRule="auto"/>
        <w:ind w:left="709" w:right="709"/>
        <w:jc w:val="both"/>
        <w:rPr>
          <w:rFonts w:ascii="Verdana" w:eastAsia="Arial MT" w:hAnsi="Verdana" w:cs="Arial"/>
          <w:sz w:val="20"/>
          <w:szCs w:val="20"/>
          <w:lang w:eastAsia="es-ES" w:bidi="es-ES"/>
        </w:rPr>
      </w:pPr>
      <w:r w:rsidRPr="00D73E06">
        <w:rPr>
          <w:rFonts w:ascii="Verdana" w:eastAsia="Arial MT" w:hAnsi="Verdana" w:cs="Arial"/>
          <w:i/>
          <w:sz w:val="20"/>
          <w:szCs w:val="20"/>
          <w:lang w:eastAsia="es-ES" w:bidi="es-ES"/>
        </w:rPr>
        <w:t xml:space="preserve">Por manera que, el acto administrativo de adjudicación produce una serie de consecuencias jurídicas respecto de las partes intervinientes en el procedimiento: i) el derecho subjetivo del adjudicatario, como situación excluyente para contratar con el Estado; </w:t>
      </w:r>
      <w:proofErr w:type="spellStart"/>
      <w:r w:rsidRPr="00D73E06">
        <w:rPr>
          <w:rFonts w:ascii="Verdana" w:eastAsia="Arial MT" w:hAnsi="Verdana" w:cs="Arial"/>
          <w:i/>
          <w:sz w:val="20"/>
          <w:szCs w:val="20"/>
          <w:lang w:eastAsia="es-ES" w:bidi="es-ES"/>
        </w:rPr>
        <w:t>ii</w:t>
      </w:r>
      <w:proofErr w:type="spellEnd"/>
      <w:r w:rsidRPr="00D73E06">
        <w:rPr>
          <w:rFonts w:ascii="Verdana" w:eastAsia="Arial MT" w:hAnsi="Verdana" w:cs="Arial"/>
          <w:i/>
          <w:sz w:val="20"/>
          <w:szCs w:val="20"/>
          <w:lang w:eastAsia="es-ES" w:bidi="es-ES"/>
        </w:rPr>
        <w:t xml:space="preserve">) deber jurídico correlativo del licitante de contratar con el adjudicatario; </w:t>
      </w:r>
      <w:proofErr w:type="spellStart"/>
      <w:r w:rsidRPr="00D73E06">
        <w:rPr>
          <w:rFonts w:ascii="Verdana" w:eastAsia="Arial MT" w:hAnsi="Verdana" w:cs="Arial"/>
          <w:i/>
          <w:sz w:val="20"/>
          <w:szCs w:val="20"/>
          <w:lang w:eastAsia="es-ES" w:bidi="es-ES"/>
        </w:rPr>
        <w:t>iii</w:t>
      </w:r>
      <w:proofErr w:type="spellEnd"/>
      <w:r w:rsidRPr="00D73E06">
        <w:rPr>
          <w:rFonts w:ascii="Verdana" w:eastAsia="Arial MT" w:hAnsi="Verdana" w:cs="Arial"/>
          <w:i/>
          <w:sz w:val="20"/>
          <w:szCs w:val="20"/>
          <w:lang w:eastAsia="es-ES" w:bidi="es-ES"/>
        </w:rPr>
        <w:t>) mantenimiento inalterable de los pliegos de condiciones, entre otros, directamente entroncados con la celebración misma del negocio jurídico</w:t>
      </w:r>
      <w:r w:rsidRPr="00D73E06">
        <w:rPr>
          <w:rFonts w:ascii="Verdana" w:eastAsia="Arial MT" w:hAnsi="Verdana" w:cs="Arial"/>
          <w:sz w:val="20"/>
          <w:szCs w:val="20"/>
          <w:lang w:eastAsia="es-ES" w:bidi="es-ES"/>
        </w:rPr>
        <w:t>”</w:t>
      </w:r>
      <w:r w:rsidRPr="00D73E06">
        <w:rPr>
          <w:rStyle w:val="Refdenotaalpie"/>
          <w:rFonts w:ascii="Verdana" w:eastAsia="Arial MT" w:hAnsi="Verdana" w:cs="Arial"/>
          <w:sz w:val="20"/>
          <w:szCs w:val="20"/>
          <w:lang w:eastAsia="es-ES" w:bidi="es-ES"/>
        </w:rPr>
        <w:t xml:space="preserve"> </w:t>
      </w:r>
      <w:r w:rsidRPr="00D73E06">
        <w:rPr>
          <w:rStyle w:val="Refdenotaalpie"/>
          <w:rFonts w:ascii="Verdana" w:eastAsia="Arial MT" w:hAnsi="Verdana" w:cs="Arial"/>
          <w:sz w:val="20"/>
          <w:szCs w:val="20"/>
          <w:lang w:eastAsia="es-ES" w:bidi="es-ES"/>
        </w:rPr>
        <w:footnoteReference w:id="7"/>
      </w:r>
      <w:r w:rsidRPr="00D73E06">
        <w:rPr>
          <w:rFonts w:ascii="Verdana" w:eastAsia="Arial MT" w:hAnsi="Verdana" w:cs="Arial"/>
          <w:sz w:val="20"/>
          <w:szCs w:val="20"/>
          <w:lang w:eastAsia="es-ES" w:bidi="es-ES"/>
        </w:rPr>
        <w:t>.</w:t>
      </w:r>
      <w:r w:rsidRPr="00DA1FE4">
        <w:rPr>
          <w:rFonts w:ascii="Verdana" w:eastAsia="Arial MT" w:hAnsi="Verdana" w:cs="Arial"/>
          <w:sz w:val="20"/>
          <w:szCs w:val="20"/>
          <w:lang w:eastAsia="es-ES" w:bidi="es-ES"/>
        </w:rPr>
        <w:t xml:space="preserve"> (Énfasis fuera del texto)</w:t>
      </w:r>
    </w:p>
    <w:p w14:paraId="074B189D" w14:textId="77777777" w:rsidR="0085070A" w:rsidRPr="00DA1FE4" w:rsidRDefault="0085070A" w:rsidP="0085070A">
      <w:pPr>
        <w:spacing w:after="0" w:line="276" w:lineRule="auto"/>
        <w:ind w:left="709" w:right="709" w:firstLine="709"/>
        <w:jc w:val="both"/>
        <w:rPr>
          <w:rFonts w:ascii="Verdana" w:eastAsia="Arial MT" w:hAnsi="Verdana" w:cs="Arial"/>
          <w:lang w:eastAsia="es-ES" w:bidi="es-ES"/>
        </w:rPr>
      </w:pPr>
    </w:p>
    <w:p w14:paraId="66FBEAA4" w14:textId="77777777" w:rsidR="0085070A" w:rsidRDefault="0085070A" w:rsidP="0085070A">
      <w:pPr>
        <w:spacing w:after="0" w:line="276" w:lineRule="auto"/>
        <w:ind w:firstLine="709"/>
        <w:jc w:val="both"/>
        <w:rPr>
          <w:rFonts w:ascii="Verdana" w:eastAsia="Arial MT" w:hAnsi="Verdana" w:cs="Arial"/>
          <w:lang w:eastAsia="es-ES" w:bidi="es-ES"/>
        </w:rPr>
      </w:pPr>
      <w:r w:rsidRPr="00DA1FE4">
        <w:rPr>
          <w:rFonts w:ascii="Verdana" w:eastAsia="Arial MT" w:hAnsi="Verdana" w:cs="Arial"/>
          <w:lang w:eastAsia="es-ES" w:bidi="es-ES"/>
        </w:rPr>
        <w:t xml:space="preserve">Como se observa, el acto administrativo de adjudicación es irrevocable y obligatorio para las partes, lo que significa que produce el derecho del adjudicatario para contratar con el Estado y el correlativo deber de la entidad contratante de celebrar el contrato, en los términos fijados en los pliegos de condiciones. En este puno es necesario señalar que, tal regla tiene dos excepciones. Al respecto, el artículo 9 de la Ley 1150 de 2007 trajo consigo un cambio frente al numeral 11 del artículo 30 de la Ley 80, que consiste en prever dos excepciones a la irrevocabilidad del acto de adjudicación, que antes estaba consagrada en términos absolutos. Tales salvedades serán analizadas a continuación. </w:t>
      </w:r>
    </w:p>
    <w:p w14:paraId="69658AD7" w14:textId="77777777" w:rsidR="0085070A" w:rsidRDefault="0085070A" w:rsidP="0085070A">
      <w:pPr>
        <w:spacing w:after="0" w:line="276" w:lineRule="auto"/>
        <w:jc w:val="both"/>
        <w:rPr>
          <w:rFonts w:ascii="Verdana" w:eastAsia="Arial MT" w:hAnsi="Verdana" w:cs="Arial"/>
          <w:lang w:eastAsia="es-ES" w:bidi="es-ES"/>
        </w:rPr>
      </w:pPr>
    </w:p>
    <w:p w14:paraId="778C3E35" w14:textId="77777777" w:rsidR="0085070A" w:rsidRPr="00DA1FE4" w:rsidRDefault="0085070A" w:rsidP="0085070A">
      <w:pPr>
        <w:spacing w:after="120" w:line="276" w:lineRule="auto"/>
        <w:jc w:val="both"/>
        <w:rPr>
          <w:rFonts w:ascii="Verdana" w:hAnsi="Verdana" w:cs="Arial"/>
          <w:lang w:val="es-ES"/>
        </w:rPr>
      </w:pPr>
      <w:proofErr w:type="spellStart"/>
      <w:r>
        <w:rPr>
          <w:rFonts w:ascii="Verdana" w:eastAsia="Arial MT" w:hAnsi="Verdana" w:cs="Arial"/>
          <w:lang w:eastAsia="es-ES" w:bidi="es-ES"/>
        </w:rPr>
        <w:t>ii</w:t>
      </w:r>
      <w:proofErr w:type="spellEnd"/>
      <w:r>
        <w:rPr>
          <w:rFonts w:ascii="Verdana" w:eastAsia="Arial MT" w:hAnsi="Verdana" w:cs="Arial"/>
          <w:lang w:eastAsia="es-ES" w:bidi="es-ES"/>
        </w:rPr>
        <w:t xml:space="preserve">. </w:t>
      </w:r>
      <w:r w:rsidRPr="00DA1FE4">
        <w:rPr>
          <w:rFonts w:ascii="Verdana" w:hAnsi="Verdana" w:cs="Arial"/>
          <w:lang w:val="es-ES"/>
        </w:rPr>
        <w:t xml:space="preserve">La </w:t>
      </w:r>
      <w:r w:rsidRPr="00DA1FE4">
        <w:rPr>
          <w:rFonts w:ascii="Verdana" w:hAnsi="Verdana" w:cs="Arial"/>
          <w:i/>
          <w:iCs/>
          <w:lang w:val="es-ES"/>
        </w:rPr>
        <w:t>revocación directa</w:t>
      </w:r>
      <w:r w:rsidRPr="00DA1FE4">
        <w:rPr>
          <w:rFonts w:ascii="Verdana" w:hAnsi="Verdana" w:cs="Arial"/>
          <w:lang w:val="es-ES"/>
        </w:rPr>
        <w:t xml:space="preserve"> puede definirse como una de las especies de extinción de los actos administrativos en sede administrativa</w:t>
      </w:r>
      <w:r w:rsidRPr="00DA1FE4">
        <w:rPr>
          <w:rStyle w:val="Refdenotaalpie"/>
          <w:rFonts w:ascii="Verdana" w:hAnsi="Verdana" w:cs="Arial"/>
          <w:lang w:val="es-ES"/>
        </w:rPr>
        <w:footnoteReference w:id="8"/>
      </w:r>
      <w:r w:rsidRPr="00DA1FE4">
        <w:rPr>
          <w:rFonts w:ascii="Verdana" w:hAnsi="Verdana" w:cs="Arial"/>
          <w:lang w:val="es-ES"/>
        </w:rPr>
        <w:t xml:space="preserve">. Esta especie de extinción se diferencia de otras, pues “se trata de un mecanismo de extinción del acto administrativo y de sus efectos que opera por la voluntad de la propia administración. […] Esta figura debe distinguirse […] de la </w:t>
      </w:r>
      <w:r w:rsidRPr="00DA1FE4">
        <w:rPr>
          <w:rFonts w:ascii="Verdana" w:hAnsi="Verdana" w:cs="Arial"/>
          <w:i/>
          <w:iCs/>
          <w:lang w:val="es-ES"/>
        </w:rPr>
        <w:t xml:space="preserve">anulación, </w:t>
      </w:r>
      <w:r w:rsidRPr="00DA1FE4">
        <w:rPr>
          <w:rFonts w:ascii="Verdana" w:hAnsi="Verdana" w:cs="Arial"/>
          <w:lang w:val="es-ES"/>
        </w:rPr>
        <w:t>que es la desaparición o extinción del acto por decisión de autoridad jurisdiccional”</w:t>
      </w:r>
      <w:r w:rsidRPr="00DA1FE4">
        <w:rPr>
          <w:rStyle w:val="Refdenotaalpie"/>
          <w:rFonts w:ascii="Verdana" w:hAnsi="Verdana" w:cs="Arial"/>
          <w:lang w:val="es-ES"/>
        </w:rPr>
        <w:footnoteReference w:id="9"/>
      </w:r>
      <w:r w:rsidRPr="00DA1FE4">
        <w:rPr>
          <w:rFonts w:ascii="Verdana" w:hAnsi="Verdana" w:cs="Arial"/>
          <w:lang w:val="es-ES"/>
        </w:rPr>
        <w:t>. Adicionalmente, sobre la particular manera en que el legislador ha reglamentado la revocación directa en Colombia, debe decirse que se trata de un mecanismo unilateral de la administración, otorgado por el legislador para que esta revise sus propias decisiones</w:t>
      </w:r>
      <w:r w:rsidRPr="00DA1FE4">
        <w:rPr>
          <w:rStyle w:val="Refdenotaalpie"/>
          <w:rFonts w:ascii="Verdana" w:hAnsi="Verdana" w:cs="Arial"/>
          <w:lang w:val="es-ES"/>
        </w:rPr>
        <w:footnoteReference w:id="10"/>
      </w:r>
      <w:r w:rsidRPr="00DA1FE4">
        <w:rPr>
          <w:rFonts w:ascii="Verdana" w:hAnsi="Verdana" w:cs="Arial"/>
          <w:lang w:val="es-ES"/>
        </w:rPr>
        <w:t xml:space="preserve">. </w:t>
      </w:r>
    </w:p>
    <w:p w14:paraId="5A3B6ADE" w14:textId="77777777" w:rsidR="0085070A" w:rsidRPr="00DA1FE4" w:rsidRDefault="0085070A" w:rsidP="0085070A">
      <w:pPr>
        <w:spacing w:after="120" w:line="276" w:lineRule="auto"/>
        <w:ind w:firstLine="709"/>
        <w:jc w:val="both"/>
        <w:rPr>
          <w:rFonts w:ascii="Verdana" w:hAnsi="Verdana" w:cs="Arial"/>
          <w:lang w:val="es-ES"/>
        </w:rPr>
      </w:pPr>
      <w:r w:rsidRPr="00DA1FE4">
        <w:rPr>
          <w:rFonts w:ascii="Verdana" w:hAnsi="Verdana" w:cs="Arial"/>
          <w:lang w:val="es-ES"/>
        </w:rPr>
        <w:lastRenderedPageBreak/>
        <w:t xml:space="preserve">De acuerdo con lo anterior, puede afirmarse que la revocación de los propios actos es una de las prerrogativas otorgadas en el ordenamiento jurídico a las administraciones públicas para lograr el cumplimiento de sus finalidades. En ese marco conceptual es preciso señalar que una de las labores fundamentales del legislador cuando reconoce o crea una prerrogativa es compatibilizar su uso y ejercicio con los derechos de los administrados potencialmente involucrados o afectados. Por lo anterior, en las normas generales sobre procedimiento administrativo, o en otras normas especiales de derecho administrativo que contemplan la institución de la revocatoria directa, existe una decisión particular del legislador que da cuenta de la armonización que se ha hecho, para el caso particular, entre los derechos de los administrados y los intereses públicos en juego. </w:t>
      </w:r>
    </w:p>
    <w:p w14:paraId="347FAAFA" w14:textId="77777777" w:rsidR="0085070A" w:rsidRPr="00DA1FE4" w:rsidRDefault="0085070A" w:rsidP="0085070A">
      <w:pPr>
        <w:spacing w:after="120" w:line="276" w:lineRule="auto"/>
        <w:ind w:firstLine="709"/>
        <w:jc w:val="both"/>
        <w:rPr>
          <w:rFonts w:ascii="Verdana" w:hAnsi="Verdana" w:cs="Arial"/>
          <w:lang w:val="es-ES"/>
        </w:rPr>
      </w:pPr>
      <w:r w:rsidRPr="00DA1FE4">
        <w:rPr>
          <w:rFonts w:ascii="Verdana" w:hAnsi="Verdana" w:cs="Arial"/>
          <w:lang w:val="es-ES"/>
        </w:rPr>
        <w:t xml:space="preserve">El derogado Código de lo Contencioso Administrativo, Decreto 01 de 1984, preveía en su artículo 74 que cuando un acto administrativo hubiese creado o modificado una situación de carácter particular y concreto o reconocido un derecho, este no podría ser revocado sin el consentimiento expreso y escrito del respectivo titular. Ello era así, salvo cuando esos actos resultasen como consecuencia de la aplicación del silencio administrativo positivo y se evidenciaba una de las causales de revocación, o si fuese evidente que el acto ocurrió por medios ilegales. Es decir, que los actos administrativos de contenido particular eran en general irrevocables sin consentimiento del titular, salvo cuando se verificara alguna de las dos condiciones recién mencionadas que permitían su revocación, según lo normado por el artículo 74 del CCA.   </w:t>
      </w:r>
    </w:p>
    <w:p w14:paraId="20CF1AFB" w14:textId="77777777" w:rsidR="0085070A" w:rsidRPr="00DA1FE4" w:rsidRDefault="0085070A" w:rsidP="0085070A">
      <w:pPr>
        <w:spacing w:after="120" w:line="276" w:lineRule="auto"/>
        <w:ind w:firstLine="709"/>
        <w:jc w:val="both"/>
        <w:rPr>
          <w:rFonts w:ascii="Verdana" w:hAnsi="Verdana" w:cs="Arial"/>
          <w:lang w:val="es-ES"/>
        </w:rPr>
      </w:pPr>
      <w:r w:rsidRPr="00DA1FE4">
        <w:rPr>
          <w:rFonts w:ascii="Verdana" w:hAnsi="Verdana" w:cs="Arial"/>
          <w:lang w:val="es-ES"/>
        </w:rPr>
        <w:t xml:space="preserve">De otro lado, las disposiciones que regulaban la contratación estatal contenían una norma especial sobre la posibilidad de revocar el acto de adjudicación. El numeral 11 del artículo 30 de la Ley 80 de 1993, hoy derogado, disponía que “El acto de adjudicación es irrevocable y obliga a la entidad y al adjudicatario”. Nótese cómo la norma citada, sin lugar a duda, contiene un régimen de revocabilidad mucho más estricto que aquel contenido en las normas sobre procedimiento administrativo general vigente para ese entonces. Lo anterior es así, pues mientras el CCA admitía la revocación en dos casos –silencio administrativo y obtención por medios ilegales–, la Ley 80 de 1993 no permitía la revocación ni si quiera en esos casos, pues claramente postulaba la irrevocabilidad del acto de adjudicación en términos absolutos.  </w:t>
      </w:r>
    </w:p>
    <w:p w14:paraId="1AA45658" w14:textId="77777777" w:rsidR="004934D9" w:rsidRDefault="0085070A" w:rsidP="00D73E06">
      <w:pPr>
        <w:spacing w:after="120" w:line="276" w:lineRule="auto"/>
        <w:ind w:firstLine="709"/>
        <w:jc w:val="both"/>
        <w:rPr>
          <w:rFonts w:ascii="Verdana" w:hAnsi="Verdana" w:cs="Arial"/>
          <w:lang w:val="es-ES"/>
        </w:rPr>
      </w:pPr>
      <w:r w:rsidRPr="00DA1FE4">
        <w:rPr>
          <w:rFonts w:ascii="Verdana" w:hAnsi="Verdana" w:cs="Arial"/>
          <w:lang w:val="es-ES"/>
        </w:rPr>
        <w:lastRenderedPageBreak/>
        <w:t>Como se señaló anteriormente, la Ley 1150 de 2007, particularmente su artículo 9, reemplazó esta regla absoluta de irrevocabilidad y estableció dos excepciones. La primera, cuando entre la adjudicación y la suscripción del contrato sobreviene una inhabilidad o incompatibilidad y, la segunda, cuando se demuestra que el acto se obtuvo por medios ilegales. En estos casos, la norma prescribe que “este podrá ser revocado”</w:t>
      </w:r>
      <w:r w:rsidRPr="00DA1FE4">
        <w:rPr>
          <w:rStyle w:val="Refdenotaalpie"/>
          <w:rFonts w:ascii="Verdana" w:hAnsi="Verdana" w:cs="Arial"/>
          <w:lang w:val="es-ES"/>
        </w:rPr>
        <w:footnoteReference w:id="11"/>
      </w:r>
      <w:r w:rsidRPr="00DA1FE4">
        <w:rPr>
          <w:rFonts w:ascii="Verdana" w:hAnsi="Verdana" w:cs="Arial"/>
          <w:lang w:val="es-ES"/>
        </w:rPr>
        <w:t xml:space="preserve">. </w:t>
      </w:r>
    </w:p>
    <w:p w14:paraId="444AC0B6" w14:textId="06D0FDC6" w:rsidR="0085070A" w:rsidRPr="00DA1FE4" w:rsidRDefault="0085070A" w:rsidP="0085070A">
      <w:pPr>
        <w:spacing w:after="0" w:line="276" w:lineRule="auto"/>
        <w:ind w:firstLine="709"/>
        <w:jc w:val="both"/>
        <w:rPr>
          <w:rFonts w:ascii="Verdana" w:hAnsi="Verdana" w:cs="Arial"/>
          <w:lang w:val="es-ES"/>
        </w:rPr>
      </w:pPr>
      <w:r w:rsidRPr="00DA1FE4">
        <w:rPr>
          <w:rFonts w:ascii="Verdana" w:hAnsi="Verdana" w:cs="Arial"/>
          <w:lang w:val="es-ES"/>
        </w:rPr>
        <w:t>Sobre esta nueva regla de origen legal, el Consejo de Estado considera que:</w:t>
      </w:r>
    </w:p>
    <w:p w14:paraId="02CFE26F" w14:textId="77777777" w:rsidR="0085070A" w:rsidRPr="00DA1FE4" w:rsidRDefault="0085070A" w:rsidP="0085070A">
      <w:pPr>
        <w:spacing w:after="0" w:line="276" w:lineRule="auto"/>
        <w:jc w:val="both"/>
        <w:rPr>
          <w:rFonts w:ascii="Verdana" w:hAnsi="Verdana" w:cs="Arial"/>
          <w:lang w:val="es-ES"/>
        </w:rPr>
      </w:pPr>
    </w:p>
    <w:p w14:paraId="7C2E6768" w14:textId="77777777" w:rsidR="0085070A" w:rsidRPr="00D73E06" w:rsidRDefault="0085070A" w:rsidP="0085070A">
      <w:pPr>
        <w:spacing w:after="0" w:line="240" w:lineRule="auto"/>
        <w:ind w:left="709" w:right="709"/>
        <w:jc w:val="both"/>
        <w:rPr>
          <w:rFonts w:ascii="Verdana" w:hAnsi="Verdana" w:cs="Arial"/>
          <w:sz w:val="20"/>
          <w:szCs w:val="20"/>
          <w:lang w:val="es-ES"/>
        </w:rPr>
      </w:pPr>
      <w:r w:rsidRPr="00D73E06">
        <w:rPr>
          <w:rFonts w:ascii="Verdana" w:hAnsi="Verdana" w:cs="Arial"/>
          <w:sz w:val="20"/>
          <w:szCs w:val="20"/>
          <w:lang w:val="es-ES"/>
        </w:rPr>
        <w:t>“Como se observa, el cambio principal que trajo esta norma, frente al numeral 11 del artículo 30 de la Ley 80, consiste en prever dos excepciones a la irrevocabilidad del acto de adjudicación, que antes estaba consagrada en términos absolutos. Tales salvedades son: (i) cuando el adjudicatario incurre en una inhabilidad o incompatibilidad sobreviniente, esto es, posterior a la adjudicación y anterior a la celebración del contrato, y (</w:t>
      </w:r>
      <w:proofErr w:type="spellStart"/>
      <w:r w:rsidRPr="00D73E06">
        <w:rPr>
          <w:rFonts w:ascii="Verdana" w:hAnsi="Verdana" w:cs="Arial"/>
          <w:sz w:val="20"/>
          <w:szCs w:val="20"/>
          <w:lang w:val="es-ES"/>
        </w:rPr>
        <w:t>ii</w:t>
      </w:r>
      <w:proofErr w:type="spellEnd"/>
      <w:r w:rsidRPr="00D73E06">
        <w:rPr>
          <w:rFonts w:ascii="Verdana" w:hAnsi="Verdana" w:cs="Arial"/>
          <w:sz w:val="20"/>
          <w:szCs w:val="20"/>
          <w:lang w:val="es-ES"/>
        </w:rPr>
        <w:t>) cuando pueda demostrarse que la adjudicación “se obtuvo por medios ilegales”</w:t>
      </w:r>
      <w:r w:rsidRPr="00D73E06">
        <w:rPr>
          <w:rStyle w:val="Refdenotaalpie"/>
          <w:rFonts w:ascii="Verdana" w:hAnsi="Verdana" w:cs="Arial"/>
          <w:sz w:val="20"/>
          <w:szCs w:val="20"/>
          <w:lang w:val="es-ES"/>
        </w:rPr>
        <w:footnoteReference w:id="12"/>
      </w:r>
      <w:r w:rsidRPr="00D73E06">
        <w:rPr>
          <w:rFonts w:ascii="Verdana" w:hAnsi="Verdana" w:cs="Arial"/>
          <w:sz w:val="20"/>
          <w:szCs w:val="20"/>
          <w:lang w:val="es-ES"/>
        </w:rPr>
        <w:t>.</w:t>
      </w:r>
    </w:p>
    <w:p w14:paraId="1B41EBA2" w14:textId="77777777" w:rsidR="0085070A" w:rsidRPr="00DA1FE4" w:rsidRDefault="0085070A" w:rsidP="0085070A">
      <w:pPr>
        <w:spacing w:after="0"/>
        <w:ind w:left="709" w:right="709"/>
        <w:jc w:val="both"/>
        <w:rPr>
          <w:rFonts w:ascii="Verdana" w:hAnsi="Verdana" w:cs="Arial"/>
          <w:lang w:val="es-ES"/>
        </w:rPr>
      </w:pPr>
    </w:p>
    <w:p w14:paraId="4AF97127" w14:textId="2D913766" w:rsidR="0085070A" w:rsidRPr="00DA1FE4" w:rsidRDefault="0085070A" w:rsidP="0085070A">
      <w:pPr>
        <w:spacing w:after="120" w:line="276" w:lineRule="auto"/>
        <w:ind w:firstLine="709"/>
        <w:jc w:val="both"/>
        <w:rPr>
          <w:rFonts w:ascii="Verdana" w:hAnsi="Verdana" w:cs="Arial"/>
          <w:lang w:val="es-ES"/>
        </w:rPr>
      </w:pPr>
      <w:r w:rsidRPr="00DA1FE4">
        <w:rPr>
          <w:rFonts w:ascii="Verdana" w:hAnsi="Verdana" w:cs="Arial"/>
          <w:lang w:val="es-ES"/>
        </w:rPr>
        <w:t>Con base en lo dicho puede afirmarse que</w:t>
      </w:r>
      <w:r w:rsidR="004934D9">
        <w:rPr>
          <w:rFonts w:ascii="Verdana" w:hAnsi="Verdana" w:cs="Arial"/>
          <w:lang w:val="es-ES"/>
        </w:rPr>
        <w:t>,</w:t>
      </w:r>
      <w:r w:rsidRPr="00DA1FE4">
        <w:rPr>
          <w:rFonts w:ascii="Verdana" w:hAnsi="Verdana" w:cs="Arial"/>
          <w:lang w:val="es-ES"/>
        </w:rPr>
        <w:t xml:space="preserve"> las normas vigentes en materia de contratación estatal prevén que el acto de adjudicación es por regla general irrevocable, salvo en las dos situaciones previstas por el artículo 9 de la Ley 1150 de 2007, en cuyo caso la entidad estatal podrá revocarlo. Se considera importante hacer énfasis en el hecho de que la norma utiliza el verbo </w:t>
      </w:r>
      <w:r w:rsidRPr="00DA1FE4">
        <w:rPr>
          <w:rFonts w:ascii="Verdana" w:hAnsi="Verdana" w:cs="Arial"/>
          <w:i/>
          <w:iCs/>
          <w:lang w:val="es-ES"/>
        </w:rPr>
        <w:t>podrá</w:t>
      </w:r>
      <w:r w:rsidRPr="00DA1FE4">
        <w:rPr>
          <w:rFonts w:ascii="Verdana" w:hAnsi="Verdana" w:cs="Arial"/>
          <w:lang w:val="es-ES"/>
        </w:rPr>
        <w:t xml:space="preserve">, sin </w:t>
      </w:r>
      <w:r w:rsidRPr="00DA1FE4">
        <w:rPr>
          <w:rFonts w:ascii="Verdana" w:hAnsi="Verdana" w:cs="Arial"/>
          <w:lang w:val="es-ES"/>
        </w:rPr>
        <w:lastRenderedPageBreak/>
        <w:t xml:space="preserve">indicación de ningún requisito adicional para el ejercicio de la prerrogativa de revocación del acto de adjudicación. </w:t>
      </w:r>
    </w:p>
    <w:p w14:paraId="5E76D40F" w14:textId="77777777" w:rsidR="0085070A" w:rsidRPr="00DA1FE4" w:rsidRDefault="0085070A" w:rsidP="0085070A">
      <w:pPr>
        <w:spacing w:after="0" w:line="276" w:lineRule="auto"/>
        <w:ind w:firstLine="709"/>
        <w:jc w:val="both"/>
        <w:rPr>
          <w:rFonts w:ascii="Verdana" w:hAnsi="Verdana" w:cs="Arial"/>
          <w:lang w:val="es-ES"/>
        </w:rPr>
      </w:pPr>
      <w:r w:rsidRPr="00DA1FE4">
        <w:rPr>
          <w:rFonts w:ascii="Verdana" w:hAnsi="Verdana" w:cs="Arial"/>
          <w:lang w:val="es-ES"/>
        </w:rPr>
        <w:t>Esta conclusión permanece inalterada a pesar de que han cambiado las reglas de procedimiento administrativo generales en materia de revocatoria de loa actos administrativos. El CPACA estableció un régimen jurídico para la revocación de actos de carácter particular y concreto mucho más estricto que el contenido en el antiguo CCA y que, en alguna medida, se asemeja al que consagrase en su momento el texto original de la Ley 80 de 1993. En efecto, el artículo 97 de la Ley 1437 de 2013 dispone lo siguiente:</w:t>
      </w:r>
    </w:p>
    <w:p w14:paraId="0FB23D10" w14:textId="77777777" w:rsidR="0085070A" w:rsidRPr="00DA1FE4" w:rsidRDefault="0085070A" w:rsidP="0085070A">
      <w:pPr>
        <w:spacing w:after="0" w:line="276" w:lineRule="auto"/>
        <w:ind w:left="709" w:right="760"/>
        <w:jc w:val="both"/>
        <w:rPr>
          <w:rFonts w:ascii="Verdana" w:hAnsi="Verdana" w:cs="Arial"/>
          <w:lang w:val="es-ES"/>
        </w:rPr>
      </w:pPr>
    </w:p>
    <w:p w14:paraId="43DD3AB8" w14:textId="77777777" w:rsidR="0085070A" w:rsidRPr="00D73E06" w:rsidRDefault="0085070A" w:rsidP="0085070A">
      <w:pPr>
        <w:spacing w:after="120" w:line="240" w:lineRule="auto"/>
        <w:ind w:left="709" w:right="760"/>
        <w:jc w:val="both"/>
        <w:rPr>
          <w:rFonts w:ascii="Verdana" w:hAnsi="Verdana" w:cs="Arial"/>
          <w:sz w:val="20"/>
          <w:szCs w:val="20"/>
          <w:lang w:val="es-ES"/>
        </w:rPr>
      </w:pPr>
      <w:r w:rsidRPr="00D73E06">
        <w:rPr>
          <w:rFonts w:ascii="Verdana" w:hAnsi="Verdana" w:cs="Arial"/>
          <w:sz w:val="20"/>
          <w:szCs w:val="20"/>
          <w:lang w:val="es-ES"/>
        </w:rPr>
        <w:t>“Artículo 97. Revocación de actos de carácter particular y concreto. Salvo las excepciones establecidas en la ley, cuando un acto administrativo, bien sea expreso o ficto, haya creado o modificado una situación jurídica de carácter particular y concreto o reconocido un derecho de igual categoría, no podrá ser revocado sin el consentimiento previo, expreso y escrito del respectivo titular.</w:t>
      </w:r>
    </w:p>
    <w:p w14:paraId="19228F9F" w14:textId="77777777" w:rsidR="0085070A" w:rsidRPr="00D73E06" w:rsidRDefault="0085070A" w:rsidP="0085070A">
      <w:pPr>
        <w:spacing w:after="120" w:line="240" w:lineRule="auto"/>
        <w:ind w:left="709" w:right="760"/>
        <w:jc w:val="both"/>
        <w:rPr>
          <w:rFonts w:ascii="Verdana" w:hAnsi="Verdana" w:cs="Arial"/>
          <w:sz w:val="20"/>
          <w:szCs w:val="20"/>
          <w:lang w:val="es-ES"/>
        </w:rPr>
      </w:pPr>
      <w:r w:rsidRPr="00D73E06">
        <w:rPr>
          <w:rFonts w:ascii="Verdana" w:hAnsi="Verdana" w:cs="Arial"/>
          <w:sz w:val="20"/>
          <w:szCs w:val="20"/>
          <w:lang w:val="es-ES"/>
        </w:rPr>
        <w:t>Si el titular niega su consentimiento y la autoridad considera que el acto es contrario a la Constitución o a la ley, deberá demandarlo ante la Jurisdicción de lo Contencioso Administrativo.</w:t>
      </w:r>
    </w:p>
    <w:p w14:paraId="5DEC7404" w14:textId="77777777" w:rsidR="0085070A" w:rsidRPr="00D73E06" w:rsidRDefault="0085070A" w:rsidP="0085070A">
      <w:pPr>
        <w:spacing w:after="120" w:line="240" w:lineRule="auto"/>
        <w:ind w:left="709" w:right="760"/>
        <w:jc w:val="both"/>
        <w:rPr>
          <w:rFonts w:ascii="Verdana" w:hAnsi="Verdana" w:cs="Arial"/>
          <w:sz w:val="20"/>
          <w:szCs w:val="20"/>
          <w:lang w:val="es-ES"/>
        </w:rPr>
      </w:pPr>
      <w:r w:rsidRPr="00D73E06">
        <w:rPr>
          <w:rFonts w:ascii="Verdana" w:hAnsi="Verdana" w:cs="Arial"/>
          <w:sz w:val="20"/>
          <w:szCs w:val="20"/>
          <w:lang w:val="es-ES"/>
        </w:rPr>
        <w:t>Si la Administración considera que el acto ocurrió por medios ilegales o fraudulentos lo demandará sin acudir al procedimiento previo de conciliación y solicitará al juez su suspensión provisional.</w:t>
      </w:r>
    </w:p>
    <w:p w14:paraId="532BB291" w14:textId="77777777" w:rsidR="0085070A" w:rsidRPr="00D73E06" w:rsidRDefault="0085070A" w:rsidP="0085070A">
      <w:pPr>
        <w:spacing w:after="0" w:line="240" w:lineRule="auto"/>
        <w:ind w:left="709" w:right="760"/>
        <w:jc w:val="both"/>
        <w:rPr>
          <w:rFonts w:ascii="Verdana" w:hAnsi="Verdana" w:cs="Arial"/>
          <w:sz w:val="20"/>
          <w:szCs w:val="20"/>
          <w:lang w:val="es-ES"/>
        </w:rPr>
      </w:pPr>
      <w:r w:rsidRPr="00D73E06">
        <w:rPr>
          <w:rFonts w:ascii="Verdana" w:hAnsi="Verdana" w:cs="Arial"/>
          <w:sz w:val="20"/>
          <w:szCs w:val="20"/>
          <w:lang w:val="es-ES"/>
        </w:rPr>
        <w:t>PARÁGRAFO. En el trámite de la revocación directa se garantizarán los derechos de audiencia y defensa”.</w:t>
      </w:r>
    </w:p>
    <w:p w14:paraId="4E6E3AD8" w14:textId="77777777" w:rsidR="0085070A" w:rsidRPr="00DA1FE4" w:rsidRDefault="0085070A" w:rsidP="0085070A">
      <w:pPr>
        <w:spacing w:after="0" w:line="276" w:lineRule="auto"/>
        <w:jc w:val="both"/>
        <w:rPr>
          <w:rFonts w:ascii="Verdana" w:hAnsi="Verdana" w:cs="Arial"/>
          <w:lang w:val="es-ES"/>
        </w:rPr>
      </w:pPr>
    </w:p>
    <w:p w14:paraId="75D445F5" w14:textId="77777777" w:rsidR="0085070A" w:rsidRPr="00DA1FE4" w:rsidRDefault="0085070A" w:rsidP="0085070A">
      <w:pPr>
        <w:spacing w:after="120" w:line="276" w:lineRule="auto"/>
        <w:jc w:val="both"/>
        <w:rPr>
          <w:rFonts w:ascii="Verdana" w:hAnsi="Verdana" w:cs="Arial"/>
          <w:lang w:val="es-ES"/>
        </w:rPr>
      </w:pPr>
      <w:r w:rsidRPr="00DA1FE4">
        <w:rPr>
          <w:rFonts w:ascii="Verdana" w:hAnsi="Verdana" w:cs="Arial"/>
          <w:lang w:val="es-ES"/>
        </w:rPr>
        <w:tab/>
        <w:t xml:space="preserve">Son varios los aspectos de esta norma sobre los cuales debe llamarse la atención. El artículo claramente prevé una regla general y “absoluta” de irrevocabilidad, pues ningún acto puede ser revocado, en aplicación del CPACA, sin consentimiento previo, expreso y escrito del respectivo titular. Ello es así incluso si el acto ocurrió por medios ilegales, en cuyo caso solamente se autoriza a la Administración a no acudir al procedimiento previo de conciliación y a solicitar al juez su suspensión provisional. Las reglas del CPACA tampoco establecieron excepción, como lo hiciera el CCA, para los actos administrativos fictos producidos como consecuencia de un silencio administrativo positivo y en los cuales se evidenciaba una causal de revocación. </w:t>
      </w:r>
    </w:p>
    <w:p w14:paraId="6B8CD1DF" w14:textId="77777777" w:rsidR="0085070A" w:rsidRPr="00DA1FE4" w:rsidRDefault="0085070A" w:rsidP="0085070A">
      <w:pPr>
        <w:spacing w:after="120" w:line="276" w:lineRule="auto"/>
        <w:ind w:firstLine="720"/>
        <w:jc w:val="both"/>
        <w:rPr>
          <w:rFonts w:ascii="Verdana" w:hAnsi="Verdana" w:cs="Arial"/>
          <w:lang w:val="es-ES"/>
        </w:rPr>
      </w:pPr>
      <w:r w:rsidRPr="00DA1FE4">
        <w:rPr>
          <w:rFonts w:ascii="Verdana" w:hAnsi="Verdana" w:cs="Arial"/>
          <w:lang w:val="es-ES"/>
        </w:rPr>
        <w:t xml:space="preserve">En todos los casos en los cuales la norma aplicable sea el CPACA, entonces, se debe recurrir a demandar el acto administrativo de carácter </w:t>
      </w:r>
      <w:r w:rsidRPr="00DA1FE4">
        <w:rPr>
          <w:rFonts w:ascii="Verdana" w:hAnsi="Verdana" w:cs="Arial"/>
          <w:lang w:val="es-ES"/>
        </w:rPr>
        <w:lastRenderedPageBreak/>
        <w:t xml:space="preserve">particular cuando quiera que no se obtenga la autorización expresa del titular para proceder a la revocación. Dicho ello, no puede perderse de vista que la primera frase del artículo 97 del CPACA es “salvo las excepciones establecidas en la ley”. Esto quiere decir que la ley puede contemplar en normas especiales “excepciones” a la regla absoluta de irrevocabilidad sin el consentimiento del destinatario del acto que contiene el Código en mención. </w:t>
      </w:r>
    </w:p>
    <w:p w14:paraId="145C3A3F" w14:textId="77777777" w:rsidR="0085070A" w:rsidRPr="00DA1FE4" w:rsidRDefault="0085070A" w:rsidP="0085070A">
      <w:pPr>
        <w:spacing w:after="120" w:line="276" w:lineRule="auto"/>
        <w:jc w:val="both"/>
        <w:rPr>
          <w:rFonts w:ascii="Verdana" w:hAnsi="Verdana" w:cs="Arial"/>
          <w:lang w:val="es-ES"/>
        </w:rPr>
      </w:pPr>
      <w:r w:rsidRPr="00DA1FE4">
        <w:rPr>
          <w:rFonts w:ascii="Verdana" w:hAnsi="Verdana" w:cs="Arial"/>
          <w:lang w:val="es-ES"/>
        </w:rPr>
        <w:tab/>
        <w:t xml:space="preserve">Esta regla del artículo 97 </w:t>
      </w:r>
      <w:proofErr w:type="spellStart"/>
      <w:r w:rsidRPr="00DA1FE4">
        <w:rPr>
          <w:rFonts w:ascii="Verdana" w:hAnsi="Verdana" w:cs="Arial"/>
          <w:i/>
          <w:iCs/>
          <w:lang w:val="es-ES"/>
        </w:rPr>
        <w:t>ibídem</w:t>
      </w:r>
      <w:proofErr w:type="spellEnd"/>
      <w:r w:rsidRPr="00DA1FE4">
        <w:rPr>
          <w:rFonts w:ascii="Verdana" w:hAnsi="Verdana" w:cs="Arial"/>
          <w:i/>
          <w:iCs/>
          <w:lang w:val="es-ES"/>
        </w:rPr>
        <w:t xml:space="preserve"> </w:t>
      </w:r>
      <w:r w:rsidRPr="00DA1FE4">
        <w:rPr>
          <w:rFonts w:ascii="Verdana" w:hAnsi="Verdana" w:cs="Arial"/>
          <w:lang w:val="es-ES"/>
        </w:rPr>
        <w:t xml:space="preserve">se ajusta perfectamente a la lógica de procedimiento general que tiene el CPACA, cuyas funciones son servir como fuente para llenar vacíos en leyes especiales sobre procedimientos, y ser aplicadas ante la ausencia total de una norma especial. En ese orden de ideas, si una norma especial prevé la posibilidad de realizar la revocación directa, no será necesario recurrir a las normas generales de procedimiento, pues existiría una norma especial que regula la materia y no se evidencia la existencia de un vacío que requiera ser llenado. La diferencia en el régimen jurídico contenido en las normas del CPACA y de la Ley 1150 de 2007 da cuenta del ejercicio de la libertad de configuración del legislador, que adoptó para los dos casos decisiones diferentes teniendo en cuenta los intereses públicos en juego y la tensión entre estos y los derechos de los administrados. </w:t>
      </w:r>
    </w:p>
    <w:p w14:paraId="31333B75" w14:textId="77777777" w:rsidR="0085070A" w:rsidRPr="00DA1FE4" w:rsidRDefault="0085070A" w:rsidP="0085070A">
      <w:pPr>
        <w:spacing w:after="120" w:line="276" w:lineRule="auto"/>
        <w:jc w:val="both"/>
        <w:rPr>
          <w:rFonts w:ascii="Verdana" w:hAnsi="Verdana" w:cs="Arial"/>
          <w:lang w:val="es-ES"/>
        </w:rPr>
      </w:pPr>
      <w:r w:rsidRPr="00DA1FE4">
        <w:rPr>
          <w:rFonts w:ascii="Verdana" w:hAnsi="Verdana" w:cs="Arial"/>
          <w:lang w:val="es-ES"/>
        </w:rPr>
        <w:tab/>
        <w:t>Con base en las anteriores consideraciones es posible concluir que, para revocar el acto administrativo de adjudicación de un contrato estatal, cuando se verifique alguna de las dos causales que lo permiten, según el artículo 9, inciso tercero, de la Ley 1150 de 2007, no es necesario obtener “consentimiento previo, expreso y escrito del respectivo” adjudicatario, como lo ordena el artículo 97 del CPACA. Lo anterior es así, pues el artículo 9 de la Ley 1150 de 2007 consagra un régimen especial de revocatoria directa del acto de adjudicación que no exige permiso del titular. La ausencia de una regla en ese sentido, en el entendido de esta Subdirección, no puede interpretarse como un vacío que deba ser llenado con el CPACA, sino como un régimen jurídico diferente: situación análoga a la que en su momento ocurría con los regímenes de la Ley 80 de 1993 y el CCA.</w:t>
      </w:r>
    </w:p>
    <w:p w14:paraId="157CD6AA" w14:textId="77777777" w:rsidR="0085070A" w:rsidRPr="00DA1FE4" w:rsidRDefault="0085070A" w:rsidP="0085070A">
      <w:pPr>
        <w:spacing w:after="120" w:line="276" w:lineRule="auto"/>
        <w:jc w:val="both"/>
        <w:rPr>
          <w:rFonts w:ascii="Verdana" w:hAnsi="Verdana" w:cs="Arial"/>
          <w:lang w:val="es-ES"/>
        </w:rPr>
      </w:pPr>
      <w:r w:rsidRPr="00DA1FE4">
        <w:rPr>
          <w:rFonts w:ascii="Verdana" w:hAnsi="Verdana" w:cs="Arial"/>
          <w:lang w:val="es-ES"/>
        </w:rPr>
        <w:tab/>
        <w:t xml:space="preserve">Ahora bien, lo anterior quiere decir que, en términos prácticos, la Entidad Estatal debe respetar el debido proceso del adjudicatario cuando pretenda establecer si i) ha sobrevenido una causal de inhabilidad e incompatibilidad entre el acto de adjudicación y la suscripción del contrato o </w:t>
      </w:r>
      <w:proofErr w:type="spellStart"/>
      <w:r w:rsidRPr="00DA1FE4">
        <w:rPr>
          <w:rFonts w:ascii="Verdana" w:hAnsi="Verdana" w:cs="Arial"/>
          <w:lang w:val="es-ES"/>
        </w:rPr>
        <w:t>ii</w:t>
      </w:r>
      <w:proofErr w:type="spellEnd"/>
      <w:r w:rsidRPr="00DA1FE4">
        <w:rPr>
          <w:rFonts w:ascii="Verdana" w:hAnsi="Verdana" w:cs="Arial"/>
          <w:lang w:val="es-ES"/>
        </w:rPr>
        <w:t xml:space="preserve">) si el acto de adjudicación se obtuvo por medios ilegales. En otros términos, con el objeto de verificar la </w:t>
      </w:r>
      <w:r w:rsidRPr="00DA1FE4">
        <w:rPr>
          <w:rFonts w:ascii="Verdana" w:hAnsi="Verdana" w:cs="Arial"/>
          <w:lang w:val="es-ES"/>
        </w:rPr>
        <w:lastRenderedPageBreak/>
        <w:t xml:space="preserve">existencia de alguna de las causales que permite la revocación directa del acto de adjudicación, la Entidad Estatal debe llevar a cabo un procedimiento administrativo en el cual se respeten las garantías de que trata el artículo 29 superior y en particular los derechos de audiencia y defensa del adjudicatario. Sin embargo, a la finalización de ese procedimiento administrativo, si la Administración verifica la ocurrencia de alguna de estas situaciones, puede proceder a la revocación del acto administrativo de adjudicación incluso si el adjudicatario no otorga su consentimiento para ello. </w:t>
      </w:r>
    </w:p>
    <w:p w14:paraId="71440575" w14:textId="77777777" w:rsidR="0085070A" w:rsidRDefault="0085070A" w:rsidP="0085070A">
      <w:pPr>
        <w:spacing w:after="0" w:line="276" w:lineRule="auto"/>
        <w:ind w:firstLine="708"/>
        <w:jc w:val="both"/>
        <w:rPr>
          <w:rFonts w:ascii="Verdana" w:hAnsi="Verdana" w:cs="Arial"/>
        </w:rPr>
      </w:pPr>
      <w:r w:rsidRPr="00DA1FE4">
        <w:rPr>
          <w:rFonts w:ascii="Verdana" w:hAnsi="Verdana" w:cs="Arial"/>
        </w:rPr>
        <w:t>Del recuento legal y jurisprudencial efectuado hasta ahora en relación con el acto de adjudicación del contrato estatal, se concluye claramente que, en la actualidad, dicho acto administrativo solamente puede ser revocado cuando se presente alguna de las dos situaciones descritas en el artículo 9º de la Ley 1150 de 2007, o ambas causales simultáneamente, razón por la cual podría afirmarse, en principio, que únicamente en esos casos la Entidad Estatal que ha hecho la adjudicación no estaría obligada a celebrar el respectivo contrato.</w:t>
      </w:r>
    </w:p>
    <w:p w14:paraId="59924134" w14:textId="77777777" w:rsidR="0085070A" w:rsidRDefault="0085070A" w:rsidP="0085070A">
      <w:pPr>
        <w:spacing w:after="0" w:line="276" w:lineRule="auto"/>
        <w:jc w:val="both"/>
        <w:rPr>
          <w:rFonts w:ascii="Verdana" w:eastAsia="Calibri" w:hAnsi="Verdana" w:cs="Arial"/>
          <w:color w:val="000000"/>
          <w:szCs w:val="24"/>
          <w:lang w:eastAsia="es-ES_tradnl"/>
        </w:rPr>
      </w:pPr>
    </w:p>
    <w:p w14:paraId="5ADC50B7" w14:textId="77777777" w:rsidR="0085070A" w:rsidRPr="00666B6A" w:rsidRDefault="0085070A" w:rsidP="0085070A">
      <w:pPr>
        <w:spacing w:after="120" w:line="276" w:lineRule="auto"/>
        <w:jc w:val="both"/>
        <w:rPr>
          <w:rFonts w:ascii="Verdana" w:hAnsi="Verdana" w:cs="Arial"/>
        </w:rPr>
      </w:pPr>
      <w:proofErr w:type="spellStart"/>
      <w:r>
        <w:rPr>
          <w:rFonts w:ascii="Verdana" w:eastAsia="Calibri" w:hAnsi="Verdana" w:cs="Arial"/>
          <w:color w:val="000000"/>
          <w:szCs w:val="24"/>
          <w:lang w:eastAsia="es-ES_tradnl"/>
        </w:rPr>
        <w:t>iii</w:t>
      </w:r>
      <w:proofErr w:type="spellEnd"/>
      <w:r>
        <w:rPr>
          <w:rFonts w:ascii="Verdana" w:eastAsia="Calibri" w:hAnsi="Verdana" w:cs="Arial"/>
          <w:color w:val="000000"/>
          <w:szCs w:val="24"/>
          <w:lang w:eastAsia="es-ES_tradnl"/>
        </w:rPr>
        <w:t xml:space="preserve">. </w:t>
      </w:r>
      <w:r w:rsidRPr="00E86D5D">
        <w:rPr>
          <w:rFonts w:ascii="Verdana" w:eastAsia="Calibri" w:hAnsi="Verdana" w:cs="Arial"/>
          <w:lang w:val="es-ES"/>
        </w:rPr>
        <w:t>Tratándose de las entidades sometidas a la Ley 80 de 1993</w:t>
      </w:r>
      <w:r w:rsidRPr="00666B6A">
        <w:rPr>
          <w:rFonts w:ascii="Verdana" w:eastAsia="Calibri" w:hAnsi="Verdana" w:cs="Arial"/>
          <w:lang w:val="es-ES"/>
        </w:rPr>
        <w:t xml:space="preserve">, </w:t>
      </w:r>
      <w:r w:rsidRPr="00FB2E1F">
        <w:rPr>
          <w:rFonts w:ascii="Verdana" w:hAnsi="Verdana" w:cs="Arial"/>
          <w:bCs/>
        </w:rPr>
        <w:t>el inciso primero del artículo 13 dispone que “Los contratos que celebren las entidades a que se refiere el artículo 2o. del presente estatuto se regirán por las disposiciones comerciales y civiles pertinentes, salvo en las materias particularmente reguladas en esta ley”. Dicha idea también se reitera en el EGCAP considerando que “Son contratos estatales todos los actos jurídicos generadores de obligaciones que celebren las entidades a que se refiere el presente estatuto, previstos en el derecho privado o en disposiciones especiales, o derivados del ejercicio de la autonomía de la voluntad” –art. 32, inciso primero– y que “Las estipulaciones de los contratos serán las que de acuerdo con las normas civiles, comerciales y las previstas en esta ley, correspondan a su esencia y naturaleza” –art. 40, inciso primero–.</w:t>
      </w:r>
    </w:p>
    <w:p w14:paraId="51115ABD" w14:textId="77777777" w:rsidR="0085070A" w:rsidRPr="00666B6A" w:rsidRDefault="0085070A" w:rsidP="0085070A">
      <w:pPr>
        <w:spacing w:after="0" w:line="276" w:lineRule="auto"/>
        <w:ind w:firstLine="708"/>
        <w:jc w:val="both"/>
        <w:rPr>
          <w:rFonts w:ascii="Verdana" w:hAnsi="Verdana" w:cs="Arial"/>
        </w:rPr>
      </w:pPr>
      <w:r w:rsidRPr="00666B6A">
        <w:rPr>
          <w:rFonts w:ascii="Verdana" w:hAnsi="Verdana" w:cs="Arial"/>
        </w:rPr>
        <w:t>De esta manera, los contratos de las entidades sometidas al Estatuto General de Contratación se rigen generalmente por el derecho privado y excepcionalmente por el derecho público, pues las normas civiles y comerciales son el derecho común de los contratos estatales</w:t>
      </w:r>
      <w:r w:rsidRPr="00666B6A">
        <w:rPr>
          <w:rStyle w:val="Refdenotaalpie"/>
          <w:rFonts w:ascii="Verdana" w:hAnsi="Verdana" w:cs="Arial"/>
        </w:rPr>
        <w:footnoteReference w:id="13"/>
      </w:r>
      <w:r w:rsidRPr="00666B6A">
        <w:rPr>
          <w:rFonts w:ascii="Verdana" w:hAnsi="Verdana" w:cs="Arial"/>
        </w:rPr>
        <w:t>. Para la doctrina, la mixtura del régimen contractual:</w:t>
      </w:r>
    </w:p>
    <w:p w14:paraId="21D2F1D5" w14:textId="77777777" w:rsidR="0085070A" w:rsidRPr="00666B6A" w:rsidRDefault="0085070A" w:rsidP="0085070A">
      <w:pPr>
        <w:spacing w:after="0" w:line="276" w:lineRule="auto"/>
        <w:ind w:firstLine="709"/>
        <w:jc w:val="both"/>
        <w:rPr>
          <w:rFonts w:ascii="Verdana" w:hAnsi="Verdana" w:cs="Arial"/>
        </w:rPr>
      </w:pPr>
    </w:p>
    <w:p w14:paraId="349444CF" w14:textId="77777777" w:rsidR="0085070A" w:rsidRPr="00D73E06" w:rsidRDefault="0085070A" w:rsidP="0085070A">
      <w:pPr>
        <w:spacing w:after="0" w:line="240" w:lineRule="auto"/>
        <w:ind w:left="709" w:right="709"/>
        <w:jc w:val="both"/>
        <w:rPr>
          <w:rFonts w:ascii="Verdana" w:hAnsi="Verdana" w:cs="Arial"/>
          <w:sz w:val="20"/>
          <w:szCs w:val="20"/>
        </w:rPr>
      </w:pPr>
      <w:r w:rsidRPr="00D73E06">
        <w:rPr>
          <w:rFonts w:ascii="Verdana" w:hAnsi="Verdana" w:cs="Arial"/>
          <w:sz w:val="20"/>
          <w:szCs w:val="20"/>
        </w:rPr>
        <w:t xml:space="preserve">“[…] no hace otra cosa que aprovechar ciertos principios rectores de la contratación general </w:t>
      </w:r>
      <w:proofErr w:type="gramStart"/>
      <w:r w:rsidRPr="00D73E06">
        <w:rPr>
          <w:rFonts w:ascii="Verdana" w:hAnsi="Verdana" w:cs="Arial"/>
          <w:sz w:val="20"/>
          <w:szCs w:val="20"/>
        </w:rPr>
        <w:t>que</w:t>
      </w:r>
      <w:proofErr w:type="gramEnd"/>
      <w:r w:rsidRPr="00D73E06">
        <w:rPr>
          <w:rFonts w:ascii="Verdana" w:hAnsi="Verdana" w:cs="Arial"/>
          <w:sz w:val="20"/>
          <w:szCs w:val="20"/>
        </w:rPr>
        <w:t xml:space="preserve"> aunque tengan su consagración en códigos de derecho privado como el civil o el comercial, no son propios y exclusivos de este derecho. Baste pensar en los requisitos de consentimiento válido, objeto y causa lícitos, capacidad, elementos esenciales según la naturaleza de cada contrato, responsabilidad, naturaleza de las obligaciones emanadas de los mismos, etc. etc. Extremos éstos que de derecho privado no tienen sino su presentación formal o el nombre y que la tradición, desde su origen romano, se acostumbró a calificarlos así y a no preocuparse por su cuestionamiento o definición.</w:t>
      </w:r>
    </w:p>
    <w:p w14:paraId="3720772A" w14:textId="77777777" w:rsidR="0085070A" w:rsidRPr="00D73E06" w:rsidRDefault="0085070A" w:rsidP="0085070A">
      <w:pPr>
        <w:spacing w:after="0" w:line="240" w:lineRule="auto"/>
        <w:ind w:right="709"/>
        <w:jc w:val="both"/>
        <w:rPr>
          <w:rFonts w:ascii="Verdana" w:hAnsi="Verdana" w:cs="Arial"/>
          <w:sz w:val="20"/>
          <w:szCs w:val="20"/>
        </w:rPr>
      </w:pPr>
      <w:r w:rsidRPr="00D73E06">
        <w:rPr>
          <w:rFonts w:ascii="Verdana" w:hAnsi="Verdana" w:cs="Arial"/>
          <w:sz w:val="20"/>
          <w:szCs w:val="20"/>
        </w:rPr>
        <w:tab/>
      </w:r>
    </w:p>
    <w:p w14:paraId="73886869" w14:textId="77777777" w:rsidR="0085070A" w:rsidRPr="00D73E06" w:rsidRDefault="0085070A" w:rsidP="0085070A">
      <w:pPr>
        <w:spacing w:after="0" w:line="240" w:lineRule="auto"/>
        <w:ind w:left="709" w:right="709"/>
        <w:jc w:val="both"/>
        <w:rPr>
          <w:rFonts w:ascii="Verdana" w:hAnsi="Verdana" w:cs="Arial"/>
          <w:sz w:val="20"/>
          <w:szCs w:val="20"/>
        </w:rPr>
      </w:pPr>
      <w:r w:rsidRPr="00D73E06">
        <w:rPr>
          <w:rFonts w:ascii="Verdana" w:hAnsi="Verdana" w:cs="Arial"/>
          <w:sz w:val="20"/>
          <w:szCs w:val="20"/>
        </w:rPr>
        <w:t>En otras palabras, extremos como los indicados no son ni de derecho público ni de derecho privado, sino, simplemente, de derecho propio, aplicables a toda relación contractual, con prescindencia de la naturaleza de los sujetos involucrados en la misma”</w:t>
      </w:r>
      <w:r w:rsidRPr="00D73E06">
        <w:rPr>
          <w:rStyle w:val="Refdenotaalpie"/>
          <w:rFonts w:ascii="Verdana" w:hAnsi="Verdana" w:cs="Arial"/>
          <w:sz w:val="20"/>
          <w:szCs w:val="20"/>
        </w:rPr>
        <w:footnoteReference w:id="14"/>
      </w:r>
      <w:r w:rsidRPr="00D73E06">
        <w:rPr>
          <w:rFonts w:ascii="Verdana" w:hAnsi="Verdana" w:cs="Arial"/>
          <w:sz w:val="20"/>
          <w:szCs w:val="20"/>
        </w:rPr>
        <w:t xml:space="preserve">. </w:t>
      </w:r>
    </w:p>
    <w:p w14:paraId="531A8266" w14:textId="77777777" w:rsidR="0085070A" w:rsidRPr="00666B6A" w:rsidRDefault="0085070A" w:rsidP="0085070A">
      <w:pPr>
        <w:spacing w:after="0" w:line="276" w:lineRule="auto"/>
        <w:ind w:left="709" w:right="709"/>
        <w:jc w:val="both"/>
        <w:rPr>
          <w:rFonts w:ascii="Verdana" w:hAnsi="Verdana" w:cs="Arial"/>
        </w:rPr>
      </w:pPr>
      <w:r w:rsidRPr="00666B6A">
        <w:rPr>
          <w:rFonts w:ascii="Verdana" w:hAnsi="Verdana" w:cs="Arial"/>
        </w:rPr>
        <w:t xml:space="preserve"> </w:t>
      </w:r>
    </w:p>
    <w:p w14:paraId="3B095F71" w14:textId="77777777" w:rsidR="0085070A" w:rsidRDefault="0085070A" w:rsidP="0085070A">
      <w:pPr>
        <w:widowControl w:val="0"/>
        <w:autoSpaceDE w:val="0"/>
        <w:autoSpaceDN w:val="0"/>
        <w:spacing w:after="0" w:line="276" w:lineRule="auto"/>
        <w:jc w:val="both"/>
        <w:rPr>
          <w:rFonts w:ascii="Verdana" w:hAnsi="Verdana" w:cs="Arial"/>
        </w:rPr>
      </w:pPr>
      <w:r w:rsidRPr="00666B6A">
        <w:rPr>
          <w:rFonts w:ascii="Verdana" w:hAnsi="Verdana" w:cs="Arial"/>
        </w:rPr>
        <w:tab/>
        <w:t>Ello no implica una privatización absoluta del régimen contractual de las entidades públicas, pues la Ley 80 de 1993 –entre otros aspectos– regula especialmente la capacidad jurídica –inhabilidades, incompatibilidades, consorcios y uniones temporales y registro único de proponentes–, las reglas de selección objetiva –procedimientos de selección–, así como algunos aspectos de ejecución contractual –manejo del riesgo, cláusulas exorbitantes y tipologías contractuales–. Por ello, con excepción de las materias expresamente reguladas en el Estatuto de Contratación, es posible la aplicación de las normas de derecho privado.</w:t>
      </w:r>
    </w:p>
    <w:p w14:paraId="719F4A77" w14:textId="77777777" w:rsidR="0085070A" w:rsidRDefault="0085070A" w:rsidP="0085070A">
      <w:pPr>
        <w:widowControl w:val="0"/>
        <w:autoSpaceDE w:val="0"/>
        <w:autoSpaceDN w:val="0"/>
        <w:spacing w:after="0" w:line="276" w:lineRule="auto"/>
        <w:jc w:val="both"/>
        <w:rPr>
          <w:rFonts w:ascii="Verdana" w:hAnsi="Verdana" w:cs="Arial"/>
        </w:rPr>
      </w:pPr>
    </w:p>
    <w:p w14:paraId="06F89DF6" w14:textId="77777777" w:rsidR="0085070A" w:rsidRPr="00370279" w:rsidRDefault="0085070A" w:rsidP="0085070A">
      <w:pPr>
        <w:tabs>
          <w:tab w:val="left" w:pos="426"/>
        </w:tabs>
        <w:spacing w:after="0" w:line="276" w:lineRule="auto"/>
        <w:jc w:val="both"/>
        <w:rPr>
          <w:rFonts w:ascii="Verdana" w:eastAsia="Calibri" w:hAnsi="Verdana" w:cs="Arial"/>
          <w:color w:val="000000" w:themeColor="text1"/>
          <w:lang w:val="es-ES_tradnl"/>
        </w:rPr>
      </w:pPr>
      <w:proofErr w:type="spellStart"/>
      <w:r w:rsidRPr="00E33D48">
        <w:rPr>
          <w:rFonts w:ascii="Verdana" w:hAnsi="Verdana" w:cs="Arial"/>
          <w:bCs/>
        </w:rPr>
        <w:t>i</w:t>
      </w:r>
      <w:r>
        <w:rPr>
          <w:rFonts w:ascii="Verdana" w:hAnsi="Verdana" w:cs="Arial"/>
          <w:bCs/>
        </w:rPr>
        <w:t>v</w:t>
      </w:r>
      <w:proofErr w:type="spellEnd"/>
      <w:r w:rsidRPr="00E33D48">
        <w:rPr>
          <w:rFonts w:ascii="Verdana" w:hAnsi="Verdana" w:cs="Arial"/>
          <w:bCs/>
        </w:rPr>
        <w:t xml:space="preserve">. </w:t>
      </w:r>
      <w:r>
        <w:rPr>
          <w:rFonts w:ascii="Verdana" w:hAnsi="Verdana" w:cs="Arial"/>
        </w:rPr>
        <w:t>Las nulidades son</w:t>
      </w:r>
      <w:r w:rsidRPr="006E45BA">
        <w:rPr>
          <w:rFonts w:ascii="Verdana" w:hAnsi="Verdana" w:cs="Arial"/>
          <w:color w:val="000000" w:themeColor="text1"/>
        </w:rPr>
        <w:t xml:space="preserve"> una sanción legal que afecta la validez de los contratos cuando han quebrantado determinadas normas del ordenamiento. Si bien la teoría general del negocio jurídico se estructura a partir de la autonomía de la voluntad, las partes no gozan de una libertad absoluta para regular sus intereses patrimoniales, puesto que –al no ser una facultad originaria– está circunscrita por criterios de orden su superior</w:t>
      </w:r>
      <w:r w:rsidRPr="006E45BA">
        <w:rPr>
          <w:rStyle w:val="Refdenotaalpie"/>
          <w:rFonts w:ascii="Verdana" w:hAnsi="Verdana" w:cs="Arial"/>
          <w:color w:val="000000" w:themeColor="text1"/>
        </w:rPr>
        <w:footnoteReference w:id="15"/>
      </w:r>
      <w:r w:rsidRPr="006E45BA">
        <w:rPr>
          <w:rFonts w:ascii="Verdana" w:hAnsi="Verdana" w:cs="Arial"/>
          <w:color w:val="000000" w:themeColor="text1"/>
        </w:rPr>
        <w:t xml:space="preserve">. Por ello, aunque el contrato sea ley </w:t>
      </w:r>
      <w:r w:rsidRPr="006E45BA">
        <w:rPr>
          <w:rFonts w:ascii="Verdana" w:hAnsi="Verdana" w:cs="Arial"/>
          <w:color w:val="000000" w:themeColor="text1"/>
        </w:rPr>
        <w:lastRenderedPageBreak/>
        <w:t xml:space="preserve">obligatoria para los contratantes –art. 1602 del Código Civil–, no podrán derogarse por convenios particulares las leyes en cuya observancia están interesados el orden público y las buenas costumbres –art. 16 </w:t>
      </w:r>
      <w:r w:rsidRPr="006E45BA">
        <w:rPr>
          <w:rFonts w:ascii="Verdana" w:hAnsi="Verdana" w:cs="Arial"/>
          <w:i/>
          <w:iCs/>
          <w:color w:val="000000" w:themeColor="text1"/>
        </w:rPr>
        <w:t>ibidem</w:t>
      </w:r>
      <w:r w:rsidRPr="006E45BA">
        <w:rPr>
          <w:rFonts w:ascii="Verdana" w:hAnsi="Verdana" w:cs="Arial"/>
          <w:color w:val="000000" w:themeColor="text1"/>
        </w:rPr>
        <w:t>–. En este contexto:</w:t>
      </w:r>
    </w:p>
    <w:p w14:paraId="0AD09B0C" w14:textId="77777777" w:rsidR="0085070A" w:rsidRPr="006E45BA" w:rsidRDefault="0085070A" w:rsidP="0085070A">
      <w:pPr>
        <w:spacing w:after="0" w:line="276" w:lineRule="auto"/>
        <w:ind w:firstLine="708"/>
        <w:jc w:val="both"/>
        <w:rPr>
          <w:rFonts w:ascii="Verdana" w:hAnsi="Verdana" w:cs="Arial"/>
          <w:color w:val="000000" w:themeColor="text1"/>
        </w:rPr>
      </w:pPr>
    </w:p>
    <w:p w14:paraId="7FD8C311" w14:textId="77777777" w:rsidR="0085070A" w:rsidRPr="00D73E06" w:rsidRDefault="0085070A" w:rsidP="0085070A">
      <w:pPr>
        <w:spacing w:after="0" w:line="240" w:lineRule="auto"/>
        <w:ind w:left="709" w:right="709"/>
        <w:jc w:val="both"/>
        <w:rPr>
          <w:rFonts w:ascii="Verdana" w:eastAsia="Calibri" w:hAnsi="Verdana" w:cs="Arial"/>
          <w:sz w:val="20"/>
          <w:szCs w:val="20"/>
          <w:lang w:val="es-ES"/>
        </w:rPr>
      </w:pPr>
      <w:r w:rsidRPr="00D73E06">
        <w:rPr>
          <w:rFonts w:ascii="Verdana" w:eastAsia="Calibri" w:hAnsi="Verdana" w:cs="Arial"/>
          <w:sz w:val="20"/>
          <w:szCs w:val="20"/>
          <w:lang w:val="es-ES"/>
        </w:rPr>
        <w:t xml:space="preserve">“[…] La nulidad es una sanción que consiste en la privación al negocio de todos los efectos que está llamado a producir, mirando tanto al futuro como al pasado, </w:t>
      </w:r>
      <w:proofErr w:type="gramStart"/>
      <w:r w:rsidRPr="00D73E06">
        <w:rPr>
          <w:rFonts w:ascii="Verdana" w:eastAsia="Calibri" w:hAnsi="Verdana" w:cs="Arial"/>
          <w:sz w:val="20"/>
          <w:szCs w:val="20"/>
          <w:lang w:val="es-ES"/>
        </w:rPr>
        <w:t>en razón de</w:t>
      </w:r>
      <w:proofErr w:type="gramEnd"/>
      <w:r w:rsidRPr="00D73E06">
        <w:rPr>
          <w:rFonts w:ascii="Verdana" w:eastAsia="Calibri" w:hAnsi="Verdana" w:cs="Arial"/>
          <w:sz w:val="20"/>
          <w:szCs w:val="20"/>
          <w:lang w:val="es-ES"/>
        </w:rPr>
        <w:t xml:space="preserve"> que la disposición no reúne los requisitos considerados esenciales en general y específicamente para la figura correspondiente. El criterio político del ordenamiento, que ante todo refleja una experiencia antiquísima, en su ánimo de asegurar un nivel mínimo de legalidad y de moralidad del ejercicio de la autonomía privada, determina la privación de efectos de los negocios jurídicos desprovistos de los </w:t>
      </w:r>
      <w:proofErr w:type="spellStart"/>
      <w:r w:rsidRPr="00D73E06">
        <w:rPr>
          <w:rFonts w:ascii="Verdana" w:eastAsia="Calibri" w:hAnsi="Verdana" w:cs="Arial"/>
          <w:i/>
          <w:sz w:val="20"/>
          <w:szCs w:val="20"/>
          <w:lang w:val="es-ES"/>
        </w:rPr>
        <w:t>essentialia</w:t>
      </w:r>
      <w:proofErr w:type="spellEnd"/>
      <w:r w:rsidRPr="00D73E06">
        <w:rPr>
          <w:rFonts w:ascii="Verdana" w:eastAsia="Calibri" w:hAnsi="Verdana" w:cs="Arial"/>
          <w:i/>
          <w:sz w:val="20"/>
          <w:szCs w:val="20"/>
          <w:lang w:val="es-ES"/>
        </w:rPr>
        <w:t xml:space="preserve"> </w:t>
      </w:r>
      <w:proofErr w:type="spellStart"/>
      <w:r w:rsidRPr="00D73E06">
        <w:rPr>
          <w:rFonts w:ascii="Verdana" w:eastAsia="Calibri" w:hAnsi="Verdana" w:cs="Arial"/>
          <w:i/>
          <w:sz w:val="20"/>
          <w:szCs w:val="20"/>
          <w:lang w:val="es-ES"/>
        </w:rPr>
        <w:t>negotii</w:t>
      </w:r>
      <w:proofErr w:type="spellEnd"/>
      <w:r w:rsidRPr="00D73E06">
        <w:rPr>
          <w:rFonts w:ascii="Verdana" w:eastAsia="Calibri" w:hAnsi="Verdana" w:cs="Arial"/>
          <w:sz w:val="20"/>
          <w:szCs w:val="20"/>
          <w:lang w:val="es-ES"/>
        </w:rPr>
        <w:t xml:space="preserve"> correspondientes, como también de aquellos que quebrantan los principios básicos de la sociedad en su momento, y adicionalmente los fallos a requisito de orden tutelar establecido en interés particular o contrarios a normas dictadas en esa misma dirección […]”</w:t>
      </w:r>
      <w:r w:rsidRPr="00D73E06">
        <w:rPr>
          <w:rStyle w:val="Refdenotaalpie"/>
          <w:rFonts w:ascii="Verdana" w:eastAsia="Calibri" w:hAnsi="Verdana" w:cs="Arial"/>
          <w:sz w:val="20"/>
          <w:szCs w:val="20"/>
          <w:lang w:val="es-ES"/>
        </w:rPr>
        <w:footnoteReference w:id="16"/>
      </w:r>
      <w:r w:rsidRPr="00D73E06">
        <w:rPr>
          <w:rFonts w:ascii="Verdana" w:eastAsia="Calibri" w:hAnsi="Verdana" w:cs="Arial"/>
          <w:sz w:val="20"/>
          <w:szCs w:val="20"/>
          <w:lang w:val="es-ES"/>
        </w:rPr>
        <w:t>.</w:t>
      </w:r>
    </w:p>
    <w:p w14:paraId="39C06DB8" w14:textId="77777777" w:rsidR="0085070A" w:rsidRPr="006E45BA" w:rsidRDefault="0085070A" w:rsidP="0085070A">
      <w:pPr>
        <w:spacing w:after="0" w:line="276" w:lineRule="auto"/>
        <w:jc w:val="both"/>
        <w:rPr>
          <w:rFonts w:ascii="Verdana" w:eastAsia="Calibri" w:hAnsi="Verdana" w:cs="Arial"/>
          <w:lang w:val="es-ES"/>
        </w:rPr>
      </w:pPr>
    </w:p>
    <w:p w14:paraId="263E0024" w14:textId="77777777" w:rsidR="0085070A" w:rsidRDefault="0085070A" w:rsidP="0085070A">
      <w:pPr>
        <w:spacing w:after="0" w:line="276" w:lineRule="auto"/>
        <w:ind w:firstLine="708"/>
        <w:jc w:val="both"/>
        <w:rPr>
          <w:rFonts w:ascii="Verdana" w:eastAsia="Calibri" w:hAnsi="Verdana" w:cs="Arial"/>
          <w:lang w:val="es-ES"/>
        </w:rPr>
      </w:pPr>
      <w:r w:rsidRPr="006E45BA">
        <w:rPr>
          <w:rFonts w:ascii="Verdana" w:eastAsia="Calibri" w:hAnsi="Verdana" w:cs="Arial"/>
          <w:lang w:val="es-ES"/>
        </w:rPr>
        <w:t xml:space="preserve">La naturaleza jurídica de la nulidad se fundamenta en el inciso primero del artículo 6 del Código Civil, el cual define la </w:t>
      </w:r>
      <w:r w:rsidRPr="006E45BA">
        <w:rPr>
          <w:rFonts w:ascii="Verdana" w:eastAsia="Calibri" w:hAnsi="Verdana" w:cs="Arial"/>
          <w:i/>
          <w:iCs/>
          <w:lang w:val="es-ES"/>
        </w:rPr>
        <w:t>sanción legal</w:t>
      </w:r>
      <w:r w:rsidRPr="006E45BA">
        <w:rPr>
          <w:rFonts w:ascii="Verdana" w:eastAsia="Calibri" w:hAnsi="Verdana" w:cs="Arial"/>
          <w:lang w:val="es-ES"/>
        </w:rPr>
        <w:t xml:space="preserve"> como una pena, esto es, como el mal que deriva de la transgresión de las prohibiciones contenidas en la ley. Dado que tienen carácter sancionatorio, las nulidades se restringen a aquellas circunstancias previstas por el legislador, pues no son aplicables por interpretación extensiva ni por analogía. A esto se refiere el inciso segundo de la norma precitada cuando dispone que “En materia civil son nulos los actos ejecutados contra expresa prohibición de la ley, si en ella misma no se dispone otra cosa […]”. La declaratoria de nulidad es una forma de extinción de las obligaciones en los términos del artículo 1625.8 </w:t>
      </w:r>
      <w:r w:rsidRPr="006E45BA">
        <w:rPr>
          <w:rFonts w:ascii="Verdana" w:eastAsia="Calibri" w:hAnsi="Verdana" w:cs="Arial"/>
          <w:i/>
          <w:iCs/>
          <w:lang w:val="es-ES"/>
        </w:rPr>
        <w:t>ibidem</w:t>
      </w:r>
      <w:r w:rsidRPr="006E45BA">
        <w:rPr>
          <w:rFonts w:ascii="Verdana" w:eastAsia="Calibri" w:hAnsi="Verdana" w:cs="Arial"/>
          <w:lang w:val="es-ES"/>
        </w:rPr>
        <w:t xml:space="preserve">, por lo que con ella cesa la existencia del contrato.  </w:t>
      </w:r>
    </w:p>
    <w:p w14:paraId="339825D1" w14:textId="77777777" w:rsidR="0085070A" w:rsidRPr="006E45BA" w:rsidRDefault="0085070A" w:rsidP="0085070A">
      <w:pPr>
        <w:spacing w:after="0" w:line="276" w:lineRule="auto"/>
        <w:ind w:firstLine="708"/>
        <w:jc w:val="both"/>
        <w:rPr>
          <w:rFonts w:ascii="Verdana" w:eastAsia="Calibri" w:hAnsi="Verdana" w:cs="Arial"/>
          <w:lang w:val="es-ES"/>
        </w:rPr>
      </w:pPr>
      <w:r w:rsidRPr="006E45BA">
        <w:rPr>
          <w:rFonts w:ascii="Verdana" w:eastAsia="Calibri" w:hAnsi="Verdana" w:cs="Arial"/>
          <w:lang w:val="es-ES"/>
        </w:rPr>
        <w:t xml:space="preserve"> </w:t>
      </w:r>
    </w:p>
    <w:p w14:paraId="6EEF9A5D" w14:textId="77777777" w:rsidR="0085070A" w:rsidRPr="00E86D5D" w:rsidRDefault="0085070A" w:rsidP="0085070A">
      <w:pPr>
        <w:spacing w:after="120" w:line="276" w:lineRule="auto"/>
        <w:jc w:val="both"/>
        <w:rPr>
          <w:rFonts w:ascii="Verdana" w:eastAsia="Calibri" w:hAnsi="Verdana" w:cs="Arial"/>
          <w:lang w:val="es-ES"/>
        </w:rPr>
      </w:pPr>
      <w:r>
        <w:rPr>
          <w:rFonts w:ascii="Verdana" w:eastAsia="Calibri" w:hAnsi="Verdana" w:cs="Arial"/>
          <w:lang w:val="es-ES"/>
        </w:rPr>
        <w:lastRenderedPageBreak/>
        <w:t xml:space="preserve">v. </w:t>
      </w:r>
      <w:r w:rsidRPr="006E45BA">
        <w:rPr>
          <w:rFonts w:ascii="Verdana" w:eastAsia="Calibri" w:hAnsi="Verdana" w:cs="Arial"/>
          <w:lang w:val="es-ES"/>
        </w:rPr>
        <w:t xml:space="preserve">De acuerdo con el artículo 1741 del Código Civil, “La nulidad producida por un </w:t>
      </w:r>
      <w:r w:rsidRPr="00E86D5D">
        <w:rPr>
          <w:rFonts w:ascii="Verdana" w:eastAsia="Calibri" w:hAnsi="Verdana" w:cs="Arial"/>
          <w:lang w:val="es-ES"/>
        </w:rPr>
        <w:t xml:space="preserve">objeto o causa ilícita, y la nulidad producida por la omisión de algún requisito o formalidad que las leyes prescriben para el valor de ciertos actos o contratos en consideración a la naturaleza de ellos, y no a la calidad o estado de las personas que los ejecutan o acuerdan, son nulidades absolutas. Hay así </w:t>
      </w:r>
      <w:proofErr w:type="gramStart"/>
      <w:r w:rsidRPr="00E86D5D">
        <w:rPr>
          <w:rFonts w:ascii="Verdana" w:eastAsia="Calibri" w:hAnsi="Verdana" w:cs="Arial"/>
          <w:lang w:val="es-ES"/>
        </w:rPr>
        <w:t>mismo nulidad absoluta</w:t>
      </w:r>
      <w:proofErr w:type="gramEnd"/>
      <w:r w:rsidRPr="00E86D5D">
        <w:rPr>
          <w:rFonts w:ascii="Verdana" w:eastAsia="Calibri" w:hAnsi="Verdana" w:cs="Arial"/>
          <w:lang w:val="es-ES"/>
        </w:rPr>
        <w:t xml:space="preserve"> en los actos y contratos de personas absolutamente incapaces. Cualquiera otra especie de vicio produce nulidad relativa, y da derecho a la rescisión del acto o contrato”. Para la doctrina, las circunstancias que producen nulidad relativa son los vicios del consentimiento –error, fuerza y dolo–, la lesión enorme, los actos de los relativamente incapaces, así como la omisión de formalidades habilitantes distintas a las que se enuncian en la norma precitada</w:t>
      </w:r>
      <w:r w:rsidRPr="00E86D5D">
        <w:rPr>
          <w:rStyle w:val="Refdenotaalpie"/>
          <w:rFonts w:ascii="Verdana" w:eastAsia="Calibri" w:hAnsi="Verdana" w:cs="Arial"/>
          <w:lang w:val="es-ES"/>
        </w:rPr>
        <w:footnoteReference w:id="17"/>
      </w:r>
      <w:r w:rsidRPr="00E86D5D">
        <w:rPr>
          <w:rFonts w:ascii="Verdana" w:eastAsia="Calibri" w:hAnsi="Verdana" w:cs="Arial"/>
          <w:lang w:val="es-ES"/>
        </w:rPr>
        <w:t xml:space="preserve">. </w:t>
      </w:r>
    </w:p>
    <w:p w14:paraId="7901E103" w14:textId="77777777" w:rsidR="0085070A" w:rsidRPr="00E86D5D" w:rsidRDefault="0085070A" w:rsidP="0085070A">
      <w:pPr>
        <w:spacing w:after="120" w:line="276" w:lineRule="auto"/>
        <w:ind w:firstLine="708"/>
        <w:jc w:val="both"/>
        <w:rPr>
          <w:rFonts w:ascii="Verdana" w:eastAsia="Calibri" w:hAnsi="Verdana" w:cs="Arial"/>
          <w:lang w:val="es-ES"/>
        </w:rPr>
      </w:pPr>
      <w:r w:rsidRPr="00E86D5D">
        <w:rPr>
          <w:rFonts w:ascii="Verdana" w:eastAsia="Calibri" w:hAnsi="Verdana" w:cs="Arial"/>
          <w:lang w:val="es-ES"/>
        </w:rPr>
        <w:t xml:space="preserve">Asimismo, el artículo 899 del Código de Comercio dispone la </w:t>
      </w:r>
      <w:r w:rsidRPr="00E86D5D">
        <w:rPr>
          <w:rFonts w:ascii="Verdana" w:eastAsia="Calibri" w:hAnsi="Verdana" w:cs="Arial"/>
          <w:i/>
          <w:iCs/>
          <w:lang w:val="es-ES"/>
        </w:rPr>
        <w:t>nulidad absoluta</w:t>
      </w:r>
      <w:r w:rsidRPr="00E86D5D">
        <w:rPr>
          <w:rFonts w:ascii="Verdana" w:eastAsia="Calibri" w:hAnsi="Verdana" w:cs="Arial"/>
          <w:lang w:val="es-ES"/>
        </w:rPr>
        <w:t xml:space="preserve"> de los negocios jurídicos cuando contrarían una norma imperativa, salvo que la ley disponga otra cosa; tengan objeto y causa ilícita, o se hayan celebrado por persona absolutamente incapaz</w:t>
      </w:r>
      <w:r w:rsidRPr="00E86D5D">
        <w:rPr>
          <w:rStyle w:val="Refdenotaalpie"/>
          <w:rFonts w:ascii="Verdana" w:eastAsia="Calibri" w:hAnsi="Verdana" w:cs="Arial"/>
          <w:lang w:val="es-ES"/>
        </w:rPr>
        <w:footnoteReference w:id="18"/>
      </w:r>
      <w:r w:rsidRPr="00E86D5D">
        <w:rPr>
          <w:rFonts w:ascii="Verdana" w:eastAsia="Calibri" w:hAnsi="Verdana" w:cs="Arial"/>
          <w:lang w:val="es-ES"/>
        </w:rPr>
        <w:t xml:space="preserve">. Por su parte, el artículo 900 </w:t>
      </w:r>
      <w:r w:rsidRPr="00E86D5D">
        <w:rPr>
          <w:rFonts w:ascii="Verdana" w:eastAsia="Calibri" w:hAnsi="Verdana" w:cs="Arial"/>
          <w:i/>
          <w:iCs/>
          <w:lang w:val="es-ES"/>
        </w:rPr>
        <w:t>ibidem</w:t>
      </w:r>
      <w:r w:rsidRPr="00E86D5D">
        <w:rPr>
          <w:rFonts w:ascii="Verdana" w:eastAsia="Calibri" w:hAnsi="Verdana" w:cs="Arial"/>
          <w:lang w:val="es-ES"/>
        </w:rPr>
        <w:t xml:space="preserve"> precisa que la </w:t>
      </w:r>
      <w:r w:rsidRPr="00E86D5D">
        <w:rPr>
          <w:rFonts w:ascii="Verdana" w:eastAsia="Calibri" w:hAnsi="Verdana" w:cs="Arial"/>
          <w:i/>
          <w:iCs/>
          <w:lang w:val="es-ES"/>
        </w:rPr>
        <w:t>anulabilidad</w:t>
      </w:r>
      <w:r w:rsidRPr="00E86D5D">
        <w:rPr>
          <w:rFonts w:ascii="Verdana" w:eastAsia="Calibri" w:hAnsi="Verdana" w:cs="Arial"/>
          <w:lang w:val="es-ES"/>
        </w:rPr>
        <w:t xml:space="preserve"> aplica cuando los contratos hayan sido celebrados por persona relativamente incapaz o hayan sido consentidos por error, fuerza o dolo, conforme al Código Civil. Para la interpretación del régimen de nulidades en los asuntos mercantiles, es necesario tener en cuenta que el artículo 822 del Código de Comercio dispone que “Los principios que gobiernan la formación de los actos y contratos y las obligaciones de derecho civil, sus efectos, interpretación, modo de extinguirse, anularse o rescindirse, serán aplicables a las obligaciones y negocios jurídicos mercantiles, a menos que la ley establezca otra cosa”. </w:t>
      </w:r>
    </w:p>
    <w:p w14:paraId="58221A69" w14:textId="77777777" w:rsidR="0085070A" w:rsidRDefault="0085070A" w:rsidP="0085070A">
      <w:pPr>
        <w:pStyle w:val="Textoindependiente"/>
        <w:ind w:right="108" w:firstLine="709"/>
        <w:jc w:val="both"/>
      </w:pPr>
      <w:r w:rsidRPr="00E86D5D">
        <w:t xml:space="preserve">Por su parte, el artículo 44 de la Ley 80 de 1993 consagra como causales de nulidad absoluta del contrato estatal, además de las antes mencionadas en el derecho común, las siguientes: i) que el contrato se celebre con personas </w:t>
      </w:r>
      <w:r w:rsidRPr="00E86D5D">
        <w:lastRenderedPageBreak/>
        <w:t xml:space="preserve">incursas en causales de inhabilidad o incompatibilidad previstas en la Constitución y la ley, </w:t>
      </w:r>
      <w:proofErr w:type="spellStart"/>
      <w:r w:rsidRPr="00E86D5D">
        <w:t>ii</w:t>
      </w:r>
      <w:proofErr w:type="spellEnd"/>
      <w:r w:rsidRPr="00E86D5D">
        <w:t xml:space="preserve">) se celebre contra expresa prohibición constitucional o legal, </w:t>
      </w:r>
      <w:proofErr w:type="spellStart"/>
      <w:r w:rsidRPr="00E86D5D">
        <w:t>iii</w:t>
      </w:r>
      <w:proofErr w:type="spellEnd"/>
      <w:r w:rsidRPr="00E86D5D">
        <w:t xml:space="preserve">) se celebre con abuso o desviación de poder, </w:t>
      </w:r>
      <w:proofErr w:type="spellStart"/>
      <w:r w:rsidRPr="00E86D5D">
        <w:t>iv</w:t>
      </w:r>
      <w:proofErr w:type="spellEnd"/>
      <w:r w:rsidRPr="00E86D5D">
        <w:t>) se declaren nulos los actos administrativos en que se fundamenten, v) se hubieren celebrado con desconocimiento de los criterios previstos para el tratamiento de ofertas nacionales y extranjeras o con violación de la reciprocidad</w:t>
      </w:r>
      <w:r w:rsidRPr="00E86D5D">
        <w:rPr>
          <w:rStyle w:val="Refdenotaalpie"/>
        </w:rPr>
        <w:footnoteReference w:id="19"/>
      </w:r>
      <w:r w:rsidRPr="00E86D5D">
        <w:t>.</w:t>
      </w:r>
    </w:p>
    <w:p w14:paraId="2F5C24C2" w14:textId="77777777" w:rsidR="0085070A" w:rsidRPr="00E86D5D" w:rsidRDefault="0085070A" w:rsidP="0085070A">
      <w:pPr>
        <w:pStyle w:val="Textoindependiente"/>
        <w:ind w:right="108" w:firstLine="709"/>
        <w:jc w:val="both"/>
      </w:pPr>
    </w:p>
    <w:p w14:paraId="7CFAEE8E" w14:textId="77777777" w:rsidR="0085070A" w:rsidRPr="00E86D5D" w:rsidRDefault="0085070A" w:rsidP="0085070A">
      <w:pPr>
        <w:pStyle w:val="Textoindependiente"/>
        <w:ind w:right="105" w:firstLine="709"/>
        <w:jc w:val="both"/>
      </w:pPr>
      <w:r w:rsidRPr="00E86D5D">
        <w:t>En lo referente a la nulidad relativa, el artículo 46 de la Ley 80 de 1993 le atribuye carácter residual, pues una vez establecido el listado de causales de nulidad absoluta, señala que la nulidad relativa corresponde a los demás vicios que se presenten en los contratos. De igual manera, señala que estos vicios podrán sanearse por ratificación expresa de los interesados o por el transcurso de dos años, contados a partir de la ocurrencia del hecho que genera el</w:t>
      </w:r>
      <w:r w:rsidRPr="00E86D5D">
        <w:rPr>
          <w:spacing w:val="-8"/>
        </w:rPr>
        <w:t xml:space="preserve"> </w:t>
      </w:r>
      <w:r w:rsidRPr="00E86D5D">
        <w:t>vicio</w:t>
      </w:r>
      <w:r w:rsidRPr="00E86D5D">
        <w:rPr>
          <w:rStyle w:val="Refdenotaalpie"/>
        </w:rPr>
        <w:footnoteReference w:id="20"/>
      </w:r>
      <w:r w:rsidRPr="00E86D5D">
        <w:t>.</w:t>
      </w:r>
    </w:p>
    <w:p w14:paraId="419EB3C0" w14:textId="77777777" w:rsidR="0085070A" w:rsidRDefault="0085070A" w:rsidP="0085070A">
      <w:pPr>
        <w:spacing w:after="0" w:line="276" w:lineRule="auto"/>
        <w:jc w:val="both"/>
        <w:rPr>
          <w:rFonts w:ascii="Verdana" w:eastAsia="Calibri" w:hAnsi="Verdana" w:cs="Arial"/>
          <w:color w:val="000000"/>
          <w:szCs w:val="24"/>
          <w:lang w:val="es-ES_tradnl" w:eastAsia="es-ES_tradnl"/>
        </w:rPr>
      </w:pPr>
    </w:p>
    <w:p w14:paraId="00629177" w14:textId="77777777" w:rsidR="0085070A" w:rsidRDefault="0085070A" w:rsidP="0085070A">
      <w:pPr>
        <w:spacing w:after="120" w:line="276" w:lineRule="auto"/>
        <w:jc w:val="both"/>
        <w:rPr>
          <w:rFonts w:ascii="Verdana" w:eastAsia="Calibri" w:hAnsi="Verdana" w:cs="Arial"/>
          <w:bCs/>
          <w:color w:val="000000" w:themeColor="text1"/>
        </w:rPr>
      </w:pPr>
      <w:r>
        <w:rPr>
          <w:rFonts w:ascii="Verdana" w:eastAsia="Calibri" w:hAnsi="Verdana" w:cs="Arial"/>
          <w:bCs/>
          <w:color w:val="000000" w:themeColor="text1"/>
        </w:rPr>
        <w:t xml:space="preserve">vi. </w:t>
      </w:r>
      <w:r w:rsidRPr="00E853DE">
        <w:rPr>
          <w:rFonts w:ascii="Verdana" w:eastAsia="Calibri" w:hAnsi="Verdana" w:cs="Arial"/>
          <w:bCs/>
          <w:color w:val="000000" w:themeColor="text1"/>
        </w:rPr>
        <w:t xml:space="preserve">Al margen de la explicación precedente debe advertirse que </w:t>
      </w:r>
      <w:r w:rsidRPr="001941FD">
        <w:rPr>
          <w:rStyle w:val="s15"/>
          <w:rFonts w:ascii="Verdana" w:hAnsi="Verdana"/>
          <w:color w:val="000000"/>
        </w:rPr>
        <w:t xml:space="preserve">el análisis requerido para resolver problemas específicos en torno </w:t>
      </w:r>
      <w:r>
        <w:rPr>
          <w:rStyle w:val="s15"/>
          <w:rFonts w:ascii="Verdana" w:hAnsi="Verdana"/>
          <w:color w:val="000000"/>
        </w:rPr>
        <w:t>a los errores en la evaluación de la oferta económica</w:t>
      </w:r>
      <w:r w:rsidRPr="001941FD">
        <w:rPr>
          <w:rStyle w:val="s15"/>
          <w:rFonts w:ascii="Verdana" w:hAnsi="Verdana"/>
          <w:color w:val="000000"/>
        </w:rPr>
        <w:t xml:space="preserve"> debe ser realizado por quienes tengan interés en ello, de acuerdo con lo explicado la aclaración preliminar del presente oficio</w:t>
      </w:r>
      <w:r w:rsidRPr="00E853DE">
        <w:rPr>
          <w:rFonts w:ascii="Verdana" w:eastAsia="Calibri" w:hAnsi="Verdana" w:cs="Arial"/>
          <w:bCs/>
          <w:color w:val="000000" w:themeColor="text1"/>
        </w:rPr>
        <w:t>.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07324FF" w14:textId="77777777" w:rsidR="0085070A" w:rsidRPr="00185EE9" w:rsidRDefault="0085070A" w:rsidP="0085070A">
      <w:pPr>
        <w:spacing w:after="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w:t>
      </w:r>
      <w:r w:rsidRPr="00E853DE">
        <w:rPr>
          <w:rFonts w:ascii="Verdana" w:eastAsia="Calibri" w:hAnsi="Verdana" w:cs="Arial"/>
          <w:bCs/>
          <w:color w:val="000000" w:themeColor="text1"/>
        </w:rPr>
        <w:lastRenderedPageBreak/>
        <w:t>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3C5F2F44" w14:textId="77777777" w:rsidR="0085070A" w:rsidRPr="00182C89" w:rsidRDefault="0085070A" w:rsidP="0085070A">
      <w:pPr>
        <w:tabs>
          <w:tab w:val="left" w:pos="709"/>
        </w:tabs>
        <w:spacing w:after="0" w:line="276" w:lineRule="auto"/>
        <w:jc w:val="both"/>
        <w:rPr>
          <w:rFonts w:ascii="Verdana" w:eastAsia="Calibri" w:hAnsi="Verdana" w:cs="Arial"/>
          <w:color w:val="000000" w:themeColor="text1"/>
        </w:rPr>
      </w:pPr>
    </w:p>
    <w:p w14:paraId="2AA529C2" w14:textId="77777777" w:rsidR="0085070A" w:rsidRPr="00593A5F" w:rsidRDefault="0085070A" w:rsidP="0085070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4D411D">
        <w:rPr>
          <w:rFonts w:ascii="Verdana" w:eastAsia="Century Gothic" w:hAnsi="Verdana" w:cs="Century Gothic"/>
          <w:b/>
          <w:bCs/>
        </w:rPr>
        <w:t>Referencias normativas</w:t>
      </w:r>
      <w:r w:rsidRPr="00593A5F">
        <w:rPr>
          <w:rFonts w:ascii="Verdana" w:eastAsia="Century Gothic" w:hAnsi="Verdana" w:cs="Century Gothic"/>
          <w:b/>
          <w:bCs/>
        </w:rPr>
        <w:t>:</w:t>
      </w:r>
    </w:p>
    <w:p w14:paraId="1D3FBA17" w14:textId="77777777" w:rsidR="0085070A" w:rsidRPr="00593A5F" w:rsidRDefault="0085070A" w:rsidP="0085070A">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5070A" w:rsidRPr="002407CE" w14:paraId="2E48F1F7" w14:textId="77777777" w:rsidTr="0085070A">
        <w:trPr>
          <w:trHeight w:val="870"/>
          <w:jc w:val="center"/>
        </w:trPr>
        <w:tc>
          <w:tcPr>
            <w:tcW w:w="8647" w:type="dxa"/>
          </w:tcPr>
          <w:p w14:paraId="30D2CA31" w14:textId="77777777" w:rsidR="0085070A" w:rsidRDefault="0085070A" w:rsidP="0085070A">
            <w:pPr>
              <w:pStyle w:val="Prrafodelista"/>
              <w:widowControl w:val="0"/>
              <w:numPr>
                <w:ilvl w:val="0"/>
                <w:numId w:val="20"/>
              </w:numPr>
              <w:autoSpaceDE w:val="0"/>
              <w:autoSpaceDN w:val="0"/>
              <w:spacing w:after="120" w:line="276" w:lineRule="auto"/>
              <w:ind w:left="714" w:hanging="357"/>
              <w:contextualSpacing w:val="0"/>
              <w:jc w:val="both"/>
              <w:rPr>
                <w:rFonts w:ascii="Verdana" w:hAnsi="Verdana" w:cs="Arial"/>
              </w:rPr>
            </w:pPr>
            <w:r>
              <w:rPr>
                <w:rFonts w:ascii="Verdana" w:hAnsi="Verdana" w:cs="Arial"/>
              </w:rPr>
              <w:t>Constitución Política de 1991, artículo 29.</w:t>
            </w:r>
          </w:p>
          <w:p w14:paraId="21A3785E" w14:textId="77777777" w:rsidR="0085070A" w:rsidRDefault="0085070A" w:rsidP="0085070A">
            <w:pPr>
              <w:pStyle w:val="Prrafodelista"/>
              <w:widowControl w:val="0"/>
              <w:numPr>
                <w:ilvl w:val="0"/>
                <w:numId w:val="20"/>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artículos 13, 32, 40, 41, 44 y 46.</w:t>
            </w:r>
          </w:p>
          <w:p w14:paraId="174D7B54" w14:textId="77777777" w:rsidR="0085070A" w:rsidRDefault="0085070A" w:rsidP="0085070A">
            <w:pPr>
              <w:pStyle w:val="Prrafodelista"/>
              <w:widowControl w:val="0"/>
              <w:numPr>
                <w:ilvl w:val="0"/>
                <w:numId w:val="20"/>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 9.</w:t>
            </w:r>
          </w:p>
          <w:p w14:paraId="1280FC71" w14:textId="77777777" w:rsidR="0085070A" w:rsidRPr="007A5804" w:rsidRDefault="0085070A" w:rsidP="0085070A">
            <w:pPr>
              <w:pStyle w:val="Prrafodelista"/>
              <w:widowControl w:val="0"/>
              <w:numPr>
                <w:ilvl w:val="0"/>
                <w:numId w:val="20"/>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eastAsia="Calibri" w:hAnsi="Verdana" w:cs="Arial"/>
                <w:bCs/>
                <w:color w:val="000000" w:themeColor="text1"/>
                <w:lang w:val="es-ES_tradnl"/>
              </w:rPr>
              <w:t>Ley 1437 de 2011, artículo 97.</w:t>
            </w:r>
          </w:p>
          <w:p w14:paraId="796133FE" w14:textId="77777777" w:rsidR="0085070A" w:rsidRPr="007A5804" w:rsidRDefault="0085070A" w:rsidP="0085070A">
            <w:pPr>
              <w:pStyle w:val="Prrafodelista"/>
              <w:widowControl w:val="0"/>
              <w:numPr>
                <w:ilvl w:val="0"/>
                <w:numId w:val="20"/>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eastAsia="Calibri" w:hAnsi="Verdana" w:cs="Arial"/>
                <w:bCs/>
                <w:color w:val="000000" w:themeColor="text1"/>
                <w:lang w:val="es-ES_tradnl"/>
              </w:rPr>
              <w:t>Código Civil, artículos 6, 16, 1602, 1625 y 1741.</w:t>
            </w:r>
          </w:p>
          <w:p w14:paraId="21149947" w14:textId="77777777" w:rsidR="0085070A" w:rsidRPr="00DA543F" w:rsidRDefault="0085070A" w:rsidP="0085070A">
            <w:pPr>
              <w:pStyle w:val="Prrafodelista"/>
              <w:widowControl w:val="0"/>
              <w:numPr>
                <w:ilvl w:val="0"/>
                <w:numId w:val="20"/>
              </w:numPr>
              <w:autoSpaceDE w:val="0"/>
              <w:autoSpaceDN w:val="0"/>
              <w:spacing w:line="276" w:lineRule="auto"/>
              <w:ind w:left="714" w:hanging="357"/>
              <w:contextualSpacing w:val="0"/>
              <w:jc w:val="both"/>
              <w:rPr>
                <w:rFonts w:ascii="Verdana" w:hAnsi="Verdana" w:cs="Arial"/>
                <w:color w:val="000000" w:themeColor="text1"/>
                <w:lang w:val="es-ES_tradnl"/>
              </w:rPr>
            </w:pPr>
            <w:r>
              <w:rPr>
                <w:rFonts w:ascii="Verdana" w:eastAsia="Calibri" w:hAnsi="Verdana" w:cs="Arial"/>
                <w:bCs/>
                <w:color w:val="000000" w:themeColor="text1"/>
                <w:lang w:val="es-ES_tradnl"/>
              </w:rPr>
              <w:t>Código de Comercio, artículos 822, 899 y 900.</w:t>
            </w:r>
          </w:p>
        </w:tc>
      </w:tr>
    </w:tbl>
    <w:p w14:paraId="3F775AE9" w14:textId="77777777" w:rsidR="0085070A" w:rsidRPr="002407CE" w:rsidRDefault="0085070A" w:rsidP="0085070A">
      <w:pPr>
        <w:widowControl w:val="0"/>
        <w:autoSpaceDE w:val="0"/>
        <w:autoSpaceDN w:val="0"/>
        <w:spacing w:after="0" w:line="276" w:lineRule="auto"/>
        <w:jc w:val="both"/>
        <w:rPr>
          <w:rFonts w:ascii="Verdana" w:hAnsi="Verdana" w:cs="Arial"/>
        </w:rPr>
      </w:pPr>
    </w:p>
    <w:p w14:paraId="60E76FBD" w14:textId="77777777" w:rsidR="0085070A" w:rsidRPr="00593A5F" w:rsidRDefault="0085070A" w:rsidP="0085070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29B6905C" w14:textId="77777777" w:rsidR="0085070A" w:rsidRPr="00593A5F" w:rsidRDefault="0085070A" w:rsidP="0085070A">
      <w:pPr>
        <w:widowControl w:val="0"/>
        <w:autoSpaceDE w:val="0"/>
        <w:autoSpaceDN w:val="0"/>
        <w:spacing w:after="0" w:line="276" w:lineRule="auto"/>
        <w:jc w:val="both"/>
        <w:rPr>
          <w:rFonts w:ascii="Verdana" w:hAnsi="Verdana" w:cs="Arial"/>
        </w:rPr>
      </w:pPr>
    </w:p>
    <w:p w14:paraId="5BCCE612" w14:textId="77777777" w:rsidR="0085070A" w:rsidRPr="00ED0098" w:rsidRDefault="0085070A" w:rsidP="0085070A">
      <w:pPr>
        <w:widowControl w:val="0"/>
        <w:autoSpaceDE w:val="0"/>
        <w:autoSpaceDN w:val="0"/>
        <w:spacing w:after="0" w:line="276" w:lineRule="auto"/>
        <w:jc w:val="both"/>
        <w:rPr>
          <w:rStyle w:val="normaltextrun"/>
          <w:rFonts w:ascii="Verdana" w:hAnsi="Verdana" w:cs="Arial"/>
          <w:shd w:val="clear" w:color="auto" w:fill="FFFFFF"/>
        </w:rPr>
      </w:pPr>
      <w:r w:rsidRPr="00DA1FE4">
        <w:rPr>
          <w:rFonts w:ascii="Verdana" w:eastAsia="Calibri" w:hAnsi="Verdana" w:cs="Arial"/>
          <w:shd w:val="clear" w:color="auto" w:fill="FFFFFF"/>
        </w:rPr>
        <w:t xml:space="preserve">La Agencia Nacional de Contratación Pública – Colombia Compra Eficiente se pronunció sobre la revocatoria del acto de adjudicación en los </w:t>
      </w:r>
      <w:r>
        <w:rPr>
          <w:rFonts w:ascii="Verdana" w:eastAsia="Calibri" w:hAnsi="Verdana" w:cs="Arial"/>
          <w:shd w:val="clear" w:color="auto" w:fill="FFFFFF"/>
        </w:rPr>
        <w:t>C</w:t>
      </w:r>
      <w:r w:rsidRPr="00DA1FE4">
        <w:rPr>
          <w:rFonts w:ascii="Verdana" w:eastAsia="Calibri" w:hAnsi="Verdana" w:cs="Arial"/>
          <w:shd w:val="clear" w:color="auto" w:fill="FFFFFF"/>
        </w:rPr>
        <w:t>onceptos C-524 de 18 de agosto de 2020, C-549 del 28 de agosto de 2020, C-524 de 18 de agosto de 2020, C-549 del 28 de agosto de 2020, C-363 del 14 de septiembre de 2021, C-618 del 5 de octubre de 2022, C-633 del 25 de octubre de 2022, C-750 del 1 de diciembre de 2022, C-252 del 7 de julio de 2023 y C-770 del 5 de diciembre de 2024, C-988 del 28 de enero de 2025</w:t>
      </w:r>
      <w:r>
        <w:rPr>
          <w:rFonts w:ascii="Verdana" w:eastAsia="Calibri" w:hAnsi="Verdana" w:cs="Arial"/>
          <w:shd w:val="clear" w:color="auto" w:fill="FFFFFF"/>
        </w:rPr>
        <w:t>, C-063 del 3 de marzo de 2025, C-999 del 28 de julio de 2025</w:t>
      </w:r>
      <w:r w:rsidRPr="00DA1FE4">
        <w:rPr>
          <w:rFonts w:ascii="Verdana" w:eastAsia="Calibri" w:hAnsi="Verdana" w:cs="Arial"/>
          <w:shd w:val="clear" w:color="auto" w:fill="FFFFFF"/>
        </w:rPr>
        <w:t>,</w:t>
      </w:r>
      <w:r>
        <w:rPr>
          <w:rFonts w:ascii="Verdana" w:eastAsia="Calibri" w:hAnsi="Verdana" w:cs="Arial"/>
          <w:shd w:val="clear" w:color="auto" w:fill="FFFFFF"/>
        </w:rPr>
        <w:t xml:space="preserve"> C-1052 del 11 de agosto de 2025,</w:t>
      </w:r>
      <w:r w:rsidRPr="00DA1FE4">
        <w:rPr>
          <w:rFonts w:ascii="Verdana" w:eastAsia="Calibri" w:hAnsi="Verdana" w:cs="Arial"/>
          <w:shd w:val="clear" w:color="auto" w:fill="FFFFFF"/>
        </w:rPr>
        <w:t xml:space="preserve"> entre otros</w:t>
      </w:r>
      <w:r>
        <w:rPr>
          <w:rFonts w:ascii="Verdana" w:hAnsi="Verdana"/>
        </w:rPr>
        <w:t>.</w:t>
      </w:r>
      <w:r>
        <w:rPr>
          <w:rFonts w:ascii="Verdana" w:hAnsi="Verdana" w:cs="Arial"/>
          <w:shd w:val="clear" w:color="auto" w:fill="FFFFFF"/>
        </w:rPr>
        <w:t xml:space="preserve"> Asimismo, se pronunciado sobre el régimen general de la nulidad de los contratos estatales en el Concepto C-901 del 18 de julio de 2025.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xml:space="preserve"> y otros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1"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5EA339C6" w14:textId="77777777" w:rsidR="0085070A" w:rsidRPr="00096788" w:rsidRDefault="0085070A" w:rsidP="0085070A">
      <w:pPr>
        <w:widowControl w:val="0"/>
        <w:autoSpaceDE w:val="0"/>
        <w:autoSpaceDN w:val="0"/>
        <w:spacing w:after="0" w:line="276" w:lineRule="auto"/>
        <w:jc w:val="both"/>
        <w:rPr>
          <w:rFonts w:ascii="Verdana" w:hAnsi="Verdana" w:cs="Arial"/>
          <w:color w:val="000000" w:themeColor="text1"/>
          <w:shd w:val="clear" w:color="auto" w:fill="FFFFFF"/>
        </w:rPr>
      </w:pPr>
    </w:p>
    <w:p w14:paraId="36EC36B9" w14:textId="77777777" w:rsidR="0085070A" w:rsidRPr="00E440FD" w:rsidRDefault="0085070A" w:rsidP="0085070A">
      <w:pPr>
        <w:shd w:val="clear" w:color="auto" w:fill="FFFFFF"/>
        <w:spacing w:after="0" w:line="276" w:lineRule="auto"/>
        <w:jc w:val="both"/>
        <w:rPr>
          <w:rFonts w:ascii="Verdana" w:hAnsi="Verdana"/>
          <w:color w:val="467886"/>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w:t>
      </w:r>
      <w:r w:rsidRPr="00032009">
        <w:rPr>
          <w:rFonts w:ascii="Verdana" w:hAnsi="Verdana"/>
          <w:color w:val="000000"/>
        </w:rPr>
        <w:lastRenderedPageBreak/>
        <w:t xml:space="preserve">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2"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Pr>
          <w:rFonts w:ascii="Verdana" w:hAnsi="Verdana"/>
          <w:color w:val="000000"/>
          <w:u w:val="single"/>
        </w:rPr>
        <w:t>.</w:t>
      </w:r>
    </w:p>
    <w:p w14:paraId="1A955DFB" w14:textId="05E49041" w:rsidR="0085070A" w:rsidRPr="009C4035" w:rsidRDefault="0085070A" w:rsidP="0085070A">
      <w:pPr>
        <w:widowControl w:val="0"/>
        <w:autoSpaceDE w:val="0"/>
        <w:autoSpaceDN w:val="0"/>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6F432D96" w14:textId="77777777" w:rsidR="0085070A" w:rsidRPr="00593A5F" w:rsidRDefault="0085070A" w:rsidP="0085070A">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70FA5E7F" w14:textId="77777777" w:rsidR="0085070A" w:rsidRPr="00C15525" w:rsidRDefault="0085070A" w:rsidP="0085070A">
      <w:pPr>
        <w:spacing w:after="0" w:line="240" w:lineRule="auto"/>
        <w:rPr>
          <w:rFonts w:ascii="Verdana" w:hAnsi="Verdana" w:cs="Arial"/>
          <w:lang w:val="es-ES_tradnl" w:eastAsia="es-CO"/>
        </w:rPr>
      </w:pPr>
      <w:r w:rsidRPr="00C15525">
        <w:rPr>
          <w:rFonts w:ascii="Verdana" w:hAnsi="Verdana" w:cs="Arial"/>
          <w:lang w:val="es-ES" w:eastAsia="es-CO"/>
        </w:rPr>
        <w:t xml:space="preserve"> </w:t>
      </w:r>
    </w:p>
    <w:p w14:paraId="50081E9A" w14:textId="77777777" w:rsidR="0085070A" w:rsidRDefault="0085070A" w:rsidP="0085070A">
      <w:pPr>
        <w:spacing w:after="0"/>
        <w:rPr>
          <w:rFonts w:ascii="Verdana" w:hAnsi="Verdana"/>
        </w:rPr>
      </w:pPr>
    </w:p>
    <w:p w14:paraId="628AEC82" w14:textId="376FA479" w:rsidR="0085070A" w:rsidRDefault="00236B06" w:rsidP="0085070A">
      <w:pPr>
        <w:spacing w:after="0" w:line="276" w:lineRule="auto"/>
        <w:jc w:val="center"/>
        <w:rPr>
          <w:rFonts w:ascii="Verdana" w:hAnsi="Verdana"/>
          <w:lang w:val="es-ES_tradnl"/>
        </w:rPr>
      </w:pPr>
      <w:r>
        <w:rPr>
          <w:rFonts w:ascii="Verdana" w:hAnsi="Verdana"/>
          <w:noProof/>
          <w:lang w:val="es-ES_tradnl"/>
        </w:rPr>
        <w:drawing>
          <wp:inline distT="0" distB="0" distL="0" distR="0" wp14:anchorId="51058DB3" wp14:editId="12949390">
            <wp:extent cx="3639058" cy="1343212"/>
            <wp:effectExtent l="0" t="0" r="0" b="0"/>
            <wp:docPr id="1996873022"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6873022" name="Imagen 1" descr="Texto&#10;&#10;Descripción generada automáticamente"/>
                    <pic:cNvPicPr/>
                  </pic:nvPicPr>
                  <pic:blipFill>
                    <a:blip r:embed="rId13">
                      <a:extLst>
                        <a:ext uri="{28A0092B-C50C-407E-A947-70E740481C1C}">
                          <a14:useLocalDpi xmlns:a14="http://schemas.microsoft.com/office/drawing/2010/main" val="0"/>
                        </a:ext>
                      </a:extLst>
                    </a:blip>
                    <a:stretch>
                      <a:fillRect/>
                    </a:stretch>
                  </pic:blipFill>
                  <pic:spPr>
                    <a:xfrm>
                      <a:off x="0" y="0"/>
                      <a:ext cx="3639058" cy="134321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5070A" w:rsidRPr="00D53651" w14:paraId="1DDCF97F" w14:textId="77777777" w:rsidTr="0085070A">
        <w:trPr>
          <w:trHeight w:val="315"/>
        </w:trPr>
        <w:tc>
          <w:tcPr>
            <w:tcW w:w="893" w:type="dxa"/>
            <w:vAlign w:val="center"/>
            <w:hideMark/>
          </w:tcPr>
          <w:p w14:paraId="75E892C7" w14:textId="77777777" w:rsidR="0085070A" w:rsidRPr="00D53651" w:rsidRDefault="0085070A" w:rsidP="0085070A">
            <w:pPr>
              <w:spacing w:line="276" w:lineRule="auto"/>
              <w:jc w:val="both"/>
              <w:rPr>
                <w:rFonts w:ascii="Verdana" w:hAnsi="Verdana"/>
                <w:sz w:val="16"/>
                <w:szCs w:val="16"/>
              </w:rPr>
            </w:pPr>
            <w:r w:rsidRPr="00D53651">
              <w:rPr>
                <w:rFonts w:ascii="Verdana" w:hAnsi="Verdana"/>
                <w:sz w:val="16"/>
                <w:szCs w:val="16"/>
              </w:rPr>
              <w:t>Elaboró:</w:t>
            </w:r>
          </w:p>
        </w:tc>
        <w:tc>
          <w:tcPr>
            <w:tcW w:w="5628" w:type="dxa"/>
            <w:tcBorders>
              <w:top w:val="nil"/>
              <w:left w:val="nil"/>
              <w:bottom w:val="dotted" w:sz="4" w:space="0" w:color="7F7F7F"/>
              <w:right w:val="nil"/>
            </w:tcBorders>
            <w:vAlign w:val="center"/>
            <w:hideMark/>
          </w:tcPr>
          <w:p w14:paraId="7653C7F6" w14:textId="77777777" w:rsidR="0085070A" w:rsidRPr="00D53651" w:rsidRDefault="0085070A" w:rsidP="0085070A">
            <w:pPr>
              <w:spacing w:line="276" w:lineRule="auto"/>
              <w:jc w:val="both"/>
              <w:rPr>
                <w:rFonts w:ascii="Verdana" w:hAnsi="Verdana"/>
                <w:sz w:val="16"/>
                <w:szCs w:val="16"/>
              </w:rPr>
            </w:pPr>
            <w:r>
              <w:rPr>
                <w:rFonts w:ascii="Verdana" w:hAnsi="Verdana"/>
                <w:sz w:val="16"/>
                <w:szCs w:val="16"/>
              </w:rPr>
              <w:t>Gloria Elizabeth Arango Builes</w:t>
            </w:r>
          </w:p>
          <w:p w14:paraId="072B2953" w14:textId="77777777" w:rsidR="0085070A" w:rsidRPr="00D53651" w:rsidRDefault="0085070A" w:rsidP="0085070A">
            <w:pPr>
              <w:spacing w:line="276" w:lineRule="auto"/>
              <w:jc w:val="both"/>
              <w:rPr>
                <w:rFonts w:ascii="Verdana" w:hAnsi="Verdana"/>
                <w:sz w:val="16"/>
                <w:szCs w:val="16"/>
              </w:rPr>
            </w:pPr>
            <w:r w:rsidRPr="00D53651">
              <w:rPr>
                <w:rFonts w:ascii="Verdana" w:hAnsi="Verdana"/>
                <w:sz w:val="16"/>
                <w:szCs w:val="16"/>
              </w:rPr>
              <w:t>Contratista de la Subdirección de Gestión Contractual</w:t>
            </w:r>
          </w:p>
        </w:tc>
      </w:tr>
      <w:tr w:rsidR="0085070A" w:rsidRPr="00D53651" w14:paraId="31F7309A" w14:textId="77777777" w:rsidTr="0085070A">
        <w:trPr>
          <w:trHeight w:val="330"/>
        </w:trPr>
        <w:tc>
          <w:tcPr>
            <w:tcW w:w="893" w:type="dxa"/>
            <w:vAlign w:val="center"/>
            <w:hideMark/>
          </w:tcPr>
          <w:p w14:paraId="415C3449" w14:textId="77777777" w:rsidR="0085070A" w:rsidRPr="00D53651" w:rsidRDefault="0085070A" w:rsidP="0085070A">
            <w:pPr>
              <w:spacing w:line="276" w:lineRule="auto"/>
              <w:jc w:val="both"/>
              <w:rPr>
                <w:rFonts w:ascii="Verdana" w:hAnsi="Verdana"/>
                <w:sz w:val="16"/>
                <w:szCs w:val="16"/>
              </w:rPr>
            </w:pPr>
            <w:r w:rsidRPr="00D53651">
              <w:rPr>
                <w:rFonts w:ascii="Verdana" w:hAnsi="Verdana"/>
                <w:sz w:val="16"/>
                <w:szCs w:val="16"/>
              </w:rPr>
              <w:t>Revisó:</w:t>
            </w:r>
          </w:p>
        </w:tc>
        <w:tc>
          <w:tcPr>
            <w:tcW w:w="5628" w:type="dxa"/>
            <w:tcBorders>
              <w:top w:val="dotted" w:sz="4" w:space="0" w:color="7F7F7F"/>
              <w:left w:val="nil"/>
              <w:bottom w:val="dotted" w:sz="4" w:space="0" w:color="7F7F7F"/>
              <w:right w:val="nil"/>
            </w:tcBorders>
            <w:vAlign w:val="center"/>
            <w:hideMark/>
          </w:tcPr>
          <w:p w14:paraId="094EA260" w14:textId="791DF5EC" w:rsidR="0085070A" w:rsidRPr="00D53651" w:rsidRDefault="0071659B" w:rsidP="0085070A">
            <w:pPr>
              <w:spacing w:line="276" w:lineRule="auto"/>
              <w:jc w:val="both"/>
              <w:rPr>
                <w:rFonts w:ascii="Verdana" w:hAnsi="Verdana"/>
                <w:sz w:val="16"/>
                <w:szCs w:val="16"/>
              </w:rPr>
            </w:pPr>
            <w:r>
              <w:rPr>
                <w:rFonts w:ascii="Verdana" w:hAnsi="Verdana"/>
                <w:sz w:val="16"/>
                <w:szCs w:val="16"/>
              </w:rPr>
              <w:t>Diana Lucia Saavedra Castañeda</w:t>
            </w:r>
          </w:p>
          <w:p w14:paraId="28B7E5CA" w14:textId="77777777" w:rsidR="0085070A" w:rsidRPr="00D53651" w:rsidRDefault="0085070A" w:rsidP="0085070A">
            <w:pPr>
              <w:spacing w:line="276" w:lineRule="auto"/>
              <w:jc w:val="both"/>
              <w:rPr>
                <w:rFonts w:ascii="Verdana" w:hAnsi="Verdana"/>
                <w:sz w:val="16"/>
                <w:szCs w:val="16"/>
              </w:rPr>
            </w:pPr>
            <w:r w:rsidRPr="00D53651">
              <w:rPr>
                <w:rFonts w:ascii="Verdana" w:hAnsi="Verdana"/>
                <w:sz w:val="16"/>
                <w:szCs w:val="16"/>
              </w:rPr>
              <w:t>Contratista de la Subdirección de Gestión Contractual </w:t>
            </w:r>
          </w:p>
        </w:tc>
      </w:tr>
      <w:tr w:rsidR="0085070A" w:rsidRPr="00D53651" w14:paraId="7B039662" w14:textId="77777777" w:rsidTr="0085070A">
        <w:trPr>
          <w:trHeight w:val="300"/>
        </w:trPr>
        <w:tc>
          <w:tcPr>
            <w:tcW w:w="893" w:type="dxa"/>
            <w:vAlign w:val="center"/>
            <w:hideMark/>
          </w:tcPr>
          <w:p w14:paraId="731062F4" w14:textId="77777777" w:rsidR="0085070A" w:rsidRPr="00D53651" w:rsidRDefault="0085070A" w:rsidP="0085070A">
            <w:pPr>
              <w:spacing w:line="276" w:lineRule="auto"/>
              <w:jc w:val="both"/>
              <w:rPr>
                <w:rFonts w:ascii="Verdana" w:hAnsi="Verdana"/>
                <w:sz w:val="16"/>
                <w:szCs w:val="16"/>
              </w:rPr>
            </w:pPr>
            <w:r w:rsidRPr="00D53651">
              <w:rPr>
                <w:rFonts w:ascii="Verdana" w:hAnsi="Verdana"/>
                <w:sz w:val="16"/>
                <w:szCs w:val="16"/>
              </w:rPr>
              <w:t>Aprobó:</w:t>
            </w:r>
          </w:p>
        </w:tc>
        <w:tc>
          <w:tcPr>
            <w:tcW w:w="5628" w:type="dxa"/>
            <w:tcBorders>
              <w:top w:val="dotted" w:sz="4" w:space="0" w:color="7F7F7F"/>
              <w:left w:val="nil"/>
              <w:bottom w:val="dotted" w:sz="4" w:space="0" w:color="7F7F7F"/>
              <w:right w:val="nil"/>
            </w:tcBorders>
            <w:vAlign w:val="center"/>
            <w:hideMark/>
          </w:tcPr>
          <w:p w14:paraId="56B110C4" w14:textId="77777777" w:rsidR="0085070A" w:rsidRPr="00D53651" w:rsidRDefault="0085070A" w:rsidP="0085070A">
            <w:pPr>
              <w:spacing w:line="276" w:lineRule="auto"/>
              <w:jc w:val="both"/>
              <w:rPr>
                <w:rFonts w:ascii="Verdana" w:hAnsi="Verdana"/>
                <w:sz w:val="16"/>
                <w:szCs w:val="16"/>
                <w:lang w:val="pt-BR"/>
              </w:rPr>
            </w:pPr>
            <w:r w:rsidRPr="00D53651">
              <w:rPr>
                <w:rFonts w:ascii="Verdana" w:hAnsi="Verdana"/>
                <w:sz w:val="16"/>
                <w:szCs w:val="16"/>
                <w:lang w:val="pt-BR"/>
              </w:rPr>
              <w:t xml:space="preserve">Carolina Quintero </w:t>
            </w:r>
            <w:proofErr w:type="spellStart"/>
            <w:r w:rsidRPr="00D53651">
              <w:rPr>
                <w:rFonts w:ascii="Verdana" w:hAnsi="Verdana"/>
                <w:sz w:val="16"/>
                <w:szCs w:val="16"/>
                <w:lang w:val="pt-BR"/>
              </w:rPr>
              <w:t>Gacharná</w:t>
            </w:r>
            <w:proofErr w:type="spellEnd"/>
          </w:p>
          <w:p w14:paraId="61DD1F38" w14:textId="77777777" w:rsidR="0085070A" w:rsidRPr="00D53651" w:rsidRDefault="0085070A" w:rsidP="0085070A">
            <w:pPr>
              <w:spacing w:line="276" w:lineRule="auto"/>
              <w:jc w:val="both"/>
              <w:rPr>
                <w:rFonts w:ascii="Verdana" w:hAnsi="Verdana"/>
                <w:sz w:val="16"/>
                <w:szCs w:val="16"/>
                <w:lang w:val="pt-BR"/>
              </w:rPr>
            </w:pPr>
            <w:r w:rsidRPr="00D53651">
              <w:rPr>
                <w:rFonts w:ascii="Verdana" w:hAnsi="Verdana"/>
                <w:sz w:val="16"/>
                <w:szCs w:val="16"/>
              </w:rPr>
              <w:t>Subdirectora</w:t>
            </w:r>
            <w:r w:rsidRPr="00D53651">
              <w:rPr>
                <w:rFonts w:ascii="Verdana" w:hAnsi="Verdana"/>
                <w:sz w:val="16"/>
                <w:szCs w:val="16"/>
                <w:lang w:val="pt-BR"/>
              </w:rPr>
              <w:t xml:space="preserve"> de Gestión Contratual ANCP – CCE</w:t>
            </w:r>
          </w:p>
        </w:tc>
      </w:tr>
    </w:tbl>
    <w:p w14:paraId="53AD3525" w14:textId="77777777" w:rsidR="0085070A" w:rsidRPr="00E02524" w:rsidRDefault="0085070A" w:rsidP="0085070A">
      <w:pPr>
        <w:spacing w:after="0" w:line="240" w:lineRule="auto"/>
        <w:jc w:val="both"/>
        <w:rPr>
          <w:rFonts w:ascii="Verdana" w:eastAsia="Verdana" w:hAnsi="Verdana" w:cs="Verdana"/>
          <w:b/>
          <w:bCs/>
          <w:lang w:val="es-MX"/>
        </w:rPr>
      </w:pPr>
    </w:p>
    <w:p w14:paraId="36DCBCE9" w14:textId="77777777" w:rsidR="0085070A" w:rsidRPr="000E2B93" w:rsidRDefault="0085070A" w:rsidP="0085070A">
      <w:pPr>
        <w:spacing w:after="0" w:line="240" w:lineRule="auto"/>
        <w:jc w:val="both"/>
        <w:textAlignment w:val="baseline"/>
        <w:rPr>
          <w:rFonts w:ascii="Verdana" w:eastAsia="Verdana" w:hAnsi="Verdana" w:cs="Verdana"/>
          <w:lang w:eastAsia="es-CO"/>
        </w:rPr>
      </w:pPr>
    </w:p>
    <w:p w14:paraId="54FDEFCF" w14:textId="33EC4413" w:rsidR="0085070A" w:rsidRPr="000E2B93" w:rsidRDefault="0085070A" w:rsidP="0085070A">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bookmarkEnd w:id="0"/>
    <w:p w14:paraId="4D4802C5" w14:textId="2AB6254C" w:rsidR="001F5CEE" w:rsidRPr="0085070A" w:rsidRDefault="001F5CEE" w:rsidP="0085070A"/>
    <w:sectPr w:rsidR="001F5CEE" w:rsidRPr="0085070A"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C92895" w14:textId="77777777" w:rsidR="00AB647C" w:rsidRDefault="00AB647C" w:rsidP="004A1847">
      <w:pPr>
        <w:spacing w:after="0" w:line="240" w:lineRule="auto"/>
      </w:pPr>
      <w:r>
        <w:separator/>
      </w:r>
    </w:p>
  </w:endnote>
  <w:endnote w:type="continuationSeparator" w:id="0">
    <w:p w14:paraId="7BA4FBE0" w14:textId="77777777" w:rsidR="00AB647C" w:rsidRDefault="00AB647C" w:rsidP="004A1847">
      <w:pPr>
        <w:spacing w:after="0" w:line="240" w:lineRule="auto"/>
      </w:pPr>
      <w:r>
        <w:continuationSeparator/>
      </w:r>
    </w:p>
  </w:endnote>
  <w:endnote w:type="continuationNotice" w:id="1">
    <w:p w14:paraId="080D6650" w14:textId="77777777" w:rsidR="00AB647C" w:rsidRDefault="00AB647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charset w:val="01"/>
    <w:family w:val="swiss"/>
    <w:pitch w:val="variable"/>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40D19E" w14:textId="77777777" w:rsidR="00AB647C" w:rsidRDefault="00AB647C" w:rsidP="004A1847">
      <w:pPr>
        <w:spacing w:after="0" w:line="240" w:lineRule="auto"/>
      </w:pPr>
      <w:r>
        <w:separator/>
      </w:r>
    </w:p>
  </w:footnote>
  <w:footnote w:type="continuationSeparator" w:id="0">
    <w:p w14:paraId="33DABFB6" w14:textId="77777777" w:rsidR="00AB647C" w:rsidRDefault="00AB647C" w:rsidP="004A1847">
      <w:pPr>
        <w:spacing w:after="0" w:line="240" w:lineRule="auto"/>
      </w:pPr>
      <w:r>
        <w:continuationSeparator/>
      </w:r>
    </w:p>
  </w:footnote>
  <w:footnote w:type="continuationNotice" w:id="1">
    <w:p w14:paraId="200B71C1" w14:textId="77777777" w:rsidR="00AB647C" w:rsidRDefault="00AB647C">
      <w:pPr>
        <w:spacing w:after="0" w:line="240" w:lineRule="auto"/>
      </w:pPr>
    </w:p>
  </w:footnote>
  <w:footnote w:id="2">
    <w:p w14:paraId="0841AB20" w14:textId="77777777" w:rsidR="0085070A" w:rsidRPr="00561FD6" w:rsidRDefault="0085070A" w:rsidP="0085070A">
      <w:pPr>
        <w:pStyle w:val="Textonotapie"/>
        <w:ind w:firstLine="720"/>
        <w:contextualSpacing/>
        <w:jc w:val="both"/>
        <w:rPr>
          <w:rFonts w:ascii="Verdana" w:hAnsi="Verdana"/>
          <w:sz w:val="16"/>
          <w:szCs w:val="16"/>
        </w:rPr>
      </w:pPr>
      <w:r w:rsidRPr="00C918DB">
        <w:rPr>
          <w:rStyle w:val="Refdenotaalpie"/>
          <w:rFonts w:ascii="Verdana" w:hAnsi="Verdana"/>
          <w:sz w:val="16"/>
          <w:szCs w:val="16"/>
        </w:rPr>
        <w:footnoteRef/>
      </w:r>
      <w:r>
        <w:rPr>
          <w:rFonts w:ascii="Verdana" w:hAnsi="Verdana"/>
          <w:sz w:val="16"/>
          <w:szCs w:val="16"/>
          <w:lang w:val="es-CO"/>
        </w:rPr>
        <w:t xml:space="preserve"> </w:t>
      </w:r>
      <w:r w:rsidRPr="00561FD6">
        <w:rPr>
          <w:rFonts w:ascii="Verdana" w:hAnsi="Verdana"/>
          <w:sz w:val="16"/>
          <w:szCs w:val="16"/>
          <w:lang w:val="es-CO"/>
        </w:rPr>
        <w:t xml:space="preserve">EXPÓSITO VÉLEZ, Juan Carlos. </w:t>
      </w:r>
      <w:r w:rsidRPr="00561FD6">
        <w:rPr>
          <w:rFonts w:ascii="Verdana" w:hAnsi="Verdana"/>
          <w:sz w:val="16"/>
          <w:szCs w:val="16"/>
        </w:rPr>
        <w:t xml:space="preserve">Forma y contenido del contrato estatal. Serie de Derecho administrativo. Universidad Externado de Colombia. Página 70. </w:t>
      </w:r>
    </w:p>
  </w:footnote>
  <w:footnote w:id="3">
    <w:p w14:paraId="5A4E8EAA" w14:textId="77777777" w:rsidR="0085070A" w:rsidRPr="00C918DB" w:rsidRDefault="0085070A" w:rsidP="0085070A">
      <w:pPr>
        <w:pStyle w:val="Textonotapie"/>
        <w:ind w:firstLine="708"/>
        <w:contextualSpacing/>
        <w:rPr>
          <w:rFonts w:ascii="Verdana" w:hAnsi="Verdana"/>
          <w:sz w:val="16"/>
          <w:szCs w:val="16"/>
        </w:rPr>
      </w:pPr>
      <w:r w:rsidRPr="00C918DB">
        <w:rPr>
          <w:rStyle w:val="Refdenotaalpie"/>
          <w:rFonts w:ascii="Verdana" w:hAnsi="Verdana"/>
          <w:sz w:val="16"/>
          <w:szCs w:val="16"/>
        </w:rPr>
        <w:footnoteRef/>
      </w:r>
      <w:r w:rsidRPr="00C918DB">
        <w:rPr>
          <w:rFonts w:ascii="Verdana" w:hAnsi="Verdana"/>
          <w:sz w:val="16"/>
          <w:szCs w:val="16"/>
        </w:rPr>
        <w:t xml:space="preserve"> ESCOBAR Gil. Teoría General de los contratos de la Administración Pública. Página 214. </w:t>
      </w:r>
    </w:p>
  </w:footnote>
  <w:footnote w:id="4">
    <w:p w14:paraId="12C3F7C3" w14:textId="77777777" w:rsidR="0085070A" w:rsidRPr="00C918DB" w:rsidRDefault="0085070A" w:rsidP="0085070A">
      <w:pPr>
        <w:pStyle w:val="Textonotapie"/>
        <w:ind w:firstLine="708"/>
        <w:contextualSpacing/>
        <w:jc w:val="both"/>
        <w:rPr>
          <w:rFonts w:ascii="Verdana" w:hAnsi="Verdana"/>
          <w:sz w:val="16"/>
          <w:szCs w:val="16"/>
          <w:lang w:val="es-CO"/>
        </w:rPr>
      </w:pPr>
      <w:r w:rsidRPr="00C918DB">
        <w:rPr>
          <w:rStyle w:val="Refdenotaalpie"/>
          <w:rFonts w:ascii="Verdana" w:hAnsi="Verdana"/>
          <w:sz w:val="16"/>
          <w:szCs w:val="16"/>
        </w:rPr>
        <w:footnoteRef/>
      </w:r>
      <w:r w:rsidRPr="00C918DB">
        <w:rPr>
          <w:rFonts w:ascii="Verdana" w:hAnsi="Verdana"/>
          <w:sz w:val="16"/>
          <w:szCs w:val="16"/>
        </w:rPr>
        <w:t xml:space="preserve"> </w:t>
      </w:r>
      <w:r w:rsidRPr="00C918DB">
        <w:rPr>
          <w:rFonts w:ascii="Verdana" w:hAnsi="Verdana"/>
          <w:sz w:val="16"/>
          <w:szCs w:val="16"/>
          <w:lang w:val="es-CO"/>
        </w:rPr>
        <w:t>CONSEJO DE ESTADO. Sala de Consulta y Servicio Civil. Consejero ponente: Álvaro Namén Vargas Concepto del 15 de agosto de 2017. Rad. 2346.</w:t>
      </w:r>
    </w:p>
  </w:footnote>
  <w:footnote w:id="5">
    <w:p w14:paraId="0304ABD1" w14:textId="77777777" w:rsidR="0085070A" w:rsidRPr="00C918DB" w:rsidRDefault="0085070A" w:rsidP="0085070A">
      <w:pPr>
        <w:pStyle w:val="Textonotapie"/>
        <w:ind w:firstLine="708"/>
        <w:contextualSpacing/>
        <w:jc w:val="both"/>
        <w:rPr>
          <w:rFonts w:ascii="Verdana" w:hAnsi="Verdana"/>
          <w:sz w:val="16"/>
          <w:szCs w:val="16"/>
          <w:lang w:val="es-CO"/>
        </w:rPr>
      </w:pPr>
      <w:r w:rsidRPr="00C918DB">
        <w:rPr>
          <w:rStyle w:val="Refdenotaalpie"/>
          <w:rFonts w:ascii="Verdana" w:hAnsi="Verdana"/>
          <w:sz w:val="16"/>
          <w:szCs w:val="16"/>
        </w:rPr>
        <w:footnoteRef/>
      </w:r>
      <w:r w:rsidRPr="00C918DB">
        <w:rPr>
          <w:rFonts w:ascii="Verdana" w:hAnsi="Verdana"/>
          <w:sz w:val="16"/>
          <w:szCs w:val="16"/>
        </w:rPr>
        <w:t xml:space="preserve"> </w:t>
      </w:r>
      <w:r w:rsidRPr="00C918DB">
        <w:rPr>
          <w:rFonts w:ascii="Verdana" w:hAnsi="Verdana"/>
          <w:sz w:val="16"/>
          <w:szCs w:val="16"/>
          <w:lang w:val="es-CO"/>
        </w:rPr>
        <w:t>Como cuando el contrato estatal se celebra en el exterior, caso en el cual se rige por las leyes del país en donde se perfecciona (“lex loci contractus”), en cuanto a su existencia y validez, y también en cuanto a su ejecución, si así se estipula, a menos que deba cumplirse en Colombia, de acuerdo con lo dispuesto por el artículo 13 de la Ley 80 de 1993. También podría prescindirse del documento escrito en la hipótesis prevista en el inciso cuarto del artículo 41 de la misma ley: “En caso de situaciones de urgencia manifiesta a que se refiere el artículo 42 de esta ley que no permitan la suscripción de contrato escrito, se prescindirá de éste y aún del acuerdo acerca de la remuneración, no obstante, deberá dejarse constancia escrita de la autorización impartida por la entidad estatal contratante.”</w:t>
      </w:r>
    </w:p>
  </w:footnote>
  <w:footnote w:id="6">
    <w:p w14:paraId="65401856" w14:textId="77777777" w:rsidR="0085070A" w:rsidRPr="00C918DB" w:rsidRDefault="0085070A" w:rsidP="0085070A">
      <w:pPr>
        <w:pStyle w:val="Textonotapie"/>
        <w:ind w:firstLine="708"/>
        <w:contextualSpacing/>
        <w:rPr>
          <w:rFonts w:ascii="Verdana" w:hAnsi="Verdana"/>
          <w:sz w:val="16"/>
          <w:szCs w:val="16"/>
        </w:rPr>
      </w:pPr>
      <w:r w:rsidRPr="00C918DB">
        <w:rPr>
          <w:rStyle w:val="Refdenotaalpie"/>
          <w:rFonts w:ascii="Verdana" w:hAnsi="Verdana"/>
          <w:sz w:val="16"/>
          <w:szCs w:val="16"/>
        </w:rPr>
        <w:footnoteRef/>
      </w:r>
      <w:r w:rsidRPr="00C918DB">
        <w:rPr>
          <w:rFonts w:ascii="Verdana" w:hAnsi="Verdana"/>
          <w:sz w:val="16"/>
          <w:szCs w:val="16"/>
        </w:rPr>
        <w:t xml:space="preserve"> EXPOSITO. Pagina 73. </w:t>
      </w:r>
    </w:p>
  </w:footnote>
  <w:footnote w:id="7">
    <w:p w14:paraId="66F289E9" w14:textId="77777777" w:rsidR="0085070A" w:rsidRPr="00C918DB" w:rsidRDefault="0085070A" w:rsidP="0085070A">
      <w:pPr>
        <w:pStyle w:val="Textonotapie"/>
        <w:ind w:firstLine="708"/>
        <w:contextualSpacing/>
        <w:rPr>
          <w:rFonts w:ascii="Verdana" w:hAnsi="Verdana"/>
          <w:sz w:val="16"/>
          <w:szCs w:val="16"/>
        </w:rPr>
      </w:pPr>
      <w:r w:rsidRPr="00C918DB">
        <w:rPr>
          <w:rStyle w:val="Refdenotaalpie"/>
          <w:rFonts w:ascii="Verdana" w:hAnsi="Verdana"/>
          <w:sz w:val="16"/>
          <w:szCs w:val="16"/>
        </w:rPr>
        <w:footnoteRef/>
      </w:r>
      <w:r w:rsidRPr="00C918DB">
        <w:rPr>
          <w:rFonts w:ascii="Verdana" w:hAnsi="Verdana"/>
          <w:sz w:val="16"/>
          <w:szCs w:val="16"/>
        </w:rPr>
        <w:t xml:space="preserve"> </w:t>
      </w:r>
      <w:r w:rsidRPr="00C918DB">
        <w:rPr>
          <w:rFonts w:ascii="Verdana" w:hAnsi="Verdana"/>
          <w:sz w:val="16"/>
          <w:szCs w:val="16"/>
          <w:lang w:val="es-CO"/>
        </w:rPr>
        <w:t>CONSEJO DE ESTADO, Sala de lo Contencioso Administrativo, Sección Tercera, sentencia del 13 de junio de 2011, expediente 19936.</w:t>
      </w:r>
    </w:p>
  </w:footnote>
  <w:footnote w:id="8">
    <w:p w14:paraId="01A1AB5B" w14:textId="77777777" w:rsidR="0085070A" w:rsidRPr="005549AE" w:rsidRDefault="0085070A" w:rsidP="0085070A">
      <w:pPr>
        <w:pStyle w:val="Textonotapie"/>
        <w:ind w:firstLine="708"/>
        <w:contextualSpacing/>
        <w:jc w:val="both"/>
        <w:rPr>
          <w:rFonts w:ascii="Verdana" w:hAnsi="Verdana" w:cs="Arial"/>
          <w:sz w:val="16"/>
          <w:szCs w:val="16"/>
          <w:lang w:val="es-ES"/>
        </w:rPr>
      </w:pPr>
      <w:r w:rsidRPr="00C918DB">
        <w:rPr>
          <w:rStyle w:val="Refdenotaalpie"/>
          <w:rFonts w:ascii="Verdana" w:hAnsi="Verdana" w:cs="Arial"/>
          <w:sz w:val="16"/>
          <w:szCs w:val="16"/>
        </w:rPr>
        <w:footnoteRef/>
      </w:r>
      <w:r w:rsidRPr="00C918DB">
        <w:rPr>
          <w:rFonts w:ascii="Verdana" w:hAnsi="Verdana" w:cs="Arial"/>
          <w:sz w:val="16"/>
          <w:szCs w:val="16"/>
        </w:rPr>
        <w:t xml:space="preserve"> </w:t>
      </w:r>
      <w:r w:rsidRPr="00C918DB">
        <w:rPr>
          <w:rFonts w:ascii="Verdana" w:hAnsi="Verdana" w:cs="Arial"/>
          <w:sz w:val="16"/>
          <w:szCs w:val="16"/>
          <w:lang w:val="es-ES"/>
        </w:rPr>
        <w:t xml:space="preserve">SANTOS RODRÍGUEZ. Jorge Enrique. Construcción doctrinaria de la revocación del acto administrativo ilegal. Universidad Externado de Colombia, 2005. p. 27. </w:t>
      </w:r>
    </w:p>
  </w:footnote>
  <w:footnote w:id="9">
    <w:p w14:paraId="32377144" w14:textId="77777777" w:rsidR="0085070A" w:rsidRPr="005549AE" w:rsidRDefault="0085070A" w:rsidP="0085070A">
      <w:pPr>
        <w:pStyle w:val="Textonotapie"/>
        <w:ind w:firstLine="708"/>
        <w:contextualSpacing/>
        <w:jc w:val="both"/>
        <w:rPr>
          <w:rFonts w:ascii="Verdana" w:hAnsi="Verdana" w:cs="Arial"/>
          <w:sz w:val="16"/>
          <w:szCs w:val="16"/>
        </w:rPr>
      </w:pPr>
      <w:r w:rsidRPr="00C918DB">
        <w:rPr>
          <w:rStyle w:val="Refdenotaalpie"/>
          <w:rFonts w:ascii="Verdana" w:hAnsi="Verdana" w:cs="Arial"/>
          <w:sz w:val="16"/>
          <w:szCs w:val="16"/>
        </w:rPr>
        <w:footnoteRef/>
      </w:r>
      <w:r w:rsidRPr="00C918DB">
        <w:rPr>
          <w:rFonts w:ascii="Verdana" w:hAnsi="Verdana" w:cs="Arial"/>
          <w:sz w:val="16"/>
          <w:szCs w:val="16"/>
        </w:rPr>
        <w:t xml:space="preserve"> RODRÍGUEZ. Libardo. Derecho Administrativo General y colombiano. Vigésima Edición. Tomo II. Editorial Temis, 2017. p. 85. </w:t>
      </w:r>
    </w:p>
  </w:footnote>
  <w:footnote w:id="10">
    <w:p w14:paraId="140101D1" w14:textId="77777777" w:rsidR="0085070A" w:rsidRPr="00C918DB" w:rsidRDefault="0085070A" w:rsidP="0085070A">
      <w:pPr>
        <w:pStyle w:val="Textonotapie"/>
        <w:ind w:firstLine="708"/>
        <w:contextualSpacing/>
        <w:jc w:val="both"/>
        <w:rPr>
          <w:rFonts w:ascii="Verdana" w:hAnsi="Verdana" w:cs="Arial"/>
          <w:sz w:val="16"/>
          <w:szCs w:val="16"/>
          <w:lang w:val="es-ES"/>
        </w:rPr>
      </w:pPr>
      <w:r w:rsidRPr="00C918DB">
        <w:rPr>
          <w:rStyle w:val="Refdenotaalpie"/>
          <w:rFonts w:ascii="Verdana" w:hAnsi="Verdana" w:cs="Arial"/>
          <w:sz w:val="16"/>
          <w:szCs w:val="16"/>
        </w:rPr>
        <w:footnoteRef/>
      </w:r>
      <w:r w:rsidRPr="00C918DB">
        <w:rPr>
          <w:rFonts w:ascii="Verdana" w:hAnsi="Verdana" w:cs="Arial"/>
          <w:sz w:val="16"/>
          <w:szCs w:val="16"/>
        </w:rPr>
        <w:t xml:space="preserve"> </w:t>
      </w:r>
      <w:r w:rsidRPr="00C918DB">
        <w:rPr>
          <w:rFonts w:ascii="Verdana" w:hAnsi="Verdana" w:cs="Arial"/>
          <w:color w:val="000000" w:themeColor="text1"/>
          <w:sz w:val="16"/>
          <w:szCs w:val="16"/>
          <w:lang w:val="es-ES"/>
        </w:rPr>
        <w:t xml:space="preserve">SANTOFIMIO GAMBOA, Jaime Orlando. Ob. Cit. Párrafo 1414 y siguientes. </w:t>
      </w:r>
    </w:p>
  </w:footnote>
  <w:footnote w:id="11">
    <w:p w14:paraId="05AF722E" w14:textId="77777777" w:rsidR="0085070A" w:rsidRPr="00C918DB" w:rsidRDefault="0085070A" w:rsidP="0085070A">
      <w:pPr>
        <w:pStyle w:val="Textonotapie"/>
        <w:ind w:firstLine="708"/>
        <w:contextualSpacing/>
        <w:jc w:val="both"/>
        <w:rPr>
          <w:rFonts w:ascii="Verdana" w:hAnsi="Verdana" w:cs="Arial"/>
          <w:sz w:val="16"/>
          <w:szCs w:val="16"/>
        </w:rPr>
      </w:pPr>
      <w:r w:rsidRPr="00C918DB">
        <w:rPr>
          <w:rStyle w:val="Refdenotaalpie"/>
          <w:rFonts w:ascii="Verdana" w:hAnsi="Verdana" w:cs="Arial"/>
          <w:sz w:val="16"/>
          <w:szCs w:val="16"/>
        </w:rPr>
        <w:footnoteRef/>
      </w:r>
      <w:r w:rsidRPr="00C918DB">
        <w:rPr>
          <w:rFonts w:ascii="Verdana" w:hAnsi="Verdana" w:cs="Arial"/>
          <w:sz w:val="16"/>
          <w:szCs w:val="16"/>
        </w:rPr>
        <w:t xml:space="preserve"> El citado artículo 9 de la Ley 1150 de 2007 dispone: “ARTÍCULO 9o. DE LA ADJUDICACIÓN. En el evento previsto en el artículo 273 de la Constitución Política y en general en los procesos de licitación pública, la adjudicación se hará de forma obligatoria en audiencia pública, mediante resolución motivada, que se entenderá notificada al proponente favorecido en dicha audiencia.</w:t>
      </w:r>
    </w:p>
    <w:p w14:paraId="36BBEFDE" w14:textId="77777777" w:rsidR="0085070A" w:rsidRPr="00C918DB" w:rsidRDefault="0085070A" w:rsidP="0085070A">
      <w:pPr>
        <w:pStyle w:val="Textonotapie"/>
        <w:ind w:firstLine="708"/>
        <w:contextualSpacing/>
        <w:jc w:val="both"/>
        <w:rPr>
          <w:rFonts w:ascii="Verdana" w:hAnsi="Verdana" w:cs="Arial"/>
          <w:sz w:val="16"/>
          <w:szCs w:val="16"/>
        </w:rPr>
      </w:pPr>
      <w:r w:rsidRPr="00C918DB">
        <w:rPr>
          <w:rFonts w:ascii="Verdana" w:hAnsi="Verdana" w:cs="Arial"/>
          <w:sz w:val="16"/>
          <w:szCs w:val="16"/>
        </w:rPr>
        <w:t>Durante la misma audiencia, y previamente a la adopción de la decisión definitiva de adjudicación, los interesados podrán pronunciarse sobre la respuesta dada por la entidad contratante a las observaciones presentadas respecto de los informes de evaluación.</w:t>
      </w:r>
    </w:p>
    <w:p w14:paraId="62EDECBA" w14:textId="77777777" w:rsidR="0085070A" w:rsidRPr="00C918DB" w:rsidRDefault="0085070A" w:rsidP="0085070A">
      <w:pPr>
        <w:pStyle w:val="Textonotapie"/>
        <w:ind w:firstLine="708"/>
        <w:contextualSpacing/>
        <w:jc w:val="both"/>
        <w:rPr>
          <w:rFonts w:ascii="Verdana" w:hAnsi="Verdana" w:cs="Arial"/>
          <w:sz w:val="16"/>
          <w:szCs w:val="16"/>
        </w:rPr>
      </w:pPr>
      <w:r w:rsidRPr="00C918DB">
        <w:rPr>
          <w:rFonts w:ascii="Verdana" w:hAnsi="Verdana" w:cs="Arial"/>
          <w:sz w:val="16"/>
          <w:szCs w:val="16"/>
        </w:rPr>
        <w:t>El acto de adjudicación es irrevocable y obliga a la entidad y al adjudicatario. No obstante lo anterior, si dentro del plazo comprendido entre la adjudicación del contrato y la suscripción del mismo, sobreviene una inhabilidad o incompatibilidad o si se demuestra que el acto se obtuvo por medios ilegales, este podrá ser revocado, caso en el cual, la entidad podrá aplicar lo previsto en el inciso final del numeral 12 del artículo 30 de la Ley 80 de 1993.</w:t>
      </w:r>
    </w:p>
    <w:p w14:paraId="5C9F9241" w14:textId="77777777" w:rsidR="0085070A" w:rsidRPr="00C918DB" w:rsidRDefault="0085070A" w:rsidP="0085070A">
      <w:pPr>
        <w:pStyle w:val="Textonotapie"/>
        <w:ind w:firstLine="708"/>
        <w:contextualSpacing/>
        <w:jc w:val="both"/>
        <w:rPr>
          <w:rFonts w:ascii="Verdana" w:hAnsi="Verdana" w:cs="Arial"/>
          <w:sz w:val="16"/>
          <w:szCs w:val="16"/>
        </w:rPr>
      </w:pPr>
      <w:r w:rsidRPr="00C918DB">
        <w:rPr>
          <w:rFonts w:ascii="Verdana" w:hAnsi="Verdana" w:cs="Arial"/>
          <w:sz w:val="16"/>
          <w:szCs w:val="16"/>
        </w:rPr>
        <w:t>Sin perjuicio de las potestades a que se refiere el artículo 18 de la Ley 80 de 1993, en aquellos casos en que la entidad declare la caducidad del contrato y se encuentre pendiente de ejecución un porcentaje igual o superior al cincuenta por ciento (50%) del mismo, con excepción de los contratos de concesión, se podrá contratar al proponente calificado en el segundo lugar en el proceso de selección respectivo, previa revisión de las condiciones a que haya lugar”.</w:t>
      </w:r>
    </w:p>
  </w:footnote>
  <w:footnote w:id="12">
    <w:p w14:paraId="70BABD06" w14:textId="77777777" w:rsidR="0085070A" w:rsidRPr="00C918DB" w:rsidRDefault="0085070A" w:rsidP="0085070A">
      <w:pPr>
        <w:pStyle w:val="Textonotapie"/>
        <w:ind w:firstLine="708"/>
        <w:contextualSpacing/>
        <w:jc w:val="both"/>
        <w:rPr>
          <w:rFonts w:ascii="Verdana" w:hAnsi="Verdana" w:cs="Arial"/>
          <w:sz w:val="16"/>
          <w:szCs w:val="16"/>
          <w:lang w:val="es-ES"/>
        </w:rPr>
      </w:pPr>
      <w:r w:rsidRPr="00C918DB">
        <w:rPr>
          <w:rStyle w:val="Refdenotaalpie"/>
          <w:rFonts w:ascii="Verdana" w:hAnsi="Verdana" w:cs="Arial"/>
          <w:sz w:val="16"/>
          <w:szCs w:val="16"/>
        </w:rPr>
        <w:footnoteRef/>
      </w:r>
      <w:r w:rsidRPr="00C918DB">
        <w:rPr>
          <w:rFonts w:ascii="Verdana" w:hAnsi="Verdana" w:cs="Arial"/>
          <w:sz w:val="16"/>
          <w:szCs w:val="16"/>
        </w:rPr>
        <w:t xml:space="preserve"> CONSEJO DE ESTADO. Sala de Consulta y Servicio Civil. Concepto de 15 de agosto de 2017. Radicación: 2346. C.P. Álvaro Namén Vargas. </w:t>
      </w:r>
    </w:p>
  </w:footnote>
  <w:footnote w:id="13">
    <w:p w14:paraId="46F28138" w14:textId="77777777" w:rsidR="0085070A" w:rsidRPr="00E8735C" w:rsidRDefault="0085070A" w:rsidP="0085070A">
      <w:pPr>
        <w:pStyle w:val="Textonotapie"/>
        <w:ind w:firstLine="708"/>
        <w:jc w:val="both"/>
        <w:rPr>
          <w:rFonts w:ascii="Verdana" w:hAnsi="Verdana" w:cs="Arial"/>
          <w:sz w:val="16"/>
          <w:szCs w:val="16"/>
          <w:lang w:val="es-ES"/>
        </w:rPr>
      </w:pPr>
      <w:r w:rsidRPr="00E8735C">
        <w:rPr>
          <w:rStyle w:val="Refdenotaalpie"/>
          <w:rFonts w:ascii="Verdana" w:hAnsi="Verdana" w:cs="Arial"/>
          <w:sz w:val="16"/>
          <w:szCs w:val="16"/>
        </w:rPr>
        <w:footnoteRef/>
      </w:r>
      <w:r w:rsidRPr="00E8735C">
        <w:rPr>
          <w:rFonts w:ascii="Verdana" w:hAnsi="Verdana" w:cs="Arial"/>
          <w:sz w:val="16"/>
          <w:szCs w:val="16"/>
        </w:rPr>
        <w:t xml:space="preserve"> Cfr. BENAVIDES, José Luis. El contrato estatal: entre el derecho público y el derecho privado. Segunda edición. Bogotá: Universidad Externado de Colombia, 2009. pp. 78-79.      </w:t>
      </w:r>
    </w:p>
  </w:footnote>
  <w:footnote w:id="14">
    <w:p w14:paraId="60542CDD" w14:textId="77777777" w:rsidR="0085070A" w:rsidRPr="00E8735C" w:rsidRDefault="0085070A" w:rsidP="0085070A">
      <w:pPr>
        <w:pStyle w:val="Textonotapie"/>
        <w:ind w:firstLine="708"/>
        <w:jc w:val="both"/>
        <w:rPr>
          <w:rFonts w:ascii="Verdana" w:hAnsi="Verdana" w:cs="Arial"/>
          <w:sz w:val="16"/>
          <w:szCs w:val="16"/>
          <w:lang w:val="es-ES"/>
        </w:rPr>
      </w:pPr>
      <w:r w:rsidRPr="00E8735C">
        <w:rPr>
          <w:rStyle w:val="Refdenotaalpie"/>
          <w:rFonts w:ascii="Verdana" w:hAnsi="Verdana" w:cs="Arial"/>
          <w:sz w:val="16"/>
          <w:szCs w:val="16"/>
        </w:rPr>
        <w:footnoteRef/>
      </w:r>
      <w:r w:rsidRPr="00E8735C">
        <w:rPr>
          <w:rFonts w:ascii="Verdana" w:hAnsi="Verdana" w:cs="Arial"/>
          <w:sz w:val="16"/>
          <w:szCs w:val="16"/>
        </w:rPr>
        <w:t xml:space="preserve"> BETANCUR JARAMILLO, Carlos. Derecho procesal administrativo. Octava edición. Medellín: Señal Editora, 2013. p. 627. </w:t>
      </w:r>
    </w:p>
  </w:footnote>
  <w:footnote w:id="15">
    <w:p w14:paraId="184A0D3A" w14:textId="77777777" w:rsidR="0085070A" w:rsidRPr="006E45BA" w:rsidRDefault="0085070A" w:rsidP="0085070A">
      <w:pPr>
        <w:pStyle w:val="Textonotapie"/>
        <w:ind w:firstLine="708"/>
        <w:jc w:val="both"/>
        <w:rPr>
          <w:rFonts w:ascii="Verdana" w:hAnsi="Verdana"/>
          <w:sz w:val="16"/>
          <w:szCs w:val="16"/>
        </w:rPr>
      </w:pPr>
      <w:r w:rsidRPr="006E45BA">
        <w:rPr>
          <w:rStyle w:val="Refdenotaalpie"/>
          <w:rFonts w:ascii="Verdana" w:hAnsi="Verdana"/>
          <w:sz w:val="16"/>
          <w:szCs w:val="16"/>
        </w:rPr>
        <w:footnoteRef/>
      </w:r>
      <w:r w:rsidRPr="006E45BA">
        <w:rPr>
          <w:rFonts w:ascii="Verdana" w:hAnsi="Verdana"/>
          <w:sz w:val="16"/>
          <w:szCs w:val="16"/>
        </w:rPr>
        <w:t xml:space="preserve"> Para la doctrina, “La autonomía privada no es un poder originario o soberano. Es un poder conferido a los individuos por una norma superior, la cual regula su actuación, estableciendo cargas y limitaciones. En la ley vemos la fuente de validez de la norma negocial. La ley, lo mismo que puede ampliar el campo en el que actúa la autonomía privada, puede también restringirlo. La ley puede incluso, interviniendo posteriormente, modificar el contenido de una norma negocial ya establecida. Aunque sean excepcionales, estas intervenciones de la ley tienen su justificación formal en la superioridad de la fuente legislativa sobre la negocial.</w:t>
      </w:r>
    </w:p>
    <w:p w14:paraId="6BEA35F8" w14:textId="77777777" w:rsidR="0085070A" w:rsidRPr="006E45BA" w:rsidRDefault="0085070A" w:rsidP="0085070A">
      <w:pPr>
        <w:pStyle w:val="Textonotapie"/>
        <w:ind w:firstLine="708"/>
        <w:jc w:val="both"/>
        <w:rPr>
          <w:rFonts w:ascii="Verdana" w:hAnsi="Verdana"/>
          <w:sz w:val="16"/>
          <w:szCs w:val="16"/>
        </w:rPr>
      </w:pPr>
      <w:r w:rsidRPr="006E45BA">
        <w:rPr>
          <w:rFonts w:ascii="Verdana" w:hAnsi="Verdana"/>
          <w:sz w:val="16"/>
          <w:szCs w:val="16"/>
        </w:rPr>
        <w:t>[…]</w:t>
      </w:r>
    </w:p>
    <w:p w14:paraId="13256B60" w14:textId="77777777" w:rsidR="0085070A" w:rsidRPr="006E45BA" w:rsidRDefault="0085070A" w:rsidP="0085070A">
      <w:pPr>
        <w:pStyle w:val="Textonotapie"/>
        <w:ind w:firstLine="708"/>
        <w:jc w:val="both"/>
        <w:rPr>
          <w:rFonts w:ascii="Verdana" w:hAnsi="Verdana"/>
          <w:sz w:val="16"/>
          <w:szCs w:val="16"/>
        </w:rPr>
      </w:pPr>
      <w:r w:rsidRPr="006E45BA">
        <w:rPr>
          <w:rFonts w:ascii="Verdana" w:hAnsi="Verdana"/>
          <w:sz w:val="16"/>
          <w:szCs w:val="16"/>
        </w:rPr>
        <w:t xml:space="preserve">La autonomía privada no significa, pues, poder originario independiente o </w:t>
      </w:r>
      <w:r w:rsidRPr="006E45BA">
        <w:rPr>
          <w:rFonts w:ascii="Verdana" w:hAnsi="Verdana"/>
          <w:i/>
          <w:iCs/>
          <w:sz w:val="16"/>
          <w:szCs w:val="16"/>
        </w:rPr>
        <w:t>selbstherrlich</w:t>
      </w:r>
      <w:r w:rsidRPr="006E45BA">
        <w:rPr>
          <w:rFonts w:ascii="Verdana" w:hAnsi="Verdana"/>
          <w:sz w:val="16"/>
          <w:szCs w:val="16"/>
        </w:rPr>
        <w:t>, que no recibe de fuera la razón de su validez. El carácter no originario del poder en que se concreta la autonomía privada implica que no puede considerarse originaria o soberana tampoco la voluntad de los sujetos que establecen las normas negociales. No es que la voluntad privada cree derecho por sí o por fuerza propia.</w:t>
      </w:r>
    </w:p>
    <w:p w14:paraId="1D94F428" w14:textId="77777777" w:rsidR="0085070A" w:rsidRPr="006E45BA" w:rsidRDefault="0085070A" w:rsidP="0085070A">
      <w:pPr>
        <w:pStyle w:val="Textonotapie"/>
        <w:ind w:firstLine="708"/>
        <w:jc w:val="both"/>
        <w:rPr>
          <w:rFonts w:ascii="Verdana" w:hAnsi="Verdana"/>
          <w:sz w:val="16"/>
          <w:szCs w:val="16"/>
        </w:rPr>
      </w:pPr>
      <w:r w:rsidRPr="006E45BA">
        <w:rPr>
          <w:rFonts w:ascii="Verdana" w:hAnsi="Verdana"/>
          <w:sz w:val="16"/>
          <w:szCs w:val="16"/>
        </w:rPr>
        <w:t>Admitir una atribución de poder por parte de una norma superior basta para excluir el carácter originario o soberanía de la voluntad privada y del poder atribuido a ella” (FERRI, Luigui. La autonomía privada. Santiago de Chile: Ediciones Olejnik, 2018. pp. 44-45).</w:t>
      </w:r>
    </w:p>
  </w:footnote>
  <w:footnote w:id="16">
    <w:p w14:paraId="7667516F" w14:textId="77777777" w:rsidR="0085070A" w:rsidRPr="006E45BA" w:rsidRDefault="0085070A" w:rsidP="0085070A">
      <w:pPr>
        <w:pStyle w:val="Textonotapie"/>
        <w:ind w:firstLine="708"/>
        <w:jc w:val="both"/>
        <w:rPr>
          <w:rFonts w:ascii="Verdana" w:hAnsi="Verdana"/>
          <w:sz w:val="16"/>
          <w:szCs w:val="16"/>
        </w:rPr>
      </w:pPr>
      <w:r w:rsidRPr="006E45BA">
        <w:rPr>
          <w:rStyle w:val="Refdenotaalpie"/>
          <w:rFonts w:ascii="Verdana" w:hAnsi="Verdana"/>
          <w:sz w:val="16"/>
          <w:szCs w:val="16"/>
        </w:rPr>
        <w:footnoteRef/>
      </w:r>
      <w:r w:rsidRPr="006E45BA">
        <w:rPr>
          <w:rFonts w:ascii="Verdana" w:hAnsi="Verdana"/>
          <w:sz w:val="16"/>
          <w:szCs w:val="16"/>
        </w:rPr>
        <w:t xml:space="preserve"> HINESTROSA, Fernando. Tratado de las obligaciones II. De las fuentes de las obligaciones: el negocio jurídico. Volumen II. Bogotá: Universidad externando de Colombia, 2015. Libro en formato EPUB. </w:t>
      </w:r>
    </w:p>
  </w:footnote>
  <w:footnote w:id="17">
    <w:p w14:paraId="74AC0449" w14:textId="77777777" w:rsidR="0085070A" w:rsidRPr="006E45BA" w:rsidRDefault="0085070A" w:rsidP="0085070A">
      <w:pPr>
        <w:pStyle w:val="Textonotapie"/>
        <w:ind w:firstLine="708"/>
        <w:jc w:val="both"/>
        <w:rPr>
          <w:rFonts w:ascii="Verdana" w:hAnsi="Verdana"/>
          <w:sz w:val="16"/>
          <w:szCs w:val="16"/>
        </w:rPr>
      </w:pPr>
      <w:r w:rsidRPr="006E45BA">
        <w:rPr>
          <w:rStyle w:val="Refdenotaalpie"/>
          <w:rFonts w:ascii="Verdana" w:hAnsi="Verdana"/>
          <w:sz w:val="16"/>
          <w:szCs w:val="16"/>
        </w:rPr>
        <w:footnoteRef/>
      </w:r>
      <w:r w:rsidRPr="006E45BA">
        <w:rPr>
          <w:rFonts w:ascii="Verdana" w:hAnsi="Verdana"/>
          <w:sz w:val="16"/>
          <w:szCs w:val="16"/>
        </w:rPr>
        <w:t xml:space="preserve"> ALESSANDRI BESA, Arturo. La nulidad y la recisión en el derecho civil chileno. Santiago de Chile: Ediar Editores LTDA, s/a. p. 689. Para el autor, “Aun cuando la nulidad relativa sea la regla general en materia de nulidades, esto no significa, que la nulidad en sí misma, por ser una sanción, no constituya una excepción […]” (</w:t>
      </w:r>
      <w:r w:rsidRPr="006E45BA">
        <w:rPr>
          <w:rFonts w:ascii="Verdana" w:hAnsi="Verdana"/>
          <w:i/>
          <w:iCs/>
          <w:sz w:val="16"/>
          <w:szCs w:val="16"/>
        </w:rPr>
        <w:t>Ibidem</w:t>
      </w:r>
      <w:r w:rsidRPr="006E45BA">
        <w:rPr>
          <w:rFonts w:ascii="Verdana" w:hAnsi="Verdana"/>
          <w:sz w:val="16"/>
          <w:szCs w:val="16"/>
        </w:rPr>
        <w:t xml:space="preserve">. p. 685). Por ello, a pesar de la formulación general del último aparte del artículo 1741 del Código Civil, la nulidad relativa se reduce a circunstancias específicas.   </w:t>
      </w:r>
    </w:p>
  </w:footnote>
  <w:footnote w:id="18">
    <w:p w14:paraId="062D5331" w14:textId="77777777" w:rsidR="0085070A" w:rsidRPr="006E45BA" w:rsidRDefault="0085070A" w:rsidP="0085070A">
      <w:pPr>
        <w:pStyle w:val="Textonotapie"/>
        <w:ind w:firstLine="708"/>
        <w:jc w:val="both"/>
        <w:rPr>
          <w:rFonts w:ascii="Verdana" w:hAnsi="Verdana"/>
          <w:sz w:val="16"/>
          <w:szCs w:val="16"/>
        </w:rPr>
      </w:pPr>
      <w:r w:rsidRPr="006E45BA">
        <w:rPr>
          <w:rStyle w:val="Refdenotaalpie"/>
          <w:rFonts w:ascii="Verdana" w:hAnsi="Verdana"/>
          <w:sz w:val="16"/>
          <w:szCs w:val="16"/>
        </w:rPr>
        <w:footnoteRef/>
      </w:r>
      <w:r w:rsidRPr="006E45BA">
        <w:rPr>
          <w:rFonts w:ascii="Verdana" w:hAnsi="Verdana"/>
          <w:sz w:val="16"/>
          <w:szCs w:val="16"/>
        </w:rPr>
        <w:t xml:space="preserve"> De acuerdo con la doctrina, “El legislador mercantil introduce una importante variación al establecer la nulidad absoluta corno la regla general en las sanciones. Cuando se contraria una norma imperativa en el ejercicio de la autonomía de la voluntad, si no hay una sanción específica, tendremos como resultado que habrá nulidad absoluta. En el campo civil, la sanción general no es la nulidad absoluta sino la nulidad relativa, pues el articulo 1741 luego de señalar las causales de nulidad absoluta, concluye: </w:t>
      </w:r>
      <w:r w:rsidRPr="006E45BA">
        <w:rPr>
          <w:rFonts w:ascii="Verdana" w:hAnsi="Verdana"/>
          <w:i/>
          <w:iCs/>
          <w:sz w:val="16"/>
          <w:szCs w:val="16"/>
        </w:rPr>
        <w:t>Cualquier otra especie de vicio produce nulidad relativa</w:t>
      </w:r>
      <w:r w:rsidRPr="006E45BA">
        <w:rPr>
          <w:rFonts w:ascii="Verdana" w:hAnsi="Verdana"/>
          <w:sz w:val="16"/>
          <w:szCs w:val="16"/>
        </w:rPr>
        <w:t>. Es una marcada diferencia en el tratamiento de las nulidades de las dos codificaciones” (ARRUBLA PAUCAR, Jaime Alberto. Contratos mercantiles: teoría general del negocio mercantil. Decimocuarta edición. Bogotá: Legis, 2021. p. 282. Énfasis dentro del texto).</w:t>
      </w:r>
    </w:p>
  </w:footnote>
  <w:footnote w:id="19">
    <w:p w14:paraId="13DD3D38" w14:textId="77777777" w:rsidR="0085070A" w:rsidRPr="006E45BA" w:rsidRDefault="0085070A" w:rsidP="0085070A">
      <w:pPr>
        <w:spacing w:after="0"/>
        <w:ind w:firstLine="707"/>
        <w:jc w:val="both"/>
        <w:rPr>
          <w:rFonts w:ascii="Verdana" w:hAnsi="Verdana" w:cs="Arial"/>
          <w:sz w:val="16"/>
          <w:szCs w:val="16"/>
        </w:rPr>
      </w:pPr>
      <w:r w:rsidRPr="006E45BA">
        <w:rPr>
          <w:rStyle w:val="Refdenotaalpie"/>
          <w:rFonts w:ascii="Verdana" w:hAnsi="Verdana" w:cs="Arial"/>
          <w:sz w:val="16"/>
          <w:szCs w:val="16"/>
        </w:rPr>
        <w:footnoteRef/>
      </w:r>
      <w:r w:rsidRPr="006E45BA">
        <w:rPr>
          <w:rFonts w:ascii="Verdana" w:hAnsi="Verdana" w:cs="Arial"/>
          <w:sz w:val="16"/>
          <w:szCs w:val="16"/>
        </w:rPr>
        <w:t xml:space="preserve"> </w:t>
      </w:r>
      <w:r>
        <w:rPr>
          <w:rFonts w:ascii="Verdana" w:hAnsi="Verdana" w:cs="Arial"/>
          <w:sz w:val="16"/>
          <w:szCs w:val="16"/>
        </w:rPr>
        <w:t>“</w:t>
      </w:r>
      <w:r w:rsidRPr="006E45BA">
        <w:rPr>
          <w:rFonts w:ascii="Verdana" w:hAnsi="Verdana" w:cs="Arial"/>
          <w:sz w:val="16"/>
          <w:szCs w:val="16"/>
        </w:rPr>
        <w:t>Artículo 44. Los contratos del Estado son absolutamente nulos en los casos previstos en el derecho común y además cuando:</w:t>
      </w:r>
    </w:p>
    <w:p w14:paraId="29824C96" w14:textId="77777777" w:rsidR="0085070A" w:rsidRPr="006E45BA" w:rsidRDefault="0085070A" w:rsidP="0085070A">
      <w:pPr>
        <w:spacing w:after="0"/>
        <w:ind w:firstLine="708"/>
        <w:jc w:val="both"/>
        <w:rPr>
          <w:rFonts w:ascii="Verdana" w:hAnsi="Verdana" w:cs="Arial"/>
          <w:sz w:val="16"/>
          <w:szCs w:val="16"/>
        </w:rPr>
      </w:pPr>
      <w:r w:rsidRPr="006E45BA">
        <w:rPr>
          <w:rFonts w:ascii="Verdana" w:hAnsi="Verdana" w:cs="Arial"/>
          <w:sz w:val="16"/>
          <w:szCs w:val="16"/>
        </w:rPr>
        <w:t>1o. Se celebren con personas incursas en causales de inhabilidad o incompatibilidad previstas en la Constitución y la ley;</w:t>
      </w:r>
    </w:p>
    <w:p w14:paraId="06C0D5A9" w14:textId="77777777" w:rsidR="0085070A" w:rsidRPr="006E45BA" w:rsidRDefault="0085070A" w:rsidP="0085070A">
      <w:pPr>
        <w:spacing w:after="0"/>
        <w:ind w:firstLine="708"/>
        <w:jc w:val="both"/>
        <w:rPr>
          <w:rFonts w:ascii="Verdana" w:hAnsi="Verdana" w:cs="Arial"/>
          <w:sz w:val="16"/>
          <w:szCs w:val="16"/>
        </w:rPr>
      </w:pPr>
      <w:r w:rsidRPr="006E45BA">
        <w:rPr>
          <w:rFonts w:ascii="Verdana" w:hAnsi="Verdana" w:cs="Arial"/>
          <w:sz w:val="16"/>
          <w:szCs w:val="16"/>
        </w:rPr>
        <w:t xml:space="preserve">2o. Se celebren contra expresa prohibición constitucional o legal; </w:t>
      </w:r>
    </w:p>
    <w:p w14:paraId="2ED16C98" w14:textId="77777777" w:rsidR="0085070A" w:rsidRPr="006E45BA" w:rsidRDefault="0085070A" w:rsidP="0085070A">
      <w:pPr>
        <w:spacing w:after="0"/>
        <w:ind w:firstLine="708"/>
        <w:jc w:val="both"/>
        <w:rPr>
          <w:rFonts w:ascii="Verdana" w:hAnsi="Verdana" w:cs="Arial"/>
          <w:sz w:val="16"/>
          <w:szCs w:val="16"/>
        </w:rPr>
      </w:pPr>
      <w:r w:rsidRPr="006E45BA">
        <w:rPr>
          <w:rFonts w:ascii="Verdana" w:hAnsi="Verdana" w:cs="Arial"/>
          <w:sz w:val="16"/>
          <w:szCs w:val="16"/>
        </w:rPr>
        <w:t>3o. Se celebren con abuso o desviación de poder;</w:t>
      </w:r>
    </w:p>
    <w:p w14:paraId="333FBF8A" w14:textId="77777777" w:rsidR="0085070A" w:rsidRPr="006E45BA" w:rsidRDefault="0085070A" w:rsidP="0085070A">
      <w:pPr>
        <w:spacing w:after="0"/>
        <w:ind w:firstLine="708"/>
        <w:jc w:val="both"/>
        <w:rPr>
          <w:rFonts w:ascii="Verdana" w:hAnsi="Verdana" w:cs="Arial"/>
          <w:sz w:val="16"/>
          <w:szCs w:val="16"/>
        </w:rPr>
      </w:pPr>
      <w:r w:rsidRPr="006E45BA">
        <w:rPr>
          <w:rFonts w:ascii="Verdana" w:hAnsi="Verdana" w:cs="Arial"/>
          <w:sz w:val="16"/>
          <w:szCs w:val="16"/>
        </w:rPr>
        <w:t>4o. Se declaren nulos los actos administrativos en que se fundamenten; y</w:t>
      </w:r>
    </w:p>
    <w:p w14:paraId="2FA3CD14" w14:textId="77777777" w:rsidR="0085070A" w:rsidRPr="006E45BA" w:rsidRDefault="0085070A" w:rsidP="0085070A">
      <w:pPr>
        <w:spacing w:after="0"/>
        <w:ind w:firstLine="708"/>
        <w:jc w:val="both"/>
        <w:rPr>
          <w:rFonts w:ascii="Verdana" w:hAnsi="Verdana" w:cs="Arial"/>
          <w:sz w:val="16"/>
          <w:szCs w:val="16"/>
        </w:rPr>
      </w:pPr>
      <w:r w:rsidRPr="006E45BA">
        <w:rPr>
          <w:rFonts w:ascii="Verdana" w:hAnsi="Verdana" w:cs="Arial"/>
          <w:sz w:val="16"/>
          <w:szCs w:val="16"/>
        </w:rPr>
        <w:t>5o. Se hubieren celebrado con desconocimiento de los criterios previstos en el artículo 21 sobre tratamiento de ofertas nacionales y extranjeras o con violación de la reciprocidad de que trata esta ley</w:t>
      </w:r>
      <w:r>
        <w:rPr>
          <w:rFonts w:ascii="Verdana" w:hAnsi="Verdana" w:cs="Arial"/>
          <w:sz w:val="16"/>
          <w:szCs w:val="16"/>
        </w:rPr>
        <w:t>”</w:t>
      </w:r>
      <w:r w:rsidRPr="006E45BA">
        <w:rPr>
          <w:rFonts w:ascii="Verdana" w:hAnsi="Verdana" w:cs="Arial"/>
          <w:sz w:val="16"/>
          <w:szCs w:val="16"/>
        </w:rPr>
        <w:t>.</w:t>
      </w:r>
    </w:p>
  </w:footnote>
  <w:footnote w:id="20">
    <w:p w14:paraId="39FF37BB" w14:textId="77777777" w:rsidR="0085070A" w:rsidRPr="001A0C7A" w:rsidRDefault="0085070A" w:rsidP="0085070A">
      <w:pPr>
        <w:spacing w:after="0"/>
        <w:ind w:firstLine="708"/>
        <w:jc w:val="both"/>
        <w:rPr>
          <w:rFonts w:ascii="Verdana" w:hAnsi="Verdana" w:cs="Arial"/>
          <w:sz w:val="16"/>
          <w:szCs w:val="16"/>
        </w:rPr>
      </w:pPr>
      <w:r w:rsidRPr="006E45BA">
        <w:rPr>
          <w:rStyle w:val="Refdenotaalpie"/>
          <w:rFonts w:ascii="Verdana" w:hAnsi="Verdana" w:cs="Arial"/>
          <w:sz w:val="16"/>
          <w:szCs w:val="16"/>
        </w:rPr>
        <w:footnoteRef/>
      </w:r>
      <w:r w:rsidRPr="006E45BA">
        <w:rPr>
          <w:rFonts w:ascii="Verdana" w:hAnsi="Verdana" w:cs="Arial"/>
          <w:sz w:val="16"/>
          <w:szCs w:val="16"/>
        </w:rPr>
        <w:t xml:space="preserve"> </w:t>
      </w:r>
      <w:r>
        <w:rPr>
          <w:rFonts w:ascii="Verdana" w:hAnsi="Verdana" w:cs="Arial"/>
          <w:sz w:val="16"/>
          <w:szCs w:val="16"/>
        </w:rPr>
        <w:t>“</w:t>
      </w:r>
      <w:r w:rsidRPr="006E45BA">
        <w:rPr>
          <w:rFonts w:ascii="Verdana" w:hAnsi="Verdana" w:cs="Arial"/>
          <w:sz w:val="16"/>
          <w:szCs w:val="16"/>
        </w:rPr>
        <w:t>Artículo 46. de la nulidad relativa. Los demás vicios que se presenten en los contratos y que conforme al derecho común constituyen causales de nulidad relativa, pueden sanearse por ratificación expresa de los interesados o por el transcurso de dos (2) años contados a partir de la ocurrencia del hecho generador del vicio</w:t>
      </w:r>
      <w:r>
        <w:rPr>
          <w:rFonts w:ascii="Verdana" w:hAnsi="Verdana" w:cs="Arial"/>
          <w:sz w:val="16"/>
          <w:szCs w:val="16"/>
        </w:rPr>
        <w:t>”</w:t>
      </w:r>
      <w:r w:rsidRPr="006E45BA">
        <w:rPr>
          <w:rFonts w:ascii="Verdana" w:hAnsi="Verdana" w:cs="Arial"/>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F0E01D5"/>
    <w:multiLevelType w:val="hybridMultilevel"/>
    <w:tmpl w:val="168A3486"/>
    <w:lvl w:ilvl="0" w:tplc="E6945C7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3E783C29"/>
    <w:multiLevelType w:val="hybridMultilevel"/>
    <w:tmpl w:val="D5603A04"/>
    <w:lvl w:ilvl="0" w:tplc="6DB07820">
      <w:start w:val="1"/>
      <w:numFmt w:val="lowerLetter"/>
      <w:lvlText w:val="%1."/>
      <w:lvlJc w:val="left"/>
      <w:pPr>
        <w:ind w:left="1429" w:hanging="360"/>
      </w:pPr>
      <w:rPr>
        <w:rFonts w:hint="default"/>
      </w:rPr>
    </w:lvl>
    <w:lvl w:ilvl="1" w:tplc="240A0019" w:tentative="1">
      <w:start w:val="1"/>
      <w:numFmt w:val="lowerLetter"/>
      <w:lvlText w:val="%2."/>
      <w:lvlJc w:val="left"/>
      <w:pPr>
        <w:ind w:left="2149" w:hanging="360"/>
      </w:pPr>
    </w:lvl>
    <w:lvl w:ilvl="2" w:tplc="240A001B" w:tentative="1">
      <w:start w:val="1"/>
      <w:numFmt w:val="lowerRoman"/>
      <w:lvlText w:val="%3."/>
      <w:lvlJc w:val="right"/>
      <w:pPr>
        <w:ind w:left="2869" w:hanging="180"/>
      </w:pPr>
    </w:lvl>
    <w:lvl w:ilvl="3" w:tplc="240A000F" w:tentative="1">
      <w:start w:val="1"/>
      <w:numFmt w:val="decimal"/>
      <w:lvlText w:val="%4."/>
      <w:lvlJc w:val="left"/>
      <w:pPr>
        <w:ind w:left="3589" w:hanging="360"/>
      </w:pPr>
    </w:lvl>
    <w:lvl w:ilvl="4" w:tplc="240A0019" w:tentative="1">
      <w:start w:val="1"/>
      <w:numFmt w:val="lowerLetter"/>
      <w:lvlText w:val="%5."/>
      <w:lvlJc w:val="left"/>
      <w:pPr>
        <w:ind w:left="4309" w:hanging="360"/>
      </w:pPr>
    </w:lvl>
    <w:lvl w:ilvl="5" w:tplc="240A001B" w:tentative="1">
      <w:start w:val="1"/>
      <w:numFmt w:val="lowerRoman"/>
      <w:lvlText w:val="%6."/>
      <w:lvlJc w:val="right"/>
      <w:pPr>
        <w:ind w:left="5029" w:hanging="180"/>
      </w:pPr>
    </w:lvl>
    <w:lvl w:ilvl="6" w:tplc="240A000F" w:tentative="1">
      <w:start w:val="1"/>
      <w:numFmt w:val="decimal"/>
      <w:lvlText w:val="%7."/>
      <w:lvlJc w:val="left"/>
      <w:pPr>
        <w:ind w:left="5749" w:hanging="360"/>
      </w:pPr>
    </w:lvl>
    <w:lvl w:ilvl="7" w:tplc="240A0019" w:tentative="1">
      <w:start w:val="1"/>
      <w:numFmt w:val="lowerLetter"/>
      <w:lvlText w:val="%8."/>
      <w:lvlJc w:val="left"/>
      <w:pPr>
        <w:ind w:left="6469" w:hanging="360"/>
      </w:pPr>
    </w:lvl>
    <w:lvl w:ilvl="8" w:tplc="240A001B" w:tentative="1">
      <w:start w:val="1"/>
      <w:numFmt w:val="lowerRoman"/>
      <w:lvlText w:val="%9."/>
      <w:lvlJc w:val="right"/>
      <w:pPr>
        <w:ind w:left="7189" w:hanging="180"/>
      </w:pPr>
    </w:lvl>
  </w:abstractNum>
  <w:abstractNum w:abstractNumId="12"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6"/>
  </w:num>
  <w:num w:numId="7" w16cid:durableId="1946422806">
    <w:abstractNumId w:val="6"/>
  </w:num>
  <w:num w:numId="8" w16cid:durableId="152644682">
    <w:abstractNumId w:val="15"/>
  </w:num>
  <w:num w:numId="9" w16cid:durableId="1317221377">
    <w:abstractNumId w:val="8"/>
  </w:num>
  <w:num w:numId="10" w16cid:durableId="1471245386">
    <w:abstractNumId w:val="14"/>
  </w:num>
  <w:num w:numId="11" w16cid:durableId="289172385">
    <w:abstractNumId w:val="9"/>
  </w:num>
  <w:num w:numId="12" w16cid:durableId="1470781324">
    <w:abstractNumId w:val="1"/>
  </w:num>
  <w:num w:numId="13" w16cid:durableId="1512908409">
    <w:abstractNumId w:val="4"/>
  </w:num>
  <w:num w:numId="14" w16cid:durableId="895897244">
    <w:abstractNumId w:val="17"/>
  </w:num>
  <w:num w:numId="15" w16cid:durableId="390349800">
    <w:abstractNumId w:val="13"/>
  </w:num>
  <w:num w:numId="16" w16cid:durableId="341274352">
    <w:abstractNumId w:val="0"/>
  </w:num>
  <w:num w:numId="17" w16cid:durableId="153255849">
    <w:abstractNumId w:val="12"/>
  </w:num>
  <w:num w:numId="18" w16cid:durableId="1730961620">
    <w:abstractNumId w:val="3"/>
  </w:num>
  <w:num w:numId="19" w16cid:durableId="543834654">
    <w:abstractNumId w:val="11"/>
  </w:num>
  <w:num w:numId="20" w16cid:durableId="67908957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C7411"/>
    <w:rsid w:val="000D0334"/>
    <w:rsid w:val="000D5DA7"/>
    <w:rsid w:val="000F6486"/>
    <w:rsid w:val="00116940"/>
    <w:rsid w:val="00125105"/>
    <w:rsid w:val="00127233"/>
    <w:rsid w:val="001327D4"/>
    <w:rsid w:val="0014267B"/>
    <w:rsid w:val="0015699B"/>
    <w:rsid w:val="001A33BF"/>
    <w:rsid w:val="001E4177"/>
    <w:rsid w:val="001F0B24"/>
    <w:rsid w:val="001F5CEE"/>
    <w:rsid w:val="001F7DC6"/>
    <w:rsid w:val="0022400B"/>
    <w:rsid w:val="00236B06"/>
    <w:rsid w:val="002421BB"/>
    <w:rsid w:val="0025796E"/>
    <w:rsid w:val="002707A2"/>
    <w:rsid w:val="00282D29"/>
    <w:rsid w:val="002951A0"/>
    <w:rsid w:val="002962BC"/>
    <w:rsid w:val="002A093D"/>
    <w:rsid w:val="002A0DD0"/>
    <w:rsid w:val="002A49AC"/>
    <w:rsid w:val="002A517B"/>
    <w:rsid w:val="002A64FD"/>
    <w:rsid w:val="002C7A84"/>
    <w:rsid w:val="002E2BF8"/>
    <w:rsid w:val="002E4FD9"/>
    <w:rsid w:val="0030657A"/>
    <w:rsid w:val="00322A85"/>
    <w:rsid w:val="00324168"/>
    <w:rsid w:val="00326016"/>
    <w:rsid w:val="00327386"/>
    <w:rsid w:val="00330834"/>
    <w:rsid w:val="003448F4"/>
    <w:rsid w:val="00366996"/>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934D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693460"/>
    <w:rsid w:val="006B2312"/>
    <w:rsid w:val="006C4772"/>
    <w:rsid w:val="00706C16"/>
    <w:rsid w:val="0071659B"/>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5070A"/>
    <w:rsid w:val="00861582"/>
    <w:rsid w:val="00867F95"/>
    <w:rsid w:val="008843B6"/>
    <w:rsid w:val="00891928"/>
    <w:rsid w:val="008A446D"/>
    <w:rsid w:val="008B25F1"/>
    <w:rsid w:val="008D180B"/>
    <w:rsid w:val="008F0EA7"/>
    <w:rsid w:val="00923EEF"/>
    <w:rsid w:val="00930A08"/>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AB647C"/>
    <w:rsid w:val="00AC438F"/>
    <w:rsid w:val="00AC6829"/>
    <w:rsid w:val="00B00C0E"/>
    <w:rsid w:val="00B01B1A"/>
    <w:rsid w:val="00B0381D"/>
    <w:rsid w:val="00B44A47"/>
    <w:rsid w:val="00B72CD3"/>
    <w:rsid w:val="00B72FFF"/>
    <w:rsid w:val="00BC3D36"/>
    <w:rsid w:val="00BC4B58"/>
    <w:rsid w:val="00BD54A6"/>
    <w:rsid w:val="00BD7F72"/>
    <w:rsid w:val="00BF7425"/>
    <w:rsid w:val="00C04FB3"/>
    <w:rsid w:val="00C11D8B"/>
    <w:rsid w:val="00C15139"/>
    <w:rsid w:val="00C330EB"/>
    <w:rsid w:val="00C4122B"/>
    <w:rsid w:val="00C50D69"/>
    <w:rsid w:val="00C5365C"/>
    <w:rsid w:val="00C754BE"/>
    <w:rsid w:val="00C76B1C"/>
    <w:rsid w:val="00C925AC"/>
    <w:rsid w:val="00CB6357"/>
    <w:rsid w:val="00CC1B26"/>
    <w:rsid w:val="00CD5545"/>
    <w:rsid w:val="00D03C48"/>
    <w:rsid w:val="00D361FD"/>
    <w:rsid w:val="00D423A2"/>
    <w:rsid w:val="00D44E26"/>
    <w:rsid w:val="00D520D8"/>
    <w:rsid w:val="00D63AC2"/>
    <w:rsid w:val="00D7383B"/>
    <w:rsid w:val="00D73E06"/>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D4489"/>
    <w:rsid w:val="00EE1AA8"/>
    <w:rsid w:val="00F23FEA"/>
    <w:rsid w:val="00F31EDC"/>
    <w:rsid w:val="00F404D0"/>
    <w:rsid w:val="00F462B3"/>
    <w:rsid w:val="00F5664F"/>
    <w:rsid w:val="00F666C4"/>
    <w:rsid w:val="00F67653"/>
    <w:rsid w:val="00F76AFC"/>
    <w:rsid w:val="00FA47C0"/>
    <w:rsid w:val="00FB5DD1"/>
    <w:rsid w:val="00FC2B5D"/>
    <w:rsid w:val="00FD2152"/>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FCD7488C-23C5-4245-ABDB-B622FC28F9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1F5CEE"/>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1F5CEE"/>
    <w:rPr>
      <w:rFonts w:ascii="Geomanist Light" w:hAnsi="Geomanist Light"/>
      <w:lang w:val="es-ES"/>
    </w:rPr>
  </w:style>
  <w:style w:type="paragraph" w:styleId="Textoindependiente">
    <w:name w:val="Body Text"/>
    <w:basedOn w:val="Normal"/>
    <w:link w:val="TextoindependienteCar"/>
    <w:uiPriority w:val="99"/>
    <w:qFormat/>
    <w:rsid w:val="0085070A"/>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99"/>
    <w:rsid w:val="0085070A"/>
    <w:rPr>
      <w:rFonts w:ascii="Verdana" w:eastAsia="Verdana" w:hAnsi="Verdana" w:cs="Verdana"/>
      <w:lang w:val="es-ES"/>
    </w:rPr>
  </w:style>
  <w:style w:type="character" w:customStyle="1" w:styleId="s15">
    <w:name w:val="s15"/>
    <w:basedOn w:val="Fuentedeprrafopredeter"/>
    <w:rsid w:val="0085070A"/>
  </w:style>
  <w:style w:type="character" w:customStyle="1" w:styleId="apple-converted-space">
    <w:name w:val="apple-converted-space"/>
    <w:basedOn w:val="Fuentedeprrafopredeter"/>
    <w:rsid w:val="008507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6429769-FDE2-408C-840C-DA27C3C594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7</TotalTime>
  <Pages>22</Pages>
  <Words>7562</Words>
  <Characters>41596</Characters>
  <Application>Microsoft Office Word</Application>
  <DocSecurity>0</DocSecurity>
  <Lines>346</Lines>
  <Paragraphs>98</Paragraphs>
  <ScaleCrop>false</ScaleCrop>
  <Company/>
  <LinksUpToDate>false</LinksUpToDate>
  <CharactersWithSpaces>49060</CharactersWithSpaces>
  <SharedDoc>false</SharedDoc>
  <HLinks>
    <vt:vector size="12" baseType="variant">
      <vt:variant>
        <vt:i4>7995518</vt:i4>
      </vt:variant>
      <vt:variant>
        <vt:i4>3</vt:i4>
      </vt:variant>
      <vt:variant>
        <vt:i4>0</vt:i4>
      </vt:variant>
      <vt:variant>
        <vt:i4>5</vt:i4>
      </vt:variant>
      <vt:variant>
        <vt:lpwstr>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vt:lpwstr>
      </vt:variant>
      <vt:variant>
        <vt:lpwstr/>
      </vt:variant>
      <vt:variant>
        <vt:i4>7471218</vt:i4>
      </vt:variant>
      <vt:variant>
        <vt:i4>0</vt:i4>
      </vt:variant>
      <vt:variant>
        <vt:i4>0</vt:i4>
      </vt:variant>
      <vt:variant>
        <vt:i4>5</vt:i4>
      </vt:variant>
      <vt:variant>
        <vt:lpwstr>https://relatoria.colombiacompra.gov.co/busqueda/conceptos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3</cp:revision>
  <cp:lastPrinted>2023-01-10T21:18:00Z</cp:lastPrinted>
  <dcterms:created xsi:type="dcterms:W3CDTF">2026-05-21T22:51:00Z</dcterms:created>
  <dcterms:modified xsi:type="dcterms:W3CDTF">2026-05-21T23:26:00Z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