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417FC" w14:textId="77777777" w:rsidR="00836338" w:rsidRPr="00760536" w:rsidRDefault="00836338" w:rsidP="00836338">
      <w:pPr>
        <w:spacing w:after="0" w:line="240" w:lineRule="auto"/>
        <w:jc w:val="both"/>
        <w:rPr>
          <w:rFonts w:ascii="Verdana" w:hAnsi="Verdana" w:cs="Arial"/>
          <w:bCs/>
          <w:sz w:val="20"/>
          <w:szCs w:val="20"/>
        </w:rPr>
      </w:pPr>
    </w:p>
    <w:p w14:paraId="0C38E834" w14:textId="77777777" w:rsidR="00836338" w:rsidRPr="00D723AE" w:rsidRDefault="00836338" w:rsidP="00836338">
      <w:pPr>
        <w:spacing w:after="0" w:line="240" w:lineRule="auto"/>
        <w:jc w:val="both"/>
        <w:rPr>
          <w:rFonts w:ascii="Verdana" w:hAnsi="Verdana" w:cs="Arial"/>
          <w:b/>
          <w:lang w:val="es-ES_tradnl"/>
        </w:rPr>
      </w:pPr>
      <w:r w:rsidRPr="00D723AE">
        <w:rPr>
          <w:rFonts w:ascii="Verdana" w:hAnsi="Verdana" w:cs="Arial"/>
          <w:b/>
          <w:lang w:val="es-ES_tradnl"/>
        </w:rPr>
        <w:t xml:space="preserve">DELEGACIÓN </w:t>
      </w:r>
      <w:bookmarkStart w:id="0" w:name="_Hlk39676694"/>
      <w:r w:rsidRPr="00D723AE">
        <w:rPr>
          <w:rFonts w:ascii="Verdana" w:hAnsi="Verdana" w:cs="Arial"/>
          <w:b/>
          <w:lang w:val="es-MX"/>
        </w:rPr>
        <w:t>–</w:t>
      </w:r>
      <w:bookmarkEnd w:id="0"/>
      <w:r w:rsidRPr="00D723AE">
        <w:rPr>
          <w:rFonts w:ascii="Verdana" w:hAnsi="Verdana" w:cs="Arial"/>
          <w:b/>
          <w:lang w:val="es-ES_tradnl"/>
        </w:rPr>
        <w:t xml:space="preserve"> Fundamento normativo </w:t>
      </w:r>
      <w:r w:rsidRPr="00D723AE">
        <w:rPr>
          <w:rFonts w:ascii="Verdana" w:hAnsi="Verdana" w:cs="Arial"/>
          <w:b/>
          <w:lang w:val="es-MX"/>
        </w:rPr>
        <w:t>–</w:t>
      </w:r>
      <w:r w:rsidRPr="00D723AE">
        <w:rPr>
          <w:rFonts w:ascii="Verdana" w:hAnsi="Verdana" w:cs="Arial"/>
          <w:b/>
          <w:lang w:val="es-ES_tradnl"/>
        </w:rPr>
        <w:t xml:space="preserve"> Requisitos legales</w:t>
      </w:r>
      <w:r w:rsidRPr="00760536">
        <w:rPr>
          <w:rFonts w:ascii="Verdana" w:hAnsi="Verdana" w:cs="Arial"/>
          <w:b/>
        </w:rPr>
        <w:t xml:space="preserve"> </w:t>
      </w:r>
    </w:p>
    <w:p w14:paraId="7E30DB91" w14:textId="77777777" w:rsidR="00836338" w:rsidRPr="00D723AE" w:rsidRDefault="00836338" w:rsidP="00836338">
      <w:pPr>
        <w:spacing w:after="0" w:line="240" w:lineRule="auto"/>
        <w:jc w:val="both"/>
        <w:rPr>
          <w:rFonts w:ascii="Verdana" w:hAnsi="Verdana" w:cs="Arial"/>
          <w:b/>
          <w:sz w:val="20"/>
          <w:szCs w:val="20"/>
          <w:lang w:val="es-ES_tradnl"/>
        </w:rPr>
      </w:pPr>
    </w:p>
    <w:p w14:paraId="33645139" w14:textId="77777777" w:rsidR="00836338" w:rsidRPr="00E3694D" w:rsidRDefault="00836338" w:rsidP="00836338">
      <w:pPr>
        <w:spacing w:after="0" w:line="240" w:lineRule="auto"/>
        <w:jc w:val="both"/>
        <w:textAlignment w:val="baseline"/>
        <w:rPr>
          <w:rFonts w:ascii="Verdana" w:hAnsi="Verdana" w:cs="Arial"/>
          <w:sz w:val="20"/>
          <w:szCs w:val="20"/>
          <w:lang w:val="es-ES_tradnl" w:eastAsia="es-CO"/>
        </w:rPr>
      </w:pPr>
      <w:r>
        <w:rPr>
          <w:rFonts w:ascii="Verdana" w:hAnsi="Verdana" w:cs="Arial"/>
          <w:sz w:val="20"/>
          <w:szCs w:val="20"/>
          <w:lang w:eastAsia="es-CO"/>
        </w:rPr>
        <w:t xml:space="preserve">[…] </w:t>
      </w:r>
      <w:r w:rsidRPr="00E3694D">
        <w:rPr>
          <w:rFonts w:ascii="Verdana" w:hAnsi="Verdana" w:cs="Arial"/>
          <w:sz w:val="20"/>
          <w:szCs w:val="20"/>
          <w:lang w:val="es-ES_tradnl" w:eastAsia="es-CO"/>
        </w:rPr>
        <w:t xml:space="preserve">en desarrollo del artículo 211 superior, el artículo 12 del Estatuto General de Contratación contiene una regla especial según la cual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Así las cosas, atenuando el rigor de la centralización, esta técnica organizacional implica una actuación administrativa mediante la cual el titular de una función –delegante–, previa autorización expresa por parte del órgano que asignó originariamente la competencia, inviste voluntaria y formalmente de autoridad a quien ejerce un cargo subordinado –delegatario–, para que asuma una o varias de las atribuciones del primero.  </w:t>
      </w:r>
    </w:p>
    <w:p w14:paraId="2A8CC1D0" w14:textId="77777777" w:rsidR="00836338" w:rsidRDefault="00836338" w:rsidP="00836338">
      <w:pPr>
        <w:spacing w:after="0" w:line="240" w:lineRule="auto"/>
        <w:jc w:val="both"/>
        <w:textAlignment w:val="baseline"/>
        <w:rPr>
          <w:rFonts w:ascii="Verdana" w:hAnsi="Verdana" w:cs="Arial"/>
          <w:sz w:val="20"/>
          <w:szCs w:val="20"/>
          <w:lang w:val="es-ES_tradnl" w:eastAsia="es-CO"/>
        </w:rPr>
      </w:pPr>
    </w:p>
    <w:p w14:paraId="74F414B0" w14:textId="77777777" w:rsidR="00836338" w:rsidRDefault="00836338" w:rsidP="00836338">
      <w:pPr>
        <w:spacing w:after="0" w:line="240" w:lineRule="auto"/>
        <w:jc w:val="both"/>
        <w:textAlignment w:val="baseline"/>
        <w:rPr>
          <w:rFonts w:ascii="Verdana" w:hAnsi="Verdana" w:cs="Arial"/>
          <w:sz w:val="20"/>
          <w:szCs w:val="20"/>
          <w:lang w:val="es-ES_tradnl" w:eastAsia="es-CO"/>
        </w:rPr>
      </w:pPr>
      <w:r w:rsidRPr="00E3694D">
        <w:rPr>
          <w:rFonts w:ascii="Verdana" w:hAnsi="Verdana" w:cs="Arial"/>
          <w:sz w:val="20"/>
          <w:szCs w:val="20"/>
          <w:lang w:val="es-ES_tradnl" w:eastAsia="es-CO"/>
        </w:rPr>
        <w:t xml:space="preserve">Como se observa, la facultad se limitó a la celebración de contratos, dejando dudas sobre la posibilidad de delegar la firma del acto de adjudicación; motivo por el cual, el artículo 37 del Decreto Ley 2150 de 1995 amplió las materias delegables al disponer que “Los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 </w:t>
      </w:r>
    </w:p>
    <w:p w14:paraId="52CA92C1" w14:textId="77777777" w:rsidR="00836338" w:rsidRPr="00E3694D" w:rsidRDefault="00836338" w:rsidP="00836338">
      <w:pPr>
        <w:spacing w:after="0" w:line="240" w:lineRule="auto"/>
        <w:jc w:val="both"/>
        <w:textAlignment w:val="baseline"/>
        <w:rPr>
          <w:rFonts w:ascii="Verdana" w:hAnsi="Verdana" w:cs="Arial"/>
          <w:sz w:val="20"/>
          <w:szCs w:val="20"/>
          <w:lang w:val="es-ES_tradnl" w:eastAsia="es-CO"/>
        </w:rPr>
      </w:pPr>
      <w:r w:rsidRPr="00E3694D">
        <w:rPr>
          <w:rFonts w:ascii="Verdana" w:hAnsi="Verdana" w:cs="Arial"/>
          <w:sz w:val="20"/>
          <w:szCs w:val="20"/>
          <w:lang w:val="es-ES_tradnl" w:eastAsia="es-CO"/>
        </w:rPr>
        <w:t xml:space="preserve">   </w:t>
      </w:r>
    </w:p>
    <w:p w14:paraId="406CE8D4" w14:textId="77777777" w:rsidR="00836338" w:rsidRPr="002C0402" w:rsidRDefault="00836338" w:rsidP="00836338">
      <w:pPr>
        <w:spacing w:after="0" w:line="240" w:lineRule="auto"/>
        <w:jc w:val="both"/>
        <w:textAlignment w:val="baseline"/>
        <w:rPr>
          <w:rFonts w:ascii="Verdana" w:hAnsi="Verdana" w:cs="Arial"/>
          <w:bCs/>
          <w:sz w:val="20"/>
          <w:szCs w:val="20"/>
          <w:lang w:val="es-ES_tradnl" w:eastAsia="es-CO"/>
        </w:rPr>
      </w:pPr>
      <w:r w:rsidRPr="00E3694D">
        <w:rPr>
          <w:rFonts w:ascii="Verdana" w:hAnsi="Verdana" w:cs="Arial"/>
          <w:sz w:val="20"/>
          <w:szCs w:val="20"/>
          <w:lang w:val="es-ES_tradnl" w:eastAsia="es-CO"/>
        </w:rPr>
        <w:t>Posteriormente,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transfiere el delegante, sin perjuicio de que este último se informe sobre el desarrollo de la delegación e imparta orientaciones generales para el ejercicio de las funciones delegadas –art. 10–. Además, se supedita a que no se confiera para expedir reglamentos –salvo excepciones legales–, subdelegar o transferir funciones que por su naturaleza o por mandato constitucional o legal son indelegables –art. 11–. Finalmente, los actos del delegatario tienen los requisitos y recursos que los del delegante, reiterando el régimen de responsabilidad y recuperación de la competencia previsto en el artículo 211 constitucional –art. 12–.</w:t>
      </w:r>
    </w:p>
    <w:p w14:paraId="2D2CEA61" w14:textId="77777777" w:rsidR="00836338" w:rsidRPr="00760536" w:rsidRDefault="00836338" w:rsidP="00836338">
      <w:pPr>
        <w:spacing w:after="0" w:line="240" w:lineRule="auto"/>
        <w:jc w:val="both"/>
        <w:textAlignment w:val="baseline"/>
        <w:rPr>
          <w:rFonts w:ascii="Verdana" w:hAnsi="Verdana" w:cs="Arial"/>
          <w:sz w:val="20"/>
          <w:szCs w:val="20"/>
          <w:lang w:val="es-ES" w:eastAsia="es-CO"/>
        </w:rPr>
      </w:pPr>
    </w:p>
    <w:p w14:paraId="2F284B27" w14:textId="77777777" w:rsidR="00836338" w:rsidRPr="00760536" w:rsidRDefault="00836338" w:rsidP="00836338">
      <w:pPr>
        <w:spacing w:after="0" w:line="240" w:lineRule="auto"/>
        <w:jc w:val="both"/>
        <w:rPr>
          <w:rFonts w:ascii="Verdana" w:hAnsi="Verdana" w:cs="Arial"/>
          <w:b/>
          <w:lang w:val="es-ES"/>
        </w:rPr>
      </w:pPr>
      <w:r>
        <w:rPr>
          <w:rFonts w:ascii="Verdana" w:hAnsi="Verdana" w:cs="Arial"/>
          <w:b/>
          <w:lang w:val="es-ES"/>
        </w:rPr>
        <w:t>CONFLICTO DE INTERESES</w:t>
      </w:r>
      <w:r w:rsidRPr="00760536">
        <w:rPr>
          <w:rFonts w:ascii="Verdana" w:hAnsi="Verdana" w:cs="Arial"/>
          <w:b/>
          <w:lang w:val="es-ES"/>
        </w:rPr>
        <w:t xml:space="preserve"> – </w:t>
      </w:r>
      <w:r>
        <w:rPr>
          <w:rFonts w:ascii="Verdana" w:hAnsi="Verdana" w:cs="Arial"/>
          <w:b/>
          <w:lang w:val="es-ES"/>
        </w:rPr>
        <w:t>noción</w:t>
      </w:r>
      <w:r w:rsidRPr="00760536">
        <w:rPr>
          <w:rFonts w:ascii="Verdana" w:hAnsi="Verdana" w:cs="Arial"/>
          <w:b/>
          <w:lang w:val="es-ES"/>
        </w:rPr>
        <w:t xml:space="preserve"> </w:t>
      </w:r>
      <w:r>
        <w:rPr>
          <w:rFonts w:ascii="Verdana" w:hAnsi="Verdana" w:cs="Arial"/>
          <w:b/>
          <w:lang w:val="es-ES"/>
        </w:rPr>
        <w:t>– Servidores públicos – Causales</w:t>
      </w:r>
    </w:p>
    <w:p w14:paraId="37D7EEAF" w14:textId="77777777" w:rsidR="00836338" w:rsidRPr="00760536" w:rsidRDefault="00836338" w:rsidP="00836338">
      <w:pPr>
        <w:spacing w:after="0" w:line="240" w:lineRule="auto"/>
        <w:jc w:val="both"/>
        <w:rPr>
          <w:rFonts w:ascii="Verdana" w:hAnsi="Verdana" w:cs="Arial"/>
          <w:b/>
          <w:sz w:val="20"/>
          <w:szCs w:val="20"/>
          <w:lang w:val="es-ES"/>
        </w:rPr>
      </w:pPr>
    </w:p>
    <w:p w14:paraId="71EC8F68" w14:textId="77777777" w:rsidR="00836338" w:rsidRPr="00FA32B4" w:rsidRDefault="00836338" w:rsidP="00836338">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 xml:space="preserve">[…] </w:t>
      </w:r>
      <w:r w:rsidRPr="00FA32B4">
        <w:rPr>
          <w:rFonts w:ascii="Verdana" w:hAnsi="Verdana" w:cs="Arial"/>
          <w:bCs/>
          <w:sz w:val="20"/>
          <w:szCs w:val="20"/>
          <w:lang w:val="es-ES_tradnl" w:eastAsia="es-CO"/>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FA32B4">
        <w:rPr>
          <w:rFonts w:ascii="Verdana" w:hAnsi="Verdana" w:cs="Arial"/>
          <w:bCs/>
          <w:i/>
          <w:iCs/>
          <w:sz w:val="20"/>
          <w:szCs w:val="20"/>
          <w:lang w:val="es-ES_tradnl" w:eastAsia="es-CO"/>
        </w:rPr>
        <w:t>conflictos de interés</w:t>
      </w:r>
      <w:r w:rsidRPr="00FA32B4">
        <w:rPr>
          <w:rFonts w:ascii="Verdana" w:hAnsi="Verdana" w:cs="Arial"/>
          <w:bCs/>
          <w:sz w:val="20"/>
          <w:szCs w:val="20"/>
          <w:lang w:val="es-ES_tradnl" w:eastAsia="es-CO"/>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concurrencia de </w:t>
      </w:r>
      <w:r w:rsidRPr="00FA32B4">
        <w:rPr>
          <w:rFonts w:ascii="Verdana" w:hAnsi="Verdana" w:cs="Arial"/>
          <w:bCs/>
          <w:sz w:val="20"/>
          <w:szCs w:val="20"/>
          <w:lang w:val="es-ES_tradnl" w:eastAsia="es-CO"/>
        </w:rPr>
        <w:lastRenderedPageBreak/>
        <w:t>intereses antagónicos que afectan la transparencia de las decisiones, al implicar –en detrimento del interés general– el aprovechamiento personal, familiar o particular.</w:t>
      </w:r>
    </w:p>
    <w:p w14:paraId="1B466ED6" w14:textId="77777777" w:rsidR="00836338" w:rsidRDefault="00836338" w:rsidP="00836338">
      <w:pPr>
        <w:spacing w:after="0" w:line="240" w:lineRule="auto"/>
        <w:jc w:val="both"/>
        <w:textAlignment w:val="baseline"/>
        <w:rPr>
          <w:rFonts w:ascii="Verdana" w:hAnsi="Verdana" w:cs="Arial"/>
          <w:bCs/>
          <w:sz w:val="20"/>
          <w:szCs w:val="20"/>
          <w:lang w:val="es-ES_tradnl" w:eastAsia="es-CO"/>
        </w:rPr>
      </w:pPr>
    </w:p>
    <w:p w14:paraId="7816CA5A" w14:textId="77777777" w:rsidR="00836338" w:rsidRDefault="00836338" w:rsidP="00836338">
      <w:pPr>
        <w:spacing w:after="0" w:line="240" w:lineRule="auto"/>
        <w:jc w:val="both"/>
        <w:textAlignment w:val="baseline"/>
        <w:rPr>
          <w:rFonts w:ascii="Verdana" w:hAnsi="Verdana" w:cs="Arial"/>
          <w:bCs/>
          <w:sz w:val="20"/>
          <w:szCs w:val="20"/>
          <w:lang w:val="es-ES_tradnl" w:eastAsia="es-CO"/>
        </w:rPr>
      </w:pPr>
      <w:r w:rsidRPr="00FA32B4">
        <w:rPr>
          <w:rFonts w:ascii="Verdana" w:hAnsi="Verdana" w:cs="Arial"/>
          <w:bCs/>
          <w:sz w:val="20"/>
          <w:szCs w:val="20"/>
          <w:lang w:val="es-ES_tradnl" w:eastAsia="es-CO"/>
        </w:rPr>
        <w:t xml:space="preserve">La institución jurídica de los conflictos de interés no está definida con carácter general en el ordenamiento jurídico; pero existen disposiciones especiales como el régimen de los congresistas, de los concejales o el régimen disciplinario de los servidores públicos, donde se definen causales de conflictos de interés. Asimismo, la Ley 1437 de 2011 establece un régimen de “conflictos de interés y causales de impedimento y recusación” –artículos 11 y 12–, que aplican en los procedimientos administrativos, en general, incluyendo los de selección de contratistas del Estado, y están dirigidos a los servidores públicos que adelantan estas actuaciones en desarrollo de la actividad contractual de la entidad estatal de la cual hacen parte. </w:t>
      </w:r>
    </w:p>
    <w:p w14:paraId="1D5DCAE5" w14:textId="77777777" w:rsidR="00836338" w:rsidRPr="00FA32B4" w:rsidRDefault="00836338" w:rsidP="00836338">
      <w:pPr>
        <w:spacing w:after="0" w:line="240" w:lineRule="auto"/>
        <w:jc w:val="both"/>
        <w:textAlignment w:val="baseline"/>
        <w:rPr>
          <w:rFonts w:ascii="Verdana" w:hAnsi="Verdana" w:cs="Arial"/>
          <w:bCs/>
          <w:sz w:val="20"/>
          <w:szCs w:val="20"/>
          <w:lang w:val="es-ES_tradnl" w:eastAsia="es-CO"/>
        </w:rPr>
      </w:pPr>
    </w:p>
    <w:p w14:paraId="323D71C2" w14:textId="77777777" w:rsidR="00836338" w:rsidRPr="002C0402" w:rsidRDefault="00836338" w:rsidP="00836338">
      <w:pPr>
        <w:spacing w:after="0" w:line="240" w:lineRule="auto"/>
        <w:jc w:val="both"/>
        <w:textAlignment w:val="baseline"/>
        <w:rPr>
          <w:rFonts w:ascii="Verdana" w:hAnsi="Verdana" w:cs="Arial"/>
          <w:bCs/>
          <w:sz w:val="20"/>
          <w:szCs w:val="20"/>
          <w:lang w:val="es-ES_tradnl" w:eastAsia="es-CO"/>
        </w:rPr>
      </w:pPr>
      <w:r w:rsidRPr="00FA32B4">
        <w:rPr>
          <w:rFonts w:ascii="Verdana" w:hAnsi="Verdana" w:cs="Arial"/>
          <w:bCs/>
          <w:sz w:val="20"/>
          <w:szCs w:val="20"/>
          <w:lang w:val="es-ES_tradnl" w:eastAsia="es-CO"/>
        </w:rPr>
        <w:t xml:space="preserve">Para estos efectos, conforme al inciso primero del artículo 77 de la Ley 80 de 1993, es necesario tener en cuenta que “En cuanto sean compatibles con la finalidad y los principios de esta ley, las normas que rigen los procedimientos y actuaciones en la función </w:t>
      </w:r>
      <w:proofErr w:type="gramStart"/>
      <w:r w:rsidRPr="00FA32B4">
        <w:rPr>
          <w:rFonts w:ascii="Verdana" w:hAnsi="Verdana" w:cs="Arial"/>
          <w:bCs/>
          <w:sz w:val="20"/>
          <w:szCs w:val="20"/>
          <w:lang w:val="es-ES_tradnl" w:eastAsia="es-CO"/>
        </w:rPr>
        <w:t>administrativa,</w:t>
      </w:r>
      <w:proofErr w:type="gramEnd"/>
      <w:r w:rsidRPr="00FA32B4">
        <w:rPr>
          <w:rFonts w:ascii="Verdana" w:hAnsi="Verdana" w:cs="Arial"/>
          <w:bCs/>
          <w:sz w:val="20"/>
          <w:szCs w:val="20"/>
          <w:lang w:val="es-ES_tradnl" w:eastAsia="es-CO"/>
        </w:rPr>
        <w:t xml:space="preserve"> serán aplicables en las actuaciones contractuales […]”. Luego, en caso de presentarse alguna de las causales establecidas en el artículo 11 del Código de Procedimiento Administrativo o de lo Contencioso Administrativo, corresponde aplicar el trámite establecido en el artículo 12 de la misma ley. El acatamiento de estas normas es obligatorio para todos los servidores públicos involucrados en la gestión contractual de las entidades estatales; razón por la cual, sujetan tanto la actuación del delegante como del delegatario, sin perjuicio del deber de control y vigilancia del primero sobre el segundo.</w:t>
      </w:r>
      <w:r w:rsidRPr="002C0402">
        <w:rPr>
          <w:rFonts w:ascii="Verdana" w:hAnsi="Verdana" w:cs="Arial"/>
          <w:bCs/>
          <w:sz w:val="20"/>
          <w:szCs w:val="20"/>
          <w:lang w:val="es-ES_tradnl" w:eastAsia="es-CO"/>
        </w:rPr>
        <w:t xml:space="preserve">  </w:t>
      </w:r>
    </w:p>
    <w:p w14:paraId="7A41ECA6" w14:textId="77777777" w:rsidR="00836338" w:rsidRDefault="00836338" w:rsidP="00836338">
      <w:pPr>
        <w:spacing w:after="0" w:line="240" w:lineRule="auto"/>
        <w:rPr>
          <w:rFonts w:ascii="Verdana" w:eastAsia="Calibri" w:hAnsi="Verdana" w:cs="Arial"/>
          <w:b/>
          <w:color w:val="000000" w:themeColor="text1"/>
          <w:lang w:val="es-ES"/>
        </w:rPr>
      </w:pPr>
    </w:p>
    <w:p w14:paraId="4E209FF4" w14:textId="77777777" w:rsidR="00836338" w:rsidRDefault="00836338" w:rsidP="00836338">
      <w:pPr>
        <w:spacing w:after="0" w:line="240" w:lineRule="auto"/>
        <w:rPr>
          <w:rFonts w:ascii="Verdana" w:eastAsia="Calibri" w:hAnsi="Verdana" w:cs="Arial"/>
          <w:b/>
          <w:color w:val="000000" w:themeColor="text1"/>
          <w:lang w:val="es-ES"/>
        </w:rPr>
      </w:pPr>
    </w:p>
    <w:p w14:paraId="54A53306" w14:textId="77777777" w:rsidR="00836338" w:rsidRDefault="00836338" w:rsidP="00836338">
      <w:pPr>
        <w:spacing w:after="0" w:line="240" w:lineRule="auto"/>
        <w:rPr>
          <w:rFonts w:ascii="Verdana" w:eastAsia="Calibri" w:hAnsi="Verdana" w:cs="Arial"/>
          <w:b/>
          <w:color w:val="000000" w:themeColor="text1"/>
          <w:lang w:val="es-ES"/>
        </w:rPr>
      </w:pPr>
    </w:p>
    <w:p w14:paraId="60A34FC9" w14:textId="77777777" w:rsidR="00836338" w:rsidRDefault="00836338" w:rsidP="00836338">
      <w:pPr>
        <w:spacing w:after="0" w:line="240" w:lineRule="auto"/>
        <w:rPr>
          <w:rFonts w:ascii="Verdana" w:eastAsia="Calibri" w:hAnsi="Verdana" w:cs="Arial"/>
          <w:b/>
          <w:color w:val="000000" w:themeColor="text1"/>
          <w:lang w:val="es-ES"/>
        </w:rPr>
      </w:pPr>
    </w:p>
    <w:p w14:paraId="7438AD5B" w14:textId="77777777" w:rsidR="00836338" w:rsidRDefault="00836338" w:rsidP="00836338">
      <w:pPr>
        <w:spacing w:after="0" w:line="240" w:lineRule="auto"/>
        <w:rPr>
          <w:rFonts w:ascii="Verdana" w:eastAsia="Calibri" w:hAnsi="Verdana" w:cs="Arial"/>
          <w:b/>
          <w:color w:val="000000" w:themeColor="text1"/>
          <w:lang w:val="es-ES"/>
        </w:rPr>
      </w:pPr>
    </w:p>
    <w:p w14:paraId="3D5F6602" w14:textId="77777777" w:rsidR="00836338" w:rsidRDefault="00836338" w:rsidP="00836338">
      <w:pPr>
        <w:spacing w:after="0" w:line="240" w:lineRule="auto"/>
        <w:rPr>
          <w:rFonts w:ascii="Verdana" w:eastAsia="Calibri" w:hAnsi="Verdana" w:cs="Arial"/>
          <w:b/>
          <w:color w:val="000000" w:themeColor="text1"/>
          <w:lang w:val="es-ES"/>
        </w:rPr>
      </w:pPr>
    </w:p>
    <w:p w14:paraId="0FD92E6D" w14:textId="77777777" w:rsidR="00836338" w:rsidRDefault="00836338" w:rsidP="00836338">
      <w:pPr>
        <w:spacing w:after="0" w:line="240" w:lineRule="auto"/>
        <w:rPr>
          <w:rFonts w:ascii="Verdana" w:eastAsia="Calibri" w:hAnsi="Verdana" w:cs="Arial"/>
          <w:b/>
          <w:color w:val="000000" w:themeColor="text1"/>
          <w:lang w:val="es-ES"/>
        </w:rPr>
      </w:pPr>
    </w:p>
    <w:p w14:paraId="19D6BAF4" w14:textId="77777777" w:rsidR="00836338" w:rsidRDefault="00836338" w:rsidP="00836338">
      <w:pPr>
        <w:spacing w:after="0" w:line="240" w:lineRule="auto"/>
        <w:rPr>
          <w:rFonts w:ascii="Verdana" w:eastAsia="Calibri" w:hAnsi="Verdana" w:cs="Arial"/>
          <w:b/>
          <w:color w:val="000000" w:themeColor="text1"/>
          <w:lang w:val="es-ES"/>
        </w:rPr>
      </w:pPr>
    </w:p>
    <w:p w14:paraId="5DCEF4B0" w14:textId="77777777" w:rsidR="00836338" w:rsidRDefault="00836338" w:rsidP="00836338">
      <w:pPr>
        <w:spacing w:after="0" w:line="240" w:lineRule="auto"/>
        <w:rPr>
          <w:rFonts w:ascii="Verdana" w:eastAsia="Calibri" w:hAnsi="Verdana" w:cs="Arial"/>
          <w:b/>
          <w:color w:val="000000" w:themeColor="text1"/>
          <w:lang w:val="es-ES"/>
        </w:rPr>
      </w:pPr>
    </w:p>
    <w:p w14:paraId="678DD9CE" w14:textId="77777777" w:rsidR="00836338" w:rsidRDefault="00836338" w:rsidP="00836338">
      <w:pPr>
        <w:spacing w:after="0" w:line="240" w:lineRule="auto"/>
        <w:rPr>
          <w:rFonts w:ascii="Verdana" w:eastAsia="Calibri" w:hAnsi="Verdana" w:cs="Arial"/>
          <w:b/>
          <w:color w:val="000000" w:themeColor="text1"/>
          <w:lang w:val="es-ES"/>
        </w:rPr>
      </w:pPr>
    </w:p>
    <w:p w14:paraId="47E993D2" w14:textId="77777777" w:rsidR="00836338" w:rsidRDefault="00836338" w:rsidP="00836338">
      <w:pPr>
        <w:spacing w:after="0" w:line="240" w:lineRule="auto"/>
        <w:rPr>
          <w:rFonts w:ascii="Verdana" w:eastAsia="Calibri" w:hAnsi="Verdana" w:cs="Arial"/>
          <w:b/>
          <w:color w:val="000000" w:themeColor="text1"/>
          <w:lang w:val="es-ES"/>
        </w:rPr>
      </w:pPr>
    </w:p>
    <w:p w14:paraId="66D8ACEA" w14:textId="77777777" w:rsidR="00836338" w:rsidRDefault="00836338" w:rsidP="00836338">
      <w:pPr>
        <w:spacing w:after="0" w:line="240" w:lineRule="auto"/>
        <w:rPr>
          <w:rFonts w:ascii="Verdana" w:eastAsia="Calibri" w:hAnsi="Verdana" w:cs="Arial"/>
          <w:b/>
          <w:color w:val="000000" w:themeColor="text1"/>
          <w:lang w:val="es-ES"/>
        </w:rPr>
      </w:pPr>
    </w:p>
    <w:p w14:paraId="216E6DBE" w14:textId="77777777" w:rsidR="00836338" w:rsidRDefault="00836338" w:rsidP="00836338">
      <w:pPr>
        <w:spacing w:after="0" w:line="240" w:lineRule="auto"/>
        <w:rPr>
          <w:rFonts w:ascii="Verdana" w:eastAsia="Calibri" w:hAnsi="Verdana" w:cs="Arial"/>
          <w:b/>
          <w:color w:val="000000" w:themeColor="text1"/>
          <w:lang w:val="es-ES"/>
        </w:rPr>
      </w:pPr>
    </w:p>
    <w:p w14:paraId="2474D89C" w14:textId="77777777" w:rsidR="00836338" w:rsidRDefault="00836338" w:rsidP="00836338">
      <w:pPr>
        <w:spacing w:after="0" w:line="240" w:lineRule="auto"/>
        <w:rPr>
          <w:rFonts w:ascii="Verdana" w:eastAsia="Calibri" w:hAnsi="Verdana" w:cs="Arial"/>
          <w:b/>
          <w:color w:val="000000" w:themeColor="text1"/>
          <w:lang w:val="es-ES"/>
        </w:rPr>
      </w:pPr>
    </w:p>
    <w:p w14:paraId="31A69032" w14:textId="77777777" w:rsidR="00836338" w:rsidRDefault="00836338" w:rsidP="00836338">
      <w:pPr>
        <w:spacing w:after="0" w:line="240" w:lineRule="auto"/>
        <w:rPr>
          <w:rFonts w:ascii="Verdana" w:eastAsia="Calibri" w:hAnsi="Verdana" w:cs="Arial"/>
          <w:b/>
          <w:color w:val="000000" w:themeColor="text1"/>
          <w:lang w:val="es-ES"/>
        </w:rPr>
      </w:pPr>
    </w:p>
    <w:p w14:paraId="5DF6987E" w14:textId="77777777" w:rsidR="00836338" w:rsidRDefault="00836338" w:rsidP="00836338">
      <w:pPr>
        <w:spacing w:after="0" w:line="240" w:lineRule="auto"/>
        <w:rPr>
          <w:rFonts w:ascii="Verdana" w:eastAsia="Calibri" w:hAnsi="Verdana" w:cs="Arial"/>
          <w:b/>
          <w:color w:val="000000" w:themeColor="text1"/>
          <w:lang w:val="es-ES"/>
        </w:rPr>
      </w:pPr>
    </w:p>
    <w:p w14:paraId="5844FACE" w14:textId="77777777" w:rsidR="00836338" w:rsidRDefault="00836338" w:rsidP="00836338">
      <w:pPr>
        <w:spacing w:after="0" w:line="240" w:lineRule="auto"/>
        <w:rPr>
          <w:rFonts w:ascii="Verdana" w:eastAsia="Calibri" w:hAnsi="Verdana" w:cs="Arial"/>
          <w:b/>
          <w:color w:val="000000" w:themeColor="text1"/>
          <w:lang w:val="es-ES"/>
        </w:rPr>
      </w:pPr>
    </w:p>
    <w:p w14:paraId="6956934A" w14:textId="77777777" w:rsidR="00836338" w:rsidRDefault="00836338" w:rsidP="00836338">
      <w:pPr>
        <w:spacing w:after="0" w:line="240" w:lineRule="auto"/>
        <w:rPr>
          <w:rFonts w:ascii="Verdana" w:eastAsia="Calibri" w:hAnsi="Verdana" w:cs="Arial"/>
          <w:b/>
          <w:color w:val="000000" w:themeColor="text1"/>
          <w:lang w:val="es-ES"/>
        </w:rPr>
      </w:pPr>
    </w:p>
    <w:p w14:paraId="395D71A6" w14:textId="77777777" w:rsidR="00836338" w:rsidRDefault="00836338" w:rsidP="00836338">
      <w:pPr>
        <w:spacing w:after="0" w:line="240" w:lineRule="auto"/>
        <w:rPr>
          <w:rFonts w:ascii="Verdana" w:eastAsia="Calibri" w:hAnsi="Verdana" w:cs="Arial"/>
          <w:b/>
          <w:color w:val="000000" w:themeColor="text1"/>
          <w:lang w:val="es-ES"/>
        </w:rPr>
      </w:pPr>
    </w:p>
    <w:p w14:paraId="48BA428D" w14:textId="77777777" w:rsidR="00836338" w:rsidRDefault="00836338" w:rsidP="00436B89">
      <w:pPr>
        <w:spacing w:after="0" w:line="240" w:lineRule="auto"/>
        <w:rPr>
          <w:rFonts w:ascii="Verdana" w:eastAsia="Calibri" w:hAnsi="Verdana" w:cs="Arial"/>
          <w:b/>
          <w:color w:val="000000" w:themeColor="text1"/>
          <w:lang w:val="es-ES"/>
        </w:rPr>
      </w:pPr>
    </w:p>
    <w:p w14:paraId="0DD7DCDB" w14:textId="2A0995B4" w:rsidR="00436B89" w:rsidRPr="00593A5F" w:rsidRDefault="00436B89" w:rsidP="00436B8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F60CC" w:rsidRPr="00CF60CC">
        <w:rPr>
          <w:rFonts w:ascii="Verdana" w:eastAsia="Geomanist Light" w:hAnsi="Verdana" w:cs="Arial"/>
          <w:color w:val="000000" w:themeColor="text1"/>
          <w:lang w:val="es-MX"/>
        </w:rPr>
        <w:t>20 de Mayo de 2026</w:t>
      </w:r>
    </w:p>
    <w:p w14:paraId="2D407F6C" w14:textId="2384E24F" w:rsidR="00436B89" w:rsidRDefault="00436B89" w:rsidP="00436B89">
      <w:pPr>
        <w:spacing w:after="0" w:line="240" w:lineRule="auto"/>
        <w:jc w:val="both"/>
        <w:rPr>
          <w:rFonts w:ascii="Verdana" w:eastAsia="Calibri" w:hAnsi="Verdana" w:cs="Arial"/>
          <w:color w:val="000000"/>
          <w:lang w:val="es-ES"/>
        </w:rPr>
      </w:pPr>
    </w:p>
    <w:p w14:paraId="55B639A0" w14:textId="66963133" w:rsidR="00616D60" w:rsidRDefault="00616D60" w:rsidP="00616D60">
      <w:pPr>
        <w:spacing w:after="0" w:line="240" w:lineRule="auto"/>
        <w:jc w:val="right"/>
        <w:rPr>
          <w:rFonts w:ascii="Verdana" w:eastAsia="Calibri" w:hAnsi="Verdana" w:cs="Arial"/>
          <w:color w:val="000000"/>
          <w:lang w:val="es-ES"/>
        </w:rPr>
      </w:pPr>
    </w:p>
    <w:p w14:paraId="1E651F1D" w14:textId="06633DA6" w:rsidR="00436B89" w:rsidRPr="00593A5F" w:rsidRDefault="00436B89" w:rsidP="00436B89">
      <w:pPr>
        <w:spacing w:after="0" w:line="240" w:lineRule="auto"/>
        <w:jc w:val="both"/>
        <w:rPr>
          <w:rFonts w:ascii="Verdana" w:eastAsia="Calibri" w:hAnsi="Verdana" w:cs="Arial"/>
          <w:color w:val="000000"/>
          <w:lang w:val="es-ES"/>
        </w:rPr>
      </w:pPr>
    </w:p>
    <w:p w14:paraId="28675CF3" w14:textId="3BEAC5F8" w:rsidR="00436B89" w:rsidRPr="00B96799" w:rsidRDefault="00EF7151" w:rsidP="00436B89">
      <w:pPr>
        <w:spacing w:after="0" w:line="240" w:lineRule="auto"/>
        <w:jc w:val="both"/>
        <w:rPr>
          <w:rFonts w:ascii="Verdana" w:eastAsia="Calibri" w:hAnsi="Verdana" w:cs="Arial"/>
          <w:lang w:val="es-ES" w:eastAsia="es-ES"/>
        </w:rPr>
      </w:pPr>
      <w:r w:rsidRPr="00616D60">
        <w:rPr>
          <w:rFonts w:ascii="Verdana" w:eastAsia="Calibri" w:hAnsi="Verdana" w:cs="Arial"/>
          <w:noProof/>
          <w:color w:val="000000"/>
          <w:lang w:val="es-ES"/>
        </w:rPr>
        <w:drawing>
          <wp:anchor distT="0" distB="0" distL="114300" distR="114300" simplePos="0" relativeHeight="251658240" behindDoc="0" locked="0" layoutInCell="1" allowOverlap="1" wp14:anchorId="08F9AA10" wp14:editId="38B989B2">
            <wp:simplePos x="0" y="0"/>
            <wp:positionH relativeFrom="margin">
              <wp:align>right</wp:align>
            </wp:positionH>
            <wp:positionV relativeFrom="paragraph">
              <wp:posOffset>5715</wp:posOffset>
            </wp:positionV>
            <wp:extent cx="2400300" cy="715010"/>
            <wp:effectExtent l="0" t="0" r="0" b="8890"/>
            <wp:wrapSquare wrapText="bothSides"/>
            <wp:docPr id="4572464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246447"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715010"/>
                    </a:xfrm>
                    <a:prstGeom prst="rect">
                      <a:avLst/>
                    </a:prstGeom>
                  </pic:spPr>
                </pic:pic>
              </a:graphicData>
            </a:graphic>
            <wp14:sizeRelV relativeFrom="margin">
              <wp14:pctHeight>0</wp14:pctHeight>
            </wp14:sizeRelV>
          </wp:anchor>
        </w:drawing>
      </w:r>
      <w:r w:rsidR="00436B89">
        <w:rPr>
          <w:rFonts w:ascii="Verdana" w:eastAsia="Calibri" w:hAnsi="Verdana" w:cs="Arial"/>
          <w:lang w:val="es-ES" w:eastAsia="es-ES"/>
        </w:rPr>
        <w:t>Señor</w:t>
      </w:r>
    </w:p>
    <w:p w14:paraId="20659FB6" w14:textId="77777777" w:rsidR="00436B89" w:rsidRDefault="00436B89" w:rsidP="00436B8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Peticionario anónimo</w:t>
      </w:r>
      <w:r w:rsidRPr="008777D5">
        <w:rPr>
          <w:rFonts w:ascii="Verdana" w:eastAsia="Calibri" w:hAnsi="Verdana" w:cs="Arial"/>
          <w:b/>
          <w:lang w:val="es-ES_tradnl" w:eastAsia="es-ES_tradnl"/>
        </w:rPr>
        <w:t xml:space="preserve"> </w:t>
      </w:r>
    </w:p>
    <w:p w14:paraId="75ACBCE4" w14:textId="77777777" w:rsidR="00436B89" w:rsidRPr="00BF7D69" w:rsidRDefault="00436B89" w:rsidP="00436B89">
      <w:pPr>
        <w:spacing w:after="0" w:line="240" w:lineRule="auto"/>
        <w:rPr>
          <w:rFonts w:ascii="Verdana" w:eastAsia="Calibri" w:hAnsi="Verdana" w:cs="Arial"/>
          <w:lang w:val="es-ES" w:eastAsia="es-ES"/>
        </w:rPr>
      </w:pPr>
      <w:hyperlink r:id="rId11" w:history="1">
        <w:r w:rsidRPr="00C945DD">
          <w:rPr>
            <w:rStyle w:val="Hipervnculo"/>
            <w:rFonts w:ascii="Verdana" w:hAnsi="Verdana"/>
          </w:rPr>
          <w:t>licitaciones.corcooperativa05@gmail.com</w:t>
        </w:r>
      </w:hyperlink>
      <w:r>
        <w:rPr>
          <w:rFonts w:ascii="Verdana" w:hAnsi="Verdana"/>
        </w:rPr>
        <w:t xml:space="preserve"> </w:t>
      </w:r>
      <w:r w:rsidRPr="00BF7D69">
        <w:rPr>
          <w:rFonts w:ascii="Verdana" w:hAnsi="Verdana"/>
        </w:rPr>
        <w:t xml:space="preserve">                    </w:t>
      </w:r>
      <w:r w:rsidRPr="00BF7D69">
        <w:rPr>
          <w:rFonts w:ascii="Verdana" w:eastAsia="Calibri" w:hAnsi="Verdana" w:cs="Arial"/>
          <w:lang w:val="es-ES" w:eastAsia="es-ES"/>
        </w:rPr>
        <w:t xml:space="preserve">    </w:t>
      </w:r>
    </w:p>
    <w:p w14:paraId="7ED7645F" w14:textId="77777777" w:rsidR="00436B89" w:rsidRDefault="00436B89" w:rsidP="00436B89">
      <w:pPr>
        <w:spacing w:after="0" w:line="240" w:lineRule="auto"/>
        <w:rPr>
          <w:rFonts w:ascii="Verdana" w:eastAsia="Calibri" w:hAnsi="Verdana" w:cs="Arial"/>
          <w:lang w:val="es-ES" w:eastAsia="es-ES"/>
        </w:rPr>
      </w:pPr>
      <w:r w:rsidRPr="005B1574">
        <w:rPr>
          <w:rFonts w:ascii="Verdana" w:eastAsia="Calibri" w:hAnsi="Verdana" w:cs="Arial"/>
          <w:lang w:val="es-ES" w:eastAsia="es-ES"/>
        </w:rPr>
        <w:t>Bogotá D.C.</w:t>
      </w:r>
      <w:r>
        <w:rPr>
          <w:rFonts w:ascii="Verdana" w:eastAsia="Calibri" w:hAnsi="Verdana" w:cs="Arial"/>
          <w:lang w:val="es-ES" w:eastAsia="es-ES"/>
        </w:rPr>
        <w:t xml:space="preserve"> </w:t>
      </w:r>
    </w:p>
    <w:p w14:paraId="28327FC8" w14:textId="77777777" w:rsidR="00436B89" w:rsidRPr="00593A5F" w:rsidRDefault="00436B89" w:rsidP="00436B89">
      <w:pPr>
        <w:spacing w:after="0" w:line="240" w:lineRule="auto"/>
        <w:rPr>
          <w:rFonts w:ascii="Verdana" w:eastAsia="Calibri" w:hAnsi="Verdana" w:cs="Arial"/>
          <w:b/>
          <w:bCs/>
          <w:color w:val="000000"/>
          <w:lang w:val="es-ES_tradnl" w:eastAsia="es-ES_tradnl"/>
        </w:rPr>
      </w:pPr>
    </w:p>
    <w:p w14:paraId="345CEB75" w14:textId="77777777" w:rsidR="00436B89" w:rsidRPr="00593A5F" w:rsidRDefault="00436B89" w:rsidP="00436B8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36B89" w:rsidRPr="00593A5F" w14:paraId="0D8443FD" w14:textId="77777777" w:rsidTr="00AF262F">
        <w:trPr>
          <w:trHeight w:val="86"/>
        </w:trPr>
        <w:tc>
          <w:tcPr>
            <w:tcW w:w="2689" w:type="dxa"/>
          </w:tcPr>
          <w:p w14:paraId="6BC1AC23" w14:textId="77777777" w:rsidR="00436B89" w:rsidRPr="00C00976" w:rsidRDefault="00436B89" w:rsidP="006626CB">
            <w:pPr>
              <w:jc w:val="both"/>
              <w:rPr>
                <w:rFonts w:ascii="Verdana" w:eastAsia="Calibri" w:hAnsi="Verdana" w:cs="Arial"/>
                <w:b/>
                <w:bCs/>
                <w:color w:val="7030A0"/>
                <w:lang w:val="es-ES_tradnl" w:eastAsia="es-ES_tradnl"/>
              </w:rPr>
            </w:pPr>
          </w:p>
        </w:tc>
        <w:tc>
          <w:tcPr>
            <w:tcW w:w="6100" w:type="dxa"/>
          </w:tcPr>
          <w:p w14:paraId="48F78385" w14:textId="77777777" w:rsidR="00436B89" w:rsidRDefault="00436B89" w:rsidP="006626CB">
            <w:pPr>
              <w:jc w:val="both"/>
              <w:rPr>
                <w:rFonts w:ascii="Verdana" w:eastAsia="Calibri" w:hAnsi="Verdana" w:cs="Arial"/>
                <w:b/>
                <w:bCs/>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558 </w:t>
            </w:r>
            <w:r w:rsidRPr="008E6AD9">
              <w:rPr>
                <w:rFonts w:ascii="Verdana" w:eastAsia="Calibri" w:hAnsi="Verdana" w:cs="Arial"/>
                <w:b/>
                <w:bCs/>
                <w:lang w:val="es-ES" w:eastAsia="es-ES"/>
              </w:rPr>
              <w:t>de 202</w:t>
            </w:r>
            <w:r>
              <w:rPr>
                <w:rFonts w:ascii="Verdana" w:eastAsia="Calibri" w:hAnsi="Verdana" w:cs="Arial"/>
                <w:b/>
                <w:bCs/>
                <w:lang w:val="es-ES" w:eastAsia="es-ES"/>
              </w:rPr>
              <w:t>6</w:t>
            </w:r>
          </w:p>
          <w:p w14:paraId="7FF5A33C" w14:textId="64E1E412" w:rsidR="002C5625" w:rsidRPr="00C00976" w:rsidRDefault="002C5625" w:rsidP="006626CB">
            <w:pPr>
              <w:jc w:val="both"/>
              <w:rPr>
                <w:rFonts w:ascii="Verdana" w:eastAsia="Calibri" w:hAnsi="Verdana" w:cs="Arial"/>
                <w:b/>
                <w:bCs/>
                <w:color w:val="7030A0"/>
                <w:lang w:val="es-ES" w:eastAsia="es-ES"/>
              </w:rPr>
            </w:pPr>
          </w:p>
        </w:tc>
      </w:tr>
      <w:tr w:rsidR="00436B89" w:rsidRPr="00593A5F" w14:paraId="2B8B25B4" w14:textId="77777777" w:rsidTr="006626CB">
        <w:trPr>
          <w:trHeight w:val="884"/>
        </w:trPr>
        <w:tc>
          <w:tcPr>
            <w:tcW w:w="2689" w:type="dxa"/>
          </w:tcPr>
          <w:p w14:paraId="2630F8E2" w14:textId="77777777" w:rsidR="00436B89" w:rsidRPr="00593A5F" w:rsidRDefault="00436B89" w:rsidP="006626C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FC8C3E1" w14:textId="77777777" w:rsidR="00436B89" w:rsidRPr="00A11406" w:rsidRDefault="00436B89" w:rsidP="006626CB">
            <w:pPr>
              <w:spacing w:line="276" w:lineRule="auto"/>
              <w:jc w:val="both"/>
              <w:rPr>
                <w:rFonts w:ascii="Verdana" w:eastAsia="Calibri" w:hAnsi="Verdana" w:cs="Arial"/>
                <w:lang w:val="es-ES" w:eastAsia="es-ES"/>
              </w:rPr>
            </w:pPr>
            <w:r w:rsidRPr="00FA32B4">
              <w:rPr>
                <w:rFonts w:ascii="Verdana" w:eastAsia="Calibri" w:hAnsi="Verdana" w:cs="Arial"/>
                <w:lang w:val="es-ES" w:eastAsia="es-ES"/>
              </w:rPr>
              <w:t>DELEGACIÓN – Fundamento normativo – Requisitos legales</w:t>
            </w:r>
            <w:r>
              <w:rPr>
                <w:rFonts w:ascii="Verdana" w:eastAsia="Calibri" w:hAnsi="Verdana" w:cs="Arial"/>
                <w:lang w:val="es-ES" w:eastAsia="es-ES"/>
              </w:rPr>
              <w:t xml:space="preserve"> / </w:t>
            </w:r>
            <w:r w:rsidRPr="00FA32B4">
              <w:rPr>
                <w:rFonts w:ascii="Verdana" w:eastAsia="Calibri" w:hAnsi="Verdana" w:cs="Arial"/>
                <w:lang w:val="es-ES" w:eastAsia="es-ES"/>
              </w:rPr>
              <w:t>CONFLICTO DE INTERESES – noción – Servidores públicos – Causales</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40F570C" w14:textId="77777777" w:rsidR="00436B89" w:rsidRPr="00593A5F" w:rsidRDefault="00436B89" w:rsidP="006626C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36B89" w:rsidRPr="008E6AD9" w14:paraId="61775F2E" w14:textId="77777777" w:rsidTr="006626CB">
        <w:tc>
          <w:tcPr>
            <w:tcW w:w="2689" w:type="dxa"/>
          </w:tcPr>
          <w:p w14:paraId="143222AA" w14:textId="77777777" w:rsidR="00436B89" w:rsidRPr="008E6AD9" w:rsidRDefault="00436B89" w:rsidP="006626C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268970B" w14:textId="0A1B14E4" w:rsidR="00436B89" w:rsidRPr="00B92340" w:rsidRDefault="00436B89" w:rsidP="006626C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la</w:t>
            </w:r>
            <w:r w:rsidR="00720E67">
              <w:rPr>
                <w:rFonts w:ascii="Verdana" w:eastAsia="Calibri" w:hAnsi="Verdana" w:cs="Arial"/>
                <w:lang w:val="es-ES_tradnl" w:eastAsia="es-ES_tradnl"/>
              </w:rPr>
              <w:t>s</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consulta</w:t>
            </w:r>
            <w:r w:rsidR="00720E67">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sidR="00720E67">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9C1025">
              <w:rPr>
                <w:rFonts w:ascii="Verdana" w:eastAsia="Calibri" w:hAnsi="Verdana" w:cs="Arial"/>
                <w:lang w:val="es-ES_tradnl" w:eastAsia="es-ES_tradnl"/>
              </w:rPr>
              <w:t>1_2026_04_08_004716</w:t>
            </w:r>
            <w:r w:rsidR="00720E67">
              <w:rPr>
                <w:rFonts w:ascii="Verdana" w:eastAsia="Calibri" w:hAnsi="Verdana" w:cs="Arial"/>
                <w:lang w:val="es-ES_tradnl" w:eastAsia="es-ES_tradnl"/>
              </w:rPr>
              <w:t xml:space="preserve"> y </w:t>
            </w:r>
            <w:r w:rsidR="00720E67" w:rsidRPr="00720E67">
              <w:rPr>
                <w:rFonts w:ascii="Verdana" w:eastAsia="Calibri" w:hAnsi="Verdana" w:cs="Arial"/>
                <w:lang w:val="es-ES_tradnl" w:eastAsia="es-ES_tradnl"/>
              </w:rPr>
              <w:t>1_2026_04_29_005818</w:t>
            </w:r>
            <w:r w:rsidR="00720E67">
              <w:rPr>
                <w:rFonts w:ascii="Verdana" w:eastAsia="Calibri" w:hAnsi="Verdana" w:cs="Arial"/>
                <w:lang w:val="es-ES_tradnl" w:eastAsia="es-ES_tradnl"/>
              </w:rPr>
              <w:t xml:space="preserve">       –Acumulados–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B8B4DEA" w14:textId="77777777" w:rsidR="00436B89" w:rsidRPr="00593A5F" w:rsidRDefault="00436B89" w:rsidP="00436B89">
      <w:pPr>
        <w:spacing w:after="0" w:line="240" w:lineRule="auto"/>
        <w:jc w:val="both"/>
        <w:rPr>
          <w:rFonts w:ascii="Verdana" w:eastAsia="Calibri" w:hAnsi="Verdana" w:cs="Arial"/>
          <w:color w:val="000000"/>
          <w:lang w:val="es-ES_tradnl" w:eastAsia="es-ES_tradnl"/>
        </w:rPr>
      </w:pPr>
    </w:p>
    <w:p w14:paraId="6A38DA8E" w14:textId="77777777" w:rsidR="00436B89" w:rsidRPr="00593A5F" w:rsidRDefault="00436B89" w:rsidP="00436B89">
      <w:pPr>
        <w:spacing w:after="0" w:line="240" w:lineRule="auto"/>
        <w:jc w:val="both"/>
        <w:rPr>
          <w:rFonts w:ascii="Verdana" w:eastAsia="Calibri" w:hAnsi="Verdana" w:cs="Arial"/>
          <w:color w:val="000000"/>
          <w:lang w:val="es-ES_tradnl" w:eastAsia="es-ES_tradnl"/>
        </w:rPr>
      </w:pPr>
    </w:p>
    <w:p w14:paraId="22255D8B" w14:textId="77777777" w:rsidR="00436B89" w:rsidRPr="008E6AD9" w:rsidRDefault="00436B8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peticionario</w:t>
      </w:r>
      <w:r w:rsidRPr="008E6AD9">
        <w:rPr>
          <w:rFonts w:ascii="Verdana" w:eastAsia="Calibri" w:hAnsi="Verdana" w:cs="Arial"/>
          <w:lang w:val="es-ES" w:eastAsia="es-ES"/>
        </w:rPr>
        <w:t xml:space="preserve">: </w:t>
      </w:r>
    </w:p>
    <w:p w14:paraId="0E825CD0" w14:textId="77777777" w:rsidR="00436B89" w:rsidRDefault="00436B8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2F5DB2" w14:textId="17E661B5" w:rsidR="00436B89" w:rsidRPr="00593A5F" w:rsidRDefault="00436B8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w:t>
      </w:r>
      <w:r w:rsidR="00720E67">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sidR="00720E67">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sidR="00720E67">
        <w:rPr>
          <w:rFonts w:ascii="Verdana" w:eastAsia="Calibri" w:hAnsi="Verdana" w:cs="Arial"/>
          <w:lang w:val="es-ES" w:eastAsia="es-ES"/>
        </w:rPr>
        <w:t>s</w:t>
      </w:r>
      <w:r>
        <w:rPr>
          <w:rFonts w:ascii="Verdana" w:eastAsia="Calibri" w:hAnsi="Verdana" w:cs="Arial"/>
          <w:lang w:val="es-ES" w:eastAsia="es-ES"/>
        </w:rPr>
        <w:t xml:space="preserve"> 8</w:t>
      </w:r>
      <w:r w:rsidR="00720E67">
        <w:rPr>
          <w:rFonts w:ascii="Verdana" w:eastAsia="Calibri" w:hAnsi="Verdana" w:cs="Arial"/>
          <w:lang w:val="es-ES" w:eastAsia="es-ES"/>
        </w:rPr>
        <w:t xml:space="preserve"> y 29</w:t>
      </w:r>
      <w:r>
        <w:rPr>
          <w:rFonts w:ascii="Verdana" w:eastAsia="Calibri" w:hAnsi="Verdana" w:cs="Arial"/>
          <w:lang w:val="es-ES" w:eastAsia="es-ES"/>
        </w:rPr>
        <w:t xml:space="preserve"> de abril de 2026, donde manifiesta que</w:t>
      </w:r>
      <w:r w:rsidRPr="008E6AD9">
        <w:rPr>
          <w:rFonts w:ascii="Verdana" w:eastAsia="Calibri" w:hAnsi="Verdana" w:cs="Arial"/>
          <w:lang w:val="es-ES" w:eastAsia="es-ES"/>
        </w:rPr>
        <w:t xml:space="preserve">: </w:t>
      </w:r>
    </w:p>
    <w:p w14:paraId="462A501A" w14:textId="77777777" w:rsidR="00436B89" w:rsidRPr="00272A7B" w:rsidRDefault="00436B89" w:rsidP="00AF262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04FD880" w14:textId="77777777" w:rsidR="00436B89" w:rsidRPr="000F335B" w:rsidRDefault="00436B89" w:rsidP="00ED293D">
      <w:pPr>
        <w:spacing w:after="120" w:line="240" w:lineRule="auto"/>
        <w:ind w:left="709" w:right="709"/>
        <w:jc w:val="both"/>
        <w:rPr>
          <w:rFonts w:ascii="Verdana" w:eastAsia="Century Gothic" w:hAnsi="Verdana" w:cs="Century Gothic"/>
          <w:sz w:val="20"/>
          <w:szCs w:val="20"/>
          <w:lang w:val="es-ES"/>
        </w:rPr>
      </w:pPr>
      <w:bookmarkStart w:id="1" w:name="_Hlk95313578"/>
      <w:r w:rsidRPr="000F335B">
        <w:rPr>
          <w:rFonts w:ascii="Verdana" w:eastAsia="Century Gothic" w:hAnsi="Verdana" w:cs="Century Gothic"/>
          <w:sz w:val="20"/>
          <w:szCs w:val="20"/>
          <w:lang w:val="es-ES"/>
        </w:rPr>
        <w:t>“</w:t>
      </w:r>
      <w:bookmarkEnd w:id="1"/>
      <w:r w:rsidRPr="000F335B">
        <w:rPr>
          <w:rFonts w:ascii="Verdana" w:eastAsia="Century Gothic" w:hAnsi="Verdana" w:cs="Century Gothic"/>
          <w:sz w:val="20"/>
          <w:szCs w:val="20"/>
          <w:lang w:val="es-ES"/>
        </w:rPr>
        <w:t>Si una alcalde pertenece a una junta directiva de una corporación entiéndase sociedad de economía mixta y este o sus delegados votan en esta positivo en tal junta directiva para participar en un proceso competitivo sea licitación o cualquiera enmarcado en ley 80 solicito sea respondido lo siguiente</w:t>
      </w:r>
    </w:p>
    <w:p w14:paraId="72318548" w14:textId="77777777" w:rsidR="00436B89" w:rsidRPr="000F335B" w:rsidRDefault="00436B89" w:rsidP="00ED293D">
      <w:pPr>
        <w:spacing w:after="120" w:line="240" w:lineRule="auto"/>
        <w:ind w:left="709" w:right="709"/>
        <w:jc w:val="both"/>
        <w:rPr>
          <w:rFonts w:ascii="Verdana" w:eastAsia="Century Gothic" w:hAnsi="Verdana" w:cs="Century Gothic"/>
          <w:sz w:val="20"/>
          <w:szCs w:val="20"/>
          <w:lang w:val="es-ES"/>
        </w:rPr>
      </w:pPr>
      <w:r w:rsidRPr="000F335B">
        <w:rPr>
          <w:rFonts w:ascii="Verdana" w:eastAsia="Century Gothic" w:hAnsi="Verdana" w:cs="Century Gothic"/>
          <w:sz w:val="20"/>
          <w:szCs w:val="20"/>
          <w:lang w:val="es-ES"/>
        </w:rPr>
        <w:t>* esta situación no se considera un conflicto de intereses enmarcado en la ley 1474 o afines</w:t>
      </w:r>
    </w:p>
    <w:p w14:paraId="70D312BD" w14:textId="77777777" w:rsidR="00436B89" w:rsidRPr="000F335B" w:rsidRDefault="00436B89" w:rsidP="00ED293D">
      <w:pPr>
        <w:spacing w:after="120" w:line="240" w:lineRule="auto"/>
        <w:ind w:left="709" w:right="709"/>
        <w:jc w:val="both"/>
        <w:rPr>
          <w:rFonts w:ascii="Verdana" w:eastAsia="Century Gothic" w:hAnsi="Verdana" w:cs="Century Gothic"/>
          <w:sz w:val="20"/>
          <w:szCs w:val="20"/>
          <w:lang w:val="es-ES"/>
        </w:rPr>
      </w:pPr>
      <w:r w:rsidRPr="000F335B">
        <w:rPr>
          <w:rFonts w:ascii="Verdana" w:eastAsia="Century Gothic" w:hAnsi="Verdana" w:cs="Century Gothic"/>
          <w:sz w:val="20"/>
          <w:szCs w:val="20"/>
          <w:lang w:val="es-ES"/>
        </w:rPr>
        <w:t>* la delegación a una secretaría para adelantar este proceso exime al conflicto de intereses aun si la delegación no exonera de responsabilidad</w:t>
      </w:r>
    </w:p>
    <w:p w14:paraId="6C82D8F7" w14:textId="77777777" w:rsidR="00436B89" w:rsidRPr="000F335B" w:rsidRDefault="00436B89" w:rsidP="00ED293D">
      <w:pPr>
        <w:spacing w:after="120" w:line="240" w:lineRule="auto"/>
        <w:ind w:left="709" w:right="709"/>
        <w:jc w:val="both"/>
        <w:rPr>
          <w:rFonts w:ascii="Verdana" w:eastAsia="Century Gothic" w:hAnsi="Verdana" w:cs="Century Gothic"/>
          <w:sz w:val="20"/>
          <w:szCs w:val="20"/>
          <w:lang w:val="es-ES"/>
        </w:rPr>
      </w:pPr>
      <w:r w:rsidRPr="000F335B">
        <w:rPr>
          <w:rFonts w:ascii="Verdana" w:eastAsia="Century Gothic" w:hAnsi="Verdana" w:cs="Century Gothic"/>
          <w:sz w:val="20"/>
          <w:szCs w:val="20"/>
          <w:lang w:val="es-ES"/>
        </w:rPr>
        <w:lastRenderedPageBreak/>
        <w:t xml:space="preserve">* </w:t>
      </w:r>
      <w:r w:rsidRPr="000F335B">
        <w:rPr>
          <w:rFonts w:ascii="Segoe UI Symbol" w:eastAsia="Century Gothic" w:hAnsi="Segoe UI Symbol" w:cs="Segoe UI Symbol"/>
          <w:sz w:val="20"/>
          <w:szCs w:val="20"/>
          <w:lang w:val="es-ES"/>
        </w:rPr>
        <w:t>⁠</w:t>
      </w:r>
      <w:r w:rsidRPr="000F335B">
        <w:rPr>
          <w:rFonts w:ascii="Verdana" w:eastAsia="Century Gothic" w:hAnsi="Verdana" w:cs="Century Gothic"/>
          <w:sz w:val="20"/>
          <w:szCs w:val="20"/>
          <w:lang w:val="es-ES"/>
        </w:rPr>
        <w:t>si los delegados del alcalde en el acta de comité directivo no se declararon impedidos y votaron consolida esto el conflicto de intereses</w:t>
      </w:r>
    </w:p>
    <w:p w14:paraId="72CA62C1" w14:textId="77777777" w:rsidR="00436B89" w:rsidRPr="000F335B" w:rsidRDefault="00436B89" w:rsidP="00ED293D">
      <w:pPr>
        <w:spacing w:after="120" w:line="240" w:lineRule="auto"/>
        <w:ind w:left="709" w:right="709"/>
        <w:jc w:val="both"/>
        <w:rPr>
          <w:rFonts w:ascii="Verdana" w:eastAsia="Century Gothic" w:hAnsi="Verdana" w:cs="Century Gothic"/>
          <w:sz w:val="20"/>
          <w:szCs w:val="20"/>
          <w:lang w:val="es-ES"/>
        </w:rPr>
      </w:pPr>
      <w:r w:rsidRPr="000F335B">
        <w:rPr>
          <w:rFonts w:ascii="Verdana" w:eastAsia="Century Gothic" w:hAnsi="Verdana" w:cs="Century Gothic"/>
          <w:sz w:val="20"/>
          <w:szCs w:val="20"/>
          <w:lang w:val="es-ES"/>
        </w:rPr>
        <w:t xml:space="preserve">* </w:t>
      </w:r>
      <w:r w:rsidRPr="000F335B">
        <w:rPr>
          <w:rFonts w:ascii="Segoe UI Symbol" w:eastAsia="Century Gothic" w:hAnsi="Segoe UI Symbol" w:cs="Segoe UI Symbol"/>
          <w:sz w:val="20"/>
          <w:szCs w:val="20"/>
          <w:lang w:val="es-ES"/>
        </w:rPr>
        <w:t>⁠</w:t>
      </w:r>
      <w:r w:rsidRPr="000F335B">
        <w:rPr>
          <w:rFonts w:ascii="Verdana" w:eastAsia="Century Gothic" w:hAnsi="Verdana" w:cs="Century Gothic"/>
          <w:sz w:val="20"/>
          <w:szCs w:val="20"/>
          <w:lang w:val="es-ES"/>
        </w:rPr>
        <w:t>si la entidad adjudica aún siendo notificado esta anomalía estaría prevaricando</w:t>
      </w:r>
    </w:p>
    <w:p w14:paraId="593B7D06" w14:textId="77777777" w:rsidR="00436B89" w:rsidRPr="000F335B" w:rsidRDefault="00436B89">
      <w:pPr>
        <w:spacing w:after="0" w:line="240" w:lineRule="auto"/>
        <w:ind w:left="709" w:right="709"/>
        <w:jc w:val="both"/>
        <w:rPr>
          <w:rFonts w:ascii="Verdana" w:eastAsia="Century Gothic" w:hAnsi="Verdana" w:cs="Century Gothic"/>
          <w:b/>
          <w:bCs/>
        </w:rPr>
      </w:pPr>
      <w:r w:rsidRPr="000F335B">
        <w:rPr>
          <w:rFonts w:ascii="Verdana" w:eastAsia="Century Gothic" w:hAnsi="Verdana" w:cs="Century Gothic"/>
          <w:sz w:val="20"/>
          <w:szCs w:val="20"/>
          <w:lang w:val="es-ES"/>
        </w:rPr>
        <w:t xml:space="preserve">* </w:t>
      </w:r>
      <w:r w:rsidRPr="000F335B">
        <w:rPr>
          <w:rFonts w:ascii="Segoe UI Symbol" w:eastAsia="Century Gothic" w:hAnsi="Segoe UI Symbol" w:cs="Segoe UI Symbol"/>
          <w:sz w:val="20"/>
          <w:szCs w:val="20"/>
          <w:lang w:val="es-ES"/>
        </w:rPr>
        <w:t>⁠</w:t>
      </w:r>
      <w:r w:rsidRPr="000F335B">
        <w:rPr>
          <w:rFonts w:ascii="Verdana" w:eastAsia="Century Gothic" w:hAnsi="Verdana" w:cs="Century Gothic"/>
          <w:sz w:val="20"/>
          <w:szCs w:val="20"/>
          <w:lang w:val="es-ES"/>
        </w:rPr>
        <w:t>si la entidad indica que no aplica el conflicto de intereses indicando que la corporación no tiene grado de afinidad ni consanguinidad está prevaricando”.</w:t>
      </w:r>
    </w:p>
    <w:p w14:paraId="5A383335" w14:textId="77777777" w:rsidR="00436B89" w:rsidRDefault="00436B89" w:rsidP="00436B89">
      <w:pPr>
        <w:spacing w:after="0" w:line="276" w:lineRule="auto"/>
        <w:ind w:firstLine="709"/>
        <w:jc w:val="both"/>
        <w:rPr>
          <w:rFonts w:ascii="Verdana" w:eastAsia="Calibri" w:hAnsi="Verdana" w:cs="Arial"/>
          <w:color w:val="000000"/>
          <w:lang w:val="es-ES" w:eastAsia="es-ES"/>
        </w:rPr>
      </w:pPr>
    </w:p>
    <w:p w14:paraId="391164E7" w14:textId="77777777" w:rsidR="00436B89" w:rsidRPr="00A652FF" w:rsidRDefault="00436B89" w:rsidP="00436B89">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B58B3ED" w14:textId="77777777" w:rsidR="00436B89" w:rsidRDefault="00436B89" w:rsidP="00436B8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4FB8C46" w14:textId="77777777" w:rsidR="00436B89" w:rsidRPr="00593A5F" w:rsidRDefault="00436B89" w:rsidP="00436B89">
      <w:pPr>
        <w:spacing w:after="0" w:line="276" w:lineRule="auto"/>
        <w:ind w:firstLine="709"/>
        <w:jc w:val="both"/>
        <w:rPr>
          <w:rFonts w:ascii="Verdana" w:eastAsia="Calibri" w:hAnsi="Verdana" w:cs="Arial"/>
          <w:color w:val="000000"/>
          <w:lang w:val="es-ES" w:eastAsia="es-ES"/>
        </w:rPr>
      </w:pPr>
    </w:p>
    <w:p w14:paraId="014138F8" w14:textId="77777777" w:rsidR="00436B89" w:rsidRPr="00593A5F" w:rsidRDefault="00436B89" w:rsidP="00436B8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E3325E9" w14:textId="77777777" w:rsidR="00436B89" w:rsidRPr="00593A5F" w:rsidRDefault="00436B89" w:rsidP="00436B89">
      <w:pPr>
        <w:tabs>
          <w:tab w:val="left" w:pos="426"/>
        </w:tabs>
        <w:spacing w:after="0" w:line="276" w:lineRule="auto"/>
        <w:jc w:val="both"/>
        <w:rPr>
          <w:rFonts w:ascii="Verdana" w:eastAsia="Century Gothic" w:hAnsi="Verdana" w:cs="Century Gothic"/>
          <w:lang w:val="es-ES"/>
        </w:rPr>
      </w:pPr>
    </w:p>
    <w:p w14:paraId="4B422EBE" w14:textId="77777777" w:rsidR="00436B89" w:rsidRPr="00593A5F" w:rsidRDefault="00436B89" w:rsidP="00436B89">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8F6451">
        <w:rPr>
          <w:rFonts w:ascii="Verdana" w:eastAsia="Century Gothic" w:hAnsi="Verdana" w:cs="Century Gothic"/>
        </w:rPr>
        <w:t>¿cuál es el alcance de la delegación y de los conflictos de interés de los servidores públicos en materia contractual?</w:t>
      </w:r>
      <w:r>
        <w:rPr>
          <w:rFonts w:ascii="Verdana" w:eastAsia="Century Gothic" w:hAnsi="Verdana" w:cs="Century Gothic"/>
        </w:rPr>
        <w:t xml:space="preserve"> </w:t>
      </w:r>
    </w:p>
    <w:p w14:paraId="4507FED2" w14:textId="77777777" w:rsidR="00436B89" w:rsidRPr="004B140F" w:rsidRDefault="00436B89" w:rsidP="00436B89">
      <w:pPr>
        <w:spacing w:after="0" w:line="276" w:lineRule="auto"/>
        <w:jc w:val="both"/>
        <w:rPr>
          <w:rFonts w:ascii="Verdana" w:eastAsia="Calibri" w:hAnsi="Verdana" w:cs="Arial"/>
          <w:color w:val="7030A0"/>
        </w:rPr>
      </w:pPr>
    </w:p>
    <w:p w14:paraId="5EC7A949" w14:textId="77777777" w:rsidR="00436B89" w:rsidRPr="00593A5F" w:rsidRDefault="00436B89" w:rsidP="00436B8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CB63E0C" w14:textId="77777777" w:rsidR="00436B89" w:rsidRPr="00593A5F" w:rsidRDefault="00436B89" w:rsidP="00436B8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36B89" w:rsidRPr="00593A5F" w14:paraId="07A0A24F" w14:textId="77777777" w:rsidTr="679822E3">
        <w:trPr>
          <w:jc w:val="center"/>
        </w:trPr>
        <w:tc>
          <w:tcPr>
            <w:tcW w:w="8828" w:type="dxa"/>
          </w:tcPr>
          <w:p w14:paraId="667714BE" w14:textId="77777777" w:rsidR="00436B89" w:rsidRDefault="00436B89" w:rsidP="006626CB">
            <w:pPr>
              <w:tabs>
                <w:tab w:val="left" w:pos="426"/>
              </w:tabs>
              <w:spacing w:after="120" w:line="276" w:lineRule="auto"/>
              <w:jc w:val="both"/>
              <w:rPr>
                <w:rFonts w:ascii="Verdana" w:eastAsia="Calibri" w:hAnsi="Verdana" w:cs="Arial"/>
                <w:bCs/>
                <w:color w:val="000000" w:themeColor="text1"/>
                <w:lang w:val="es-ES_tradnl"/>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de acuerdo con el inciso segundo del artículo 12 del Estatuto General </w:t>
            </w:r>
            <w:r>
              <w:rPr>
                <w:rFonts w:ascii="Verdana" w:eastAsia="Arial" w:hAnsi="Verdana" w:cs="Arial"/>
                <w:lang w:val="es-MX" w:eastAsia="es-ES" w:bidi="es-ES"/>
              </w:rPr>
              <w:lastRenderedPageBreak/>
              <w:t xml:space="preserve">de Contratación de la Administración Pública, </w:t>
            </w:r>
            <w:r>
              <w:rPr>
                <w:rFonts w:ascii="Verdana" w:eastAsia="Calibri" w:hAnsi="Verdana" w:cs="Arial"/>
                <w:lang w:val="es-ES_tradnl"/>
              </w:rPr>
              <w:t>“</w:t>
            </w:r>
            <w:r w:rsidRPr="00DB6084">
              <w:rPr>
                <w:rFonts w:ascii="Verdana" w:eastAsia="Calibri" w:hAnsi="Verdana" w:cs="Arial"/>
                <w:lang w:val="es-ES_tradnl"/>
              </w:rPr>
              <w:t>En ningún caso, los jefes y representantes legales de las entidades estatales quedarán exonerados por virtud de la delegación de sus deberes de control y vigilancia de la actividad precontractual y contractual</w:t>
            </w:r>
            <w:r>
              <w:rPr>
                <w:rFonts w:ascii="Verdana" w:eastAsia="Calibri" w:hAnsi="Verdana" w:cs="Arial"/>
                <w:lang w:val="es-ES_tradnl"/>
              </w:rPr>
              <w:t>”</w:t>
            </w:r>
            <w:r w:rsidRPr="00DB6084">
              <w:rPr>
                <w:rFonts w:ascii="Verdana" w:eastAsia="Calibri" w:hAnsi="Verdana" w:cs="Arial"/>
                <w:lang w:val="es-ES_tradnl"/>
              </w:rPr>
              <w:t>. Por ello, la Corte Constitucional –retomando la línea jurisprudencial de la Sentencia C-372 de 2002– declaró que este inciso es condicionalmente exequible, en el entendido que el delegante sólo responde por la ausencia de control y vigilancia siempre que medie dolo o culpa grave</w:t>
            </w:r>
            <w:r>
              <w:rPr>
                <w:rFonts w:ascii="Verdana" w:eastAsia="Calibri" w:hAnsi="Verdana" w:cs="Arial"/>
                <w:lang w:val="es-ES_tradnl"/>
              </w:rPr>
              <w:t>.</w:t>
            </w:r>
          </w:p>
          <w:p w14:paraId="0163BAAF" w14:textId="77777777" w:rsidR="00436B89" w:rsidRDefault="00436B89" w:rsidP="006626CB">
            <w:pPr>
              <w:spacing w:after="120" w:line="276" w:lineRule="auto"/>
              <w:ind w:firstLine="736"/>
              <w:jc w:val="both"/>
              <w:rPr>
                <w:rFonts w:ascii="Verdana" w:eastAsia="Calibri" w:hAnsi="Verdana" w:cs="Arial"/>
                <w:color w:val="000000" w:themeColor="text1"/>
                <w:lang w:val="es-ES_tradnl"/>
              </w:rPr>
            </w:pPr>
            <w:r>
              <w:rPr>
                <w:rFonts w:ascii="Verdana" w:eastAsia="Calibri" w:hAnsi="Verdana" w:cs="Arial"/>
                <w:bCs/>
                <w:color w:val="000000" w:themeColor="text1"/>
                <w:lang w:val="es-ES_tradnl"/>
              </w:rPr>
              <w:t>Ahora bien, aunque l</w:t>
            </w:r>
            <w:r w:rsidRPr="00176D26">
              <w:rPr>
                <w:rFonts w:ascii="Verdana" w:eastAsia="Calibri" w:hAnsi="Verdana" w:cs="Arial"/>
                <w:color w:val="000000" w:themeColor="text1"/>
                <w:lang w:val="es-ES_tradnl"/>
              </w:rPr>
              <w:t>a institución jurídica de los conflictos de interés no está definida con carácter general en el ordenamiento jurídico</w:t>
            </w:r>
            <w:r>
              <w:rPr>
                <w:rFonts w:ascii="Verdana" w:eastAsia="Calibri" w:hAnsi="Verdana" w:cs="Arial"/>
                <w:color w:val="000000" w:themeColor="text1"/>
                <w:lang w:val="es-ES_tradnl"/>
              </w:rPr>
              <w:t xml:space="preserve">, </w:t>
            </w:r>
            <w:r w:rsidRPr="00176D26">
              <w:rPr>
                <w:rFonts w:ascii="Verdana" w:eastAsia="Calibri" w:hAnsi="Verdana" w:cs="Arial"/>
                <w:color w:val="000000" w:themeColor="text1"/>
                <w:lang w:val="es-ES_tradnl"/>
              </w:rPr>
              <w:t>existen disposiciones especiales como el régimen de los congresistas, de los concejales o el régimen disciplinario de los servidores públicos, donde se definen causales de conflictos de interés</w:t>
            </w:r>
            <w:r>
              <w:rPr>
                <w:rFonts w:ascii="Verdana" w:eastAsia="Calibri" w:hAnsi="Verdana" w:cs="Arial"/>
                <w:color w:val="000000" w:themeColor="text1"/>
                <w:lang w:val="es-ES_tradnl"/>
              </w:rPr>
              <w:t xml:space="preserve">. Asimismo, </w:t>
            </w:r>
            <w:r w:rsidRPr="00176D26">
              <w:rPr>
                <w:rFonts w:ascii="Verdana" w:eastAsia="Calibri" w:hAnsi="Verdana" w:cs="Arial"/>
                <w:color w:val="000000" w:themeColor="text1"/>
                <w:lang w:val="es-ES_tradnl"/>
              </w:rPr>
              <w:t xml:space="preserve">la Ley 1437 de 2011 establece un régimen de </w:t>
            </w:r>
            <w:r>
              <w:rPr>
                <w:rFonts w:ascii="Verdana" w:eastAsia="Calibri" w:hAnsi="Verdana" w:cs="Arial"/>
                <w:color w:val="000000" w:themeColor="text1"/>
                <w:lang w:val="es-ES_tradnl"/>
              </w:rPr>
              <w:t>“</w:t>
            </w:r>
            <w:r w:rsidRPr="00176D26">
              <w:rPr>
                <w:rFonts w:ascii="Verdana" w:eastAsia="Calibri" w:hAnsi="Verdana" w:cs="Arial"/>
                <w:color w:val="000000" w:themeColor="text1"/>
                <w:lang w:val="es-ES_tradnl"/>
              </w:rPr>
              <w:t>conflictos de interés y causales de impedimento y recusación</w:t>
            </w:r>
            <w:r>
              <w:rPr>
                <w:rFonts w:ascii="Verdana" w:eastAsia="Calibri" w:hAnsi="Verdana" w:cs="Arial"/>
                <w:color w:val="000000" w:themeColor="text1"/>
                <w:lang w:val="es-ES_tradnl"/>
              </w:rPr>
              <w:t>”</w:t>
            </w:r>
            <w:r w:rsidRPr="00176D26">
              <w:rPr>
                <w:rFonts w:ascii="Verdana" w:eastAsia="Calibri" w:hAnsi="Verdana" w:cs="Arial"/>
                <w:color w:val="000000" w:themeColor="text1"/>
                <w:lang w:val="es-ES_tradnl"/>
              </w:rPr>
              <w:t xml:space="preserve"> –artículos 11 y 12–, que aplican en los procedimientos administrativos, en general, incluyendo los de selección de contratistas del Estado, </w:t>
            </w:r>
            <w:r>
              <w:rPr>
                <w:rFonts w:ascii="Verdana" w:eastAsia="Calibri" w:hAnsi="Verdana" w:cs="Arial"/>
                <w:color w:val="000000" w:themeColor="text1"/>
                <w:lang w:val="es-ES_tradnl"/>
              </w:rPr>
              <w:t xml:space="preserve">y </w:t>
            </w:r>
            <w:r w:rsidRPr="00176D26">
              <w:rPr>
                <w:rFonts w:ascii="Verdana" w:eastAsia="Calibri" w:hAnsi="Verdana" w:cs="Arial"/>
                <w:color w:val="000000" w:themeColor="text1"/>
                <w:lang w:val="es-ES_tradnl"/>
              </w:rPr>
              <w:t>están dirigidos a los servidores públicos que adelantan estas actuaciones en desarrollo de la actividad contractual de la entidad estatal de la cual hacen parte</w:t>
            </w:r>
            <w:r>
              <w:rPr>
                <w:rFonts w:ascii="Verdana" w:eastAsia="Calibri" w:hAnsi="Verdana" w:cs="Arial"/>
                <w:color w:val="000000" w:themeColor="text1"/>
                <w:lang w:val="es-ES_tradnl"/>
              </w:rPr>
              <w:t xml:space="preserve">. </w:t>
            </w:r>
          </w:p>
          <w:p w14:paraId="69FD7023" w14:textId="77777777" w:rsidR="00436B89" w:rsidRPr="001D3555" w:rsidRDefault="00436B89" w:rsidP="679822E3">
            <w:pPr>
              <w:pStyle w:val="NormalWeb"/>
              <w:spacing w:before="120" w:beforeAutospacing="0" w:after="120" w:afterAutospacing="0" w:line="276" w:lineRule="auto"/>
              <w:ind w:firstLine="709"/>
              <w:jc w:val="both"/>
              <w:rPr>
                <w:rFonts w:ascii="Verdana" w:eastAsia="Calibri" w:hAnsi="Verdana" w:cs="Arial"/>
                <w:color w:val="000000" w:themeColor="text1"/>
                <w:sz w:val="22"/>
                <w:szCs w:val="22"/>
                <w:lang w:val="es-ES"/>
              </w:rPr>
            </w:pPr>
            <w:r w:rsidRPr="679822E3">
              <w:rPr>
                <w:rFonts w:ascii="Verdana" w:eastAsia="Calibri" w:hAnsi="Verdana" w:cs="Arial"/>
                <w:color w:val="000000" w:themeColor="text1"/>
                <w:sz w:val="22"/>
                <w:szCs w:val="22"/>
                <w:lang w:val="es-ES"/>
              </w:rPr>
              <w:t xml:space="preserve">Para estos efectos, conforme al inciso primero del artículo 77 de la Ley 80 de 1993, es necesario tener en cuenta que “En cuanto sean compatibles con la finalidad y los principios de esta ley, las normas que rigen los procedimientos y actuaciones en la función administrativa, serán aplicables en las actuaciones contractuales […]”. Luego, en caso de presentarse alguna de las causales establecidas en el artículo 11 del Código de Procedimiento Administrativo o de lo Contencioso Administrativo, corresponde aplicar el trámite establecido en el artículo 12 de la misma ley. El acatamiento de estas normas es obligatorio para todos los servidores públicos involucrados en la gestión contractual de las entidades estatales; razón por la cual, sujetan tanto la actuación del delegante como del delegatario, sin perjuicio del deber de control y vigilancia del primero sobre el segundo.  </w:t>
            </w:r>
          </w:p>
          <w:p w14:paraId="3AC3E122" w14:textId="77777777" w:rsidR="00436B89" w:rsidRPr="001941FD" w:rsidRDefault="00436B89" w:rsidP="006626CB">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w:t>
            </w:r>
            <w:r w:rsidRPr="00A47393">
              <w:rPr>
                <w:rStyle w:val="s15"/>
                <w:rFonts w:ascii="Verdana" w:hAnsi="Verdana"/>
                <w:color w:val="000000"/>
              </w:rPr>
              <w:lastRenderedPageBreak/>
              <w:t>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r>
              <w:rPr>
                <w:rFonts w:ascii="Verdana" w:eastAsia="Calibri" w:hAnsi="Verdana" w:cs="Arial"/>
                <w:color w:val="000000" w:themeColor="text1"/>
              </w:rPr>
              <w:t>De esta manera, en el marco de la acción penal, corresponde a los fiscales y los jueces determinar si la conducta indicada en la solicitud es constitutiva o no de prevaricato, pues esta entidad carece de atribuciones para establecer la responsabilidad en la presunta comisión de conductas punibles.</w:t>
            </w:r>
          </w:p>
        </w:tc>
      </w:tr>
    </w:tbl>
    <w:p w14:paraId="387F52B8" w14:textId="77777777" w:rsidR="00436B89" w:rsidRPr="00593A5F" w:rsidRDefault="00436B89" w:rsidP="00436B89">
      <w:pPr>
        <w:tabs>
          <w:tab w:val="left" w:pos="142"/>
          <w:tab w:val="left" w:pos="284"/>
        </w:tabs>
        <w:spacing w:after="0" w:line="276" w:lineRule="auto"/>
        <w:jc w:val="both"/>
        <w:rPr>
          <w:rFonts w:ascii="Verdana" w:eastAsia="Century Gothic" w:hAnsi="Verdana" w:cs="Century Gothic"/>
          <w:b/>
          <w:bCs/>
          <w:lang w:val="es-ES"/>
        </w:rPr>
      </w:pPr>
    </w:p>
    <w:bookmarkEnd w:id="2"/>
    <w:p w14:paraId="07952228" w14:textId="77777777" w:rsidR="00436B89" w:rsidRPr="00593A5F" w:rsidRDefault="00436B89" w:rsidP="00436B8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F4C0CAE" w14:textId="77777777" w:rsidR="00436B89" w:rsidRPr="00593A5F" w:rsidRDefault="00436B89" w:rsidP="00436B89">
      <w:pPr>
        <w:spacing w:after="0" w:line="276" w:lineRule="auto"/>
        <w:jc w:val="both"/>
        <w:rPr>
          <w:rFonts w:ascii="Verdana" w:eastAsia="Calibri" w:hAnsi="Verdana" w:cs="Arial"/>
          <w:color w:val="7030A0"/>
          <w:lang w:val="es-ES"/>
        </w:rPr>
      </w:pPr>
    </w:p>
    <w:p w14:paraId="238F593D" w14:textId="77777777" w:rsidR="00436B89" w:rsidRDefault="00436B89" w:rsidP="00436B8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D5F2D89" w14:textId="77777777" w:rsidR="00436B89" w:rsidRPr="00415608" w:rsidRDefault="00436B89" w:rsidP="00436B89">
      <w:pPr>
        <w:spacing w:after="0" w:line="276" w:lineRule="auto"/>
        <w:jc w:val="both"/>
        <w:rPr>
          <w:rFonts w:ascii="Verdana" w:eastAsia="Calibri" w:hAnsi="Verdana" w:cs="Arial"/>
          <w:lang w:val="es-ES"/>
        </w:rPr>
      </w:pPr>
    </w:p>
    <w:p w14:paraId="5762B955" w14:textId="77777777" w:rsidR="00436B89" w:rsidRPr="00DB6084" w:rsidRDefault="00436B89" w:rsidP="00436B89">
      <w:pPr>
        <w:spacing w:after="120" w:line="276" w:lineRule="auto"/>
        <w:jc w:val="both"/>
        <w:rPr>
          <w:rFonts w:ascii="Verdana" w:eastAsia="Calibri" w:hAnsi="Verdana" w:cs="Arial"/>
          <w:lang w:val="es-ES_tradnl"/>
        </w:rPr>
      </w:pPr>
      <w:bookmarkStart w:id="3" w:name="_Hlk35882939"/>
      <w:r w:rsidRPr="00DB6084">
        <w:rPr>
          <w:rFonts w:ascii="Verdana" w:eastAsia="Calibri" w:hAnsi="Verdana" w:cs="Arial"/>
          <w:lang w:val="es-ES_tradnl"/>
        </w:rPr>
        <w:t xml:space="preserve">Los actos administrativos, como declaraciones unilaterales de voluntad provenientes de órganos estatales que ejercen función administrativa y que producen efectos jurídicos, y los contratos estatales, como acuerdos de voluntades para producir obligaciones, requieren para su validez –entre otros requisitos– que el órgano posea competencia para expedirlos y suscribirlos, respectivamente. Al ser un presupuesto necesario de la actuación administrativa, la competencia es la otra cara de la capacidad, pues mientras ésta es la regla general aquella es excepcional. No en vano, el artículo 6 de la Constitución Política de 1991 dispone que </w:t>
      </w:r>
      <w:r>
        <w:rPr>
          <w:rFonts w:ascii="Verdana" w:eastAsia="Calibri" w:hAnsi="Verdana" w:cs="Arial"/>
          <w:lang w:val="es-ES_tradnl"/>
        </w:rPr>
        <w:t>“</w:t>
      </w:r>
      <w:r w:rsidRPr="00DB6084">
        <w:rPr>
          <w:rFonts w:ascii="Verdana" w:eastAsia="Calibri" w:hAnsi="Verdana" w:cs="Arial"/>
          <w:lang w:val="es-ES_tradnl"/>
        </w:rPr>
        <w:t>Los particulares sólo son responsables ante las autoridades por infringir la Constitución y las leyes. Los servidores públicos lo son por la misma causa y por omisión o extralimitación en el ejercicio de sus funciones</w:t>
      </w:r>
      <w:r>
        <w:rPr>
          <w:rFonts w:ascii="Verdana" w:eastAsia="Calibri" w:hAnsi="Verdana" w:cs="Arial"/>
          <w:lang w:val="es-ES_tradnl"/>
        </w:rPr>
        <w:t>”</w:t>
      </w:r>
      <w:r w:rsidRPr="00DB6084">
        <w:rPr>
          <w:rFonts w:ascii="Verdana" w:eastAsia="Calibri" w:hAnsi="Verdana" w:cs="Arial"/>
          <w:lang w:val="es-ES_tradnl"/>
        </w:rPr>
        <w:t xml:space="preserve">. </w:t>
      </w:r>
    </w:p>
    <w:p w14:paraId="016CE68C" w14:textId="77777777" w:rsidR="00436B89" w:rsidRPr="00DB6084" w:rsidRDefault="00436B89" w:rsidP="00436B89">
      <w:pPr>
        <w:spacing w:after="120" w:line="276" w:lineRule="auto"/>
        <w:jc w:val="both"/>
        <w:rPr>
          <w:rFonts w:ascii="Verdana" w:eastAsia="Calibri" w:hAnsi="Verdana" w:cs="Arial"/>
          <w:lang w:val="es-ES_tradnl"/>
        </w:rPr>
      </w:pPr>
      <w:r w:rsidRPr="00DB6084">
        <w:rPr>
          <w:rFonts w:ascii="Verdana" w:eastAsia="Calibri" w:hAnsi="Verdana" w:cs="Arial"/>
          <w:lang w:val="es-ES_tradnl"/>
        </w:rPr>
        <w:tab/>
        <w:t>En este contexto, el artículo 11 de la Ley 80 de 1993 define la competencia para dirigir procesos de selección y suscribir contratos, centralizándola en determinadas autoridades estatales</w:t>
      </w:r>
      <w:r w:rsidRPr="00DB6084">
        <w:rPr>
          <w:rStyle w:val="Refdenotaalpie"/>
          <w:rFonts w:ascii="Verdana" w:eastAsia="Calibri" w:hAnsi="Verdana" w:cs="Arial"/>
          <w:lang w:val="es-ES_tradnl"/>
        </w:rPr>
        <w:footnoteReference w:id="1"/>
      </w:r>
      <w:r w:rsidRPr="00DB6084">
        <w:rPr>
          <w:rFonts w:ascii="Verdana" w:eastAsia="Calibri" w:hAnsi="Verdana" w:cs="Arial"/>
          <w:lang w:val="es-ES_tradnl"/>
        </w:rPr>
        <w:t xml:space="preserve">. Dado que, además de la actividad contractual, dichos órganos cumplen con una multiplicidad de funciones diferentes, el ordenamiento jurídico dispone técnicas de organización </w:t>
      </w:r>
      <w:r w:rsidRPr="00DB6084">
        <w:rPr>
          <w:rFonts w:ascii="Verdana" w:eastAsia="Calibri" w:hAnsi="Verdana" w:cs="Arial"/>
          <w:lang w:val="es-ES_tradnl"/>
        </w:rPr>
        <w:lastRenderedPageBreak/>
        <w:t xml:space="preserve">administrativa que permiten el reparto de las tareas asignadas con miras a su cumplimiento eficaz y eficiente; razón por la cual, el artículo 209 de la Constitución Política dispone que la función administrativa se desarrolla mediante la descentralización, la delegación y la desconcentración de funciones. </w:t>
      </w:r>
    </w:p>
    <w:p w14:paraId="49D53537" w14:textId="77777777" w:rsidR="00436B89" w:rsidRPr="00DB6084" w:rsidRDefault="00436B89" w:rsidP="00436B89">
      <w:pPr>
        <w:spacing w:after="120" w:line="276" w:lineRule="auto"/>
        <w:jc w:val="both"/>
        <w:rPr>
          <w:rFonts w:ascii="Verdana" w:eastAsia="Calibri" w:hAnsi="Verdana" w:cs="Arial"/>
          <w:lang w:val="es-ES_tradnl"/>
        </w:rPr>
      </w:pPr>
      <w:r w:rsidRPr="00DB6084">
        <w:rPr>
          <w:rFonts w:ascii="Verdana" w:eastAsia="Calibri" w:hAnsi="Verdana" w:cs="Arial"/>
          <w:lang w:val="es-ES_tradnl"/>
        </w:rPr>
        <w:tab/>
        <w:t xml:space="preserve">Por ello, </w:t>
      </w:r>
      <w:bookmarkStart w:id="4" w:name="_Hlk37183374"/>
      <w:r w:rsidRPr="00DB6084">
        <w:rPr>
          <w:rFonts w:ascii="Verdana" w:eastAsia="Calibri" w:hAnsi="Verdana" w:cs="Arial"/>
          <w:lang w:val="es-ES_tradnl"/>
        </w:rPr>
        <w:t>en desarrollo del artículo 211 superior</w:t>
      </w:r>
      <w:r w:rsidRPr="00DB6084">
        <w:rPr>
          <w:rStyle w:val="Refdenotaalpie"/>
          <w:rFonts w:ascii="Verdana" w:eastAsia="Calibri" w:hAnsi="Verdana" w:cs="Arial"/>
          <w:lang w:val="es-ES_tradnl"/>
        </w:rPr>
        <w:footnoteReference w:id="2"/>
      </w:r>
      <w:r w:rsidRPr="00DB6084">
        <w:rPr>
          <w:rFonts w:ascii="Verdana" w:eastAsia="Calibri" w:hAnsi="Verdana" w:cs="Arial"/>
          <w:lang w:val="es-ES_tradnl"/>
        </w:rPr>
        <w:t xml:space="preserve">, el artículo 12 del Estatuto General de Contratación contiene una regla especial según la cual </w:t>
      </w:r>
      <w:r>
        <w:rPr>
          <w:rFonts w:ascii="Verdana" w:eastAsia="Calibri" w:hAnsi="Verdana" w:cs="Arial"/>
          <w:lang w:val="es-ES_tradnl"/>
        </w:rPr>
        <w:t>“</w:t>
      </w:r>
      <w:r w:rsidRPr="00DB6084">
        <w:rPr>
          <w:rFonts w:ascii="Verdana" w:eastAsia="Calibri" w:hAnsi="Verdana" w:cs="Arial"/>
          <w:lang w:val="es-ES_tradnl"/>
        </w:rPr>
        <w:t>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w:t>
      </w:r>
      <w:r>
        <w:rPr>
          <w:rFonts w:ascii="Verdana" w:eastAsia="Calibri" w:hAnsi="Verdana" w:cs="Arial"/>
          <w:lang w:val="es-ES_tradnl"/>
        </w:rPr>
        <w:t>”</w:t>
      </w:r>
      <w:r w:rsidRPr="00DB6084">
        <w:rPr>
          <w:rFonts w:ascii="Verdana" w:eastAsia="Calibri" w:hAnsi="Verdana" w:cs="Arial"/>
          <w:lang w:val="es-ES_tradnl"/>
        </w:rPr>
        <w:t>. Así las cosas, atenuando el rigor de la centralización, esta técnica organizacional implica una actuación administrativa mediante la cual el titular de una función –delegante–, previa autorización expresa por parte del órgano que asignó originariamente la competencia, inviste voluntaria y formalmente de autoridad a quien ejerce un cargo subordinado –delegatario–, para que asuma una o varias de las atribuciones del primero</w:t>
      </w:r>
      <w:r w:rsidRPr="00DB6084">
        <w:rPr>
          <w:rStyle w:val="Refdenotaalpie"/>
          <w:rFonts w:ascii="Verdana" w:eastAsia="Calibri" w:hAnsi="Verdana" w:cs="Arial"/>
          <w:lang w:val="es-ES_tradnl"/>
        </w:rPr>
        <w:footnoteReference w:id="3"/>
      </w:r>
      <w:r w:rsidRPr="00DB6084">
        <w:rPr>
          <w:rFonts w:ascii="Verdana" w:eastAsia="Calibri" w:hAnsi="Verdana" w:cs="Arial"/>
          <w:lang w:val="es-ES_tradnl"/>
        </w:rPr>
        <w:t xml:space="preserve">.  </w:t>
      </w:r>
    </w:p>
    <w:p w14:paraId="13676D34" w14:textId="77777777" w:rsidR="00436B89" w:rsidRPr="00DB6084" w:rsidRDefault="00436B89" w:rsidP="00436B89">
      <w:pPr>
        <w:spacing w:after="120" w:line="276" w:lineRule="auto"/>
        <w:jc w:val="both"/>
        <w:rPr>
          <w:rFonts w:ascii="Verdana" w:eastAsia="Calibri" w:hAnsi="Verdana" w:cs="Arial"/>
          <w:lang w:val="es-ES_tradnl"/>
        </w:rPr>
      </w:pPr>
      <w:r w:rsidRPr="00DB6084">
        <w:rPr>
          <w:rFonts w:ascii="Verdana" w:eastAsia="Calibri" w:hAnsi="Verdana" w:cs="Arial"/>
          <w:lang w:val="es-ES_tradnl"/>
        </w:rPr>
        <w:tab/>
        <w:t>Como se observa, la facultad se limitó a la celebración de contratos, dejando dudas sobre la posibilidad de delegar la firma del acto de adjudicación; motivo por el cual, el artículo 37 del Decreto</w:t>
      </w:r>
      <w:r>
        <w:rPr>
          <w:rFonts w:ascii="Verdana" w:eastAsia="Calibri" w:hAnsi="Verdana" w:cs="Arial"/>
          <w:lang w:val="es-ES_tradnl"/>
        </w:rPr>
        <w:t xml:space="preserve"> </w:t>
      </w:r>
      <w:r w:rsidRPr="00DB6084">
        <w:rPr>
          <w:rFonts w:ascii="Verdana" w:eastAsia="Calibri" w:hAnsi="Verdana" w:cs="Arial"/>
          <w:lang w:val="es-ES_tradnl"/>
        </w:rPr>
        <w:t xml:space="preserve">Ley 2150 de 1995 amplió las materias delegables al disponer que </w:t>
      </w:r>
      <w:r>
        <w:rPr>
          <w:rFonts w:ascii="Verdana" w:eastAsia="Calibri" w:hAnsi="Verdana" w:cs="Arial"/>
          <w:lang w:val="es-ES_tradnl"/>
        </w:rPr>
        <w:t>“</w:t>
      </w:r>
      <w:r w:rsidRPr="00DB6084">
        <w:rPr>
          <w:rFonts w:ascii="Verdana" w:eastAsia="Calibri" w:hAnsi="Verdana" w:cs="Arial"/>
          <w:lang w:val="es-ES_tradnl"/>
        </w:rPr>
        <w:t>Los jefes y los representantes legales de las entidades estatales podrán delegar total o parcialmente la competencia para la realización de licitaciones o para la celebración de contratos, sin consideración a la naturaleza o cuantía de los mismos, en los servidores públicos que desempeñen cargos del nivel directivo o ejecutivo o en sus equivalentes</w:t>
      </w:r>
      <w:r>
        <w:rPr>
          <w:rFonts w:ascii="Verdana" w:eastAsia="Calibri" w:hAnsi="Verdana" w:cs="Arial"/>
          <w:lang w:val="es-ES_tradnl"/>
        </w:rPr>
        <w:t>”</w:t>
      </w:r>
      <w:r w:rsidRPr="00DB6084">
        <w:rPr>
          <w:rFonts w:ascii="Verdana" w:eastAsia="Calibri" w:hAnsi="Verdana" w:cs="Arial"/>
          <w:lang w:val="es-ES_tradnl"/>
        </w:rPr>
        <w:t xml:space="preserve">.    </w:t>
      </w:r>
    </w:p>
    <w:p w14:paraId="01D52A41" w14:textId="77777777" w:rsidR="00436B89" w:rsidRPr="00DB6084" w:rsidRDefault="00436B89" w:rsidP="00436B89">
      <w:pPr>
        <w:spacing w:after="120" w:line="276" w:lineRule="auto"/>
        <w:ind w:firstLine="708"/>
        <w:jc w:val="both"/>
        <w:rPr>
          <w:rFonts w:ascii="Verdana" w:eastAsia="Calibri" w:hAnsi="Verdana" w:cs="Arial"/>
          <w:lang w:val="es-ES_tradnl"/>
        </w:rPr>
      </w:pPr>
      <w:r w:rsidRPr="00DB6084">
        <w:rPr>
          <w:rFonts w:ascii="Verdana" w:eastAsia="Calibri" w:hAnsi="Verdana" w:cs="Arial"/>
          <w:lang w:val="es-ES_tradnl"/>
        </w:rPr>
        <w:t xml:space="preserve">Posteriormente, el artículo 9 de la Ley 489 de 1998 permite la delegación en funcionarios públicos del nivel directivo y asesor vinculados al órgano correspondiente. En todo caso, esta última ley exige un acto administrativo donde se determine la autoridad delegataria y las funciones específicas que se </w:t>
      </w:r>
      <w:r w:rsidRPr="00DB6084">
        <w:rPr>
          <w:rFonts w:ascii="Verdana" w:eastAsia="Calibri" w:hAnsi="Verdana" w:cs="Arial"/>
          <w:lang w:val="es-ES_tradnl"/>
        </w:rPr>
        <w:lastRenderedPageBreak/>
        <w:t xml:space="preserve">transfiere el delegante, sin perjuicio de que este último se informe sobre el desarrollo de la delegación e imparta orientaciones generales para el ejercicio de las funciones delegadas –art. 10–. Además, se supedita a que no se confiera para expedir reglamentos –salvo excepciones legales–, subdelegar o transferir funciones que por su naturaleza o por mandato constitucional o legal son indelegables –art. 11–. Finalmente, los actos del delegatario tienen los requisitos y recursos que los del delegante, reiterando el régimen de responsabilidad y recuperación de la competencia previsto en el artículo 211 constitucional –art. 12–.  </w:t>
      </w:r>
    </w:p>
    <w:bookmarkEnd w:id="4"/>
    <w:p w14:paraId="69C2A23A" w14:textId="77777777" w:rsidR="00436B89" w:rsidRPr="00DB6084" w:rsidRDefault="00436B89" w:rsidP="00436B89">
      <w:pPr>
        <w:spacing w:after="0" w:line="276" w:lineRule="auto"/>
        <w:ind w:firstLine="708"/>
        <w:jc w:val="both"/>
        <w:rPr>
          <w:rFonts w:ascii="Verdana" w:eastAsia="Calibri" w:hAnsi="Verdana" w:cs="Arial"/>
          <w:lang w:val="es-ES_tradnl"/>
        </w:rPr>
      </w:pPr>
      <w:r w:rsidRPr="00DB6084">
        <w:rPr>
          <w:rFonts w:ascii="Verdana" w:eastAsia="Calibri" w:hAnsi="Verdana" w:cs="Arial"/>
          <w:lang w:val="es-ES_tradnl"/>
        </w:rPr>
        <w:t xml:space="preserve">Sin embargo, la delegación en materia contractual tuvo cambios importantes con la expedición de la Ley 1150 de 2007, adicionando un segundo inciso al artículo 12 del Estatuto General. En esta medida, dispuso que: </w:t>
      </w:r>
      <w:r>
        <w:rPr>
          <w:rFonts w:ascii="Verdana" w:eastAsia="Calibri" w:hAnsi="Verdana" w:cs="Arial"/>
          <w:lang w:val="es-ES_tradnl"/>
        </w:rPr>
        <w:t>“</w:t>
      </w:r>
      <w:r w:rsidRPr="00DB6084">
        <w:rPr>
          <w:rFonts w:ascii="Verdana" w:eastAsia="Calibri" w:hAnsi="Verdana" w:cs="Arial"/>
          <w:lang w:val="es-ES_tradnl"/>
        </w:rPr>
        <w:t>En ningún caso, los jefes y representantes legales de las entidades estatales quedarán exonerados por virtud de la delegación de sus deberes de control y vigilancia de la actividad precontractual y contractual</w:t>
      </w:r>
      <w:r>
        <w:rPr>
          <w:rFonts w:ascii="Verdana" w:eastAsia="Calibri" w:hAnsi="Verdana" w:cs="Arial"/>
          <w:lang w:val="es-ES_tradnl"/>
        </w:rPr>
        <w:t>”</w:t>
      </w:r>
      <w:r w:rsidRPr="00DB6084">
        <w:rPr>
          <w:rFonts w:ascii="Verdana" w:eastAsia="Calibri" w:hAnsi="Verdana" w:cs="Arial"/>
          <w:lang w:val="es-ES_tradnl"/>
        </w:rPr>
        <w:t>. Dicha disposición cambió el régimen de responsabilidad del delegante previsto en el precitado inciso segundo del artículo 211 superior. Por ello, la Corte Constitucional –retomando la línea jurisprudencial de la Sentencia C-</w:t>
      </w:r>
      <w:bookmarkStart w:id="5" w:name="_Hlk37168691"/>
      <w:r w:rsidRPr="00DB6084">
        <w:rPr>
          <w:rFonts w:ascii="Verdana" w:eastAsia="Calibri" w:hAnsi="Verdana" w:cs="Arial"/>
          <w:lang w:val="es-ES_tradnl"/>
        </w:rPr>
        <w:t>372 de 2002</w:t>
      </w:r>
      <w:bookmarkEnd w:id="5"/>
      <w:r w:rsidRPr="00DB6084">
        <w:rPr>
          <w:rFonts w:ascii="Verdana" w:eastAsia="Calibri" w:hAnsi="Verdana" w:cs="Arial"/>
          <w:lang w:val="es-ES_tradnl"/>
        </w:rPr>
        <w:t>– declaró que este inciso es condicionalmente exequible, en el entendido que el delegante sólo responde por la ausencia de control y vigilancia siempre que medie dolo o culpa grave</w:t>
      </w:r>
      <w:r w:rsidRPr="00DB6084">
        <w:rPr>
          <w:rStyle w:val="Refdenotaalpie"/>
          <w:rFonts w:ascii="Verdana" w:eastAsia="Calibri" w:hAnsi="Verdana" w:cs="Arial"/>
          <w:lang w:val="es-ES_tradnl"/>
        </w:rPr>
        <w:footnoteReference w:id="4"/>
      </w:r>
      <w:r w:rsidRPr="00DB6084">
        <w:rPr>
          <w:rFonts w:ascii="Verdana" w:eastAsia="Calibri" w:hAnsi="Verdana" w:cs="Arial"/>
          <w:lang w:val="es-ES_tradnl"/>
        </w:rPr>
        <w:t xml:space="preserve">. Lo anterior, en la medida que: </w:t>
      </w:r>
    </w:p>
    <w:p w14:paraId="6AD68820" w14:textId="77777777" w:rsidR="00436B89" w:rsidRPr="00DB6084" w:rsidRDefault="00436B89" w:rsidP="00436B89">
      <w:pPr>
        <w:spacing w:after="0" w:line="276" w:lineRule="auto"/>
        <w:jc w:val="both"/>
        <w:rPr>
          <w:rFonts w:ascii="Verdana" w:eastAsia="Calibri" w:hAnsi="Verdana" w:cs="Arial"/>
          <w:lang w:val="es-ES_tradnl"/>
        </w:rPr>
      </w:pPr>
    </w:p>
    <w:p w14:paraId="43312A89" w14:textId="77777777" w:rsidR="00436B89" w:rsidRPr="00DB6084" w:rsidRDefault="00436B89" w:rsidP="00436B89">
      <w:pPr>
        <w:spacing w:after="0" w:line="240" w:lineRule="auto"/>
        <w:ind w:left="709" w:right="709"/>
        <w:jc w:val="both"/>
        <w:rPr>
          <w:rFonts w:ascii="Verdana" w:eastAsia="Calibri" w:hAnsi="Verdana" w:cs="Arial"/>
          <w:sz w:val="20"/>
          <w:szCs w:val="20"/>
          <w:lang w:val="es-ES_tradnl"/>
        </w:rPr>
      </w:pPr>
      <w:r w:rsidRPr="00DB6084">
        <w:rPr>
          <w:rFonts w:ascii="Verdana" w:eastAsia="Calibri" w:hAnsi="Verdana" w:cs="Arial"/>
          <w:sz w:val="20"/>
          <w:szCs w:val="20"/>
          <w:lang w:val="es-ES_tradnl"/>
        </w:rPr>
        <w:t>“La delegación no es un mecanismo para desprenderse del cumplimiento de las funciones del cargo y menos aún para utilizarse con fines contrarios a los principios que rigen la función administrativa como la moralidad, la eficacia, la igualdad o la imparcialidad (C.P., art. 209). Tampoco es admisible el extremo opuesto según el cual el delegante responderá siempre por las actuaciones del delegatario, por cuanto se abandonaría el principio de responsabilidad subjetiva de los servidores públicos, de tal manera que inexorablemente respondan por las decisiones de otros.   Por lo tanto, para determinar la responsabilidad del delegante no es suficiente el artículo 211 de la Carta Política y será necesario considerar otros principios constitucionales sobre la materia”</w:t>
      </w:r>
      <w:r w:rsidRPr="00DB6084">
        <w:rPr>
          <w:rStyle w:val="Refdenotaalpie"/>
          <w:rFonts w:ascii="Verdana" w:eastAsia="Calibri" w:hAnsi="Verdana" w:cs="Arial"/>
          <w:sz w:val="20"/>
          <w:szCs w:val="20"/>
          <w:lang w:val="es-ES_tradnl"/>
        </w:rPr>
        <w:footnoteReference w:id="5"/>
      </w:r>
      <w:r w:rsidRPr="00DB6084">
        <w:rPr>
          <w:rFonts w:ascii="Verdana" w:eastAsia="Calibri" w:hAnsi="Verdana" w:cs="Arial"/>
          <w:sz w:val="20"/>
          <w:szCs w:val="20"/>
          <w:lang w:val="es-ES_tradnl"/>
        </w:rPr>
        <w:t xml:space="preserve">.   </w:t>
      </w:r>
    </w:p>
    <w:p w14:paraId="5039ADCC" w14:textId="77777777" w:rsidR="00436B89" w:rsidRPr="00DB6084" w:rsidRDefault="00436B89" w:rsidP="00436B89">
      <w:pPr>
        <w:spacing w:after="0" w:line="276" w:lineRule="auto"/>
        <w:jc w:val="both"/>
        <w:rPr>
          <w:rFonts w:ascii="Verdana" w:eastAsia="Calibri" w:hAnsi="Verdana" w:cs="Arial"/>
          <w:lang w:val="es-ES_tradnl"/>
        </w:rPr>
      </w:pPr>
    </w:p>
    <w:bookmarkEnd w:id="3"/>
    <w:p w14:paraId="4FCD57C1" w14:textId="77777777" w:rsidR="00436B89" w:rsidRDefault="00436B89" w:rsidP="00436B89">
      <w:pPr>
        <w:spacing w:after="120" w:line="276" w:lineRule="auto"/>
        <w:jc w:val="both"/>
        <w:rPr>
          <w:rFonts w:ascii="Verdana" w:eastAsia="Calibri" w:hAnsi="Verdana" w:cs="Arial"/>
          <w:color w:val="000000" w:themeColor="text1"/>
          <w:lang w:val="es-ES_tradnl"/>
        </w:rPr>
      </w:pPr>
      <w:r>
        <w:rPr>
          <w:rFonts w:ascii="Verdana" w:eastAsia="Calibri" w:hAnsi="Verdana" w:cs="Arial"/>
          <w:bCs/>
          <w:color w:val="000000" w:themeColor="text1"/>
        </w:rPr>
        <w:tab/>
      </w:r>
      <w:r w:rsidRPr="00A93432">
        <w:rPr>
          <w:rFonts w:ascii="Verdana" w:eastAsia="Calibri" w:hAnsi="Verdana" w:cs="Arial"/>
          <w:color w:val="000000" w:themeColor="text1"/>
          <w:lang w:val="es-ES_tradnl"/>
        </w:rPr>
        <w:t xml:space="preserve">Por lo demás, de acuerdo con el artículo 209 de la Constitución Política de 1991, la función administrativa debe desarrollarse conforme al principio de </w:t>
      </w:r>
      <w:r w:rsidRPr="00A93432">
        <w:rPr>
          <w:rFonts w:ascii="Verdana" w:eastAsia="Calibri" w:hAnsi="Verdana" w:cs="Arial"/>
          <w:color w:val="000000" w:themeColor="text1"/>
          <w:lang w:val="es-ES_tradnl"/>
        </w:rPr>
        <w:lastRenderedPageBreak/>
        <w:t xml:space="preserve">moralidad, mandato que se concreta en la idea de que </w:t>
      </w:r>
      <w:r>
        <w:rPr>
          <w:rFonts w:ascii="Verdana" w:eastAsia="Calibri" w:hAnsi="Verdana" w:cs="Arial"/>
          <w:color w:val="000000" w:themeColor="text1"/>
          <w:lang w:val="es-ES_tradnl"/>
        </w:rPr>
        <w:t>“</w:t>
      </w:r>
      <w:r w:rsidRPr="00A93432">
        <w:rPr>
          <w:rFonts w:ascii="Verdana" w:eastAsia="Calibri" w:hAnsi="Verdana" w:cs="Arial"/>
          <w:color w:val="000000" w:themeColor="text1"/>
          <w:lang w:val="es-ES_tradnl"/>
        </w:rPr>
        <w:t>[…] todas las personas y los servidores públicos están obligados a actuar con rectitud, lealtad y honestidad en las actuaciones administrativas […]</w:t>
      </w:r>
      <w:r>
        <w:rPr>
          <w:rFonts w:ascii="Verdana" w:eastAsia="Calibri" w:hAnsi="Verdana" w:cs="Arial"/>
          <w:color w:val="000000" w:themeColor="text1"/>
          <w:lang w:val="es-ES_tradnl"/>
        </w:rPr>
        <w:t>”</w:t>
      </w:r>
      <w:r w:rsidRPr="00A93432">
        <w:rPr>
          <w:rFonts w:ascii="Verdana" w:eastAsia="Calibri" w:hAnsi="Verdana" w:cs="Arial"/>
          <w:color w:val="000000" w:themeColor="text1"/>
          <w:lang w:val="es-ES_tradnl"/>
        </w:rPr>
        <w:t xml:space="preserve"> –numeral 5 del artículo 3 de la Ley 1437 de 2011–. En desarrollo de esta directriz, </w:t>
      </w:r>
      <w:bookmarkStart w:id="6" w:name="_Hlk36672204"/>
      <w:r w:rsidRPr="00A93432">
        <w:rPr>
          <w:rFonts w:ascii="Verdana" w:eastAsia="Calibri" w:hAnsi="Verdana" w:cs="Arial"/>
          <w:color w:val="000000" w:themeColor="text1"/>
          <w:lang w:val="es-ES_tradnl"/>
        </w:rPr>
        <w:t xml:space="preserve">el régimen de los </w:t>
      </w:r>
      <w:r w:rsidRPr="00A93432">
        <w:rPr>
          <w:rFonts w:ascii="Verdana" w:eastAsia="Calibri" w:hAnsi="Verdana" w:cs="Arial"/>
          <w:i/>
          <w:iCs/>
          <w:color w:val="000000" w:themeColor="text1"/>
          <w:lang w:val="es-ES_tradnl"/>
        </w:rPr>
        <w:t>conflictos de interés</w:t>
      </w:r>
      <w:r w:rsidRPr="00A93432">
        <w:rPr>
          <w:rFonts w:ascii="Verdana" w:eastAsia="Calibri"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 En este sentido, se definen como la </w:t>
      </w:r>
      <w:bookmarkStart w:id="7" w:name="_Hlk36668905"/>
      <w:r w:rsidRPr="00A93432">
        <w:rPr>
          <w:rFonts w:ascii="Verdana" w:eastAsia="Calibri" w:hAnsi="Verdana" w:cs="Arial"/>
          <w:color w:val="000000" w:themeColor="text1"/>
          <w:lang w:val="es-ES_tradnl"/>
        </w:rPr>
        <w:t>concurrencia de intereses antagónicos que afectan la transparencia de las decisiones, al implicar –en detrimento del interés general– el aprovechamiento personal, familiar o particular</w:t>
      </w:r>
      <w:bookmarkEnd w:id="6"/>
      <w:bookmarkEnd w:id="7"/>
      <w:r w:rsidRPr="00A93432">
        <w:rPr>
          <w:rStyle w:val="Refdenotaalpie"/>
          <w:rFonts w:ascii="Verdana" w:eastAsia="Calibri" w:hAnsi="Verdana" w:cs="Arial"/>
          <w:color w:val="000000" w:themeColor="text1"/>
          <w:lang w:val="es-ES_tradnl"/>
        </w:rPr>
        <w:footnoteReference w:id="6"/>
      </w:r>
      <w:r w:rsidRPr="00A93432">
        <w:rPr>
          <w:rFonts w:ascii="Verdana" w:eastAsia="Calibri" w:hAnsi="Verdana" w:cs="Arial"/>
          <w:color w:val="000000" w:themeColor="text1"/>
          <w:lang w:val="es-ES_tradnl"/>
        </w:rPr>
        <w:t>.</w:t>
      </w:r>
    </w:p>
    <w:p w14:paraId="13AC6F7E" w14:textId="77777777" w:rsidR="00436B89" w:rsidRDefault="00436B89" w:rsidP="00436B89">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r>
      <w:r w:rsidRPr="00176D26">
        <w:rPr>
          <w:rFonts w:ascii="Verdana" w:eastAsia="Calibri" w:hAnsi="Verdana" w:cs="Arial"/>
          <w:color w:val="000000" w:themeColor="text1"/>
          <w:lang w:val="es-ES_tradnl"/>
        </w:rPr>
        <w:t>La institución jurídica de los conflictos de interés no está definida con carácter general en el ordenamiento jurídico</w:t>
      </w:r>
      <w:r>
        <w:rPr>
          <w:rFonts w:ascii="Verdana" w:eastAsia="Calibri" w:hAnsi="Verdana" w:cs="Arial"/>
          <w:color w:val="000000" w:themeColor="text1"/>
          <w:lang w:val="es-ES_tradnl"/>
        </w:rPr>
        <w:t xml:space="preserve">; pero </w:t>
      </w:r>
      <w:r w:rsidRPr="00176D26">
        <w:rPr>
          <w:rFonts w:ascii="Verdana" w:eastAsia="Calibri" w:hAnsi="Verdana" w:cs="Arial"/>
          <w:color w:val="000000" w:themeColor="text1"/>
          <w:lang w:val="es-ES_tradnl"/>
        </w:rPr>
        <w:t>existen disposiciones especiales como el régimen de los congresistas, de los concejales o el régimen disciplinario de los servidores públicos, donde se definen causales de conflictos de interés</w:t>
      </w:r>
      <w:r>
        <w:rPr>
          <w:rFonts w:ascii="Verdana" w:eastAsia="Calibri" w:hAnsi="Verdana" w:cs="Arial"/>
          <w:color w:val="000000" w:themeColor="text1"/>
          <w:lang w:val="es-ES_tradnl"/>
        </w:rPr>
        <w:t xml:space="preserve">. Asimismo, </w:t>
      </w:r>
      <w:r w:rsidRPr="00176D26">
        <w:rPr>
          <w:rFonts w:ascii="Verdana" w:eastAsia="Calibri" w:hAnsi="Verdana" w:cs="Arial"/>
          <w:color w:val="000000" w:themeColor="text1"/>
          <w:lang w:val="es-ES_tradnl"/>
        </w:rPr>
        <w:t xml:space="preserve">la Ley 1437 de 2011 establece un régimen de </w:t>
      </w:r>
      <w:r>
        <w:rPr>
          <w:rFonts w:ascii="Verdana" w:eastAsia="Calibri" w:hAnsi="Verdana" w:cs="Arial"/>
          <w:color w:val="000000" w:themeColor="text1"/>
          <w:lang w:val="es-ES_tradnl"/>
        </w:rPr>
        <w:t>“</w:t>
      </w:r>
      <w:r w:rsidRPr="00176D26">
        <w:rPr>
          <w:rFonts w:ascii="Verdana" w:eastAsia="Calibri" w:hAnsi="Verdana" w:cs="Arial"/>
          <w:color w:val="000000" w:themeColor="text1"/>
          <w:lang w:val="es-ES_tradnl"/>
        </w:rPr>
        <w:t>conflictos de interés y causales de impedimento y recusación</w:t>
      </w:r>
      <w:r>
        <w:rPr>
          <w:rFonts w:ascii="Verdana" w:eastAsia="Calibri" w:hAnsi="Verdana" w:cs="Arial"/>
          <w:color w:val="000000" w:themeColor="text1"/>
          <w:lang w:val="es-ES_tradnl"/>
        </w:rPr>
        <w:t>”</w:t>
      </w:r>
      <w:r w:rsidRPr="00176D26">
        <w:rPr>
          <w:rFonts w:ascii="Verdana" w:eastAsia="Calibri" w:hAnsi="Verdana" w:cs="Arial"/>
          <w:color w:val="000000" w:themeColor="text1"/>
          <w:lang w:val="es-ES_tradnl"/>
        </w:rPr>
        <w:t xml:space="preserve"> –artículos 11 y 12–, que aplican en los procedimientos administrativos, en general, incluyendo los de selección de contratistas del Estado, </w:t>
      </w:r>
      <w:r>
        <w:rPr>
          <w:rFonts w:ascii="Verdana" w:eastAsia="Calibri" w:hAnsi="Verdana" w:cs="Arial"/>
          <w:color w:val="000000" w:themeColor="text1"/>
          <w:lang w:val="es-ES_tradnl"/>
        </w:rPr>
        <w:t xml:space="preserve">y </w:t>
      </w:r>
      <w:r w:rsidRPr="00176D26">
        <w:rPr>
          <w:rFonts w:ascii="Verdana" w:eastAsia="Calibri" w:hAnsi="Verdana" w:cs="Arial"/>
          <w:color w:val="000000" w:themeColor="text1"/>
          <w:lang w:val="es-ES_tradnl"/>
        </w:rPr>
        <w:t>están dirigidos a los servidores públicos que adelantan estas actuaciones en desarrollo de la actividad contractual de la entidad estatal de la cual hacen parte</w:t>
      </w:r>
      <w:r>
        <w:rPr>
          <w:rFonts w:ascii="Verdana" w:eastAsia="Calibri" w:hAnsi="Verdana" w:cs="Arial"/>
          <w:color w:val="000000" w:themeColor="text1"/>
          <w:lang w:val="es-ES_tradnl"/>
        </w:rPr>
        <w:t xml:space="preserve">. </w:t>
      </w:r>
    </w:p>
    <w:p w14:paraId="593DE939" w14:textId="77777777" w:rsidR="00436B89" w:rsidRDefault="00436B89" w:rsidP="679822E3">
      <w:pPr>
        <w:spacing w:after="120" w:line="276" w:lineRule="auto"/>
        <w:ind w:firstLine="708"/>
        <w:jc w:val="both"/>
        <w:rPr>
          <w:rFonts w:ascii="Verdana" w:eastAsia="Calibri" w:hAnsi="Verdana" w:cs="Arial"/>
          <w:color w:val="000000" w:themeColor="text1"/>
          <w:lang w:val="es-ES"/>
        </w:rPr>
      </w:pPr>
      <w:r w:rsidRPr="679822E3">
        <w:rPr>
          <w:rFonts w:ascii="Verdana" w:eastAsia="Calibri" w:hAnsi="Verdana" w:cs="Arial"/>
          <w:color w:val="000000" w:themeColor="text1"/>
          <w:lang w:val="es-ES"/>
        </w:rPr>
        <w:t xml:space="preserve">Para estos efectos, conforme al inciso primero del artículo 77 de la Ley 80 de 1993, es necesario tener en cuenta que “En cuanto sean compatibles con la finalidad y los principios de esta ley, las normas que rigen los procedimientos y actuaciones en la función administrativa, serán aplicables en las actuaciones contractuales […]”. Luego, en caso de presentarse alguna de las causales establecidas en el artículo 11 del Código de Procedimiento Administrativo o de lo Contencioso Administrativo, corresponde aplicar el trámite establecido en el artículo 12 de la misma ley. El acatamiento de estas normas es obligatorio para todos los servidores públicos involucrados en la gestión contractual de las entidades estatales; razón por la cual, sujetan tanto la actuación del delegante </w:t>
      </w:r>
      <w:r w:rsidRPr="679822E3">
        <w:rPr>
          <w:rFonts w:ascii="Verdana" w:eastAsia="Calibri" w:hAnsi="Verdana" w:cs="Arial"/>
          <w:color w:val="000000" w:themeColor="text1"/>
          <w:lang w:val="es-ES"/>
        </w:rPr>
        <w:lastRenderedPageBreak/>
        <w:t xml:space="preserve">como del delegatario, sin perjuicio del deber de control y vigilancia del primero sobre el segundo. </w:t>
      </w:r>
    </w:p>
    <w:p w14:paraId="37290F3E" w14:textId="77777777" w:rsidR="00436B89" w:rsidRPr="006C217A" w:rsidRDefault="00436B89" w:rsidP="00436B89">
      <w:pPr>
        <w:spacing w:after="120" w:line="276" w:lineRule="auto"/>
        <w:ind w:firstLine="708"/>
        <w:jc w:val="both"/>
        <w:rPr>
          <w:rFonts w:ascii="Verdana" w:eastAsia="Calibri" w:hAnsi="Verdana" w:cs="Arial"/>
          <w:color w:val="000000" w:themeColor="text1"/>
        </w:rPr>
      </w:pPr>
      <w:r w:rsidRPr="006C217A">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D3A87B4" w14:textId="77777777" w:rsidR="00436B89" w:rsidRPr="006C217A" w:rsidRDefault="00436B89" w:rsidP="00436B89">
      <w:pPr>
        <w:spacing w:after="0" w:line="276" w:lineRule="auto"/>
        <w:ind w:firstLine="708"/>
        <w:jc w:val="both"/>
        <w:rPr>
          <w:rFonts w:ascii="Verdana" w:eastAsia="Calibri" w:hAnsi="Verdana" w:cs="Arial"/>
          <w:color w:val="000000" w:themeColor="text1"/>
        </w:rPr>
      </w:pPr>
      <w:r w:rsidRPr="006C217A">
        <w:rPr>
          <w:rFonts w:ascii="Arial" w:eastAsia="Calibri" w:hAnsi="Arial" w:cs="Arial"/>
          <w:color w:val="000000" w:themeColor="text1"/>
        </w:rPr>
        <w:t>​</w:t>
      </w:r>
      <w:r w:rsidRPr="006C217A">
        <w:rPr>
          <w:rFonts w:ascii="Verdana" w:eastAsia="Calibri"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eastAsia="Calibri" w:hAnsi="Verdana" w:cs="Arial"/>
          <w:color w:val="000000" w:themeColor="text1"/>
        </w:rPr>
        <w:t xml:space="preserve"> De esta manera, en el marco de la acción penal, corresponde a los fiscales y los jueces determinar si la conducta indicada en la solicitud es constitutiva o no de prevaricato, pues esta entidad carece de atribuciones para establecer la responsabilidad en la presunta comisión de conductas punibles.</w:t>
      </w:r>
    </w:p>
    <w:p w14:paraId="0974D77D" w14:textId="77777777" w:rsidR="00436B89" w:rsidRPr="00564F1B" w:rsidRDefault="00436B89" w:rsidP="00436B89">
      <w:pPr>
        <w:spacing w:after="0" w:line="276" w:lineRule="auto"/>
        <w:jc w:val="both"/>
        <w:rPr>
          <w:rFonts w:ascii="Arial" w:eastAsia="Calibri" w:hAnsi="Arial" w:cs="Arial"/>
          <w:color w:val="000000" w:themeColor="text1"/>
          <w:lang w:val="es-ES_tradnl"/>
        </w:rPr>
      </w:pPr>
      <w:r w:rsidRPr="00DD176C">
        <w:rPr>
          <w:rFonts w:ascii="Arial" w:eastAsia="Calibri" w:hAnsi="Arial" w:cs="Arial"/>
          <w:color w:val="000000" w:themeColor="text1"/>
          <w:lang w:val="es-ES_tradnl"/>
        </w:rPr>
        <w:tab/>
      </w:r>
    </w:p>
    <w:p w14:paraId="627B9ABE" w14:textId="77777777" w:rsidR="00436B89" w:rsidRPr="00593A5F" w:rsidRDefault="00436B89" w:rsidP="00436B8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AEC5E0A" w14:textId="77777777" w:rsidR="00436B89" w:rsidRPr="00593A5F" w:rsidRDefault="00436B89" w:rsidP="00436B8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36B89" w:rsidRPr="002407CE" w14:paraId="5E17D22A" w14:textId="77777777" w:rsidTr="006626CB">
        <w:trPr>
          <w:trHeight w:val="56"/>
          <w:jc w:val="center"/>
        </w:trPr>
        <w:tc>
          <w:tcPr>
            <w:tcW w:w="8647" w:type="dxa"/>
          </w:tcPr>
          <w:p w14:paraId="18E07882" w14:textId="77777777" w:rsidR="00436B89" w:rsidRDefault="00436B89" w:rsidP="00436B8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w:t>
            </w:r>
            <w:r w:rsidRPr="00B87E7A">
              <w:rPr>
                <w:rFonts w:ascii="Verdana" w:hAnsi="Verdana" w:cs="Arial"/>
              </w:rPr>
              <w:t>Ley</w:t>
            </w:r>
            <w:r>
              <w:rPr>
                <w:rFonts w:ascii="Verdana" w:hAnsi="Verdana" w:cs="Arial"/>
              </w:rPr>
              <w:t xml:space="preserve"> 4170 de 2011, artículos 1 y 3.</w:t>
            </w:r>
            <w:r w:rsidRPr="00B87E7A">
              <w:rPr>
                <w:rFonts w:ascii="Verdana" w:hAnsi="Verdana" w:cs="Arial"/>
              </w:rPr>
              <w:t xml:space="preserve"> </w:t>
            </w:r>
          </w:p>
          <w:p w14:paraId="767BC2A7" w14:textId="77777777" w:rsidR="00436B89" w:rsidRDefault="00436B89" w:rsidP="00436B8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210 de 2003, artículos 2 y 10.</w:t>
            </w:r>
          </w:p>
          <w:p w14:paraId="04E7800D" w14:textId="77777777" w:rsidR="00436B89" w:rsidRDefault="00436B89" w:rsidP="00436B89">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1082 de 2015</w:t>
            </w:r>
            <w:r w:rsidRPr="00754D53">
              <w:rPr>
                <w:rFonts w:ascii="Verdana" w:hAnsi="Verdana" w:cs="Arial"/>
              </w:rPr>
              <w:t xml:space="preserve">, artículo </w:t>
            </w:r>
            <w:r w:rsidRPr="00B548BF">
              <w:rPr>
                <w:rFonts w:ascii="Verdana" w:hAnsi="Verdana" w:cs="Arial"/>
              </w:rPr>
              <w:t>2.2.1.2.4.1.1</w:t>
            </w:r>
            <w:r w:rsidRPr="00754D53">
              <w:rPr>
                <w:rFonts w:ascii="Verdana" w:hAnsi="Verdana" w:cs="Arial"/>
              </w:rPr>
              <w:t>.</w:t>
            </w:r>
          </w:p>
          <w:p w14:paraId="40281E1B" w14:textId="77777777" w:rsidR="00436B89" w:rsidRPr="00B87E7A" w:rsidRDefault="00436B89" w:rsidP="00436B8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A47393">
              <w:rPr>
                <w:rFonts w:ascii="Verdana" w:hAnsi="Verdana" w:cs="Arial"/>
              </w:rPr>
              <w:t xml:space="preserve">Manual para manejo de los Acuerdos Comerciales en Procesos de Contratación expedido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2" w:history="1">
              <w:r w:rsidRPr="00137495">
                <w:rPr>
                  <w:rStyle w:val="Hipervnculo"/>
                  <w:rFonts w:ascii="Verdana" w:hAnsi="Verdana" w:cs="Arial"/>
                </w:rPr>
                <w:t>https://www.colombiacompra.gov.co/archivos/manual/manual-para-el-manejo-de-los-acuerdos-comerciales-en-procesos-de-contratacion</w:t>
              </w:r>
            </w:hyperlink>
            <w:r>
              <w:rPr>
                <w:rFonts w:ascii="Verdana" w:hAnsi="Verdana" w:cs="Arial"/>
              </w:rPr>
              <w:t xml:space="preserve"> </w:t>
            </w:r>
          </w:p>
        </w:tc>
      </w:tr>
    </w:tbl>
    <w:p w14:paraId="52E685B9" w14:textId="77777777" w:rsidR="00436B89" w:rsidRPr="002407CE" w:rsidRDefault="00436B89" w:rsidP="00436B89">
      <w:pPr>
        <w:widowControl w:val="0"/>
        <w:autoSpaceDE w:val="0"/>
        <w:autoSpaceDN w:val="0"/>
        <w:spacing w:after="0" w:line="276" w:lineRule="auto"/>
        <w:jc w:val="both"/>
        <w:rPr>
          <w:rFonts w:ascii="Verdana" w:hAnsi="Verdana" w:cs="Arial"/>
        </w:rPr>
      </w:pPr>
    </w:p>
    <w:p w14:paraId="70A4FCB2" w14:textId="77777777" w:rsidR="00436B89" w:rsidRPr="00593A5F" w:rsidRDefault="00436B89" w:rsidP="00436B8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47F277D" w14:textId="77777777" w:rsidR="00436B89" w:rsidRPr="00593A5F" w:rsidRDefault="00436B89" w:rsidP="00436B89">
      <w:pPr>
        <w:widowControl w:val="0"/>
        <w:autoSpaceDE w:val="0"/>
        <w:autoSpaceDN w:val="0"/>
        <w:spacing w:after="0" w:line="276" w:lineRule="auto"/>
        <w:jc w:val="both"/>
        <w:rPr>
          <w:rFonts w:ascii="Verdana" w:hAnsi="Verdana" w:cs="Arial"/>
        </w:rPr>
      </w:pPr>
    </w:p>
    <w:p w14:paraId="1D1A8C67" w14:textId="77777777" w:rsidR="00436B89" w:rsidRPr="00ED0098" w:rsidRDefault="00436B89" w:rsidP="00436B89">
      <w:pPr>
        <w:widowControl w:val="0"/>
        <w:autoSpaceDE w:val="0"/>
        <w:autoSpaceDN w:val="0"/>
        <w:spacing w:after="0" w:line="276" w:lineRule="auto"/>
        <w:jc w:val="both"/>
        <w:rPr>
          <w:rStyle w:val="normaltextrun"/>
          <w:rFonts w:ascii="Verdana" w:hAnsi="Verdana" w:cs="Arial"/>
          <w:shd w:val="clear" w:color="auto" w:fill="FFFFFF"/>
        </w:rPr>
      </w:pPr>
      <w:r w:rsidRPr="00E278D2">
        <w:rPr>
          <w:rStyle w:val="normaltextrun"/>
          <w:rFonts w:ascii="Verdana" w:hAnsi="Verdana" w:cs="Arial"/>
          <w:shd w:val="clear" w:color="auto" w:fill="FFFFFF"/>
        </w:rPr>
        <w:t>Est</w:t>
      </w:r>
      <w:r>
        <w:rPr>
          <w:rStyle w:val="normaltextrun"/>
          <w:rFonts w:ascii="Verdana" w:hAnsi="Verdana" w:cs="Arial"/>
          <w:shd w:val="clear" w:color="auto" w:fill="FFFFFF"/>
        </w:rPr>
        <w:t>e</w:t>
      </w:r>
      <w:r w:rsidRPr="00E278D2">
        <w:rPr>
          <w:rStyle w:val="normaltextrun"/>
          <w:rFonts w:ascii="Verdana" w:hAnsi="Verdana" w:cs="Arial"/>
          <w:shd w:val="clear" w:color="auto" w:fill="FFFFFF"/>
        </w:rPr>
        <w:t xml:space="preserve"> y otros conceptos</w:t>
      </w:r>
      <w:r>
        <w:rPr>
          <w:rStyle w:val="normaltextrun"/>
          <w:rFonts w:ascii="Verdana" w:hAnsi="Verdana" w:cs="Arial"/>
          <w:shd w:val="clear" w:color="auto" w:fill="FFFFFF"/>
        </w:rPr>
        <w:t xml:space="preserve"> de la Subdirección</w:t>
      </w:r>
      <w:r w:rsidRPr="00E278D2">
        <w:rPr>
          <w:rStyle w:val="normaltextrun"/>
          <w:rFonts w:ascii="Verdana" w:hAnsi="Verdana" w:cs="Arial"/>
          <w:shd w:val="clear" w:color="auto" w:fill="FFFFFF"/>
        </w:rPr>
        <w:t xml:space="preserve">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E89026B" w14:textId="77777777" w:rsidR="00436B89" w:rsidRPr="00096788" w:rsidRDefault="00436B89" w:rsidP="00436B89">
      <w:pPr>
        <w:widowControl w:val="0"/>
        <w:autoSpaceDE w:val="0"/>
        <w:autoSpaceDN w:val="0"/>
        <w:spacing w:after="0" w:line="276" w:lineRule="auto"/>
        <w:jc w:val="both"/>
        <w:rPr>
          <w:rFonts w:ascii="Verdana" w:hAnsi="Verdana" w:cs="Arial"/>
          <w:color w:val="000000" w:themeColor="text1"/>
          <w:shd w:val="clear" w:color="auto" w:fill="FFFFFF"/>
        </w:rPr>
      </w:pPr>
    </w:p>
    <w:p w14:paraId="092E82CA" w14:textId="77777777" w:rsidR="00436B89" w:rsidRDefault="00436B89" w:rsidP="00436B8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585C3089" w14:textId="77777777" w:rsidR="00436B89" w:rsidRPr="009A385A" w:rsidRDefault="00436B89" w:rsidP="00436B89">
      <w:pPr>
        <w:spacing w:after="0"/>
        <w:jc w:val="both"/>
        <w:rPr>
          <w:rFonts w:ascii="Verdana" w:hAnsi="Verdana"/>
        </w:rPr>
      </w:pPr>
    </w:p>
    <w:p w14:paraId="63BED79A" w14:textId="77777777" w:rsidR="00436B89" w:rsidRDefault="00436B89" w:rsidP="00436B8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2B621500" w14:textId="77777777" w:rsidR="00436B89" w:rsidRDefault="00436B89" w:rsidP="00436B89">
      <w:pPr>
        <w:spacing w:after="0"/>
        <w:jc w:val="both"/>
        <w:rPr>
          <w:rFonts w:ascii="Verdana" w:hAnsi="Verdana"/>
        </w:rPr>
      </w:pPr>
    </w:p>
    <w:p w14:paraId="6CCC639C" w14:textId="77777777" w:rsidR="00436B89" w:rsidRPr="008E1CD7" w:rsidRDefault="00436B89" w:rsidP="00436B8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w:t>
        </w:r>
        <w:r w:rsidRPr="009A385A">
          <w:rPr>
            <w:rStyle w:val="Hipervnculo"/>
            <w:rFonts w:ascii="Verdana" w:hAnsi="Verdana"/>
          </w:rPr>
          <w:lastRenderedPageBreak/>
          <w:t>comprension-e-implementacion-de-los-documentos-tipo-de-obra-publica-de-infraestructura-de-transporte-bajo-las-diferentes-modalidades-de-contratacion-vigentes</w:t>
        </w:r>
      </w:hyperlink>
    </w:p>
    <w:p w14:paraId="781643DD" w14:textId="77777777" w:rsidR="00436B89" w:rsidRDefault="00436B89" w:rsidP="00436B89">
      <w:pPr>
        <w:shd w:val="clear" w:color="auto" w:fill="FFFFFF"/>
        <w:spacing w:after="0" w:line="276" w:lineRule="auto"/>
        <w:jc w:val="both"/>
        <w:rPr>
          <w:rFonts w:ascii="Verdana" w:hAnsi="Verdana"/>
          <w:color w:val="000000"/>
          <w:u w:val="single"/>
        </w:rPr>
      </w:pPr>
    </w:p>
    <w:p w14:paraId="09368095" w14:textId="77777777" w:rsidR="00436B89" w:rsidRPr="00116940" w:rsidRDefault="00436B89" w:rsidP="00436B8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AEF7B05" w14:textId="77777777" w:rsidR="00436B89" w:rsidRPr="00116940" w:rsidRDefault="00436B89" w:rsidP="00436B89">
      <w:pPr>
        <w:spacing w:after="0"/>
        <w:jc w:val="both"/>
        <w:rPr>
          <w:rFonts w:ascii="Verdana" w:hAnsi="Verdana"/>
        </w:rPr>
      </w:pPr>
    </w:p>
    <w:p w14:paraId="204F2CB6" w14:textId="77777777" w:rsidR="00436B89" w:rsidRPr="00116940" w:rsidRDefault="00436B89" w:rsidP="00436B89">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872F6F2" w14:textId="77777777" w:rsidR="00436B89" w:rsidRPr="00116940" w:rsidRDefault="00436B89" w:rsidP="00436B89">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D785791" w14:textId="77777777" w:rsidR="00436B89" w:rsidRPr="00116940" w:rsidRDefault="00436B89" w:rsidP="00436B8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CC40B40" w14:textId="77777777" w:rsidR="00436B89" w:rsidRPr="00116940" w:rsidRDefault="00436B89" w:rsidP="00436B89">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67F06B37" w14:textId="77777777" w:rsidR="00436B89" w:rsidRPr="00116940" w:rsidRDefault="00436B89" w:rsidP="00436B89">
      <w:pPr>
        <w:spacing w:after="0" w:line="240" w:lineRule="auto"/>
        <w:ind w:left="720"/>
        <w:jc w:val="both"/>
        <w:rPr>
          <w:rFonts w:ascii="Verdana" w:hAnsi="Verdana"/>
        </w:rPr>
      </w:pPr>
    </w:p>
    <w:p w14:paraId="0D4E1C70" w14:textId="77777777" w:rsidR="00436B89" w:rsidRPr="00116940" w:rsidRDefault="00436B89" w:rsidP="00436B89">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8A5A70B" w14:textId="77777777" w:rsidR="00436B89" w:rsidRPr="00116940" w:rsidRDefault="00436B89" w:rsidP="00436B89">
      <w:pPr>
        <w:spacing w:after="0" w:line="240" w:lineRule="auto"/>
        <w:rPr>
          <w:rFonts w:ascii="Verdana" w:hAnsi="Verdana"/>
        </w:rPr>
      </w:pPr>
    </w:p>
    <w:p w14:paraId="560606DE" w14:textId="77777777" w:rsidR="00436B89" w:rsidRPr="00116940" w:rsidRDefault="00436B89" w:rsidP="00436B89">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042637E" w14:textId="77777777" w:rsidR="00436B89" w:rsidRPr="00116940" w:rsidRDefault="00436B89" w:rsidP="00436B89">
      <w:pPr>
        <w:spacing w:after="0" w:line="240" w:lineRule="auto"/>
        <w:jc w:val="both"/>
        <w:rPr>
          <w:rFonts w:ascii="Verdana" w:hAnsi="Verdana"/>
        </w:rPr>
      </w:pPr>
    </w:p>
    <w:p w14:paraId="4DEFA161" w14:textId="77777777" w:rsidR="00436B89" w:rsidRPr="00116940" w:rsidRDefault="00436B89" w:rsidP="00436B8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D0EE073" w14:textId="77777777" w:rsidR="00436B89" w:rsidRPr="00116940" w:rsidRDefault="00436B89" w:rsidP="00436B8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EC5904B" w14:textId="77777777" w:rsidR="00436B89" w:rsidRPr="00116940" w:rsidRDefault="00436B89" w:rsidP="00436B8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C3D521B" w14:textId="77777777" w:rsidR="00436B89" w:rsidRPr="009C4035" w:rsidRDefault="00436B89" w:rsidP="00436B89">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783ACE1" w14:textId="77777777" w:rsidR="00436B89" w:rsidRPr="00593A5F" w:rsidRDefault="00436B89" w:rsidP="00436B8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18BE9C3" w14:textId="77777777" w:rsidR="00436B89" w:rsidRPr="00593A5F" w:rsidRDefault="00436B89" w:rsidP="00436B89">
      <w:pPr>
        <w:widowControl w:val="0"/>
        <w:autoSpaceDE w:val="0"/>
        <w:autoSpaceDN w:val="0"/>
        <w:spacing w:after="0" w:line="276" w:lineRule="auto"/>
        <w:jc w:val="both"/>
        <w:rPr>
          <w:rFonts w:ascii="Verdana" w:hAnsi="Verdana" w:cs="Arial"/>
        </w:rPr>
      </w:pPr>
    </w:p>
    <w:p w14:paraId="5F93B641" w14:textId="77777777" w:rsidR="00436B89" w:rsidRPr="00593A5F" w:rsidRDefault="00436B89" w:rsidP="00436B8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0C3C257" w14:textId="24581330" w:rsidR="00436B89" w:rsidRPr="00593A5F" w:rsidRDefault="00EC3A97" w:rsidP="00436B89">
      <w:pPr>
        <w:spacing w:line="276" w:lineRule="auto"/>
        <w:jc w:val="center"/>
        <w:rPr>
          <w:rFonts w:ascii="Verdana" w:hAnsi="Verdana" w:cs="Arial"/>
          <w:color w:val="000000"/>
          <w:lang w:val="es-ES_tradnl" w:eastAsia="es-CO"/>
        </w:rPr>
      </w:pPr>
      <w:r>
        <w:rPr>
          <w:noProof/>
        </w:rPr>
        <w:lastRenderedPageBreak/>
        <w:drawing>
          <wp:inline distT="0" distB="0" distL="0" distR="0" wp14:anchorId="61E4CE4F" wp14:editId="21CB9D8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6B89" w:rsidRPr="00593A5F" w14:paraId="7AADD1DD" w14:textId="77777777" w:rsidTr="006626CB">
        <w:trPr>
          <w:trHeight w:val="315"/>
        </w:trPr>
        <w:tc>
          <w:tcPr>
            <w:tcW w:w="893" w:type="dxa"/>
            <w:vAlign w:val="center"/>
            <w:hideMark/>
          </w:tcPr>
          <w:p w14:paraId="31035E92" w14:textId="77777777" w:rsidR="00436B89" w:rsidRPr="003751C7" w:rsidRDefault="00436B89" w:rsidP="006626C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4FCE25" w14:textId="77777777" w:rsidR="00436B89" w:rsidRPr="00254A7A" w:rsidRDefault="00436B89" w:rsidP="006626C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5A449BE" w14:textId="77777777" w:rsidR="00436B89" w:rsidRPr="00254A7A" w:rsidRDefault="00436B89" w:rsidP="006626C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36B89" w:rsidRPr="00593A5F" w14:paraId="49FB0779" w14:textId="77777777" w:rsidTr="006626CB">
        <w:trPr>
          <w:trHeight w:val="330"/>
        </w:trPr>
        <w:tc>
          <w:tcPr>
            <w:tcW w:w="893" w:type="dxa"/>
            <w:vAlign w:val="center"/>
            <w:hideMark/>
          </w:tcPr>
          <w:p w14:paraId="7959154D" w14:textId="77777777" w:rsidR="00436B89" w:rsidRPr="003751C7" w:rsidRDefault="00436B89" w:rsidP="006626C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931B23" w14:textId="77777777" w:rsidR="00436B89" w:rsidRPr="00A40FD0" w:rsidRDefault="00436B89" w:rsidP="006626CB">
            <w:pPr>
              <w:pStyle w:val="paragraph"/>
              <w:spacing w:after="0"/>
              <w:contextualSpacing/>
              <w:textAlignment w:val="baseline"/>
              <w:rPr>
                <w:rStyle w:val="normaltextrun"/>
                <w:rFonts w:ascii="Verdana" w:hAnsi="Verdana" w:cs="Arial"/>
                <w:sz w:val="16"/>
                <w:szCs w:val="16"/>
                <w:lang w:val="es-ES_tradnl"/>
              </w:rPr>
            </w:pPr>
            <w:r w:rsidRPr="00A40FD0">
              <w:rPr>
                <w:rStyle w:val="normaltextrun"/>
                <w:rFonts w:ascii="Verdana" w:hAnsi="Verdana" w:cs="Arial"/>
                <w:sz w:val="16"/>
                <w:szCs w:val="16"/>
                <w:lang w:val="es-ES_tradnl"/>
              </w:rPr>
              <w:t>Diana Lucia Saavedra Castañeda</w:t>
            </w:r>
          </w:p>
          <w:p w14:paraId="4B850AC5" w14:textId="77777777" w:rsidR="00436B89" w:rsidRPr="00A40FD0" w:rsidRDefault="00436B89" w:rsidP="006626CB">
            <w:pPr>
              <w:pStyle w:val="paragraph"/>
              <w:spacing w:before="0" w:beforeAutospacing="0" w:after="0" w:afterAutospacing="0"/>
              <w:contextualSpacing/>
              <w:textAlignment w:val="baseline"/>
              <w:rPr>
                <w:rFonts w:ascii="Verdana" w:hAnsi="Verdana" w:cs="Segoe UI"/>
                <w:sz w:val="16"/>
                <w:szCs w:val="16"/>
              </w:rPr>
            </w:pPr>
            <w:r w:rsidRPr="00A40FD0">
              <w:rPr>
                <w:rStyle w:val="normaltextrun"/>
                <w:rFonts w:ascii="Verdana" w:hAnsi="Verdana" w:cs="Arial"/>
                <w:sz w:val="16"/>
                <w:szCs w:val="16"/>
                <w:lang w:val="es-ES_tradnl"/>
              </w:rPr>
              <w:t>Contratista de la Subdirección de Gestión Contractual</w:t>
            </w:r>
          </w:p>
        </w:tc>
      </w:tr>
      <w:tr w:rsidR="00436B89" w:rsidRPr="00593A5F" w14:paraId="3DB5717E" w14:textId="77777777" w:rsidTr="006626CB">
        <w:trPr>
          <w:trHeight w:val="300"/>
        </w:trPr>
        <w:tc>
          <w:tcPr>
            <w:tcW w:w="893" w:type="dxa"/>
            <w:vAlign w:val="center"/>
          </w:tcPr>
          <w:p w14:paraId="3E5A99FA" w14:textId="77777777" w:rsidR="00436B89" w:rsidRPr="003751C7" w:rsidRDefault="00436B89" w:rsidP="006626C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4D1F0AD" w14:textId="77777777" w:rsidR="00436B89" w:rsidRPr="00FE00BE" w:rsidRDefault="00436B89" w:rsidP="006626C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750AE30D" w14:textId="77777777" w:rsidR="00436B89" w:rsidRPr="00FE00BE" w:rsidRDefault="00436B89" w:rsidP="006626C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74CFCDB4" w14:textId="77777777" w:rsidR="00436B89" w:rsidRDefault="00436B89" w:rsidP="00436B89"/>
    <w:p w14:paraId="631377E9" w14:textId="40519174" w:rsidR="00436B89" w:rsidRPr="00543BFE" w:rsidRDefault="00436B89" w:rsidP="00436B89"/>
    <w:p w14:paraId="0F293BF4" w14:textId="37A3084F" w:rsidR="00127233" w:rsidRPr="00A93F56" w:rsidRDefault="00127233" w:rsidP="00A93F56"/>
    <w:sectPr w:rsidR="00127233" w:rsidRPr="00A93F5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D9C66" w14:textId="77777777" w:rsidR="00EE67BC" w:rsidRDefault="00EE67BC" w:rsidP="004A1847">
      <w:pPr>
        <w:spacing w:after="0" w:line="240" w:lineRule="auto"/>
      </w:pPr>
      <w:r>
        <w:separator/>
      </w:r>
    </w:p>
  </w:endnote>
  <w:endnote w:type="continuationSeparator" w:id="0">
    <w:p w14:paraId="722DB9A3" w14:textId="77777777" w:rsidR="00EE67BC" w:rsidRDefault="00EE67B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D9DAF" w14:textId="77777777" w:rsidR="00EE67BC" w:rsidRDefault="00EE67BC" w:rsidP="004A1847">
      <w:pPr>
        <w:spacing w:after="0" w:line="240" w:lineRule="auto"/>
      </w:pPr>
      <w:r>
        <w:separator/>
      </w:r>
    </w:p>
  </w:footnote>
  <w:footnote w:type="continuationSeparator" w:id="0">
    <w:p w14:paraId="61C53427" w14:textId="77777777" w:rsidR="00EE67BC" w:rsidRDefault="00EE67BC" w:rsidP="004A1847">
      <w:pPr>
        <w:spacing w:after="0" w:line="240" w:lineRule="auto"/>
      </w:pPr>
      <w:r>
        <w:continuationSeparator/>
      </w:r>
    </w:p>
  </w:footnote>
  <w:footnote w:id="1">
    <w:p w14:paraId="6E313A14"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Style w:val="Refdenotaalpie"/>
          <w:rFonts w:ascii="Verdana" w:hAnsi="Verdana"/>
          <w:sz w:val="16"/>
          <w:szCs w:val="16"/>
        </w:rPr>
        <w:footnoteRef/>
      </w:r>
      <w:r w:rsidRPr="00A93432">
        <w:rPr>
          <w:rFonts w:ascii="Verdana" w:hAnsi="Verdana"/>
          <w:sz w:val="16"/>
          <w:szCs w:val="16"/>
        </w:rPr>
        <w:t xml:space="preserve"> </w:t>
      </w:r>
      <w:r w:rsidRPr="00A93432">
        <w:rPr>
          <w:rFonts w:ascii="Verdana" w:eastAsia="Calibri" w:hAnsi="Verdana" w:cs="Arial"/>
          <w:sz w:val="16"/>
          <w:szCs w:val="16"/>
          <w:lang w:val="es-ES_tradnl"/>
        </w:rPr>
        <w:t>En lo pertinente, la norma dispone los siguiente: “En las entidades estatales a que se refiere el artículo 2°:”</w:t>
      </w:r>
    </w:p>
    <w:p w14:paraId="718E040E"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Fonts w:ascii="Verdana" w:eastAsia="Calibri" w:hAnsi="Verdana" w:cs="Arial"/>
          <w:sz w:val="16"/>
          <w:szCs w:val="16"/>
          <w:lang w:val="es-ES_tradnl"/>
        </w:rPr>
        <w:t>[…]</w:t>
      </w:r>
    </w:p>
    <w:p w14:paraId="703E716A"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Fonts w:ascii="Verdana" w:eastAsia="Calibri" w:hAnsi="Verdana" w:cs="Arial"/>
          <w:sz w:val="16"/>
          <w:szCs w:val="16"/>
          <w:lang w:val="es-ES_tradnl"/>
        </w:rPr>
        <w:t>3°. Tienen competencia para celebrar contratos a nombre de la entidad respectiva:”</w:t>
      </w:r>
    </w:p>
    <w:p w14:paraId="2691D1BE"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Fonts w:ascii="Verdana" w:eastAsia="Calibri" w:hAnsi="Verdana" w:cs="Arial"/>
          <w:sz w:val="16"/>
          <w:szCs w:val="16"/>
          <w:lang w:val="es-ES_tradnl"/>
        </w:rPr>
        <w:t>[…]</w:t>
      </w:r>
    </w:p>
    <w:p w14:paraId="43281E98"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Fonts w:ascii="Verdana" w:eastAsia="Calibri" w:hAnsi="Verdana" w:cs="Arial"/>
          <w:sz w:val="16"/>
          <w:szCs w:val="16"/>
          <w:lang w:val="es-ES_tradnl"/>
        </w:rPr>
        <w:t xml:space="preserve">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footnote>
  <w:footnote w:id="2">
    <w:p w14:paraId="752A8C60"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Style w:val="Refdenotaalpie"/>
          <w:rFonts w:ascii="Verdana" w:hAnsi="Verdana"/>
          <w:sz w:val="16"/>
          <w:szCs w:val="16"/>
        </w:rPr>
        <w:footnoteRef/>
      </w:r>
      <w:r w:rsidRPr="00A93432">
        <w:rPr>
          <w:rFonts w:ascii="Verdana" w:hAnsi="Verdana"/>
          <w:sz w:val="16"/>
          <w:szCs w:val="16"/>
        </w:rPr>
        <w:t xml:space="preserve"> </w:t>
      </w:r>
      <w:r w:rsidRPr="00A93432">
        <w:rPr>
          <w:rFonts w:ascii="Verdana" w:eastAsia="Calibri" w:hAnsi="Verdana" w:cs="Arial"/>
          <w:sz w:val="16"/>
          <w:szCs w:val="16"/>
          <w:lang w:val="es-ES_tradnl"/>
        </w:rPr>
        <w:t>La norma prescribe que “La ley señalará las funciones que el Presidente de la República podrá delegar en los ministros, directores de departamentos administrativos, representantes legales de entidades descentralizadas, superintendentes, gobernadores, alcaldes y agencias del Estado que la misma ley determine. Igualmente, fijará las condiciones para que las autoridades administrativas puedan delegar en sus subalternos o en otras autoridades”.</w:t>
      </w:r>
    </w:p>
    <w:p w14:paraId="7C5832F0"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Fonts w:ascii="Verdana" w:eastAsia="Calibri" w:hAnsi="Verdana" w:cs="Arial"/>
          <w:sz w:val="16"/>
          <w:szCs w:val="16"/>
          <w:lang w:val="es-ES_tradnl"/>
        </w:rPr>
        <w:t>La delegación exime de responsabilidad al delegante, la cual corresponderá exclusivamente al delegatario, cuyos actos o resoluciones podrá siempre reformar o revocar aquel, reasumiendo la responsabilidad consiguiente”.</w:t>
      </w:r>
    </w:p>
  </w:footnote>
  <w:footnote w:id="3">
    <w:p w14:paraId="5EA708F6"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Style w:val="Refdenotaalpie"/>
          <w:rFonts w:ascii="Verdana" w:hAnsi="Verdana"/>
          <w:sz w:val="16"/>
          <w:szCs w:val="16"/>
        </w:rPr>
        <w:footnoteRef/>
      </w:r>
      <w:r w:rsidRPr="00A93432">
        <w:rPr>
          <w:rFonts w:ascii="Verdana" w:hAnsi="Verdana"/>
          <w:sz w:val="16"/>
          <w:szCs w:val="16"/>
        </w:rPr>
        <w:t xml:space="preserve"> </w:t>
      </w:r>
      <w:r w:rsidRPr="00A93432">
        <w:rPr>
          <w:rFonts w:ascii="Verdana" w:eastAsia="Calibri" w:hAnsi="Verdana" w:cs="Arial"/>
          <w:sz w:val="16"/>
          <w:szCs w:val="16"/>
          <w:lang w:val="es-ES_tradnl"/>
        </w:rPr>
        <w:t xml:space="preserve">Cfr. CORTE CONSTITUCIONAL. Sentencia C-372 de 2002. M.P. Jaime Córdoba Triviño. </w:t>
      </w:r>
    </w:p>
  </w:footnote>
  <w:footnote w:id="4">
    <w:p w14:paraId="490FB53C" w14:textId="77777777" w:rsidR="00436B89" w:rsidRPr="00A93432" w:rsidRDefault="00436B89" w:rsidP="00436B89">
      <w:pPr>
        <w:pStyle w:val="Textonotapie"/>
        <w:ind w:firstLine="708"/>
        <w:jc w:val="both"/>
        <w:rPr>
          <w:rFonts w:ascii="Verdana" w:eastAsia="Calibri" w:hAnsi="Verdana" w:cs="Arial"/>
          <w:sz w:val="16"/>
          <w:szCs w:val="16"/>
          <w:lang w:val="es-ES_tradnl"/>
        </w:rPr>
      </w:pPr>
      <w:r w:rsidRPr="00A93432">
        <w:rPr>
          <w:rStyle w:val="Refdenotaalpie"/>
          <w:rFonts w:ascii="Verdana" w:hAnsi="Verdana"/>
          <w:sz w:val="16"/>
          <w:szCs w:val="16"/>
        </w:rPr>
        <w:footnoteRef/>
      </w:r>
      <w:r w:rsidRPr="00A93432">
        <w:rPr>
          <w:rFonts w:ascii="Verdana" w:hAnsi="Verdana"/>
          <w:sz w:val="16"/>
          <w:szCs w:val="16"/>
        </w:rPr>
        <w:t xml:space="preserve"> </w:t>
      </w:r>
      <w:r w:rsidRPr="00A93432">
        <w:rPr>
          <w:rFonts w:ascii="Verdana" w:eastAsia="Calibri" w:hAnsi="Verdana" w:cs="Arial"/>
          <w:sz w:val="16"/>
          <w:szCs w:val="16"/>
          <w:lang w:val="es-ES_tradnl"/>
        </w:rPr>
        <w:t>CORTE CONSTITUCIONAL. Sentencia C-693 de 2008. M.P. Marco Gerardo Monroy Cabra.</w:t>
      </w:r>
    </w:p>
  </w:footnote>
  <w:footnote w:id="5">
    <w:p w14:paraId="7AA89FE7" w14:textId="77777777" w:rsidR="00436B89" w:rsidRPr="00A93432" w:rsidRDefault="00436B89" w:rsidP="00436B89">
      <w:pPr>
        <w:pStyle w:val="Textonotapie"/>
        <w:ind w:firstLine="708"/>
        <w:rPr>
          <w:rFonts w:ascii="Verdana" w:eastAsia="Calibri" w:hAnsi="Verdana" w:cs="Arial"/>
          <w:sz w:val="16"/>
          <w:szCs w:val="16"/>
          <w:lang w:val="es-ES_tradnl"/>
        </w:rPr>
      </w:pPr>
      <w:r w:rsidRPr="00A93432">
        <w:rPr>
          <w:rStyle w:val="Refdenotaalpie"/>
          <w:rFonts w:ascii="Verdana" w:hAnsi="Verdana"/>
          <w:sz w:val="16"/>
          <w:szCs w:val="16"/>
        </w:rPr>
        <w:footnoteRef/>
      </w:r>
      <w:r w:rsidRPr="00A93432">
        <w:rPr>
          <w:rFonts w:ascii="Verdana" w:hAnsi="Verdana"/>
          <w:sz w:val="16"/>
          <w:szCs w:val="16"/>
        </w:rPr>
        <w:t xml:space="preserve"> </w:t>
      </w:r>
      <w:r w:rsidRPr="00A93432">
        <w:rPr>
          <w:rFonts w:ascii="Verdana" w:eastAsia="Calibri" w:hAnsi="Verdana" w:cs="Arial"/>
          <w:sz w:val="16"/>
          <w:szCs w:val="16"/>
          <w:lang w:val="es-ES_tradnl"/>
        </w:rPr>
        <w:t>CORTE CONSTITUCIONAL. Sentencia C-382 de 2000. M.P. Antonio Barrera Carbonell.</w:t>
      </w:r>
    </w:p>
  </w:footnote>
  <w:footnote w:id="6">
    <w:p w14:paraId="320B4A58" w14:textId="77777777" w:rsidR="00436B89" w:rsidRPr="00A93432" w:rsidRDefault="00436B89" w:rsidP="00436B89">
      <w:pPr>
        <w:pStyle w:val="Textonotapie"/>
        <w:ind w:firstLine="708"/>
        <w:jc w:val="both"/>
        <w:rPr>
          <w:rFonts w:ascii="Verdana" w:hAnsi="Verdana" w:cs="Arial"/>
          <w:color w:val="000000" w:themeColor="text1"/>
          <w:sz w:val="16"/>
          <w:szCs w:val="16"/>
        </w:rPr>
      </w:pPr>
      <w:r w:rsidRPr="00A93432">
        <w:rPr>
          <w:rStyle w:val="Refdenotaalpie"/>
          <w:rFonts w:ascii="Verdana" w:hAnsi="Verdana" w:cs="Arial"/>
          <w:color w:val="000000" w:themeColor="text1"/>
          <w:sz w:val="16"/>
          <w:szCs w:val="16"/>
        </w:rPr>
        <w:footnoteRef/>
      </w:r>
      <w:r w:rsidRPr="00A93432">
        <w:rPr>
          <w:rFonts w:ascii="Verdana" w:hAnsi="Verdana" w:cs="Arial"/>
          <w:color w:val="000000" w:themeColor="text1"/>
          <w:sz w:val="16"/>
          <w:szCs w:val="16"/>
        </w:rPr>
        <w:t xml:space="preserve"> CONSEJO DE ESTADO. Sala de Consulta y de Servicio Civil. Concepto del 23 de marzo de 2011. Rad. 2.045. C.P. Enrique José Arboleda Perdomo.</w:t>
      </w:r>
      <w:r>
        <w:rPr>
          <w:rFonts w:ascii="Verdana" w:hAnsi="Verdana" w:cs="Arial"/>
          <w:color w:val="000000" w:themeColor="text1"/>
          <w:sz w:val="16"/>
          <w:szCs w:val="16"/>
        </w:rPr>
        <w:t xml:space="preserve"> En una línea similar, la doctrina lo define como “</w:t>
      </w:r>
      <w:r w:rsidRPr="00390AD1">
        <w:rPr>
          <w:rFonts w:ascii="Verdana" w:hAnsi="Verdana" w:cs="Arial"/>
          <w:color w:val="000000" w:themeColor="text1"/>
          <w:sz w:val="16"/>
          <w:szCs w:val="16"/>
        </w:rPr>
        <w:t>Aquella situación en que, por acción u omisión, incurre</w:t>
      </w:r>
      <w:r>
        <w:rPr>
          <w:rFonts w:ascii="Verdana" w:hAnsi="Verdana" w:cs="Arial"/>
          <w:color w:val="000000" w:themeColor="text1"/>
          <w:sz w:val="16"/>
          <w:szCs w:val="16"/>
        </w:rPr>
        <w:t xml:space="preserve"> </w:t>
      </w:r>
      <w:r w:rsidRPr="00390AD1">
        <w:rPr>
          <w:rFonts w:ascii="Verdana" w:hAnsi="Verdana" w:cs="Arial"/>
          <w:color w:val="000000" w:themeColor="text1"/>
          <w:sz w:val="16"/>
          <w:szCs w:val="16"/>
        </w:rPr>
        <w:t>un cargo o funcionario público que, estando en cuanto tal</w:t>
      </w:r>
      <w:r>
        <w:rPr>
          <w:rFonts w:ascii="Verdana" w:hAnsi="Verdana" w:cs="Arial"/>
          <w:color w:val="000000" w:themeColor="text1"/>
          <w:sz w:val="16"/>
          <w:szCs w:val="16"/>
        </w:rPr>
        <w:t xml:space="preserve"> </w:t>
      </w:r>
      <w:r w:rsidRPr="00390AD1">
        <w:rPr>
          <w:rFonts w:ascii="Verdana" w:hAnsi="Verdana" w:cs="Arial"/>
          <w:color w:val="000000" w:themeColor="text1"/>
          <w:sz w:val="16"/>
          <w:szCs w:val="16"/>
        </w:rPr>
        <w:t>vinculado por un deber de servicio al interés general, asume</w:t>
      </w:r>
      <w:r>
        <w:rPr>
          <w:rFonts w:ascii="Verdana" w:hAnsi="Verdana" w:cs="Arial"/>
          <w:color w:val="000000" w:themeColor="text1"/>
          <w:sz w:val="16"/>
          <w:szCs w:val="16"/>
        </w:rPr>
        <w:t xml:space="preserve"> </w:t>
      </w:r>
      <w:r w:rsidRPr="00390AD1">
        <w:rPr>
          <w:rFonts w:ascii="Verdana" w:hAnsi="Verdana" w:cs="Arial"/>
          <w:color w:val="000000" w:themeColor="text1"/>
          <w:sz w:val="16"/>
          <w:szCs w:val="16"/>
        </w:rPr>
        <w:t>el riesgo de abusar de su poder, subordinando dicho interés</w:t>
      </w:r>
      <w:r>
        <w:rPr>
          <w:rFonts w:ascii="Verdana" w:hAnsi="Verdana" w:cs="Arial"/>
          <w:color w:val="000000" w:themeColor="text1"/>
          <w:sz w:val="16"/>
          <w:szCs w:val="16"/>
        </w:rPr>
        <w:t xml:space="preserve"> </w:t>
      </w:r>
      <w:r w:rsidRPr="00390AD1">
        <w:rPr>
          <w:rFonts w:ascii="Verdana" w:hAnsi="Verdana" w:cs="Arial"/>
          <w:color w:val="000000" w:themeColor="text1"/>
          <w:sz w:val="16"/>
          <w:szCs w:val="16"/>
        </w:rPr>
        <w:t>general a su interés particular en forma de ánimo de lucro</w:t>
      </w:r>
      <w:r>
        <w:rPr>
          <w:rFonts w:ascii="Verdana" w:hAnsi="Verdana" w:cs="Arial"/>
          <w:color w:val="000000" w:themeColor="text1"/>
          <w:sz w:val="16"/>
          <w:szCs w:val="16"/>
        </w:rPr>
        <w:t xml:space="preserve"> </w:t>
      </w:r>
      <w:r w:rsidRPr="00390AD1">
        <w:rPr>
          <w:rFonts w:ascii="Verdana" w:hAnsi="Verdana" w:cs="Arial"/>
          <w:color w:val="000000" w:themeColor="text1"/>
          <w:sz w:val="16"/>
          <w:szCs w:val="16"/>
        </w:rPr>
        <w:t>pecuniario o en especie</w:t>
      </w:r>
      <w:r>
        <w:rPr>
          <w:rFonts w:ascii="Verdana" w:hAnsi="Verdana" w:cs="Arial"/>
          <w:color w:val="000000" w:themeColor="text1"/>
          <w:sz w:val="16"/>
          <w:szCs w:val="16"/>
        </w:rPr>
        <w:t>” (Cfr. GARCÍA MEXÍA, Enrique. Los conflictos de intereses y la corrupción contemporánea. Navarra: Editorial Aranzadi, 2001. p. 97).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12283704">
    <w:abstractNumId w:val="6"/>
  </w:num>
  <w:num w:numId="2" w16cid:durableId="1450709983">
    <w:abstractNumId w:val="2"/>
  </w:num>
  <w:num w:numId="3" w16cid:durableId="229075532">
    <w:abstractNumId w:val="4"/>
  </w:num>
  <w:num w:numId="4" w16cid:durableId="20231233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9808217">
    <w:abstractNumId w:val="2"/>
  </w:num>
  <w:num w:numId="6" w16cid:durableId="59981574">
    <w:abstractNumId w:val="13"/>
  </w:num>
  <w:num w:numId="7" w16cid:durableId="584725642">
    <w:abstractNumId w:val="5"/>
  </w:num>
  <w:num w:numId="8" w16cid:durableId="417796070">
    <w:abstractNumId w:val="12"/>
  </w:num>
  <w:num w:numId="9" w16cid:durableId="1806701732">
    <w:abstractNumId w:val="7"/>
  </w:num>
  <w:num w:numId="10" w16cid:durableId="333193193">
    <w:abstractNumId w:val="11"/>
  </w:num>
  <w:num w:numId="11" w16cid:durableId="640187416">
    <w:abstractNumId w:val="8"/>
  </w:num>
  <w:num w:numId="12" w16cid:durableId="75710035">
    <w:abstractNumId w:val="1"/>
  </w:num>
  <w:num w:numId="13" w16cid:durableId="57022061">
    <w:abstractNumId w:val="3"/>
  </w:num>
  <w:num w:numId="14" w16cid:durableId="656999880">
    <w:abstractNumId w:val="14"/>
  </w:num>
  <w:num w:numId="15" w16cid:durableId="262879520">
    <w:abstractNumId w:val="10"/>
  </w:num>
  <w:num w:numId="16" w16cid:durableId="386999596">
    <w:abstractNumId w:val="0"/>
  </w:num>
  <w:num w:numId="17" w16cid:durableId="204637208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22D"/>
    <w:rsid w:val="00046945"/>
    <w:rsid w:val="00061B2A"/>
    <w:rsid w:val="00082362"/>
    <w:rsid w:val="000A683E"/>
    <w:rsid w:val="000B19B9"/>
    <w:rsid w:val="000D0334"/>
    <w:rsid w:val="000D5DA7"/>
    <w:rsid w:val="000F335B"/>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5625"/>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6B89"/>
    <w:rsid w:val="0044528D"/>
    <w:rsid w:val="00466E39"/>
    <w:rsid w:val="004A1847"/>
    <w:rsid w:val="004A305D"/>
    <w:rsid w:val="004F21C4"/>
    <w:rsid w:val="004F685F"/>
    <w:rsid w:val="005566E8"/>
    <w:rsid w:val="00574867"/>
    <w:rsid w:val="00591460"/>
    <w:rsid w:val="005A65E0"/>
    <w:rsid w:val="005C3777"/>
    <w:rsid w:val="005C5CDC"/>
    <w:rsid w:val="005D476C"/>
    <w:rsid w:val="00616D60"/>
    <w:rsid w:val="006200BF"/>
    <w:rsid w:val="006219F8"/>
    <w:rsid w:val="006302F7"/>
    <w:rsid w:val="00646B9F"/>
    <w:rsid w:val="00665D70"/>
    <w:rsid w:val="006900D9"/>
    <w:rsid w:val="006C4A6C"/>
    <w:rsid w:val="00706C16"/>
    <w:rsid w:val="007140ED"/>
    <w:rsid w:val="00720E67"/>
    <w:rsid w:val="007340C3"/>
    <w:rsid w:val="0075235A"/>
    <w:rsid w:val="00756841"/>
    <w:rsid w:val="007649AB"/>
    <w:rsid w:val="00771D0C"/>
    <w:rsid w:val="007833AC"/>
    <w:rsid w:val="007B268C"/>
    <w:rsid w:val="007B7171"/>
    <w:rsid w:val="007C0C0F"/>
    <w:rsid w:val="007C3DC2"/>
    <w:rsid w:val="007D7855"/>
    <w:rsid w:val="007E5497"/>
    <w:rsid w:val="00806F5F"/>
    <w:rsid w:val="00820278"/>
    <w:rsid w:val="008258C9"/>
    <w:rsid w:val="00825DE5"/>
    <w:rsid w:val="00836338"/>
    <w:rsid w:val="00844AE9"/>
    <w:rsid w:val="00867F95"/>
    <w:rsid w:val="008843B6"/>
    <w:rsid w:val="00885B50"/>
    <w:rsid w:val="00891928"/>
    <w:rsid w:val="008A446D"/>
    <w:rsid w:val="008B25F1"/>
    <w:rsid w:val="008B7CEA"/>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3F56"/>
    <w:rsid w:val="00AB0ADB"/>
    <w:rsid w:val="00AF262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5622"/>
    <w:rsid w:val="00C754BE"/>
    <w:rsid w:val="00C76B1C"/>
    <w:rsid w:val="00C8539F"/>
    <w:rsid w:val="00C925AC"/>
    <w:rsid w:val="00CB6357"/>
    <w:rsid w:val="00CC1B26"/>
    <w:rsid w:val="00CF60CC"/>
    <w:rsid w:val="00D361FD"/>
    <w:rsid w:val="00D423A2"/>
    <w:rsid w:val="00D44E26"/>
    <w:rsid w:val="00D520D8"/>
    <w:rsid w:val="00D63AC2"/>
    <w:rsid w:val="00D7383B"/>
    <w:rsid w:val="00D7788A"/>
    <w:rsid w:val="00DA231B"/>
    <w:rsid w:val="00DA7726"/>
    <w:rsid w:val="00DC39FC"/>
    <w:rsid w:val="00DF5254"/>
    <w:rsid w:val="00E02524"/>
    <w:rsid w:val="00E16408"/>
    <w:rsid w:val="00E20894"/>
    <w:rsid w:val="00E245AB"/>
    <w:rsid w:val="00E2764C"/>
    <w:rsid w:val="00E27F2E"/>
    <w:rsid w:val="00E50AFE"/>
    <w:rsid w:val="00E75C92"/>
    <w:rsid w:val="00E771DC"/>
    <w:rsid w:val="00E85D86"/>
    <w:rsid w:val="00E8772A"/>
    <w:rsid w:val="00E90F6B"/>
    <w:rsid w:val="00E92C27"/>
    <w:rsid w:val="00EA0E3D"/>
    <w:rsid w:val="00EC38A7"/>
    <w:rsid w:val="00EC3A97"/>
    <w:rsid w:val="00ED293D"/>
    <w:rsid w:val="00EE1AA8"/>
    <w:rsid w:val="00EE67BC"/>
    <w:rsid w:val="00EF7151"/>
    <w:rsid w:val="00F23FEA"/>
    <w:rsid w:val="00F31EDC"/>
    <w:rsid w:val="00F462B3"/>
    <w:rsid w:val="00F5664F"/>
    <w:rsid w:val="00F666C4"/>
    <w:rsid w:val="00F76AFC"/>
    <w:rsid w:val="00FA47C0"/>
    <w:rsid w:val="00FB5DD1"/>
    <w:rsid w:val="00FC2B5D"/>
    <w:rsid w:val="00FF1449"/>
    <w:rsid w:val="00FF7963"/>
    <w:rsid w:val="00FF7D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79822E3"/>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36B8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36B89"/>
    <w:rPr>
      <w:rFonts w:ascii="Geomanist Light" w:hAnsi="Geomanist Light"/>
      <w:lang w:val="es-ES"/>
    </w:rPr>
  </w:style>
  <w:style w:type="character" w:customStyle="1" w:styleId="s15">
    <w:name w:val="s15"/>
    <w:basedOn w:val="Fuentedeprrafopredeter"/>
    <w:rsid w:val="00436B89"/>
  </w:style>
  <w:style w:type="character" w:customStyle="1" w:styleId="NormalWebCar">
    <w:name w:val="Normal (Web) Car"/>
    <w:link w:val="NormalWeb"/>
    <w:uiPriority w:val="99"/>
    <w:rsid w:val="00436B89"/>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archivos/manual/manual-para-el-manejo-de-los-acuerdos-comerciales-en-procesos-de-contratacion"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itaciones.corcooperativa05@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229559C-BEF5-45AC-A9E0-F67DD9BFE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13</Pages>
  <Words>4223</Words>
  <Characters>23229</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2026-05-20T15:37:00Z</dcterms:created>
  <dcterms:modified xsi:type="dcterms:W3CDTF">2026-05-27T22:45:00Z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