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7AFCD" w14:textId="77777777" w:rsidR="002A0DD0" w:rsidRPr="00E02524" w:rsidRDefault="002A0DD0" w:rsidP="30821638">
      <w:pPr>
        <w:spacing w:after="0" w:line="240" w:lineRule="auto"/>
        <w:jc w:val="both"/>
        <w:rPr>
          <w:rFonts w:ascii="Verdana" w:eastAsia="Verdana" w:hAnsi="Verdana" w:cs="Verdana"/>
          <w:b/>
          <w:bCs/>
          <w:lang w:val="es-MX"/>
        </w:rPr>
      </w:pPr>
      <w:bookmarkStart w:id="0" w:name="_Hlk143780582"/>
    </w:p>
    <w:p w14:paraId="043D5828" w14:textId="77777777" w:rsidR="000D1F23" w:rsidRDefault="000D1F23" w:rsidP="000D1F23">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GARANTÍAS – Contratación estatal – Constitución de garantías – Finalidad – Cumplimiento – Obligaciones contractuales</w:t>
      </w:r>
    </w:p>
    <w:p w14:paraId="406BA7FC" w14:textId="77777777" w:rsidR="000D1F23" w:rsidRDefault="000D1F23" w:rsidP="000D1F23">
      <w:pPr>
        <w:snapToGrid w:val="0"/>
        <w:contextualSpacing/>
        <w:jc w:val="both"/>
        <w:rPr>
          <w:rFonts w:ascii="Verdana" w:hAnsi="Verdana" w:cs="Arial"/>
          <w:color w:val="000000"/>
          <w:shd w:val="clear" w:color="auto" w:fill="FFFFFF"/>
          <w:lang w:val="es-ES"/>
        </w:rPr>
      </w:pPr>
    </w:p>
    <w:p w14:paraId="7D1843E3" w14:textId="77777777" w:rsidR="000D1F23" w:rsidRPr="00F3096C" w:rsidRDefault="000D1F23" w:rsidP="000D1F23">
      <w:pPr>
        <w:snapToGrid w:val="0"/>
        <w:spacing w:after="0" w:line="240" w:lineRule="auto"/>
        <w:contextualSpacing/>
        <w:jc w:val="both"/>
        <w:rPr>
          <w:rFonts w:ascii="Verdana" w:eastAsia="Calibri" w:hAnsi="Verdana" w:cs="Arial"/>
          <w:b/>
          <w:bCs/>
          <w:sz w:val="20"/>
          <w:szCs w:val="20"/>
          <w:lang w:val="es-ES" w:eastAsia="es-ES"/>
        </w:rPr>
      </w:pPr>
      <w:r w:rsidRPr="00F3096C">
        <w:rPr>
          <w:rFonts w:ascii="Verdana" w:hAnsi="Verdana" w:cs="Arial"/>
          <w:color w:val="000000"/>
          <w:sz w:val="20"/>
          <w:szCs w:val="20"/>
          <w:shd w:val="clear" w:color="auto" w:fill="FFFFFF"/>
          <w:lang w:val="es-ES"/>
        </w:rPr>
        <w:t>Por regla general, para seleccionar contratistas y para ejecutar contratos se requiere la constitución de garantías. Por un lado, l</w:t>
      </w:r>
      <w:r w:rsidRPr="00F3096C">
        <w:rPr>
          <w:rFonts w:ascii="Verdana" w:eastAsia="Calibri" w:hAnsi="Verdana" w:cs="Arial"/>
          <w:color w:val="000000" w:themeColor="text1"/>
          <w:sz w:val="20"/>
          <w:szCs w:val="20"/>
          <w:lang w:val="es-ES"/>
        </w:rPr>
        <w:t xml:space="preserve">a </w:t>
      </w:r>
      <w:r w:rsidRPr="00F3096C">
        <w:rPr>
          <w:rFonts w:ascii="Verdana" w:eastAsia="Calibri" w:hAnsi="Verdana" w:cs="Arial"/>
          <w:i/>
          <w:iCs/>
          <w:color w:val="000000" w:themeColor="text1"/>
          <w:sz w:val="20"/>
          <w:szCs w:val="20"/>
          <w:lang w:val="es-ES"/>
        </w:rPr>
        <w:t>garantía de seriedad</w:t>
      </w:r>
      <w:r w:rsidRPr="00F3096C">
        <w:rPr>
          <w:rFonts w:ascii="Verdana" w:eastAsia="Calibri" w:hAnsi="Verdana" w:cs="Arial"/>
          <w:color w:val="000000" w:themeColor="text1"/>
          <w:sz w:val="20"/>
          <w:szCs w:val="20"/>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26F15766" w14:textId="77777777" w:rsidR="000D1F23" w:rsidRDefault="000D1F23" w:rsidP="000D1F23">
      <w:pPr>
        <w:snapToGrid w:val="0"/>
        <w:contextualSpacing/>
        <w:jc w:val="both"/>
        <w:rPr>
          <w:rFonts w:ascii="Verdana" w:eastAsia="Calibri" w:hAnsi="Verdana" w:cs="Arial"/>
          <w:b/>
          <w:bCs/>
          <w:lang w:val="es-ES" w:eastAsia="es-ES"/>
        </w:rPr>
      </w:pPr>
    </w:p>
    <w:p w14:paraId="13B2A851" w14:textId="77777777" w:rsidR="000D1F23" w:rsidRDefault="000D1F23" w:rsidP="000D1F23">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CUMPLIMIENTO – Amparos – Finalidad</w:t>
      </w:r>
    </w:p>
    <w:p w14:paraId="47EFF11C" w14:textId="77777777" w:rsidR="000D1F23" w:rsidRDefault="000D1F23" w:rsidP="000D1F23">
      <w:pPr>
        <w:snapToGrid w:val="0"/>
        <w:spacing w:after="0" w:line="240" w:lineRule="auto"/>
        <w:contextualSpacing/>
        <w:jc w:val="both"/>
        <w:rPr>
          <w:rFonts w:ascii="Verdana" w:eastAsia="Calibri" w:hAnsi="Verdana" w:cs="Arial"/>
          <w:color w:val="000000" w:themeColor="text1"/>
          <w:lang w:val="es-ES"/>
        </w:rPr>
      </w:pPr>
    </w:p>
    <w:p w14:paraId="5B01962A" w14:textId="77777777" w:rsidR="000D1F23" w:rsidRPr="00F3096C" w:rsidRDefault="000D1F23" w:rsidP="000D1F23">
      <w:pPr>
        <w:snapToGrid w:val="0"/>
        <w:spacing w:after="0" w:line="240" w:lineRule="auto"/>
        <w:contextualSpacing/>
        <w:jc w:val="both"/>
        <w:rPr>
          <w:rFonts w:ascii="Verdana" w:eastAsia="Calibri" w:hAnsi="Verdana" w:cs="Arial"/>
          <w:color w:val="000000" w:themeColor="text1"/>
          <w:sz w:val="20"/>
          <w:szCs w:val="20"/>
          <w:lang w:val="es-ES"/>
        </w:rPr>
      </w:pPr>
      <w:r w:rsidRPr="00F3096C">
        <w:rPr>
          <w:rFonts w:ascii="Verdana" w:eastAsia="Calibri" w:hAnsi="Verdana" w:cs="Arial"/>
          <w:color w:val="000000" w:themeColor="text1"/>
          <w:sz w:val="20"/>
          <w:szCs w:val="20"/>
          <w:lang w:val="es-ES"/>
        </w:rPr>
        <w:t xml:space="preserve">En contraste, mediante la </w:t>
      </w:r>
      <w:r w:rsidRPr="00F3096C">
        <w:rPr>
          <w:rFonts w:ascii="Verdana" w:eastAsia="Calibri" w:hAnsi="Verdana" w:cs="Arial"/>
          <w:i/>
          <w:iCs/>
          <w:color w:val="000000" w:themeColor="text1"/>
          <w:sz w:val="20"/>
          <w:szCs w:val="20"/>
          <w:lang w:val="es-ES"/>
        </w:rPr>
        <w:t>garantía de única de cumplimiento</w:t>
      </w:r>
      <w:r w:rsidRPr="00F3096C">
        <w:rPr>
          <w:rFonts w:ascii="Verdana" w:eastAsia="Calibri" w:hAnsi="Verdana" w:cs="Arial"/>
          <w:color w:val="000000" w:themeColor="text1"/>
          <w:sz w:val="20"/>
          <w:szCs w:val="20"/>
          <w:lang w:val="es-ES"/>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w:t>
      </w:r>
      <w:r w:rsidRPr="00F3096C">
        <w:rPr>
          <w:rFonts w:ascii="Verdana" w:hAnsi="Verdana" w:cs="Arial"/>
          <w:color w:val="000000" w:themeColor="text1"/>
          <w:sz w:val="20"/>
          <w:szCs w:val="20"/>
          <w:lang w:val="es-ES"/>
        </w:rPr>
        <w:t xml:space="preserve">Para estos efectos es única, ya que “[…] La prioridad […] es que no haya garantías separadas para los diferentes riesgos, aunque existan varias garantías para diferentes proporciones del interés asegurado […]”.    </w:t>
      </w:r>
    </w:p>
    <w:p w14:paraId="66EA9EAD" w14:textId="77777777" w:rsidR="000D1F23" w:rsidRPr="00F3096C" w:rsidRDefault="000D1F23" w:rsidP="000D1F23">
      <w:pPr>
        <w:snapToGrid w:val="0"/>
        <w:spacing w:after="0" w:line="240" w:lineRule="auto"/>
        <w:contextualSpacing/>
        <w:jc w:val="both"/>
        <w:rPr>
          <w:rFonts w:ascii="Verdana" w:hAnsi="Verdana" w:cs="Arial"/>
          <w:color w:val="000000" w:themeColor="text1"/>
          <w:sz w:val="20"/>
          <w:szCs w:val="20"/>
          <w:lang w:val="es-ES"/>
        </w:rPr>
      </w:pPr>
    </w:p>
    <w:p w14:paraId="51D62F62" w14:textId="77777777" w:rsidR="000D1F23" w:rsidRPr="00F3096C" w:rsidRDefault="000D1F23" w:rsidP="000D1F23">
      <w:pPr>
        <w:snapToGrid w:val="0"/>
        <w:spacing w:after="0" w:line="240" w:lineRule="auto"/>
        <w:contextualSpacing/>
        <w:jc w:val="both"/>
        <w:rPr>
          <w:rFonts w:ascii="Verdana" w:hAnsi="Verdana" w:cs="Arial"/>
          <w:color w:val="000000" w:themeColor="text1"/>
          <w:sz w:val="20"/>
          <w:szCs w:val="20"/>
          <w:lang w:val="es-ES"/>
        </w:rPr>
      </w:pPr>
      <w:r w:rsidRPr="00F3096C">
        <w:rPr>
          <w:rFonts w:ascii="Verdana" w:hAnsi="Verdana" w:cs="Arial"/>
          <w:color w:val="000000" w:themeColor="text1"/>
          <w:sz w:val="20"/>
          <w:szCs w:val="20"/>
          <w:lang w:val="es-ES"/>
        </w:rPr>
        <w:t>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ii) garantías bancarias o iii)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20E4A8F5" w14:textId="77777777" w:rsidR="000D1F23" w:rsidRPr="00E24068" w:rsidRDefault="000D1F23" w:rsidP="000D1F23">
      <w:pPr>
        <w:snapToGrid w:val="0"/>
        <w:spacing w:after="0" w:line="240" w:lineRule="auto"/>
        <w:contextualSpacing/>
        <w:jc w:val="both"/>
        <w:rPr>
          <w:rFonts w:ascii="Verdana" w:eastAsia="Calibri" w:hAnsi="Verdana" w:cs="Arial"/>
          <w:b/>
          <w:bCs/>
          <w:lang w:val="es-ES" w:eastAsia="es-ES"/>
        </w:rPr>
      </w:pPr>
    </w:p>
    <w:p w14:paraId="7F32771F" w14:textId="77777777" w:rsidR="000D1F23" w:rsidRPr="00E24068" w:rsidRDefault="000D1F23" w:rsidP="000D1F23">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RESPONSABILIDAD CIVIL EXTRACONTRACTUAL – Características – Suficiencia – Criterios de aprobación</w:t>
      </w:r>
    </w:p>
    <w:p w14:paraId="4E10E256" w14:textId="77777777" w:rsidR="000D1F23" w:rsidRDefault="000D1F23" w:rsidP="000D1F23">
      <w:pPr>
        <w:snapToGrid w:val="0"/>
        <w:contextualSpacing/>
        <w:jc w:val="both"/>
        <w:rPr>
          <w:rFonts w:ascii="Verdana" w:eastAsia="Times New Roman" w:hAnsi="Verdana" w:cs="Arial"/>
          <w:color w:val="000000" w:themeColor="text1"/>
          <w:lang w:val="es-ES" w:eastAsia="es-CO"/>
        </w:rPr>
      </w:pPr>
    </w:p>
    <w:p w14:paraId="78C7E3AB" w14:textId="77777777" w:rsidR="000D1F23" w:rsidRPr="00F3096C" w:rsidRDefault="000D1F23" w:rsidP="000D1F23">
      <w:pPr>
        <w:snapToGrid w:val="0"/>
        <w:spacing w:after="0" w:line="240" w:lineRule="auto"/>
        <w:contextualSpacing/>
        <w:jc w:val="both"/>
        <w:rPr>
          <w:rFonts w:ascii="Verdana" w:eastAsia="Times New Roman" w:hAnsi="Verdana" w:cs="Arial"/>
          <w:color w:val="000000" w:themeColor="text1"/>
          <w:sz w:val="20"/>
          <w:szCs w:val="20"/>
          <w:lang w:val="es-ES" w:eastAsia="es-CO"/>
        </w:rPr>
      </w:pPr>
      <w:r w:rsidRPr="00F3096C">
        <w:rPr>
          <w:rFonts w:ascii="Verdana" w:eastAsia="Times New Roman" w:hAnsi="Verdana" w:cs="Arial"/>
          <w:color w:val="000000" w:themeColor="text1"/>
          <w:sz w:val="20"/>
          <w:szCs w:val="20"/>
          <w:lang w:val="es-ES" w:eastAsia="es-CO"/>
        </w:rPr>
        <w:lastRenderedPageBreak/>
        <w:t xml:space="preserve">En primer lugar, la entidad debe verificar que la garantía cumpla con el requisito de indivisibilidad establecido en el artículo 2.2.1.2.3.1.3. del Decreto 1082 de 2015. </w:t>
      </w:r>
      <w:r w:rsidRPr="00F3096C">
        <w:rPr>
          <w:rFonts w:ascii="Verdana" w:hAnsi="Verdana" w:cs="Arial"/>
          <w:color w:val="000000" w:themeColor="text1"/>
          <w:sz w:val="20"/>
          <w:szCs w:val="20"/>
          <w:lang w:val="es-ES"/>
        </w:rPr>
        <w:t xml:space="preserve">En segundo lugar, el amparo de responsabilidad civil extracontractual debe cumplir con los requisitos dispuestos </w:t>
      </w:r>
      <w:r w:rsidRPr="00F3096C">
        <w:rPr>
          <w:rFonts w:ascii="Verdana" w:eastAsia="Times New Roman" w:hAnsi="Verdana" w:cs="Arial"/>
          <w:color w:val="000000" w:themeColor="text1"/>
          <w:sz w:val="20"/>
          <w:szCs w:val="20"/>
          <w:lang w:val="es-ES" w:eastAsia="es-CO"/>
        </w:rPr>
        <w:t xml:space="preserve">en el artículo 2.2.1.2.3.2.9 con respecto a la modalidad de ocurrencia, así como las calidades que deben tener los intervinientes y los amparos. Tercero, la entidad debe verificar que el contrato de seguro cumpla con la suficiencia en términos de valor y tiempo de acuerdo con el artículo 2.2.1.2.3.1.17. Adicional a lo anterior, la norma establece de manera expresa que la vigencia de esta garantía deberá ser igual al </w:t>
      </w:r>
      <w:r w:rsidRPr="00F3096C">
        <w:rPr>
          <w:rFonts w:ascii="Verdana" w:eastAsia="Times New Roman" w:hAnsi="Verdana" w:cs="Arial"/>
          <w:i/>
          <w:color w:val="000000" w:themeColor="text1"/>
          <w:sz w:val="20"/>
          <w:szCs w:val="20"/>
          <w:lang w:val="es-ES" w:eastAsia="es-CO"/>
        </w:rPr>
        <w:t>período de ejecución del contrato</w:t>
      </w:r>
      <w:r w:rsidRPr="00F3096C">
        <w:rPr>
          <w:rFonts w:ascii="Verdana" w:eastAsia="Times New Roman" w:hAnsi="Verdana" w:cs="Arial"/>
          <w:color w:val="000000" w:themeColor="text1"/>
          <w:sz w:val="20"/>
          <w:szCs w:val="20"/>
          <w:lang w:val="es-ES" w:eastAsia="es-CO"/>
        </w:rPr>
        <w:t xml:space="preserve"> estatal que está respaldando.</w:t>
      </w:r>
    </w:p>
    <w:p w14:paraId="2775FC93" w14:textId="77777777" w:rsidR="000D1F23" w:rsidRPr="00F3096C" w:rsidRDefault="000D1F23" w:rsidP="000D1F23">
      <w:pPr>
        <w:snapToGrid w:val="0"/>
        <w:contextualSpacing/>
        <w:jc w:val="both"/>
        <w:rPr>
          <w:rFonts w:ascii="Verdana" w:eastAsia="Times New Roman" w:hAnsi="Verdana" w:cs="Arial"/>
          <w:color w:val="000000" w:themeColor="text1"/>
          <w:sz w:val="20"/>
          <w:szCs w:val="20"/>
          <w:lang w:val="es-ES" w:eastAsia="es-CO"/>
        </w:rPr>
      </w:pPr>
    </w:p>
    <w:p w14:paraId="74676B24" w14:textId="77777777" w:rsidR="000D1F23" w:rsidRPr="00F3096C" w:rsidRDefault="000D1F23" w:rsidP="000D1F23">
      <w:pPr>
        <w:snapToGrid w:val="0"/>
        <w:spacing w:after="0" w:line="240" w:lineRule="auto"/>
        <w:contextualSpacing/>
        <w:jc w:val="both"/>
        <w:rPr>
          <w:rFonts w:ascii="Verdana" w:eastAsia="Times New Roman" w:hAnsi="Verdana" w:cs="Arial"/>
          <w:color w:val="000000" w:themeColor="text1"/>
          <w:sz w:val="20"/>
          <w:szCs w:val="20"/>
          <w:lang w:val="es-ES" w:eastAsia="es-CO"/>
        </w:rPr>
      </w:pPr>
      <w:r w:rsidRPr="00F3096C">
        <w:rPr>
          <w:rFonts w:ascii="Verdana" w:eastAsia="Times New Roman" w:hAnsi="Verdana" w:cs="Arial"/>
          <w:color w:val="000000" w:themeColor="text1"/>
          <w:sz w:val="20"/>
          <w:szCs w:val="20"/>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smmlv. No serán admisibles las franquicias, coaseguros obligatorios y demás formas de estipulación que impliquen la asunción de parte de la pérdida por la entidad asegurada”. </w:t>
      </w:r>
    </w:p>
    <w:p w14:paraId="3E8638D1" w14:textId="77777777" w:rsidR="000D1F23" w:rsidRPr="00F3096C" w:rsidRDefault="000D1F23" w:rsidP="000D1F23">
      <w:pPr>
        <w:spacing w:after="0"/>
        <w:rPr>
          <w:rFonts w:ascii="Verdana" w:hAnsi="Verdana"/>
          <w:sz w:val="20"/>
          <w:szCs w:val="20"/>
          <w:lang w:val="es-ES"/>
        </w:rPr>
      </w:pPr>
    </w:p>
    <w:p w14:paraId="3E3E83C4" w14:textId="77777777" w:rsidR="000D1F23" w:rsidRPr="00F3096C" w:rsidRDefault="000D1F23" w:rsidP="000D1F23">
      <w:pPr>
        <w:spacing w:after="0"/>
        <w:rPr>
          <w:rFonts w:ascii="Verdana" w:hAnsi="Verdana"/>
          <w:sz w:val="20"/>
          <w:szCs w:val="20"/>
          <w:lang w:val="es-ES"/>
        </w:rPr>
      </w:pPr>
    </w:p>
    <w:p w14:paraId="7F51C7DF" w14:textId="77777777" w:rsidR="000D1F23" w:rsidRPr="00F3096C" w:rsidRDefault="000D1F23" w:rsidP="000D1F23">
      <w:pPr>
        <w:spacing w:after="0"/>
        <w:rPr>
          <w:rFonts w:ascii="Verdana" w:hAnsi="Verdana"/>
          <w:sz w:val="20"/>
          <w:szCs w:val="20"/>
          <w:lang w:val="es-ES"/>
        </w:rPr>
      </w:pPr>
    </w:p>
    <w:p w14:paraId="7F6DB5C3" w14:textId="77777777" w:rsidR="000D1F23" w:rsidRPr="005F6BCE" w:rsidRDefault="000D1F23" w:rsidP="000D1F23">
      <w:pPr>
        <w:rPr>
          <w:rFonts w:ascii="Verdana" w:hAnsi="Verdana"/>
          <w:sz w:val="20"/>
          <w:szCs w:val="20"/>
          <w:lang w:val="es-ES_tradnl"/>
        </w:rPr>
      </w:pPr>
    </w:p>
    <w:p w14:paraId="2EE2EE81" w14:textId="77777777" w:rsidR="000D1F23" w:rsidRPr="005F6BCE" w:rsidRDefault="000D1F23" w:rsidP="000D1F23">
      <w:pPr>
        <w:spacing w:after="0"/>
        <w:rPr>
          <w:rFonts w:ascii="Verdana" w:hAnsi="Verdana"/>
          <w:sz w:val="20"/>
          <w:szCs w:val="20"/>
        </w:rPr>
      </w:pPr>
    </w:p>
    <w:p w14:paraId="52E49DA9" w14:textId="77777777" w:rsidR="000D1F23" w:rsidRDefault="000D1F23" w:rsidP="000D1F23">
      <w:pPr>
        <w:spacing w:after="0"/>
        <w:rPr>
          <w:rFonts w:ascii="Verdana" w:hAnsi="Verdana"/>
          <w:sz w:val="20"/>
          <w:szCs w:val="20"/>
        </w:rPr>
      </w:pPr>
    </w:p>
    <w:p w14:paraId="27812B39" w14:textId="77777777" w:rsidR="000D1F23" w:rsidRDefault="000D1F23" w:rsidP="000D1F23">
      <w:pPr>
        <w:spacing w:after="0"/>
        <w:rPr>
          <w:rFonts w:ascii="Verdana" w:hAnsi="Verdana"/>
          <w:sz w:val="20"/>
          <w:szCs w:val="20"/>
        </w:rPr>
      </w:pPr>
    </w:p>
    <w:p w14:paraId="2163E07B" w14:textId="77777777" w:rsidR="000D1F23" w:rsidRDefault="000D1F23" w:rsidP="000D1F23">
      <w:pPr>
        <w:spacing w:after="0"/>
        <w:rPr>
          <w:rFonts w:ascii="Verdana" w:hAnsi="Verdana"/>
          <w:sz w:val="20"/>
          <w:szCs w:val="20"/>
        </w:rPr>
      </w:pPr>
    </w:p>
    <w:p w14:paraId="0FA7A00F" w14:textId="77777777" w:rsidR="000D1F23" w:rsidRDefault="000D1F23" w:rsidP="000D1F23">
      <w:pPr>
        <w:spacing w:after="0"/>
        <w:rPr>
          <w:rFonts w:ascii="Verdana" w:hAnsi="Verdana"/>
          <w:sz w:val="20"/>
          <w:szCs w:val="20"/>
        </w:rPr>
      </w:pPr>
    </w:p>
    <w:p w14:paraId="2CB41CF8" w14:textId="77777777" w:rsidR="000D1F23" w:rsidRDefault="000D1F23" w:rsidP="000D1F23">
      <w:pPr>
        <w:spacing w:after="0"/>
        <w:rPr>
          <w:rFonts w:ascii="Verdana" w:hAnsi="Verdana"/>
          <w:sz w:val="20"/>
          <w:szCs w:val="20"/>
        </w:rPr>
      </w:pPr>
    </w:p>
    <w:p w14:paraId="14C80E71" w14:textId="77777777" w:rsidR="000D1F23" w:rsidRDefault="000D1F23" w:rsidP="000D1F23">
      <w:pPr>
        <w:spacing w:after="0"/>
        <w:rPr>
          <w:rFonts w:ascii="Verdana" w:hAnsi="Verdana"/>
          <w:sz w:val="20"/>
          <w:szCs w:val="20"/>
        </w:rPr>
      </w:pPr>
    </w:p>
    <w:p w14:paraId="59DECF4E" w14:textId="77777777" w:rsidR="000D1F23" w:rsidRDefault="000D1F23" w:rsidP="000D1F23">
      <w:pPr>
        <w:spacing w:after="0"/>
        <w:rPr>
          <w:rFonts w:ascii="Verdana" w:hAnsi="Verdana"/>
          <w:sz w:val="20"/>
          <w:szCs w:val="20"/>
        </w:rPr>
      </w:pPr>
    </w:p>
    <w:p w14:paraId="53C3BD66" w14:textId="77777777" w:rsidR="000D1F23" w:rsidRDefault="000D1F23" w:rsidP="000D1F23">
      <w:pPr>
        <w:spacing w:after="0"/>
        <w:rPr>
          <w:rFonts w:ascii="Verdana" w:hAnsi="Verdana"/>
          <w:sz w:val="20"/>
          <w:szCs w:val="20"/>
        </w:rPr>
      </w:pPr>
    </w:p>
    <w:p w14:paraId="1745D8A2" w14:textId="77777777" w:rsidR="000D1F23" w:rsidRDefault="000D1F23" w:rsidP="000D1F23">
      <w:pPr>
        <w:spacing w:after="0"/>
        <w:rPr>
          <w:rFonts w:ascii="Verdana" w:hAnsi="Verdana"/>
          <w:sz w:val="20"/>
          <w:szCs w:val="20"/>
        </w:rPr>
      </w:pPr>
    </w:p>
    <w:p w14:paraId="6D948BE0" w14:textId="77777777" w:rsidR="000D1F23" w:rsidRDefault="000D1F23" w:rsidP="000D1F23">
      <w:pPr>
        <w:spacing w:after="0"/>
        <w:rPr>
          <w:rFonts w:ascii="Verdana" w:hAnsi="Verdana"/>
          <w:sz w:val="20"/>
          <w:szCs w:val="20"/>
        </w:rPr>
      </w:pPr>
    </w:p>
    <w:p w14:paraId="76C70616" w14:textId="77777777" w:rsidR="000D1F23" w:rsidRDefault="000D1F23" w:rsidP="000D1F23">
      <w:pPr>
        <w:spacing w:after="0"/>
        <w:rPr>
          <w:rFonts w:ascii="Verdana" w:hAnsi="Verdana"/>
          <w:sz w:val="20"/>
          <w:szCs w:val="20"/>
        </w:rPr>
      </w:pPr>
    </w:p>
    <w:p w14:paraId="4C41619E" w14:textId="77777777" w:rsidR="000D1F23" w:rsidRDefault="000D1F23" w:rsidP="000D1F23">
      <w:pPr>
        <w:spacing w:after="0"/>
        <w:rPr>
          <w:rFonts w:ascii="Verdana" w:hAnsi="Verdana"/>
          <w:sz w:val="20"/>
          <w:szCs w:val="20"/>
        </w:rPr>
      </w:pPr>
    </w:p>
    <w:p w14:paraId="034ACC55" w14:textId="77777777" w:rsidR="000D1F23" w:rsidRDefault="000D1F23" w:rsidP="000D1F23">
      <w:pPr>
        <w:spacing w:after="0"/>
        <w:rPr>
          <w:rFonts w:ascii="Verdana" w:hAnsi="Verdana"/>
          <w:sz w:val="20"/>
          <w:szCs w:val="20"/>
        </w:rPr>
      </w:pPr>
    </w:p>
    <w:p w14:paraId="678D9BDD" w14:textId="77777777" w:rsidR="000D1F23" w:rsidRDefault="000D1F23" w:rsidP="000D1F23">
      <w:pPr>
        <w:spacing w:after="0"/>
        <w:rPr>
          <w:rFonts w:ascii="Verdana" w:hAnsi="Verdana"/>
          <w:sz w:val="20"/>
          <w:szCs w:val="20"/>
        </w:rPr>
      </w:pPr>
    </w:p>
    <w:p w14:paraId="3EA155F6" w14:textId="77777777" w:rsidR="000D1F23" w:rsidRDefault="000D1F23" w:rsidP="000D1F23">
      <w:pPr>
        <w:spacing w:after="0"/>
        <w:rPr>
          <w:rFonts w:ascii="Verdana" w:hAnsi="Verdana"/>
          <w:sz w:val="20"/>
          <w:szCs w:val="20"/>
        </w:rPr>
      </w:pPr>
    </w:p>
    <w:p w14:paraId="4E6BA5B1" w14:textId="77777777" w:rsidR="000D1F23" w:rsidRDefault="000D1F23" w:rsidP="000D1F23">
      <w:pPr>
        <w:spacing w:after="0"/>
        <w:rPr>
          <w:rFonts w:ascii="Verdana" w:hAnsi="Verdana"/>
          <w:sz w:val="20"/>
          <w:szCs w:val="20"/>
        </w:rPr>
      </w:pPr>
    </w:p>
    <w:p w14:paraId="12C063A6" w14:textId="77777777" w:rsidR="000D1F23" w:rsidRDefault="000D1F23" w:rsidP="000D1F23">
      <w:pPr>
        <w:spacing w:after="0"/>
        <w:rPr>
          <w:rFonts w:ascii="Verdana" w:hAnsi="Verdana"/>
          <w:sz w:val="20"/>
          <w:szCs w:val="20"/>
        </w:rPr>
      </w:pPr>
    </w:p>
    <w:p w14:paraId="79BBA3CE" w14:textId="77777777" w:rsidR="000D1F23" w:rsidRDefault="000D1F23" w:rsidP="000D1F23">
      <w:pPr>
        <w:spacing w:after="0"/>
        <w:rPr>
          <w:rFonts w:ascii="Verdana" w:hAnsi="Verdana"/>
          <w:sz w:val="20"/>
          <w:szCs w:val="20"/>
        </w:rPr>
      </w:pPr>
    </w:p>
    <w:p w14:paraId="2E880122" w14:textId="77777777" w:rsidR="000D1F23" w:rsidRDefault="000D1F23" w:rsidP="000D1F23">
      <w:pPr>
        <w:spacing w:after="0"/>
        <w:rPr>
          <w:rFonts w:ascii="Verdana" w:hAnsi="Verdana"/>
          <w:sz w:val="20"/>
          <w:szCs w:val="20"/>
        </w:rPr>
      </w:pPr>
    </w:p>
    <w:p w14:paraId="32A05363" w14:textId="77777777" w:rsidR="000D1F23" w:rsidRDefault="000D1F23" w:rsidP="000D1F23">
      <w:pPr>
        <w:spacing w:after="0"/>
        <w:rPr>
          <w:rFonts w:ascii="Verdana" w:hAnsi="Verdana"/>
          <w:sz w:val="20"/>
          <w:szCs w:val="20"/>
        </w:rPr>
      </w:pPr>
    </w:p>
    <w:p w14:paraId="4BABD53B" w14:textId="77777777" w:rsidR="000D1F23" w:rsidRDefault="000D1F23" w:rsidP="000D1F23">
      <w:pPr>
        <w:spacing w:after="0"/>
        <w:rPr>
          <w:rFonts w:ascii="Verdana" w:hAnsi="Verdana"/>
          <w:sz w:val="20"/>
          <w:szCs w:val="20"/>
        </w:rPr>
      </w:pPr>
    </w:p>
    <w:p w14:paraId="2F9602DA" w14:textId="77777777" w:rsidR="000D1F23" w:rsidRDefault="000D1F23" w:rsidP="000D1F23">
      <w:pPr>
        <w:spacing w:after="0"/>
        <w:rPr>
          <w:rFonts w:ascii="Verdana" w:hAnsi="Verdana"/>
          <w:sz w:val="20"/>
          <w:szCs w:val="20"/>
        </w:rPr>
      </w:pPr>
    </w:p>
    <w:p w14:paraId="28F83260" w14:textId="1F6CA1EF" w:rsidR="000D1F23" w:rsidRPr="00E31648" w:rsidRDefault="000D1F23" w:rsidP="000D1F23">
      <w:pPr>
        <w:spacing w:after="0" w:line="240" w:lineRule="auto"/>
      </w:pPr>
      <w:r w:rsidRPr="00C562D4">
        <w:rPr>
          <w:rFonts w:ascii="Verdana" w:eastAsia="Calibri" w:hAnsi="Verdana" w:cs="Arial"/>
          <w:color w:val="000000" w:themeColor="text1"/>
        </w:rPr>
        <w:lastRenderedPageBreak/>
        <w:t xml:space="preserve">Bogotá D.C., </w:t>
      </w:r>
      <w:r w:rsidR="00AE4EF8">
        <w:rPr>
          <w:rFonts w:ascii="Verdana" w:eastAsia="Calibri" w:hAnsi="Verdana" w:cs="Arial"/>
          <w:color w:val="000000" w:themeColor="text1"/>
        </w:rPr>
        <w:t>20</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mayo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54B143CC" w14:textId="77777777" w:rsidR="000D1F23" w:rsidRDefault="000D1F23" w:rsidP="000D1F23">
      <w:pPr>
        <w:spacing w:after="0" w:line="240" w:lineRule="auto"/>
        <w:jc w:val="both"/>
        <w:rPr>
          <w:rFonts w:ascii="Verdana" w:eastAsia="Calibri" w:hAnsi="Verdana" w:cs="Arial"/>
          <w:color w:val="000000" w:themeColor="text1"/>
          <w:lang w:val="es-ES"/>
        </w:rPr>
      </w:pPr>
    </w:p>
    <w:p w14:paraId="27804124" w14:textId="1E374045" w:rsidR="00024DB4" w:rsidRDefault="00024DB4" w:rsidP="00024DB4">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77E43C2C" wp14:editId="55AB0DA4">
            <wp:extent cx="2609850" cy="752475"/>
            <wp:effectExtent l="0" t="0" r="0" b="9525"/>
            <wp:docPr id="961809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9850" cy="752475"/>
                    </a:xfrm>
                    <a:prstGeom prst="rect">
                      <a:avLst/>
                    </a:prstGeom>
                    <a:noFill/>
                    <a:ln>
                      <a:noFill/>
                    </a:ln>
                  </pic:spPr>
                </pic:pic>
              </a:graphicData>
            </a:graphic>
          </wp:inline>
        </w:drawing>
      </w:r>
    </w:p>
    <w:p w14:paraId="57D46221" w14:textId="77777777" w:rsidR="00024DB4" w:rsidRDefault="00024DB4" w:rsidP="000D1F23">
      <w:pPr>
        <w:spacing w:after="0" w:line="240" w:lineRule="auto"/>
        <w:jc w:val="both"/>
        <w:rPr>
          <w:rFonts w:ascii="Verdana" w:eastAsia="Calibri" w:hAnsi="Verdana" w:cs="Arial"/>
          <w:color w:val="000000" w:themeColor="text1"/>
          <w:lang w:val="es-ES"/>
        </w:rPr>
      </w:pPr>
    </w:p>
    <w:p w14:paraId="2F82C86B" w14:textId="77777777" w:rsidR="000D1F23" w:rsidRDefault="000D1F23" w:rsidP="000D1F23">
      <w:pPr>
        <w:spacing w:after="0" w:line="240" w:lineRule="auto"/>
        <w:jc w:val="both"/>
        <w:rPr>
          <w:rFonts w:ascii="Verdana" w:eastAsia="Calibri" w:hAnsi="Verdana" w:cs="Arial"/>
          <w:color w:val="000000" w:themeColor="text1"/>
          <w:lang w:val="es-ES" w:eastAsia="es-ES"/>
        </w:rPr>
      </w:pPr>
    </w:p>
    <w:p w14:paraId="474F8C82" w14:textId="77777777" w:rsidR="000D1F23" w:rsidRPr="0046108F" w:rsidRDefault="000D1F23" w:rsidP="000D1F23">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51CE36AF" w14:textId="77777777" w:rsidR="000D1F23" w:rsidRDefault="000D1F23" w:rsidP="000D1F23">
      <w:pPr>
        <w:spacing w:after="0" w:line="240" w:lineRule="auto"/>
        <w:rPr>
          <w:rFonts w:ascii="Verdana" w:eastAsia="Calibri" w:hAnsi="Verdana" w:cs="Arial"/>
          <w:b/>
          <w:bCs/>
          <w:lang w:eastAsia="es-ES"/>
        </w:rPr>
      </w:pPr>
      <w:r w:rsidRPr="009A6BD6">
        <w:rPr>
          <w:rFonts w:ascii="Verdana" w:eastAsia="Calibri" w:hAnsi="Verdana" w:cs="Arial"/>
          <w:b/>
          <w:bCs/>
          <w:lang w:eastAsia="es-ES"/>
        </w:rPr>
        <w:t>YEDSON FERNEY GUERRERO NINO</w:t>
      </w:r>
    </w:p>
    <w:p w14:paraId="6F14C125" w14:textId="77777777" w:rsidR="000D1F23" w:rsidRPr="00D57FE3" w:rsidRDefault="000D1F23" w:rsidP="000D1F23">
      <w:pPr>
        <w:spacing w:after="0" w:line="240" w:lineRule="auto"/>
        <w:rPr>
          <w:rFonts w:ascii="Verdana" w:eastAsia="Calibri" w:hAnsi="Verdana" w:cs="Arial"/>
          <w:lang w:val="es-ES" w:eastAsia="es-ES"/>
        </w:rPr>
      </w:pPr>
      <w:hyperlink r:id="rId11" w:history="1">
        <w:r w:rsidRPr="0085785C">
          <w:rPr>
            <w:rStyle w:val="Hipervnculo"/>
            <w:rFonts w:ascii="Verdana" w:hAnsi="Verdana"/>
          </w:rPr>
          <w:t>jeisonguerrero1013@gmail.com</w:t>
        </w:r>
      </w:hyperlink>
      <w:r>
        <w:rPr>
          <w:rFonts w:ascii="Verdana" w:hAnsi="Verdana"/>
        </w:rPr>
        <w:t xml:space="preserve"> </w:t>
      </w:r>
      <w:r w:rsidRPr="00D57FE3">
        <w:rPr>
          <w:rFonts w:ascii="Verdana" w:eastAsia="Calibri" w:hAnsi="Verdana" w:cs="Arial"/>
          <w:lang w:eastAsia="es-ES"/>
        </w:rPr>
        <w:t xml:space="preserve"> </w:t>
      </w:r>
    </w:p>
    <w:p w14:paraId="0A42A606" w14:textId="77777777" w:rsidR="000D1F23" w:rsidRPr="006B17A7" w:rsidRDefault="000D1F23" w:rsidP="000D1F23">
      <w:pPr>
        <w:spacing w:after="0" w:line="240" w:lineRule="auto"/>
        <w:rPr>
          <w:rFonts w:ascii="Verdana" w:eastAsia="Calibri" w:hAnsi="Verdana" w:cs="Arial"/>
          <w:b/>
          <w:bCs/>
          <w:lang w:val="es-ES" w:eastAsia="es-ES"/>
        </w:rPr>
      </w:pPr>
      <w:r>
        <w:rPr>
          <w:rFonts w:ascii="Verdana" w:eastAsia="Calibri" w:hAnsi="Verdana" w:cs="Arial"/>
          <w:lang w:val="es-ES" w:eastAsia="es-ES"/>
        </w:rPr>
        <w:t>Arauca (Arauca)</w:t>
      </w:r>
    </w:p>
    <w:p w14:paraId="39E7F824" w14:textId="77777777" w:rsidR="000D1F23" w:rsidRPr="00CB7ABE" w:rsidRDefault="000D1F23" w:rsidP="000D1F23">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0D1F23" w:rsidRPr="00115E3D" w14:paraId="49BCEE7D" w14:textId="77777777" w:rsidTr="00C63CAF">
        <w:trPr>
          <w:trHeight w:val="615"/>
        </w:trPr>
        <w:tc>
          <w:tcPr>
            <w:tcW w:w="2270" w:type="dxa"/>
          </w:tcPr>
          <w:p w14:paraId="13274D41" w14:textId="77777777" w:rsidR="000D1F23" w:rsidRPr="00CB7ABE" w:rsidRDefault="000D1F23" w:rsidP="00C63CAF">
            <w:pPr>
              <w:jc w:val="both"/>
              <w:rPr>
                <w:rFonts w:ascii="Verdana" w:eastAsia="Calibri" w:hAnsi="Verdana" w:cs="Arial"/>
                <w:b/>
                <w:bCs/>
                <w:color w:val="000000" w:themeColor="text1"/>
                <w:lang w:eastAsia="es-ES_tradnl"/>
              </w:rPr>
            </w:pPr>
          </w:p>
        </w:tc>
        <w:tc>
          <w:tcPr>
            <w:tcW w:w="6547" w:type="dxa"/>
          </w:tcPr>
          <w:p w14:paraId="65CB77B9" w14:textId="77777777" w:rsidR="000D1F23" w:rsidRPr="008A209A" w:rsidRDefault="000D1F23" w:rsidP="00C63CAF">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559</w:t>
            </w:r>
            <w:r w:rsidRPr="008A209A">
              <w:rPr>
                <w:rFonts w:ascii="Verdana" w:eastAsia="Calibri" w:hAnsi="Verdana" w:cs="Arial"/>
                <w:b/>
                <w:bCs/>
                <w:color w:val="000000" w:themeColor="text1"/>
                <w:lang w:val="es-ES" w:eastAsia="es-ES"/>
              </w:rPr>
              <w:t xml:space="preserve"> de 2026</w:t>
            </w:r>
          </w:p>
        </w:tc>
      </w:tr>
      <w:tr w:rsidR="000D1F23" w:rsidRPr="007E403E" w14:paraId="67F16102" w14:textId="77777777" w:rsidTr="00C63CAF">
        <w:trPr>
          <w:trHeight w:val="1071"/>
        </w:trPr>
        <w:tc>
          <w:tcPr>
            <w:tcW w:w="2270" w:type="dxa"/>
          </w:tcPr>
          <w:p w14:paraId="70161C08" w14:textId="77777777" w:rsidR="000D1F23" w:rsidRPr="001B36DA" w:rsidRDefault="000D1F23" w:rsidP="00C63CAF">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1B3E4AF5" w14:textId="77777777" w:rsidR="000D1F23" w:rsidRDefault="000D1F23" w:rsidP="00C63CAF">
            <w:pPr>
              <w:spacing w:line="276" w:lineRule="auto"/>
              <w:jc w:val="both"/>
              <w:rPr>
                <w:rFonts w:ascii="Verdana" w:eastAsia="Calibri" w:hAnsi="Verdana" w:cs="Arial"/>
                <w:lang w:val="es-ES" w:eastAsia="es-ES"/>
              </w:rPr>
            </w:pPr>
            <w:r w:rsidRPr="00983DE2">
              <w:rPr>
                <w:rFonts w:ascii="Verdana" w:eastAsia="Calibri" w:hAnsi="Verdana" w:cs="Arial"/>
                <w:lang w:val="es-ES" w:eastAsia="es-ES"/>
              </w:rPr>
              <w:t>GARANTÍAS – Contratación estatal – Constitución de garantías – Finalidad – Cumplimiento – Obligaciones contractuales / GARANTÍA DE CUMPLIMIENTO – Amparos – Finalidad / GARANTÍA DE RESPONSABILIDAD CIVIL EXTRACONTRACTUAL – Características – Suficiencia – Criterios de aprobación</w:t>
            </w:r>
            <w:r>
              <w:rPr>
                <w:rFonts w:ascii="Verdana" w:eastAsia="Calibri" w:hAnsi="Verdana" w:cs="Arial"/>
                <w:lang w:val="es-ES" w:eastAsia="es-ES"/>
              </w:rPr>
              <w:t>.</w:t>
            </w:r>
          </w:p>
          <w:p w14:paraId="3FCE49C8" w14:textId="77777777" w:rsidR="000D1F23" w:rsidRPr="005E256F" w:rsidRDefault="000D1F23" w:rsidP="00C63CAF">
            <w:pPr>
              <w:spacing w:line="276" w:lineRule="auto"/>
              <w:jc w:val="both"/>
              <w:rPr>
                <w:rFonts w:ascii="Verdana" w:eastAsia="Calibri" w:hAnsi="Verdana" w:cs="Arial"/>
                <w:color w:val="000000" w:themeColor="text1"/>
                <w:highlight w:val="yellow"/>
                <w:lang w:val="es-ES" w:eastAsia="es-ES"/>
              </w:rPr>
            </w:pPr>
          </w:p>
        </w:tc>
      </w:tr>
      <w:tr w:rsidR="000D1F23" w:rsidRPr="00115E3D" w14:paraId="1EC7F2D6" w14:textId="77777777" w:rsidTr="00C63CAF">
        <w:trPr>
          <w:trHeight w:val="653"/>
        </w:trPr>
        <w:tc>
          <w:tcPr>
            <w:tcW w:w="2270" w:type="dxa"/>
          </w:tcPr>
          <w:p w14:paraId="32238463" w14:textId="77777777" w:rsidR="000D1F23" w:rsidRPr="00CB7ABE" w:rsidRDefault="000D1F23" w:rsidP="00C63CAF">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179A8AB5" w14:textId="77777777" w:rsidR="000D1F23" w:rsidRPr="00CB7ABE" w:rsidRDefault="000D1F23" w:rsidP="00C63CAF">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9A6BD6">
              <w:rPr>
                <w:rFonts w:ascii="Verdana" w:eastAsia="Calibri" w:hAnsi="Verdana" w:cs="Arial"/>
                <w:color w:val="000000" w:themeColor="text1"/>
                <w:lang w:val="es-ES_tradnl" w:eastAsia="es-ES_tradnl"/>
              </w:rPr>
              <w:t>1_2026_04_08_004738</w:t>
            </w:r>
          </w:p>
        </w:tc>
      </w:tr>
      <w:tr w:rsidR="000D1F23" w:rsidRPr="00115E3D" w14:paraId="21C21757" w14:textId="77777777" w:rsidTr="00C63CAF">
        <w:trPr>
          <w:trHeight w:val="653"/>
        </w:trPr>
        <w:tc>
          <w:tcPr>
            <w:tcW w:w="2270" w:type="dxa"/>
          </w:tcPr>
          <w:p w14:paraId="77BBAE3E" w14:textId="77777777" w:rsidR="000D1F23" w:rsidRPr="00CB7ABE" w:rsidRDefault="000D1F23" w:rsidP="00C63CAF">
            <w:pPr>
              <w:jc w:val="both"/>
              <w:rPr>
                <w:rFonts w:ascii="Verdana" w:eastAsia="Calibri" w:hAnsi="Verdana" w:cs="Arial"/>
                <w:b/>
                <w:color w:val="000000" w:themeColor="text1"/>
                <w:lang w:val="es-ES_tradnl" w:eastAsia="es-ES_tradnl"/>
              </w:rPr>
            </w:pPr>
          </w:p>
        </w:tc>
        <w:tc>
          <w:tcPr>
            <w:tcW w:w="6547" w:type="dxa"/>
          </w:tcPr>
          <w:p w14:paraId="76186AB2" w14:textId="77777777" w:rsidR="000D1F23" w:rsidRPr="00CB7ABE" w:rsidRDefault="000D1F23" w:rsidP="00C63CAF">
            <w:pPr>
              <w:ind w:right="1"/>
              <w:jc w:val="both"/>
              <w:rPr>
                <w:rFonts w:ascii="Verdana" w:eastAsia="Calibri" w:hAnsi="Verdana" w:cs="Arial"/>
                <w:color w:val="000000" w:themeColor="text1"/>
                <w:lang w:val="es-ES_tradnl" w:eastAsia="es-ES_tradnl"/>
              </w:rPr>
            </w:pPr>
          </w:p>
        </w:tc>
      </w:tr>
    </w:tbl>
    <w:p w14:paraId="2E063501" w14:textId="77777777" w:rsidR="000D1F23" w:rsidRPr="00115E3D" w:rsidRDefault="000D1F23" w:rsidP="000D1F2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Guerrero;</w:t>
      </w:r>
    </w:p>
    <w:p w14:paraId="3F2C3D62" w14:textId="77777777" w:rsidR="000D1F23" w:rsidRPr="00115E3D" w:rsidRDefault="000D1F23" w:rsidP="000D1F23">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1F3BA029" w14:textId="77777777" w:rsidR="000D1F23" w:rsidRPr="00115E3D" w:rsidRDefault="000D1F23" w:rsidP="000D1F23">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08 de abril de 2026 </w:t>
      </w:r>
      <w:r w:rsidRPr="00115E3D">
        <w:rPr>
          <w:rFonts w:ascii="Verdana" w:eastAsia="Calibri" w:hAnsi="Verdana" w:cs="Arial"/>
          <w:color w:val="000000" w:themeColor="text1"/>
          <w:lang w:val="es-ES" w:eastAsia="es-ES"/>
        </w:rPr>
        <w:t xml:space="preserve">en la cual manifiesta lo siguiente: </w:t>
      </w:r>
    </w:p>
    <w:p w14:paraId="4D7C0A47" w14:textId="77777777" w:rsidR="000D1F23" w:rsidRDefault="000D1F23" w:rsidP="000D1F23">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2AA32747" w14:textId="77777777" w:rsidR="000D1F23" w:rsidRDefault="000D1F23" w:rsidP="000D1F23">
      <w:pPr>
        <w:spacing w:after="0" w:line="240" w:lineRule="auto"/>
        <w:ind w:left="709" w:right="709"/>
        <w:jc w:val="both"/>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t>“</w:t>
      </w:r>
    </w:p>
    <w:p w14:paraId="50268E55"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t>Solicito concepto jurídico sobre la necesidad de acreditar el pago de la</w:t>
      </w:r>
    </w:p>
    <w:p w14:paraId="722F2DEA"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t>prima para la aprobación de la garantía única de cumplimiento.</w:t>
      </w:r>
    </w:p>
    <w:p w14:paraId="17015E73"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lastRenderedPageBreak/>
        <w:t>Caso: Contrato suscrito el 06 de marzo de 2026. El contratista allega</w:t>
      </w:r>
    </w:p>
    <w:p w14:paraId="2A911FBF"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t>póliza ese mismo día, sin comprobante de pago. La prima se paga y</w:t>
      </w:r>
    </w:p>
    <w:p w14:paraId="1C7B9E2F"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t>acredita el 09 de marzo de 2026.</w:t>
      </w:r>
    </w:p>
    <w:p w14:paraId="4D70229A"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t>Inquietudes:</w:t>
      </w:r>
    </w:p>
    <w:p w14:paraId="61EC4A41"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t>1. ¿Puede aprobarse la garantía sin acreditar el pago de la prima?</w:t>
      </w:r>
    </w:p>
    <w:p w14:paraId="40E9976D"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t>2. ¿El pago posterior afecta la validez y exigibilidad de la póliza?</w:t>
      </w:r>
    </w:p>
    <w:p w14:paraId="5C62F515" w14:textId="77777777" w:rsidR="000D1F23" w:rsidRPr="006F167F" w:rsidRDefault="000D1F23" w:rsidP="000D1F23">
      <w:pPr>
        <w:spacing w:after="0" w:line="240" w:lineRule="auto"/>
        <w:ind w:left="709" w:right="709"/>
        <w:jc w:val="both"/>
        <w:rPr>
          <w:rFonts w:ascii="Verdana" w:eastAsia="Century Gothic" w:hAnsi="Verdana" w:cs="Century Gothic"/>
          <w:i/>
          <w:iCs/>
          <w:color w:val="000000" w:themeColor="text1"/>
          <w:sz w:val="20"/>
          <w:szCs w:val="20"/>
        </w:rPr>
      </w:pPr>
      <w:r w:rsidRPr="006F167F">
        <w:rPr>
          <w:rFonts w:ascii="Verdana" w:eastAsia="Century Gothic" w:hAnsi="Verdana" w:cs="Century Gothic"/>
          <w:i/>
          <w:iCs/>
          <w:color w:val="000000" w:themeColor="text1"/>
          <w:sz w:val="20"/>
          <w:szCs w:val="20"/>
        </w:rPr>
        <w:t>3. ¿Incide esta situación en la fecha de inicio del contrato: 06 o 09 de</w:t>
      </w:r>
    </w:p>
    <w:p w14:paraId="5B610137" w14:textId="77777777" w:rsidR="000D1F23" w:rsidRPr="00F9394E" w:rsidRDefault="000D1F23" w:rsidP="000D1F23">
      <w:pPr>
        <w:spacing w:after="0" w:line="240" w:lineRule="auto"/>
        <w:ind w:left="709" w:right="709"/>
        <w:jc w:val="both"/>
        <w:rPr>
          <w:rFonts w:ascii="Verdana" w:eastAsia="Century Gothic" w:hAnsi="Verdana" w:cs="Century Gothic"/>
          <w:i/>
          <w:iCs/>
          <w:color w:val="000000" w:themeColor="text1"/>
          <w:sz w:val="20"/>
          <w:szCs w:val="20"/>
          <w:lang w:val="es-MX"/>
        </w:rPr>
      </w:pPr>
      <w:r w:rsidRPr="006F167F">
        <w:rPr>
          <w:rFonts w:ascii="Verdana" w:eastAsia="Century Gothic" w:hAnsi="Verdana" w:cs="Century Gothic"/>
          <w:i/>
          <w:iCs/>
          <w:color w:val="000000" w:themeColor="text1"/>
          <w:sz w:val="20"/>
          <w:szCs w:val="20"/>
        </w:rPr>
        <w:t>marzo de 2026?</w:t>
      </w:r>
      <w:r>
        <w:rPr>
          <w:rFonts w:ascii="Verdana" w:eastAsia="Century Gothic" w:hAnsi="Verdana" w:cs="Century Gothic"/>
          <w:i/>
          <w:iCs/>
          <w:color w:val="000000" w:themeColor="text1"/>
          <w:sz w:val="20"/>
          <w:szCs w:val="20"/>
          <w:lang w:val="es-MX"/>
        </w:rPr>
        <w:t>“</w:t>
      </w:r>
    </w:p>
    <w:p w14:paraId="33788BF9" w14:textId="77777777" w:rsidR="000D1F23" w:rsidRDefault="000D1F23" w:rsidP="000D1F23">
      <w:pPr>
        <w:spacing w:after="0" w:line="240" w:lineRule="auto"/>
        <w:ind w:left="709" w:right="709"/>
        <w:jc w:val="both"/>
        <w:rPr>
          <w:rFonts w:ascii="Verdana" w:eastAsia="Century Gothic" w:hAnsi="Verdana" w:cs="Century Gothic"/>
          <w:i/>
          <w:iCs/>
          <w:color w:val="000000" w:themeColor="text1"/>
          <w:sz w:val="20"/>
          <w:szCs w:val="20"/>
          <w:lang w:val="es-ES"/>
        </w:rPr>
      </w:pPr>
    </w:p>
    <w:p w14:paraId="329EA600" w14:textId="77777777" w:rsidR="000D1F23" w:rsidRDefault="000D1F23" w:rsidP="000D1F23">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0B531FFA" w14:textId="77777777" w:rsidR="000D1F23" w:rsidRPr="00115E3D" w:rsidRDefault="000D1F23" w:rsidP="000D1F23">
      <w:pPr>
        <w:spacing w:after="0" w:line="240" w:lineRule="auto"/>
        <w:ind w:right="49"/>
        <w:jc w:val="both"/>
        <w:rPr>
          <w:rFonts w:ascii="Verdana" w:eastAsia="Calibri" w:hAnsi="Verdana" w:cs="Arial"/>
          <w:color w:val="000000" w:themeColor="text1"/>
          <w:szCs w:val="24"/>
          <w:lang w:val="es-ES_tradnl" w:eastAsia="es-ES_tradnl"/>
        </w:rPr>
      </w:pPr>
    </w:p>
    <w:p w14:paraId="0EFE625C" w14:textId="77777777" w:rsidR="000D1F23" w:rsidRPr="00115E3D" w:rsidRDefault="000D1F23" w:rsidP="000D1F23">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5010212A" w14:textId="77777777" w:rsidR="000D1F23" w:rsidRPr="00115E3D" w:rsidRDefault="000D1F23" w:rsidP="000D1F23">
      <w:pPr>
        <w:spacing w:after="0" w:line="276" w:lineRule="auto"/>
        <w:ind w:firstLine="709"/>
        <w:jc w:val="both"/>
        <w:rPr>
          <w:rFonts w:ascii="Verdana" w:eastAsia="Calibri" w:hAnsi="Verdana" w:cs="Arial"/>
          <w:color w:val="000000" w:themeColor="text1"/>
          <w:lang w:val="es-ES" w:eastAsia="es-ES"/>
        </w:rPr>
      </w:pPr>
    </w:p>
    <w:p w14:paraId="15D51583" w14:textId="77777777" w:rsidR="000D1F23" w:rsidRPr="00115E3D" w:rsidRDefault="000D1F23" w:rsidP="000D1F2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2AA7007B" w14:textId="77777777" w:rsidR="000D1F23" w:rsidRPr="00115E3D" w:rsidRDefault="000D1F23" w:rsidP="000D1F23">
      <w:pPr>
        <w:tabs>
          <w:tab w:val="left" w:pos="426"/>
        </w:tabs>
        <w:spacing w:after="0" w:line="276" w:lineRule="auto"/>
        <w:jc w:val="both"/>
        <w:rPr>
          <w:rFonts w:ascii="Verdana" w:eastAsia="Century Gothic" w:hAnsi="Verdana" w:cs="Century Gothic"/>
          <w:color w:val="000000" w:themeColor="text1"/>
          <w:lang w:val="es-ES"/>
        </w:rPr>
      </w:pPr>
    </w:p>
    <w:p w14:paraId="63CA49DF" w14:textId="77777777" w:rsidR="000D1F23" w:rsidRDefault="000D1F23" w:rsidP="000D1F23">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E74B20">
        <w:rPr>
          <w:rFonts w:ascii="Verdana" w:hAnsi="Verdana"/>
        </w:rPr>
        <w:t>¿Puede una Entidad Estatal aprobar la garantía única de cumplimiento de un contrato estatal sin que el contratista acredite el pago de la prima de la póliza, y en caso de que dicho pago se efectúe con posterioridad a la expedición y aprobación de la garantía, ello afecta su validez, exigibilidad o la fecha de inicio de ejecución del contrato?</w:t>
      </w:r>
    </w:p>
    <w:p w14:paraId="6280CC06" w14:textId="77777777" w:rsidR="000D1F23" w:rsidRDefault="000D1F23" w:rsidP="000D1F23">
      <w:pPr>
        <w:spacing w:after="0" w:line="276" w:lineRule="auto"/>
        <w:jc w:val="both"/>
        <w:rPr>
          <w:rFonts w:ascii="Verdana" w:hAnsi="Verdana"/>
        </w:rPr>
      </w:pPr>
    </w:p>
    <w:p w14:paraId="021FDE1F" w14:textId="77777777" w:rsidR="000D1F23" w:rsidRPr="00115E3D" w:rsidRDefault="000D1F23" w:rsidP="000D1F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lastRenderedPageBreak/>
        <w:t>Respuesta:</w:t>
      </w:r>
    </w:p>
    <w:p w14:paraId="1B98F9DF" w14:textId="77777777" w:rsidR="000D1F23" w:rsidRPr="00115E3D" w:rsidRDefault="000D1F23" w:rsidP="000D1F2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D1F23" w:rsidRPr="00115E3D" w14:paraId="6B35CD57" w14:textId="77777777" w:rsidTr="00C63CAF">
        <w:trPr>
          <w:trHeight w:val="774"/>
        </w:trPr>
        <w:tc>
          <w:tcPr>
            <w:tcW w:w="8828" w:type="dxa"/>
          </w:tcPr>
          <w:p w14:paraId="56B692BD" w14:textId="77777777" w:rsidR="000D1F23" w:rsidRPr="004B5BD7" w:rsidRDefault="000D1F23" w:rsidP="00C63CAF">
            <w:pPr>
              <w:spacing w:after="120" w:line="276" w:lineRule="auto"/>
              <w:jc w:val="both"/>
              <w:rPr>
                <w:rFonts w:ascii="Verdana" w:eastAsia="Arial" w:hAnsi="Verdana" w:cs="Arial"/>
              </w:rPr>
            </w:pPr>
            <w:r>
              <w:rPr>
                <w:rFonts w:ascii="Verdana" w:eastAsia="Arial" w:hAnsi="Verdana" w:cs="Arial"/>
              </w:rPr>
              <w:t xml:space="preserve">       </w:t>
            </w:r>
            <w:r w:rsidRPr="004B5BD7">
              <w:rPr>
                <w:rFonts w:ascii="Verdana" w:eastAsia="Arial" w:hAnsi="Verdana" w:cs="Arial"/>
              </w:rPr>
              <w:t>De conformidad con el artículo 7 de la Ley 1150 de 2007 y los artículos 2.2.1.2.3.1.1 a 2.2.1.2.3.1.19 del Decreto 1082 de 2015, las garantías contractuales en la contratación estatal tienen como finalidad cubrir los riesgos derivados del proceso contractual y asegurar el cumplimiento de las obligaciones asumidas por el contratista durante la ejecución del contrato, en condiciones de suficiencia, vigencia e idoneidad. En ese sentido, corresponde a la Entidad Estatal verificar, al momento de la constitución y aprobación de la garantía, que la póliza presentada por el contratista cumpla con las condiciones de suficiencia en términos de valor asegurado, vigencia, cobertura y amparos exigidos por la normativa y por los documentos del proceso contractual.</w:t>
            </w:r>
          </w:p>
          <w:p w14:paraId="35284C61" w14:textId="77777777" w:rsidR="000D1F23" w:rsidRPr="004B5BD7" w:rsidRDefault="000D1F23" w:rsidP="00C63CAF">
            <w:pPr>
              <w:spacing w:after="120" w:line="276" w:lineRule="auto"/>
              <w:jc w:val="both"/>
              <w:rPr>
                <w:rFonts w:ascii="Verdana" w:eastAsia="Arial" w:hAnsi="Verdana" w:cs="Arial"/>
              </w:rPr>
            </w:pPr>
            <w:r>
              <w:rPr>
                <w:rFonts w:ascii="Verdana" w:eastAsia="Arial" w:hAnsi="Verdana" w:cs="Arial"/>
              </w:rPr>
              <w:t xml:space="preserve">          </w:t>
            </w:r>
            <w:r w:rsidRPr="004B5BD7">
              <w:rPr>
                <w:rFonts w:ascii="Verdana" w:eastAsia="Arial" w:hAnsi="Verdana" w:cs="Arial"/>
              </w:rPr>
              <w:t>Ahora bien, el artículo 2.2.1.2.3.2.1 del Decreto 1082 de 2015 establece expresamente que “la garantía de cumplimiento no expirará por falta de pago de la prima o por revocatoria unilateral”. Esta disposición constituye una regla especial en materia de contratación estatal y una excepción al régimen general del contrato de seguro previsto en el artículo 1068 del Código de Comercio, según el cual la mora en el pago de la prima puede generar la terminación automática del contrato de seguro. En materia de contratación estatal, el legislador y el reglamento optaron por privilegiar la protección del interés público y del patrimonio estatal, evitando que la Entidad Estatal quede desamparada por circunstancias derivadas de la relación económica entre el contratista y la compañía aseguradora.</w:t>
            </w:r>
          </w:p>
          <w:p w14:paraId="6606F868" w14:textId="77777777" w:rsidR="000D1F23" w:rsidRPr="004B5BD7" w:rsidRDefault="000D1F23" w:rsidP="00C63CAF">
            <w:pPr>
              <w:spacing w:after="120" w:line="276" w:lineRule="auto"/>
              <w:jc w:val="both"/>
              <w:rPr>
                <w:rFonts w:ascii="Verdana" w:eastAsia="Arial" w:hAnsi="Verdana" w:cs="Arial"/>
              </w:rPr>
            </w:pPr>
            <w:r>
              <w:rPr>
                <w:rFonts w:ascii="Verdana" w:eastAsia="Arial" w:hAnsi="Verdana" w:cs="Arial"/>
              </w:rPr>
              <w:t xml:space="preserve">          E</w:t>
            </w:r>
            <w:r w:rsidRPr="004B5BD7">
              <w:rPr>
                <w:rFonts w:ascii="Verdana" w:eastAsia="Arial" w:hAnsi="Verdana" w:cs="Arial"/>
              </w:rPr>
              <w:t>n efecto, la garantía única de cumplimiento involucra tres sujetos: la aseguradora, el contratista como tomador y la Entidad Estatal como asegurada y beneficiaria. Bajo esa lógica, la normativa buscó impedir que el incumplimiento del contratista frente al pago de la prima pudiera afectar los derechos de la entidad asegurada. Por ello, la aseguradora no puede oponer frente a la Entidad Estatal la falta de pago de la prima para desconocer la vigencia, validez o exigibilidad de la póliza, ni tampoco puede revocarla unilateralmente sin autorización de la entidad beneficiaria.</w:t>
            </w:r>
          </w:p>
          <w:p w14:paraId="34749F73" w14:textId="77777777" w:rsidR="000D1F23" w:rsidRPr="004B5BD7" w:rsidRDefault="000D1F23" w:rsidP="00C63CAF">
            <w:pPr>
              <w:spacing w:after="120" w:line="276" w:lineRule="auto"/>
              <w:jc w:val="both"/>
              <w:rPr>
                <w:rFonts w:ascii="Verdana" w:eastAsia="Arial" w:hAnsi="Verdana" w:cs="Arial"/>
              </w:rPr>
            </w:pPr>
            <w:r>
              <w:rPr>
                <w:rFonts w:ascii="Verdana" w:eastAsia="Arial" w:hAnsi="Verdana" w:cs="Arial"/>
              </w:rPr>
              <w:t xml:space="preserve">          </w:t>
            </w:r>
            <w:r w:rsidRPr="004B5BD7">
              <w:rPr>
                <w:rFonts w:ascii="Verdana" w:eastAsia="Arial" w:hAnsi="Verdana" w:cs="Arial"/>
              </w:rPr>
              <w:t xml:space="preserve">A partir de esta regulación, la Agencia Nacional de Contratación Pública – Colombia Compra Eficiente ha señalado expresamente que no es necesario acreditar el pago de la prima para la aprobación de la garantía única de </w:t>
            </w:r>
            <w:r w:rsidRPr="004B5BD7">
              <w:rPr>
                <w:rFonts w:ascii="Verdana" w:eastAsia="Arial" w:hAnsi="Verdana" w:cs="Arial"/>
              </w:rPr>
              <w:lastRenderedPageBreak/>
              <w:t>cumplimiento, toda vez que la Entidad Estatal no se ve afectada en sus derechos como asegurada aun cuando exista mora en dicho pago</w:t>
            </w:r>
            <w:r>
              <w:rPr>
                <w:rStyle w:val="Refdenotaalpie"/>
                <w:rFonts w:ascii="Verdana" w:eastAsia="Arial" w:hAnsi="Verdana" w:cs="Arial"/>
              </w:rPr>
              <w:footnoteReference w:id="1"/>
            </w:r>
            <w:r w:rsidRPr="004B5BD7">
              <w:rPr>
                <w:rFonts w:ascii="Verdana" w:eastAsia="Arial" w:hAnsi="Verdana" w:cs="Arial"/>
              </w:rPr>
              <w:t xml:space="preserve">. </w:t>
            </w:r>
          </w:p>
          <w:p w14:paraId="7915C74E" w14:textId="77777777" w:rsidR="000D1F23" w:rsidRPr="004B5BD7" w:rsidRDefault="000D1F23" w:rsidP="00C63CAF">
            <w:pPr>
              <w:spacing w:after="120" w:line="276" w:lineRule="auto"/>
              <w:jc w:val="both"/>
              <w:rPr>
                <w:rFonts w:ascii="Verdana" w:eastAsia="Arial" w:hAnsi="Verdana" w:cs="Arial"/>
              </w:rPr>
            </w:pPr>
            <w:r>
              <w:rPr>
                <w:rFonts w:ascii="Verdana" w:eastAsia="Arial" w:hAnsi="Verdana" w:cs="Arial"/>
              </w:rPr>
              <w:t xml:space="preserve">        </w:t>
            </w:r>
            <w:r w:rsidRPr="004B5BD7">
              <w:rPr>
                <w:rFonts w:ascii="Verdana" w:eastAsia="Arial" w:hAnsi="Verdana" w:cs="Arial"/>
              </w:rPr>
              <w:t>En consecuencia, la acreditación del pago de la prima no constituye un requisito legal para la aprobación de la garantía única de cumplimiento. Lo jurídicamente relevante para la entidad es verificar que la póliza haya sido expedida válidamente, que corresponda al objeto contractual, que contenga los amparos exigidos y que cumpla con las condiciones de suficiencia y vigencia establecidas en la ley y en el contrato. Por tanto, la entidad puede aprobar válidamente la garantía aun cuando el contratista no haya aportado el comprobante de pago de la prima.</w:t>
            </w:r>
          </w:p>
          <w:p w14:paraId="538BF4F2" w14:textId="77777777" w:rsidR="000D1F23" w:rsidRPr="004B5BD7" w:rsidRDefault="000D1F23" w:rsidP="00C63CAF">
            <w:pPr>
              <w:spacing w:after="120" w:line="276" w:lineRule="auto"/>
              <w:jc w:val="both"/>
              <w:rPr>
                <w:rFonts w:ascii="Verdana" w:eastAsia="Arial" w:hAnsi="Verdana" w:cs="Arial"/>
              </w:rPr>
            </w:pPr>
            <w:r>
              <w:rPr>
                <w:rFonts w:ascii="Verdana" w:eastAsia="Arial" w:hAnsi="Verdana" w:cs="Arial"/>
              </w:rPr>
              <w:t xml:space="preserve">        De igual manera</w:t>
            </w:r>
            <w:r w:rsidRPr="004B5BD7">
              <w:rPr>
                <w:rFonts w:ascii="Verdana" w:eastAsia="Arial" w:hAnsi="Verdana" w:cs="Arial"/>
              </w:rPr>
              <w:t xml:space="preserve">, resulta recomendable consultar la </w:t>
            </w:r>
            <w:r>
              <w:rPr>
                <w:rFonts w:ascii="Verdana" w:eastAsia="Arial" w:hAnsi="Verdana" w:cs="Arial"/>
              </w:rPr>
              <w:t>“</w:t>
            </w:r>
            <w:r w:rsidRPr="004B5BD7">
              <w:rPr>
                <w:rFonts w:ascii="Verdana" w:eastAsia="Arial" w:hAnsi="Verdana" w:cs="Arial"/>
              </w:rPr>
              <w:t>Guía de garantías en Procesos de Contratación</w:t>
            </w:r>
            <w:r>
              <w:rPr>
                <w:rFonts w:ascii="Verdana" w:eastAsia="Arial" w:hAnsi="Verdana" w:cs="Arial"/>
              </w:rPr>
              <w:t>”</w:t>
            </w:r>
            <w:r>
              <w:rPr>
                <w:rStyle w:val="Refdenotaalpie"/>
                <w:rFonts w:ascii="Verdana" w:eastAsia="Arial" w:hAnsi="Verdana" w:cs="Arial"/>
              </w:rPr>
              <w:footnoteReference w:id="2"/>
            </w:r>
            <w:r w:rsidRPr="004B5BD7">
              <w:rPr>
                <w:rFonts w:ascii="Verdana" w:eastAsia="Arial" w:hAnsi="Verdana" w:cs="Arial"/>
              </w:rPr>
              <w:t>, expedida por Colombia Compra Eficiente, en la cual se desarrollan aspectos relacionados con la suficiencia de los amparos, aprobación de pólizas, vigencias, efectividad de las garantías y administración de riesgos contractuales en las Entidades Estatales.</w:t>
            </w:r>
          </w:p>
          <w:p w14:paraId="3B40BA43" w14:textId="77777777" w:rsidR="000D1F23" w:rsidRPr="00B643B2" w:rsidRDefault="000D1F23" w:rsidP="00C63CAF">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3D3667B8" w14:textId="77777777" w:rsidR="000D1F23" w:rsidRPr="0029110A" w:rsidRDefault="000D1F23" w:rsidP="00C63CAF">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0D1F23" w:rsidRPr="00115E3D" w14:paraId="27F3035E" w14:textId="77777777" w:rsidTr="00C63CAF">
        <w:trPr>
          <w:trHeight w:val="162"/>
        </w:trPr>
        <w:tc>
          <w:tcPr>
            <w:tcW w:w="8828" w:type="dxa"/>
          </w:tcPr>
          <w:p w14:paraId="0A137819" w14:textId="77777777" w:rsidR="000D1F23" w:rsidRDefault="000D1F23" w:rsidP="00C63CAF">
            <w:pPr>
              <w:spacing w:line="276" w:lineRule="auto"/>
              <w:jc w:val="both"/>
              <w:rPr>
                <w:rFonts w:ascii="Verdana" w:eastAsia="Calibri" w:hAnsi="Verdana" w:cs="Arial"/>
              </w:rPr>
            </w:pPr>
          </w:p>
        </w:tc>
      </w:tr>
    </w:tbl>
    <w:p w14:paraId="30D4EE0A" w14:textId="77777777" w:rsidR="000D1F23" w:rsidRDefault="000D1F23" w:rsidP="000D1F23">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73BCB4A5" w14:textId="77777777" w:rsidR="000D1F23" w:rsidRDefault="000D1F23" w:rsidP="000D1F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296B14EE" w14:textId="77777777" w:rsidR="000D1F23" w:rsidRDefault="000D1F23" w:rsidP="000D1F23">
      <w:pPr>
        <w:spacing w:after="120" w:line="276" w:lineRule="auto"/>
        <w:jc w:val="both"/>
        <w:rPr>
          <w:rFonts w:ascii="Verdana" w:hAnsi="Verdana"/>
        </w:rPr>
      </w:pPr>
    </w:p>
    <w:p w14:paraId="0C0EB306" w14:textId="77777777" w:rsidR="000D1F23" w:rsidRPr="003B7A7F" w:rsidRDefault="000D1F23" w:rsidP="000D1F23">
      <w:pPr>
        <w:spacing w:after="120" w:line="276" w:lineRule="auto"/>
        <w:jc w:val="both"/>
        <w:rPr>
          <w:rFonts w:ascii="Verdana" w:eastAsia="Calibri" w:hAnsi="Verdana" w:cs="Arial"/>
          <w:b/>
          <w:bCs/>
          <w:lang w:eastAsia="es-MX"/>
        </w:rPr>
      </w:pPr>
      <w:r>
        <w:rPr>
          <w:rFonts w:ascii="Verdana" w:hAnsi="Verdana"/>
        </w:rPr>
        <w:t>Lo anterior se sustenta en las siguientes consideraciones:</w:t>
      </w:r>
    </w:p>
    <w:p w14:paraId="2AF6A860"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De conformidad con el artículo 7 de la Ley 1150 de 2007 y los artículos 2.2.1.2.3.1.1 a 2.2.1.2.3.1.19 del Decreto 1082 de 2015, las garantías en la contratación estatal tienen como finalidad cubrir los riesgos derivados del proceso contractual y asegurar el cumplimiento de las obligaciones asumidas por el contratista durante la ejecución del contrato, en condiciones de suficiencia, vigencia e idoneidad. En este contexto, las garantías constituyen instrumentos de administración y cobertura del riesgo contractual orientados a la protección del patrimonio público y a garantizar que la Entidad Estatal cuente con mecanismos efectivos para obtener la reparación de los perjuicios que puedan ocasionarse por el incumplimiento del contratista.</w:t>
      </w:r>
    </w:p>
    <w:p w14:paraId="53A63162"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 xml:space="preserve">En desarrollo de dicha finalidad, corresponde a la </w:t>
      </w:r>
      <w:r>
        <w:rPr>
          <w:rFonts w:ascii="Verdana" w:eastAsia="Calibri" w:hAnsi="Verdana" w:cs="Arial"/>
          <w:lang w:eastAsia="es-MX"/>
        </w:rPr>
        <w:t>e</w:t>
      </w:r>
      <w:r w:rsidRPr="003B7A7F">
        <w:rPr>
          <w:rFonts w:ascii="Verdana" w:eastAsia="Calibri" w:hAnsi="Verdana" w:cs="Arial"/>
          <w:lang w:eastAsia="es-MX"/>
        </w:rPr>
        <w:t xml:space="preserve">ntidad </w:t>
      </w:r>
      <w:r>
        <w:rPr>
          <w:rFonts w:ascii="Verdana" w:eastAsia="Calibri" w:hAnsi="Verdana" w:cs="Arial"/>
          <w:lang w:eastAsia="es-MX"/>
        </w:rPr>
        <w:t>e</w:t>
      </w:r>
      <w:r w:rsidRPr="003B7A7F">
        <w:rPr>
          <w:rFonts w:ascii="Verdana" w:eastAsia="Calibri" w:hAnsi="Verdana" w:cs="Arial"/>
          <w:lang w:eastAsia="es-MX"/>
        </w:rPr>
        <w:t>statal verificar, al momento de la constitución y aprobación de la garantía, que la póliza presentada por el contratista cumpla con las condiciones exigidas por la normativa y por los documentos del proceso contractual, particularmente en lo relacionado con los amparos exigidos, la suficiencia del valor asegurado, la vigencia de la cobertura y la identificación correcta de las partes e intereses asegurados. En consecuencia, el análisis que debe adelantar la entidad se orienta a establecer si la garantía cubre adecuadamente los riesgos derivados del contrato y si ofrece una protección real y eficaz frente a eventuales incumplimientos contractuales.</w:t>
      </w:r>
    </w:p>
    <w:p w14:paraId="29C15385"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En particular, la garantía única de cumplimiento tiene como propósito amparar los perjuicios que pueda sufrir la Entidad Estatal como consecuencia del incumplimiento de las obligaciones a cargo del contratista. Por esta razón, el ordenamiento jurídico ha establecido un régimen especial para las garantías constituidas en favor de entidades públicas, diferenciándolas del régimen ordinario aplicable a los contratos de seguro regulados por el Código de Comercio.</w:t>
      </w:r>
    </w:p>
    <w:p w14:paraId="78ADE3C3"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 xml:space="preserve">En efecto, el inciso segundo del artículo 7 de la Ley 1150 de 2007 dispone expresamente que, tratándose de pólizas constituidas para garantizar contratos estatales, estas “no expirarán por falta de pago de la prima o por revocatoria </w:t>
      </w:r>
      <w:r w:rsidRPr="003B7A7F">
        <w:rPr>
          <w:rFonts w:ascii="Verdana" w:eastAsia="Calibri" w:hAnsi="Verdana" w:cs="Arial"/>
          <w:lang w:eastAsia="es-MX"/>
        </w:rPr>
        <w:lastRenderedPageBreak/>
        <w:t>unilateral”. Esta previsión legal fue desarrollada por el artículo 2.2.1.2.3.2.1 del Decreto 1082 de 2015, el cual establece:</w:t>
      </w:r>
    </w:p>
    <w:p w14:paraId="4207B6DC"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“La garantía de cumplimiento no expirará por falta de pago de la prima o por revocatoria unilateral”.</w:t>
      </w:r>
    </w:p>
    <w:p w14:paraId="3CFEFC0D"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La importancia jurídica de esta disposición radica en que constituye una excepción expresa al régimen general del contrato de seguro previsto en el artículo 1068 del Código de Comercio, conforme al cual la mora en el pago de la prima puede generar la terminación automática del seguro. Mientras en el régimen comercial ordinario el incumplimiento del tomador respecto del pago de la prima puede afectar la existencia y exigibilidad del seguro, en la contratación estatal el legislador y el reglamento decidieron privilegiar la protección del interés público y la continuidad de la cobertura frente a los riesgos contractuales.</w:t>
      </w:r>
    </w:p>
    <w:p w14:paraId="1D18484E"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La finalidad de esta regla especial es evitar que la Entidad Estatal quede desprovista de protección por circunstancias derivadas exclusivamente de la relación económica entre el contratista —en calidad de tomador— y la compañía aseguradora. En otras palabras, la normativa impide que la aseguradora pueda oponer frente a la Entidad Estatal la falta de pago de la prima como argumento para desconocer la vigencia, validez o exigibilidad de la garantía.</w:t>
      </w:r>
    </w:p>
    <w:p w14:paraId="479A9A0C"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Lo anterior cobra especial relevancia si se tiene en cuenta que en la garantía única de cumplimiento intervienen tres sujetos jurídicamente diferenciados: i) la aseguradora, quien asume el riesgo; ii) el contratista, quien actúa como tomador de la póliza; y iii) la Entidad Estatal, quien ostenta la calidad de asegurada y beneficiaria. En razón de esta estructura jurídica, el ordenamiento protege de manera reforzada a la Entidad Estatal, evitando que incumplimientos atribuibles exclusivamente al contratista afecten los derechos de la entidad beneficiaria.</w:t>
      </w:r>
    </w:p>
    <w:p w14:paraId="1114A3AA"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De esta manera, la falta de pago de la prima no produce la terminación automática de la garantía ni suspende sus efectos respecto de la Entidad Estatal. Así mismo, la aseguradora tampoco puede revocar unilateralmente la póliza mientras subsistan las obligaciones contractuales garantizadas. Por tanto, desde el momento mismo de la expedición de la póliza y de su aprobación por la entidad, la cobertura resulta exigible frente al asegurador, aun cuando el contratista no haya acreditado todavía el pago de la prima.</w:t>
      </w:r>
    </w:p>
    <w:p w14:paraId="5FD77A69"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 xml:space="preserve">Bajo este entendimiento, la obligación principal de la </w:t>
      </w:r>
      <w:r>
        <w:rPr>
          <w:rFonts w:ascii="Verdana" w:eastAsia="Calibri" w:hAnsi="Verdana" w:cs="Arial"/>
          <w:lang w:eastAsia="es-MX"/>
        </w:rPr>
        <w:t>e</w:t>
      </w:r>
      <w:r w:rsidRPr="003B7A7F">
        <w:rPr>
          <w:rFonts w:ascii="Verdana" w:eastAsia="Calibri" w:hAnsi="Verdana" w:cs="Arial"/>
          <w:lang w:eastAsia="es-MX"/>
        </w:rPr>
        <w:t xml:space="preserve">ntidad </w:t>
      </w:r>
      <w:r>
        <w:rPr>
          <w:rFonts w:ascii="Verdana" w:eastAsia="Calibri" w:hAnsi="Verdana" w:cs="Arial"/>
          <w:lang w:eastAsia="es-MX"/>
        </w:rPr>
        <w:t>e</w:t>
      </w:r>
      <w:r w:rsidRPr="003B7A7F">
        <w:rPr>
          <w:rFonts w:ascii="Verdana" w:eastAsia="Calibri" w:hAnsi="Verdana" w:cs="Arial"/>
          <w:lang w:eastAsia="es-MX"/>
        </w:rPr>
        <w:t xml:space="preserve">statal consiste en verificar que la garantía haya sido expedida válidamente y que cumpla las </w:t>
      </w:r>
      <w:r w:rsidRPr="003B7A7F">
        <w:rPr>
          <w:rFonts w:ascii="Verdana" w:eastAsia="Calibri" w:hAnsi="Verdana" w:cs="Arial"/>
          <w:lang w:eastAsia="es-MX"/>
        </w:rPr>
        <w:lastRenderedPageBreak/>
        <w:t>condiciones legales y contractuales exigidas en términos de suficiencia, cobertura y vigencia. En consecuencia, el comprobante de pago de la prima no constituye un requisito legal indispensable para la aprobación de la garantía única de cumplimiento.</w:t>
      </w:r>
    </w:p>
    <w:p w14:paraId="687FFD30"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Este criterio ha sido reconocido expresamente por la Agencia Nacional de Contratación Pública – Colombia Compra Eficiente, entidad que ha señalado</w:t>
      </w:r>
      <w:r>
        <w:rPr>
          <w:rStyle w:val="Refdenotaalpie"/>
          <w:rFonts w:ascii="Verdana" w:eastAsia="Calibri" w:hAnsi="Verdana" w:cs="Arial"/>
          <w:lang w:eastAsia="es-MX"/>
        </w:rPr>
        <w:footnoteReference w:id="3"/>
      </w:r>
      <w:r w:rsidRPr="003B7A7F">
        <w:rPr>
          <w:rFonts w:ascii="Verdana" w:eastAsia="Calibri" w:hAnsi="Verdana" w:cs="Arial"/>
          <w:lang w:eastAsia="es-MX"/>
        </w:rPr>
        <w:t>:</w:t>
      </w:r>
    </w:p>
    <w:p w14:paraId="1120FB9F" w14:textId="77777777" w:rsidR="000D1F23" w:rsidRPr="000E553C" w:rsidRDefault="000D1F23" w:rsidP="000D1F23">
      <w:pPr>
        <w:spacing w:after="120" w:line="276" w:lineRule="auto"/>
        <w:ind w:left="709" w:right="616" w:firstLine="360"/>
        <w:jc w:val="both"/>
        <w:rPr>
          <w:rFonts w:ascii="Verdana" w:eastAsia="Calibri" w:hAnsi="Verdana" w:cs="Arial"/>
          <w:sz w:val="20"/>
          <w:szCs w:val="20"/>
          <w:lang w:eastAsia="es-MX"/>
        </w:rPr>
      </w:pPr>
      <w:r w:rsidRPr="000E553C">
        <w:rPr>
          <w:rFonts w:ascii="Verdana" w:eastAsia="Calibri" w:hAnsi="Verdana" w:cs="Arial"/>
          <w:sz w:val="20"/>
          <w:szCs w:val="20"/>
          <w:lang w:eastAsia="es-MX"/>
        </w:rPr>
        <w:t>“El Decreto 1082 de 2015 establece que la garantía única de cumplimiento expedida a favor de Entidades Estatales no expira por falta de pago de la prima ni puede ser revocada unilateralmente. Por lo anterior no es necesario que para la aprobación de la garantía se acredite el pago de la prima, pues incluso en caso de no pago, la Entidad Estatal no podría verse afectada en ninguno de sus derechos en su calidad de asegurada”.</w:t>
      </w:r>
    </w:p>
    <w:p w14:paraId="3961CCCB"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En consecuencia, para el caso objeto de consulta, el hecho de que la póliza hubiera sido expedida el 06 de marzo de 2026 sin que inicialmente se acreditara el pago de la prima no afecta la validez de la garantía ni impide jurídicamente su aprobación, siempre que la póliza cumpliera con las condiciones legales y contractuales exigidas por la entidad. El pago efectuado posteriormente, el 09 de marzo de 2026, únicamente regulariza la relación económica entre el contratista y la aseguradora, pero no condiciona la existencia, eficacia o exigibilidad de la cobertura frente a la Entidad Estatal.</w:t>
      </w:r>
    </w:p>
    <w:p w14:paraId="77FA4CE7"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Ahora bien, en relación con el inicio de ejecución del contrato, debe tenerse en cuenta que el inciso segundo del artículo 41 de la Ley 80 de 1993 dispone que para la ejecución del contrato se requiere la aprobación de la garantía cuando esta haya sido exigida. En consecuencia, el aspecto jurídicamente relevante para determinar la fecha de inicio de ejecución contractual no es la fecha de pago de la prima sino la fecha efectiva de aprobación de la garantía por parte de la Entidad Estatal.</w:t>
      </w:r>
    </w:p>
    <w:p w14:paraId="58652CDB"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 xml:space="preserve">Por consiguiente, si la entidad aprobó formalmente la garantía el 06 de marzo de 2026, el contrato podía iniciar válidamente desde esa misma fecha, toda vez que la falta de acreditación del pago de la prima no impedía jurídicamente la aprobación de la póliza. Por el contrario, si la entidad decidió diferir la aprobación hasta el 09 de marzo de 2026, el inicio de ejecución únicamente podía producirse </w:t>
      </w:r>
      <w:r w:rsidRPr="003B7A7F">
        <w:rPr>
          <w:rFonts w:ascii="Verdana" w:eastAsia="Calibri" w:hAnsi="Verdana" w:cs="Arial"/>
          <w:lang w:eastAsia="es-MX"/>
        </w:rPr>
        <w:lastRenderedPageBreak/>
        <w:t>desde ese momento, en tanto la aprobación de la garantía constituye requisito de ejecución contractual.</w:t>
      </w:r>
    </w:p>
    <w:p w14:paraId="3C76BFFA" w14:textId="77777777" w:rsidR="000D1F23" w:rsidRPr="003B7A7F" w:rsidRDefault="000D1F23" w:rsidP="000D1F23">
      <w:pPr>
        <w:spacing w:after="120" w:line="276" w:lineRule="auto"/>
        <w:ind w:firstLine="360"/>
        <w:jc w:val="both"/>
        <w:rPr>
          <w:rFonts w:ascii="Verdana" w:eastAsia="Calibri" w:hAnsi="Verdana" w:cs="Arial"/>
          <w:lang w:eastAsia="es-MX"/>
        </w:rPr>
      </w:pPr>
      <w:r w:rsidRPr="003B7A7F">
        <w:rPr>
          <w:rFonts w:ascii="Verdana" w:eastAsia="Calibri" w:hAnsi="Verdana" w:cs="Arial"/>
          <w:lang w:eastAsia="es-MX"/>
        </w:rPr>
        <w:t>Finalmente, resulta pertinente recomendar la consulta de la Guía de garantías en Procesos de Contratación, elaborada por Colombia Compra Eficiente</w:t>
      </w:r>
      <w:r>
        <w:rPr>
          <w:rStyle w:val="Refdenotaalpie"/>
          <w:rFonts w:ascii="Verdana" w:eastAsia="Calibri" w:hAnsi="Verdana" w:cs="Arial"/>
          <w:lang w:eastAsia="es-MX"/>
        </w:rPr>
        <w:footnoteReference w:id="4"/>
      </w:r>
      <w:r w:rsidRPr="003B7A7F">
        <w:rPr>
          <w:rFonts w:ascii="Verdana" w:eastAsia="Calibri" w:hAnsi="Verdana" w:cs="Arial"/>
          <w:lang w:eastAsia="es-MX"/>
        </w:rPr>
        <w:t>, en la cual se desarrollan orientaciones relacionadas con la estructuración, verificación, suficiencia, vigencia y aprobación de las garantías en los contratos estatales, así como los criterios que deben observar las Entidades Estatales para la adecuada administración de los riesgos contractuales</w:t>
      </w:r>
    </w:p>
    <w:p w14:paraId="32AF9B4F" w14:textId="77777777" w:rsidR="000D1F23" w:rsidRPr="006B17A7" w:rsidRDefault="000D1F23" w:rsidP="000D1F23">
      <w:pPr>
        <w:spacing w:line="276" w:lineRule="auto"/>
        <w:ind w:firstLine="360"/>
        <w:jc w:val="both"/>
        <w:rPr>
          <w:rFonts w:ascii="Verdana" w:eastAsia="Calibri" w:hAnsi="Verdana" w:cs="Arial"/>
        </w:rPr>
      </w:pPr>
      <w:r>
        <w:rPr>
          <w:rFonts w:ascii="Verdana" w:eastAsia="Calibri" w:hAnsi="Verdana"/>
        </w:rPr>
        <w:t xml:space="preserve">     </w:t>
      </w: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5E5F61A" w14:textId="77777777" w:rsidR="000D1F23" w:rsidRPr="006B17A7" w:rsidRDefault="000D1F23" w:rsidP="000D1F23">
      <w:pPr>
        <w:spacing w:before="120" w:after="0" w:line="276" w:lineRule="auto"/>
        <w:ind w:firstLine="708"/>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321EF31A" w14:textId="77777777" w:rsidR="000D1F23" w:rsidRPr="006B17A7" w:rsidRDefault="000D1F23" w:rsidP="000D1F23">
      <w:pPr>
        <w:spacing w:after="0" w:line="276" w:lineRule="auto"/>
        <w:ind w:firstLine="708"/>
        <w:jc w:val="both"/>
        <w:rPr>
          <w:rFonts w:ascii="Verdana" w:eastAsia="Calibri" w:hAnsi="Verdana" w:cs="Arial"/>
        </w:rPr>
      </w:pPr>
    </w:p>
    <w:p w14:paraId="6860F400" w14:textId="77777777" w:rsidR="000D1F23" w:rsidRPr="006B17A7" w:rsidRDefault="000D1F23" w:rsidP="000D1F23">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6A7D8FBF" w14:textId="77777777" w:rsidR="000D1F23" w:rsidRPr="006B17A7" w:rsidRDefault="000D1F23" w:rsidP="000D1F23">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D1F23" w:rsidRPr="006B17A7" w14:paraId="25656729" w14:textId="77777777" w:rsidTr="00C63CAF">
        <w:trPr>
          <w:trHeight w:val="870"/>
        </w:trPr>
        <w:tc>
          <w:tcPr>
            <w:tcW w:w="8647" w:type="dxa"/>
          </w:tcPr>
          <w:p w14:paraId="6E0073DE" w14:textId="77777777" w:rsidR="000D1F23" w:rsidRDefault="000D1F23" w:rsidP="00C63CAF">
            <w:pPr>
              <w:pStyle w:val="Prrafodelista"/>
              <w:spacing w:after="120" w:line="276" w:lineRule="auto"/>
              <w:jc w:val="both"/>
              <w:rPr>
                <w:rFonts w:ascii="Verdana" w:eastAsia="Aptos" w:hAnsi="Verdana" w:cs="Arial"/>
              </w:rPr>
            </w:pPr>
          </w:p>
          <w:p w14:paraId="2269F18E" w14:textId="77777777" w:rsidR="000D1F23" w:rsidRPr="00983DE2" w:rsidRDefault="000D1F23" w:rsidP="000D1F23">
            <w:pPr>
              <w:pStyle w:val="Prrafodelista"/>
              <w:numPr>
                <w:ilvl w:val="0"/>
                <w:numId w:val="17"/>
              </w:numPr>
              <w:snapToGrid w:val="0"/>
              <w:spacing w:before="120" w:after="120" w:line="276" w:lineRule="auto"/>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 xml:space="preserve">Ley 80 de 1993, artículo 41. </w:t>
            </w:r>
          </w:p>
          <w:p w14:paraId="55648942" w14:textId="77777777" w:rsidR="000D1F23" w:rsidRPr="00983DE2" w:rsidRDefault="000D1F23" w:rsidP="000D1F23">
            <w:pPr>
              <w:pStyle w:val="Prrafodelista"/>
              <w:numPr>
                <w:ilvl w:val="0"/>
                <w:numId w:val="17"/>
              </w:numPr>
              <w:snapToGrid w:val="0"/>
              <w:spacing w:before="120" w:after="120" w:line="276" w:lineRule="auto"/>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 xml:space="preserve">Ley 1150 de 2007, artículo 7. </w:t>
            </w:r>
          </w:p>
          <w:p w14:paraId="0CF29D6B" w14:textId="77777777" w:rsidR="000D1F23" w:rsidRPr="00983DE2" w:rsidRDefault="000D1F23" w:rsidP="000D1F23">
            <w:pPr>
              <w:pStyle w:val="Prrafodelista"/>
              <w:numPr>
                <w:ilvl w:val="0"/>
                <w:numId w:val="17"/>
              </w:numPr>
              <w:snapToGrid w:val="0"/>
              <w:spacing w:before="120" w:after="120" w:line="276" w:lineRule="auto"/>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Código de Comercio, artículos 1068 y 1071.</w:t>
            </w:r>
          </w:p>
          <w:p w14:paraId="528DCFB0" w14:textId="77777777" w:rsidR="000D1F23" w:rsidRPr="006B17A7" w:rsidRDefault="000D1F23" w:rsidP="000D1F23">
            <w:pPr>
              <w:pStyle w:val="Prrafodelista"/>
              <w:numPr>
                <w:ilvl w:val="0"/>
                <w:numId w:val="17"/>
              </w:numPr>
              <w:spacing w:after="120" w:line="276" w:lineRule="auto"/>
              <w:jc w:val="both"/>
              <w:rPr>
                <w:rFonts w:ascii="Verdana" w:eastAsia="Aptos" w:hAnsi="Verdana" w:cs="Arial"/>
              </w:rPr>
            </w:pPr>
            <w:r w:rsidRPr="000E553C">
              <w:rPr>
                <w:rFonts w:ascii="Verdana" w:eastAsia="Times New Roman" w:hAnsi="Verdana" w:cs="Arial"/>
                <w:color w:val="000000" w:themeColor="text1"/>
                <w:lang w:eastAsia="es-CO"/>
              </w:rPr>
              <w:lastRenderedPageBreak/>
              <w:t>Decreto 1082 de 2015, artículos 2.2.1.2.3.1.1 a 2.2.1.2.3.1.19.</w:t>
            </w:r>
            <w:r w:rsidRPr="000E553C">
              <w:rPr>
                <w:rFonts w:ascii="Verdana" w:hAnsi="Verdana"/>
              </w:rPr>
              <w:t xml:space="preserve"> </w:t>
            </w:r>
          </w:p>
        </w:tc>
      </w:tr>
    </w:tbl>
    <w:p w14:paraId="3E3349AA" w14:textId="77777777" w:rsidR="000D1F23" w:rsidRPr="006B17A7" w:rsidRDefault="000D1F23" w:rsidP="000D1F23">
      <w:pPr>
        <w:widowControl w:val="0"/>
        <w:autoSpaceDE w:val="0"/>
        <w:autoSpaceDN w:val="0"/>
        <w:spacing w:after="0" w:line="276" w:lineRule="auto"/>
        <w:jc w:val="both"/>
        <w:rPr>
          <w:rFonts w:ascii="Verdana" w:eastAsia="Aptos" w:hAnsi="Verdana" w:cs="Arial"/>
        </w:rPr>
      </w:pPr>
    </w:p>
    <w:p w14:paraId="509DDA52" w14:textId="77777777" w:rsidR="000D1F23" w:rsidRPr="006B17A7" w:rsidRDefault="000D1F23" w:rsidP="000D1F23">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52CD5447" w14:textId="77777777" w:rsidR="000D1F23" w:rsidRPr="006B17A7" w:rsidRDefault="000D1F23" w:rsidP="000D1F23">
      <w:pPr>
        <w:widowControl w:val="0"/>
        <w:autoSpaceDE w:val="0"/>
        <w:autoSpaceDN w:val="0"/>
        <w:spacing w:after="0" w:line="276" w:lineRule="auto"/>
        <w:jc w:val="both"/>
        <w:rPr>
          <w:rFonts w:ascii="Verdana" w:eastAsia="Aptos" w:hAnsi="Verdana" w:cs="Arial"/>
        </w:rPr>
      </w:pPr>
    </w:p>
    <w:p w14:paraId="2A27157D" w14:textId="77777777" w:rsidR="000D1F23" w:rsidRPr="00C27319" w:rsidRDefault="000D1F23" w:rsidP="000D1F23">
      <w:pPr>
        <w:widowControl w:val="0"/>
        <w:autoSpaceDE w:val="0"/>
        <w:autoSpaceDN w:val="0"/>
        <w:spacing w:after="0" w:line="276" w:lineRule="auto"/>
        <w:jc w:val="both"/>
        <w:rPr>
          <w:rFonts w:ascii="Verdana" w:hAnsi="Verdana" w:cs="Arial"/>
          <w:shd w:val="clear" w:color="auto" w:fill="FFFFFF"/>
          <w:lang w:val="es-ES"/>
        </w:rPr>
      </w:pPr>
      <w:r w:rsidRPr="00983DE2">
        <w:rPr>
          <w:rStyle w:val="normaltextrun"/>
          <w:rFonts w:ascii="Verdana" w:hAnsi="Verdana" w:cs="Arial"/>
          <w:color w:val="000000" w:themeColor="text1"/>
          <w:shd w:val="clear" w:color="auto" w:fill="FFFFFF"/>
          <w:lang w:val="es-ES"/>
        </w:rPr>
        <w:t xml:space="preserve">La Agencia Nacional de Contratación Pública – Colombia Compra Eficiente se ha referido </w:t>
      </w:r>
      <w:r w:rsidRPr="00983DE2">
        <w:rPr>
          <w:rStyle w:val="normaltextrun"/>
          <w:rFonts w:ascii="Verdana" w:hAnsi="Verdana" w:cs="Arial"/>
          <w:shd w:val="clear" w:color="auto" w:fill="FFFFFF"/>
          <w:lang w:val="es-ES"/>
        </w:rPr>
        <w:t>al régimen de garantías en los Conceptos</w:t>
      </w:r>
      <w:r w:rsidRPr="00983DE2">
        <w:rPr>
          <w:rStyle w:val="normaltextrun"/>
          <w:rFonts w:ascii="Verdana" w:hAnsi="Verdana" w:cs="Calibri"/>
          <w:shd w:val="clear" w:color="auto" w:fill="FFFFFF"/>
          <w:lang w:val="es-ES"/>
        </w:rPr>
        <w:t xml:space="preserve"> </w:t>
      </w:r>
      <w:r w:rsidRPr="00983DE2">
        <w:rPr>
          <w:rStyle w:val="normaltextrun"/>
          <w:rFonts w:ascii="Verdana" w:hAnsi="Verdana" w:cs="Arial"/>
          <w:shd w:val="clear" w:color="auto" w:fill="FFFFFF"/>
          <w:lang w:val="es-ES"/>
        </w:rPr>
        <w:t>2201913000009075 del 9 de diciembre de 2019, C-080 del 8 de abril de 2021, C-525 del 27 de septiembre de 2021, C- 567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C-306 del 12 de agosto de 2024</w:t>
      </w:r>
      <w:r>
        <w:rPr>
          <w:rStyle w:val="normaltextrun"/>
          <w:rFonts w:ascii="Verdana" w:hAnsi="Verdana" w:cs="Arial"/>
          <w:shd w:val="clear" w:color="auto" w:fill="FFFFFF"/>
          <w:lang w:val="es-ES"/>
        </w:rPr>
        <w:t xml:space="preserve">, </w:t>
      </w:r>
      <w:r w:rsidRPr="00983DE2">
        <w:rPr>
          <w:rFonts w:ascii="Verdana" w:eastAsia="Calibri" w:hAnsi="Verdana" w:cs="Arial"/>
          <w:lang w:val="es-ES" w:eastAsia="es-ES"/>
        </w:rPr>
        <w:t>C–099 del 21 de febrero de 2025</w:t>
      </w:r>
      <w:r>
        <w:rPr>
          <w:rFonts w:ascii="Verdana" w:eastAsia="Calibri" w:hAnsi="Verdana" w:cs="Arial"/>
          <w:lang w:val="es-ES" w:eastAsia="es-ES"/>
        </w:rPr>
        <w:t xml:space="preserve">, </w:t>
      </w:r>
      <w:r>
        <w:rPr>
          <w:rFonts w:ascii="Verdana" w:eastAsia="Calibri" w:hAnsi="Verdana" w:cs="Arial"/>
        </w:rPr>
        <w:t xml:space="preserve">C-1260 del 03 de julio de 2025, </w:t>
      </w:r>
      <w:r>
        <w:rPr>
          <w:rFonts w:ascii="Verdana" w:eastAsia="Calibri" w:hAnsi="Verdana" w:cs="Arial"/>
          <w:lang w:val="es-ES" w:eastAsia="es-ES"/>
        </w:rPr>
        <w:t>C-1547 del 03 de diciembre de 2025 y C-418 del 28 de abril de 2026</w:t>
      </w:r>
      <w:r w:rsidRPr="000A5510">
        <w:rPr>
          <w:rFonts w:ascii="Verdana" w:hAnsi="Verdana" w:cs="Arial"/>
          <w:shd w:val="clear" w:color="auto" w:fill="FFFFFF"/>
          <w:lang w:val="es-ES"/>
        </w:rPr>
        <w:t>.</w:t>
      </w:r>
      <w:r w:rsidRPr="000A5510">
        <w:rPr>
          <w:rStyle w:val="normaltextrun"/>
          <w:rFonts w:ascii="Verdana" w:hAnsi="Verdana" w:cs="Arial"/>
          <w:shd w:val="clear" w:color="auto" w:fill="FFFFFF"/>
          <w:lang w:val="es-ES"/>
        </w:rPr>
        <w:t xml:space="preserve"> </w:t>
      </w:r>
      <w:r w:rsidRPr="000A5510">
        <w:rPr>
          <w:rFonts w:ascii="Verdana" w:hAnsi="Verdana" w:cs="Arial"/>
        </w:rPr>
        <w:t xml:space="preserve">Estos y otros </w:t>
      </w:r>
      <w:r w:rsidRPr="000A5510">
        <w:rPr>
          <w:rFonts w:ascii="Verdana" w:hAnsi="Verdana"/>
        </w:rPr>
        <w:t>conceptos se encuentran disponibles para consulta en el Sistema de relatoría de la Agencia, al cual se puede acceder a través del siguiente enlace:</w:t>
      </w:r>
      <w:r w:rsidRPr="000A5510">
        <w:rPr>
          <w:rFonts w:ascii="Verdana" w:hAnsi="Verdana" w:cs="Arial"/>
          <w:shd w:val="clear" w:color="auto" w:fill="FFFFFF"/>
        </w:rPr>
        <w:t xml:space="preserve"> </w:t>
      </w:r>
      <w:hyperlink r:id="rId12" w:history="1">
        <w:r w:rsidRPr="000A5510">
          <w:rPr>
            <w:rStyle w:val="Hipervnculo"/>
            <w:rFonts w:ascii="Verdana" w:hAnsi="Verdana" w:cs="Arial"/>
            <w:shd w:val="clear" w:color="auto" w:fill="FFFFFF"/>
          </w:rPr>
          <w:t>https://relatoria.colombiacompra.gov.co/busqueda/conceptos</w:t>
        </w:r>
      </w:hyperlink>
      <w:r w:rsidRPr="000A5510">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38703341" w14:textId="77777777" w:rsidR="000D1F23" w:rsidRPr="00115E3D" w:rsidRDefault="000D1F23" w:rsidP="000D1F2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436B0C18" w14:textId="77777777" w:rsidR="000D1F23" w:rsidRPr="009A385A" w:rsidRDefault="000D1F23" w:rsidP="000D1F23">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CBBD97E" w14:textId="77777777" w:rsidR="000D1F23" w:rsidRDefault="000D1F23" w:rsidP="000D1F23">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4" w:tgtFrame="_new" w:history="1">
        <w:r w:rsidRPr="00635F16">
          <w:rPr>
            <w:rStyle w:val="Hipervnculo"/>
            <w:rFonts w:ascii="Verdana" w:hAnsi="Verdana"/>
          </w:rPr>
          <w:t>https://www.colombiacompra.gov.co/normativa-y-relatoria/documentos-tipo</w:t>
        </w:r>
      </w:hyperlink>
    </w:p>
    <w:p w14:paraId="4D93C2BD" w14:textId="77777777" w:rsidR="000D1F23" w:rsidRPr="009A385A" w:rsidRDefault="000D1F23" w:rsidP="000D1F23">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8A2B230" w14:textId="77777777" w:rsidR="000D1F23" w:rsidRPr="00115E3D" w:rsidRDefault="000D1F23" w:rsidP="000D1F23">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549AB9FF" w14:textId="77777777" w:rsidR="000D1F23" w:rsidRPr="00115E3D" w:rsidRDefault="000D1F23" w:rsidP="000D1F23">
      <w:pPr>
        <w:spacing w:after="0" w:line="240" w:lineRule="auto"/>
        <w:jc w:val="both"/>
        <w:rPr>
          <w:rFonts w:ascii="Verdana" w:hAnsi="Verdana"/>
          <w:color w:val="000000" w:themeColor="text1"/>
        </w:rPr>
      </w:pPr>
    </w:p>
    <w:p w14:paraId="4EDE4E51" w14:textId="77777777" w:rsidR="000D1F23" w:rsidRPr="00115E3D" w:rsidRDefault="000D1F23" w:rsidP="000D1F23">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416F5BBB" w14:textId="77777777" w:rsidR="000D1F23" w:rsidRPr="00115E3D" w:rsidRDefault="000D1F23" w:rsidP="000D1F23">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681EFAC2" w14:textId="77777777" w:rsidR="000D1F23" w:rsidRPr="00115E3D" w:rsidRDefault="000D1F23" w:rsidP="000D1F23">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0786DEEA" w14:textId="77777777" w:rsidR="000D1F23" w:rsidRPr="00115E3D" w:rsidRDefault="000D1F23" w:rsidP="000D1F23">
      <w:pPr>
        <w:widowControl w:val="0"/>
        <w:autoSpaceDE w:val="0"/>
        <w:autoSpaceDN w:val="0"/>
        <w:spacing w:after="0" w:line="276" w:lineRule="auto"/>
        <w:jc w:val="both"/>
        <w:rPr>
          <w:rFonts w:ascii="Verdana" w:hAnsi="Verdana" w:cs="Arial"/>
          <w:color w:val="000000" w:themeColor="text1"/>
        </w:rPr>
      </w:pPr>
    </w:p>
    <w:p w14:paraId="5C2262D7" w14:textId="77777777" w:rsidR="000D1F23" w:rsidRPr="00115E3D" w:rsidRDefault="000D1F23" w:rsidP="000D1F23">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E36B5E9" w14:textId="77777777" w:rsidR="000D1F23" w:rsidRDefault="000D1F23" w:rsidP="000D1F23">
      <w:pPr>
        <w:spacing w:after="0" w:line="240" w:lineRule="auto"/>
        <w:rPr>
          <w:rFonts w:ascii="Verdana" w:eastAsia="Times New Roman" w:hAnsi="Verdana" w:cs="Arial"/>
          <w:color w:val="000000" w:themeColor="text1"/>
          <w:lang w:eastAsia="es-CO"/>
        </w:rPr>
      </w:pPr>
    </w:p>
    <w:p w14:paraId="03ED8364" w14:textId="77777777" w:rsidR="000D1F23" w:rsidRDefault="000D1F23" w:rsidP="000D1F23">
      <w:pPr>
        <w:spacing w:after="0" w:line="240" w:lineRule="auto"/>
        <w:rPr>
          <w:rFonts w:ascii="Verdana" w:eastAsia="Times New Roman" w:hAnsi="Verdana" w:cs="Arial"/>
          <w:color w:val="000000" w:themeColor="text1"/>
          <w:lang w:eastAsia="es-CO"/>
        </w:rPr>
      </w:pPr>
    </w:p>
    <w:p w14:paraId="49D63B57" w14:textId="77777777" w:rsidR="000D1F23" w:rsidRPr="00115E3D" w:rsidRDefault="000D1F23" w:rsidP="000D1F23">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3AAF524C" w14:textId="59A6DE56" w:rsidR="000D1F23" w:rsidRDefault="00024DB4" w:rsidP="000D1F23">
      <w:pPr>
        <w:spacing w:line="276" w:lineRule="auto"/>
        <w:jc w:val="center"/>
        <w:rPr>
          <w:noProof/>
          <w:color w:val="000000" w:themeColor="text1"/>
          <w:lang w:val="es-ES_tradnl" w:eastAsia="es-CO"/>
        </w:rPr>
      </w:pPr>
      <w:r>
        <w:rPr>
          <w:noProof/>
        </w:rPr>
        <w:drawing>
          <wp:inline distT="0" distB="0" distL="0" distR="0" wp14:anchorId="06FAAE10" wp14:editId="6A0F6DD5">
            <wp:extent cx="3088005" cy="1325627"/>
            <wp:effectExtent l="0" t="0" r="0" b="8255"/>
            <wp:docPr id="157486422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08422" cy="1334392"/>
                    </a:xfrm>
                    <a:prstGeom prst="rect">
                      <a:avLst/>
                    </a:prstGeom>
                    <a:noFill/>
                    <a:ln>
                      <a:noFill/>
                    </a:ln>
                  </pic:spPr>
                </pic:pic>
              </a:graphicData>
            </a:graphic>
          </wp:inline>
        </w:drawing>
      </w:r>
      <w:r w:rsidR="000D1F23">
        <w:rPr>
          <w:noProof/>
          <w:color w:val="000000" w:themeColor="text1"/>
          <w:lang w:val="es-ES_tradnl" w:eastAsia="es-CO"/>
        </w:rPr>
        <w:t xml:space="preserve"> </w:t>
      </w:r>
    </w:p>
    <w:p w14:paraId="72F4F157" w14:textId="77777777" w:rsidR="000D1F23" w:rsidRDefault="000D1F23" w:rsidP="000D1F23">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D1F23" w:rsidRPr="00115E3D" w14:paraId="4B2CE49F" w14:textId="77777777" w:rsidTr="00C63CAF">
        <w:trPr>
          <w:trHeight w:val="315"/>
        </w:trPr>
        <w:tc>
          <w:tcPr>
            <w:tcW w:w="893" w:type="dxa"/>
            <w:vAlign w:val="center"/>
            <w:hideMark/>
          </w:tcPr>
          <w:p w14:paraId="39DB9E9A" w14:textId="77777777" w:rsidR="000D1F23" w:rsidRPr="00115E3D" w:rsidRDefault="000D1F23" w:rsidP="00C63CA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960477F" w14:textId="77777777" w:rsidR="000D1F23" w:rsidRPr="00115E3D" w:rsidRDefault="000D1F23" w:rsidP="00C63CAF">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DA3ACE7" w14:textId="77777777" w:rsidR="000D1F23" w:rsidRPr="00115E3D" w:rsidRDefault="000D1F23" w:rsidP="00C63CAF">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0D1F23" w:rsidRPr="00115E3D" w14:paraId="64706D8B" w14:textId="77777777" w:rsidTr="00C63CAF">
        <w:trPr>
          <w:trHeight w:val="330"/>
        </w:trPr>
        <w:tc>
          <w:tcPr>
            <w:tcW w:w="893" w:type="dxa"/>
            <w:vAlign w:val="center"/>
            <w:hideMark/>
          </w:tcPr>
          <w:p w14:paraId="144B8546" w14:textId="77777777" w:rsidR="000D1F23" w:rsidRPr="00115E3D" w:rsidRDefault="000D1F23" w:rsidP="00C63CA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0449C48" w14:textId="77777777" w:rsidR="000D1F23" w:rsidRDefault="000D1F23" w:rsidP="00C63CA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Adriana Katerine López Rodríguez</w:t>
            </w:r>
          </w:p>
          <w:p w14:paraId="532C456E" w14:textId="77777777" w:rsidR="000D1F23" w:rsidRPr="00115E3D" w:rsidRDefault="000D1F23" w:rsidP="00C63CAF">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0D1F23" w:rsidRPr="00115E3D" w14:paraId="26206E46" w14:textId="77777777" w:rsidTr="00C63CAF">
        <w:trPr>
          <w:trHeight w:val="300"/>
        </w:trPr>
        <w:tc>
          <w:tcPr>
            <w:tcW w:w="893" w:type="dxa"/>
            <w:vAlign w:val="center"/>
          </w:tcPr>
          <w:p w14:paraId="48274C81" w14:textId="77777777" w:rsidR="000D1F23" w:rsidRPr="00115E3D" w:rsidRDefault="000D1F23" w:rsidP="00C63CA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6AED6FE" w14:textId="77777777" w:rsidR="000D1F23" w:rsidRPr="00115E3D" w:rsidRDefault="000D1F23" w:rsidP="00C63CA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1C7A97DB" w14:textId="77777777" w:rsidR="000D1F23" w:rsidRPr="00115E3D" w:rsidRDefault="000D1F23" w:rsidP="00C63CA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7C9026E2" w14:textId="77777777" w:rsidR="002A0DD0" w:rsidRPr="000D1F23" w:rsidRDefault="002A0DD0" w:rsidP="30821638">
      <w:pPr>
        <w:spacing w:after="0" w:line="240" w:lineRule="auto"/>
        <w:jc w:val="both"/>
        <w:rPr>
          <w:rFonts w:ascii="Verdana" w:eastAsia="Verdana" w:hAnsi="Verdana" w:cs="Verdana"/>
          <w:b/>
          <w:bCs/>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48A95BE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18561" w14:textId="77777777" w:rsidR="00A60794" w:rsidRDefault="00A60794" w:rsidP="004A1847">
      <w:pPr>
        <w:spacing w:after="0" w:line="240" w:lineRule="auto"/>
      </w:pPr>
      <w:r>
        <w:separator/>
      </w:r>
    </w:p>
  </w:endnote>
  <w:endnote w:type="continuationSeparator" w:id="0">
    <w:p w14:paraId="4B4BAB0D" w14:textId="77777777" w:rsidR="00A60794" w:rsidRDefault="00A607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59C86" w14:textId="77777777" w:rsidR="00A60794" w:rsidRDefault="00A60794" w:rsidP="004A1847">
      <w:pPr>
        <w:spacing w:after="0" w:line="240" w:lineRule="auto"/>
      </w:pPr>
      <w:r>
        <w:separator/>
      </w:r>
    </w:p>
  </w:footnote>
  <w:footnote w:type="continuationSeparator" w:id="0">
    <w:p w14:paraId="65598995" w14:textId="77777777" w:rsidR="00A60794" w:rsidRDefault="00A60794" w:rsidP="004A1847">
      <w:pPr>
        <w:spacing w:after="0" w:line="240" w:lineRule="auto"/>
      </w:pPr>
      <w:r>
        <w:continuationSeparator/>
      </w:r>
    </w:p>
  </w:footnote>
  <w:footnote w:id="1">
    <w:p w14:paraId="10662D28" w14:textId="77777777" w:rsidR="000D1F23" w:rsidRPr="004B5BD7" w:rsidRDefault="000D1F23" w:rsidP="000D1F23">
      <w:pPr>
        <w:pStyle w:val="Textonotapie"/>
        <w:rPr>
          <w:rFonts w:ascii="Verdana" w:hAnsi="Verdana"/>
          <w:sz w:val="16"/>
          <w:szCs w:val="16"/>
          <w:lang w:val="es-ES"/>
        </w:rPr>
      </w:pPr>
      <w:r w:rsidRPr="004B5BD7">
        <w:rPr>
          <w:rStyle w:val="Refdenotaalpie"/>
          <w:rFonts w:ascii="Verdana" w:hAnsi="Verdana"/>
          <w:sz w:val="16"/>
          <w:szCs w:val="16"/>
        </w:rPr>
        <w:footnoteRef/>
      </w:r>
      <w:r w:rsidRPr="004B5BD7">
        <w:rPr>
          <w:rFonts w:ascii="Verdana" w:hAnsi="Verdana"/>
          <w:sz w:val="16"/>
          <w:szCs w:val="16"/>
        </w:rPr>
        <w:t xml:space="preserve"> </w:t>
      </w:r>
      <w:hyperlink r:id="rId1" w:history="1">
        <w:r w:rsidRPr="0085785C">
          <w:rPr>
            <w:rStyle w:val="Hipervnculo"/>
            <w:rFonts w:ascii="Verdana" w:hAnsi="Verdana"/>
            <w:sz w:val="16"/>
            <w:szCs w:val="16"/>
          </w:rPr>
          <w:t>https://operaciones.colombiacompra.gov.co/content/es-necesario-para-la-aprobacion-de-la-garantia-unica-de-cumplimiento-que-el-contratista</w:t>
        </w:r>
      </w:hyperlink>
      <w:r>
        <w:rPr>
          <w:rFonts w:ascii="Verdana" w:hAnsi="Verdana"/>
          <w:sz w:val="16"/>
          <w:szCs w:val="16"/>
        </w:rPr>
        <w:t xml:space="preserve"> </w:t>
      </w:r>
    </w:p>
  </w:footnote>
  <w:footnote w:id="2">
    <w:p w14:paraId="3ADF2190" w14:textId="77777777" w:rsidR="000D1F23" w:rsidRPr="004B5BD7" w:rsidRDefault="000D1F23" w:rsidP="000D1F23">
      <w:pPr>
        <w:pStyle w:val="Textonotapie"/>
        <w:rPr>
          <w:rFonts w:ascii="Verdana" w:hAnsi="Verdana"/>
          <w:sz w:val="16"/>
          <w:szCs w:val="16"/>
          <w:lang w:val="es-ES"/>
        </w:rPr>
      </w:pPr>
      <w:r w:rsidRPr="004B5BD7">
        <w:rPr>
          <w:rStyle w:val="Refdenotaalpie"/>
          <w:rFonts w:ascii="Verdana" w:hAnsi="Verdana"/>
          <w:sz w:val="16"/>
          <w:szCs w:val="16"/>
        </w:rPr>
        <w:footnoteRef/>
      </w:r>
      <w:r w:rsidRPr="004B5BD7">
        <w:rPr>
          <w:rFonts w:ascii="Verdana" w:hAnsi="Verdana"/>
          <w:sz w:val="16"/>
          <w:szCs w:val="16"/>
        </w:rPr>
        <w:t xml:space="preserve"> https://www.colombiacompra.gov.co/archivos/manual/guia-de-garantias-en-procesos-de-contratacion</w:t>
      </w:r>
    </w:p>
  </w:footnote>
  <w:footnote w:id="3">
    <w:p w14:paraId="1D175679" w14:textId="77777777" w:rsidR="000D1F23" w:rsidRPr="003B7A7F" w:rsidRDefault="000D1F23" w:rsidP="000D1F23">
      <w:pPr>
        <w:pStyle w:val="Textonotapie"/>
        <w:rPr>
          <w:lang w:val="es-ES"/>
        </w:rPr>
      </w:pPr>
      <w:r>
        <w:rPr>
          <w:rStyle w:val="Refdenotaalpie"/>
        </w:rPr>
        <w:footnoteRef/>
      </w:r>
      <w:r>
        <w:t xml:space="preserve"> </w:t>
      </w:r>
      <w:hyperlink r:id="rId2" w:history="1">
        <w:r w:rsidRPr="0085785C">
          <w:rPr>
            <w:rStyle w:val="Hipervnculo"/>
            <w:rFonts w:ascii="Verdana" w:hAnsi="Verdana"/>
            <w:sz w:val="16"/>
            <w:szCs w:val="16"/>
          </w:rPr>
          <w:t>https://operaciones.colombiacompra.gov.co/content/es-necesario-para-la-aprobacion-de-la-garantia-unica-de-cumplimiento-que-el-contratista</w:t>
        </w:r>
      </w:hyperlink>
    </w:p>
  </w:footnote>
  <w:footnote w:id="4">
    <w:p w14:paraId="235D2C89" w14:textId="77777777" w:rsidR="000D1F23" w:rsidRPr="003B7A7F" w:rsidRDefault="000D1F23" w:rsidP="000D1F23">
      <w:pPr>
        <w:pStyle w:val="Textonotapie"/>
        <w:rPr>
          <w:lang w:val="es-ES"/>
        </w:rPr>
      </w:pPr>
      <w:r>
        <w:rPr>
          <w:rStyle w:val="Refdenotaalpie"/>
        </w:rPr>
        <w:footnoteRef/>
      </w:r>
      <w:r>
        <w:t xml:space="preserve"> </w:t>
      </w:r>
      <w:hyperlink r:id="rId3" w:history="1">
        <w:r w:rsidRPr="0085785C">
          <w:rPr>
            <w:rStyle w:val="Hipervnculo"/>
            <w:rFonts w:ascii="Verdana" w:hAnsi="Verdana"/>
            <w:sz w:val="16"/>
            <w:szCs w:val="16"/>
          </w:rPr>
          <w:t>https://www.colombiacompra.gov.co/archivos/manual/guia-de-garantias-en-procesos-de-contratacion</w:t>
        </w:r>
      </w:hyperlink>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60056746">
    <w:abstractNumId w:val="0"/>
  </w:num>
  <w:num w:numId="17" w16cid:durableId="5888063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DB4"/>
    <w:rsid w:val="00046945"/>
    <w:rsid w:val="00061B2A"/>
    <w:rsid w:val="00082362"/>
    <w:rsid w:val="000A683E"/>
    <w:rsid w:val="000B19B9"/>
    <w:rsid w:val="000D0334"/>
    <w:rsid w:val="000D1F23"/>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04E7"/>
    <w:rsid w:val="00484FD5"/>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356CA"/>
    <w:rsid w:val="0075235A"/>
    <w:rsid w:val="00756841"/>
    <w:rsid w:val="007649AB"/>
    <w:rsid w:val="00771D0C"/>
    <w:rsid w:val="007833AC"/>
    <w:rsid w:val="007B268C"/>
    <w:rsid w:val="007B7171"/>
    <w:rsid w:val="007C0C0F"/>
    <w:rsid w:val="007C3DC2"/>
    <w:rsid w:val="007E5497"/>
    <w:rsid w:val="00806F5F"/>
    <w:rsid w:val="00820278"/>
    <w:rsid w:val="008258C9"/>
    <w:rsid w:val="00834020"/>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0794"/>
    <w:rsid w:val="00AB0ADB"/>
    <w:rsid w:val="00AE4EF8"/>
    <w:rsid w:val="00B00C0E"/>
    <w:rsid w:val="00B01B1A"/>
    <w:rsid w:val="00B0381D"/>
    <w:rsid w:val="00B44A47"/>
    <w:rsid w:val="00B72CD3"/>
    <w:rsid w:val="00B72FFF"/>
    <w:rsid w:val="00BC3D36"/>
    <w:rsid w:val="00BD54A6"/>
    <w:rsid w:val="00BD7F72"/>
    <w:rsid w:val="00BF1614"/>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D1F2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D1F2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eisonguerrero1013@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archivos/manual/guia-de-garantias-en-procesos-de-contratacion" TargetMode="External"/><Relationship Id="rId2" Type="http://schemas.openxmlformats.org/officeDocument/2006/relationships/hyperlink" Target="https://operaciones.colombiacompra.gov.co/content/es-necesario-para-la-aprobacion-de-la-garantia-unica-de-cumplimiento-que-el-contratista" TargetMode="External"/><Relationship Id="rId1" Type="http://schemas.openxmlformats.org/officeDocument/2006/relationships/hyperlink" Target="https://operaciones.colombiacompra.gov.co/content/es-necesario-para-la-aprobacion-de-la-garantia-unica-de-cumplimiento-que-el-contratist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C76039F-D2A9-4155-AFC5-540B3938306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13</Pages>
  <Words>3969</Words>
  <Characters>21832</Characters>
  <Application>Microsoft Office Word</Application>
  <DocSecurity>0</DocSecurity>
  <Lines>181</Lines>
  <Paragraphs>51</Paragraphs>
  <ScaleCrop>false</ScaleCrop>
  <Company/>
  <LinksUpToDate>false</LinksUpToDate>
  <CharactersWithSpaces>25750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2026-05-21T12:31:00Z</dcterms:created>
  <dcterms:modified xsi:type="dcterms:W3CDTF">2026-05-21T12:43:00Z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