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2C9DE8" w14:textId="02B278D2" w:rsidR="00CA24A3" w:rsidRPr="00CA24A3" w:rsidRDefault="00CA24A3" w:rsidP="00A00070">
      <w:pPr>
        <w:spacing w:after="0" w:line="240" w:lineRule="auto"/>
        <w:jc w:val="both"/>
        <w:rPr>
          <w:rFonts w:ascii="Verdana" w:eastAsia="Calibri" w:hAnsi="Verdana" w:cs="Arial"/>
          <w:b/>
          <w:lang w:val="es-ES_tradnl" w:eastAsia="es-ES_tradnl"/>
        </w:rPr>
      </w:pPr>
      <w:r w:rsidRPr="00CA24A3">
        <w:rPr>
          <w:rFonts w:ascii="Verdana" w:eastAsia="Calibri" w:hAnsi="Verdana" w:cs="Arial"/>
          <w:b/>
          <w:lang w:val="es-ES_tradnl" w:eastAsia="es-ES_tradnl"/>
        </w:rPr>
        <w:t>SOCIEDADES NUEVAS ‒ Experiencia ‒ Inferior a tres a</w:t>
      </w:r>
      <w:r w:rsidRPr="00CA24A3">
        <w:rPr>
          <w:rFonts w:ascii="Verdana" w:eastAsia="Calibri" w:hAnsi="Verdana" w:cs="Century Gothic"/>
          <w:b/>
          <w:lang w:val="es-ES_tradnl" w:eastAsia="es-ES_tradnl"/>
        </w:rPr>
        <w:t>ñ</w:t>
      </w:r>
      <w:r w:rsidRPr="00CA24A3">
        <w:rPr>
          <w:rFonts w:ascii="Verdana" w:eastAsia="Calibri" w:hAnsi="Verdana" w:cs="Arial"/>
          <w:b/>
          <w:lang w:val="es-ES_tradnl" w:eastAsia="es-ES_tradnl"/>
        </w:rPr>
        <w:t>os ‒ Requisitos habilitantes</w:t>
      </w:r>
    </w:p>
    <w:p w14:paraId="46342154" w14:textId="77777777" w:rsidR="00CA24A3" w:rsidRDefault="00CA24A3" w:rsidP="00A00070">
      <w:pPr>
        <w:spacing w:after="0" w:line="240" w:lineRule="auto"/>
        <w:jc w:val="both"/>
        <w:rPr>
          <w:rFonts w:ascii="Verdana" w:eastAsia="Century Gothic" w:hAnsi="Verdana" w:cs="Century Gothic"/>
          <w:sz w:val="20"/>
          <w:szCs w:val="20"/>
        </w:rPr>
      </w:pPr>
    </w:p>
    <w:p w14:paraId="4B8659B6" w14:textId="740C552D" w:rsidR="00A00070" w:rsidRPr="0038033A" w:rsidRDefault="00A00070" w:rsidP="00A00070">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 la postura de Colombia Compra Eficiente respecto de la posibilidad de que las sociedades nuevas puedan seguir acreditando la experiencia de sus socios, accionistas o constituyentes, incluso después de cumplidos los tres (3) años de constitución de la persona jurídica, fue modificada y se ratificó por esta Subdirección la tesis que ya había sido desarrollada en el concepto del 07 de febrero de 2018 , recogida y unificada en el concepto con radicado No. 4201913000006797 del 19 de noviembre de 2019, en el que se sostuvo que las personas jurídicas que hubieran sido beneficiarias de la norma podían seguir acreditando la experiencia de sus socios o accionistas, inclusive después de transcurridos tres (3) años desde la constitución de la sociedad, siempre que se renovara constantemente el Registro Único de Proponentes –RUP–.</w:t>
      </w:r>
    </w:p>
    <w:p w14:paraId="7C2C65AB" w14:textId="77777777" w:rsidR="00A00070" w:rsidRPr="0038033A" w:rsidRDefault="00A00070" w:rsidP="00A00070">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w:t>
      </w:r>
    </w:p>
    <w:p w14:paraId="4E45470F" w14:textId="77777777" w:rsidR="00A00070" w:rsidRPr="0038033A" w:rsidRDefault="00A00070" w:rsidP="00A00070">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El artículo 6 de la Ley 1150 de 2007 le otorga valor probatorio al Registro Único de Proponentes -RUP-, que deriva de la firmeza del mismo. En ese sentido, el Decreto 1082 de 2015 regula el trámite de inscripción, actualización y renovación del referido registro, disposición que, en el numeral 2.5. del artículo 2.2.1.1.1.5.2 como se indicó, faculta a las sociedades con menos de tres (3) años de constitución para acreditar la experiencia de sus socios, accionistas o constituyentes. Por lo tanto, desconocer dicha experiencia cuando el Registro Único de Proponentes -RUP- se encuentra en firme, significaría inobservar el valor probatorio que la Ley 1150 de 2007 le ha conferido a dicho documento.</w:t>
      </w:r>
    </w:p>
    <w:p w14:paraId="319C74FF" w14:textId="77777777" w:rsidR="00CA24A3" w:rsidRPr="00685B27" w:rsidRDefault="00CA24A3" w:rsidP="00CA24A3">
      <w:pPr>
        <w:spacing w:after="0" w:line="240" w:lineRule="auto"/>
        <w:jc w:val="both"/>
        <w:rPr>
          <w:rFonts w:ascii="Verdana" w:eastAsia="Century Gothic" w:hAnsi="Verdana" w:cs="Century Gothic"/>
          <w:b/>
          <w:sz w:val="20"/>
          <w:szCs w:val="20"/>
        </w:rPr>
      </w:pPr>
    </w:p>
    <w:p w14:paraId="588FE9CA" w14:textId="77777777" w:rsidR="00CA24A3" w:rsidRPr="00685B27" w:rsidRDefault="00CA24A3" w:rsidP="00CA24A3">
      <w:pPr>
        <w:spacing w:line="276" w:lineRule="auto"/>
        <w:jc w:val="both"/>
        <w:rPr>
          <w:rFonts w:ascii="Verdana" w:eastAsia="Calibri" w:hAnsi="Verdana" w:cs="Arial"/>
          <w:b/>
          <w:lang w:val="es-ES_tradnl" w:eastAsia="es-ES_tradnl"/>
        </w:rPr>
      </w:pPr>
      <w:r w:rsidRPr="00685B27">
        <w:rPr>
          <w:rFonts w:ascii="Verdana" w:eastAsia="Calibri" w:hAnsi="Verdana" w:cs="Arial"/>
          <w:b/>
          <w:lang w:val="es-ES_tradnl" w:eastAsia="es-ES_tradnl"/>
        </w:rPr>
        <w:t xml:space="preserve">EXPERIENCIA </w:t>
      </w:r>
      <w:r w:rsidRPr="00685B27">
        <w:rPr>
          <w:rFonts w:ascii="Verdana" w:eastAsia="Calibri" w:hAnsi="Verdana" w:cs="Century Gothic"/>
          <w:b/>
          <w:lang w:val="es-ES_tradnl" w:eastAsia="es-ES_tradnl"/>
        </w:rPr>
        <w:t>–</w:t>
      </w:r>
      <w:r w:rsidRPr="00685B27">
        <w:rPr>
          <w:rFonts w:ascii="Verdana" w:eastAsia="Calibri" w:hAnsi="Verdana" w:cs="Arial"/>
          <w:b/>
          <w:lang w:val="es-ES_tradnl" w:eastAsia="es-ES_tradnl"/>
        </w:rPr>
        <w:t xml:space="preserve"> Retiro del socio </w:t>
      </w:r>
      <w:r w:rsidRPr="00685B27">
        <w:rPr>
          <w:rFonts w:ascii="Verdana" w:eastAsia="Calibri" w:hAnsi="Verdana" w:cs="Century Gothic"/>
          <w:b/>
          <w:lang w:val="es-ES_tradnl" w:eastAsia="es-ES_tradnl"/>
        </w:rPr>
        <w:t>−</w:t>
      </w:r>
      <w:r w:rsidRPr="00685B27">
        <w:rPr>
          <w:rFonts w:ascii="Verdana" w:eastAsia="Calibri" w:hAnsi="Verdana" w:cs="Arial"/>
          <w:b/>
          <w:lang w:val="es-ES_tradnl" w:eastAsia="es-ES_tradnl"/>
        </w:rPr>
        <w:t xml:space="preserve"> Sociedades </w:t>
      </w:r>
      <w:r w:rsidRPr="00685B27">
        <w:rPr>
          <w:rFonts w:ascii="Verdana" w:eastAsia="Calibri" w:hAnsi="Verdana" w:cs="Century Gothic"/>
          <w:b/>
          <w:lang w:val="es-ES_tradnl" w:eastAsia="es-ES_tradnl"/>
        </w:rPr>
        <w:t>–</w:t>
      </w:r>
      <w:r w:rsidRPr="00685B27">
        <w:rPr>
          <w:rFonts w:ascii="Verdana" w:eastAsia="Calibri" w:hAnsi="Verdana" w:cs="Arial"/>
          <w:b/>
          <w:lang w:val="es-ES_tradnl" w:eastAsia="es-ES_tradnl"/>
        </w:rPr>
        <w:t xml:space="preserve"> Menor a 3 a</w:t>
      </w:r>
      <w:r w:rsidRPr="00685B27">
        <w:rPr>
          <w:rFonts w:ascii="Verdana" w:eastAsia="Calibri" w:hAnsi="Verdana" w:cs="Century Gothic"/>
          <w:b/>
          <w:lang w:val="es-ES_tradnl" w:eastAsia="es-ES_tradnl"/>
        </w:rPr>
        <w:t>ñ</w:t>
      </w:r>
      <w:r w:rsidRPr="00685B27">
        <w:rPr>
          <w:rFonts w:ascii="Verdana" w:eastAsia="Calibri" w:hAnsi="Verdana" w:cs="Arial"/>
          <w:b/>
          <w:lang w:val="es-ES_tradnl" w:eastAsia="es-ES_tradnl"/>
        </w:rPr>
        <w:t>os de constituci</w:t>
      </w:r>
      <w:r w:rsidRPr="00685B27">
        <w:rPr>
          <w:rFonts w:ascii="Verdana" w:eastAsia="Calibri" w:hAnsi="Verdana" w:cs="Century Gothic"/>
          <w:b/>
          <w:lang w:val="es-ES_tradnl" w:eastAsia="es-ES_tradnl"/>
        </w:rPr>
        <w:t>ó</w:t>
      </w:r>
      <w:r w:rsidRPr="00685B27">
        <w:rPr>
          <w:rFonts w:ascii="Verdana" w:eastAsia="Calibri" w:hAnsi="Verdana" w:cs="Arial"/>
          <w:b/>
          <w:lang w:val="es-ES_tradnl" w:eastAsia="es-ES_tradnl"/>
        </w:rPr>
        <w:t xml:space="preserve">n </w:t>
      </w:r>
    </w:p>
    <w:p w14:paraId="11000F95" w14:textId="77777777" w:rsidR="00CA24A3" w:rsidRPr="00CA24A3" w:rsidRDefault="00CA24A3" w:rsidP="00CA24A3">
      <w:pPr>
        <w:spacing w:after="0" w:line="240" w:lineRule="auto"/>
        <w:jc w:val="both"/>
        <w:rPr>
          <w:rFonts w:ascii="Verdana" w:eastAsia="Century Gothic" w:hAnsi="Verdana" w:cs="Century Gothic"/>
          <w:sz w:val="20"/>
          <w:szCs w:val="20"/>
          <w:lang w:val="es-ES_tradnl"/>
        </w:rPr>
      </w:pPr>
    </w:p>
    <w:p w14:paraId="4EE61E01" w14:textId="5A412A49" w:rsidR="00CA24A3" w:rsidRPr="0038033A" w:rsidRDefault="00CA24A3" w:rsidP="00CA24A3">
      <w:pPr>
        <w:spacing w:after="0" w:line="240" w:lineRule="auto"/>
        <w:jc w:val="both"/>
        <w:rPr>
          <w:rFonts w:ascii="Verdana" w:eastAsia="Century Gothic" w:hAnsi="Verdana" w:cs="Century Gothic"/>
          <w:sz w:val="20"/>
          <w:szCs w:val="20"/>
        </w:rPr>
      </w:pPr>
      <w:r w:rsidRPr="0038033A">
        <w:rPr>
          <w:rFonts w:ascii="Verdana" w:eastAsia="Century Gothic" w:hAnsi="Verdana" w:cs="Century Gothic"/>
          <w:sz w:val="20"/>
          <w:szCs w:val="20"/>
        </w:rPr>
        <w:t>[…] atendiendo al valor probatorio del Registro Único de Proponentes -RUP-, las Entidades Estatales tienen la obligación de verificar que el socio, accionista o constituyente que aporta su experiencia a la sociedad con menos de tres (3) años de constitución, mantenga su calidad de tal, al momento de efectuar la evaluación correspondiente. Sin embargo, en caso de que las entidades contratantes no realicen dicha verificación, podría alegarse incluso, la pérdida de fuerza de ejecutoria de la experiencia consolidada en el acto de inscripción, esto, a luz de lo dispuesto en el numeral 2 del artículo 9 de la Ley 1437 de 2011.</w:t>
      </w:r>
    </w:p>
    <w:p w14:paraId="6D19DF9B" w14:textId="77777777" w:rsidR="00CA24A3" w:rsidRPr="0038033A" w:rsidRDefault="00CA24A3" w:rsidP="00CA24A3">
      <w:pPr>
        <w:spacing w:after="0" w:line="240" w:lineRule="auto"/>
        <w:rPr>
          <w:rFonts w:ascii="Verdana" w:eastAsia="Aptos" w:hAnsi="Verdana" w:cs="Times New Roman"/>
          <w:sz w:val="20"/>
          <w:szCs w:val="20"/>
        </w:rPr>
      </w:pPr>
    </w:p>
    <w:p w14:paraId="14A435F2" w14:textId="77777777" w:rsidR="00CA24A3" w:rsidRPr="0038033A" w:rsidRDefault="00CA24A3" w:rsidP="00CA24A3">
      <w:pPr>
        <w:spacing w:after="0" w:line="240" w:lineRule="auto"/>
        <w:rPr>
          <w:rFonts w:ascii="Verdana" w:eastAsia="Aptos" w:hAnsi="Verdana" w:cs="Times New Roman"/>
          <w:sz w:val="20"/>
          <w:szCs w:val="20"/>
        </w:rPr>
      </w:pPr>
    </w:p>
    <w:p w14:paraId="741C44F9" w14:textId="68D5B6CF" w:rsidR="00402750" w:rsidRPr="008E4F36" w:rsidRDefault="00402750" w:rsidP="00402750">
      <w:pPr>
        <w:spacing w:after="0" w:line="240" w:lineRule="auto"/>
        <w:jc w:val="both"/>
        <w:rPr>
          <w:rFonts w:ascii="Verdana" w:hAnsi="Verdana"/>
        </w:rPr>
      </w:pPr>
    </w:p>
    <w:p w14:paraId="6382509E" w14:textId="77777777" w:rsidR="00433676" w:rsidRPr="00433676" w:rsidRDefault="00433676" w:rsidP="00433676">
      <w:pPr>
        <w:spacing w:after="0" w:line="240" w:lineRule="auto"/>
        <w:jc w:val="both"/>
        <w:rPr>
          <w:rFonts w:ascii="Verdana" w:eastAsia="Calibri" w:hAnsi="Verdana" w:cs="Arial"/>
          <w:lang w:eastAsia="es-ES"/>
        </w:rPr>
      </w:pPr>
      <w:bookmarkStart w:id="0" w:name="_Hlk197462763"/>
      <w:bookmarkStart w:id="1" w:name="_Hlk197529996"/>
    </w:p>
    <w:p w14:paraId="0E7011DB" w14:textId="77777777" w:rsidR="00FB16ED" w:rsidRDefault="00FB16ED" w:rsidP="00433676">
      <w:pPr>
        <w:spacing w:after="0" w:line="240" w:lineRule="auto"/>
        <w:jc w:val="both"/>
        <w:rPr>
          <w:rFonts w:ascii="Verdana" w:eastAsia="Calibri" w:hAnsi="Verdana" w:cs="Arial"/>
          <w:lang w:eastAsia="es-ES"/>
        </w:rPr>
      </w:pPr>
    </w:p>
    <w:p w14:paraId="7D80F935" w14:textId="77777777" w:rsidR="00FB16ED" w:rsidRDefault="00FB16ED" w:rsidP="00433676">
      <w:pPr>
        <w:spacing w:after="0" w:line="240" w:lineRule="auto"/>
        <w:jc w:val="both"/>
        <w:rPr>
          <w:rFonts w:ascii="Verdana" w:eastAsia="Calibri" w:hAnsi="Verdana" w:cs="Arial"/>
          <w:lang w:eastAsia="es-ES"/>
        </w:rPr>
      </w:pPr>
    </w:p>
    <w:p w14:paraId="13EC4709" w14:textId="77777777" w:rsidR="00FB16ED" w:rsidRDefault="00FB16ED" w:rsidP="00433676">
      <w:pPr>
        <w:spacing w:after="0" w:line="240" w:lineRule="auto"/>
        <w:jc w:val="both"/>
        <w:rPr>
          <w:rFonts w:ascii="Verdana" w:eastAsia="Calibri" w:hAnsi="Verdana" w:cs="Arial"/>
          <w:lang w:eastAsia="es-ES"/>
        </w:rPr>
      </w:pPr>
    </w:p>
    <w:p w14:paraId="6B020F2F" w14:textId="77777777" w:rsidR="00FB16ED" w:rsidRDefault="00FB16ED" w:rsidP="00433676">
      <w:pPr>
        <w:spacing w:after="0" w:line="240" w:lineRule="auto"/>
        <w:jc w:val="both"/>
        <w:rPr>
          <w:rFonts w:ascii="Verdana" w:eastAsia="Calibri" w:hAnsi="Verdana" w:cs="Arial"/>
          <w:lang w:eastAsia="es-ES"/>
        </w:rPr>
      </w:pPr>
    </w:p>
    <w:p w14:paraId="7B8EFD17" w14:textId="30246831" w:rsidR="00402750" w:rsidRDefault="00433676" w:rsidP="00433676">
      <w:pPr>
        <w:spacing w:after="0" w:line="240" w:lineRule="auto"/>
        <w:jc w:val="both"/>
        <w:rPr>
          <w:rFonts w:ascii="Verdana" w:eastAsia="Calibri" w:hAnsi="Verdana" w:cs="Arial"/>
          <w:lang w:eastAsia="es-ES"/>
        </w:rPr>
      </w:pPr>
      <w:r w:rsidRPr="00433676">
        <w:rPr>
          <w:rFonts w:ascii="Verdana" w:eastAsia="Calibri" w:hAnsi="Verdana" w:cs="Arial"/>
          <w:lang w:eastAsia="es-ES"/>
        </w:rPr>
        <w:lastRenderedPageBreak/>
        <w:t xml:space="preserve">Bogotá D.C., 14 </w:t>
      </w:r>
      <w:r>
        <w:rPr>
          <w:rFonts w:ascii="Verdana" w:eastAsia="Calibri" w:hAnsi="Verdana" w:cs="Arial"/>
          <w:lang w:eastAsia="es-ES"/>
        </w:rPr>
        <w:t>m</w:t>
      </w:r>
      <w:r w:rsidRPr="00433676">
        <w:rPr>
          <w:rFonts w:ascii="Verdana" w:eastAsia="Calibri" w:hAnsi="Verdana" w:cs="Arial"/>
          <w:lang w:eastAsia="es-ES"/>
        </w:rPr>
        <w:t>ayo 2026</w:t>
      </w:r>
    </w:p>
    <w:p w14:paraId="30154133" w14:textId="06C813B8" w:rsidR="00DA2186" w:rsidRDefault="00DA2186" w:rsidP="00402750">
      <w:pPr>
        <w:spacing w:after="0" w:line="240" w:lineRule="auto"/>
        <w:jc w:val="both"/>
        <w:rPr>
          <w:rFonts w:ascii="Verdana" w:eastAsia="Calibri" w:hAnsi="Verdana" w:cs="Arial"/>
          <w:lang w:eastAsia="es-ES"/>
        </w:rPr>
      </w:pPr>
      <w:r w:rsidRPr="00DA2186">
        <w:rPr>
          <w:rFonts w:ascii="Verdana" w:eastAsia="Calibri" w:hAnsi="Verdana" w:cs="Arial"/>
          <w:lang w:eastAsia="es-ES"/>
        </w:rPr>
        <w:drawing>
          <wp:anchor distT="0" distB="0" distL="114300" distR="114300" simplePos="0" relativeHeight="251660288" behindDoc="1" locked="0" layoutInCell="1" allowOverlap="1" wp14:anchorId="69E891AD" wp14:editId="031FBCEA">
            <wp:simplePos x="0" y="0"/>
            <wp:positionH relativeFrom="column">
              <wp:posOffset>3078577</wp:posOffset>
            </wp:positionH>
            <wp:positionV relativeFrom="paragraph">
              <wp:posOffset>172085</wp:posOffset>
            </wp:positionV>
            <wp:extent cx="2819794" cy="762106"/>
            <wp:effectExtent l="0" t="0" r="0" b="0"/>
            <wp:wrapTight wrapText="bothSides">
              <wp:wrapPolygon edited="0">
                <wp:start x="0" y="0"/>
                <wp:lineTo x="0" y="21060"/>
                <wp:lineTo x="21454" y="21060"/>
                <wp:lineTo x="21454" y="0"/>
                <wp:lineTo x="0" y="0"/>
              </wp:wrapPolygon>
            </wp:wrapTight>
            <wp:docPr id="1477870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87027" name=""/>
                    <pic:cNvPicPr/>
                  </pic:nvPicPr>
                  <pic:blipFill>
                    <a:blip r:embed="rId7">
                      <a:extLst>
                        <a:ext uri="{28A0092B-C50C-407E-A947-70E740481C1C}">
                          <a14:useLocalDpi xmlns:a14="http://schemas.microsoft.com/office/drawing/2010/main" val="0"/>
                        </a:ext>
                      </a:extLst>
                    </a:blip>
                    <a:stretch>
                      <a:fillRect/>
                    </a:stretch>
                  </pic:blipFill>
                  <pic:spPr>
                    <a:xfrm>
                      <a:off x="0" y="0"/>
                      <a:ext cx="2819794" cy="762106"/>
                    </a:xfrm>
                    <a:prstGeom prst="rect">
                      <a:avLst/>
                    </a:prstGeom>
                  </pic:spPr>
                </pic:pic>
              </a:graphicData>
            </a:graphic>
          </wp:anchor>
        </w:drawing>
      </w:r>
    </w:p>
    <w:p w14:paraId="6DCDECBB" w14:textId="754F85AC" w:rsidR="00DA2186" w:rsidRPr="008E4F36" w:rsidRDefault="00DA2186" w:rsidP="00402750">
      <w:pPr>
        <w:spacing w:after="0" w:line="240" w:lineRule="auto"/>
        <w:jc w:val="both"/>
        <w:rPr>
          <w:rFonts w:ascii="Verdana" w:eastAsia="Calibri" w:hAnsi="Verdana" w:cs="Arial"/>
          <w:lang w:eastAsia="es-ES"/>
        </w:rPr>
      </w:pPr>
    </w:p>
    <w:p w14:paraId="37904647" w14:textId="6C497856" w:rsidR="00402750" w:rsidRDefault="00402750" w:rsidP="00402750">
      <w:pPr>
        <w:spacing w:after="0" w:line="240" w:lineRule="auto"/>
        <w:jc w:val="both"/>
        <w:rPr>
          <w:rFonts w:ascii="Verdana" w:eastAsia="Calibri" w:hAnsi="Verdana" w:cs="Arial"/>
          <w:lang w:eastAsia="es-ES"/>
        </w:rPr>
      </w:pPr>
    </w:p>
    <w:p w14:paraId="34E4F36D" w14:textId="77777777" w:rsidR="00402750" w:rsidRPr="008E4F36" w:rsidRDefault="00402750" w:rsidP="00402750">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r>
        <w:rPr>
          <w:rFonts w:ascii="Verdana" w:eastAsia="Calibri" w:hAnsi="Verdana" w:cs="Arial"/>
          <w:lang w:eastAsia="es-ES"/>
        </w:rPr>
        <w:t>a</w:t>
      </w:r>
    </w:p>
    <w:p w14:paraId="4E5B6A13" w14:textId="77777777" w:rsidR="00402750" w:rsidRPr="00615BFE" w:rsidRDefault="00402750" w:rsidP="00402750">
      <w:pPr>
        <w:spacing w:after="0" w:line="240" w:lineRule="auto"/>
        <w:jc w:val="both"/>
        <w:rPr>
          <w:rFonts w:ascii="Verdana" w:eastAsia="Calibri" w:hAnsi="Verdana" w:cs="Arial"/>
          <w:b/>
          <w:lang w:eastAsia="es-ES_tradnl"/>
        </w:rPr>
      </w:pPr>
      <w:r w:rsidRPr="00615BFE">
        <w:rPr>
          <w:rFonts w:ascii="Verdana" w:eastAsia="Calibri" w:hAnsi="Verdana" w:cs="Arial"/>
          <w:b/>
          <w:lang w:eastAsia="es-ES_tradnl"/>
        </w:rPr>
        <w:t>Margaret Caceres</w:t>
      </w:r>
    </w:p>
    <w:p w14:paraId="24012DB3" w14:textId="77777777" w:rsidR="00402750" w:rsidRDefault="00402750" w:rsidP="00402750">
      <w:pPr>
        <w:spacing w:after="0" w:line="240" w:lineRule="auto"/>
        <w:jc w:val="both"/>
        <w:rPr>
          <w:rFonts w:ascii="Verdana" w:eastAsia="Calibri" w:hAnsi="Verdana" w:cs="Arial"/>
          <w:bCs/>
          <w:color w:val="0070C0"/>
          <w:lang w:eastAsia="es-ES_tradnl"/>
        </w:rPr>
      </w:pPr>
      <w:hyperlink r:id="rId8" w:history="1">
        <w:r w:rsidRPr="00A259DA">
          <w:rPr>
            <w:rStyle w:val="Hipervnculo"/>
            <w:rFonts w:ascii="Verdana" w:eastAsia="Calibri" w:hAnsi="Verdana" w:cs="Arial"/>
            <w:bCs/>
            <w:lang w:eastAsia="es-ES_tradnl"/>
          </w:rPr>
          <w:t>margaretc3757@gmail.com</w:t>
        </w:r>
      </w:hyperlink>
      <w:r>
        <w:rPr>
          <w:rFonts w:ascii="Verdana" w:eastAsia="Calibri" w:hAnsi="Verdana" w:cs="Arial"/>
          <w:bCs/>
          <w:color w:val="0070C0"/>
          <w:lang w:eastAsia="es-ES_tradnl"/>
        </w:rPr>
        <w:t xml:space="preserve"> </w:t>
      </w:r>
    </w:p>
    <w:p w14:paraId="5C42FADA" w14:textId="77777777" w:rsidR="00402750" w:rsidRPr="00DB0C8A" w:rsidRDefault="00402750" w:rsidP="00402750">
      <w:pPr>
        <w:spacing w:after="0" w:line="240" w:lineRule="auto"/>
        <w:jc w:val="both"/>
        <w:rPr>
          <w:rFonts w:ascii="Verdana" w:eastAsia="Calibri" w:hAnsi="Verdana" w:cs="Arial"/>
          <w:bCs/>
          <w:color w:val="000000" w:themeColor="text1"/>
          <w:lang w:eastAsia="es-ES_tradnl"/>
        </w:rPr>
      </w:pPr>
      <w:r w:rsidRPr="00DB0C8A">
        <w:rPr>
          <w:rFonts w:ascii="Verdana" w:eastAsia="Calibri" w:hAnsi="Verdana" w:cs="Arial"/>
          <w:bCs/>
          <w:color w:val="000000" w:themeColor="text1"/>
          <w:lang w:eastAsia="es-ES_tradnl"/>
        </w:rPr>
        <w:t xml:space="preserve">Ciudad </w:t>
      </w:r>
    </w:p>
    <w:p w14:paraId="109E5A56" w14:textId="77777777" w:rsidR="00402750" w:rsidRPr="005B4C57" w:rsidRDefault="00402750" w:rsidP="00402750">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402750" w:rsidRPr="002842E0" w14:paraId="47E30048" w14:textId="77777777" w:rsidTr="002F05DF">
        <w:trPr>
          <w:trHeight w:val="162"/>
        </w:trPr>
        <w:tc>
          <w:tcPr>
            <w:tcW w:w="3119" w:type="dxa"/>
          </w:tcPr>
          <w:p w14:paraId="25FC4041" w14:textId="77777777" w:rsidR="00402750" w:rsidRPr="005B4C57" w:rsidRDefault="00402750" w:rsidP="002F05DF">
            <w:pPr>
              <w:jc w:val="both"/>
              <w:rPr>
                <w:rFonts w:ascii="Verdana" w:eastAsia="Calibri" w:hAnsi="Verdana" w:cs="Arial"/>
                <w:b/>
                <w:bCs/>
                <w:color w:val="7030A0"/>
                <w:lang w:val="it-CH" w:eastAsia="es-ES_tradnl"/>
              </w:rPr>
            </w:pPr>
          </w:p>
        </w:tc>
        <w:tc>
          <w:tcPr>
            <w:tcW w:w="5670" w:type="dxa"/>
          </w:tcPr>
          <w:p w14:paraId="5939BB21" w14:textId="77777777" w:rsidR="00402750" w:rsidRPr="00801462" w:rsidRDefault="00402750" w:rsidP="002F05DF">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560 de 2026</w:t>
            </w:r>
          </w:p>
          <w:p w14:paraId="16CCBFB3" w14:textId="77777777" w:rsidR="00402750" w:rsidRPr="00801462" w:rsidRDefault="00402750" w:rsidP="002F05DF">
            <w:pPr>
              <w:jc w:val="both"/>
              <w:rPr>
                <w:rFonts w:ascii="Verdana" w:eastAsia="Calibri" w:hAnsi="Verdana" w:cs="Arial"/>
                <w:b/>
                <w:bCs/>
                <w:color w:val="7030A0"/>
                <w:lang w:eastAsia="es-ES"/>
              </w:rPr>
            </w:pPr>
          </w:p>
        </w:tc>
      </w:tr>
      <w:tr w:rsidR="00402750" w:rsidRPr="002842E0" w14:paraId="04279831" w14:textId="77777777" w:rsidTr="002F05DF">
        <w:trPr>
          <w:trHeight w:val="884"/>
        </w:trPr>
        <w:tc>
          <w:tcPr>
            <w:tcW w:w="3119" w:type="dxa"/>
          </w:tcPr>
          <w:p w14:paraId="6A8EA438" w14:textId="77777777" w:rsidR="00402750" w:rsidRPr="00801462" w:rsidRDefault="00402750" w:rsidP="002F05DF">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7D3EDEEB" w14:textId="77777777" w:rsidR="00402750" w:rsidRPr="00791911" w:rsidRDefault="00402750" w:rsidP="002F05DF">
            <w:pPr>
              <w:spacing w:line="276" w:lineRule="auto"/>
              <w:jc w:val="both"/>
              <w:rPr>
                <w:rFonts w:ascii="Verdana" w:eastAsia="Calibri" w:hAnsi="Verdana" w:cs="Arial"/>
                <w:bCs/>
                <w:lang w:val="es-ES_tradnl" w:eastAsia="es-ES_tradnl"/>
              </w:rPr>
            </w:pPr>
            <w:r w:rsidRPr="00FE10F1">
              <w:rPr>
                <w:rFonts w:ascii="Verdana" w:eastAsia="Calibri" w:hAnsi="Verdana" w:cs="Arial"/>
                <w:bCs/>
                <w:lang w:val="es-ES_tradnl" w:eastAsia="es-ES_tradnl"/>
              </w:rPr>
              <w:t>SOCIEDADES NUEVAS ‒ Experiencia ‒ Inferior a tres a</w:t>
            </w:r>
            <w:r w:rsidRPr="00FE10F1">
              <w:rPr>
                <w:rFonts w:ascii="Verdana" w:eastAsia="Calibri" w:hAnsi="Verdana" w:cs="Century Gothic"/>
                <w:bCs/>
                <w:lang w:val="es-ES_tradnl" w:eastAsia="es-ES_tradnl"/>
              </w:rPr>
              <w:t>ñ</w:t>
            </w:r>
            <w:r w:rsidRPr="00FE10F1">
              <w:rPr>
                <w:rFonts w:ascii="Verdana" w:eastAsia="Calibri" w:hAnsi="Verdana" w:cs="Arial"/>
                <w:bCs/>
                <w:lang w:val="es-ES_tradnl" w:eastAsia="es-ES_tradnl"/>
              </w:rPr>
              <w:t>os ‒ Requisitos habilitantes / EXPERIENCIA ‒ Conservaci</w:t>
            </w:r>
            <w:r w:rsidRPr="00FE10F1">
              <w:rPr>
                <w:rFonts w:ascii="Verdana" w:eastAsia="Calibri" w:hAnsi="Verdana" w:cs="Century Gothic"/>
                <w:bCs/>
                <w:lang w:val="es-ES_tradnl" w:eastAsia="es-ES_tradnl"/>
              </w:rPr>
              <w:t>ó</w:t>
            </w:r>
            <w:r w:rsidRPr="00FE10F1">
              <w:rPr>
                <w:rFonts w:ascii="Verdana" w:eastAsia="Calibri" w:hAnsi="Verdana" w:cs="Arial"/>
                <w:bCs/>
                <w:lang w:val="es-ES_tradnl" w:eastAsia="es-ES_tradnl"/>
              </w:rPr>
              <w:t>n</w:t>
            </w:r>
            <w:r>
              <w:rPr>
                <w:rFonts w:ascii="Verdana" w:eastAsia="Calibri" w:hAnsi="Verdana" w:cs="Arial"/>
                <w:bCs/>
                <w:lang w:val="es-ES_tradnl" w:eastAsia="es-ES_tradnl"/>
              </w:rPr>
              <w:t xml:space="preserve"> </w:t>
            </w:r>
            <w:r w:rsidRPr="00FE10F1">
              <w:rPr>
                <w:rFonts w:ascii="Verdana" w:eastAsia="Calibri" w:hAnsi="Verdana" w:cs="Arial"/>
                <w:bCs/>
                <w:lang w:val="es-ES_tradnl" w:eastAsia="es-ES_tradnl"/>
              </w:rPr>
              <w:t>‒</w:t>
            </w:r>
            <w:r>
              <w:rPr>
                <w:rFonts w:ascii="Verdana" w:eastAsia="Calibri" w:hAnsi="Verdana" w:cs="Arial"/>
                <w:bCs/>
                <w:lang w:val="es-ES_tradnl" w:eastAsia="es-ES_tradnl"/>
              </w:rPr>
              <w:t xml:space="preserve"> Renovación RUP</w:t>
            </w:r>
            <w:r w:rsidRPr="00FE10F1">
              <w:rPr>
                <w:rFonts w:ascii="Verdana" w:eastAsia="Calibri" w:hAnsi="Verdana" w:cs="Arial"/>
                <w:bCs/>
                <w:lang w:val="es-ES_tradnl" w:eastAsia="es-ES_tradnl"/>
              </w:rPr>
              <w:t xml:space="preserve"> / EXPERIENCIA </w:t>
            </w:r>
            <w:r w:rsidRPr="00FE10F1">
              <w:rPr>
                <w:rFonts w:ascii="Verdana" w:eastAsia="Calibri" w:hAnsi="Verdana" w:cs="Century Gothic"/>
                <w:bCs/>
                <w:lang w:val="es-ES_tradnl" w:eastAsia="es-ES_tradnl"/>
              </w:rPr>
              <w:t>–</w:t>
            </w:r>
            <w:r w:rsidRPr="00FE10F1">
              <w:rPr>
                <w:rFonts w:ascii="Verdana" w:eastAsia="Calibri" w:hAnsi="Verdana" w:cs="Arial"/>
                <w:bCs/>
                <w:lang w:val="es-ES_tradnl" w:eastAsia="es-ES_tradnl"/>
              </w:rPr>
              <w:t xml:space="preserve"> Retiro del socio </w:t>
            </w:r>
            <w:r w:rsidRPr="00FE10F1">
              <w:rPr>
                <w:rFonts w:ascii="Verdana" w:eastAsia="Calibri" w:hAnsi="Verdana" w:cs="Century Gothic"/>
                <w:bCs/>
                <w:lang w:val="es-ES_tradnl" w:eastAsia="es-ES_tradnl"/>
              </w:rPr>
              <w:t>−</w:t>
            </w:r>
            <w:r w:rsidRPr="00FE10F1">
              <w:rPr>
                <w:rFonts w:ascii="Verdana" w:eastAsia="Calibri" w:hAnsi="Verdana" w:cs="Arial"/>
                <w:bCs/>
                <w:lang w:val="es-ES_tradnl" w:eastAsia="es-ES_tradnl"/>
              </w:rPr>
              <w:t xml:space="preserve"> Sociedades </w:t>
            </w:r>
            <w:r w:rsidRPr="00FE10F1">
              <w:rPr>
                <w:rFonts w:ascii="Verdana" w:eastAsia="Calibri" w:hAnsi="Verdana" w:cs="Century Gothic"/>
                <w:bCs/>
                <w:lang w:val="es-ES_tradnl" w:eastAsia="es-ES_tradnl"/>
              </w:rPr>
              <w:t>–</w:t>
            </w:r>
            <w:r w:rsidRPr="00FE10F1">
              <w:rPr>
                <w:rFonts w:ascii="Verdana" w:eastAsia="Calibri" w:hAnsi="Verdana" w:cs="Arial"/>
                <w:bCs/>
                <w:lang w:val="es-ES_tradnl" w:eastAsia="es-ES_tradnl"/>
              </w:rPr>
              <w:t xml:space="preserve"> Menor a 3 a</w:t>
            </w:r>
            <w:r w:rsidRPr="00FE10F1">
              <w:rPr>
                <w:rFonts w:ascii="Verdana" w:eastAsia="Calibri" w:hAnsi="Verdana" w:cs="Century Gothic"/>
                <w:bCs/>
                <w:lang w:val="es-ES_tradnl" w:eastAsia="es-ES_tradnl"/>
              </w:rPr>
              <w:t>ñ</w:t>
            </w:r>
            <w:r w:rsidRPr="00FE10F1">
              <w:rPr>
                <w:rFonts w:ascii="Verdana" w:eastAsia="Calibri" w:hAnsi="Verdana" w:cs="Arial"/>
                <w:bCs/>
                <w:lang w:val="es-ES_tradnl" w:eastAsia="es-ES_tradnl"/>
              </w:rPr>
              <w:t>os de constituci</w:t>
            </w:r>
            <w:r w:rsidRPr="00FE10F1">
              <w:rPr>
                <w:rFonts w:ascii="Verdana" w:eastAsia="Calibri" w:hAnsi="Verdana" w:cs="Century Gothic"/>
                <w:bCs/>
                <w:lang w:val="es-ES_tradnl" w:eastAsia="es-ES_tradnl"/>
              </w:rPr>
              <w:t>ó</w:t>
            </w:r>
            <w:r w:rsidRPr="00FE10F1">
              <w:rPr>
                <w:rFonts w:ascii="Verdana" w:eastAsia="Calibri" w:hAnsi="Verdana" w:cs="Arial"/>
                <w:bCs/>
                <w:lang w:val="es-ES_tradnl" w:eastAsia="es-ES_tradnl"/>
              </w:rPr>
              <w:t xml:space="preserve">n </w:t>
            </w:r>
          </w:p>
          <w:p w14:paraId="6FFAD0C2" w14:textId="77777777" w:rsidR="00402750" w:rsidRPr="00E31101" w:rsidRDefault="00402750" w:rsidP="002F05DF">
            <w:pPr>
              <w:jc w:val="both"/>
              <w:rPr>
                <w:rFonts w:ascii="Verdana" w:eastAsia="Calibri" w:hAnsi="Verdana" w:cs="Arial"/>
                <w:lang w:eastAsia="es-ES"/>
              </w:rPr>
            </w:pPr>
          </w:p>
        </w:tc>
      </w:tr>
      <w:tr w:rsidR="00402750" w:rsidRPr="002842E0" w14:paraId="3FFFE6A7" w14:textId="77777777" w:rsidTr="002F05DF">
        <w:tc>
          <w:tcPr>
            <w:tcW w:w="3119" w:type="dxa"/>
          </w:tcPr>
          <w:p w14:paraId="7E06510F" w14:textId="77777777" w:rsidR="00402750" w:rsidRPr="00801462" w:rsidRDefault="00402750" w:rsidP="002F05DF">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5360B4AB" w14:textId="77777777" w:rsidR="00402750" w:rsidRPr="00C67AF3" w:rsidRDefault="00402750" w:rsidP="002F05DF">
            <w:pPr>
              <w:jc w:val="both"/>
              <w:rPr>
                <w:rFonts w:ascii="Verdana" w:eastAsia="Calibri" w:hAnsi="Verdana" w:cs="Arial"/>
                <w:lang w:eastAsia="es-ES_tradnl"/>
              </w:rPr>
            </w:pPr>
            <w:r w:rsidRPr="008C54F3">
              <w:rPr>
                <w:rFonts w:ascii="Verdana" w:eastAsia="Calibri" w:hAnsi="Verdana" w:cs="Arial"/>
                <w:lang w:eastAsia="es-ES_tradnl"/>
              </w:rPr>
              <w:t xml:space="preserve">Respuesta a consulta con radicado </w:t>
            </w:r>
            <w:r w:rsidRPr="00DD01A0">
              <w:rPr>
                <w:rFonts w:ascii="Verdana" w:eastAsia="Calibri" w:hAnsi="Verdana" w:cs="Arial"/>
                <w:lang w:eastAsia="es-ES_tradnl"/>
              </w:rPr>
              <w:t>1_2026_04_08_004747</w:t>
            </w:r>
            <w:r>
              <w:rPr>
                <w:rFonts w:ascii="Verdana" w:eastAsia="Calibri" w:hAnsi="Verdana" w:cs="Arial"/>
                <w:lang w:eastAsia="es-ES_tradnl"/>
              </w:rPr>
              <w:t xml:space="preserve">  </w:t>
            </w:r>
          </w:p>
        </w:tc>
      </w:tr>
    </w:tbl>
    <w:p w14:paraId="57406909" w14:textId="77777777" w:rsidR="00402750" w:rsidRDefault="00402750" w:rsidP="00402750">
      <w:pPr>
        <w:spacing w:after="0" w:line="276" w:lineRule="auto"/>
        <w:jc w:val="both"/>
        <w:rPr>
          <w:rFonts w:ascii="Verdana" w:eastAsia="Calibri" w:hAnsi="Verdana" w:cs="Arial"/>
          <w:lang w:eastAsia="es-ES_tradnl"/>
        </w:rPr>
      </w:pPr>
    </w:p>
    <w:p w14:paraId="5D0A6C56" w14:textId="77777777" w:rsidR="00402750" w:rsidRDefault="00402750" w:rsidP="00402750">
      <w:pPr>
        <w:spacing w:after="0" w:line="276" w:lineRule="auto"/>
        <w:jc w:val="both"/>
        <w:rPr>
          <w:rFonts w:ascii="Verdana" w:eastAsia="Calibri" w:hAnsi="Verdana" w:cs="Arial"/>
          <w:lang w:eastAsia="es-ES_tradnl"/>
        </w:rPr>
      </w:pPr>
    </w:p>
    <w:p w14:paraId="73EB18EC" w14:textId="77777777" w:rsidR="00402750" w:rsidRPr="008E4F36" w:rsidRDefault="00402750" w:rsidP="00402750">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a</w:t>
      </w:r>
      <w:r w:rsidRPr="00083AB6">
        <w:rPr>
          <w:rFonts w:ascii="Verdana" w:eastAsia="Calibri" w:hAnsi="Verdana" w:cs="Arial"/>
          <w:lang w:eastAsia="es-ES"/>
        </w:rPr>
        <w:t xml:space="preserve"> señor</w:t>
      </w:r>
      <w:r>
        <w:rPr>
          <w:rFonts w:ascii="Verdana" w:eastAsia="Calibri" w:hAnsi="Verdana" w:cs="Arial"/>
          <w:lang w:eastAsia="es-ES"/>
        </w:rPr>
        <w:t>a Margaret</w:t>
      </w:r>
      <w:r w:rsidRPr="00083AB6">
        <w:rPr>
          <w:rFonts w:ascii="Verdana" w:eastAsia="Calibri" w:hAnsi="Verdana" w:cs="Arial"/>
          <w:lang w:eastAsia="es-ES"/>
        </w:rPr>
        <w:t>:</w:t>
      </w:r>
      <w:r w:rsidRPr="008E4F36">
        <w:rPr>
          <w:rFonts w:ascii="Verdana" w:eastAsia="Calibri" w:hAnsi="Verdana" w:cs="Arial"/>
          <w:lang w:eastAsia="es-ES"/>
        </w:rPr>
        <w:t xml:space="preserve"> </w:t>
      </w:r>
    </w:p>
    <w:p w14:paraId="1D281557" w14:textId="77777777" w:rsidR="00402750" w:rsidRDefault="00402750" w:rsidP="00402750">
      <w:pPr>
        <w:tabs>
          <w:tab w:val="left" w:pos="3768"/>
        </w:tabs>
        <w:spacing w:after="0" w:line="240" w:lineRule="auto"/>
        <w:jc w:val="both"/>
        <w:rPr>
          <w:rFonts w:ascii="Verdana" w:eastAsia="Calibri" w:hAnsi="Verdana" w:cs="Arial"/>
          <w:lang w:eastAsia="es-ES"/>
        </w:rPr>
      </w:pPr>
    </w:p>
    <w:p w14:paraId="25C76AF9" w14:textId="77777777" w:rsidR="00402750" w:rsidRPr="008E4F36" w:rsidRDefault="00402750" w:rsidP="00402750">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8</w:t>
      </w:r>
      <w:r w:rsidRPr="00AF6D58">
        <w:rPr>
          <w:rFonts w:ascii="Verdana" w:eastAsia="Calibri" w:hAnsi="Verdana" w:cs="Arial"/>
          <w:lang w:eastAsia="es-ES"/>
        </w:rPr>
        <w:t xml:space="preserve"> de </w:t>
      </w:r>
      <w:r>
        <w:rPr>
          <w:rFonts w:ascii="Verdana" w:eastAsia="Calibri" w:hAnsi="Verdana" w:cs="Arial"/>
          <w:lang w:eastAsia="es-ES"/>
        </w:rPr>
        <w:t>abril</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6E5F870E" w14:textId="77777777" w:rsidR="00402750" w:rsidRPr="008C54F3" w:rsidRDefault="00402750" w:rsidP="00402750">
      <w:pPr>
        <w:spacing w:line="240" w:lineRule="auto"/>
        <w:ind w:left="709" w:right="709"/>
        <w:jc w:val="both"/>
        <w:rPr>
          <w:rFonts w:ascii="Verdana" w:eastAsia="Calibri" w:hAnsi="Verdana" w:cs="Arial"/>
          <w:color w:val="000000" w:themeColor="text1"/>
          <w:sz w:val="20"/>
          <w:szCs w:val="20"/>
        </w:rPr>
      </w:pPr>
    </w:p>
    <w:p w14:paraId="61CD118E" w14:textId="77777777" w:rsidR="00402750" w:rsidRPr="003E0B49" w:rsidRDefault="00402750" w:rsidP="00402750">
      <w:pPr>
        <w:spacing w:after="0" w:line="240" w:lineRule="auto"/>
        <w:ind w:left="709" w:right="709"/>
        <w:jc w:val="both"/>
        <w:rPr>
          <w:rFonts w:ascii="Verdana" w:eastAsia="Century Gothic" w:hAnsi="Verdana" w:cs="Century Gothic"/>
          <w:sz w:val="20"/>
          <w:szCs w:val="20"/>
          <w:lang w:val="es-ES"/>
        </w:rPr>
      </w:pPr>
      <w:r w:rsidRPr="003E0B49">
        <w:rPr>
          <w:rFonts w:ascii="Verdana" w:eastAsia="Century Gothic" w:hAnsi="Verdana" w:cs="Century Gothic"/>
          <w:sz w:val="20"/>
          <w:szCs w:val="20"/>
          <w:lang w:val="es-ES"/>
        </w:rPr>
        <w:t>“1.¿Una sociedad que inicialmente acreditó válidamente la experiencia de uno de sus socios por tener menos de tres (3) años de constituida puede continuar utilizando dicha experiencia en procesos de contratación estatal después de superar los tres (3) años de existencia, siempre que esta permanezca inscrita y renovada en el RUP?</w:t>
      </w:r>
    </w:p>
    <w:p w14:paraId="13275CF7" w14:textId="77777777" w:rsidR="00402750" w:rsidRPr="003E0B49" w:rsidRDefault="00402750" w:rsidP="00402750">
      <w:pPr>
        <w:spacing w:after="0" w:line="240" w:lineRule="auto"/>
        <w:ind w:left="709" w:right="709"/>
        <w:jc w:val="both"/>
        <w:rPr>
          <w:rFonts w:ascii="Verdana" w:eastAsia="Century Gothic" w:hAnsi="Verdana" w:cs="Century Gothic"/>
          <w:sz w:val="20"/>
          <w:szCs w:val="20"/>
          <w:lang w:val="es-ES"/>
        </w:rPr>
      </w:pPr>
      <w:r w:rsidRPr="003E0B49">
        <w:rPr>
          <w:rFonts w:ascii="Verdana" w:eastAsia="Century Gothic" w:hAnsi="Verdana" w:cs="Century Gothic"/>
          <w:sz w:val="20"/>
          <w:szCs w:val="20"/>
          <w:lang w:val="es-ES"/>
        </w:rPr>
        <w:t>2. ¿La restricción normativa aplicable después de los tres (3) años de constitución únicamente impide incorporar nueva experiencia del socio al RUP, pero no afecta la experiencia ya inscrita de manera válida con anterioridad?</w:t>
      </w:r>
    </w:p>
    <w:p w14:paraId="6826242E" w14:textId="77777777" w:rsidR="00402750" w:rsidRPr="003E0B49" w:rsidRDefault="00402750" w:rsidP="00402750">
      <w:pPr>
        <w:spacing w:after="0" w:line="240" w:lineRule="auto"/>
        <w:ind w:left="709" w:right="709"/>
        <w:jc w:val="both"/>
        <w:rPr>
          <w:rFonts w:ascii="Verdana" w:eastAsia="Century Gothic" w:hAnsi="Verdana" w:cs="Century Gothic"/>
          <w:sz w:val="20"/>
          <w:szCs w:val="20"/>
          <w:lang w:val="es-ES"/>
        </w:rPr>
      </w:pPr>
      <w:r w:rsidRPr="003E0B49">
        <w:rPr>
          <w:rFonts w:ascii="Verdana" w:eastAsia="Century Gothic" w:hAnsi="Verdana" w:cs="Century Gothic"/>
          <w:sz w:val="20"/>
          <w:szCs w:val="20"/>
          <w:lang w:val="es-ES"/>
        </w:rPr>
        <w:lastRenderedPageBreak/>
        <w:t>3. ¿Puede entenderse que la experiencia aportada válidamente por el socio mientras la sociedad tenía menos de tres (3) años de constituida hace parte del acervo histórico de experiencia de la persona jurídica y, por ende, puede seguir siendo acreditada mientras permanezca vigente en el RUP?</w:t>
      </w:r>
    </w:p>
    <w:p w14:paraId="1A46D83F" w14:textId="77777777" w:rsidR="00402750" w:rsidRPr="003E0B49" w:rsidRDefault="00402750" w:rsidP="00402750">
      <w:pPr>
        <w:spacing w:after="0" w:line="240" w:lineRule="auto"/>
        <w:ind w:left="709" w:right="709"/>
        <w:jc w:val="both"/>
        <w:rPr>
          <w:rFonts w:ascii="Verdana" w:eastAsia="Century Gothic" w:hAnsi="Verdana" w:cs="Century Gothic"/>
          <w:sz w:val="20"/>
          <w:szCs w:val="20"/>
          <w:lang w:val="es-ES"/>
        </w:rPr>
      </w:pPr>
      <w:r w:rsidRPr="003E0B49">
        <w:rPr>
          <w:rFonts w:ascii="Verdana" w:eastAsia="Century Gothic" w:hAnsi="Verdana" w:cs="Century Gothic"/>
          <w:sz w:val="20"/>
          <w:szCs w:val="20"/>
          <w:lang w:val="es-ES"/>
        </w:rPr>
        <w:t>4.En caso de que el socio NO permanezca vinculado a la sociedad después de superados los tres (3) años de constitución, ¿existe alguna limitación adicional respecto al uso de la experiencia previamente inscrita en el RUP?.”</w:t>
      </w:r>
    </w:p>
    <w:p w14:paraId="2AE2B311" w14:textId="77777777" w:rsidR="00402750" w:rsidRDefault="00402750" w:rsidP="00402750">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5FC6645" w14:textId="77777777" w:rsidR="00402750" w:rsidRPr="00054383" w:rsidRDefault="00402750" w:rsidP="00402750">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4EEC4FC4" w14:textId="77777777" w:rsidR="00402750" w:rsidRPr="008E4F36" w:rsidRDefault="00402750" w:rsidP="00402750">
      <w:pPr>
        <w:spacing w:after="0"/>
        <w:ind w:firstLine="709"/>
        <w:jc w:val="both"/>
        <w:rPr>
          <w:rFonts w:ascii="Verdana" w:eastAsia="Calibri" w:hAnsi="Verdana" w:cs="Arial"/>
          <w:color w:val="000000"/>
          <w:lang w:eastAsia="es-ES"/>
        </w:rPr>
      </w:pPr>
    </w:p>
    <w:p w14:paraId="5ABCDEDA" w14:textId="77777777" w:rsidR="00402750" w:rsidRDefault="00402750" w:rsidP="00402750">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1ABE4A6F" w14:textId="77777777" w:rsidR="00402750" w:rsidRDefault="00402750" w:rsidP="00402750">
      <w:pPr>
        <w:spacing w:after="0" w:line="276" w:lineRule="auto"/>
        <w:jc w:val="both"/>
        <w:rPr>
          <w:rFonts w:ascii="Verdana" w:eastAsia="Calibri" w:hAnsi="Verdana" w:cs="Arial"/>
          <w:color w:val="000000"/>
          <w:highlight w:val="yellow"/>
          <w:lang w:eastAsia="es-ES"/>
        </w:rPr>
      </w:pPr>
    </w:p>
    <w:p w14:paraId="113A33C2" w14:textId="77777777" w:rsidR="00402750" w:rsidRPr="00F53223" w:rsidRDefault="00402750" w:rsidP="00402750">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w:t>
      </w:r>
      <w:r w:rsidRPr="00C864DA">
        <w:rPr>
          <w:rFonts w:ascii="Verdana" w:eastAsia="Calibri" w:hAnsi="Verdana" w:cs="Arial"/>
          <w:color w:val="000000"/>
          <w:lang w:eastAsia="es-ES"/>
        </w:rPr>
        <w:t xml:space="preserve">: </w:t>
      </w:r>
      <w:r w:rsidRPr="00A06580">
        <w:rPr>
          <w:rFonts w:ascii="Verdana" w:eastAsia="Calibri" w:hAnsi="Verdana" w:cs="Arial"/>
          <w:color w:val="000000"/>
          <w:lang w:eastAsia="es-ES"/>
        </w:rPr>
        <w:t>i</w:t>
      </w:r>
      <w:r>
        <w:rPr>
          <w:rFonts w:ascii="Verdana" w:eastAsia="Calibri" w:hAnsi="Verdana" w:cs="Arial"/>
          <w:color w:val="000000"/>
          <w:lang w:eastAsia="es-ES"/>
        </w:rPr>
        <w:t xml:space="preserve">) </w:t>
      </w:r>
      <w:r w:rsidRPr="00D57F02">
        <w:rPr>
          <w:rFonts w:ascii="Verdana" w:eastAsia="Calibri" w:hAnsi="Verdana" w:cs="Arial"/>
          <w:color w:val="000000"/>
          <w:lang w:eastAsia="es-ES"/>
        </w:rPr>
        <w:t>¿Puede una persona jurídica que inicialmente acreditó válidamente la experiencia de uno de sus socios —por tener menos de tres (3) años de constituida— continuar utilizando dicha experiencia en procesos de contratación estatal, una vez superado ese término y aun cuando el socio que la aportó deje de estar vinculado a la sociedad, siempre que la experiencia permanezca inscrita y vigente en el RUP?</w:t>
      </w:r>
      <w:r>
        <w:rPr>
          <w:rFonts w:ascii="Verdana" w:eastAsia="Calibri" w:hAnsi="Verdana" w:cs="Arial"/>
          <w:color w:val="000000"/>
          <w:lang w:eastAsia="es-ES"/>
        </w:rPr>
        <w:t xml:space="preserve"> ii)</w:t>
      </w:r>
      <w:r w:rsidRPr="002B4608">
        <w:t xml:space="preserve"> </w:t>
      </w:r>
      <w:r w:rsidRPr="002B4608">
        <w:rPr>
          <w:rFonts w:ascii="Verdana" w:eastAsia="Calibri" w:hAnsi="Verdana" w:cs="Arial"/>
          <w:color w:val="000000"/>
          <w:lang w:eastAsia="es-ES"/>
        </w:rPr>
        <w:t xml:space="preserve">¿La restricción normativa aplicable a las sociedades con más de tres (3) años de constitución se limita a impedir la incorporación de nueva experiencia de sus socios al RUP, o también afecta la </w:t>
      </w:r>
      <w:r w:rsidRPr="002B4608">
        <w:rPr>
          <w:rFonts w:ascii="Verdana" w:eastAsia="Calibri" w:hAnsi="Verdana" w:cs="Arial"/>
          <w:color w:val="000000"/>
          <w:lang w:eastAsia="es-ES"/>
        </w:rPr>
        <w:lastRenderedPageBreak/>
        <w:t>validez, permanencia y uso de la experiencia previamente inscrita como parte del acervo histórico de la persona jurídica?</w:t>
      </w:r>
    </w:p>
    <w:p w14:paraId="00E04C22" w14:textId="77777777" w:rsidR="00402750" w:rsidRPr="00890A4C" w:rsidRDefault="00402750" w:rsidP="00402750">
      <w:pPr>
        <w:spacing w:after="0" w:line="276" w:lineRule="auto"/>
        <w:jc w:val="both"/>
        <w:rPr>
          <w:rFonts w:ascii="Verdana" w:eastAsia="Calibri" w:hAnsi="Verdana" w:cs="Times New Roman"/>
          <w:lang w:val="es-ES"/>
        </w:rPr>
      </w:pPr>
    </w:p>
    <w:p w14:paraId="37D55FBC" w14:textId="77777777" w:rsidR="00402750" w:rsidRPr="008E4F36" w:rsidRDefault="00402750" w:rsidP="00402750">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0FC68FA9" w14:textId="77777777" w:rsidR="00402750" w:rsidRPr="008E4F36" w:rsidRDefault="00402750" w:rsidP="0040275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402750" w:rsidRPr="008E4F36" w14:paraId="6E8A12CC" w14:textId="77777777" w:rsidTr="002F05DF">
        <w:tc>
          <w:tcPr>
            <w:tcW w:w="8828" w:type="dxa"/>
          </w:tcPr>
          <w:p w14:paraId="4F81F599" w14:textId="77777777" w:rsidR="00402750" w:rsidRPr="002A02F6" w:rsidRDefault="00402750" w:rsidP="002F05DF">
            <w:pPr>
              <w:spacing w:after="120" w:line="276" w:lineRule="auto"/>
              <w:jc w:val="both"/>
              <w:rPr>
                <w:rFonts w:ascii="Verdana" w:hAnsi="Verdana" w:cs="Arial"/>
                <w:color w:val="000000" w:themeColor="text1"/>
              </w:rPr>
            </w:pPr>
            <w:r w:rsidRPr="002A02F6">
              <w:rPr>
                <w:rFonts w:ascii="Verdana" w:hAnsi="Verdana" w:cs="Arial"/>
                <w:color w:val="000000" w:themeColor="text1"/>
              </w:rPr>
              <w:t>i) De acuerdo con el artículo 6 de la Ley 1150 de 2007 y el numeral 2.5 del artículo 2.2.1.1.1.5.2 del Decreto 1082 de 2015, una persona jurídica que inicialmente acreditó válidamente la experiencia de uno de sus socios, accionistas o constituyentes —por tener menos de tres (3) años de constituida— puede continuar utilizando dicha experiencia en los procesos de contratación estatal mientras esta permanezca inscrita y en firme en el Registro Único de Proponentes –RUP–, en atención al valor probatorio que la ley le otorga a dicho registro. En consecuencia, desconocer la experiencia inscrita implicaría desatender la eficacia probatoria del RUP.</w:t>
            </w:r>
          </w:p>
          <w:p w14:paraId="47B7D90E" w14:textId="77777777" w:rsidR="00402750" w:rsidRPr="002A02F6" w:rsidRDefault="00402750" w:rsidP="002F05DF">
            <w:pPr>
              <w:spacing w:after="120" w:line="276" w:lineRule="auto"/>
              <w:ind w:firstLine="709"/>
              <w:jc w:val="both"/>
              <w:rPr>
                <w:rFonts w:ascii="Verdana" w:hAnsi="Verdana" w:cs="Arial"/>
                <w:color w:val="000000" w:themeColor="text1"/>
              </w:rPr>
            </w:pPr>
            <w:r w:rsidRPr="002A02F6">
              <w:rPr>
                <w:rFonts w:ascii="Verdana" w:hAnsi="Verdana" w:cs="Arial"/>
                <w:color w:val="000000" w:themeColor="text1"/>
              </w:rPr>
              <w:t>No obstante, las Entidades Estatales tienen la obligación de verificar que el socio, accionista o constituyente que aportó la experiencia mantenga dicha calidad al momento de la evaluación de la oferta. Por ello, aunque la desvinculación posterior del socio no produce automáticamente la pérdida de la experiencia inscrita, sí puede generar cuestionamientos sobre la subsistencia de los fundamentos fácticos que dieron lugar a su incorporación al RUP e incluso dar lugar a discusiones relacionadas con la pérdida de fuerza ejecutoria del acto de inscripción, de conformidad con lo previsto en la Ley 1437 de 2011. En todo caso, el análisis de estas circunstancias corresponde realizarlo en cada caso concreto por las entidades competentes y, en caso de controversia, por las autoridades judiciales.</w:t>
            </w:r>
          </w:p>
          <w:p w14:paraId="730ECC31" w14:textId="77777777" w:rsidR="00402750" w:rsidRPr="002A02F6" w:rsidRDefault="00402750" w:rsidP="002F05DF">
            <w:pPr>
              <w:spacing w:after="120" w:line="276" w:lineRule="auto"/>
              <w:ind w:firstLine="709"/>
              <w:jc w:val="both"/>
              <w:rPr>
                <w:rFonts w:ascii="Verdana" w:hAnsi="Verdana" w:cs="Arial"/>
                <w:color w:val="000000" w:themeColor="text1"/>
              </w:rPr>
            </w:pPr>
            <w:r w:rsidRPr="002A02F6">
              <w:rPr>
                <w:rFonts w:ascii="Verdana" w:hAnsi="Verdana" w:cs="Arial"/>
                <w:color w:val="000000" w:themeColor="text1"/>
              </w:rPr>
              <w:t>ii) La restricción normativa aplicable a las sociedades con más de tres (3) años de constitución se refiere a la imposibilidad de seguir incorporando nueva experiencia de sus socios, accionistas o constituyentes bajo la regla excepcional prevista para sociedades jóvenes en el numeral 2.5 del artículo 2.2.1.1.1.5.2 del Decreto 1082 de 2015. Sin embargo, las disposiciones que integran el Estatuto General de Contratación de la Administración Pública no establecen expresamente la pérdida automática de validez, permanencia o eficacia de la experiencia previamente inscrita en el Registro Único de Proponentes –RUP–.</w:t>
            </w:r>
          </w:p>
          <w:p w14:paraId="19BC7967" w14:textId="77777777" w:rsidR="00402750" w:rsidRPr="009B4FD7" w:rsidRDefault="00402750" w:rsidP="002F05DF">
            <w:pPr>
              <w:spacing w:after="120" w:line="276" w:lineRule="auto"/>
              <w:ind w:firstLine="709"/>
              <w:jc w:val="both"/>
              <w:rPr>
                <w:rFonts w:ascii="Verdana" w:hAnsi="Verdana" w:cs="Arial"/>
                <w:color w:val="000000" w:themeColor="text1"/>
              </w:rPr>
            </w:pPr>
            <w:r w:rsidRPr="002A02F6">
              <w:rPr>
                <w:rFonts w:ascii="Verdana" w:hAnsi="Verdana" w:cs="Arial"/>
                <w:color w:val="000000" w:themeColor="text1"/>
              </w:rPr>
              <w:lastRenderedPageBreak/>
              <w:t>En consecuencia, mientras el RUP permanezca vigente y en firme, la experiencia allí contenida conserva el valor probatorio reconocido por el artículo 6 de la Ley 1150 de 2007. No obstante, su utilización en cada proceso de contratación está sujeta a la verificación que deben efectuar las Entidades Estatales respecto de las condiciones que dieron lugar a su incorporación, particularmente la permanencia del socio, accionista o constituyente que aportó dicha experiencia. Por ello, la determinación sobre los efectos concretos de la desvinculación del socio debe analizarse en cada caso particular, conforme a las circunstancias específicas del proceso contractual y bajo la competencia de las autoridades correspondientes.</w:t>
            </w:r>
          </w:p>
        </w:tc>
      </w:tr>
    </w:tbl>
    <w:p w14:paraId="420006A8" w14:textId="77777777" w:rsidR="00402750" w:rsidRDefault="00402750" w:rsidP="00402750">
      <w:pPr>
        <w:tabs>
          <w:tab w:val="left" w:pos="142"/>
          <w:tab w:val="left" w:pos="284"/>
        </w:tabs>
        <w:spacing w:after="0" w:line="276" w:lineRule="auto"/>
        <w:jc w:val="both"/>
        <w:rPr>
          <w:rFonts w:ascii="Verdana" w:eastAsia="Century Gothic" w:hAnsi="Verdana" w:cs="Century Gothic"/>
          <w:b/>
          <w:bCs/>
        </w:rPr>
      </w:pPr>
    </w:p>
    <w:p w14:paraId="160C4043" w14:textId="77777777" w:rsidR="00402750" w:rsidRPr="008E4F36" w:rsidRDefault="00402750" w:rsidP="00402750">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6F0A0D06" w14:textId="77777777" w:rsidR="00402750" w:rsidRDefault="00402750" w:rsidP="00402750">
      <w:pPr>
        <w:pStyle w:val="Prrafodelista"/>
        <w:tabs>
          <w:tab w:val="left" w:pos="142"/>
          <w:tab w:val="left" w:pos="284"/>
        </w:tabs>
        <w:spacing w:after="0" w:line="276" w:lineRule="auto"/>
        <w:ind w:left="0"/>
        <w:contextualSpacing w:val="0"/>
        <w:jc w:val="both"/>
        <w:rPr>
          <w:rFonts w:ascii="Verdana" w:eastAsia="Calibri" w:hAnsi="Verdana" w:cs="Arial"/>
        </w:rPr>
      </w:pPr>
    </w:p>
    <w:p w14:paraId="6FA29258" w14:textId="77777777" w:rsidR="00402750" w:rsidRDefault="00402750" w:rsidP="00402750">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4AD51ADA" w14:textId="77777777" w:rsidR="00402750" w:rsidRDefault="00402750" w:rsidP="00402750">
      <w:pPr>
        <w:spacing w:after="120" w:line="276" w:lineRule="auto"/>
        <w:jc w:val="both"/>
        <w:rPr>
          <w:rFonts w:ascii="Verdana" w:eastAsia="Calibri" w:hAnsi="Verdana" w:cs="Arial"/>
          <w:color w:val="000000"/>
          <w:shd w:val="clear" w:color="auto" w:fill="FFFFFF"/>
          <w:lang w:val="es-ES"/>
        </w:rPr>
      </w:pPr>
    </w:p>
    <w:p w14:paraId="6C73F1C9" w14:textId="77777777" w:rsidR="00402750" w:rsidRDefault="00402750" w:rsidP="00402750">
      <w:pPr>
        <w:spacing w:after="120" w:line="276" w:lineRule="auto"/>
        <w:jc w:val="both"/>
        <w:rPr>
          <w:rFonts w:ascii="Verdana" w:eastAsia="Calibri" w:hAnsi="Verdana" w:cs="Arial"/>
          <w:lang w:val="es-ES"/>
        </w:rPr>
      </w:pPr>
      <w:r>
        <w:rPr>
          <w:rFonts w:ascii="Verdana" w:eastAsia="Calibri" w:hAnsi="Verdana" w:cs="Arial"/>
          <w:lang w:val="es-ES"/>
        </w:rPr>
        <w:t>Dentro de l</w:t>
      </w:r>
      <w:r w:rsidRPr="00CB6B5F">
        <w:rPr>
          <w:rFonts w:ascii="Verdana" w:eastAsia="Calibri" w:hAnsi="Verdana" w:cs="Arial"/>
          <w:lang w:val="es-ES"/>
        </w:rPr>
        <w:t xml:space="preserve">os principales requisitos habilitantes que se utilizan en los Procesos de Contratación se destaca la </w:t>
      </w:r>
      <w:r w:rsidRPr="0F227850">
        <w:rPr>
          <w:rFonts w:ascii="Verdana" w:eastAsia="Calibri" w:hAnsi="Verdana" w:cs="Arial"/>
          <w:i/>
          <w:lang w:val="es-ES"/>
        </w:rPr>
        <w:t>experiencia</w:t>
      </w:r>
      <w:r w:rsidRPr="0F227850">
        <w:rPr>
          <w:rFonts w:ascii="Verdana" w:eastAsia="Calibri" w:hAnsi="Verdana" w:cs="Arial"/>
          <w:lang w:val="es-ES"/>
        </w:rPr>
        <w:t>. Esta</w:t>
      </w:r>
      <w:r w:rsidRPr="00CB6B5F">
        <w:rPr>
          <w:rFonts w:ascii="Verdana" w:eastAsia="Calibri" w:hAnsi="Verdana" w:cs="Arial"/>
          <w:lang w:val="es-ES"/>
        </w:rPr>
        <w:t xml:space="preserve"> debe ser entendida como el conocimiento del proponente derivado de su participación previa en actividades iguales o similares a las previstas en el objeto del contrato con contratantes públicos, privados, nacionales o extranjeros. </w:t>
      </w:r>
    </w:p>
    <w:p w14:paraId="370FAEFF" w14:textId="77777777" w:rsidR="00402750" w:rsidRDefault="00402750" w:rsidP="00402750">
      <w:pPr>
        <w:spacing w:after="120" w:line="276" w:lineRule="auto"/>
        <w:ind w:firstLine="709"/>
        <w:jc w:val="both"/>
        <w:rPr>
          <w:rFonts w:ascii="Verdana" w:eastAsia="Calibri" w:hAnsi="Verdana" w:cs="Arial"/>
          <w:lang w:val="es-ES"/>
        </w:rPr>
      </w:pPr>
      <w:r w:rsidRPr="0F227850">
        <w:rPr>
          <w:rFonts w:ascii="Verdana" w:eastAsia="Calibri" w:hAnsi="Verdana" w:cs="Arial"/>
          <w:lang w:val="es-ES"/>
        </w:rPr>
        <w:t xml:space="preserve">En el marco de la contratación pública, la experiencia del proponente se reviste de particular importancia, en la medida en que con ello se garantiza el conocimiento en el desarrollo, ejecución del objeto, obligaciones contractuales, sus riesgos, entre otras particularidades del futuro vinculo negocial. En cierto grado con esto se busca garantizar que no habrá improvisación ni mayores costos por errores o dificultades originadas en realizar una actividad por primera vez. </w:t>
      </w:r>
    </w:p>
    <w:p w14:paraId="6FB93397" w14:textId="77777777" w:rsidR="00402750" w:rsidRDefault="00402750" w:rsidP="00402750">
      <w:pPr>
        <w:spacing w:after="120" w:line="276" w:lineRule="auto"/>
        <w:ind w:firstLine="709"/>
        <w:jc w:val="both"/>
        <w:rPr>
          <w:rFonts w:ascii="Verdana" w:eastAsia="Calibri" w:hAnsi="Verdana" w:cs="Arial"/>
          <w:lang w:val="es-ES"/>
        </w:rPr>
      </w:pPr>
      <w:r w:rsidRPr="00CB6B5F">
        <w:rPr>
          <w:rFonts w:ascii="Verdana" w:eastAsia="Calibri" w:hAnsi="Verdana" w:cs="Arial"/>
          <w:lang w:val="es-ES"/>
        </w:rPr>
        <w:t>Las Entidades Estatales contratantes, como responsables de la estructuración de los Procesos de Contratación, son autónomas para establecer los requisitos habilitantes de experiencia, de acuerdo con el estudio realizado en marco del análisis del sector</w:t>
      </w:r>
      <w:r>
        <w:rPr>
          <w:rStyle w:val="Refdenotaalpie"/>
          <w:rFonts w:ascii="Verdana" w:eastAsia="Calibri" w:hAnsi="Verdana" w:cs="Arial"/>
          <w:lang w:val="es-ES"/>
        </w:rPr>
        <w:footnoteReference w:id="1"/>
      </w:r>
      <w:r>
        <w:rPr>
          <w:rFonts w:ascii="Verdana" w:eastAsia="Calibri" w:hAnsi="Verdana" w:cs="Arial"/>
          <w:lang w:val="es-ES"/>
        </w:rPr>
        <w:t>.</w:t>
      </w:r>
      <w:r w:rsidRPr="001C77D6">
        <w:rPr>
          <w:rFonts w:ascii="Verdana" w:eastAsia="Calibri" w:hAnsi="Verdana" w:cs="Arial"/>
          <w:lang w:val="es-ES"/>
        </w:rPr>
        <w:t xml:space="preserve"> </w:t>
      </w:r>
    </w:p>
    <w:p w14:paraId="2EFD2895" w14:textId="77777777" w:rsidR="00402750" w:rsidRPr="003C02EC" w:rsidRDefault="00402750" w:rsidP="00402750">
      <w:pPr>
        <w:spacing w:after="120" w:line="276" w:lineRule="auto"/>
        <w:ind w:firstLine="709"/>
        <w:jc w:val="both"/>
        <w:rPr>
          <w:rFonts w:ascii="Verdana" w:eastAsia="Arial" w:hAnsi="Verdana" w:cs="Arial"/>
        </w:rPr>
      </w:pPr>
      <w:r w:rsidRPr="009F23D3">
        <w:rPr>
          <w:rFonts w:ascii="Verdana" w:eastAsia="Arial" w:hAnsi="Verdana" w:cs="Arial"/>
        </w:rPr>
        <w:lastRenderedPageBreak/>
        <w:t>El artículo 5 de la Ley 1150 de 2007 dispone que la capacidad jurídica y las condiciones de experiencia, capacidad financiera y organización de los proponentes serán objeto de verificación por parte de las Entidades Estatales como requisitos habilitantes para participar en los procesos de selección y no otorgarán puntaje. Lo anterior con excepción de la selección de consultores mediante un concurso de méritos, donde es posible otorga</w:t>
      </w:r>
      <w:r>
        <w:rPr>
          <w:rFonts w:ascii="Verdana" w:eastAsia="Arial" w:hAnsi="Verdana" w:cs="Arial"/>
        </w:rPr>
        <w:t>r</w:t>
      </w:r>
      <w:r w:rsidRPr="009F23D3">
        <w:rPr>
          <w:rFonts w:ascii="Verdana" w:eastAsia="Arial" w:hAnsi="Verdana" w:cs="Arial"/>
        </w:rPr>
        <w:t xml:space="preserve"> puntaje al criterio de experiencia.</w:t>
      </w:r>
    </w:p>
    <w:p w14:paraId="410AB85E" w14:textId="77777777" w:rsidR="00402750" w:rsidRDefault="00402750" w:rsidP="00402750">
      <w:pPr>
        <w:spacing w:after="120" w:line="276" w:lineRule="auto"/>
        <w:ind w:firstLine="708"/>
        <w:jc w:val="both"/>
        <w:rPr>
          <w:rFonts w:ascii="Verdana" w:eastAsia="Arial" w:hAnsi="Verdana" w:cs="Arial"/>
        </w:rPr>
      </w:pPr>
      <w:r w:rsidRPr="009F23D3">
        <w:rPr>
          <w:rFonts w:ascii="Verdana" w:eastAsia="Arial" w:hAnsi="Verdana" w:cs="Arial"/>
        </w:rPr>
        <w:t xml:space="preserve">Por otra parte, el artículo 6 de la Ley 1150 de 2007 señala que todas las personas naturales o jurídicas, nacionales o extranjeras, domiciliadas o con sucursal en Colombia, que aspiren celebrar contratos con las Entidades deberán estar inscritas en el </w:t>
      </w:r>
      <w:r w:rsidRPr="0F227850">
        <w:rPr>
          <w:rFonts w:ascii="Verdana" w:eastAsia="Calibri" w:hAnsi="Verdana" w:cs="Arial"/>
          <w:color w:val="000000" w:themeColor="text1"/>
        </w:rPr>
        <w:t xml:space="preserve">Registro Único de Proponentes – en el adelante </w:t>
      </w:r>
      <w:r w:rsidRPr="0F227850">
        <w:rPr>
          <w:rFonts w:ascii="Verdana" w:eastAsia="Arial" w:hAnsi="Verdana" w:cs="Arial"/>
        </w:rPr>
        <w:t xml:space="preserve">RUP </w:t>
      </w:r>
      <w:r w:rsidRPr="0F227850">
        <w:rPr>
          <w:rFonts w:ascii="Verdana" w:eastAsia="Calibri" w:hAnsi="Verdana" w:cs="Arial"/>
          <w:color w:val="000000" w:themeColor="text1"/>
        </w:rPr>
        <w:t>–</w:t>
      </w:r>
      <w:r w:rsidRPr="0F227850">
        <w:rPr>
          <w:rFonts w:ascii="Verdana" w:eastAsia="Arial" w:hAnsi="Verdana" w:cs="Arial"/>
        </w:rPr>
        <w:t>.</w:t>
      </w:r>
      <w:r w:rsidRPr="009F23D3">
        <w:rPr>
          <w:rFonts w:ascii="Verdana" w:eastAsia="Arial" w:hAnsi="Verdana" w:cs="Arial"/>
        </w:rPr>
        <w:t xml:space="preserve"> En dicho registro constará la información relacionada con la experiencia, capacidad jurídica, financiera y de organización del proponente y su clasificación. Frente al requisito habilitante de experiencia, en el “Manual para determinar y verificar requisitos habilitantes en los procesos de contratación” se define la experiencia como “el conocimiento del proponente derivado de su participación previa en actividades iguales o similares a las previstas en el objeto del contrato”.</w:t>
      </w:r>
    </w:p>
    <w:p w14:paraId="534FB8A0" w14:textId="77777777" w:rsidR="00402750" w:rsidRPr="009F23D3" w:rsidRDefault="00402750" w:rsidP="00402750">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Conforme lo expuesto, l</w:t>
      </w:r>
      <w:r w:rsidRPr="009F23D3">
        <w:rPr>
          <w:rFonts w:ascii="Verdana" w:eastAsia="Calibri" w:hAnsi="Verdana" w:cs="Arial"/>
          <w:color w:val="000000" w:themeColor="text1"/>
        </w:rPr>
        <w:t>a experiencia que se deriva de los contratos que el proponente ha celebrado y ejecutado con diferentes contratantes, sin importar la naturaleza de estos, se verifica con el  RUP</w:t>
      </w:r>
      <w:r w:rsidRPr="009F23D3">
        <w:rPr>
          <w:rStyle w:val="Refdenotaalpie"/>
          <w:rFonts w:ascii="Verdana" w:eastAsia="Calibri" w:hAnsi="Verdana" w:cs="Arial"/>
          <w:color w:val="000000" w:themeColor="text1"/>
        </w:rPr>
        <w:footnoteReference w:id="2"/>
      </w:r>
      <w:r w:rsidRPr="009F23D3">
        <w:rPr>
          <w:rFonts w:ascii="Verdana" w:eastAsia="Calibri" w:hAnsi="Verdana" w:cs="Arial"/>
          <w:color w:val="000000" w:themeColor="text1"/>
        </w:rPr>
        <w:t>, cuando este certificado sea exigible de acuerdo con la ley. En este registro constan los requisitos habilitantes que se evalúan exclusivamente con este documento, que es plena prueba, sin que la entidad o el proponente puedan solicitar o aportar otra documentación</w:t>
      </w:r>
      <w:r w:rsidRPr="009F23D3">
        <w:rPr>
          <w:rStyle w:val="Refdenotaalpie"/>
          <w:rFonts w:ascii="Verdana" w:eastAsia="Calibri" w:hAnsi="Verdana" w:cs="Arial"/>
          <w:color w:val="000000" w:themeColor="text1"/>
        </w:rPr>
        <w:footnoteReference w:id="3"/>
      </w:r>
      <w:r w:rsidRPr="009F23D3">
        <w:rPr>
          <w:rFonts w:ascii="Verdana" w:eastAsia="Calibri" w:hAnsi="Verdana" w:cs="Arial"/>
          <w:color w:val="000000" w:themeColor="text1"/>
        </w:rPr>
        <w:t>.</w:t>
      </w:r>
    </w:p>
    <w:p w14:paraId="346AC118" w14:textId="77777777" w:rsidR="00402750" w:rsidRPr="00F734EB" w:rsidRDefault="00402750" w:rsidP="00402750">
      <w:pPr>
        <w:spacing w:after="120" w:line="276" w:lineRule="auto"/>
        <w:ind w:firstLine="708"/>
        <w:jc w:val="both"/>
        <w:rPr>
          <w:rFonts w:ascii="Verdana" w:eastAsia="Calibri" w:hAnsi="Verdana" w:cs="Arial"/>
        </w:rPr>
      </w:pPr>
      <w:r w:rsidRPr="00F734EB">
        <w:rPr>
          <w:rFonts w:ascii="Verdana" w:eastAsia="Calibri" w:hAnsi="Verdana" w:cs="Arial"/>
        </w:rPr>
        <w:lastRenderedPageBreak/>
        <w:t>Adicionalmente, el Manual explica que la experiencia puede obtenerse directamente o por participar asociado con otra persona, como es el caso de los proponentes plurales, en cuyo evento la experiencia no deja de ser personal, sino que es proporcional a la participación como miembro de un consorcio o unión temporal, donde por tratarse de esquemas asociativos la experiencia es compartida.</w:t>
      </w:r>
    </w:p>
    <w:p w14:paraId="7E7E8FEE" w14:textId="77777777" w:rsidR="00402750" w:rsidRPr="0038033A" w:rsidRDefault="00402750" w:rsidP="00402750">
      <w:pPr>
        <w:tabs>
          <w:tab w:val="left" w:pos="709"/>
        </w:tabs>
        <w:spacing w:after="0" w:line="276" w:lineRule="auto"/>
        <w:jc w:val="both"/>
        <w:rPr>
          <w:rFonts w:ascii="Verdana" w:eastAsia="Calibri" w:hAnsi="Verdana" w:cs="Arial"/>
        </w:rPr>
      </w:pPr>
      <w:r w:rsidRPr="0038033A">
        <w:rPr>
          <w:rFonts w:ascii="Verdana" w:eastAsia="Calibri" w:hAnsi="Verdana" w:cs="Arial"/>
        </w:rPr>
        <w:t>ii) De otro lado, y teniendo en cuenta que el peticionario aduce una interpretación equivocada por parte esta Agencia respecto de la viabilidad de que la sociedad con menos de tres (3) años de constituida pueda continuar usando la experiencia de sus socios, accionistas o constituyentes que registró en el Registro Único de Proponentes –RUP-, siempre y cuando este haya sido renovado y no hayan cesado sus efectos, se hace necesario realizar las siguientes aclaraciones:</w:t>
      </w:r>
    </w:p>
    <w:p w14:paraId="586491F9" w14:textId="77777777" w:rsidR="00402750" w:rsidRPr="0038033A" w:rsidRDefault="00402750" w:rsidP="00402750">
      <w:pPr>
        <w:tabs>
          <w:tab w:val="left" w:pos="709"/>
        </w:tabs>
        <w:spacing w:before="120" w:line="276" w:lineRule="auto"/>
        <w:jc w:val="both"/>
        <w:rPr>
          <w:rFonts w:ascii="Verdana" w:eastAsia="Calibri" w:hAnsi="Verdana" w:cs="Arial"/>
        </w:rPr>
      </w:pPr>
      <w:r w:rsidRPr="0038033A">
        <w:rPr>
          <w:rFonts w:ascii="Verdana" w:eastAsia="Calibri" w:hAnsi="Verdana" w:cs="Arial"/>
        </w:rPr>
        <w:tab/>
        <w:t>a) El artículo 6 de la Ley 1150 de 2007 le otorga valor probatorio al Registro Único de Proponentes -RUP-, que deriva de la firmeza del mismo. En ese sentido, el Decreto 1082 de 2015 regula el trámite de inscripción, actualización y renovación del referido registro, disposición que, en el numeral 2.5. del artículo 2.2.1.1.1.5.2 como se indicó, faculta a las sociedades con menos de tres (3) años de constitución para acreditar la experiencia de sus socios, accionistas o constituyentes. Por lo tanto, desconocer dicha experiencia cuando el Registro Único de Proponentes -RUP- se encuentra en firme, significaría inobservar el valor probatorio que la Ley 1150 de 2007 le ha conferido a dicho documento.</w:t>
      </w:r>
    </w:p>
    <w:p w14:paraId="2540E8AE" w14:textId="77777777" w:rsidR="00402750" w:rsidRPr="0038033A" w:rsidRDefault="00402750" w:rsidP="00402750">
      <w:pPr>
        <w:tabs>
          <w:tab w:val="left" w:pos="709"/>
        </w:tabs>
        <w:spacing w:after="0" w:line="276" w:lineRule="auto"/>
        <w:jc w:val="both"/>
        <w:rPr>
          <w:rFonts w:ascii="Verdana" w:eastAsia="Calibri" w:hAnsi="Verdana" w:cs="Arial"/>
        </w:rPr>
      </w:pPr>
      <w:r w:rsidRPr="0038033A">
        <w:rPr>
          <w:rFonts w:ascii="Verdana" w:eastAsia="Aptos" w:hAnsi="Verdana" w:cs="Arial"/>
        </w:rPr>
        <w:tab/>
        <w:t xml:space="preserve">b) En ese orden, y atendiendo al valor probatorio del </w:t>
      </w:r>
      <w:r w:rsidRPr="0038033A">
        <w:rPr>
          <w:rFonts w:ascii="Verdana" w:eastAsia="Calibri" w:hAnsi="Verdana" w:cs="Arial"/>
        </w:rPr>
        <w:t>Registro Único de Proponentes -RUP-, las Entidades Estatales tienen la obligación de verificar que el socio, accionista o constituyente que aporta su experiencia a la sociedad con menos de tres (3) años de constitución, mantenga su calidad de tal, al momento de efectuar la evaluación correspondiente. Sin embargo, en caso de que las entidades contratantes no realicen dicha verificación, podría alegarse incluso, la pérdida de fuerza de ejecutoria de la experiencia consolidada en el acto de inscripción, esto, a luz de lo dispuesto en el numeral 2 del artículo 9 de la Ley 1437 de 2011.</w:t>
      </w:r>
    </w:p>
    <w:p w14:paraId="462B3247" w14:textId="77777777" w:rsidR="00402750" w:rsidRPr="0038033A" w:rsidRDefault="00402750" w:rsidP="00402750">
      <w:pPr>
        <w:tabs>
          <w:tab w:val="left" w:pos="709"/>
        </w:tabs>
        <w:spacing w:before="120" w:after="120" w:line="276" w:lineRule="auto"/>
        <w:jc w:val="both"/>
        <w:rPr>
          <w:rFonts w:ascii="Verdana" w:eastAsia="Calibri" w:hAnsi="Verdana" w:cs="Arial"/>
        </w:rPr>
      </w:pPr>
      <w:r w:rsidRPr="0038033A">
        <w:rPr>
          <w:rFonts w:ascii="Verdana" w:eastAsia="Calibri" w:hAnsi="Verdana" w:cs="Arial"/>
        </w:rPr>
        <w:tab/>
        <w:t xml:space="preserve">c) Ahora bien, se hace pertinente precisar que al estudiar el contenido normativo de las disposiciones que integran el Estatuto General de Contratación </w:t>
      </w:r>
      <w:r w:rsidRPr="0038033A">
        <w:rPr>
          <w:rFonts w:ascii="Verdana" w:eastAsia="Calibri" w:hAnsi="Verdana" w:cs="Arial"/>
        </w:rPr>
        <w:lastRenderedPageBreak/>
        <w:t>de la Administración Pública, esto es, la Ley 80 de 1993, la Ley 1150 de 2007 y el Decreto 1082 de 2015, estas no permiten realizar una reducción del valor específico de la experiencia en función del porcentaje de participación del socio, accionista o constituyente, por lo que no es factible que las Entidades Estatales realicen tal diferenciación en el marco de sus procesos de contratación. Sin embargo, la Agencia Nacional de Contratación Pública, tendrá en cuenta esta situación en el momento en el que, eventualmente y atendiendo a las competencias contempladas en el artículo 11.4 del Decreto Ley 4170 de 2011, deba presentar o adelantar un proyecto de reforma legal para proponerlo al Gobierno Nacional, pues esta entidad carece de iniciativa legislativa para presentar proyectos de ley ante el Congreso de la República.</w:t>
      </w:r>
    </w:p>
    <w:p w14:paraId="0234AA2F" w14:textId="77777777" w:rsidR="00402750" w:rsidRPr="0038033A" w:rsidRDefault="00402750" w:rsidP="00402750">
      <w:pPr>
        <w:tabs>
          <w:tab w:val="left" w:pos="709"/>
        </w:tabs>
        <w:spacing w:before="120" w:line="276" w:lineRule="auto"/>
        <w:jc w:val="both"/>
        <w:rPr>
          <w:rFonts w:ascii="Verdana" w:eastAsia="Calibri" w:hAnsi="Verdana" w:cs="Arial"/>
        </w:rPr>
      </w:pPr>
      <w:r w:rsidRPr="0038033A">
        <w:rPr>
          <w:rFonts w:ascii="Verdana" w:eastAsia="Calibri" w:hAnsi="Verdana" w:cs="Arial"/>
        </w:rPr>
        <w:tab/>
        <w:t>Finalmente se precisa, que el análisis sobre situaciones derivadas de la gestión contractual de las Entidades Estatales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9717F21" w14:textId="77777777" w:rsidR="00402750" w:rsidRPr="0038033A" w:rsidRDefault="00402750" w:rsidP="00402750">
      <w:pPr>
        <w:widowControl w:val="0"/>
        <w:autoSpaceDE w:val="0"/>
        <w:autoSpaceDN w:val="0"/>
        <w:spacing w:before="120" w:after="0" w:line="276" w:lineRule="auto"/>
        <w:ind w:firstLine="709"/>
        <w:jc w:val="both"/>
        <w:rPr>
          <w:rFonts w:ascii="Verdana" w:eastAsia="Calibri" w:hAnsi="Verdana" w:cs="Arial"/>
        </w:rPr>
      </w:pPr>
      <w:r w:rsidRPr="0038033A">
        <w:rPr>
          <w:rFonts w:ascii="Verdana" w:eastAsia="Calibri" w:hAnsi="Verdana" w:cs="Arial"/>
        </w:rPr>
        <w:t>Dentro de este marco, el consultante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226D55A" w14:textId="77777777" w:rsidR="00402750" w:rsidRPr="00FA2C47" w:rsidRDefault="00402750" w:rsidP="00402750">
      <w:pPr>
        <w:spacing w:after="120" w:line="276" w:lineRule="auto"/>
        <w:ind w:firstLine="708"/>
        <w:jc w:val="both"/>
        <w:rPr>
          <w:rFonts w:ascii="Verdana" w:eastAsia="Calibri" w:hAnsi="Verdana" w:cs="Arial"/>
          <w:bCs/>
          <w:color w:val="000000" w:themeColor="text1"/>
        </w:rPr>
      </w:pPr>
      <w:r w:rsidRPr="002E76E6">
        <w:rPr>
          <w:rFonts w:ascii="Verdana" w:eastAsia="Calibri" w:hAnsi="Verdana" w:cs="Arial"/>
          <w:bCs/>
          <w:color w:val="000000" w:themeColor="text1"/>
        </w:rPr>
        <w:t xml:space="preserve"> </w:t>
      </w:r>
    </w:p>
    <w:p w14:paraId="36D3CFAA" w14:textId="77777777" w:rsidR="00402750" w:rsidRPr="00793388" w:rsidRDefault="00402750" w:rsidP="00402750">
      <w:pPr>
        <w:spacing w:after="120" w:line="276" w:lineRule="auto"/>
        <w:jc w:val="both"/>
        <w:rPr>
          <w:rFonts w:ascii="Verdana" w:eastAsia="Times New Roman" w:hAnsi="Verdana" w:cs="Arial"/>
          <w:b/>
          <w:bCs/>
          <w:color w:val="000000" w:themeColor="text1"/>
          <w:lang w:val="es-MX" w:eastAsia="es-ES_tradnl"/>
        </w:rPr>
      </w:pPr>
      <w:bookmarkStart w:id="2" w:name="_Hlk204854194"/>
      <w:r w:rsidRPr="00793388">
        <w:rPr>
          <w:rFonts w:ascii="Verdana" w:eastAsia="Times New Roman" w:hAnsi="Verdana" w:cs="Arial"/>
          <w:b/>
          <w:bCs/>
          <w:color w:val="000000" w:themeColor="text1"/>
          <w:lang w:val="es-MX" w:eastAsia="es-ES_tradnl"/>
        </w:rPr>
        <w:t>4. Referencias normativas:</w:t>
      </w:r>
    </w:p>
    <w:bookmarkEnd w:id="2"/>
    <w:p w14:paraId="76D26ACC" w14:textId="77777777" w:rsidR="00402750" w:rsidRPr="00593A5F" w:rsidRDefault="00402750" w:rsidP="0040275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02750" w:rsidRPr="002407CE" w14:paraId="212A181B" w14:textId="77777777" w:rsidTr="002F05DF">
        <w:trPr>
          <w:trHeight w:val="870"/>
          <w:jc w:val="center"/>
        </w:trPr>
        <w:tc>
          <w:tcPr>
            <w:tcW w:w="8647" w:type="dxa"/>
          </w:tcPr>
          <w:p w14:paraId="0157FD3D" w14:textId="77777777" w:rsidR="00402750" w:rsidRPr="009579B1" w:rsidRDefault="00402750" w:rsidP="00402750">
            <w:pPr>
              <w:pStyle w:val="Prrafodelista"/>
              <w:numPr>
                <w:ilvl w:val="0"/>
                <w:numId w:val="2"/>
              </w:numPr>
              <w:spacing w:after="120" w:line="276" w:lineRule="auto"/>
              <w:jc w:val="both"/>
              <w:rPr>
                <w:rFonts w:ascii="Verdana" w:hAnsi="Verdana"/>
              </w:rPr>
            </w:pPr>
            <w:r w:rsidRPr="009579B1">
              <w:rPr>
                <w:rFonts w:ascii="Verdana" w:eastAsia="Arial" w:hAnsi="Verdana" w:cs="Arial"/>
              </w:rPr>
              <w:t>Ley 1150 de 2007 - Artículo 5, 6</w:t>
            </w:r>
            <w:r w:rsidRPr="009579B1">
              <w:rPr>
                <w:rFonts w:ascii="Verdana" w:hAnsi="Verdana"/>
              </w:rPr>
              <w:t xml:space="preserve"> </w:t>
            </w:r>
          </w:p>
          <w:p w14:paraId="279ABAA5" w14:textId="77777777" w:rsidR="00402750" w:rsidRPr="009579B1" w:rsidRDefault="00402750" w:rsidP="00402750">
            <w:pPr>
              <w:pStyle w:val="Prrafodelista"/>
              <w:numPr>
                <w:ilvl w:val="0"/>
                <w:numId w:val="2"/>
              </w:numPr>
              <w:spacing w:after="120" w:line="276" w:lineRule="auto"/>
              <w:jc w:val="both"/>
              <w:rPr>
                <w:rFonts w:ascii="Verdana" w:hAnsi="Verdana"/>
              </w:rPr>
            </w:pPr>
            <w:r w:rsidRPr="009579B1">
              <w:rPr>
                <w:rFonts w:ascii="Verdana" w:hAnsi="Verdana"/>
              </w:rPr>
              <w:lastRenderedPageBreak/>
              <w:t>Decreto 1082 de 2015 - Artículo 2.2.1.1.1.6.2.</w:t>
            </w:r>
            <w:r w:rsidRPr="009579B1">
              <w:rPr>
                <w:rFonts w:ascii="Verdana" w:hAnsi="Verdana" w:cs="Arial"/>
              </w:rPr>
              <w:t xml:space="preserve">; 2.2.1.1.1.5.3.; </w:t>
            </w:r>
            <w:r w:rsidRPr="009579B1">
              <w:rPr>
                <w:rFonts w:ascii="Verdana" w:eastAsia="Calibri" w:hAnsi="Verdana" w:cs="Arial"/>
                <w:color w:val="000000" w:themeColor="text1"/>
              </w:rPr>
              <w:t>2.2.1.1.1.5.2 numeral 2.1, 2.5</w:t>
            </w:r>
          </w:p>
          <w:p w14:paraId="75F7093B" w14:textId="77777777" w:rsidR="00402750" w:rsidRPr="00A57FA0" w:rsidRDefault="00402750" w:rsidP="00402750">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9579B1">
              <w:rPr>
                <w:rFonts w:ascii="Verdana" w:eastAsia="Arial" w:hAnsi="Verdana" w:cs="Arial"/>
              </w:rPr>
              <w:t>Agencia Nacional de Contratación Pública – Colombia Compra Eficiente: “Manual para determinar y verificar requisitos habilitantes en los procesos de contratación”</w:t>
            </w:r>
            <w:r>
              <w:rPr>
                <w:rFonts w:ascii="Verdana" w:eastAsia="Arial" w:hAnsi="Verdana" w:cs="Arial"/>
              </w:rPr>
              <w:t>.</w:t>
            </w:r>
            <w:r w:rsidRPr="0F227850">
              <w:rPr>
                <w:rFonts w:ascii="Verdana" w:eastAsia="Arial" w:hAnsi="Verdana" w:cs="Arial"/>
              </w:rPr>
              <w:t xml:space="preserve"> Disponible en: </w:t>
            </w:r>
            <w:hyperlink r:id="rId9" w:history="1">
              <w:r w:rsidRPr="0F227850">
                <w:rPr>
                  <w:rStyle w:val="Hipervnculo"/>
                  <w:rFonts w:ascii="Verdana" w:eastAsia="Arial" w:hAnsi="Verdana" w:cs="Arial"/>
                </w:rPr>
                <w:t>https://www.colombiacompra.gov.co/archivos/manual/manual-para-determinar-y-verificar-los-requisitos-habilitantes-en-los-procesos-de-contratacion</w:t>
              </w:r>
            </w:hyperlink>
          </w:p>
        </w:tc>
      </w:tr>
    </w:tbl>
    <w:p w14:paraId="66EB82D2" w14:textId="77777777" w:rsidR="00402750" w:rsidRPr="00277E26" w:rsidRDefault="00402750" w:rsidP="00402750">
      <w:pPr>
        <w:widowControl w:val="0"/>
        <w:autoSpaceDE w:val="0"/>
        <w:autoSpaceDN w:val="0"/>
        <w:spacing w:after="0" w:line="276" w:lineRule="auto"/>
        <w:jc w:val="both"/>
        <w:rPr>
          <w:rFonts w:ascii="Verdana" w:hAnsi="Verdana" w:cs="Arial"/>
        </w:rPr>
      </w:pPr>
    </w:p>
    <w:p w14:paraId="7406A946" w14:textId="77777777" w:rsidR="00402750" w:rsidRPr="001F283D" w:rsidRDefault="00402750" w:rsidP="00402750">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3E98CD5A" w14:textId="77777777" w:rsidR="00402750" w:rsidRDefault="00402750" w:rsidP="00402750">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070AD755" w14:textId="77777777" w:rsidR="00402750" w:rsidRPr="0027408B" w:rsidRDefault="00402750" w:rsidP="00402750">
      <w:pPr>
        <w:spacing w:after="120" w:line="276" w:lineRule="auto"/>
        <w:jc w:val="both"/>
        <w:rPr>
          <w:rStyle w:val="normaltextrun"/>
          <w:rFonts w:ascii="Verdana" w:eastAsia="Arial MT" w:hAnsi="Verdana" w:cs="Arial"/>
          <w:lang w:val="es-ES"/>
        </w:rPr>
      </w:pPr>
      <w:r w:rsidRPr="009579B1">
        <w:rPr>
          <w:rFonts w:ascii="Verdana" w:hAnsi="Verdana" w:cs="Arial"/>
          <w:shd w:val="clear" w:color="auto" w:fill="FFFFFF"/>
        </w:rPr>
        <w:t xml:space="preserve">La Agencia Nacional de Contratación Pública – Colombia Compra Eficiente, se pronunció sobre la acreditación de experiencia de socios por parte de sociedades con menos de tres años de constitución, en los conceptos </w:t>
      </w:r>
      <w:r w:rsidRPr="009579B1">
        <w:rPr>
          <w:rFonts w:ascii="Verdana" w:eastAsia="Arial MT" w:hAnsi="Verdana" w:cs="Arial"/>
          <w:lang w:val="es-ES"/>
        </w:rPr>
        <w:t xml:space="preserve">C-725 del 25 de enero de 2022, C-034 del 2 de marzo de 2022, C-144 del 1 de abril de 2022, C-239 del 26 de julio de 2022, C-324 del 19 de mayo de 2022, C-447 del 19 de julio de 2022, C-456 del 15 de julio de 2022, C-592 del 20 de septiembre de 2022, C-623 del 29 de septiembre de 2022, C-837 del 6 de diciembre de 2022, C-841 del 6 de diciembre de 2022, C-929 del 30 de diciembre de 2022, C-128 del 18 de mayo de 2023, C-146 de 13 de junio de 2023, C-261 del 13 de julio de 2023, C-466 del 01 de diciembre de 2023, C-088 de 2024 del 13 junio de 2024, </w:t>
      </w:r>
      <w:r>
        <w:rPr>
          <w:rFonts w:ascii="Verdana" w:eastAsia="Arial MT" w:hAnsi="Verdana" w:cs="Arial"/>
          <w:lang w:val="es-ES"/>
        </w:rPr>
        <w:t xml:space="preserve"> C-593 del 11/12/2024 y 093 de 2025.</w:t>
      </w:r>
    </w:p>
    <w:p w14:paraId="45F37EFE" w14:textId="77777777" w:rsidR="00402750" w:rsidRPr="00712B24" w:rsidRDefault="00402750" w:rsidP="00402750">
      <w:pPr>
        <w:spacing w:after="0"/>
        <w:jc w:val="both"/>
        <w:rPr>
          <w:rFonts w:ascii="Verdana" w:hAnsi="Verdana"/>
          <w:lang w:val="es-ES"/>
        </w:rPr>
      </w:pPr>
      <w:r w:rsidRPr="00712B24">
        <w:rPr>
          <w:rFonts w:ascii="Verdana" w:hAnsi="Verdana" w:cs="Arial"/>
          <w:shd w:val="clear" w:color="auto" w:fill="FFFFFF"/>
          <w:lang w:val="es-ES"/>
        </w:rPr>
        <w:t>Estos</w:t>
      </w:r>
      <w:r w:rsidRPr="00712B24">
        <w:rPr>
          <w:rFonts w:ascii="Verdana" w:hAnsi="Verdana"/>
          <w:lang w:val="es-ES"/>
        </w:rPr>
        <w:t xml:space="preserve"> y otros se encuentran disponibles para consulta en el Sistema de relatoría de la Agencia, al cual se puede acceder a través del siguiente enlace:</w:t>
      </w:r>
      <w:r w:rsidRPr="00712B24">
        <w:rPr>
          <w:rFonts w:ascii="Verdana" w:hAnsi="Verdana" w:cs="Arial"/>
          <w:shd w:val="clear" w:color="auto" w:fill="FFFFFF"/>
          <w:lang w:val="es-ES"/>
        </w:rPr>
        <w:t xml:space="preserve"> </w:t>
      </w:r>
      <w:hyperlink r:id="rId10" w:history="1">
        <w:r w:rsidRPr="00712B24">
          <w:rPr>
            <w:rStyle w:val="Hipervnculo"/>
            <w:rFonts w:ascii="Verdana" w:hAnsi="Verdana" w:cs="Arial"/>
            <w:shd w:val="clear" w:color="auto" w:fill="FFFFFF"/>
            <w:lang w:val="es-ES"/>
          </w:rPr>
          <w:t>https://relatoria.colombiacompra.gov.co/busqueda/conceptos</w:t>
        </w:r>
      </w:hyperlink>
    </w:p>
    <w:p w14:paraId="295BA912" w14:textId="77777777" w:rsidR="00402750" w:rsidRPr="00900D7D" w:rsidRDefault="00402750" w:rsidP="00402750">
      <w:pPr>
        <w:widowControl w:val="0"/>
        <w:autoSpaceDE w:val="0"/>
        <w:autoSpaceDN w:val="0"/>
        <w:spacing w:after="120" w:line="276" w:lineRule="auto"/>
        <w:jc w:val="both"/>
        <w:rPr>
          <w:rFonts w:ascii="Verdana" w:eastAsia="Calibri" w:hAnsi="Verdana" w:cs="Arial"/>
          <w:color w:val="000000" w:themeColor="text1"/>
          <w:lang w:eastAsia="es-ES_tradnl"/>
        </w:rPr>
      </w:pPr>
    </w:p>
    <w:p w14:paraId="3C71E65D" w14:textId="77777777" w:rsidR="00402750" w:rsidRPr="00237766" w:rsidRDefault="00402750" w:rsidP="00402750">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89F5AEB" w14:textId="77777777" w:rsidR="00402750" w:rsidRPr="008E4F36" w:rsidRDefault="00402750" w:rsidP="00402750">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146FE11C" w14:textId="77777777" w:rsidR="00402750" w:rsidRPr="008E4F36" w:rsidRDefault="00402750" w:rsidP="00402750">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231BACD7" w14:textId="77777777" w:rsidR="00402750" w:rsidRPr="008E4F36" w:rsidRDefault="00402750" w:rsidP="00402750">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77C27A63" w14:textId="77777777" w:rsidR="00402750" w:rsidRPr="008E4F36" w:rsidRDefault="00402750" w:rsidP="00402750">
      <w:pPr>
        <w:pStyle w:val="Prrafodelista"/>
        <w:numPr>
          <w:ilvl w:val="0"/>
          <w:numId w:val="3"/>
        </w:numPr>
        <w:spacing w:after="0" w:line="276" w:lineRule="auto"/>
        <w:contextualSpacing w:val="0"/>
        <w:jc w:val="both"/>
        <w:rPr>
          <w:rFonts w:ascii="Verdana" w:hAnsi="Verdana"/>
        </w:rPr>
      </w:pPr>
      <w:r w:rsidRPr="008E4F36">
        <w:rPr>
          <w:rFonts w:ascii="Verdana" w:hAnsi="Verdana"/>
        </w:rPr>
        <w:lastRenderedPageBreak/>
        <w:t xml:space="preserve">Página web: </w:t>
      </w:r>
      <w:hyperlink r:id="rId11" w:history="1">
        <w:r w:rsidRPr="008E4F36">
          <w:rPr>
            <w:rStyle w:val="Hipervnculo"/>
            <w:rFonts w:ascii="Verdana" w:hAnsi="Verdana"/>
          </w:rPr>
          <w:t>www.colombiacompra.gov.co</w:t>
        </w:r>
      </w:hyperlink>
    </w:p>
    <w:p w14:paraId="7ADE1056" w14:textId="77777777" w:rsidR="00402750" w:rsidRPr="008E4F36" w:rsidRDefault="00402750" w:rsidP="00402750">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3425B47F" w14:textId="77777777" w:rsidR="00402750" w:rsidRPr="008E4F36" w:rsidRDefault="00402750" w:rsidP="00402750">
      <w:pPr>
        <w:spacing w:after="0" w:line="276" w:lineRule="auto"/>
        <w:jc w:val="both"/>
        <w:rPr>
          <w:rFonts w:ascii="Verdana" w:hAnsi="Verdana"/>
        </w:rPr>
      </w:pPr>
    </w:p>
    <w:p w14:paraId="258A2C5A" w14:textId="77777777" w:rsidR="00402750" w:rsidRPr="008E4F36" w:rsidRDefault="00402750" w:rsidP="00402750">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40D445B9" w14:textId="77777777" w:rsidR="00402750" w:rsidRPr="008E4F36" w:rsidRDefault="00402750" w:rsidP="00402750">
      <w:pPr>
        <w:spacing w:after="0" w:line="276" w:lineRule="auto"/>
        <w:jc w:val="both"/>
        <w:rPr>
          <w:rFonts w:ascii="Verdana" w:hAnsi="Verdana"/>
        </w:rPr>
      </w:pPr>
      <w:r w:rsidRPr="008E4F36">
        <w:rPr>
          <w:rFonts w:ascii="Verdana" w:hAnsi="Verdana"/>
        </w:rPr>
        <w:t xml:space="preserve">Facebook: </w:t>
      </w:r>
      <w:r w:rsidRPr="008E4F36">
        <w:rPr>
          <w:rStyle w:val="Hipervnculo"/>
          <w:rFonts w:ascii="Verdana" w:hAnsi="Verdana"/>
        </w:rPr>
        <w:t>ColombiaCompraEficiente</w:t>
      </w:r>
    </w:p>
    <w:p w14:paraId="2A83998F" w14:textId="77777777" w:rsidR="00402750" w:rsidRPr="008E4F36" w:rsidRDefault="00402750" w:rsidP="00402750">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15A6C424" w14:textId="77777777" w:rsidR="00402750" w:rsidRDefault="00402750" w:rsidP="00402750">
      <w:pPr>
        <w:spacing w:before="120" w:after="0" w:line="276" w:lineRule="auto"/>
        <w:jc w:val="both"/>
        <w:rPr>
          <w:rFonts w:ascii="Verdana" w:hAnsi="Verdana"/>
        </w:rPr>
      </w:pPr>
    </w:p>
    <w:p w14:paraId="39BF4D9B" w14:textId="77777777" w:rsidR="00402750" w:rsidRPr="00FB6C33" w:rsidRDefault="00402750" w:rsidP="00402750">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B10F372" w14:textId="77777777" w:rsidR="00402750" w:rsidRPr="008E4F36" w:rsidRDefault="00402750" w:rsidP="00402750">
      <w:pPr>
        <w:spacing w:after="0" w:line="276" w:lineRule="auto"/>
        <w:jc w:val="both"/>
        <w:rPr>
          <w:rFonts w:ascii="Verdana" w:eastAsia="Calibri" w:hAnsi="Verdana" w:cs="Times New Roman"/>
        </w:rPr>
      </w:pPr>
    </w:p>
    <w:p w14:paraId="59EF0D49" w14:textId="3574BB42" w:rsidR="00402750" w:rsidRDefault="00402750" w:rsidP="007417C7">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39AEF4D3" w14:textId="575B0135" w:rsidR="00402750" w:rsidRPr="007417C7" w:rsidRDefault="007417C7" w:rsidP="007417C7">
      <w:pPr>
        <w:spacing w:after="0" w:line="256" w:lineRule="auto"/>
        <w:jc w:val="center"/>
        <w:rPr>
          <w:noProof/>
        </w:rPr>
      </w:pPr>
      <w:r w:rsidRPr="002C3AD6">
        <w:rPr>
          <w:rFonts w:ascii="Century Gothic" w:hAnsi="Century Gothic"/>
          <w:noProof/>
        </w:rPr>
        <w:drawing>
          <wp:inline distT="0" distB="0" distL="0" distR="0" wp14:anchorId="1BEE1434" wp14:editId="1789DD32">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400370"/>
                    </a:xfrm>
                    <a:prstGeom prst="rect">
                      <a:avLst/>
                    </a:prstGeom>
                  </pic:spPr>
                </pic:pic>
              </a:graphicData>
            </a:graphic>
          </wp:inline>
        </w:drawing>
      </w:r>
      <w:bookmarkEnd w:id="0"/>
      <w:bookmarkEnd w:id="1"/>
    </w:p>
    <w:p w14:paraId="7B83447E" w14:textId="77777777" w:rsidR="00402750" w:rsidRDefault="00402750" w:rsidP="00402750">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02750" w:rsidRPr="002423D6" w14:paraId="5C3A0C21" w14:textId="77777777" w:rsidTr="002F05DF">
        <w:trPr>
          <w:trHeight w:val="315"/>
        </w:trPr>
        <w:tc>
          <w:tcPr>
            <w:tcW w:w="893" w:type="dxa"/>
            <w:vAlign w:val="center"/>
            <w:hideMark/>
          </w:tcPr>
          <w:p w14:paraId="75E78D6E" w14:textId="77777777" w:rsidR="00402750" w:rsidRPr="002423D6" w:rsidRDefault="00402750" w:rsidP="002F05D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F29B84F" w14:textId="77777777" w:rsidR="00402750" w:rsidRPr="002423D6" w:rsidRDefault="00402750" w:rsidP="002F05DF">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0E909894" w14:textId="77777777" w:rsidR="00402750" w:rsidRPr="002423D6" w:rsidRDefault="00402750" w:rsidP="002F05DF">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402750" w:rsidRPr="002423D6" w14:paraId="5AB7A2BD" w14:textId="77777777" w:rsidTr="002F05DF">
        <w:trPr>
          <w:trHeight w:val="330"/>
        </w:trPr>
        <w:tc>
          <w:tcPr>
            <w:tcW w:w="893" w:type="dxa"/>
            <w:vAlign w:val="center"/>
            <w:hideMark/>
          </w:tcPr>
          <w:p w14:paraId="39F027D4" w14:textId="77777777" w:rsidR="00402750" w:rsidRPr="002423D6" w:rsidRDefault="00402750" w:rsidP="002F05D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D34C1B0" w14:textId="77777777" w:rsidR="00402750" w:rsidRPr="002423D6" w:rsidRDefault="00402750" w:rsidP="002F05DF">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Juan David Cárdenas Cabeza </w:t>
            </w:r>
          </w:p>
          <w:p w14:paraId="7BF75653" w14:textId="77777777" w:rsidR="00402750" w:rsidRPr="002423D6" w:rsidRDefault="00402750" w:rsidP="002F05DF">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402750" w:rsidRPr="002423D6" w14:paraId="14EDDDCD" w14:textId="77777777" w:rsidTr="002F05DF">
        <w:trPr>
          <w:trHeight w:val="300"/>
        </w:trPr>
        <w:tc>
          <w:tcPr>
            <w:tcW w:w="893" w:type="dxa"/>
            <w:vAlign w:val="center"/>
          </w:tcPr>
          <w:p w14:paraId="51EB1EC6" w14:textId="77777777" w:rsidR="00402750" w:rsidRPr="002423D6" w:rsidRDefault="00402750" w:rsidP="002F05D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4088445" w14:textId="77777777" w:rsidR="00402750" w:rsidRPr="002423D6" w:rsidRDefault="00402750" w:rsidP="002F05DF">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15C72BF4" w14:textId="77777777" w:rsidR="00402750" w:rsidRPr="002423D6" w:rsidRDefault="00402750" w:rsidP="002F05DF">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5923A731" w14:textId="77777777" w:rsidR="00402750" w:rsidRPr="008D7FC6" w:rsidRDefault="00402750" w:rsidP="00402750"/>
    <w:p w14:paraId="0CEFD749" w14:textId="57CDCF2F" w:rsidR="000F5A42" w:rsidRPr="00AA1A2E" w:rsidRDefault="000F5A42" w:rsidP="00AA1A2E"/>
    <w:sectPr w:rsidR="000F5A42" w:rsidRPr="00AA1A2E" w:rsidSect="00C67AF3">
      <w:headerReference w:type="default" r:id="rId13"/>
      <w:footerReference w:type="default" r:id="rId14"/>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F4F22" w14:textId="77777777" w:rsidR="00785004" w:rsidRDefault="00785004">
      <w:pPr>
        <w:spacing w:after="0" w:line="240" w:lineRule="auto"/>
      </w:pPr>
      <w:r>
        <w:separator/>
      </w:r>
    </w:p>
  </w:endnote>
  <w:endnote w:type="continuationSeparator" w:id="0">
    <w:p w14:paraId="7E1893CD" w14:textId="77777777" w:rsidR="00785004" w:rsidRDefault="00785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CA3A3" w14:textId="77777777" w:rsidR="00C67AF3" w:rsidRDefault="00C67AF3" w:rsidP="000849D5">
    <w:pPr>
      <w:spacing w:after="0"/>
      <w:rPr>
        <w:rFonts w:ascii="Verdana" w:hAnsi="Verdana"/>
        <w:b/>
        <w:bCs/>
        <w:sz w:val="20"/>
        <w:szCs w:val="20"/>
      </w:rPr>
    </w:pPr>
  </w:p>
  <w:p w14:paraId="04FE7E6F" w14:textId="77777777" w:rsidR="00C67AF3" w:rsidRPr="00174B77" w:rsidRDefault="00C67AF3"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245101D" w14:textId="77777777" w:rsidR="00C67AF3" w:rsidRDefault="00C67AF3"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1E87ED52" w14:textId="77777777" w:rsidR="00C67AF3" w:rsidRPr="00E41027" w:rsidRDefault="00C67AF3" w:rsidP="000849D5">
    <w:pPr>
      <w:spacing w:after="0"/>
      <w:jc w:val="both"/>
      <w:rPr>
        <w:rFonts w:ascii="Verdana" w:hAnsi="Verdana"/>
        <w:sz w:val="18"/>
        <w:szCs w:val="18"/>
      </w:rPr>
    </w:pPr>
    <w:r w:rsidRPr="00E41027">
      <w:rPr>
        <w:rFonts w:ascii="Verdana" w:hAnsi="Verdana"/>
        <w:sz w:val="18"/>
        <w:szCs w:val="18"/>
      </w:rPr>
      <w:t>Mesa de servicio: (+57) 601 7456788</w:t>
    </w:r>
  </w:p>
  <w:p w14:paraId="5FA832E3" w14:textId="77777777" w:rsidR="00C67AF3" w:rsidRDefault="00C67AF3"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52B50EF9" w14:textId="77777777" w:rsidR="00C67AF3" w:rsidRPr="007D04B2" w:rsidRDefault="00C67AF3" w:rsidP="000849D5">
    <w:pPr>
      <w:pStyle w:val="Piedepgina"/>
    </w:pPr>
  </w:p>
  <w:p w14:paraId="070C3E80" w14:textId="77777777" w:rsidR="00C67AF3" w:rsidRPr="000849D5" w:rsidRDefault="00C67AF3"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6660F" w14:textId="77777777" w:rsidR="00785004" w:rsidRDefault="00785004">
      <w:pPr>
        <w:spacing w:after="0" w:line="240" w:lineRule="auto"/>
      </w:pPr>
      <w:r>
        <w:separator/>
      </w:r>
    </w:p>
  </w:footnote>
  <w:footnote w:type="continuationSeparator" w:id="0">
    <w:p w14:paraId="79FB88E0" w14:textId="77777777" w:rsidR="00785004" w:rsidRDefault="00785004">
      <w:pPr>
        <w:spacing w:after="0" w:line="240" w:lineRule="auto"/>
      </w:pPr>
      <w:r>
        <w:continuationSeparator/>
      </w:r>
    </w:p>
  </w:footnote>
  <w:footnote w:id="1">
    <w:p w14:paraId="5868B16B" w14:textId="77777777" w:rsidR="00402750" w:rsidRPr="00A628BB" w:rsidRDefault="00402750" w:rsidP="00402750">
      <w:pPr>
        <w:pStyle w:val="Textonotapie"/>
        <w:ind w:firstLine="709"/>
        <w:rPr>
          <w:rFonts w:ascii="Verdana" w:hAnsi="Verdana"/>
          <w:sz w:val="16"/>
          <w:szCs w:val="16"/>
        </w:rPr>
      </w:pPr>
      <w:r w:rsidRPr="00A628BB">
        <w:rPr>
          <w:rStyle w:val="Refdenotaalpie"/>
          <w:rFonts w:ascii="Verdana" w:hAnsi="Verdana"/>
          <w:sz w:val="16"/>
          <w:szCs w:val="16"/>
        </w:rPr>
        <w:footnoteRef/>
      </w:r>
      <w:r w:rsidRPr="00A628BB">
        <w:rPr>
          <w:rFonts w:ascii="Verdana" w:hAnsi="Verdana"/>
          <w:sz w:val="16"/>
          <w:szCs w:val="16"/>
        </w:rPr>
        <w:t xml:space="preserve"> Decreto 1082 de 2015, artículo 2.2.1.1.1.6.2.</w:t>
      </w:r>
    </w:p>
    <w:p w14:paraId="436B4B35" w14:textId="77777777" w:rsidR="00402750" w:rsidRPr="00A628BB" w:rsidRDefault="00402750" w:rsidP="00402750">
      <w:pPr>
        <w:pStyle w:val="Textonotapie"/>
        <w:rPr>
          <w:rFonts w:ascii="Verdana" w:hAnsi="Verdana"/>
          <w:sz w:val="16"/>
          <w:szCs w:val="16"/>
          <w:lang w:val="es-ES"/>
        </w:rPr>
      </w:pPr>
    </w:p>
  </w:footnote>
  <w:footnote w:id="2">
    <w:p w14:paraId="06311B55" w14:textId="77777777" w:rsidR="00402750" w:rsidRPr="009B4FD7" w:rsidRDefault="00402750" w:rsidP="00402750">
      <w:pPr>
        <w:pStyle w:val="Textonotapie"/>
        <w:ind w:firstLine="708"/>
        <w:jc w:val="both"/>
        <w:rPr>
          <w:rFonts w:ascii="Verdana" w:hAnsi="Verdana" w:cs="Arial"/>
          <w:sz w:val="14"/>
          <w:szCs w:val="14"/>
        </w:rPr>
      </w:pPr>
      <w:r w:rsidRPr="009B4FD7">
        <w:rPr>
          <w:rStyle w:val="Refdenotaalpie"/>
          <w:rFonts w:ascii="Verdana" w:hAnsi="Verdana" w:cs="Arial"/>
          <w:sz w:val="14"/>
          <w:szCs w:val="14"/>
        </w:rPr>
        <w:footnoteRef/>
      </w:r>
      <w:r w:rsidRPr="009B4FD7">
        <w:rPr>
          <w:rFonts w:ascii="Verdana" w:hAnsi="Verdana" w:cs="Arial"/>
          <w:sz w:val="14"/>
          <w:szCs w:val="14"/>
        </w:rPr>
        <w:t xml:space="preserve"> Decreto 1082 de 2015: “Artículo 2.2.1.1.1.5.3. Requisitos habilitantes contenidos en el RUP. Las cámaras de comercio, con base en la información a la que hace referencia el artículo anterior, deben verificar y certificar los siguientes requisitos habilitantes: 1. Experiencia – Los contratos celebrados por el interesado para cada uno de los bienes, obras y servicios que ofrecerá a las Entidades Estatales, identificados con el Clasificador de Bienes y Servicios en el tercer nivel y su valor expresado en SMMLV. [...]”.</w:t>
      </w:r>
    </w:p>
    <w:p w14:paraId="24F22EA6" w14:textId="77777777" w:rsidR="00402750" w:rsidRPr="009B4FD7" w:rsidRDefault="00402750" w:rsidP="00402750">
      <w:pPr>
        <w:pStyle w:val="Textonotapie"/>
        <w:ind w:firstLine="708"/>
        <w:jc w:val="both"/>
        <w:rPr>
          <w:rFonts w:ascii="Verdana" w:hAnsi="Verdana" w:cs="Arial"/>
          <w:sz w:val="14"/>
          <w:szCs w:val="14"/>
        </w:rPr>
      </w:pPr>
    </w:p>
  </w:footnote>
  <w:footnote w:id="3">
    <w:p w14:paraId="79F45491" w14:textId="77777777" w:rsidR="00402750" w:rsidRPr="009B4FD7" w:rsidRDefault="00402750" w:rsidP="00402750">
      <w:pPr>
        <w:pStyle w:val="Textonotapie"/>
        <w:ind w:firstLine="708"/>
        <w:jc w:val="both"/>
        <w:rPr>
          <w:rFonts w:ascii="Verdana" w:hAnsi="Verdana" w:cs="Arial"/>
          <w:sz w:val="14"/>
          <w:szCs w:val="14"/>
        </w:rPr>
      </w:pPr>
      <w:r w:rsidRPr="009B4FD7">
        <w:rPr>
          <w:rStyle w:val="Refdenotaalpie"/>
          <w:rFonts w:ascii="Verdana" w:hAnsi="Verdana" w:cs="Arial"/>
          <w:sz w:val="14"/>
          <w:szCs w:val="14"/>
        </w:rPr>
        <w:footnoteRef/>
      </w:r>
      <w:r w:rsidRPr="009B4FD7">
        <w:rPr>
          <w:rFonts w:ascii="Verdana" w:hAnsi="Verdana" w:cs="Arial"/>
          <w:sz w:val="14"/>
          <w:szCs w:val="14"/>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2D5D3CB5" w14:textId="77777777" w:rsidR="00402750" w:rsidRPr="000B0A23" w:rsidRDefault="00402750" w:rsidP="00402750">
      <w:pPr>
        <w:pStyle w:val="Textonotapie"/>
        <w:ind w:firstLine="708"/>
        <w:jc w:val="both"/>
        <w:rPr>
          <w:rFonts w:ascii="Arial" w:hAnsi="Arial" w:cs="Arial"/>
          <w:sz w:val="10"/>
          <w:szCs w:val="10"/>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83956" w14:textId="77777777" w:rsidR="00C67AF3" w:rsidRDefault="00C67AF3"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C56BEB9" wp14:editId="76DF7F7E">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72AFF21" wp14:editId="478A86A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9AC5469" w14:textId="77777777" w:rsidR="00C67AF3" w:rsidRDefault="00C67AF3" w:rsidP="00515FB5">
    <w:pPr>
      <w:pStyle w:val="Encabezado"/>
    </w:pPr>
  </w:p>
  <w:p w14:paraId="532F1483" w14:textId="77777777" w:rsidR="00C67AF3" w:rsidRDefault="00C67AF3" w:rsidP="00515FB5">
    <w:pPr>
      <w:pStyle w:val="Encabezado"/>
    </w:pPr>
  </w:p>
  <w:p w14:paraId="5032D3A9" w14:textId="77777777" w:rsidR="00C67AF3" w:rsidRPr="00515FB5" w:rsidRDefault="00C67AF3"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7320E89"/>
    <w:multiLevelType w:val="hybridMultilevel"/>
    <w:tmpl w:val="41C0BF20"/>
    <w:lvl w:ilvl="0" w:tplc="240A0001">
      <w:start w:val="1"/>
      <w:numFmt w:val="bullet"/>
      <w:lvlText w:val=""/>
      <w:lvlJc w:val="left"/>
      <w:pPr>
        <w:ind w:left="6" w:hanging="360"/>
      </w:pPr>
      <w:rPr>
        <w:rFonts w:ascii="Symbol" w:hAnsi="Symbol" w:hint="default"/>
      </w:rPr>
    </w:lvl>
    <w:lvl w:ilvl="1" w:tplc="240A0003" w:tentative="1">
      <w:start w:val="1"/>
      <w:numFmt w:val="bullet"/>
      <w:lvlText w:val="o"/>
      <w:lvlJc w:val="left"/>
      <w:pPr>
        <w:ind w:left="726" w:hanging="360"/>
      </w:pPr>
      <w:rPr>
        <w:rFonts w:ascii="Courier New" w:hAnsi="Courier New" w:cs="Courier New" w:hint="default"/>
      </w:rPr>
    </w:lvl>
    <w:lvl w:ilvl="2" w:tplc="240A0005" w:tentative="1">
      <w:start w:val="1"/>
      <w:numFmt w:val="bullet"/>
      <w:lvlText w:val=""/>
      <w:lvlJc w:val="left"/>
      <w:pPr>
        <w:ind w:left="1446" w:hanging="360"/>
      </w:pPr>
      <w:rPr>
        <w:rFonts w:ascii="Wingdings" w:hAnsi="Wingdings" w:hint="default"/>
      </w:rPr>
    </w:lvl>
    <w:lvl w:ilvl="3" w:tplc="240A0001" w:tentative="1">
      <w:start w:val="1"/>
      <w:numFmt w:val="bullet"/>
      <w:lvlText w:val=""/>
      <w:lvlJc w:val="left"/>
      <w:pPr>
        <w:ind w:left="2166" w:hanging="360"/>
      </w:pPr>
      <w:rPr>
        <w:rFonts w:ascii="Symbol" w:hAnsi="Symbol" w:hint="default"/>
      </w:rPr>
    </w:lvl>
    <w:lvl w:ilvl="4" w:tplc="240A0003" w:tentative="1">
      <w:start w:val="1"/>
      <w:numFmt w:val="bullet"/>
      <w:lvlText w:val="o"/>
      <w:lvlJc w:val="left"/>
      <w:pPr>
        <w:ind w:left="2886" w:hanging="360"/>
      </w:pPr>
      <w:rPr>
        <w:rFonts w:ascii="Courier New" w:hAnsi="Courier New" w:cs="Courier New" w:hint="default"/>
      </w:rPr>
    </w:lvl>
    <w:lvl w:ilvl="5" w:tplc="240A0005" w:tentative="1">
      <w:start w:val="1"/>
      <w:numFmt w:val="bullet"/>
      <w:lvlText w:val=""/>
      <w:lvlJc w:val="left"/>
      <w:pPr>
        <w:ind w:left="3606" w:hanging="360"/>
      </w:pPr>
      <w:rPr>
        <w:rFonts w:ascii="Wingdings" w:hAnsi="Wingdings" w:hint="default"/>
      </w:rPr>
    </w:lvl>
    <w:lvl w:ilvl="6" w:tplc="240A0001" w:tentative="1">
      <w:start w:val="1"/>
      <w:numFmt w:val="bullet"/>
      <w:lvlText w:val=""/>
      <w:lvlJc w:val="left"/>
      <w:pPr>
        <w:ind w:left="4326" w:hanging="360"/>
      </w:pPr>
      <w:rPr>
        <w:rFonts w:ascii="Symbol" w:hAnsi="Symbol" w:hint="default"/>
      </w:rPr>
    </w:lvl>
    <w:lvl w:ilvl="7" w:tplc="240A0003" w:tentative="1">
      <w:start w:val="1"/>
      <w:numFmt w:val="bullet"/>
      <w:lvlText w:val="o"/>
      <w:lvlJc w:val="left"/>
      <w:pPr>
        <w:ind w:left="5046" w:hanging="360"/>
      </w:pPr>
      <w:rPr>
        <w:rFonts w:ascii="Courier New" w:hAnsi="Courier New" w:cs="Courier New" w:hint="default"/>
      </w:rPr>
    </w:lvl>
    <w:lvl w:ilvl="8" w:tplc="240A0005" w:tentative="1">
      <w:start w:val="1"/>
      <w:numFmt w:val="bullet"/>
      <w:lvlText w:val=""/>
      <w:lvlJc w:val="left"/>
      <w:pPr>
        <w:ind w:left="5766" w:hanging="360"/>
      </w:pPr>
      <w:rPr>
        <w:rFonts w:ascii="Wingdings" w:hAnsi="Wingdings" w:hint="default"/>
      </w:r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4"/>
  </w:num>
  <w:num w:numId="4" w16cid:durableId="153255849">
    <w:abstractNumId w:val="2"/>
  </w:num>
  <w:num w:numId="5" w16cid:durableId="10627566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AF3"/>
    <w:rsid w:val="000207B6"/>
    <w:rsid w:val="000306DF"/>
    <w:rsid w:val="00070F28"/>
    <w:rsid w:val="00095D51"/>
    <w:rsid w:val="000E3E38"/>
    <w:rsid w:val="000F5A42"/>
    <w:rsid w:val="00106919"/>
    <w:rsid w:val="00121E07"/>
    <w:rsid w:val="00153D8E"/>
    <w:rsid w:val="001C483E"/>
    <w:rsid w:val="001D61F2"/>
    <w:rsid w:val="002002B6"/>
    <w:rsid w:val="00216701"/>
    <w:rsid w:val="0023318F"/>
    <w:rsid w:val="0023715A"/>
    <w:rsid w:val="002379DF"/>
    <w:rsid w:val="002443D0"/>
    <w:rsid w:val="0027408B"/>
    <w:rsid w:val="00275087"/>
    <w:rsid w:val="002B4608"/>
    <w:rsid w:val="002C3827"/>
    <w:rsid w:val="003241CA"/>
    <w:rsid w:val="003243FC"/>
    <w:rsid w:val="00327DC5"/>
    <w:rsid w:val="00342B05"/>
    <w:rsid w:val="00346A38"/>
    <w:rsid w:val="00372937"/>
    <w:rsid w:val="003B4496"/>
    <w:rsid w:val="00402750"/>
    <w:rsid w:val="00433676"/>
    <w:rsid w:val="004440C6"/>
    <w:rsid w:val="004533A2"/>
    <w:rsid w:val="004E2B0A"/>
    <w:rsid w:val="00500F28"/>
    <w:rsid w:val="00511B32"/>
    <w:rsid w:val="0055355F"/>
    <w:rsid w:val="00615BFE"/>
    <w:rsid w:val="00685B27"/>
    <w:rsid w:val="006C5597"/>
    <w:rsid w:val="00707057"/>
    <w:rsid w:val="007417C7"/>
    <w:rsid w:val="0075693C"/>
    <w:rsid w:val="00771620"/>
    <w:rsid w:val="00785004"/>
    <w:rsid w:val="00791911"/>
    <w:rsid w:val="00793388"/>
    <w:rsid w:val="007C6A5C"/>
    <w:rsid w:val="007D471E"/>
    <w:rsid w:val="00826DD5"/>
    <w:rsid w:val="008765D8"/>
    <w:rsid w:val="008877C4"/>
    <w:rsid w:val="00890A4C"/>
    <w:rsid w:val="008E282D"/>
    <w:rsid w:val="009A2449"/>
    <w:rsid w:val="009F26ED"/>
    <w:rsid w:val="00A00070"/>
    <w:rsid w:val="00A06580"/>
    <w:rsid w:val="00A12218"/>
    <w:rsid w:val="00A41B08"/>
    <w:rsid w:val="00A73ABA"/>
    <w:rsid w:val="00A90678"/>
    <w:rsid w:val="00AA1A2E"/>
    <w:rsid w:val="00B00D08"/>
    <w:rsid w:val="00B03B0F"/>
    <w:rsid w:val="00B31D9F"/>
    <w:rsid w:val="00B50528"/>
    <w:rsid w:val="00B62B56"/>
    <w:rsid w:val="00BB039C"/>
    <w:rsid w:val="00BE7798"/>
    <w:rsid w:val="00BF2CD7"/>
    <w:rsid w:val="00C6431B"/>
    <w:rsid w:val="00C67AF3"/>
    <w:rsid w:val="00C864DA"/>
    <w:rsid w:val="00C90951"/>
    <w:rsid w:val="00CA24A3"/>
    <w:rsid w:val="00CC6845"/>
    <w:rsid w:val="00CF2EBF"/>
    <w:rsid w:val="00D57F02"/>
    <w:rsid w:val="00D92456"/>
    <w:rsid w:val="00DA2186"/>
    <w:rsid w:val="00DB0C8A"/>
    <w:rsid w:val="00DC0D27"/>
    <w:rsid w:val="00DD01A0"/>
    <w:rsid w:val="00E2232B"/>
    <w:rsid w:val="00E27C68"/>
    <w:rsid w:val="00E31101"/>
    <w:rsid w:val="00E6082C"/>
    <w:rsid w:val="00E66967"/>
    <w:rsid w:val="00EA1BFA"/>
    <w:rsid w:val="00EF4F84"/>
    <w:rsid w:val="00F51282"/>
    <w:rsid w:val="00F53223"/>
    <w:rsid w:val="00F742F9"/>
    <w:rsid w:val="00FA2C47"/>
    <w:rsid w:val="00FB16E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0D091"/>
  <w15:chartTrackingRefBased/>
  <w15:docId w15:val="{6E98CA38-9922-4D20-BFB2-F76708C44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24A3"/>
    <w:rPr>
      <w:kern w:val="0"/>
      <w14:ligatures w14:val="none"/>
    </w:rPr>
  </w:style>
  <w:style w:type="paragraph" w:styleId="Ttulo1">
    <w:name w:val="heading 1"/>
    <w:basedOn w:val="Normal"/>
    <w:next w:val="Normal"/>
    <w:link w:val="Ttulo1Car"/>
    <w:uiPriority w:val="9"/>
    <w:qFormat/>
    <w:rsid w:val="00C67A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67A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67AF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67AF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67AF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67AF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67AF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67AF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67AF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67AF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67AF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67AF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67AF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67AF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67AF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67AF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67AF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67AF3"/>
    <w:rPr>
      <w:rFonts w:eastAsiaTheme="majorEastAsia" w:cstheme="majorBidi"/>
      <w:color w:val="272727" w:themeColor="text1" w:themeTint="D8"/>
    </w:rPr>
  </w:style>
  <w:style w:type="paragraph" w:styleId="Ttulo">
    <w:name w:val="Title"/>
    <w:basedOn w:val="Normal"/>
    <w:next w:val="Normal"/>
    <w:link w:val="TtuloCar"/>
    <w:uiPriority w:val="10"/>
    <w:qFormat/>
    <w:rsid w:val="00C67A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67AF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67AF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67AF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67AF3"/>
    <w:pPr>
      <w:spacing w:before="160"/>
      <w:jc w:val="center"/>
    </w:pPr>
    <w:rPr>
      <w:i/>
      <w:iCs/>
      <w:color w:val="404040" w:themeColor="text1" w:themeTint="BF"/>
    </w:rPr>
  </w:style>
  <w:style w:type="character" w:customStyle="1" w:styleId="CitaCar">
    <w:name w:val="Cita Car"/>
    <w:basedOn w:val="Fuentedeprrafopredeter"/>
    <w:link w:val="Cita"/>
    <w:uiPriority w:val="29"/>
    <w:rsid w:val="00C67AF3"/>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C67AF3"/>
    <w:pPr>
      <w:ind w:left="720"/>
      <w:contextualSpacing/>
    </w:pPr>
  </w:style>
  <w:style w:type="character" w:styleId="nfasisintenso">
    <w:name w:val="Intense Emphasis"/>
    <w:basedOn w:val="Fuentedeprrafopredeter"/>
    <w:uiPriority w:val="21"/>
    <w:qFormat/>
    <w:rsid w:val="00C67AF3"/>
    <w:rPr>
      <w:i/>
      <w:iCs/>
      <w:color w:val="0F4761" w:themeColor="accent1" w:themeShade="BF"/>
    </w:rPr>
  </w:style>
  <w:style w:type="paragraph" w:styleId="Citadestacada">
    <w:name w:val="Intense Quote"/>
    <w:basedOn w:val="Normal"/>
    <w:next w:val="Normal"/>
    <w:link w:val="CitadestacadaCar"/>
    <w:uiPriority w:val="30"/>
    <w:qFormat/>
    <w:rsid w:val="00C67A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67AF3"/>
    <w:rPr>
      <w:i/>
      <w:iCs/>
      <w:color w:val="0F4761" w:themeColor="accent1" w:themeShade="BF"/>
    </w:rPr>
  </w:style>
  <w:style w:type="character" w:styleId="Referenciaintensa">
    <w:name w:val="Intense Reference"/>
    <w:basedOn w:val="Fuentedeprrafopredeter"/>
    <w:uiPriority w:val="32"/>
    <w:qFormat/>
    <w:rsid w:val="00C67AF3"/>
    <w:rPr>
      <w:b/>
      <w:bCs/>
      <w:smallCaps/>
      <w:color w:val="0F4761" w:themeColor="accent1" w:themeShade="BF"/>
      <w:spacing w:val="5"/>
    </w:rPr>
  </w:style>
  <w:style w:type="paragraph" w:styleId="Encabezado">
    <w:name w:val="header"/>
    <w:basedOn w:val="Normal"/>
    <w:link w:val="EncabezadoCar"/>
    <w:uiPriority w:val="99"/>
    <w:unhideWhenUsed/>
    <w:rsid w:val="00C67A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67AF3"/>
    <w:rPr>
      <w:kern w:val="0"/>
      <w14:ligatures w14:val="none"/>
    </w:rPr>
  </w:style>
  <w:style w:type="paragraph" w:styleId="Piedepgina">
    <w:name w:val="footer"/>
    <w:basedOn w:val="Normal"/>
    <w:link w:val="PiedepginaCar"/>
    <w:uiPriority w:val="99"/>
    <w:unhideWhenUsed/>
    <w:rsid w:val="00C67A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67AF3"/>
    <w:rPr>
      <w:kern w:val="0"/>
      <w14:ligatures w14:val="none"/>
    </w:rPr>
  </w:style>
  <w:style w:type="table" w:styleId="Tablaconcuadrcula">
    <w:name w:val="Table Grid"/>
    <w:basedOn w:val="Tablanormal"/>
    <w:uiPriority w:val="39"/>
    <w:qFormat/>
    <w:rsid w:val="00C67AF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67AF3"/>
    <w:rPr>
      <w:color w:val="467886" w:themeColor="hyperlink"/>
      <w:u w:val="single"/>
    </w:rPr>
  </w:style>
  <w:style w:type="character" w:customStyle="1" w:styleId="normaltextrun">
    <w:name w:val="normaltextrun"/>
    <w:basedOn w:val="Fuentedeprrafopredeter"/>
    <w:rsid w:val="00C67AF3"/>
  </w:style>
  <w:style w:type="character" w:customStyle="1" w:styleId="eop">
    <w:name w:val="eop"/>
    <w:basedOn w:val="Fuentedeprrafopredeter"/>
    <w:rsid w:val="00C67AF3"/>
  </w:style>
  <w:style w:type="paragraph" w:customStyle="1" w:styleId="paragraph">
    <w:name w:val="paragraph"/>
    <w:basedOn w:val="Normal"/>
    <w:rsid w:val="00C67AF3"/>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67AF3"/>
  </w:style>
  <w:style w:type="paragraph" w:styleId="NormalWeb">
    <w:name w:val="Normal (Web)"/>
    <w:basedOn w:val="Normal"/>
    <w:link w:val="NormalWebCar"/>
    <w:uiPriority w:val="99"/>
    <w:unhideWhenUsed/>
    <w:rsid w:val="00C67AF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C67AF3"/>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826DD5"/>
    <w:rPr>
      <w:color w:val="605E5C"/>
      <w:shd w:val="clear" w:color="auto" w:fill="E1DFDD"/>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D61F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D61F2"/>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D61F2"/>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1D61F2"/>
    <w:rPr>
      <w:vertAlign w:val="superscript"/>
    </w:rPr>
  </w:style>
  <w:style w:type="paragraph" w:customStyle="1" w:styleId="Appelnotedebasde">
    <w:name w:val="Appel note de bas de..."/>
    <w:basedOn w:val="Normal"/>
    <w:link w:val="Refdenotaalpie"/>
    <w:uiPriority w:val="99"/>
    <w:rsid w:val="001D61F2"/>
    <w:pPr>
      <w:spacing w:line="240" w:lineRule="exact"/>
    </w:pPr>
    <w:rPr>
      <w:kern w:val="2"/>
      <w:vertAlign w:val="superscript"/>
      <w14:ligatures w14:val="standardContextual"/>
    </w:rPr>
  </w:style>
  <w:style w:type="paragraph" w:customStyle="1" w:styleId="Car1">
    <w:name w:val="Car1"/>
    <w:basedOn w:val="Normal"/>
    <w:next w:val="Textonotapie"/>
    <w:uiPriority w:val="99"/>
    <w:unhideWhenUsed/>
    <w:qFormat/>
    <w:rsid w:val="001D61F2"/>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62845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garetc3757@gmail.com" TargetMode="External"/><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3.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lombiacompra.gov.c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relatoria.colombiacompra.gov.co/busqueda/conceptos"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www.colombiacompra.gov.co/archivos/manual/manual-para-determinar-y-verificar-los-requisitos-habilitantes-en-los-procesos-de-contratacion"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82D3828-0551-4818-B5A8-E53F44224362}"/>
</file>

<file path=customXml/itemProps2.xml><?xml version="1.0" encoding="utf-8"?>
<ds:datastoreItem xmlns:ds="http://schemas.openxmlformats.org/officeDocument/2006/customXml" ds:itemID="{BDDDA854-095D-4947-9F91-9040C08CD881}"/>
</file>

<file path=customXml/itemProps3.xml><?xml version="1.0" encoding="utf-8"?>
<ds:datastoreItem xmlns:ds="http://schemas.openxmlformats.org/officeDocument/2006/customXml" ds:itemID="{B7A38EAD-FD04-4DD0-9600-D39901B470E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297</TotalTime>
  <Pages>10</Pages>
  <Words>3052</Words>
  <Characters>16786</Characters>
  <Application>Microsoft Office Word</Application>
  <DocSecurity>0</DocSecurity>
  <Lines>139</Lines>
  <Paragraphs>39</Paragraphs>
  <ScaleCrop>false</ScaleCrop>
  <Company/>
  <LinksUpToDate>false</LinksUpToDate>
  <CharactersWithSpaces>19799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82</cp:revision>
  <dcterms:created xsi:type="dcterms:W3CDTF">2026-03-30T20:16:00Z</dcterms:created>
  <dcterms:modified xsi:type="dcterms:W3CDTF">2026-05-15T14:01:00Z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