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5C1EEC" w14:textId="2DED6855" w:rsidR="0089683F" w:rsidRPr="0089683F" w:rsidRDefault="0089683F" w:rsidP="0089683F">
      <w:pPr>
        <w:spacing w:after="0"/>
        <w:jc w:val="both"/>
        <w:rPr>
          <w:rFonts w:ascii="Verdana" w:eastAsia="Verdana" w:hAnsi="Verdana" w:cs="Verdana"/>
        </w:rPr>
      </w:pPr>
      <w:bookmarkStart w:id="0" w:name="_Hlk143780582"/>
      <w:r w:rsidRPr="0089683F">
        <w:rPr>
          <w:rFonts w:ascii="Verdana" w:eastAsia="Calibri" w:hAnsi="Verdana" w:cs="Times New Roman"/>
          <w:b/>
          <w:bCs/>
          <w:lang w:val="es-ES"/>
        </w:rPr>
        <w:t>DOCUMENTOS TIPO – Inalterabilidad – Alcance</w:t>
      </w:r>
    </w:p>
    <w:p w14:paraId="331B3613" w14:textId="77777777" w:rsidR="0089683F" w:rsidRPr="0089683F" w:rsidRDefault="0089683F" w:rsidP="0089683F">
      <w:pPr>
        <w:spacing w:after="0" w:line="240" w:lineRule="auto"/>
        <w:jc w:val="both"/>
        <w:rPr>
          <w:rFonts w:ascii="Verdana" w:eastAsia="Calibri" w:hAnsi="Verdana" w:cs="Times New Roman"/>
          <w:b/>
          <w:bCs/>
          <w:lang w:val="es-ES"/>
        </w:rPr>
      </w:pPr>
    </w:p>
    <w:p w14:paraId="35F657C9" w14:textId="77777777" w:rsidR="0089683F" w:rsidRPr="0089683F" w:rsidRDefault="0089683F" w:rsidP="0089683F">
      <w:pPr>
        <w:tabs>
          <w:tab w:val="center" w:pos="4419"/>
          <w:tab w:val="right" w:pos="8838"/>
        </w:tabs>
        <w:spacing w:after="0" w:line="240" w:lineRule="auto"/>
        <w:jc w:val="both"/>
        <w:rPr>
          <w:rFonts w:ascii="Verdana" w:eastAsia="Calibri" w:hAnsi="Verdana" w:cs="Arial"/>
          <w:color w:val="000000"/>
          <w:sz w:val="20"/>
          <w:szCs w:val="20"/>
          <w:lang w:val="es-ES"/>
        </w:rPr>
      </w:pPr>
      <w:r w:rsidRPr="0089683F">
        <w:rPr>
          <w:rFonts w:ascii="Verdana" w:eastAsia="Calibri" w:hAnsi="Verdana" w:cs="Arial"/>
          <w:color w:val="000000"/>
          <w:sz w:val="20"/>
          <w:szCs w:val="2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89683F">
        <w:rPr>
          <w:rFonts w:ascii="Verdana" w:eastAsia="Calibri" w:hAnsi="Verdana" w:cs="Arial"/>
          <w:i/>
          <w:iCs/>
          <w:color w:val="000000"/>
          <w:sz w:val="20"/>
          <w:szCs w:val="20"/>
          <w:lang w:val="es-ES"/>
        </w:rPr>
        <w:t>Documentos del Proceso</w:t>
      </w:r>
      <w:r w:rsidRPr="0089683F">
        <w:rPr>
          <w:rFonts w:ascii="Verdana" w:eastAsia="Calibri" w:hAnsi="Verdana" w:cs="Arial"/>
          <w:color w:val="000000"/>
          <w:sz w:val="20"/>
          <w:szCs w:val="2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46928E8A" w14:textId="77777777" w:rsidR="0089683F" w:rsidRPr="0089683F" w:rsidRDefault="0089683F" w:rsidP="0089683F">
      <w:pPr>
        <w:spacing w:after="0" w:line="240" w:lineRule="auto"/>
        <w:jc w:val="both"/>
        <w:rPr>
          <w:rFonts w:ascii="Verdana" w:eastAsia="Calibri" w:hAnsi="Verdana" w:cs="Arial"/>
          <w:sz w:val="20"/>
          <w:szCs w:val="20"/>
          <w:lang w:val="es-ES_tradnl"/>
        </w:rPr>
      </w:pPr>
      <w:r w:rsidRPr="0089683F">
        <w:rPr>
          <w:rFonts w:ascii="Verdana" w:eastAsia="Calibri" w:hAnsi="Verdana" w:cs="Arial"/>
          <w:sz w:val="20"/>
          <w:szCs w:val="20"/>
          <w:lang w:val="es-ES_tradnl"/>
        </w:rPr>
        <w:t>(…)</w:t>
      </w:r>
    </w:p>
    <w:p w14:paraId="7F7319C6" w14:textId="77777777" w:rsidR="0089683F" w:rsidRPr="0089683F" w:rsidRDefault="0089683F" w:rsidP="0089683F">
      <w:pPr>
        <w:spacing w:after="0" w:line="240" w:lineRule="auto"/>
        <w:jc w:val="both"/>
        <w:rPr>
          <w:rFonts w:ascii="Verdana" w:eastAsia="Calibri" w:hAnsi="Verdana" w:cs="Arial"/>
          <w:color w:val="000000"/>
          <w:sz w:val="20"/>
          <w:szCs w:val="20"/>
          <w:lang w:val="es-ES"/>
        </w:rPr>
      </w:pPr>
      <w:r w:rsidRPr="0089683F">
        <w:rPr>
          <w:rFonts w:ascii="Verdana" w:eastAsia="Calibri" w:hAnsi="Verdana" w:cs="Arial"/>
          <w:color w:val="000000"/>
          <w:sz w:val="20"/>
          <w:szCs w:val="20"/>
          <w:lang w:val="es-ES"/>
        </w:rPr>
        <w:t xml:space="preserve">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 Si las autoridades pudiesen agregar, eliminar o modificar todos y cada uno de los aspectos contenidos en los pliegos tipo, estos documentos, llanamente, no podrían ser llamados pliegos tipo. </w:t>
      </w:r>
    </w:p>
    <w:p w14:paraId="7DB0B25E" w14:textId="77777777" w:rsidR="0089683F" w:rsidRPr="0089683F" w:rsidRDefault="0089683F" w:rsidP="0089683F">
      <w:pPr>
        <w:spacing w:after="0" w:line="240" w:lineRule="auto"/>
        <w:jc w:val="both"/>
        <w:rPr>
          <w:rFonts w:ascii="Verdana" w:eastAsia="Calibri" w:hAnsi="Verdana" w:cs="Arial"/>
          <w:color w:val="000000"/>
          <w:sz w:val="20"/>
          <w:szCs w:val="20"/>
          <w:lang w:val="es-ES"/>
        </w:rPr>
      </w:pPr>
    </w:p>
    <w:p w14:paraId="7EB7C0A6" w14:textId="77777777" w:rsidR="0089683F" w:rsidRPr="0089683F" w:rsidRDefault="0089683F" w:rsidP="0089683F">
      <w:pPr>
        <w:spacing w:after="0" w:line="240" w:lineRule="auto"/>
        <w:jc w:val="both"/>
        <w:rPr>
          <w:rFonts w:ascii="Verdana" w:eastAsia="Calibri" w:hAnsi="Verdana" w:cs="Arial"/>
          <w:color w:val="000000"/>
          <w:sz w:val="20"/>
          <w:szCs w:val="20"/>
          <w:lang w:val="es-ES"/>
        </w:rPr>
      </w:pPr>
      <w:r w:rsidRPr="0089683F">
        <w:rPr>
          <w:rFonts w:ascii="Verdana" w:eastAsia="Calibri" w:hAnsi="Verdana" w:cs="Arial"/>
          <w:color w:val="000000"/>
          <w:sz w:val="20"/>
          <w:szCs w:val="2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6A668DEC" w14:textId="77777777" w:rsidR="0089683F" w:rsidRPr="0089683F" w:rsidRDefault="0089683F" w:rsidP="0089683F">
      <w:pPr>
        <w:spacing w:after="0" w:line="240" w:lineRule="auto"/>
        <w:jc w:val="both"/>
        <w:rPr>
          <w:rFonts w:ascii="Verdana" w:eastAsia="Calibri" w:hAnsi="Verdana" w:cs="Arial"/>
          <w:color w:val="000000"/>
          <w:sz w:val="20"/>
          <w:szCs w:val="20"/>
          <w:lang w:val="es-ES"/>
        </w:rPr>
      </w:pPr>
      <w:r w:rsidRPr="0089683F">
        <w:rPr>
          <w:rFonts w:ascii="Verdana" w:eastAsia="Calibri" w:hAnsi="Verdana" w:cs="Arial"/>
          <w:color w:val="000000"/>
          <w:sz w:val="20"/>
          <w:szCs w:val="20"/>
          <w:lang w:val="es-ES"/>
        </w:rPr>
        <w:t>(…)</w:t>
      </w:r>
    </w:p>
    <w:p w14:paraId="7B5F8D0B" w14:textId="77777777" w:rsidR="0089683F" w:rsidRPr="0089683F" w:rsidRDefault="0089683F" w:rsidP="0089683F">
      <w:pPr>
        <w:spacing w:after="0" w:line="240" w:lineRule="auto"/>
        <w:jc w:val="both"/>
        <w:rPr>
          <w:rFonts w:ascii="Verdana" w:eastAsia="Calibri" w:hAnsi="Verdana" w:cs="Arial"/>
          <w:color w:val="000000"/>
          <w:sz w:val="20"/>
          <w:szCs w:val="20"/>
          <w:lang w:val="es-ES"/>
        </w:rPr>
      </w:pPr>
      <w:r w:rsidRPr="0089683F">
        <w:rPr>
          <w:rFonts w:ascii="Verdana" w:eastAsia="Calibri" w:hAnsi="Verdana" w:cs="Arial"/>
          <w:sz w:val="20"/>
          <w:szCs w:val="20"/>
          <w:lang w:val="es-MX"/>
        </w:rPr>
        <w:t xml:space="preserve">No obstante, la parte introductoria de los documentos base de los documentos tipo disponen que los aspectos incluidos en corchetes y resaltados en gris </w:t>
      </w:r>
      <w:r w:rsidRPr="0089683F">
        <w:rPr>
          <w:rFonts w:ascii="Verdana" w:eastAsia="Aptos" w:hAnsi="Verdana" w:cs="Arial"/>
          <w:sz w:val="20"/>
          <w:szCs w:val="20"/>
        </w:rPr>
        <w:t>–[</w:t>
      </w:r>
      <w:r w:rsidRPr="0089683F">
        <w:rPr>
          <w:rFonts w:ascii="Verdana" w:eastAsia="Aptos" w:hAnsi="Verdana" w:cs="Arial"/>
          <w:sz w:val="20"/>
          <w:szCs w:val="20"/>
          <w:highlight w:val="lightGray"/>
        </w:rPr>
        <w:t>texto de ejemplo</w:t>
      </w:r>
      <w:r w:rsidRPr="0089683F">
        <w:rPr>
          <w:rFonts w:ascii="Verdana" w:eastAsia="Aptos" w:hAnsi="Verdana" w:cs="Arial"/>
          <w:sz w:val="20"/>
          <w:szCs w:val="20"/>
        </w:rPr>
        <w:t xml:space="preserve">]– </w:t>
      </w:r>
      <w:r w:rsidRPr="0089683F">
        <w:rPr>
          <w:rFonts w:ascii="Verdana" w:eastAsia="Calibri" w:hAnsi="Verdana" w:cs="Arial"/>
          <w:sz w:val="20"/>
          <w:szCs w:val="20"/>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1BB2D7EF" w14:textId="77777777" w:rsidR="0089683F" w:rsidRPr="0089683F" w:rsidRDefault="0089683F" w:rsidP="0089683F">
      <w:pPr>
        <w:spacing w:after="0" w:line="240" w:lineRule="auto"/>
        <w:jc w:val="both"/>
        <w:rPr>
          <w:rFonts w:ascii="Verdana" w:eastAsia="Calibri" w:hAnsi="Verdana" w:cs="Times New Roman"/>
          <w:b/>
          <w:bCs/>
          <w:lang w:val="es-ES"/>
        </w:rPr>
      </w:pPr>
    </w:p>
    <w:p w14:paraId="3712A5E5" w14:textId="77777777" w:rsidR="0089683F" w:rsidRPr="0089683F" w:rsidRDefault="0089683F" w:rsidP="0089683F">
      <w:pPr>
        <w:spacing w:after="0" w:line="240" w:lineRule="auto"/>
        <w:jc w:val="both"/>
        <w:rPr>
          <w:rFonts w:ascii="Verdana" w:eastAsia="Calibri" w:hAnsi="Verdana" w:cs="Times New Roman"/>
          <w:b/>
          <w:bCs/>
          <w:lang w:val="es-ES"/>
        </w:rPr>
      </w:pPr>
      <w:r w:rsidRPr="0089683F">
        <w:rPr>
          <w:rFonts w:ascii="Verdana" w:eastAsia="Calibri" w:hAnsi="Verdana" w:cs="Times New Roman"/>
          <w:b/>
          <w:bCs/>
          <w:lang w:val="es-ES"/>
        </w:rPr>
        <w:t>DECRETO 287 DE 2026 – Incidencia – Documentos tipo</w:t>
      </w:r>
    </w:p>
    <w:p w14:paraId="61731343" w14:textId="77777777" w:rsidR="0089683F" w:rsidRPr="0089683F" w:rsidRDefault="0089683F" w:rsidP="0089683F">
      <w:pPr>
        <w:spacing w:after="0" w:line="240" w:lineRule="auto"/>
        <w:jc w:val="both"/>
        <w:rPr>
          <w:rFonts w:ascii="Verdana" w:eastAsia="Calibri" w:hAnsi="Verdana" w:cs="Times New Roman"/>
          <w:b/>
          <w:bCs/>
          <w:lang w:val="es-ES"/>
        </w:rPr>
      </w:pPr>
    </w:p>
    <w:p w14:paraId="16B6DFB6" w14:textId="77777777" w:rsidR="0089683F" w:rsidRPr="0089683F" w:rsidRDefault="0089683F" w:rsidP="0089683F">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89683F">
        <w:rPr>
          <w:rFonts w:ascii="Verdana" w:eastAsia="Aptos" w:hAnsi="Verdana" w:cs="Times New Roman"/>
          <w:kern w:val="2"/>
          <w:sz w:val="20"/>
          <w:szCs w:val="20"/>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00B111F4" w14:textId="77777777" w:rsidR="0089683F" w:rsidRPr="0089683F" w:rsidRDefault="0089683F" w:rsidP="0089683F">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40A6009" w14:textId="77777777" w:rsidR="0089683F" w:rsidRPr="0089683F" w:rsidRDefault="0089683F" w:rsidP="0089683F">
      <w:pPr>
        <w:spacing w:after="0" w:line="240" w:lineRule="auto"/>
        <w:jc w:val="both"/>
        <w:rPr>
          <w:rFonts w:ascii="Verdana" w:eastAsia="Calibri" w:hAnsi="Verdana" w:cs="Times New Roman"/>
          <w:b/>
          <w:bCs/>
          <w:lang w:val="es-ES"/>
        </w:rPr>
      </w:pPr>
      <w:r w:rsidRPr="0089683F">
        <w:rPr>
          <w:rFonts w:ascii="Verdana" w:eastAsia="Calibri" w:hAnsi="Verdana" w:cs="Times New Roman"/>
          <w:b/>
          <w:bCs/>
          <w:lang w:val="es-ES"/>
        </w:rPr>
        <w:t>DECRETO 287 DE 2026 – Documentos tipo – Licitación Pública – Selección abreviada de menor cuantía – Concurso de méritos – Requisitos habilitantes</w:t>
      </w:r>
    </w:p>
    <w:p w14:paraId="3D12FB0F" w14:textId="77777777" w:rsidR="0089683F" w:rsidRPr="0089683F" w:rsidRDefault="0089683F" w:rsidP="0089683F">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1C363FDC" w14:textId="77777777" w:rsidR="0089683F" w:rsidRPr="0089683F" w:rsidRDefault="0089683F" w:rsidP="0089683F">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89683F">
        <w:rPr>
          <w:rFonts w:ascii="Verdana" w:eastAsia="Aptos" w:hAnsi="Verdana" w:cs="Times New Roman"/>
          <w:kern w:val="2"/>
          <w:sz w:val="20"/>
          <w:szCs w:val="20"/>
          <w14:ligatures w14:val="standardContextual"/>
        </w:rPr>
        <w:t>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de tal manera que se eliminen barreras de entrada injustificadas sin comprometer la idoneidad del contratista, en aplicación del principio de igualdad material.</w:t>
      </w:r>
    </w:p>
    <w:p w14:paraId="683CAF24" w14:textId="77777777" w:rsidR="0089683F" w:rsidRPr="0089683F" w:rsidRDefault="0089683F" w:rsidP="0089683F">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B17D835" w14:textId="77777777" w:rsidR="0089683F" w:rsidRPr="0089683F" w:rsidRDefault="0089683F" w:rsidP="0089683F">
      <w:pPr>
        <w:spacing w:after="0" w:line="240" w:lineRule="auto"/>
        <w:jc w:val="both"/>
        <w:rPr>
          <w:rFonts w:ascii="Verdana" w:eastAsia="Calibri" w:hAnsi="Verdana" w:cs="Times New Roman"/>
          <w:b/>
          <w:bCs/>
          <w:lang w:val="es-ES"/>
        </w:rPr>
      </w:pPr>
      <w:r w:rsidRPr="0089683F">
        <w:rPr>
          <w:rFonts w:ascii="Verdana" w:eastAsia="Calibri" w:hAnsi="Verdana" w:cs="Times New Roman"/>
          <w:b/>
          <w:bCs/>
          <w:lang w:val="es-ES"/>
        </w:rPr>
        <w:t>DECRETO 287 DE 2026 – Documentos tipo – Licitación Pública – Concurso de méritos – Factores de evaluación</w:t>
      </w:r>
    </w:p>
    <w:p w14:paraId="5CCE6B2E" w14:textId="77777777" w:rsidR="0089683F" w:rsidRPr="0089683F" w:rsidRDefault="0089683F" w:rsidP="0089683F">
      <w:pPr>
        <w:widowControl w:val="0"/>
        <w:autoSpaceDE w:val="0"/>
        <w:autoSpaceDN w:val="0"/>
        <w:spacing w:after="0" w:line="240" w:lineRule="auto"/>
        <w:jc w:val="both"/>
        <w:rPr>
          <w:rFonts w:ascii="Verdana" w:eastAsia="Aptos" w:hAnsi="Verdana" w:cs="Times New Roman"/>
          <w:kern w:val="2"/>
          <w:sz w:val="20"/>
          <w:szCs w:val="20"/>
          <w:lang w:val="es-ES"/>
          <w14:ligatures w14:val="standardContextual"/>
        </w:rPr>
      </w:pPr>
    </w:p>
    <w:p w14:paraId="75F29C59" w14:textId="77777777" w:rsidR="0089683F" w:rsidRPr="0089683F" w:rsidRDefault="0089683F" w:rsidP="0089683F">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89683F">
        <w:rPr>
          <w:rFonts w:ascii="Verdana" w:eastAsia="Aptos" w:hAnsi="Verdana" w:cs="Times New Roman"/>
          <w:kern w:val="2"/>
          <w:sz w:val="20"/>
          <w:szCs w:val="20"/>
          <w14:ligatures w14:val="standardContextual"/>
        </w:rPr>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7764FDF6" w14:textId="77777777" w:rsidR="0089683F" w:rsidRPr="0089683F" w:rsidRDefault="0089683F" w:rsidP="0089683F">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86FBB7A" w14:textId="77777777" w:rsidR="0089683F" w:rsidRPr="0089683F" w:rsidRDefault="0089683F" w:rsidP="0089683F">
      <w:pPr>
        <w:widowControl w:val="0"/>
        <w:autoSpaceDE w:val="0"/>
        <w:autoSpaceDN w:val="0"/>
        <w:spacing w:after="0" w:line="240" w:lineRule="auto"/>
        <w:jc w:val="both"/>
        <w:rPr>
          <w:rFonts w:ascii="Verdana" w:eastAsia="Calibri" w:hAnsi="Verdana" w:cs="Times New Roman"/>
          <w:b/>
          <w:bCs/>
          <w:lang w:val="es-ES"/>
        </w:rPr>
      </w:pPr>
      <w:r w:rsidRPr="0089683F">
        <w:rPr>
          <w:rFonts w:ascii="Verdana" w:eastAsia="Calibri" w:hAnsi="Verdana" w:cs="Times New Roman"/>
          <w:b/>
          <w:bCs/>
          <w:lang w:val="es-ES"/>
        </w:rPr>
        <w:t xml:space="preserve">DECRETO 287 DE 2026 – Documentos tipo – Ejecución contractual </w:t>
      </w:r>
    </w:p>
    <w:p w14:paraId="717833EC" w14:textId="77777777" w:rsidR="0089683F" w:rsidRPr="0089683F" w:rsidRDefault="0089683F" w:rsidP="0089683F">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B6CE7A3" w14:textId="77777777" w:rsidR="0089683F" w:rsidRPr="0089683F" w:rsidRDefault="0089683F" w:rsidP="0089683F">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89683F">
        <w:rPr>
          <w:rFonts w:ascii="Verdana" w:eastAsia="Aptos" w:hAnsi="Verdana" w:cs="Times New Roman"/>
          <w:kern w:val="2"/>
          <w:sz w:val="20"/>
          <w:szCs w:val="20"/>
          <w14:ligatures w14:val="standardContextual"/>
        </w:rPr>
        <w:t xml:space="preserve">Adicionalmente, en cuanto a la ejecución contractual, el artículo 2.2.1.2.4.2.7.5 del </w:t>
      </w:r>
      <w:r w:rsidRPr="0089683F">
        <w:rPr>
          <w:rFonts w:ascii="Verdana" w:eastAsia="Aptos" w:hAnsi="Verdana" w:cs="Times New Roman"/>
          <w:kern w:val="2"/>
          <w:sz w:val="20"/>
          <w:szCs w:val="20"/>
          <w14:ligatures w14:val="standardContextual"/>
        </w:rPr>
        <w:lastRenderedPageBreak/>
        <w:t>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0BFF1848" w14:textId="77777777" w:rsidR="0089683F" w:rsidRPr="0089683F" w:rsidRDefault="0089683F" w:rsidP="0089683F">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453413F" w14:textId="77777777" w:rsidR="0089683F" w:rsidRPr="0089683F" w:rsidRDefault="0089683F" w:rsidP="0089683F">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89683F">
        <w:rPr>
          <w:rFonts w:ascii="Verdana" w:eastAsia="Aptos" w:hAnsi="Verdana" w:cs="Times New Roman"/>
          <w:kern w:val="2"/>
          <w:sz w:val="20"/>
          <w:szCs w:val="20"/>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14:paraId="18FAE57B" w14:textId="77777777" w:rsidR="0089683F" w:rsidRPr="0089683F" w:rsidRDefault="0089683F" w:rsidP="0089683F">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C42601F" w14:textId="77777777" w:rsidR="0089683F" w:rsidRPr="0089683F" w:rsidRDefault="0089683F" w:rsidP="0089683F">
      <w:pPr>
        <w:widowControl w:val="0"/>
        <w:autoSpaceDE w:val="0"/>
        <w:autoSpaceDN w:val="0"/>
        <w:spacing w:after="0" w:line="240" w:lineRule="auto"/>
        <w:jc w:val="both"/>
        <w:rPr>
          <w:rFonts w:ascii="Verdana" w:eastAsia="Calibri" w:hAnsi="Verdana" w:cs="Times New Roman"/>
          <w:b/>
          <w:bCs/>
          <w:lang w:val="es-ES"/>
        </w:rPr>
      </w:pPr>
      <w:r w:rsidRPr="0089683F">
        <w:rPr>
          <w:rFonts w:ascii="Verdana" w:eastAsia="Calibri" w:hAnsi="Verdana" w:cs="Times New Roman"/>
          <w:b/>
          <w:bCs/>
          <w:lang w:val="es-ES"/>
        </w:rPr>
        <w:t xml:space="preserve">DOCUMENTOS TIPO – Decreto 287 de 2026 – Aplicación </w:t>
      </w:r>
    </w:p>
    <w:p w14:paraId="496E6731" w14:textId="77777777" w:rsidR="0089683F" w:rsidRPr="0089683F" w:rsidRDefault="0089683F" w:rsidP="0089683F">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B79AC3A" w14:textId="77777777" w:rsidR="0089683F" w:rsidRPr="0089683F" w:rsidRDefault="0089683F" w:rsidP="0089683F">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89683F">
        <w:rPr>
          <w:rFonts w:ascii="Verdana" w:eastAsia="Aptos" w:hAnsi="Verdana" w:cs="Times New Roman"/>
          <w:kern w:val="2"/>
          <w:sz w:val="20"/>
          <w:szCs w:val="20"/>
          <w14:ligatures w14:val="standardContextual"/>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75D0F659" w14:textId="77777777" w:rsidR="0089683F" w:rsidRPr="0089683F" w:rsidRDefault="0089683F" w:rsidP="0089683F">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C87A6E5" w14:textId="77777777" w:rsidR="0089683F" w:rsidRPr="0089683F" w:rsidRDefault="0089683F" w:rsidP="0089683F">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89683F">
        <w:rPr>
          <w:rFonts w:ascii="Verdana" w:eastAsia="Aptos" w:hAnsi="Verdana" w:cs="Times New Roman"/>
          <w:kern w:val="2"/>
          <w:sz w:val="20"/>
          <w:szCs w:val="20"/>
          <w14:ligatures w14:val="standardContextual"/>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2B1A950E" w14:textId="77777777" w:rsidR="0089683F" w:rsidRPr="0089683F" w:rsidRDefault="0089683F" w:rsidP="0089683F">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89683F">
        <w:rPr>
          <w:rFonts w:ascii="Verdana" w:eastAsia="Aptos" w:hAnsi="Verdana" w:cs="Times New Roman"/>
          <w:kern w:val="2"/>
          <w:sz w:val="20"/>
          <w:szCs w:val="20"/>
          <w14:ligatures w14:val="standardContextual"/>
        </w:rPr>
        <w:t>(…)</w:t>
      </w:r>
    </w:p>
    <w:p w14:paraId="35D50949" w14:textId="77777777" w:rsidR="0089683F" w:rsidRPr="0089683F" w:rsidRDefault="0089683F" w:rsidP="0089683F">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89683F">
        <w:rPr>
          <w:rFonts w:ascii="Verdana" w:eastAsia="Aptos" w:hAnsi="Verdana" w:cs="Times New Roman"/>
          <w:kern w:val="2"/>
          <w:sz w:val="20"/>
          <w:szCs w:val="20"/>
          <w14:ligatures w14:val="standardContextual"/>
        </w:rPr>
        <w:t xml:space="preserve">Adicionalmente, el propio Decreto 287 de 2026 en el artículo 1 que modifica el artículo 2.2.1.2.4.2.7.8 al Decreto 1082 de 2015,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 lo cual </w:t>
      </w:r>
      <w:r w:rsidRPr="0089683F">
        <w:rPr>
          <w:rFonts w:ascii="Verdana" w:eastAsia="Aptos" w:hAnsi="Verdana" w:cs="Times New Roman"/>
          <w:kern w:val="2"/>
          <w:sz w:val="20"/>
          <w:szCs w:val="20"/>
          <w14:ligatures w14:val="standardContextual"/>
        </w:rPr>
        <w:lastRenderedPageBreak/>
        <w:t xml:space="preserve">confirma que la operatividad de dichas disposiciones en el ámbito de los documentos tipo depende de su desarrollo por parte de esta entidad. </w:t>
      </w:r>
    </w:p>
    <w:p w14:paraId="48D20F22" w14:textId="77777777" w:rsidR="0089683F" w:rsidRPr="0089683F" w:rsidRDefault="0089683F" w:rsidP="0089683F">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D9B6E7B" w14:textId="77777777" w:rsidR="0089683F" w:rsidRPr="0089683F" w:rsidRDefault="0089683F" w:rsidP="0089683F">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89683F">
        <w:rPr>
          <w:rFonts w:ascii="Verdana" w:eastAsia="Aptos" w:hAnsi="Verdana" w:cs="Times New Roman"/>
          <w:kern w:val="2"/>
          <w:sz w:val="20"/>
          <w:szCs w:val="20"/>
          <w14:ligatures w14:val="standardContextual"/>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0EEA4A71" w14:textId="77777777" w:rsidR="0089683F" w:rsidRPr="0089683F" w:rsidRDefault="0089683F" w:rsidP="0089683F">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D3677CA" w14:textId="77777777" w:rsidR="0089683F" w:rsidRPr="0089683F" w:rsidRDefault="0089683F" w:rsidP="0089683F">
      <w:pPr>
        <w:widowControl w:val="0"/>
        <w:autoSpaceDE w:val="0"/>
        <w:autoSpaceDN w:val="0"/>
        <w:spacing w:after="0" w:line="240" w:lineRule="auto"/>
        <w:jc w:val="both"/>
        <w:rPr>
          <w:rFonts w:ascii="Verdana" w:eastAsia="Calibri" w:hAnsi="Verdana" w:cs="Times New Roman"/>
          <w:b/>
          <w:bCs/>
          <w:lang w:val="es-ES"/>
        </w:rPr>
      </w:pPr>
      <w:r w:rsidRPr="0089683F">
        <w:rPr>
          <w:rFonts w:ascii="Verdana" w:eastAsia="Calibri" w:hAnsi="Verdana" w:cs="Times New Roman"/>
          <w:b/>
          <w:bCs/>
          <w:lang w:val="es-ES"/>
        </w:rPr>
        <w:t xml:space="preserve">DOCUMENTOS TIPO – Decreto 287 de 2026 – Aplicación – Necesidad de modificación – Agencia Nacional de Contratación Pública </w:t>
      </w:r>
    </w:p>
    <w:p w14:paraId="3D9E56B3" w14:textId="77777777" w:rsidR="0089683F" w:rsidRPr="0089683F" w:rsidRDefault="0089683F" w:rsidP="0089683F">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E70F474" w14:textId="77777777" w:rsidR="0089683F" w:rsidRPr="0089683F" w:rsidRDefault="0089683F" w:rsidP="0089683F">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89683F">
        <w:rPr>
          <w:rFonts w:ascii="Verdana" w:eastAsia="Aptos" w:hAnsi="Verdana" w:cs="Times New Roman"/>
          <w:kern w:val="2"/>
          <w:sz w:val="20"/>
          <w:szCs w:val="20"/>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4E5F07C4" w14:textId="77777777" w:rsidR="0089683F" w:rsidRPr="0089683F" w:rsidRDefault="0089683F" w:rsidP="0089683F">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EB9CD56" w14:textId="77777777" w:rsidR="0089683F" w:rsidRPr="0089683F" w:rsidRDefault="0089683F" w:rsidP="0089683F">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89683F">
        <w:rPr>
          <w:rFonts w:ascii="Verdana" w:eastAsia="Aptos" w:hAnsi="Verdana" w:cs="Times New Roman"/>
          <w:kern w:val="2"/>
          <w:sz w:val="20"/>
          <w:szCs w:val="20"/>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14:paraId="29071BA2" w14:textId="77777777" w:rsidR="0089683F" w:rsidRPr="0089683F" w:rsidRDefault="0089683F" w:rsidP="0089683F">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10BBE2F5" w14:textId="77777777" w:rsidR="0089683F" w:rsidRPr="0089683F" w:rsidRDefault="0089683F" w:rsidP="0089683F">
      <w:pPr>
        <w:widowControl w:val="0"/>
        <w:autoSpaceDE w:val="0"/>
        <w:autoSpaceDN w:val="0"/>
        <w:spacing w:after="0" w:line="240" w:lineRule="auto"/>
        <w:jc w:val="both"/>
        <w:rPr>
          <w:rFonts w:ascii="Verdana" w:eastAsia="Calibri" w:hAnsi="Verdana" w:cs="Times New Roman"/>
          <w:b/>
          <w:bCs/>
          <w:lang w:val="es-ES"/>
        </w:rPr>
      </w:pPr>
      <w:r w:rsidRPr="0089683F">
        <w:rPr>
          <w:rFonts w:ascii="Verdana" w:eastAsia="Calibri" w:hAnsi="Verdana" w:cs="Times New Roman"/>
          <w:b/>
          <w:bCs/>
          <w:lang w:val="es-ES"/>
        </w:rPr>
        <w:t>DOCUMENTOS TIPO – Decreto 287 de 2026 – Modificación – Colombia Compra Eficiente</w:t>
      </w:r>
    </w:p>
    <w:p w14:paraId="12FE80F6" w14:textId="77777777" w:rsidR="0089683F" w:rsidRPr="0089683F" w:rsidRDefault="0089683F" w:rsidP="0089683F">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8A61A6F" w14:textId="77777777" w:rsidR="0089683F" w:rsidRPr="0089683F" w:rsidRDefault="0089683F" w:rsidP="0089683F">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89683F">
        <w:rPr>
          <w:rFonts w:ascii="Verdana" w:eastAsia="Aptos" w:hAnsi="Verdana" w:cs="Times New Roman"/>
          <w:kern w:val="2"/>
          <w:sz w:val="20"/>
          <w:szCs w:val="20"/>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2750EF97" w14:textId="77777777" w:rsidR="0089683F" w:rsidRPr="0089683F" w:rsidRDefault="0089683F" w:rsidP="0089683F">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7043078" w14:textId="77777777" w:rsidR="0089683F" w:rsidRPr="0089683F" w:rsidRDefault="0089683F" w:rsidP="0089683F">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89683F">
        <w:rPr>
          <w:rFonts w:ascii="Verdana" w:eastAsia="Aptos" w:hAnsi="Verdana" w:cs="Times New Roman"/>
          <w:kern w:val="2"/>
          <w:sz w:val="20"/>
          <w:szCs w:val="20"/>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w:t>
      </w:r>
      <w:r w:rsidRPr="0089683F">
        <w:rPr>
          <w:rFonts w:ascii="Verdana" w:eastAsia="Aptos" w:hAnsi="Verdana" w:cs="Times New Roman"/>
          <w:kern w:val="2"/>
          <w:sz w:val="20"/>
          <w:szCs w:val="20"/>
          <w14:ligatures w14:val="standardContextual"/>
        </w:rPr>
        <w:lastRenderedPageBreak/>
        <w:t xml:space="preserve">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p w14:paraId="26C469C6" w14:textId="77777777" w:rsidR="0089683F" w:rsidRPr="0089683F" w:rsidRDefault="0089683F" w:rsidP="0089683F">
      <w:pPr>
        <w:spacing w:after="0"/>
        <w:jc w:val="both"/>
        <w:rPr>
          <w:rFonts w:ascii="Verdana" w:eastAsia="Calibri" w:hAnsi="Verdana" w:cs="Arial"/>
          <w:b/>
          <w:bCs/>
          <w:lang w:val="es-ES" w:eastAsia="es-ES"/>
        </w:rPr>
      </w:pPr>
    </w:p>
    <w:p w14:paraId="581AA646" w14:textId="77777777" w:rsidR="0089683F" w:rsidRPr="0089683F" w:rsidRDefault="0089683F" w:rsidP="0089683F">
      <w:pPr>
        <w:spacing w:after="0"/>
        <w:jc w:val="both"/>
        <w:rPr>
          <w:rFonts w:ascii="Verdana" w:eastAsia="Verdana" w:hAnsi="Verdana" w:cs="Verdana"/>
        </w:rPr>
      </w:pPr>
      <w:r w:rsidRPr="0089683F">
        <w:rPr>
          <w:rFonts w:ascii="Verdana" w:eastAsia="Calibri" w:hAnsi="Verdana" w:cs="Arial"/>
          <w:b/>
          <w:bCs/>
          <w:lang w:val="es-ES" w:eastAsia="es-ES"/>
        </w:rPr>
        <w:t>DOCUMENTOS TIPO DE INFRAESTRUCTURA SOCIAL – Generalidades – Selección abreviada de menor cuantía</w:t>
      </w:r>
    </w:p>
    <w:p w14:paraId="1169A100" w14:textId="77777777" w:rsidR="0089683F" w:rsidRPr="0089683F" w:rsidRDefault="0089683F" w:rsidP="0089683F">
      <w:pPr>
        <w:shd w:val="clear" w:color="auto" w:fill="FFFFFF"/>
        <w:spacing w:after="0" w:line="276" w:lineRule="auto"/>
        <w:contextualSpacing/>
        <w:jc w:val="both"/>
        <w:rPr>
          <w:rFonts w:ascii="Verdana" w:eastAsia="Calibri" w:hAnsi="Verdana" w:cs="Arial"/>
          <w:b/>
          <w:bCs/>
          <w:lang w:val="es-ES" w:eastAsia="es-ES"/>
        </w:rPr>
      </w:pPr>
    </w:p>
    <w:p w14:paraId="1C52411D" w14:textId="667B360F" w:rsidR="0089683F" w:rsidRPr="0089683F" w:rsidRDefault="00BA7CC5" w:rsidP="0089683F">
      <w:pPr>
        <w:snapToGrid w:val="0"/>
        <w:spacing w:after="0" w:line="240" w:lineRule="auto"/>
        <w:jc w:val="both"/>
        <w:rPr>
          <w:rFonts w:ascii="Verdana" w:eastAsia="Calibri" w:hAnsi="Verdana" w:cs="Times New Roman"/>
          <w:sz w:val="20"/>
          <w:szCs w:val="20"/>
          <w:lang w:val="es-ES" w:eastAsia="es-MX"/>
        </w:rPr>
      </w:pPr>
      <w:r w:rsidRPr="00BA7CC5">
        <w:rPr>
          <w:rFonts w:ascii="Verdana" w:eastAsia="Calibri" w:hAnsi="Verdana" w:cs="Times New Roman"/>
          <w:sz w:val="20"/>
          <w:szCs w:val="20"/>
          <w:lang w:val="es-ES" w:eastAsia="es-MX"/>
        </w:rPr>
        <w:t>En desarrollo de la Ley 2022 de 2020, la Agencia Nacional de Contratación Pública – Colombia Compra Eficiente expidió la Resolución 219 del 6 de agosto de 2021, “Por la cual se adoptan los documentos tipo para los procesos de licitación de obra pública de infraestructura social”. Dentro de esta categoría fue incluida la infraestructura asociada a los sectores de salud, educación, y cultura, recreación y deporte, tal como lo establece el parágrafo 2 del artículo 2 de la resolución indicada, de la siguiente manera: “Estos documentos tipo aplicarán a los proyectos de infraestructura social, tales como, sector educativo, sector salud y sector cultural, recreación y deporte, de conformidad con cada una de las resoluciones que expida la Agencia Nacional de Contratación Pública -Colombia Compra Eficiente-, donde se precisará el alcance concreto de estos documentos tipo; sin perjuicio de que se incluyan otros tipos de infraestructura social”.</w:t>
      </w:r>
    </w:p>
    <w:p w14:paraId="1A98AD49" w14:textId="77777777" w:rsidR="0089683F" w:rsidRPr="0089683F" w:rsidRDefault="0089683F" w:rsidP="0089683F">
      <w:pPr>
        <w:widowControl w:val="0"/>
        <w:autoSpaceDE w:val="0"/>
        <w:autoSpaceDN w:val="0"/>
        <w:spacing w:after="0" w:line="240" w:lineRule="auto"/>
        <w:jc w:val="both"/>
        <w:rPr>
          <w:rFonts w:ascii="Verdana" w:eastAsia="Arial MT" w:hAnsi="Verdana" w:cs="Arial MT"/>
          <w:sz w:val="20"/>
          <w:szCs w:val="20"/>
          <w:lang w:val="es-ES" w:eastAsia="es-MX"/>
        </w:rPr>
      </w:pPr>
      <w:r w:rsidRPr="0089683F">
        <w:rPr>
          <w:rFonts w:ascii="Verdana" w:eastAsia="Arial MT" w:hAnsi="Verdana" w:cs="Arial MT"/>
          <w:sz w:val="20"/>
          <w:szCs w:val="20"/>
          <w:lang w:val="es-ES" w:eastAsia="es-MX"/>
        </w:rPr>
        <w:t>[…]</w:t>
      </w:r>
    </w:p>
    <w:p w14:paraId="6E3C8263" w14:textId="087264E3" w:rsidR="0089683F" w:rsidRPr="0089683F" w:rsidRDefault="00311AE8" w:rsidP="0089683F">
      <w:pPr>
        <w:snapToGrid w:val="0"/>
        <w:spacing w:after="0" w:line="240" w:lineRule="auto"/>
        <w:jc w:val="both"/>
        <w:rPr>
          <w:rFonts w:ascii="Verdana" w:eastAsia="Calibri" w:hAnsi="Verdana" w:cs="Times New Roman"/>
          <w:sz w:val="20"/>
          <w:szCs w:val="20"/>
          <w:lang w:val="es-ES" w:eastAsia="es-MX"/>
        </w:rPr>
      </w:pPr>
      <w:r w:rsidRPr="00311AE8">
        <w:rPr>
          <w:rFonts w:ascii="Verdana" w:eastAsia="Calibri" w:hAnsi="Verdana" w:cs="Times New Roman"/>
          <w:sz w:val="20"/>
          <w:szCs w:val="20"/>
          <w:lang w:val="es-ES" w:eastAsia="es-MX"/>
        </w:rPr>
        <w:t>A su vez, se adoptaron los documentos tipo para contratar obras públicas de infraestructura social adelantados bajo las modalidades de selección abreviada de menor cuantía –mediante la Resolución No. 540 del 21 de agosto de 2025– y mínima cuantía –en virtud de la Resolución No. 541 del 21 de agosto de 2025–. Ambos aplicables, también, a los procedimientos de selección con aviso de convocatoria o invitación publicada a partir del 16 de febrero de 2026.</w:t>
      </w:r>
    </w:p>
    <w:p w14:paraId="22630B00" w14:textId="77777777" w:rsidR="0089683F" w:rsidRPr="0089683F" w:rsidRDefault="0089683F" w:rsidP="0089683F">
      <w:pPr>
        <w:shd w:val="clear" w:color="auto" w:fill="FFFFFF"/>
        <w:spacing w:after="0" w:line="276" w:lineRule="auto"/>
        <w:contextualSpacing/>
        <w:jc w:val="both"/>
        <w:rPr>
          <w:rFonts w:ascii="Verdana" w:eastAsia="Calibri" w:hAnsi="Verdana" w:cs="Arial"/>
          <w:b/>
          <w:bCs/>
          <w:lang w:val="es-ES" w:eastAsia="es-ES"/>
        </w:rPr>
      </w:pPr>
    </w:p>
    <w:p w14:paraId="4CA9BC5E" w14:textId="77777777" w:rsidR="0089683F" w:rsidRPr="0089683F" w:rsidRDefault="0089683F" w:rsidP="0089683F">
      <w:pPr>
        <w:shd w:val="clear" w:color="auto" w:fill="FFFFFF"/>
        <w:spacing w:after="0" w:line="276" w:lineRule="auto"/>
        <w:contextualSpacing/>
        <w:jc w:val="both"/>
        <w:rPr>
          <w:rFonts w:ascii="Verdana" w:eastAsia="Calibri" w:hAnsi="Verdana" w:cs="Arial"/>
          <w:b/>
          <w:bCs/>
          <w:lang w:val="es-ES" w:eastAsia="es-ES"/>
        </w:rPr>
      </w:pPr>
      <w:r w:rsidRPr="0089683F">
        <w:rPr>
          <w:rFonts w:ascii="Verdana" w:eastAsia="Calibri" w:hAnsi="Verdana" w:cs="Arial"/>
          <w:b/>
          <w:bCs/>
          <w:lang w:val="es-ES" w:eastAsia="es-ES"/>
        </w:rPr>
        <w:t xml:space="preserve">DOCUMENTOS TIPO DE INFRAESTRUCTURA SOCIAL – Aplicación – Matriz 1 – Determinación de la experiencia  </w:t>
      </w:r>
    </w:p>
    <w:p w14:paraId="26AC32EC" w14:textId="77777777" w:rsidR="0089683F" w:rsidRPr="0089683F" w:rsidRDefault="0089683F" w:rsidP="0089683F">
      <w:pPr>
        <w:shd w:val="clear" w:color="auto" w:fill="FFFFFF"/>
        <w:spacing w:after="0" w:line="276" w:lineRule="auto"/>
        <w:contextualSpacing/>
        <w:jc w:val="both"/>
        <w:rPr>
          <w:rFonts w:ascii="Verdana" w:eastAsia="Calibri" w:hAnsi="Verdana" w:cs="Arial"/>
          <w:b/>
          <w:lang w:val="es-MX" w:eastAsia="es-ES_tradnl"/>
        </w:rPr>
      </w:pPr>
    </w:p>
    <w:p w14:paraId="372A5A3B" w14:textId="6E1DEEF5" w:rsidR="0089683F" w:rsidRPr="0089683F" w:rsidRDefault="00F32988" w:rsidP="0089683F">
      <w:pPr>
        <w:snapToGrid w:val="0"/>
        <w:spacing w:after="0" w:line="240" w:lineRule="auto"/>
        <w:jc w:val="both"/>
        <w:rPr>
          <w:rFonts w:ascii="Verdana" w:eastAsia="Calibri" w:hAnsi="Verdana" w:cs="Times New Roman"/>
          <w:sz w:val="20"/>
          <w:szCs w:val="20"/>
          <w:lang w:eastAsia="es-MX"/>
        </w:rPr>
      </w:pPr>
      <w:r w:rsidRPr="00F32988">
        <w:rPr>
          <w:rFonts w:ascii="Verdana" w:eastAsia="Calibri" w:hAnsi="Verdana" w:cs="Times New Roman"/>
          <w:sz w:val="20"/>
          <w:szCs w:val="20"/>
          <w:lang w:eastAsia="es-MX"/>
        </w:rPr>
        <w:t xml:space="preserve">Para fijar las condiciones que deben cumplir los contratos aportados en términos de actividades ejecutadas, las entidades deben emplear la “Matriz – Experiencia”. Este documento estandariza las condiciones de experiencia general y/o experiencia específica que deben requerir las entidades estatales a los proponentes para acreditar el requisito habilitante de experiencia, de acuerdo con: i) el tipo de obra de infraestructura social, </w:t>
      </w:r>
      <w:proofErr w:type="spellStart"/>
      <w:r w:rsidRPr="00F32988">
        <w:rPr>
          <w:rFonts w:ascii="Verdana" w:eastAsia="Calibri" w:hAnsi="Verdana" w:cs="Times New Roman"/>
          <w:sz w:val="20"/>
          <w:szCs w:val="20"/>
          <w:lang w:eastAsia="es-MX"/>
        </w:rPr>
        <w:t>ii</w:t>
      </w:r>
      <w:proofErr w:type="spellEnd"/>
      <w:r w:rsidRPr="00F32988">
        <w:rPr>
          <w:rFonts w:ascii="Verdana" w:eastAsia="Calibri" w:hAnsi="Verdana" w:cs="Times New Roman"/>
          <w:sz w:val="20"/>
          <w:szCs w:val="20"/>
          <w:lang w:eastAsia="es-MX"/>
        </w:rPr>
        <w:t xml:space="preserve">) la actividad a contratar y </w:t>
      </w:r>
      <w:proofErr w:type="spellStart"/>
      <w:r w:rsidRPr="00F32988">
        <w:rPr>
          <w:rFonts w:ascii="Verdana" w:eastAsia="Calibri" w:hAnsi="Verdana" w:cs="Times New Roman"/>
          <w:sz w:val="20"/>
          <w:szCs w:val="20"/>
          <w:lang w:eastAsia="es-MX"/>
        </w:rPr>
        <w:t>iii</w:t>
      </w:r>
      <w:proofErr w:type="spellEnd"/>
      <w:r w:rsidRPr="00F32988">
        <w:rPr>
          <w:rFonts w:ascii="Verdana" w:eastAsia="Calibri" w:hAnsi="Verdana" w:cs="Times New Roman"/>
          <w:sz w:val="20"/>
          <w:szCs w:val="20"/>
          <w:lang w:eastAsia="es-MX"/>
        </w:rPr>
        <w:t>) la cuantía del proceso de contratación.</w:t>
      </w:r>
    </w:p>
    <w:p w14:paraId="6ED462BF" w14:textId="77777777" w:rsidR="0089683F" w:rsidRPr="0089683F" w:rsidRDefault="0089683F" w:rsidP="0089683F">
      <w:pPr>
        <w:snapToGrid w:val="0"/>
        <w:spacing w:after="0" w:line="240" w:lineRule="auto"/>
        <w:jc w:val="both"/>
        <w:rPr>
          <w:rFonts w:ascii="Verdana" w:eastAsia="Calibri" w:hAnsi="Verdana" w:cs="Times New Roman"/>
          <w:sz w:val="20"/>
          <w:szCs w:val="20"/>
          <w:lang w:eastAsia="es-MX"/>
        </w:rPr>
      </w:pPr>
    </w:p>
    <w:p w14:paraId="64DD2701" w14:textId="77889CFD" w:rsidR="0089683F" w:rsidRPr="0089683F" w:rsidRDefault="0089683F" w:rsidP="0089683F">
      <w:pPr>
        <w:snapToGrid w:val="0"/>
        <w:spacing w:after="0" w:line="240" w:lineRule="auto"/>
        <w:jc w:val="both"/>
        <w:rPr>
          <w:rFonts w:ascii="Verdana" w:eastAsia="Calibri" w:hAnsi="Verdana" w:cs="Times New Roman"/>
          <w:sz w:val="20"/>
          <w:szCs w:val="20"/>
          <w:lang w:eastAsia="es-MX"/>
        </w:rPr>
      </w:pPr>
      <w:r w:rsidRPr="0089683F">
        <w:rPr>
          <w:rFonts w:ascii="Verdana" w:eastAsia="Calibri" w:hAnsi="Verdana" w:cs="Calibri"/>
          <w:kern w:val="2"/>
          <w:sz w:val="20"/>
          <w:szCs w:val="20"/>
          <w14:ligatures w14:val="standardContextual"/>
        </w:rPr>
        <w:t xml:space="preserve">[…] </w:t>
      </w:r>
      <w:r w:rsidR="00BE62B3" w:rsidRPr="00BE62B3">
        <w:rPr>
          <w:rFonts w:ascii="Verdana" w:eastAsia="Calibri" w:hAnsi="Verdana" w:cs="Calibri"/>
          <w:kern w:val="2"/>
          <w:sz w:val="20"/>
          <w:szCs w:val="20"/>
          <w14:ligatures w14:val="standardContextual"/>
        </w:rPr>
        <w:t xml:space="preserve">la implementación de los documentos tipo por parte de las entidades estatales sometidas al Estatuto General de Contratación de la Administración Pública –EGCAP–, está determinada por las actividades sobre las cuales se puede enmarcar el proceso de selección que adelanten. Al respecto, la parte introductoria de los documentos tipo de </w:t>
      </w:r>
      <w:r w:rsidR="00BE62B3" w:rsidRPr="00BE62B3">
        <w:rPr>
          <w:rFonts w:ascii="Verdana" w:eastAsia="Calibri" w:hAnsi="Verdana" w:cs="Calibri"/>
          <w:kern w:val="2"/>
          <w:sz w:val="20"/>
          <w:szCs w:val="20"/>
          <w14:ligatures w14:val="standardContextual"/>
        </w:rPr>
        <w:lastRenderedPageBreak/>
        <w:t>selección abreviada de menor cuantía de obra pública de infraestructura social, dispone:</w:t>
      </w:r>
      <w:r w:rsidR="00BE62B3">
        <w:rPr>
          <w:rFonts w:ascii="Verdana" w:eastAsia="Calibri" w:hAnsi="Verdana" w:cs="Calibri"/>
          <w:kern w:val="2"/>
          <w:sz w:val="20"/>
          <w:szCs w:val="20"/>
          <w14:ligatures w14:val="standardContextual"/>
        </w:rPr>
        <w:t xml:space="preserve"> </w:t>
      </w:r>
      <w:r w:rsidRPr="0089683F">
        <w:rPr>
          <w:rFonts w:ascii="Verdana" w:eastAsia="Calibri" w:hAnsi="Verdana" w:cs="Calibri"/>
          <w:kern w:val="2"/>
          <w:sz w:val="20"/>
          <w:szCs w:val="20"/>
          <w14:ligatures w14:val="standardContextual"/>
        </w:rPr>
        <w:t>[…]</w:t>
      </w:r>
    </w:p>
    <w:p w14:paraId="132E47AE" w14:textId="77777777" w:rsidR="0089683F" w:rsidRPr="0089683F" w:rsidRDefault="0089683F" w:rsidP="0089683F">
      <w:pPr>
        <w:spacing w:after="0" w:line="276" w:lineRule="auto"/>
        <w:jc w:val="both"/>
        <w:rPr>
          <w:rFonts w:ascii="Verdana" w:eastAsia="Arial" w:hAnsi="Verdana" w:cs="Calibri"/>
          <w:lang w:eastAsia="es-ES"/>
        </w:rPr>
      </w:pPr>
    </w:p>
    <w:p w14:paraId="71808A6A" w14:textId="77777777" w:rsidR="0089683F" w:rsidRPr="0089683F" w:rsidRDefault="0089683F" w:rsidP="0089683F">
      <w:pPr>
        <w:snapToGrid w:val="0"/>
        <w:spacing w:after="0" w:line="276" w:lineRule="auto"/>
        <w:jc w:val="both"/>
        <w:rPr>
          <w:rFonts w:ascii="Verdana" w:eastAsia="Aptos" w:hAnsi="Verdana" w:cs="Times New Roman"/>
          <w:b/>
          <w:bCs/>
          <w:lang w:eastAsia="es-MX"/>
        </w:rPr>
      </w:pPr>
      <w:r w:rsidRPr="0089683F">
        <w:rPr>
          <w:rFonts w:ascii="Verdana" w:eastAsia="Aptos" w:hAnsi="Verdana" w:cs="Times New Roman"/>
          <w:b/>
          <w:bCs/>
          <w:lang w:eastAsia="es-MX"/>
        </w:rPr>
        <w:t xml:space="preserve">DOCUMENTOS TIPO DE INFRAESTRUCTURA SOCIAL – Consideraciones para la validez de la experiencia – Moneda extranjera </w:t>
      </w:r>
    </w:p>
    <w:p w14:paraId="6B4B0B27" w14:textId="77777777" w:rsidR="0089683F" w:rsidRPr="0089683F" w:rsidRDefault="0089683F" w:rsidP="0089683F">
      <w:pPr>
        <w:snapToGrid w:val="0"/>
        <w:spacing w:after="0" w:line="276" w:lineRule="auto"/>
        <w:jc w:val="both"/>
        <w:rPr>
          <w:rFonts w:ascii="Verdana" w:eastAsia="Aptos" w:hAnsi="Verdana" w:cs="Times New Roman"/>
          <w:b/>
          <w:bCs/>
          <w:lang w:eastAsia="es-MX"/>
        </w:rPr>
      </w:pPr>
    </w:p>
    <w:p w14:paraId="38F7C0BE" w14:textId="24275CCC" w:rsidR="0089683F" w:rsidRPr="00D313B1" w:rsidRDefault="0089683F" w:rsidP="00D313B1">
      <w:pPr>
        <w:spacing w:after="0" w:line="240" w:lineRule="auto"/>
        <w:jc w:val="both"/>
        <w:rPr>
          <w:rFonts w:ascii="Verdana" w:eastAsia="Aptos" w:hAnsi="Verdana" w:cs="Aptos"/>
          <w:kern w:val="2"/>
          <w:sz w:val="20"/>
          <w:szCs w:val="20"/>
          <w:lang w:val="es-MX"/>
          <w14:ligatures w14:val="standardContextual"/>
        </w:rPr>
      </w:pPr>
      <w:r w:rsidRPr="00D313B1">
        <w:rPr>
          <w:rFonts w:ascii="Verdana" w:eastAsia="Aptos" w:hAnsi="Verdana" w:cs="Aptos"/>
          <w:kern w:val="2"/>
          <w:sz w:val="20"/>
          <w:szCs w:val="20"/>
          <w:lang w:val="es-ES_tradnl"/>
          <w14:ligatures w14:val="standardContextual"/>
        </w:rPr>
        <w:t xml:space="preserve">[…] </w:t>
      </w:r>
      <w:r w:rsidR="000847DC" w:rsidRPr="00D313B1">
        <w:rPr>
          <w:rFonts w:ascii="Verdana" w:eastAsia="Aptos" w:hAnsi="Verdana" w:cs="Aptos"/>
          <w:kern w:val="2"/>
          <w:sz w:val="20"/>
          <w:szCs w:val="20"/>
          <w:lang w:val="es-ES_tradnl"/>
          <w14:ligatures w14:val="standardContextual"/>
        </w:rPr>
        <w:t xml:space="preserve">conviene señalar que, </w:t>
      </w:r>
      <w:r w:rsidR="000847DC" w:rsidRPr="00D313B1">
        <w:rPr>
          <w:rFonts w:ascii="Verdana" w:eastAsia="Aptos" w:hAnsi="Verdana" w:cs="Aptos"/>
          <w:kern w:val="2"/>
          <w:sz w:val="20"/>
          <w:szCs w:val="20"/>
          <w:lang w:val="es-MX"/>
          <w14:ligatures w14:val="standardContextual"/>
        </w:rPr>
        <w:t xml:space="preserve">el literal I del numeral </w:t>
      </w:r>
      <w:r w:rsidR="000847DC" w:rsidRPr="00D313B1">
        <w:rPr>
          <w:rFonts w:ascii="Verdana" w:eastAsia="Aptos" w:hAnsi="Verdana" w:cs="Aptos"/>
          <w:i/>
          <w:iCs/>
          <w:kern w:val="2"/>
          <w:sz w:val="20"/>
          <w:szCs w:val="20"/>
          <w:lang w:val="es-MX"/>
          <w14:ligatures w14:val="standardContextual"/>
        </w:rPr>
        <w:t>3.5.2 “CONSIDERACIONES PARA LA VALIDEZ DE LA EXPERIENCIA</w:t>
      </w:r>
      <w:r w:rsidR="000847DC" w:rsidRPr="00D313B1">
        <w:rPr>
          <w:rFonts w:ascii="Verdana" w:eastAsia="Aptos" w:hAnsi="Verdana" w:cs="Aptos"/>
          <w:kern w:val="2"/>
          <w:sz w:val="20"/>
          <w:szCs w:val="20"/>
          <w:lang w:val="es-MX"/>
          <w14:ligatures w14:val="standardContextual"/>
        </w:rPr>
        <w:t xml:space="preserve"> </w:t>
      </w:r>
      <w:r w:rsidR="000847DC" w:rsidRPr="00D313B1">
        <w:rPr>
          <w:rFonts w:ascii="Verdana" w:eastAsia="Aptos" w:hAnsi="Verdana" w:cs="Aptos"/>
          <w:i/>
          <w:iCs/>
          <w:kern w:val="2"/>
          <w:sz w:val="20"/>
          <w:szCs w:val="20"/>
          <w:lang w:val="es-MX"/>
          <w14:ligatures w14:val="standardContextual"/>
        </w:rPr>
        <w:t>REQUERIDA”</w:t>
      </w:r>
      <w:r w:rsidR="000847DC" w:rsidRPr="00D313B1">
        <w:rPr>
          <w:rFonts w:ascii="Verdana" w:eastAsia="Aptos" w:hAnsi="Verdana" w:cs="Aptos"/>
          <w:kern w:val="2"/>
          <w:sz w:val="20"/>
          <w:szCs w:val="20"/>
          <w:lang w:val="es-MX"/>
          <w14:ligatures w14:val="standardContextual"/>
        </w:rPr>
        <w:t xml:space="preserve"> del documento base de los documentos tipo en comento, señala:</w:t>
      </w:r>
    </w:p>
    <w:p w14:paraId="13AA1051" w14:textId="77777777" w:rsidR="0089683F" w:rsidRPr="00D313B1" w:rsidRDefault="0089683F" w:rsidP="00D313B1">
      <w:pPr>
        <w:spacing w:after="0" w:line="240" w:lineRule="auto"/>
        <w:jc w:val="both"/>
        <w:rPr>
          <w:rFonts w:ascii="Verdana" w:eastAsia="Aptos" w:hAnsi="Verdana" w:cs="Aptos"/>
          <w:i/>
          <w:iCs/>
          <w:kern w:val="2"/>
          <w:sz w:val="20"/>
          <w:szCs w:val="20"/>
          <w:u w:val="single"/>
          <w:lang w:val="es-MX"/>
          <w14:ligatures w14:val="standardContextual"/>
        </w:rPr>
      </w:pPr>
      <w:r w:rsidRPr="00D313B1">
        <w:rPr>
          <w:rFonts w:ascii="Verdana" w:eastAsia="Aptos" w:hAnsi="Verdana" w:cs="Aptos"/>
          <w:kern w:val="2"/>
          <w:sz w:val="20"/>
          <w:szCs w:val="20"/>
          <w:lang w:val="es-MX"/>
          <w14:ligatures w14:val="standardContextual"/>
        </w:rPr>
        <w:t>[…]</w:t>
      </w:r>
    </w:p>
    <w:p w14:paraId="7E40BE5A" w14:textId="3EABCF3E" w:rsidR="0089683F" w:rsidRPr="00D313B1" w:rsidRDefault="000847DC" w:rsidP="00D313B1">
      <w:pPr>
        <w:spacing w:after="0" w:line="240" w:lineRule="auto"/>
        <w:jc w:val="both"/>
        <w:rPr>
          <w:rFonts w:ascii="Verdana" w:eastAsia="Aptos" w:hAnsi="Verdana" w:cs="Aptos"/>
          <w:kern w:val="2"/>
          <w:sz w:val="20"/>
          <w:szCs w:val="20"/>
          <w:lang w:val="es-ES_tradnl"/>
          <w14:ligatures w14:val="standardContextual"/>
        </w:rPr>
      </w:pPr>
      <w:r w:rsidRPr="00D313B1">
        <w:rPr>
          <w:rFonts w:ascii="Verdana" w:eastAsia="Aptos" w:hAnsi="Verdana" w:cs="Aptos"/>
          <w:kern w:val="2"/>
          <w:sz w:val="20"/>
          <w:szCs w:val="20"/>
          <w:lang w:val="es-ES_tradnl"/>
          <w14:ligatures w14:val="standardContextual"/>
        </w:rPr>
        <w:t xml:space="preserve">En ese sentido, en el numeral 1.13, literal A. “Monedas Extranjeras” del documento base, se indican las consideraciones para presentación de documentos dentro de la propuesta, y se establece que los valores de los documentos aportados en la propuesta deben presentarse en pesos colombianos. Asimismo, se precisa que cuando un valor se exprese en moneda extranjera, este debe convertirse de acuerdo con los siguientes criterios: </w:t>
      </w:r>
      <w:r w:rsidR="0089683F" w:rsidRPr="00D313B1">
        <w:rPr>
          <w:rFonts w:ascii="Verdana" w:eastAsia="Aptos" w:hAnsi="Verdana" w:cs="Aptos"/>
          <w:kern w:val="2"/>
          <w:sz w:val="20"/>
          <w:szCs w:val="20"/>
          <w:lang w:val="es-ES_tradnl"/>
          <w14:ligatures w14:val="standardContextual"/>
        </w:rPr>
        <w:t>[…]</w:t>
      </w:r>
    </w:p>
    <w:p w14:paraId="14D3751D" w14:textId="77777777" w:rsidR="0089683F" w:rsidRPr="0089683F" w:rsidRDefault="0089683F" w:rsidP="0089683F">
      <w:pPr>
        <w:snapToGrid w:val="0"/>
        <w:spacing w:after="0" w:line="276" w:lineRule="auto"/>
        <w:jc w:val="both"/>
        <w:rPr>
          <w:rFonts w:ascii="Verdana" w:eastAsia="Aptos" w:hAnsi="Verdana" w:cs="Times New Roman"/>
          <w:b/>
          <w:bCs/>
          <w:lang w:eastAsia="es-MX"/>
        </w:rPr>
      </w:pPr>
    </w:p>
    <w:p w14:paraId="0F409B1A" w14:textId="77777777" w:rsidR="0089683F" w:rsidRPr="0089683F" w:rsidRDefault="0089683F" w:rsidP="0089683F">
      <w:pPr>
        <w:snapToGrid w:val="0"/>
        <w:spacing w:after="0" w:line="276" w:lineRule="auto"/>
        <w:jc w:val="both"/>
        <w:rPr>
          <w:rFonts w:ascii="Verdana" w:eastAsia="Aptos" w:hAnsi="Verdana" w:cs="Times New Roman"/>
          <w:b/>
          <w:bCs/>
          <w:lang w:eastAsia="es-MX"/>
        </w:rPr>
      </w:pPr>
      <w:r w:rsidRPr="0089683F">
        <w:rPr>
          <w:rFonts w:ascii="Verdana" w:eastAsia="Aptos" w:hAnsi="Verdana" w:cs="Times New Roman"/>
          <w:b/>
          <w:bCs/>
          <w:lang w:eastAsia="es-MX"/>
        </w:rPr>
        <w:t xml:space="preserve">DOCUMENTOS TIPO DE INFRAESTRUCTURA SOCIAL – Selección abreviada de menor cuantía – Sector Institucional – Experiencia – </w:t>
      </w:r>
      <w:r w:rsidRPr="0089683F">
        <w:rPr>
          <w:rFonts w:ascii="Verdana" w:eastAsia="Aptos" w:hAnsi="Verdana" w:cs="Times New Roman"/>
          <w:b/>
          <w:bCs/>
          <w:i/>
          <w:iCs/>
          <w:lang w:eastAsia="es-MX"/>
        </w:rPr>
        <w:t xml:space="preserve">Actividad 1.2 – </w:t>
      </w:r>
      <w:r w:rsidRPr="0089683F">
        <w:rPr>
          <w:rFonts w:ascii="Verdana" w:eastAsia="Aptos" w:hAnsi="Verdana" w:cs="Times New Roman"/>
          <w:b/>
          <w:bCs/>
          <w:lang w:eastAsia="es-MX"/>
        </w:rPr>
        <w:t xml:space="preserve">Área </w:t>
      </w:r>
    </w:p>
    <w:p w14:paraId="3C8AE573" w14:textId="77777777" w:rsidR="0089683F" w:rsidRPr="0089683F" w:rsidRDefault="0089683F" w:rsidP="0089683F">
      <w:pPr>
        <w:snapToGrid w:val="0"/>
        <w:spacing w:after="0" w:line="240" w:lineRule="auto"/>
        <w:jc w:val="both"/>
        <w:rPr>
          <w:rFonts w:ascii="Verdana" w:eastAsia="Calibri" w:hAnsi="Verdana" w:cs="Arial"/>
          <w:color w:val="000000"/>
          <w:lang w:val="es-ES" w:eastAsia="es-MX"/>
        </w:rPr>
      </w:pPr>
    </w:p>
    <w:p w14:paraId="37913EAD" w14:textId="68307E80" w:rsidR="0089683F" w:rsidRPr="004C6DC6" w:rsidRDefault="0089683F" w:rsidP="004C6DC6">
      <w:pPr>
        <w:spacing w:after="0" w:line="240" w:lineRule="auto"/>
        <w:jc w:val="both"/>
        <w:rPr>
          <w:rFonts w:ascii="Verdana" w:eastAsia="Aptos" w:hAnsi="Verdana" w:cs="Aptos"/>
          <w:kern w:val="2"/>
          <w:sz w:val="20"/>
          <w:szCs w:val="20"/>
          <w:lang w:val="es-ES_tradnl"/>
          <w14:ligatures w14:val="standardContextual"/>
        </w:rPr>
      </w:pPr>
      <w:r w:rsidRPr="004C6DC6">
        <w:rPr>
          <w:rFonts w:ascii="Verdana" w:eastAsia="Aptos" w:hAnsi="Verdana" w:cs="Aptos"/>
          <w:kern w:val="2"/>
          <w:sz w:val="20"/>
          <w:szCs w:val="20"/>
          <w:lang w:val="es-ES_tradnl"/>
          <w14:ligatures w14:val="standardContextual"/>
        </w:rPr>
        <w:t xml:space="preserve">[…] </w:t>
      </w:r>
      <w:r w:rsidR="004176C5" w:rsidRPr="004C6DC6">
        <w:rPr>
          <w:rFonts w:ascii="Verdana" w:eastAsia="Aptos" w:hAnsi="Verdana" w:cs="Aptos"/>
          <w:kern w:val="2"/>
          <w:sz w:val="20"/>
          <w:szCs w:val="20"/>
          <w:lang w:val="es-ES_tradnl"/>
          <w14:ligatures w14:val="standardContextual"/>
        </w:rPr>
        <w:t xml:space="preserve">la actividad 1.2 de la Matriz 1 – Experiencia de los documentos tipo de selección abreviada de menor cuantía – sector institucional, se trata de: </w:t>
      </w:r>
      <w:r w:rsidR="004176C5" w:rsidRPr="004C6DC6">
        <w:rPr>
          <w:rFonts w:ascii="Verdana" w:eastAsia="Aptos" w:hAnsi="Verdana" w:cs="Aptos"/>
          <w:i/>
          <w:iCs/>
          <w:kern w:val="2"/>
          <w:sz w:val="20"/>
          <w:szCs w:val="20"/>
          <w:lang w:val="es-ES_tradnl"/>
          <w14:ligatures w14:val="standardContextual"/>
        </w:rPr>
        <w:t>“PROYECTOS DE ADECUACIÓN Y/O CONSERVACIÓN Y/O INTERVENCIÓN Y/O INSTALACIÓN Y/O MANTENIMIENTO Y/O MEJORAMIENTO Y/O MODIFICACIÓN U OPTIMIZACIÓN Y/O REHABILITACIÓN Y/O REMODELACIÓN Y/O REPOSICIÓN Y/O REPARACIÓN LOCATIVA Y/O RESTAURACIÓN Y/O RESTITUCIÓN Y/O TERMINACIÓN DE INFRAESTRUCTURA DE SEGURIDAD PÚBLICA”.</w:t>
      </w:r>
      <w:r w:rsidR="004176C5" w:rsidRPr="004C6DC6">
        <w:rPr>
          <w:rFonts w:ascii="Verdana" w:eastAsia="Aptos" w:hAnsi="Verdana" w:cs="Aptos"/>
          <w:kern w:val="2"/>
          <w:sz w:val="20"/>
          <w:szCs w:val="20"/>
          <w:lang w:val="es-ES_tradnl"/>
          <w14:ligatures w14:val="standardContextual"/>
        </w:rPr>
        <w:t xml:space="preserve"> Al respecto, se solicita la siguiente experiencia:</w:t>
      </w:r>
    </w:p>
    <w:p w14:paraId="5A1E3AC7" w14:textId="77777777" w:rsidR="0089683F" w:rsidRPr="004C6DC6" w:rsidRDefault="0089683F" w:rsidP="004C6DC6">
      <w:pPr>
        <w:snapToGrid w:val="0"/>
        <w:spacing w:after="0" w:line="240" w:lineRule="auto"/>
        <w:jc w:val="both"/>
        <w:rPr>
          <w:rFonts w:ascii="Verdana" w:eastAsia="Aptos" w:hAnsi="Verdana" w:cs="Aptos"/>
          <w:kern w:val="2"/>
          <w:sz w:val="20"/>
          <w:szCs w:val="20"/>
          <w:lang w:val="es-ES_tradnl"/>
          <w14:ligatures w14:val="standardContextual"/>
        </w:rPr>
      </w:pPr>
      <w:r w:rsidRPr="004C6DC6">
        <w:rPr>
          <w:rFonts w:ascii="Verdana" w:eastAsia="Aptos" w:hAnsi="Verdana" w:cs="Aptos"/>
          <w:kern w:val="2"/>
          <w:sz w:val="20"/>
          <w:szCs w:val="20"/>
          <w:lang w:val="es-ES_tradnl"/>
          <w14:ligatures w14:val="standardContextual"/>
        </w:rPr>
        <w:t>[…]</w:t>
      </w:r>
    </w:p>
    <w:p w14:paraId="234501F6" w14:textId="77777777" w:rsidR="004176C5" w:rsidRPr="004C6DC6" w:rsidRDefault="004176C5" w:rsidP="004C6DC6">
      <w:pPr>
        <w:spacing w:after="0" w:line="240" w:lineRule="auto"/>
        <w:jc w:val="both"/>
        <w:rPr>
          <w:rFonts w:ascii="Verdana" w:eastAsia="Aptos" w:hAnsi="Verdana" w:cs="Aptos"/>
          <w:kern w:val="2"/>
          <w:sz w:val="20"/>
          <w:szCs w:val="20"/>
          <w:lang w:val="es-ES_tradnl"/>
          <w14:ligatures w14:val="standardContextual"/>
        </w:rPr>
      </w:pPr>
      <w:r w:rsidRPr="004C6DC6">
        <w:rPr>
          <w:rFonts w:ascii="Verdana" w:eastAsia="Aptos" w:hAnsi="Verdana" w:cs="Aptos"/>
          <w:kern w:val="2"/>
          <w:sz w:val="20"/>
          <w:szCs w:val="20"/>
          <w:lang w:val="es-ES_tradnl"/>
          <w14:ligatures w14:val="standardContextual"/>
        </w:rPr>
        <w:t xml:space="preserve">De otro lado, hay que señalar que en el numeral </w:t>
      </w:r>
      <w:r w:rsidRPr="004C6DC6">
        <w:rPr>
          <w:rFonts w:ascii="Verdana" w:eastAsia="Aptos" w:hAnsi="Verdana" w:cs="Aptos"/>
          <w:i/>
          <w:iCs/>
          <w:kern w:val="2"/>
          <w:sz w:val="20"/>
          <w:szCs w:val="20"/>
          <w:lang w:val="es-ES_tradnl"/>
          <w14:ligatures w14:val="standardContextual"/>
        </w:rPr>
        <w:t>3.5. “EXPERIENCIA”</w:t>
      </w:r>
      <w:r w:rsidRPr="004C6DC6">
        <w:rPr>
          <w:rFonts w:ascii="Verdana" w:eastAsia="Aptos" w:hAnsi="Verdana" w:cs="Aptos"/>
          <w:kern w:val="2"/>
          <w:sz w:val="20"/>
          <w:szCs w:val="20"/>
          <w:lang w:val="es-ES_tradnl"/>
          <w14:ligatures w14:val="standardContextual"/>
        </w:rPr>
        <w:t xml:space="preserve"> del documento base, se indica que el área estimada de intervención del proceso de contratación corresponde a: </w:t>
      </w:r>
    </w:p>
    <w:p w14:paraId="29CFD732" w14:textId="77777777" w:rsidR="0089683F" w:rsidRPr="004C6DC6" w:rsidRDefault="0089683F" w:rsidP="004C6DC6">
      <w:pPr>
        <w:snapToGrid w:val="0"/>
        <w:spacing w:after="0" w:line="240" w:lineRule="auto"/>
        <w:jc w:val="both"/>
        <w:rPr>
          <w:rFonts w:ascii="Verdana" w:eastAsia="Aptos" w:hAnsi="Verdana" w:cs="Aptos"/>
          <w:kern w:val="2"/>
          <w:sz w:val="20"/>
          <w:szCs w:val="20"/>
          <w:lang w:val="es-ES_tradnl"/>
          <w14:ligatures w14:val="standardContextual"/>
        </w:rPr>
      </w:pPr>
      <w:r w:rsidRPr="004C6DC6">
        <w:rPr>
          <w:rFonts w:ascii="Verdana" w:eastAsia="Aptos" w:hAnsi="Verdana" w:cs="Aptos"/>
          <w:kern w:val="2"/>
          <w:sz w:val="20"/>
          <w:szCs w:val="20"/>
          <w:lang w:val="es-ES_tradnl"/>
          <w14:ligatures w14:val="standardContextual"/>
        </w:rPr>
        <w:t>[…]</w:t>
      </w:r>
    </w:p>
    <w:p w14:paraId="496CD53D" w14:textId="77777777" w:rsidR="00D62731" w:rsidRDefault="00D62731" w:rsidP="004C6DC6">
      <w:pPr>
        <w:spacing w:after="0" w:line="240" w:lineRule="auto"/>
        <w:jc w:val="both"/>
        <w:rPr>
          <w:rFonts w:ascii="Verdana" w:eastAsia="Aptos" w:hAnsi="Verdana" w:cs="Aptos"/>
          <w:kern w:val="2"/>
          <w:sz w:val="20"/>
          <w:szCs w:val="20"/>
          <w:lang w:val="es-ES_tradnl"/>
          <w14:ligatures w14:val="standardContextual"/>
        </w:rPr>
      </w:pPr>
      <w:r w:rsidRPr="004C6DC6">
        <w:rPr>
          <w:rFonts w:ascii="Verdana" w:eastAsia="Aptos" w:hAnsi="Verdana" w:cs="Aptos"/>
          <w:kern w:val="2"/>
          <w:sz w:val="20"/>
          <w:szCs w:val="20"/>
          <w:lang w:val="es-ES_tradnl"/>
          <w14:ligatures w14:val="standardContextual"/>
        </w:rPr>
        <w:t>Según lo dispuesto en el documento base y la “Matriz 1 – Experiencia”, las entidades tienen que definir los metros cuadrados que solicitarán de acuerdo con las características técnicas del proceso de selección.</w:t>
      </w:r>
    </w:p>
    <w:p w14:paraId="148C7FB2" w14:textId="77777777" w:rsidR="004C6DC6" w:rsidRPr="004C6DC6" w:rsidRDefault="004C6DC6" w:rsidP="004C6DC6">
      <w:pPr>
        <w:spacing w:after="0" w:line="240" w:lineRule="auto"/>
        <w:jc w:val="both"/>
        <w:rPr>
          <w:rFonts w:ascii="Verdana" w:eastAsia="Aptos" w:hAnsi="Verdana" w:cs="Aptos"/>
          <w:kern w:val="2"/>
          <w:sz w:val="20"/>
          <w:szCs w:val="20"/>
          <w:lang w:val="es-ES_tradnl"/>
          <w14:ligatures w14:val="standardContextual"/>
        </w:rPr>
      </w:pPr>
    </w:p>
    <w:p w14:paraId="6F3D5E9F" w14:textId="77777777" w:rsidR="00D62731" w:rsidRPr="004C6DC6" w:rsidRDefault="00D62731" w:rsidP="004C6DC6">
      <w:pPr>
        <w:spacing w:after="0" w:line="240" w:lineRule="auto"/>
        <w:jc w:val="both"/>
        <w:rPr>
          <w:rFonts w:ascii="Verdana" w:eastAsia="Aptos" w:hAnsi="Verdana" w:cs="Aptos"/>
          <w:kern w:val="2"/>
          <w:sz w:val="20"/>
          <w:szCs w:val="20"/>
          <w:lang w:val="es-ES_tradnl"/>
          <w14:ligatures w14:val="standardContextual"/>
        </w:rPr>
      </w:pPr>
      <w:r w:rsidRPr="004C6DC6">
        <w:rPr>
          <w:rFonts w:ascii="Verdana" w:eastAsia="Aptos" w:hAnsi="Verdana" w:cs="Aptos"/>
          <w:kern w:val="2"/>
          <w:sz w:val="20"/>
          <w:szCs w:val="20"/>
          <w:lang w:val="es-ES_tradnl"/>
          <w14:ligatures w14:val="standardContextual"/>
        </w:rPr>
        <w:t xml:space="preserve">Para calcular el área cuando el proceso de selección se relaciona con actividades de mantenimiento en los que el área exacta a intervenir no se puede definir desde el inicio del proyecto, en donde la ejecución de las actividades, por ejemplo, depende de algún diagnóstico técnico inicial, se podrán utilizar criterios de estimación de cantidades o unidades de referencia para definir el área del proyecto. </w:t>
      </w:r>
    </w:p>
    <w:p w14:paraId="46282085" w14:textId="77777777" w:rsidR="0089683F" w:rsidRPr="0089683F" w:rsidRDefault="0089683F" w:rsidP="0089683F">
      <w:pPr>
        <w:snapToGrid w:val="0"/>
        <w:spacing w:after="0" w:line="240" w:lineRule="auto"/>
        <w:jc w:val="both"/>
        <w:rPr>
          <w:rFonts w:ascii="Verdana" w:eastAsia="Aptos" w:hAnsi="Verdana" w:cs="Aptos"/>
          <w:kern w:val="2"/>
          <w:sz w:val="20"/>
          <w:szCs w:val="20"/>
          <w:lang w:val="es-ES"/>
          <w14:ligatures w14:val="standardContextual"/>
        </w:rPr>
      </w:pPr>
    </w:p>
    <w:p w14:paraId="0C74573A" w14:textId="77777777" w:rsidR="0089683F" w:rsidRPr="0089683F" w:rsidRDefault="0089683F" w:rsidP="0089683F">
      <w:pPr>
        <w:spacing w:after="0" w:line="240" w:lineRule="auto"/>
        <w:jc w:val="both"/>
        <w:rPr>
          <w:rFonts w:ascii="Verdana" w:eastAsia="Arial" w:hAnsi="Verdana" w:cs="Calibri"/>
          <w:sz w:val="20"/>
          <w:szCs w:val="20"/>
          <w:lang w:eastAsia="es-ES"/>
        </w:rPr>
      </w:pPr>
    </w:p>
    <w:p w14:paraId="6642F56E" w14:textId="77777777" w:rsidR="0089683F" w:rsidRPr="0089683F" w:rsidRDefault="0089683F" w:rsidP="0089683F">
      <w:pPr>
        <w:spacing w:after="0" w:line="240" w:lineRule="auto"/>
        <w:jc w:val="both"/>
        <w:rPr>
          <w:rFonts w:ascii="Verdana" w:eastAsia="Arial" w:hAnsi="Verdana" w:cs="Calibri"/>
          <w:sz w:val="20"/>
          <w:szCs w:val="20"/>
          <w:lang w:eastAsia="es-ES"/>
        </w:rPr>
      </w:pPr>
    </w:p>
    <w:p w14:paraId="20474DF7" w14:textId="78A265E9" w:rsidR="0089683F" w:rsidRPr="00BE3783" w:rsidRDefault="00113713" w:rsidP="0089683F">
      <w:pPr>
        <w:spacing w:after="0" w:line="240" w:lineRule="auto"/>
        <w:jc w:val="both"/>
        <w:rPr>
          <w:rFonts w:ascii="Verdana" w:eastAsia="Calibri" w:hAnsi="Verdana" w:cs="Times New Roman"/>
        </w:rPr>
      </w:pPr>
      <w:r w:rsidRPr="00BE3783">
        <w:rPr>
          <w:rFonts w:ascii="Verdana" w:eastAsia="Verdana" w:hAnsi="Verdana" w:cs="Verdana"/>
        </w:rPr>
        <w:lastRenderedPageBreak/>
        <w:t>Bogotá D.C.,</w:t>
      </w:r>
      <w:r w:rsidRPr="00BE3783">
        <w:rPr>
          <w:rFonts w:ascii="Verdana" w:hAnsi="Verdana"/>
        </w:rPr>
        <w:tab/>
      </w:r>
      <w:r w:rsidR="00BE3783" w:rsidRPr="00BE3783">
        <w:rPr>
          <w:rFonts w:ascii="Verdana" w:eastAsia="Calibri" w:hAnsi="Verdana" w:cs="Times New Roman"/>
        </w:rPr>
        <w:t xml:space="preserve"> 07 </w:t>
      </w:r>
      <w:proofErr w:type="gramStart"/>
      <w:r w:rsidR="00BE3783" w:rsidRPr="00BE3783">
        <w:rPr>
          <w:rFonts w:ascii="Verdana" w:eastAsia="Calibri" w:hAnsi="Verdana" w:cs="Times New Roman"/>
        </w:rPr>
        <w:t>Mayo</w:t>
      </w:r>
      <w:proofErr w:type="gramEnd"/>
      <w:r w:rsidR="00BE3783" w:rsidRPr="00BE3783">
        <w:rPr>
          <w:rFonts w:ascii="Verdana" w:eastAsia="Calibri" w:hAnsi="Verdana" w:cs="Times New Roman"/>
        </w:rPr>
        <w:t xml:space="preserve"> 2026</w:t>
      </w:r>
    </w:p>
    <w:p w14:paraId="4C48113E" w14:textId="415A9C94" w:rsidR="0089683F" w:rsidRPr="0089683F" w:rsidRDefault="00BE3783" w:rsidP="00BE3783">
      <w:pPr>
        <w:spacing w:after="0" w:line="240" w:lineRule="auto"/>
        <w:jc w:val="right"/>
        <w:rPr>
          <w:rFonts w:ascii="Verdana" w:eastAsia="Calibri" w:hAnsi="Verdana" w:cs="Arial"/>
          <w:lang w:val="es-ES" w:eastAsia="es-ES"/>
        </w:rPr>
      </w:pPr>
      <w:r w:rsidRPr="00BE3783">
        <w:rPr>
          <w:rFonts w:ascii="Verdana" w:eastAsia="Calibri" w:hAnsi="Verdana" w:cs="Arial"/>
          <w:lang w:val="es-ES" w:eastAsia="es-ES"/>
        </w:rPr>
        <w:drawing>
          <wp:inline distT="0" distB="0" distL="0" distR="0" wp14:anchorId="4C35A9DD" wp14:editId="41C263CB">
            <wp:extent cx="2457793" cy="695422"/>
            <wp:effectExtent l="0" t="0" r="0" b="9525"/>
            <wp:docPr id="91875260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8752601" name=""/>
                    <pic:cNvPicPr/>
                  </pic:nvPicPr>
                  <pic:blipFill>
                    <a:blip r:embed="rId11"/>
                    <a:stretch>
                      <a:fillRect/>
                    </a:stretch>
                  </pic:blipFill>
                  <pic:spPr>
                    <a:xfrm>
                      <a:off x="0" y="0"/>
                      <a:ext cx="2457793" cy="695422"/>
                    </a:xfrm>
                    <a:prstGeom prst="rect">
                      <a:avLst/>
                    </a:prstGeom>
                  </pic:spPr>
                </pic:pic>
              </a:graphicData>
            </a:graphic>
          </wp:inline>
        </w:drawing>
      </w:r>
    </w:p>
    <w:p w14:paraId="03CA6812" w14:textId="77777777" w:rsidR="0089683F" w:rsidRPr="0089683F" w:rsidRDefault="0089683F" w:rsidP="0089683F">
      <w:pPr>
        <w:spacing w:after="0" w:line="240" w:lineRule="auto"/>
        <w:jc w:val="both"/>
        <w:rPr>
          <w:rFonts w:ascii="Verdana" w:eastAsia="Calibri" w:hAnsi="Verdana" w:cs="Arial"/>
          <w:lang w:val="es-ES" w:eastAsia="es-ES"/>
        </w:rPr>
      </w:pPr>
      <w:r w:rsidRPr="0089683F">
        <w:rPr>
          <w:rFonts w:ascii="Verdana" w:eastAsia="Calibri" w:hAnsi="Verdana" w:cs="Arial"/>
          <w:lang w:val="es-ES" w:eastAsia="es-ES"/>
        </w:rPr>
        <w:t>Señor(a)</w:t>
      </w:r>
    </w:p>
    <w:p w14:paraId="07072746" w14:textId="77777777" w:rsidR="0089683F" w:rsidRPr="0089683F" w:rsidRDefault="0089683F" w:rsidP="0089683F">
      <w:pPr>
        <w:spacing w:after="0" w:line="240" w:lineRule="auto"/>
        <w:rPr>
          <w:rFonts w:ascii="Verdana" w:eastAsia="Calibri" w:hAnsi="Verdana" w:cs="Arial"/>
          <w:b/>
          <w:lang w:eastAsia="es-ES_tradnl"/>
        </w:rPr>
      </w:pPr>
      <w:r w:rsidRPr="0089683F">
        <w:rPr>
          <w:rFonts w:ascii="Verdana" w:eastAsia="Calibri" w:hAnsi="Verdana" w:cs="Arial"/>
          <w:b/>
          <w:lang w:eastAsia="es-ES_tradnl"/>
        </w:rPr>
        <w:t>Monserrath Riveros Sierra</w:t>
      </w:r>
    </w:p>
    <w:p w14:paraId="387A6CC4" w14:textId="77777777" w:rsidR="0089683F" w:rsidRPr="0089683F" w:rsidRDefault="0089683F" w:rsidP="0089683F">
      <w:pPr>
        <w:spacing w:after="0" w:line="240" w:lineRule="auto"/>
        <w:rPr>
          <w:rFonts w:ascii="Verdana" w:eastAsia="Calibri" w:hAnsi="Verdana" w:cs="Arial"/>
          <w:b/>
          <w:bCs/>
          <w:lang w:val="es-ES" w:eastAsia="es-ES"/>
        </w:rPr>
      </w:pPr>
      <w:r w:rsidRPr="0089683F">
        <w:rPr>
          <w:rFonts w:ascii="Verdana" w:eastAsia="Calibri" w:hAnsi="Verdana" w:cs="Arial"/>
          <w:lang w:val="es-ES" w:eastAsia="es-ES"/>
        </w:rPr>
        <w:t>Ciudad</w:t>
      </w:r>
    </w:p>
    <w:p w14:paraId="4BAB67DB" w14:textId="77777777" w:rsidR="0089683F" w:rsidRPr="0089683F" w:rsidRDefault="0089683F" w:rsidP="0089683F">
      <w:pPr>
        <w:spacing w:after="0" w:line="240" w:lineRule="auto"/>
        <w:rPr>
          <w:rFonts w:ascii="Verdana" w:eastAsia="Calibri" w:hAnsi="Verdana" w:cs="Arial"/>
          <w:b/>
          <w:bCs/>
          <w:lang w:eastAsia="es-ES_tradnl"/>
        </w:rPr>
      </w:pPr>
    </w:p>
    <w:p w14:paraId="09BC0F6F" w14:textId="77777777" w:rsidR="0089683F" w:rsidRPr="0089683F" w:rsidRDefault="0089683F" w:rsidP="0089683F">
      <w:pPr>
        <w:spacing w:after="0" w:line="240" w:lineRule="auto"/>
        <w:rPr>
          <w:rFonts w:ascii="Verdana" w:eastAsia="Calibri" w:hAnsi="Verdana" w:cs="Arial"/>
          <w:b/>
          <w:bCs/>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9683F" w:rsidRPr="0089683F" w14:paraId="03B238BD" w14:textId="77777777" w:rsidTr="002A1DC7">
        <w:trPr>
          <w:trHeight w:val="884"/>
        </w:trPr>
        <w:tc>
          <w:tcPr>
            <w:tcW w:w="2689" w:type="dxa"/>
          </w:tcPr>
          <w:p w14:paraId="0EA8C4C2" w14:textId="77777777" w:rsidR="0089683F" w:rsidRPr="0089683F" w:rsidRDefault="0089683F" w:rsidP="0089683F">
            <w:pPr>
              <w:jc w:val="both"/>
              <w:rPr>
                <w:rFonts w:ascii="Verdana" w:eastAsia="Calibri" w:hAnsi="Verdana" w:cs="Arial"/>
                <w:b/>
                <w:bCs/>
                <w:lang w:eastAsia="es-ES_tradnl"/>
              </w:rPr>
            </w:pPr>
          </w:p>
        </w:tc>
        <w:tc>
          <w:tcPr>
            <w:tcW w:w="6100" w:type="dxa"/>
          </w:tcPr>
          <w:p w14:paraId="7B90F920" w14:textId="77777777" w:rsidR="0089683F" w:rsidRPr="0089683F" w:rsidRDefault="0089683F" w:rsidP="0089683F">
            <w:pPr>
              <w:jc w:val="both"/>
              <w:rPr>
                <w:rFonts w:ascii="Verdana" w:eastAsia="Calibri" w:hAnsi="Verdana" w:cs="Arial"/>
                <w:b/>
                <w:bCs/>
                <w:lang w:val="es-ES" w:eastAsia="es-ES"/>
              </w:rPr>
            </w:pPr>
            <w:r w:rsidRPr="0089683F">
              <w:rPr>
                <w:rFonts w:ascii="Verdana" w:eastAsia="Calibri" w:hAnsi="Verdana" w:cs="Arial"/>
                <w:b/>
                <w:bCs/>
                <w:lang w:val="es-ES" w:eastAsia="es-ES"/>
              </w:rPr>
              <w:t>Concepto C – 564 de 2026</w:t>
            </w:r>
          </w:p>
        </w:tc>
      </w:tr>
      <w:tr w:rsidR="0089683F" w:rsidRPr="0089683F" w14:paraId="109246BF" w14:textId="77777777" w:rsidTr="002A1DC7">
        <w:trPr>
          <w:trHeight w:val="884"/>
        </w:trPr>
        <w:tc>
          <w:tcPr>
            <w:tcW w:w="2689" w:type="dxa"/>
          </w:tcPr>
          <w:p w14:paraId="673764BA" w14:textId="77777777" w:rsidR="0089683F" w:rsidRPr="0089683F" w:rsidRDefault="0089683F" w:rsidP="0089683F">
            <w:pPr>
              <w:jc w:val="both"/>
              <w:rPr>
                <w:rFonts w:ascii="Verdana" w:eastAsia="Calibri" w:hAnsi="Verdana" w:cs="Arial"/>
                <w:lang w:eastAsia="es-ES_tradnl"/>
              </w:rPr>
            </w:pPr>
            <w:r w:rsidRPr="0089683F">
              <w:rPr>
                <w:rFonts w:ascii="Verdana" w:eastAsia="Calibri" w:hAnsi="Verdana" w:cs="Arial"/>
                <w:b/>
                <w:lang w:eastAsia="es-ES_tradnl"/>
              </w:rPr>
              <w:t>Temas:</w:t>
            </w:r>
            <w:r w:rsidRPr="0089683F">
              <w:rPr>
                <w:rFonts w:ascii="Verdana" w:eastAsia="Calibri" w:hAnsi="Verdana" w:cs="Arial"/>
                <w:lang w:eastAsia="es-ES_tradnl"/>
              </w:rPr>
              <w:t xml:space="preserve">                   </w:t>
            </w:r>
          </w:p>
        </w:tc>
        <w:tc>
          <w:tcPr>
            <w:tcW w:w="6100" w:type="dxa"/>
          </w:tcPr>
          <w:p w14:paraId="53202B01" w14:textId="77777777" w:rsidR="0089683F" w:rsidRPr="0089683F" w:rsidRDefault="0089683F" w:rsidP="0089683F">
            <w:pPr>
              <w:widowControl w:val="0"/>
              <w:autoSpaceDE w:val="0"/>
              <w:autoSpaceDN w:val="0"/>
              <w:jc w:val="both"/>
              <w:rPr>
                <w:rFonts w:ascii="Verdana" w:eastAsia="Calibri" w:hAnsi="Verdana" w:cs="Times New Roman"/>
                <w:lang w:val="es-ES"/>
              </w:rPr>
            </w:pPr>
            <w:r w:rsidRPr="0089683F">
              <w:rPr>
                <w:rFonts w:ascii="Verdana" w:eastAsia="Calibri" w:hAnsi="Verdana" w:cs="Times New Roman"/>
                <w:lang w:val="es-ES"/>
              </w:rPr>
              <w:t xml:space="preserve">DOCUMENTOS TIPO – Inalterabilidad – Alcance / DECRETO 287 DE 2026 – Incidencia – Documentos tipo / DECRETO 287 DE 2026 – Documentos tipo – Licitación Pública – Selección abreviada de menor cuantía – Concurso de méritos – Requisitos habilitantes / DECRETO 287 DE 2026 – Documentos tipo – Licitación Pública – Concurso de méritos – Factores de evaluación / DECRETO 287 DE 2026 – Documentos tipo – Ejecución contractual / DOCUMENTOS TIPO – Decreto 287 de 2026 – Aplicación / DOCUMENTOS TIPO – Decreto 287 de 2026 – Aplicación – Necesidad de modificación – Agencia Nacional de Contratación Pública / DOCUMENTOS TIPO – Decreto 287 de 2026 – Modificación – Colombia Compra Eficiente / </w:t>
            </w:r>
            <w:r w:rsidRPr="0089683F">
              <w:rPr>
                <w:rFonts w:ascii="Verdana" w:eastAsia="Calibri" w:hAnsi="Verdana" w:cs="Arial"/>
                <w:lang w:val="es-ES" w:eastAsia="es-ES"/>
              </w:rPr>
              <w:t xml:space="preserve">DOCUMENTOS TIPO DE INFRAESTRUCTURA SOCIAL – Generalidades – Selección abreviada de menor cuantía / DOCUMENTOS TIPO DE INFRAESTRUCTURA SOCIAL – Aplicación – Matriz 1 – Determinación de la experiencia / </w:t>
            </w:r>
            <w:r w:rsidRPr="0089683F">
              <w:rPr>
                <w:rFonts w:ascii="Verdana" w:eastAsia="Aptos" w:hAnsi="Verdana" w:cs="Times New Roman"/>
                <w:lang w:eastAsia="es-MX"/>
              </w:rPr>
              <w:t xml:space="preserve">DOCUMENTOS TIPO DE INFRAESTRUCTURA SOCIAL – Sector Institucional – Experiencia – </w:t>
            </w:r>
            <w:r w:rsidRPr="0089683F">
              <w:rPr>
                <w:rFonts w:ascii="Verdana" w:eastAsia="Aptos" w:hAnsi="Verdana" w:cs="Times New Roman"/>
                <w:i/>
                <w:iCs/>
                <w:lang w:eastAsia="es-MX"/>
              </w:rPr>
              <w:t xml:space="preserve">Edificaciones </w:t>
            </w:r>
            <w:r w:rsidRPr="0089683F">
              <w:rPr>
                <w:rFonts w:ascii="Verdana" w:eastAsia="Aptos" w:hAnsi="Verdana" w:cs="Times New Roman"/>
                <w:lang w:eastAsia="es-MX"/>
              </w:rPr>
              <w:t xml:space="preserve">– Alcance de la experiencia / DOCUMENTOS TIPO DE INFRAESTRUCTURA SOCIAL – Consideraciones para la validez de la experiencia – Moneda extranjera / DOCUMENTOS TIPO DE INFRAESTRUCTURA SOCIAL – Selección abreviada de menor cuantía – Sector Institucional – Experiencia – </w:t>
            </w:r>
            <w:r w:rsidRPr="0089683F">
              <w:rPr>
                <w:rFonts w:ascii="Verdana" w:eastAsia="Aptos" w:hAnsi="Verdana" w:cs="Times New Roman"/>
                <w:i/>
                <w:iCs/>
                <w:lang w:eastAsia="es-MX"/>
              </w:rPr>
              <w:t xml:space="preserve">Actividad 1.2 – </w:t>
            </w:r>
            <w:r w:rsidRPr="0089683F">
              <w:rPr>
                <w:rFonts w:ascii="Verdana" w:eastAsia="Aptos" w:hAnsi="Verdana" w:cs="Times New Roman"/>
                <w:lang w:eastAsia="es-MX"/>
              </w:rPr>
              <w:t xml:space="preserve">Área </w:t>
            </w:r>
          </w:p>
          <w:p w14:paraId="141EB3BC" w14:textId="77777777" w:rsidR="0089683F" w:rsidRPr="0089683F" w:rsidRDefault="0089683F" w:rsidP="0089683F">
            <w:pPr>
              <w:shd w:val="clear" w:color="auto" w:fill="FFFFFF"/>
              <w:contextualSpacing/>
              <w:jc w:val="both"/>
              <w:rPr>
                <w:rFonts w:ascii="Verdana" w:eastAsia="Calibri" w:hAnsi="Verdana" w:cs="Arial"/>
                <w:lang w:val="es-ES" w:eastAsia="es-ES"/>
              </w:rPr>
            </w:pPr>
          </w:p>
          <w:p w14:paraId="78E1FC20" w14:textId="77777777" w:rsidR="0089683F" w:rsidRPr="0089683F" w:rsidRDefault="0089683F" w:rsidP="0089683F">
            <w:pPr>
              <w:shd w:val="clear" w:color="auto" w:fill="FFFFFF"/>
              <w:contextualSpacing/>
              <w:jc w:val="both"/>
              <w:rPr>
                <w:rFonts w:ascii="Verdana" w:eastAsia="Calibri" w:hAnsi="Verdana" w:cs="Arial"/>
                <w:lang w:val="es-ES" w:eastAsia="es-ES"/>
              </w:rPr>
            </w:pPr>
          </w:p>
        </w:tc>
      </w:tr>
      <w:tr w:rsidR="0089683F" w:rsidRPr="0089683F" w14:paraId="4FB18E66" w14:textId="77777777" w:rsidTr="002A1DC7">
        <w:tc>
          <w:tcPr>
            <w:tcW w:w="2689" w:type="dxa"/>
          </w:tcPr>
          <w:p w14:paraId="56B0CF3F" w14:textId="77777777" w:rsidR="0089683F" w:rsidRPr="0089683F" w:rsidRDefault="0089683F" w:rsidP="0089683F">
            <w:pPr>
              <w:jc w:val="both"/>
              <w:rPr>
                <w:rFonts w:ascii="Verdana" w:eastAsia="Calibri" w:hAnsi="Verdana" w:cs="Arial"/>
                <w:b/>
                <w:lang w:eastAsia="es-ES_tradnl"/>
              </w:rPr>
            </w:pPr>
            <w:r w:rsidRPr="0089683F">
              <w:rPr>
                <w:rFonts w:ascii="Verdana" w:eastAsia="Calibri" w:hAnsi="Verdana" w:cs="Arial"/>
                <w:b/>
                <w:lang w:eastAsia="es-ES_tradnl"/>
              </w:rPr>
              <w:lastRenderedPageBreak/>
              <w:t>Radicación:</w:t>
            </w:r>
            <w:r w:rsidRPr="0089683F">
              <w:rPr>
                <w:rFonts w:ascii="Verdana" w:eastAsia="Calibri" w:hAnsi="Verdana" w:cs="Arial"/>
                <w:lang w:eastAsia="es-ES_tradnl"/>
              </w:rPr>
              <w:t xml:space="preserve">               </w:t>
            </w:r>
          </w:p>
        </w:tc>
        <w:tc>
          <w:tcPr>
            <w:tcW w:w="6100" w:type="dxa"/>
          </w:tcPr>
          <w:p w14:paraId="580B9720" w14:textId="77777777" w:rsidR="0089683F" w:rsidRPr="0089683F" w:rsidRDefault="0089683F" w:rsidP="0089683F">
            <w:pPr>
              <w:jc w:val="both"/>
              <w:rPr>
                <w:rFonts w:ascii="Verdana" w:eastAsia="Calibri" w:hAnsi="Verdana" w:cs="Arial"/>
                <w:lang w:eastAsia="es-ES_tradnl"/>
              </w:rPr>
            </w:pPr>
            <w:r w:rsidRPr="0089683F">
              <w:rPr>
                <w:rFonts w:ascii="Verdana" w:eastAsia="Calibri" w:hAnsi="Verdana" w:cs="Arial"/>
                <w:lang w:eastAsia="es-ES_tradnl"/>
              </w:rPr>
              <w:t>Respuesta a consulta con radicado No. 1_2026_04_08_004774</w:t>
            </w:r>
          </w:p>
        </w:tc>
      </w:tr>
    </w:tbl>
    <w:p w14:paraId="69B0CED8" w14:textId="77777777" w:rsidR="0089683F" w:rsidRPr="0089683F" w:rsidRDefault="0089683F" w:rsidP="0089683F">
      <w:pPr>
        <w:spacing w:after="0" w:line="240" w:lineRule="auto"/>
        <w:jc w:val="both"/>
        <w:rPr>
          <w:rFonts w:ascii="Verdana" w:eastAsia="Calibri" w:hAnsi="Verdana" w:cs="Arial"/>
          <w:lang w:eastAsia="es-ES_tradnl"/>
        </w:rPr>
      </w:pPr>
    </w:p>
    <w:p w14:paraId="3EFC34F9" w14:textId="77777777" w:rsidR="0089683F" w:rsidRPr="0089683F" w:rsidRDefault="0089683F" w:rsidP="0089683F">
      <w:pPr>
        <w:spacing w:after="0" w:line="240" w:lineRule="auto"/>
        <w:jc w:val="both"/>
        <w:rPr>
          <w:rFonts w:ascii="Verdana" w:eastAsia="Calibri" w:hAnsi="Verdana" w:cs="Arial"/>
          <w:lang w:eastAsia="es-ES_tradnl"/>
        </w:rPr>
      </w:pPr>
    </w:p>
    <w:p w14:paraId="6C88FBA3" w14:textId="77777777" w:rsidR="0089683F" w:rsidRPr="0089683F" w:rsidRDefault="0089683F" w:rsidP="0089683F">
      <w:pPr>
        <w:spacing w:after="0" w:line="276" w:lineRule="auto"/>
        <w:jc w:val="both"/>
        <w:rPr>
          <w:rFonts w:ascii="Verdana" w:eastAsia="Calibri" w:hAnsi="Verdana" w:cs="Arial"/>
          <w:lang w:val="es-ES" w:eastAsia="es-ES"/>
        </w:rPr>
      </w:pPr>
      <w:r w:rsidRPr="0089683F">
        <w:rPr>
          <w:rFonts w:ascii="Verdana" w:eastAsia="Calibri" w:hAnsi="Verdana" w:cs="Arial"/>
          <w:lang w:val="es-ES" w:eastAsia="es-ES"/>
        </w:rPr>
        <w:t>Estimado(a) señor(a) Riveros Sierra:</w:t>
      </w:r>
    </w:p>
    <w:p w14:paraId="5E2A8B7B" w14:textId="77777777" w:rsidR="0089683F" w:rsidRPr="0089683F" w:rsidRDefault="0089683F" w:rsidP="0089683F">
      <w:pPr>
        <w:tabs>
          <w:tab w:val="left" w:pos="3768"/>
        </w:tabs>
        <w:spacing w:after="0" w:line="276" w:lineRule="auto"/>
        <w:jc w:val="both"/>
        <w:rPr>
          <w:rFonts w:ascii="Verdana" w:eastAsia="Calibri" w:hAnsi="Verdana" w:cs="Arial"/>
          <w:lang w:val="es-ES" w:eastAsia="es-ES"/>
        </w:rPr>
      </w:pPr>
      <w:r w:rsidRPr="0089683F">
        <w:rPr>
          <w:rFonts w:ascii="Verdana" w:eastAsia="Calibri" w:hAnsi="Verdana" w:cs="Arial"/>
          <w:lang w:val="es-ES" w:eastAsia="es-ES"/>
        </w:rPr>
        <w:tab/>
      </w:r>
    </w:p>
    <w:p w14:paraId="2135E3D9" w14:textId="77777777" w:rsidR="0089683F" w:rsidRPr="0089683F" w:rsidRDefault="0089683F" w:rsidP="0089683F">
      <w:pPr>
        <w:spacing w:after="0" w:line="276" w:lineRule="auto"/>
        <w:jc w:val="both"/>
        <w:rPr>
          <w:rFonts w:ascii="Verdana" w:eastAsia="Calibri" w:hAnsi="Verdana" w:cs="Arial"/>
          <w:lang w:val="es-ES" w:eastAsia="es-ES"/>
        </w:rPr>
      </w:pPr>
      <w:r w:rsidRPr="0089683F">
        <w:rPr>
          <w:rFonts w:ascii="Verdana" w:eastAsia="Calibri" w:hAnsi="Verdana" w:cs="Arial"/>
          <w:lang w:val="es-ES" w:eastAsia="es-ES"/>
        </w:rPr>
        <w:t>En ejercicio de la competencia otorgada por los artículos 3, numeral 5º, y 11, numeral 8º, del Decreto Ley 4170 de 2011,</w:t>
      </w:r>
      <w:r w:rsidRPr="0089683F">
        <w:rPr>
          <w:rFonts w:ascii="Verdana" w:eastAsia="Arial MT" w:hAnsi="Verdana" w:cs="Arial MT"/>
          <w:lang w:val="es-ES" w:eastAsia="es-ES"/>
        </w:rPr>
        <w:t xml:space="preserve"> </w:t>
      </w:r>
      <w:r w:rsidRPr="0089683F">
        <w:rPr>
          <w:rFonts w:ascii="Verdana" w:eastAsia="Calibri" w:hAnsi="Verdana" w:cs="Arial"/>
          <w:lang w:eastAsia="es-MX"/>
        </w:rPr>
        <w:t xml:space="preserve">así como lo establecido en la </w:t>
      </w:r>
      <w:r w:rsidRPr="0089683F">
        <w:rPr>
          <w:rFonts w:ascii="Verdana" w:eastAsia="Calibri" w:hAnsi="Verdana" w:cs="Arial"/>
          <w:kern w:val="2"/>
          <w:lang w:val="es-ES_tradnl" w:eastAsia="es-MX"/>
          <w14:ligatures w14:val="standardContextual"/>
        </w:rPr>
        <w:t xml:space="preserve">Resolución No. 469 de 2025 </w:t>
      </w:r>
      <w:r w:rsidRPr="0089683F">
        <w:rPr>
          <w:rFonts w:ascii="Verdana" w:eastAsia="Calibri" w:hAnsi="Verdana" w:cs="Arial"/>
          <w:kern w:val="2"/>
          <w:lang w:val="es-ES"/>
          <w14:ligatures w14:val="standardContextual"/>
        </w:rPr>
        <w:t xml:space="preserve">expedida </w:t>
      </w:r>
      <w:r w:rsidRPr="0089683F">
        <w:rPr>
          <w:rFonts w:ascii="Verdana" w:eastAsia="Calibri" w:hAnsi="Verdana" w:cs="Arial"/>
          <w:lang w:eastAsia="es-MX"/>
        </w:rPr>
        <w:t xml:space="preserve">por esta Entidad, </w:t>
      </w:r>
      <w:r w:rsidRPr="0089683F">
        <w:rPr>
          <w:rFonts w:ascii="Verdana" w:eastAsia="Calibri" w:hAnsi="Verdana" w:cs="Arial"/>
          <w:lang w:val="es-ES" w:eastAsia="es-ES"/>
        </w:rPr>
        <w:t>la Agencia Nacional de Contratación Pública – Colombia Compra Eficiente responde su solicitud de consulta de fecha 8 de abril de 2026, en la que manifiesta lo siguiente:</w:t>
      </w:r>
    </w:p>
    <w:p w14:paraId="2B72C078" w14:textId="77777777" w:rsidR="0089683F" w:rsidRPr="0089683F" w:rsidRDefault="0089683F" w:rsidP="0089683F">
      <w:pPr>
        <w:spacing w:after="0" w:line="276" w:lineRule="auto"/>
        <w:jc w:val="both"/>
        <w:rPr>
          <w:rFonts w:ascii="Verdana" w:eastAsia="Calibri" w:hAnsi="Verdana" w:cs="Arial"/>
          <w:lang w:val="es-ES" w:eastAsia="es-ES"/>
        </w:rPr>
      </w:pPr>
    </w:p>
    <w:p w14:paraId="6C4E7DC1" w14:textId="77777777" w:rsidR="0089683F" w:rsidRPr="0089683F" w:rsidRDefault="0089683F" w:rsidP="0089683F">
      <w:pPr>
        <w:spacing w:after="0" w:line="240" w:lineRule="auto"/>
        <w:ind w:left="709" w:right="709"/>
        <w:jc w:val="both"/>
        <w:rPr>
          <w:rFonts w:ascii="Verdana" w:eastAsia="Calibri" w:hAnsi="Verdana" w:cs="Arial"/>
          <w:sz w:val="21"/>
          <w:szCs w:val="21"/>
          <w:lang w:val="es-ES" w:eastAsia="es-ES"/>
        </w:rPr>
      </w:pPr>
      <w:r w:rsidRPr="0089683F">
        <w:rPr>
          <w:rFonts w:ascii="Verdana" w:eastAsia="Calibri" w:hAnsi="Verdana" w:cs="Arial"/>
          <w:sz w:val="21"/>
          <w:szCs w:val="21"/>
          <w:lang w:val="es-ES" w:eastAsia="es-ES"/>
        </w:rPr>
        <w:t>"[M]e permito presentar derecho de petición a ustedes en calidad de ente rector de la contratación</w:t>
      </w:r>
    </w:p>
    <w:p w14:paraId="1A3B3DDE" w14:textId="77777777" w:rsidR="0089683F" w:rsidRPr="0089683F" w:rsidRDefault="0089683F" w:rsidP="0089683F">
      <w:pPr>
        <w:spacing w:after="0" w:line="240" w:lineRule="auto"/>
        <w:ind w:left="709" w:right="709"/>
        <w:jc w:val="both"/>
        <w:rPr>
          <w:rFonts w:ascii="Verdana" w:eastAsia="Calibri" w:hAnsi="Verdana" w:cs="Arial"/>
          <w:sz w:val="21"/>
          <w:szCs w:val="21"/>
          <w:lang w:val="es-ES" w:eastAsia="es-ES"/>
        </w:rPr>
      </w:pPr>
      <w:r w:rsidRPr="0089683F">
        <w:rPr>
          <w:rFonts w:ascii="Verdana" w:eastAsia="Calibri" w:hAnsi="Verdana" w:cs="Arial"/>
          <w:sz w:val="21"/>
          <w:szCs w:val="21"/>
          <w:lang w:val="es-ES" w:eastAsia="es-ES"/>
        </w:rPr>
        <w:t xml:space="preserve">La entidad está haciendo uso del pliego de infraestructura </w:t>
      </w:r>
      <w:proofErr w:type="gramStart"/>
      <w:r w:rsidRPr="0089683F">
        <w:rPr>
          <w:rFonts w:ascii="Verdana" w:eastAsia="Calibri" w:hAnsi="Verdana" w:cs="Arial"/>
          <w:sz w:val="21"/>
          <w:szCs w:val="21"/>
          <w:lang w:val="es-ES" w:eastAsia="es-ES"/>
        </w:rPr>
        <w:t>institucional  seguridad</w:t>
      </w:r>
      <w:proofErr w:type="gramEnd"/>
      <w:r w:rsidRPr="0089683F">
        <w:rPr>
          <w:rFonts w:ascii="Verdana" w:eastAsia="Calibri" w:hAnsi="Verdana" w:cs="Arial"/>
          <w:sz w:val="21"/>
          <w:szCs w:val="21"/>
          <w:lang w:val="es-ES" w:eastAsia="es-ES"/>
        </w:rPr>
        <w:t xml:space="preserve"> pública</w:t>
      </w:r>
      <w:proofErr w:type="gramStart"/>
      <w:r w:rsidRPr="0089683F">
        <w:rPr>
          <w:rFonts w:ascii="Verdana" w:eastAsia="Calibri" w:hAnsi="Verdana" w:cs="Arial"/>
          <w:sz w:val="21"/>
          <w:szCs w:val="21"/>
          <w:lang w:val="es-ES" w:eastAsia="es-ES"/>
        </w:rPr>
        <w:t>-  Selección</w:t>
      </w:r>
      <w:proofErr w:type="gramEnd"/>
      <w:r w:rsidRPr="0089683F">
        <w:rPr>
          <w:rFonts w:ascii="Verdana" w:eastAsia="Calibri" w:hAnsi="Verdana" w:cs="Arial"/>
          <w:sz w:val="21"/>
          <w:szCs w:val="21"/>
          <w:lang w:val="es-ES" w:eastAsia="es-ES"/>
        </w:rPr>
        <w:t xml:space="preserve"> Abreviada de Menor cuantía.</w:t>
      </w:r>
    </w:p>
    <w:p w14:paraId="6DC11EB9" w14:textId="77777777" w:rsidR="0089683F" w:rsidRPr="0089683F" w:rsidRDefault="0089683F" w:rsidP="0089683F">
      <w:pPr>
        <w:spacing w:after="0" w:line="240" w:lineRule="auto"/>
        <w:ind w:left="709" w:right="709"/>
        <w:jc w:val="both"/>
        <w:rPr>
          <w:rFonts w:ascii="Verdana" w:eastAsia="Calibri" w:hAnsi="Verdana" w:cs="Arial"/>
          <w:sz w:val="21"/>
          <w:szCs w:val="21"/>
          <w:lang w:val="es-ES" w:eastAsia="es-ES"/>
        </w:rPr>
      </w:pPr>
      <w:r w:rsidRPr="0089683F">
        <w:rPr>
          <w:rFonts w:ascii="Verdana" w:eastAsia="Calibri" w:hAnsi="Verdana" w:cs="Arial"/>
          <w:sz w:val="21"/>
          <w:szCs w:val="21"/>
          <w:lang w:val="es-ES" w:eastAsia="es-ES"/>
        </w:rPr>
        <w:t xml:space="preserve">En los documentos base que fueron publicados antes de la expedición del Decreto 287 de </w:t>
      </w:r>
      <w:proofErr w:type="gramStart"/>
      <w:r w:rsidRPr="0089683F">
        <w:rPr>
          <w:rFonts w:ascii="Verdana" w:eastAsia="Calibri" w:hAnsi="Verdana" w:cs="Arial"/>
          <w:sz w:val="21"/>
          <w:szCs w:val="21"/>
          <w:lang w:val="es-ES" w:eastAsia="es-ES"/>
        </w:rPr>
        <w:t>2026,  la</w:t>
      </w:r>
      <w:proofErr w:type="gramEnd"/>
      <w:r w:rsidRPr="0089683F">
        <w:rPr>
          <w:rFonts w:ascii="Verdana" w:eastAsia="Calibri" w:hAnsi="Verdana" w:cs="Arial"/>
          <w:sz w:val="21"/>
          <w:szCs w:val="21"/>
          <w:lang w:val="es-ES" w:eastAsia="es-ES"/>
        </w:rPr>
        <w:t xml:space="preserve"> entidad </w:t>
      </w:r>
      <w:proofErr w:type="gramStart"/>
      <w:r w:rsidRPr="0089683F">
        <w:rPr>
          <w:rFonts w:ascii="Verdana" w:eastAsia="Calibri" w:hAnsi="Verdana" w:cs="Arial"/>
          <w:sz w:val="21"/>
          <w:szCs w:val="21"/>
          <w:lang w:val="es-ES" w:eastAsia="es-ES"/>
        </w:rPr>
        <w:t>puede  adicionar</w:t>
      </w:r>
      <w:proofErr w:type="gramEnd"/>
      <w:r w:rsidRPr="0089683F">
        <w:rPr>
          <w:rFonts w:ascii="Verdana" w:eastAsia="Calibri" w:hAnsi="Verdana" w:cs="Arial"/>
          <w:sz w:val="21"/>
          <w:szCs w:val="21"/>
          <w:lang w:val="es-ES" w:eastAsia="es-ES"/>
        </w:rPr>
        <w:t xml:space="preserve"> los criterios diferenciales establecidos allí, en caso de ser afirmativa la respuesta cómo debería quedar la descripción</w:t>
      </w:r>
    </w:p>
    <w:p w14:paraId="24C49E70" w14:textId="77777777" w:rsidR="0089683F" w:rsidRPr="0089683F" w:rsidRDefault="0089683F" w:rsidP="0089683F">
      <w:pPr>
        <w:spacing w:after="0" w:line="240" w:lineRule="auto"/>
        <w:ind w:right="709"/>
        <w:jc w:val="both"/>
        <w:rPr>
          <w:rFonts w:ascii="Verdana" w:eastAsia="Calibri" w:hAnsi="Verdana" w:cs="Arial"/>
          <w:sz w:val="21"/>
          <w:szCs w:val="21"/>
          <w:lang w:val="es-ES" w:eastAsia="es-ES"/>
        </w:rPr>
      </w:pPr>
    </w:p>
    <w:p w14:paraId="25FEF2A6" w14:textId="77777777" w:rsidR="0089683F" w:rsidRPr="0089683F" w:rsidRDefault="0089683F" w:rsidP="0089683F">
      <w:pPr>
        <w:spacing w:after="0" w:line="240" w:lineRule="auto"/>
        <w:ind w:left="709" w:right="709"/>
        <w:jc w:val="both"/>
        <w:rPr>
          <w:rFonts w:ascii="Verdana" w:eastAsia="Calibri" w:hAnsi="Verdana" w:cs="Arial"/>
          <w:sz w:val="21"/>
          <w:szCs w:val="21"/>
          <w:lang w:val="es-ES" w:eastAsia="es-ES"/>
        </w:rPr>
      </w:pPr>
      <w:r w:rsidRPr="0089683F">
        <w:rPr>
          <w:rFonts w:ascii="Verdana" w:eastAsia="Calibri" w:hAnsi="Verdana" w:cs="Arial"/>
          <w:sz w:val="21"/>
          <w:szCs w:val="21"/>
          <w:lang w:val="es-ES" w:eastAsia="es-ES"/>
        </w:rPr>
        <w:t xml:space="preserve">Es necesarios en este pliego tipo establecer el presupuesto en dólares o a que se refiere el documento base cuando solicita convertir a </w:t>
      </w:r>
      <w:proofErr w:type="gramStart"/>
      <w:r w:rsidRPr="0089683F">
        <w:rPr>
          <w:rFonts w:ascii="Verdana" w:eastAsia="Calibri" w:hAnsi="Verdana" w:cs="Arial"/>
          <w:sz w:val="21"/>
          <w:szCs w:val="21"/>
          <w:lang w:val="es-ES" w:eastAsia="es-ES"/>
        </w:rPr>
        <w:t>dólares ,</w:t>
      </w:r>
      <w:proofErr w:type="gramEnd"/>
      <w:r w:rsidRPr="0089683F">
        <w:rPr>
          <w:rFonts w:ascii="Verdana" w:eastAsia="Calibri" w:hAnsi="Verdana" w:cs="Arial"/>
          <w:sz w:val="21"/>
          <w:szCs w:val="21"/>
          <w:lang w:val="es-ES" w:eastAsia="es-ES"/>
        </w:rPr>
        <w:t xml:space="preserve"> también para la experiencia se debe </w:t>
      </w:r>
      <w:proofErr w:type="gramStart"/>
      <w:r w:rsidRPr="0089683F">
        <w:rPr>
          <w:rFonts w:ascii="Verdana" w:eastAsia="Calibri" w:hAnsi="Verdana" w:cs="Arial"/>
          <w:sz w:val="21"/>
          <w:szCs w:val="21"/>
          <w:lang w:val="es-ES" w:eastAsia="es-ES"/>
        </w:rPr>
        <w:t>convertir .</w:t>
      </w:r>
      <w:proofErr w:type="gramEnd"/>
    </w:p>
    <w:p w14:paraId="40AF9A7A" w14:textId="77777777" w:rsidR="0089683F" w:rsidRPr="0089683F" w:rsidRDefault="0089683F" w:rsidP="0089683F">
      <w:pPr>
        <w:spacing w:after="0" w:line="240" w:lineRule="auto"/>
        <w:ind w:left="709" w:right="709"/>
        <w:jc w:val="both"/>
        <w:rPr>
          <w:rFonts w:ascii="Verdana" w:eastAsia="Calibri" w:hAnsi="Verdana" w:cs="Arial"/>
          <w:sz w:val="21"/>
          <w:szCs w:val="21"/>
          <w:lang w:val="es-ES" w:eastAsia="es-ES"/>
        </w:rPr>
      </w:pPr>
    </w:p>
    <w:p w14:paraId="2BC621CC" w14:textId="77777777" w:rsidR="0089683F" w:rsidRPr="0089683F" w:rsidRDefault="0089683F" w:rsidP="0089683F">
      <w:pPr>
        <w:spacing w:after="0" w:line="240" w:lineRule="auto"/>
        <w:ind w:left="709" w:right="709"/>
        <w:jc w:val="both"/>
        <w:rPr>
          <w:rFonts w:ascii="Verdana" w:eastAsia="Calibri" w:hAnsi="Verdana" w:cs="Arial"/>
          <w:sz w:val="21"/>
          <w:szCs w:val="21"/>
          <w:lang w:val="es-ES" w:eastAsia="es-ES"/>
        </w:rPr>
      </w:pPr>
      <w:r w:rsidRPr="0089683F">
        <w:rPr>
          <w:rFonts w:ascii="Verdana" w:eastAsia="Calibri" w:hAnsi="Verdana" w:cs="Arial"/>
          <w:sz w:val="21"/>
          <w:szCs w:val="21"/>
          <w:lang w:val="es-ES" w:eastAsia="es-ES"/>
        </w:rPr>
        <w:t xml:space="preserve">En cuanto a la matriz de Experiencia  si la entidad ubica </w:t>
      </w:r>
      <w:proofErr w:type="spellStart"/>
      <w:r w:rsidRPr="0089683F">
        <w:rPr>
          <w:rFonts w:ascii="Verdana" w:eastAsia="Calibri" w:hAnsi="Verdana" w:cs="Arial"/>
          <w:sz w:val="21"/>
          <w:szCs w:val="21"/>
          <w:lang w:val="es-ES" w:eastAsia="es-ES"/>
        </w:rPr>
        <w:t>ubica</w:t>
      </w:r>
      <w:proofErr w:type="spellEnd"/>
      <w:r w:rsidRPr="0089683F">
        <w:rPr>
          <w:rFonts w:ascii="Verdana" w:eastAsia="Calibri" w:hAnsi="Verdana" w:cs="Arial"/>
          <w:sz w:val="21"/>
          <w:szCs w:val="21"/>
          <w:lang w:val="es-ES" w:eastAsia="es-ES"/>
        </w:rPr>
        <w:t xml:space="preserve"> su actividad en la actividad 1.2 pero las especificaciones técnicas de la entidad son establecidas  a cantidad es decir no señalan el metraje a intervenir sino simplemente detallan la unidad de medida mt2 se debe entrar  a establecer el área intervenir o en esa situación cómo se aplicaría la matriz para la experiencia específica., o es necesario que la entidad establezca el área a intervenir , en las especificaciones también se requieren toda vez que es un mantenimiento a todo costo elementos que están establecido a 1 es necesario establecer las cantidades </w:t>
      </w:r>
    </w:p>
    <w:p w14:paraId="6B0B6307" w14:textId="77777777" w:rsidR="0089683F" w:rsidRPr="0089683F" w:rsidRDefault="0089683F" w:rsidP="0089683F">
      <w:pPr>
        <w:spacing w:after="0" w:line="240" w:lineRule="auto"/>
        <w:ind w:left="709" w:right="709"/>
        <w:jc w:val="both"/>
        <w:rPr>
          <w:rFonts w:ascii="Verdana" w:eastAsia="Calibri" w:hAnsi="Verdana" w:cs="Arial"/>
          <w:sz w:val="21"/>
          <w:szCs w:val="21"/>
          <w:lang w:val="es-ES" w:eastAsia="es-ES"/>
        </w:rPr>
      </w:pPr>
    </w:p>
    <w:p w14:paraId="2EE2EE2B" w14:textId="77777777" w:rsidR="0089683F" w:rsidRPr="0089683F" w:rsidRDefault="0089683F" w:rsidP="0089683F">
      <w:pPr>
        <w:spacing w:after="0" w:line="240" w:lineRule="auto"/>
        <w:ind w:left="709" w:right="709"/>
        <w:jc w:val="both"/>
        <w:rPr>
          <w:rFonts w:ascii="Verdana" w:eastAsia="Calibri" w:hAnsi="Verdana" w:cs="Arial"/>
          <w:sz w:val="21"/>
          <w:szCs w:val="21"/>
          <w:lang w:val="es-ES" w:eastAsia="es-ES"/>
        </w:rPr>
      </w:pPr>
      <w:r w:rsidRPr="0089683F">
        <w:rPr>
          <w:rFonts w:ascii="Verdana" w:eastAsia="Calibri" w:hAnsi="Verdana" w:cs="Arial"/>
          <w:sz w:val="21"/>
          <w:szCs w:val="21"/>
          <w:lang w:val="es-ES" w:eastAsia="es-ES"/>
        </w:rPr>
        <w:t xml:space="preserve">son varias unidades militares es obligatorio hacerlo por lote o podría un solo contrato teniendo en cuenta que en el eje cafetero las distancias no son extensas y el presupuesto permite la limitación a </w:t>
      </w:r>
      <w:proofErr w:type="spellStart"/>
      <w:r w:rsidRPr="0089683F">
        <w:rPr>
          <w:rFonts w:ascii="Verdana" w:eastAsia="Calibri" w:hAnsi="Verdana" w:cs="Arial"/>
          <w:sz w:val="21"/>
          <w:szCs w:val="21"/>
          <w:lang w:val="es-ES" w:eastAsia="es-ES"/>
        </w:rPr>
        <w:t>mipymes</w:t>
      </w:r>
      <w:proofErr w:type="spellEnd"/>
      <w:r w:rsidRPr="0089683F">
        <w:rPr>
          <w:rFonts w:ascii="Verdana" w:eastAsia="Calibri" w:hAnsi="Verdana" w:cs="Arial"/>
          <w:sz w:val="21"/>
          <w:szCs w:val="21"/>
          <w:lang w:val="es-ES" w:eastAsia="es-ES"/>
        </w:rPr>
        <w:t xml:space="preserve"> </w:t>
      </w:r>
    </w:p>
    <w:p w14:paraId="52D7AD61" w14:textId="77777777" w:rsidR="0089683F" w:rsidRPr="0089683F" w:rsidRDefault="0089683F" w:rsidP="0089683F">
      <w:pPr>
        <w:spacing w:after="0" w:line="240" w:lineRule="auto"/>
        <w:ind w:left="709" w:right="709"/>
        <w:jc w:val="both"/>
        <w:rPr>
          <w:rFonts w:ascii="Verdana" w:eastAsia="Calibri" w:hAnsi="Verdana" w:cs="Arial"/>
          <w:sz w:val="21"/>
          <w:szCs w:val="21"/>
          <w:lang w:val="es-ES" w:eastAsia="es-ES"/>
        </w:rPr>
      </w:pPr>
    </w:p>
    <w:p w14:paraId="37234033" w14:textId="77777777" w:rsidR="0089683F" w:rsidRPr="0089683F" w:rsidRDefault="0089683F" w:rsidP="0089683F">
      <w:pPr>
        <w:spacing w:after="0" w:line="240" w:lineRule="auto"/>
        <w:ind w:left="709" w:right="709"/>
        <w:jc w:val="both"/>
        <w:rPr>
          <w:rFonts w:ascii="Verdana" w:eastAsia="Calibri" w:hAnsi="Verdana" w:cs="Arial"/>
          <w:sz w:val="21"/>
          <w:szCs w:val="21"/>
          <w:lang w:val="es-ES" w:eastAsia="es-ES"/>
        </w:rPr>
      </w:pPr>
      <w:r w:rsidRPr="0089683F">
        <w:rPr>
          <w:rFonts w:ascii="Verdana" w:eastAsia="Calibri" w:hAnsi="Verdana" w:cs="Arial"/>
          <w:sz w:val="21"/>
          <w:szCs w:val="21"/>
          <w:lang w:val="es-ES" w:eastAsia="es-ES"/>
        </w:rPr>
        <w:lastRenderedPageBreak/>
        <w:t>agradecemos la orientación en el manejo de estos pliegos tipo de infraestructura institucional seguridad pública menor cuantía”. [SIC]</w:t>
      </w:r>
    </w:p>
    <w:p w14:paraId="5E62B5D3" w14:textId="77777777" w:rsidR="0089683F" w:rsidRPr="0089683F" w:rsidRDefault="0089683F" w:rsidP="0089683F">
      <w:pPr>
        <w:spacing w:after="0" w:line="240" w:lineRule="auto"/>
        <w:ind w:left="709" w:right="709"/>
        <w:jc w:val="both"/>
        <w:rPr>
          <w:rFonts w:ascii="Verdana" w:eastAsia="Calibri" w:hAnsi="Verdana" w:cs="Arial"/>
          <w:sz w:val="21"/>
          <w:szCs w:val="21"/>
          <w:lang w:val="es-ES" w:eastAsia="es-ES"/>
        </w:rPr>
      </w:pPr>
    </w:p>
    <w:p w14:paraId="0BE63C91" w14:textId="77777777" w:rsidR="0089683F" w:rsidRPr="0089683F" w:rsidRDefault="0089683F" w:rsidP="0089683F">
      <w:pPr>
        <w:spacing w:after="120" w:line="276" w:lineRule="auto"/>
        <w:ind w:firstLine="709"/>
        <w:jc w:val="both"/>
        <w:rPr>
          <w:rFonts w:ascii="Verdana" w:eastAsia="Calibri" w:hAnsi="Verdana" w:cs="Arial"/>
          <w:szCs w:val="24"/>
          <w:lang w:eastAsia="es-ES_tradnl"/>
        </w:rPr>
      </w:pPr>
      <w:r w:rsidRPr="0089683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89683F">
        <w:rPr>
          <w:rFonts w:ascii="Verdana" w:eastAsia="Calibri" w:hAnsi="Verdana" w:cs="Arial"/>
          <w:szCs w:val="24"/>
          <w:lang w:eastAsia="es-ES_tradnl"/>
        </w:rPr>
        <w:tab/>
      </w:r>
    </w:p>
    <w:p w14:paraId="1AAE4325" w14:textId="77777777" w:rsidR="0089683F" w:rsidRPr="0089683F" w:rsidRDefault="0089683F" w:rsidP="0089683F">
      <w:pPr>
        <w:spacing w:after="0" w:line="276" w:lineRule="auto"/>
        <w:ind w:firstLine="709"/>
        <w:jc w:val="both"/>
        <w:rPr>
          <w:rFonts w:ascii="Verdana" w:eastAsia="Calibri" w:hAnsi="Verdana" w:cs="Arial"/>
          <w:lang w:val="es-ES" w:eastAsia="es-ES"/>
        </w:rPr>
      </w:pPr>
      <w:r w:rsidRPr="0089683F">
        <w:rPr>
          <w:rFonts w:ascii="Verdana" w:eastAsia="Calibri" w:hAnsi="Verdana" w:cs="Arial"/>
          <w:lang w:val="es-ES" w:eastAsia="es-ES"/>
        </w:rPr>
        <w:t>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r w:rsidRPr="0089683F">
        <w:rPr>
          <w:rFonts w:ascii="Verdana" w:eastAsia="Calibri" w:hAnsi="Verdana" w:cs="Arial"/>
          <w:lang w:val="es-ES" w:eastAsia="es-ES"/>
        </w:rPr>
        <w:tab/>
      </w:r>
    </w:p>
    <w:p w14:paraId="2A52AC53" w14:textId="77777777" w:rsidR="0089683F" w:rsidRPr="0089683F" w:rsidRDefault="0089683F" w:rsidP="0089683F">
      <w:pPr>
        <w:numPr>
          <w:ilvl w:val="0"/>
          <w:numId w:val="16"/>
        </w:numPr>
        <w:tabs>
          <w:tab w:val="left" w:pos="142"/>
          <w:tab w:val="left" w:pos="284"/>
        </w:tabs>
        <w:spacing w:after="0" w:line="276" w:lineRule="auto"/>
        <w:ind w:left="357" w:hanging="357"/>
        <w:contextualSpacing/>
        <w:jc w:val="both"/>
        <w:rPr>
          <w:rFonts w:ascii="Verdana" w:eastAsia="Century Gothic" w:hAnsi="Verdana" w:cs="Century Gothic"/>
          <w:b/>
          <w:bCs/>
          <w:lang w:val="es-ES" w:eastAsia="es-MX"/>
        </w:rPr>
      </w:pPr>
      <w:r w:rsidRPr="0089683F">
        <w:rPr>
          <w:rFonts w:ascii="Verdana" w:eastAsia="Century Gothic" w:hAnsi="Verdana" w:cs="Century Gothic"/>
          <w:b/>
          <w:bCs/>
          <w:lang w:val="es-ES" w:eastAsia="es-MX"/>
        </w:rPr>
        <w:t>Problema planteado:</w:t>
      </w:r>
    </w:p>
    <w:p w14:paraId="40A9A360" w14:textId="77777777" w:rsidR="0089683F" w:rsidRPr="0089683F" w:rsidRDefault="0089683F" w:rsidP="0089683F">
      <w:pPr>
        <w:tabs>
          <w:tab w:val="left" w:pos="426"/>
        </w:tabs>
        <w:spacing w:after="0" w:line="276" w:lineRule="auto"/>
        <w:jc w:val="both"/>
        <w:rPr>
          <w:rFonts w:ascii="Verdana" w:eastAsia="Century Gothic" w:hAnsi="Verdana" w:cs="Century Gothic"/>
          <w:lang w:val="es-ES" w:eastAsia="es-MX"/>
        </w:rPr>
      </w:pPr>
    </w:p>
    <w:p w14:paraId="46ED6EB2" w14:textId="77777777" w:rsidR="0089683F" w:rsidRPr="0089683F" w:rsidRDefault="0089683F" w:rsidP="0089683F">
      <w:pPr>
        <w:snapToGrid w:val="0"/>
        <w:spacing w:after="0" w:line="276" w:lineRule="auto"/>
        <w:jc w:val="both"/>
        <w:rPr>
          <w:rFonts w:ascii="Verdana" w:eastAsia="Century Gothic" w:hAnsi="Verdana" w:cs="Century Gothic"/>
          <w:lang w:eastAsia="es-MX"/>
        </w:rPr>
      </w:pPr>
      <w:r w:rsidRPr="0089683F">
        <w:rPr>
          <w:rFonts w:ascii="Verdana" w:eastAsia="Century Gothic" w:hAnsi="Verdana" w:cs="Century Gothic"/>
          <w:lang w:eastAsia="es-MX"/>
        </w:rPr>
        <w:t xml:space="preserve">De acuerdo con el contenido de su solicitud, esta Agencia resolverá los siguientes problemas jurídicos relacionados con los documentos tipo de selección abreviada de menor cuantía – sector institucional: </w:t>
      </w:r>
    </w:p>
    <w:p w14:paraId="1DBC6DD2" w14:textId="77777777" w:rsidR="0089683F" w:rsidRPr="0089683F" w:rsidRDefault="0089683F" w:rsidP="0089683F">
      <w:pPr>
        <w:snapToGrid w:val="0"/>
        <w:spacing w:after="0" w:line="276" w:lineRule="auto"/>
        <w:jc w:val="both"/>
        <w:rPr>
          <w:rFonts w:ascii="Verdana" w:eastAsia="Century Gothic" w:hAnsi="Verdana" w:cs="Century Gothic"/>
          <w:lang w:eastAsia="es-MX"/>
        </w:rPr>
      </w:pPr>
    </w:p>
    <w:p w14:paraId="60CDCBE2" w14:textId="77777777" w:rsidR="0089683F" w:rsidRPr="0089683F" w:rsidRDefault="0089683F" w:rsidP="0089683F">
      <w:pPr>
        <w:numPr>
          <w:ilvl w:val="0"/>
          <w:numId w:val="20"/>
        </w:numPr>
        <w:snapToGrid w:val="0"/>
        <w:spacing w:after="0" w:line="276" w:lineRule="auto"/>
        <w:contextualSpacing/>
        <w:jc w:val="both"/>
        <w:rPr>
          <w:rFonts w:ascii="Verdana" w:eastAsia="Century Gothic" w:hAnsi="Verdana" w:cs="Century Gothic"/>
          <w:lang w:eastAsia="es-MX"/>
        </w:rPr>
      </w:pPr>
      <w:r w:rsidRPr="0089683F">
        <w:rPr>
          <w:rFonts w:ascii="Verdana" w:eastAsia="Century Gothic" w:hAnsi="Verdana" w:cs="Century Gothic"/>
        </w:rPr>
        <w:t>¿Cuál es el alcance del Decreto 287 de 2026 frente a la regla de inalterabilidad de los documentos tipo?</w:t>
      </w:r>
    </w:p>
    <w:p w14:paraId="52137897" w14:textId="77777777" w:rsidR="0089683F" w:rsidRPr="0089683F" w:rsidRDefault="0089683F" w:rsidP="0089683F">
      <w:pPr>
        <w:snapToGrid w:val="0"/>
        <w:spacing w:after="0" w:line="276" w:lineRule="auto"/>
        <w:jc w:val="both"/>
        <w:rPr>
          <w:rFonts w:ascii="Verdana" w:eastAsia="Century Gothic" w:hAnsi="Verdana" w:cs="Century Gothic"/>
          <w:lang w:eastAsia="es-MX"/>
        </w:rPr>
      </w:pPr>
    </w:p>
    <w:p w14:paraId="50060A60" w14:textId="77777777" w:rsidR="0089683F" w:rsidRPr="0089683F" w:rsidRDefault="0089683F" w:rsidP="0089683F">
      <w:pPr>
        <w:numPr>
          <w:ilvl w:val="0"/>
          <w:numId w:val="20"/>
        </w:numPr>
        <w:snapToGrid w:val="0"/>
        <w:spacing w:after="0" w:line="276" w:lineRule="auto"/>
        <w:contextualSpacing/>
        <w:jc w:val="both"/>
        <w:rPr>
          <w:rFonts w:ascii="Verdana" w:eastAsia="Century Gothic" w:hAnsi="Verdana" w:cs="Century Gothic"/>
          <w:lang w:eastAsia="es-MX"/>
        </w:rPr>
      </w:pPr>
      <w:r w:rsidRPr="0089683F">
        <w:rPr>
          <w:rFonts w:ascii="Verdana" w:eastAsia="Century Gothic" w:hAnsi="Verdana" w:cs="Century Gothic"/>
          <w:lang w:eastAsia="es-MX"/>
        </w:rPr>
        <w:t>¿Cómo deben interpretarse los valores en moneda extranjera?</w:t>
      </w:r>
    </w:p>
    <w:p w14:paraId="12C8F6B2" w14:textId="77777777" w:rsidR="0089683F" w:rsidRPr="0089683F" w:rsidRDefault="0089683F" w:rsidP="0089683F">
      <w:pPr>
        <w:snapToGrid w:val="0"/>
        <w:spacing w:after="0" w:line="276" w:lineRule="auto"/>
        <w:jc w:val="both"/>
        <w:rPr>
          <w:rFonts w:ascii="Verdana" w:eastAsia="Century Gothic" w:hAnsi="Verdana" w:cs="Century Gothic"/>
          <w:lang w:eastAsia="es-MX"/>
        </w:rPr>
      </w:pPr>
    </w:p>
    <w:p w14:paraId="42ACBAC5" w14:textId="77777777" w:rsidR="0089683F" w:rsidRPr="0089683F" w:rsidRDefault="0089683F" w:rsidP="0089683F">
      <w:pPr>
        <w:numPr>
          <w:ilvl w:val="0"/>
          <w:numId w:val="20"/>
        </w:numPr>
        <w:snapToGrid w:val="0"/>
        <w:spacing w:after="0" w:line="276" w:lineRule="auto"/>
        <w:contextualSpacing/>
        <w:jc w:val="both"/>
        <w:rPr>
          <w:rFonts w:ascii="Verdana" w:eastAsia="Century Gothic" w:hAnsi="Verdana" w:cs="Century Gothic"/>
          <w:lang w:eastAsia="es-MX"/>
        </w:rPr>
      </w:pPr>
      <w:proofErr w:type="gramStart"/>
      <w:r w:rsidRPr="0089683F">
        <w:rPr>
          <w:rFonts w:ascii="Verdana" w:eastAsia="Century Gothic" w:hAnsi="Verdana" w:cs="Century Gothic"/>
          <w:lang w:eastAsia="es-MX"/>
        </w:rPr>
        <w:t>¿Cuál es el alcance del área a intervenir conforme a la actividad 1.</w:t>
      </w:r>
      <w:proofErr w:type="gramEnd"/>
      <w:r w:rsidRPr="0089683F">
        <w:rPr>
          <w:rFonts w:ascii="Verdana" w:eastAsia="Century Gothic" w:hAnsi="Verdana" w:cs="Century Gothic"/>
          <w:lang w:eastAsia="es-MX"/>
        </w:rPr>
        <w:t>2 de la Matriz 1 – Experiencia?</w:t>
      </w:r>
    </w:p>
    <w:p w14:paraId="7785E291" w14:textId="77777777" w:rsidR="0089683F" w:rsidRPr="0089683F" w:rsidRDefault="0089683F" w:rsidP="0089683F">
      <w:pPr>
        <w:snapToGrid w:val="0"/>
        <w:spacing w:after="0" w:line="276" w:lineRule="auto"/>
        <w:jc w:val="both"/>
        <w:rPr>
          <w:rFonts w:ascii="Verdana" w:eastAsia="Century Gothic" w:hAnsi="Verdana" w:cs="Century Gothic"/>
          <w:lang w:eastAsia="es-MX"/>
        </w:rPr>
      </w:pPr>
    </w:p>
    <w:p w14:paraId="6651CE0F" w14:textId="77777777" w:rsidR="0089683F" w:rsidRPr="0089683F" w:rsidRDefault="0089683F" w:rsidP="0089683F">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eastAsia="es-MX"/>
        </w:rPr>
      </w:pPr>
      <w:r w:rsidRPr="0089683F">
        <w:rPr>
          <w:rFonts w:ascii="Verdana" w:eastAsia="Century Gothic" w:hAnsi="Verdana" w:cs="Century Gothic"/>
          <w:b/>
          <w:bCs/>
          <w:lang w:val="es-ES" w:eastAsia="es-MX"/>
        </w:rPr>
        <w:t>Respuesta:</w:t>
      </w:r>
    </w:p>
    <w:p w14:paraId="6B5AF92D" w14:textId="77777777" w:rsidR="0089683F" w:rsidRPr="0089683F" w:rsidRDefault="0089683F" w:rsidP="0089683F">
      <w:pPr>
        <w:tabs>
          <w:tab w:val="left" w:pos="142"/>
          <w:tab w:val="left" w:pos="284"/>
        </w:tabs>
        <w:snapToGrid w:val="0"/>
        <w:spacing w:after="0" w:line="276" w:lineRule="auto"/>
        <w:jc w:val="both"/>
        <w:rPr>
          <w:rFonts w:ascii="Verdana" w:eastAsia="Century Gothic" w:hAnsi="Verdana" w:cs="Century Gothic"/>
          <w:b/>
          <w:bCs/>
          <w:lang w:val="es-ES" w:eastAsia="es-MX"/>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9683F" w:rsidRPr="0089683F" w14:paraId="247010E9" w14:textId="77777777" w:rsidTr="002A1DC7">
        <w:tc>
          <w:tcPr>
            <w:tcW w:w="8828" w:type="dxa"/>
          </w:tcPr>
          <w:p w14:paraId="1C162A7C" w14:textId="77777777" w:rsidR="0089683F" w:rsidRPr="0089683F" w:rsidRDefault="0089683F" w:rsidP="0089683F">
            <w:pPr>
              <w:tabs>
                <w:tab w:val="center" w:pos="4419"/>
                <w:tab w:val="right" w:pos="8838"/>
              </w:tabs>
              <w:snapToGrid w:val="0"/>
              <w:spacing w:after="120" w:line="276" w:lineRule="auto"/>
              <w:jc w:val="both"/>
              <w:rPr>
                <w:rFonts w:ascii="Verdana" w:eastAsia="Calibri" w:hAnsi="Verdana" w:cs="Arial"/>
                <w:color w:val="000000"/>
                <w:lang w:val="es-ES"/>
              </w:rPr>
            </w:pPr>
            <w:r w:rsidRPr="0089683F">
              <w:rPr>
                <w:rFonts w:ascii="Verdana" w:eastAsia="Times New Roman" w:hAnsi="Verdana" w:cs="Arial"/>
                <w:lang w:eastAsia="es-ES"/>
              </w:rPr>
              <w:t xml:space="preserve">i. </w:t>
            </w:r>
            <w:r w:rsidRPr="0089683F">
              <w:rPr>
                <w:rFonts w:ascii="Verdana" w:eastAsia="Calibri" w:hAnsi="Verdana" w:cs="Arial"/>
                <w:color w:val="00000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89683F">
              <w:rPr>
                <w:rFonts w:ascii="Verdana" w:eastAsia="Calibri" w:hAnsi="Verdana" w:cs="Arial"/>
                <w:i/>
                <w:iCs/>
                <w:color w:val="000000"/>
                <w:lang w:val="es-ES"/>
              </w:rPr>
              <w:t>Documentos del Proceso</w:t>
            </w:r>
            <w:r w:rsidRPr="0089683F">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1968A9B2" w14:textId="77777777" w:rsidR="0089683F" w:rsidRPr="0089683F" w:rsidRDefault="0089683F" w:rsidP="0089683F">
            <w:pPr>
              <w:snapToGrid w:val="0"/>
              <w:spacing w:after="120" w:line="276" w:lineRule="auto"/>
              <w:ind w:firstLine="709"/>
              <w:jc w:val="both"/>
              <w:rPr>
                <w:rFonts w:ascii="Verdana" w:eastAsia="Calibri" w:hAnsi="Verdana" w:cs="Arial"/>
                <w:lang w:val="es-ES_tradnl"/>
              </w:rPr>
            </w:pPr>
            <w:r w:rsidRPr="0089683F">
              <w:rPr>
                <w:rFonts w:ascii="Verdana" w:eastAsia="Calibri" w:hAnsi="Verdana" w:cs="Arial"/>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5F42D28D" w14:textId="77777777" w:rsidR="0089683F" w:rsidRPr="0089683F" w:rsidRDefault="0089683F" w:rsidP="0089683F">
            <w:pPr>
              <w:snapToGrid w:val="0"/>
              <w:spacing w:after="120" w:line="276" w:lineRule="auto"/>
              <w:ind w:firstLine="709"/>
              <w:jc w:val="both"/>
              <w:rPr>
                <w:rFonts w:ascii="Verdana" w:eastAsia="Calibri" w:hAnsi="Verdana" w:cs="Arial"/>
                <w:lang w:val="es-ES_tradnl"/>
              </w:rPr>
            </w:pPr>
            <w:r w:rsidRPr="0089683F">
              <w:rPr>
                <w:rFonts w:ascii="Verdana" w:eastAsia="Calibri" w:hAnsi="Verdana" w:cs="Arial"/>
                <w:lang w:val="es-ES_tradnl"/>
              </w:rPr>
              <w:t xml:space="preserve">La inalterabilidad de los documentos tipo es una manifestación en mayor grado de las potestades regladas, lo cual implica una reducción de la discrecionalidad de la Administración en el momento de tomar una decisión en el proceso de contratación. Cada entidad pública sujeta a los documentos tipo deberá hacer una aplicación o constatación irrestricta de las reglas y condiciones dispuestas en estos, salvo que las mismas posibilitan la discrecionalidad en determinados aspectos. </w:t>
            </w:r>
          </w:p>
          <w:p w14:paraId="2194509A" w14:textId="77777777" w:rsidR="0089683F" w:rsidRPr="0089683F" w:rsidRDefault="0089683F" w:rsidP="0089683F">
            <w:pPr>
              <w:snapToGrid w:val="0"/>
              <w:spacing w:after="120" w:line="276" w:lineRule="auto"/>
              <w:ind w:firstLine="709"/>
              <w:jc w:val="both"/>
              <w:rPr>
                <w:rFonts w:ascii="Verdana" w:eastAsia="Calibri" w:hAnsi="Verdana" w:cs="Arial"/>
                <w:lang w:val="es-ES"/>
              </w:rPr>
            </w:pPr>
            <w:r w:rsidRPr="0089683F">
              <w:rPr>
                <w:rFonts w:ascii="Verdana" w:eastAsia="Calibri" w:hAnsi="Verdana" w:cs="Arial"/>
                <w:lang w:val="es-ES"/>
              </w:rPr>
              <w:t xml:space="preserve">Además, las entidades estatales deben garantizar el </w:t>
            </w:r>
            <w:r w:rsidRPr="0089683F">
              <w:rPr>
                <w:rFonts w:ascii="Verdana" w:eastAsia="Calibri" w:hAnsi="Verdana" w:cs="Arial"/>
                <w:i/>
                <w:iCs/>
                <w:lang w:val="es-ES"/>
              </w:rPr>
              <w:t>principio de economía</w:t>
            </w:r>
            <w:r w:rsidRPr="0089683F">
              <w:rPr>
                <w:rFonts w:ascii="Verdana" w:eastAsia="Calibri" w:hAnsi="Verdana" w:cs="Arial"/>
                <w:lang w:val="es-ES"/>
              </w:rPr>
              <w:t xml:space="preserve">, del cual se desprende que no pueden exigir documentos o requisitos más allá de los que permitan la Constitución, la ley y los reglamentos. Este postulado ha sido recogido no solo en la contratación estatal sino además en la normativa </w:t>
            </w:r>
            <w:proofErr w:type="spellStart"/>
            <w:r w:rsidRPr="0089683F">
              <w:rPr>
                <w:rFonts w:ascii="Verdana" w:eastAsia="Calibri" w:hAnsi="Verdana" w:cs="Arial"/>
                <w:lang w:val="es-ES"/>
              </w:rPr>
              <w:t>antitrámites</w:t>
            </w:r>
            <w:proofErr w:type="spellEnd"/>
            <w:r w:rsidRPr="0089683F">
              <w:rPr>
                <w:rFonts w:ascii="Verdana" w:eastAsia="Calibri" w:hAnsi="Verdana" w:cs="Arial"/>
                <w:lang w:val="es-ES"/>
              </w:rPr>
              <w:t xml:space="preserve">; pues se inscribe dentro de la tendencia de simplificación y racionalización de los procedimientos administrativos. De ahí </w:t>
            </w:r>
            <w:r w:rsidRPr="0089683F">
              <w:rPr>
                <w:rFonts w:ascii="Verdana" w:eastAsia="Calibri" w:hAnsi="Verdana" w:cs="Arial"/>
                <w:lang w:val="es-ES"/>
              </w:rPr>
              <w:lastRenderedPageBreak/>
              <w:t>que cuando las autoridades solicitan la entrega de documentación innecesaria, desconocen el principio de economía.</w:t>
            </w:r>
          </w:p>
          <w:p w14:paraId="51E4F491" w14:textId="77777777" w:rsidR="0089683F" w:rsidRPr="0089683F" w:rsidRDefault="0089683F" w:rsidP="0089683F">
            <w:pPr>
              <w:snapToGrid w:val="0"/>
              <w:spacing w:after="120" w:line="276" w:lineRule="auto"/>
              <w:ind w:firstLine="708"/>
              <w:jc w:val="both"/>
              <w:rPr>
                <w:rFonts w:ascii="Verdana" w:eastAsia="Calibri" w:hAnsi="Verdana" w:cs="Arial"/>
                <w:color w:val="000000"/>
                <w:lang w:val="es-ES"/>
              </w:rPr>
            </w:pPr>
            <w:r w:rsidRPr="0089683F">
              <w:rPr>
                <w:rFonts w:ascii="Verdana" w:eastAsia="Calibri" w:hAnsi="Verdana" w:cs="Arial"/>
                <w:color w:val="000000"/>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89683F">
              <w:rPr>
                <w:rFonts w:ascii="Verdana" w:eastAsia="Calibri" w:hAnsi="Verdana" w:cs="Arial"/>
                <w:color w:val="000000"/>
                <w:lang w:val="es-ES"/>
              </w:rPr>
              <w:footnoteReference w:id="1"/>
            </w:r>
            <w:r w:rsidRPr="0089683F">
              <w:rPr>
                <w:rFonts w:ascii="Verdana" w:eastAsia="Calibri" w:hAnsi="Verdana" w:cs="Arial"/>
                <w:color w:val="000000"/>
                <w:lang w:val="es-ES"/>
              </w:rPr>
              <w:t xml:space="preserve">. Si las autoridades pudiesen agregar, eliminar o modificar todos y cada uno de los aspectos contenidos en los pliegos tipo, estos documentos, llanamente, no podrían ser llamados pliegos tipo. </w:t>
            </w:r>
          </w:p>
          <w:p w14:paraId="57874999" w14:textId="77777777" w:rsidR="0089683F" w:rsidRPr="0089683F" w:rsidRDefault="0089683F" w:rsidP="0089683F">
            <w:pPr>
              <w:snapToGrid w:val="0"/>
              <w:spacing w:after="120" w:line="276" w:lineRule="auto"/>
              <w:ind w:firstLine="708"/>
              <w:jc w:val="both"/>
              <w:rPr>
                <w:rFonts w:ascii="Verdana" w:eastAsia="Calibri" w:hAnsi="Verdana" w:cs="Arial"/>
                <w:color w:val="000000"/>
                <w:lang w:val="es-ES"/>
              </w:rPr>
            </w:pPr>
            <w:r w:rsidRPr="0089683F">
              <w:rPr>
                <w:rFonts w:ascii="Verdana" w:eastAsia="Calibri" w:hAnsi="Verdana" w:cs="Arial"/>
                <w:lang w:val="es-MX"/>
              </w:rPr>
              <w:t xml:space="preserve">La parte introductoria de los documentos base de los documentos tipo disponen que los aspectos incluidos en corchetes y resaltados en gris </w:t>
            </w:r>
            <w:r w:rsidRPr="0089683F">
              <w:rPr>
                <w:rFonts w:ascii="Verdana" w:eastAsia="Aptos" w:hAnsi="Verdana" w:cs="Arial"/>
              </w:rPr>
              <w:t>–[</w:t>
            </w:r>
            <w:r w:rsidRPr="0089683F">
              <w:rPr>
                <w:rFonts w:ascii="Verdana" w:eastAsia="Aptos" w:hAnsi="Verdana" w:cs="Arial"/>
                <w:highlight w:val="lightGray"/>
              </w:rPr>
              <w:t>texto de ejemplo</w:t>
            </w:r>
            <w:r w:rsidRPr="0089683F">
              <w:rPr>
                <w:rFonts w:ascii="Verdana" w:eastAsia="Aptos" w:hAnsi="Verdana" w:cs="Arial"/>
              </w:rPr>
              <w:t xml:space="preserve">]– </w:t>
            </w:r>
            <w:r w:rsidRPr="0089683F">
              <w:rPr>
                <w:rFonts w:ascii="Verdana" w:eastAsia="Calibri" w:hAnsi="Verdana" w:cs="Arial"/>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7C1F5423" w14:textId="77777777" w:rsidR="0089683F" w:rsidRPr="0089683F" w:rsidRDefault="0089683F" w:rsidP="0089683F">
            <w:pPr>
              <w:spacing w:line="276" w:lineRule="auto"/>
              <w:ind w:firstLine="709"/>
              <w:jc w:val="both"/>
              <w:rPr>
                <w:rFonts w:ascii="Verdana" w:eastAsia="Calibri" w:hAnsi="Verdana" w:cs="Arial"/>
                <w:bCs/>
                <w:lang w:val="es-MX"/>
              </w:rPr>
            </w:pPr>
            <w:r w:rsidRPr="0089683F">
              <w:rPr>
                <w:rFonts w:ascii="Verdana" w:eastAsia="Calibri" w:hAnsi="Verdana" w:cs="Arial"/>
                <w:bCs/>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58EBAF96" w14:textId="77777777" w:rsidR="0089683F" w:rsidRPr="0089683F" w:rsidRDefault="0089683F" w:rsidP="0089683F">
            <w:pPr>
              <w:spacing w:line="276" w:lineRule="auto"/>
              <w:ind w:firstLine="709"/>
              <w:jc w:val="both"/>
              <w:rPr>
                <w:rFonts w:ascii="Verdana" w:eastAsia="Calibri" w:hAnsi="Verdana" w:cs="Arial"/>
                <w:bCs/>
                <w:lang w:val="es-MX"/>
              </w:rPr>
            </w:pPr>
          </w:p>
          <w:p w14:paraId="64BBE47B" w14:textId="77777777" w:rsidR="0089683F" w:rsidRPr="0089683F" w:rsidRDefault="0089683F" w:rsidP="0089683F">
            <w:pPr>
              <w:widowControl w:val="0"/>
              <w:autoSpaceDE w:val="0"/>
              <w:autoSpaceDN w:val="0"/>
              <w:snapToGrid w:val="0"/>
              <w:spacing w:after="120" w:line="276" w:lineRule="auto"/>
              <w:jc w:val="both"/>
              <w:rPr>
                <w:rFonts w:ascii="Verdana" w:eastAsia="Aptos" w:hAnsi="Verdana" w:cs="Times New Roman"/>
              </w:rPr>
            </w:pPr>
            <w:proofErr w:type="spellStart"/>
            <w:r w:rsidRPr="0089683F">
              <w:rPr>
                <w:rFonts w:ascii="Verdana" w:eastAsia="Aptos" w:hAnsi="Verdana" w:cs="Times New Roman"/>
              </w:rPr>
              <w:t>ii</w:t>
            </w:r>
            <w:proofErr w:type="spellEnd"/>
            <w:r w:rsidRPr="0089683F">
              <w:rPr>
                <w:rFonts w:ascii="Verdana" w:eastAsia="Aptos" w:hAnsi="Verdana" w:cs="Times New Roman"/>
              </w:rPr>
              <w:t xml:space="preserve">. La Ley 2022 de 2020 no solo atribuye la competencia a la Agencia Nacional de Contratación Pública – Colombia Compra Eficiente para adoptar documentos tipo, sino que define expresamente su contenido, al disponer que en estos </w:t>
            </w:r>
            <w:r w:rsidRPr="0089683F">
              <w:rPr>
                <w:rFonts w:ascii="Verdana" w:eastAsia="Aptos" w:hAnsi="Verdana" w:cs="Times New Roman"/>
                <w:i/>
                <w:iCs/>
              </w:rPr>
              <w:t>“(…) se establecerán los requisitos habilitantes, factores técnicos, económicos y otros factores de escogencia, así como aquellos requisitos que, previa justificación, representen buenas prácticas contractuales”.</w:t>
            </w:r>
            <w:r w:rsidRPr="0089683F">
              <w:rPr>
                <w:rFonts w:ascii="Verdana" w:eastAsia="Aptos" w:hAnsi="Verdana" w:cs="Times New Roman"/>
              </w:rPr>
              <w:t xml:space="preserve"> De esta manera, el legislador concentró en la Agencia Nacional de Contratación Pública </w:t>
            </w:r>
            <w:r w:rsidRPr="0089683F">
              <w:rPr>
                <w:rFonts w:ascii="Verdana" w:eastAsia="Aptos" w:hAnsi="Verdana" w:cs="Times New Roman"/>
              </w:rPr>
              <w:lastRenderedPageBreak/>
              <w:t xml:space="preserve">– Colombia Compra Eficiente la definición de los elementos estructurales de los procesos de selección, con el propósito de garantizar la estandarización, la transparencia, la selección objetiva y la eficiencia en el uso de los recursos públicos. </w:t>
            </w:r>
          </w:p>
          <w:p w14:paraId="17393E78" w14:textId="77777777" w:rsidR="0089683F" w:rsidRPr="0089683F" w:rsidRDefault="0089683F" w:rsidP="0089683F">
            <w:pPr>
              <w:widowControl w:val="0"/>
              <w:autoSpaceDE w:val="0"/>
              <w:autoSpaceDN w:val="0"/>
              <w:snapToGrid w:val="0"/>
              <w:spacing w:after="120" w:line="276" w:lineRule="auto"/>
              <w:ind w:firstLine="708"/>
              <w:jc w:val="both"/>
              <w:rPr>
                <w:rFonts w:ascii="Verdana" w:eastAsia="Aptos" w:hAnsi="Verdana" w:cs="Times New Roman"/>
              </w:rPr>
            </w:pPr>
            <w:r w:rsidRPr="0089683F">
              <w:rPr>
                <w:rFonts w:ascii="Verdana" w:eastAsia="Aptos" w:hAnsi="Verdana" w:cs="Times New Roman"/>
              </w:rPr>
              <w:t xml:space="preserve">Concretamente, la competencia prevista en el artículo 1 de la Ley 2022 de 2020, se ejerció mediante la expedición de la Resolución 160 de 2020 del 15 de septiembre de 2020 “Por la cual se adopta el procedimiento para implementar los documentos tipo y se define el sistema para su revisión”, así como con la expedición de múltiples resoluciones mediante las cuales se adoptaron documentos tipo por parte de la Agencia Nacional de Contratación Pública – Colombia Compra Eficiente en diferentes modalidades de selección y sectores, en las cuales, además, se reitera el carácter obligatorio de estos documentos y se establecen reglas específicas para su aplicación. </w:t>
            </w:r>
          </w:p>
          <w:p w14:paraId="0A1E37C5" w14:textId="77777777" w:rsidR="0089683F" w:rsidRPr="0089683F" w:rsidRDefault="0089683F" w:rsidP="0089683F">
            <w:pPr>
              <w:widowControl w:val="0"/>
              <w:autoSpaceDE w:val="0"/>
              <w:autoSpaceDN w:val="0"/>
              <w:snapToGrid w:val="0"/>
              <w:spacing w:after="120" w:line="276" w:lineRule="auto"/>
              <w:ind w:firstLine="708"/>
              <w:jc w:val="both"/>
              <w:rPr>
                <w:rFonts w:ascii="Verdana" w:eastAsia="Aptos" w:hAnsi="Verdana" w:cs="Times New Roman"/>
              </w:rPr>
            </w:pPr>
            <w:r w:rsidRPr="0089683F">
              <w:rPr>
                <w:rFonts w:ascii="Verdana" w:eastAsia="Aptos" w:hAnsi="Verdana" w:cs="Times New Roman"/>
              </w:rPr>
              <w:t>En este sentido, las resoluciones mediante las cuales la Agencia Nacional de Contratación Pública – Colombia Compra Eficiente adoptó documentos tipo, consolidan un sistema de contratación estandarizado –en las modalidades y sectores adoptados– en el que las entidades estatales obligadas a la aplicación deben sujetarse de manera estricta a las condiciones definidas en dichos instrumentos, particularmente, en lo relacionado con requisitos habilitantes, factores de evaluación y sistemas de ponderación.</w:t>
            </w:r>
          </w:p>
          <w:p w14:paraId="444E408E" w14:textId="77777777" w:rsidR="0089683F" w:rsidRPr="0089683F" w:rsidRDefault="0089683F" w:rsidP="0089683F">
            <w:pPr>
              <w:widowControl w:val="0"/>
              <w:autoSpaceDE w:val="0"/>
              <w:autoSpaceDN w:val="0"/>
              <w:snapToGrid w:val="0"/>
              <w:spacing w:after="120" w:line="276" w:lineRule="auto"/>
              <w:ind w:firstLine="708"/>
              <w:jc w:val="both"/>
              <w:rPr>
                <w:rFonts w:ascii="Verdana" w:eastAsia="Aptos" w:hAnsi="Verdana" w:cs="Times New Roman"/>
              </w:rPr>
            </w:pPr>
            <w:r w:rsidRPr="0089683F">
              <w:rPr>
                <w:rFonts w:ascii="Verdana" w:eastAsia="Aptos" w:hAnsi="Verdana" w:cs="Times New Roman"/>
              </w:rPr>
              <w:t>Lo dispuesto en el párrafo precedente, es consecuente con lo desarrollado en el punto uno (i) de la parte considerativa de este concepto. En este se indicó que, sobre los documentos tipo expedidos por la Agencia Nacional de Contratación Pública – Colombia Compra Eficiente, recae la regla de inalterabilidad.</w:t>
            </w:r>
          </w:p>
          <w:p w14:paraId="090F6613" w14:textId="77777777" w:rsidR="0089683F" w:rsidRPr="0089683F" w:rsidRDefault="0089683F" w:rsidP="0089683F">
            <w:pPr>
              <w:widowControl w:val="0"/>
              <w:autoSpaceDE w:val="0"/>
              <w:autoSpaceDN w:val="0"/>
              <w:snapToGrid w:val="0"/>
              <w:spacing w:after="120" w:line="276" w:lineRule="auto"/>
              <w:ind w:firstLine="708"/>
              <w:jc w:val="both"/>
              <w:rPr>
                <w:rFonts w:ascii="Verdana" w:eastAsia="Aptos" w:hAnsi="Verdana" w:cs="Times New Roman"/>
              </w:rPr>
            </w:pPr>
            <w:r w:rsidRPr="0089683F">
              <w:rPr>
                <w:rFonts w:ascii="Verdana" w:eastAsia="Aptos" w:hAnsi="Verdana" w:cs="Times New Roman"/>
              </w:rPr>
              <w:t xml:space="preserve">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w:t>
            </w:r>
            <w:r w:rsidRPr="0089683F">
              <w:rPr>
                <w:rFonts w:ascii="Verdana" w:eastAsia="Aptos" w:hAnsi="Verdana" w:cs="Times New Roman"/>
              </w:rPr>
              <w:lastRenderedPageBreak/>
              <w:t>evaluación y los criterios de escogencia, las entidades estatales no cuentan con competencia para modificarlos o complementarlos de manera autónoma con el fin de incorporar directamente las disposiciones del Decreto en mención.</w:t>
            </w:r>
          </w:p>
          <w:p w14:paraId="2ECB9C41" w14:textId="77777777" w:rsidR="0089683F" w:rsidRPr="0089683F" w:rsidRDefault="0089683F" w:rsidP="0089683F">
            <w:pPr>
              <w:widowControl w:val="0"/>
              <w:autoSpaceDE w:val="0"/>
              <w:autoSpaceDN w:val="0"/>
              <w:snapToGrid w:val="0"/>
              <w:spacing w:after="120" w:line="276" w:lineRule="auto"/>
              <w:ind w:firstLine="708"/>
              <w:jc w:val="both"/>
              <w:rPr>
                <w:rFonts w:ascii="Verdana" w:eastAsia="Aptos" w:hAnsi="Verdana" w:cs="Times New Roman"/>
              </w:rPr>
            </w:pPr>
            <w:r w:rsidRPr="0089683F">
              <w:rPr>
                <w:rFonts w:ascii="Verdana" w:eastAsia="Aptos" w:hAnsi="Verdana" w:cs="Times New Roman"/>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543629AD" w14:textId="77777777" w:rsidR="0089683F" w:rsidRPr="0089683F" w:rsidRDefault="0089683F" w:rsidP="0089683F">
            <w:pPr>
              <w:widowControl w:val="0"/>
              <w:autoSpaceDE w:val="0"/>
              <w:autoSpaceDN w:val="0"/>
              <w:snapToGrid w:val="0"/>
              <w:spacing w:after="120" w:line="276" w:lineRule="auto"/>
              <w:ind w:firstLine="708"/>
              <w:jc w:val="both"/>
              <w:rPr>
                <w:rFonts w:ascii="Verdana" w:eastAsia="Aptos" w:hAnsi="Verdana" w:cs="Times New Roman"/>
              </w:rPr>
            </w:pPr>
            <w:r w:rsidRPr="0089683F">
              <w:rPr>
                <w:rFonts w:ascii="Verdana" w:eastAsia="Aptos" w:hAnsi="Verdana" w:cs="Times New Roman"/>
              </w:rPr>
              <w:t xml:space="preserve">Desde una perspectiva técnica, los documentos tipo constituyen un sistema integral y articulado, en el cual los requisitos habilitantes, los factores de evaluación y las condiciones contractuales se encuentran interrelacionados. En consecuencia, la incorporación aislada de modificaciones podría generar inconsistencias o desajustes en su aplicación, afectando la coherencia del proceso contractual. Por esta razón, la Ley 2022 de 2020 prevé que su adopción y actualización se realice mediante procedimientos estructurados, coordinados y participativos, a cargo de la Agencia Nacional de Contratación Pública – Colombia Compra Eficiente, quien cuenta con la capacidad técnica para garantizar la adecuada integración de las nuevas disposiciones, como por ejemplo el Decreto 287 de 2026. </w:t>
            </w:r>
          </w:p>
          <w:p w14:paraId="3CE9B74D" w14:textId="77777777" w:rsidR="0089683F" w:rsidRPr="0089683F" w:rsidRDefault="0089683F" w:rsidP="0089683F">
            <w:pPr>
              <w:widowControl w:val="0"/>
              <w:autoSpaceDE w:val="0"/>
              <w:autoSpaceDN w:val="0"/>
              <w:snapToGrid w:val="0"/>
              <w:spacing w:after="120" w:line="276" w:lineRule="auto"/>
              <w:ind w:firstLine="708"/>
              <w:jc w:val="both"/>
              <w:rPr>
                <w:rFonts w:ascii="Verdana" w:eastAsia="Aptos" w:hAnsi="Verdana" w:cs="Times New Roman"/>
              </w:rPr>
            </w:pPr>
            <w:r w:rsidRPr="0089683F">
              <w:rPr>
                <w:rFonts w:ascii="Verdana" w:eastAsia="Aptos" w:hAnsi="Verdana" w:cs="Times New Roman"/>
              </w:rPr>
              <w:t>Adicionalmente, el propio Decreto 287 de 2026 en el artículo 1 que modifica el artículo 2.2.1.2.4.2.7.8 al Decreto 1082 de 2015,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w:t>
            </w:r>
            <w:r w:rsidRPr="0089683F">
              <w:rPr>
                <w:rFonts w:ascii="Aptos" w:eastAsia="Aptos" w:hAnsi="Aptos" w:cs="Times New Roman"/>
              </w:rPr>
              <w:t>”</w:t>
            </w:r>
            <w:r w:rsidRPr="0089683F">
              <w:rPr>
                <w:rFonts w:ascii="Verdana" w:eastAsia="Aptos" w:hAnsi="Verdana" w:cs="Times New Roman"/>
              </w:rPr>
              <w:t xml:space="preserve">, lo cual confirma que la operatividad de dichas disposiciones en el ámbito de los documentos tipo depende de su desarrollo por parte de esta entidad. </w:t>
            </w:r>
          </w:p>
          <w:p w14:paraId="6D29DC90" w14:textId="77777777" w:rsidR="0089683F" w:rsidRPr="0089683F" w:rsidRDefault="0089683F" w:rsidP="0089683F">
            <w:pPr>
              <w:widowControl w:val="0"/>
              <w:autoSpaceDE w:val="0"/>
              <w:autoSpaceDN w:val="0"/>
              <w:snapToGrid w:val="0"/>
              <w:spacing w:after="120" w:line="276" w:lineRule="auto"/>
              <w:ind w:firstLine="708"/>
              <w:jc w:val="both"/>
              <w:rPr>
                <w:rFonts w:ascii="Verdana" w:eastAsia="Aptos" w:hAnsi="Verdana" w:cs="Times New Roman"/>
              </w:rPr>
            </w:pPr>
            <w:r w:rsidRPr="0089683F">
              <w:rPr>
                <w:rFonts w:ascii="Verdana" w:eastAsia="Aptos" w:hAnsi="Verdana" w:cs="Times New Roman"/>
              </w:rPr>
              <w:t xml:space="preserve">Lo anterior es consecuente con lo dispuesto en el ABC del Decreto 0287 </w:t>
            </w:r>
            <w:r w:rsidRPr="0089683F">
              <w:rPr>
                <w:rFonts w:ascii="Verdana" w:eastAsia="Aptos" w:hAnsi="Verdana" w:cs="Times New Roman"/>
              </w:rPr>
              <w:lastRenderedPageBreak/>
              <w:t xml:space="preserve">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79FF671C" w14:textId="77777777" w:rsidR="0089683F" w:rsidRPr="0089683F" w:rsidRDefault="0089683F" w:rsidP="0089683F">
            <w:pPr>
              <w:widowControl w:val="0"/>
              <w:autoSpaceDE w:val="0"/>
              <w:autoSpaceDN w:val="0"/>
              <w:snapToGrid w:val="0"/>
              <w:spacing w:after="120" w:line="276" w:lineRule="auto"/>
              <w:ind w:firstLine="708"/>
              <w:jc w:val="both"/>
              <w:rPr>
                <w:rFonts w:ascii="Verdana" w:eastAsia="Aptos" w:hAnsi="Verdana" w:cs="Times New Roman"/>
              </w:rPr>
            </w:pPr>
            <w:r w:rsidRPr="0089683F">
              <w:rPr>
                <w:rFonts w:ascii="Verdana" w:eastAsia="Aptos" w:hAnsi="Verdana" w:cs="Times New Roman"/>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5623A577" w14:textId="77777777" w:rsidR="0089683F" w:rsidRPr="0089683F" w:rsidRDefault="0089683F" w:rsidP="0089683F">
            <w:pPr>
              <w:widowControl w:val="0"/>
              <w:autoSpaceDE w:val="0"/>
              <w:autoSpaceDN w:val="0"/>
              <w:snapToGrid w:val="0"/>
              <w:spacing w:after="120" w:line="276" w:lineRule="auto"/>
              <w:ind w:firstLine="708"/>
              <w:jc w:val="both"/>
              <w:rPr>
                <w:rFonts w:ascii="Verdana" w:eastAsia="Aptos" w:hAnsi="Verdana" w:cs="Times New Roman"/>
              </w:rPr>
            </w:pPr>
            <w:r w:rsidRPr="0089683F">
              <w:rPr>
                <w:rFonts w:ascii="Verdana" w:eastAsia="Aptos" w:hAnsi="Verdana" w:cs="Times New Roman"/>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14:paraId="308FAFA8" w14:textId="77777777" w:rsidR="0089683F" w:rsidRPr="0089683F" w:rsidRDefault="0089683F" w:rsidP="0089683F">
            <w:pPr>
              <w:widowControl w:val="0"/>
              <w:autoSpaceDE w:val="0"/>
              <w:autoSpaceDN w:val="0"/>
              <w:snapToGrid w:val="0"/>
              <w:spacing w:after="120" w:line="276" w:lineRule="auto"/>
              <w:ind w:firstLine="708"/>
              <w:jc w:val="both"/>
              <w:rPr>
                <w:rFonts w:ascii="Verdana" w:eastAsia="Aptos" w:hAnsi="Verdana" w:cs="Times New Roman"/>
              </w:rPr>
            </w:pPr>
            <w:r w:rsidRPr="0089683F">
              <w:rPr>
                <w:rFonts w:ascii="Verdana" w:eastAsia="Aptos" w:hAnsi="Verdana" w:cs="Times New Roman"/>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13528950" w14:textId="77777777" w:rsidR="0089683F" w:rsidRPr="0089683F" w:rsidRDefault="0089683F" w:rsidP="0089683F">
            <w:pPr>
              <w:widowControl w:val="0"/>
              <w:autoSpaceDE w:val="0"/>
              <w:autoSpaceDN w:val="0"/>
              <w:snapToGrid w:val="0"/>
              <w:spacing w:line="276" w:lineRule="auto"/>
              <w:ind w:firstLine="708"/>
              <w:jc w:val="both"/>
              <w:rPr>
                <w:rFonts w:ascii="Verdana" w:eastAsia="Aptos" w:hAnsi="Verdana" w:cs="Times New Roman"/>
                <w:kern w:val="2"/>
                <w14:ligatures w14:val="standardContextual"/>
              </w:rPr>
            </w:pPr>
            <w:r w:rsidRPr="0089683F">
              <w:rPr>
                <w:rFonts w:ascii="Verdana" w:eastAsia="Aptos" w:hAnsi="Verdana" w:cs="Times New Roman"/>
                <w:kern w:val="2"/>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w:t>
            </w:r>
            <w:r w:rsidRPr="0089683F">
              <w:rPr>
                <w:rFonts w:ascii="Verdana" w:eastAsia="Aptos" w:hAnsi="Verdana" w:cs="Times New Roman"/>
                <w:kern w:val="2"/>
                <w14:ligatures w14:val="standardContextual"/>
              </w:rPr>
              <w:lastRenderedPageBreak/>
              <w:t>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w:t>
            </w:r>
          </w:p>
          <w:p w14:paraId="606A8E43" w14:textId="77777777" w:rsidR="0089683F" w:rsidRPr="0089683F" w:rsidRDefault="0089683F" w:rsidP="0089683F">
            <w:pPr>
              <w:widowControl w:val="0"/>
              <w:autoSpaceDE w:val="0"/>
              <w:autoSpaceDN w:val="0"/>
              <w:snapToGrid w:val="0"/>
              <w:spacing w:line="276" w:lineRule="auto"/>
              <w:ind w:firstLine="708"/>
              <w:jc w:val="both"/>
              <w:rPr>
                <w:rFonts w:ascii="Verdana" w:eastAsia="Aptos" w:hAnsi="Verdana" w:cs="Times New Roman"/>
              </w:rPr>
            </w:pPr>
          </w:p>
          <w:p w14:paraId="72E09620" w14:textId="7E483E01" w:rsidR="0089683F" w:rsidRPr="0089683F" w:rsidRDefault="0089683F" w:rsidP="0089683F">
            <w:pPr>
              <w:spacing w:line="276" w:lineRule="auto"/>
              <w:jc w:val="both"/>
              <w:rPr>
                <w:rFonts w:ascii="Verdana" w:eastAsia="Aptos" w:hAnsi="Verdana" w:cs="Aptos"/>
                <w:lang w:val="es-MX"/>
              </w:rPr>
            </w:pPr>
            <w:proofErr w:type="spellStart"/>
            <w:r w:rsidRPr="0089683F">
              <w:rPr>
                <w:rFonts w:ascii="Verdana" w:eastAsia="Aptos" w:hAnsi="Verdana" w:cs="Aptos"/>
                <w:lang w:val="es-ES_tradnl"/>
              </w:rPr>
              <w:t>iii</w:t>
            </w:r>
            <w:proofErr w:type="spellEnd"/>
            <w:r w:rsidRPr="0089683F">
              <w:rPr>
                <w:rFonts w:ascii="Verdana" w:eastAsia="Aptos" w:hAnsi="Verdana" w:cs="Aptos"/>
                <w:lang w:val="es-ES_tradnl"/>
              </w:rPr>
              <w:t xml:space="preserve">. Por otra parte, conviene señalar que, </w:t>
            </w:r>
            <w:r w:rsidRPr="0089683F">
              <w:rPr>
                <w:rFonts w:ascii="Verdana" w:eastAsia="Aptos" w:hAnsi="Verdana" w:cs="Aptos"/>
                <w:lang w:val="es-MX"/>
              </w:rPr>
              <w:t xml:space="preserve">el literal I del numeral </w:t>
            </w:r>
            <w:r w:rsidRPr="0089683F">
              <w:rPr>
                <w:rFonts w:ascii="Verdana" w:eastAsia="Aptos" w:hAnsi="Verdana" w:cs="Aptos"/>
                <w:i/>
                <w:iCs/>
                <w:lang w:val="es-MX"/>
              </w:rPr>
              <w:t>3.5.2 “CONSIDERACIONES PARA LA VALIDEZ DE LA EXPERIENCIA</w:t>
            </w:r>
            <w:r w:rsidRPr="0089683F">
              <w:rPr>
                <w:rFonts w:ascii="Verdana" w:eastAsia="Aptos" w:hAnsi="Verdana" w:cs="Aptos"/>
                <w:lang w:val="es-MX"/>
              </w:rPr>
              <w:t xml:space="preserve"> </w:t>
            </w:r>
            <w:r w:rsidRPr="0089683F">
              <w:rPr>
                <w:rFonts w:ascii="Verdana" w:eastAsia="Aptos" w:hAnsi="Verdana" w:cs="Aptos"/>
                <w:i/>
                <w:iCs/>
                <w:lang w:val="es-MX"/>
              </w:rPr>
              <w:t>REQUERIDA”</w:t>
            </w:r>
            <w:r w:rsidRPr="0089683F">
              <w:rPr>
                <w:rFonts w:ascii="Verdana" w:eastAsia="Aptos" w:hAnsi="Verdana" w:cs="Aptos"/>
                <w:lang w:val="es-MX"/>
              </w:rPr>
              <w:t xml:space="preserve"> del documento base de los </w:t>
            </w:r>
            <w:r w:rsidR="000847DC" w:rsidRPr="0089683F">
              <w:rPr>
                <w:rFonts w:ascii="Verdana" w:eastAsia="Aptos" w:hAnsi="Verdana" w:cs="Aptos"/>
                <w:lang w:val="es-MX"/>
              </w:rPr>
              <w:t>documentos</w:t>
            </w:r>
            <w:r w:rsidRPr="0089683F">
              <w:rPr>
                <w:rFonts w:ascii="Verdana" w:eastAsia="Aptos" w:hAnsi="Verdana" w:cs="Aptos"/>
                <w:lang w:val="es-MX"/>
              </w:rPr>
              <w:t xml:space="preserve"> tipo en comento, señala:</w:t>
            </w:r>
          </w:p>
          <w:p w14:paraId="2CEC3825" w14:textId="77777777" w:rsidR="0089683F" w:rsidRPr="0089683F" w:rsidRDefault="0089683F" w:rsidP="0089683F">
            <w:pPr>
              <w:spacing w:line="276" w:lineRule="auto"/>
              <w:jc w:val="both"/>
              <w:rPr>
                <w:rFonts w:ascii="Verdana" w:eastAsia="Aptos" w:hAnsi="Verdana" w:cs="Aptos"/>
                <w:lang w:val="es-MX"/>
              </w:rPr>
            </w:pPr>
          </w:p>
          <w:p w14:paraId="7D32BA48" w14:textId="77777777" w:rsidR="0089683F" w:rsidRPr="0089683F" w:rsidRDefault="0089683F" w:rsidP="0089683F">
            <w:pPr>
              <w:ind w:left="709" w:right="709"/>
              <w:jc w:val="both"/>
              <w:rPr>
                <w:rFonts w:ascii="Verdana" w:eastAsia="Aptos" w:hAnsi="Verdana" w:cs="Aptos"/>
                <w:sz w:val="21"/>
                <w:szCs w:val="21"/>
                <w:lang w:val="es-MX"/>
              </w:rPr>
            </w:pPr>
            <w:r w:rsidRPr="0089683F">
              <w:rPr>
                <w:rFonts w:ascii="Verdana" w:eastAsia="Aptos" w:hAnsi="Verdana" w:cs="Aptos"/>
                <w:sz w:val="21"/>
                <w:szCs w:val="21"/>
                <w:lang w:val="es-MX"/>
              </w:rPr>
              <w:t>“[…]</w:t>
            </w:r>
          </w:p>
          <w:p w14:paraId="1E214A01" w14:textId="77777777" w:rsidR="0089683F" w:rsidRPr="0089683F" w:rsidRDefault="0089683F" w:rsidP="0089683F">
            <w:pPr>
              <w:ind w:left="709" w:right="709"/>
              <w:jc w:val="both"/>
              <w:rPr>
                <w:rFonts w:ascii="Verdana" w:eastAsia="Aptos" w:hAnsi="Verdana" w:cs="Aptos"/>
                <w:sz w:val="21"/>
                <w:szCs w:val="21"/>
                <w:lang w:val="es-MX"/>
              </w:rPr>
            </w:pPr>
            <w:r w:rsidRPr="0089683F">
              <w:rPr>
                <w:rFonts w:ascii="Verdana" w:eastAsia="Aptos" w:hAnsi="Verdana" w:cs="Aptos"/>
                <w:sz w:val="21"/>
                <w:szCs w:val="21"/>
                <w:lang w:val="es-MX"/>
              </w:rPr>
              <w:t xml:space="preserve">Para estos efectos, el oferente deberá acreditar los valores y magnitudes intervenidas dentro del respectivo Contrato, empleando alguno de los documentos válidos establecidos en el numeral 3.5.5 del Pliego de Condiciones. En todo caso, la Entidad permitirá la subsanación, en los términos del numeral 1.6 del Pliego de Condiciones, requiriendo al Proponente para que acredite los valores ejecutados y magnitudes intervenidas. De no lograrse la discriminación de los valores y magnitudes ejecutadas en el marco del respectivo Contrato, la Entidad no lo tendrá en cuenta para la evaluación. </w:t>
            </w:r>
          </w:p>
          <w:p w14:paraId="7E20C6ED" w14:textId="77777777" w:rsidR="0089683F" w:rsidRPr="0089683F" w:rsidRDefault="0089683F" w:rsidP="0089683F">
            <w:pPr>
              <w:ind w:left="709" w:right="709"/>
              <w:jc w:val="both"/>
              <w:rPr>
                <w:rFonts w:ascii="Verdana" w:eastAsia="Aptos" w:hAnsi="Verdana" w:cs="Aptos"/>
                <w:sz w:val="21"/>
                <w:szCs w:val="21"/>
                <w:lang w:val="es-MX"/>
              </w:rPr>
            </w:pPr>
          </w:p>
          <w:p w14:paraId="4A7C65A3" w14:textId="77777777" w:rsidR="0089683F" w:rsidRPr="0089683F" w:rsidRDefault="0089683F" w:rsidP="0089683F">
            <w:pPr>
              <w:ind w:left="709" w:right="709"/>
              <w:jc w:val="both"/>
              <w:rPr>
                <w:rFonts w:ascii="Verdana" w:eastAsia="Aptos" w:hAnsi="Verdana" w:cs="Aptos"/>
                <w:sz w:val="21"/>
                <w:szCs w:val="21"/>
                <w:lang w:val="es-MX"/>
              </w:rPr>
            </w:pPr>
            <w:r w:rsidRPr="0089683F">
              <w:rPr>
                <w:rFonts w:ascii="Verdana" w:eastAsia="Aptos" w:hAnsi="Verdana" w:cs="Aptos"/>
                <w:sz w:val="21"/>
                <w:szCs w:val="21"/>
                <w:lang w:val="es-MX"/>
              </w:rPr>
              <w:t>En el evento en que los valores de los documentos aportados se expresen en moneda extranjera, se procederá de conformidad con lo previsto en el literal A del numeral 1.13. Para este caso, la fecha de terminación de la etapa constructiva y/o de intervención de la obra hará las veces de fecha de terminación del Contrato. Ahora, para la conversión de dichos valores a SMMLV se seguirá el proceso descrito en el literal B del numeral 1.13, para lo cual se emplearán los valores históricos de SMMLV señalados por el Banco de la República (http://www.banrep.gov.co/es/mercado-laboral/salarios), del año correspondiente a la fecha de terminación de la etapa constructiva y/o de intervención de la obra.</w:t>
            </w:r>
          </w:p>
          <w:p w14:paraId="2153FBA7" w14:textId="77777777" w:rsidR="0089683F" w:rsidRPr="0089683F" w:rsidRDefault="0089683F" w:rsidP="0089683F">
            <w:pPr>
              <w:ind w:left="709" w:right="709"/>
              <w:jc w:val="both"/>
              <w:rPr>
                <w:rFonts w:ascii="Verdana" w:eastAsia="Aptos" w:hAnsi="Verdana" w:cs="Aptos"/>
                <w:sz w:val="21"/>
                <w:szCs w:val="21"/>
                <w:lang w:val="es-MX"/>
              </w:rPr>
            </w:pPr>
            <w:r w:rsidRPr="0089683F">
              <w:rPr>
                <w:rFonts w:ascii="Verdana" w:eastAsia="Aptos" w:hAnsi="Verdana" w:cs="Aptos"/>
                <w:sz w:val="21"/>
                <w:szCs w:val="21"/>
                <w:lang w:val="es-MX"/>
              </w:rPr>
              <w:t>[…]”</w:t>
            </w:r>
          </w:p>
          <w:p w14:paraId="2DE9FC8D" w14:textId="77777777" w:rsidR="0089683F" w:rsidRPr="0089683F" w:rsidRDefault="0089683F" w:rsidP="0089683F">
            <w:pPr>
              <w:spacing w:line="276" w:lineRule="auto"/>
              <w:jc w:val="both"/>
              <w:rPr>
                <w:rFonts w:ascii="Verdana" w:eastAsia="Aptos" w:hAnsi="Verdana" w:cs="Aptos"/>
                <w:i/>
                <w:iCs/>
                <w:u w:val="single"/>
                <w:lang w:val="es-MX"/>
              </w:rPr>
            </w:pPr>
          </w:p>
          <w:p w14:paraId="048A809F" w14:textId="77777777" w:rsidR="0089683F" w:rsidRPr="0089683F" w:rsidRDefault="0089683F" w:rsidP="0089683F">
            <w:pPr>
              <w:spacing w:line="276" w:lineRule="auto"/>
              <w:ind w:firstLine="709"/>
              <w:jc w:val="both"/>
              <w:rPr>
                <w:rFonts w:ascii="Verdana" w:eastAsia="Aptos" w:hAnsi="Verdana" w:cs="Aptos"/>
                <w:lang w:val="es-ES_tradnl"/>
              </w:rPr>
            </w:pPr>
            <w:r w:rsidRPr="0089683F">
              <w:rPr>
                <w:rFonts w:ascii="Verdana" w:eastAsia="Aptos" w:hAnsi="Verdana" w:cs="Aptos"/>
                <w:lang w:val="es-ES_tradnl"/>
              </w:rPr>
              <w:t xml:space="preserve">En ese sentido, en el numeral 1.13, literal A. “Monedas Extranjeras” del documento base, se indican las consideraciones para presentación de documentos dentro de la propuesta, y se establece que los valores de los </w:t>
            </w:r>
            <w:r w:rsidRPr="0089683F">
              <w:rPr>
                <w:rFonts w:ascii="Verdana" w:eastAsia="Aptos" w:hAnsi="Verdana" w:cs="Aptos"/>
                <w:lang w:val="es-ES_tradnl"/>
              </w:rPr>
              <w:lastRenderedPageBreak/>
              <w:t>documentos aportados en la propuesta deben presentarse en pesos colombianos. Asimismo, se precisa que cuando un valor se exprese en moneda extranjera, este debe convertirse de acuerdo con los siguientes criterios:</w:t>
            </w:r>
          </w:p>
          <w:p w14:paraId="50750D9B" w14:textId="77777777" w:rsidR="0089683F" w:rsidRPr="0089683F" w:rsidRDefault="0089683F" w:rsidP="0089683F">
            <w:pPr>
              <w:ind w:left="709" w:right="709"/>
              <w:jc w:val="both"/>
              <w:rPr>
                <w:rFonts w:ascii="Verdana" w:eastAsia="Aptos" w:hAnsi="Verdana" w:cs="Aptos"/>
                <w:sz w:val="21"/>
                <w:szCs w:val="21"/>
                <w:lang w:val="es-ES_tradnl"/>
              </w:rPr>
            </w:pPr>
          </w:p>
          <w:p w14:paraId="3597D5D7" w14:textId="77777777" w:rsidR="0089683F" w:rsidRPr="0089683F" w:rsidRDefault="0089683F" w:rsidP="0089683F">
            <w:pPr>
              <w:numPr>
                <w:ilvl w:val="0"/>
                <w:numId w:val="18"/>
              </w:numPr>
              <w:adjustRightInd w:val="0"/>
              <w:spacing w:after="200"/>
              <w:ind w:left="709" w:right="709" w:firstLine="0"/>
              <w:contextualSpacing/>
              <w:jc w:val="both"/>
              <w:rPr>
                <w:rFonts w:ascii="Verdana" w:eastAsia="Arial,Calibri" w:hAnsi="Verdana" w:cs="Arial"/>
                <w:sz w:val="21"/>
                <w:szCs w:val="21"/>
                <w:lang w:val="es-ES_tradnl" w:eastAsia="es-CO"/>
              </w:rPr>
            </w:pPr>
            <w:r w:rsidRPr="0089683F">
              <w:rPr>
                <w:rFonts w:ascii="Verdana" w:eastAsia="Arial" w:hAnsi="Verdana" w:cs="Arial"/>
                <w:sz w:val="21"/>
                <w:szCs w:val="21"/>
                <w:lang w:val="es-ES_tradnl" w:eastAsia="es-CO"/>
              </w:rPr>
              <w:t>Si</w:t>
            </w:r>
            <w:r w:rsidRPr="0089683F">
              <w:rPr>
                <w:rFonts w:ascii="Verdana" w:eastAsia="Arial,Calibri" w:hAnsi="Verdana" w:cs="Arial"/>
                <w:sz w:val="21"/>
                <w:szCs w:val="21"/>
                <w:lang w:val="es-ES_tradnl" w:eastAsia="es-CO"/>
              </w:rPr>
              <w:t xml:space="preserve"> </w:t>
            </w:r>
            <w:r w:rsidRPr="0089683F">
              <w:rPr>
                <w:rFonts w:ascii="Verdana" w:eastAsia="Arial" w:hAnsi="Verdana" w:cs="Arial"/>
                <w:sz w:val="21"/>
                <w:szCs w:val="21"/>
                <w:lang w:val="es-ES_tradnl" w:eastAsia="es-CO"/>
              </w:rPr>
              <w:t>los valores de un Contrato están</w:t>
            </w:r>
            <w:r w:rsidRPr="0089683F">
              <w:rPr>
                <w:rFonts w:ascii="Verdana" w:eastAsia="Arial,Calibri" w:hAnsi="Verdana" w:cs="Arial"/>
                <w:sz w:val="21"/>
                <w:szCs w:val="21"/>
                <w:lang w:val="es-ES_tradnl" w:eastAsia="es-CO"/>
              </w:rPr>
              <w:t xml:space="preserve"> </w:t>
            </w:r>
            <w:r w:rsidRPr="0089683F">
              <w:rPr>
                <w:rFonts w:ascii="Verdana" w:eastAsia="Arial" w:hAnsi="Verdana" w:cs="Arial"/>
                <w:sz w:val="21"/>
                <w:szCs w:val="21"/>
                <w:lang w:val="es-ES_tradnl" w:eastAsia="es-CO"/>
              </w:rPr>
              <w:t>expresados</w:t>
            </w:r>
            <w:r w:rsidRPr="0089683F">
              <w:rPr>
                <w:rFonts w:ascii="Verdana" w:eastAsia="Arial,Calibri" w:hAnsi="Verdana" w:cs="Arial"/>
                <w:sz w:val="21"/>
                <w:szCs w:val="21"/>
                <w:lang w:val="es-ES_tradnl" w:eastAsia="es-CO"/>
              </w:rPr>
              <w:t xml:space="preserve"> </w:t>
            </w:r>
            <w:r w:rsidRPr="0089683F">
              <w:rPr>
                <w:rFonts w:ascii="Verdana" w:eastAsia="Arial" w:hAnsi="Verdana" w:cs="Arial"/>
                <w:sz w:val="21"/>
                <w:szCs w:val="21"/>
                <w:lang w:val="es-ES_tradnl" w:eastAsia="es-CO"/>
              </w:rPr>
              <w:t>originalmente</w:t>
            </w:r>
            <w:r w:rsidRPr="0089683F">
              <w:rPr>
                <w:rFonts w:ascii="Verdana" w:eastAsia="Arial,Calibri" w:hAnsi="Verdana" w:cs="Arial"/>
                <w:sz w:val="21"/>
                <w:szCs w:val="21"/>
                <w:lang w:val="es-ES_tradnl" w:eastAsia="es-CO"/>
              </w:rPr>
              <w:t xml:space="preserve"> </w:t>
            </w:r>
            <w:r w:rsidRPr="0089683F">
              <w:rPr>
                <w:rFonts w:ascii="Verdana" w:eastAsia="Arial" w:hAnsi="Verdana" w:cs="Arial"/>
                <w:sz w:val="21"/>
                <w:szCs w:val="21"/>
                <w:lang w:val="es-ES_tradnl" w:eastAsia="es-CO"/>
              </w:rPr>
              <w:t>en</w:t>
            </w:r>
            <w:r w:rsidRPr="0089683F">
              <w:rPr>
                <w:rFonts w:ascii="Verdana" w:eastAsia="Arial,Calibri" w:hAnsi="Verdana" w:cs="Arial"/>
                <w:sz w:val="21"/>
                <w:szCs w:val="21"/>
                <w:lang w:val="es-ES_tradnl" w:eastAsia="es-CO"/>
              </w:rPr>
              <w:t xml:space="preserve"> </w:t>
            </w:r>
            <w:proofErr w:type="gramStart"/>
            <w:r w:rsidRPr="0089683F">
              <w:rPr>
                <w:rFonts w:ascii="Verdana" w:eastAsia="Arial" w:hAnsi="Verdana" w:cs="Arial"/>
                <w:sz w:val="21"/>
                <w:szCs w:val="21"/>
                <w:lang w:val="es-ES_tradnl" w:eastAsia="es-CO"/>
              </w:rPr>
              <w:t>Dólares</w:t>
            </w:r>
            <w:proofErr w:type="gramEnd"/>
            <w:r w:rsidRPr="0089683F">
              <w:rPr>
                <w:rFonts w:ascii="Verdana" w:eastAsia="Arial,Calibri" w:hAnsi="Verdana" w:cs="Arial"/>
                <w:sz w:val="21"/>
                <w:szCs w:val="21"/>
                <w:lang w:val="es-ES_tradnl" w:eastAsia="es-CO"/>
              </w:rPr>
              <w:t xml:space="preserve"> </w:t>
            </w:r>
            <w:r w:rsidRPr="0089683F">
              <w:rPr>
                <w:rFonts w:ascii="Verdana" w:eastAsia="Arial" w:hAnsi="Verdana" w:cs="Arial"/>
                <w:sz w:val="21"/>
                <w:szCs w:val="21"/>
                <w:lang w:val="es-ES_tradnl" w:eastAsia="es-CO"/>
              </w:rPr>
              <w:t>de</w:t>
            </w:r>
            <w:r w:rsidRPr="0089683F">
              <w:rPr>
                <w:rFonts w:ascii="Verdana" w:eastAsia="Arial,Calibri" w:hAnsi="Verdana" w:cs="Arial"/>
                <w:sz w:val="21"/>
                <w:szCs w:val="21"/>
                <w:lang w:val="es-ES_tradnl" w:eastAsia="es-CO"/>
              </w:rPr>
              <w:t xml:space="preserve"> </w:t>
            </w:r>
            <w:r w:rsidRPr="0089683F">
              <w:rPr>
                <w:rFonts w:ascii="Verdana" w:eastAsia="Arial" w:hAnsi="Verdana" w:cs="Arial"/>
                <w:sz w:val="21"/>
                <w:szCs w:val="21"/>
                <w:lang w:val="es-ES_tradnl" w:eastAsia="es-CO"/>
              </w:rPr>
              <w:t>los</w:t>
            </w:r>
            <w:r w:rsidRPr="0089683F">
              <w:rPr>
                <w:rFonts w:ascii="Verdana" w:eastAsia="Arial,Calibri" w:hAnsi="Verdana" w:cs="Arial"/>
                <w:sz w:val="21"/>
                <w:szCs w:val="21"/>
                <w:lang w:val="es-ES_tradnl" w:eastAsia="es-CO"/>
              </w:rPr>
              <w:t xml:space="preserve"> </w:t>
            </w:r>
            <w:r w:rsidRPr="0089683F">
              <w:rPr>
                <w:rFonts w:ascii="Verdana" w:eastAsia="Arial" w:hAnsi="Verdana" w:cs="Arial"/>
                <w:sz w:val="21"/>
                <w:szCs w:val="21"/>
                <w:lang w:val="es-ES_tradnl" w:eastAsia="es-CO"/>
              </w:rPr>
              <w:t>Estados</w:t>
            </w:r>
            <w:r w:rsidRPr="0089683F">
              <w:rPr>
                <w:rFonts w:ascii="Verdana" w:eastAsia="Arial,Calibri" w:hAnsi="Verdana" w:cs="Arial"/>
                <w:sz w:val="21"/>
                <w:szCs w:val="21"/>
                <w:lang w:val="es-ES_tradnl" w:eastAsia="es-CO"/>
              </w:rPr>
              <w:t xml:space="preserve"> </w:t>
            </w:r>
            <w:r w:rsidRPr="0089683F">
              <w:rPr>
                <w:rFonts w:ascii="Verdana" w:eastAsia="Arial" w:hAnsi="Verdana" w:cs="Arial"/>
                <w:sz w:val="21"/>
                <w:szCs w:val="21"/>
                <w:lang w:val="es-ES_tradnl" w:eastAsia="es-CO"/>
              </w:rPr>
              <w:t>Unidos</w:t>
            </w:r>
            <w:r w:rsidRPr="0089683F">
              <w:rPr>
                <w:rFonts w:ascii="Verdana" w:eastAsia="Arial,Calibri" w:hAnsi="Verdana" w:cs="Arial"/>
                <w:sz w:val="21"/>
                <w:szCs w:val="21"/>
                <w:lang w:val="es-ES_tradnl" w:eastAsia="es-CO"/>
              </w:rPr>
              <w:t xml:space="preserve"> </w:t>
            </w:r>
            <w:r w:rsidRPr="0089683F">
              <w:rPr>
                <w:rFonts w:ascii="Verdana" w:eastAsia="Arial" w:hAnsi="Verdana" w:cs="Arial"/>
                <w:sz w:val="21"/>
                <w:szCs w:val="21"/>
                <w:lang w:val="es-ES_tradnl" w:eastAsia="es-CO"/>
              </w:rPr>
              <w:t>de</w:t>
            </w:r>
            <w:r w:rsidRPr="0089683F">
              <w:rPr>
                <w:rFonts w:ascii="Verdana" w:eastAsia="Arial,Calibri" w:hAnsi="Verdana" w:cs="Arial"/>
                <w:sz w:val="21"/>
                <w:szCs w:val="21"/>
                <w:lang w:val="es-ES_tradnl" w:eastAsia="es-CO"/>
              </w:rPr>
              <w:t xml:space="preserve"> </w:t>
            </w:r>
            <w:r w:rsidRPr="0089683F">
              <w:rPr>
                <w:rFonts w:ascii="Verdana" w:eastAsia="Arial" w:hAnsi="Verdana" w:cs="Arial"/>
                <w:sz w:val="21"/>
                <w:szCs w:val="21"/>
                <w:lang w:val="es-ES_tradnl" w:eastAsia="es-CO"/>
              </w:rPr>
              <w:t>América,</w:t>
            </w:r>
            <w:r w:rsidRPr="0089683F">
              <w:rPr>
                <w:rFonts w:ascii="Verdana" w:eastAsia="Arial,Calibri" w:hAnsi="Verdana" w:cs="Arial"/>
                <w:sz w:val="21"/>
                <w:szCs w:val="21"/>
                <w:lang w:val="es-ES_tradnl" w:eastAsia="es-CO"/>
              </w:rPr>
              <w:t xml:space="preserve"> </w:t>
            </w:r>
            <w:r w:rsidRPr="0089683F">
              <w:rPr>
                <w:rFonts w:ascii="Verdana" w:eastAsia="Arial" w:hAnsi="Verdana" w:cs="Arial"/>
                <w:sz w:val="21"/>
                <w:szCs w:val="21"/>
                <w:lang w:val="es-ES_tradnl" w:eastAsia="es-CO"/>
              </w:rPr>
              <w:t>los</w:t>
            </w:r>
            <w:r w:rsidRPr="0089683F">
              <w:rPr>
                <w:rFonts w:ascii="Verdana" w:eastAsia="Arial,Calibri" w:hAnsi="Verdana" w:cs="Arial"/>
                <w:sz w:val="21"/>
                <w:szCs w:val="21"/>
                <w:lang w:val="es-ES_tradnl" w:eastAsia="es-CO"/>
              </w:rPr>
              <w:t xml:space="preserve"> </w:t>
            </w:r>
            <w:r w:rsidRPr="0089683F">
              <w:rPr>
                <w:rFonts w:ascii="Verdana" w:eastAsia="Arial" w:hAnsi="Verdana" w:cs="Arial"/>
                <w:sz w:val="21"/>
                <w:szCs w:val="21"/>
                <w:lang w:val="es-ES_tradnl" w:eastAsia="es-CO"/>
              </w:rPr>
              <w:t>valores</w:t>
            </w:r>
            <w:r w:rsidRPr="0089683F">
              <w:rPr>
                <w:rFonts w:ascii="Verdana" w:eastAsia="Arial,Calibri" w:hAnsi="Verdana" w:cs="Arial"/>
                <w:sz w:val="21"/>
                <w:szCs w:val="21"/>
                <w:lang w:val="es-ES_tradnl" w:eastAsia="es-CO"/>
              </w:rPr>
              <w:t xml:space="preserve"> </w:t>
            </w:r>
            <w:r w:rsidRPr="0089683F">
              <w:rPr>
                <w:rFonts w:ascii="Verdana" w:eastAsia="Arial" w:hAnsi="Verdana" w:cs="Arial"/>
                <w:sz w:val="21"/>
                <w:szCs w:val="21"/>
                <w:lang w:val="es-ES_tradnl" w:eastAsia="es-CO"/>
              </w:rPr>
              <w:t>se</w:t>
            </w:r>
            <w:r w:rsidRPr="0089683F">
              <w:rPr>
                <w:rFonts w:ascii="Verdana" w:eastAsia="Arial,Calibri" w:hAnsi="Verdana" w:cs="Arial"/>
                <w:sz w:val="21"/>
                <w:szCs w:val="21"/>
                <w:lang w:val="es-ES_tradnl" w:eastAsia="es-CO"/>
              </w:rPr>
              <w:t xml:space="preserve"> </w:t>
            </w:r>
            <w:r w:rsidRPr="0089683F">
              <w:rPr>
                <w:rFonts w:ascii="Verdana" w:eastAsia="Arial" w:hAnsi="Verdana" w:cs="Arial"/>
                <w:sz w:val="21"/>
                <w:szCs w:val="21"/>
                <w:lang w:val="es-ES_tradnl" w:eastAsia="es-CO"/>
              </w:rPr>
              <w:t>convertirán</w:t>
            </w:r>
            <w:r w:rsidRPr="0089683F">
              <w:rPr>
                <w:rFonts w:ascii="Verdana" w:eastAsia="Arial,Calibri" w:hAnsi="Verdana" w:cs="Arial"/>
                <w:sz w:val="21"/>
                <w:szCs w:val="21"/>
                <w:lang w:val="es-ES_tradnl" w:eastAsia="es-CO"/>
              </w:rPr>
              <w:t xml:space="preserve"> </w:t>
            </w:r>
            <w:r w:rsidRPr="0089683F">
              <w:rPr>
                <w:rFonts w:ascii="Verdana" w:eastAsia="Arial" w:hAnsi="Verdana" w:cs="Arial"/>
                <w:sz w:val="21"/>
                <w:szCs w:val="21"/>
                <w:lang w:val="es-ES_tradnl" w:eastAsia="es-CO"/>
              </w:rPr>
              <w:t>a</w:t>
            </w:r>
            <w:r w:rsidRPr="0089683F">
              <w:rPr>
                <w:rFonts w:ascii="Verdana" w:eastAsia="Arial,Calibri" w:hAnsi="Verdana" w:cs="Arial"/>
                <w:sz w:val="21"/>
                <w:szCs w:val="21"/>
                <w:lang w:val="es-ES_tradnl" w:eastAsia="es-CO"/>
              </w:rPr>
              <w:t xml:space="preserve"> </w:t>
            </w:r>
            <w:proofErr w:type="gramStart"/>
            <w:r w:rsidRPr="0089683F">
              <w:rPr>
                <w:rFonts w:ascii="Verdana" w:eastAsia="Arial" w:hAnsi="Verdana" w:cs="Arial"/>
                <w:sz w:val="21"/>
                <w:szCs w:val="21"/>
                <w:lang w:val="es-ES_tradnl" w:eastAsia="es-CO"/>
              </w:rPr>
              <w:t>Pesos</w:t>
            </w:r>
            <w:r w:rsidRPr="0089683F">
              <w:rPr>
                <w:rFonts w:ascii="Verdana" w:eastAsia="Arial,Calibri" w:hAnsi="Verdana" w:cs="Arial"/>
                <w:sz w:val="21"/>
                <w:szCs w:val="21"/>
                <w:lang w:val="es-ES_tradnl" w:eastAsia="es-CO"/>
              </w:rPr>
              <w:t xml:space="preserve"> </w:t>
            </w:r>
            <w:r w:rsidRPr="0089683F">
              <w:rPr>
                <w:rFonts w:ascii="Verdana" w:eastAsia="Arial" w:hAnsi="Verdana" w:cs="Arial"/>
                <w:sz w:val="21"/>
                <w:szCs w:val="21"/>
                <w:lang w:val="es-ES_tradnl" w:eastAsia="es-CO"/>
              </w:rPr>
              <w:t>Colombianos</w:t>
            </w:r>
            <w:proofErr w:type="gramEnd"/>
            <w:r w:rsidRPr="0089683F">
              <w:rPr>
                <w:rFonts w:ascii="Verdana" w:eastAsia="Arial" w:hAnsi="Verdana" w:cs="Arial"/>
                <w:sz w:val="21"/>
                <w:szCs w:val="21"/>
                <w:lang w:val="es-ES_tradnl" w:eastAsia="es-CO"/>
              </w:rPr>
              <w:t>,</w:t>
            </w:r>
            <w:r w:rsidRPr="0089683F">
              <w:rPr>
                <w:rFonts w:ascii="Verdana" w:eastAsia="Arial,Calibri" w:hAnsi="Verdana" w:cs="Arial"/>
                <w:sz w:val="21"/>
                <w:szCs w:val="21"/>
                <w:lang w:val="es-ES_tradnl" w:eastAsia="es-CO"/>
              </w:rPr>
              <w:t xml:space="preserve"> </w:t>
            </w:r>
            <w:r w:rsidRPr="0089683F">
              <w:rPr>
                <w:rFonts w:ascii="Verdana" w:eastAsia="Arial" w:hAnsi="Verdana" w:cs="Arial"/>
                <w:sz w:val="21"/>
                <w:szCs w:val="21"/>
                <w:lang w:val="es-ES_tradnl" w:eastAsia="es-CO"/>
              </w:rPr>
              <w:t>utilizando el valor correspondiente al promedio de la TRM de la fecha de inicio del Contrato y la TRM de la fecha de terminación del Contrato. Para esto, el Proponente deberá</w:t>
            </w:r>
            <w:r w:rsidRPr="0089683F">
              <w:rPr>
                <w:rFonts w:ascii="Verdana" w:eastAsia="Arial,Calibri" w:hAnsi="Verdana" w:cs="Arial"/>
                <w:sz w:val="21"/>
                <w:szCs w:val="21"/>
                <w:lang w:val="es-ES_tradnl" w:eastAsia="es-CO"/>
              </w:rPr>
              <w:t xml:space="preserve"> </w:t>
            </w:r>
            <w:r w:rsidRPr="0089683F">
              <w:rPr>
                <w:rFonts w:ascii="Verdana" w:eastAsia="Arial" w:hAnsi="Verdana" w:cs="Arial"/>
                <w:sz w:val="21"/>
                <w:szCs w:val="21"/>
                <w:lang w:val="es-ES_tradnl" w:eastAsia="es-CO"/>
              </w:rPr>
              <w:t>indicar</w:t>
            </w:r>
            <w:r w:rsidRPr="0089683F">
              <w:rPr>
                <w:rFonts w:ascii="Verdana" w:eastAsia="Arial,Calibri" w:hAnsi="Verdana" w:cs="Arial"/>
                <w:sz w:val="21"/>
                <w:szCs w:val="21"/>
                <w:lang w:val="es-ES_tradnl" w:eastAsia="es-CO"/>
              </w:rPr>
              <w:t xml:space="preserve"> </w:t>
            </w:r>
            <w:r w:rsidRPr="0089683F">
              <w:rPr>
                <w:rFonts w:ascii="Verdana" w:eastAsia="Arial" w:hAnsi="Verdana" w:cs="Arial"/>
                <w:sz w:val="21"/>
                <w:szCs w:val="21"/>
                <w:lang w:val="es-ES_tradnl" w:eastAsia="es-CO"/>
              </w:rPr>
              <w:t>la</w:t>
            </w:r>
            <w:r w:rsidRPr="0089683F">
              <w:rPr>
                <w:rFonts w:ascii="Verdana" w:eastAsia="Arial,Calibri" w:hAnsi="Verdana" w:cs="Arial"/>
                <w:sz w:val="21"/>
                <w:szCs w:val="21"/>
                <w:lang w:val="es-ES_tradnl" w:eastAsia="es-CO"/>
              </w:rPr>
              <w:t xml:space="preserve"> </w:t>
            </w:r>
            <w:r w:rsidRPr="0089683F">
              <w:rPr>
                <w:rFonts w:ascii="Verdana" w:eastAsia="Arial" w:hAnsi="Verdana" w:cs="Arial"/>
                <w:sz w:val="21"/>
                <w:szCs w:val="21"/>
                <w:lang w:val="es-ES_tradnl" w:eastAsia="es-CO"/>
              </w:rPr>
              <w:t>tasa</w:t>
            </w:r>
            <w:r w:rsidRPr="0089683F">
              <w:rPr>
                <w:rFonts w:ascii="Verdana" w:eastAsia="Arial,Calibri" w:hAnsi="Verdana" w:cs="Arial"/>
                <w:sz w:val="21"/>
                <w:szCs w:val="21"/>
                <w:lang w:val="es-ES_tradnl" w:eastAsia="es-CO"/>
              </w:rPr>
              <w:t xml:space="preserve"> </w:t>
            </w:r>
            <w:r w:rsidRPr="0089683F">
              <w:rPr>
                <w:rFonts w:ascii="Verdana" w:eastAsia="Arial" w:hAnsi="Verdana" w:cs="Arial"/>
                <w:sz w:val="21"/>
                <w:szCs w:val="21"/>
                <w:lang w:val="es-ES_tradnl" w:eastAsia="es-CO"/>
              </w:rPr>
              <w:t>representativa</w:t>
            </w:r>
            <w:r w:rsidRPr="0089683F">
              <w:rPr>
                <w:rFonts w:ascii="Verdana" w:eastAsia="Arial,Calibri" w:hAnsi="Verdana" w:cs="Arial"/>
                <w:sz w:val="21"/>
                <w:szCs w:val="21"/>
                <w:lang w:val="es-ES_tradnl" w:eastAsia="es-CO"/>
              </w:rPr>
              <w:t xml:space="preserve"> </w:t>
            </w:r>
            <w:r w:rsidRPr="0089683F">
              <w:rPr>
                <w:rFonts w:ascii="Verdana" w:eastAsia="Arial" w:hAnsi="Verdana" w:cs="Arial"/>
                <w:sz w:val="21"/>
                <w:szCs w:val="21"/>
                <w:lang w:val="es-ES_tradnl" w:eastAsia="es-CO"/>
              </w:rPr>
              <w:t>del</w:t>
            </w:r>
            <w:r w:rsidRPr="0089683F">
              <w:rPr>
                <w:rFonts w:ascii="Verdana" w:eastAsia="Arial,Calibri" w:hAnsi="Verdana" w:cs="Arial"/>
                <w:sz w:val="21"/>
                <w:szCs w:val="21"/>
                <w:lang w:val="es-ES_tradnl" w:eastAsia="es-CO"/>
              </w:rPr>
              <w:t xml:space="preserve"> </w:t>
            </w:r>
            <w:r w:rsidRPr="0089683F">
              <w:rPr>
                <w:rFonts w:ascii="Verdana" w:eastAsia="Arial" w:hAnsi="Verdana" w:cs="Arial"/>
                <w:sz w:val="21"/>
                <w:szCs w:val="21"/>
                <w:lang w:val="es-ES_tradnl" w:eastAsia="es-CO"/>
              </w:rPr>
              <w:t>mercado</w:t>
            </w:r>
            <w:r w:rsidRPr="0089683F">
              <w:rPr>
                <w:rFonts w:ascii="Verdana" w:eastAsia="Arial,Calibri" w:hAnsi="Verdana" w:cs="Arial"/>
                <w:sz w:val="21"/>
                <w:szCs w:val="21"/>
                <w:lang w:val="es-ES_tradnl" w:eastAsia="es-CO"/>
              </w:rPr>
              <w:t xml:space="preserve"> </w:t>
            </w:r>
            <w:r w:rsidRPr="0089683F">
              <w:rPr>
                <w:rFonts w:ascii="Verdana" w:eastAsia="Arial" w:hAnsi="Verdana" w:cs="Arial"/>
                <w:sz w:val="21"/>
                <w:szCs w:val="21"/>
                <w:lang w:val="es-ES_tradnl" w:eastAsia="es-CO"/>
              </w:rPr>
              <w:t>utilizada</w:t>
            </w:r>
            <w:r w:rsidRPr="0089683F">
              <w:rPr>
                <w:rFonts w:ascii="Verdana" w:eastAsia="Arial,Calibri" w:hAnsi="Verdana" w:cs="Arial"/>
                <w:sz w:val="21"/>
                <w:szCs w:val="21"/>
                <w:lang w:val="es-ES_tradnl" w:eastAsia="es-CO"/>
              </w:rPr>
              <w:t xml:space="preserve"> </w:t>
            </w:r>
            <w:r w:rsidRPr="0089683F">
              <w:rPr>
                <w:rFonts w:ascii="Verdana" w:eastAsia="Arial" w:hAnsi="Verdana" w:cs="Arial"/>
                <w:sz w:val="21"/>
                <w:szCs w:val="21"/>
                <w:lang w:val="es-ES_tradnl" w:eastAsia="es-CO"/>
              </w:rPr>
              <w:t>para</w:t>
            </w:r>
            <w:r w:rsidRPr="0089683F">
              <w:rPr>
                <w:rFonts w:ascii="Verdana" w:eastAsia="Arial,Calibri" w:hAnsi="Verdana" w:cs="Arial"/>
                <w:sz w:val="21"/>
                <w:szCs w:val="21"/>
                <w:lang w:val="es-ES_tradnl" w:eastAsia="es-CO"/>
              </w:rPr>
              <w:t xml:space="preserve"> </w:t>
            </w:r>
            <w:r w:rsidRPr="0089683F">
              <w:rPr>
                <w:rFonts w:ascii="Verdana" w:eastAsia="Arial" w:hAnsi="Verdana" w:cs="Arial"/>
                <w:sz w:val="21"/>
                <w:szCs w:val="21"/>
                <w:lang w:val="es-ES_tradnl" w:eastAsia="es-CO"/>
              </w:rPr>
              <w:t>la</w:t>
            </w:r>
            <w:r w:rsidRPr="0089683F">
              <w:rPr>
                <w:rFonts w:ascii="Verdana" w:eastAsia="Arial,Calibri" w:hAnsi="Verdana" w:cs="Arial"/>
                <w:sz w:val="21"/>
                <w:szCs w:val="21"/>
                <w:lang w:val="es-ES_tradnl" w:eastAsia="es-CO"/>
              </w:rPr>
              <w:t xml:space="preserve"> </w:t>
            </w:r>
            <w:r w:rsidRPr="0089683F">
              <w:rPr>
                <w:rFonts w:ascii="Verdana" w:eastAsia="Arial" w:hAnsi="Verdana" w:cs="Arial"/>
                <w:sz w:val="21"/>
                <w:szCs w:val="21"/>
                <w:lang w:val="es-ES_tradnl" w:eastAsia="es-CO"/>
              </w:rPr>
              <w:t>conversión de cada Contrato en el Formato 3 – Experiencia</w:t>
            </w:r>
            <w:r w:rsidRPr="0089683F">
              <w:rPr>
                <w:rFonts w:ascii="Verdana" w:eastAsia="Arial,Calibri" w:hAnsi="Verdana" w:cs="Arial"/>
                <w:sz w:val="21"/>
                <w:szCs w:val="21"/>
                <w:lang w:val="es-ES_tradnl" w:eastAsia="es-CO"/>
              </w:rPr>
              <w:t xml:space="preserve">; la TRM utilizada será la </w:t>
            </w:r>
            <w:r w:rsidRPr="0089683F">
              <w:rPr>
                <w:rFonts w:ascii="Verdana" w:eastAsia="Arial" w:hAnsi="Verdana" w:cs="Arial"/>
                <w:sz w:val="21"/>
                <w:szCs w:val="21"/>
                <w:lang w:val="es-ES_tradnl" w:eastAsia="es-CO"/>
              </w:rPr>
              <w:t>certificada</w:t>
            </w:r>
            <w:r w:rsidRPr="0089683F">
              <w:rPr>
                <w:rFonts w:ascii="Verdana" w:eastAsia="Arial,Calibri" w:hAnsi="Verdana" w:cs="Arial"/>
                <w:sz w:val="21"/>
                <w:szCs w:val="21"/>
                <w:lang w:val="es-ES_tradnl" w:eastAsia="es-CO"/>
              </w:rPr>
              <w:t xml:space="preserve"> </w:t>
            </w:r>
            <w:r w:rsidRPr="0089683F">
              <w:rPr>
                <w:rFonts w:ascii="Verdana" w:eastAsia="Arial" w:hAnsi="Verdana" w:cs="Arial"/>
                <w:sz w:val="21"/>
                <w:szCs w:val="21"/>
                <w:lang w:val="es-ES_tradnl" w:eastAsia="es-CO"/>
              </w:rPr>
              <w:t>por</w:t>
            </w:r>
            <w:r w:rsidRPr="0089683F">
              <w:rPr>
                <w:rFonts w:ascii="Verdana" w:eastAsia="Arial,Calibri" w:hAnsi="Verdana" w:cs="Arial"/>
                <w:sz w:val="21"/>
                <w:szCs w:val="21"/>
                <w:lang w:val="es-ES_tradnl" w:eastAsia="es-CO"/>
              </w:rPr>
              <w:t xml:space="preserve"> </w:t>
            </w:r>
            <w:r w:rsidRPr="0089683F">
              <w:rPr>
                <w:rFonts w:ascii="Verdana" w:eastAsia="Arial" w:hAnsi="Verdana" w:cs="Arial"/>
                <w:sz w:val="21"/>
                <w:szCs w:val="21"/>
                <w:lang w:val="es-ES_tradnl" w:eastAsia="es-CO"/>
              </w:rPr>
              <w:t xml:space="preserve">la Superintendencia Financiera de Colombia. </w:t>
            </w:r>
          </w:p>
          <w:p w14:paraId="1CF36D7A" w14:textId="77777777" w:rsidR="0089683F" w:rsidRPr="0089683F" w:rsidRDefault="0089683F" w:rsidP="0089683F">
            <w:pPr>
              <w:ind w:left="709" w:right="709"/>
              <w:jc w:val="both"/>
              <w:rPr>
                <w:rFonts w:ascii="Verdana" w:eastAsia="Aptos" w:hAnsi="Verdana" w:cs="Times New Roman"/>
                <w:sz w:val="21"/>
                <w:szCs w:val="21"/>
                <w:lang w:val="es-MX"/>
              </w:rPr>
            </w:pPr>
            <w:r w:rsidRPr="0089683F">
              <w:rPr>
                <w:rFonts w:ascii="Verdana" w:eastAsia="Aptos" w:hAnsi="Verdana" w:cs="Times New Roman"/>
                <w:b/>
                <w:sz w:val="21"/>
                <w:szCs w:val="21"/>
                <w:lang w:val="es-MX"/>
              </w:rPr>
              <w:t>Nota 3</w:t>
            </w:r>
            <w:r w:rsidRPr="0089683F">
              <w:rPr>
                <w:rFonts w:ascii="Verdana" w:eastAsia="Aptos" w:hAnsi="Verdana" w:cs="Times New Roman"/>
                <w:sz w:val="21"/>
                <w:szCs w:val="21"/>
                <w:lang w:val="es-MX"/>
              </w:rPr>
              <w:t>: En el caso de los proyectos de concesión ejecutados fuera del territorio nacional, la fecha de terminación será la que corresponda a la etapa de construcción y no de operación.</w:t>
            </w:r>
          </w:p>
          <w:p w14:paraId="41BBA907" w14:textId="77777777" w:rsidR="0089683F" w:rsidRPr="0089683F" w:rsidRDefault="0089683F" w:rsidP="0089683F">
            <w:pPr>
              <w:ind w:left="709" w:right="709"/>
              <w:jc w:val="both"/>
              <w:rPr>
                <w:rFonts w:ascii="Verdana" w:eastAsia="Arial,Calibri" w:hAnsi="Verdana" w:cs="Arial"/>
                <w:sz w:val="21"/>
                <w:szCs w:val="21"/>
                <w:lang w:val="es-ES_tradnl" w:eastAsia="es-CO"/>
              </w:rPr>
            </w:pPr>
          </w:p>
          <w:p w14:paraId="575044DD" w14:textId="77777777" w:rsidR="0089683F" w:rsidRPr="0089683F" w:rsidRDefault="0089683F" w:rsidP="0089683F">
            <w:pPr>
              <w:numPr>
                <w:ilvl w:val="0"/>
                <w:numId w:val="18"/>
              </w:numPr>
              <w:spacing w:after="200"/>
              <w:ind w:left="709" w:right="709" w:firstLine="0"/>
              <w:contextualSpacing/>
              <w:jc w:val="both"/>
              <w:rPr>
                <w:rFonts w:ascii="Verdana" w:eastAsia="Arial,Calibri" w:hAnsi="Verdana" w:cs="Arial"/>
                <w:sz w:val="21"/>
                <w:szCs w:val="21"/>
                <w:lang w:val="es-ES_tradnl" w:eastAsia="es-CO"/>
              </w:rPr>
            </w:pPr>
            <w:r w:rsidRPr="0089683F">
              <w:rPr>
                <w:rFonts w:ascii="Verdana" w:eastAsia="Arial" w:hAnsi="Verdana" w:cs="Arial"/>
                <w:sz w:val="21"/>
                <w:szCs w:val="21"/>
                <w:lang w:val="es-ES_tradnl" w:eastAsia="es-CO"/>
              </w:rPr>
              <w:t xml:space="preserve">Si los valores del Contrato están expresados originalmente en una moneda diferente a </w:t>
            </w:r>
            <w:proofErr w:type="gramStart"/>
            <w:r w:rsidRPr="0089683F">
              <w:rPr>
                <w:rFonts w:ascii="Verdana" w:eastAsia="Arial" w:hAnsi="Verdana" w:cs="Arial"/>
                <w:sz w:val="21"/>
                <w:szCs w:val="21"/>
                <w:lang w:val="es-ES_tradnl" w:eastAsia="es-CO"/>
              </w:rPr>
              <w:t>Dólares</w:t>
            </w:r>
            <w:proofErr w:type="gramEnd"/>
            <w:r w:rsidRPr="0089683F">
              <w:rPr>
                <w:rFonts w:ascii="Verdana" w:eastAsia="Arial" w:hAnsi="Verdana" w:cs="Arial"/>
                <w:sz w:val="21"/>
                <w:szCs w:val="21"/>
                <w:lang w:val="es-ES_tradnl" w:eastAsia="es-CO"/>
              </w:rPr>
              <w:t xml:space="preserve"> de los Estados Unidos de América, estos deberán convertirse inicialmente a esta moneda, utilizando para ello el valor correspondiente al promedio de la tasa de cambio de la fecha de inicio del Contrato y la tasa de cambio de la fecha de terminación del Contrato. </w:t>
            </w:r>
            <w:r w:rsidRPr="0089683F">
              <w:rPr>
                <w:rFonts w:ascii="Verdana" w:eastAsia="Arial" w:hAnsi="Verdana" w:cs="Arial"/>
                <w:sz w:val="21"/>
                <w:szCs w:val="21"/>
                <w:highlight w:val="lightGray"/>
                <w:lang w:val="es-ES_tradnl" w:eastAsia="es-CO"/>
              </w:rPr>
              <w:t>[</w:t>
            </w:r>
            <w:r w:rsidRPr="0089683F">
              <w:rPr>
                <w:rFonts w:ascii="Verdana" w:eastAsia="Aptos" w:hAnsi="Verdana" w:cs="Times New Roman"/>
                <w:sz w:val="21"/>
                <w:szCs w:val="21"/>
                <w:highlight w:val="lightGray"/>
                <w:lang w:val="es-MX"/>
              </w:rPr>
              <w:t xml:space="preserve">Para el cálculo se recomienda acudir a la siguiente página web: </w:t>
            </w:r>
            <w:hyperlink r:id="rId12" w:history="1">
              <w:r w:rsidRPr="0089683F">
                <w:rPr>
                  <w:rFonts w:ascii="Verdana" w:eastAsia="Aptos" w:hAnsi="Verdana" w:cs="Times New Roman"/>
                  <w:color w:val="467886"/>
                  <w:sz w:val="21"/>
                  <w:szCs w:val="21"/>
                  <w:highlight w:val="lightGray"/>
                  <w:u w:val="single"/>
                  <w:lang w:val="es-ES_tradnl"/>
                </w:rPr>
                <w:t>https://www.oanda.com/currency-converter/es/</w:t>
              </w:r>
            </w:hyperlink>
            <w:r w:rsidRPr="0089683F">
              <w:rPr>
                <w:rFonts w:ascii="Verdana" w:eastAsia="Aptos" w:hAnsi="Verdana" w:cs="Times New Roman"/>
                <w:sz w:val="21"/>
                <w:szCs w:val="21"/>
                <w:highlight w:val="lightGray"/>
                <w:lang w:val="es-MX"/>
              </w:rPr>
              <w:t>, sin embargo, la Entidad podrá determinar el uso de cualquier otra herramienta (incluyéndola de forma precisa en esta sección), la cual deberá ser utilizada por los Proponentes para efectos de realizar el ejercicio de conversión</w:t>
            </w:r>
            <w:r w:rsidRPr="0089683F">
              <w:rPr>
                <w:rFonts w:ascii="Verdana" w:eastAsia="Aptos" w:hAnsi="Verdana" w:cs="Arial"/>
                <w:sz w:val="21"/>
                <w:szCs w:val="21"/>
                <w:highlight w:val="lightGray"/>
                <w:u w:val="single"/>
                <w:lang w:val="es-ES"/>
              </w:rPr>
              <w:t>]</w:t>
            </w:r>
            <w:r w:rsidRPr="0089683F">
              <w:rPr>
                <w:rFonts w:ascii="Verdana" w:eastAsia="Arial,Calibri" w:hAnsi="Verdana" w:cs="Arial"/>
                <w:sz w:val="21"/>
                <w:szCs w:val="21"/>
                <w:lang w:val="es-ES_tradnl" w:eastAsia="es-CO"/>
              </w:rPr>
              <w:t xml:space="preserve"> </w:t>
            </w:r>
            <w:r w:rsidRPr="0089683F">
              <w:rPr>
                <w:rFonts w:ascii="Verdana" w:eastAsia="Arial" w:hAnsi="Verdana" w:cs="Arial"/>
                <w:sz w:val="21"/>
                <w:szCs w:val="21"/>
                <w:lang w:val="es-ES_tradnl" w:eastAsia="es-CO"/>
              </w:rPr>
              <w:t>Hecho esto, se procederá en la forma señalada en el numeral anterior.</w:t>
            </w:r>
            <w:r w:rsidRPr="0089683F">
              <w:rPr>
                <w:rFonts w:ascii="Verdana" w:eastAsia="Arial,Calibri" w:hAnsi="Verdana" w:cs="Arial"/>
                <w:sz w:val="21"/>
                <w:szCs w:val="21"/>
                <w:lang w:val="es-ES_tradnl" w:eastAsia="es-CO"/>
              </w:rPr>
              <w:t xml:space="preserve"> </w:t>
            </w:r>
          </w:p>
          <w:p w14:paraId="3D6EAB86" w14:textId="77777777" w:rsidR="0089683F" w:rsidRPr="0089683F" w:rsidRDefault="0089683F" w:rsidP="0089683F">
            <w:pPr>
              <w:ind w:left="709" w:right="709"/>
              <w:contextualSpacing/>
              <w:rPr>
                <w:rFonts w:ascii="Verdana" w:eastAsia="Arial,Calibri" w:hAnsi="Verdana" w:cs="Arial"/>
                <w:sz w:val="21"/>
                <w:szCs w:val="21"/>
                <w:lang w:val="es-ES_tradnl" w:eastAsia="es-CO"/>
              </w:rPr>
            </w:pPr>
          </w:p>
          <w:p w14:paraId="59B71A55" w14:textId="77777777" w:rsidR="0089683F" w:rsidRPr="0089683F" w:rsidRDefault="0089683F" w:rsidP="0089683F">
            <w:pPr>
              <w:numPr>
                <w:ilvl w:val="0"/>
                <w:numId w:val="18"/>
              </w:numPr>
              <w:spacing w:after="200"/>
              <w:ind w:left="709" w:right="709" w:firstLine="0"/>
              <w:contextualSpacing/>
              <w:jc w:val="both"/>
              <w:rPr>
                <w:rFonts w:ascii="Verdana" w:eastAsia="Arial" w:hAnsi="Verdana" w:cs="Arial"/>
                <w:sz w:val="21"/>
                <w:szCs w:val="21"/>
                <w:lang w:val="es-ES_tradnl" w:eastAsia="es-CO"/>
              </w:rPr>
            </w:pPr>
            <w:r w:rsidRPr="0089683F">
              <w:rPr>
                <w:rFonts w:ascii="Verdana" w:eastAsia="Arial" w:hAnsi="Verdana" w:cs="Arial"/>
                <w:sz w:val="21"/>
                <w:szCs w:val="21"/>
                <w:lang w:val="es-ES_tradnl" w:eastAsia="es-CO"/>
              </w:rPr>
              <w:t xml:space="preserve">Si los valores de los estados financieros están expresados originalmente en </w:t>
            </w:r>
            <w:proofErr w:type="gramStart"/>
            <w:r w:rsidRPr="0089683F">
              <w:rPr>
                <w:rFonts w:ascii="Verdana" w:eastAsia="Arial" w:hAnsi="Verdana" w:cs="Arial"/>
                <w:sz w:val="21"/>
                <w:szCs w:val="21"/>
                <w:lang w:val="es-ES_tradnl" w:eastAsia="es-CO"/>
              </w:rPr>
              <w:t>Dólares</w:t>
            </w:r>
            <w:proofErr w:type="gramEnd"/>
            <w:r w:rsidRPr="0089683F">
              <w:rPr>
                <w:rFonts w:ascii="Verdana" w:eastAsia="Arial" w:hAnsi="Verdana" w:cs="Arial"/>
                <w:sz w:val="21"/>
                <w:szCs w:val="21"/>
                <w:lang w:val="es-ES_tradnl" w:eastAsia="es-CO"/>
              </w:rPr>
              <w:t xml:space="preserve"> de los Estados Unidos de América, el Proponente y la Entidad tendrán en cuenta la tasa representativa del mercado vigente certificada por la Superintendencia Financiera de Colombia de la fecha de corte de los Estados Financieros.</w:t>
            </w:r>
          </w:p>
          <w:p w14:paraId="607A02DF" w14:textId="77777777" w:rsidR="0089683F" w:rsidRPr="0089683F" w:rsidRDefault="0089683F" w:rsidP="0089683F">
            <w:pPr>
              <w:ind w:left="709" w:right="709"/>
              <w:contextualSpacing/>
              <w:rPr>
                <w:rFonts w:ascii="Verdana" w:eastAsia="Arial" w:hAnsi="Verdana" w:cs="Arial"/>
                <w:sz w:val="21"/>
                <w:szCs w:val="21"/>
                <w:lang w:val="es-ES_tradnl" w:eastAsia="es-CO"/>
              </w:rPr>
            </w:pPr>
          </w:p>
          <w:p w14:paraId="43CD169A" w14:textId="77777777" w:rsidR="0089683F" w:rsidRPr="0089683F" w:rsidRDefault="0089683F" w:rsidP="0089683F">
            <w:pPr>
              <w:numPr>
                <w:ilvl w:val="0"/>
                <w:numId w:val="18"/>
              </w:numPr>
              <w:ind w:left="709" w:right="709" w:firstLine="0"/>
              <w:contextualSpacing/>
              <w:jc w:val="both"/>
              <w:rPr>
                <w:rFonts w:ascii="Verdana" w:eastAsia="Arial,Calibri" w:hAnsi="Verdana" w:cs="Arial"/>
                <w:sz w:val="21"/>
                <w:szCs w:val="21"/>
                <w:lang w:val="es-ES_tradnl" w:eastAsia="es-CO"/>
              </w:rPr>
            </w:pPr>
            <w:r w:rsidRPr="0089683F">
              <w:rPr>
                <w:rFonts w:ascii="Verdana" w:eastAsia="Arial" w:hAnsi="Verdana" w:cs="Arial"/>
                <w:sz w:val="21"/>
                <w:szCs w:val="21"/>
                <w:lang w:val="es-ES_tradnl" w:eastAsia="es-CO"/>
              </w:rPr>
              <w:t xml:space="preserve">Si los valores de los Estados Financieros están expresados originalmente en una moneda diferente a </w:t>
            </w:r>
            <w:proofErr w:type="gramStart"/>
            <w:r w:rsidRPr="0089683F">
              <w:rPr>
                <w:rFonts w:ascii="Verdana" w:eastAsia="Arial" w:hAnsi="Verdana" w:cs="Arial"/>
                <w:sz w:val="21"/>
                <w:szCs w:val="21"/>
                <w:lang w:val="es-ES_tradnl" w:eastAsia="es-CO"/>
              </w:rPr>
              <w:t>Dólares</w:t>
            </w:r>
            <w:proofErr w:type="gramEnd"/>
            <w:r w:rsidRPr="0089683F">
              <w:rPr>
                <w:rFonts w:ascii="Verdana" w:eastAsia="Arial" w:hAnsi="Verdana" w:cs="Arial"/>
                <w:sz w:val="21"/>
                <w:szCs w:val="21"/>
                <w:lang w:val="es-ES_tradnl" w:eastAsia="es-CO"/>
              </w:rPr>
              <w:t xml:space="preserve"> de los Estados Unidos de América</w:t>
            </w:r>
            <w:r w:rsidRPr="0089683F">
              <w:rPr>
                <w:rFonts w:ascii="Verdana" w:eastAsia="Arial,Calibri" w:hAnsi="Verdana" w:cs="Arial"/>
                <w:sz w:val="21"/>
                <w:szCs w:val="21"/>
                <w:lang w:val="es-ES_tradnl" w:eastAsia="es-CO"/>
              </w:rPr>
              <w:t xml:space="preserve">, </w:t>
            </w:r>
            <w:r w:rsidRPr="0089683F">
              <w:rPr>
                <w:rFonts w:ascii="Verdana" w:eastAsia="Arial" w:hAnsi="Verdana" w:cs="Arial"/>
                <w:sz w:val="21"/>
                <w:szCs w:val="21"/>
                <w:lang w:val="es-ES_tradnl" w:eastAsia="es-CO"/>
              </w:rPr>
              <w:t xml:space="preserve">estos deben convertirse inicialmente a </w:t>
            </w:r>
            <w:proofErr w:type="gramStart"/>
            <w:r w:rsidRPr="0089683F">
              <w:rPr>
                <w:rFonts w:ascii="Verdana" w:eastAsia="Arial" w:hAnsi="Verdana" w:cs="Arial"/>
                <w:sz w:val="21"/>
                <w:szCs w:val="21"/>
                <w:lang w:val="es-ES_tradnl" w:eastAsia="es-CO"/>
              </w:rPr>
              <w:t>Dólares</w:t>
            </w:r>
            <w:proofErr w:type="gramEnd"/>
            <w:r w:rsidRPr="0089683F">
              <w:rPr>
                <w:rFonts w:ascii="Verdana" w:eastAsia="Arial" w:hAnsi="Verdana" w:cs="Arial"/>
                <w:sz w:val="21"/>
                <w:szCs w:val="21"/>
                <w:lang w:val="es-ES_tradnl" w:eastAsia="es-CO"/>
              </w:rPr>
              <w:t xml:space="preserve"> de los Estados Unidos de América utilizando para ello el valor correspondiente a la fecha de expedición de los estados financieros. [</w:t>
            </w:r>
            <w:r w:rsidRPr="0089683F">
              <w:rPr>
                <w:rFonts w:ascii="Verdana" w:eastAsia="Arial" w:hAnsi="Verdana" w:cs="Arial"/>
                <w:sz w:val="21"/>
                <w:szCs w:val="21"/>
                <w:shd w:val="clear" w:color="auto" w:fill="D9D9D9"/>
                <w:lang w:val="es-ES_tradnl" w:eastAsia="es-CO"/>
              </w:rPr>
              <w:t>Para verificar la tasa de cambio entre la moneda</w:t>
            </w:r>
            <w:r w:rsidRPr="0089683F">
              <w:rPr>
                <w:rFonts w:ascii="Verdana" w:eastAsia="Arial,Calibri" w:hAnsi="Verdana" w:cs="Arial"/>
                <w:sz w:val="21"/>
                <w:szCs w:val="21"/>
                <w:shd w:val="clear" w:color="auto" w:fill="D9D9D9"/>
                <w:lang w:val="es-ES_tradnl" w:eastAsia="es-CO"/>
              </w:rPr>
              <w:t xml:space="preserve"> </w:t>
            </w:r>
            <w:r w:rsidRPr="0089683F">
              <w:rPr>
                <w:rFonts w:ascii="Verdana" w:eastAsia="Arial" w:hAnsi="Verdana" w:cs="Arial"/>
                <w:sz w:val="21"/>
                <w:szCs w:val="21"/>
                <w:shd w:val="clear" w:color="auto" w:fill="D9D9D9"/>
                <w:lang w:val="es-ES_tradnl" w:eastAsia="es-CO"/>
              </w:rPr>
              <w:t xml:space="preserve">y los Dólares de los Estados Unidos de América, se recomienda al Proponente utilizar la página web </w:t>
            </w:r>
            <w:hyperlink r:id="rId13" w:history="1">
              <w:r w:rsidRPr="0089683F">
                <w:rPr>
                  <w:rFonts w:ascii="Verdana" w:eastAsia="Arial" w:hAnsi="Verdana" w:cs="Arial"/>
                  <w:color w:val="467886"/>
                  <w:sz w:val="21"/>
                  <w:szCs w:val="21"/>
                  <w:u w:val="single"/>
                  <w:shd w:val="clear" w:color="auto" w:fill="D9D9D9"/>
                  <w:lang w:val="es-ES_tradnl" w:eastAsia="es-CO"/>
                </w:rPr>
                <w:t>https://www.oanda.com/currency-converter/es/</w:t>
              </w:r>
            </w:hyperlink>
            <w:r w:rsidRPr="0089683F">
              <w:rPr>
                <w:rFonts w:ascii="Verdana" w:eastAsia="Aptos" w:hAnsi="Verdana" w:cs="Times New Roman"/>
                <w:sz w:val="21"/>
                <w:szCs w:val="21"/>
                <w:lang w:val="es-ES_tradnl"/>
              </w:rPr>
              <w:t xml:space="preserve"> ,</w:t>
            </w:r>
            <w:r w:rsidRPr="0089683F">
              <w:rPr>
                <w:rFonts w:ascii="Verdana" w:eastAsia="Aptos" w:hAnsi="Verdana" w:cs="Times New Roman"/>
                <w:sz w:val="21"/>
                <w:szCs w:val="21"/>
                <w:highlight w:val="lightGray"/>
                <w:lang w:val="es-MX"/>
              </w:rPr>
              <w:t xml:space="preserve">sin </w:t>
            </w:r>
            <w:r w:rsidRPr="0089683F">
              <w:rPr>
                <w:rFonts w:ascii="Verdana" w:eastAsia="Aptos" w:hAnsi="Verdana" w:cs="Times New Roman"/>
                <w:sz w:val="21"/>
                <w:szCs w:val="21"/>
                <w:highlight w:val="lightGray"/>
                <w:lang w:val="es-MX"/>
              </w:rPr>
              <w:lastRenderedPageBreak/>
              <w:t>embargo, la Entidad podrá determinar el uso de cualquier otra herramienta, la cual deberá ser utilizada por los Proponentes para efectos de realizar el ejercicio de conversión en el marco del proceso</w:t>
            </w:r>
            <w:r w:rsidRPr="0089683F">
              <w:rPr>
                <w:rFonts w:ascii="Verdana" w:eastAsia="Aptos" w:hAnsi="Verdana" w:cs="Arial"/>
                <w:sz w:val="21"/>
                <w:szCs w:val="21"/>
                <w:highlight w:val="lightGray"/>
                <w:u w:val="single"/>
                <w:shd w:val="clear" w:color="auto" w:fill="D9D9D9"/>
                <w:lang w:val="es-ES"/>
              </w:rPr>
              <w:t>]</w:t>
            </w:r>
            <w:r w:rsidRPr="0089683F">
              <w:rPr>
                <w:rFonts w:ascii="Verdana" w:eastAsia="Arial,Calibri" w:hAnsi="Verdana" w:cs="Arial"/>
                <w:sz w:val="21"/>
                <w:szCs w:val="21"/>
                <w:lang w:val="es-ES_tradnl" w:eastAsia="es-CO"/>
              </w:rPr>
              <w:t xml:space="preserve"> </w:t>
            </w:r>
            <w:r w:rsidRPr="0089683F">
              <w:rPr>
                <w:rFonts w:ascii="Verdana" w:eastAsia="Arial" w:hAnsi="Verdana" w:cs="Arial"/>
                <w:sz w:val="21"/>
                <w:szCs w:val="21"/>
                <w:lang w:val="es-ES_tradnl" w:eastAsia="es-CO"/>
              </w:rPr>
              <w:t>Hecho esto se procederá en la forma señalada en el numeral III.</w:t>
            </w:r>
          </w:p>
          <w:p w14:paraId="2DE8F9DF" w14:textId="77777777" w:rsidR="0089683F" w:rsidRPr="0089683F" w:rsidRDefault="0089683F" w:rsidP="0089683F">
            <w:pPr>
              <w:spacing w:line="276" w:lineRule="auto"/>
              <w:jc w:val="both"/>
              <w:rPr>
                <w:rFonts w:ascii="Verdana" w:eastAsia="Aptos" w:hAnsi="Verdana" w:cs="Aptos"/>
                <w:lang w:val="es-ES_tradnl"/>
              </w:rPr>
            </w:pPr>
          </w:p>
          <w:p w14:paraId="5DC6B760" w14:textId="77777777" w:rsidR="0089683F" w:rsidRPr="0089683F" w:rsidRDefault="0089683F" w:rsidP="0089683F">
            <w:pPr>
              <w:spacing w:line="276" w:lineRule="auto"/>
              <w:ind w:firstLine="709"/>
              <w:jc w:val="both"/>
              <w:rPr>
                <w:rFonts w:ascii="Verdana" w:eastAsia="Aptos" w:hAnsi="Verdana" w:cs="Aptos"/>
                <w:lang w:val="es-ES_tradnl"/>
              </w:rPr>
            </w:pPr>
            <w:r w:rsidRPr="0089683F">
              <w:rPr>
                <w:rFonts w:ascii="Verdana" w:eastAsia="Aptos" w:hAnsi="Verdana" w:cs="Aptos"/>
                <w:lang w:val="es-ES_tradnl"/>
              </w:rPr>
              <w:t xml:space="preserve">Por otra parte, en lo que se refiere a la acreditación de la experiencia en su solicitud, debe advertirse que la actividad 1.2 de la Matriz 1 – Experiencia de los documentos tipo de selección abreviada de menor cuantía – sector institucional, se trata de: </w:t>
            </w:r>
            <w:r w:rsidRPr="0089683F">
              <w:rPr>
                <w:rFonts w:ascii="Verdana" w:eastAsia="Aptos" w:hAnsi="Verdana" w:cs="Aptos"/>
                <w:i/>
                <w:iCs/>
                <w:lang w:val="es-ES_tradnl"/>
              </w:rPr>
              <w:t>“PROYECTOS DE ADECUACIÓN Y/O CONSERVACIÓN Y/O INTERVENCIÓN Y/O INSTALACIÓN Y/O MANTENIMIENTO Y/O MEJORAMIENTO Y/O MODIFICACIÓN U OPTIMIZACIÓN Y/O REHABILITACIÓN Y/O REMODELACIÓN Y/O REPOSICIÓN Y/O REPARACIÓN LOCATIVA Y/O RESTAURACIÓN Y/O RESTITUCIÓN Y/O TERMINACIÓN DE INFRAESTRUCTURA DE SEGURIDAD PÚBLICA”.</w:t>
            </w:r>
            <w:r w:rsidRPr="0089683F">
              <w:rPr>
                <w:rFonts w:ascii="Verdana" w:eastAsia="Aptos" w:hAnsi="Verdana" w:cs="Aptos"/>
                <w:lang w:val="es-ES_tradnl"/>
              </w:rPr>
              <w:t xml:space="preserve"> Al respecto, se solicita la siguiente experiencia:</w:t>
            </w:r>
          </w:p>
          <w:p w14:paraId="2B75D623" w14:textId="77777777" w:rsidR="0089683F" w:rsidRPr="0089683F" w:rsidRDefault="0089683F" w:rsidP="0089683F">
            <w:pPr>
              <w:spacing w:line="276" w:lineRule="auto"/>
              <w:ind w:firstLine="708"/>
              <w:jc w:val="both"/>
              <w:rPr>
                <w:rFonts w:ascii="Verdana" w:eastAsia="Aptos" w:hAnsi="Verdana" w:cs="Aptos"/>
                <w:lang w:val="es-ES_tradnl"/>
              </w:rPr>
            </w:pPr>
          </w:p>
          <w:p w14:paraId="62A4C4A5" w14:textId="77777777" w:rsidR="0089683F" w:rsidRPr="0089683F" w:rsidRDefault="0089683F" w:rsidP="0089683F">
            <w:pPr>
              <w:spacing w:line="276" w:lineRule="auto"/>
              <w:ind w:firstLine="708"/>
              <w:jc w:val="both"/>
              <w:rPr>
                <w:rFonts w:ascii="Verdana" w:eastAsia="Aptos" w:hAnsi="Verdana" w:cs="Aptos"/>
                <w:b/>
                <w:bCs/>
                <w:u w:val="single"/>
                <w:lang w:val="es-ES_tradnl"/>
              </w:rPr>
            </w:pPr>
            <w:r w:rsidRPr="0089683F">
              <w:rPr>
                <w:rFonts w:ascii="Verdana" w:eastAsia="Aptos" w:hAnsi="Verdana" w:cs="Aptos"/>
                <w:b/>
                <w:bCs/>
                <w:u w:val="single"/>
                <w:lang w:val="es-ES_tradnl"/>
              </w:rPr>
              <w:t>General:</w:t>
            </w:r>
          </w:p>
          <w:p w14:paraId="6618D62A" w14:textId="77777777" w:rsidR="0089683F" w:rsidRPr="0089683F" w:rsidRDefault="0089683F" w:rsidP="0089683F">
            <w:pPr>
              <w:spacing w:line="276" w:lineRule="auto"/>
              <w:ind w:firstLine="708"/>
              <w:jc w:val="both"/>
              <w:rPr>
                <w:rFonts w:ascii="Verdana" w:eastAsia="Aptos" w:hAnsi="Verdana" w:cs="Aptos"/>
                <w:b/>
                <w:bCs/>
                <w:u w:val="single"/>
                <w:lang w:val="es-ES_tradnl"/>
              </w:rPr>
            </w:pPr>
          </w:p>
          <w:p w14:paraId="61DCFC7F" w14:textId="77777777" w:rsidR="0089683F" w:rsidRPr="0089683F" w:rsidRDefault="0089683F" w:rsidP="0089683F">
            <w:pPr>
              <w:spacing w:line="276" w:lineRule="auto"/>
              <w:ind w:left="708"/>
              <w:jc w:val="both"/>
              <w:rPr>
                <w:rFonts w:ascii="Verdana" w:eastAsia="Aptos" w:hAnsi="Verdana" w:cs="Aptos"/>
                <w:i/>
                <w:iCs/>
                <w:sz w:val="21"/>
                <w:szCs w:val="21"/>
                <w:lang w:val="es-ES_tradnl"/>
              </w:rPr>
            </w:pPr>
            <w:r w:rsidRPr="0089683F">
              <w:rPr>
                <w:rFonts w:ascii="Verdana" w:eastAsia="Aptos" w:hAnsi="Verdana" w:cs="Aptos"/>
                <w:i/>
                <w:iCs/>
                <w:sz w:val="21"/>
                <w:szCs w:val="21"/>
                <w:lang w:val="es-ES_tradnl"/>
              </w:rPr>
              <w:t xml:space="preserve">PROYECTOS QUE CORRESPONDAN Y/O CONTEMPLEN ACTIVIDADES DE: CONSTRUCCIÓN Y/O AMPLIACIÓN Y/O RECONSTRUCCIÓN Y/O ADECUACIÓN Y/O CONSERVACIÓN Y/O INTERVENCIÓN Y/O INSTALACIÓN Y/O MANTENIMIENTO Y/O MEJORAMIENTO Y/O MODIFICACIÓN U OPTIMIZACIÓN Y/O REINSTALACIÓN Y/O REHABILITACIÓN Y/O REMODELACIÓN Y/O REPOSICIÓN Y/O REPARACIÓN LOCATIVA Y/O RESTAURACIÓN Y/O RESTITUCIÓN Y/O SUSTITUCIÓN Y/O </w:t>
            </w:r>
            <w:proofErr w:type="gramStart"/>
            <w:r w:rsidRPr="0089683F">
              <w:rPr>
                <w:rFonts w:ascii="Verdana" w:eastAsia="Aptos" w:hAnsi="Verdana" w:cs="Aptos"/>
                <w:i/>
                <w:iCs/>
                <w:sz w:val="21"/>
                <w:szCs w:val="21"/>
                <w:lang w:val="es-ES_tradnl"/>
              </w:rPr>
              <w:t>TERMINACIÓN  DE</w:t>
            </w:r>
            <w:proofErr w:type="gramEnd"/>
            <w:r w:rsidRPr="0089683F">
              <w:rPr>
                <w:rFonts w:ascii="Verdana" w:eastAsia="Aptos" w:hAnsi="Verdana" w:cs="Aptos"/>
                <w:i/>
                <w:iCs/>
                <w:sz w:val="21"/>
                <w:szCs w:val="21"/>
                <w:lang w:val="es-ES_tradnl"/>
              </w:rPr>
              <w:t xml:space="preserve">  EDIFICACIONES.</w:t>
            </w:r>
          </w:p>
          <w:p w14:paraId="75CF7BE9" w14:textId="77777777" w:rsidR="0089683F" w:rsidRPr="0089683F" w:rsidRDefault="0089683F" w:rsidP="0089683F">
            <w:pPr>
              <w:spacing w:line="276" w:lineRule="auto"/>
              <w:ind w:left="708"/>
              <w:jc w:val="both"/>
              <w:rPr>
                <w:rFonts w:ascii="Verdana" w:eastAsia="Aptos" w:hAnsi="Verdana" w:cs="Aptos"/>
                <w:lang w:val="es-ES_tradnl"/>
              </w:rPr>
            </w:pPr>
            <w:r w:rsidRPr="0089683F">
              <w:rPr>
                <w:rFonts w:ascii="Verdana" w:eastAsia="Aptos" w:hAnsi="Verdana" w:cs="Aptos"/>
                <w:lang w:val="es-ES_tradnl"/>
              </w:rPr>
              <w:t xml:space="preserve"> </w:t>
            </w:r>
          </w:p>
          <w:p w14:paraId="33D18970" w14:textId="77777777" w:rsidR="0089683F" w:rsidRPr="0089683F" w:rsidRDefault="0089683F" w:rsidP="0089683F">
            <w:pPr>
              <w:spacing w:line="276" w:lineRule="auto"/>
              <w:ind w:firstLine="708"/>
              <w:jc w:val="both"/>
              <w:rPr>
                <w:rFonts w:ascii="Verdana" w:eastAsia="Aptos" w:hAnsi="Verdana" w:cs="Aptos"/>
                <w:b/>
                <w:bCs/>
                <w:u w:val="single"/>
                <w:lang w:val="es-ES_tradnl"/>
              </w:rPr>
            </w:pPr>
            <w:r w:rsidRPr="0089683F">
              <w:rPr>
                <w:rFonts w:ascii="Verdana" w:eastAsia="Aptos" w:hAnsi="Verdana" w:cs="Aptos"/>
                <w:b/>
                <w:bCs/>
                <w:u w:val="single"/>
                <w:lang w:val="es-ES_tradnl"/>
              </w:rPr>
              <w:t>Específica:</w:t>
            </w:r>
          </w:p>
          <w:p w14:paraId="089267D4" w14:textId="77777777" w:rsidR="0089683F" w:rsidRPr="0089683F" w:rsidRDefault="0089683F" w:rsidP="0089683F">
            <w:pPr>
              <w:spacing w:line="276" w:lineRule="auto"/>
              <w:jc w:val="both"/>
              <w:rPr>
                <w:rFonts w:ascii="Verdana" w:eastAsia="Aptos" w:hAnsi="Verdana" w:cs="Aptos"/>
                <w:lang w:val="es-ES_tradnl"/>
              </w:rPr>
            </w:pPr>
          </w:p>
          <w:p w14:paraId="73A5F732" w14:textId="77777777" w:rsidR="0089683F" w:rsidRPr="0089683F" w:rsidRDefault="0089683F" w:rsidP="0089683F">
            <w:pPr>
              <w:spacing w:line="276" w:lineRule="auto"/>
              <w:ind w:left="708"/>
              <w:jc w:val="both"/>
              <w:rPr>
                <w:rFonts w:ascii="Verdana" w:eastAsia="Aptos" w:hAnsi="Verdana" w:cs="Aptos"/>
                <w:i/>
                <w:iCs/>
                <w:sz w:val="21"/>
                <w:szCs w:val="21"/>
                <w:lang w:val="es-ES_tradnl"/>
              </w:rPr>
            </w:pPr>
            <w:r w:rsidRPr="0089683F">
              <w:rPr>
                <w:rFonts w:ascii="Verdana" w:eastAsia="Aptos" w:hAnsi="Verdana" w:cs="Aptos"/>
                <w:i/>
                <w:iCs/>
                <w:sz w:val="21"/>
                <w:szCs w:val="21"/>
                <w:lang w:val="es-ES_tradnl"/>
              </w:rPr>
              <w:t>Por lo menos uno (1) de los contratos válidos aportados como experiencia general debe contemplar un área intervenida o construida igual o superior al (F%) del total de metros cuadrados del proceso de selección, el cual corresponde a [la entidad indicará los metros cuadrados para el proceso de selección].</w:t>
            </w:r>
          </w:p>
          <w:p w14:paraId="4109286F" w14:textId="77777777" w:rsidR="0089683F" w:rsidRPr="0089683F" w:rsidRDefault="0089683F" w:rsidP="0089683F">
            <w:pPr>
              <w:spacing w:line="276" w:lineRule="auto"/>
              <w:ind w:left="708"/>
              <w:jc w:val="both"/>
              <w:rPr>
                <w:rFonts w:ascii="Verdana" w:eastAsia="Aptos" w:hAnsi="Verdana" w:cs="Aptos"/>
                <w:i/>
                <w:iCs/>
                <w:lang w:val="es-ES_tradnl"/>
              </w:rPr>
            </w:pPr>
          </w:p>
          <w:p w14:paraId="1760FA20" w14:textId="77777777" w:rsidR="0089683F" w:rsidRPr="0089683F" w:rsidRDefault="0089683F" w:rsidP="0089683F">
            <w:pPr>
              <w:spacing w:line="276" w:lineRule="auto"/>
              <w:ind w:firstLine="708"/>
              <w:jc w:val="both"/>
              <w:rPr>
                <w:rFonts w:ascii="Verdana" w:eastAsia="Aptos" w:hAnsi="Verdana" w:cs="Aptos"/>
                <w:b/>
                <w:bCs/>
                <w:u w:val="single"/>
                <w:lang w:val="es-ES_tradnl"/>
              </w:rPr>
            </w:pPr>
            <w:r w:rsidRPr="0089683F">
              <w:rPr>
                <w:rFonts w:ascii="Verdana" w:eastAsia="Aptos" w:hAnsi="Verdana" w:cs="Aptos"/>
                <w:b/>
                <w:bCs/>
                <w:u w:val="single"/>
                <w:lang w:val="es-ES_tradnl"/>
              </w:rPr>
              <w:t>Dimensionamiento:</w:t>
            </w:r>
          </w:p>
          <w:p w14:paraId="7E686241" w14:textId="77777777" w:rsidR="0089683F" w:rsidRPr="0089683F" w:rsidRDefault="0089683F" w:rsidP="0089683F">
            <w:pPr>
              <w:spacing w:line="276" w:lineRule="auto"/>
              <w:jc w:val="both"/>
              <w:rPr>
                <w:rFonts w:ascii="Verdana" w:eastAsia="Aptos" w:hAnsi="Verdana" w:cs="Aptos"/>
                <w:lang w:val="es-ES_tradnl"/>
              </w:rPr>
            </w:pPr>
          </w:p>
          <w:p w14:paraId="058E6681" w14:textId="77777777" w:rsidR="0089683F" w:rsidRPr="0089683F" w:rsidRDefault="0089683F" w:rsidP="0089683F">
            <w:pPr>
              <w:spacing w:line="276" w:lineRule="auto"/>
              <w:ind w:left="708"/>
              <w:jc w:val="both"/>
              <w:rPr>
                <w:rFonts w:ascii="Verdana" w:eastAsia="Aptos" w:hAnsi="Verdana" w:cs="Aptos"/>
                <w:sz w:val="21"/>
                <w:szCs w:val="21"/>
                <w:lang w:val="es-ES_tradnl"/>
              </w:rPr>
            </w:pPr>
            <w:r w:rsidRPr="0089683F">
              <w:rPr>
                <w:rFonts w:ascii="Verdana" w:eastAsia="Aptos" w:hAnsi="Verdana" w:cs="Aptos"/>
                <w:sz w:val="21"/>
                <w:szCs w:val="21"/>
                <w:lang w:val="es-ES_tradnl"/>
              </w:rPr>
              <w:t>[Según la magnitud requerida en el proceso de contratación].</w:t>
            </w:r>
          </w:p>
          <w:p w14:paraId="42FF2553" w14:textId="77777777" w:rsidR="0089683F" w:rsidRPr="0089683F" w:rsidRDefault="0089683F" w:rsidP="0089683F">
            <w:pPr>
              <w:spacing w:line="276" w:lineRule="auto"/>
              <w:jc w:val="both"/>
              <w:rPr>
                <w:rFonts w:ascii="Verdana" w:eastAsia="Aptos" w:hAnsi="Verdana" w:cs="Aptos"/>
                <w:lang w:val="es-ES_tradnl"/>
              </w:rPr>
            </w:pPr>
          </w:p>
          <w:p w14:paraId="5147BF69" w14:textId="77777777" w:rsidR="0089683F" w:rsidRPr="0089683F" w:rsidRDefault="0089683F" w:rsidP="0089683F">
            <w:pPr>
              <w:spacing w:line="276" w:lineRule="auto"/>
              <w:ind w:firstLine="709"/>
              <w:jc w:val="both"/>
              <w:rPr>
                <w:rFonts w:ascii="Verdana" w:eastAsia="Aptos" w:hAnsi="Verdana" w:cs="Aptos"/>
                <w:lang w:val="es-ES_tradnl"/>
              </w:rPr>
            </w:pPr>
            <w:r w:rsidRPr="0089683F">
              <w:rPr>
                <w:rFonts w:ascii="Verdana" w:eastAsia="Aptos" w:hAnsi="Verdana" w:cs="Aptos"/>
                <w:lang w:val="es-ES_tradnl"/>
              </w:rPr>
              <w:t xml:space="preserve">De otro lado, hay que señalar que en el numeral </w:t>
            </w:r>
            <w:r w:rsidRPr="0089683F">
              <w:rPr>
                <w:rFonts w:ascii="Verdana" w:eastAsia="Aptos" w:hAnsi="Verdana" w:cs="Aptos"/>
                <w:i/>
                <w:iCs/>
                <w:lang w:val="es-ES_tradnl"/>
              </w:rPr>
              <w:t>3.5. “EXPERIENCIA”</w:t>
            </w:r>
            <w:r w:rsidRPr="0089683F">
              <w:rPr>
                <w:rFonts w:ascii="Verdana" w:eastAsia="Aptos" w:hAnsi="Verdana" w:cs="Aptos"/>
                <w:lang w:val="es-ES_tradnl"/>
              </w:rPr>
              <w:t xml:space="preserve"> del documento base, se indica que el área estimada de intervención del proceso de contratación corresponde a: </w:t>
            </w:r>
          </w:p>
          <w:p w14:paraId="48870C51" w14:textId="77777777" w:rsidR="0089683F" w:rsidRPr="0089683F" w:rsidRDefault="0089683F" w:rsidP="0089683F">
            <w:pPr>
              <w:spacing w:line="276" w:lineRule="auto"/>
              <w:jc w:val="both"/>
              <w:rPr>
                <w:rFonts w:ascii="Verdana" w:eastAsia="Aptos" w:hAnsi="Verdana" w:cs="Aptos"/>
                <w:lang w:val="es-ES_tradnl"/>
              </w:rPr>
            </w:pPr>
          </w:p>
          <w:p w14:paraId="7FF04BD9" w14:textId="77777777" w:rsidR="0089683F" w:rsidRPr="0089683F" w:rsidRDefault="0089683F" w:rsidP="0089683F">
            <w:pPr>
              <w:numPr>
                <w:ilvl w:val="0"/>
                <w:numId w:val="19"/>
              </w:numPr>
              <w:spacing w:line="276" w:lineRule="auto"/>
              <w:contextualSpacing/>
              <w:jc w:val="both"/>
              <w:rPr>
                <w:rFonts w:ascii="Verdana" w:eastAsia="Aptos" w:hAnsi="Verdana" w:cs="Arial"/>
                <w:lang w:val="es-MX"/>
              </w:rPr>
            </w:pPr>
            <w:r w:rsidRPr="0089683F">
              <w:rPr>
                <w:rFonts w:ascii="Verdana" w:eastAsia="Aptos" w:hAnsi="Verdana" w:cs="Arial"/>
                <w:b/>
                <w:lang w:val="es-MX"/>
              </w:rPr>
              <w:t>Área para construir/intervenir:</w:t>
            </w:r>
            <w:r w:rsidRPr="0089683F">
              <w:rPr>
                <w:rFonts w:ascii="Verdana" w:eastAsia="Aptos" w:hAnsi="Verdana" w:cs="Arial"/>
                <w:lang w:val="es-MX"/>
              </w:rPr>
              <w:t xml:space="preserve"> </w:t>
            </w:r>
            <w:r w:rsidRPr="0089683F">
              <w:rPr>
                <w:rFonts w:ascii="Verdana" w:eastAsia="Arial" w:hAnsi="Verdana" w:cs="Arial"/>
                <w:color w:val="000000"/>
                <w:highlight w:val="lightGray"/>
                <w:lang w:val="es-ES_tradnl" w:eastAsia="es-ES"/>
              </w:rPr>
              <w:t>[indicar el valor en m2 que corresponde al área a intervenir o construir, en los casos que aplique].</w:t>
            </w:r>
          </w:p>
          <w:p w14:paraId="409ACE86" w14:textId="77777777" w:rsidR="0089683F" w:rsidRPr="0089683F" w:rsidRDefault="0089683F" w:rsidP="0089683F">
            <w:pPr>
              <w:spacing w:line="276" w:lineRule="auto"/>
              <w:jc w:val="both"/>
              <w:rPr>
                <w:rFonts w:ascii="Verdana" w:eastAsia="Aptos" w:hAnsi="Verdana" w:cs="Aptos"/>
                <w:lang w:val="es-ES_tradnl"/>
              </w:rPr>
            </w:pPr>
          </w:p>
          <w:p w14:paraId="0DF1CCEA" w14:textId="77777777" w:rsidR="0089683F" w:rsidRPr="0089683F" w:rsidRDefault="0089683F" w:rsidP="0089683F">
            <w:pPr>
              <w:spacing w:after="120" w:line="276" w:lineRule="auto"/>
              <w:ind w:firstLine="709"/>
              <w:jc w:val="both"/>
              <w:rPr>
                <w:rFonts w:ascii="Verdana" w:eastAsia="Aptos" w:hAnsi="Verdana" w:cs="Aptos"/>
                <w:lang w:val="es-ES_tradnl"/>
              </w:rPr>
            </w:pPr>
            <w:r w:rsidRPr="0089683F">
              <w:rPr>
                <w:rFonts w:ascii="Verdana" w:eastAsia="Aptos" w:hAnsi="Verdana" w:cs="Aptos"/>
                <w:lang w:val="es-ES_tradnl"/>
              </w:rPr>
              <w:t>Según lo dispuesto en el documento base y la “Matriz 1 – Experiencia”, las entidades tienen que definir los metros cuadrados que solicitarán de acuerdo con las características técnicas del proceso de selección.</w:t>
            </w:r>
          </w:p>
          <w:p w14:paraId="104EE582" w14:textId="77777777" w:rsidR="0089683F" w:rsidRPr="0089683F" w:rsidRDefault="0089683F" w:rsidP="0089683F">
            <w:pPr>
              <w:spacing w:after="120" w:line="276" w:lineRule="auto"/>
              <w:ind w:firstLine="709"/>
              <w:jc w:val="both"/>
              <w:rPr>
                <w:rFonts w:ascii="Verdana" w:eastAsia="Aptos" w:hAnsi="Verdana" w:cs="Aptos"/>
                <w:lang w:val="es-ES_tradnl"/>
              </w:rPr>
            </w:pPr>
            <w:r w:rsidRPr="0089683F">
              <w:rPr>
                <w:rFonts w:ascii="Verdana" w:eastAsia="Aptos" w:hAnsi="Verdana" w:cs="Aptos"/>
                <w:lang w:val="es-ES_tradnl"/>
              </w:rPr>
              <w:t xml:space="preserve">Para calcular el área cuando el proceso de selección se relaciona con actividades de mantenimiento en los que el área exacta a intervenir no se puede definir desde el inicio del proyecto, en donde la ejecución de las actividades, por ejemplo, depende de algún diagnóstico técnico inicial, se podrán utilizar criterios de estimación de cantidades o unidades de referencia para definir el área del proyecto. </w:t>
            </w:r>
          </w:p>
          <w:p w14:paraId="3DC75E0E" w14:textId="77777777" w:rsidR="0089683F" w:rsidRPr="0089683F" w:rsidRDefault="0089683F" w:rsidP="0089683F">
            <w:pPr>
              <w:spacing w:after="120" w:line="276" w:lineRule="auto"/>
              <w:ind w:firstLine="709"/>
              <w:jc w:val="both"/>
              <w:rPr>
                <w:rFonts w:ascii="Verdana" w:eastAsia="Aptos" w:hAnsi="Verdana" w:cs="Aptos"/>
                <w:lang w:val="es-ES_tradnl"/>
              </w:rPr>
            </w:pPr>
            <w:r w:rsidRPr="0089683F">
              <w:rPr>
                <w:rFonts w:ascii="Verdana" w:eastAsia="Aptos" w:hAnsi="Verdana" w:cs="Aptos"/>
                <w:lang w:val="es-ES_tradnl"/>
              </w:rPr>
              <w:t>Por su parte, la entidad podría determinar un área máxima de intervención y la podrá utilizar como parámetro técnico, sin embargo, corresponde a entidad que adelanta el proceso de selección definir las alternativas para determinar el área de intervención bajo los criterios y alcance técnico definidos en los estudios previos del respectivo proceso de selección.</w:t>
            </w:r>
          </w:p>
        </w:tc>
      </w:tr>
    </w:tbl>
    <w:p w14:paraId="7A457B9B" w14:textId="77777777" w:rsidR="0089683F" w:rsidRPr="0089683F" w:rsidRDefault="0089683F" w:rsidP="0089683F">
      <w:pPr>
        <w:tabs>
          <w:tab w:val="left" w:pos="142"/>
          <w:tab w:val="left" w:pos="284"/>
        </w:tabs>
        <w:snapToGrid w:val="0"/>
        <w:spacing w:after="0" w:line="276" w:lineRule="auto"/>
        <w:jc w:val="both"/>
        <w:rPr>
          <w:rFonts w:ascii="Verdana" w:eastAsia="Century Gothic" w:hAnsi="Verdana" w:cs="Century Gothic"/>
          <w:b/>
          <w:bCs/>
          <w:lang w:val="es-ES" w:eastAsia="es-MX"/>
        </w:rPr>
      </w:pPr>
    </w:p>
    <w:p w14:paraId="56A3D5A7" w14:textId="77777777" w:rsidR="0089683F" w:rsidRPr="0089683F" w:rsidRDefault="0089683F" w:rsidP="0089683F">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eastAsia="es-MX"/>
        </w:rPr>
      </w:pPr>
      <w:r w:rsidRPr="0089683F">
        <w:rPr>
          <w:rFonts w:ascii="Verdana" w:eastAsia="Century Gothic" w:hAnsi="Verdana" w:cs="Century Gothic"/>
          <w:b/>
          <w:bCs/>
          <w:lang w:val="es-ES" w:eastAsia="es-MX"/>
        </w:rPr>
        <w:t>Razones de la respuesta:</w:t>
      </w:r>
    </w:p>
    <w:p w14:paraId="66485AAE" w14:textId="77777777" w:rsidR="0089683F" w:rsidRPr="0089683F" w:rsidRDefault="0089683F" w:rsidP="0089683F">
      <w:pPr>
        <w:tabs>
          <w:tab w:val="left" w:pos="142"/>
          <w:tab w:val="left" w:pos="284"/>
        </w:tabs>
        <w:snapToGrid w:val="0"/>
        <w:spacing w:after="0" w:line="276" w:lineRule="auto"/>
        <w:ind w:left="357"/>
        <w:jc w:val="both"/>
        <w:rPr>
          <w:rFonts w:ascii="Verdana" w:eastAsia="Century Gothic" w:hAnsi="Verdana" w:cs="Century Gothic"/>
          <w:b/>
          <w:bCs/>
          <w:lang w:val="es-ES" w:eastAsia="es-MX"/>
        </w:rPr>
      </w:pPr>
    </w:p>
    <w:p w14:paraId="00CBBE73" w14:textId="77777777" w:rsidR="0089683F" w:rsidRPr="0089683F" w:rsidRDefault="0089683F" w:rsidP="0089683F">
      <w:pPr>
        <w:snapToGrid w:val="0"/>
        <w:spacing w:after="0" w:line="276" w:lineRule="auto"/>
        <w:jc w:val="both"/>
        <w:rPr>
          <w:rFonts w:ascii="Verdana" w:eastAsia="Calibri" w:hAnsi="Verdana" w:cs="Arial"/>
          <w:lang w:val="es-ES" w:eastAsia="es-MX"/>
        </w:rPr>
      </w:pPr>
      <w:r w:rsidRPr="0089683F">
        <w:rPr>
          <w:rFonts w:ascii="Verdana" w:eastAsia="Calibri" w:hAnsi="Verdana" w:cs="Arial"/>
          <w:lang w:val="es-ES" w:eastAsia="es-MX"/>
        </w:rPr>
        <w:t xml:space="preserve">Lo anterior se sustenta en las siguientes consideraciones: </w:t>
      </w:r>
    </w:p>
    <w:p w14:paraId="2355F136" w14:textId="77777777" w:rsidR="0089683F" w:rsidRPr="0089683F" w:rsidRDefault="0089683F" w:rsidP="0089683F">
      <w:pPr>
        <w:spacing w:after="0" w:line="276" w:lineRule="auto"/>
        <w:jc w:val="both"/>
        <w:rPr>
          <w:rFonts w:ascii="Verdana" w:eastAsia="Calibri" w:hAnsi="Verdana" w:cs="Arial"/>
          <w:lang w:val="es-ES" w:eastAsia="es-MX"/>
        </w:rPr>
      </w:pPr>
    </w:p>
    <w:p w14:paraId="33135745" w14:textId="77777777" w:rsidR="0089683F" w:rsidRPr="0089683F" w:rsidRDefault="0089683F" w:rsidP="0089683F">
      <w:pPr>
        <w:tabs>
          <w:tab w:val="center" w:pos="4419"/>
          <w:tab w:val="right" w:pos="8838"/>
        </w:tabs>
        <w:spacing w:after="120" w:line="276" w:lineRule="auto"/>
        <w:jc w:val="both"/>
        <w:rPr>
          <w:rFonts w:ascii="Verdana" w:eastAsia="Calibri" w:hAnsi="Verdana" w:cs="Arial"/>
          <w:color w:val="000000"/>
          <w:lang w:val="es-ES"/>
        </w:rPr>
      </w:pPr>
      <w:r w:rsidRPr="0089683F">
        <w:rPr>
          <w:rFonts w:ascii="Verdana" w:eastAsia="Aptos" w:hAnsi="Verdana" w:cs="Times New Roman"/>
          <w:kern w:val="2"/>
          <w:sz w:val="24"/>
          <w:szCs w:val="24"/>
          <w14:ligatures w14:val="standardContextual"/>
        </w:rPr>
        <w:t xml:space="preserve">i. </w:t>
      </w:r>
      <w:r w:rsidRPr="0089683F">
        <w:rPr>
          <w:rFonts w:ascii="Verdana" w:eastAsia="Calibri" w:hAnsi="Verdana" w:cs="Arial"/>
          <w:color w:val="000000"/>
          <w:lang w:val="es-ES"/>
        </w:rPr>
        <w:t>Todas las resoluciones</w:t>
      </w:r>
      <w:r w:rsidRPr="0089683F">
        <w:rPr>
          <w:rFonts w:ascii="Verdana" w:eastAsia="Calibri" w:hAnsi="Verdana" w:cs="Arial"/>
          <w:color w:val="000000"/>
          <w:vertAlign w:val="superscript"/>
          <w:lang w:val="es-ES"/>
        </w:rPr>
        <w:footnoteReference w:id="2"/>
      </w:r>
      <w:r w:rsidRPr="0089683F">
        <w:rPr>
          <w:rFonts w:ascii="Verdana" w:eastAsia="Calibri" w:hAnsi="Verdana" w:cs="Arial"/>
          <w:color w:val="000000"/>
          <w:lang w:val="es-ES"/>
        </w:rPr>
        <w:t xml:space="preserve"> expedidas por la Agencia Nacional de Contratación Pública – Colombia Compra Eficiente, mediante las cuales se adoptaron los documentos tipo, consagran la regla de la inalterabilidad. Esta prohibición </w:t>
      </w:r>
      <w:r w:rsidRPr="0089683F">
        <w:rPr>
          <w:rFonts w:ascii="Verdana" w:eastAsia="Calibri" w:hAnsi="Verdana" w:cs="Arial"/>
          <w:color w:val="000000"/>
          <w:lang w:val="es-ES"/>
        </w:rPr>
        <w:lastRenderedPageBreak/>
        <w:t xml:space="preserve">consiste en que las entidades estatales no pueden incluir o modificar en los </w:t>
      </w:r>
      <w:r w:rsidRPr="0089683F">
        <w:rPr>
          <w:rFonts w:ascii="Verdana" w:eastAsia="Calibri" w:hAnsi="Verdana" w:cs="Arial"/>
          <w:i/>
          <w:iCs/>
          <w:color w:val="000000"/>
          <w:lang w:val="es-ES"/>
        </w:rPr>
        <w:t>Documentos del Proceso</w:t>
      </w:r>
      <w:r w:rsidRPr="0089683F">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0807CF52" w14:textId="77777777" w:rsidR="0089683F" w:rsidRPr="0089683F" w:rsidRDefault="0089683F" w:rsidP="0089683F">
      <w:pPr>
        <w:spacing w:before="120" w:after="120" w:line="276" w:lineRule="auto"/>
        <w:ind w:firstLine="709"/>
        <w:jc w:val="both"/>
        <w:rPr>
          <w:rFonts w:ascii="Verdana" w:eastAsia="Calibri" w:hAnsi="Verdana" w:cs="Arial"/>
          <w:lang w:val="es-ES_tradnl"/>
        </w:rPr>
      </w:pPr>
      <w:r w:rsidRPr="0089683F">
        <w:rPr>
          <w:rFonts w:ascii="Verdana" w:eastAsia="Calibri" w:hAnsi="Verdana" w:cs="Arial"/>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2EA91F12" w14:textId="77777777" w:rsidR="0089683F" w:rsidRPr="0089683F" w:rsidRDefault="0089683F" w:rsidP="0089683F">
      <w:pPr>
        <w:spacing w:before="120" w:after="120" w:line="276" w:lineRule="auto"/>
        <w:ind w:firstLine="709"/>
        <w:jc w:val="both"/>
        <w:rPr>
          <w:rFonts w:ascii="Verdana" w:eastAsia="Calibri" w:hAnsi="Verdana" w:cs="Arial"/>
          <w:lang w:val="es-ES_tradnl"/>
        </w:rPr>
      </w:pPr>
      <w:r w:rsidRPr="0089683F">
        <w:rPr>
          <w:rFonts w:ascii="Verdana" w:eastAsia="Calibri" w:hAnsi="Verdana" w:cs="Arial"/>
          <w:lang w:val="es-ES_tradnl"/>
        </w:rPr>
        <w:t>La inalterabilidad de los documentos tipo es una manifestación en mayor grado de las potestades regladas, lo cual implica una reducción de la discrecionalidad de la Administración en el momento de tomar una decisión en el proceso de contratación</w:t>
      </w:r>
      <w:r w:rsidRPr="0089683F">
        <w:rPr>
          <w:rFonts w:ascii="Verdana" w:eastAsia="Calibri" w:hAnsi="Verdana" w:cs="Arial"/>
          <w:vertAlign w:val="superscript"/>
          <w:lang w:val="es-ES_tradnl"/>
        </w:rPr>
        <w:footnoteReference w:id="3"/>
      </w:r>
      <w:r w:rsidRPr="0089683F">
        <w:rPr>
          <w:rFonts w:ascii="Verdana" w:eastAsia="Calibri" w:hAnsi="Verdana" w:cs="Arial"/>
          <w:lang w:val="es-ES_tradnl"/>
        </w:rPr>
        <w:t xml:space="preserve">. Cada entidad pública sujeta a los documentos tipo </w:t>
      </w:r>
      <w:r w:rsidRPr="0089683F">
        <w:rPr>
          <w:rFonts w:ascii="Verdana" w:eastAsia="Calibri" w:hAnsi="Verdana" w:cs="Arial"/>
          <w:lang w:val="es-ES_tradnl"/>
        </w:rPr>
        <w:lastRenderedPageBreak/>
        <w:t xml:space="preserve">deberá hacer una aplicación o constatación irrestricta de las reglas y condiciones dispuestas en estos, salvo que las mismas posibilitan la discrecionalidad en determinados aspectos. </w:t>
      </w:r>
    </w:p>
    <w:p w14:paraId="2919C00F" w14:textId="77777777" w:rsidR="0089683F" w:rsidRPr="0089683F" w:rsidRDefault="0089683F" w:rsidP="0089683F">
      <w:pPr>
        <w:spacing w:before="120" w:after="120" w:line="276" w:lineRule="auto"/>
        <w:ind w:firstLine="709"/>
        <w:jc w:val="both"/>
        <w:rPr>
          <w:rFonts w:ascii="Verdana" w:eastAsia="Calibri" w:hAnsi="Verdana" w:cs="Arial"/>
          <w:lang w:val="es-ES"/>
        </w:rPr>
      </w:pPr>
      <w:r w:rsidRPr="0089683F">
        <w:rPr>
          <w:rFonts w:ascii="Verdana" w:eastAsia="Calibri" w:hAnsi="Verdana" w:cs="Arial"/>
          <w:lang w:val="es-ES"/>
        </w:rPr>
        <w:t xml:space="preserve">Además, las entidades estatales deben garantizar el </w:t>
      </w:r>
      <w:r w:rsidRPr="0089683F">
        <w:rPr>
          <w:rFonts w:ascii="Verdana" w:eastAsia="Calibri" w:hAnsi="Verdana" w:cs="Arial"/>
          <w:i/>
          <w:iCs/>
          <w:lang w:val="es-ES"/>
        </w:rPr>
        <w:t>principio de economía</w:t>
      </w:r>
      <w:r w:rsidRPr="0089683F">
        <w:rPr>
          <w:rFonts w:ascii="Verdana" w:eastAsia="Calibri" w:hAnsi="Verdana" w:cs="Arial"/>
          <w:lang w:val="es-ES"/>
        </w:rPr>
        <w:t>, del cual se desprende que no pueden exigir documentos o requisitos más allá de los que permitan la Constitución, la ley y los reglamentos. Este postulado ha sido recogido no solo en la contratación estatal</w:t>
      </w:r>
      <w:r w:rsidRPr="0089683F">
        <w:rPr>
          <w:rFonts w:ascii="Verdana" w:eastAsia="Calibri" w:hAnsi="Verdana" w:cs="Arial"/>
          <w:vertAlign w:val="superscript"/>
          <w:lang w:val="es-ES"/>
        </w:rPr>
        <w:footnoteReference w:id="4"/>
      </w:r>
      <w:r w:rsidRPr="0089683F">
        <w:rPr>
          <w:rFonts w:ascii="Verdana" w:eastAsia="Calibri" w:hAnsi="Verdana" w:cs="Arial"/>
          <w:lang w:val="es-ES"/>
        </w:rPr>
        <w:t xml:space="preserve"> sino además en la normativa </w:t>
      </w:r>
      <w:proofErr w:type="spellStart"/>
      <w:r w:rsidRPr="0089683F">
        <w:rPr>
          <w:rFonts w:ascii="Verdana" w:eastAsia="Calibri" w:hAnsi="Verdana" w:cs="Arial"/>
          <w:lang w:val="es-ES"/>
        </w:rPr>
        <w:t>antitrámites</w:t>
      </w:r>
      <w:proofErr w:type="spellEnd"/>
      <w:r w:rsidRPr="0089683F">
        <w:rPr>
          <w:rFonts w:ascii="Verdana" w:eastAsia="Calibri" w:hAnsi="Verdana" w:cs="Arial"/>
          <w:vertAlign w:val="superscript"/>
          <w:lang w:val="es-ES"/>
        </w:rPr>
        <w:footnoteReference w:id="5"/>
      </w:r>
      <w:r w:rsidRPr="0089683F">
        <w:rPr>
          <w:rFonts w:ascii="Verdana" w:eastAsia="Calibri" w:hAnsi="Verdana" w:cs="Arial"/>
          <w:lang w:val="es-ES"/>
        </w:rPr>
        <w:t>; pues se inscribe dentro de la tendencia de simplificación y racionalización de los procedimientos administrativos. De ahí que cuando las autoridades solicitan la entrega de documentación innecesaria, desconocen el principio de economía.</w:t>
      </w:r>
    </w:p>
    <w:p w14:paraId="5BE9B85B" w14:textId="77777777" w:rsidR="0089683F" w:rsidRPr="0089683F" w:rsidRDefault="0089683F" w:rsidP="0089683F">
      <w:pPr>
        <w:spacing w:after="120" w:line="276" w:lineRule="auto"/>
        <w:ind w:firstLine="708"/>
        <w:jc w:val="both"/>
        <w:rPr>
          <w:rFonts w:ascii="Verdana" w:eastAsia="Calibri" w:hAnsi="Verdana" w:cs="Arial"/>
          <w:color w:val="000000"/>
          <w:lang w:val="es-ES"/>
        </w:rPr>
      </w:pPr>
      <w:r w:rsidRPr="0089683F">
        <w:rPr>
          <w:rFonts w:ascii="Verdana" w:eastAsia="Calibri" w:hAnsi="Verdana" w:cs="Arial"/>
          <w:color w:val="000000"/>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89683F">
        <w:rPr>
          <w:rFonts w:ascii="Verdana" w:eastAsia="Calibri" w:hAnsi="Verdana" w:cs="Arial"/>
          <w:color w:val="000000"/>
          <w:vertAlign w:val="superscript"/>
          <w:lang w:val="es-ES"/>
        </w:rPr>
        <w:footnoteReference w:id="6"/>
      </w:r>
      <w:r w:rsidRPr="0089683F">
        <w:rPr>
          <w:rFonts w:ascii="Verdana" w:eastAsia="Calibri" w:hAnsi="Verdana" w:cs="Arial"/>
          <w:color w:val="000000"/>
          <w:lang w:val="es-ES"/>
        </w:rPr>
        <w:t xml:space="preserve">. Si las autoridades pudiesen agregar, eliminar o modificar todos y cada uno de los aspectos contenidos en los </w:t>
      </w:r>
      <w:r w:rsidRPr="0089683F">
        <w:rPr>
          <w:rFonts w:ascii="Verdana" w:eastAsia="Calibri" w:hAnsi="Verdana" w:cs="Arial"/>
          <w:color w:val="000000"/>
          <w:lang w:val="es-ES"/>
        </w:rPr>
        <w:lastRenderedPageBreak/>
        <w:t xml:space="preserve">pliegos tipo, estos documentos, llanamente, no podrían ser llamados pliegos tipo. </w:t>
      </w:r>
    </w:p>
    <w:p w14:paraId="30526665" w14:textId="77777777" w:rsidR="0089683F" w:rsidRPr="0089683F" w:rsidRDefault="0089683F" w:rsidP="0089683F">
      <w:pPr>
        <w:spacing w:after="120" w:line="276" w:lineRule="auto"/>
        <w:ind w:firstLine="708"/>
        <w:jc w:val="both"/>
        <w:rPr>
          <w:rFonts w:ascii="Verdana" w:eastAsia="Calibri" w:hAnsi="Verdana" w:cs="Arial"/>
          <w:color w:val="000000"/>
          <w:lang w:val="es-ES"/>
        </w:rPr>
      </w:pPr>
      <w:r w:rsidRPr="0089683F">
        <w:rPr>
          <w:rFonts w:ascii="Verdana" w:eastAsia="Calibri" w:hAnsi="Verdana" w:cs="Arial"/>
          <w:color w:val="00000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642EFF11" w14:textId="77777777" w:rsidR="0089683F" w:rsidRPr="0089683F" w:rsidRDefault="0089683F" w:rsidP="0089683F">
      <w:pPr>
        <w:spacing w:after="120" w:line="276" w:lineRule="auto"/>
        <w:ind w:firstLine="708"/>
        <w:jc w:val="both"/>
        <w:rPr>
          <w:rFonts w:ascii="Verdana" w:eastAsia="Calibri" w:hAnsi="Verdana" w:cs="Arial"/>
          <w:color w:val="000000"/>
          <w:lang w:val="es-ES"/>
        </w:rPr>
      </w:pPr>
      <w:r w:rsidRPr="0089683F">
        <w:rPr>
          <w:rFonts w:ascii="Verdana" w:eastAsia="Calibri" w:hAnsi="Verdana" w:cs="Arial"/>
          <w:color w:val="000000"/>
          <w:lang w:val="es-ES"/>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79FC08DD" w14:textId="77777777" w:rsidR="0089683F" w:rsidRPr="0089683F" w:rsidRDefault="0089683F" w:rsidP="0089683F">
      <w:pPr>
        <w:spacing w:after="120" w:line="276" w:lineRule="auto"/>
        <w:ind w:firstLine="708"/>
        <w:jc w:val="both"/>
        <w:rPr>
          <w:rFonts w:ascii="Verdana" w:eastAsia="Calibri" w:hAnsi="Verdana" w:cs="Arial"/>
          <w:color w:val="000000"/>
          <w:lang w:val="es-ES"/>
        </w:rPr>
      </w:pPr>
      <w:r w:rsidRPr="0089683F">
        <w:rPr>
          <w:rFonts w:ascii="Verdana" w:eastAsia="Calibri" w:hAnsi="Verdana" w:cs="Arial"/>
          <w:lang w:val="es-MX"/>
        </w:rPr>
        <w:t xml:space="preserve">No obstante, la parte introductoria de los documentos base de los documentos tipo disponen que los aspectos incluidos en corchetes y resaltados en gris </w:t>
      </w:r>
      <w:r w:rsidRPr="0089683F">
        <w:rPr>
          <w:rFonts w:ascii="Verdana" w:eastAsia="Aptos" w:hAnsi="Verdana" w:cs="Arial"/>
        </w:rPr>
        <w:t>–[</w:t>
      </w:r>
      <w:r w:rsidRPr="0089683F">
        <w:rPr>
          <w:rFonts w:ascii="Verdana" w:eastAsia="Aptos" w:hAnsi="Verdana" w:cs="Arial"/>
          <w:highlight w:val="lightGray"/>
        </w:rPr>
        <w:t>texto de ejemplo</w:t>
      </w:r>
      <w:r w:rsidRPr="0089683F">
        <w:rPr>
          <w:rFonts w:ascii="Verdana" w:eastAsia="Aptos" w:hAnsi="Verdana" w:cs="Arial"/>
        </w:rPr>
        <w:t xml:space="preserve">]– </w:t>
      </w:r>
      <w:r w:rsidRPr="0089683F">
        <w:rPr>
          <w:rFonts w:ascii="Verdana" w:eastAsia="Calibri" w:hAnsi="Verdana" w:cs="Arial"/>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54ECF062" w14:textId="77777777" w:rsidR="0089683F" w:rsidRPr="0089683F" w:rsidRDefault="0089683F" w:rsidP="0089683F">
      <w:pPr>
        <w:spacing w:after="120" w:line="276" w:lineRule="auto"/>
        <w:ind w:firstLine="708"/>
        <w:jc w:val="both"/>
        <w:rPr>
          <w:rFonts w:ascii="Aptos" w:eastAsia="Aptos" w:hAnsi="Aptos" w:cs="Times New Roman"/>
          <w:kern w:val="2"/>
          <w:sz w:val="24"/>
          <w:szCs w:val="24"/>
          <w:lang w:val="es-MX"/>
          <w14:ligatures w14:val="standardContextual"/>
        </w:rPr>
      </w:pPr>
      <w:r w:rsidRPr="0089683F">
        <w:rPr>
          <w:rFonts w:ascii="Verdana" w:eastAsia="Calibri" w:hAnsi="Verdana" w:cs="Arial"/>
          <w:lang w:val="es-MX"/>
        </w:rPr>
        <w:t xml:space="preserve">Debe indicarse que, la regla de inalterabilidad que recae sobre los documentos tipo, también se encuentra consagrada de forma expresa en el documento base. Así, en el aparte sobre las normas de interpretación del pliego de condiciones, el literal I del numeral 1.17 del pliego tipo de los documentos tipo de licitación de obra pública de infraestructura de transporte dispone lo siguiente: </w:t>
      </w:r>
      <w:r w:rsidRPr="0089683F">
        <w:rPr>
          <w:rFonts w:ascii="Verdana" w:eastAsia="Calibri" w:hAnsi="Verdana" w:cs="Arial"/>
          <w:i/>
          <w:iCs/>
          <w:lang w:val="es-MX"/>
        </w:rPr>
        <w:t>“</w:t>
      </w:r>
      <w:r w:rsidRPr="0089683F">
        <w:rPr>
          <w:rFonts w:ascii="Verdana" w:eastAsia="Aptos" w:hAnsi="Verdana" w:cs="Times New Roman"/>
          <w:i/>
          <w:iCs/>
          <w:kern w:val="2"/>
          <w:lang w:val="es-MX"/>
          <w14:ligatures w14:val="standardContextual"/>
        </w:rPr>
        <w:t xml:space="preserve">Los Documentos Tipo son inalterables y no se podrán incluir o modificar los Anexos, Formatos y Formularios, ni exigir soportes o requisitos </w:t>
      </w:r>
      <w:r w:rsidRPr="0089683F">
        <w:rPr>
          <w:rFonts w:ascii="Verdana" w:eastAsia="Aptos" w:hAnsi="Verdana" w:cs="Times New Roman"/>
          <w:i/>
          <w:iCs/>
          <w:kern w:val="2"/>
          <w:lang w:val="es-MX"/>
          <w14:ligatures w14:val="standardContextual"/>
        </w:rPr>
        <w:lastRenderedPageBreak/>
        <w:t>adicionales; salvo cuando se permita en forma expresa, es decir, en los aspectos incluidos en corchetes y resaltados en gris”.</w:t>
      </w:r>
      <w:r w:rsidRPr="0089683F">
        <w:rPr>
          <w:rFonts w:ascii="Aptos" w:eastAsia="Aptos" w:hAnsi="Aptos" w:cs="Times New Roman"/>
          <w:kern w:val="2"/>
          <w:sz w:val="24"/>
          <w:szCs w:val="24"/>
          <w:lang w:val="es-MX"/>
          <w14:ligatures w14:val="standardContextual"/>
        </w:rPr>
        <w:t xml:space="preserve"> </w:t>
      </w:r>
    </w:p>
    <w:p w14:paraId="20CEC13C" w14:textId="77777777" w:rsidR="0089683F" w:rsidRPr="0089683F" w:rsidRDefault="0089683F" w:rsidP="0089683F">
      <w:pPr>
        <w:spacing w:before="120" w:after="120" w:line="276" w:lineRule="auto"/>
        <w:ind w:firstLine="709"/>
        <w:jc w:val="both"/>
        <w:rPr>
          <w:rFonts w:ascii="Verdana" w:eastAsia="Calibri" w:hAnsi="Verdana" w:cs="Arial"/>
          <w:bCs/>
          <w:lang w:val="es-MX"/>
        </w:rPr>
      </w:pPr>
      <w:r w:rsidRPr="0089683F">
        <w:rPr>
          <w:rFonts w:ascii="Verdana" w:eastAsia="Calibri" w:hAnsi="Verdana" w:cs="Arial"/>
          <w:bCs/>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36D7E846" w14:textId="77777777" w:rsidR="0089683F" w:rsidRPr="0089683F" w:rsidRDefault="0089683F" w:rsidP="0089683F">
      <w:pPr>
        <w:spacing w:before="120" w:after="120" w:line="276" w:lineRule="auto"/>
        <w:ind w:firstLine="709"/>
        <w:jc w:val="both"/>
        <w:rPr>
          <w:rFonts w:ascii="Verdana" w:eastAsia="Calibri" w:hAnsi="Verdana" w:cs="Arial"/>
          <w:bCs/>
          <w:lang w:val="es-MX"/>
        </w:rPr>
      </w:pPr>
      <w:r w:rsidRPr="0089683F">
        <w:rPr>
          <w:rFonts w:ascii="Verdana" w:eastAsia="Calibri" w:hAnsi="Verdana" w:cs="Arial"/>
          <w:bCs/>
          <w:lang w:val="es-MX"/>
        </w:rPr>
        <w:t xml:space="preserve">Esta regla de inalterabilidad </w:t>
      </w:r>
      <w:r w:rsidRPr="0089683F">
        <w:rPr>
          <w:rFonts w:ascii="Verdana" w:eastAsia="Calibri" w:hAnsi="Verdana" w:cs="Arial"/>
          <w:bCs/>
          <w:i/>
          <w:iCs/>
          <w:lang w:val="es-MX"/>
        </w:rPr>
        <w:t>también aplica a los formatos, formularios, anexos y matrices</w:t>
      </w:r>
      <w:r w:rsidRPr="0089683F">
        <w:rPr>
          <w:rFonts w:ascii="Verdana" w:eastAsia="Calibri" w:hAnsi="Verdana" w:cs="Arial"/>
          <w:bCs/>
          <w:lang w:val="es-MX"/>
        </w:rPr>
        <w:t xml:space="preserve"> implementados junto con el “Documento Base”, los cuales deben usarse en el procedimiento de contratación. Estos, al igual que el “Documento Base”, contienen apartes entre corchetes y resaltados en gris, los cuales deben ser diligenciados por la entidad, al igual que otros aspectos relativos a información que debe ser completada por los oferentes al hacer uso del formato. </w:t>
      </w:r>
    </w:p>
    <w:p w14:paraId="13F6983A" w14:textId="77777777" w:rsidR="0089683F" w:rsidRPr="0089683F" w:rsidRDefault="0089683F" w:rsidP="0089683F">
      <w:pPr>
        <w:spacing w:before="120" w:after="120" w:line="276" w:lineRule="auto"/>
        <w:ind w:firstLine="709"/>
        <w:jc w:val="both"/>
        <w:rPr>
          <w:rFonts w:ascii="Verdana" w:eastAsia="Calibri" w:hAnsi="Verdana" w:cs="Arial"/>
          <w:lang w:val="es-MX"/>
        </w:rPr>
      </w:pPr>
      <w:r w:rsidRPr="0089683F">
        <w:rPr>
          <w:rFonts w:ascii="Verdana" w:eastAsia="Calibri" w:hAnsi="Verdana" w:cs="Arial"/>
          <w:lang w:val="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763AB7E4" w14:textId="77777777" w:rsidR="0089683F" w:rsidRPr="0089683F" w:rsidRDefault="0089683F" w:rsidP="0089683F">
      <w:pPr>
        <w:spacing w:before="120" w:after="120" w:line="276" w:lineRule="auto"/>
        <w:ind w:firstLine="709"/>
        <w:jc w:val="both"/>
        <w:rPr>
          <w:rFonts w:ascii="Verdana" w:eastAsia="Aptos" w:hAnsi="Verdana" w:cs="Arial"/>
        </w:rPr>
      </w:pPr>
      <w:r w:rsidRPr="0089683F">
        <w:rPr>
          <w:rFonts w:ascii="Verdana" w:eastAsia="Aptos" w:hAnsi="Verdana" w:cs="Arial"/>
        </w:rPr>
        <w:t xml:space="preserve">En relación con el principio constitucional </w:t>
      </w:r>
      <w:r w:rsidRPr="0089683F">
        <w:rPr>
          <w:rFonts w:ascii="Verdana" w:eastAsia="Aptos" w:hAnsi="Verdana" w:cs="Arial"/>
          <w:i/>
          <w:iCs/>
        </w:rPr>
        <w:t>sub examine</w:t>
      </w:r>
      <w:r w:rsidRPr="0089683F">
        <w:rPr>
          <w:rFonts w:ascii="Verdana" w:eastAsia="Aptos" w:hAnsi="Verdana" w:cs="Arial"/>
        </w:rPr>
        <w:t>, la Corte Constitucional explica que “(…)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w:t>
      </w:r>
      <w:r w:rsidRPr="0089683F">
        <w:rPr>
          <w:rFonts w:ascii="Verdana" w:eastAsia="Aptos" w:hAnsi="Verdana" w:cs="Arial"/>
          <w:vertAlign w:val="superscript"/>
        </w:rPr>
        <w:footnoteReference w:id="7"/>
      </w:r>
      <w:r w:rsidRPr="0089683F">
        <w:rPr>
          <w:rFonts w:ascii="Verdana" w:eastAsia="Aptos" w:hAnsi="Verdana" w:cs="Arial"/>
        </w:rPr>
        <w:t xml:space="preserve">. </w:t>
      </w:r>
    </w:p>
    <w:p w14:paraId="45ADA954" w14:textId="77777777" w:rsidR="0089683F" w:rsidRPr="0089683F" w:rsidRDefault="0089683F" w:rsidP="0089683F">
      <w:pPr>
        <w:spacing w:after="0" w:line="276" w:lineRule="auto"/>
        <w:ind w:firstLine="709"/>
        <w:jc w:val="both"/>
        <w:rPr>
          <w:rFonts w:ascii="Verdana" w:eastAsia="Calibri" w:hAnsi="Verdana" w:cs="Arial"/>
          <w:lang w:val="es-MX"/>
        </w:rPr>
      </w:pPr>
      <w:r w:rsidRPr="0089683F">
        <w:rPr>
          <w:rFonts w:ascii="Verdana" w:eastAsia="Calibri" w:hAnsi="Verdana" w:cs="Arial"/>
          <w:lang w:val="es-MX"/>
        </w:rPr>
        <w:lastRenderedPageBreak/>
        <w:t>El carácter inalterable de los documentos tipo no puede, por tanto,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tipos, es decir, no afectan su contenido esencial y, mucho menos, las obligaciones, deberes y derechos que se derivan para las partes contratantes.</w:t>
      </w:r>
    </w:p>
    <w:p w14:paraId="3245CCF7" w14:textId="77777777" w:rsidR="0089683F" w:rsidRPr="0089683F" w:rsidRDefault="0089683F" w:rsidP="0089683F">
      <w:pPr>
        <w:widowControl w:val="0"/>
        <w:autoSpaceDE w:val="0"/>
        <w:autoSpaceDN w:val="0"/>
        <w:spacing w:after="0" w:line="276" w:lineRule="auto"/>
        <w:jc w:val="both"/>
        <w:rPr>
          <w:rFonts w:ascii="Verdana" w:eastAsia="Aptos" w:hAnsi="Verdana" w:cs="Times New Roman"/>
          <w:kern w:val="2"/>
          <w:sz w:val="24"/>
          <w:szCs w:val="24"/>
          <w14:ligatures w14:val="standardContextual"/>
        </w:rPr>
      </w:pPr>
    </w:p>
    <w:p w14:paraId="3AD4E437" w14:textId="77777777" w:rsidR="0089683F" w:rsidRPr="0089683F" w:rsidRDefault="0089683F" w:rsidP="0089683F">
      <w:pPr>
        <w:widowControl w:val="0"/>
        <w:autoSpaceDE w:val="0"/>
        <w:autoSpaceDN w:val="0"/>
        <w:spacing w:after="120" w:line="276" w:lineRule="auto"/>
        <w:jc w:val="both"/>
        <w:rPr>
          <w:rFonts w:ascii="Verdana" w:eastAsia="Aptos" w:hAnsi="Verdana" w:cs="Times New Roman"/>
          <w:kern w:val="2"/>
          <w14:ligatures w14:val="standardContextual"/>
        </w:rPr>
      </w:pPr>
      <w:proofErr w:type="spellStart"/>
      <w:r w:rsidRPr="0089683F">
        <w:rPr>
          <w:rFonts w:ascii="Verdana" w:eastAsia="Aptos" w:hAnsi="Verdana" w:cs="Times New Roman"/>
          <w:kern w:val="2"/>
          <w14:ligatures w14:val="standardContextual"/>
        </w:rPr>
        <w:t>ii</w:t>
      </w:r>
      <w:proofErr w:type="spellEnd"/>
      <w:r w:rsidRPr="0089683F">
        <w:rPr>
          <w:rFonts w:ascii="Verdana" w:eastAsia="Aptos" w:hAnsi="Verdana" w:cs="Times New Roman"/>
          <w:kern w:val="2"/>
          <w14:ligatures w14:val="standardContextual"/>
        </w:rPr>
        <w:t>. De acuerdo con la memoria justificativa del Decreto 287 del 19 de marzo de 2026</w:t>
      </w:r>
      <w:r w:rsidRPr="0089683F">
        <w:rPr>
          <w:rFonts w:ascii="Verdana" w:eastAsia="Aptos" w:hAnsi="Verdana" w:cs="Times New Roman"/>
          <w:kern w:val="2"/>
          <w:vertAlign w:val="superscript"/>
          <w14:ligatures w14:val="standardContextual"/>
        </w:rPr>
        <w:footnoteReference w:id="8"/>
      </w:r>
      <w:r w:rsidRPr="0089683F">
        <w:rPr>
          <w:rFonts w:ascii="Verdana" w:eastAsia="Aptos" w:hAnsi="Verdana" w:cs="Times New Roman"/>
          <w:kern w:val="2"/>
          <w14:ligatures w14:val="standardContextual"/>
        </w:rPr>
        <w:t>, históricamente las Personas con Discapacidad han enfrentado mayores tasas de desempleo y barreras de acceso al mercado. Aunque leyes previas como la Ley 1618 de 2013, ordenaban un sistema de preferencias para estas personas, la regulación anterior –el Decreto 392 de 2018–, se limitaba a medidas aisladas de puntaje que no garantizaban una participación equitativa desde el inicio de los procesos contractuales. Esto fue ratificado por el Consejo de Estado</w:t>
      </w:r>
      <w:r w:rsidRPr="0089683F">
        <w:rPr>
          <w:rFonts w:ascii="Verdana" w:eastAsia="Aptos" w:hAnsi="Verdana" w:cs="Times New Roman"/>
          <w:kern w:val="2"/>
          <w:vertAlign w:val="superscript"/>
          <w14:ligatures w14:val="standardContextual"/>
        </w:rPr>
        <w:footnoteReference w:id="9"/>
      </w:r>
      <w:r w:rsidRPr="0089683F">
        <w:rPr>
          <w:rFonts w:ascii="Verdana" w:eastAsia="Aptos" w:hAnsi="Verdana" w:cs="Times New Roman"/>
          <w:kern w:val="2"/>
          <w14:ligatures w14:val="standardContextual"/>
        </w:rPr>
        <w:t xml:space="preserve"> que mediante una acción de cumplimiento declaró el incumplimiento del deber de reglamentar integralmente el artículo 13 de la Ley 1618 de 2013 y ordenó al Gobierno Nacional expedir la regulación necesaria para hacer efectivo el sistema de preferencias en favor de las personas con discapacidad, sus emprendimientos y empresas que las contratan.</w:t>
      </w:r>
    </w:p>
    <w:p w14:paraId="1443EC92" w14:textId="77777777" w:rsidR="0089683F" w:rsidRPr="0089683F" w:rsidRDefault="0089683F" w:rsidP="0089683F">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9683F">
        <w:rPr>
          <w:rFonts w:ascii="Verdana" w:eastAsia="Aptos" w:hAnsi="Verdana" w:cs="Times New Roman"/>
          <w:kern w:val="2"/>
          <w14:ligatures w14:val="standardContextual"/>
        </w:rPr>
        <w:t xml:space="preserve">En este sentido, la parte considerativa del Decreto 287 de 2026, indica que la Ley Estatutaria 1618 del 2013 establece un conjunto de medidas en favor de las personas con discapacidad, “(…) dentro de las que se destacan las contenidas en el numeral 1, que establece el deber del Gobierno Nacional de reglamentar una puntuación adicional en procesos de licitación pública, concurso de méritos y contratación directa para i) las empresas que tengan personas con discapacidad y para </w:t>
      </w:r>
      <w:proofErr w:type="spellStart"/>
      <w:r w:rsidRPr="0089683F">
        <w:rPr>
          <w:rFonts w:ascii="Verdana" w:eastAsia="Aptos" w:hAnsi="Verdana" w:cs="Times New Roman"/>
          <w:kern w:val="2"/>
          <w14:ligatures w14:val="standardContextual"/>
        </w:rPr>
        <w:t>ii</w:t>
      </w:r>
      <w:proofErr w:type="spellEnd"/>
      <w:r w:rsidRPr="0089683F">
        <w:rPr>
          <w:rFonts w:ascii="Verdana" w:eastAsia="Aptos" w:hAnsi="Verdana" w:cs="Times New Roman"/>
          <w:kern w:val="2"/>
          <w14:ligatures w14:val="standardContextual"/>
        </w:rPr>
        <w:t xml:space="preserve">) las empresas de personas con discapacidad, familiares y tutores, así como también la contenida en el numeral 7, que demanda del </w:t>
      </w:r>
      <w:r w:rsidRPr="0089683F">
        <w:rPr>
          <w:rFonts w:ascii="Verdana" w:eastAsia="Aptos" w:hAnsi="Verdana" w:cs="Times New Roman"/>
          <w:kern w:val="2"/>
          <w14:ligatures w14:val="standardContextual"/>
        </w:rPr>
        <w:lastRenderedPageBreak/>
        <w:t xml:space="preserve">Gobierno Nacional reglamentar la implementación de un sistema de preferencias en favor de empleadores de personas con discapacidad aplicable a procesos de selección y celebración de contratos; y la consagrada en el numeral 8, que demanda de los gobiernos nacional, departamentales, distritales y municipales fijar mediante decreto reglamentario la implementación de un sistema de preferencias en favor de las personas con discapacidad aplicable a procesos de selección de contratistas (…)”. </w:t>
      </w:r>
    </w:p>
    <w:p w14:paraId="0CD767AC" w14:textId="77777777" w:rsidR="0089683F" w:rsidRPr="0089683F" w:rsidRDefault="0089683F" w:rsidP="0089683F">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9683F">
        <w:rPr>
          <w:rFonts w:ascii="Verdana" w:eastAsia="Aptos" w:hAnsi="Verdana" w:cs="Times New Roman"/>
          <w:kern w:val="2"/>
          <w14:ligatures w14:val="standardContextual"/>
        </w:rPr>
        <w:t>En virtud de lo exigido por los numerales uno (1), siete (7) y ocho (8) del artículo 13 de la Ley Estatutaria 1618 del 2013, fue expedido el Decreto 392 del 26 de febrero de 2018</w:t>
      </w:r>
      <w:r w:rsidRPr="0089683F">
        <w:rPr>
          <w:rFonts w:ascii="Verdana" w:eastAsia="Aptos" w:hAnsi="Verdana" w:cs="Times New Roman"/>
          <w:kern w:val="2"/>
          <w:vertAlign w:val="superscript"/>
          <w14:ligatures w14:val="standardContextual"/>
        </w:rPr>
        <w:footnoteReference w:id="10"/>
      </w:r>
      <w:r w:rsidRPr="0089683F">
        <w:rPr>
          <w:rFonts w:ascii="Verdana" w:eastAsia="Aptos" w:hAnsi="Verdana" w:cs="Times New Roman"/>
          <w:kern w:val="2"/>
          <w14:ligatures w14:val="standardContextual"/>
        </w:rPr>
        <w:t>, mediante el cual se adicionan los artículos 2.2.1.2.4.2.6., 2.2.1.2.4.2.7. y 2.2.1.2.4.2.8. al Decreto 1082 de 2015. El primero de estos artículos, reglamenta parcialmente el numeral 1 del artículo 13 de la Ley Estatutaria 1618 del 2013, estableciendo que, las entidades estatales deberán otorgar el uno por ciento (1 %) del total de los puntos establecidos en el pliego de condiciones en los procesos de licitación pública y concurso de méritos, a los proponentes que acrediten la vinculación de trabajadores con discapacidad en su planta de personal. Sin embargo, de acuerdo con la parte considerativa del Decreto 287 de 2026 esta regulación favorece “(…) única y exclusivamente a las empresas que vinculan personas con discapacidad en su planta de personal, omitiendo el favorecimiento que debía reglamentarse en favor de las empresas de personas con discapacidad, familiares y tutores, tal y como lo dispuso el numeral 1 de la norma referida”.</w:t>
      </w:r>
    </w:p>
    <w:p w14:paraId="3EB0E1AA" w14:textId="77777777" w:rsidR="0089683F" w:rsidRPr="0089683F" w:rsidRDefault="0089683F" w:rsidP="0089683F">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9683F">
        <w:rPr>
          <w:rFonts w:ascii="Verdana" w:eastAsia="Aptos" w:hAnsi="Verdana" w:cs="Times New Roman"/>
          <w:kern w:val="2"/>
          <w14:ligatures w14:val="standardContextual"/>
        </w:rPr>
        <w:t>Por su parte, el artículo 2.2.1.2.4.2.8. del Decreto 1082 de 2015, de acuerdo con su literalidad, reglamenta los numerales 7 y 8 del artículo 13 de la Ley Estatutaria 1618 del 2013, en la medida en que establece los sistemas de preferencias a los que hacen referencia dichos numerales, pero los reduce a la aplicación de la metodología de desempate consagrada en el artículo 2.2.1.2.4.2.8. de ese mismo Decreto. No obstante, de acuerdo con la parte motiva del Decreto 287 de 2026 “(…) se omite el favorecimiento de las propuestas presentadas por los oferentes que sean personas con discapacidad, como lo exige el numeral 8 del artículo 13 de la Ley Estatutaria 1618 del 2013.</w:t>
      </w:r>
    </w:p>
    <w:p w14:paraId="22CE08BB" w14:textId="77777777" w:rsidR="0089683F" w:rsidRPr="0089683F" w:rsidRDefault="0089683F" w:rsidP="0089683F">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9683F">
        <w:rPr>
          <w:rFonts w:ascii="Verdana" w:eastAsia="Aptos" w:hAnsi="Verdana" w:cs="Times New Roman"/>
          <w:kern w:val="2"/>
          <w14:ligatures w14:val="standardContextual"/>
        </w:rPr>
        <w:t xml:space="preserve">En consecuencia, de acuerdo con las consideraciones desarrolladas en el Decreto 287 de 2026, la Ley 1618 de 2013 carece de reglamentación concreta </w:t>
      </w:r>
      <w:r w:rsidRPr="0089683F">
        <w:rPr>
          <w:rFonts w:ascii="Verdana" w:eastAsia="Aptos" w:hAnsi="Verdana" w:cs="Times New Roman"/>
          <w:kern w:val="2"/>
          <w14:ligatures w14:val="standardContextual"/>
        </w:rPr>
        <w:lastRenderedPageBreak/>
        <w:t xml:space="preserve">sobre los aspectos señalados, que no fueron cubiertos por las disposiciones que para el efecto desarrolló el Decreto 392 del 26 de febrero de 2018. Por lo tanto, mediante la expedición del mencionado decreto, en aplicación directa de la Constitución Política y para que exista una igualdad material para las personas con discapacidad, este pretende subsanar la falta de acciones afirmativas del Decreto 392 de 2018, modificando los artículos 2.2.1.2.4.2.6, 2.2.1.2.4.2.7. y 2.2.1.2.4.2.8. del Decreto 1082 de 2015. Entre otros, para efectos de este concepto, resulta pertinente referirse a las siguientes modificaciones: </w:t>
      </w:r>
    </w:p>
    <w:p w14:paraId="5531BCD5" w14:textId="77777777" w:rsidR="0089683F" w:rsidRPr="0089683F" w:rsidRDefault="0089683F" w:rsidP="0089683F">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9683F">
        <w:rPr>
          <w:rFonts w:ascii="Verdana" w:eastAsia="Aptos" w:hAnsi="Verdana" w:cs="Times New Roman"/>
          <w:kern w:val="2"/>
          <w14:ligatures w14:val="standardContextual"/>
        </w:rPr>
        <w:t xml:space="preserve"> i). El artículo 1, modifica el artículo 2.2.1.2.4.2.6. Del Decreto 1082 de 2015, incorporando la definición de emprendimientos y empresas de personas con discapacidad, con el propósito de adoptar medidas afirmativas que incentiven las personas en condición de discapacidad en el sistema de compras y contratación pública.</w:t>
      </w:r>
    </w:p>
    <w:p w14:paraId="70261B7B" w14:textId="77777777" w:rsidR="0089683F" w:rsidRPr="0089683F" w:rsidRDefault="0089683F" w:rsidP="0089683F">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89683F">
        <w:rPr>
          <w:rFonts w:ascii="Verdana" w:eastAsia="Aptos" w:hAnsi="Verdana" w:cs="Times New Roman"/>
          <w:kern w:val="2"/>
          <w14:ligatures w14:val="standardContextual"/>
        </w:rPr>
        <w:t>ii</w:t>
      </w:r>
      <w:proofErr w:type="spellEnd"/>
      <w:r w:rsidRPr="0089683F">
        <w:rPr>
          <w:rFonts w:ascii="Verdana" w:eastAsia="Aptos" w:hAnsi="Verdana" w:cs="Times New Roman"/>
          <w:kern w:val="2"/>
          <w14:ligatures w14:val="standardContextual"/>
        </w:rPr>
        <w:t xml:space="preserve">). El artículo 1, modifica el artículo 2.2.1.2.4.2.7. del Decreto 1082 de 2015, estableciendo un Sistema de Preferencias en Favor de las Personas con Discapacidad en el Sistema de Compras y Contratación Pública, mediante medidas afirmativas, que deben adoptar las Entidades Estatales en sus Procesos de Contratación, para promover condiciones efectivas de igualdad para estas personas, corregir barreras estructurales de acceso y fomentar su participación como proponentes, contratistas o integrantes de la cadena de valor. </w:t>
      </w:r>
    </w:p>
    <w:p w14:paraId="00F9314D" w14:textId="77777777" w:rsidR="0089683F" w:rsidRPr="0089683F" w:rsidRDefault="0089683F" w:rsidP="0089683F">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89683F">
        <w:rPr>
          <w:rFonts w:ascii="Verdana" w:eastAsia="Aptos" w:hAnsi="Verdana" w:cs="Times New Roman"/>
          <w:kern w:val="2"/>
          <w14:ligatures w14:val="standardContextual"/>
        </w:rPr>
        <w:t>iii</w:t>
      </w:r>
      <w:proofErr w:type="spellEnd"/>
      <w:r w:rsidRPr="0089683F">
        <w:rPr>
          <w:rFonts w:ascii="Verdana" w:eastAsia="Aptos" w:hAnsi="Verdana" w:cs="Times New Roman"/>
          <w:kern w:val="2"/>
          <w14:ligatures w14:val="standardContextual"/>
        </w:rPr>
        <w:t xml:space="preserve">). El artículo 1, modifica el artículo 2.2.1.2.4.2.7.1. del Decreto 1082 de 2015, disponiendo que todas las entidades que manejen recursos públicos están obligadas a garantizar la accesibilidad para personas con discapacidad en sus procesos de contratación. </w:t>
      </w:r>
    </w:p>
    <w:p w14:paraId="72E514F0" w14:textId="77777777" w:rsidR="0089683F" w:rsidRPr="0089683F" w:rsidRDefault="0089683F" w:rsidP="0089683F">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89683F">
        <w:rPr>
          <w:rFonts w:ascii="Aptos" w:eastAsia="Aptos" w:hAnsi="Aptos" w:cs="Times New Roman"/>
          <w:kern w:val="2"/>
          <w:sz w:val="24"/>
          <w:szCs w:val="24"/>
          <w14:ligatures w14:val="standardContextual"/>
        </w:rPr>
        <w:t>iv</w:t>
      </w:r>
      <w:proofErr w:type="spellEnd"/>
      <w:r w:rsidRPr="0089683F">
        <w:rPr>
          <w:rFonts w:ascii="Aptos" w:eastAsia="Aptos" w:hAnsi="Aptos" w:cs="Times New Roman"/>
          <w:kern w:val="2"/>
          <w:sz w:val="24"/>
          <w:szCs w:val="24"/>
          <w14:ligatures w14:val="standardContextual"/>
        </w:rPr>
        <w:t xml:space="preserve">). </w:t>
      </w:r>
      <w:r w:rsidRPr="0089683F">
        <w:rPr>
          <w:rFonts w:ascii="Verdana" w:eastAsia="Aptos" w:hAnsi="Verdana" w:cs="Times New Roman"/>
          <w:kern w:val="2"/>
          <w14:ligatures w14:val="standardContextual"/>
        </w:rPr>
        <w:t>El artículo 1, modifica el 2.2.1.2.4.2.7.2. del Decreto 1082 de 2015. De esta forma, se consagra que, en la planeación contractual, las Entidades Estatales deben implementar acciones concretas para promover la participación de emprendimientos y empresas de personas con discapacidad, asegurando igualdad de oportunidades en los procesos de contratación pública. Esto implica diseñar mecanismos que eliminen barreras de acceso y fomenten una participación más inclusiva desde las etapas iniciales del proceso.</w:t>
      </w:r>
    </w:p>
    <w:p w14:paraId="59611D58" w14:textId="77777777" w:rsidR="0089683F" w:rsidRPr="0089683F" w:rsidRDefault="0089683F" w:rsidP="0089683F">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9683F">
        <w:rPr>
          <w:rFonts w:ascii="Verdana" w:eastAsia="Aptos" w:hAnsi="Verdana" w:cs="Times New Roman"/>
          <w:kern w:val="2"/>
          <w14:ligatures w14:val="standardContextual"/>
        </w:rPr>
        <w:t xml:space="preserve">v). El artículo 1, modifica el artículo 2.2.1.2.4.2.7.3. del Decreto 1082 de 2015, incorporando criterios diferenciales en favor de los emprendimientos y empresas de personas con discapacidad en la habilitación, como parte del </w:t>
      </w:r>
      <w:r w:rsidRPr="0089683F">
        <w:rPr>
          <w:rFonts w:ascii="Verdana" w:eastAsia="Aptos" w:hAnsi="Verdana" w:cs="Times New Roman"/>
          <w:kern w:val="2"/>
          <w14:ligatures w14:val="standardContextual"/>
        </w:rPr>
        <w:lastRenderedPageBreak/>
        <w:t>sistema de preferencias para esta población en la contratación pública que impone reglamentar la Ley 1618 de 2013. Este aspecto considerando que “(…) es necesario flexibilizar los requisitos habilitantes de los procesos de contratación para facilitar la participación de las personas con discapacidad, debido a que sin esto el puntaje que también regula el presente Decreto (287 de 2026) se vuelve inocuo porque no se podría aplicar si las personas con discapacidad no superan el primer filtro, que resulta de la aplicación de los requisitos habilitantes que pueden resultar un impedimento para la posterior evaluación de su oferta y que pueda tener efectividad el puntaje”</w:t>
      </w:r>
      <w:r w:rsidRPr="0089683F">
        <w:rPr>
          <w:rFonts w:ascii="Verdana" w:eastAsia="Aptos" w:hAnsi="Verdana" w:cs="Times New Roman"/>
          <w:kern w:val="2"/>
          <w:vertAlign w:val="superscript"/>
          <w14:ligatures w14:val="standardContextual"/>
        </w:rPr>
        <w:footnoteReference w:id="11"/>
      </w:r>
      <w:r w:rsidRPr="0089683F">
        <w:rPr>
          <w:rFonts w:ascii="Verdana" w:eastAsia="Aptos" w:hAnsi="Verdana" w:cs="Times New Roman"/>
          <w:kern w:val="2"/>
          <w14:ligatures w14:val="standardContextual"/>
        </w:rPr>
        <w:t xml:space="preserve">. </w:t>
      </w:r>
    </w:p>
    <w:p w14:paraId="7DAF9C65" w14:textId="77777777" w:rsidR="0089683F" w:rsidRPr="0089683F" w:rsidRDefault="0089683F" w:rsidP="0089683F">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9683F">
        <w:rPr>
          <w:rFonts w:ascii="Verdana" w:eastAsia="Aptos" w:hAnsi="Verdana" w:cs="Times New Roman"/>
          <w:kern w:val="2"/>
          <w14:ligatures w14:val="standardContextual"/>
        </w:rPr>
        <w:t xml:space="preserve">vi) El artículo 1, modifica el artículo 2.1.2.4.2.7.4 del Decreto 1082 de 2015. Así, se establece un puntaje adicional en favor de los empleadores de personas con discapacidad y de los emprendimientos y empresas de personas con discapacidad del dos por ciento (2%) del valor total de los puntos establecidos en el pliego de condiciones o documentos equivalentes, para promover la inclusión laboral de personas con discapacidad en los procedimientos de licitación pública y concurso de méritos que adelanten las entidades estatales, cuando se configuren las situaciones previstas en ese artículo. </w:t>
      </w:r>
    </w:p>
    <w:p w14:paraId="550FD051" w14:textId="77777777" w:rsidR="0089683F" w:rsidRPr="0089683F" w:rsidRDefault="0089683F" w:rsidP="0089683F">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89683F">
        <w:rPr>
          <w:rFonts w:ascii="Verdana" w:eastAsia="Aptos" w:hAnsi="Verdana" w:cs="Times New Roman"/>
          <w:kern w:val="2"/>
          <w14:ligatures w14:val="standardContextual"/>
        </w:rPr>
        <w:t>vii</w:t>
      </w:r>
      <w:proofErr w:type="spellEnd"/>
      <w:r w:rsidRPr="0089683F">
        <w:rPr>
          <w:rFonts w:ascii="Verdana" w:eastAsia="Aptos" w:hAnsi="Verdana" w:cs="Times New Roman"/>
          <w:kern w:val="2"/>
          <w14:ligatures w14:val="standardContextual"/>
        </w:rPr>
        <w:t xml:space="preserve">)El artículo 1, modifica el artículo 2.2.1.2.4.2.7.5. del Decreto 1082 de 2015, indicando condiciones especiales de sujeción en favor de personas con discapacidad, que deberán incluir las entidades estatales como obligación contractual en los documentos del proceso, previo análisis de oportunidad y conveniencia. </w:t>
      </w:r>
    </w:p>
    <w:p w14:paraId="5AB7968E" w14:textId="77777777" w:rsidR="0089683F" w:rsidRPr="0089683F" w:rsidRDefault="0089683F" w:rsidP="0089683F">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89683F">
        <w:rPr>
          <w:rFonts w:ascii="Verdana" w:eastAsia="Aptos" w:hAnsi="Verdana" w:cs="Times New Roman"/>
          <w:kern w:val="2"/>
          <w14:ligatures w14:val="standardContextual"/>
        </w:rPr>
        <w:t>viii</w:t>
      </w:r>
      <w:proofErr w:type="spellEnd"/>
      <w:r w:rsidRPr="0089683F">
        <w:rPr>
          <w:rFonts w:ascii="Verdana" w:eastAsia="Aptos" w:hAnsi="Verdana" w:cs="Times New Roman"/>
          <w:kern w:val="2"/>
          <w14:ligatures w14:val="standardContextual"/>
        </w:rPr>
        <w:t>) El artículo 1, modifica el artículo 2.2.1.2.4.2.7.6. del Decreto 1082 de 2015, incluyendo que, las Entidades Estatales propenderán por la contratación de personas con discapacidad mediante la celebración de contratos de prestación de servicios profesionales y/o de apoyo a la gestión, de acuerdo con su planeación contractual, disponibilidad presupuestal y las necesidades del servicio.</w:t>
      </w:r>
    </w:p>
    <w:p w14:paraId="5017AB57" w14:textId="77777777" w:rsidR="0089683F" w:rsidRPr="0089683F" w:rsidRDefault="0089683F" w:rsidP="0089683F">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89683F">
        <w:rPr>
          <w:rFonts w:ascii="Verdana" w:eastAsia="Aptos" w:hAnsi="Verdana" w:cs="Times New Roman"/>
          <w:kern w:val="2"/>
          <w14:ligatures w14:val="standardContextual"/>
        </w:rPr>
        <w:t>ix</w:t>
      </w:r>
      <w:proofErr w:type="spellEnd"/>
      <w:r w:rsidRPr="0089683F">
        <w:rPr>
          <w:rFonts w:ascii="Verdana" w:eastAsia="Aptos" w:hAnsi="Verdana" w:cs="Times New Roman"/>
          <w:kern w:val="2"/>
          <w14:ligatures w14:val="standardContextual"/>
        </w:rPr>
        <w:t xml:space="preserve">). El artículo 1, modifica el artículo 2.2.1.2.4.2.7.8 del Decreto 1082 de 2015. La modificación dispone que, la Agencia Nacional de Contratación Pública – Colombia Compra Eficiente garantizará la adopción permanente de las acciones necesarias para que las medidas señaladas en favor de las Personas con </w:t>
      </w:r>
      <w:r w:rsidRPr="0089683F">
        <w:rPr>
          <w:rFonts w:ascii="Verdana" w:eastAsia="Aptos" w:hAnsi="Verdana" w:cs="Times New Roman"/>
          <w:kern w:val="2"/>
          <w14:ligatures w14:val="standardContextual"/>
        </w:rPr>
        <w:lastRenderedPageBreak/>
        <w:t xml:space="preserve">Discapacidad se incorporen a los documentos e instrumentos que genera. </w:t>
      </w:r>
    </w:p>
    <w:p w14:paraId="3714F5B5" w14:textId="77777777" w:rsidR="0089683F" w:rsidRPr="0089683F" w:rsidRDefault="0089683F" w:rsidP="0089683F">
      <w:pPr>
        <w:widowControl w:val="0"/>
        <w:autoSpaceDE w:val="0"/>
        <w:autoSpaceDN w:val="0"/>
        <w:spacing w:after="12" w:line="276" w:lineRule="auto"/>
        <w:ind w:firstLine="708"/>
        <w:jc w:val="both"/>
        <w:rPr>
          <w:rFonts w:ascii="Verdana" w:eastAsia="Aptos" w:hAnsi="Verdana" w:cs="Times New Roman"/>
          <w:kern w:val="2"/>
          <w14:ligatures w14:val="standardContextual"/>
        </w:rPr>
      </w:pPr>
      <w:r w:rsidRPr="0089683F">
        <w:rPr>
          <w:rFonts w:ascii="Verdana" w:eastAsia="Aptos" w:hAnsi="Verdana" w:cs="Times New Roman"/>
          <w:kern w:val="2"/>
          <w14:ligatures w14:val="standardContextual"/>
        </w:rPr>
        <w:t>Finalmente, el artículo 2 del Decreto 287 de 2026 establece las vigencias y derogatorias, en los siguientes términos: “El presente Decreto rige a partir del día siguiente a su publicación, modifica los artículos 2.2.1.2.4.2.6., 2.2.1 .2.4.2.7. Y 2.2.1.2.4.2.8. de la Subsección 2 de la Sección 4 del Capítulo 2 del Título 1 de la Parte 2 del Libro 2 del Decreto 1082 de 2015, Único Reglamentario del Sector Administrativo de Planeación, y deroga todas las disposiciones que le sean contrarias”.</w:t>
      </w:r>
    </w:p>
    <w:p w14:paraId="3A22F712" w14:textId="77777777" w:rsidR="0089683F" w:rsidRPr="0089683F" w:rsidRDefault="0089683F" w:rsidP="0089683F">
      <w:pPr>
        <w:widowControl w:val="0"/>
        <w:autoSpaceDE w:val="0"/>
        <w:autoSpaceDN w:val="0"/>
        <w:spacing w:after="12" w:line="276" w:lineRule="auto"/>
        <w:ind w:firstLine="708"/>
        <w:jc w:val="both"/>
        <w:rPr>
          <w:rFonts w:ascii="Verdana" w:eastAsia="Aptos" w:hAnsi="Verdana" w:cs="Times New Roman"/>
          <w:kern w:val="2"/>
          <w14:ligatures w14:val="standardContextual"/>
        </w:rPr>
      </w:pPr>
    </w:p>
    <w:p w14:paraId="6A6D50F7" w14:textId="77777777" w:rsidR="0089683F" w:rsidRPr="0089683F" w:rsidRDefault="0089683F" w:rsidP="0089683F">
      <w:pPr>
        <w:widowControl w:val="0"/>
        <w:autoSpaceDE w:val="0"/>
        <w:autoSpaceDN w:val="0"/>
        <w:spacing w:after="120" w:line="276" w:lineRule="auto"/>
        <w:jc w:val="both"/>
        <w:rPr>
          <w:rFonts w:ascii="Verdana" w:eastAsia="Aptos" w:hAnsi="Verdana" w:cs="Times New Roman"/>
          <w:kern w:val="2"/>
          <w14:ligatures w14:val="standardContextual"/>
        </w:rPr>
      </w:pPr>
      <w:proofErr w:type="spellStart"/>
      <w:r w:rsidRPr="0089683F">
        <w:rPr>
          <w:rFonts w:ascii="Verdana" w:eastAsia="Aptos" w:hAnsi="Verdana" w:cs="Times New Roman"/>
          <w:kern w:val="2"/>
          <w14:ligatures w14:val="standardContextual"/>
        </w:rPr>
        <w:t>iii</w:t>
      </w:r>
      <w:proofErr w:type="spellEnd"/>
      <w:r w:rsidRPr="0089683F">
        <w:rPr>
          <w:rFonts w:ascii="Verdana" w:eastAsia="Aptos" w:hAnsi="Verdana" w:cs="Times New Roman"/>
          <w:kern w:val="2"/>
          <w14:ligatures w14:val="standardContextual"/>
        </w:rPr>
        <w:t xml:space="preserve">. De acuerdo con el desarrollo del numeral precedente, </w:t>
      </w:r>
      <w:r w:rsidRPr="0089683F">
        <w:rPr>
          <w:rFonts w:ascii="Verdana" w:eastAsia="Aptos" w:hAnsi="Verdana" w:cs="AppleSystemUIFont"/>
          <w:lang w:val="es-MX"/>
          <w14:ligatures w14:val="standardContextual"/>
        </w:rPr>
        <w:t xml:space="preserve">la expedición del Decreto 287 de 2026 introduce un conjunto de prerrogativas dirigidas a garantizar la igualdad material de las personas con discapacidad, en desarrollo de la Ley 1618 de 2013 y del mandato constitucional de no discriminación, lo que impone la necesidad de una adecuación de los documentos tipo expedidos por la Agencia Nacional </w:t>
      </w:r>
      <w:r w:rsidRPr="0089683F">
        <w:rPr>
          <w:rFonts w:ascii="Verdana" w:eastAsia="Aptos" w:hAnsi="Verdana" w:cs="Times New Roman"/>
          <w:kern w:val="2"/>
          <w14:ligatures w14:val="standardContextual"/>
        </w:rPr>
        <w:t>de Contratación Pública – Colombia Compra Eficiente.</w:t>
      </w:r>
    </w:p>
    <w:p w14:paraId="7EC8155A" w14:textId="77777777" w:rsidR="0089683F" w:rsidRPr="0089683F" w:rsidRDefault="0089683F" w:rsidP="0089683F">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9683F">
        <w:rPr>
          <w:rFonts w:ascii="Verdana" w:eastAsia="Aptos" w:hAnsi="Verdana" w:cs="Times New Roman"/>
          <w:kern w:val="2"/>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5CE8270A" w14:textId="77777777" w:rsidR="0089683F" w:rsidRPr="0089683F" w:rsidRDefault="0089683F" w:rsidP="0089683F">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9683F">
        <w:rPr>
          <w:rFonts w:ascii="Verdana" w:eastAsia="Aptos" w:hAnsi="Verdana" w:cs="Times New Roman"/>
          <w:kern w:val="2"/>
          <w14:ligatures w14:val="standardContextual"/>
        </w:rPr>
        <w:t xml:space="preserve">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w:t>
      </w:r>
      <w:r w:rsidRPr="0089683F">
        <w:rPr>
          <w:rFonts w:ascii="Verdana" w:eastAsia="Aptos" w:hAnsi="Verdana" w:cs="Times New Roman"/>
          <w:kern w:val="2"/>
          <w14:ligatures w14:val="standardContextual"/>
        </w:rPr>
        <w:lastRenderedPageBreak/>
        <w:t>discapacidad con domicilio en el territorio nacional”</w:t>
      </w:r>
      <w:r w:rsidRPr="0089683F">
        <w:rPr>
          <w:rFonts w:ascii="Verdana" w:eastAsia="Aptos" w:hAnsi="Verdana" w:cs="Times New Roman"/>
          <w:kern w:val="2"/>
          <w:vertAlign w:val="superscript"/>
          <w14:ligatures w14:val="standardContextual"/>
        </w:rPr>
        <w:footnoteReference w:id="12"/>
      </w:r>
      <w:r w:rsidRPr="0089683F">
        <w:rPr>
          <w:rFonts w:ascii="Verdana" w:eastAsia="Aptos" w:hAnsi="Verdana" w:cs="Times New Roman"/>
          <w:kern w:val="2"/>
          <w14:ligatures w14:val="standardContextual"/>
        </w:rPr>
        <w:t>, de tal manera que se eliminen barreras de entrada injustificadas sin comprometer la idoneidad del contratista, en aplicación del principio de igualdad material.</w:t>
      </w:r>
    </w:p>
    <w:p w14:paraId="512E8286" w14:textId="77777777" w:rsidR="0089683F" w:rsidRPr="0089683F" w:rsidRDefault="0089683F" w:rsidP="0089683F">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9683F">
        <w:rPr>
          <w:rFonts w:ascii="Verdana" w:eastAsia="Aptos" w:hAnsi="Verdana" w:cs="Times New Roman"/>
          <w:kern w:val="2"/>
          <w14:ligatures w14:val="standardContextual"/>
        </w:rPr>
        <w:t xml:space="preserve">Así, los documentos tipo de licitación pública, selección abreviada de menor cuantía y concurso de méritos deben ser modificados por la Agencia Nacional de Contratación Pública – Colombia Compra Eficiente para incluir la reciente modificación al artículo 2.2.1.2.4.2.7.3 del Decreto 1082 de 2015. Lo anterior implica que, además de los requisitos habilitantes diferenciales previstos para </w:t>
      </w:r>
      <w:proofErr w:type="spellStart"/>
      <w:r w:rsidRPr="0089683F">
        <w:rPr>
          <w:rFonts w:ascii="Verdana" w:eastAsia="Aptos" w:hAnsi="Verdana" w:cs="Times New Roman"/>
          <w:kern w:val="2"/>
          <w14:ligatures w14:val="standardContextual"/>
        </w:rPr>
        <w:t>Mipymes</w:t>
      </w:r>
      <w:proofErr w:type="spellEnd"/>
      <w:r w:rsidRPr="0089683F">
        <w:rPr>
          <w:rFonts w:ascii="Verdana" w:eastAsia="Aptos" w:hAnsi="Verdana" w:cs="Times New Roman"/>
          <w:kern w:val="2"/>
          <w14:ligatures w14:val="standardContextual"/>
        </w:rPr>
        <w:t xml:space="preserve"> y emprendimientos y empresas de mujeres, se incluyan los dispuestos en el Decreto 287 de 2026 en favor de los emprendimientos y empresas de personas con discapacidad.</w:t>
      </w:r>
    </w:p>
    <w:p w14:paraId="00522AFF" w14:textId="77777777" w:rsidR="0089683F" w:rsidRPr="0089683F" w:rsidRDefault="0089683F" w:rsidP="0089683F">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9683F">
        <w:rPr>
          <w:rFonts w:ascii="Verdana" w:eastAsia="Aptos" w:hAnsi="Verdana" w:cs="Times New Roman"/>
          <w:kern w:val="2"/>
          <w14:ligatures w14:val="standardContextual"/>
        </w:rPr>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w:t>
      </w:r>
      <w:r w:rsidRPr="0089683F">
        <w:rPr>
          <w:rFonts w:ascii="Verdana" w:eastAsia="Aptos" w:hAnsi="Verdana" w:cs="Times New Roman"/>
          <w:kern w:val="2"/>
          <w14:ligatures w14:val="standardContextual"/>
        </w:rPr>
        <w:lastRenderedPageBreak/>
        <w:t xml:space="preserve">(…)”. </w:t>
      </w:r>
    </w:p>
    <w:p w14:paraId="6B4823B8" w14:textId="77777777" w:rsidR="0089683F" w:rsidRPr="0089683F" w:rsidRDefault="0089683F" w:rsidP="0089683F">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9683F">
        <w:rPr>
          <w:rFonts w:ascii="Verdana" w:eastAsia="Aptos" w:hAnsi="Verdana" w:cs="Times New Roman"/>
          <w:kern w:val="2"/>
          <w14:ligatures w14:val="standardContextual"/>
        </w:rPr>
        <w:t xml:space="preserve">Esta incorporación debe realizarse de manera estandarizada en los documentos tipo de licitación pública y concurso de méritos en los sectores en los que estos han sido adoptados por parte de la Agencia Nacional de Contratación Pública – Colombia Compra Eficiente, considerando que, actualmente en estos se señala como factor de ponderación un puntaje máximo de un (1) punto por la vinculación de personas con discapacidad, evento este que, con la modificación realizada por el Decreto 287 de 2026, debe ajustarse. </w:t>
      </w:r>
    </w:p>
    <w:p w14:paraId="498F34B1" w14:textId="77777777" w:rsidR="0089683F" w:rsidRPr="0089683F" w:rsidRDefault="0089683F" w:rsidP="0089683F">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9683F">
        <w:rPr>
          <w:rFonts w:ascii="Verdana" w:eastAsia="Aptos" w:hAnsi="Verdana" w:cs="Times New Roman"/>
          <w:kern w:val="2"/>
          <w14:ligatures w14:val="standardContextual"/>
        </w:rPr>
        <w:t xml:space="preserve">De esta forma, la modificación del artículo 1 del Decreto 287 de 2026 al artículo 2.2.1.2.4.2.7.4 del Decreto 1082 de 2015, incide en el ajuste del puntaje que se otorga en los documentos tipo de licitación pública y concurso de méritos por la incorporación de personas con discapacidad, en donde, además, se amplía el ámbito de aplicación a emprendimientos y empresas de personas con discapacidad. A su vez, la modificación señalada incide en el formato que actualmente se encuentra previsto en los documentos tipo para acreditar esta condición, por lo que se debe definir con claridad los mecanismos de acreditación y verificación, con el fin de evitar discrecionalidades y garantizar la transparencia del proceso. </w:t>
      </w:r>
    </w:p>
    <w:p w14:paraId="15E55347" w14:textId="77777777" w:rsidR="0089683F" w:rsidRPr="0089683F" w:rsidRDefault="0089683F" w:rsidP="0089683F">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9683F">
        <w:rPr>
          <w:rFonts w:ascii="Verdana" w:eastAsia="Aptos" w:hAnsi="Verdana" w:cs="Times New Roman"/>
          <w:kern w:val="2"/>
          <w14:ligatures w14:val="standardContextual"/>
        </w:rPr>
        <w:t>Adicionalmente, en cuanto a la ejecución contractual, el artículo 2.2.1.2.4.2.7.5 del 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19B890A1" w14:textId="77777777" w:rsidR="0089683F" w:rsidRPr="0089683F" w:rsidRDefault="0089683F" w:rsidP="0089683F">
      <w:pPr>
        <w:widowControl w:val="0"/>
        <w:autoSpaceDE w:val="0"/>
        <w:autoSpaceDN w:val="0"/>
        <w:spacing w:after="0" w:line="276" w:lineRule="auto"/>
        <w:ind w:firstLine="708"/>
        <w:jc w:val="both"/>
        <w:rPr>
          <w:rFonts w:ascii="Verdana" w:eastAsia="Aptos" w:hAnsi="Verdana" w:cs="Times New Roman"/>
          <w:kern w:val="2"/>
          <w14:ligatures w14:val="standardContextual"/>
        </w:rPr>
      </w:pPr>
      <w:r w:rsidRPr="0089683F">
        <w:rPr>
          <w:rFonts w:ascii="Verdana" w:eastAsia="Aptos" w:hAnsi="Verdana" w:cs="Times New Roman"/>
          <w:kern w:val="2"/>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14:paraId="58912F0D" w14:textId="77777777" w:rsidR="0089683F" w:rsidRPr="0089683F" w:rsidRDefault="0089683F" w:rsidP="0089683F">
      <w:pPr>
        <w:widowControl w:val="0"/>
        <w:autoSpaceDE w:val="0"/>
        <w:autoSpaceDN w:val="0"/>
        <w:spacing w:after="0" w:line="276" w:lineRule="auto"/>
        <w:ind w:firstLine="708"/>
        <w:jc w:val="both"/>
        <w:rPr>
          <w:rFonts w:ascii="Verdana" w:eastAsia="Aptos" w:hAnsi="Verdana" w:cs="Times New Roman"/>
          <w:kern w:val="2"/>
          <w14:ligatures w14:val="standardContextual"/>
        </w:rPr>
      </w:pPr>
    </w:p>
    <w:p w14:paraId="54C6F943" w14:textId="77777777" w:rsidR="0089683F" w:rsidRPr="0089683F" w:rsidRDefault="0089683F" w:rsidP="0089683F">
      <w:pPr>
        <w:widowControl w:val="0"/>
        <w:autoSpaceDE w:val="0"/>
        <w:autoSpaceDN w:val="0"/>
        <w:spacing w:after="120" w:line="276" w:lineRule="auto"/>
        <w:jc w:val="both"/>
        <w:rPr>
          <w:rFonts w:ascii="Verdana" w:eastAsia="Aptos" w:hAnsi="Verdana" w:cs="Times New Roman"/>
          <w:kern w:val="2"/>
          <w14:ligatures w14:val="standardContextual"/>
        </w:rPr>
      </w:pPr>
      <w:proofErr w:type="spellStart"/>
      <w:r w:rsidRPr="0089683F">
        <w:rPr>
          <w:rFonts w:ascii="Verdana" w:eastAsia="Aptos" w:hAnsi="Verdana" w:cs="Times New Roman"/>
          <w:kern w:val="2"/>
          <w14:ligatures w14:val="standardContextual"/>
        </w:rPr>
        <w:t>iv</w:t>
      </w:r>
      <w:proofErr w:type="spellEnd"/>
      <w:r w:rsidRPr="0089683F">
        <w:rPr>
          <w:rFonts w:ascii="Verdana" w:eastAsia="Aptos" w:hAnsi="Verdana" w:cs="Times New Roman"/>
          <w:kern w:val="2"/>
          <w14:ligatures w14:val="standardContextual"/>
        </w:rPr>
        <w:t xml:space="preserve">. Los documentos tipo expedidos por la Agencia Nacional de Contratación </w:t>
      </w:r>
      <w:r w:rsidRPr="0089683F">
        <w:rPr>
          <w:rFonts w:ascii="Verdana" w:eastAsia="Aptos" w:hAnsi="Verdana" w:cs="Times New Roman"/>
          <w:kern w:val="2"/>
          <w14:ligatures w14:val="standardContextual"/>
        </w:rPr>
        <w:lastRenderedPageBreak/>
        <w:t>Pública – Colombia Compra Eficiente constituyen instrumentos de obligatorio cumplimiento que estructuran de manera integral los procesos de selección contractual. Esta naturaleza vinculante tiene fundamento directo en el artículo 1 de la Ley 2022 de 2020, en la que se establece que, los documentos tipo serán obligatorios para las entidades estatales sometidas al Estatuto General de Contratación de la Administración Pública – EGCAP.</w:t>
      </w:r>
    </w:p>
    <w:p w14:paraId="70555C9F" w14:textId="77777777" w:rsidR="0089683F" w:rsidRPr="0089683F" w:rsidRDefault="0089683F" w:rsidP="0089683F">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9683F">
        <w:rPr>
          <w:rFonts w:ascii="Verdana" w:eastAsia="Aptos" w:hAnsi="Verdana" w:cs="Times New Roman"/>
          <w:kern w:val="2"/>
          <w14:ligatures w14:val="standardContextual"/>
        </w:rPr>
        <w:t xml:space="preserve">En este sentido, la Ley 2022 de 2020 no solo atribuye la competencia a la Agencia Nacional de Contratación Pública – Colombia Compra Eficiente para adoptar documentos tipo, sino que define expresamente su contenido, al disponer que en estos </w:t>
      </w:r>
      <w:r w:rsidRPr="0089683F">
        <w:rPr>
          <w:rFonts w:ascii="Verdana" w:eastAsia="Aptos" w:hAnsi="Verdana" w:cs="Times New Roman"/>
          <w:i/>
          <w:iCs/>
          <w:kern w:val="2"/>
          <w14:ligatures w14:val="standardContextual"/>
        </w:rPr>
        <w:t>“(…) se establecerán los requisitos habilitantes, factores técnicos, económicos y otros factores de escogencia, así como aquellos requisitos que, previa justificación, representen buenas prácticas contractuales”.</w:t>
      </w:r>
      <w:r w:rsidRPr="0089683F">
        <w:rPr>
          <w:rFonts w:ascii="Verdana" w:eastAsia="Aptos" w:hAnsi="Verdana" w:cs="Times New Roman"/>
          <w:kern w:val="2"/>
          <w14:ligatures w14:val="standardContextual"/>
        </w:rPr>
        <w:t xml:space="preserve"> De esta manera, el legislador concentró en la Agencia Nacional de Contratación Pública – Colombia Compra Eficiente la definición de los elementos estructurales de los procesos de selección, con el propósito de garantizar la estandarización, la transparencia, la selección objetiva y la eficiencia en el uso de los recursos públicos. Esta competencia se ejerce mediante la expedición de actos administrativos de carácter general –resoluciones– a través de las cuales la Agencia Nacional de Contratación Pública – Colombia Compra Eficiente adopta los documentos tipo.</w:t>
      </w:r>
    </w:p>
    <w:p w14:paraId="15CF4570" w14:textId="77777777" w:rsidR="0089683F" w:rsidRPr="0089683F" w:rsidRDefault="0089683F" w:rsidP="0089683F">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9683F">
        <w:rPr>
          <w:rFonts w:ascii="Verdana" w:eastAsia="Aptos" w:hAnsi="Verdana" w:cs="Times New Roman"/>
          <w:kern w:val="2"/>
          <w14:ligatures w14:val="standardContextual"/>
        </w:rPr>
        <w:t>Conforme con el contenido de la Ley 2022 de 2020, la jurisprudencia ha determinado que, la Agencia Nacional de Contratación Pública – Colombia Compra Eficiente ejerce una potestad regulatoria de naturaleza subordinada (</w:t>
      </w:r>
      <w:proofErr w:type="spellStart"/>
      <w:r w:rsidRPr="0089683F">
        <w:rPr>
          <w:rFonts w:ascii="Verdana" w:eastAsia="Aptos" w:hAnsi="Verdana" w:cs="Times New Roman"/>
          <w:kern w:val="2"/>
          <w14:ligatures w14:val="standardContextual"/>
        </w:rPr>
        <w:t>secundum</w:t>
      </w:r>
      <w:proofErr w:type="spellEnd"/>
      <w:r w:rsidRPr="0089683F">
        <w:rPr>
          <w:rFonts w:ascii="Verdana" w:eastAsia="Aptos" w:hAnsi="Verdana" w:cs="Times New Roman"/>
          <w:kern w:val="2"/>
          <w14:ligatures w14:val="standardContextual"/>
        </w:rPr>
        <w:t xml:space="preserve"> </w:t>
      </w:r>
      <w:proofErr w:type="spellStart"/>
      <w:r w:rsidRPr="0089683F">
        <w:rPr>
          <w:rFonts w:ascii="Verdana" w:eastAsia="Aptos" w:hAnsi="Verdana" w:cs="Times New Roman"/>
          <w:kern w:val="2"/>
          <w14:ligatures w14:val="standardContextual"/>
        </w:rPr>
        <w:t>legem</w:t>
      </w:r>
      <w:proofErr w:type="spellEnd"/>
      <w:r w:rsidRPr="0089683F">
        <w:rPr>
          <w:rFonts w:ascii="Verdana" w:eastAsia="Aptos" w:hAnsi="Verdana" w:cs="Times New Roman"/>
          <w:kern w:val="2"/>
          <w14:ligatures w14:val="standardContextual"/>
        </w:rPr>
        <w:t>) de carácter técnico especializado, que le permite desarrollar, implementar y actualizar instrumentos como los documentos tipo, con el fin de concretar la voluntad del legislador en aspectos técnicos de la contratación pública. No obstante, dicha potestad debe ejercerse en armonía con la Constitución, la ley y los decretos reglamentarios, sin invadir competencias superiores ni desbordar los límites de la regulación técnica.</w:t>
      </w:r>
    </w:p>
    <w:p w14:paraId="4BA78EF6" w14:textId="77777777" w:rsidR="0089683F" w:rsidRPr="0089683F" w:rsidRDefault="0089683F" w:rsidP="0089683F">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9683F">
        <w:rPr>
          <w:rFonts w:ascii="Verdana" w:eastAsia="Aptos" w:hAnsi="Verdana" w:cs="Times New Roman"/>
          <w:kern w:val="2"/>
          <w14:ligatures w14:val="standardContextual"/>
        </w:rPr>
        <w:t xml:space="preserve">Concretamente, la competencia prevista en el artículo 1 de la Ley 2022 de 2020, se ejerció mediante la expedición de la Resolución 160 de 2020 del 15 de septiembre de 2020 “Por la cual se adopta el procedimiento para implementar los documentos tipo y se define el sistema para su revisión”, así como con la expedición de múltiples resoluciones mediante las cuales se adoptaron documentos tipo por parte de la Agencia Nacional de Contratación Pública – </w:t>
      </w:r>
      <w:r w:rsidRPr="0089683F">
        <w:rPr>
          <w:rFonts w:ascii="Verdana" w:eastAsia="Aptos" w:hAnsi="Verdana" w:cs="Times New Roman"/>
          <w:kern w:val="2"/>
          <w14:ligatures w14:val="standardContextual"/>
        </w:rPr>
        <w:lastRenderedPageBreak/>
        <w:t xml:space="preserve">Colombia Compra Eficiente en diferentes modalidades de selección y sectores, en las cuales, además, se reitera el carácter obligatorio de estos documentos y se establecen reglas específicas para su aplicación. </w:t>
      </w:r>
    </w:p>
    <w:p w14:paraId="762452D3" w14:textId="77777777" w:rsidR="0089683F" w:rsidRPr="0089683F" w:rsidRDefault="0089683F" w:rsidP="0089683F">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9683F">
        <w:rPr>
          <w:rFonts w:ascii="Verdana" w:eastAsia="Aptos" w:hAnsi="Verdana" w:cs="Times New Roman"/>
          <w:kern w:val="2"/>
          <w14:ligatures w14:val="standardContextual"/>
        </w:rPr>
        <w:t>De esta forma, las resoluciones mediante las cuales la Agencia Nacional de Contratación Pública – Colombia Compra Eficiente adoptó documentos tipo, consolidan un sistema de contratación estandarizado –en las modalidades y sectores adoptados– en el que las entidades estatales obligadas a la aplicación deben sujetarse de manera estricta a las condiciones definidas en dichos instrumentos, particularmente, en lo relacionado con requisitos habilitantes, factores de evaluación y sistemas de ponderación.</w:t>
      </w:r>
    </w:p>
    <w:p w14:paraId="6A8A5239" w14:textId="77777777" w:rsidR="0089683F" w:rsidRPr="0089683F" w:rsidRDefault="0089683F" w:rsidP="0089683F">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9683F">
        <w:rPr>
          <w:rFonts w:ascii="Verdana" w:eastAsia="Aptos" w:hAnsi="Verdana" w:cs="Times New Roman"/>
          <w:kern w:val="2"/>
          <w14:ligatures w14:val="standardContextual"/>
        </w:rPr>
        <w:t>Lo dispuesto en el párrafo precedente, es consecuente con lo desarrollado en el punto uno (i) de este concepto. En este se indicó que, sobre los documentos tipo expedidos por la Agencia Nacional de Contratación Pública – Colombia Compra Eficiente, recae la regla de inalterabilidad, en virtud de la cual, las entidades estatales obligadas a su aplicación no pueden modificar ni adicionar los requisitos habilitantes, los factores técnicos y económicos de escogencia ni los criterios de evaluación previstos en ellos, salvo en aquellos aspectos expresamente habilitados entre corchetes y resaltados en gris. Esta regla encuentra sustento tanto en el mandato legal de obligatoriedad contenido en la Ley 2022 de 2020, como en su desarrollo reglamentario y en las disposiciones contenidas en los propios documentos tipo, y constituye una manifestación del carácter reglado de la actividad contractual, limitando la discrecionalidad de las entidades con el fin de evitar prácticas restrictivas de la competencia, como los denominados “pliegos sastre”, y garantizar la uniformidad del sistema.</w:t>
      </w:r>
    </w:p>
    <w:p w14:paraId="5781525C" w14:textId="77777777" w:rsidR="0089683F" w:rsidRPr="0089683F" w:rsidRDefault="0089683F" w:rsidP="0089683F">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9683F">
        <w:rPr>
          <w:rFonts w:ascii="Verdana" w:eastAsia="Aptos" w:hAnsi="Verdana" w:cs="Times New Roman"/>
          <w:kern w:val="2"/>
          <w14:ligatures w14:val="standardContextual"/>
        </w:rPr>
        <w:t xml:space="preserve">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 documentos tipo. En efecto, dado que los documentos tipo contienen de manera obligatoria los requisitos habilitantes, los factores de evaluación y los criterios de escogencia, las entidades estatales no cuentan con competencia para </w:t>
      </w:r>
      <w:r w:rsidRPr="0089683F">
        <w:rPr>
          <w:rFonts w:ascii="Verdana" w:eastAsia="Aptos" w:hAnsi="Verdana" w:cs="Times New Roman"/>
          <w:kern w:val="2"/>
          <w14:ligatures w14:val="standardContextual"/>
        </w:rPr>
        <w:lastRenderedPageBreak/>
        <w:t>modificarlos o complementarlos de manera autónoma con el fin de incorporar directamente las disposiciones del Decreto en mención.</w:t>
      </w:r>
    </w:p>
    <w:p w14:paraId="174184B7" w14:textId="77777777" w:rsidR="0089683F" w:rsidRPr="0089683F" w:rsidRDefault="0089683F" w:rsidP="0089683F">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9683F">
        <w:rPr>
          <w:rFonts w:ascii="Verdana" w:eastAsia="Aptos" w:hAnsi="Verdana" w:cs="Times New Roman"/>
          <w:kern w:val="2"/>
          <w14:ligatures w14:val="standardContextual"/>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478D2C88" w14:textId="77777777" w:rsidR="0089683F" w:rsidRPr="0089683F" w:rsidRDefault="0089683F" w:rsidP="0089683F">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9683F">
        <w:rPr>
          <w:rFonts w:ascii="Verdana" w:eastAsia="Aptos" w:hAnsi="Verdana" w:cs="Times New Roman"/>
          <w:kern w:val="2"/>
          <w14:ligatures w14:val="standardContextual"/>
        </w:rPr>
        <w:t>Desde una perspectiva técnica, los documentos tipo constituyen un sistema integral y articulado, en el cual los requisitos habilitantes, los factores de evaluación y las condiciones contractuales se encuentran interrelacionados. En consecuencia, la incorporación aislada de modificaciones podría generar inconsistencias o desajustes en su aplicación, afectando la coherencia del proceso contractual. Por esta razón, la Ley 2022 de 2020 prevé que su adopción y actualización se realice mediante procedimientos estructurados, coordinados y participativos, a cargo de la Agencia Nacional de Contratación Pública – Colombia Compra Eficiente</w:t>
      </w:r>
      <w:r w:rsidRPr="0089683F">
        <w:rPr>
          <w:rFonts w:ascii="Verdana" w:eastAsia="Aptos" w:hAnsi="Verdana" w:cs="Times New Roman"/>
          <w:kern w:val="2"/>
          <w:vertAlign w:val="superscript"/>
          <w14:ligatures w14:val="standardContextual"/>
        </w:rPr>
        <w:footnoteReference w:id="13"/>
      </w:r>
      <w:r w:rsidRPr="0089683F">
        <w:rPr>
          <w:rFonts w:ascii="Verdana" w:eastAsia="Aptos" w:hAnsi="Verdana" w:cs="Times New Roman"/>
          <w:kern w:val="2"/>
          <w14:ligatures w14:val="standardContextual"/>
        </w:rPr>
        <w:t xml:space="preserve">, quien cuenta con la capacidad técnica para garantizar la adecuada integración de las nuevas disposiciones, como por ejemplo el Decreto 287 de 2026. </w:t>
      </w:r>
    </w:p>
    <w:p w14:paraId="0DF24543" w14:textId="77777777" w:rsidR="0089683F" w:rsidRPr="0089683F" w:rsidRDefault="0089683F" w:rsidP="0089683F">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9683F">
        <w:rPr>
          <w:rFonts w:ascii="Verdana" w:eastAsia="Aptos" w:hAnsi="Verdana" w:cs="Times New Roman"/>
          <w:kern w:val="2"/>
          <w14:ligatures w14:val="standardContextual"/>
        </w:rPr>
        <w:t>Adicionalmente, el propio Decreto 287 de 2026 en el artículo 1 que modifica el artículo 2.2.1.2.4.2.7.8 al Decreto 1082 de 2015</w:t>
      </w:r>
      <w:r w:rsidRPr="0089683F">
        <w:rPr>
          <w:rFonts w:ascii="Verdana" w:eastAsia="Aptos" w:hAnsi="Verdana" w:cs="Times New Roman"/>
          <w:kern w:val="2"/>
          <w:vertAlign w:val="superscript"/>
          <w14:ligatures w14:val="standardContextual"/>
        </w:rPr>
        <w:footnoteReference w:id="14"/>
      </w:r>
      <w:r w:rsidRPr="0089683F">
        <w:rPr>
          <w:rFonts w:ascii="Verdana" w:eastAsia="Aptos" w:hAnsi="Verdana" w:cs="Times New Roman"/>
          <w:kern w:val="2"/>
          <w14:ligatures w14:val="standardContextual"/>
        </w:rPr>
        <w:t xml:space="preserve">, reconoce esta </w:t>
      </w:r>
      <w:r w:rsidRPr="0089683F">
        <w:rPr>
          <w:rFonts w:ascii="Verdana" w:eastAsia="Aptos" w:hAnsi="Verdana" w:cs="Times New Roman"/>
          <w:kern w:val="2"/>
          <w14:ligatures w14:val="standardContextual"/>
        </w:rPr>
        <w:lastRenderedPageBreak/>
        <w:t>necesidad al disponer que la Agencia Nacional de Contratación Pública – Colombia Compra Eficiente “(…) garantizará la adopción permanente de las acciones necesarias para que las medidas señaladas en esta subsección se incorporen a los documentos e instrumentos que genera</w:t>
      </w:r>
      <w:r w:rsidRPr="0089683F">
        <w:rPr>
          <w:rFonts w:ascii="Aptos" w:eastAsia="Aptos" w:hAnsi="Aptos" w:cs="Times New Roman"/>
          <w:kern w:val="2"/>
          <w:sz w:val="24"/>
          <w:szCs w:val="24"/>
          <w14:ligatures w14:val="standardContextual"/>
        </w:rPr>
        <w:t>”</w:t>
      </w:r>
      <w:r w:rsidRPr="0089683F">
        <w:rPr>
          <w:rFonts w:ascii="Aptos" w:eastAsia="Aptos" w:hAnsi="Aptos" w:cs="Times New Roman"/>
          <w:kern w:val="2"/>
          <w:sz w:val="24"/>
          <w:szCs w:val="24"/>
          <w:vertAlign w:val="superscript"/>
          <w14:ligatures w14:val="standardContextual"/>
        </w:rPr>
        <w:footnoteReference w:id="15"/>
      </w:r>
      <w:r w:rsidRPr="0089683F">
        <w:rPr>
          <w:rFonts w:ascii="Verdana" w:eastAsia="Aptos" w:hAnsi="Verdana" w:cs="Times New Roman"/>
          <w:kern w:val="2"/>
          <w14:ligatures w14:val="standardContextual"/>
        </w:rPr>
        <w:t xml:space="preserve">, lo cual confirma que la operatividad de dichas disposiciones en el ámbito de los documentos tipo depende de su desarrollo por parte de esta entidad. </w:t>
      </w:r>
    </w:p>
    <w:p w14:paraId="2257C560" w14:textId="77777777" w:rsidR="0089683F" w:rsidRPr="0089683F" w:rsidRDefault="0089683F" w:rsidP="0089683F">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9683F">
        <w:rPr>
          <w:rFonts w:ascii="Verdana" w:eastAsia="Aptos" w:hAnsi="Verdana" w:cs="Times New Roman"/>
          <w:kern w:val="2"/>
          <w14:ligatures w14:val="standardContextual"/>
        </w:rPr>
        <w:t>Lo anterior es consecuente con lo dispuesto en el ABC del Decreto 0287 de 2026 “Contratación pública inclusiva para personas con discapacidad”</w:t>
      </w:r>
      <w:r w:rsidRPr="0089683F">
        <w:rPr>
          <w:rFonts w:ascii="Verdana" w:eastAsia="Aptos" w:hAnsi="Verdana" w:cs="Times New Roman"/>
          <w:kern w:val="2"/>
          <w:vertAlign w:val="superscript"/>
          <w14:ligatures w14:val="standardContextual"/>
        </w:rPr>
        <w:footnoteReference w:id="16"/>
      </w:r>
      <w:r w:rsidRPr="0089683F">
        <w:rPr>
          <w:rFonts w:ascii="Verdana" w:eastAsia="Aptos" w:hAnsi="Verdana" w:cs="Times New Roman"/>
          <w:kern w:val="2"/>
          <w14:ligatures w14:val="standardContextual"/>
        </w:rPr>
        <w:t xml:space="preserve">,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1C3BC9E5" w14:textId="77777777" w:rsidR="0089683F" w:rsidRPr="0089683F" w:rsidRDefault="0089683F" w:rsidP="0089683F">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9683F">
        <w:rPr>
          <w:rFonts w:ascii="Verdana" w:eastAsia="Aptos" w:hAnsi="Verdana" w:cs="Times New Roman"/>
          <w:kern w:val="2"/>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3CBD1DC0" w14:textId="77777777" w:rsidR="0089683F" w:rsidRPr="0089683F" w:rsidRDefault="0089683F" w:rsidP="0089683F">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9683F">
        <w:rPr>
          <w:rFonts w:ascii="Verdana" w:eastAsia="Aptos" w:hAnsi="Verdana" w:cs="Times New Roman"/>
          <w:kern w:val="2"/>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w:t>
      </w:r>
      <w:r w:rsidRPr="0089683F">
        <w:rPr>
          <w:rFonts w:ascii="Verdana" w:eastAsia="Aptos" w:hAnsi="Verdana" w:cs="Times New Roman"/>
          <w:kern w:val="2"/>
          <w14:ligatures w14:val="standardContextual"/>
        </w:rPr>
        <w:lastRenderedPageBreak/>
        <w:t xml:space="preserve">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14:paraId="3E2B1422" w14:textId="77777777" w:rsidR="0089683F" w:rsidRPr="0089683F" w:rsidRDefault="0089683F" w:rsidP="0089683F">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89683F">
        <w:rPr>
          <w:rFonts w:ascii="Verdana" w:eastAsia="Aptos" w:hAnsi="Verdana" w:cs="Times New Roman"/>
          <w:kern w:val="2"/>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15B03DD6" w14:textId="77777777" w:rsidR="0089683F" w:rsidRPr="0089683F" w:rsidRDefault="0089683F" w:rsidP="0089683F">
      <w:pPr>
        <w:widowControl w:val="0"/>
        <w:autoSpaceDE w:val="0"/>
        <w:autoSpaceDN w:val="0"/>
        <w:spacing w:after="0" w:line="276" w:lineRule="auto"/>
        <w:ind w:firstLine="708"/>
        <w:jc w:val="both"/>
        <w:rPr>
          <w:rFonts w:ascii="Verdana" w:eastAsia="Aptos" w:hAnsi="Verdana" w:cs="Times New Roman"/>
          <w:kern w:val="2"/>
          <w14:ligatures w14:val="standardContextual"/>
        </w:rPr>
      </w:pPr>
      <w:r w:rsidRPr="0089683F">
        <w:rPr>
          <w:rFonts w:ascii="Verdana" w:eastAsia="Aptos" w:hAnsi="Verdana" w:cs="Times New Roman"/>
          <w:kern w:val="2"/>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p w14:paraId="2540FA49" w14:textId="77777777" w:rsidR="0089683F" w:rsidRPr="0089683F" w:rsidRDefault="0089683F" w:rsidP="0089683F">
      <w:pPr>
        <w:spacing w:after="0" w:line="276" w:lineRule="auto"/>
        <w:jc w:val="both"/>
        <w:rPr>
          <w:rFonts w:ascii="Verdana" w:eastAsia="Calibri" w:hAnsi="Verdana" w:cs="Arial"/>
          <w:lang w:val="es-ES" w:eastAsia="es-MX"/>
        </w:rPr>
      </w:pPr>
    </w:p>
    <w:p w14:paraId="48CE7732" w14:textId="77777777" w:rsidR="0089683F" w:rsidRPr="0089683F" w:rsidRDefault="0089683F" w:rsidP="0089683F">
      <w:pPr>
        <w:snapToGrid w:val="0"/>
        <w:spacing w:after="120" w:line="276" w:lineRule="auto"/>
        <w:jc w:val="both"/>
        <w:rPr>
          <w:rFonts w:ascii="Verdana" w:eastAsia="Calibri" w:hAnsi="Verdana" w:cs="Times New Roman"/>
          <w:lang w:val="es-ES" w:eastAsia="es-MX"/>
        </w:rPr>
      </w:pPr>
      <w:r w:rsidRPr="0089683F">
        <w:rPr>
          <w:rFonts w:ascii="Verdana" w:eastAsia="Calibri" w:hAnsi="Verdana" w:cs="Times New Roman"/>
          <w:lang w:val="es-ES" w:eastAsia="es-MX"/>
        </w:rPr>
        <w:t xml:space="preserve">v. En desarrollo de la Ley 2022 de 2020, la Agencia Nacional de Contratación Pública – Colombia Compra Eficiente expidió la Resolución 219 del 6 de agosto de 2021, “Por la cual se adoptan los documentos tipo para los procesos de licitación de obra pública de infraestructura social”. Dentro de esta categoría fue incluida la infraestructura asociada a los sectores de salud, educación, y cultura, recreación y deporte, tal como lo establece el parágrafo 2 del artículo 2 de la resolución indicada, de la siguiente manera: “Estos documentos tipo aplicarán a los proyectos de infraestructura social, tales como, sector educativo, sector salud y sector cultural, recreación y deporte, de conformidad con cada una de las resoluciones que expida la Agencia Nacional de Contratación Pública -Colombia Compra Eficiente-, donde se precisará el alcance concreto de estos documentos tipo; sin perjuicio de que se incluyan otros tipos de infraestructura social”. </w:t>
      </w:r>
      <w:r w:rsidRPr="0089683F">
        <w:rPr>
          <w:rFonts w:ascii="Verdana" w:eastAsia="Calibri" w:hAnsi="Verdana" w:cs="Times New Roman"/>
          <w:lang w:val="es-ES" w:eastAsia="es-MX"/>
        </w:rPr>
        <w:tab/>
      </w:r>
    </w:p>
    <w:p w14:paraId="33BF873E" w14:textId="77777777" w:rsidR="0089683F" w:rsidRPr="0089683F" w:rsidRDefault="0089683F" w:rsidP="0089683F">
      <w:pPr>
        <w:snapToGrid w:val="0"/>
        <w:spacing w:after="120" w:line="276" w:lineRule="auto"/>
        <w:ind w:firstLine="709"/>
        <w:jc w:val="both"/>
        <w:rPr>
          <w:rFonts w:ascii="Verdana" w:eastAsia="Calibri" w:hAnsi="Verdana" w:cs="Times New Roman"/>
          <w:lang w:val="es-ES" w:eastAsia="es-MX"/>
        </w:rPr>
      </w:pPr>
      <w:r w:rsidRPr="0089683F">
        <w:rPr>
          <w:rFonts w:ascii="Verdana" w:eastAsia="Calibri" w:hAnsi="Verdana" w:cs="Times New Roman"/>
          <w:lang w:val="es-ES" w:eastAsia="es-MX"/>
        </w:rPr>
        <w:lastRenderedPageBreak/>
        <w:t xml:space="preserve">Como puede observarse, la Resolución 219 de 2021 contiene un listado enunciativo de los sectores relacionados con los proyectos de infraestructura social a los cuales aplican los documentos tipo –educativo; salud; cultura, recreación y deporte–. También precisa que el alcance de cada sector estará dado por las resoluciones posteriores que expida la Agencia. A su vez, esas resoluciones desarrollarán las matrices de experiencia y los glosarios que definirán concretamente cada sector, mediante los cuales se precisará de forma detallada su ámbito de aplicación.   </w:t>
      </w:r>
    </w:p>
    <w:p w14:paraId="55B41357" w14:textId="77777777" w:rsidR="0089683F" w:rsidRPr="0089683F" w:rsidRDefault="0089683F" w:rsidP="0089683F">
      <w:pPr>
        <w:snapToGrid w:val="0"/>
        <w:spacing w:after="120" w:line="276" w:lineRule="auto"/>
        <w:ind w:firstLine="709"/>
        <w:jc w:val="both"/>
        <w:rPr>
          <w:rFonts w:ascii="Verdana" w:eastAsia="Calibri" w:hAnsi="Verdana" w:cs="Times New Roman"/>
          <w:lang w:val="es-ES" w:eastAsia="es-MX"/>
        </w:rPr>
      </w:pPr>
      <w:r w:rsidRPr="0089683F">
        <w:rPr>
          <w:rFonts w:ascii="Verdana" w:eastAsia="Calibri" w:hAnsi="Verdana" w:cs="Times New Roman"/>
          <w:bCs/>
          <w:lang w:val="es-ES" w:eastAsia="es-MX"/>
        </w:rPr>
        <w:t xml:space="preserve">El 6 de agosto, 18 de noviembre y 16 de diciembre de 2021, se adoptaron los documentos tipo complementarios para los procesos de licitación de obra pública de infraestructura social relacionados con el </w:t>
      </w:r>
      <w:r w:rsidRPr="0089683F">
        <w:rPr>
          <w:rFonts w:ascii="Verdana" w:eastAsia="Calibri" w:hAnsi="Verdana" w:cs="Times New Roman"/>
          <w:bCs/>
          <w:i/>
          <w:iCs/>
          <w:lang w:val="es-ES" w:eastAsia="es-MX"/>
        </w:rPr>
        <w:t>sector educ</w:t>
      </w:r>
      <w:r w:rsidRPr="0089683F">
        <w:rPr>
          <w:rFonts w:ascii="Verdana" w:eastAsia="Calibri" w:hAnsi="Verdana" w:cs="Times New Roman"/>
          <w:bCs/>
          <w:i/>
          <w:lang w:val="es-ES" w:eastAsia="es-MX"/>
        </w:rPr>
        <w:t xml:space="preserve">ativo, salud, y cultura, recreación y deporte, </w:t>
      </w:r>
      <w:r w:rsidRPr="0089683F">
        <w:rPr>
          <w:rFonts w:ascii="Verdana" w:eastAsia="Calibri" w:hAnsi="Verdana" w:cs="Times New Roman"/>
          <w:bCs/>
          <w:iCs/>
          <w:lang w:val="es-ES" w:eastAsia="es-MX"/>
        </w:rPr>
        <w:t>respectivamente</w:t>
      </w:r>
      <w:r w:rsidRPr="0089683F">
        <w:rPr>
          <w:rFonts w:ascii="Verdana" w:eastAsia="Calibri" w:hAnsi="Verdana" w:cs="Times New Roman"/>
          <w:bCs/>
          <w:i/>
          <w:lang w:val="es-ES" w:eastAsia="es-MX"/>
        </w:rPr>
        <w:t xml:space="preserve">, </w:t>
      </w:r>
      <w:r w:rsidRPr="0089683F">
        <w:rPr>
          <w:rFonts w:ascii="Verdana" w:eastAsia="Calibri" w:hAnsi="Verdana" w:cs="Times New Roman"/>
          <w:bCs/>
          <w:lang w:val="es-ES" w:eastAsia="es-MX"/>
        </w:rPr>
        <w:t xml:space="preserve">mediante las </w:t>
      </w:r>
      <w:r w:rsidRPr="0089683F">
        <w:rPr>
          <w:rFonts w:ascii="Verdana" w:eastAsia="Calibri" w:hAnsi="Verdana" w:cs="Times New Roman"/>
          <w:lang w:val="es-ES" w:eastAsia="es-MX"/>
        </w:rPr>
        <w:t xml:space="preserve">Resoluciones 220, 392 y 454 de 2021. Estas Resoluciones, en el artículo 2, desarrollan el “Anexo – Glosario” y la </w:t>
      </w:r>
      <w:r w:rsidRPr="0089683F">
        <w:rPr>
          <w:rFonts w:ascii="Verdana" w:eastAsia="Calibri" w:hAnsi="Verdana" w:cs="Times New Roman"/>
          <w:lang w:eastAsia="es-MX"/>
        </w:rPr>
        <w:t>“Matriz – Experiencia”</w:t>
      </w:r>
      <w:r w:rsidRPr="0089683F">
        <w:rPr>
          <w:rFonts w:ascii="Verdana" w:eastAsia="Calibri" w:hAnsi="Verdana" w:cs="Times New Roman"/>
          <w:lang w:val="es-ES" w:eastAsia="es-MX"/>
        </w:rPr>
        <w:t xml:space="preserve"> para proyectos de infraestructura social para cada sector, lo que significa que estos documentos definen el alcance para cada sector de manera específica. Del mismo modo, la Matriz de Experiencia de cada sector, además de estandarizar el requisito habilitante de experiencia, señala los proyectos o contratos concretos a los cuales aplican los documentos tipo, bajo el entendido de que aplicarán a los procesos de contratación cuyo objeto se relacione con alguna de las actividades establecidas de forma detallada en la Matriz de Experiencia respectiva.</w:t>
      </w:r>
    </w:p>
    <w:p w14:paraId="7856C4D2" w14:textId="77777777" w:rsidR="0089683F" w:rsidRPr="0089683F" w:rsidRDefault="0089683F" w:rsidP="0089683F">
      <w:pPr>
        <w:snapToGrid w:val="0"/>
        <w:spacing w:after="120" w:line="276" w:lineRule="auto"/>
        <w:ind w:firstLine="709"/>
        <w:jc w:val="both"/>
        <w:rPr>
          <w:rFonts w:ascii="Verdana" w:eastAsia="Calibri" w:hAnsi="Verdana" w:cs="Times New Roman"/>
          <w:lang w:val="es-ES" w:eastAsia="es-MX"/>
        </w:rPr>
      </w:pPr>
      <w:r w:rsidRPr="0089683F">
        <w:rPr>
          <w:rFonts w:ascii="Verdana" w:eastAsia="Calibri" w:hAnsi="Verdana" w:cs="Times New Roman"/>
          <w:lang w:val="es-ES" w:eastAsia="es-MX"/>
        </w:rPr>
        <w:t>Recientemente, los precitados documentos tipo fueron modificados mediante la Resolución No. 539 del 21 de agosto de 2025, “Por la cual se adopta la versión -2- de los documentos tipo para los procesos de selección de licitación de obra pública del sector de infraestructura social y se deroga la Resolución 219 de 2021; se adoptan los documento tipo complementarios para los procesos de licitación de obra pública de infraestructura social relacionados con los sectores de educación, salud, cultura, recreación y deporte – versión 2 y se derogan las Resoluciones 220, 392 y 454 de 2021; y se adoptan los documentos tipo complementarios para los procesos de licitación de obra pública de infraestructura social relacionados con los sectores institucional y vivienda”. Estos nuevos documentos tipo aplican a los procedimientos de selección de licitación de obra pública de infraestructura social en los sectores de educación, salud, cultura, recreación y deporte, institucional y vivienda, cuyo aviso de convocatoria sea publicado a partir del 16 de febrero de 2026.</w:t>
      </w:r>
    </w:p>
    <w:p w14:paraId="33C9B2C9" w14:textId="77777777" w:rsidR="0089683F" w:rsidRPr="0089683F" w:rsidRDefault="0089683F" w:rsidP="0089683F">
      <w:pPr>
        <w:snapToGrid w:val="0"/>
        <w:spacing w:after="120" w:line="276" w:lineRule="auto"/>
        <w:ind w:firstLine="709"/>
        <w:jc w:val="both"/>
        <w:rPr>
          <w:rFonts w:ascii="Verdana" w:eastAsia="Calibri" w:hAnsi="Verdana" w:cs="Times New Roman"/>
          <w:lang w:val="es-ES" w:eastAsia="es-MX"/>
        </w:rPr>
      </w:pPr>
      <w:r w:rsidRPr="0089683F">
        <w:rPr>
          <w:rFonts w:ascii="Verdana" w:eastAsia="Calibri" w:hAnsi="Verdana" w:cs="Times New Roman"/>
          <w:lang w:val="es-ES" w:eastAsia="es-MX"/>
        </w:rPr>
        <w:lastRenderedPageBreak/>
        <w:t>A su vez, se adoptaron los documentos tipo para contratar obras públicas de infraestructura social adelantados bajo las modalidades de selección abreviada de menor cuantía –mediante la Resolución No. 540 del 21 de agosto de 2025– y mínima cuantía –en virtud de la Resolución No. 541 del 21 de agosto de 2025–. Ambos aplicables, también, a los procedimientos de selección con aviso de convocatoria o invitación publicada a partir del 16 de febrero de 2026.</w:t>
      </w:r>
    </w:p>
    <w:p w14:paraId="5BDCA4A8" w14:textId="77777777" w:rsidR="0089683F" w:rsidRPr="0089683F" w:rsidRDefault="0089683F" w:rsidP="0089683F">
      <w:pPr>
        <w:snapToGrid w:val="0"/>
        <w:spacing w:after="120" w:line="276" w:lineRule="auto"/>
        <w:ind w:firstLine="709"/>
        <w:jc w:val="both"/>
        <w:rPr>
          <w:rFonts w:ascii="Verdana" w:eastAsia="Calibri" w:hAnsi="Verdana" w:cs="Times New Roman"/>
          <w:lang w:eastAsia="es-MX"/>
        </w:rPr>
      </w:pPr>
      <w:r w:rsidRPr="0089683F">
        <w:rPr>
          <w:rFonts w:ascii="Verdana" w:eastAsia="Calibri" w:hAnsi="Verdana" w:cs="Times New Roman"/>
          <w:lang w:eastAsia="es-MX"/>
        </w:rPr>
        <w:t xml:space="preserve">Para la determinación de los requisitos mínimos de experiencia según la “Matriz – Experiencia”, el numeral 3.5.1 del documento base de los documentos tipo de selección abreviada de menor cuantía de obra pública de infraestructura social, prescribe que la entidad debe indicar la forma de análisis y establecimiento de las condiciones de experiencia, tanto general como específica. Además, deberá indicar el número de la actividad a contratar, y transcribir textualmente lo señalado en la “Matriz – Experiencia”. </w:t>
      </w:r>
    </w:p>
    <w:p w14:paraId="3AA5A07E" w14:textId="77777777" w:rsidR="0089683F" w:rsidRPr="0089683F" w:rsidRDefault="0089683F" w:rsidP="0089683F">
      <w:pPr>
        <w:snapToGrid w:val="0"/>
        <w:spacing w:after="120" w:line="276" w:lineRule="auto"/>
        <w:ind w:firstLine="709"/>
        <w:jc w:val="both"/>
        <w:rPr>
          <w:rFonts w:ascii="Verdana" w:eastAsia="Calibri" w:hAnsi="Verdana" w:cs="Times New Roman"/>
          <w:lang w:val="es-ES" w:eastAsia="es-MX"/>
        </w:rPr>
      </w:pPr>
      <w:r w:rsidRPr="0089683F">
        <w:rPr>
          <w:rFonts w:ascii="Verdana" w:eastAsia="Calibri" w:hAnsi="Verdana" w:cs="Times New Roman"/>
          <w:lang w:val="es-ES" w:eastAsia="es-MX"/>
        </w:rPr>
        <w:t xml:space="preserve">La Matrices de Experiencia de los documentos tipo de infraestructura social se componen de varios capítulos que contemplan diferentes actividades y obras a contratar por parte de la entidad estatal. A su vez, en estas matrices se establecen las actividades a contratar que hacen parte de un tipo o grupo de infraestructura, las cuales señalan las condiciones y requerimientos de experiencia general y específica. </w:t>
      </w:r>
    </w:p>
    <w:p w14:paraId="7F0AC4FB" w14:textId="77777777" w:rsidR="0089683F" w:rsidRPr="0089683F" w:rsidRDefault="0089683F" w:rsidP="0089683F">
      <w:pPr>
        <w:snapToGrid w:val="0"/>
        <w:spacing w:after="120" w:line="276" w:lineRule="auto"/>
        <w:ind w:firstLine="709"/>
        <w:jc w:val="both"/>
        <w:rPr>
          <w:rFonts w:ascii="Verdana" w:eastAsia="Calibri" w:hAnsi="Verdana" w:cs="Times New Roman"/>
          <w:lang w:val="es-ES" w:eastAsia="es-MX"/>
        </w:rPr>
      </w:pPr>
      <w:r w:rsidRPr="0089683F">
        <w:rPr>
          <w:rFonts w:ascii="Verdana" w:eastAsia="Calibri" w:hAnsi="Verdana" w:cs="Times New Roman"/>
          <w:lang w:val="es-ES" w:eastAsia="es-MX"/>
        </w:rPr>
        <w:t>La experiencia específica, dependiendo del tipo de “actividad a contratar”, puede contener un “% de dimensionamiento” con la implementación de un factor (F%), el cual es definido por el rango de SMMLV en el cual se encuentre el presupuesto oficial del proceso de contratación. Así mismo, en la parte inferior de la matriz se establecen los lineamientos para su aplicación, incluyendo aspectos asociados con la forma en la cual se establecen las reglas de combinaciones entre las diferentes “actividades a contratar” y aspectos generales de la Matriz de Experiencia.</w:t>
      </w:r>
    </w:p>
    <w:p w14:paraId="5B33CEC3" w14:textId="77777777" w:rsidR="0089683F" w:rsidRPr="0089683F" w:rsidRDefault="0089683F" w:rsidP="0089683F">
      <w:pPr>
        <w:snapToGrid w:val="0"/>
        <w:spacing w:after="120" w:line="276" w:lineRule="auto"/>
        <w:ind w:firstLine="709"/>
        <w:jc w:val="both"/>
        <w:rPr>
          <w:rFonts w:ascii="Verdana" w:eastAsia="Calibri" w:hAnsi="Verdana" w:cs="Times New Roman"/>
          <w:lang w:eastAsia="es-MX"/>
        </w:rPr>
      </w:pPr>
      <w:r w:rsidRPr="0089683F">
        <w:rPr>
          <w:rFonts w:ascii="Verdana" w:eastAsia="Calibri" w:hAnsi="Verdana" w:cs="Times New Roman"/>
          <w:lang w:eastAsia="es-MX"/>
        </w:rPr>
        <w:t xml:space="preserve">Para fijar las condiciones que deben cumplir los contratos aportados en términos de actividades ejecutadas, las entidades deben emplear la “Matriz – Experiencia”. Este documento estandariza las condiciones de experiencia general y/o experiencia específica que deben requerir las entidades estatales a los proponentes para acreditar el requisito habilitante de experiencia, de acuerdo con: i) el tipo de obra de infraestructura social, </w:t>
      </w:r>
      <w:proofErr w:type="spellStart"/>
      <w:r w:rsidRPr="0089683F">
        <w:rPr>
          <w:rFonts w:ascii="Verdana" w:eastAsia="Calibri" w:hAnsi="Verdana" w:cs="Times New Roman"/>
          <w:lang w:eastAsia="es-MX"/>
        </w:rPr>
        <w:t>ii</w:t>
      </w:r>
      <w:proofErr w:type="spellEnd"/>
      <w:r w:rsidRPr="0089683F">
        <w:rPr>
          <w:rFonts w:ascii="Verdana" w:eastAsia="Calibri" w:hAnsi="Verdana" w:cs="Times New Roman"/>
          <w:lang w:eastAsia="es-MX"/>
        </w:rPr>
        <w:t xml:space="preserve">) la actividad a contratar y </w:t>
      </w:r>
      <w:proofErr w:type="spellStart"/>
      <w:r w:rsidRPr="0089683F">
        <w:rPr>
          <w:rFonts w:ascii="Verdana" w:eastAsia="Calibri" w:hAnsi="Verdana" w:cs="Times New Roman"/>
          <w:lang w:eastAsia="es-MX"/>
        </w:rPr>
        <w:t>iii</w:t>
      </w:r>
      <w:proofErr w:type="spellEnd"/>
      <w:r w:rsidRPr="0089683F">
        <w:rPr>
          <w:rFonts w:ascii="Verdana" w:eastAsia="Calibri" w:hAnsi="Verdana" w:cs="Times New Roman"/>
          <w:lang w:eastAsia="es-MX"/>
        </w:rPr>
        <w:t>) la cuantía del proceso de contratación.</w:t>
      </w:r>
    </w:p>
    <w:p w14:paraId="6D8FF929" w14:textId="77777777" w:rsidR="0089683F" w:rsidRPr="0089683F" w:rsidRDefault="0089683F" w:rsidP="0089683F">
      <w:pPr>
        <w:snapToGrid w:val="0"/>
        <w:spacing w:after="0" w:line="276" w:lineRule="auto"/>
        <w:ind w:firstLine="709"/>
        <w:jc w:val="both"/>
        <w:rPr>
          <w:rFonts w:ascii="Verdana" w:eastAsia="Calibri" w:hAnsi="Verdana" w:cs="Times New Roman"/>
          <w:lang w:eastAsia="es-MX"/>
        </w:rPr>
      </w:pPr>
      <w:r w:rsidRPr="0089683F">
        <w:rPr>
          <w:rFonts w:ascii="Verdana" w:eastAsia="Calibri" w:hAnsi="Verdana" w:cs="Calibri"/>
          <w:kern w:val="2"/>
          <w14:ligatures w14:val="standardContextual"/>
        </w:rPr>
        <w:lastRenderedPageBreak/>
        <w:t>Resulta relevante señalar que la implementación de los documentos tipo por parte de las entidades estatales sometidas al Estatuto General de Contratación de la Administración Pública –EGCAP–, está determinada por las actividades sobre las cuales se puede enmarcar el proceso de selección que adelanten. Al respecto, la parte introductoria de los documentos tipo de selección abreviada de menor cuantía de obra pública de infraestructura social, dispone:</w:t>
      </w:r>
    </w:p>
    <w:p w14:paraId="4756906E" w14:textId="77777777" w:rsidR="0089683F" w:rsidRPr="0089683F" w:rsidRDefault="0089683F" w:rsidP="0089683F">
      <w:pPr>
        <w:spacing w:after="0" w:line="276" w:lineRule="auto"/>
        <w:jc w:val="both"/>
        <w:rPr>
          <w:rFonts w:ascii="Verdana" w:eastAsia="Calibri" w:hAnsi="Verdana" w:cs="Calibri"/>
          <w:kern w:val="2"/>
          <w14:ligatures w14:val="standardContextual"/>
        </w:rPr>
      </w:pPr>
    </w:p>
    <w:p w14:paraId="5EEFB396" w14:textId="77777777" w:rsidR="0089683F" w:rsidRPr="0089683F" w:rsidRDefault="0089683F" w:rsidP="0089683F">
      <w:pPr>
        <w:spacing w:after="0" w:line="240" w:lineRule="auto"/>
        <w:ind w:left="709" w:right="709"/>
        <w:jc w:val="both"/>
        <w:rPr>
          <w:rFonts w:ascii="Verdana" w:eastAsia="Calibri" w:hAnsi="Verdana" w:cs="Calibri"/>
          <w:kern w:val="2"/>
          <w:sz w:val="21"/>
          <w:szCs w:val="21"/>
          <w14:ligatures w14:val="standardContextual"/>
        </w:rPr>
      </w:pPr>
      <w:r w:rsidRPr="0089683F">
        <w:rPr>
          <w:rFonts w:ascii="Verdana" w:eastAsia="Calibri" w:hAnsi="Verdana" w:cs="Calibri"/>
          <w:kern w:val="2"/>
          <w:sz w:val="21"/>
          <w:szCs w:val="21"/>
          <w14:ligatures w14:val="standardContextual"/>
        </w:rPr>
        <w:t>“Este Documento Tipo aplica a los procesos de selección abreviada de menor cuantía de obra pública de Infraestructura de Social Versión 1), que correspondan a las actividades definidas en la Matriz 1 – Experiencia. En consecuencia, para las actividades de infraestructura social no contempladas en la Matriz 1 – Experiencia aplicable en el proyecto de infraestructura social bien sea de salud, educación, institucional, vivienda, cultura, recreación y deporte, no tienen que aplicar los Documentos Tipo; sin perjuicio de lo previsto en el artículo 2.2.1.2.6.1.5. del Decreto 1082 de 2015.</w:t>
      </w:r>
    </w:p>
    <w:p w14:paraId="2CC9635A" w14:textId="77777777" w:rsidR="0089683F" w:rsidRPr="0089683F" w:rsidRDefault="0089683F" w:rsidP="0089683F">
      <w:pPr>
        <w:spacing w:after="0" w:line="240" w:lineRule="auto"/>
        <w:ind w:left="709" w:right="709"/>
        <w:jc w:val="both"/>
        <w:rPr>
          <w:rFonts w:ascii="Verdana" w:eastAsia="Calibri" w:hAnsi="Verdana" w:cs="Calibri"/>
          <w:kern w:val="2"/>
          <w:sz w:val="21"/>
          <w:szCs w:val="21"/>
          <w14:ligatures w14:val="standardContextual"/>
        </w:rPr>
      </w:pPr>
    </w:p>
    <w:p w14:paraId="44F52FB7" w14:textId="77777777" w:rsidR="0089683F" w:rsidRPr="0089683F" w:rsidRDefault="0089683F" w:rsidP="0089683F">
      <w:pPr>
        <w:spacing w:after="0" w:line="240" w:lineRule="auto"/>
        <w:ind w:left="709" w:right="709"/>
        <w:jc w:val="both"/>
        <w:rPr>
          <w:rFonts w:ascii="Verdana" w:eastAsia="Calibri" w:hAnsi="Verdana" w:cs="Calibri"/>
          <w:kern w:val="2"/>
          <w:sz w:val="21"/>
          <w:szCs w:val="21"/>
          <w14:ligatures w14:val="standardContextual"/>
        </w:rPr>
      </w:pPr>
      <w:r w:rsidRPr="0089683F">
        <w:rPr>
          <w:rFonts w:ascii="Verdana" w:eastAsia="Calibri" w:hAnsi="Verdana" w:cs="Calibri"/>
          <w:b/>
          <w:bCs/>
          <w:kern w:val="2"/>
          <w:sz w:val="21"/>
          <w:szCs w:val="21"/>
          <w14:ligatures w14:val="standardContextual"/>
        </w:rPr>
        <w:t>Nota 1:</w:t>
      </w:r>
      <w:r w:rsidRPr="0089683F">
        <w:rPr>
          <w:rFonts w:ascii="Verdana" w:eastAsia="Calibri" w:hAnsi="Verdana" w:cs="Calibri"/>
          <w:kern w:val="2"/>
          <w:sz w:val="21"/>
          <w:szCs w:val="21"/>
          <w14:ligatures w14:val="standardContextual"/>
        </w:rPr>
        <w:t xml:space="preserve">  En todo caso, lo que refiere a las actividades relacionadas en la Matriz 1 - Experiencia para el Sector institucional que involucren actividades de Defensa, la Entidad podrá apartarse del uso de documentos tipo, previa justificación donde se especifique que las obras, bienes o servicios a adquirir son objeto de reserva de acuerdo con lo descrito en el artículo 2, numeral 4, literal d) de la Ley 1150 de 2007</w:t>
      </w:r>
    </w:p>
    <w:p w14:paraId="0D3445EB" w14:textId="77777777" w:rsidR="0089683F" w:rsidRPr="0089683F" w:rsidRDefault="0089683F" w:rsidP="0089683F">
      <w:pPr>
        <w:spacing w:after="0" w:line="240" w:lineRule="auto"/>
        <w:ind w:left="709" w:right="709"/>
        <w:jc w:val="both"/>
        <w:rPr>
          <w:rFonts w:ascii="Verdana" w:eastAsia="Calibri" w:hAnsi="Verdana" w:cs="Calibri"/>
          <w:kern w:val="2"/>
          <w:sz w:val="21"/>
          <w:szCs w:val="21"/>
          <w14:ligatures w14:val="standardContextual"/>
        </w:rPr>
      </w:pPr>
    </w:p>
    <w:p w14:paraId="296AF1F5" w14:textId="77777777" w:rsidR="0089683F" w:rsidRPr="0089683F" w:rsidRDefault="0089683F" w:rsidP="0089683F">
      <w:pPr>
        <w:spacing w:after="0" w:line="240" w:lineRule="auto"/>
        <w:ind w:left="709" w:right="709"/>
        <w:jc w:val="both"/>
        <w:rPr>
          <w:rFonts w:ascii="Verdana" w:eastAsia="Calibri" w:hAnsi="Verdana" w:cs="Calibri"/>
          <w:kern w:val="2"/>
          <w:sz w:val="21"/>
          <w:szCs w:val="21"/>
          <w14:ligatures w14:val="standardContextual"/>
        </w:rPr>
      </w:pPr>
      <w:r w:rsidRPr="0089683F">
        <w:rPr>
          <w:rFonts w:ascii="Verdana" w:eastAsia="Calibri" w:hAnsi="Verdana" w:cs="Calibri"/>
          <w:b/>
          <w:bCs/>
          <w:kern w:val="2"/>
          <w:sz w:val="21"/>
          <w:szCs w:val="21"/>
          <w14:ligatures w14:val="standardContextual"/>
        </w:rPr>
        <w:t>Nota 2:</w:t>
      </w:r>
      <w:r w:rsidRPr="0089683F">
        <w:rPr>
          <w:rFonts w:ascii="Verdana" w:eastAsia="Calibri" w:hAnsi="Verdana" w:cs="Calibri"/>
          <w:kern w:val="2"/>
          <w:sz w:val="21"/>
          <w:szCs w:val="21"/>
          <w14:ligatures w14:val="standardContextual"/>
        </w:rPr>
        <w:t xml:space="preserve"> El Subsector Institucional de conformidad con la NSR-10 incluye los capítulos de seguridad Pública, servicio público, sitios de reclusión y edificaciones institucionales”.</w:t>
      </w:r>
    </w:p>
    <w:p w14:paraId="06D11694" w14:textId="77777777" w:rsidR="0089683F" w:rsidRPr="0089683F" w:rsidRDefault="0089683F" w:rsidP="0089683F">
      <w:pPr>
        <w:spacing w:after="0" w:line="276" w:lineRule="auto"/>
        <w:jc w:val="both"/>
        <w:rPr>
          <w:rFonts w:ascii="Verdana" w:eastAsia="Arial" w:hAnsi="Verdana" w:cs="Calibri"/>
          <w:lang w:eastAsia="es-ES"/>
        </w:rPr>
      </w:pPr>
    </w:p>
    <w:p w14:paraId="1E5BE5B0" w14:textId="1DC4AE30" w:rsidR="0089683F" w:rsidRPr="0089683F" w:rsidRDefault="0089683F" w:rsidP="0089683F">
      <w:pPr>
        <w:spacing w:after="0" w:line="276" w:lineRule="auto"/>
        <w:ind w:firstLine="709"/>
        <w:jc w:val="both"/>
        <w:rPr>
          <w:rFonts w:ascii="Verdana" w:eastAsia="Aptos" w:hAnsi="Verdana" w:cs="Aptos"/>
          <w:kern w:val="2"/>
          <w:lang w:val="es-MX"/>
          <w14:ligatures w14:val="standardContextual"/>
        </w:rPr>
      </w:pPr>
      <w:r w:rsidRPr="0089683F">
        <w:rPr>
          <w:rFonts w:ascii="Verdana" w:eastAsia="Aptos" w:hAnsi="Verdana" w:cs="Aptos"/>
          <w:kern w:val="2"/>
          <w:lang w:val="es-ES_tradnl"/>
          <w14:ligatures w14:val="standardContextual"/>
        </w:rPr>
        <w:t xml:space="preserve">Ahora bien, teniendo en cuenta el objeto de su consulta, conviene señalar que, </w:t>
      </w:r>
      <w:r w:rsidRPr="0089683F">
        <w:rPr>
          <w:rFonts w:ascii="Verdana" w:eastAsia="Aptos" w:hAnsi="Verdana" w:cs="Aptos"/>
          <w:kern w:val="2"/>
          <w:lang w:val="es-MX"/>
          <w14:ligatures w14:val="standardContextual"/>
        </w:rPr>
        <w:t xml:space="preserve">el literal I del numeral </w:t>
      </w:r>
      <w:r w:rsidRPr="0089683F">
        <w:rPr>
          <w:rFonts w:ascii="Verdana" w:eastAsia="Aptos" w:hAnsi="Verdana" w:cs="Aptos"/>
          <w:i/>
          <w:iCs/>
          <w:kern w:val="2"/>
          <w:lang w:val="es-MX"/>
          <w14:ligatures w14:val="standardContextual"/>
        </w:rPr>
        <w:t>3.5.2 “CONSIDERACIONES PARA LA VALIDEZ DE LA EXPERIENCIA</w:t>
      </w:r>
      <w:r w:rsidRPr="0089683F">
        <w:rPr>
          <w:rFonts w:ascii="Verdana" w:eastAsia="Aptos" w:hAnsi="Verdana" w:cs="Aptos"/>
          <w:kern w:val="2"/>
          <w:lang w:val="es-MX"/>
          <w14:ligatures w14:val="standardContextual"/>
        </w:rPr>
        <w:t xml:space="preserve"> </w:t>
      </w:r>
      <w:r w:rsidRPr="0089683F">
        <w:rPr>
          <w:rFonts w:ascii="Verdana" w:eastAsia="Aptos" w:hAnsi="Verdana" w:cs="Aptos"/>
          <w:i/>
          <w:iCs/>
          <w:kern w:val="2"/>
          <w:lang w:val="es-MX"/>
          <w14:ligatures w14:val="standardContextual"/>
        </w:rPr>
        <w:t>REQUERIDA”</w:t>
      </w:r>
      <w:r w:rsidRPr="0089683F">
        <w:rPr>
          <w:rFonts w:ascii="Verdana" w:eastAsia="Aptos" w:hAnsi="Verdana" w:cs="Aptos"/>
          <w:kern w:val="2"/>
          <w:lang w:val="es-MX"/>
          <w14:ligatures w14:val="standardContextual"/>
        </w:rPr>
        <w:t xml:space="preserve"> del documento base de los </w:t>
      </w:r>
      <w:r w:rsidR="000847DC" w:rsidRPr="0089683F">
        <w:rPr>
          <w:rFonts w:ascii="Verdana" w:eastAsia="Aptos" w:hAnsi="Verdana" w:cs="Aptos"/>
          <w:kern w:val="2"/>
          <w:lang w:val="es-MX"/>
          <w14:ligatures w14:val="standardContextual"/>
        </w:rPr>
        <w:t>documentos</w:t>
      </w:r>
      <w:r w:rsidRPr="0089683F">
        <w:rPr>
          <w:rFonts w:ascii="Verdana" w:eastAsia="Aptos" w:hAnsi="Verdana" w:cs="Aptos"/>
          <w:kern w:val="2"/>
          <w:lang w:val="es-MX"/>
          <w14:ligatures w14:val="standardContextual"/>
        </w:rPr>
        <w:t xml:space="preserve"> tipo en comento, señala:</w:t>
      </w:r>
    </w:p>
    <w:p w14:paraId="46875413" w14:textId="77777777" w:rsidR="0089683F" w:rsidRPr="0089683F" w:rsidRDefault="0089683F" w:rsidP="0089683F">
      <w:pPr>
        <w:spacing w:after="0" w:line="276" w:lineRule="auto"/>
        <w:jc w:val="both"/>
        <w:rPr>
          <w:rFonts w:ascii="Verdana" w:eastAsia="Aptos" w:hAnsi="Verdana" w:cs="Aptos"/>
          <w:kern w:val="2"/>
          <w:lang w:val="es-MX"/>
          <w14:ligatures w14:val="standardContextual"/>
        </w:rPr>
      </w:pPr>
    </w:p>
    <w:p w14:paraId="50B12D26" w14:textId="77777777" w:rsidR="0089683F" w:rsidRPr="0089683F" w:rsidRDefault="0089683F" w:rsidP="0089683F">
      <w:pPr>
        <w:spacing w:after="0" w:line="240" w:lineRule="auto"/>
        <w:ind w:left="709" w:right="709"/>
        <w:jc w:val="both"/>
        <w:rPr>
          <w:rFonts w:ascii="Verdana" w:eastAsia="Aptos" w:hAnsi="Verdana" w:cs="Aptos"/>
          <w:kern w:val="2"/>
          <w:sz w:val="21"/>
          <w:szCs w:val="21"/>
          <w:lang w:val="es-MX"/>
          <w14:ligatures w14:val="standardContextual"/>
        </w:rPr>
      </w:pPr>
      <w:r w:rsidRPr="0089683F">
        <w:rPr>
          <w:rFonts w:ascii="Verdana" w:eastAsia="Aptos" w:hAnsi="Verdana" w:cs="Aptos"/>
          <w:kern w:val="2"/>
          <w:sz w:val="21"/>
          <w:szCs w:val="21"/>
          <w:lang w:val="es-MX"/>
          <w14:ligatures w14:val="standardContextual"/>
        </w:rPr>
        <w:t>“[…]</w:t>
      </w:r>
    </w:p>
    <w:p w14:paraId="381DF940" w14:textId="77777777" w:rsidR="0089683F" w:rsidRPr="0089683F" w:rsidRDefault="0089683F" w:rsidP="0089683F">
      <w:pPr>
        <w:spacing w:after="0" w:line="240" w:lineRule="auto"/>
        <w:ind w:left="709" w:right="709"/>
        <w:jc w:val="both"/>
        <w:rPr>
          <w:rFonts w:ascii="Verdana" w:eastAsia="Aptos" w:hAnsi="Verdana" w:cs="Aptos"/>
          <w:kern w:val="2"/>
          <w:sz w:val="21"/>
          <w:szCs w:val="21"/>
          <w:lang w:val="es-MX"/>
          <w14:ligatures w14:val="standardContextual"/>
        </w:rPr>
      </w:pPr>
      <w:r w:rsidRPr="0089683F">
        <w:rPr>
          <w:rFonts w:ascii="Verdana" w:eastAsia="Aptos" w:hAnsi="Verdana" w:cs="Aptos"/>
          <w:kern w:val="2"/>
          <w:sz w:val="21"/>
          <w:szCs w:val="21"/>
          <w:lang w:val="es-MX"/>
          <w14:ligatures w14:val="standardContextual"/>
        </w:rPr>
        <w:t xml:space="preserve">Para estos efectos, el oferente deberá acreditar los valores y magnitudes intervenidas dentro del respectivo Contrato, empleando alguno de los documentos válidos establecidos en el numeral 3.5.5 del Pliego de Condiciones. En todo caso, la Entidad permitirá la subsanación, en los términos del numeral 1.6 del Pliego de Condiciones, requiriendo al Proponente para que acredite los valores </w:t>
      </w:r>
      <w:r w:rsidRPr="0089683F">
        <w:rPr>
          <w:rFonts w:ascii="Verdana" w:eastAsia="Aptos" w:hAnsi="Verdana" w:cs="Aptos"/>
          <w:kern w:val="2"/>
          <w:sz w:val="21"/>
          <w:szCs w:val="21"/>
          <w:lang w:val="es-MX"/>
          <w14:ligatures w14:val="standardContextual"/>
        </w:rPr>
        <w:lastRenderedPageBreak/>
        <w:t xml:space="preserve">ejecutados y magnitudes intervenidas. De no lograrse la discriminación de los valores y magnitudes ejecutadas en el marco del respectivo Contrato, la Entidad no lo tendrá en cuenta para la evaluación. </w:t>
      </w:r>
    </w:p>
    <w:p w14:paraId="70EFDC0C" w14:textId="77777777" w:rsidR="0089683F" w:rsidRPr="0089683F" w:rsidRDefault="0089683F" w:rsidP="0089683F">
      <w:pPr>
        <w:spacing w:after="0" w:line="240" w:lineRule="auto"/>
        <w:ind w:left="709" w:right="709"/>
        <w:jc w:val="both"/>
        <w:rPr>
          <w:rFonts w:ascii="Verdana" w:eastAsia="Aptos" w:hAnsi="Verdana" w:cs="Aptos"/>
          <w:kern w:val="2"/>
          <w:sz w:val="21"/>
          <w:szCs w:val="21"/>
          <w:lang w:val="es-MX"/>
          <w14:ligatures w14:val="standardContextual"/>
        </w:rPr>
      </w:pPr>
    </w:p>
    <w:p w14:paraId="3CD9A35C" w14:textId="77777777" w:rsidR="0089683F" w:rsidRPr="0089683F" w:rsidRDefault="0089683F" w:rsidP="0089683F">
      <w:pPr>
        <w:spacing w:after="0" w:line="240" w:lineRule="auto"/>
        <w:ind w:left="709" w:right="709"/>
        <w:jc w:val="both"/>
        <w:rPr>
          <w:rFonts w:ascii="Verdana" w:eastAsia="Aptos" w:hAnsi="Verdana" w:cs="Aptos"/>
          <w:kern w:val="2"/>
          <w:sz w:val="21"/>
          <w:szCs w:val="21"/>
          <w:lang w:val="es-MX"/>
          <w14:ligatures w14:val="standardContextual"/>
        </w:rPr>
      </w:pPr>
      <w:r w:rsidRPr="0089683F">
        <w:rPr>
          <w:rFonts w:ascii="Verdana" w:eastAsia="Aptos" w:hAnsi="Verdana" w:cs="Aptos"/>
          <w:kern w:val="2"/>
          <w:sz w:val="21"/>
          <w:szCs w:val="21"/>
          <w:lang w:val="es-MX"/>
          <w14:ligatures w14:val="standardContextual"/>
        </w:rPr>
        <w:t>En el evento en que los valores de los documentos aportados se expresen en moneda extranjera, se procederá de conformidad con lo previsto en el literal A del numeral 1.13. Para este caso, la fecha de terminación de la etapa constructiva y/o de intervención de la obra hará las veces de fecha de terminación del Contrato. Ahora, para la conversión de dichos valores a SMMLV se seguirá el proceso descrito en el literal B del numeral 1.13, para lo cual se emplearán los valores históricos de SMMLV señalados por el Banco de la República (http://www.banrep.gov.co/es/mercado-laboral/salarios), del año correspondiente a la fecha de terminación de la etapa constructiva y/o de intervención de la obra.</w:t>
      </w:r>
    </w:p>
    <w:p w14:paraId="045CC296" w14:textId="77777777" w:rsidR="0089683F" w:rsidRPr="0089683F" w:rsidRDefault="0089683F" w:rsidP="0089683F">
      <w:pPr>
        <w:spacing w:after="0" w:line="240" w:lineRule="auto"/>
        <w:ind w:left="709" w:right="709"/>
        <w:jc w:val="both"/>
        <w:rPr>
          <w:rFonts w:ascii="Verdana" w:eastAsia="Aptos" w:hAnsi="Verdana" w:cs="Aptos"/>
          <w:kern w:val="2"/>
          <w:sz w:val="21"/>
          <w:szCs w:val="21"/>
          <w:lang w:val="es-MX"/>
          <w14:ligatures w14:val="standardContextual"/>
        </w:rPr>
      </w:pPr>
      <w:r w:rsidRPr="0089683F">
        <w:rPr>
          <w:rFonts w:ascii="Verdana" w:eastAsia="Aptos" w:hAnsi="Verdana" w:cs="Aptos"/>
          <w:kern w:val="2"/>
          <w:sz w:val="21"/>
          <w:szCs w:val="21"/>
          <w:lang w:val="es-MX"/>
          <w14:ligatures w14:val="standardContextual"/>
        </w:rPr>
        <w:t>[…]”</w:t>
      </w:r>
    </w:p>
    <w:p w14:paraId="75A1B6E0" w14:textId="77777777" w:rsidR="0089683F" w:rsidRPr="0089683F" w:rsidRDefault="0089683F" w:rsidP="0089683F">
      <w:pPr>
        <w:spacing w:after="0" w:line="276" w:lineRule="auto"/>
        <w:jc w:val="both"/>
        <w:rPr>
          <w:rFonts w:ascii="Verdana" w:eastAsia="Aptos" w:hAnsi="Verdana" w:cs="Aptos"/>
          <w:i/>
          <w:iCs/>
          <w:kern w:val="2"/>
          <w:u w:val="single"/>
          <w:lang w:val="es-MX"/>
          <w14:ligatures w14:val="standardContextual"/>
        </w:rPr>
      </w:pPr>
    </w:p>
    <w:p w14:paraId="57F1AD07" w14:textId="77777777" w:rsidR="0089683F" w:rsidRPr="0089683F" w:rsidRDefault="0089683F" w:rsidP="0089683F">
      <w:pPr>
        <w:spacing w:after="0" w:line="276" w:lineRule="auto"/>
        <w:ind w:firstLine="709"/>
        <w:jc w:val="both"/>
        <w:rPr>
          <w:rFonts w:ascii="Verdana" w:eastAsia="Aptos" w:hAnsi="Verdana" w:cs="Aptos"/>
          <w:kern w:val="2"/>
          <w:lang w:val="es-ES_tradnl"/>
          <w14:ligatures w14:val="standardContextual"/>
        </w:rPr>
      </w:pPr>
      <w:r w:rsidRPr="0089683F">
        <w:rPr>
          <w:rFonts w:ascii="Verdana" w:eastAsia="Aptos" w:hAnsi="Verdana" w:cs="Aptos"/>
          <w:kern w:val="2"/>
          <w:lang w:val="es-ES_tradnl"/>
          <w14:ligatures w14:val="standardContextual"/>
        </w:rPr>
        <w:t>En ese sentido, en el numeral 1.13, literal A. “Monedas Extranjeras” del documento base, se indican las consideraciones para presentación de documentos dentro de la propuesta, y se establece que los valores de los documentos aportados en la propuesta deben presentarse en pesos colombianos. Asimismo, se precisa que cuando un valor se exprese en moneda extranjera, este debe convertirse de acuerdo con los siguientes criterios:</w:t>
      </w:r>
    </w:p>
    <w:p w14:paraId="6D87D6E8" w14:textId="77777777" w:rsidR="0089683F" w:rsidRPr="0089683F" w:rsidRDefault="0089683F" w:rsidP="0089683F">
      <w:pPr>
        <w:spacing w:after="0" w:line="240" w:lineRule="auto"/>
        <w:ind w:left="709" w:right="709"/>
        <w:jc w:val="both"/>
        <w:rPr>
          <w:rFonts w:ascii="Verdana" w:eastAsia="Aptos" w:hAnsi="Verdana" w:cs="Aptos"/>
          <w:kern w:val="2"/>
          <w:sz w:val="21"/>
          <w:szCs w:val="21"/>
          <w:lang w:val="es-ES_tradnl"/>
          <w14:ligatures w14:val="standardContextual"/>
        </w:rPr>
      </w:pPr>
    </w:p>
    <w:p w14:paraId="0F4C7BAB" w14:textId="77777777" w:rsidR="0089683F" w:rsidRPr="0089683F" w:rsidRDefault="0089683F" w:rsidP="0089683F">
      <w:pPr>
        <w:numPr>
          <w:ilvl w:val="0"/>
          <w:numId w:val="21"/>
        </w:numPr>
        <w:adjustRightInd w:val="0"/>
        <w:spacing w:after="200" w:line="240" w:lineRule="auto"/>
        <w:ind w:left="709" w:right="709" w:firstLine="0"/>
        <w:contextualSpacing/>
        <w:jc w:val="both"/>
        <w:rPr>
          <w:rFonts w:ascii="Verdana" w:eastAsia="Arial,Calibri" w:hAnsi="Verdana" w:cs="Arial"/>
          <w:kern w:val="2"/>
          <w:sz w:val="21"/>
          <w:szCs w:val="21"/>
          <w:lang w:val="es-ES_tradnl" w:eastAsia="es-CO"/>
          <w14:ligatures w14:val="standardContextual"/>
        </w:rPr>
      </w:pPr>
      <w:r w:rsidRPr="0089683F">
        <w:rPr>
          <w:rFonts w:ascii="Verdana" w:eastAsia="Arial" w:hAnsi="Verdana" w:cs="Arial"/>
          <w:kern w:val="2"/>
          <w:sz w:val="21"/>
          <w:szCs w:val="21"/>
          <w:lang w:val="es-ES_tradnl" w:eastAsia="es-CO"/>
          <w14:ligatures w14:val="standardContextual"/>
        </w:rPr>
        <w:t>Si</w:t>
      </w:r>
      <w:r w:rsidRPr="0089683F">
        <w:rPr>
          <w:rFonts w:ascii="Verdana" w:eastAsia="Arial,Calibri" w:hAnsi="Verdana" w:cs="Arial"/>
          <w:kern w:val="2"/>
          <w:sz w:val="21"/>
          <w:szCs w:val="21"/>
          <w:lang w:val="es-ES_tradnl" w:eastAsia="es-CO"/>
          <w14:ligatures w14:val="standardContextual"/>
        </w:rPr>
        <w:t xml:space="preserve"> </w:t>
      </w:r>
      <w:r w:rsidRPr="0089683F">
        <w:rPr>
          <w:rFonts w:ascii="Verdana" w:eastAsia="Arial" w:hAnsi="Verdana" w:cs="Arial"/>
          <w:kern w:val="2"/>
          <w:sz w:val="21"/>
          <w:szCs w:val="21"/>
          <w:lang w:val="es-ES_tradnl" w:eastAsia="es-CO"/>
          <w14:ligatures w14:val="standardContextual"/>
        </w:rPr>
        <w:t>los valores de un Contrato están</w:t>
      </w:r>
      <w:r w:rsidRPr="0089683F">
        <w:rPr>
          <w:rFonts w:ascii="Verdana" w:eastAsia="Arial,Calibri" w:hAnsi="Verdana" w:cs="Arial"/>
          <w:kern w:val="2"/>
          <w:sz w:val="21"/>
          <w:szCs w:val="21"/>
          <w:lang w:val="es-ES_tradnl" w:eastAsia="es-CO"/>
          <w14:ligatures w14:val="standardContextual"/>
        </w:rPr>
        <w:t xml:space="preserve"> </w:t>
      </w:r>
      <w:r w:rsidRPr="0089683F">
        <w:rPr>
          <w:rFonts w:ascii="Verdana" w:eastAsia="Arial" w:hAnsi="Verdana" w:cs="Arial"/>
          <w:kern w:val="2"/>
          <w:sz w:val="21"/>
          <w:szCs w:val="21"/>
          <w:lang w:val="es-ES_tradnl" w:eastAsia="es-CO"/>
          <w14:ligatures w14:val="standardContextual"/>
        </w:rPr>
        <w:t>expresados</w:t>
      </w:r>
      <w:r w:rsidRPr="0089683F">
        <w:rPr>
          <w:rFonts w:ascii="Verdana" w:eastAsia="Arial,Calibri" w:hAnsi="Verdana" w:cs="Arial"/>
          <w:kern w:val="2"/>
          <w:sz w:val="21"/>
          <w:szCs w:val="21"/>
          <w:lang w:val="es-ES_tradnl" w:eastAsia="es-CO"/>
          <w14:ligatures w14:val="standardContextual"/>
        </w:rPr>
        <w:t xml:space="preserve"> </w:t>
      </w:r>
      <w:r w:rsidRPr="0089683F">
        <w:rPr>
          <w:rFonts w:ascii="Verdana" w:eastAsia="Arial" w:hAnsi="Verdana" w:cs="Arial"/>
          <w:kern w:val="2"/>
          <w:sz w:val="21"/>
          <w:szCs w:val="21"/>
          <w:lang w:val="es-ES_tradnl" w:eastAsia="es-CO"/>
          <w14:ligatures w14:val="standardContextual"/>
        </w:rPr>
        <w:t>originalmente</w:t>
      </w:r>
      <w:r w:rsidRPr="0089683F">
        <w:rPr>
          <w:rFonts w:ascii="Verdana" w:eastAsia="Arial,Calibri" w:hAnsi="Verdana" w:cs="Arial"/>
          <w:kern w:val="2"/>
          <w:sz w:val="21"/>
          <w:szCs w:val="21"/>
          <w:lang w:val="es-ES_tradnl" w:eastAsia="es-CO"/>
          <w14:ligatures w14:val="standardContextual"/>
        </w:rPr>
        <w:t xml:space="preserve"> </w:t>
      </w:r>
      <w:r w:rsidRPr="0089683F">
        <w:rPr>
          <w:rFonts w:ascii="Verdana" w:eastAsia="Arial" w:hAnsi="Verdana" w:cs="Arial"/>
          <w:kern w:val="2"/>
          <w:sz w:val="21"/>
          <w:szCs w:val="21"/>
          <w:lang w:val="es-ES_tradnl" w:eastAsia="es-CO"/>
          <w14:ligatures w14:val="standardContextual"/>
        </w:rPr>
        <w:t>en</w:t>
      </w:r>
      <w:r w:rsidRPr="0089683F">
        <w:rPr>
          <w:rFonts w:ascii="Verdana" w:eastAsia="Arial,Calibri" w:hAnsi="Verdana" w:cs="Arial"/>
          <w:kern w:val="2"/>
          <w:sz w:val="21"/>
          <w:szCs w:val="21"/>
          <w:lang w:val="es-ES_tradnl" w:eastAsia="es-CO"/>
          <w14:ligatures w14:val="standardContextual"/>
        </w:rPr>
        <w:t xml:space="preserve"> </w:t>
      </w:r>
      <w:proofErr w:type="gramStart"/>
      <w:r w:rsidRPr="0089683F">
        <w:rPr>
          <w:rFonts w:ascii="Verdana" w:eastAsia="Arial" w:hAnsi="Verdana" w:cs="Arial"/>
          <w:kern w:val="2"/>
          <w:sz w:val="21"/>
          <w:szCs w:val="21"/>
          <w:lang w:val="es-ES_tradnl" w:eastAsia="es-CO"/>
          <w14:ligatures w14:val="standardContextual"/>
        </w:rPr>
        <w:t>Dólares</w:t>
      </w:r>
      <w:proofErr w:type="gramEnd"/>
      <w:r w:rsidRPr="0089683F">
        <w:rPr>
          <w:rFonts w:ascii="Verdana" w:eastAsia="Arial,Calibri" w:hAnsi="Verdana" w:cs="Arial"/>
          <w:kern w:val="2"/>
          <w:sz w:val="21"/>
          <w:szCs w:val="21"/>
          <w:lang w:val="es-ES_tradnl" w:eastAsia="es-CO"/>
          <w14:ligatures w14:val="standardContextual"/>
        </w:rPr>
        <w:t xml:space="preserve"> </w:t>
      </w:r>
      <w:r w:rsidRPr="0089683F">
        <w:rPr>
          <w:rFonts w:ascii="Verdana" w:eastAsia="Arial" w:hAnsi="Verdana" w:cs="Arial"/>
          <w:kern w:val="2"/>
          <w:sz w:val="21"/>
          <w:szCs w:val="21"/>
          <w:lang w:val="es-ES_tradnl" w:eastAsia="es-CO"/>
          <w14:ligatures w14:val="standardContextual"/>
        </w:rPr>
        <w:t>de</w:t>
      </w:r>
      <w:r w:rsidRPr="0089683F">
        <w:rPr>
          <w:rFonts w:ascii="Verdana" w:eastAsia="Arial,Calibri" w:hAnsi="Verdana" w:cs="Arial"/>
          <w:kern w:val="2"/>
          <w:sz w:val="21"/>
          <w:szCs w:val="21"/>
          <w:lang w:val="es-ES_tradnl" w:eastAsia="es-CO"/>
          <w14:ligatures w14:val="standardContextual"/>
        </w:rPr>
        <w:t xml:space="preserve"> </w:t>
      </w:r>
      <w:r w:rsidRPr="0089683F">
        <w:rPr>
          <w:rFonts w:ascii="Verdana" w:eastAsia="Arial" w:hAnsi="Verdana" w:cs="Arial"/>
          <w:kern w:val="2"/>
          <w:sz w:val="21"/>
          <w:szCs w:val="21"/>
          <w:lang w:val="es-ES_tradnl" w:eastAsia="es-CO"/>
          <w14:ligatures w14:val="standardContextual"/>
        </w:rPr>
        <w:t>los</w:t>
      </w:r>
      <w:r w:rsidRPr="0089683F">
        <w:rPr>
          <w:rFonts w:ascii="Verdana" w:eastAsia="Arial,Calibri" w:hAnsi="Verdana" w:cs="Arial"/>
          <w:kern w:val="2"/>
          <w:sz w:val="21"/>
          <w:szCs w:val="21"/>
          <w:lang w:val="es-ES_tradnl" w:eastAsia="es-CO"/>
          <w14:ligatures w14:val="standardContextual"/>
        </w:rPr>
        <w:t xml:space="preserve"> </w:t>
      </w:r>
      <w:r w:rsidRPr="0089683F">
        <w:rPr>
          <w:rFonts w:ascii="Verdana" w:eastAsia="Arial" w:hAnsi="Verdana" w:cs="Arial"/>
          <w:kern w:val="2"/>
          <w:sz w:val="21"/>
          <w:szCs w:val="21"/>
          <w:lang w:val="es-ES_tradnl" w:eastAsia="es-CO"/>
          <w14:ligatures w14:val="standardContextual"/>
        </w:rPr>
        <w:t>Estados</w:t>
      </w:r>
      <w:r w:rsidRPr="0089683F">
        <w:rPr>
          <w:rFonts w:ascii="Verdana" w:eastAsia="Arial,Calibri" w:hAnsi="Verdana" w:cs="Arial"/>
          <w:kern w:val="2"/>
          <w:sz w:val="21"/>
          <w:szCs w:val="21"/>
          <w:lang w:val="es-ES_tradnl" w:eastAsia="es-CO"/>
          <w14:ligatures w14:val="standardContextual"/>
        </w:rPr>
        <w:t xml:space="preserve"> </w:t>
      </w:r>
      <w:r w:rsidRPr="0089683F">
        <w:rPr>
          <w:rFonts w:ascii="Verdana" w:eastAsia="Arial" w:hAnsi="Verdana" w:cs="Arial"/>
          <w:kern w:val="2"/>
          <w:sz w:val="21"/>
          <w:szCs w:val="21"/>
          <w:lang w:val="es-ES_tradnl" w:eastAsia="es-CO"/>
          <w14:ligatures w14:val="standardContextual"/>
        </w:rPr>
        <w:t>Unidos</w:t>
      </w:r>
      <w:r w:rsidRPr="0089683F">
        <w:rPr>
          <w:rFonts w:ascii="Verdana" w:eastAsia="Arial,Calibri" w:hAnsi="Verdana" w:cs="Arial"/>
          <w:kern w:val="2"/>
          <w:sz w:val="21"/>
          <w:szCs w:val="21"/>
          <w:lang w:val="es-ES_tradnl" w:eastAsia="es-CO"/>
          <w14:ligatures w14:val="standardContextual"/>
        </w:rPr>
        <w:t xml:space="preserve"> </w:t>
      </w:r>
      <w:r w:rsidRPr="0089683F">
        <w:rPr>
          <w:rFonts w:ascii="Verdana" w:eastAsia="Arial" w:hAnsi="Verdana" w:cs="Arial"/>
          <w:kern w:val="2"/>
          <w:sz w:val="21"/>
          <w:szCs w:val="21"/>
          <w:lang w:val="es-ES_tradnl" w:eastAsia="es-CO"/>
          <w14:ligatures w14:val="standardContextual"/>
        </w:rPr>
        <w:t>de</w:t>
      </w:r>
      <w:r w:rsidRPr="0089683F">
        <w:rPr>
          <w:rFonts w:ascii="Verdana" w:eastAsia="Arial,Calibri" w:hAnsi="Verdana" w:cs="Arial"/>
          <w:kern w:val="2"/>
          <w:sz w:val="21"/>
          <w:szCs w:val="21"/>
          <w:lang w:val="es-ES_tradnl" w:eastAsia="es-CO"/>
          <w14:ligatures w14:val="standardContextual"/>
        </w:rPr>
        <w:t xml:space="preserve"> </w:t>
      </w:r>
      <w:r w:rsidRPr="0089683F">
        <w:rPr>
          <w:rFonts w:ascii="Verdana" w:eastAsia="Arial" w:hAnsi="Verdana" w:cs="Arial"/>
          <w:kern w:val="2"/>
          <w:sz w:val="21"/>
          <w:szCs w:val="21"/>
          <w:lang w:val="es-ES_tradnl" w:eastAsia="es-CO"/>
          <w14:ligatures w14:val="standardContextual"/>
        </w:rPr>
        <w:t>América,</w:t>
      </w:r>
      <w:r w:rsidRPr="0089683F">
        <w:rPr>
          <w:rFonts w:ascii="Verdana" w:eastAsia="Arial,Calibri" w:hAnsi="Verdana" w:cs="Arial"/>
          <w:kern w:val="2"/>
          <w:sz w:val="21"/>
          <w:szCs w:val="21"/>
          <w:lang w:val="es-ES_tradnl" w:eastAsia="es-CO"/>
          <w14:ligatures w14:val="standardContextual"/>
        </w:rPr>
        <w:t xml:space="preserve"> </w:t>
      </w:r>
      <w:r w:rsidRPr="0089683F">
        <w:rPr>
          <w:rFonts w:ascii="Verdana" w:eastAsia="Arial" w:hAnsi="Verdana" w:cs="Arial"/>
          <w:kern w:val="2"/>
          <w:sz w:val="21"/>
          <w:szCs w:val="21"/>
          <w:lang w:val="es-ES_tradnl" w:eastAsia="es-CO"/>
          <w14:ligatures w14:val="standardContextual"/>
        </w:rPr>
        <w:t>los</w:t>
      </w:r>
      <w:r w:rsidRPr="0089683F">
        <w:rPr>
          <w:rFonts w:ascii="Verdana" w:eastAsia="Arial,Calibri" w:hAnsi="Verdana" w:cs="Arial"/>
          <w:kern w:val="2"/>
          <w:sz w:val="21"/>
          <w:szCs w:val="21"/>
          <w:lang w:val="es-ES_tradnl" w:eastAsia="es-CO"/>
          <w14:ligatures w14:val="standardContextual"/>
        </w:rPr>
        <w:t xml:space="preserve"> </w:t>
      </w:r>
      <w:r w:rsidRPr="0089683F">
        <w:rPr>
          <w:rFonts w:ascii="Verdana" w:eastAsia="Arial" w:hAnsi="Verdana" w:cs="Arial"/>
          <w:kern w:val="2"/>
          <w:sz w:val="21"/>
          <w:szCs w:val="21"/>
          <w:lang w:val="es-ES_tradnl" w:eastAsia="es-CO"/>
          <w14:ligatures w14:val="standardContextual"/>
        </w:rPr>
        <w:t>valores</w:t>
      </w:r>
      <w:r w:rsidRPr="0089683F">
        <w:rPr>
          <w:rFonts w:ascii="Verdana" w:eastAsia="Arial,Calibri" w:hAnsi="Verdana" w:cs="Arial"/>
          <w:kern w:val="2"/>
          <w:sz w:val="21"/>
          <w:szCs w:val="21"/>
          <w:lang w:val="es-ES_tradnl" w:eastAsia="es-CO"/>
          <w14:ligatures w14:val="standardContextual"/>
        </w:rPr>
        <w:t xml:space="preserve"> </w:t>
      </w:r>
      <w:r w:rsidRPr="0089683F">
        <w:rPr>
          <w:rFonts w:ascii="Verdana" w:eastAsia="Arial" w:hAnsi="Verdana" w:cs="Arial"/>
          <w:kern w:val="2"/>
          <w:sz w:val="21"/>
          <w:szCs w:val="21"/>
          <w:lang w:val="es-ES_tradnl" w:eastAsia="es-CO"/>
          <w14:ligatures w14:val="standardContextual"/>
        </w:rPr>
        <w:t>se</w:t>
      </w:r>
      <w:r w:rsidRPr="0089683F">
        <w:rPr>
          <w:rFonts w:ascii="Verdana" w:eastAsia="Arial,Calibri" w:hAnsi="Verdana" w:cs="Arial"/>
          <w:kern w:val="2"/>
          <w:sz w:val="21"/>
          <w:szCs w:val="21"/>
          <w:lang w:val="es-ES_tradnl" w:eastAsia="es-CO"/>
          <w14:ligatures w14:val="standardContextual"/>
        </w:rPr>
        <w:t xml:space="preserve"> </w:t>
      </w:r>
      <w:r w:rsidRPr="0089683F">
        <w:rPr>
          <w:rFonts w:ascii="Verdana" w:eastAsia="Arial" w:hAnsi="Verdana" w:cs="Arial"/>
          <w:kern w:val="2"/>
          <w:sz w:val="21"/>
          <w:szCs w:val="21"/>
          <w:lang w:val="es-ES_tradnl" w:eastAsia="es-CO"/>
          <w14:ligatures w14:val="standardContextual"/>
        </w:rPr>
        <w:t>convertirán</w:t>
      </w:r>
      <w:r w:rsidRPr="0089683F">
        <w:rPr>
          <w:rFonts w:ascii="Verdana" w:eastAsia="Arial,Calibri" w:hAnsi="Verdana" w:cs="Arial"/>
          <w:kern w:val="2"/>
          <w:sz w:val="21"/>
          <w:szCs w:val="21"/>
          <w:lang w:val="es-ES_tradnl" w:eastAsia="es-CO"/>
          <w14:ligatures w14:val="standardContextual"/>
        </w:rPr>
        <w:t xml:space="preserve"> </w:t>
      </w:r>
      <w:r w:rsidRPr="0089683F">
        <w:rPr>
          <w:rFonts w:ascii="Verdana" w:eastAsia="Arial" w:hAnsi="Verdana" w:cs="Arial"/>
          <w:kern w:val="2"/>
          <w:sz w:val="21"/>
          <w:szCs w:val="21"/>
          <w:lang w:val="es-ES_tradnl" w:eastAsia="es-CO"/>
          <w14:ligatures w14:val="standardContextual"/>
        </w:rPr>
        <w:t>a</w:t>
      </w:r>
      <w:r w:rsidRPr="0089683F">
        <w:rPr>
          <w:rFonts w:ascii="Verdana" w:eastAsia="Arial,Calibri" w:hAnsi="Verdana" w:cs="Arial"/>
          <w:kern w:val="2"/>
          <w:sz w:val="21"/>
          <w:szCs w:val="21"/>
          <w:lang w:val="es-ES_tradnl" w:eastAsia="es-CO"/>
          <w14:ligatures w14:val="standardContextual"/>
        </w:rPr>
        <w:t xml:space="preserve"> </w:t>
      </w:r>
      <w:proofErr w:type="gramStart"/>
      <w:r w:rsidRPr="0089683F">
        <w:rPr>
          <w:rFonts w:ascii="Verdana" w:eastAsia="Arial" w:hAnsi="Verdana" w:cs="Arial"/>
          <w:kern w:val="2"/>
          <w:sz w:val="21"/>
          <w:szCs w:val="21"/>
          <w:lang w:val="es-ES_tradnl" w:eastAsia="es-CO"/>
          <w14:ligatures w14:val="standardContextual"/>
        </w:rPr>
        <w:t>Pesos</w:t>
      </w:r>
      <w:r w:rsidRPr="0089683F">
        <w:rPr>
          <w:rFonts w:ascii="Verdana" w:eastAsia="Arial,Calibri" w:hAnsi="Verdana" w:cs="Arial"/>
          <w:kern w:val="2"/>
          <w:sz w:val="21"/>
          <w:szCs w:val="21"/>
          <w:lang w:val="es-ES_tradnl" w:eastAsia="es-CO"/>
          <w14:ligatures w14:val="standardContextual"/>
        </w:rPr>
        <w:t xml:space="preserve"> </w:t>
      </w:r>
      <w:r w:rsidRPr="0089683F">
        <w:rPr>
          <w:rFonts w:ascii="Verdana" w:eastAsia="Arial" w:hAnsi="Verdana" w:cs="Arial"/>
          <w:kern w:val="2"/>
          <w:sz w:val="21"/>
          <w:szCs w:val="21"/>
          <w:lang w:val="es-ES_tradnl" w:eastAsia="es-CO"/>
          <w14:ligatures w14:val="standardContextual"/>
        </w:rPr>
        <w:t>Colombianos</w:t>
      </w:r>
      <w:proofErr w:type="gramEnd"/>
      <w:r w:rsidRPr="0089683F">
        <w:rPr>
          <w:rFonts w:ascii="Verdana" w:eastAsia="Arial" w:hAnsi="Verdana" w:cs="Arial"/>
          <w:kern w:val="2"/>
          <w:sz w:val="21"/>
          <w:szCs w:val="21"/>
          <w:lang w:val="es-ES_tradnl" w:eastAsia="es-CO"/>
          <w14:ligatures w14:val="standardContextual"/>
        </w:rPr>
        <w:t>,</w:t>
      </w:r>
      <w:r w:rsidRPr="0089683F">
        <w:rPr>
          <w:rFonts w:ascii="Verdana" w:eastAsia="Arial,Calibri" w:hAnsi="Verdana" w:cs="Arial"/>
          <w:kern w:val="2"/>
          <w:sz w:val="21"/>
          <w:szCs w:val="21"/>
          <w:lang w:val="es-ES_tradnl" w:eastAsia="es-CO"/>
          <w14:ligatures w14:val="standardContextual"/>
        </w:rPr>
        <w:t xml:space="preserve"> </w:t>
      </w:r>
      <w:r w:rsidRPr="0089683F">
        <w:rPr>
          <w:rFonts w:ascii="Verdana" w:eastAsia="Arial" w:hAnsi="Verdana" w:cs="Arial"/>
          <w:kern w:val="2"/>
          <w:sz w:val="21"/>
          <w:szCs w:val="21"/>
          <w:lang w:val="es-ES_tradnl" w:eastAsia="es-CO"/>
          <w14:ligatures w14:val="standardContextual"/>
        </w:rPr>
        <w:t>utilizando el valor correspondiente al promedio de la TRM de la fecha de inicio del Contrato y la TRM de la fecha de terminación del Contrato. Para esto, el Proponente deberá</w:t>
      </w:r>
      <w:r w:rsidRPr="0089683F">
        <w:rPr>
          <w:rFonts w:ascii="Verdana" w:eastAsia="Arial,Calibri" w:hAnsi="Verdana" w:cs="Arial"/>
          <w:kern w:val="2"/>
          <w:sz w:val="21"/>
          <w:szCs w:val="21"/>
          <w:lang w:val="es-ES_tradnl" w:eastAsia="es-CO"/>
          <w14:ligatures w14:val="standardContextual"/>
        </w:rPr>
        <w:t xml:space="preserve"> </w:t>
      </w:r>
      <w:r w:rsidRPr="0089683F">
        <w:rPr>
          <w:rFonts w:ascii="Verdana" w:eastAsia="Arial" w:hAnsi="Verdana" w:cs="Arial"/>
          <w:kern w:val="2"/>
          <w:sz w:val="21"/>
          <w:szCs w:val="21"/>
          <w:lang w:val="es-ES_tradnl" w:eastAsia="es-CO"/>
          <w14:ligatures w14:val="standardContextual"/>
        </w:rPr>
        <w:t>indicar</w:t>
      </w:r>
      <w:r w:rsidRPr="0089683F">
        <w:rPr>
          <w:rFonts w:ascii="Verdana" w:eastAsia="Arial,Calibri" w:hAnsi="Verdana" w:cs="Arial"/>
          <w:kern w:val="2"/>
          <w:sz w:val="21"/>
          <w:szCs w:val="21"/>
          <w:lang w:val="es-ES_tradnl" w:eastAsia="es-CO"/>
          <w14:ligatures w14:val="standardContextual"/>
        </w:rPr>
        <w:t xml:space="preserve"> </w:t>
      </w:r>
      <w:r w:rsidRPr="0089683F">
        <w:rPr>
          <w:rFonts w:ascii="Verdana" w:eastAsia="Arial" w:hAnsi="Verdana" w:cs="Arial"/>
          <w:kern w:val="2"/>
          <w:sz w:val="21"/>
          <w:szCs w:val="21"/>
          <w:lang w:val="es-ES_tradnl" w:eastAsia="es-CO"/>
          <w14:ligatures w14:val="standardContextual"/>
        </w:rPr>
        <w:t>la</w:t>
      </w:r>
      <w:r w:rsidRPr="0089683F">
        <w:rPr>
          <w:rFonts w:ascii="Verdana" w:eastAsia="Arial,Calibri" w:hAnsi="Verdana" w:cs="Arial"/>
          <w:kern w:val="2"/>
          <w:sz w:val="21"/>
          <w:szCs w:val="21"/>
          <w:lang w:val="es-ES_tradnl" w:eastAsia="es-CO"/>
          <w14:ligatures w14:val="standardContextual"/>
        </w:rPr>
        <w:t xml:space="preserve"> </w:t>
      </w:r>
      <w:r w:rsidRPr="0089683F">
        <w:rPr>
          <w:rFonts w:ascii="Verdana" w:eastAsia="Arial" w:hAnsi="Verdana" w:cs="Arial"/>
          <w:kern w:val="2"/>
          <w:sz w:val="21"/>
          <w:szCs w:val="21"/>
          <w:lang w:val="es-ES_tradnl" w:eastAsia="es-CO"/>
          <w14:ligatures w14:val="standardContextual"/>
        </w:rPr>
        <w:t>tasa</w:t>
      </w:r>
      <w:r w:rsidRPr="0089683F">
        <w:rPr>
          <w:rFonts w:ascii="Verdana" w:eastAsia="Arial,Calibri" w:hAnsi="Verdana" w:cs="Arial"/>
          <w:kern w:val="2"/>
          <w:sz w:val="21"/>
          <w:szCs w:val="21"/>
          <w:lang w:val="es-ES_tradnl" w:eastAsia="es-CO"/>
          <w14:ligatures w14:val="standardContextual"/>
        </w:rPr>
        <w:t xml:space="preserve"> </w:t>
      </w:r>
      <w:r w:rsidRPr="0089683F">
        <w:rPr>
          <w:rFonts w:ascii="Verdana" w:eastAsia="Arial" w:hAnsi="Verdana" w:cs="Arial"/>
          <w:kern w:val="2"/>
          <w:sz w:val="21"/>
          <w:szCs w:val="21"/>
          <w:lang w:val="es-ES_tradnl" w:eastAsia="es-CO"/>
          <w14:ligatures w14:val="standardContextual"/>
        </w:rPr>
        <w:t>representativa</w:t>
      </w:r>
      <w:r w:rsidRPr="0089683F">
        <w:rPr>
          <w:rFonts w:ascii="Verdana" w:eastAsia="Arial,Calibri" w:hAnsi="Verdana" w:cs="Arial"/>
          <w:kern w:val="2"/>
          <w:sz w:val="21"/>
          <w:szCs w:val="21"/>
          <w:lang w:val="es-ES_tradnl" w:eastAsia="es-CO"/>
          <w14:ligatures w14:val="standardContextual"/>
        </w:rPr>
        <w:t xml:space="preserve"> </w:t>
      </w:r>
      <w:r w:rsidRPr="0089683F">
        <w:rPr>
          <w:rFonts w:ascii="Verdana" w:eastAsia="Arial" w:hAnsi="Verdana" w:cs="Arial"/>
          <w:kern w:val="2"/>
          <w:sz w:val="21"/>
          <w:szCs w:val="21"/>
          <w:lang w:val="es-ES_tradnl" w:eastAsia="es-CO"/>
          <w14:ligatures w14:val="standardContextual"/>
        </w:rPr>
        <w:t>del</w:t>
      </w:r>
      <w:r w:rsidRPr="0089683F">
        <w:rPr>
          <w:rFonts w:ascii="Verdana" w:eastAsia="Arial,Calibri" w:hAnsi="Verdana" w:cs="Arial"/>
          <w:kern w:val="2"/>
          <w:sz w:val="21"/>
          <w:szCs w:val="21"/>
          <w:lang w:val="es-ES_tradnl" w:eastAsia="es-CO"/>
          <w14:ligatures w14:val="standardContextual"/>
        </w:rPr>
        <w:t xml:space="preserve"> </w:t>
      </w:r>
      <w:r w:rsidRPr="0089683F">
        <w:rPr>
          <w:rFonts w:ascii="Verdana" w:eastAsia="Arial" w:hAnsi="Verdana" w:cs="Arial"/>
          <w:kern w:val="2"/>
          <w:sz w:val="21"/>
          <w:szCs w:val="21"/>
          <w:lang w:val="es-ES_tradnl" w:eastAsia="es-CO"/>
          <w14:ligatures w14:val="standardContextual"/>
        </w:rPr>
        <w:t>mercado</w:t>
      </w:r>
      <w:r w:rsidRPr="0089683F">
        <w:rPr>
          <w:rFonts w:ascii="Verdana" w:eastAsia="Arial,Calibri" w:hAnsi="Verdana" w:cs="Arial"/>
          <w:kern w:val="2"/>
          <w:sz w:val="21"/>
          <w:szCs w:val="21"/>
          <w:lang w:val="es-ES_tradnl" w:eastAsia="es-CO"/>
          <w14:ligatures w14:val="standardContextual"/>
        </w:rPr>
        <w:t xml:space="preserve"> </w:t>
      </w:r>
      <w:r w:rsidRPr="0089683F">
        <w:rPr>
          <w:rFonts w:ascii="Verdana" w:eastAsia="Arial" w:hAnsi="Verdana" w:cs="Arial"/>
          <w:kern w:val="2"/>
          <w:sz w:val="21"/>
          <w:szCs w:val="21"/>
          <w:lang w:val="es-ES_tradnl" w:eastAsia="es-CO"/>
          <w14:ligatures w14:val="standardContextual"/>
        </w:rPr>
        <w:t>utilizada</w:t>
      </w:r>
      <w:r w:rsidRPr="0089683F">
        <w:rPr>
          <w:rFonts w:ascii="Verdana" w:eastAsia="Arial,Calibri" w:hAnsi="Verdana" w:cs="Arial"/>
          <w:kern w:val="2"/>
          <w:sz w:val="21"/>
          <w:szCs w:val="21"/>
          <w:lang w:val="es-ES_tradnl" w:eastAsia="es-CO"/>
          <w14:ligatures w14:val="standardContextual"/>
        </w:rPr>
        <w:t xml:space="preserve"> </w:t>
      </w:r>
      <w:r w:rsidRPr="0089683F">
        <w:rPr>
          <w:rFonts w:ascii="Verdana" w:eastAsia="Arial" w:hAnsi="Verdana" w:cs="Arial"/>
          <w:kern w:val="2"/>
          <w:sz w:val="21"/>
          <w:szCs w:val="21"/>
          <w:lang w:val="es-ES_tradnl" w:eastAsia="es-CO"/>
          <w14:ligatures w14:val="standardContextual"/>
        </w:rPr>
        <w:t>para</w:t>
      </w:r>
      <w:r w:rsidRPr="0089683F">
        <w:rPr>
          <w:rFonts w:ascii="Verdana" w:eastAsia="Arial,Calibri" w:hAnsi="Verdana" w:cs="Arial"/>
          <w:kern w:val="2"/>
          <w:sz w:val="21"/>
          <w:szCs w:val="21"/>
          <w:lang w:val="es-ES_tradnl" w:eastAsia="es-CO"/>
          <w14:ligatures w14:val="standardContextual"/>
        </w:rPr>
        <w:t xml:space="preserve"> </w:t>
      </w:r>
      <w:r w:rsidRPr="0089683F">
        <w:rPr>
          <w:rFonts w:ascii="Verdana" w:eastAsia="Arial" w:hAnsi="Verdana" w:cs="Arial"/>
          <w:kern w:val="2"/>
          <w:sz w:val="21"/>
          <w:szCs w:val="21"/>
          <w:lang w:val="es-ES_tradnl" w:eastAsia="es-CO"/>
          <w14:ligatures w14:val="standardContextual"/>
        </w:rPr>
        <w:t>la</w:t>
      </w:r>
      <w:r w:rsidRPr="0089683F">
        <w:rPr>
          <w:rFonts w:ascii="Verdana" w:eastAsia="Arial,Calibri" w:hAnsi="Verdana" w:cs="Arial"/>
          <w:kern w:val="2"/>
          <w:sz w:val="21"/>
          <w:szCs w:val="21"/>
          <w:lang w:val="es-ES_tradnl" w:eastAsia="es-CO"/>
          <w14:ligatures w14:val="standardContextual"/>
        </w:rPr>
        <w:t xml:space="preserve"> </w:t>
      </w:r>
      <w:r w:rsidRPr="0089683F">
        <w:rPr>
          <w:rFonts w:ascii="Verdana" w:eastAsia="Arial" w:hAnsi="Verdana" w:cs="Arial"/>
          <w:kern w:val="2"/>
          <w:sz w:val="21"/>
          <w:szCs w:val="21"/>
          <w:lang w:val="es-ES_tradnl" w:eastAsia="es-CO"/>
          <w14:ligatures w14:val="standardContextual"/>
        </w:rPr>
        <w:t>conversión de cada Contrato en el Formato 3 – Experiencia</w:t>
      </w:r>
      <w:r w:rsidRPr="0089683F">
        <w:rPr>
          <w:rFonts w:ascii="Verdana" w:eastAsia="Arial,Calibri" w:hAnsi="Verdana" w:cs="Arial"/>
          <w:kern w:val="2"/>
          <w:sz w:val="21"/>
          <w:szCs w:val="21"/>
          <w:lang w:val="es-ES_tradnl" w:eastAsia="es-CO"/>
          <w14:ligatures w14:val="standardContextual"/>
        </w:rPr>
        <w:t xml:space="preserve">; la TRM utilizada será la </w:t>
      </w:r>
      <w:r w:rsidRPr="0089683F">
        <w:rPr>
          <w:rFonts w:ascii="Verdana" w:eastAsia="Arial" w:hAnsi="Verdana" w:cs="Arial"/>
          <w:kern w:val="2"/>
          <w:sz w:val="21"/>
          <w:szCs w:val="21"/>
          <w:lang w:val="es-ES_tradnl" w:eastAsia="es-CO"/>
          <w14:ligatures w14:val="standardContextual"/>
        </w:rPr>
        <w:t>certificada</w:t>
      </w:r>
      <w:r w:rsidRPr="0089683F">
        <w:rPr>
          <w:rFonts w:ascii="Verdana" w:eastAsia="Arial,Calibri" w:hAnsi="Verdana" w:cs="Arial"/>
          <w:kern w:val="2"/>
          <w:sz w:val="21"/>
          <w:szCs w:val="21"/>
          <w:lang w:val="es-ES_tradnl" w:eastAsia="es-CO"/>
          <w14:ligatures w14:val="standardContextual"/>
        </w:rPr>
        <w:t xml:space="preserve"> </w:t>
      </w:r>
      <w:r w:rsidRPr="0089683F">
        <w:rPr>
          <w:rFonts w:ascii="Verdana" w:eastAsia="Arial" w:hAnsi="Verdana" w:cs="Arial"/>
          <w:kern w:val="2"/>
          <w:sz w:val="21"/>
          <w:szCs w:val="21"/>
          <w:lang w:val="es-ES_tradnl" w:eastAsia="es-CO"/>
          <w14:ligatures w14:val="standardContextual"/>
        </w:rPr>
        <w:t>por</w:t>
      </w:r>
      <w:r w:rsidRPr="0089683F">
        <w:rPr>
          <w:rFonts w:ascii="Verdana" w:eastAsia="Arial,Calibri" w:hAnsi="Verdana" w:cs="Arial"/>
          <w:kern w:val="2"/>
          <w:sz w:val="21"/>
          <w:szCs w:val="21"/>
          <w:lang w:val="es-ES_tradnl" w:eastAsia="es-CO"/>
          <w14:ligatures w14:val="standardContextual"/>
        </w:rPr>
        <w:t xml:space="preserve"> </w:t>
      </w:r>
      <w:r w:rsidRPr="0089683F">
        <w:rPr>
          <w:rFonts w:ascii="Verdana" w:eastAsia="Arial" w:hAnsi="Verdana" w:cs="Arial"/>
          <w:kern w:val="2"/>
          <w:sz w:val="21"/>
          <w:szCs w:val="21"/>
          <w:lang w:val="es-ES_tradnl" w:eastAsia="es-CO"/>
          <w14:ligatures w14:val="standardContextual"/>
        </w:rPr>
        <w:t xml:space="preserve">la Superintendencia Financiera de Colombia. </w:t>
      </w:r>
    </w:p>
    <w:p w14:paraId="04310C7E" w14:textId="77777777" w:rsidR="0089683F" w:rsidRPr="0089683F" w:rsidRDefault="0089683F" w:rsidP="0089683F">
      <w:pPr>
        <w:spacing w:after="0" w:line="240" w:lineRule="auto"/>
        <w:ind w:left="709" w:right="709"/>
        <w:jc w:val="both"/>
        <w:rPr>
          <w:rFonts w:ascii="Verdana" w:eastAsia="Aptos" w:hAnsi="Verdana" w:cs="Times New Roman"/>
          <w:kern w:val="2"/>
          <w:sz w:val="21"/>
          <w:szCs w:val="21"/>
          <w:lang w:val="es-MX"/>
          <w14:ligatures w14:val="standardContextual"/>
        </w:rPr>
      </w:pPr>
      <w:r w:rsidRPr="0089683F">
        <w:rPr>
          <w:rFonts w:ascii="Verdana" w:eastAsia="Aptos" w:hAnsi="Verdana" w:cs="Times New Roman"/>
          <w:b/>
          <w:kern w:val="2"/>
          <w:sz w:val="21"/>
          <w:szCs w:val="21"/>
          <w:lang w:val="es-MX"/>
          <w14:ligatures w14:val="standardContextual"/>
        </w:rPr>
        <w:t>Nota 3</w:t>
      </w:r>
      <w:r w:rsidRPr="0089683F">
        <w:rPr>
          <w:rFonts w:ascii="Verdana" w:eastAsia="Aptos" w:hAnsi="Verdana" w:cs="Times New Roman"/>
          <w:kern w:val="2"/>
          <w:sz w:val="21"/>
          <w:szCs w:val="21"/>
          <w:lang w:val="es-MX"/>
          <w14:ligatures w14:val="standardContextual"/>
        </w:rPr>
        <w:t>: En el caso de los proyectos de concesión ejecutados fuera del territorio nacional, la fecha de terminación será la que corresponda a la etapa de construcción y no de operación.</w:t>
      </w:r>
    </w:p>
    <w:p w14:paraId="68B8E82E" w14:textId="77777777" w:rsidR="0089683F" w:rsidRPr="0089683F" w:rsidRDefault="0089683F" w:rsidP="0089683F">
      <w:pPr>
        <w:spacing w:after="0" w:line="240" w:lineRule="auto"/>
        <w:ind w:left="709" w:right="709"/>
        <w:jc w:val="both"/>
        <w:rPr>
          <w:rFonts w:ascii="Verdana" w:eastAsia="Arial,Calibri" w:hAnsi="Verdana" w:cs="Arial"/>
          <w:kern w:val="2"/>
          <w:sz w:val="21"/>
          <w:szCs w:val="21"/>
          <w:lang w:val="es-ES_tradnl" w:eastAsia="es-CO"/>
          <w14:ligatures w14:val="standardContextual"/>
        </w:rPr>
      </w:pPr>
    </w:p>
    <w:p w14:paraId="18B02593" w14:textId="77777777" w:rsidR="0089683F" w:rsidRPr="0089683F" w:rsidRDefault="0089683F" w:rsidP="0089683F">
      <w:pPr>
        <w:numPr>
          <w:ilvl w:val="0"/>
          <w:numId w:val="21"/>
        </w:numPr>
        <w:spacing w:after="200" w:line="240" w:lineRule="auto"/>
        <w:ind w:left="709" w:right="709" w:firstLine="0"/>
        <w:contextualSpacing/>
        <w:jc w:val="both"/>
        <w:rPr>
          <w:rFonts w:ascii="Verdana" w:eastAsia="Arial,Calibri" w:hAnsi="Verdana" w:cs="Arial"/>
          <w:kern w:val="2"/>
          <w:sz w:val="21"/>
          <w:szCs w:val="21"/>
          <w:lang w:val="es-ES_tradnl" w:eastAsia="es-CO"/>
          <w14:ligatures w14:val="standardContextual"/>
        </w:rPr>
      </w:pPr>
      <w:r w:rsidRPr="0089683F">
        <w:rPr>
          <w:rFonts w:ascii="Verdana" w:eastAsia="Arial" w:hAnsi="Verdana" w:cs="Arial"/>
          <w:kern w:val="2"/>
          <w:sz w:val="21"/>
          <w:szCs w:val="21"/>
          <w:lang w:val="es-ES_tradnl" w:eastAsia="es-CO"/>
          <w14:ligatures w14:val="standardContextual"/>
        </w:rPr>
        <w:t xml:space="preserve">Si los valores del Contrato están expresados originalmente en una moneda diferente a </w:t>
      </w:r>
      <w:proofErr w:type="gramStart"/>
      <w:r w:rsidRPr="0089683F">
        <w:rPr>
          <w:rFonts w:ascii="Verdana" w:eastAsia="Arial" w:hAnsi="Verdana" w:cs="Arial"/>
          <w:kern w:val="2"/>
          <w:sz w:val="21"/>
          <w:szCs w:val="21"/>
          <w:lang w:val="es-ES_tradnl" w:eastAsia="es-CO"/>
          <w14:ligatures w14:val="standardContextual"/>
        </w:rPr>
        <w:t>Dólares</w:t>
      </w:r>
      <w:proofErr w:type="gramEnd"/>
      <w:r w:rsidRPr="0089683F">
        <w:rPr>
          <w:rFonts w:ascii="Verdana" w:eastAsia="Arial" w:hAnsi="Verdana" w:cs="Arial"/>
          <w:kern w:val="2"/>
          <w:sz w:val="21"/>
          <w:szCs w:val="21"/>
          <w:lang w:val="es-ES_tradnl" w:eastAsia="es-CO"/>
          <w14:ligatures w14:val="standardContextual"/>
        </w:rPr>
        <w:t xml:space="preserve"> de los Estados Unidos de América, estos deberán convertirse inicialmente a esta moneda, utilizando para ello el valor correspondiente al promedio de la tasa de cambio de la fecha de inicio del Contrato y la tasa de cambio de la fecha de terminación del Contrato. </w:t>
      </w:r>
      <w:r w:rsidRPr="0089683F">
        <w:rPr>
          <w:rFonts w:ascii="Verdana" w:eastAsia="Arial" w:hAnsi="Verdana" w:cs="Arial"/>
          <w:kern w:val="2"/>
          <w:sz w:val="21"/>
          <w:szCs w:val="21"/>
          <w:highlight w:val="lightGray"/>
          <w:lang w:val="es-ES_tradnl" w:eastAsia="es-CO"/>
          <w14:ligatures w14:val="standardContextual"/>
        </w:rPr>
        <w:t>[</w:t>
      </w:r>
      <w:r w:rsidRPr="0089683F">
        <w:rPr>
          <w:rFonts w:ascii="Verdana" w:eastAsia="Aptos" w:hAnsi="Verdana" w:cs="Times New Roman"/>
          <w:kern w:val="2"/>
          <w:sz w:val="21"/>
          <w:szCs w:val="21"/>
          <w:highlight w:val="lightGray"/>
          <w:lang w:val="es-MX"/>
          <w14:ligatures w14:val="standardContextual"/>
        </w:rPr>
        <w:t xml:space="preserve">Para el cálculo se recomienda acudir a la </w:t>
      </w:r>
      <w:r w:rsidRPr="0089683F">
        <w:rPr>
          <w:rFonts w:ascii="Verdana" w:eastAsia="Aptos" w:hAnsi="Verdana" w:cs="Times New Roman"/>
          <w:kern w:val="2"/>
          <w:sz w:val="21"/>
          <w:szCs w:val="21"/>
          <w:highlight w:val="lightGray"/>
          <w:lang w:val="es-MX"/>
          <w14:ligatures w14:val="standardContextual"/>
        </w:rPr>
        <w:lastRenderedPageBreak/>
        <w:t xml:space="preserve">siguiente página web: </w:t>
      </w:r>
      <w:hyperlink r:id="rId14" w:history="1">
        <w:r w:rsidRPr="0089683F">
          <w:rPr>
            <w:rFonts w:ascii="Verdana" w:eastAsia="Aptos" w:hAnsi="Verdana" w:cs="Times New Roman"/>
            <w:color w:val="467886"/>
            <w:kern w:val="2"/>
            <w:sz w:val="21"/>
            <w:szCs w:val="21"/>
            <w:highlight w:val="lightGray"/>
            <w:u w:val="single"/>
            <w:lang w:val="es-ES_tradnl"/>
            <w14:ligatures w14:val="standardContextual"/>
          </w:rPr>
          <w:t>https://www.oanda.com/currency-converter/es/</w:t>
        </w:r>
      </w:hyperlink>
      <w:r w:rsidRPr="0089683F">
        <w:rPr>
          <w:rFonts w:ascii="Verdana" w:eastAsia="Aptos" w:hAnsi="Verdana" w:cs="Times New Roman"/>
          <w:kern w:val="2"/>
          <w:sz w:val="21"/>
          <w:szCs w:val="21"/>
          <w:highlight w:val="lightGray"/>
          <w:lang w:val="es-MX"/>
          <w14:ligatures w14:val="standardContextual"/>
        </w:rPr>
        <w:t>, sin embargo, la Entidad podrá determinar el uso de cualquier otra herramienta (incluyéndola de forma precisa en esta sección), la cual deberá ser utilizada por los Proponentes para efectos de realizar el ejercicio de conversión</w:t>
      </w:r>
      <w:r w:rsidRPr="0089683F">
        <w:rPr>
          <w:rFonts w:ascii="Verdana" w:eastAsia="Aptos" w:hAnsi="Verdana" w:cs="Arial"/>
          <w:kern w:val="2"/>
          <w:sz w:val="21"/>
          <w:szCs w:val="21"/>
          <w:highlight w:val="lightGray"/>
          <w:u w:val="single"/>
          <w:lang w:val="es-ES"/>
          <w14:ligatures w14:val="standardContextual"/>
        </w:rPr>
        <w:t>]</w:t>
      </w:r>
      <w:r w:rsidRPr="0089683F">
        <w:rPr>
          <w:rFonts w:ascii="Verdana" w:eastAsia="Arial,Calibri" w:hAnsi="Verdana" w:cs="Arial"/>
          <w:kern w:val="2"/>
          <w:sz w:val="21"/>
          <w:szCs w:val="21"/>
          <w:lang w:val="es-ES_tradnl" w:eastAsia="es-CO"/>
          <w14:ligatures w14:val="standardContextual"/>
        </w:rPr>
        <w:t xml:space="preserve"> </w:t>
      </w:r>
      <w:r w:rsidRPr="0089683F">
        <w:rPr>
          <w:rFonts w:ascii="Verdana" w:eastAsia="Arial" w:hAnsi="Verdana" w:cs="Arial"/>
          <w:kern w:val="2"/>
          <w:sz w:val="21"/>
          <w:szCs w:val="21"/>
          <w:lang w:val="es-ES_tradnl" w:eastAsia="es-CO"/>
          <w14:ligatures w14:val="standardContextual"/>
        </w:rPr>
        <w:t>Hecho esto, se procederá en la forma señalada en el numeral anterior.</w:t>
      </w:r>
      <w:r w:rsidRPr="0089683F">
        <w:rPr>
          <w:rFonts w:ascii="Verdana" w:eastAsia="Arial,Calibri" w:hAnsi="Verdana" w:cs="Arial"/>
          <w:kern w:val="2"/>
          <w:sz w:val="21"/>
          <w:szCs w:val="21"/>
          <w:lang w:val="es-ES_tradnl" w:eastAsia="es-CO"/>
          <w14:ligatures w14:val="standardContextual"/>
        </w:rPr>
        <w:t xml:space="preserve"> </w:t>
      </w:r>
    </w:p>
    <w:p w14:paraId="389E2B5B" w14:textId="77777777" w:rsidR="0089683F" w:rsidRPr="0089683F" w:rsidRDefault="0089683F" w:rsidP="0089683F">
      <w:pPr>
        <w:spacing w:after="0" w:line="240" w:lineRule="auto"/>
        <w:ind w:left="709" w:right="709"/>
        <w:contextualSpacing/>
        <w:rPr>
          <w:rFonts w:ascii="Verdana" w:eastAsia="Arial,Calibri" w:hAnsi="Verdana" w:cs="Arial"/>
          <w:kern w:val="2"/>
          <w:sz w:val="21"/>
          <w:szCs w:val="21"/>
          <w:lang w:val="es-ES_tradnl" w:eastAsia="es-CO"/>
          <w14:ligatures w14:val="standardContextual"/>
        </w:rPr>
      </w:pPr>
    </w:p>
    <w:p w14:paraId="26F20951" w14:textId="77777777" w:rsidR="0089683F" w:rsidRPr="0089683F" w:rsidRDefault="0089683F" w:rsidP="0089683F">
      <w:pPr>
        <w:numPr>
          <w:ilvl w:val="0"/>
          <w:numId w:val="21"/>
        </w:numPr>
        <w:spacing w:after="200" w:line="240" w:lineRule="auto"/>
        <w:ind w:left="709" w:right="709" w:firstLine="0"/>
        <w:contextualSpacing/>
        <w:jc w:val="both"/>
        <w:rPr>
          <w:rFonts w:ascii="Verdana" w:eastAsia="Arial" w:hAnsi="Verdana" w:cs="Arial"/>
          <w:kern w:val="2"/>
          <w:sz w:val="21"/>
          <w:szCs w:val="21"/>
          <w:lang w:val="es-ES_tradnl" w:eastAsia="es-CO"/>
          <w14:ligatures w14:val="standardContextual"/>
        </w:rPr>
      </w:pPr>
      <w:r w:rsidRPr="0089683F">
        <w:rPr>
          <w:rFonts w:ascii="Verdana" w:eastAsia="Arial" w:hAnsi="Verdana" w:cs="Arial"/>
          <w:kern w:val="2"/>
          <w:sz w:val="21"/>
          <w:szCs w:val="21"/>
          <w:lang w:val="es-ES_tradnl" w:eastAsia="es-CO"/>
          <w14:ligatures w14:val="standardContextual"/>
        </w:rPr>
        <w:t xml:space="preserve">Si los valores de los estados financieros están expresados originalmente en </w:t>
      </w:r>
      <w:proofErr w:type="gramStart"/>
      <w:r w:rsidRPr="0089683F">
        <w:rPr>
          <w:rFonts w:ascii="Verdana" w:eastAsia="Arial" w:hAnsi="Verdana" w:cs="Arial"/>
          <w:kern w:val="2"/>
          <w:sz w:val="21"/>
          <w:szCs w:val="21"/>
          <w:lang w:val="es-ES_tradnl" w:eastAsia="es-CO"/>
          <w14:ligatures w14:val="standardContextual"/>
        </w:rPr>
        <w:t>Dólares</w:t>
      </w:r>
      <w:proofErr w:type="gramEnd"/>
      <w:r w:rsidRPr="0089683F">
        <w:rPr>
          <w:rFonts w:ascii="Verdana" w:eastAsia="Arial" w:hAnsi="Verdana" w:cs="Arial"/>
          <w:kern w:val="2"/>
          <w:sz w:val="21"/>
          <w:szCs w:val="21"/>
          <w:lang w:val="es-ES_tradnl" w:eastAsia="es-CO"/>
          <w14:ligatures w14:val="standardContextual"/>
        </w:rPr>
        <w:t xml:space="preserve"> de los Estados Unidos de América, el Proponente y la Entidad tendrán en cuenta la tasa representativa del mercado vigente certificada por la Superintendencia Financiera de Colombia de la fecha de corte de los Estados Financieros.</w:t>
      </w:r>
    </w:p>
    <w:p w14:paraId="2E5C384D" w14:textId="77777777" w:rsidR="0089683F" w:rsidRPr="0089683F" w:rsidRDefault="0089683F" w:rsidP="0089683F">
      <w:pPr>
        <w:spacing w:after="0" w:line="240" w:lineRule="auto"/>
        <w:ind w:left="709" w:right="709"/>
        <w:contextualSpacing/>
        <w:rPr>
          <w:rFonts w:ascii="Verdana" w:eastAsia="Arial" w:hAnsi="Verdana" w:cs="Arial"/>
          <w:kern w:val="2"/>
          <w:sz w:val="21"/>
          <w:szCs w:val="21"/>
          <w:lang w:val="es-ES_tradnl" w:eastAsia="es-CO"/>
          <w14:ligatures w14:val="standardContextual"/>
        </w:rPr>
      </w:pPr>
    </w:p>
    <w:p w14:paraId="22E8AD94" w14:textId="77777777" w:rsidR="0089683F" w:rsidRPr="0089683F" w:rsidRDefault="0089683F" w:rsidP="0089683F">
      <w:pPr>
        <w:numPr>
          <w:ilvl w:val="0"/>
          <w:numId w:val="21"/>
        </w:numPr>
        <w:spacing w:after="0" w:line="240" w:lineRule="auto"/>
        <w:ind w:left="709" w:right="709" w:firstLine="0"/>
        <w:contextualSpacing/>
        <w:jc w:val="both"/>
        <w:rPr>
          <w:rFonts w:ascii="Verdana" w:eastAsia="Arial,Calibri" w:hAnsi="Verdana" w:cs="Arial"/>
          <w:kern w:val="2"/>
          <w:sz w:val="21"/>
          <w:szCs w:val="21"/>
          <w:lang w:val="es-ES_tradnl" w:eastAsia="es-CO"/>
          <w14:ligatures w14:val="standardContextual"/>
        </w:rPr>
      </w:pPr>
      <w:r w:rsidRPr="0089683F">
        <w:rPr>
          <w:rFonts w:ascii="Verdana" w:eastAsia="Arial" w:hAnsi="Verdana" w:cs="Arial"/>
          <w:kern w:val="2"/>
          <w:sz w:val="21"/>
          <w:szCs w:val="21"/>
          <w:lang w:val="es-ES_tradnl" w:eastAsia="es-CO"/>
          <w14:ligatures w14:val="standardContextual"/>
        </w:rPr>
        <w:t xml:space="preserve">Si los valores de los Estados Financieros están expresados originalmente en una moneda diferente a </w:t>
      </w:r>
      <w:proofErr w:type="gramStart"/>
      <w:r w:rsidRPr="0089683F">
        <w:rPr>
          <w:rFonts w:ascii="Verdana" w:eastAsia="Arial" w:hAnsi="Verdana" w:cs="Arial"/>
          <w:kern w:val="2"/>
          <w:sz w:val="21"/>
          <w:szCs w:val="21"/>
          <w:lang w:val="es-ES_tradnl" w:eastAsia="es-CO"/>
          <w14:ligatures w14:val="standardContextual"/>
        </w:rPr>
        <w:t>Dólares</w:t>
      </w:r>
      <w:proofErr w:type="gramEnd"/>
      <w:r w:rsidRPr="0089683F">
        <w:rPr>
          <w:rFonts w:ascii="Verdana" w:eastAsia="Arial" w:hAnsi="Verdana" w:cs="Arial"/>
          <w:kern w:val="2"/>
          <w:sz w:val="21"/>
          <w:szCs w:val="21"/>
          <w:lang w:val="es-ES_tradnl" w:eastAsia="es-CO"/>
          <w14:ligatures w14:val="standardContextual"/>
        </w:rPr>
        <w:t xml:space="preserve"> de los Estados Unidos de América</w:t>
      </w:r>
      <w:r w:rsidRPr="0089683F">
        <w:rPr>
          <w:rFonts w:ascii="Verdana" w:eastAsia="Arial,Calibri" w:hAnsi="Verdana" w:cs="Arial"/>
          <w:kern w:val="2"/>
          <w:sz w:val="21"/>
          <w:szCs w:val="21"/>
          <w:lang w:val="es-ES_tradnl" w:eastAsia="es-CO"/>
          <w14:ligatures w14:val="standardContextual"/>
        </w:rPr>
        <w:t xml:space="preserve">, </w:t>
      </w:r>
      <w:r w:rsidRPr="0089683F">
        <w:rPr>
          <w:rFonts w:ascii="Verdana" w:eastAsia="Arial" w:hAnsi="Verdana" w:cs="Arial"/>
          <w:kern w:val="2"/>
          <w:sz w:val="21"/>
          <w:szCs w:val="21"/>
          <w:lang w:val="es-ES_tradnl" w:eastAsia="es-CO"/>
          <w14:ligatures w14:val="standardContextual"/>
        </w:rPr>
        <w:t xml:space="preserve">estos deben convertirse inicialmente a </w:t>
      </w:r>
      <w:proofErr w:type="gramStart"/>
      <w:r w:rsidRPr="0089683F">
        <w:rPr>
          <w:rFonts w:ascii="Verdana" w:eastAsia="Arial" w:hAnsi="Verdana" w:cs="Arial"/>
          <w:kern w:val="2"/>
          <w:sz w:val="21"/>
          <w:szCs w:val="21"/>
          <w:lang w:val="es-ES_tradnl" w:eastAsia="es-CO"/>
          <w14:ligatures w14:val="standardContextual"/>
        </w:rPr>
        <w:t>Dólares</w:t>
      </w:r>
      <w:proofErr w:type="gramEnd"/>
      <w:r w:rsidRPr="0089683F">
        <w:rPr>
          <w:rFonts w:ascii="Verdana" w:eastAsia="Arial" w:hAnsi="Verdana" w:cs="Arial"/>
          <w:kern w:val="2"/>
          <w:sz w:val="21"/>
          <w:szCs w:val="21"/>
          <w:lang w:val="es-ES_tradnl" w:eastAsia="es-CO"/>
          <w14:ligatures w14:val="standardContextual"/>
        </w:rPr>
        <w:t xml:space="preserve"> de los Estados Unidos de América utilizando para ello el valor correspondiente a la fecha de expedición de los estados financieros. [</w:t>
      </w:r>
      <w:r w:rsidRPr="0089683F">
        <w:rPr>
          <w:rFonts w:ascii="Verdana" w:eastAsia="Arial" w:hAnsi="Verdana" w:cs="Arial"/>
          <w:kern w:val="2"/>
          <w:sz w:val="21"/>
          <w:szCs w:val="21"/>
          <w:shd w:val="clear" w:color="auto" w:fill="D9D9D9"/>
          <w:lang w:val="es-ES_tradnl" w:eastAsia="es-CO"/>
          <w14:ligatures w14:val="standardContextual"/>
        </w:rPr>
        <w:t>Para verificar la tasa de cambio entre la moneda</w:t>
      </w:r>
      <w:r w:rsidRPr="0089683F">
        <w:rPr>
          <w:rFonts w:ascii="Verdana" w:eastAsia="Arial,Calibri" w:hAnsi="Verdana" w:cs="Arial"/>
          <w:kern w:val="2"/>
          <w:sz w:val="21"/>
          <w:szCs w:val="21"/>
          <w:shd w:val="clear" w:color="auto" w:fill="D9D9D9"/>
          <w:lang w:val="es-ES_tradnl" w:eastAsia="es-CO"/>
          <w14:ligatures w14:val="standardContextual"/>
        </w:rPr>
        <w:t xml:space="preserve"> </w:t>
      </w:r>
      <w:r w:rsidRPr="0089683F">
        <w:rPr>
          <w:rFonts w:ascii="Verdana" w:eastAsia="Arial" w:hAnsi="Verdana" w:cs="Arial"/>
          <w:kern w:val="2"/>
          <w:sz w:val="21"/>
          <w:szCs w:val="21"/>
          <w:shd w:val="clear" w:color="auto" w:fill="D9D9D9"/>
          <w:lang w:val="es-ES_tradnl" w:eastAsia="es-CO"/>
          <w14:ligatures w14:val="standardContextual"/>
        </w:rPr>
        <w:t xml:space="preserve">y los Dólares de los Estados Unidos de América, se recomienda al Proponente utilizar la página web </w:t>
      </w:r>
      <w:hyperlink r:id="rId15" w:history="1">
        <w:r w:rsidRPr="0089683F">
          <w:rPr>
            <w:rFonts w:ascii="Verdana" w:eastAsia="Arial" w:hAnsi="Verdana" w:cs="Arial"/>
            <w:color w:val="467886"/>
            <w:kern w:val="2"/>
            <w:sz w:val="21"/>
            <w:szCs w:val="21"/>
            <w:u w:val="single"/>
            <w:shd w:val="clear" w:color="auto" w:fill="D9D9D9"/>
            <w:lang w:val="es-ES_tradnl" w:eastAsia="es-CO"/>
            <w14:ligatures w14:val="standardContextual"/>
          </w:rPr>
          <w:t>https://www.oanda.com/currency-converter/es/</w:t>
        </w:r>
      </w:hyperlink>
      <w:r w:rsidRPr="0089683F">
        <w:rPr>
          <w:rFonts w:ascii="Verdana" w:eastAsia="Aptos" w:hAnsi="Verdana" w:cs="Times New Roman"/>
          <w:kern w:val="2"/>
          <w:sz w:val="21"/>
          <w:szCs w:val="21"/>
          <w:lang w:val="es-ES_tradnl"/>
          <w14:ligatures w14:val="standardContextual"/>
        </w:rPr>
        <w:t xml:space="preserve"> ,</w:t>
      </w:r>
      <w:r w:rsidRPr="0089683F">
        <w:rPr>
          <w:rFonts w:ascii="Verdana" w:eastAsia="Aptos" w:hAnsi="Verdana" w:cs="Times New Roman"/>
          <w:kern w:val="2"/>
          <w:sz w:val="21"/>
          <w:szCs w:val="21"/>
          <w:highlight w:val="lightGray"/>
          <w:lang w:val="es-MX"/>
          <w14:ligatures w14:val="standardContextual"/>
        </w:rPr>
        <w:t>sin embargo, la Entidad podrá determinar el uso de cualquier otra herramienta, la cual deberá ser utilizada por los Proponentes para efectos de realizar el ejercicio de conversión en el marco del proceso</w:t>
      </w:r>
      <w:r w:rsidRPr="0089683F">
        <w:rPr>
          <w:rFonts w:ascii="Verdana" w:eastAsia="Aptos" w:hAnsi="Verdana" w:cs="Arial"/>
          <w:kern w:val="2"/>
          <w:sz w:val="21"/>
          <w:szCs w:val="21"/>
          <w:highlight w:val="lightGray"/>
          <w:u w:val="single"/>
          <w:shd w:val="clear" w:color="auto" w:fill="D9D9D9"/>
          <w:lang w:val="es-ES"/>
          <w14:ligatures w14:val="standardContextual"/>
        </w:rPr>
        <w:t>]</w:t>
      </w:r>
      <w:r w:rsidRPr="0089683F">
        <w:rPr>
          <w:rFonts w:ascii="Verdana" w:eastAsia="Arial,Calibri" w:hAnsi="Verdana" w:cs="Arial"/>
          <w:kern w:val="2"/>
          <w:sz w:val="21"/>
          <w:szCs w:val="21"/>
          <w:lang w:val="es-ES_tradnl" w:eastAsia="es-CO"/>
          <w14:ligatures w14:val="standardContextual"/>
        </w:rPr>
        <w:t xml:space="preserve"> </w:t>
      </w:r>
      <w:r w:rsidRPr="0089683F">
        <w:rPr>
          <w:rFonts w:ascii="Verdana" w:eastAsia="Arial" w:hAnsi="Verdana" w:cs="Arial"/>
          <w:kern w:val="2"/>
          <w:sz w:val="21"/>
          <w:szCs w:val="21"/>
          <w:lang w:val="es-ES_tradnl" w:eastAsia="es-CO"/>
          <w14:ligatures w14:val="standardContextual"/>
        </w:rPr>
        <w:t>Hecho esto se procederá en la forma señalada en el numeral III.</w:t>
      </w:r>
    </w:p>
    <w:p w14:paraId="5357C4CE" w14:textId="77777777" w:rsidR="0089683F" w:rsidRPr="0089683F" w:rsidRDefault="0089683F" w:rsidP="0089683F">
      <w:pPr>
        <w:spacing w:after="0" w:line="276" w:lineRule="auto"/>
        <w:jc w:val="both"/>
        <w:rPr>
          <w:rFonts w:ascii="Verdana" w:eastAsia="Aptos" w:hAnsi="Verdana" w:cs="Aptos"/>
          <w:kern w:val="2"/>
          <w:lang w:val="es-ES_tradnl"/>
          <w14:ligatures w14:val="standardContextual"/>
        </w:rPr>
      </w:pPr>
    </w:p>
    <w:p w14:paraId="6925FBF5" w14:textId="77777777" w:rsidR="0089683F" w:rsidRPr="0089683F" w:rsidRDefault="0089683F" w:rsidP="0089683F">
      <w:pPr>
        <w:spacing w:after="0" w:line="276" w:lineRule="auto"/>
        <w:ind w:firstLine="709"/>
        <w:jc w:val="both"/>
        <w:rPr>
          <w:rFonts w:ascii="Verdana" w:eastAsia="Aptos" w:hAnsi="Verdana" w:cs="Aptos"/>
          <w:kern w:val="2"/>
          <w:lang w:val="es-ES_tradnl"/>
          <w14:ligatures w14:val="standardContextual"/>
        </w:rPr>
      </w:pPr>
      <w:r w:rsidRPr="0089683F">
        <w:rPr>
          <w:rFonts w:ascii="Verdana" w:eastAsia="Aptos" w:hAnsi="Verdana" w:cs="Aptos"/>
          <w:kern w:val="2"/>
          <w:lang w:val="es-ES_tradnl"/>
          <w14:ligatures w14:val="standardContextual"/>
        </w:rPr>
        <w:t xml:space="preserve">Por otra parte, en lo que se refiere a la acreditación de la experiencia en su solicitud, debe advertirse que la actividad 1.2 de la Matriz 1 – Experiencia de los documentos tipo de selección abreviada de menor cuantía – sector institucional, se trata de: </w:t>
      </w:r>
      <w:r w:rsidRPr="0089683F">
        <w:rPr>
          <w:rFonts w:ascii="Verdana" w:eastAsia="Aptos" w:hAnsi="Verdana" w:cs="Aptos"/>
          <w:i/>
          <w:iCs/>
          <w:kern w:val="2"/>
          <w:lang w:val="es-ES_tradnl"/>
          <w14:ligatures w14:val="standardContextual"/>
        </w:rPr>
        <w:t>“PROYECTOS DE ADECUACIÓN Y/O CONSERVACIÓN Y/O INTERVENCIÓN Y/O INSTALACIÓN Y/O MANTENIMIENTO Y/O MEJORAMIENTO Y/O MODIFICACIÓN U OPTIMIZACIÓN Y/O REHABILITACIÓN Y/O REMODELACIÓN Y/O REPOSICIÓN Y/O REPARACIÓN LOCATIVA Y/O RESTAURACIÓN Y/O RESTITUCIÓN Y/O TERMINACIÓN DE INFRAESTRUCTURA DE SEGURIDAD PÚBLICA”.</w:t>
      </w:r>
      <w:r w:rsidRPr="0089683F">
        <w:rPr>
          <w:rFonts w:ascii="Verdana" w:eastAsia="Aptos" w:hAnsi="Verdana" w:cs="Aptos"/>
          <w:kern w:val="2"/>
          <w:lang w:val="es-ES_tradnl"/>
          <w14:ligatures w14:val="standardContextual"/>
        </w:rPr>
        <w:t xml:space="preserve"> Al respecto, se solicita la siguiente experiencia:</w:t>
      </w:r>
    </w:p>
    <w:p w14:paraId="713FE022" w14:textId="77777777" w:rsidR="0089683F" w:rsidRPr="0089683F" w:rsidRDefault="0089683F" w:rsidP="0089683F">
      <w:pPr>
        <w:spacing w:after="0" w:line="276" w:lineRule="auto"/>
        <w:ind w:firstLine="708"/>
        <w:jc w:val="both"/>
        <w:rPr>
          <w:rFonts w:ascii="Verdana" w:eastAsia="Aptos" w:hAnsi="Verdana" w:cs="Aptos"/>
          <w:kern w:val="2"/>
          <w:lang w:val="es-ES_tradnl"/>
          <w14:ligatures w14:val="standardContextual"/>
        </w:rPr>
      </w:pPr>
    </w:p>
    <w:p w14:paraId="3A867B67" w14:textId="77777777" w:rsidR="0089683F" w:rsidRPr="0089683F" w:rsidRDefault="0089683F" w:rsidP="0089683F">
      <w:pPr>
        <w:spacing w:after="0" w:line="276" w:lineRule="auto"/>
        <w:ind w:firstLine="708"/>
        <w:jc w:val="both"/>
        <w:rPr>
          <w:rFonts w:ascii="Verdana" w:eastAsia="Aptos" w:hAnsi="Verdana" w:cs="Aptos"/>
          <w:b/>
          <w:bCs/>
          <w:kern w:val="2"/>
          <w:u w:val="single"/>
          <w:lang w:val="es-ES_tradnl"/>
          <w14:ligatures w14:val="standardContextual"/>
        </w:rPr>
      </w:pPr>
      <w:r w:rsidRPr="0089683F">
        <w:rPr>
          <w:rFonts w:ascii="Verdana" w:eastAsia="Aptos" w:hAnsi="Verdana" w:cs="Aptos"/>
          <w:b/>
          <w:bCs/>
          <w:kern w:val="2"/>
          <w:u w:val="single"/>
          <w:lang w:val="es-ES_tradnl"/>
          <w14:ligatures w14:val="standardContextual"/>
        </w:rPr>
        <w:t>General:</w:t>
      </w:r>
    </w:p>
    <w:p w14:paraId="5438EC6B" w14:textId="77777777" w:rsidR="0089683F" w:rsidRPr="0089683F" w:rsidRDefault="0089683F" w:rsidP="0089683F">
      <w:pPr>
        <w:spacing w:after="0" w:line="276" w:lineRule="auto"/>
        <w:ind w:firstLine="708"/>
        <w:jc w:val="both"/>
        <w:rPr>
          <w:rFonts w:ascii="Verdana" w:eastAsia="Aptos" w:hAnsi="Verdana" w:cs="Aptos"/>
          <w:b/>
          <w:bCs/>
          <w:kern w:val="2"/>
          <w:u w:val="single"/>
          <w:lang w:val="es-ES_tradnl"/>
          <w14:ligatures w14:val="standardContextual"/>
        </w:rPr>
      </w:pPr>
    </w:p>
    <w:p w14:paraId="26D2A215" w14:textId="77777777" w:rsidR="0089683F" w:rsidRPr="0089683F" w:rsidRDefault="0089683F" w:rsidP="0089683F">
      <w:pPr>
        <w:spacing w:after="0" w:line="276" w:lineRule="auto"/>
        <w:ind w:left="708"/>
        <w:jc w:val="both"/>
        <w:rPr>
          <w:rFonts w:ascii="Verdana" w:eastAsia="Aptos" w:hAnsi="Verdana" w:cs="Aptos"/>
          <w:i/>
          <w:iCs/>
          <w:kern w:val="2"/>
          <w:sz w:val="21"/>
          <w:szCs w:val="21"/>
          <w:lang w:val="es-ES_tradnl"/>
          <w14:ligatures w14:val="standardContextual"/>
        </w:rPr>
      </w:pPr>
      <w:r w:rsidRPr="0089683F">
        <w:rPr>
          <w:rFonts w:ascii="Verdana" w:eastAsia="Aptos" w:hAnsi="Verdana" w:cs="Aptos"/>
          <w:i/>
          <w:iCs/>
          <w:kern w:val="2"/>
          <w:sz w:val="21"/>
          <w:szCs w:val="21"/>
          <w:lang w:val="es-ES_tradnl"/>
          <w14:ligatures w14:val="standardContextual"/>
        </w:rPr>
        <w:t xml:space="preserve">PROYECTOS QUE CORRESPONDAN Y/O CONTEMPLEN ACTIVIDADES DE: CONSTRUCCIÓN Y/O AMPLIACIÓN Y/O RECONSTRUCCIÓN Y/O ADECUACIÓN Y/O CONSERVACIÓN Y/O INTERVENCIÓN Y/O INSTALACIÓN Y/O </w:t>
      </w:r>
      <w:r w:rsidRPr="0089683F">
        <w:rPr>
          <w:rFonts w:ascii="Verdana" w:eastAsia="Aptos" w:hAnsi="Verdana" w:cs="Aptos"/>
          <w:i/>
          <w:iCs/>
          <w:kern w:val="2"/>
          <w:sz w:val="21"/>
          <w:szCs w:val="21"/>
          <w:lang w:val="es-ES_tradnl"/>
          <w14:ligatures w14:val="standardContextual"/>
        </w:rPr>
        <w:lastRenderedPageBreak/>
        <w:t xml:space="preserve">MANTENIMIENTO Y/O MEJORAMIENTO Y/O MODIFICACIÓN U OPTIMIZACIÓN Y/O REINSTALACIÓN Y/O REHABILITACIÓN Y/O REMODELACIÓN Y/O REPOSICIÓN Y/O REPARACIÓN LOCATIVA Y/O RESTAURACIÓN Y/O RESTITUCIÓN Y/O SUSTITUCIÓN Y/O </w:t>
      </w:r>
      <w:proofErr w:type="gramStart"/>
      <w:r w:rsidRPr="0089683F">
        <w:rPr>
          <w:rFonts w:ascii="Verdana" w:eastAsia="Aptos" w:hAnsi="Verdana" w:cs="Aptos"/>
          <w:i/>
          <w:iCs/>
          <w:kern w:val="2"/>
          <w:sz w:val="21"/>
          <w:szCs w:val="21"/>
          <w:lang w:val="es-ES_tradnl"/>
          <w14:ligatures w14:val="standardContextual"/>
        </w:rPr>
        <w:t>TERMINACIÓN  DE</w:t>
      </w:r>
      <w:proofErr w:type="gramEnd"/>
      <w:r w:rsidRPr="0089683F">
        <w:rPr>
          <w:rFonts w:ascii="Verdana" w:eastAsia="Aptos" w:hAnsi="Verdana" w:cs="Aptos"/>
          <w:i/>
          <w:iCs/>
          <w:kern w:val="2"/>
          <w:sz w:val="21"/>
          <w:szCs w:val="21"/>
          <w:lang w:val="es-ES_tradnl"/>
          <w14:ligatures w14:val="standardContextual"/>
        </w:rPr>
        <w:t xml:space="preserve">  EDIFICACIONES.</w:t>
      </w:r>
    </w:p>
    <w:p w14:paraId="79A0D7F7" w14:textId="77777777" w:rsidR="0089683F" w:rsidRPr="0089683F" w:rsidRDefault="0089683F" w:rsidP="0089683F">
      <w:pPr>
        <w:spacing w:after="0" w:line="276" w:lineRule="auto"/>
        <w:ind w:left="708"/>
        <w:jc w:val="both"/>
        <w:rPr>
          <w:rFonts w:ascii="Verdana" w:eastAsia="Aptos" w:hAnsi="Verdana" w:cs="Aptos"/>
          <w:kern w:val="2"/>
          <w:lang w:val="es-ES_tradnl"/>
          <w14:ligatures w14:val="standardContextual"/>
        </w:rPr>
      </w:pPr>
      <w:r w:rsidRPr="0089683F">
        <w:rPr>
          <w:rFonts w:ascii="Verdana" w:eastAsia="Aptos" w:hAnsi="Verdana" w:cs="Aptos"/>
          <w:kern w:val="2"/>
          <w:lang w:val="es-ES_tradnl"/>
          <w14:ligatures w14:val="standardContextual"/>
        </w:rPr>
        <w:t xml:space="preserve"> </w:t>
      </w:r>
    </w:p>
    <w:p w14:paraId="2A8A24DB" w14:textId="77777777" w:rsidR="0089683F" w:rsidRPr="0089683F" w:rsidRDefault="0089683F" w:rsidP="0089683F">
      <w:pPr>
        <w:spacing w:after="0" w:line="276" w:lineRule="auto"/>
        <w:ind w:firstLine="708"/>
        <w:jc w:val="both"/>
        <w:rPr>
          <w:rFonts w:ascii="Verdana" w:eastAsia="Aptos" w:hAnsi="Verdana" w:cs="Aptos"/>
          <w:b/>
          <w:bCs/>
          <w:kern w:val="2"/>
          <w:u w:val="single"/>
          <w:lang w:val="es-ES_tradnl"/>
          <w14:ligatures w14:val="standardContextual"/>
        </w:rPr>
      </w:pPr>
      <w:r w:rsidRPr="0089683F">
        <w:rPr>
          <w:rFonts w:ascii="Verdana" w:eastAsia="Aptos" w:hAnsi="Verdana" w:cs="Aptos"/>
          <w:b/>
          <w:bCs/>
          <w:kern w:val="2"/>
          <w:u w:val="single"/>
          <w:lang w:val="es-ES_tradnl"/>
          <w14:ligatures w14:val="standardContextual"/>
        </w:rPr>
        <w:t>Específica:</w:t>
      </w:r>
    </w:p>
    <w:p w14:paraId="10B49E6F" w14:textId="77777777" w:rsidR="0089683F" w:rsidRPr="0089683F" w:rsidRDefault="0089683F" w:rsidP="0089683F">
      <w:pPr>
        <w:spacing w:after="0" w:line="276" w:lineRule="auto"/>
        <w:jc w:val="both"/>
        <w:rPr>
          <w:rFonts w:ascii="Verdana" w:eastAsia="Aptos" w:hAnsi="Verdana" w:cs="Aptos"/>
          <w:kern w:val="2"/>
          <w:lang w:val="es-ES_tradnl"/>
          <w14:ligatures w14:val="standardContextual"/>
        </w:rPr>
      </w:pPr>
    </w:p>
    <w:p w14:paraId="7C2EB6A0" w14:textId="77777777" w:rsidR="0089683F" w:rsidRPr="0089683F" w:rsidRDefault="0089683F" w:rsidP="0089683F">
      <w:pPr>
        <w:spacing w:after="0" w:line="276" w:lineRule="auto"/>
        <w:ind w:left="708"/>
        <w:jc w:val="both"/>
        <w:rPr>
          <w:rFonts w:ascii="Verdana" w:eastAsia="Aptos" w:hAnsi="Verdana" w:cs="Aptos"/>
          <w:i/>
          <w:iCs/>
          <w:kern w:val="2"/>
          <w:sz w:val="21"/>
          <w:szCs w:val="21"/>
          <w:lang w:val="es-ES_tradnl"/>
          <w14:ligatures w14:val="standardContextual"/>
        </w:rPr>
      </w:pPr>
      <w:r w:rsidRPr="0089683F">
        <w:rPr>
          <w:rFonts w:ascii="Verdana" w:eastAsia="Aptos" w:hAnsi="Verdana" w:cs="Aptos"/>
          <w:i/>
          <w:iCs/>
          <w:kern w:val="2"/>
          <w:sz w:val="21"/>
          <w:szCs w:val="21"/>
          <w:lang w:val="es-ES_tradnl"/>
          <w14:ligatures w14:val="standardContextual"/>
        </w:rPr>
        <w:t>Por lo menos uno (1) de los contratos válidos aportados como experiencia general debe contemplar un área intervenida o construida igual o superior al (F%) del total de metros cuadrados del proceso de selección, el cual corresponde a [la entidad indicará los metros cuadrados para el proceso de selección].</w:t>
      </w:r>
    </w:p>
    <w:p w14:paraId="27212212" w14:textId="77777777" w:rsidR="0089683F" w:rsidRPr="0089683F" w:rsidRDefault="0089683F" w:rsidP="0089683F">
      <w:pPr>
        <w:spacing w:after="0" w:line="276" w:lineRule="auto"/>
        <w:ind w:left="708"/>
        <w:jc w:val="both"/>
        <w:rPr>
          <w:rFonts w:ascii="Verdana" w:eastAsia="Aptos" w:hAnsi="Verdana" w:cs="Aptos"/>
          <w:i/>
          <w:iCs/>
          <w:kern w:val="2"/>
          <w:lang w:val="es-ES_tradnl"/>
          <w14:ligatures w14:val="standardContextual"/>
        </w:rPr>
      </w:pPr>
    </w:p>
    <w:p w14:paraId="3D24CF73" w14:textId="77777777" w:rsidR="0089683F" w:rsidRPr="0089683F" w:rsidRDefault="0089683F" w:rsidP="0089683F">
      <w:pPr>
        <w:spacing w:after="0" w:line="276" w:lineRule="auto"/>
        <w:ind w:firstLine="708"/>
        <w:jc w:val="both"/>
        <w:rPr>
          <w:rFonts w:ascii="Verdana" w:eastAsia="Aptos" w:hAnsi="Verdana" w:cs="Aptos"/>
          <w:b/>
          <w:bCs/>
          <w:kern w:val="2"/>
          <w:u w:val="single"/>
          <w:lang w:val="es-ES_tradnl"/>
          <w14:ligatures w14:val="standardContextual"/>
        </w:rPr>
      </w:pPr>
      <w:r w:rsidRPr="0089683F">
        <w:rPr>
          <w:rFonts w:ascii="Verdana" w:eastAsia="Aptos" w:hAnsi="Verdana" w:cs="Aptos"/>
          <w:b/>
          <w:bCs/>
          <w:kern w:val="2"/>
          <w:u w:val="single"/>
          <w:lang w:val="es-ES_tradnl"/>
          <w14:ligatures w14:val="standardContextual"/>
        </w:rPr>
        <w:t>Dimensionamiento:</w:t>
      </w:r>
    </w:p>
    <w:p w14:paraId="4837507C" w14:textId="77777777" w:rsidR="0089683F" w:rsidRPr="0089683F" w:rsidRDefault="0089683F" w:rsidP="0089683F">
      <w:pPr>
        <w:spacing w:after="0" w:line="276" w:lineRule="auto"/>
        <w:jc w:val="both"/>
        <w:rPr>
          <w:rFonts w:ascii="Verdana" w:eastAsia="Aptos" w:hAnsi="Verdana" w:cs="Aptos"/>
          <w:kern w:val="2"/>
          <w:lang w:val="es-ES_tradnl"/>
          <w14:ligatures w14:val="standardContextual"/>
        </w:rPr>
      </w:pPr>
    </w:p>
    <w:p w14:paraId="0D17797F" w14:textId="77777777" w:rsidR="0089683F" w:rsidRPr="0089683F" w:rsidRDefault="0089683F" w:rsidP="0089683F">
      <w:pPr>
        <w:spacing w:after="0" w:line="276" w:lineRule="auto"/>
        <w:ind w:left="708"/>
        <w:jc w:val="both"/>
        <w:rPr>
          <w:rFonts w:ascii="Verdana" w:eastAsia="Aptos" w:hAnsi="Verdana" w:cs="Aptos"/>
          <w:kern w:val="2"/>
          <w:sz w:val="21"/>
          <w:szCs w:val="21"/>
          <w:lang w:val="es-ES_tradnl"/>
          <w14:ligatures w14:val="standardContextual"/>
        </w:rPr>
      </w:pPr>
      <w:r w:rsidRPr="0089683F">
        <w:rPr>
          <w:rFonts w:ascii="Verdana" w:eastAsia="Aptos" w:hAnsi="Verdana" w:cs="Aptos"/>
          <w:kern w:val="2"/>
          <w:sz w:val="21"/>
          <w:szCs w:val="21"/>
          <w:lang w:val="es-ES_tradnl"/>
          <w14:ligatures w14:val="standardContextual"/>
        </w:rPr>
        <w:t>[Según la magnitud requerida en el proceso de contratación].</w:t>
      </w:r>
    </w:p>
    <w:p w14:paraId="589CA572" w14:textId="77777777" w:rsidR="0089683F" w:rsidRPr="0089683F" w:rsidRDefault="0089683F" w:rsidP="0089683F">
      <w:pPr>
        <w:spacing w:after="0" w:line="276" w:lineRule="auto"/>
        <w:jc w:val="both"/>
        <w:rPr>
          <w:rFonts w:ascii="Verdana" w:eastAsia="Aptos" w:hAnsi="Verdana" w:cs="Aptos"/>
          <w:kern w:val="2"/>
          <w:lang w:val="es-ES_tradnl"/>
          <w14:ligatures w14:val="standardContextual"/>
        </w:rPr>
      </w:pPr>
    </w:p>
    <w:p w14:paraId="0C83FBFB" w14:textId="77777777" w:rsidR="0089683F" w:rsidRPr="0089683F" w:rsidRDefault="0089683F" w:rsidP="0089683F">
      <w:pPr>
        <w:spacing w:after="0" w:line="276" w:lineRule="auto"/>
        <w:ind w:firstLine="709"/>
        <w:jc w:val="both"/>
        <w:rPr>
          <w:rFonts w:ascii="Verdana" w:eastAsia="Aptos" w:hAnsi="Verdana" w:cs="Aptos"/>
          <w:kern w:val="2"/>
          <w:lang w:val="es-ES_tradnl"/>
          <w14:ligatures w14:val="standardContextual"/>
        </w:rPr>
      </w:pPr>
      <w:r w:rsidRPr="0089683F">
        <w:rPr>
          <w:rFonts w:ascii="Verdana" w:eastAsia="Aptos" w:hAnsi="Verdana" w:cs="Aptos"/>
          <w:kern w:val="2"/>
          <w:lang w:val="es-ES_tradnl"/>
          <w14:ligatures w14:val="standardContextual"/>
        </w:rPr>
        <w:t xml:space="preserve">De otro lado, hay que señalar que en el numeral </w:t>
      </w:r>
      <w:r w:rsidRPr="0089683F">
        <w:rPr>
          <w:rFonts w:ascii="Verdana" w:eastAsia="Aptos" w:hAnsi="Verdana" w:cs="Aptos"/>
          <w:i/>
          <w:iCs/>
          <w:kern w:val="2"/>
          <w:lang w:val="es-ES_tradnl"/>
          <w14:ligatures w14:val="standardContextual"/>
        </w:rPr>
        <w:t>3.5. “EXPERIENCIA”</w:t>
      </w:r>
      <w:r w:rsidRPr="0089683F">
        <w:rPr>
          <w:rFonts w:ascii="Verdana" w:eastAsia="Aptos" w:hAnsi="Verdana" w:cs="Aptos"/>
          <w:kern w:val="2"/>
          <w:lang w:val="es-ES_tradnl"/>
          <w14:ligatures w14:val="standardContextual"/>
        </w:rPr>
        <w:t xml:space="preserve"> del documento base, se indica que el área estimada de intervención del proceso de contratación corresponde a: </w:t>
      </w:r>
    </w:p>
    <w:p w14:paraId="3E667F6F" w14:textId="77777777" w:rsidR="0089683F" w:rsidRPr="0089683F" w:rsidRDefault="0089683F" w:rsidP="0089683F">
      <w:pPr>
        <w:spacing w:after="0" w:line="276" w:lineRule="auto"/>
        <w:jc w:val="both"/>
        <w:rPr>
          <w:rFonts w:ascii="Verdana" w:eastAsia="Aptos" w:hAnsi="Verdana" w:cs="Aptos"/>
          <w:kern w:val="2"/>
          <w:lang w:val="es-ES_tradnl"/>
          <w14:ligatures w14:val="standardContextual"/>
        </w:rPr>
      </w:pPr>
    </w:p>
    <w:p w14:paraId="7D33A873" w14:textId="77777777" w:rsidR="0089683F" w:rsidRPr="0089683F" w:rsidRDefault="0089683F" w:rsidP="0089683F">
      <w:pPr>
        <w:numPr>
          <w:ilvl w:val="0"/>
          <w:numId w:val="19"/>
        </w:numPr>
        <w:spacing w:after="0" w:line="276" w:lineRule="auto"/>
        <w:contextualSpacing/>
        <w:jc w:val="both"/>
        <w:rPr>
          <w:rFonts w:ascii="Verdana" w:eastAsia="Aptos" w:hAnsi="Verdana" w:cs="Arial"/>
          <w:kern w:val="2"/>
          <w:lang w:val="es-MX"/>
          <w14:ligatures w14:val="standardContextual"/>
        </w:rPr>
      </w:pPr>
      <w:r w:rsidRPr="0089683F">
        <w:rPr>
          <w:rFonts w:ascii="Verdana" w:eastAsia="Aptos" w:hAnsi="Verdana" w:cs="Arial"/>
          <w:b/>
          <w:kern w:val="2"/>
          <w:lang w:val="es-MX"/>
          <w14:ligatures w14:val="standardContextual"/>
        </w:rPr>
        <w:t>Área para construir/intervenir:</w:t>
      </w:r>
      <w:r w:rsidRPr="0089683F">
        <w:rPr>
          <w:rFonts w:ascii="Verdana" w:eastAsia="Aptos" w:hAnsi="Verdana" w:cs="Arial"/>
          <w:kern w:val="2"/>
          <w:lang w:val="es-MX"/>
          <w14:ligatures w14:val="standardContextual"/>
        </w:rPr>
        <w:t xml:space="preserve"> </w:t>
      </w:r>
      <w:r w:rsidRPr="0089683F">
        <w:rPr>
          <w:rFonts w:ascii="Verdana" w:eastAsia="Arial" w:hAnsi="Verdana" w:cs="Arial"/>
          <w:color w:val="000000"/>
          <w:kern w:val="2"/>
          <w:highlight w:val="lightGray"/>
          <w:lang w:val="es-ES_tradnl" w:eastAsia="es-ES"/>
          <w14:ligatures w14:val="standardContextual"/>
        </w:rPr>
        <w:t>[indicar el valor en m2 que corresponde al área a intervenir o construir, en los casos que aplique].</w:t>
      </w:r>
    </w:p>
    <w:p w14:paraId="41D24FE5" w14:textId="77777777" w:rsidR="0089683F" w:rsidRPr="0089683F" w:rsidRDefault="0089683F" w:rsidP="0089683F">
      <w:pPr>
        <w:spacing w:after="0" w:line="276" w:lineRule="auto"/>
        <w:jc w:val="both"/>
        <w:rPr>
          <w:rFonts w:ascii="Verdana" w:eastAsia="Aptos" w:hAnsi="Verdana" w:cs="Aptos"/>
          <w:kern w:val="2"/>
          <w:lang w:val="es-ES_tradnl"/>
          <w14:ligatures w14:val="standardContextual"/>
        </w:rPr>
      </w:pPr>
    </w:p>
    <w:p w14:paraId="3C4FD171" w14:textId="77777777" w:rsidR="0089683F" w:rsidRPr="0089683F" w:rsidRDefault="0089683F" w:rsidP="0089683F">
      <w:pPr>
        <w:spacing w:after="120" w:line="276" w:lineRule="auto"/>
        <w:ind w:firstLine="709"/>
        <w:jc w:val="both"/>
        <w:rPr>
          <w:rFonts w:ascii="Verdana" w:eastAsia="Aptos" w:hAnsi="Verdana" w:cs="Aptos"/>
          <w:kern w:val="2"/>
          <w:lang w:val="es-ES_tradnl"/>
          <w14:ligatures w14:val="standardContextual"/>
        </w:rPr>
      </w:pPr>
      <w:r w:rsidRPr="0089683F">
        <w:rPr>
          <w:rFonts w:ascii="Verdana" w:eastAsia="Aptos" w:hAnsi="Verdana" w:cs="Aptos"/>
          <w:kern w:val="2"/>
          <w:lang w:val="es-ES_tradnl"/>
          <w14:ligatures w14:val="standardContextual"/>
        </w:rPr>
        <w:t>Según lo dispuesto en el documento base y la “Matriz 1 – Experiencia”, las entidades tienen que definir los metros cuadrados que solicitarán de acuerdo con las características técnicas del proceso de selección.</w:t>
      </w:r>
    </w:p>
    <w:p w14:paraId="5D22C04E" w14:textId="77777777" w:rsidR="0089683F" w:rsidRPr="0089683F" w:rsidRDefault="0089683F" w:rsidP="0089683F">
      <w:pPr>
        <w:spacing w:after="120" w:line="276" w:lineRule="auto"/>
        <w:ind w:firstLine="709"/>
        <w:jc w:val="both"/>
        <w:rPr>
          <w:rFonts w:ascii="Verdana" w:eastAsia="Aptos" w:hAnsi="Verdana" w:cs="Aptos"/>
          <w:kern w:val="2"/>
          <w:lang w:val="es-ES_tradnl"/>
          <w14:ligatures w14:val="standardContextual"/>
        </w:rPr>
      </w:pPr>
      <w:r w:rsidRPr="0089683F">
        <w:rPr>
          <w:rFonts w:ascii="Verdana" w:eastAsia="Aptos" w:hAnsi="Verdana" w:cs="Aptos"/>
          <w:kern w:val="2"/>
          <w:lang w:val="es-ES_tradnl"/>
          <w14:ligatures w14:val="standardContextual"/>
        </w:rPr>
        <w:t xml:space="preserve">Para calcular el área cuando el proceso de selección se relaciona con actividades de mantenimiento en los que el área exacta a intervenir no se puede definir desde el inicio del proyecto, en donde la ejecución de las actividades, por ejemplo, depende de algún diagnóstico técnico inicial, se podrán utilizar criterios de estimación de cantidades o unidades de referencia para definir el área del proyecto. </w:t>
      </w:r>
    </w:p>
    <w:p w14:paraId="19384B87" w14:textId="77777777" w:rsidR="0089683F" w:rsidRPr="0089683F" w:rsidRDefault="0089683F" w:rsidP="0089683F">
      <w:pPr>
        <w:spacing w:after="120" w:line="276" w:lineRule="auto"/>
        <w:ind w:firstLine="709"/>
        <w:jc w:val="both"/>
        <w:rPr>
          <w:rFonts w:ascii="Verdana" w:eastAsia="Aptos" w:hAnsi="Verdana" w:cs="Aptos"/>
          <w:kern w:val="2"/>
          <w:lang w:val="es-ES_tradnl"/>
          <w14:ligatures w14:val="standardContextual"/>
        </w:rPr>
      </w:pPr>
      <w:r w:rsidRPr="0089683F">
        <w:rPr>
          <w:rFonts w:ascii="Verdana" w:eastAsia="Aptos" w:hAnsi="Verdana" w:cs="Aptos"/>
          <w:kern w:val="2"/>
          <w:lang w:val="es-ES_tradnl"/>
          <w14:ligatures w14:val="standardContextual"/>
        </w:rPr>
        <w:t xml:space="preserve">Por su parte, la entidad podría determinar un área máxima de intervención y la podrá utilizar como parámetro técnico, sin embargo, corresponde a entidad que adelanta el proceso de selección definir las alternativas para determinar el </w:t>
      </w:r>
      <w:r w:rsidRPr="0089683F">
        <w:rPr>
          <w:rFonts w:ascii="Verdana" w:eastAsia="Aptos" w:hAnsi="Verdana" w:cs="Aptos"/>
          <w:kern w:val="2"/>
          <w:lang w:val="es-ES_tradnl"/>
          <w14:ligatures w14:val="standardContextual"/>
        </w:rPr>
        <w:lastRenderedPageBreak/>
        <w:t>área de intervención bajo los criterios y alcance técnico definidos en los estudios previos del respectivo proceso de selección.</w:t>
      </w:r>
    </w:p>
    <w:p w14:paraId="1FB62FB2" w14:textId="77777777" w:rsidR="0089683F" w:rsidRPr="0089683F" w:rsidRDefault="0089683F" w:rsidP="0089683F">
      <w:pPr>
        <w:spacing w:after="120" w:line="276" w:lineRule="auto"/>
        <w:ind w:firstLine="709"/>
        <w:jc w:val="both"/>
        <w:rPr>
          <w:rFonts w:ascii="Verdana" w:eastAsia="Calibri" w:hAnsi="Verdana" w:cs="Calibri"/>
          <w:kern w:val="2"/>
          <w14:ligatures w14:val="standardContextual"/>
        </w:rPr>
      </w:pPr>
      <w:r w:rsidRPr="0089683F">
        <w:rPr>
          <w:rFonts w:ascii="Verdana" w:eastAsia="Calibri" w:hAnsi="Verdana" w:cs="Calibri"/>
          <w:kern w:val="2"/>
          <w14:ligatures w14:val="standardContextual"/>
        </w:rPr>
        <w:t>En todo caso, debe advertirse que las entidades obligadas a aplicar los documentos tipo, al adelantar sus procedimientos de selección, solo podrán modificarlos en los aspectos en que los mismos lo permitan de forma expresa. Estos corresponden a aquellos se encuentran entre corchetes y resaltados en gris –[</w:t>
      </w:r>
      <w:r w:rsidRPr="0089683F">
        <w:rPr>
          <w:rFonts w:ascii="Verdana" w:eastAsia="Calibri" w:hAnsi="Verdana" w:cs="Calibri"/>
          <w:kern w:val="2"/>
          <w:highlight w:val="lightGray"/>
          <w14:ligatures w14:val="standardContextual"/>
        </w:rPr>
        <w:t>texto de ejemplo</w:t>
      </w:r>
      <w:r w:rsidRPr="0089683F">
        <w:rPr>
          <w:rFonts w:ascii="Verdana" w:eastAsia="Calibri" w:hAnsi="Verdana" w:cs="Calibri"/>
          <w:kern w:val="2"/>
          <w14:ligatures w14:val="standardContextual"/>
        </w:rPr>
        <w:t>]–, para lo cual deberán observarse las instrucciones contenidas en allí para su diligenciamiento.</w:t>
      </w:r>
    </w:p>
    <w:p w14:paraId="2B50753D" w14:textId="77777777" w:rsidR="0089683F" w:rsidRPr="0089683F" w:rsidRDefault="0089683F" w:rsidP="0089683F">
      <w:pPr>
        <w:spacing w:after="120" w:line="276" w:lineRule="auto"/>
        <w:ind w:firstLine="709"/>
        <w:jc w:val="both"/>
        <w:rPr>
          <w:rFonts w:ascii="Verdana" w:eastAsia="Calibri" w:hAnsi="Verdana" w:cs="Calibri"/>
          <w:kern w:val="2"/>
          <w14:ligatures w14:val="standardContextual"/>
        </w:rPr>
      </w:pPr>
      <w:r w:rsidRPr="0089683F">
        <w:rPr>
          <w:rFonts w:ascii="Verdana" w:eastAsia="Calibri" w:hAnsi="Verdana" w:cs="Calibri"/>
          <w:kern w:val="2"/>
          <w14:ligatures w14:val="standardContextual"/>
        </w:rPr>
        <w:t xml:space="preserve">Por lo tanto, las entidades contratantes solo podrán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48AE7A21" w14:textId="77777777" w:rsidR="0089683F" w:rsidRPr="0089683F" w:rsidRDefault="0089683F" w:rsidP="0089683F">
      <w:pPr>
        <w:spacing w:after="0" w:line="276" w:lineRule="auto"/>
        <w:ind w:firstLine="709"/>
        <w:jc w:val="both"/>
        <w:rPr>
          <w:rFonts w:ascii="Verdana" w:eastAsia="Calibri" w:hAnsi="Verdana" w:cs="Calibri"/>
          <w:kern w:val="2"/>
          <w14:ligatures w14:val="standardContextual"/>
        </w:rPr>
      </w:pPr>
      <w:r w:rsidRPr="0089683F">
        <w:rPr>
          <w:rFonts w:ascii="Verdana" w:eastAsia="Calibri" w:hAnsi="Verdana" w:cs="Calibri"/>
          <w:kern w:val="2"/>
          <w14:ligatures w14:val="standardContextual"/>
        </w:rPr>
        <w:t>En consecuencia, conforme al principio de inalterabilidad que recae sobre los documentos tipo, la entidad que adelanta el proceso de selección debe cumplir con todo lo señalado en la Matriz 1 – Experiencia del sector institucional, sin realizar modificaciones y/o complementar la experiencia indicada en dicho documento.</w:t>
      </w:r>
    </w:p>
    <w:p w14:paraId="68901D13" w14:textId="77777777" w:rsidR="0089683F" w:rsidRPr="0089683F" w:rsidRDefault="0089683F" w:rsidP="0089683F">
      <w:pPr>
        <w:widowControl w:val="0"/>
        <w:autoSpaceDE w:val="0"/>
        <w:autoSpaceDN w:val="0"/>
        <w:spacing w:after="0" w:line="276" w:lineRule="auto"/>
        <w:jc w:val="both"/>
        <w:rPr>
          <w:rFonts w:ascii="Verdana" w:eastAsia="Calibri" w:hAnsi="Verdana" w:cs="Arial"/>
          <w:lang w:eastAsia="es-MX"/>
        </w:rPr>
      </w:pPr>
    </w:p>
    <w:p w14:paraId="7BB860FA" w14:textId="77777777" w:rsidR="0089683F" w:rsidRPr="0089683F" w:rsidRDefault="0089683F" w:rsidP="0089683F">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eastAsia="es-MX"/>
        </w:rPr>
      </w:pPr>
      <w:r w:rsidRPr="0089683F">
        <w:rPr>
          <w:rFonts w:ascii="Verdana" w:eastAsia="Century Gothic" w:hAnsi="Verdana" w:cs="Century Gothic"/>
          <w:b/>
          <w:bCs/>
          <w:lang w:val="es-ES" w:eastAsia="es-MX"/>
        </w:rPr>
        <w:t>Referencias normativas, jurisprudenciales y otras fuentes:</w:t>
      </w:r>
    </w:p>
    <w:p w14:paraId="6B6D596B" w14:textId="77777777" w:rsidR="0089683F" w:rsidRPr="0089683F" w:rsidRDefault="0089683F" w:rsidP="0089683F">
      <w:pPr>
        <w:widowControl w:val="0"/>
        <w:autoSpaceDE w:val="0"/>
        <w:autoSpaceDN w:val="0"/>
        <w:spacing w:after="0" w:line="276" w:lineRule="auto"/>
        <w:jc w:val="both"/>
        <w:rPr>
          <w:rFonts w:ascii="Verdana" w:eastAsia="Calibri" w:hAnsi="Verdana" w:cs="Arial"/>
          <w:lang w:eastAsia="es-MX"/>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89683F" w:rsidRPr="0089683F" w14:paraId="44D5848A" w14:textId="77777777" w:rsidTr="002A1DC7">
        <w:trPr>
          <w:trHeight w:val="870"/>
        </w:trPr>
        <w:tc>
          <w:tcPr>
            <w:tcW w:w="8647" w:type="dxa"/>
          </w:tcPr>
          <w:p w14:paraId="5D0C4EC9" w14:textId="77777777" w:rsidR="0089683F" w:rsidRPr="0089683F" w:rsidRDefault="0089683F" w:rsidP="0089683F">
            <w:pPr>
              <w:widowControl w:val="0"/>
              <w:numPr>
                <w:ilvl w:val="0"/>
                <w:numId w:val="17"/>
              </w:numPr>
              <w:autoSpaceDE w:val="0"/>
              <w:autoSpaceDN w:val="0"/>
              <w:spacing w:after="120" w:line="276" w:lineRule="auto"/>
              <w:jc w:val="both"/>
              <w:rPr>
                <w:rFonts w:ascii="Verdana" w:eastAsia="Calibri" w:hAnsi="Verdana" w:cs="Arial"/>
                <w:lang w:eastAsia="es-MX"/>
              </w:rPr>
            </w:pPr>
            <w:r w:rsidRPr="0089683F">
              <w:rPr>
                <w:rFonts w:ascii="Verdana" w:eastAsia="Calibri" w:hAnsi="Verdana" w:cs="Arial"/>
                <w:lang w:eastAsia="es-MX"/>
              </w:rPr>
              <w:t>Ley 2022 de 2020, artículo 1.</w:t>
            </w:r>
          </w:p>
          <w:p w14:paraId="3C376B08" w14:textId="77777777" w:rsidR="0089683F" w:rsidRPr="0089683F" w:rsidRDefault="0089683F" w:rsidP="0089683F">
            <w:pPr>
              <w:widowControl w:val="0"/>
              <w:numPr>
                <w:ilvl w:val="0"/>
                <w:numId w:val="17"/>
              </w:numPr>
              <w:autoSpaceDE w:val="0"/>
              <w:autoSpaceDN w:val="0"/>
              <w:snapToGrid w:val="0"/>
              <w:spacing w:after="120" w:line="276" w:lineRule="auto"/>
              <w:jc w:val="both"/>
              <w:rPr>
                <w:rFonts w:ascii="Verdana" w:eastAsia="Aptos" w:hAnsi="Verdana" w:cs="Arial"/>
              </w:rPr>
            </w:pPr>
            <w:r w:rsidRPr="0089683F">
              <w:rPr>
                <w:rFonts w:ascii="Verdana" w:eastAsia="Aptos" w:hAnsi="Verdana" w:cs="Arial"/>
              </w:rPr>
              <w:t>Ley 80 de 1993, artículo 2.</w:t>
            </w:r>
          </w:p>
          <w:p w14:paraId="3511EEF8" w14:textId="77777777" w:rsidR="0089683F" w:rsidRPr="0089683F" w:rsidRDefault="0089683F" w:rsidP="0089683F">
            <w:pPr>
              <w:widowControl w:val="0"/>
              <w:numPr>
                <w:ilvl w:val="0"/>
                <w:numId w:val="17"/>
              </w:numPr>
              <w:autoSpaceDE w:val="0"/>
              <w:autoSpaceDN w:val="0"/>
              <w:snapToGrid w:val="0"/>
              <w:spacing w:after="120" w:line="276" w:lineRule="auto"/>
              <w:jc w:val="both"/>
              <w:rPr>
                <w:rFonts w:ascii="Verdana" w:eastAsia="Calibri" w:hAnsi="Verdana" w:cs="Arial"/>
                <w:lang w:val="es-ES_tradnl"/>
              </w:rPr>
            </w:pPr>
            <w:r w:rsidRPr="0089683F">
              <w:rPr>
                <w:rFonts w:ascii="Verdana" w:eastAsia="Calibri" w:hAnsi="Verdana" w:cs="Arial"/>
                <w:lang w:val="es-ES_tradnl"/>
              </w:rPr>
              <w:t xml:space="preserve">Ley 2022 de 2020, artículo 1. </w:t>
            </w:r>
          </w:p>
          <w:p w14:paraId="0C096A80" w14:textId="77777777" w:rsidR="0089683F" w:rsidRPr="0089683F" w:rsidRDefault="0089683F" w:rsidP="0089683F">
            <w:pPr>
              <w:widowControl w:val="0"/>
              <w:numPr>
                <w:ilvl w:val="0"/>
                <w:numId w:val="17"/>
              </w:numPr>
              <w:autoSpaceDE w:val="0"/>
              <w:autoSpaceDN w:val="0"/>
              <w:snapToGrid w:val="0"/>
              <w:spacing w:after="120" w:line="276" w:lineRule="auto"/>
              <w:jc w:val="both"/>
              <w:rPr>
                <w:rFonts w:ascii="Verdana" w:eastAsia="Calibri" w:hAnsi="Verdana" w:cs="Arial"/>
              </w:rPr>
            </w:pPr>
            <w:r w:rsidRPr="0089683F">
              <w:rPr>
                <w:rFonts w:ascii="Verdana" w:eastAsia="Aptos" w:hAnsi="Verdana" w:cs="Arial"/>
              </w:rPr>
              <w:t>Decreto Ley 4170 de 2011, artículos 1 y 11.</w:t>
            </w:r>
          </w:p>
          <w:p w14:paraId="60477223" w14:textId="77777777" w:rsidR="0089683F" w:rsidRPr="0089683F" w:rsidRDefault="0089683F" w:rsidP="0089683F">
            <w:pPr>
              <w:widowControl w:val="0"/>
              <w:numPr>
                <w:ilvl w:val="0"/>
                <w:numId w:val="17"/>
              </w:numPr>
              <w:autoSpaceDE w:val="0"/>
              <w:autoSpaceDN w:val="0"/>
              <w:snapToGrid w:val="0"/>
              <w:spacing w:after="120" w:line="276" w:lineRule="auto"/>
              <w:jc w:val="both"/>
              <w:rPr>
                <w:rFonts w:ascii="Verdana" w:eastAsia="Calibri" w:hAnsi="Verdana" w:cs="Arial"/>
                <w:lang w:val="es-ES_tradnl"/>
              </w:rPr>
            </w:pPr>
            <w:r w:rsidRPr="0089683F">
              <w:rPr>
                <w:rFonts w:ascii="Verdana" w:eastAsia="Calibri" w:hAnsi="Verdana" w:cs="Arial"/>
                <w:lang w:val="es-ES_tradnl"/>
              </w:rPr>
              <w:t>Decreto 287 de 2026, artículos 1 y 2.</w:t>
            </w:r>
          </w:p>
          <w:p w14:paraId="2FF2870D" w14:textId="77777777" w:rsidR="0089683F" w:rsidRPr="0089683F" w:rsidRDefault="0089683F" w:rsidP="0089683F">
            <w:pPr>
              <w:widowControl w:val="0"/>
              <w:numPr>
                <w:ilvl w:val="0"/>
                <w:numId w:val="17"/>
              </w:numPr>
              <w:autoSpaceDE w:val="0"/>
              <w:autoSpaceDN w:val="0"/>
              <w:snapToGrid w:val="0"/>
              <w:spacing w:after="120" w:line="276" w:lineRule="auto"/>
              <w:jc w:val="both"/>
              <w:rPr>
                <w:rFonts w:ascii="Verdana" w:eastAsia="Calibri" w:hAnsi="Verdana" w:cs="Arial"/>
                <w:lang w:val="es-ES_tradnl"/>
              </w:rPr>
            </w:pPr>
            <w:r w:rsidRPr="0089683F">
              <w:rPr>
                <w:rFonts w:ascii="Verdana" w:eastAsia="Calibri" w:hAnsi="Verdana" w:cs="Arial"/>
                <w:lang w:val="es-ES_tradnl"/>
              </w:rPr>
              <w:t>Decreto 1082 de 2015, artículos 2.2.1.2.4.2.6., 2.2.1.2.4.2.7., y 2.2.1.2.4.2.8.</w:t>
            </w:r>
          </w:p>
          <w:p w14:paraId="0633CB81" w14:textId="77777777" w:rsidR="0089683F" w:rsidRPr="0089683F" w:rsidRDefault="0089683F" w:rsidP="0089683F">
            <w:pPr>
              <w:widowControl w:val="0"/>
              <w:numPr>
                <w:ilvl w:val="0"/>
                <w:numId w:val="17"/>
              </w:numPr>
              <w:autoSpaceDE w:val="0"/>
              <w:autoSpaceDN w:val="0"/>
              <w:snapToGrid w:val="0"/>
              <w:spacing w:after="120" w:line="276" w:lineRule="auto"/>
              <w:jc w:val="both"/>
              <w:rPr>
                <w:rFonts w:ascii="Verdana" w:eastAsia="Aptos" w:hAnsi="Verdana" w:cs="Arial"/>
              </w:rPr>
            </w:pPr>
            <w:r w:rsidRPr="0089683F">
              <w:rPr>
                <w:rFonts w:ascii="Verdana" w:eastAsia="Aptos" w:hAnsi="Verdana" w:cs="Arial"/>
              </w:rPr>
              <w:t>Consejo de Estado, Sección Quinta, del 12 de diciembre de 2024 (Rad. 05001-23-33-000-2024-00847-01, M.P. Omar Joaquín Barreto Suárez).</w:t>
            </w:r>
          </w:p>
          <w:p w14:paraId="0C12B5CF" w14:textId="77777777" w:rsidR="0089683F" w:rsidRPr="0089683F" w:rsidRDefault="0089683F" w:rsidP="0089683F">
            <w:pPr>
              <w:widowControl w:val="0"/>
              <w:numPr>
                <w:ilvl w:val="0"/>
                <w:numId w:val="17"/>
              </w:numPr>
              <w:autoSpaceDE w:val="0"/>
              <w:autoSpaceDN w:val="0"/>
              <w:spacing w:after="120" w:line="276" w:lineRule="auto"/>
              <w:jc w:val="both"/>
              <w:rPr>
                <w:rFonts w:ascii="Verdana" w:eastAsia="Calibri" w:hAnsi="Verdana" w:cs="Arial"/>
                <w:lang w:eastAsia="es-MX"/>
              </w:rPr>
            </w:pPr>
            <w:r w:rsidRPr="0089683F">
              <w:rPr>
                <w:rFonts w:ascii="Verdana" w:eastAsia="Calibri" w:hAnsi="Verdana" w:cs="Arial"/>
                <w:lang w:eastAsia="es-MX"/>
              </w:rPr>
              <w:t xml:space="preserve">Documentos tipo de obra pública de infraestructura social, y </w:t>
            </w:r>
            <w:r w:rsidRPr="0089683F">
              <w:rPr>
                <w:rFonts w:ascii="Verdana" w:eastAsia="Calibri" w:hAnsi="Verdana" w:cs="Arial"/>
                <w:lang w:eastAsia="es-MX"/>
              </w:rPr>
              <w:lastRenderedPageBreak/>
              <w:t xml:space="preserve">adicionales del sector </w:t>
            </w:r>
            <w:r w:rsidRPr="0089683F">
              <w:rPr>
                <w:rFonts w:ascii="Verdana" w:eastAsia="Calibri" w:hAnsi="Verdana" w:cs="Arial"/>
                <w:i/>
                <w:iCs/>
                <w:lang w:eastAsia="es-MX"/>
              </w:rPr>
              <w:t>institucional.</w:t>
            </w:r>
            <w:r w:rsidRPr="0089683F">
              <w:rPr>
                <w:rFonts w:ascii="Verdana" w:eastAsia="Calibri" w:hAnsi="Verdana" w:cs="Arial"/>
                <w:lang w:eastAsia="es-MX"/>
              </w:rPr>
              <w:t xml:space="preserve"> Disponibles en: </w:t>
            </w:r>
            <w:hyperlink r:id="rId16" w:history="1">
              <w:r w:rsidRPr="0089683F">
                <w:rPr>
                  <w:rFonts w:ascii="Verdana" w:eastAsia="Calibri" w:hAnsi="Verdana" w:cs="Arial"/>
                  <w:color w:val="467886"/>
                  <w:u w:val="single"/>
                  <w:lang w:eastAsia="es-MX"/>
                </w:rPr>
                <w:t>https://www.colombiacompra.gov.co/normativa-y-relatoria/documentos-tipo</w:t>
              </w:r>
            </w:hyperlink>
            <w:r w:rsidRPr="0089683F">
              <w:rPr>
                <w:rFonts w:ascii="Verdana" w:eastAsia="Calibri" w:hAnsi="Verdana" w:cs="Arial"/>
                <w:lang w:eastAsia="es-MX"/>
              </w:rPr>
              <w:t xml:space="preserve">. </w:t>
            </w:r>
          </w:p>
        </w:tc>
      </w:tr>
    </w:tbl>
    <w:p w14:paraId="4E4A80C4" w14:textId="77777777" w:rsidR="0089683F" w:rsidRPr="0089683F" w:rsidRDefault="0089683F" w:rsidP="0089683F">
      <w:pPr>
        <w:tabs>
          <w:tab w:val="left" w:pos="142"/>
          <w:tab w:val="left" w:pos="284"/>
        </w:tabs>
        <w:spacing w:after="0" w:line="276" w:lineRule="auto"/>
        <w:jc w:val="both"/>
        <w:rPr>
          <w:rFonts w:ascii="Verdana" w:eastAsia="Calibri" w:hAnsi="Verdana" w:cs="Arial"/>
          <w:lang w:eastAsia="es-MX"/>
        </w:rPr>
      </w:pPr>
    </w:p>
    <w:p w14:paraId="1B3AC8DB" w14:textId="77777777" w:rsidR="0089683F" w:rsidRPr="0089683F" w:rsidRDefault="0089683F" w:rsidP="0089683F">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eastAsia="es-MX"/>
        </w:rPr>
      </w:pPr>
      <w:r w:rsidRPr="0089683F">
        <w:rPr>
          <w:rFonts w:ascii="Verdana" w:eastAsia="Century Gothic" w:hAnsi="Verdana" w:cs="Century Gothic"/>
          <w:b/>
          <w:bCs/>
          <w:lang w:val="es-ES" w:eastAsia="es-MX"/>
        </w:rPr>
        <w:t>Doctrina de la Agencia Nacional de Contratación Pública:</w:t>
      </w:r>
    </w:p>
    <w:p w14:paraId="39383162" w14:textId="77777777" w:rsidR="0089683F" w:rsidRPr="0089683F" w:rsidRDefault="0089683F" w:rsidP="0089683F">
      <w:pPr>
        <w:widowControl w:val="0"/>
        <w:autoSpaceDE w:val="0"/>
        <w:autoSpaceDN w:val="0"/>
        <w:spacing w:after="0" w:line="276" w:lineRule="auto"/>
        <w:jc w:val="both"/>
        <w:rPr>
          <w:rFonts w:ascii="Verdana" w:eastAsia="Calibri" w:hAnsi="Verdana" w:cs="Arial"/>
          <w:lang w:eastAsia="es-MX"/>
        </w:rPr>
      </w:pPr>
    </w:p>
    <w:p w14:paraId="3BCB3C71" w14:textId="77777777" w:rsidR="0089683F" w:rsidRPr="0089683F" w:rsidRDefault="0089683F" w:rsidP="0089683F">
      <w:pPr>
        <w:widowControl w:val="0"/>
        <w:autoSpaceDE w:val="0"/>
        <w:autoSpaceDN w:val="0"/>
        <w:spacing w:after="0" w:line="276" w:lineRule="auto"/>
        <w:jc w:val="both"/>
        <w:rPr>
          <w:rFonts w:ascii="Verdana" w:eastAsia="Calibri" w:hAnsi="Verdana" w:cs="Arial"/>
          <w:shd w:val="clear" w:color="auto" w:fill="FFFFFF"/>
          <w:lang w:val="es-ES" w:eastAsia="es-MX"/>
        </w:rPr>
      </w:pPr>
      <w:r w:rsidRPr="0089683F">
        <w:rPr>
          <w:rFonts w:ascii="Verdana" w:eastAsia="Calibri" w:hAnsi="Verdana" w:cs="Arial"/>
          <w:shd w:val="clear" w:color="auto" w:fill="FFFFFF"/>
          <w:lang w:val="es-ES" w:eastAsia="es-MX"/>
        </w:rPr>
        <w:t xml:space="preserve">La Agencia Nacional de Contratación Pública – Colombia Compra Eficiente se ha </w:t>
      </w:r>
      <w:r w:rsidRPr="0089683F">
        <w:rPr>
          <w:rFonts w:ascii="Verdana" w:eastAsia="Calibri" w:hAnsi="Verdana" w:cs="Arial"/>
          <w:kern w:val="2"/>
          <w:shd w:val="clear" w:color="auto" w:fill="FFFFFF"/>
          <w:lang w:val="es-ES"/>
          <w14:ligatures w14:val="standardContextual"/>
        </w:rPr>
        <w:t>pronunciado sobre la regla de la inalterabilidad de los documentos tipo en los siguiente conceptos: C-058 del 8 de marzo de 2022, C-657 del 11 de octubre de 2022, C-051 del 28 de abril de 2023</w:t>
      </w:r>
      <w:r w:rsidRPr="0089683F">
        <w:rPr>
          <w:rFonts w:ascii="Verdana" w:eastAsia="Times New Roman" w:hAnsi="Verdana" w:cs="Arial"/>
          <w:kern w:val="2"/>
          <w:shd w:val="clear" w:color="auto" w:fill="FFFFFF"/>
          <w:lang w:val="es-ES"/>
          <w14:ligatures w14:val="standardContextual"/>
        </w:rPr>
        <w:t xml:space="preserve">, </w:t>
      </w:r>
      <w:r w:rsidRPr="0089683F">
        <w:rPr>
          <w:rFonts w:ascii="Verdana" w:eastAsia="Calibri" w:hAnsi="Verdana" w:cs="Arial"/>
          <w:kern w:val="2"/>
          <w:shd w:val="clear" w:color="auto" w:fill="FFFFFF"/>
          <w:lang w:val="es-ES"/>
          <w14:ligatures w14:val="standardContextual"/>
        </w:rPr>
        <w:t>C-513 del 7 de octubre de 2024, C-730 del 27 de noviembre de 2024, C-870 del 15 de diciembre de 2024, C-092 del 4 de marzo de 2025, C-110 del 7 de marzo de 2025, C-133 del 10 de marzo de 2025, C-241 del 14 de marzo de 2025, C-283 del 14 de abril de 2025, C-302 del 21 de abril de 2025, C-386 del 22 de abril de 2025, C-322 del 25 de abril de 2025, C-325 del 25 de abril de 2025, C-342 del 25 de abril de 2025, C-365 del 2 de mayo de 2025, C-382 del 6 de mayo de 2025, C497 del 5 de junio de 2025, C-522 del 9 de junio de 2025, C-562 del 19 de junio de 2025, C-582 del 25 de junio de 2025</w:t>
      </w:r>
      <w:r w:rsidRPr="0089683F">
        <w:rPr>
          <w:rFonts w:ascii="Verdana" w:eastAsia="Calibri" w:hAnsi="Verdana" w:cs="Arial"/>
          <w:shd w:val="clear" w:color="auto" w:fill="FFFFFF"/>
          <w:lang w:val="es-ES"/>
        </w:rPr>
        <w:t xml:space="preserve">, C-043 del 13 de febrero de 2026, C-246 del 12 de marzo de 2026, C-467 del 21 de abril de 2026, entre otros. </w:t>
      </w:r>
      <w:r w:rsidRPr="0089683F">
        <w:rPr>
          <w:rFonts w:ascii="Verdana" w:eastAsia="Calibri" w:hAnsi="Verdana" w:cs="Arial"/>
          <w:shd w:val="clear" w:color="auto" w:fill="FFFFFF"/>
          <w:lang w:val="es-ES" w:eastAsia="es-MX"/>
        </w:rPr>
        <w:t xml:space="preserve">A su vez, esta entidad se refirió al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 C-472 del 24 de septiembre de 2024, C-469 del 23 de mayo de 2025, C-1772 del 22 de diciembre de 2025, C-232 del 11 de marzo de 2026, entre otros. </w:t>
      </w:r>
      <w:r w:rsidRPr="0089683F">
        <w:rPr>
          <w:rFonts w:ascii="Verdana" w:eastAsia="Times New Roman" w:hAnsi="Verdana" w:cs="Arial"/>
          <w:kern w:val="2"/>
          <w:shd w:val="clear" w:color="auto" w:fill="FFFFFF"/>
          <w:lang w:val="es-ES"/>
          <w14:ligatures w14:val="standardContextual"/>
        </w:rPr>
        <w:t>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7" w:tgtFrame="_blank" w:tooltip="Dirección URL original: https://relatoria.colombiacompra.gov.co/. Haga clic o pulse si confía en este vínculo." w:history="1">
        <w:r w:rsidRPr="0089683F">
          <w:rPr>
            <w:rFonts w:ascii="Verdana" w:eastAsia="Times New Roman" w:hAnsi="Verdana" w:cs="Arial"/>
            <w:kern w:val="2"/>
            <w:shd w:val="clear" w:color="auto" w:fill="FFFFFF"/>
            <w:lang w:val="es-ES"/>
            <w14:ligatures w14:val="standardContextual"/>
          </w:rPr>
          <w:t>https://relatoria.colombiacompra.gov.co/</w:t>
        </w:r>
      </w:hyperlink>
      <w:r w:rsidRPr="0089683F">
        <w:rPr>
          <w:rFonts w:ascii="Verdana" w:eastAsia="Times New Roman" w:hAnsi="Verdana" w:cs="Arial"/>
          <w:kern w:val="2"/>
          <w:shd w:val="clear" w:color="auto" w:fill="FFFFFF"/>
          <w:lang w:val="es-ES"/>
          <w14:ligatures w14:val="standardContextual"/>
        </w:rPr>
        <w:t>.</w:t>
      </w:r>
    </w:p>
    <w:p w14:paraId="7EDA8B98" w14:textId="77777777" w:rsidR="0089683F" w:rsidRPr="0089683F" w:rsidRDefault="0089683F" w:rsidP="0089683F">
      <w:pPr>
        <w:spacing w:after="0" w:line="240" w:lineRule="auto"/>
        <w:jc w:val="both"/>
        <w:rPr>
          <w:rFonts w:ascii="Verdana" w:eastAsia="Calibri" w:hAnsi="Verdana" w:cs="Arial"/>
          <w:color w:val="000000"/>
          <w:kern w:val="2"/>
          <w:shd w:val="clear" w:color="auto" w:fill="FFFFFF"/>
          <w:lang w:val="es-ES_tradnl"/>
          <w14:ligatures w14:val="standardContextual"/>
        </w:rPr>
      </w:pPr>
    </w:p>
    <w:p w14:paraId="212A508A" w14:textId="77777777" w:rsidR="0089683F" w:rsidRPr="0089683F" w:rsidRDefault="0089683F" w:rsidP="0089683F">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89683F">
        <w:rPr>
          <w:rFonts w:ascii="Verdana" w:eastAsia="Calibri" w:hAnsi="Verdana" w:cs="Arial"/>
          <w:kern w:val="2"/>
          <w:shd w:val="clear" w:color="auto" w:fill="FFFFFF"/>
          <w:lang w:val="es-ES_tradnl"/>
          <w14:ligatures w14:val="standardContextual"/>
        </w:rPr>
        <w:t>La</w:t>
      </w:r>
      <w:r w:rsidRPr="0089683F">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89683F">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89683F">
        <w:rPr>
          <w:rFonts w:ascii="Verdana" w:eastAsia="Calibri" w:hAnsi="Verdana" w:cs="Arial"/>
          <w:b/>
          <w:bCs/>
          <w:kern w:val="2"/>
          <w:shd w:val="clear" w:color="auto" w:fill="FFFFFF"/>
          <w:lang w:val="es-ES_tradnl"/>
          <w14:ligatures w14:val="standardContextual"/>
        </w:rPr>
        <w:t xml:space="preserve">Documentos </w:t>
      </w:r>
      <w:r w:rsidRPr="0089683F">
        <w:rPr>
          <w:rFonts w:ascii="Verdana" w:eastAsia="Calibri" w:hAnsi="Verdana" w:cs="Arial"/>
          <w:b/>
          <w:bCs/>
          <w:kern w:val="2"/>
          <w:shd w:val="clear" w:color="auto" w:fill="FFFFFF"/>
          <w:lang w:val="es-ES_tradnl"/>
          <w14:ligatures w14:val="standardContextual"/>
        </w:rPr>
        <w:lastRenderedPageBreak/>
        <w:t>Tipo</w:t>
      </w:r>
      <w:r w:rsidRPr="0089683F">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89683F">
        <w:rPr>
          <w:rFonts w:ascii="Verdana" w:eastAsia="Calibri" w:hAnsi="Verdana" w:cs="Arial"/>
          <w:b/>
          <w:bCs/>
          <w:kern w:val="2"/>
          <w:shd w:val="clear" w:color="auto" w:fill="FFFFFF"/>
          <w:lang w:val="es-ES_tradnl"/>
          <w14:ligatures w14:val="standardContextual"/>
        </w:rPr>
        <w:t>transparencia</w:t>
      </w:r>
      <w:r w:rsidRPr="0089683F">
        <w:rPr>
          <w:rFonts w:ascii="Verdana" w:eastAsia="Calibri" w:hAnsi="Verdana" w:cs="Arial"/>
          <w:kern w:val="2"/>
          <w:shd w:val="clear" w:color="auto" w:fill="FFFFFF"/>
          <w:lang w:val="es-ES_tradnl"/>
          <w14:ligatures w14:val="standardContextual"/>
        </w:rPr>
        <w:t> y promover un proceso de </w:t>
      </w:r>
      <w:r w:rsidRPr="0089683F">
        <w:rPr>
          <w:rFonts w:ascii="Verdana" w:eastAsia="Calibri" w:hAnsi="Verdana" w:cs="Arial"/>
          <w:b/>
          <w:bCs/>
          <w:kern w:val="2"/>
          <w:shd w:val="clear" w:color="auto" w:fill="FFFFFF"/>
          <w:lang w:val="es-ES_tradnl"/>
          <w14:ligatures w14:val="standardContextual"/>
        </w:rPr>
        <w:t>selección objetiva</w:t>
      </w:r>
      <w:r w:rsidRPr="0089683F">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6F607D98" w14:textId="77777777" w:rsidR="0089683F" w:rsidRPr="0089683F" w:rsidRDefault="0089683F" w:rsidP="0089683F">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63BF2AA6" w14:textId="77777777" w:rsidR="0089683F" w:rsidRPr="0089683F" w:rsidRDefault="0089683F" w:rsidP="0089683F">
      <w:pPr>
        <w:spacing w:after="0" w:line="276" w:lineRule="auto"/>
        <w:jc w:val="both"/>
        <w:rPr>
          <w:rFonts w:ascii="Verdana" w:eastAsia="Aptos" w:hAnsi="Verdana" w:cs="Times New Roman"/>
          <w:kern w:val="2"/>
          <w:lang w:val="es-ES_tradnl"/>
          <w14:ligatures w14:val="standardContextual"/>
        </w:rPr>
      </w:pPr>
      <w:r w:rsidRPr="0089683F">
        <w:rPr>
          <w:rFonts w:ascii="Verdana" w:eastAsia="Aptos" w:hAnsi="Verdana" w:cs="Times New Roman"/>
          <w:kern w:val="2"/>
          <w:lang w:val="es-ES_tradnl"/>
          <w14:ligatures w14:val="standardContextual"/>
        </w:rPr>
        <w:t xml:space="preserve">La sostenibilidad no es una opción, es una obligación. Por ello, la Agencia Nacional de Contratación Pública –Colombia Compra Eficiente– te invita a realizar el </w:t>
      </w:r>
      <w:r w:rsidRPr="0089683F">
        <w:rPr>
          <w:rFonts w:ascii="Verdana" w:eastAsia="Aptos" w:hAnsi="Verdana" w:cs="Times New Roman"/>
          <w:b/>
          <w:bCs/>
          <w:kern w:val="2"/>
          <w:lang w:val="es-ES_tradnl"/>
          <w14:ligatures w14:val="standardContextual"/>
        </w:rPr>
        <w:t>Curso de Contratación Pública Sostenible y Socialmente Responsable</w:t>
      </w:r>
      <w:r w:rsidRPr="0089683F">
        <w:rPr>
          <w:rFonts w:ascii="Verdana" w:eastAsia="Aptos" w:hAnsi="Verdana" w:cs="Times New Roman"/>
          <w:kern w:val="2"/>
          <w:lang w:val="es-ES_tradnl"/>
          <w14:ligatures w14:val="standardContextu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89683F">
        <w:rPr>
          <w:rFonts w:ascii="Verdana" w:eastAsia="Aptos" w:hAnsi="Verdana" w:cs="Times New Roman"/>
          <w:kern w:val="2"/>
          <w:lang w:val="es-ES_tradnl"/>
          <w14:ligatures w14:val="standardContextual"/>
        </w:rPr>
        <w:br/>
      </w:r>
      <w:hyperlink r:id="rId18" w:tgtFrame="_new" w:history="1">
        <w:r w:rsidRPr="0089683F">
          <w:rPr>
            <w:rFonts w:ascii="Verdana" w:eastAsia="Aptos" w:hAnsi="Verdana" w:cs="Times New Roman"/>
            <w:color w:val="0000FF"/>
            <w:kern w:val="2"/>
            <w:u w:val="single"/>
            <w:lang w:val="es-ES_tradnl"/>
            <w14:ligatures w14:val="standardContextual"/>
          </w:rPr>
          <w:t>https://formacionvirtual.colombiacompra.gov.co/mod/page/view.php?id=3718</w:t>
        </w:r>
      </w:hyperlink>
    </w:p>
    <w:p w14:paraId="37D41B04" w14:textId="77777777" w:rsidR="0089683F" w:rsidRPr="0089683F" w:rsidRDefault="0089683F" w:rsidP="0089683F">
      <w:pPr>
        <w:spacing w:after="0" w:line="276" w:lineRule="auto"/>
        <w:jc w:val="both"/>
        <w:rPr>
          <w:rFonts w:ascii="Verdana" w:eastAsia="Aptos" w:hAnsi="Verdana" w:cs="Times New Roman"/>
          <w:kern w:val="2"/>
          <w:lang w:val="es-ES_tradnl"/>
          <w14:ligatures w14:val="standardContextual"/>
        </w:rPr>
      </w:pPr>
    </w:p>
    <w:p w14:paraId="5F1D33D4" w14:textId="77777777" w:rsidR="0089683F" w:rsidRPr="0089683F" w:rsidRDefault="0089683F" w:rsidP="0089683F">
      <w:pPr>
        <w:spacing w:after="0" w:line="276" w:lineRule="auto"/>
        <w:jc w:val="both"/>
        <w:rPr>
          <w:rFonts w:ascii="Verdana" w:eastAsia="Aptos" w:hAnsi="Verdana" w:cs="Times New Roman"/>
          <w:kern w:val="2"/>
          <w:lang w:val="es-ES_tradnl"/>
          <w14:ligatures w14:val="standardContextual"/>
        </w:rPr>
      </w:pPr>
      <w:r w:rsidRPr="0089683F">
        <w:rPr>
          <w:rFonts w:ascii="Verdana" w:eastAsia="Aptos" w:hAnsi="Verdana" w:cs="Times New Roman"/>
          <w:kern w:val="2"/>
          <w:lang w:val="es-ES_tradnl"/>
          <w14:ligatures w14:val="standardContextual"/>
        </w:rPr>
        <w:t xml:space="preserve">De otro lado, te contamos que esta Agencia ha da un paso decisivo en la estandarización y modernización del </w:t>
      </w:r>
      <w:r w:rsidRPr="0089683F">
        <w:rPr>
          <w:rFonts w:ascii="Verdana" w:eastAsia="Aptos" w:hAnsi="Verdana" w:cs="Times New Roman"/>
          <w:b/>
          <w:bCs/>
          <w:kern w:val="2"/>
          <w:lang w:val="es-ES_tradnl"/>
          <w14:ligatures w14:val="standardContextual"/>
        </w:rPr>
        <w:t>sector  social</w:t>
      </w:r>
      <w:r w:rsidRPr="0089683F">
        <w:rPr>
          <w:rFonts w:ascii="Verdana" w:eastAsia="Aptos" w:hAnsi="Verdana" w:cs="Times New Roman"/>
          <w:kern w:val="2"/>
          <w:lang w:val="es-ES_tradnl"/>
          <w14:ligatures w14:val="standardContextual"/>
        </w:rPr>
        <w:t xml:space="preserve"> con la expedición de las </w:t>
      </w:r>
      <w:r w:rsidRPr="0089683F">
        <w:rPr>
          <w:rFonts w:ascii="Verdana" w:eastAsia="Aptos" w:hAnsi="Verdana" w:cs="Times New Roman"/>
          <w:b/>
          <w:bCs/>
          <w:kern w:val="2"/>
          <w:lang w:val="es-ES_tradnl"/>
          <w14:ligatures w14:val="standardContextual"/>
        </w:rPr>
        <w:t>Resoluciones 539, 540, 541, 952 y 953 de 2025</w:t>
      </w:r>
      <w:r w:rsidRPr="0089683F">
        <w:rPr>
          <w:rFonts w:ascii="Verdana" w:eastAsia="Aptos" w:hAnsi="Verdana" w:cs="Times New Roman"/>
          <w:kern w:val="2"/>
          <w:lang w:val="es-ES_tradnl"/>
          <w14:ligatures w14:val="standardContextual"/>
        </w:rPr>
        <w:t xml:space="preserve">, </w:t>
      </w:r>
      <w:r w:rsidRPr="0089683F">
        <w:rPr>
          <w:rFonts w:ascii="Verdana" w:eastAsia="Aptos" w:hAnsi="Verdana" w:cs="Times New Roman"/>
          <w:b/>
          <w:bCs/>
          <w:kern w:val="2"/>
          <w:lang w:val="es-ES_tradnl"/>
          <w14:ligatures w14:val="standardContextual"/>
        </w:rPr>
        <w:t>mediante las cuales adoptó Documentos Tipo</w:t>
      </w:r>
      <w:r w:rsidRPr="0089683F">
        <w:rPr>
          <w:rFonts w:ascii="Verdana" w:eastAsia="Aptos" w:hAnsi="Verdana" w:cs="Times New Roman"/>
          <w:kern w:val="2"/>
          <w:lang w:val="es-ES_tradnl"/>
          <w14:ligatures w14:val="standardContextual"/>
        </w:rPr>
        <w:t xml:space="preserve"> para las modalidades de selección de</w:t>
      </w:r>
      <w:r w:rsidRPr="0089683F">
        <w:rPr>
          <w:rFonts w:ascii="Verdana" w:eastAsia="Aptos" w:hAnsi="Verdana" w:cs="Times New Roman"/>
          <w:b/>
          <w:bCs/>
          <w:kern w:val="2"/>
          <w:lang w:val="es-ES_tradnl"/>
          <w14:ligatures w14:val="standardContextual"/>
        </w:rPr>
        <w:t xml:space="preserve"> licitación pública (versión 2), selección abreviada de menor cuantía, mínima cuantía, consultoría e interventoría</w:t>
      </w:r>
      <w:r w:rsidRPr="0089683F">
        <w:rPr>
          <w:rFonts w:ascii="Verdana" w:eastAsia="Aptos" w:hAnsi="Verdana" w:cs="Times New Roman"/>
          <w:kern w:val="2"/>
          <w:lang w:val="es-ES_tradnl"/>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9" w:tgtFrame="_new" w:history="1">
        <w:r w:rsidRPr="0089683F">
          <w:rPr>
            <w:rFonts w:ascii="Verdana" w:eastAsia="Aptos" w:hAnsi="Verdana" w:cs="Times New Roman"/>
            <w:color w:val="0000FF"/>
            <w:kern w:val="2"/>
            <w:u w:val="single"/>
            <w:lang w:val="es-ES_tradnl"/>
            <w14:ligatures w14:val="standardContextual"/>
          </w:rPr>
          <w:t>https://www.colombiacompra.gov.co/normativa-y-relatoria/documentos-tipo</w:t>
        </w:r>
      </w:hyperlink>
    </w:p>
    <w:p w14:paraId="7E5A41E0" w14:textId="77777777" w:rsidR="0089683F" w:rsidRPr="0089683F" w:rsidRDefault="0089683F" w:rsidP="0089683F">
      <w:pPr>
        <w:spacing w:after="0" w:line="276" w:lineRule="auto"/>
        <w:jc w:val="both"/>
        <w:rPr>
          <w:rFonts w:ascii="Verdana" w:eastAsia="Aptos" w:hAnsi="Verdana" w:cs="Times New Roman"/>
          <w:kern w:val="2"/>
          <w:lang w:val="es-ES_tradnl"/>
          <w14:ligatures w14:val="standardContextual"/>
        </w:rPr>
      </w:pPr>
    </w:p>
    <w:p w14:paraId="679E23DC" w14:textId="77777777" w:rsidR="0089683F" w:rsidRPr="0089683F" w:rsidRDefault="0089683F" w:rsidP="0089683F">
      <w:pPr>
        <w:spacing w:after="0" w:line="276" w:lineRule="auto"/>
        <w:jc w:val="both"/>
        <w:rPr>
          <w:rFonts w:ascii="Verdana" w:eastAsia="Aptos" w:hAnsi="Verdana" w:cs="Times New Roman"/>
          <w:kern w:val="2"/>
          <w:lang w:val="es-ES_tradnl"/>
          <w14:ligatures w14:val="standardContextual"/>
        </w:rPr>
      </w:pPr>
      <w:r w:rsidRPr="0089683F">
        <w:rPr>
          <w:rFonts w:ascii="Verdana" w:eastAsia="Aptos" w:hAnsi="Verdana" w:cs="Times New Roman"/>
          <w:kern w:val="2"/>
          <w:lang w:val="es-ES_tradnl"/>
          <w14:ligatures w14:val="standardContextual"/>
        </w:rPr>
        <w:t xml:space="preserve">Si quieres conocer más sobre la aplicación de Documentos Tipo, puedes consultar la última versión de la </w:t>
      </w:r>
      <w:r w:rsidRPr="0089683F">
        <w:rPr>
          <w:rFonts w:ascii="Verdana" w:eastAsia="Aptos" w:hAnsi="Verdana" w:cs="Times New Roman"/>
          <w:b/>
          <w:bCs/>
          <w:kern w:val="2"/>
          <w:lang w:val="es-ES_tradnl"/>
          <w14:ligatures w14:val="standardContextual"/>
        </w:rPr>
        <w:t>Guía para la comprensión e implementación de los Documentos Tipo de obra pública de infraestructura de transporte</w:t>
      </w:r>
      <w:r w:rsidRPr="0089683F">
        <w:rPr>
          <w:rFonts w:ascii="Verdana" w:eastAsia="Aptos" w:hAnsi="Verdana" w:cs="Times New Roman"/>
          <w:kern w:val="2"/>
          <w:lang w:val="es-ES_tradnl"/>
          <w14:ligatures w14:val="standardContextual"/>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w:t>
      </w:r>
      <w:proofErr w:type="gramStart"/>
      <w:r w:rsidRPr="0089683F">
        <w:rPr>
          <w:rFonts w:ascii="Verdana" w:eastAsia="Aptos" w:hAnsi="Verdana" w:cs="Times New Roman"/>
          <w:kern w:val="2"/>
          <w:lang w:val="es-ES_tradnl"/>
          <w14:ligatures w14:val="standardContextual"/>
        </w:rPr>
        <w:t>Además</w:t>
      </w:r>
      <w:proofErr w:type="gramEnd"/>
      <w:r w:rsidRPr="0089683F">
        <w:rPr>
          <w:rFonts w:ascii="Verdana" w:eastAsia="Aptos" w:hAnsi="Verdana" w:cs="Times New Roman"/>
          <w:kern w:val="2"/>
          <w:lang w:val="es-ES_tradnl"/>
          <w14:ligatures w14:val="standardContextual"/>
        </w:rPr>
        <w:t xml:space="preserve"> se incluyeron lineamientos que orientan la implementación de los criterios ambientales y sociales incluidos en los documentos tipo. Consulta la guía aquí:</w:t>
      </w:r>
      <w:r w:rsidRPr="0089683F">
        <w:rPr>
          <w:rFonts w:ascii="Verdana" w:eastAsia="Aptos" w:hAnsi="Verdana" w:cs="Times New Roman"/>
          <w:kern w:val="2"/>
          <w:lang w:val="es-ES_tradnl"/>
          <w14:ligatures w14:val="standardContextual"/>
        </w:rPr>
        <w:br/>
      </w:r>
      <w:hyperlink r:id="rId20" w:tgtFrame="_new" w:history="1">
        <w:r w:rsidRPr="0089683F">
          <w:rPr>
            <w:rFonts w:ascii="Verdana" w:eastAsia="Aptos" w:hAnsi="Verdana" w:cs="Times New Roman"/>
            <w:color w:val="0000FF"/>
            <w:kern w:val="2"/>
            <w:u w:val="single"/>
            <w:lang w:val="es-ES_tradnl"/>
            <w14:ligatures w14:val="standardContextual"/>
          </w:rPr>
          <w:t>https://www.colombiacompra.gov.co/archivos/manual/guia-para-la-comprension-e-implementacion-de-los-documentos-tipo-de-obra-publica-de-infraestructura-de-transporte-bajo-las-diferentes-modalidades-de-contratacion-vigentes</w:t>
        </w:r>
      </w:hyperlink>
    </w:p>
    <w:p w14:paraId="38D2A7EF" w14:textId="77777777" w:rsidR="0089683F" w:rsidRPr="0089683F" w:rsidRDefault="0089683F" w:rsidP="0089683F">
      <w:pPr>
        <w:widowControl w:val="0"/>
        <w:autoSpaceDE w:val="0"/>
        <w:autoSpaceDN w:val="0"/>
        <w:spacing w:after="0" w:line="276" w:lineRule="auto"/>
        <w:jc w:val="both"/>
        <w:rPr>
          <w:rFonts w:ascii="Verdana" w:eastAsia="Calibri" w:hAnsi="Verdana" w:cs="Arial"/>
          <w:shd w:val="clear" w:color="auto" w:fill="FFFFFF"/>
          <w:lang w:val="es-ES_tradnl"/>
        </w:rPr>
      </w:pPr>
    </w:p>
    <w:p w14:paraId="04813CB7" w14:textId="77777777" w:rsidR="0089683F" w:rsidRPr="0089683F" w:rsidRDefault="0089683F" w:rsidP="0089683F">
      <w:pPr>
        <w:spacing w:after="0" w:line="276" w:lineRule="auto"/>
        <w:jc w:val="both"/>
        <w:rPr>
          <w:rFonts w:ascii="Verdana" w:eastAsia="Calibri" w:hAnsi="Verdana" w:cs="Times New Roman"/>
          <w:lang w:val="es-ES_tradnl"/>
        </w:rPr>
      </w:pPr>
      <w:r w:rsidRPr="0089683F">
        <w:rPr>
          <w:rFonts w:ascii="Verdana" w:eastAsia="Calibri" w:hAnsi="Verdana" w:cs="Times New Roman"/>
          <w:lang w:val="es-ES_tradnl"/>
        </w:rPr>
        <w:t xml:space="preserve">Por último, los invitamos a seguirnos en las redes sociales, en las cuales se difunde información institucional: </w:t>
      </w:r>
    </w:p>
    <w:p w14:paraId="6D02F77E" w14:textId="77777777" w:rsidR="0089683F" w:rsidRPr="0089683F" w:rsidRDefault="0089683F" w:rsidP="0089683F">
      <w:pPr>
        <w:spacing w:after="0" w:line="240" w:lineRule="auto"/>
        <w:jc w:val="both"/>
        <w:rPr>
          <w:rFonts w:ascii="Verdana" w:eastAsia="Calibri" w:hAnsi="Verdana" w:cs="Times New Roman"/>
          <w:kern w:val="2"/>
          <w:lang w:val="es-ES_tradnl" w:eastAsia="es-MX"/>
          <w14:ligatures w14:val="standardContextual"/>
        </w:rPr>
      </w:pPr>
    </w:p>
    <w:p w14:paraId="25DD93C3" w14:textId="77777777" w:rsidR="0089683F" w:rsidRPr="0089683F" w:rsidRDefault="0089683F" w:rsidP="0089683F">
      <w:pPr>
        <w:spacing w:after="0" w:line="240" w:lineRule="auto"/>
        <w:jc w:val="both"/>
        <w:rPr>
          <w:rFonts w:ascii="Verdana" w:eastAsia="Calibri" w:hAnsi="Verdana" w:cs="Times New Roman"/>
          <w:kern w:val="2"/>
          <w:lang w:val="es-ES_tradnl" w:eastAsia="es-MX"/>
          <w14:ligatures w14:val="standardContextual"/>
        </w:rPr>
      </w:pPr>
      <w:r w:rsidRPr="0089683F">
        <w:rPr>
          <w:rFonts w:ascii="Verdana" w:eastAsia="Calibri" w:hAnsi="Verdana" w:cs="Times New Roman"/>
          <w:kern w:val="2"/>
          <w:lang w:val="es-ES_tradnl" w:eastAsia="es-MX"/>
          <w14:ligatures w14:val="standardContextual"/>
        </w:rPr>
        <w:t xml:space="preserve">X: </w:t>
      </w:r>
      <w:r w:rsidRPr="0089683F">
        <w:rPr>
          <w:rFonts w:ascii="Verdana" w:eastAsia="Calibri" w:hAnsi="Verdana" w:cs="Times New Roman"/>
          <w:kern w:val="2"/>
          <w:u w:val="single"/>
          <w:lang w:val="es-ES_tradnl" w:eastAsia="es-MX"/>
          <w14:ligatures w14:val="standardContextual"/>
        </w:rPr>
        <w:t>@colombiacompra</w:t>
      </w:r>
      <w:r w:rsidRPr="0089683F">
        <w:rPr>
          <w:rFonts w:ascii="Verdana" w:eastAsia="Calibri" w:hAnsi="Verdana" w:cs="Times New Roman"/>
          <w:kern w:val="2"/>
          <w:lang w:val="es-ES_tradnl" w:eastAsia="es-MX"/>
          <w14:ligatures w14:val="standardContextual"/>
        </w:rPr>
        <w:t xml:space="preserve"> </w:t>
      </w:r>
    </w:p>
    <w:p w14:paraId="407A6466" w14:textId="77777777" w:rsidR="0089683F" w:rsidRPr="0089683F" w:rsidRDefault="0089683F" w:rsidP="0089683F">
      <w:pPr>
        <w:spacing w:after="0" w:line="240" w:lineRule="auto"/>
        <w:jc w:val="both"/>
        <w:rPr>
          <w:rFonts w:ascii="Verdana" w:eastAsia="Calibri" w:hAnsi="Verdana" w:cs="Times New Roman"/>
          <w:kern w:val="2"/>
          <w:lang w:val="es-ES" w:eastAsia="es-MX"/>
          <w14:ligatures w14:val="standardContextual"/>
        </w:rPr>
      </w:pPr>
      <w:r w:rsidRPr="0089683F">
        <w:rPr>
          <w:rFonts w:ascii="Verdana" w:eastAsia="Calibri" w:hAnsi="Verdana" w:cs="Times New Roman"/>
          <w:kern w:val="2"/>
          <w:lang w:val="es-ES" w:eastAsia="es-MX"/>
          <w14:ligatures w14:val="standardContextual"/>
        </w:rPr>
        <w:t xml:space="preserve">Facebook: </w:t>
      </w:r>
      <w:proofErr w:type="spellStart"/>
      <w:r w:rsidRPr="0089683F">
        <w:rPr>
          <w:rFonts w:ascii="Verdana" w:eastAsia="Calibri" w:hAnsi="Verdana" w:cs="Times New Roman"/>
          <w:kern w:val="2"/>
          <w:u w:val="single"/>
          <w:lang w:val="es-ES" w:eastAsia="es-MX"/>
          <w14:ligatures w14:val="standardContextual"/>
        </w:rPr>
        <w:t>ColombiaCompraEficiente</w:t>
      </w:r>
      <w:proofErr w:type="spellEnd"/>
    </w:p>
    <w:p w14:paraId="326A7E9D" w14:textId="77777777" w:rsidR="0089683F" w:rsidRPr="0089683F" w:rsidRDefault="0089683F" w:rsidP="0089683F">
      <w:pPr>
        <w:spacing w:after="0" w:line="240" w:lineRule="auto"/>
        <w:jc w:val="both"/>
        <w:rPr>
          <w:rFonts w:ascii="Verdana" w:eastAsia="Calibri" w:hAnsi="Verdana" w:cs="Times New Roman"/>
          <w:kern w:val="2"/>
          <w:lang w:val="es-ES_tradnl" w:eastAsia="es-MX"/>
          <w14:ligatures w14:val="standardContextual"/>
        </w:rPr>
      </w:pPr>
      <w:r w:rsidRPr="0089683F">
        <w:rPr>
          <w:rFonts w:ascii="Verdana" w:eastAsia="Calibri" w:hAnsi="Verdana" w:cs="Times New Roman"/>
          <w:kern w:val="2"/>
          <w:lang w:val="es-ES_tradnl" w:eastAsia="es-MX"/>
          <w14:ligatures w14:val="standardContextual"/>
        </w:rPr>
        <w:t xml:space="preserve">LinkedIn: </w:t>
      </w:r>
      <w:r w:rsidRPr="0089683F">
        <w:rPr>
          <w:rFonts w:ascii="Verdana" w:eastAsia="Calibri" w:hAnsi="Verdana" w:cs="Times New Roman"/>
          <w:kern w:val="2"/>
          <w:u w:val="single"/>
          <w:lang w:val="es-ES_tradnl" w:eastAsia="es-MX"/>
          <w14:ligatures w14:val="standardContextual"/>
        </w:rPr>
        <w:t>Agencia Nacional de Contratación Pública - Colombia Compra Eficiente</w:t>
      </w:r>
      <w:r w:rsidRPr="0089683F">
        <w:rPr>
          <w:rFonts w:ascii="Verdana" w:eastAsia="Calibri" w:hAnsi="Verdana" w:cs="Times New Roman"/>
          <w:kern w:val="2"/>
          <w:lang w:val="es-ES_tradnl" w:eastAsia="es-MX"/>
          <w14:ligatures w14:val="standardContextual"/>
        </w:rPr>
        <w:t xml:space="preserve"> Instagram: </w:t>
      </w:r>
      <w:r w:rsidRPr="0089683F">
        <w:rPr>
          <w:rFonts w:ascii="Verdana" w:eastAsia="Calibri" w:hAnsi="Verdana" w:cs="Times New Roman"/>
          <w:kern w:val="2"/>
          <w:u w:val="single"/>
          <w:lang w:val="es-ES_tradnl" w:eastAsia="es-MX"/>
          <w14:ligatures w14:val="standardContextual"/>
        </w:rPr>
        <w:t>@colombiacompraeficiente_cce</w:t>
      </w:r>
    </w:p>
    <w:p w14:paraId="3A88138B" w14:textId="77777777" w:rsidR="0089683F" w:rsidRPr="0089683F" w:rsidRDefault="0089683F" w:rsidP="0089683F">
      <w:pPr>
        <w:widowControl w:val="0"/>
        <w:autoSpaceDE w:val="0"/>
        <w:autoSpaceDN w:val="0"/>
        <w:spacing w:after="0" w:line="276" w:lineRule="auto"/>
        <w:jc w:val="both"/>
        <w:rPr>
          <w:rFonts w:ascii="Verdana" w:eastAsia="Calibri" w:hAnsi="Verdana" w:cs="Arial"/>
          <w:kern w:val="2"/>
          <w:lang w:val="es-ES_tradnl" w:eastAsia="es-MX"/>
          <w14:ligatures w14:val="standardContextual"/>
        </w:rPr>
      </w:pPr>
    </w:p>
    <w:p w14:paraId="1162926B" w14:textId="77777777" w:rsidR="0089683F" w:rsidRPr="0089683F" w:rsidRDefault="0089683F" w:rsidP="0089683F">
      <w:pPr>
        <w:widowControl w:val="0"/>
        <w:autoSpaceDE w:val="0"/>
        <w:autoSpaceDN w:val="0"/>
        <w:spacing w:after="0" w:line="276" w:lineRule="auto"/>
        <w:jc w:val="both"/>
        <w:rPr>
          <w:rFonts w:ascii="Verdana" w:eastAsia="Calibri" w:hAnsi="Verdana" w:cs="Arial"/>
          <w:lang w:eastAsia="es-MX"/>
        </w:rPr>
      </w:pPr>
      <w:r w:rsidRPr="0089683F">
        <w:rPr>
          <w:rFonts w:ascii="Verdana" w:eastAsia="Calibri" w:hAnsi="Verdana" w:cs="Arial"/>
          <w:kern w:val="2"/>
          <w:lang w:val="es-ES_tradnl" w:eastAsia="es-MX"/>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D97BAF6" w14:textId="77777777" w:rsidR="0089683F" w:rsidRPr="0089683F" w:rsidRDefault="0089683F" w:rsidP="0089683F">
      <w:pPr>
        <w:widowControl w:val="0"/>
        <w:autoSpaceDE w:val="0"/>
        <w:autoSpaceDN w:val="0"/>
        <w:spacing w:after="0" w:line="276" w:lineRule="auto"/>
        <w:jc w:val="both"/>
        <w:rPr>
          <w:rFonts w:ascii="Verdana" w:eastAsia="Calibri" w:hAnsi="Verdana" w:cs="Arial"/>
          <w:lang w:eastAsia="es-MX"/>
        </w:rPr>
      </w:pPr>
    </w:p>
    <w:p w14:paraId="10EC29AA" w14:textId="77777777" w:rsidR="0089683F" w:rsidRPr="0089683F" w:rsidRDefault="0089683F" w:rsidP="0089683F">
      <w:pPr>
        <w:spacing w:after="0" w:line="240" w:lineRule="auto"/>
        <w:rPr>
          <w:rFonts w:ascii="Verdana" w:eastAsia="Calibri" w:hAnsi="Verdana" w:cs="Arial"/>
          <w:lang w:eastAsia="es-CO"/>
        </w:rPr>
      </w:pPr>
      <w:r w:rsidRPr="0089683F">
        <w:rPr>
          <w:rFonts w:ascii="Verdana" w:eastAsia="Times New Roman" w:hAnsi="Verdana" w:cs="Arial"/>
          <w:lang w:eastAsia="es-CO"/>
        </w:rPr>
        <w:t>Atentamente,</w:t>
      </w:r>
      <w:r w:rsidRPr="0089683F">
        <w:rPr>
          <w:rFonts w:ascii="Verdana" w:eastAsia="Calibri" w:hAnsi="Verdana" w:cs="Arial"/>
          <w:lang w:eastAsia="es-CO"/>
        </w:rPr>
        <w:t xml:space="preserve"> </w:t>
      </w:r>
    </w:p>
    <w:p w14:paraId="4F071E5F" w14:textId="7EFF8449" w:rsidR="0089683F" w:rsidRPr="0089683F" w:rsidRDefault="00842094" w:rsidP="0089683F">
      <w:pPr>
        <w:tabs>
          <w:tab w:val="left" w:pos="1320"/>
        </w:tabs>
        <w:spacing w:after="0" w:line="240" w:lineRule="auto"/>
        <w:jc w:val="center"/>
        <w:rPr>
          <w:rFonts w:ascii="Verdana" w:eastAsia="Calibri" w:hAnsi="Verdana" w:cs="Times New Roman"/>
          <w:sz w:val="24"/>
          <w:szCs w:val="24"/>
          <w:lang w:eastAsia="es-MX"/>
        </w:rPr>
      </w:pPr>
      <w:r w:rsidRPr="002C3AD6">
        <w:rPr>
          <w:rFonts w:ascii="Century Gothic" w:hAnsi="Century Gothic"/>
          <w:noProof/>
        </w:rPr>
        <w:drawing>
          <wp:inline distT="0" distB="0" distL="0" distR="0" wp14:anchorId="2B82D48A" wp14:editId="55207AE3">
            <wp:extent cx="3551709" cy="1318437"/>
            <wp:effectExtent l="0" t="0" r="4445" b="254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1"/>
                    <a:stretch>
                      <a:fillRect/>
                    </a:stretch>
                  </pic:blipFill>
                  <pic:spPr>
                    <a:xfrm>
                      <a:off x="0" y="0"/>
                      <a:ext cx="3560419" cy="1321670"/>
                    </a:xfrm>
                    <a:prstGeom prst="rect">
                      <a:avLst/>
                    </a:prstGeom>
                  </pic:spPr>
                </pic:pic>
              </a:graphicData>
            </a:graphic>
          </wp:inline>
        </w:drawing>
      </w:r>
    </w:p>
    <w:tbl>
      <w:tblPr>
        <w:tblStyle w:val="Tablaconcuadrcula"/>
        <w:tblW w:w="6521" w:type="dxa"/>
        <w:tblLook w:val="04A0" w:firstRow="1" w:lastRow="0" w:firstColumn="1" w:lastColumn="0" w:noHBand="0" w:noVBand="1"/>
      </w:tblPr>
      <w:tblGrid>
        <w:gridCol w:w="893"/>
        <w:gridCol w:w="5628"/>
      </w:tblGrid>
      <w:tr w:rsidR="0089683F" w:rsidRPr="0089683F" w14:paraId="4EA22920" w14:textId="77777777" w:rsidTr="002A1DC7">
        <w:trPr>
          <w:trHeight w:val="315"/>
        </w:trPr>
        <w:tc>
          <w:tcPr>
            <w:tcW w:w="893" w:type="dxa"/>
            <w:tcBorders>
              <w:top w:val="nil"/>
              <w:left w:val="nil"/>
              <w:bottom w:val="nil"/>
              <w:right w:val="nil"/>
            </w:tcBorders>
            <w:vAlign w:val="center"/>
            <w:hideMark/>
          </w:tcPr>
          <w:p w14:paraId="5F250484" w14:textId="77777777" w:rsidR="0089683F" w:rsidRPr="0089683F" w:rsidRDefault="0089683F" w:rsidP="0089683F">
            <w:pPr>
              <w:rPr>
                <w:rFonts w:ascii="Verdana" w:eastAsia="Calibri" w:hAnsi="Verdana" w:cs="Arial"/>
                <w:sz w:val="16"/>
                <w:szCs w:val="16"/>
                <w:lang w:eastAsia="es-ES"/>
              </w:rPr>
            </w:pPr>
            <w:r w:rsidRPr="0089683F">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2A2B2C46" w14:textId="77777777" w:rsidR="0089683F" w:rsidRPr="0089683F" w:rsidRDefault="0089683F" w:rsidP="0089683F">
            <w:pPr>
              <w:rPr>
                <w:rFonts w:ascii="Verdana" w:eastAsia="Arial" w:hAnsi="Verdana" w:cs="Arial"/>
                <w:sz w:val="16"/>
                <w:szCs w:val="16"/>
                <w:lang w:eastAsia="es-MX"/>
              </w:rPr>
            </w:pPr>
            <w:r w:rsidRPr="0089683F">
              <w:rPr>
                <w:rFonts w:ascii="Verdana" w:eastAsia="Arial" w:hAnsi="Verdana" w:cs="Arial"/>
                <w:sz w:val="16"/>
                <w:szCs w:val="16"/>
                <w:lang w:eastAsia="es-MX"/>
              </w:rPr>
              <w:t>Kevin Arlid Herrera Santa</w:t>
            </w:r>
          </w:p>
          <w:p w14:paraId="554E379F" w14:textId="77777777" w:rsidR="0089683F" w:rsidRPr="0089683F" w:rsidRDefault="0089683F" w:rsidP="0089683F">
            <w:pPr>
              <w:rPr>
                <w:rFonts w:ascii="Verdana" w:eastAsia="Arial" w:hAnsi="Verdana" w:cs="Arial"/>
                <w:sz w:val="16"/>
                <w:szCs w:val="16"/>
                <w:lang w:eastAsia="es-MX"/>
              </w:rPr>
            </w:pPr>
            <w:r w:rsidRPr="0089683F">
              <w:rPr>
                <w:rFonts w:ascii="Verdana" w:eastAsia="Arial" w:hAnsi="Verdana" w:cs="Arial"/>
                <w:sz w:val="16"/>
                <w:szCs w:val="16"/>
                <w:lang w:eastAsia="es-MX"/>
              </w:rPr>
              <w:t>Contratista de la Subdirección de Gestión Contractual</w:t>
            </w:r>
          </w:p>
          <w:p w14:paraId="34B89F76" w14:textId="77777777" w:rsidR="0089683F" w:rsidRPr="0089683F" w:rsidRDefault="0089683F" w:rsidP="0089683F">
            <w:pPr>
              <w:rPr>
                <w:rFonts w:ascii="Verdana" w:eastAsia="Arial" w:hAnsi="Verdana" w:cs="Arial"/>
                <w:sz w:val="16"/>
                <w:szCs w:val="16"/>
                <w:lang w:eastAsia="es-MX"/>
              </w:rPr>
            </w:pPr>
            <w:r w:rsidRPr="0089683F">
              <w:rPr>
                <w:rFonts w:ascii="Verdana" w:eastAsia="Arial" w:hAnsi="Verdana" w:cs="Arial"/>
                <w:sz w:val="16"/>
                <w:szCs w:val="16"/>
                <w:lang w:eastAsia="es-MX"/>
              </w:rPr>
              <w:t xml:space="preserve">Lida Milena </w:t>
            </w:r>
            <w:proofErr w:type="spellStart"/>
            <w:r w:rsidRPr="0089683F">
              <w:rPr>
                <w:rFonts w:ascii="Verdana" w:eastAsia="Arial" w:hAnsi="Verdana" w:cs="Arial"/>
                <w:sz w:val="16"/>
                <w:szCs w:val="16"/>
                <w:lang w:eastAsia="es-MX"/>
              </w:rPr>
              <w:t>Guanumen</w:t>
            </w:r>
            <w:proofErr w:type="spellEnd"/>
            <w:r w:rsidRPr="0089683F">
              <w:rPr>
                <w:rFonts w:ascii="Verdana" w:eastAsia="Arial" w:hAnsi="Verdana" w:cs="Arial"/>
                <w:sz w:val="16"/>
                <w:szCs w:val="16"/>
                <w:lang w:eastAsia="es-MX"/>
              </w:rPr>
              <w:t xml:space="preserve"> Pacheco</w:t>
            </w:r>
          </w:p>
          <w:p w14:paraId="29CA3D66" w14:textId="77777777" w:rsidR="0089683F" w:rsidRPr="0089683F" w:rsidRDefault="0089683F" w:rsidP="0089683F">
            <w:pPr>
              <w:rPr>
                <w:rFonts w:ascii="Verdana" w:eastAsia="Arial" w:hAnsi="Verdana" w:cs="Arial"/>
                <w:sz w:val="16"/>
                <w:szCs w:val="16"/>
                <w:lang w:eastAsia="es-MX"/>
              </w:rPr>
            </w:pPr>
            <w:r w:rsidRPr="0089683F">
              <w:rPr>
                <w:rFonts w:ascii="Verdana" w:eastAsia="Arial" w:hAnsi="Verdana" w:cs="Arial"/>
                <w:sz w:val="16"/>
                <w:szCs w:val="16"/>
                <w:lang w:eastAsia="es-MX"/>
              </w:rPr>
              <w:t>Contratista de la Subdirección de Gestión Contractual</w:t>
            </w:r>
          </w:p>
        </w:tc>
      </w:tr>
      <w:tr w:rsidR="0089683F" w:rsidRPr="0089683F" w14:paraId="02F70C72" w14:textId="77777777" w:rsidTr="002A1DC7">
        <w:trPr>
          <w:trHeight w:val="330"/>
        </w:trPr>
        <w:tc>
          <w:tcPr>
            <w:tcW w:w="893" w:type="dxa"/>
            <w:tcBorders>
              <w:top w:val="nil"/>
              <w:left w:val="nil"/>
              <w:bottom w:val="nil"/>
              <w:right w:val="nil"/>
            </w:tcBorders>
            <w:vAlign w:val="center"/>
            <w:hideMark/>
          </w:tcPr>
          <w:p w14:paraId="3E109DDF" w14:textId="77777777" w:rsidR="0089683F" w:rsidRPr="0089683F" w:rsidRDefault="0089683F" w:rsidP="0089683F">
            <w:pPr>
              <w:rPr>
                <w:rFonts w:ascii="Verdana" w:eastAsia="Calibri" w:hAnsi="Verdana" w:cs="Arial"/>
                <w:sz w:val="16"/>
                <w:szCs w:val="16"/>
                <w:lang w:eastAsia="es-ES"/>
              </w:rPr>
            </w:pPr>
            <w:r w:rsidRPr="0089683F">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1E854769" w14:textId="77777777" w:rsidR="0089683F" w:rsidRPr="0089683F" w:rsidRDefault="0089683F" w:rsidP="0089683F">
            <w:pPr>
              <w:textAlignment w:val="baseline"/>
              <w:rPr>
                <w:rFonts w:ascii="Verdana" w:eastAsia="Times New Roman" w:hAnsi="Verdana" w:cs="Segoe UI"/>
                <w:sz w:val="16"/>
                <w:szCs w:val="16"/>
                <w:lang w:val="es-ES" w:eastAsia="es-ES"/>
              </w:rPr>
            </w:pPr>
            <w:r w:rsidRPr="0089683F">
              <w:rPr>
                <w:rFonts w:ascii="Verdana" w:eastAsia="Times New Roman" w:hAnsi="Verdana" w:cs="Segoe UI"/>
                <w:sz w:val="16"/>
                <w:szCs w:val="16"/>
                <w:lang w:val="es-ES" w:eastAsia="es-ES"/>
              </w:rPr>
              <w:t>Martha Alicia Romero Vargas</w:t>
            </w:r>
          </w:p>
          <w:p w14:paraId="7A1140FC" w14:textId="77777777" w:rsidR="0089683F" w:rsidRPr="0089683F" w:rsidRDefault="0089683F" w:rsidP="0089683F">
            <w:pPr>
              <w:textAlignment w:val="baseline"/>
              <w:rPr>
                <w:rFonts w:ascii="Verdana" w:eastAsia="Times New Roman" w:hAnsi="Verdana" w:cs="Segoe UI"/>
                <w:sz w:val="16"/>
                <w:szCs w:val="16"/>
                <w:lang w:eastAsia="es-ES_tradnl"/>
              </w:rPr>
            </w:pPr>
            <w:r w:rsidRPr="0089683F">
              <w:rPr>
                <w:rFonts w:ascii="Verdana" w:eastAsia="Times New Roman" w:hAnsi="Verdana" w:cs="Arial"/>
                <w:sz w:val="16"/>
                <w:szCs w:val="16"/>
                <w:lang w:val="es-ES_tradnl" w:eastAsia="es-ES_tradnl"/>
              </w:rPr>
              <w:t>Gestor T1-15 de la Subdirección de Gestión Contractual </w:t>
            </w:r>
          </w:p>
        </w:tc>
      </w:tr>
      <w:tr w:rsidR="0089683F" w:rsidRPr="0089683F" w14:paraId="4E20FDC0" w14:textId="77777777" w:rsidTr="002A1DC7">
        <w:trPr>
          <w:trHeight w:val="300"/>
        </w:trPr>
        <w:tc>
          <w:tcPr>
            <w:tcW w:w="893" w:type="dxa"/>
            <w:tcBorders>
              <w:top w:val="nil"/>
              <w:left w:val="nil"/>
              <w:bottom w:val="nil"/>
              <w:right w:val="nil"/>
            </w:tcBorders>
            <w:vAlign w:val="center"/>
          </w:tcPr>
          <w:p w14:paraId="5AA51F7E" w14:textId="77777777" w:rsidR="0089683F" w:rsidRPr="0089683F" w:rsidRDefault="0089683F" w:rsidP="0089683F">
            <w:pPr>
              <w:rPr>
                <w:rFonts w:ascii="Verdana" w:eastAsia="Calibri" w:hAnsi="Verdana" w:cs="Arial"/>
                <w:sz w:val="16"/>
                <w:szCs w:val="16"/>
                <w:lang w:eastAsia="es-ES"/>
              </w:rPr>
            </w:pPr>
            <w:r w:rsidRPr="0089683F">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0BB619D1" w14:textId="77777777" w:rsidR="0089683F" w:rsidRPr="0089683F" w:rsidRDefault="0089683F" w:rsidP="0089683F">
            <w:pPr>
              <w:rPr>
                <w:rFonts w:ascii="Verdana" w:eastAsia="Calibri" w:hAnsi="Verdana" w:cs="Arial"/>
                <w:sz w:val="16"/>
                <w:szCs w:val="16"/>
                <w:lang w:eastAsia="es-ES"/>
              </w:rPr>
            </w:pPr>
            <w:r w:rsidRPr="0089683F">
              <w:rPr>
                <w:rFonts w:ascii="Verdana" w:eastAsia="Calibri" w:hAnsi="Verdana" w:cs="Arial"/>
                <w:sz w:val="16"/>
                <w:szCs w:val="16"/>
                <w:lang w:eastAsia="es-ES"/>
              </w:rPr>
              <w:t>Carolina Quintero Gacharná</w:t>
            </w:r>
          </w:p>
          <w:p w14:paraId="640926C3" w14:textId="77777777" w:rsidR="0089683F" w:rsidRPr="0089683F" w:rsidRDefault="0089683F" w:rsidP="0089683F">
            <w:pPr>
              <w:rPr>
                <w:rFonts w:ascii="Verdana" w:eastAsia="Calibri" w:hAnsi="Verdana" w:cs="Arial"/>
                <w:sz w:val="16"/>
                <w:szCs w:val="16"/>
                <w:lang w:eastAsia="es-ES"/>
              </w:rPr>
            </w:pPr>
            <w:r w:rsidRPr="0089683F">
              <w:rPr>
                <w:rFonts w:ascii="Verdana" w:eastAsia="Calibri" w:hAnsi="Verdana" w:cs="Arial"/>
                <w:sz w:val="16"/>
                <w:szCs w:val="16"/>
                <w:lang w:eastAsia="es-ES"/>
              </w:rPr>
              <w:t>Subdirectora de Gestión Contractual ANCP – CCE</w:t>
            </w:r>
          </w:p>
        </w:tc>
      </w:tr>
    </w:tbl>
    <w:p w14:paraId="7C9026E2" w14:textId="1C3A2788" w:rsidR="002A0DD0" w:rsidRPr="00203355" w:rsidRDefault="002A0DD0" w:rsidP="00203355">
      <w:pPr>
        <w:spacing w:after="0" w:line="240" w:lineRule="auto"/>
        <w:textAlignment w:val="baseline"/>
        <w:rPr>
          <w:rFonts w:ascii="Verdana" w:eastAsia="Verdana" w:hAnsi="Verdana" w:cs="Verdana"/>
          <w:lang w:eastAsia="es-CO"/>
        </w:rPr>
      </w:pPr>
    </w:p>
    <w:p w14:paraId="69BC4D14" w14:textId="0F5BAAE6"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22"/>
      <w:footerReference w:type="default" r:id="rId2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BE89BD" w14:textId="77777777" w:rsidR="000E30DA" w:rsidRDefault="000E30DA" w:rsidP="004A1847">
      <w:pPr>
        <w:spacing w:after="0" w:line="240" w:lineRule="auto"/>
      </w:pPr>
      <w:r>
        <w:separator/>
      </w:r>
    </w:p>
  </w:endnote>
  <w:endnote w:type="continuationSeparator" w:id="0">
    <w:p w14:paraId="3A362EDB" w14:textId="77777777" w:rsidR="000E30DA" w:rsidRDefault="000E30D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rial,Calibri">
    <w:altName w:val="Times New Roman"/>
    <w:charset w:val="00"/>
    <w:family w:val="roman"/>
    <w:pitch w:val="default"/>
  </w:font>
  <w:font w:name="AppleSystemUIFont">
    <w:altName w:val="Calibri"/>
    <w:panose1 w:val="00000000000000000000"/>
    <w:charset w:val="00"/>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789430" w14:textId="77777777" w:rsidR="000E30DA" w:rsidRDefault="000E30DA" w:rsidP="004A1847">
      <w:pPr>
        <w:spacing w:after="0" w:line="240" w:lineRule="auto"/>
      </w:pPr>
      <w:r>
        <w:separator/>
      </w:r>
    </w:p>
  </w:footnote>
  <w:footnote w:type="continuationSeparator" w:id="0">
    <w:p w14:paraId="1B5EB80B" w14:textId="77777777" w:rsidR="000E30DA" w:rsidRDefault="000E30DA" w:rsidP="004A1847">
      <w:pPr>
        <w:spacing w:after="0" w:line="240" w:lineRule="auto"/>
      </w:pPr>
      <w:r>
        <w:continuationSeparator/>
      </w:r>
    </w:p>
  </w:footnote>
  <w:footnote w:id="1">
    <w:p w14:paraId="4624DF23" w14:textId="77777777" w:rsidR="0089683F" w:rsidRPr="002206B9" w:rsidRDefault="0089683F" w:rsidP="0089683F">
      <w:pPr>
        <w:pStyle w:val="Textonotapie"/>
        <w:ind w:firstLine="708"/>
        <w:jc w:val="both"/>
        <w:rPr>
          <w:rFonts w:ascii="Verdana" w:hAnsi="Verdana" w:cs="Arial"/>
          <w:sz w:val="18"/>
          <w:szCs w:val="18"/>
          <w:lang w:val="es-ES"/>
        </w:rPr>
      </w:pPr>
      <w:r w:rsidRPr="002206B9">
        <w:rPr>
          <w:rStyle w:val="Refdenotaalpie"/>
          <w:rFonts w:ascii="Verdana" w:hAnsi="Verdana" w:cs="Arial"/>
          <w:sz w:val="18"/>
          <w:szCs w:val="18"/>
        </w:rPr>
        <w:footnoteRef/>
      </w:r>
      <w:r w:rsidRPr="002206B9">
        <w:rPr>
          <w:rFonts w:ascii="Verdana" w:hAnsi="Verdana" w:cs="Arial"/>
          <w:sz w:val="18"/>
          <w:szCs w:val="18"/>
        </w:rPr>
        <w:t xml:space="preserve"> Diccionario de la Real Academia Española, versión online disponible en: </w:t>
      </w:r>
      <w:hyperlink r:id="rId1" w:history="1">
        <w:r w:rsidRPr="002206B9">
          <w:rPr>
            <w:rStyle w:val="Hipervnculo"/>
            <w:rFonts w:ascii="Verdana" w:hAnsi="Verdana" w:cs="Arial"/>
            <w:color w:val="auto"/>
            <w:sz w:val="18"/>
            <w:szCs w:val="18"/>
          </w:rPr>
          <w:t>https://dle.rae.es/est%C3%A1ndar</w:t>
        </w:r>
      </w:hyperlink>
      <w:r w:rsidRPr="002206B9">
        <w:rPr>
          <w:rFonts w:ascii="Verdana" w:hAnsi="Verdana" w:cs="Arial"/>
          <w:sz w:val="18"/>
          <w:szCs w:val="18"/>
        </w:rPr>
        <w:t>, consultado</w:t>
      </w:r>
      <w:r>
        <w:rPr>
          <w:rFonts w:ascii="Verdana" w:hAnsi="Verdana" w:cs="Arial"/>
          <w:sz w:val="18"/>
          <w:szCs w:val="18"/>
        </w:rPr>
        <w:t xml:space="preserve"> el</w:t>
      </w:r>
      <w:r w:rsidRPr="002206B9">
        <w:rPr>
          <w:rFonts w:ascii="Verdana" w:hAnsi="Verdana" w:cs="Arial"/>
          <w:sz w:val="18"/>
          <w:szCs w:val="18"/>
        </w:rPr>
        <w:t xml:space="preserve"> 23 de abril de 2026</w:t>
      </w:r>
      <w:r>
        <w:rPr>
          <w:rFonts w:ascii="Verdana" w:hAnsi="Verdana" w:cs="Arial"/>
          <w:sz w:val="18"/>
          <w:szCs w:val="18"/>
        </w:rPr>
        <w:t>.</w:t>
      </w:r>
    </w:p>
  </w:footnote>
  <w:footnote w:id="2">
    <w:p w14:paraId="0F912C44" w14:textId="77777777" w:rsidR="0089683F" w:rsidRPr="002206B9" w:rsidRDefault="0089683F" w:rsidP="0089683F">
      <w:pPr>
        <w:pStyle w:val="Textonotapie"/>
        <w:jc w:val="both"/>
        <w:rPr>
          <w:rFonts w:ascii="Verdana" w:hAnsi="Verdana" w:cs="Arial"/>
          <w:sz w:val="18"/>
          <w:szCs w:val="18"/>
        </w:rPr>
      </w:pPr>
    </w:p>
    <w:p w14:paraId="4F5BEB6B" w14:textId="77777777" w:rsidR="0089683F" w:rsidRPr="002206B9" w:rsidRDefault="0089683F" w:rsidP="0089683F">
      <w:pPr>
        <w:pStyle w:val="Textonotapie"/>
        <w:ind w:firstLine="709"/>
        <w:jc w:val="both"/>
        <w:rPr>
          <w:rFonts w:ascii="Verdana" w:hAnsi="Verdana" w:cs="Arial"/>
          <w:sz w:val="18"/>
          <w:szCs w:val="18"/>
          <w:lang w:val="es-ES"/>
        </w:rPr>
      </w:pPr>
      <w:r w:rsidRPr="002206B9">
        <w:rPr>
          <w:rStyle w:val="Refdenotaalpie"/>
          <w:rFonts w:ascii="Verdana" w:hAnsi="Verdana" w:cs="Arial"/>
          <w:sz w:val="18"/>
          <w:szCs w:val="18"/>
        </w:rPr>
        <w:footnoteRef/>
      </w:r>
      <w:r w:rsidRPr="002206B9">
        <w:rPr>
          <w:rFonts w:ascii="Verdana" w:hAnsi="Verdana" w:cs="Arial"/>
          <w:sz w:val="18"/>
          <w:szCs w:val="18"/>
        </w:rPr>
        <w:t xml:space="preserve"> </w:t>
      </w:r>
      <w:r w:rsidRPr="002206B9">
        <w:rPr>
          <w:rFonts w:ascii="Verdana" w:hAnsi="Verdana" w:cs="Arial"/>
          <w:sz w:val="18"/>
          <w:szCs w:val="18"/>
          <w:lang w:val="es-ES"/>
        </w:rPr>
        <w:t>En cuanto a las resoluciones vigentes, dicha regla se observa en el artículo 3 de las Resoluciones</w:t>
      </w:r>
      <w:bookmarkStart w:id="1" w:name="_Hlk82363077"/>
      <w:r w:rsidRPr="002206B9">
        <w:rPr>
          <w:rFonts w:ascii="Verdana" w:hAnsi="Verdana" w:cs="Arial"/>
          <w:sz w:val="18"/>
          <w:szCs w:val="18"/>
          <w:lang w:val="es-ES"/>
        </w:rPr>
        <w:t xml:space="preserve"> 248 de 2020, 249 de 2020, 269 de 2020, 219 de 2021, 220 de 2021, 392 de 2021, 454 de 2021, 333 de 2022, 358 de 2023, 798 de 2023, 456 de 2024, 463 de 2024, 464 de 2024, 725 de 2024, 726 de 2024, entre otras</w:t>
      </w:r>
      <w:bookmarkEnd w:id="1"/>
      <w:r w:rsidRPr="002206B9">
        <w:rPr>
          <w:rFonts w:ascii="Verdana" w:hAnsi="Verdana" w:cs="Arial"/>
          <w:sz w:val="18"/>
          <w:szCs w:val="18"/>
          <w:lang w:val="es-ES"/>
        </w:rPr>
        <w:t xml:space="preserve">. </w:t>
      </w:r>
    </w:p>
    <w:p w14:paraId="146342FD" w14:textId="77777777" w:rsidR="0089683F" w:rsidRPr="002206B9" w:rsidRDefault="0089683F" w:rsidP="0089683F">
      <w:pPr>
        <w:pStyle w:val="Textonotapie"/>
        <w:ind w:firstLine="709"/>
        <w:jc w:val="both"/>
        <w:rPr>
          <w:rFonts w:ascii="Verdana" w:hAnsi="Verdana" w:cs="Arial"/>
          <w:sz w:val="18"/>
          <w:szCs w:val="18"/>
          <w:lang w:val="es-ES"/>
        </w:rPr>
      </w:pPr>
    </w:p>
  </w:footnote>
  <w:footnote w:id="3">
    <w:p w14:paraId="3F0D9297" w14:textId="77777777" w:rsidR="0089683F" w:rsidRPr="002206B9" w:rsidRDefault="0089683F" w:rsidP="0089683F">
      <w:pPr>
        <w:pStyle w:val="Textonotapie"/>
        <w:ind w:firstLine="708"/>
        <w:jc w:val="both"/>
        <w:rPr>
          <w:rFonts w:ascii="Verdana" w:hAnsi="Verdana" w:cs="Arial"/>
          <w:sz w:val="18"/>
          <w:szCs w:val="18"/>
        </w:rPr>
      </w:pPr>
      <w:r w:rsidRPr="002206B9">
        <w:rPr>
          <w:rStyle w:val="Refdenotaalpie"/>
          <w:rFonts w:ascii="Verdana" w:hAnsi="Verdana" w:cs="Arial"/>
          <w:sz w:val="18"/>
          <w:szCs w:val="18"/>
        </w:rPr>
        <w:footnoteRef/>
      </w:r>
      <w:r w:rsidRPr="002206B9">
        <w:rPr>
          <w:rFonts w:ascii="Verdana" w:hAnsi="Verdana" w:cs="Arial"/>
          <w:sz w:val="18"/>
          <w:szCs w:val="18"/>
        </w:rPr>
        <w:t xml:space="preserve"> En torno a las potestades regladas, García de Enterría y Ramón Fernández manifiestan: “El ejercicio de las potestades regladas reduce a la Administración a la constatación (accertamento, en el expresivo concepto italiano) del supuesto de hecho legalmente definido de manera completa y aplicar en presencia del mismo lo que la propia Ley ha determinado también agotadoramente […] La decisión en que consista el ejercicio de la potestad es obligatoria en presencia de dicho supuesto y su contenido no puede ser configurado libremente por la Administración, sino que ha de limitarse a lo que la propia Ley ha previsto sobre ese contenido de modo preciso y completo” (GARCÍA DE ENTERRÍA, Eduardo; y RAMÓN FERNÁNDEZ, Tomas. Curso de derecho administrativo. Tomo I. Madrid: Civitas, 1997. pp. 444-445).</w:t>
      </w:r>
    </w:p>
    <w:p w14:paraId="06BD8AEB" w14:textId="77777777" w:rsidR="0089683F" w:rsidRPr="002206B9" w:rsidRDefault="0089683F" w:rsidP="0089683F">
      <w:pPr>
        <w:pStyle w:val="Textonotapie"/>
        <w:ind w:firstLine="708"/>
        <w:jc w:val="both"/>
        <w:rPr>
          <w:rFonts w:ascii="Verdana" w:hAnsi="Verdana" w:cs="Arial"/>
          <w:sz w:val="18"/>
          <w:szCs w:val="18"/>
        </w:rPr>
      </w:pPr>
    </w:p>
  </w:footnote>
  <w:footnote w:id="4">
    <w:p w14:paraId="3087079A" w14:textId="77777777" w:rsidR="0089683F" w:rsidRPr="002206B9" w:rsidRDefault="0089683F" w:rsidP="0089683F">
      <w:pPr>
        <w:pStyle w:val="Textonotapie"/>
        <w:ind w:firstLine="709"/>
        <w:jc w:val="both"/>
        <w:rPr>
          <w:rFonts w:ascii="Verdana" w:hAnsi="Verdana" w:cs="Arial"/>
          <w:sz w:val="18"/>
          <w:szCs w:val="18"/>
        </w:rPr>
      </w:pPr>
      <w:r w:rsidRPr="002206B9">
        <w:rPr>
          <w:rStyle w:val="Refdenotaalpie"/>
          <w:rFonts w:ascii="Verdana" w:hAnsi="Verdana" w:cs="Arial"/>
          <w:sz w:val="18"/>
          <w:szCs w:val="18"/>
        </w:rPr>
        <w:footnoteRef/>
      </w:r>
      <w:r w:rsidRPr="002206B9">
        <w:rPr>
          <w:rFonts w:ascii="Verdana" w:hAnsi="Verdana" w:cs="Arial"/>
          <w:sz w:val="18"/>
          <w:szCs w:val="18"/>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14:paraId="473B7B8E" w14:textId="77777777" w:rsidR="0089683F" w:rsidRPr="002206B9" w:rsidRDefault="0089683F" w:rsidP="0089683F">
      <w:pPr>
        <w:pStyle w:val="Textonotapie"/>
        <w:ind w:firstLine="709"/>
        <w:jc w:val="both"/>
        <w:rPr>
          <w:rFonts w:ascii="Verdana" w:hAnsi="Verdana" w:cs="Arial"/>
          <w:sz w:val="18"/>
          <w:szCs w:val="18"/>
        </w:rPr>
      </w:pPr>
    </w:p>
  </w:footnote>
  <w:footnote w:id="5">
    <w:p w14:paraId="4FFFE3E8" w14:textId="77777777" w:rsidR="0089683F" w:rsidRPr="002206B9" w:rsidRDefault="0089683F" w:rsidP="0089683F">
      <w:pPr>
        <w:ind w:firstLine="709"/>
        <w:jc w:val="both"/>
        <w:rPr>
          <w:rFonts w:ascii="Verdana" w:hAnsi="Verdana" w:cs="Arial"/>
          <w:sz w:val="18"/>
          <w:szCs w:val="18"/>
          <w:lang w:val="es-ES"/>
        </w:rPr>
      </w:pPr>
      <w:r w:rsidRPr="002206B9">
        <w:rPr>
          <w:rStyle w:val="Refdenotaalpie"/>
          <w:rFonts w:ascii="Verdana" w:hAnsi="Verdana" w:cs="Arial"/>
          <w:sz w:val="18"/>
          <w:szCs w:val="18"/>
        </w:rPr>
        <w:footnoteRef/>
      </w:r>
      <w:r w:rsidRPr="002206B9">
        <w:rPr>
          <w:rFonts w:ascii="Verdana" w:hAnsi="Verdana" w:cs="Arial"/>
          <w:sz w:val="18"/>
          <w:szCs w:val="18"/>
        </w:rPr>
        <w:t xml:space="preserve"> </w:t>
      </w:r>
      <w:r w:rsidRPr="002206B9">
        <w:rPr>
          <w:rFonts w:ascii="Verdana" w:hAnsi="Verdana" w:cs="Arial"/>
          <w:sz w:val="18"/>
          <w:szCs w:val="18"/>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p w14:paraId="26D715A6" w14:textId="77777777" w:rsidR="0089683F" w:rsidRPr="002206B9" w:rsidRDefault="0089683F" w:rsidP="0089683F">
      <w:pPr>
        <w:ind w:firstLine="709"/>
        <w:jc w:val="both"/>
        <w:rPr>
          <w:rFonts w:ascii="Verdana" w:hAnsi="Verdana" w:cs="Arial"/>
          <w:sz w:val="18"/>
          <w:szCs w:val="18"/>
          <w:lang w:val="es-ES"/>
        </w:rPr>
      </w:pPr>
    </w:p>
  </w:footnote>
  <w:footnote w:id="6">
    <w:p w14:paraId="24663708" w14:textId="77777777" w:rsidR="0089683F" w:rsidRPr="002206B9" w:rsidRDefault="0089683F" w:rsidP="0089683F">
      <w:pPr>
        <w:pStyle w:val="Textonotapie"/>
        <w:ind w:firstLine="708"/>
        <w:jc w:val="both"/>
        <w:rPr>
          <w:rFonts w:ascii="Verdana" w:hAnsi="Verdana" w:cs="Arial"/>
          <w:sz w:val="18"/>
          <w:szCs w:val="18"/>
          <w:lang w:val="es-ES"/>
        </w:rPr>
      </w:pPr>
      <w:r w:rsidRPr="002206B9">
        <w:rPr>
          <w:rStyle w:val="Refdenotaalpie"/>
          <w:rFonts w:ascii="Verdana" w:hAnsi="Verdana" w:cs="Arial"/>
          <w:sz w:val="18"/>
          <w:szCs w:val="18"/>
        </w:rPr>
        <w:footnoteRef/>
      </w:r>
      <w:r w:rsidRPr="002206B9">
        <w:rPr>
          <w:rFonts w:ascii="Verdana" w:hAnsi="Verdana" w:cs="Arial"/>
          <w:sz w:val="18"/>
          <w:szCs w:val="18"/>
        </w:rPr>
        <w:t xml:space="preserve"> Diccionario de la Real Academia Española, versión online disponible en: </w:t>
      </w:r>
      <w:hyperlink r:id="rId2" w:history="1">
        <w:r w:rsidRPr="002206B9">
          <w:rPr>
            <w:rStyle w:val="Hipervnculo"/>
            <w:rFonts w:ascii="Verdana" w:hAnsi="Verdana" w:cs="Arial"/>
            <w:color w:val="auto"/>
            <w:sz w:val="18"/>
            <w:szCs w:val="18"/>
          </w:rPr>
          <w:t>https://dle.rae.es/est%C3%A1ndar</w:t>
        </w:r>
      </w:hyperlink>
      <w:r w:rsidRPr="002206B9">
        <w:rPr>
          <w:rFonts w:ascii="Verdana" w:hAnsi="Verdana" w:cs="Arial"/>
          <w:sz w:val="18"/>
          <w:szCs w:val="18"/>
        </w:rPr>
        <w:t xml:space="preserve">, consultado el 23 de abril de 2026. </w:t>
      </w:r>
    </w:p>
  </w:footnote>
  <w:footnote w:id="7">
    <w:p w14:paraId="0059EA74" w14:textId="77777777" w:rsidR="0089683F" w:rsidRPr="002206B9" w:rsidRDefault="0089683F" w:rsidP="0089683F">
      <w:pPr>
        <w:ind w:firstLine="708"/>
        <w:jc w:val="both"/>
        <w:rPr>
          <w:rFonts w:ascii="Verdana" w:hAnsi="Verdana" w:cs="Arial"/>
          <w:sz w:val="18"/>
          <w:szCs w:val="18"/>
        </w:rPr>
      </w:pPr>
      <w:r w:rsidRPr="002206B9">
        <w:rPr>
          <w:rStyle w:val="Refdenotaalpie"/>
          <w:rFonts w:ascii="Verdana" w:hAnsi="Verdana" w:cs="Arial"/>
          <w:sz w:val="18"/>
          <w:szCs w:val="18"/>
        </w:rPr>
        <w:footnoteRef/>
      </w:r>
      <w:r w:rsidRPr="002206B9">
        <w:rPr>
          <w:rFonts w:ascii="Verdana" w:hAnsi="Verdana" w:cs="Arial"/>
          <w:sz w:val="18"/>
          <w:szCs w:val="18"/>
        </w:rPr>
        <w:t xml:space="preserve"> Cita tomada de la providencia del 20 de febrero de 2020, dictada por el Consejo de Estado. Sección Tercera. Subsección A, dentro del expediente 47001-23-33-000-2018-00035-01 (63.854), cuya ponente fue Marta Nubia Velásquez Rico.</w:t>
      </w:r>
    </w:p>
    <w:p w14:paraId="14840EA1" w14:textId="77777777" w:rsidR="0089683F" w:rsidRPr="002206B9" w:rsidRDefault="0089683F" w:rsidP="0089683F">
      <w:pPr>
        <w:ind w:firstLine="708"/>
        <w:jc w:val="both"/>
        <w:rPr>
          <w:rFonts w:ascii="Verdana" w:hAnsi="Verdana" w:cs="Arial"/>
          <w:sz w:val="18"/>
          <w:szCs w:val="18"/>
        </w:rPr>
      </w:pPr>
    </w:p>
  </w:footnote>
  <w:footnote w:id="8">
    <w:p w14:paraId="2931E998" w14:textId="77777777" w:rsidR="0089683F" w:rsidRPr="002206B9" w:rsidRDefault="0089683F" w:rsidP="0089683F">
      <w:pPr>
        <w:pStyle w:val="Textonotapie"/>
        <w:ind w:firstLine="708"/>
        <w:jc w:val="both"/>
        <w:rPr>
          <w:rFonts w:ascii="Verdana" w:hAnsi="Verdana"/>
          <w:sz w:val="18"/>
          <w:szCs w:val="18"/>
        </w:rPr>
      </w:pPr>
      <w:r w:rsidRPr="002206B9">
        <w:rPr>
          <w:rStyle w:val="Refdenotaalpie"/>
          <w:rFonts w:ascii="Verdana" w:hAnsi="Verdana"/>
          <w:sz w:val="18"/>
          <w:szCs w:val="18"/>
        </w:rPr>
        <w:footnoteRef/>
      </w:r>
      <w:r w:rsidRPr="002206B9">
        <w:rPr>
          <w:rFonts w:ascii="Verdana" w:hAnsi="Verdana"/>
          <w:sz w:val="18"/>
          <w:szCs w:val="18"/>
        </w:rPr>
        <w:t xml:space="preserve"> Por el cual se modifican los artículos 2.2.1.2.4.2.6.,2.2.1.2.4.2.7. Y 2.2.1.2.4.2.8. del Decreto 1082 de 2015, Único Reglamentario del Sector Administrativo de Planeación.</w:t>
      </w:r>
    </w:p>
    <w:p w14:paraId="7ADB296A" w14:textId="77777777" w:rsidR="0089683F" w:rsidRPr="002206B9" w:rsidRDefault="0089683F" w:rsidP="0089683F">
      <w:pPr>
        <w:pStyle w:val="Textonotapie"/>
        <w:ind w:firstLine="708"/>
        <w:jc w:val="both"/>
        <w:rPr>
          <w:rFonts w:ascii="Verdana" w:hAnsi="Verdana"/>
          <w:sz w:val="18"/>
          <w:szCs w:val="18"/>
          <w:lang w:val="es-ES_tradnl"/>
        </w:rPr>
      </w:pPr>
    </w:p>
  </w:footnote>
  <w:footnote w:id="9">
    <w:p w14:paraId="44D0B893" w14:textId="77777777" w:rsidR="0089683F" w:rsidRPr="002206B9" w:rsidRDefault="0089683F" w:rsidP="0089683F">
      <w:pPr>
        <w:pStyle w:val="Textonotapie"/>
        <w:ind w:firstLine="708"/>
        <w:jc w:val="both"/>
        <w:rPr>
          <w:rFonts w:ascii="Verdana" w:hAnsi="Verdana"/>
          <w:sz w:val="18"/>
          <w:szCs w:val="18"/>
        </w:rPr>
      </w:pPr>
      <w:r w:rsidRPr="002206B9">
        <w:rPr>
          <w:rStyle w:val="Refdenotaalpie"/>
          <w:rFonts w:ascii="Verdana" w:hAnsi="Verdana"/>
          <w:sz w:val="18"/>
          <w:szCs w:val="18"/>
        </w:rPr>
        <w:footnoteRef/>
      </w:r>
      <w:r w:rsidRPr="002206B9">
        <w:rPr>
          <w:rFonts w:ascii="Verdana" w:hAnsi="Verdana"/>
          <w:sz w:val="18"/>
          <w:szCs w:val="18"/>
        </w:rPr>
        <w:t xml:space="preserve"> Consejo de Estado, Sección Quinta, del 12 de diciembre de 2024 (Rad. 05001-23-33-000-2024-00847-01, M.P. Omar Joaquín Barreto Suárez).</w:t>
      </w:r>
    </w:p>
    <w:p w14:paraId="1645BCFE" w14:textId="77777777" w:rsidR="0089683F" w:rsidRPr="002206B9" w:rsidRDefault="0089683F" w:rsidP="0089683F">
      <w:pPr>
        <w:pStyle w:val="Textonotapie"/>
        <w:ind w:firstLine="708"/>
        <w:jc w:val="both"/>
        <w:rPr>
          <w:rFonts w:ascii="Verdana" w:hAnsi="Verdana"/>
          <w:sz w:val="18"/>
          <w:szCs w:val="18"/>
          <w:lang w:val="es-ES_tradnl"/>
        </w:rPr>
      </w:pPr>
    </w:p>
  </w:footnote>
  <w:footnote w:id="10">
    <w:p w14:paraId="0C700ABC" w14:textId="77777777" w:rsidR="0089683F" w:rsidRPr="002206B9" w:rsidRDefault="0089683F" w:rsidP="0089683F">
      <w:pPr>
        <w:pStyle w:val="Textonotapie"/>
        <w:ind w:firstLine="708"/>
        <w:jc w:val="both"/>
        <w:rPr>
          <w:rFonts w:ascii="Verdana" w:hAnsi="Verdana"/>
          <w:sz w:val="18"/>
          <w:szCs w:val="18"/>
          <w:lang w:val="es-ES_tradnl"/>
        </w:rPr>
      </w:pPr>
      <w:r w:rsidRPr="002206B9">
        <w:rPr>
          <w:rStyle w:val="Refdenotaalpie"/>
          <w:rFonts w:ascii="Verdana" w:hAnsi="Verdana"/>
          <w:sz w:val="18"/>
          <w:szCs w:val="18"/>
        </w:rPr>
        <w:footnoteRef/>
      </w:r>
      <w:r w:rsidRPr="002206B9">
        <w:rPr>
          <w:rFonts w:ascii="Verdana" w:hAnsi="Verdana"/>
          <w:sz w:val="18"/>
          <w:szCs w:val="18"/>
        </w:rPr>
        <w:t xml:space="preserve"> "Por el cual se reglamentan los numerales 1 y 8 del artículo 13 de la Ley 1618 de 2013, sobre incentivos en Procesos de Contratación en favor de personas con discapacidad”. </w:t>
      </w:r>
    </w:p>
  </w:footnote>
  <w:footnote w:id="11">
    <w:p w14:paraId="41587316" w14:textId="77777777" w:rsidR="0089683F" w:rsidRPr="002206B9" w:rsidRDefault="0089683F" w:rsidP="0089683F">
      <w:pPr>
        <w:pStyle w:val="Textonotapie"/>
        <w:ind w:firstLine="708"/>
        <w:jc w:val="both"/>
        <w:rPr>
          <w:rFonts w:ascii="Verdana" w:hAnsi="Verdana"/>
          <w:sz w:val="18"/>
          <w:szCs w:val="18"/>
          <w:lang w:val="es-ES_tradnl"/>
        </w:rPr>
      </w:pPr>
      <w:r w:rsidRPr="002206B9">
        <w:rPr>
          <w:rStyle w:val="Refdenotaalpie"/>
          <w:rFonts w:ascii="Verdana" w:hAnsi="Verdana"/>
          <w:sz w:val="18"/>
          <w:szCs w:val="18"/>
        </w:rPr>
        <w:footnoteRef/>
      </w:r>
      <w:r w:rsidRPr="002206B9">
        <w:rPr>
          <w:rFonts w:ascii="Verdana" w:hAnsi="Verdana"/>
          <w:sz w:val="18"/>
          <w:szCs w:val="18"/>
        </w:rPr>
        <w:t xml:space="preserve"> Parte considerativa del Decreto 287 de 2026.</w:t>
      </w:r>
    </w:p>
  </w:footnote>
  <w:footnote w:id="12">
    <w:p w14:paraId="7943F3F2" w14:textId="77777777" w:rsidR="0089683F" w:rsidRPr="002206B9" w:rsidRDefault="0089683F" w:rsidP="0089683F">
      <w:pPr>
        <w:pStyle w:val="Textonotapie"/>
        <w:ind w:firstLine="708"/>
        <w:jc w:val="both"/>
        <w:rPr>
          <w:rFonts w:ascii="Verdana" w:hAnsi="Verdana"/>
          <w:sz w:val="18"/>
          <w:szCs w:val="18"/>
        </w:rPr>
      </w:pPr>
      <w:r w:rsidRPr="002206B9">
        <w:rPr>
          <w:rStyle w:val="Refdenotaalpie"/>
          <w:rFonts w:ascii="Verdana" w:hAnsi="Verdana"/>
          <w:sz w:val="18"/>
          <w:szCs w:val="18"/>
        </w:rPr>
        <w:footnoteRef/>
      </w:r>
      <w:r w:rsidRPr="002206B9">
        <w:rPr>
          <w:rFonts w:ascii="Verdana" w:hAnsi="Verdana"/>
          <w:sz w:val="18"/>
          <w:szCs w:val="18"/>
        </w:rPr>
        <w:t xml:space="preserve"> Artículo 2.2.1.2.4.2.7.3. del Decreto 1082 de 2015, modificado por el artículo 1 del Decreto 287 de 2026: “Incorporación de criterios habilitantes diferenciales en favor de los emprendimientos y empresas de personas con discapacidad. En los procesos de licitación pública, selección abreviada y concurso de méritos, así como en los procesos competitivos adelantados por entidades no sometidas al Estatuto General de Contratación de la Administración Pública, deberán establecer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w:t>
      </w:r>
    </w:p>
    <w:p w14:paraId="3EF28CC4" w14:textId="77777777" w:rsidR="0089683F" w:rsidRPr="002206B9" w:rsidRDefault="0089683F" w:rsidP="0089683F">
      <w:pPr>
        <w:pStyle w:val="Textonotapie"/>
        <w:ind w:firstLine="708"/>
        <w:jc w:val="both"/>
        <w:rPr>
          <w:rFonts w:ascii="Verdana" w:hAnsi="Verdana"/>
          <w:sz w:val="18"/>
          <w:szCs w:val="18"/>
        </w:rPr>
      </w:pPr>
      <w:r w:rsidRPr="002206B9">
        <w:rPr>
          <w:rFonts w:ascii="Verdana" w:hAnsi="Verdana"/>
          <w:sz w:val="18"/>
          <w:szCs w:val="18"/>
        </w:rPr>
        <w:t>Estos requisitos deberán estructurarse garantizando el cumplimiento adecuado del objeto contractual, teniendo en cuenta el alcance de las obligaciones y el principio de proporcionalidad. En desarrollo de lo anterior, se deberán establecer condiciones habilitantes diferenciadas o ajustadas que, sin comprometer los fines del contrato, faciliten el acceso de los emprendimientos y empresas de personas con discapacidad.</w:t>
      </w:r>
    </w:p>
    <w:p w14:paraId="7A0F0CCC" w14:textId="77777777" w:rsidR="0089683F" w:rsidRPr="002206B9" w:rsidRDefault="0089683F" w:rsidP="0089683F">
      <w:pPr>
        <w:pStyle w:val="Textonotapie"/>
        <w:ind w:firstLine="708"/>
        <w:jc w:val="both"/>
        <w:rPr>
          <w:rFonts w:ascii="Verdana" w:hAnsi="Verdana"/>
          <w:sz w:val="18"/>
          <w:szCs w:val="18"/>
          <w:lang w:val="es-ES_tradnl"/>
        </w:rPr>
      </w:pPr>
      <w:r w:rsidRPr="002206B9">
        <w:rPr>
          <w:rFonts w:ascii="Verdana" w:hAnsi="Verdana"/>
          <w:sz w:val="18"/>
          <w:szCs w:val="18"/>
        </w:rPr>
        <w:t xml:space="preserve">(…)”. </w:t>
      </w:r>
    </w:p>
  </w:footnote>
  <w:footnote w:id="13">
    <w:p w14:paraId="2E6AE6E5" w14:textId="77777777" w:rsidR="0089683F" w:rsidRPr="002206B9" w:rsidRDefault="0089683F" w:rsidP="0089683F">
      <w:pPr>
        <w:shd w:val="clear" w:color="auto" w:fill="FFFFFF"/>
        <w:ind w:firstLine="708"/>
        <w:jc w:val="both"/>
        <w:rPr>
          <w:rFonts w:ascii="Verdana" w:eastAsia="Times New Roman" w:hAnsi="Verdana" w:cs="Times New Roman"/>
          <w:sz w:val="18"/>
          <w:szCs w:val="18"/>
          <w:lang w:eastAsia="es-MX"/>
        </w:rPr>
      </w:pPr>
      <w:r w:rsidRPr="002206B9">
        <w:rPr>
          <w:rStyle w:val="Refdenotaalpie"/>
          <w:rFonts w:ascii="Verdana" w:hAnsi="Verdana"/>
          <w:sz w:val="18"/>
          <w:szCs w:val="18"/>
        </w:rPr>
        <w:footnoteRef/>
      </w:r>
      <w:r w:rsidRPr="002206B9">
        <w:rPr>
          <w:rFonts w:ascii="Verdana" w:hAnsi="Verdana"/>
          <w:sz w:val="18"/>
          <w:szCs w:val="18"/>
        </w:rPr>
        <w:t xml:space="preserve"> Al respecto el artículo 1 de la Ley 2022 de 2020 señala: “(…) </w:t>
      </w:r>
      <w:r w:rsidRPr="002206B9">
        <w:rPr>
          <w:rFonts w:ascii="Verdana" w:eastAsia="Times New Roman" w:hAnsi="Verdana" w:cs="Times New Roman"/>
          <w:sz w:val="18"/>
          <w:szCs w:val="18"/>
          <w:lang w:eastAsia="es-MX"/>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5628B189" w14:textId="77777777" w:rsidR="0089683F" w:rsidRPr="002206B9" w:rsidRDefault="0089683F" w:rsidP="0089683F">
      <w:pPr>
        <w:pStyle w:val="Textonotapie"/>
        <w:jc w:val="both"/>
        <w:rPr>
          <w:rFonts w:ascii="Verdana" w:hAnsi="Verdana"/>
          <w:sz w:val="18"/>
          <w:szCs w:val="18"/>
          <w:lang w:val="es-CO"/>
        </w:rPr>
      </w:pPr>
    </w:p>
  </w:footnote>
  <w:footnote w:id="14">
    <w:p w14:paraId="722FC682" w14:textId="77777777" w:rsidR="0089683F" w:rsidRPr="002206B9" w:rsidRDefault="0089683F" w:rsidP="0089683F">
      <w:pPr>
        <w:pStyle w:val="Textonotapie"/>
        <w:ind w:firstLine="708"/>
        <w:jc w:val="both"/>
        <w:rPr>
          <w:rFonts w:ascii="Verdana" w:hAnsi="Verdana"/>
          <w:sz w:val="18"/>
          <w:szCs w:val="18"/>
        </w:rPr>
      </w:pPr>
      <w:r w:rsidRPr="002206B9">
        <w:rPr>
          <w:rStyle w:val="Refdenotaalpie"/>
          <w:rFonts w:ascii="Verdana" w:hAnsi="Verdana"/>
          <w:sz w:val="18"/>
          <w:szCs w:val="18"/>
        </w:rPr>
        <w:footnoteRef/>
      </w:r>
      <w:r w:rsidRPr="002206B9">
        <w:rPr>
          <w:rFonts w:ascii="Verdana" w:hAnsi="Verdana"/>
          <w:sz w:val="18"/>
          <w:szCs w:val="18"/>
        </w:rPr>
        <w:t xml:space="preserve"> Artículo 1 Decreto 287 de 2026: “Artículo 2.2.1.2.4.2.7.8. Pliegos tipo, instrumentos de agregación de demanda y acuerdos marco de precios. La Agencia Nacional de Contratación Pública - Colombia Compra Eficiente garantizará la adopción permanente de las acciones necesarias para que las medidas señaladas en esta subsección se incorporen a los documentos e instrumentos que genera”. </w:t>
      </w:r>
    </w:p>
    <w:p w14:paraId="2DDF5F17" w14:textId="77777777" w:rsidR="0089683F" w:rsidRPr="002206B9" w:rsidRDefault="0089683F" w:rsidP="0089683F">
      <w:pPr>
        <w:pStyle w:val="Textonotapie"/>
        <w:jc w:val="both"/>
        <w:rPr>
          <w:rFonts w:ascii="Verdana" w:hAnsi="Verdana"/>
          <w:sz w:val="18"/>
          <w:szCs w:val="18"/>
          <w:lang w:val="es-ES_tradnl"/>
        </w:rPr>
      </w:pPr>
    </w:p>
  </w:footnote>
  <w:footnote w:id="15">
    <w:p w14:paraId="6D4FC48D" w14:textId="77777777" w:rsidR="0089683F" w:rsidRPr="002206B9" w:rsidRDefault="0089683F" w:rsidP="0089683F">
      <w:pPr>
        <w:pStyle w:val="Textonotapie"/>
        <w:ind w:firstLine="708"/>
        <w:jc w:val="both"/>
        <w:rPr>
          <w:rFonts w:ascii="Verdana" w:hAnsi="Verdana"/>
          <w:sz w:val="18"/>
          <w:szCs w:val="18"/>
        </w:rPr>
      </w:pPr>
      <w:r w:rsidRPr="002206B9">
        <w:rPr>
          <w:rStyle w:val="Refdenotaalpie"/>
          <w:rFonts w:ascii="Verdana" w:hAnsi="Verdana"/>
          <w:sz w:val="18"/>
          <w:szCs w:val="18"/>
        </w:rPr>
        <w:footnoteRef/>
      </w:r>
      <w:r w:rsidRPr="002206B9">
        <w:rPr>
          <w:rFonts w:ascii="Verdana" w:hAnsi="Verdana"/>
          <w:sz w:val="18"/>
          <w:szCs w:val="18"/>
        </w:rPr>
        <w:t xml:space="preserve"> Artículo 2.2.1.2.4.2.7.8. del Decreto 1082 de 2015, modificado por el artículo 1 del Decreto 287 de 2026.</w:t>
      </w:r>
    </w:p>
    <w:p w14:paraId="28345534" w14:textId="77777777" w:rsidR="0089683F" w:rsidRPr="002206B9" w:rsidRDefault="0089683F" w:rsidP="0089683F">
      <w:pPr>
        <w:pStyle w:val="Textonotapie"/>
        <w:ind w:firstLine="708"/>
        <w:jc w:val="both"/>
        <w:rPr>
          <w:rFonts w:ascii="Verdana" w:hAnsi="Verdana"/>
          <w:sz w:val="18"/>
          <w:szCs w:val="18"/>
          <w:lang w:val="es-ES_tradnl"/>
        </w:rPr>
      </w:pPr>
    </w:p>
  </w:footnote>
  <w:footnote w:id="16">
    <w:p w14:paraId="7AB568A7" w14:textId="77777777" w:rsidR="0089683F" w:rsidRPr="002206B9" w:rsidRDefault="0089683F" w:rsidP="0089683F">
      <w:pPr>
        <w:pStyle w:val="Textonotapie"/>
        <w:ind w:firstLine="708"/>
        <w:jc w:val="both"/>
        <w:rPr>
          <w:rFonts w:ascii="Verdana" w:hAnsi="Verdana"/>
          <w:sz w:val="18"/>
          <w:szCs w:val="18"/>
          <w:lang w:val="es-ES_tradnl"/>
        </w:rPr>
      </w:pPr>
      <w:r w:rsidRPr="002206B9">
        <w:rPr>
          <w:rStyle w:val="Refdenotaalpie"/>
          <w:rFonts w:ascii="Verdana" w:hAnsi="Verdana"/>
          <w:sz w:val="18"/>
          <w:szCs w:val="18"/>
        </w:rPr>
        <w:footnoteRef/>
      </w:r>
      <w:r w:rsidRPr="002206B9">
        <w:rPr>
          <w:rFonts w:ascii="Verdana" w:hAnsi="Verdana"/>
          <w:sz w:val="18"/>
          <w:szCs w:val="18"/>
        </w:rPr>
        <w:t xml:space="preserve"> Documento disponible en el siguiente enlace: </w:t>
      </w:r>
      <w:hyperlink r:id="rId3" w:history="1">
        <w:r w:rsidRPr="002206B9">
          <w:rPr>
            <w:rStyle w:val="Hipervnculo"/>
            <w:rFonts w:ascii="Verdana" w:hAnsi="Verdana"/>
            <w:color w:val="auto"/>
            <w:sz w:val="18"/>
            <w:szCs w:val="18"/>
          </w:rPr>
          <w:t>https://www.colombiacompra.gov.co/wp-content/uploads/2026/04/ABC-Decreto-0287-de-2026-1.pdf</w:t>
        </w:r>
      </w:hyperlink>
      <w:r w:rsidRPr="002206B9">
        <w:rPr>
          <w:rFonts w:ascii="Verdana" w:hAnsi="Verdana"/>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06552B6"/>
    <w:multiLevelType w:val="multilevel"/>
    <w:tmpl w:val="6930BAE0"/>
    <w:lvl w:ilvl="0">
      <w:start w:val="1"/>
      <w:numFmt w:val="upperRoman"/>
      <w:lvlText w:val="%1."/>
      <w:lvlJc w:val="right"/>
      <w:pPr>
        <w:ind w:left="720" w:hanging="360"/>
      </w:pPr>
      <w:rPr>
        <w:rFonts w:hint="default"/>
      </w:rPr>
    </w:lvl>
    <w:lvl w:ilvl="1">
      <w:start w:val="3"/>
      <w:numFmt w:val="decimal"/>
      <w:isLgl/>
      <w:lvlText w:val="%1.%2"/>
      <w:lvlJc w:val="left"/>
      <w:pPr>
        <w:ind w:left="795" w:hanging="435"/>
      </w:pPr>
      <w:rPr>
        <w:rFonts w:hint="default"/>
        <w:sz w:val="20"/>
      </w:rPr>
    </w:lvl>
    <w:lvl w:ilvl="2">
      <w:start w:val="3"/>
      <w:numFmt w:val="decimal"/>
      <w:isLgl/>
      <w:lvlText w:val="%1.%2.%3"/>
      <w:lvlJc w:val="left"/>
      <w:pPr>
        <w:ind w:left="1080" w:hanging="720"/>
      </w:pPr>
      <w:rPr>
        <w:rFonts w:hint="default"/>
        <w:sz w:val="20"/>
      </w:rPr>
    </w:lvl>
    <w:lvl w:ilvl="3">
      <w:start w:val="1"/>
      <w:numFmt w:val="decimal"/>
      <w:isLgl/>
      <w:lvlText w:val="%1.%2.%3.%4"/>
      <w:lvlJc w:val="left"/>
      <w:pPr>
        <w:ind w:left="1440" w:hanging="1080"/>
      </w:pPr>
      <w:rPr>
        <w:rFonts w:hint="default"/>
        <w:sz w:val="20"/>
      </w:rPr>
    </w:lvl>
    <w:lvl w:ilvl="4">
      <w:start w:val="1"/>
      <w:numFmt w:val="decimal"/>
      <w:isLgl/>
      <w:lvlText w:val="%1.%2.%3.%4.%5"/>
      <w:lvlJc w:val="left"/>
      <w:pPr>
        <w:ind w:left="1440" w:hanging="1080"/>
      </w:pPr>
      <w:rPr>
        <w:rFonts w:hint="default"/>
        <w:sz w:val="20"/>
      </w:rPr>
    </w:lvl>
    <w:lvl w:ilvl="5">
      <w:start w:val="1"/>
      <w:numFmt w:val="decimal"/>
      <w:isLgl/>
      <w:lvlText w:val="%1.%2.%3.%4.%5.%6"/>
      <w:lvlJc w:val="left"/>
      <w:pPr>
        <w:ind w:left="1800" w:hanging="1440"/>
      </w:pPr>
      <w:rPr>
        <w:rFonts w:hint="default"/>
        <w:sz w:val="20"/>
      </w:rPr>
    </w:lvl>
    <w:lvl w:ilvl="6">
      <w:start w:val="1"/>
      <w:numFmt w:val="decimal"/>
      <w:isLgl/>
      <w:lvlText w:val="%1.%2.%3.%4.%5.%6.%7"/>
      <w:lvlJc w:val="left"/>
      <w:pPr>
        <w:ind w:left="1800" w:hanging="1440"/>
      </w:pPr>
      <w:rPr>
        <w:rFonts w:hint="default"/>
        <w:sz w:val="20"/>
      </w:rPr>
    </w:lvl>
    <w:lvl w:ilvl="7">
      <w:start w:val="1"/>
      <w:numFmt w:val="decimal"/>
      <w:isLgl/>
      <w:lvlText w:val="%1.%2.%3.%4.%5.%6.%7.%8"/>
      <w:lvlJc w:val="left"/>
      <w:pPr>
        <w:ind w:left="2160" w:hanging="1800"/>
      </w:pPr>
      <w:rPr>
        <w:rFonts w:hint="default"/>
        <w:sz w:val="20"/>
      </w:rPr>
    </w:lvl>
    <w:lvl w:ilvl="8">
      <w:start w:val="1"/>
      <w:numFmt w:val="decimal"/>
      <w:isLgl/>
      <w:lvlText w:val="%1.%2.%3.%4.%5.%6.%7.%8.%9"/>
      <w:lvlJc w:val="left"/>
      <w:pPr>
        <w:ind w:left="2160" w:hanging="1800"/>
      </w:pPr>
      <w:rPr>
        <w:rFonts w:hint="default"/>
        <w:sz w:val="20"/>
      </w:rPr>
    </w:lvl>
  </w:abstractNum>
  <w:abstractNum w:abstractNumId="1"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7F0092E"/>
    <w:multiLevelType w:val="hybridMultilevel"/>
    <w:tmpl w:val="C80ADD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6151CD"/>
    <w:multiLevelType w:val="hybridMultilevel"/>
    <w:tmpl w:val="15221B3C"/>
    <w:lvl w:ilvl="0" w:tplc="0E24C2F8">
      <w:start w:val="1"/>
      <w:numFmt w:val="upperRoman"/>
      <w:lvlText w:val="%1."/>
      <w:lvlJc w:val="left"/>
      <w:pPr>
        <w:ind w:left="1080" w:hanging="720"/>
      </w:pPr>
      <w:rPr>
        <w:rFonts w:eastAsia="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49741D9F"/>
    <w:multiLevelType w:val="hybridMultilevel"/>
    <w:tmpl w:val="13588324"/>
    <w:lvl w:ilvl="0" w:tplc="69545BF4">
      <w:numFmt w:val="bullet"/>
      <w:lvlText w:val=""/>
      <w:lvlJc w:val="left"/>
      <w:pPr>
        <w:ind w:left="720" w:hanging="360"/>
      </w:pPr>
      <w:rPr>
        <w:rFonts w:ascii="Symbol" w:eastAsiaTheme="minorHAnsi" w:hAnsi="Symbol"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3"/>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7"/>
  </w:num>
  <w:num w:numId="7" w16cid:durableId="1946422806">
    <w:abstractNumId w:val="7"/>
  </w:num>
  <w:num w:numId="8" w16cid:durableId="152644682">
    <w:abstractNumId w:val="16"/>
  </w:num>
  <w:num w:numId="9" w16cid:durableId="1317221377">
    <w:abstractNumId w:val="9"/>
  </w:num>
  <w:num w:numId="10" w16cid:durableId="1471245386">
    <w:abstractNumId w:val="15"/>
  </w:num>
  <w:num w:numId="11" w16cid:durableId="289172385">
    <w:abstractNumId w:val="11"/>
  </w:num>
  <w:num w:numId="12" w16cid:durableId="1470781324">
    <w:abstractNumId w:val="2"/>
  </w:num>
  <w:num w:numId="13" w16cid:durableId="1512908409">
    <w:abstractNumId w:val="5"/>
  </w:num>
  <w:num w:numId="14" w16cid:durableId="895897244">
    <w:abstractNumId w:val="18"/>
  </w:num>
  <w:num w:numId="15" w16cid:durableId="390349800">
    <w:abstractNumId w:val="14"/>
  </w:num>
  <w:num w:numId="16" w16cid:durableId="341274352">
    <w:abstractNumId w:val="1"/>
  </w:num>
  <w:num w:numId="17" w16cid:durableId="679089576">
    <w:abstractNumId w:val="12"/>
  </w:num>
  <w:num w:numId="18" w16cid:durableId="1972979785">
    <w:abstractNumId w:val="0"/>
  </w:num>
  <w:num w:numId="19" w16cid:durableId="1908222431">
    <w:abstractNumId w:val="13"/>
  </w:num>
  <w:num w:numId="20" w16cid:durableId="1480879118">
    <w:abstractNumId w:val="4"/>
  </w:num>
  <w:num w:numId="21" w16cid:durableId="150643537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47DC"/>
    <w:rsid w:val="000A683E"/>
    <w:rsid w:val="000B19B9"/>
    <w:rsid w:val="000D0334"/>
    <w:rsid w:val="000D5DA7"/>
    <w:rsid w:val="000E30DA"/>
    <w:rsid w:val="000E7022"/>
    <w:rsid w:val="000F5657"/>
    <w:rsid w:val="000F6486"/>
    <w:rsid w:val="00113713"/>
    <w:rsid w:val="00116940"/>
    <w:rsid w:val="00125105"/>
    <w:rsid w:val="00127233"/>
    <w:rsid w:val="0015699B"/>
    <w:rsid w:val="001A33BF"/>
    <w:rsid w:val="001E4177"/>
    <w:rsid w:val="001F0B24"/>
    <w:rsid w:val="001F7DC6"/>
    <w:rsid w:val="00203355"/>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11AE8"/>
    <w:rsid w:val="00316999"/>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176C5"/>
    <w:rsid w:val="0042722E"/>
    <w:rsid w:val="0044528D"/>
    <w:rsid w:val="00466E39"/>
    <w:rsid w:val="0049120A"/>
    <w:rsid w:val="004A1847"/>
    <w:rsid w:val="004A305D"/>
    <w:rsid w:val="004C6DC6"/>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2094"/>
    <w:rsid w:val="00844AE9"/>
    <w:rsid w:val="00867F95"/>
    <w:rsid w:val="008843B6"/>
    <w:rsid w:val="00891928"/>
    <w:rsid w:val="0089683F"/>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F0CFB"/>
    <w:rsid w:val="00B00C0E"/>
    <w:rsid w:val="00B01B1A"/>
    <w:rsid w:val="00B0381D"/>
    <w:rsid w:val="00B44A47"/>
    <w:rsid w:val="00B72CD3"/>
    <w:rsid w:val="00B72FFF"/>
    <w:rsid w:val="00BA7CC5"/>
    <w:rsid w:val="00BC3D36"/>
    <w:rsid w:val="00BD54A6"/>
    <w:rsid w:val="00BD7F72"/>
    <w:rsid w:val="00BE3783"/>
    <w:rsid w:val="00BE62B3"/>
    <w:rsid w:val="00BF7425"/>
    <w:rsid w:val="00C04FB3"/>
    <w:rsid w:val="00C11D8B"/>
    <w:rsid w:val="00C15139"/>
    <w:rsid w:val="00C330EB"/>
    <w:rsid w:val="00C50D69"/>
    <w:rsid w:val="00C5365C"/>
    <w:rsid w:val="00C754BE"/>
    <w:rsid w:val="00C76B1C"/>
    <w:rsid w:val="00C925AC"/>
    <w:rsid w:val="00CB6357"/>
    <w:rsid w:val="00CC1B26"/>
    <w:rsid w:val="00D313B1"/>
    <w:rsid w:val="00D361FD"/>
    <w:rsid w:val="00D423A2"/>
    <w:rsid w:val="00D44E26"/>
    <w:rsid w:val="00D520D8"/>
    <w:rsid w:val="00D62731"/>
    <w:rsid w:val="00D63AC2"/>
    <w:rsid w:val="00D7383B"/>
    <w:rsid w:val="00D7788A"/>
    <w:rsid w:val="00DA231B"/>
    <w:rsid w:val="00DC04EC"/>
    <w:rsid w:val="00DC39FC"/>
    <w:rsid w:val="00DF5254"/>
    <w:rsid w:val="00E02524"/>
    <w:rsid w:val="00E0379B"/>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32988"/>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89683F"/>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oanda.com/currency-converter/es/" TargetMode="External"/><Relationship Id="rId18" Type="http://schemas.openxmlformats.org/officeDocument/2006/relationships/hyperlink" Target="https://formacionvirtual.colombiacompra.gov.co/mod/page/view.php?id=3718" TargetMode="Externa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settings" Target="settings.xml"/><Relationship Id="rId12" Type="http://schemas.openxmlformats.org/officeDocument/2006/relationships/hyperlink" Target="https://www.oanda.com/currency-converter/es/" TargetMode="External"/><Relationship Id="rId17"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oanda.com/currency-converter/es/"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www.colombiacompra.gov.co/normativa-y-relatoria/documentos-tipo"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oanda.com/currency-converter/es/" TargetMode="External"/><Relationship Id="rId22"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wp-content/uploads/2026/04/ABC-Decreto-0287-de-2026-1.pdf" TargetMode="External"/><Relationship Id="rId2" Type="http://schemas.openxmlformats.org/officeDocument/2006/relationships/hyperlink" Target="https://dle.rae.es/est%C3%A1ndar" TargetMode="External"/><Relationship Id="rId1" Type="http://schemas.openxmlformats.org/officeDocument/2006/relationships/hyperlink" Target="https://dle.rae.es/est%C3%A1ndar"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5D9DA6-C028-4E4E-8A0E-BD38B0E43504}"/>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E7E0995-1825-4EA6-A34A-003F74F0F139}">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44</Pages>
  <Words>15577</Words>
  <Characters>85679</Characters>
  <Application>Microsoft Office Word</Application>
  <DocSecurity>0</DocSecurity>
  <Lines>713</Lines>
  <Paragraphs>202</Paragraphs>
  <ScaleCrop>false</ScaleCrop>
  <Company/>
  <LinksUpToDate>false</LinksUpToDate>
  <CharactersWithSpaces>101054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Arlid Herrera Santa</cp:lastModifiedBy>
  <cp:revision>4</cp:revision>
  <cp:lastPrinted>2023-01-10T21:18:00Z</cp:lastPrinted>
  <dcterms:created xsi:type="dcterms:W3CDTF">2026-05-07T18:53:00Z</dcterms:created>
  <dcterms:modified xsi:type="dcterms:W3CDTF">2026-05-07T21:07:00Z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