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9DF61" w14:textId="77777777" w:rsidR="00FE0942" w:rsidRDefault="00FE0942" w:rsidP="00FE0942">
      <w:pPr>
        <w:spacing w:after="0"/>
        <w:contextualSpacing/>
        <w:jc w:val="both"/>
        <w:rPr>
          <w:rFonts w:ascii="Verdana" w:eastAsia="Calibri" w:hAnsi="Verdana" w:cs="Arial"/>
          <w:b/>
          <w:bCs/>
          <w:lang w:val="es-ES" w:eastAsia="es-ES"/>
        </w:rPr>
      </w:pPr>
      <w:bookmarkStart w:id="0" w:name="_Hlk143780582"/>
      <w:r w:rsidRPr="008C1C57">
        <w:rPr>
          <w:rFonts w:ascii="Verdana" w:eastAsia="Calibri" w:hAnsi="Verdana" w:cs="Arial"/>
          <w:b/>
          <w:bCs/>
          <w:lang w:val="es-ES" w:eastAsia="es-ES"/>
        </w:rPr>
        <w:t>LEY DE GARANTÍAS ELECTORALES – Finalidad</w:t>
      </w:r>
    </w:p>
    <w:p w14:paraId="3A3B4496" w14:textId="77777777" w:rsidR="00FE0942" w:rsidRPr="008C1C57" w:rsidRDefault="00FE0942" w:rsidP="00FE0942">
      <w:pPr>
        <w:spacing w:after="0"/>
        <w:contextualSpacing/>
        <w:jc w:val="both"/>
        <w:rPr>
          <w:rFonts w:ascii="Verdana" w:eastAsia="Calibri" w:hAnsi="Verdana" w:cs="Arial"/>
          <w:b/>
          <w:bCs/>
          <w:lang w:val="es-ES" w:eastAsia="es-ES"/>
        </w:rPr>
      </w:pPr>
    </w:p>
    <w:p w14:paraId="0EC2F8C0" w14:textId="77777777" w:rsidR="00FE0942" w:rsidRPr="008C1C57" w:rsidRDefault="00FE0942" w:rsidP="00FE0942">
      <w:pPr>
        <w:spacing w:line="240" w:lineRule="auto"/>
        <w:contextualSpacing/>
        <w:jc w:val="both"/>
        <w:rPr>
          <w:rFonts w:ascii="Verdana" w:eastAsia="Times New Roman" w:hAnsi="Verdana" w:cs="Arial"/>
          <w:sz w:val="20"/>
          <w:szCs w:val="20"/>
          <w:lang w:val="es-ES" w:eastAsia="es-CO"/>
        </w:rPr>
      </w:pPr>
      <w:r w:rsidRPr="008C1C57">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68CD9173" w14:textId="77777777" w:rsidR="00FE0942" w:rsidRPr="00B65461" w:rsidRDefault="00FE0942" w:rsidP="00FE0942">
      <w:pPr>
        <w:spacing w:after="0" w:line="240" w:lineRule="auto"/>
        <w:jc w:val="both"/>
        <w:rPr>
          <w:rFonts w:ascii="Calibri" w:eastAsia="Calibri" w:hAnsi="Calibri" w:cs="Times New Roman"/>
          <w:color w:val="4472C4" w:themeColor="accent1"/>
          <w:lang w:val="es-ES"/>
        </w:rPr>
      </w:pPr>
    </w:p>
    <w:p w14:paraId="3151CF5B" w14:textId="77777777" w:rsidR="00FE0942" w:rsidRPr="00A750C7" w:rsidRDefault="00FE0942" w:rsidP="00FE0942">
      <w:pPr>
        <w:contextualSpacing/>
        <w:jc w:val="both"/>
        <w:rPr>
          <w:rFonts w:ascii="Verdana" w:eastAsia="Calibri" w:hAnsi="Verdana" w:cs="Arial"/>
          <w:b/>
          <w:bCs/>
          <w:lang w:val="es-ES" w:eastAsia="es-ES"/>
        </w:rPr>
      </w:pPr>
      <w:r w:rsidRPr="00A750C7">
        <w:rPr>
          <w:rFonts w:ascii="Verdana" w:eastAsia="Calibri" w:hAnsi="Verdana" w:cs="Arial"/>
          <w:b/>
          <w:bCs/>
          <w:lang w:val="es-ES" w:eastAsia="es-ES"/>
        </w:rPr>
        <w:t>LEY DE GARANTÍAS ELECTORALES ‒ Restricciones ‒ Contratación ‒ Tipos de elección</w:t>
      </w:r>
    </w:p>
    <w:p w14:paraId="2A8CA316" w14:textId="77777777" w:rsidR="00FE0942" w:rsidRDefault="00FE0942" w:rsidP="00FE0942">
      <w:pPr>
        <w:spacing w:after="0" w:line="240" w:lineRule="auto"/>
        <w:jc w:val="both"/>
        <w:rPr>
          <w:rFonts w:ascii="Verdana" w:eastAsia="Calibri" w:hAnsi="Verdana" w:cs="Arial"/>
          <w:b/>
          <w:bCs/>
          <w:lang w:val="es-ES" w:eastAsia="es-ES"/>
        </w:rPr>
      </w:pPr>
    </w:p>
    <w:p w14:paraId="70595257" w14:textId="77777777" w:rsidR="00FE0942" w:rsidRPr="00A750C7" w:rsidRDefault="00FE0942" w:rsidP="00FE0942">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r w:rsidRPr="00A750C7">
        <w:rPr>
          <w:rFonts w:ascii="Verdana" w:eastAsia="Arial" w:hAnsi="Verdana" w:cs="Arial"/>
          <w:sz w:val="20"/>
          <w:szCs w:val="20"/>
          <w:lang w:val="es-ES" w:eastAsia="es-ES" w:bidi="es-ES"/>
        </w:rPr>
        <w:t xml:space="preserve">De conformidad con lo anterior, la Ley 996 de 2005 establece dos (2) tipos de restricciones en materia de contratación, las cuales coinciden parcialmente. </w:t>
      </w:r>
      <w:r w:rsidRPr="00A750C7">
        <w:rPr>
          <w:rFonts w:ascii="Verdana" w:eastAsia="Arial" w:hAnsi="Verdana" w:cs="Arial"/>
          <w:i/>
          <w:sz w:val="20"/>
          <w:szCs w:val="20"/>
          <w:lang w:val="es-ES" w:eastAsia="es-ES" w:bidi="es-ES"/>
        </w:rPr>
        <w:t>En primer lugar</w:t>
      </w:r>
      <w:r w:rsidRPr="00A750C7">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750C7">
        <w:rPr>
          <w:rFonts w:ascii="Verdana" w:eastAsia="Arial" w:hAnsi="Verdana" w:cs="Arial"/>
          <w:i/>
          <w:sz w:val="20"/>
          <w:szCs w:val="20"/>
          <w:lang w:val="es-ES" w:eastAsia="es-ES" w:bidi="es-ES"/>
        </w:rPr>
        <w:t>En segundo lugar</w:t>
      </w:r>
      <w:r w:rsidRPr="00A750C7">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sz w:val="20"/>
          <w:szCs w:val="20"/>
          <w:lang w:val="es-ES" w:eastAsia="es-ES" w:bidi="es-ES"/>
        </w:rPr>
        <w:t xml:space="preserve"> […]</w:t>
      </w:r>
    </w:p>
    <w:p w14:paraId="2DB8BB28" w14:textId="77777777" w:rsidR="00FE0942" w:rsidRPr="00D31B17" w:rsidRDefault="00FE0942" w:rsidP="00FE0942">
      <w:pPr>
        <w:spacing w:after="0" w:line="240" w:lineRule="auto"/>
        <w:jc w:val="both"/>
        <w:rPr>
          <w:rFonts w:ascii="Verdana" w:eastAsia="Geomanist Light" w:hAnsi="Verdana" w:cs="Arial"/>
          <w:b/>
          <w:bCs/>
          <w:color w:val="4472C4" w:themeColor="accent1"/>
          <w:lang w:val="es-ES"/>
        </w:rPr>
      </w:pPr>
    </w:p>
    <w:p w14:paraId="22F0C892" w14:textId="77777777" w:rsidR="00FE0942" w:rsidRPr="005416E7" w:rsidRDefault="00FE0942" w:rsidP="00FE0942">
      <w:pPr>
        <w:spacing w:after="0" w:line="240" w:lineRule="auto"/>
        <w:jc w:val="both"/>
        <w:rPr>
          <w:rFonts w:ascii="Verdana" w:eastAsia="Calibri" w:hAnsi="Verdana" w:cs="Arial"/>
          <w:b/>
          <w:bCs/>
          <w:lang w:val="es-ES" w:eastAsia="es-ES"/>
        </w:rPr>
      </w:pPr>
      <w:r w:rsidRPr="005416E7">
        <w:rPr>
          <w:rFonts w:ascii="Verdana" w:eastAsia="Calibri" w:hAnsi="Verdana" w:cs="Arial"/>
          <w:b/>
          <w:bCs/>
          <w:lang w:val="es-ES" w:eastAsia="es-ES"/>
        </w:rPr>
        <w:t xml:space="preserve">LEY DE GARANTÍAS ELECTORALES ‒ Artículo 33 </w:t>
      </w:r>
    </w:p>
    <w:p w14:paraId="0A4B571E" w14:textId="77777777" w:rsidR="00FE0942" w:rsidRPr="005416E7" w:rsidRDefault="00FE0942" w:rsidP="00FE0942">
      <w:pPr>
        <w:spacing w:after="0" w:line="240" w:lineRule="auto"/>
        <w:jc w:val="both"/>
        <w:rPr>
          <w:rFonts w:ascii="Verdana" w:eastAsia="Calibri" w:hAnsi="Verdana" w:cs="Arial"/>
          <w:b/>
          <w:bCs/>
          <w:lang w:val="es-ES" w:eastAsia="es-ES"/>
        </w:rPr>
      </w:pPr>
    </w:p>
    <w:p w14:paraId="0759D7B8" w14:textId="77777777" w:rsidR="00FE0942" w:rsidRDefault="00FE0942" w:rsidP="00FE0942">
      <w:pPr>
        <w:spacing w:after="0" w:line="240" w:lineRule="auto"/>
        <w:jc w:val="both"/>
        <w:rPr>
          <w:rFonts w:ascii="Verdana" w:eastAsia="Calibri" w:hAnsi="Verdana" w:cs="Arial"/>
          <w:color w:val="000000" w:themeColor="text1"/>
          <w:sz w:val="20"/>
          <w:szCs w:val="20"/>
          <w:lang w:val="es-ES"/>
        </w:rPr>
      </w:pPr>
      <w:r w:rsidRPr="005416E7">
        <w:rPr>
          <w:rFonts w:ascii="Verdana" w:eastAsia="Calibri" w:hAnsi="Verdana" w:cs="Arial"/>
          <w:color w:val="000000" w:themeColor="text1"/>
          <w:sz w:val="20"/>
          <w:szCs w:val="20"/>
          <w:lang w:val="es-ES"/>
        </w:rPr>
        <w:t>El artículo 33 de la Ley 996 de 2005 prohíbe “</w:t>
      </w:r>
      <w:r>
        <w:rPr>
          <w:rFonts w:ascii="Verdana" w:eastAsia="Calibri" w:hAnsi="Verdana" w:cs="Arial"/>
          <w:color w:val="000000" w:themeColor="text1"/>
          <w:sz w:val="20"/>
          <w:szCs w:val="20"/>
          <w:lang w:val="es-ES"/>
        </w:rPr>
        <w:t>[…]</w:t>
      </w:r>
      <w:r w:rsidRPr="005416E7">
        <w:rPr>
          <w:rFonts w:ascii="Verdana" w:eastAsia="Calibri" w:hAnsi="Verdana" w:cs="Arial"/>
          <w:color w:val="000000" w:themeColor="text1"/>
          <w:sz w:val="20"/>
          <w:szCs w:val="20"/>
          <w:lang w:val="es-ES"/>
        </w:rPr>
        <w:t xml:space="preserve"> la contratación directa por parte de todos los entes del Estado” durante los cuatro (4) meses anteriores a las elecciones presidenciales, salvo “</w:t>
      </w:r>
      <w:r>
        <w:rPr>
          <w:rFonts w:ascii="Verdana" w:eastAsia="Calibri" w:hAnsi="Verdana" w:cs="Arial"/>
          <w:color w:val="000000" w:themeColor="text1"/>
          <w:sz w:val="20"/>
          <w:szCs w:val="20"/>
          <w:lang w:val="es-ES"/>
        </w:rPr>
        <w:t>[…]</w:t>
      </w:r>
      <w:r w:rsidRPr="005416E7">
        <w:rPr>
          <w:rFonts w:ascii="Verdana" w:eastAsia="Calibri" w:hAnsi="Verdana" w:cs="Arial"/>
          <w:color w:val="000000" w:themeColor="text1"/>
          <w:sz w:val="20"/>
          <w:szCs w:val="20"/>
          <w:lang w:val="es-ES"/>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CB55BB4" w14:textId="77777777" w:rsidR="00FE0942" w:rsidRDefault="00FE0942" w:rsidP="00FE0942">
      <w:pPr>
        <w:spacing w:after="0" w:line="240" w:lineRule="auto"/>
        <w:jc w:val="both"/>
        <w:rPr>
          <w:rFonts w:ascii="Verdana" w:eastAsia="Calibri" w:hAnsi="Verdana" w:cs="Arial"/>
          <w:color w:val="000000" w:themeColor="text1"/>
          <w:sz w:val="20"/>
          <w:szCs w:val="20"/>
          <w:lang w:val="es-ES"/>
        </w:rPr>
      </w:pPr>
    </w:p>
    <w:p w14:paraId="748BC228" w14:textId="77777777" w:rsidR="00FE0942" w:rsidRPr="00B679CF" w:rsidRDefault="00FE0942" w:rsidP="00FE0942">
      <w:pPr>
        <w:contextualSpacing/>
        <w:jc w:val="both"/>
        <w:rPr>
          <w:rFonts w:ascii="Verdana" w:eastAsia="Calibri" w:hAnsi="Verdana" w:cs="Arial"/>
          <w:b/>
          <w:bCs/>
          <w:lang w:val="es-ES" w:eastAsia="es-ES"/>
        </w:rPr>
      </w:pPr>
      <w:r w:rsidRPr="00B679CF">
        <w:rPr>
          <w:rFonts w:ascii="Verdana" w:eastAsia="Calibri" w:hAnsi="Verdana" w:cs="Arial"/>
          <w:b/>
          <w:bCs/>
          <w:lang w:val="es-ES" w:eastAsia="es-ES"/>
        </w:rPr>
        <w:t>LEY DE GARANTÍAS ELECTORALES ‒ Artículo 38 ‒ Parágrafo</w:t>
      </w:r>
    </w:p>
    <w:p w14:paraId="30A47A75" w14:textId="77777777" w:rsidR="00FE0942" w:rsidRPr="00B679CF" w:rsidRDefault="00FE0942" w:rsidP="00FE0942">
      <w:pPr>
        <w:spacing w:line="240" w:lineRule="auto"/>
        <w:contextualSpacing/>
        <w:jc w:val="both"/>
        <w:rPr>
          <w:rFonts w:ascii="Verdana" w:eastAsia="Calibri" w:hAnsi="Verdana" w:cs="Arial"/>
          <w:b/>
          <w:bCs/>
          <w:sz w:val="20"/>
          <w:szCs w:val="20"/>
          <w:lang w:val="es-ES" w:eastAsia="es-ES"/>
        </w:rPr>
      </w:pPr>
    </w:p>
    <w:p w14:paraId="30FAB325" w14:textId="77777777" w:rsidR="00FE0942" w:rsidRPr="00B679CF" w:rsidRDefault="00FE0942" w:rsidP="00FE0942">
      <w:pPr>
        <w:spacing w:after="0" w:line="240" w:lineRule="auto"/>
        <w:contextualSpacing/>
        <w:jc w:val="both"/>
        <w:rPr>
          <w:rFonts w:ascii="Verdana" w:eastAsia="Calibri" w:hAnsi="Verdana" w:cs="Arial"/>
          <w:b/>
          <w:bCs/>
          <w:sz w:val="20"/>
          <w:szCs w:val="20"/>
          <w:lang w:val="es-ES" w:eastAsia="es-ES"/>
        </w:rPr>
      </w:pPr>
      <w:r w:rsidRPr="00B679CF">
        <w:rPr>
          <w:rFonts w:ascii="Verdana" w:eastAsia="Times New Roman" w:hAnsi="Verdana" w:cs="Arial"/>
          <w:sz w:val="20"/>
          <w:szCs w:val="20"/>
          <w:lang w:val="es-ES"/>
        </w:rPr>
        <w:lastRenderedPageBreak/>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Times New Roman" w:hAnsi="Verdana" w:cs="Arial"/>
          <w:sz w:val="20"/>
          <w:szCs w:val="20"/>
          <w:lang w:val="es-ES"/>
        </w:rPr>
        <w:t>[…]</w:t>
      </w:r>
      <w:r w:rsidRPr="00B679CF">
        <w:rPr>
          <w:rFonts w:ascii="Verdana" w:eastAsia="Times New Roman" w:hAnsi="Verdana" w:cs="Arial"/>
          <w:sz w:val="20"/>
          <w:szCs w:val="20"/>
          <w:lang w:val="es-ES"/>
        </w:rPr>
        <w:t xml:space="preserve">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CB767B6" w14:textId="77777777" w:rsidR="00FE0942" w:rsidRPr="005416E7" w:rsidRDefault="00FE0942" w:rsidP="00FE0942">
      <w:pPr>
        <w:spacing w:after="0" w:line="240" w:lineRule="auto"/>
        <w:jc w:val="both"/>
        <w:rPr>
          <w:rFonts w:ascii="Verdana" w:eastAsia="Arial" w:hAnsi="Verdana" w:cs="Arial"/>
          <w:sz w:val="18"/>
          <w:szCs w:val="18"/>
          <w:lang w:val="es-ES" w:eastAsia="es-ES" w:bidi="es-ES"/>
        </w:rPr>
      </w:pPr>
    </w:p>
    <w:p w14:paraId="43127FB8" w14:textId="77777777" w:rsidR="00FE0942" w:rsidRPr="00207C58" w:rsidRDefault="00FE0942" w:rsidP="00FE0942">
      <w:pPr>
        <w:spacing w:after="0" w:line="240" w:lineRule="auto"/>
        <w:contextualSpacing/>
        <w:jc w:val="both"/>
        <w:rPr>
          <w:rFonts w:ascii="Verdana" w:eastAsia="Calibri" w:hAnsi="Verdana" w:cs="Arial"/>
          <w:b/>
          <w:bCs/>
          <w:sz w:val="20"/>
          <w:szCs w:val="20"/>
          <w:lang w:eastAsia="es-ES"/>
        </w:rPr>
      </w:pPr>
    </w:p>
    <w:p w14:paraId="37BA7E13" w14:textId="77777777" w:rsidR="00FE0942" w:rsidRPr="00F02C5A" w:rsidRDefault="00FE0942" w:rsidP="00FE0942">
      <w:pPr>
        <w:tabs>
          <w:tab w:val="left" w:pos="426"/>
        </w:tabs>
        <w:spacing w:line="240" w:lineRule="auto"/>
        <w:contextualSpacing/>
        <w:jc w:val="both"/>
        <w:rPr>
          <w:rFonts w:ascii="Verdana" w:eastAsia="Calibri" w:hAnsi="Verdana" w:cs="Arial"/>
          <w:b/>
          <w:bCs/>
          <w:lang w:val="es-MX"/>
        </w:rPr>
      </w:pPr>
      <w:bookmarkStart w:id="1" w:name="_Hlk217986464"/>
      <w:r w:rsidRPr="00F02C5A">
        <w:rPr>
          <w:rFonts w:ascii="Verdana" w:eastAsia="Calibri" w:hAnsi="Verdana" w:cs="Arial"/>
          <w:b/>
          <w:bCs/>
          <w:lang w:val="es-MX"/>
        </w:rPr>
        <w:t xml:space="preserve">LEY DE GARANTÍAS ELECTORALES ─ Prohibición ‒ Contratación directa ‒ Alcance </w:t>
      </w:r>
    </w:p>
    <w:p w14:paraId="08837CA4" w14:textId="77777777" w:rsidR="00FE0942" w:rsidRPr="00F02C5A" w:rsidRDefault="00FE0942" w:rsidP="00FE0942">
      <w:pPr>
        <w:tabs>
          <w:tab w:val="left" w:pos="426"/>
        </w:tabs>
        <w:spacing w:line="240" w:lineRule="auto"/>
        <w:contextualSpacing/>
        <w:jc w:val="both"/>
        <w:rPr>
          <w:rFonts w:ascii="Verdana" w:eastAsia="Calibri" w:hAnsi="Verdana" w:cs="Arial"/>
          <w:noProof/>
          <w:sz w:val="20"/>
          <w:szCs w:val="20"/>
          <w:lang w:val="es-MX"/>
        </w:rPr>
      </w:pPr>
    </w:p>
    <w:p w14:paraId="37515BF9" w14:textId="77777777" w:rsidR="00FE0942" w:rsidRPr="00F02C5A" w:rsidRDefault="00FE0942" w:rsidP="00FE0942">
      <w:pPr>
        <w:spacing w:line="240" w:lineRule="auto"/>
        <w:contextualSpacing/>
        <w:jc w:val="both"/>
        <w:rPr>
          <w:rFonts w:ascii="Verdana" w:eastAsia="Times New Roman" w:hAnsi="Verdana" w:cs="Arial"/>
          <w:bCs/>
          <w:sz w:val="20"/>
          <w:szCs w:val="20"/>
          <w:lang w:val="es-MX" w:eastAsia="x-none"/>
        </w:rPr>
      </w:pPr>
      <w:r>
        <w:rPr>
          <w:rFonts w:ascii="Verdana" w:eastAsia="Calibri" w:hAnsi="Verdana" w:cs="Arial"/>
          <w:noProof/>
          <w:sz w:val="20"/>
          <w:szCs w:val="20"/>
          <w:lang w:val="es-ES_tradnl"/>
        </w:rPr>
        <w:t>[…]</w:t>
      </w:r>
      <w:r w:rsidRPr="00F02C5A">
        <w:rPr>
          <w:rFonts w:ascii="Verdana" w:eastAsia="Calibri" w:hAnsi="Verdana" w:cs="Arial"/>
          <w:noProof/>
          <w:sz w:val="20"/>
          <w:szCs w:val="20"/>
          <w:lang w:val="es-ES_tradnl"/>
        </w:rPr>
        <w:t xml:space="preserve"> </w:t>
      </w:r>
      <w:r w:rsidRPr="00F02C5A">
        <w:rPr>
          <w:rFonts w:ascii="Verdana" w:eastAsia="Times New Roman" w:hAnsi="Verdana"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sz w:val="20"/>
          <w:szCs w:val="20"/>
          <w:vertAlign w:val="superscript"/>
          <w:lang w:eastAsia="x-none"/>
        </w:rPr>
        <w:t xml:space="preserve"> </w:t>
      </w:r>
    </w:p>
    <w:p w14:paraId="4742225E" w14:textId="77777777" w:rsidR="00FE0942" w:rsidRPr="00F02C5A" w:rsidRDefault="00FE0942" w:rsidP="00FE0942">
      <w:pPr>
        <w:spacing w:line="240" w:lineRule="auto"/>
        <w:contextualSpacing/>
        <w:jc w:val="both"/>
        <w:rPr>
          <w:rFonts w:ascii="Verdana" w:eastAsia="Times New Roman" w:hAnsi="Verdana" w:cs="Arial"/>
          <w:bCs/>
          <w:sz w:val="20"/>
          <w:szCs w:val="20"/>
          <w:lang w:val="es-MX" w:eastAsia="x-none"/>
        </w:rPr>
      </w:pPr>
    </w:p>
    <w:p w14:paraId="4F2D51DB" w14:textId="77777777" w:rsidR="00FE0942" w:rsidRPr="00F02C5A" w:rsidRDefault="00FE0942" w:rsidP="00FE0942">
      <w:pPr>
        <w:spacing w:line="240" w:lineRule="auto"/>
        <w:contextualSpacing/>
        <w:jc w:val="both"/>
        <w:rPr>
          <w:rFonts w:ascii="Verdana" w:eastAsia="Times New Roman" w:hAnsi="Verdana" w:cs="Arial"/>
          <w:sz w:val="20"/>
          <w:szCs w:val="20"/>
          <w:lang w:eastAsia="x-none"/>
        </w:rPr>
      </w:pPr>
      <w:r w:rsidRPr="00F02C5A">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bookmarkEnd w:id="1"/>
    <w:p w14:paraId="18AA1301" w14:textId="77777777" w:rsidR="00FE0942" w:rsidRPr="00F47226" w:rsidRDefault="00FE0942" w:rsidP="00FE0942">
      <w:pPr>
        <w:spacing w:after="0" w:line="240" w:lineRule="auto"/>
        <w:contextualSpacing/>
        <w:jc w:val="both"/>
        <w:rPr>
          <w:rFonts w:ascii="Verdana" w:eastAsia="Calibri" w:hAnsi="Verdana" w:cs="Arial"/>
          <w:b/>
          <w:bCs/>
          <w:sz w:val="20"/>
          <w:szCs w:val="20"/>
          <w:lang w:eastAsia="es-ES"/>
        </w:rPr>
      </w:pPr>
    </w:p>
    <w:p w14:paraId="4FA7DC0A" w14:textId="77777777" w:rsidR="00FE0942" w:rsidRDefault="00FE0942" w:rsidP="00FE0942">
      <w:pPr>
        <w:spacing w:after="0" w:line="240" w:lineRule="auto"/>
        <w:contextualSpacing/>
        <w:jc w:val="both"/>
        <w:rPr>
          <w:rFonts w:ascii="Verdana" w:eastAsia="Calibri" w:hAnsi="Verdana" w:cs="Arial"/>
          <w:b/>
          <w:bCs/>
          <w:sz w:val="20"/>
          <w:szCs w:val="20"/>
          <w:lang w:val="es-ES" w:eastAsia="es-ES"/>
        </w:rPr>
      </w:pPr>
    </w:p>
    <w:p w14:paraId="75B13AD4" w14:textId="77777777" w:rsidR="00FE0942" w:rsidRDefault="00FE0942" w:rsidP="00FE0942">
      <w:pPr>
        <w:spacing w:after="0" w:line="240" w:lineRule="auto"/>
        <w:contextualSpacing/>
        <w:jc w:val="both"/>
        <w:rPr>
          <w:rFonts w:ascii="Verdana" w:eastAsia="Calibri" w:hAnsi="Verdana" w:cs="Arial"/>
          <w:b/>
          <w:bCs/>
          <w:sz w:val="20"/>
          <w:szCs w:val="20"/>
          <w:lang w:val="es-ES" w:eastAsia="es-ES"/>
        </w:rPr>
      </w:pPr>
    </w:p>
    <w:p w14:paraId="2B2AD6FF"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2586B168"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3B50A22C"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1F6A3F17"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4A03054F"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70EF8B20"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30B94C41"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4FAF1661"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0AFA6CFF"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44341960"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1DBE4E32" w14:textId="77777777" w:rsidR="00FE0942" w:rsidRDefault="00FE0942" w:rsidP="00FE0942">
      <w:pPr>
        <w:spacing w:after="0"/>
        <w:jc w:val="both"/>
        <w:rPr>
          <w:rFonts w:ascii="Verdana" w:eastAsia="Verdana" w:hAnsi="Verdana" w:cs="Verdana"/>
          <w:color w:val="4472C4" w:themeColor="accent1"/>
          <w:sz w:val="20"/>
          <w:szCs w:val="20"/>
          <w:lang w:val="es-ES"/>
        </w:rPr>
      </w:pPr>
    </w:p>
    <w:p w14:paraId="28CA913B" w14:textId="77777777" w:rsidR="00FE0942" w:rsidRDefault="00FE0942" w:rsidP="00FE0942">
      <w:pPr>
        <w:spacing w:after="0"/>
        <w:jc w:val="both"/>
        <w:rPr>
          <w:rFonts w:ascii="Verdana" w:eastAsia="Verdana" w:hAnsi="Verdana" w:cs="Verdana"/>
          <w:color w:val="4472C4" w:themeColor="accent1"/>
          <w:sz w:val="20"/>
          <w:szCs w:val="20"/>
          <w:lang w:val="es-ES"/>
        </w:rPr>
      </w:pPr>
    </w:p>
    <w:p w14:paraId="7E325FB1" w14:textId="77777777" w:rsidR="00FE0942" w:rsidRDefault="00FE0942" w:rsidP="00FE0942">
      <w:pPr>
        <w:spacing w:after="0"/>
        <w:jc w:val="both"/>
        <w:rPr>
          <w:rFonts w:ascii="Verdana" w:eastAsia="Verdana" w:hAnsi="Verdana" w:cs="Verdana"/>
          <w:color w:val="4472C4" w:themeColor="accent1"/>
          <w:sz w:val="20"/>
          <w:szCs w:val="20"/>
          <w:lang w:val="es-ES"/>
        </w:rPr>
      </w:pPr>
    </w:p>
    <w:p w14:paraId="6D8E12A4" w14:textId="77777777" w:rsidR="00FE0942" w:rsidRDefault="00FE0942" w:rsidP="00FE0942">
      <w:pPr>
        <w:spacing w:after="0"/>
        <w:jc w:val="both"/>
        <w:rPr>
          <w:rFonts w:ascii="Verdana" w:eastAsia="Verdana" w:hAnsi="Verdana" w:cs="Verdana"/>
          <w:color w:val="4472C4" w:themeColor="accent1"/>
          <w:sz w:val="20"/>
          <w:szCs w:val="20"/>
          <w:lang w:val="es-ES"/>
        </w:rPr>
      </w:pPr>
    </w:p>
    <w:p w14:paraId="7E6E1BD4"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612E96C4" w14:textId="77777777" w:rsidR="00FE0942" w:rsidRPr="002D16AE" w:rsidRDefault="00FE0942" w:rsidP="00FE0942">
      <w:pPr>
        <w:spacing w:after="0"/>
        <w:jc w:val="both"/>
        <w:rPr>
          <w:rFonts w:ascii="Verdana" w:eastAsia="Verdana" w:hAnsi="Verdana" w:cs="Verdana"/>
          <w:color w:val="4472C4" w:themeColor="accent1"/>
          <w:sz w:val="20"/>
          <w:szCs w:val="20"/>
          <w:lang w:val="es-ES"/>
        </w:rPr>
      </w:pPr>
    </w:p>
    <w:p w14:paraId="535AB5B1" w14:textId="0C25CA40" w:rsidR="00FE0942" w:rsidRPr="002D16AE" w:rsidRDefault="00FE0942" w:rsidP="00FE0942">
      <w:pPr>
        <w:spacing w:after="0"/>
        <w:rPr>
          <w:rFonts w:ascii="Verdana" w:hAnsi="Verdana"/>
          <w:color w:val="4472C4" w:themeColor="accent1"/>
        </w:rPr>
      </w:pPr>
      <w:r w:rsidRPr="00DF079E">
        <w:rPr>
          <w:rFonts w:ascii="Verdana" w:hAnsi="Verdana"/>
        </w:rPr>
        <w:lastRenderedPageBreak/>
        <w:t xml:space="preserve">Bogotá D.C., </w:t>
      </w:r>
      <w:r w:rsidR="00F6164F">
        <w:rPr>
          <w:rFonts w:ascii="Verdana" w:hAnsi="Verdana"/>
        </w:rPr>
        <w:t>20 Mayo</w:t>
      </w:r>
      <w:r w:rsidRPr="00DF079E">
        <w:rPr>
          <w:rFonts w:ascii="Verdana" w:hAnsi="Verdana"/>
        </w:rPr>
        <w:t xml:space="preserve"> </w:t>
      </w:r>
      <w:r w:rsidR="00F6164F">
        <w:rPr>
          <w:rFonts w:ascii="Verdana" w:hAnsi="Verdana"/>
        </w:rPr>
        <w:t>2026</w:t>
      </w:r>
    </w:p>
    <w:p w14:paraId="59F934FF" w14:textId="77777777" w:rsidR="00FE0942" w:rsidRPr="002D16AE" w:rsidRDefault="00FE0942" w:rsidP="00FE0942">
      <w:pPr>
        <w:spacing w:after="0"/>
        <w:rPr>
          <w:rFonts w:ascii="Verdana" w:hAnsi="Verdana"/>
          <w:color w:val="4472C4" w:themeColor="accent1"/>
          <w:lang w:val="es-ES"/>
        </w:rPr>
      </w:pPr>
    </w:p>
    <w:p w14:paraId="4872F17A" w14:textId="1372D5C1" w:rsidR="00FE0942" w:rsidRPr="0050510B" w:rsidRDefault="00F6164F" w:rsidP="00FE0942">
      <w:pPr>
        <w:spacing w:after="0" w:line="240" w:lineRule="auto"/>
        <w:rPr>
          <w:rFonts w:ascii="Verdana" w:hAnsi="Verdana"/>
          <w:lang w:val="es-ES"/>
        </w:rPr>
      </w:pPr>
      <w:r w:rsidRPr="00F6164F">
        <w:rPr>
          <w:rFonts w:ascii="Verdana" w:eastAsia="Calibri" w:hAnsi="Verdana" w:cs="Arial"/>
          <w:lang w:val="es-ES" w:eastAsia="es-ES"/>
        </w:rPr>
        <w:drawing>
          <wp:anchor distT="0" distB="0" distL="114300" distR="114300" simplePos="0" relativeHeight="251658240" behindDoc="1" locked="0" layoutInCell="1" allowOverlap="1" wp14:anchorId="30C85D0A" wp14:editId="4E4EDB11">
            <wp:simplePos x="0" y="0"/>
            <wp:positionH relativeFrom="margin">
              <wp:align>right</wp:align>
            </wp:positionH>
            <wp:positionV relativeFrom="paragraph">
              <wp:posOffset>8255</wp:posOffset>
            </wp:positionV>
            <wp:extent cx="2282024" cy="624201"/>
            <wp:effectExtent l="0" t="0" r="4445" b="5080"/>
            <wp:wrapNone/>
            <wp:docPr id="16888586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858670" name=""/>
                    <pic:cNvPicPr/>
                  </pic:nvPicPr>
                  <pic:blipFill>
                    <a:blip r:embed="rId10">
                      <a:extLst>
                        <a:ext uri="{28A0092B-C50C-407E-A947-70E740481C1C}">
                          <a14:useLocalDpi xmlns:a14="http://schemas.microsoft.com/office/drawing/2010/main" val="0"/>
                        </a:ext>
                      </a:extLst>
                    </a:blip>
                    <a:stretch>
                      <a:fillRect/>
                    </a:stretch>
                  </pic:blipFill>
                  <pic:spPr>
                    <a:xfrm>
                      <a:off x="0" y="0"/>
                      <a:ext cx="2282024" cy="624201"/>
                    </a:xfrm>
                    <a:prstGeom prst="rect">
                      <a:avLst/>
                    </a:prstGeom>
                  </pic:spPr>
                </pic:pic>
              </a:graphicData>
            </a:graphic>
            <wp14:sizeRelH relativeFrom="margin">
              <wp14:pctWidth>0</wp14:pctWidth>
            </wp14:sizeRelH>
            <wp14:sizeRelV relativeFrom="margin">
              <wp14:pctHeight>0</wp14:pctHeight>
            </wp14:sizeRelV>
          </wp:anchor>
        </w:drawing>
      </w:r>
      <w:r w:rsidR="00FE0942" w:rsidRPr="0050510B">
        <w:rPr>
          <w:rFonts w:ascii="Verdana" w:eastAsia="Calibri" w:hAnsi="Verdana" w:cs="Arial"/>
          <w:lang w:val="es-ES" w:eastAsia="es-ES"/>
        </w:rPr>
        <w:t>Señor</w:t>
      </w:r>
    </w:p>
    <w:p w14:paraId="7CA6C329" w14:textId="623E84A0" w:rsidR="00FE0942" w:rsidRPr="0050510B" w:rsidRDefault="00FE0942" w:rsidP="00FE0942">
      <w:pPr>
        <w:spacing w:after="0"/>
        <w:rPr>
          <w:rFonts w:ascii="Verdana" w:eastAsia="Calibri" w:hAnsi="Verdana" w:cs="Arial"/>
          <w:b/>
          <w:bCs/>
          <w:lang w:eastAsia="es-ES"/>
        </w:rPr>
      </w:pPr>
      <w:r w:rsidRPr="0050510B">
        <w:rPr>
          <w:rFonts w:ascii="Verdana" w:eastAsia="Calibri" w:hAnsi="Verdana" w:cs="Arial"/>
          <w:b/>
          <w:bCs/>
          <w:lang w:eastAsia="es-ES"/>
        </w:rPr>
        <w:t>Julián Mauricio Acero Morales</w:t>
      </w:r>
    </w:p>
    <w:p w14:paraId="249A070A" w14:textId="77777777" w:rsidR="00FE0942" w:rsidRPr="0050510B" w:rsidRDefault="00FE0942" w:rsidP="00FE0942">
      <w:pPr>
        <w:spacing w:after="0"/>
        <w:rPr>
          <w:rFonts w:ascii="Verdana" w:eastAsia="Calibri" w:hAnsi="Verdana" w:cs="Arial"/>
          <w:lang w:eastAsia="es-ES"/>
        </w:rPr>
      </w:pPr>
      <w:r w:rsidRPr="0050510B">
        <w:rPr>
          <w:rFonts w:ascii="Verdana" w:eastAsia="Calibri" w:hAnsi="Verdana" w:cs="Arial"/>
          <w:lang w:eastAsia="es-ES"/>
        </w:rPr>
        <w:t>Oficina Asesora de Planeación Estratégica</w:t>
      </w:r>
      <w:r w:rsidRPr="0050510B">
        <w:rPr>
          <w:rFonts w:ascii="Verdana" w:eastAsia="Calibri" w:hAnsi="Verdana" w:cs="Arial"/>
          <w:lang w:eastAsia="es-ES"/>
        </w:rPr>
        <w:br/>
        <w:t>Universidad Militar Nueva Granada</w:t>
      </w:r>
    </w:p>
    <w:p w14:paraId="440CC9F3" w14:textId="77777777" w:rsidR="00FE0942" w:rsidRDefault="00FE0942" w:rsidP="00FE0942">
      <w:pPr>
        <w:spacing w:after="0"/>
        <w:rPr>
          <w:rFonts w:ascii="Verdana" w:hAnsi="Verdana"/>
          <w:color w:val="4472C4" w:themeColor="accent1"/>
          <w:u w:val="single"/>
        </w:rPr>
      </w:pPr>
      <w:hyperlink r:id="rId11" w:history="1">
        <w:r w:rsidRPr="00664CC6">
          <w:rPr>
            <w:rStyle w:val="Hipervnculo"/>
            <w:rFonts w:ascii="Verdana" w:hAnsi="Verdana"/>
          </w:rPr>
          <w:t>julian.acero@unimilitar.edu.co</w:t>
        </w:r>
      </w:hyperlink>
      <w:r>
        <w:rPr>
          <w:rFonts w:ascii="Verdana" w:hAnsi="Verdana"/>
          <w:color w:val="4472C4" w:themeColor="accent1"/>
          <w:u w:val="single"/>
        </w:rPr>
        <w:t xml:space="preserve"> </w:t>
      </w:r>
    </w:p>
    <w:p w14:paraId="39AC3569" w14:textId="77777777" w:rsidR="00FE0942" w:rsidRPr="0050510B" w:rsidRDefault="00FE0942" w:rsidP="00FE0942">
      <w:pPr>
        <w:spacing w:after="0"/>
        <w:rPr>
          <w:rFonts w:ascii="Verdana" w:eastAsia="Calibri" w:hAnsi="Verdana" w:cs="Arial"/>
          <w:lang w:eastAsia="es-ES"/>
        </w:rPr>
      </w:pPr>
      <w:r w:rsidRPr="0050510B">
        <w:rPr>
          <w:rFonts w:ascii="Verdana" w:eastAsia="Calibri" w:hAnsi="Verdana" w:cs="Arial"/>
          <w:lang w:eastAsia="es-ES"/>
        </w:rPr>
        <w:t>Bogotá D.C</w:t>
      </w:r>
    </w:p>
    <w:p w14:paraId="1E89D796" w14:textId="77777777" w:rsidR="00FE0942" w:rsidRPr="002D16AE" w:rsidRDefault="00FE0942" w:rsidP="00FE0942">
      <w:pPr>
        <w:spacing w:after="0"/>
        <w:rPr>
          <w:rFonts w:ascii="Verdana" w:eastAsia="Calibri" w:hAnsi="Verdana" w:cs="Arial"/>
          <w:color w:val="4472C4" w:themeColor="accent1"/>
          <w:lang w:val="es-ES" w:eastAsia="es-ES"/>
        </w:rPr>
      </w:pPr>
    </w:p>
    <w:p w14:paraId="29205230" w14:textId="77777777" w:rsidR="00FE0942" w:rsidRPr="002D16AE" w:rsidRDefault="00FE0942" w:rsidP="00FE0942">
      <w:pPr>
        <w:spacing w:after="0" w:line="240" w:lineRule="auto"/>
        <w:rPr>
          <w:rFonts w:ascii="Verdana" w:eastAsia="Calibri" w:hAnsi="Verdana" w:cs="Arial"/>
          <w:b/>
          <w:bCs/>
          <w:color w:val="4472C4" w:themeColor="accen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FE0942" w:rsidRPr="002D16AE" w14:paraId="3B53238E" w14:textId="77777777" w:rsidTr="009934A8">
        <w:trPr>
          <w:trHeight w:val="300"/>
        </w:trPr>
        <w:tc>
          <w:tcPr>
            <w:tcW w:w="2410" w:type="dxa"/>
          </w:tcPr>
          <w:p w14:paraId="57FDB3DB" w14:textId="77777777" w:rsidR="00FE0942" w:rsidRPr="002D16AE" w:rsidRDefault="00FE0942" w:rsidP="009934A8">
            <w:pPr>
              <w:ind w:left="-142"/>
              <w:jc w:val="both"/>
              <w:rPr>
                <w:rFonts w:ascii="Verdana" w:eastAsia="Calibri" w:hAnsi="Verdana" w:cs="Arial"/>
                <w:b/>
                <w:bCs/>
                <w:color w:val="4472C4" w:themeColor="accent1"/>
                <w:lang w:val="es-ES" w:eastAsia="es-ES_tradnl"/>
              </w:rPr>
            </w:pPr>
          </w:p>
        </w:tc>
        <w:tc>
          <w:tcPr>
            <w:tcW w:w="6100" w:type="dxa"/>
          </w:tcPr>
          <w:p w14:paraId="3AE9D025" w14:textId="77777777" w:rsidR="00FE0942" w:rsidRPr="00C17626" w:rsidRDefault="00FE0942" w:rsidP="009934A8">
            <w:pPr>
              <w:ind w:left="3"/>
              <w:jc w:val="both"/>
              <w:rPr>
                <w:rFonts w:ascii="Verdana" w:eastAsia="Calibri" w:hAnsi="Verdana" w:cs="Arial"/>
                <w:b/>
                <w:bCs/>
                <w:lang w:val="es-ES" w:eastAsia="es-ES"/>
              </w:rPr>
            </w:pPr>
            <w:r w:rsidRPr="00C17626">
              <w:rPr>
                <w:rFonts w:ascii="Verdana" w:eastAsia="Calibri" w:hAnsi="Verdana" w:cs="Arial"/>
                <w:b/>
                <w:bCs/>
                <w:lang w:val="es-ES" w:eastAsia="es-ES"/>
              </w:rPr>
              <w:t>Concepto C-567 de 2026</w:t>
            </w:r>
          </w:p>
          <w:p w14:paraId="36E2F163" w14:textId="77777777" w:rsidR="00FE0942" w:rsidRPr="00C17626" w:rsidRDefault="00FE0942" w:rsidP="009934A8">
            <w:pPr>
              <w:ind w:left="3"/>
              <w:jc w:val="both"/>
              <w:rPr>
                <w:rFonts w:ascii="Verdana" w:eastAsia="Calibri" w:hAnsi="Verdana" w:cs="Arial"/>
                <w:b/>
                <w:bCs/>
                <w:lang w:val="es-ES" w:eastAsia="es-ES"/>
              </w:rPr>
            </w:pPr>
          </w:p>
        </w:tc>
      </w:tr>
      <w:tr w:rsidR="00FE0942" w:rsidRPr="002D16AE" w14:paraId="23C45187" w14:textId="77777777" w:rsidTr="009934A8">
        <w:trPr>
          <w:trHeight w:val="300"/>
        </w:trPr>
        <w:tc>
          <w:tcPr>
            <w:tcW w:w="2410" w:type="dxa"/>
          </w:tcPr>
          <w:p w14:paraId="7F87C816" w14:textId="77777777" w:rsidR="00FE0942" w:rsidRPr="002D16AE" w:rsidRDefault="00FE0942" w:rsidP="009934A8">
            <w:pPr>
              <w:ind w:left="424" w:firstLine="137"/>
              <w:jc w:val="both"/>
              <w:rPr>
                <w:rFonts w:ascii="Verdana" w:eastAsia="Calibri" w:hAnsi="Verdana" w:cs="Arial"/>
                <w:color w:val="4472C4" w:themeColor="accent1"/>
                <w:lang w:val="es-ES" w:eastAsia="es-ES_tradnl"/>
              </w:rPr>
            </w:pPr>
            <w:r w:rsidRPr="00C17626">
              <w:rPr>
                <w:rFonts w:ascii="Verdana" w:eastAsia="Calibri" w:hAnsi="Verdana" w:cs="Arial"/>
                <w:b/>
                <w:lang w:val="es-ES" w:eastAsia="es-ES_tradnl"/>
              </w:rPr>
              <w:t>Temas:</w:t>
            </w:r>
            <w:r w:rsidRPr="00C17626">
              <w:rPr>
                <w:rFonts w:ascii="Verdana" w:eastAsia="Calibri" w:hAnsi="Verdana" w:cs="Arial"/>
                <w:lang w:val="es-ES" w:eastAsia="es-ES_tradnl"/>
              </w:rPr>
              <w:t xml:space="preserve">                  </w:t>
            </w:r>
          </w:p>
        </w:tc>
        <w:tc>
          <w:tcPr>
            <w:tcW w:w="6100" w:type="dxa"/>
          </w:tcPr>
          <w:p w14:paraId="1713FB77" w14:textId="77777777" w:rsidR="00FE0942" w:rsidRPr="00214BF2" w:rsidRDefault="00FE0942" w:rsidP="009934A8">
            <w:pPr>
              <w:jc w:val="both"/>
              <w:rPr>
                <w:rFonts w:ascii="Verdana" w:eastAsia="Calibri" w:hAnsi="Verdana" w:cs="Arial"/>
                <w:lang w:val="es-ES" w:eastAsia="es-ES"/>
              </w:rPr>
            </w:pPr>
            <w:r w:rsidRPr="00214BF2">
              <w:rPr>
                <w:rFonts w:ascii="Verdana" w:eastAsia="Calibri" w:hAnsi="Verdana" w:cs="Arial"/>
                <w:lang w:val="es-ES" w:eastAsia="es-ES"/>
              </w:rPr>
              <w:t>LEY DE GARANTÍAS ELECTORALES – Finalidad / LEY DE GARANTÍAS ELECTORALES ‒ Restricciones ‒ Contratación ‒ Tipos de elección / LEY DE GARANTÍAS ELECTORALES ‒ Artículo 33 / DE GARANTÍAS ELECTORALES ‒ Artículo 38 ‒ Parágrafo / LEY DE GARANTÍAS ELECTORALES ─ Prohibición ‒ Contratación directa ‒ Alcance</w:t>
            </w:r>
          </w:p>
          <w:p w14:paraId="74A2C74A" w14:textId="77777777" w:rsidR="00FE0942" w:rsidRPr="002D16AE" w:rsidRDefault="00FE0942" w:rsidP="009934A8">
            <w:pPr>
              <w:jc w:val="both"/>
              <w:rPr>
                <w:rFonts w:ascii="Verdana" w:hAnsi="Verdana"/>
                <w:color w:val="4472C4" w:themeColor="accent1"/>
              </w:rPr>
            </w:pPr>
          </w:p>
        </w:tc>
      </w:tr>
      <w:tr w:rsidR="00FE0942" w:rsidRPr="002D16AE" w14:paraId="5971ED00" w14:textId="77777777" w:rsidTr="009934A8">
        <w:trPr>
          <w:trHeight w:val="332"/>
        </w:trPr>
        <w:tc>
          <w:tcPr>
            <w:tcW w:w="2410" w:type="dxa"/>
          </w:tcPr>
          <w:p w14:paraId="3D787465" w14:textId="77777777" w:rsidR="00FE0942" w:rsidRPr="003F70F7" w:rsidRDefault="00FE0942" w:rsidP="009934A8">
            <w:pPr>
              <w:ind w:left="561"/>
              <w:jc w:val="both"/>
              <w:rPr>
                <w:rFonts w:ascii="Verdana" w:eastAsia="Calibri" w:hAnsi="Verdana" w:cs="Arial"/>
                <w:b/>
                <w:lang w:val="es-ES" w:eastAsia="es-ES_tradnl"/>
              </w:rPr>
            </w:pPr>
            <w:r w:rsidRPr="003F70F7">
              <w:rPr>
                <w:rFonts w:ascii="Verdana" w:eastAsia="Calibri" w:hAnsi="Verdana" w:cs="Arial"/>
                <w:b/>
                <w:lang w:val="es-ES" w:eastAsia="es-ES_tradnl"/>
              </w:rPr>
              <w:t>Radicación:</w:t>
            </w:r>
            <w:r w:rsidRPr="003F70F7">
              <w:rPr>
                <w:rFonts w:ascii="Verdana" w:eastAsia="Calibri" w:hAnsi="Verdana" w:cs="Arial"/>
                <w:lang w:val="es-ES" w:eastAsia="es-ES_tradnl"/>
              </w:rPr>
              <w:t xml:space="preserve">              </w:t>
            </w:r>
          </w:p>
        </w:tc>
        <w:tc>
          <w:tcPr>
            <w:tcW w:w="6100" w:type="dxa"/>
          </w:tcPr>
          <w:p w14:paraId="5116240D" w14:textId="77777777" w:rsidR="00FE0942" w:rsidRPr="003F70F7" w:rsidRDefault="00FE0942" w:rsidP="009934A8">
            <w:pPr>
              <w:ind w:left="3"/>
              <w:jc w:val="both"/>
              <w:rPr>
                <w:rFonts w:ascii="Verdana" w:hAnsi="Verdana"/>
                <w:lang w:val="es-ES"/>
              </w:rPr>
            </w:pPr>
            <w:r w:rsidRPr="003F70F7">
              <w:rPr>
                <w:rFonts w:ascii="Verdana" w:eastAsia="Calibri" w:hAnsi="Verdana" w:cs="Arial"/>
                <w:lang w:val="es-ES" w:eastAsia="es-ES"/>
              </w:rPr>
              <w:t xml:space="preserve">Respuesta a consulta con radicado No. </w:t>
            </w:r>
            <w:r w:rsidRPr="001445B2">
              <w:rPr>
                <w:rFonts w:ascii="Verdana" w:eastAsia="Calibri" w:hAnsi="Verdana" w:cs="Arial"/>
                <w:lang w:val="es-ES" w:eastAsia="es-ES"/>
              </w:rPr>
              <w:t>1_2026_04_07_004668</w:t>
            </w:r>
            <w:r>
              <w:rPr>
                <w:rFonts w:ascii="Verdana" w:eastAsia="Calibri" w:hAnsi="Verdana" w:cs="Arial"/>
                <w:lang w:val="es-ES" w:eastAsia="es-ES"/>
              </w:rPr>
              <w:t xml:space="preserve"> </w:t>
            </w:r>
            <w:r w:rsidRPr="003F70F7">
              <w:rPr>
                <w:rFonts w:ascii="Verdana" w:eastAsia="Calibri" w:hAnsi="Verdana" w:cs="Arial"/>
                <w:lang w:val="es-ES" w:eastAsia="es-ES"/>
              </w:rPr>
              <w:t xml:space="preserve">acumulada con </w:t>
            </w:r>
            <w:r w:rsidRPr="001445B2">
              <w:rPr>
                <w:rFonts w:ascii="Verdana" w:eastAsia="Calibri" w:hAnsi="Verdana" w:cs="Arial"/>
                <w:lang w:val="es-ES" w:eastAsia="es-ES"/>
              </w:rPr>
              <w:t>1_2026_04_22_005514</w:t>
            </w:r>
          </w:p>
        </w:tc>
      </w:tr>
    </w:tbl>
    <w:p w14:paraId="029DF085" w14:textId="77777777" w:rsidR="00FE0942" w:rsidRPr="002D16AE" w:rsidRDefault="00FE0942" w:rsidP="00FE0942">
      <w:pPr>
        <w:spacing w:after="0" w:line="276" w:lineRule="auto"/>
        <w:jc w:val="both"/>
        <w:rPr>
          <w:rFonts w:ascii="Verdana" w:eastAsia="Calibri" w:hAnsi="Verdana" w:cs="Arial"/>
          <w:color w:val="4472C4" w:themeColor="accent1"/>
          <w:lang w:eastAsia="es-ES"/>
        </w:rPr>
      </w:pPr>
    </w:p>
    <w:p w14:paraId="0020D7CA" w14:textId="77777777" w:rsidR="00FE0942" w:rsidRPr="00C17626" w:rsidRDefault="00FE0942" w:rsidP="00FE0942">
      <w:pPr>
        <w:spacing w:after="0" w:line="276" w:lineRule="auto"/>
        <w:jc w:val="both"/>
        <w:rPr>
          <w:rFonts w:ascii="Verdana" w:eastAsia="Calibri" w:hAnsi="Verdana" w:cs="Arial"/>
          <w:lang w:val="es-ES" w:eastAsia="es-ES"/>
        </w:rPr>
      </w:pPr>
    </w:p>
    <w:p w14:paraId="07032014" w14:textId="77777777" w:rsidR="00FE0942" w:rsidRPr="00C17626" w:rsidRDefault="00FE0942" w:rsidP="00FE0942">
      <w:pPr>
        <w:spacing w:after="0" w:line="276" w:lineRule="auto"/>
        <w:jc w:val="both"/>
        <w:rPr>
          <w:rFonts w:ascii="Verdana" w:eastAsia="Calibri" w:hAnsi="Verdana" w:cs="Arial"/>
          <w:lang w:val="es-ES" w:eastAsia="es-ES"/>
        </w:rPr>
      </w:pPr>
      <w:r w:rsidRPr="00C17626">
        <w:rPr>
          <w:rFonts w:ascii="Verdana" w:eastAsia="Calibri" w:hAnsi="Verdana" w:cs="Arial"/>
          <w:lang w:val="es-ES" w:eastAsia="es-ES"/>
        </w:rPr>
        <w:t>Estimado señor Acero,</w:t>
      </w:r>
    </w:p>
    <w:p w14:paraId="1DF25283" w14:textId="77777777" w:rsidR="00FE0942" w:rsidRPr="00CF7367" w:rsidRDefault="00FE0942" w:rsidP="00FE0942">
      <w:pPr>
        <w:spacing w:after="0" w:line="276" w:lineRule="auto"/>
        <w:jc w:val="both"/>
        <w:rPr>
          <w:rFonts w:ascii="Verdana" w:eastAsia="Calibri" w:hAnsi="Verdana" w:cs="Arial"/>
          <w:lang w:val="es-ES" w:eastAsia="es-ES"/>
        </w:rPr>
      </w:pPr>
      <w:r w:rsidRPr="00CF7367">
        <w:rPr>
          <w:rFonts w:ascii="Verdana" w:eastAsia="Calibri" w:hAnsi="Verdana" w:cs="Arial"/>
          <w:lang w:val="es-ES" w:eastAsia="es-ES"/>
        </w:rPr>
        <w:t xml:space="preserve"> </w:t>
      </w:r>
    </w:p>
    <w:p w14:paraId="74543E78" w14:textId="77777777" w:rsidR="00FE0942" w:rsidRPr="00CF7367" w:rsidRDefault="00FE0942" w:rsidP="00FE0942">
      <w:pPr>
        <w:tabs>
          <w:tab w:val="left" w:pos="3768"/>
        </w:tabs>
        <w:spacing w:after="0" w:line="276" w:lineRule="auto"/>
        <w:jc w:val="both"/>
        <w:rPr>
          <w:rFonts w:ascii="Verdana" w:eastAsia="Calibri" w:hAnsi="Verdana" w:cs="Arial"/>
          <w:lang w:eastAsia="es-ES"/>
        </w:rPr>
      </w:pPr>
      <w:r w:rsidRPr="00CF7367">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sus solicitudes de consulta de fechas 07 y 22 de abril de 2026, en la cual manifiesta lo siguiente: </w:t>
      </w:r>
    </w:p>
    <w:p w14:paraId="5EED66A2" w14:textId="77777777" w:rsidR="00FE0942" w:rsidRPr="002D16AE" w:rsidRDefault="00FE0942" w:rsidP="00FE0942">
      <w:pPr>
        <w:tabs>
          <w:tab w:val="left" w:pos="142"/>
          <w:tab w:val="left" w:pos="284"/>
        </w:tabs>
        <w:spacing w:after="0" w:line="276" w:lineRule="auto"/>
        <w:contextualSpacing/>
        <w:jc w:val="both"/>
        <w:rPr>
          <w:rFonts w:ascii="Verdana" w:eastAsia="Century Gothic" w:hAnsi="Verdana" w:cs="Century Gothic"/>
          <w:b/>
          <w:bCs/>
          <w:color w:val="4472C4" w:themeColor="accent1"/>
        </w:rPr>
      </w:pPr>
    </w:p>
    <w:p w14:paraId="54873FC6" w14:textId="77777777" w:rsidR="00FE0942" w:rsidRPr="00BF2F73" w:rsidRDefault="00FE0942" w:rsidP="00FE0942">
      <w:pPr>
        <w:spacing w:after="0" w:line="240" w:lineRule="auto"/>
        <w:ind w:left="709" w:right="709"/>
        <w:jc w:val="both"/>
        <w:rPr>
          <w:rFonts w:ascii="Verdana" w:eastAsia="Calibri" w:hAnsi="Verdana" w:cs="Arial"/>
          <w:sz w:val="20"/>
          <w:szCs w:val="20"/>
          <w:lang w:eastAsia="es-ES"/>
        </w:rPr>
      </w:pPr>
      <w:r w:rsidRPr="00BF2F73">
        <w:rPr>
          <w:rFonts w:ascii="Verdana" w:eastAsia="Century Gothic" w:hAnsi="Verdana" w:cs="Century Gothic"/>
          <w:i/>
          <w:iCs/>
          <w:sz w:val="20"/>
          <w:szCs w:val="20"/>
          <w:lang w:val="es-ES"/>
        </w:rPr>
        <w:t>“</w:t>
      </w:r>
      <w:r w:rsidRPr="00BF2F73">
        <w:rPr>
          <w:rFonts w:ascii="Verdana" w:eastAsia="Calibri" w:hAnsi="Verdana" w:cs="Arial"/>
          <w:sz w:val="20"/>
          <w:szCs w:val="20"/>
          <w:lang w:eastAsia="es-ES"/>
        </w:rPr>
        <w:t xml:space="preserve">[…] En el marco de la ejecución de un proyecto de regalías, la Universidad Militar debe realizar un pago al ICA correspondiente a una tasa creada por el artículo 158 de la Ley 1955 de 2019, cuyas tarifas son fijadas y actualizadas anualmente por el ICA mediante resolución de la Gerencia General, en este caso la Resolución No. 00034487 del 23 de diciembre de 2025 (Tarifas ICA 2026). El valor total asciende a $1.711.100, distribuido en dos conceptos del Anexo 1 de dicha resolución: código 07080 - </w:t>
      </w:r>
      <w:r w:rsidRPr="00BF2F73">
        <w:rPr>
          <w:rFonts w:ascii="Verdana" w:eastAsia="Calibri" w:hAnsi="Verdana" w:cs="Arial"/>
          <w:sz w:val="20"/>
          <w:szCs w:val="20"/>
          <w:lang w:eastAsia="es-ES"/>
        </w:rPr>
        <w:lastRenderedPageBreak/>
        <w:t>Concepto de revisión técnica documental y visita de verificación a planta y/o bodega ($1.197.150), y código 07079 - Registro ICA de empresas como productor o importador de Bioinsumos ($513.950). Este pago se realiza directamente a través de la plataforma SNRI del ICA mediante PSE, sobre una cadena presupuestal ya apropiada, sin que medie proceso de selección ni acto contractual. En este caso requerimos por favor nos indiquen si este pago está permitido en medio de la ley de garantías vigente, teniendo en cuenta que es la única entidad que hace este tipo de actividades en el país, y que además no requiere contrato o convenio sino que por resolución, podría autorizarse. […]”</w:t>
      </w:r>
    </w:p>
    <w:p w14:paraId="63A6707C" w14:textId="77777777" w:rsidR="00FE0942" w:rsidRPr="002D16AE" w:rsidRDefault="00FE0942" w:rsidP="00FE0942">
      <w:pPr>
        <w:tabs>
          <w:tab w:val="left" w:pos="1624"/>
        </w:tabs>
        <w:spacing w:after="0" w:line="240" w:lineRule="auto"/>
        <w:ind w:left="709" w:right="709"/>
        <w:jc w:val="both"/>
        <w:rPr>
          <w:rFonts w:ascii="Verdana" w:eastAsia="Calibri" w:hAnsi="Verdana" w:cs="Arial"/>
          <w:color w:val="4472C4" w:themeColor="accent1"/>
          <w:sz w:val="20"/>
          <w:szCs w:val="20"/>
          <w:lang w:eastAsia="es-ES"/>
        </w:rPr>
      </w:pPr>
    </w:p>
    <w:p w14:paraId="033631EC" w14:textId="77777777" w:rsidR="00FE0942" w:rsidRPr="00161DDF" w:rsidRDefault="00FE0942" w:rsidP="00FE0942">
      <w:pPr>
        <w:spacing w:after="120" w:line="276" w:lineRule="auto"/>
        <w:ind w:firstLine="708"/>
        <w:jc w:val="both"/>
        <w:rPr>
          <w:rFonts w:ascii="Verdana" w:eastAsia="Calibri" w:hAnsi="Verdana" w:cs="Arial"/>
          <w:lang w:val="es-ES" w:eastAsia="es-ES"/>
        </w:rPr>
      </w:pPr>
      <w:r w:rsidRPr="00161DD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61DDF">
        <w:rPr>
          <w:rFonts w:ascii="Verdana" w:hAnsi="Verdana"/>
          <w:lang w:val="es-ES"/>
        </w:rPr>
        <w:tab/>
      </w:r>
    </w:p>
    <w:p w14:paraId="5125DB4A" w14:textId="77777777" w:rsidR="00FE0942" w:rsidRPr="00161DDF" w:rsidRDefault="00FE0942" w:rsidP="00FE0942">
      <w:pPr>
        <w:spacing w:after="0" w:line="276" w:lineRule="auto"/>
        <w:ind w:firstLine="709"/>
        <w:jc w:val="both"/>
        <w:rPr>
          <w:rFonts w:ascii="Verdana" w:eastAsia="Calibri" w:hAnsi="Verdana" w:cs="Arial"/>
          <w:lang w:val="es-ES" w:eastAsia="es-ES"/>
        </w:rPr>
      </w:pPr>
      <w:r w:rsidRPr="00161DD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w:t>
      </w:r>
      <w:r w:rsidRPr="00161DDF">
        <w:rPr>
          <w:rFonts w:ascii="Verdana" w:eastAsia="Calibri" w:hAnsi="Verdana" w:cs="Arial"/>
          <w:lang w:eastAsia="es-ES"/>
        </w:rPr>
        <w:t xml:space="preserve">pero señalando algunas </w:t>
      </w:r>
      <w:r w:rsidRPr="00161DDF">
        <w:rPr>
          <w:rFonts w:ascii="Verdana" w:eastAsia="Calibri" w:hAnsi="Verdana" w:cs="Arial"/>
          <w:lang w:val="es-ES" w:eastAsia="es-ES"/>
        </w:rPr>
        <w:t xml:space="preserve">consideraciones sobre las normas generales relacionadas con el problema jurídico de su consulta. </w:t>
      </w:r>
    </w:p>
    <w:p w14:paraId="345A7456" w14:textId="77777777" w:rsidR="00FE0942" w:rsidRPr="00161DDF" w:rsidRDefault="00FE0942" w:rsidP="00FE0942">
      <w:pPr>
        <w:spacing w:after="0" w:line="276" w:lineRule="auto"/>
        <w:ind w:firstLine="709"/>
        <w:jc w:val="both"/>
        <w:rPr>
          <w:rFonts w:ascii="Verdana" w:eastAsia="Calibri" w:hAnsi="Verdana" w:cs="Arial"/>
          <w:lang w:val="es-ES" w:eastAsia="es-ES"/>
        </w:rPr>
      </w:pPr>
    </w:p>
    <w:p w14:paraId="0D2DD88B" w14:textId="77777777" w:rsidR="00FE0942" w:rsidRPr="00161DDF" w:rsidRDefault="00FE0942" w:rsidP="00FE0942">
      <w:pPr>
        <w:tabs>
          <w:tab w:val="left" w:pos="142"/>
          <w:tab w:val="left" w:pos="284"/>
        </w:tabs>
        <w:spacing w:after="0" w:line="276" w:lineRule="auto"/>
        <w:contextualSpacing/>
        <w:jc w:val="both"/>
        <w:rPr>
          <w:rFonts w:ascii="Verdana" w:eastAsia="Century Gothic" w:hAnsi="Verdana" w:cs="Century Gothic"/>
          <w:b/>
          <w:lang w:val="es-ES"/>
        </w:rPr>
      </w:pPr>
      <w:r w:rsidRPr="00161DDF">
        <w:rPr>
          <w:rFonts w:ascii="Verdana" w:eastAsia="Century Gothic" w:hAnsi="Verdana" w:cs="Century Gothic"/>
          <w:b/>
          <w:lang w:val="es-ES"/>
        </w:rPr>
        <w:t>1. Problema planteado:</w:t>
      </w:r>
    </w:p>
    <w:p w14:paraId="32D9030C" w14:textId="77777777" w:rsidR="00FE0942" w:rsidRPr="002D16AE" w:rsidRDefault="00FE0942" w:rsidP="00FE0942">
      <w:pPr>
        <w:tabs>
          <w:tab w:val="left" w:pos="426"/>
        </w:tabs>
        <w:spacing w:after="0" w:line="276" w:lineRule="auto"/>
        <w:jc w:val="both"/>
        <w:rPr>
          <w:rFonts w:ascii="Verdana" w:eastAsia="Century Gothic" w:hAnsi="Verdana" w:cs="Century Gothic"/>
          <w:color w:val="4472C4" w:themeColor="accent1"/>
          <w:lang w:val="es-ES"/>
        </w:rPr>
      </w:pPr>
    </w:p>
    <w:p w14:paraId="4A569FD4" w14:textId="77777777" w:rsidR="00FE0942" w:rsidRPr="002D16AE" w:rsidRDefault="00FE0942" w:rsidP="00FE0942">
      <w:pPr>
        <w:spacing w:after="0" w:line="276" w:lineRule="auto"/>
        <w:jc w:val="both"/>
        <w:rPr>
          <w:rFonts w:ascii="Verdana" w:eastAsia="Century Gothic" w:hAnsi="Verdana" w:cs="Century Gothic"/>
          <w:color w:val="4472C4" w:themeColor="accent1"/>
        </w:rPr>
      </w:pPr>
      <w:r w:rsidRPr="00836E9C">
        <w:rPr>
          <w:rFonts w:ascii="Verdana" w:eastAsia="Century Gothic" w:hAnsi="Verdana" w:cs="Century Gothic"/>
          <w:lang w:val="es-ES"/>
        </w:rPr>
        <w:t xml:space="preserve">De acuerdo con el contenido de su solicitud, esta Agencia resolverá el siguiente problema jurídico: </w:t>
      </w:r>
      <w:r w:rsidRPr="00107A21">
        <w:rPr>
          <w:rFonts w:ascii="Verdana" w:eastAsia="Century Gothic" w:hAnsi="Verdana" w:cs="Century Gothic"/>
        </w:rPr>
        <w:t>¿La restricción prevista en la Ley de Garantías aplica al pago de tasas al ICA derivadas de obligaciones legales y no de relaciones contractuales?</w:t>
      </w:r>
    </w:p>
    <w:p w14:paraId="783E51E4" w14:textId="77777777" w:rsidR="00FE0942" w:rsidRPr="002D16AE" w:rsidRDefault="00FE0942" w:rsidP="00FE0942">
      <w:pPr>
        <w:spacing w:after="0" w:line="276" w:lineRule="auto"/>
        <w:jc w:val="both"/>
        <w:rPr>
          <w:rFonts w:ascii="Verdana" w:eastAsia="Century Gothic" w:hAnsi="Verdana" w:cs="Century Gothic"/>
          <w:color w:val="4472C4" w:themeColor="accent1"/>
        </w:rPr>
      </w:pPr>
    </w:p>
    <w:p w14:paraId="09D89BC8" w14:textId="77777777" w:rsidR="00FE0942" w:rsidRPr="00646EAF" w:rsidRDefault="00FE0942" w:rsidP="00FE0942">
      <w:pPr>
        <w:tabs>
          <w:tab w:val="left" w:pos="142"/>
          <w:tab w:val="left" w:pos="284"/>
        </w:tabs>
        <w:spacing w:after="0" w:line="276" w:lineRule="auto"/>
        <w:jc w:val="both"/>
        <w:rPr>
          <w:rFonts w:ascii="Verdana" w:eastAsia="Century Gothic" w:hAnsi="Verdana" w:cs="Century Gothic"/>
          <w:b/>
          <w:lang w:val="es-ES"/>
        </w:rPr>
      </w:pPr>
      <w:r w:rsidRPr="00816CE1">
        <w:rPr>
          <w:rFonts w:ascii="Verdana" w:eastAsia="Century Gothic" w:hAnsi="Verdana" w:cs="Century Gothic"/>
          <w:b/>
          <w:lang w:val="es-ES"/>
        </w:rPr>
        <w:t>2. Respuesta:</w:t>
      </w:r>
    </w:p>
    <w:tbl>
      <w:tblPr>
        <w:tblStyle w:val="Tablaconcuadrcula"/>
        <w:tblW w:w="88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52"/>
      </w:tblGrid>
      <w:tr w:rsidR="00FE0942" w:rsidRPr="002D16AE" w14:paraId="4C507827" w14:textId="77777777" w:rsidTr="009934A8">
        <w:tc>
          <w:tcPr>
            <w:tcW w:w="8852" w:type="dxa"/>
          </w:tcPr>
          <w:p w14:paraId="55DCF630" w14:textId="77777777" w:rsidR="00FE0942" w:rsidRPr="00365529" w:rsidRDefault="00FE0942" w:rsidP="009934A8">
            <w:pPr>
              <w:spacing w:before="120" w:after="120" w:line="276" w:lineRule="auto"/>
              <w:jc w:val="both"/>
              <w:rPr>
                <w:rFonts w:ascii="Verdana" w:eastAsia="Calibri" w:hAnsi="Verdana" w:cs="Arial"/>
              </w:rPr>
            </w:pPr>
            <w:r w:rsidRPr="00365529">
              <w:rPr>
                <w:rFonts w:ascii="Verdana" w:eastAsia="Calibri" w:hAnsi="Verdana" w:cs="Arial"/>
              </w:rPr>
              <w:lastRenderedPageBreak/>
              <w:t>En el marco del análisis del régimen general de compras y contratación pública, y sin desconocer que corresponde a cada entidad evaluar la viabilidad técnica, jurídica y financiera de los contratos que se pretendan celebrar, es posible sostener que la Ley 996 de 2005 establece restricciones a la contratación estatal.</w:t>
            </w:r>
          </w:p>
          <w:p w14:paraId="18DD6190" w14:textId="77777777" w:rsidR="00FE0942" w:rsidRDefault="00FE0942" w:rsidP="009934A8">
            <w:pPr>
              <w:spacing w:before="120" w:after="120" w:line="276" w:lineRule="auto"/>
              <w:ind w:firstLine="709"/>
              <w:jc w:val="both"/>
              <w:rPr>
                <w:rFonts w:ascii="Verdana" w:eastAsia="Calibri" w:hAnsi="Verdana" w:cs="Arial"/>
              </w:rPr>
            </w:pPr>
            <w:r w:rsidRPr="000303F4">
              <w:rPr>
                <w:rFonts w:ascii="Verdana" w:eastAsia="Calibri" w:hAnsi="Verdana" w:cs="Arial"/>
                <w:lang w:val="es-ES"/>
              </w:rPr>
              <w:t xml:space="preserve">En tal sentido, </w:t>
            </w:r>
            <w:r w:rsidRPr="000303F4">
              <w:rPr>
                <w:rFonts w:ascii="Verdana" w:eastAsia="Calibri" w:hAnsi="Verdana" w:cs="Arial"/>
              </w:rPr>
              <w:t>el artículo 33 de la Ley 996 de 2005 prohíbe la contratación directa por parte 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afectadas por atentados, acciones terroristas, desastres naturales o eventos de fuerza mayor, y los que deban celebrar las entidades sanitarias y hospitalarias.</w:t>
            </w:r>
          </w:p>
          <w:p w14:paraId="7FF487C8" w14:textId="77777777" w:rsidR="00FE0942" w:rsidRDefault="00FE0942" w:rsidP="009934A8">
            <w:pPr>
              <w:spacing w:before="120" w:after="120" w:line="276" w:lineRule="auto"/>
              <w:ind w:firstLine="709"/>
              <w:jc w:val="both"/>
              <w:rPr>
                <w:rFonts w:ascii="Verdana" w:eastAsia="Calibri" w:hAnsi="Verdana" w:cs="Arial"/>
              </w:rPr>
            </w:pPr>
            <w:r>
              <w:rPr>
                <w:rFonts w:ascii="Verdana" w:eastAsia="Calibri" w:hAnsi="Verdana" w:cs="Arial"/>
              </w:rPr>
              <w:t xml:space="preserve">Aunado a lo anterior, la </w:t>
            </w:r>
            <w:r w:rsidRPr="000B7079">
              <w:rPr>
                <w:rFonts w:ascii="Verdana" w:eastAsia="Calibri" w:hAnsi="Verdana" w:cs="Arial"/>
              </w:rPr>
              <w:t xml:space="preserve">prohibición </w:t>
            </w:r>
            <w:r>
              <w:rPr>
                <w:rFonts w:ascii="Verdana" w:eastAsia="Calibri" w:hAnsi="Verdana" w:cs="Arial"/>
              </w:rPr>
              <w:t xml:space="preserve">establecida en el </w:t>
            </w:r>
            <w:r w:rsidRPr="000B7079">
              <w:rPr>
                <w:rFonts w:ascii="Verdana" w:eastAsia="Calibri" w:hAnsi="Verdana" w:cs="Arial"/>
              </w:rPr>
              <w:t xml:space="preserve">artículo 33 de </w:t>
            </w:r>
            <w:r>
              <w:rPr>
                <w:rFonts w:ascii="Verdana" w:eastAsia="Calibri" w:hAnsi="Verdana" w:cs="Arial"/>
              </w:rPr>
              <w:t>Ley 996 de 2025</w:t>
            </w:r>
            <w:r w:rsidRPr="000B7079">
              <w:rPr>
                <w:rFonts w:ascii="Verdana" w:eastAsia="Calibri" w:hAnsi="Verdana" w:cs="Arial"/>
              </w:rPr>
              <w:t xml:space="preserve">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630A05E1" w14:textId="77777777" w:rsidR="00FE0942" w:rsidRPr="00402B75" w:rsidRDefault="00FE0942" w:rsidP="009934A8">
            <w:pPr>
              <w:spacing w:before="120" w:after="120" w:line="276" w:lineRule="auto"/>
              <w:ind w:firstLine="709"/>
              <w:jc w:val="both"/>
              <w:rPr>
                <w:rFonts w:ascii="Verdana" w:eastAsia="Calibri" w:hAnsi="Verdana" w:cs="Arial"/>
              </w:rPr>
            </w:pPr>
            <w:r w:rsidRPr="00402B75">
              <w:rPr>
                <w:rFonts w:ascii="Verdana" w:eastAsia="Calibri" w:hAnsi="Verdana" w:cs="Arial"/>
              </w:rPr>
              <w:t>En ese contexto, para resolver el problema jurídico es preciso indicar que las restricciones previstas en la Ley de Garantías recaen sobre la celebración de contratos estatales, particularmente respecto de mecanismos de contratación directa, y no frente al cumplimiento de obligaciones legales a cargo de las entidades. En esa medida, el pago de tasas, impuestos o tarifas fijadas por la ley o mediante actos administrativos de carácter general no constituye una actuación contractual ni implica la celebración de un contrato estatal.</w:t>
            </w:r>
          </w:p>
          <w:p w14:paraId="12907D41" w14:textId="77777777" w:rsidR="00FE0942" w:rsidRPr="00402B75" w:rsidRDefault="00FE0942" w:rsidP="009934A8">
            <w:pPr>
              <w:spacing w:before="120" w:after="120" w:line="276" w:lineRule="auto"/>
              <w:ind w:firstLine="709"/>
              <w:jc w:val="both"/>
              <w:rPr>
                <w:rFonts w:ascii="Verdana" w:eastAsia="Calibri" w:hAnsi="Verdana" w:cs="Arial"/>
              </w:rPr>
            </w:pPr>
            <w:r w:rsidRPr="00402B75">
              <w:rPr>
                <w:rFonts w:ascii="Verdana" w:eastAsia="Calibri" w:hAnsi="Verdana" w:cs="Arial"/>
              </w:rPr>
              <w:t xml:space="preserve">Así las cosas, el pago de este tipo de obligaciones no se subsume en los supuestos de prohibición previstos en el artículo 33 de la Ley 996 de 2005, toda vez que no corresponde al desarrollo de actividad contractual ni al adelantamiento de un proceso de selección de contratistas. Por el contrario, se trata del cumplimiento de una obligación legalmente establecida, circunstancia </w:t>
            </w:r>
            <w:r w:rsidRPr="00402B75">
              <w:rPr>
                <w:rFonts w:ascii="Verdana" w:eastAsia="Calibri" w:hAnsi="Verdana" w:cs="Arial"/>
              </w:rPr>
              <w:lastRenderedPageBreak/>
              <w:t>que lo ubica por fuera del ámbito material de aplicación de la restricción prevista en la Ley de Garantías.</w:t>
            </w:r>
          </w:p>
          <w:p w14:paraId="4C21EB66" w14:textId="77777777" w:rsidR="00FE0942" w:rsidRPr="002D16AE" w:rsidRDefault="00FE0942" w:rsidP="009934A8">
            <w:pPr>
              <w:spacing w:before="120" w:after="120" w:line="276" w:lineRule="auto"/>
              <w:ind w:firstLine="709"/>
              <w:jc w:val="both"/>
              <w:rPr>
                <w:rFonts w:ascii="Verdana" w:eastAsia="Calibri" w:hAnsi="Verdana" w:cs="Arial"/>
                <w:color w:val="4472C4" w:themeColor="accent1"/>
              </w:rPr>
            </w:pPr>
            <w:r w:rsidRPr="00402B75">
              <w:rPr>
                <w:rFonts w:ascii="Verdana" w:eastAsia="Calibri" w:hAnsi="Verdana" w:cs="Arial"/>
              </w:rPr>
              <w:t>Finalmente debe advertirse que el análisis requerido para resolver problemas específicos a la gestión contractual de las universidades públicas en vigencia de la Ley de Garantías Electorales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461E50AD" w14:textId="77777777" w:rsidR="00FE0942" w:rsidRPr="002D16AE" w:rsidRDefault="00FE0942" w:rsidP="00FE0942">
      <w:pPr>
        <w:tabs>
          <w:tab w:val="left" w:pos="142"/>
          <w:tab w:val="left" w:pos="284"/>
        </w:tabs>
        <w:spacing w:after="0" w:line="276" w:lineRule="auto"/>
        <w:jc w:val="both"/>
        <w:rPr>
          <w:rFonts w:ascii="Verdana" w:eastAsia="Century Gothic" w:hAnsi="Verdana" w:cs="Century Gothic"/>
          <w:b/>
          <w:bCs/>
          <w:color w:val="4472C4" w:themeColor="accent1"/>
          <w:lang w:val="es-ES"/>
        </w:rPr>
      </w:pPr>
    </w:p>
    <w:p w14:paraId="1409D4E4" w14:textId="77777777" w:rsidR="00FE0942" w:rsidRPr="00816CE1" w:rsidRDefault="00FE0942" w:rsidP="00FE0942">
      <w:pPr>
        <w:tabs>
          <w:tab w:val="left" w:pos="142"/>
          <w:tab w:val="left" w:pos="284"/>
        </w:tabs>
        <w:spacing w:after="0" w:line="276" w:lineRule="auto"/>
        <w:jc w:val="both"/>
        <w:rPr>
          <w:rFonts w:ascii="Verdana" w:eastAsia="Century Gothic" w:hAnsi="Verdana" w:cs="Century Gothic"/>
          <w:b/>
          <w:lang w:val="es-ES"/>
        </w:rPr>
      </w:pPr>
      <w:r w:rsidRPr="00816CE1">
        <w:rPr>
          <w:rFonts w:ascii="Verdana" w:eastAsia="Century Gothic" w:hAnsi="Verdana" w:cs="Century Gothic"/>
          <w:b/>
          <w:lang w:val="es-ES"/>
        </w:rPr>
        <w:t>3. Razones de la respuesta:</w:t>
      </w:r>
    </w:p>
    <w:p w14:paraId="5838F2B6" w14:textId="77777777" w:rsidR="00FE0942" w:rsidRPr="00816CE1" w:rsidRDefault="00FE0942" w:rsidP="00FE0942">
      <w:pPr>
        <w:tabs>
          <w:tab w:val="left" w:pos="142"/>
          <w:tab w:val="left" w:pos="284"/>
        </w:tabs>
        <w:spacing w:after="0" w:line="276" w:lineRule="auto"/>
        <w:jc w:val="both"/>
        <w:rPr>
          <w:rFonts w:ascii="Verdana" w:eastAsia="Century Gothic" w:hAnsi="Verdana" w:cs="Century Gothic"/>
          <w:b/>
          <w:lang w:val="es-ES"/>
        </w:rPr>
      </w:pPr>
    </w:p>
    <w:p w14:paraId="1BC41FB0" w14:textId="77777777" w:rsidR="00FE0942" w:rsidRPr="00816CE1" w:rsidRDefault="00FE0942" w:rsidP="00FE0942">
      <w:pPr>
        <w:spacing w:after="0" w:line="276" w:lineRule="auto"/>
        <w:jc w:val="both"/>
        <w:rPr>
          <w:rFonts w:ascii="Verdana" w:eastAsia="Calibri" w:hAnsi="Verdana" w:cs="Arial"/>
          <w:lang w:val="es-ES"/>
        </w:rPr>
      </w:pPr>
      <w:r w:rsidRPr="00816CE1">
        <w:rPr>
          <w:rFonts w:ascii="Verdana" w:eastAsia="Calibri" w:hAnsi="Verdana" w:cs="Arial"/>
          <w:lang w:val="es-ES"/>
        </w:rPr>
        <w:t>Lo anterior se sustenta en las siguientes consideraciones:</w:t>
      </w:r>
      <w:bookmarkStart w:id="2" w:name="_Hlk102983874"/>
      <w:bookmarkStart w:id="3" w:name="_Hlk102388095"/>
    </w:p>
    <w:p w14:paraId="4E00682C" w14:textId="77777777" w:rsidR="00FE0942" w:rsidRPr="002D16AE" w:rsidRDefault="00FE0942" w:rsidP="00FE0942">
      <w:pPr>
        <w:spacing w:after="0" w:line="276" w:lineRule="auto"/>
        <w:jc w:val="both"/>
        <w:rPr>
          <w:rFonts w:ascii="Verdana" w:eastAsia="Calibri" w:hAnsi="Verdana" w:cs="Arial"/>
          <w:color w:val="4472C4" w:themeColor="accent1"/>
          <w:lang w:val="es-ES"/>
        </w:rPr>
      </w:pPr>
    </w:p>
    <w:p w14:paraId="00A93389" w14:textId="77777777" w:rsidR="00FE0942" w:rsidRPr="00860425" w:rsidRDefault="00FE0942" w:rsidP="00FE0942">
      <w:pPr>
        <w:tabs>
          <w:tab w:val="left" w:pos="426"/>
        </w:tabs>
        <w:spacing w:after="120" w:line="276" w:lineRule="auto"/>
        <w:jc w:val="both"/>
        <w:rPr>
          <w:rFonts w:ascii="Verdana" w:eastAsia="Times New Roman" w:hAnsi="Verdana" w:cs="Arial"/>
          <w:lang w:val="es-ES" w:eastAsia="es-CO"/>
        </w:rPr>
      </w:pPr>
      <w:r>
        <w:rPr>
          <w:rFonts w:ascii="Verdana" w:eastAsia="Calibri" w:hAnsi="Verdana" w:cs="Arial"/>
          <w:lang w:val="es-ES"/>
        </w:rPr>
        <w:t xml:space="preserve">i. </w:t>
      </w:r>
      <w:r w:rsidRPr="00860425">
        <w:rPr>
          <w:rFonts w:ascii="Verdana" w:eastAsia="Calibri" w:hAnsi="Verdana" w:cs="Arial"/>
          <w:lang w:val="es-ES"/>
        </w:rPr>
        <w:t>El ordenamiento jurídico colombiano contempla medidas para evitar la obtención de beneficios personales en asuntos propios de la administración pública</w:t>
      </w:r>
      <w:r w:rsidRPr="00860425">
        <w:rPr>
          <w:rFonts w:ascii="Verdana" w:eastAsia="Calibri" w:hAnsi="Verdana" w:cs="Arial"/>
          <w:i/>
          <w:lang w:val="es-ES"/>
        </w:rPr>
        <w:t xml:space="preserve">. </w:t>
      </w:r>
      <w:r w:rsidRPr="00860425">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860425">
        <w:rPr>
          <w:rFonts w:ascii="Verdana" w:hAnsi="Verdana"/>
          <w:vertAlign w:val="superscript"/>
          <w:lang w:val="es-ES"/>
        </w:rPr>
        <w:footnoteReference w:id="1"/>
      </w:r>
      <w:r w:rsidRPr="00860425">
        <w:rPr>
          <w:rFonts w:ascii="Verdana" w:eastAsia="Calibri" w:hAnsi="Verdana" w:cs="Arial"/>
          <w:lang w:val="es-ES"/>
        </w:rPr>
        <w:t xml:space="preserve">. </w:t>
      </w:r>
    </w:p>
    <w:p w14:paraId="762AB02F" w14:textId="77777777" w:rsidR="00FE0942" w:rsidRPr="00503019" w:rsidRDefault="00FE0942" w:rsidP="00FE0942">
      <w:pPr>
        <w:tabs>
          <w:tab w:val="left" w:pos="426"/>
        </w:tabs>
        <w:spacing w:after="120" w:line="276" w:lineRule="auto"/>
        <w:ind w:firstLine="709"/>
        <w:jc w:val="both"/>
        <w:rPr>
          <w:rFonts w:ascii="Verdana" w:eastAsia="Calibri" w:hAnsi="Verdana" w:cs="Arial"/>
          <w:lang w:val="es-ES"/>
        </w:rPr>
      </w:pPr>
      <w:r w:rsidRPr="00503019">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03019">
        <w:rPr>
          <w:rFonts w:ascii="Verdana" w:eastAsia="Times New Roman" w:hAnsi="Verdana" w:cs="Arial"/>
          <w:vertAlign w:val="superscript"/>
          <w:lang w:val="es-ES" w:eastAsia="es-CO"/>
        </w:rPr>
        <w:footnoteReference w:id="2"/>
      </w:r>
      <w:r w:rsidRPr="00503019">
        <w:rPr>
          <w:rFonts w:ascii="Verdana" w:eastAsia="Times New Roman" w:hAnsi="Verdana" w:cs="Arial"/>
          <w:lang w:val="es-ES" w:eastAsia="es-CO"/>
        </w:rPr>
        <w:t xml:space="preserve">. En esta medida, introduce limitaciones para realizar nombramientos, postulaciones, contrataciones o </w:t>
      </w:r>
      <w:r w:rsidRPr="00503019">
        <w:rPr>
          <w:rFonts w:ascii="Verdana" w:eastAsia="Times New Roman" w:hAnsi="Verdana" w:cs="Arial"/>
          <w:lang w:val="es-ES" w:eastAsia="es-CO"/>
        </w:rPr>
        <w:lastRenderedPageBreak/>
        <w:t>cualquier otro tipo de actividad que implique destinación de recursos públicos bajo el devenir propio de las Entidades Estatales.</w:t>
      </w:r>
      <w:r w:rsidRPr="00503019">
        <w:rPr>
          <w:rFonts w:ascii="Verdana" w:eastAsia="Calibri" w:hAnsi="Verdana" w:cs="Arial"/>
          <w:lang w:val="es-ES"/>
        </w:rPr>
        <w:t xml:space="preserve"> </w:t>
      </w:r>
    </w:p>
    <w:p w14:paraId="5EB5FBBA" w14:textId="77777777" w:rsidR="00FE0942" w:rsidRPr="006E5E26" w:rsidRDefault="00FE0942" w:rsidP="00FE0942">
      <w:pPr>
        <w:tabs>
          <w:tab w:val="left" w:pos="426"/>
        </w:tabs>
        <w:spacing w:after="0" w:line="276" w:lineRule="auto"/>
        <w:ind w:firstLine="709"/>
        <w:jc w:val="both"/>
        <w:rPr>
          <w:rFonts w:ascii="Verdana" w:eastAsia="Calibri" w:hAnsi="Verdana" w:cs="Arial"/>
          <w:lang w:val="es-ES"/>
        </w:rPr>
      </w:pPr>
      <w:r w:rsidRPr="006E5E26">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0686EF4E" w14:textId="77777777" w:rsidR="00FE0942" w:rsidRPr="006E5E26" w:rsidRDefault="00FE0942" w:rsidP="00FE0942">
      <w:pPr>
        <w:spacing w:after="0" w:line="276" w:lineRule="auto"/>
        <w:ind w:right="709"/>
        <w:jc w:val="both"/>
        <w:rPr>
          <w:rFonts w:ascii="Verdana" w:eastAsia="Times New Roman" w:hAnsi="Verdana" w:cs="Arial"/>
          <w:lang w:val="es-ES" w:eastAsia="es-CO"/>
        </w:rPr>
      </w:pPr>
    </w:p>
    <w:p w14:paraId="019749EC" w14:textId="77777777" w:rsidR="00FE0942" w:rsidRDefault="00FE0942" w:rsidP="00FE0942">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 xml:space="preserve"> </w:t>
      </w:r>
    </w:p>
    <w:p w14:paraId="23FB9A42" w14:textId="77777777" w:rsidR="00FE0942" w:rsidRPr="006E5E26" w:rsidRDefault="00FE0942" w:rsidP="00FE0942">
      <w:pPr>
        <w:spacing w:after="0" w:line="240" w:lineRule="auto"/>
        <w:ind w:left="709" w:right="709"/>
        <w:contextualSpacing/>
        <w:jc w:val="both"/>
        <w:rPr>
          <w:rFonts w:ascii="Verdana" w:eastAsia="Times New Roman" w:hAnsi="Verdana" w:cs="Arial"/>
          <w:sz w:val="20"/>
          <w:szCs w:val="20"/>
          <w:lang w:val="es-ES" w:eastAsia="es-CO"/>
        </w:rPr>
      </w:pPr>
    </w:p>
    <w:p w14:paraId="0659A04F" w14:textId="77777777" w:rsidR="00FE0942" w:rsidRPr="006E5E26" w:rsidRDefault="00FE0942" w:rsidP="00FE0942">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E5E26">
        <w:rPr>
          <w:rFonts w:ascii="Verdana" w:eastAsia="Calibri" w:hAnsi="Verdana" w:cs="Arial"/>
          <w:sz w:val="20"/>
          <w:szCs w:val="20"/>
          <w:vertAlign w:val="superscript"/>
          <w:lang w:val="es-ES"/>
        </w:rPr>
        <w:footnoteReference w:id="3"/>
      </w:r>
    </w:p>
    <w:p w14:paraId="3767BCDF" w14:textId="77777777" w:rsidR="00FE0942" w:rsidRPr="00B67A94" w:rsidRDefault="00FE0942" w:rsidP="00FE0942">
      <w:pPr>
        <w:spacing w:after="0" w:line="276" w:lineRule="auto"/>
        <w:ind w:firstLine="709"/>
        <w:jc w:val="both"/>
        <w:rPr>
          <w:rFonts w:ascii="Verdana" w:eastAsia="Times New Roman" w:hAnsi="Verdana" w:cs="Arial"/>
          <w:color w:val="4472C4" w:themeColor="accent1"/>
          <w:lang w:val="es-ES" w:eastAsia="es-CO"/>
        </w:rPr>
      </w:pPr>
    </w:p>
    <w:p w14:paraId="21C581C1" w14:textId="77777777" w:rsidR="00FE0942" w:rsidRPr="006E1064" w:rsidRDefault="00FE0942" w:rsidP="00FE0942">
      <w:pPr>
        <w:spacing w:after="0" w:line="276" w:lineRule="auto"/>
        <w:ind w:firstLine="709"/>
        <w:jc w:val="both"/>
        <w:rPr>
          <w:rFonts w:ascii="Verdana" w:eastAsia="Times New Roman" w:hAnsi="Verdana" w:cs="Arial"/>
          <w:lang w:val="es-ES" w:eastAsia="es-CO"/>
        </w:rPr>
      </w:pPr>
      <w:r w:rsidRPr="006E106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310F96E4" w14:textId="77777777" w:rsidR="00FE0942" w:rsidRPr="00B67A94" w:rsidRDefault="00FE0942" w:rsidP="00FE0942">
      <w:pPr>
        <w:spacing w:after="0" w:line="276" w:lineRule="auto"/>
        <w:ind w:firstLine="709"/>
        <w:jc w:val="both"/>
        <w:rPr>
          <w:rFonts w:ascii="Verdana" w:eastAsia="Times New Roman" w:hAnsi="Verdana" w:cs="Arial"/>
          <w:color w:val="4472C4" w:themeColor="accent1"/>
          <w:lang w:val="es-ES" w:eastAsia="es-CO"/>
        </w:rPr>
      </w:pPr>
    </w:p>
    <w:p w14:paraId="3E1C7122" w14:textId="77777777" w:rsidR="00FE0942" w:rsidRPr="00860425" w:rsidRDefault="00FE0942" w:rsidP="00FE0942">
      <w:pPr>
        <w:tabs>
          <w:tab w:val="left" w:pos="426"/>
        </w:tabs>
        <w:spacing w:after="120" w:line="276" w:lineRule="auto"/>
        <w:jc w:val="both"/>
        <w:rPr>
          <w:rFonts w:ascii="Verdana" w:eastAsia="Times New Roman" w:hAnsi="Verdana" w:cs="Arial"/>
          <w:lang w:val="es-ES" w:eastAsia="es-CO"/>
        </w:rPr>
      </w:pPr>
      <w:r w:rsidRPr="00646EAF">
        <w:rPr>
          <w:rFonts w:ascii="Verdana" w:eastAsia="Times New Roman" w:hAnsi="Verdana" w:cs="Arial"/>
          <w:lang w:val="es-ES" w:eastAsia="es-CO"/>
        </w:rPr>
        <w:t xml:space="preserve">“No está de más recordar que las prohibiciones, en tanto limitan la libertad y los derechos de las personas, son de origen constitucional y legal; la </w:t>
      </w:r>
      <w:r w:rsidRPr="00646EAF">
        <w:rPr>
          <w:rFonts w:ascii="Verdana" w:eastAsia="Calibri" w:hAnsi="Verdana" w:cs="Arial"/>
          <w:lang w:val="es-ES"/>
        </w:rPr>
        <w:t>i)</w:t>
      </w:r>
      <w:r w:rsidRPr="00646EAF">
        <w:rPr>
          <w:rFonts w:ascii="Verdana" w:eastAsia="Verdana" w:hAnsi="Verdana" w:cs="Verdana"/>
          <w:lang w:val="es-ES"/>
        </w:rPr>
        <w:t xml:space="preserve"> </w:t>
      </w:r>
      <w:r w:rsidRPr="00646EAF">
        <w:rPr>
          <w:rFonts w:ascii="Verdana" w:eastAsia="Calibri" w:hAnsi="Verdana" w:cs="Arial"/>
          <w:lang w:val="es-ES"/>
        </w:rPr>
        <w:t xml:space="preserve">El ordenamiento jurídico colombiano contempla medidas para evitar la obtención de beneficios </w:t>
      </w:r>
      <w:r w:rsidRPr="00860425">
        <w:rPr>
          <w:rFonts w:ascii="Verdana" w:eastAsia="Calibri" w:hAnsi="Verdana" w:cs="Arial"/>
          <w:lang w:val="es-ES"/>
        </w:rPr>
        <w:t>personales en asuntos propios de la administración pública</w:t>
      </w:r>
      <w:r w:rsidRPr="00860425">
        <w:rPr>
          <w:rFonts w:ascii="Verdana" w:eastAsia="Calibri" w:hAnsi="Verdana" w:cs="Arial"/>
          <w:i/>
          <w:lang w:val="es-ES"/>
        </w:rPr>
        <w:t xml:space="preserve">. </w:t>
      </w:r>
      <w:r w:rsidRPr="00860425">
        <w:rPr>
          <w:rFonts w:ascii="Verdana" w:eastAsia="Calibri" w:hAnsi="Verdana" w:cs="Arial"/>
          <w:lang w:val="es-ES"/>
        </w:rPr>
        <w:t xml:space="preserve">Por ejemplo, el artículo 127 de la Constitución Política establece una prohibición </w:t>
      </w:r>
      <w:r w:rsidRPr="00860425">
        <w:rPr>
          <w:rFonts w:ascii="Verdana" w:eastAsia="Calibri" w:hAnsi="Verdana" w:cs="Arial"/>
          <w:lang w:val="es-ES"/>
        </w:rPr>
        <w:lastRenderedPageBreak/>
        <w:t>contractual a los servidores públicos y, en cuanto a aspectos políticos, señala restricciones a ciertos empleados del Estado, incluso en época no electoral</w:t>
      </w:r>
      <w:r w:rsidRPr="00860425">
        <w:rPr>
          <w:rFonts w:ascii="Verdana" w:hAnsi="Verdana"/>
          <w:vertAlign w:val="superscript"/>
          <w:lang w:val="es-ES"/>
        </w:rPr>
        <w:footnoteReference w:id="4"/>
      </w:r>
      <w:r w:rsidRPr="00860425">
        <w:rPr>
          <w:rFonts w:ascii="Verdana" w:eastAsia="Calibri" w:hAnsi="Verdana" w:cs="Arial"/>
          <w:lang w:val="es-ES"/>
        </w:rPr>
        <w:t xml:space="preserve">. </w:t>
      </w:r>
    </w:p>
    <w:p w14:paraId="642D0A0E" w14:textId="77777777" w:rsidR="00FE0942" w:rsidRPr="00503019" w:rsidRDefault="00FE0942" w:rsidP="00FE0942">
      <w:pPr>
        <w:tabs>
          <w:tab w:val="left" w:pos="426"/>
        </w:tabs>
        <w:spacing w:after="120" w:line="276" w:lineRule="auto"/>
        <w:jc w:val="both"/>
        <w:rPr>
          <w:rFonts w:ascii="Verdana" w:eastAsia="Calibri" w:hAnsi="Verdana" w:cs="Arial"/>
          <w:lang w:val="es-ES"/>
        </w:rPr>
      </w:pPr>
      <w:r>
        <w:rPr>
          <w:rFonts w:ascii="Verdana" w:eastAsia="Times New Roman" w:hAnsi="Verdana" w:cs="Arial"/>
          <w:lang w:val="es-ES" w:eastAsia="es-CO"/>
        </w:rPr>
        <w:tab/>
      </w:r>
      <w:r w:rsidRPr="00503019">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03019">
        <w:rPr>
          <w:rFonts w:ascii="Verdana" w:eastAsia="Times New Roman" w:hAnsi="Verdana" w:cs="Arial"/>
          <w:vertAlign w:val="superscript"/>
          <w:lang w:val="es-ES" w:eastAsia="es-CO"/>
        </w:rPr>
        <w:footnoteReference w:id="5"/>
      </w:r>
      <w:r w:rsidRPr="00503019">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503019">
        <w:rPr>
          <w:rFonts w:ascii="Verdana" w:eastAsia="Calibri" w:hAnsi="Verdana" w:cs="Arial"/>
          <w:lang w:val="es-ES"/>
        </w:rPr>
        <w:t xml:space="preserve"> </w:t>
      </w:r>
    </w:p>
    <w:p w14:paraId="2EE799B9" w14:textId="77777777" w:rsidR="00FE0942" w:rsidRPr="006E5E26" w:rsidRDefault="00FE0942" w:rsidP="00FE0942">
      <w:pPr>
        <w:tabs>
          <w:tab w:val="left" w:pos="426"/>
        </w:tabs>
        <w:spacing w:after="0" w:line="276" w:lineRule="auto"/>
        <w:jc w:val="both"/>
        <w:rPr>
          <w:rFonts w:ascii="Verdana" w:eastAsia="Calibri" w:hAnsi="Verdana" w:cs="Arial"/>
          <w:lang w:val="es-ES"/>
        </w:rPr>
      </w:pPr>
      <w:r>
        <w:rPr>
          <w:rFonts w:ascii="Verdana" w:eastAsia="Times New Roman" w:hAnsi="Verdana" w:cs="Arial"/>
          <w:lang w:val="es-ES" w:eastAsia="es-CO"/>
        </w:rPr>
        <w:tab/>
      </w:r>
      <w:r w:rsidRPr="006E5E26">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0601117F" w14:textId="77777777" w:rsidR="00FE0942" w:rsidRPr="006E5E26" w:rsidRDefault="00FE0942" w:rsidP="00FE0942">
      <w:pPr>
        <w:spacing w:after="0" w:line="276" w:lineRule="auto"/>
        <w:ind w:left="426" w:right="709" w:firstLine="283"/>
        <w:jc w:val="both"/>
        <w:rPr>
          <w:rFonts w:ascii="Verdana" w:eastAsia="Times New Roman" w:hAnsi="Verdana" w:cs="Arial"/>
          <w:lang w:val="es-ES" w:eastAsia="es-CO"/>
        </w:rPr>
      </w:pPr>
    </w:p>
    <w:p w14:paraId="7208ECF5" w14:textId="77777777" w:rsidR="00FE0942" w:rsidRDefault="00FE0942" w:rsidP="00FE0942">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 xml:space="preserve"> </w:t>
      </w:r>
    </w:p>
    <w:p w14:paraId="5B775934" w14:textId="77777777" w:rsidR="00FE0942" w:rsidRPr="006E5E26" w:rsidRDefault="00FE0942" w:rsidP="00FE0942">
      <w:pPr>
        <w:spacing w:after="0" w:line="240" w:lineRule="auto"/>
        <w:ind w:left="709" w:right="709"/>
        <w:contextualSpacing/>
        <w:jc w:val="both"/>
        <w:rPr>
          <w:rFonts w:ascii="Verdana" w:eastAsia="Times New Roman" w:hAnsi="Verdana" w:cs="Arial"/>
          <w:sz w:val="20"/>
          <w:szCs w:val="20"/>
          <w:lang w:val="es-ES" w:eastAsia="es-CO"/>
        </w:rPr>
      </w:pPr>
    </w:p>
    <w:p w14:paraId="0CA616CE" w14:textId="77777777" w:rsidR="00FE0942" w:rsidRPr="006E5E26" w:rsidRDefault="00FE0942" w:rsidP="00FE0942">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E5E26">
        <w:rPr>
          <w:rFonts w:ascii="Verdana" w:eastAsia="Calibri" w:hAnsi="Verdana" w:cs="Arial"/>
          <w:sz w:val="20"/>
          <w:szCs w:val="20"/>
          <w:vertAlign w:val="superscript"/>
          <w:lang w:val="es-ES"/>
        </w:rPr>
        <w:footnoteReference w:id="6"/>
      </w:r>
    </w:p>
    <w:p w14:paraId="5AC59A6D" w14:textId="77777777" w:rsidR="00FE0942" w:rsidRPr="00B67A94" w:rsidRDefault="00FE0942" w:rsidP="00FE0942">
      <w:pPr>
        <w:spacing w:after="0" w:line="276" w:lineRule="auto"/>
        <w:ind w:left="426" w:firstLine="283"/>
        <w:jc w:val="both"/>
        <w:rPr>
          <w:rFonts w:ascii="Verdana" w:eastAsia="Times New Roman" w:hAnsi="Verdana" w:cs="Arial"/>
          <w:color w:val="4472C4" w:themeColor="accent1"/>
          <w:lang w:val="es-ES" w:eastAsia="es-CO"/>
        </w:rPr>
      </w:pPr>
    </w:p>
    <w:p w14:paraId="69C22D46" w14:textId="77777777" w:rsidR="00FE0942" w:rsidRPr="006E1064" w:rsidRDefault="00FE0942" w:rsidP="00FE0942">
      <w:pPr>
        <w:spacing w:after="0" w:line="276" w:lineRule="auto"/>
        <w:ind w:firstLine="426"/>
        <w:jc w:val="both"/>
        <w:rPr>
          <w:rFonts w:ascii="Verdana" w:eastAsia="Times New Roman" w:hAnsi="Verdana" w:cs="Arial"/>
          <w:lang w:val="es-ES" w:eastAsia="es-CO"/>
        </w:rPr>
      </w:pPr>
      <w:r w:rsidRPr="006E1064">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w:t>
      </w:r>
      <w:r w:rsidRPr="006E1064">
        <w:rPr>
          <w:rFonts w:ascii="Verdana" w:eastAsia="Times New Roman" w:hAnsi="Verdana" w:cs="Arial"/>
          <w:lang w:val="es-ES" w:eastAsia="es-CO"/>
        </w:rPr>
        <w:lastRenderedPageBreak/>
        <w:t>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94FC2ED" w14:textId="77777777" w:rsidR="00FE0942" w:rsidRPr="00760C33" w:rsidRDefault="00FE0942" w:rsidP="00FE0942">
      <w:pPr>
        <w:spacing w:after="0" w:line="276" w:lineRule="auto"/>
        <w:ind w:left="426" w:firstLine="283"/>
        <w:jc w:val="both"/>
        <w:rPr>
          <w:rFonts w:ascii="Verdana" w:eastAsia="Times New Roman" w:hAnsi="Verdana" w:cs="Arial"/>
          <w:lang w:val="es-ES" w:eastAsia="es-CO"/>
        </w:rPr>
      </w:pPr>
    </w:p>
    <w:p w14:paraId="63F5D889" w14:textId="77777777" w:rsidR="00FE0942" w:rsidRPr="00E232D8" w:rsidRDefault="00FE0942" w:rsidP="00FE0942">
      <w:pPr>
        <w:spacing w:after="0" w:line="240" w:lineRule="auto"/>
        <w:ind w:left="709" w:right="709"/>
        <w:jc w:val="both"/>
        <w:rPr>
          <w:rFonts w:ascii="Verdana" w:eastAsia="Times New Roman" w:hAnsi="Verdana" w:cs="Arial"/>
          <w:sz w:val="20"/>
          <w:szCs w:val="20"/>
          <w:lang w:val="es-ES" w:eastAsia="es-CO"/>
        </w:rPr>
      </w:pPr>
      <w:r w:rsidRPr="00760C33">
        <w:rPr>
          <w:rFonts w:ascii="Verdana" w:eastAsia="Times New Roman" w:hAnsi="Verdana" w:cs="Arial"/>
          <w:sz w:val="20"/>
          <w:szCs w:val="20"/>
          <w:lang w:val="es-ES" w:eastAsia="es-CO"/>
        </w:rPr>
        <w:t xml:space="preserve">“No está de más recordar que las prohibiciones, en tanto limitan la libertad y los derechos </w:t>
      </w:r>
      <w:r w:rsidRPr="00E232D8">
        <w:rPr>
          <w:rFonts w:ascii="Verdana" w:eastAsia="Times New Roman" w:hAnsi="Verdana" w:cs="Arial"/>
          <w:sz w:val="20"/>
          <w:szCs w:val="20"/>
          <w:lang w:val="es-ES" w:eastAsia="es-CO"/>
        </w:rPr>
        <w:t>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980E2D3" w14:textId="77777777" w:rsidR="00FE0942" w:rsidRPr="00B67A94" w:rsidRDefault="00FE0942" w:rsidP="00FE0942">
      <w:pPr>
        <w:spacing w:after="0" w:line="240" w:lineRule="auto"/>
        <w:ind w:left="709" w:right="709"/>
        <w:jc w:val="both"/>
        <w:rPr>
          <w:rFonts w:ascii="Verdana" w:eastAsia="Times New Roman" w:hAnsi="Verdana" w:cs="Arial"/>
          <w:color w:val="4472C4" w:themeColor="accent1"/>
          <w:lang w:val="es-ES" w:eastAsia="es-CO"/>
        </w:rPr>
      </w:pPr>
    </w:p>
    <w:p w14:paraId="108A9771" w14:textId="77777777" w:rsidR="00FE0942" w:rsidRDefault="00FE0942" w:rsidP="00FE0942">
      <w:pPr>
        <w:spacing w:after="0" w:line="240" w:lineRule="auto"/>
        <w:ind w:left="709" w:right="709"/>
        <w:jc w:val="both"/>
        <w:rPr>
          <w:rFonts w:ascii="Verdana" w:eastAsia="Times New Roman" w:hAnsi="Verdana" w:cs="Arial"/>
          <w:sz w:val="20"/>
          <w:szCs w:val="20"/>
          <w:lang w:val="es-ES" w:eastAsia="es-CO"/>
        </w:rPr>
      </w:pPr>
      <w:r w:rsidRPr="00E232D8">
        <w:rPr>
          <w:rFonts w:ascii="Verdana" w:eastAsia="Times New Roman" w:hAnsi="Verdana" w:cs="Arial"/>
          <w:sz w:val="20"/>
          <w:szCs w:val="20"/>
          <w:lang w:val="es-ES" w:eastAsia="es-CO"/>
        </w:rPr>
        <w:t>La jurisprudencia de la Corte Constitucional</w:t>
      </w:r>
      <w:r w:rsidRPr="00E232D8">
        <w:rPr>
          <w:rFonts w:ascii="Verdana" w:eastAsia="Times New Roman" w:hAnsi="Verdana" w:cs="Arial"/>
          <w:sz w:val="20"/>
          <w:szCs w:val="20"/>
          <w:vertAlign w:val="superscript"/>
          <w:lang w:val="es-ES" w:eastAsia="es-CO"/>
        </w:rPr>
        <w:footnoteReference w:id="7"/>
      </w:r>
      <w:r w:rsidRPr="00E232D8">
        <w:rPr>
          <w:rFonts w:ascii="Verdana" w:eastAsia="Times New Roman" w:hAnsi="Verdana" w:cs="Arial"/>
          <w:sz w:val="20"/>
          <w:szCs w:val="20"/>
          <w:lang w:val="es-ES" w:eastAsia="es-CO"/>
        </w:rPr>
        <w:t> y del Consejo de Estado</w:t>
      </w:r>
      <w:r w:rsidRPr="00E232D8">
        <w:rPr>
          <w:rFonts w:ascii="Verdana" w:eastAsia="Times New Roman" w:hAnsi="Verdana" w:cs="Arial"/>
          <w:sz w:val="20"/>
          <w:szCs w:val="20"/>
          <w:vertAlign w:val="superscript"/>
          <w:lang w:val="es-ES" w:eastAsia="es-CO"/>
        </w:rPr>
        <w:footnoteReference w:id="8"/>
      </w:r>
      <w:r w:rsidRPr="00E232D8">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2D8">
        <w:rPr>
          <w:rFonts w:ascii="Verdana" w:eastAsia="Times New Roman" w:hAnsi="Verdana" w:cs="Arial"/>
          <w:sz w:val="20"/>
          <w:szCs w:val="20"/>
          <w:vertAlign w:val="superscript"/>
          <w:lang w:val="es-ES" w:eastAsia="es-CO"/>
        </w:rPr>
        <w:footnoteReference w:id="9"/>
      </w:r>
      <w:r w:rsidRPr="00E232D8">
        <w:rPr>
          <w:rFonts w:ascii="Verdana" w:eastAsia="Times New Roman" w:hAnsi="Verdana" w:cs="Arial"/>
          <w:sz w:val="20"/>
          <w:szCs w:val="20"/>
          <w:lang w:val="es-ES" w:eastAsia="es-CO"/>
        </w:rPr>
        <w:t>.</w:t>
      </w:r>
    </w:p>
    <w:p w14:paraId="2FE074E9" w14:textId="77777777" w:rsidR="00FE0942" w:rsidRPr="00E232D8" w:rsidRDefault="00FE0942" w:rsidP="00FE0942">
      <w:pPr>
        <w:spacing w:after="0" w:line="240" w:lineRule="auto"/>
        <w:ind w:left="426" w:right="709" w:firstLine="283"/>
        <w:jc w:val="both"/>
        <w:rPr>
          <w:rFonts w:ascii="Verdana" w:eastAsia="Times New Roman" w:hAnsi="Verdana" w:cs="Arial"/>
          <w:sz w:val="20"/>
          <w:szCs w:val="20"/>
          <w:lang w:val="es-ES" w:eastAsia="es-CO"/>
        </w:rPr>
      </w:pPr>
    </w:p>
    <w:p w14:paraId="50F1E496" w14:textId="77777777" w:rsidR="00FE0942" w:rsidRDefault="00FE0942" w:rsidP="00FE0942">
      <w:pPr>
        <w:spacing w:after="0" w:line="276" w:lineRule="auto"/>
        <w:ind w:firstLine="426"/>
        <w:jc w:val="both"/>
        <w:rPr>
          <w:rFonts w:ascii="Verdana" w:eastAsia="Arial" w:hAnsi="Verdana" w:cs="Arial"/>
          <w:lang w:val="es-ES" w:eastAsia="es-ES" w:bidi="es-ES"/>
        </w:rPr>
      </w:pPr>
      <w:r w:rsidRPr="00C3478C">
        <w:rPr>
          <w:rFonts w:ascii="Verdana" w:eastAsia="Times New Roman" w:hAnsi="Verdana" w:cs="Arial"/>
          <w:lang w:val="es-ES" w:eastAsia="es-CO"/>
        </w:rPr>
        <w:t>De</w:t>
      </w:r>
      <w:r w:rsidRPr="00C3478C">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6ADB3571" w14:textId="77777777" w:rsidR="00FE0942" w:rsidRDefault="00FE0942" w:rsidP="00FE0942">
      <w:pPr>
        <w:spacing w:after="0" w:line="276" w:lineRule="auto"/>
        <w:ind w:left="426" w:firstLine="283"/>
        <w:jc w:val="both"/>
        <w:rPr>
          <w:rFonts w:ascii="Verdana" w:eastAsia="Arial" w:hAnsi="Verdana" w:cs="Arial"/>
          <w:lang w:val="es-ES" w:eastAsia="es-ES" w:bidi="es-ES"/>
        </w:rPr>
      </w:pPr>
    </w:p>
    <w:p w14:paraId="769E1FEA" w14:textId="77777777" w:rsidR="00FE0942" w:rsidRPr="00B75FB5" w:rsidRDefault="00FE0942" w:rsidP="00FE0942">
      <w:pPr>
        <w:spacing w:after="120" w:line="276" w:lineRule="auto"/>
        <w:jc w:val="both"/>
        <w:rPr>
          <w:rFonts w:ascii="Verdana" w:eastAsia="Arial" w:hAnsi="Verdana" w:cs="Arial"/>
          <w:lang w:val="es-ES" w:eastAsia="es-ES" w:bidi="es-ES"/>
        </w:rPr>
      </w:pPr>
      <w:r w:rsidRPr="00B75FB5">
        <w:rPr>
          <w:rFonts w:ascii="Verdana" w:eastAsia="Arial" w:hAnsi="Verdana" w:cs="Arial"/>
          <w:lang w:val="es-ES" w:eastAsia="es-ES" w:bidi="es-ES"/>
        </w:rPr>
        <w:t>ii</w:t>
      </w:r>
      <w:r>
        <w:rPr>
          <w:rFonts w:ascii="Verdana" w:eastAsia="Arial" w:hAnsi="Verdana" w:cs="Arial"/>
          <w:lang w:val="es-ES" w:eastAsia="es-ES" w:bidi="es-ES"/>
        </w:rPr>
        <w:t>. Ahora bien, l</w:t>
      </w:r>
      <w:r w:rsidRPr="00B75FB5">
        <w:rPr>
          <w:rFonts w:ascii="Verdana" w:eastAsia="Arial" w:hAnsi="Verdana" w:cs="Arial"/>
          <w:lang w:val="es-ES" w:eastAsia="es-ES" w:bidi="es-ES"/>
        </w:rPr>
        <w:t>as restricciones consagradas en la Ley de Garantías se dirigen a dos (2) tipos de campañas electorales diferenciadas: las presidenciales y las que se adelanten para la elección de los demás cargos de elección popular, tanto a nivel nacional como territorial.</w:t>
      </w:r>
    </w:p>
    <w:p w14:paraId="2B3B5B8E" w14:textId="77777777" w:rsidR="00FE0942" w:rsidRDefault="00FE0942" w:rsidP="00FE0942">
      <w:pPr>
        <w:spacing w:after="120" w:line="276" w:lineRule="auto"/>
        <w:ind w:firstLine="426"/>
        <w:jc w:val="both"/>
        <w:rPr>
          <w:rFonts w:ascii="Verdana" w:eastAsia="Calibri" w:hAnsi="Verdana" w:cs="Arial"/>
          <w:lang w:val="es-ES"/>
        </w:rPr>
      </w:pPr>
      <w:r w:rsidRPr="00B75FB5">
        <w:rPr>
          <w:rFonts w:ascii="Verdana" w:eastAsia="Calibri" w:hAnsi="Verdana" w:cs="Arial"/>
          <w:lang w:val="es-ES"/>
        </w:rPr>
        <w:t xml:space="preserve">Por un lado, el </w:t>
      </w:r>
      <w:r w:rsidRPr="00B75FB5">
        <w:rPr>
          <w:rFonts w:ascii="Verdana" w:eastAsia="Calibri" w:hAnsi="Verdana" w:cs="Arial"/>
          <w:i/>
          <w:iCs/>
          <w:lang w:val="es-ES"/>
        </w:rPr>
        <w:t xml:space="preserve">artículo 33 </w:t>
      </w:r>
      <w:r w:rsidRPr="00B75FB5">
        <w:rPr>
          <w:rFonts w:ascii="Verdana" w:eastAsia="Calibri" w:hAnsi="Verdana" w:cs="Arial"/>
          <w:lang w:val="es-ES"/>
        </w:rPr>
        <w:t>de la Ley 996 de 2005 prohíbe “</w:t>
      </w:r>
      <w:r>
        <w:rPr>
          <w:rFonts w:ascii="Verdana" w:eastAsia="Calibri" w:hAnsi="Verdana" w:cs="Arial"/>
          <w:lang w:val="es-ES"/>
        </w:rPr>
        <w:t>(</w:t>
      </w:r>
      <w:r w:rsidRPr="00B75FB5">
        <w:rPr>
          <w:rFonts w:ascii="Verdana" w:eastAsia="Calibri" w:hAnsi="Verdana" w:cs="Arial"/>
          <w:lang w:val="es-ES"/>
        </w:rPr>
        <w:t>…</w:t>
      </w:r>
      <w:r>
        <w:rPr>
          <w:rFonts w:ascii="Verdana" w:eastAsia="Calibri" w:hAnsi="Verdana" w:cs="Arial"/>
          <w:lang w:val="es-ES"/>
        </w:rPr>
        <w:t>)</w:t>
      </w:r>
      <w:r w:rsidRPr="00B75FB5">
        <w:rPr>
          <w:rFonts w:ascii="Verdana" w:eastAsia="Calibri" w:hAnsi="Verdana" w:cs="Arial"/>
          <w:lang w:val="es-ES"/>
        </w:rPr>
        <w:t xml:space="preserve"> la contratación directa por parte de </w:t>
      </w:r>
      <w:r w:rsidRPr="00B75FB5">
        <w:rPr>
          <w:rFonts w:ascii="Verdana" w:eastAsia="Calibri" w:hAnsi="Verdana" w:cs="Arial"/>
          <w:i/>
          <w:iCs/>
          <w:lang w:val="es-ES"/>
        </w:rPr>
        <w:t>todos los entes del Estado</w:t>
      </w:r>
      <w:r w:rsidRPr="00B75FB5">
        <w:rPr>
          <w:rFonts w:ascii="Verdana" w:eastAsia="Calibri" w:hAnsi="Verdana" w:cs="Arial"/>
          <w:lang w:val="es-ES"/>
        </w:rPr>
        <w:t xml:space="preserve">” durante los cuatro (4) meses anteriores a las </w:t>
      </w:r>
      <w:r w:rsidRPr="00B75FB5">
        <w:rPr>
          <w:rFonts w:ascii="Verdana" w:eastAsia="Calibri" w:hAnsi="Verdana" w:cs="Arial"/>
          <w:i/>
          <w:iCs/>
          <w:lang w:val="es-ES"/>
        </w:rPr>
        <w:t>elecciones presidenciales</w:t>
      </w:r>
      <w:r w:rsidRPr="00B75FB5">
        <w:rPr>
          <w:rFonts w:ascii="Verdana" w:eastAsia="Calibri" w:hAnsi="Verdana" w:cs="Arial"/>
          <w:lang w:val="es-ES"/>
        </w:rPr>
        <w:t>, salvo “</w:t>
      </w:r>
      <w:r>
        <w:rPr>
          <w:rFonts w:ascii="Verdana" w:eastAsia="Calibri" w:hAnsi="Verdana" w:cs="Arial"/>
          <w:lang w:val="es-ES"/>
        </w:rPr>
        <w:t>(</w:t>
      </w:r>
      <w:r w:rsidRPr="00B75FB5">
        <w:rPr>
          <w:rFonts w:ascii="Verdana" w:eastAsia="Calibri" w:hAnsi="Verdana" w:cs="Arial"/>
          <w:lang w:val="es-ES"/>
        </w:rPr>
        <w:t>…</w:t>
      </w:r>
      <w:r>
        <w:rPr>
          <w:rFonts w:ascii="Verdana" w:eastAsia="Calibri" w:hAnsi="Verdana" w:cs="Arial"/>
          <w:lang w:val="es-ES"/>
        </w:rPr>
        <w:t>)</w:t>
      </w:r>
      <w:r w:rsidRPr="00B75FB5">
        <w:rPr>
          <w:rFonts w:ascii="Verdana" w:eastAsia="Calibri" w:hAnsi="Verdana" w:cs="Arial"/>
          <w:lang w:val="es-ES"/>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75FB5">
        <w:rPr>
          <w:rFonts w:ascii="Verdana" w:eastAsia="Calibri" w:hAnsi="Verdana" w:cs="Arial"/>
          <w:vertAlign w:val="superscript"/>
          <w:lang w:val="es-ES"/>
        </w:rPr>
        <w:footnoteReference w:id="10"/>
      </w:r>
      <w:r w:rsidRPr="00B75FB5">
        <w:rPr>
          <w:rFonts w:ascii="Verdana" w:eastAsia="Calibri" w:hAnsi="Verdana" w:cs="Arial"/>
          <w:lang w:val="es-ES"/>
        </w:rPr>
        <w:t>.</w:t>
      </w:r>
    </w:p>
    <w:p w14:paraId="1F3420B1" w14:textId="77777777" w:rsidR="00FE0942" w:rsidRPr="00D67C25" w:rsidRDefault="00FE0942" w:rsidP="00FE0942">
      <w:pPr>
        <w:spacing w:after="120" w:line="276" w:lineRule="auto"/>
        <w:ind w:firstLine="426"/>
        <w:jc w:val="both"/>
        <w:rPr>
          <w:rFonts w:ascii="Verdana" w:eastAsia="Calibri" w:hAnsi="Verdana" w:cs="Arial"/>
          <w:lang w:val="es-ES"/>
        </w:rPr>
      </w:pPr>
      <w:r w:rsidRPr="00B75FB5">
        <w:rPr>
          <w:rFonts w:ascii="Verdana" w:eastAsia="Calibri" w:hAnsi="Verdana" w:cs="Arial"/>
          <w:lang w:val="es-ES"/>
        </w:rPr>
        <w:t xml:space="preserve">Por otro lado, </w:t>
      </w:r>
      <w:r w:rsidRPr="00B75FB5">
        <w:rPr>
          <w:rFonts w:ascii="Verdana" w:eastAsia="Calibri" w:hAnsi="Verdana" w:cs="Arial"/>
          <w:i/>
          <w:iCs/>
          <w:lang w:val="es-ES"/>
        </w:rPr>
        <w:t xml:space="preserve">el parágrafo del artículo 38 </w:t>
      </w:r>
      <w:r w:rsidRPr="00B75FB5">
        <w:rPr>
          <w:rFonts w:ascii="Verdana" w:eastAsia="Calibri" w:hAnsi="Verdana" w:cs="Arial"/>
          <w:lang w:val="es-ES"/>
        </w:rPr>
        <w:t xml:space="preserve">de la Ley 996 de 2005 prevé una restricción, aplicable respecto de </w:t>
      </w:r>
      <w:r w:rsidRPr="00B75FB5">
        <w:rPr>
          <w:rFonts w:ascii="Verdana" w:eastAsia="Calibri" w:hAnsi="Verdana" w:cs="Arial"/>
          <w:i/>
          <w:iCs/>
          <w:lang w:val="es-ES"/>
        </w:rPr>
        <w:t>cualquier tipo de contienda electoral</w:t>
      </w:r>
      <w:r w:rsidRPr="00B75FB5">
        <w:rPr>
          <w:rFonts w:ascii="Verdana" w:eastAsia="Calibri" w:hAnsi="Verdana" w:cs="Arial"/>
          <w:lang w:val="es-ES"/>
        </w:rPr>
        <w:t>, que prohíbe a los gobernadores, alcaldes municipales o distritales, secretarios, gerentes y directores de entidades descentralizadas del orden municipal, departamental o distrital “</w:t>
      </w:r>
      <w:r>
        <w:rPr>
          <w:rFonts w:ascii="Verdana" w:eastAsia="Calibri" w:hAnsi="Verdana" w:cs="Arial"/>
          <w:lang w:val="es-ES"/>
        </w:rPr>
        <w:t>(</w:t>
      </w:r>
      <w:r w:rsidRPr="00B75FB5">
        <w:rPr>
          <w:rFonts w:ascii="Verdana" w:eastAsia="Calibri" w:hAnsi="Verdana" w:cs="Arial"/>
          <w:lang w:val="es-ES"/>
        </w:rPr>
        <w:t>…</w:t>
      </w:r>
      <w:r>
        <w:rPr>
          <w:rFonts w:ascii="Verdana" w:eastAsia="Calibri" w:hAnsi="Verdana" w:cs="Arial"/>
          <w:lang w:val="es-ES"/>
        </w:rPr>
        <w:t>)</w:t>
      </w:r>
      <w:r w:rsidRPr="00B75FB5">
        <w:rPr>
          <w:rFonts w:ascii="Verdana" w:eastAsia="Calibri" w:hAnsi="Verdana" w:cs="Arial"/>
          <w:lang w:val="es-ES"/>
        </w:rPr>
        <w:t xml:space="preserve"> celebrar convenios interadministrativos para la</w:t>
      </w:r>
      <w:r w:rsidRPr="00FD7FEB">
        <w:rPr>
          <w:rFonts w:ascii="Verdana" w:eastAsia="Calibri" w:hAnsi="Verdana" w:cs="Arial"/>
          <w:lang w:val="es-ES"/>
        </w:rPr>
        <w:t xml:space="preserve"> ejecución de recursos públicos, ni participar, promover y destinar recursos públicos de las entidades a su cargo, como tampoco de las que participen como miembros de sus juntas directivas, en o para reuniones de carácter proselitista”</w:t>
      </w:r>
      <w:r w:rsidRPr="00FD7FEB">
        <w:rPr>
          <w:rFonts w:ascii="Verdana" w:eastAsia="Calibri" w:hAnsi="Verdana" w:cs="Arial"/>
          <w:vertAlign w:val="superscript"/>
          <w:lang w:val="es-ES"/>
        </w:rPr>
        <w:footnoteReference w:id="11"/>
      </w:r>
      <w:r w:rsidRPr="00FD7FEB">
        <w:rPr>
          <w:rFonts w:ascii="Verdana" w:eastAsia="Calibri" w:hAnsi="Verdana" w:cs="Arial"/>
          <w:lang w:val="es-ES"/>
        </w:rPr>
        <w:t>.</w:t>
      </w:r>
      <w:r w:rsidRPr="00FD7FEB">
        <w:rPr>
          <w:rFonts w:ascii="Verdana" w:eastAsia="Arial" w:hAnsi="Verdana" w:cs="Arial"/>
          <w:lang w:val="es-ES" w:eastAsia="es-ES" w:bidi="es-ES"/>
        </w:rPr>
        <w:t xml:space="preserve"> </w:t>
      </w:r>
    </w:p>
    <w:p w14:paraId="2DD6F26E" w14:textId="77777777" w:rsidR="00FE0942" w:rsidRPr="00D758B3" w:rsidRDefault="00FE0942" w:rsidP="00FE0942">
      <w:pPr>
        <w:widowControl w:val="0"/>
        <w:autoSpaceDE w:val="0"/>
        <w:autoSpaceDN w:val="0"/>
        <w:spacing w:after="0" w:line="276" w:lineRule="auto"/>
        <w:ind w:right="113" w:firstLine="426"/>
        <w:contextualSpacing/>
        <w:jc w:val="both"/>
        <w:rPr>
          <w:rFonts w:ascii="Verdana" w:eastAsia="Arial" w:hAnsi="Verdana" w:cs="Arial"/>
          <w:lang w:val="es-ES" w:eastAsia="es-ES" w:bidi="es-ES"/>
        </w:rPr>
      </w:pPr>
      <w:r w:rsidRPr="00D758B3">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A1F2E6B" w14:textId="77777777" w:rsidR="00FE0942" w:rsidRPr="00E77A27" w:rsidRDefault="00FE0942" w:rsidP="00FE0942">
      <w:pPr>
        <w:widowControl w:val="0"/>
        <w:autoSpaceDE w:val="0"/>
        <w:autoSpaceDN w:val="0"/>
        <w:spacing w:after="0" w:line="240" w:lineRule="auto"/>
        <w:ind w:left="426" w:right="812" w:firstLine="283"/>
        <w:contextualSpacing/>
        <w:jc w:val="both"/>
        <w:rPr>
          <w:rFonts w:ascii="Verdana" w:eastAsia="Arial" w:hAnsi="Verdana" w:cs="Arial"/>
          <w:lang w:val="es-ES" w:eastAsia="es-ES" w:bidi="es-ES"/>
        </w:rPr>
      </w:pPr>
    </w:p>
    <w:p w14:paraId="09448B27" w14:textId="77777777" w:rsidR="00FE0942" w:rsidRPr="00E77A27" w:rsidRDefault="00FE0942" w:rsidP="00FE0942">
      <w:pPr>
        <w:widowControl w:val="0"/>
        <w:autoSpaceDE w:val="0"/>
        <w:autoSpaceDN w:val="0"/>
        <w:spacing w:after="0" w:line="240" w:lineRule="auto"/>
        <w:ind w:left="426" w:right="709" w:firstLine="283"/>
        <w:jc w:val="both"/>
        <w:rPr>
          <w:rFonts w:ascii="Verdana" w:eastAsia="Arial" w:hAnsi="Verdana" w:cs="Arial"/>
          <w:sz w:val="20"/>
          <w:szCs w:val="20"/>
          <w:lang w:val="es-ES" w:eastAsia="es-ES" w:bidi="es-ES"/>
        </w:rPr>
      </w:pPr>
      <w:r w:rsidRPr="00E77A27">
        <w:rPr>
          <w:rFonts w:ascii="Verdana" w:eastAsia="Arial" w:hAnsi="Verdana" w:cs="Arial"/>
          <w:sz w:val="20"/>
          <w:szCs w:val="20"/>
          <w:lang w:val="es-ES" w:eastAsia="es-ES" w:bidi="es-ES"/>
        </w:rPr>
        <w:lastRenderedPageBreak/>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77A27">
        <w:rPr>
          <w:rFonts w:ascii="Verdana" w:eastAsia="Arial" w:hAnsi="Verdana" w:cs="Arial"/>
          <w:sz w:val="20"/>
          <w:szCs w:val="20"/>
          <w:vertAlign w:val="superscript"/>
          <w:lang w:val="es-ES" w:eastAsia="es-ES" w:bidi="es-ES"/>
        </w:rPr>
        <w:footnoteReference w:id="12"/>
      </w:r>
    </w:p>
    <w:p w14:paraId="259B0733" w14:textId="77777777" w:rsidR="00FE0942" w:rsidRPr="00B67A94" w:rsidRDefault="00FE0942" w:rsidP="00FE0942">
      <w:pPr>
        <w:widowControl w:val="0"/>
        <w:autoSpaceDE w:val="0"/>
        <w:autoSpaceDN w:val="0"/>
        <w:spacing w:after="0" w:line="276" w:lineRule="auto"/>
        <w:ind w:left="426" w:firstLine="283"/>
        <w:contextualSpacing/>
        <w:rPr>
          <w:rFonts w:ascii="Verdana" w:eastAsia="Arial" w:hAnsi="Verdana" w:cs="Arial"/>
          <w:color w:val="4472C4" w:themeColor="accent1"/>
          <w:lang w:val="es-ES" w:eastAsia="es-ES" w:bidi="es-ES"/>
        </w:rPr>
      </w:pPr>
    </w:p>
    <w:p w14:paraId="476FF390" w14:textId="77777777" w:rsidR="00FE0942" w:rsidRDefault="00FE0942" w:rsidP="00FE0942">
      <w:pPr>
        <w:spacing w:after="0" w:line="276" w:lineRule="auto"/>
        <w:ind w:firstLine="426"/>
        <w:jc w:val="both"/>
        <w:rPr>
          <w:rFonts w:ascii="Verdana" w:eastAsia="Arial" w:hAnsi="Verdana" w:cs="Arial"/>
          <w:lang w:val="es-ES" w:eastAsia="es-ES" w:bidi="es-ES"/>
        </w:rPr>
      </w:pPr>
      <w:r w:rsidRPr="00632F5B">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2CDFB275" w14:textId="77777777" w:rsidR="00FE0942" w:rsidRPr="00C3478C" w:rsidRDefault="00FE0942" w:rsidP="00FE0942">
      <w:pPr>
        <w:spacing w:after="0" w:line="276" w:lineRule="auto"/>
        <w:jc w:val="both"/>
        <w:rPr>
          <w:rFonts w:ascii="Verdana" w:eastAsia="Arial" w:hAnsi="Verdana" w:cs="Arial"/>
          <w:lang w:val="es-ES" w:eastAsia="es-ES" w:bidi="es-ES"/>
        </w:rPr>
      </w:pPr>
    </w:p>
    <w:p w14:paraId="1CCDEF7F" w14:textId="77777777" w:rsidR="00FE0942" w:rsidRPr="00F02C5A" w:rsidRDefault="00FE0942" w:rsidP="00FE0942">
      <w:pPr>
        <w:spacing w:after="0" w:line="276" w:lineRule="auto"/>
        <w:contextualSpacing/>
        <w:jc w:val="both"/>
        <w:rPr>
          <w:rFonts w:ascii="Verdana" w:eastAsia="Times New Roman" w:hAnsi="Verdana" w:cs="Arial"/>
          <w:lang w:val="es-MX" w:eastAsia="es-CO"/>
        </w:rPr>
      </w:pPr>
      <w:r w:rsidRPr="00C4236D">
        <w:rPr>
          <w:rFonts w:ascii="Verdana" w:eastAsia="Calibri" w:hAnsi="Verdana" w:cs="Arial"/>
          <w:lang w:val="es-ES"/>
        </w:rPr>
        <w:t>ii</w:t>
      </w:r>
      <w:r>
        <w:rPr>
          <w:rFonts w:ascii="Verdana" w:eastAsia="Calibri" w:hAnsi="Verdana" w:cs="Arial"/>
          <w:lang w:val="es-ES"/>
        </w:rPr>
        <w:t xml:space="preserve">i. </w:t>
      </w:r>
      <w:r>
        <w:rPr>
          <w:rFonts w:ascii="Verdana" w:eastAsia="Arial" w:hAnsi="Verdana" w:cs="Arial"/>
          <w:lang w:val="es-ES" w:eastAsia="es-ES" w:bidi="es-ES"/>
        </w:rPr>
        <w:t>En ese contexto</w:t>
      </w:r>
      <w:r w:rsidRPr="00C4236D">
        <w:rPr>
          <w:rFonts w:ascii="Verdana" w:eastAsia="Arial" w:hAnsi="Verdana" w:cs="Arial"/>
          <w:lang w:val="es-ES" w:eastAsia="es-ES" w:bidi="es-ES"/>
        </w:rPr>
        <w:t xml:space="preserve">, </w:t>
      </w:r>
      <w:r w:rsidRPr="00C4236D">
        <w:rPr>
          <w:rFonts w:ascii="Verdana" w:eastAsia="Calibri" w:hAnsi="Verdana" w:cs="Arial"/>
          <w:lang w:val="es-ES" w:eastAsia="es-ES" w:bidi="es-ES"/>
        </w:rPr>
        <w:t xml:space="preserve">para responder al problema jurídico planteado, se precisa que </w:t>
      </w:r>
      <w:r>
        <w:rPr>
          <w:rFonts w:ascii="Verdana" w:eastAsia="Times New Roman" w:hAnsi="Verdana" w:cs="Arial"/>
          <w:lang w:val="es-ES" w:eastAsia="x-none"/>
        </w:rPr>
        <w:t>el</w:t>
      </w:r>
      <w:r w:rsidRPr="00F02C5A">
        <w:rPr>
          <w:rFonts w:ascii="Verdana" w:eastAsia="Times New Roman" w:hAnsi="Verdana" w:cs="Arial"/>
          <w:lang w:val="es-MX" w:eastAsia="x-none"/>
        </w:rPr>
        <w:t xml:space="preserve"> ámbito material de la prohibición contenida </w:t>
      </w:r>
      <w:bookmarkStart w:id="4" w:name="_Hlk75628761"/>
      <w:r w:rsidRPr="00F02C5A">
        <w:rPr>
          <w:rFonts w:ascii="Verdana" w:eastAsia="Times New Roman" w:hAnsi="Verdana" w:cs="Arial"/>
          <w:lang w:val="es-MX" w:eastAsia="x-none"/>
        </w:rPr>
        <w:t xml:space="preserve">en el artículo 33 de la Ley 996 de 2005 </w:t>
      </w:r>
      <w:bookmarkEnd w:id="4"/>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2369AF6F" w14:textId="77777777" w:rsidR="00FE0942" w:rsidRPr="00F02C5A" w:rsidRDefault="00FE0942" w:rsidP="00FE0942">
      <w:pPr>
        <w:spacing w:after="0" w:line="276" w:lineRule="auto"/>
        <w:ind w:left="708" w:right="709"/>
        <w:contextualSpacing/>
        <w:jc w:val="both"/>
        <w:rPr>
          <w:rFonts w:ascii="Verdana" w:eastAsia="Calibri" w:hAnsi="Verdana" w:cs="Arial"/>
          <w:sz w:val="21"/>
          <w:szCs w:val="21"/>
          <w:lang w:val="es-MX"/>
        </w:rPr>
      </w:pPr>
    </w:p>
    <w:p w14:paraId="287BF610" w14:textId="77777777" w:rsidR="00FE0942" w:rsidRPr="00F02C5A" w:rsidRDefault="00FE0942" w:rsidP="00FE0942">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13"/>
      </w:r>
      <w:r w:rsidRPr="00F02C5A">
        <w:rPr>
          <w:rFonts w:ascii="Verdana" w:eastAsia="Calibri" w:hAnsi="Verdana" w:cs="Arial"/>
          <w:sz w:val="21"/>
          <w:szCs w:val="21"/>
          <w:lang w:val="es-MX"/>
        </w:rPr>
        <w:t>.</w:t>
      </w:r>
    </w:p>
    <w:p w14:paraId="369B9B41" w14:textId="77777777" w:rsidR="00FE0942" w:rsidRPr="00F02C5A" w:rsidRDefault="00FE0942" w:rsidP="00FE0942">
      <w:pPr>
        <w:spacing w:after="0" w:line="240" w:lineRule="auto"/>
        <w:ind w:left="709" w:right="709"/>
        <w:contextualSpacing/>
        <w:jc w:val="both"/>
        <w:rPr>
          <w:rFonts w:ascii="Verdana" w:eastAsia="Calibri" w:hAnsi="Verdana" w:cs="Arial"/>
          <w:sz w:val="12"/>
          <w:szCs w:val="12"/>
          <w:lang w:val="es-MX"/>
        </w:rPr>
      </w:pPr>
    </w:p>
    <w:p w14:paraId="0A9FE57B" w14:textId="77777777" w:rsidR="00FE0942" w:rsidRPr="00F02C5A" w:rsidRDefault="00FE0942" w:rsidP="00FE0942">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lastRenderedPageBreak/>
        <w:t xml:space="preserve">Esta Sala ha entendido que, para los efectos de la ley de garantías, y dada su finalidad, el enunciado ´contratación directa´ es sinónimo </w:t>
      </w:r>
      <w:bookmarkStart w:id="5"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5"/>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14"/>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1"/>
          <w:szCs w:val="21"/>
          <w:lang w:val="es-MX"/>
        </w:rPr>
        <w:t>(</w:t>
      </w:r>
      <w:r w:rsidRPr="00F02C5A">
        <w:rPr>
          <w:rFonts w:ascii="Verdana" w:eastAsia="Calibri" w:hAnsi="Verdana" w:cs="Arial"/>
          <w:sz w:val="21"/>
          <w:szCs w:val="21"/>
          <w:lang w:val="es-MX"/>
        </w:rPr>
        <w:t>...</w:t>
      </w:r>
      <w:r>
        <w:rPr>
          <w:rFonts w:ascii="Verdana" w:eastAsia="Calibri" w:hAnsi="Verdana" w:cs="Arial"/>
          <w:sz w:val="21"/>
          <w:szCs w:val="21"/>
          <w:lang w:val="es-MX"/>
        </w:rPr>
        <w:t>)</w:t>
      </w:r>
      <w:r w:rsidRPr="00F02C5A">
        <w:rPr>
          <w:rFonts w:ascii="Verdana" w:eastAsia="Calibri" w:hAnsi="Verdana" w:cs="Arial"/>
          <w:sz w:val="21"/>
          <w:szCs w:val="21"/>
          <w:lang w:val="es-MX"/>
        </w:rPr>
        <w:t>”</w:t>
      </w:r>
      <w:r w:rsidRPr="00F02C5A">
        <w:rPr>
          <w:rFonts w:ascii="Verdana" w:eastAsia="Times New Roman" w:hAnsi="Verdana" w:cs="Arial"/>
          <w:vertAlign w:val="superscript"/>
          <w:lang w:eastAsia="es-CO"/>
        </w:rPr>
        <w:footnoteReference w:id="15"/>
      </w:r>
      <w:r w:rsidRPr="00F02C5A">
        <w:rPr>
          <w:rFonts w:ascii="Verdana" w:eastAsia="Calibri" w:hAnsi="Verdana" w:cs="Arial"/>
          <w:sz w:val="21"/>
          <w:szCs w:val="21"/>
          <w:lang w:val="es-MX"/>
        </w:rPr>
        <w:t xml:space="preserve"> .</w:t>
      </w:r>
    </w:p>
    <w:p w14:paraId="3333637F" w14:textId="77777777" w:rsidR="00FE0942" w:rsidRPr="00F02C5A" w:rsidRDefault="00FE0942" w:rsidP="00FE0942">
      <w:pPr>
        <w:shd w:val="clear" w:color="auto" w:fill="FFFFFF"/>
        <w:spacing w:after="0" w:line="276" w:lineRule="auto"/>
        <w:ind w:firstLine="709"/>
        <w:contextualSpacing/>
        <w:jc w:val="both"/>
        <w:rPr>
          <w:rFonts w:ascii="Verdana" w:eastAsia="Times New Roman" w:hAnsi="Verdana" w:cs="Arial"/>
          <w:lang w:eastAsia="x-none"/>
        </w:rPr>
      </w:pPr>
    </w:p>
    <w:p w14:paraId="557CC15F" w14:textId="77777777" w:rsidR="00FE0942" w:rsidRPr="00F02C5A" w:rsidRDefault="00FE0942" w:rsidP="00FE0942">
      <w:pPr>
        <w:spacing w:after="120" w:line="276" w:lineRule="auto"/>
        <w:ind w:firstLine="709"/>
        <w:jc w:val="both"/>
        <w:rPr>
          <w:rFonts w:ascii="Verdana" w:eastAsia="Times New Roman" w:hAnsi="Verdana" w:cs="Arial"/>
          <w:lang w:eastAsia="x-none"/>
        </w:rPr>
      </w:pPr>
      <w:bookmarkStart w:id="7"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7"/>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6"/>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7"/>
      </w:r>
      <w:r w:rsidRPr="00F02C5A">
        <w:rPr>
          <w:rFonts w:ascii="Verdana" w:eastAsia="Times New Roman" w:hAnsi="Verdana" w:cs="Arial"/>
          <w:lang w:eastAsia="x-none"/>
        </w:rPr>
        <w:t xml:space="preserve">. </w:t>
      </w:r>
    </w:p>
    <w:p w14:paraId="2E13493B" w14:textId="77777777" w:rsidR="00FE0942" w:rsidRPr="00F02C5A" w:rsidRDefault="00FE0942" w:rsidP="00FE0942">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18"/>
      </w:r>
      <w:r w:rsidRPr="00F02C5A">
        <w:rPr>
          <w:rFonts w:ascii="Verdana" w:eastAsia="Times New Roman" w:hAnsi="Verdana" w:cs="Arial"/>
          <w:lang w:eastAsia="x-none"/>
        </w:rPr>
        <w:t xml:space="preserve">, han establecido sistemas de </w:t>
      </w:r>
      <w:r w:rsidRPr="00F02C5A">
        <w:rPr>
          <w:rFonts w:ascii="Verdana" w:eastAsia="Times New Roman" w:hAnsi="Verdana" w:cs="Arial"/>
          <w:lang w:eastAsia="x-none"/>
        </w:rPr>
        <w:lastRenderedPageBreak/>
        <w:t>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34ED2F9B" w14:textId="77777777" w:rsidR="00FE0942" w:rsidRPr="00F02C5A" w:rsidRDefault="00FE0942" w:rsidP="00FE0942">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8"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8"/>
      <w:r w:rsidRPr="00F02C5A">
        <w:rPr>
          <w:rFonts w:ascii="Verdana" w:eastAsia="Times New Roman" w:hAnsi="Verdana" w:cs="Arial"/>
          <w:vertAlign w:val="superscript"/>
          <w:lang w:eastAsia="x-none"/>
        </w:rPr>
        <w:footnoteReference w:id="19"/>
      </w:r>
      <w:r w:rsidRPr="00F02C5A">
        <w:rPr>
          <w:rFonts w:ascii="Verdana" w:eastAsia="Times New Roman" w:hAnsi="Verdana" w:cs="Arial"/>
          <w:lang w:eastAsia="x-none"/>
        </w:rPr>
        <w:t xml:space="preserve">. </w:t>
      </w:r>
    </w:p>
    <w:p w14:paraId="0A48189D" w14:textId="77777777" w:rsidR="00FE0942" w:rsidRPr="00F02C5A" w:rsidRDefault="00FE0942" w:rsidP="00FE0942">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AE50792" w14:textId="77777777" w:rsidR="00FE0942" w:rsidRPr="00F02C5A" w:rsidRDefault="00FE0942" w:rsidP="00FE0942">
      <w:pPr>
        <w:spacing w:after="120" w:line="276" w:lineRule="auto"/>
        <w:ind w:firstLine="709"/>
        <w:jc w:val="both"/>
        <w:rPr>
          <w:rFonts w:ascii="Verdana" w:eastAsia="Times New Roman" w:hAnsi="Verdana" w:cs="Arial"/>
          <w:lang w:val="es-MX" w:eastAsia="x-none"/>
        </w:rPr>
      </w:pPr>
      <w:bookmarkStart w:id="9" w:name="_Hlk78818796"/>
      <w:r w:rsidRPr="00F02C5A">
        <w:rPr>
          <w:rFonts w:ascii="Verdana" w:eastAsia="Times New Roman" w:hAnsi="Verdana" w:cs="Arial"/>
          <w:lang w:val="es-MX" w:eastAsia="x-none"/>
        </w:rPr>
        <w:t xml:space="preserve"> Así las cosas, </w:t>
      </w:r>
      <w:bookmarkStart w:id="10"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20"/>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9"/>
    <w:p w14:paraId="0F6018ED" w14:textId="77777777" w:rsidR="00FE0942" w:rsidRPr="00F02C5A" w:rsidRDefault="00FE0942" w:rsidP="00FE0942">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w:t>
      </w:r>
      <w:r w:rsidRPr="00F02C5A">
        <w:rPr>
          <w:rFonts w:ascii="Verdana" w:eastAsia="Times New Roman" w:hAnsi="Verdana" w:cs="Arial"/>
          <w:lang w:eastAsia="x-none"/>
        </w:rPr>
        <w:lastRenderedPageBreak/>
        <w:t>preelectoral de que trata la disposición las entidades públicas pueden seguir contratando bajo estos sistemas.</w:t>
      </w:r>
    </w:p>
    <w:bookmarkEnd w:id="10"/>
    <w:p w14:paraId="74A8E801" w14:textId="77777777" w:rsidR="00FE0942" w:rsidRPr="00597652" w:rsidRDefault="00FE0942" w:rsidP="00FE0942">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1" w:name="_Hlk99577887"/>
      <w:bookmarkStart w:id="12" w:name="_Hlk100679762"/>
      <w:r w:rsidRPr="00F02C5A">
        <w:rPr>
          <w:rFonts w:ascii="Verdana" w:eastAsia="Times New Roman" w:hAnsi="Verdana" w:cs="Arial"/>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1"/>
      <w:bookmarkEnd w:id="12"/>
    </w:p>
    <w:p w14:paraId="0ED95924" w14:textId="77777777" w:rsidR="00FE0942" w:rsidRPr="0080473D" w:rsidRDefault="00FE0942" w:rsidP="00FE0942">
      <w:pPr>
        <w:spacing w:after="0" w:line="240" w:lineRule="auto"/>
        <w:ind w:right="709"/>
        <w:jc w:val="both"/>
        <w:rPr>
          <w:rFonts w:ascii="Verdana" w:eastAsia="Aptos" w:hAnsi="Verdana" w:cs="Arial"/>
          <w:color w:val="4472C4" w:themeColor="accent1"/>
          <w:shd w:val="clear" w:color="auto" w:fill="FFFFFF"/>
        </w:rPr>
      </w:pPr>
    </w:p>
    <w:p w14:paraId="433D6769" w14:textId="77777777" w:rsidR="00FE0942" w:rsidRPr="00A45083" w:rsidRDefault="00FE0942" w:rsidP="00FE0942">
      <w:pPr>
        <w:spacing w:after="120" w:line="276" w:lineRule="auto"/>
        <w:jc w:val="both"/>
        <w:rPr>
          <w:rFonts w:ascii="Verdana" w:eastAsia="Times New Roman" w:hAnsi="Verdana" w:cs="Arial"/>
          <w:lang w:eastAsia="es-MX"/>
          <w14:ligatures w14:val="standardContextual"/>
        </w:rPr>
      </w:pPr>
      <w:r w:rsidRPr="00A45083">
        <w:rPr>
          <w:rFonts w:ascii="Verdana" w:eastAsia="Calibri" w:hAnsi="Verdana" w:cs="Arial"/>
        </w:rPr>
        <w:t xml:space="preserve">iv. 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p>
    <w:p w14:paraId="25B4FCDD" w14:textId="77777777" w:rsidR="00FE0942" w:rsidRPr="00A45083" w:rsidRDefault="00FE0942" w:rsidP="00FE0942">
      <w:pPr>
        <w:spacing w:after="0" w:line="276" w:lineRule="auto"/>
        <w:ind w:firstLine="708"/>
        <w:jc w:val="both"/>
        <w:rPr>
          <w:rFonts w:ascii="Verdana" w:eastAsia="Times New Roman" w:hAnsi="Verdana" w:cs="Times New Roman"/>
          <w:lang w:eastAsia="es-ES"/>
        </w:rPr>
      </w:pPr>
      <w:r w:rsidRPr="00A45083">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2"/>
      <w:bookmarkEnd w:id="3"/>
    </w:p>
    <w:p w14:paraId="2B557C55" w14:textId="77777777" w:rsidR="00FE0942" w:rsidRPr="0096197D" w:rsidRDefault="00FE0942" w:rsidP="00FE0942">
      <w:pPr>
        <w:spacing w:after="0" w:line="276" w:lineRule="auto"/>
        <w:ind w:firstLine="709"/>
        <w:jc w:val="both"/>
        <w:rPr>
          <w:rFonts w:ascii="Verdana" w:eastAsia="Times New Roman" w:hAnsi="Verdana" w:cs="Times New Roman"/>
          <w:lang w:eastAsia="es-ES"/>
        </w:rPr>
      </w:pPr>
    </w:p>
    <w:p w14:paraId="098F9EC0" w14:textId="77777777" w:rsidR="00FE0942" w:rsidRPr="0096197D" w:rsidRDefault="00FE0942" w:rsidP="00FE0942">
      <w:pPr>
        <w:spacing w:after="0" w:line="276" w:lineRule="auto"/>
        <w:jc w:val="both"/>
        <w:rPr>
          <w:rFonts w:ascii="Verdana" w:eastAsia="Century Gothic" w:hAnsi="Verdana" w:cs="Century Gothic"/>
          <w:b/>
          <w:lang w:val="es-ES"/>
        </w:rPr>
      </w:pPr>
      <w:r w:rsidRPr="0096197D">
        <w:rPr>
          <w:rFonts w:ascii="Verdana" w:eastAsia="Century Gothic" w:hAnsi="Verdana" w:cs="Century Gothic"/>
          <w:b/>
          <w:lang w:val="es-ES"/>
        </w:rPr>
        <w:t>4. Referencias normativas, jurisprudenciales y otras fuentes:</w:t>
      </w:r>
    </w:p>
    <w:p w14:paraId="65C9E55E" w14:textId="77777777" w:rsidR="00FE0942" w:rsidRPr="002D16AE" w:rsidRDefault="00FE0942" w:rsidP="00FE0942">
      <w:pPr>
        <w:spacing w:after="0" w:line="276" w:lineRule="auto"/>
        <w:jc w:val="both"/>
        <w:rPr>
          <w:rFonts w:ascii="Verdana" w:eastAsia="Century Gothic" w:hAnsi="Verdana" w:cs="Century Gothic"/>
          <w:b/>
          <w:color w:val="4472C4" w:themeColor="accen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0942" w:rsidRPr="002D16AE" w14:paraId="35479332" w14:textId="77777777" w:rsidTr="009934A8">
        <w:trPr>
          <w:trHeight w:val="1689"/>
        </w:trPr>
        <w:tc>
          <w:tcPr>
            <w:tcW w:w="8647" w:type="dxa"/>
          </w:tcPr>
          <w:p w14:paraId="0D713B24" w14:textId="77777777" w:rsidR="00FE0942" w:rsidRPr="00433A07" w:rsidRDefault="00FE0942" w:rsidP="009934A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33A07">
              <w:rPr>
                <w:rFonts w:ascii="Verdana" w:eastAsia="Arial MT" w:hAnsi="Verdana" w:cs="Arial"/>
                <w:lang w:val="es-ES" w:eastAsia="es-ES" w:bidi="es-ES"/>
              </w:rPr>
              <w:lastRenderedPageBreak/>
              <w:t>Constitución Política de Colombia. Artículo 127.</w:t>
            </w:r>
          </w:p>
          <w:p w14:paraId="4BF68E72" w14:textId="77777777" w:rsidR="00FE0942" w:rsidRPr="00433A07" w:rsidRDefault="00FE0942" w:rsidP="009934A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33A07">
              <w:rPr>
                <w:rFonts w:ascii="Verdana" w:eastAsia="Arial MT" w:hAnsi="Verdana" w:cs="Arial"/>
                <w:bCs/>
                <w:lang w:val="es-ES" w:eastAsia="es-ES" w:bidi="es-ES"/>
              </w:rPr>
              <w:t>Ley 996 de 2005. Artículos 33 y 38.</w:t>
            </w:r>
          </w:p>
          <w:p w14:paraId="4CC3985C" w14:textId="77777777" w:rsidR="00FE0942" w:rsidRPr="00433A07" w:rsidRDefault="00FE0942" w:rsidP="009934A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33A07">
              <w:rPr>
                <w:rFonts w:ascii="Verdana" w:eastAsia="Times New Roman" w:hAnsi="Verdana" w:cs="Times New Roman"/>
                <w:lang w:val="es-ES" w:eastAsia="es-MX"/>
              </w:rPr>
              <w:t xml:space="preserve">Ley 1150 de 2007. </w:t>
            </w:r>
            <w:r w:rsidRPr="00433A07">
              <w:rPr>
                <w:rFonts w:ascii="Verdana" w:eastAsia="Arial MT" w:hAnsi="Verdana" w:cs="Arial"/>
                <w:lang w:val="es-ES" w:eastAsia="es-ES" w:bidi="es-ES"/>
              </w:rPr>
              <w:t>Artículo 2.</w:t>
            </w:r>
          </w:p>
          <w:p w14:paraId="06B8DF50" w14:textId="77777777" w:rsidR="00FE0942" w:rsidRPr="00D63A83" w:rsidRDefault="00FE0942" w:rsidP="009934A8">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33A07">
              <w:rPr>
                <w:rFonts w:ascii="Verdana" w:hAnsi="Verdana" w:cs="Arial"/>
                <w:lang w:val="pt-BR"/>
              </w:rPr>
              <w:t xml:space="preserve">Corte Constitucional, Sentencia C- 1153 de 2005, M.P. Marco Gerardo </w:t>
            </w:r>
            <w:r w:rsidRPr="00D63A83">
              <w:rPr>
                <w:rFonts w:ascii="Verdana" w:hAnsi="Verdana" w:cs="Arial"/>
                <w:lang w:val="pt-BR"/>
              </w:rPr>
              <w:t>Monroy Cabra.</w:t>
            </w:r>
          </w:p>
          <w:p w14:paraId="7D5BA406" w14:textId="77777777" w:rsidR="00FE0942" w:rsidRPr="00D63A83" w:rsidRDefault="00FE0942" w:rsidP="009934A8">
            <w:pPr>
              <w:widowControl w:val="0"/>
              <w:numPr>
                <w:ilvl w:val="0"/>
                <w:numId w:val="16"/>
              </w:numPr>
              <w:autoSpaceDE w:val="0"/>
              <w:autoSpaceDN w:val="0"/>
              <w:spacing w:line="276" w:lineRule="auto"/>
              <w:ind w:left="714" w:hanging="357"/>
              <w:contextualSpacing/>
              <w:jc w:val="both"/>
              <w:rPr>
                <w:rFonts w:ascii="Verdana" w:eastAsia="Times New Roman" w:hAnsi="Verdana" w:cs="Times New Roman"/>
                <w:lang w:val="es-ES" w:eastAsia="es-MX"/>
              </w:rPr>
            </w:pPr>
            <w:r w:rsidRPr="00D63A83">
              <w:rPr>
                <w:rFonts w:ascii="Verdana" w:eastAsia="Times New Roman" w:hAnsi="Verdana" w:cs="Times New Roman"/>
                <w:lang w:val="es-ES" w:eastAsia="es-MX"/>
              </w:rPr>
              <w:t>Consejo De Estado. Sala De Consulta Y Servicio Civil. Concepto Del 08 De Mayo De 2018. Exp. 2.382. C.P. Álvaro Namén Vargas.</w:t>
            </w:r>
          </w:p>
          <w:p w14:paraId="3FB08193" w14:textId="77777777" w:rsidR="00FE0942" w:rsidRPr="00D63A83" w:rsidRDefault="00FE0942" w:rsidP="009934A8">
            <w:pPr>
              <w:widowControl w:val="0"/>
              <w:numPr>
                <w:ilvl w:val="0"/>
                <w:numId w:val="16"/>
              </w:numPr>
              <w:autoSpaceDE w:val="0"/>
              <w:autoSpaceDN w:val="0"/>
              <w:spacing w:line="276" w:lineRule="auto"/>
              <w:ind w:left="714" w:hanging="357"/>
              <w:contextualSpacing/>
              <w:jc w:val="both"/>
              <w:rPr>
                <w:rFonts w:ascii="Verdana" w:eastAsia="Times New Roman" w:hAnsi="Verdana" w:cs="Times New Roman"/>
                <w:lang w:val="es-ES" w:eastAsia="es-MX"/>
              </w:rPr>
            </w:pPr>
            <w:r w:rsidRPr="00D63A83">
              <w:rPr>
                <w:rFonts w:ascii="Verdana" w:hAnsi="Verdana" w:cs="Arial"/>
              </w:rPr>
              <w:t>Consejo de Estado. Sala de Consulta y Servicio Civil. Concepto del 2 de septiembre de 2013. Radicación número: 11001-03-06-000-2013-00412-00 (2168). Consejero Ponente: Álvaro Namén Vargas.</w:t>
            </w:r>
          </w:p>
          <w:p w14:paraId="7167C6EE" w14:textId="77777777" w:rsidR="00FE0942" w:rsidRPr="002D16AE" w:rsidRDefault="00FE0942" w:rsidP="009934A8">
            <w:pPr>
              <w:widowControl w:val="0"/>
              <w:numPr>
                <w:ilvl w:val="0"/>
                <w:numId w:val="16"/>
              </w:numPr>
              <w:autoSpaceDE w:val="0"/>
              <w:autoSpaceDN w:val="0"/>
              <w:spacing w:line="276" w:lineRule="auto"/>
              <w:jc w:val="both"/>
              <w:rPr>
                <w:rFonts w:ascii="Verdana" w:eastAsia="Arial MT" w:hAnsi="Verdana" w:cs="Arial"/>
                <w:bCs/>
                <w:color w:val="4472C4" w:themeColor="accent1"/>
                <w:lang w:eastAsia="es-ES" w:bidi="es-ES"/>
              </w:rPr>
            </w:pPr>
            <w:r w:rsidRPr="00D63A83">
              <w:rPr>
                <w:rFonts w:ascii="Verdana" w:hAnsi="Verdana" w:cs="Arial"/>
                <w:lang w:val="es-ES"/>
              </w:rPr>
              <w:t>Consejo de Estado. Sala de Consulta y Servicio Civil, Concepto de 8 de mayo de 2018. Radicación Número: 11001-03-06-000-2018-00095-00(2382). Consejero Ponente: Álvaro Namén Vargas.</w:t>
            </w:r>
          </w:p>
        </w:tc>
      </w:tr>
    </w:tbl>
    <w:p w14:paraId="15E6AD06" w14:textId="77777777" w:rsidR="00FE0942" w:rsidRPr="002D16AE" w:rsidRDefault="00FE0942" w:rsidP="00FE0942">
      <w:pPr>
        <w:widowControl w:val="0"/>
        <w:autoSpaceDE w:val="0"/>
        <w:autoSpaceDN w:val="0"/>
        <w:spacing w:after="0" w:line="276" w:lineRule="auto"/>
        <w:jc w:val="both"/>
        <w:rPr>
          <w:rFonts w:ascii="Verdana" w:hAnsi="Verdana" w:cs="Arial"/>
          <w:color w:val="4472C4" w:themeColor="accent1"/>
          <w:lang w:val="es-ES"/>
        </w:rPr>
      </w:pPr>
    </w:p>
    <w:p w14:paraId="4D887A13" w14:textId="77777777" w:rsidR="00FE0942" w:rsidRPr="0096197D" w:rsidRDefault="00FE0942" w:rsidP="00FE0942">
      <w:pPr>
        <w:tabs>
          <w:tab w:val="left" w:pos="142"/>
          <w:tab w:val="left" w:pos="284"/>
        </w:tabs>
        <w:spacing w:after="0" w:line="276" w:lineRule="auto"/>
        <w:jc w:val="both"/>
        <w:rPr>
          <w:rFonts w:ascii="Verdana" w:eastAsia="Century Gothic" w:hAnsi="Verdana" w:cs="Century Gothic"/>
          <w:b/>
          <w:lang w:val="es-ES"/>
        </w:rPr>
      </w:pPr>
      <w:r w:rsidRPr="0096197D">
        <w:rPr>
          <w:rFonts w:ascii="Verdana" w:eastAsia="Century Gothic" w:hAnsi="Verdana" w:cs="Century Gothic"/>
          <w:b/>
          <w:lang w:val="es-ES"/>
        </w:rPr>
        <w:t>5. Doctrina de la Agencia Nacional de Contratación Pública:</w:t>
      </w:r>
    </w:p>
    <w:p w14:paraId="07BFFBE7" w14:textId="77777777" w:rsidR="00FE0942" w:rsidRPr="002D16AE" w:rsidRDefault="00FE0942" w:rsidP="00FE0942">
      <w:pPr>
        <w:widowControl w:val="0"/>
        <w:autoSpaceDE w:val="0"/>
        <w:autoSpaceDN w:val="0"/>
        <w:spacing w:after="0" w:line="276" w:lineRule="auto"/>
        <w:jc w:val="both"/>
        <w:rPr>
          <w:rFonts w:ascii="Verdana" w:hAnsi="Verdana" w:cs="Arial"/>
          <w:color w:val="4472C4" w:themeColor="accent1"/>
          <w:lang w:val="es-ES"/>
        </w:rPr>
      </w:pPr>
    </w:p>
    <w:p w14:paraId="6B2F8DF4" w14:textId="77777777" w:rsidR="00FE0942" w:rsidRDefault="00FE0942" w:rsidP="00FE0942">
      <w:pPr>
        <w:spacing w:after="0" w:line="276" w:lineRule="auto"/>
        <w:jc w:val="both"/>
        <w:rPr>
          <w:rFonts w:ascii="Verdana" w:hAnsi="Verdana" w:cs="Arial"/>
          <w:color w:val="4472C4" w:themeColor="accent1"/>
          <w:shd w:val="clear" w:color="auto" w:fill="FFFFFF"/>
          <w:lang w:val="es-ES"/>
        </w:rPr>
      </w:pPr>
      <w:r w:rsidRPr="00CF4676">
        <w:rPr>
          <w:rFonts w:ascii="Verdana" w:eastAsia="Calibri" w:hAnsi="Verdana" w:cs="Arial"/>
          <w:color w:val="000000" w:themeColor="text1"/>
          <w:lang w:val="es-ES"/>
        </w:rPr>
        <w:t xml:space="preserve">La Agencia Nacional de Contratación Pública – Colombia Compra Eficiente se ha referido </w:t>
      </w:r>
      <w:r w:rsidRPr="00CF4676">
        <w:rPr>
          <w:rFonts w:ascii="Verdana" w:hAnsi="Verdana" w:cs="Arial"/>
          <w:color w:val="000000" w:themeColor="text1"/>
          <w:shd w:val="clear" w:color="auto" w:fill="FFFFFF"/>
          <w:lang w:val="es-ES"/>
        </w:rPr>
        <w:t>sobre la Ley de Garantías Electorales en los conceptos con radicado C-697 del 3 de enero de 2022, C-180 del 21 de marzo de 2025, C-317 del 25 de abril de 2025, C-510 del 4 de junio de 2025, C -635 del 27 de junio de 2025, C–750 de 17 de julio 2025, C-729 del 15 de Julio de 2015 y C-273-A de 2025, entre otros. Sobre la aplicación de esta ley y la contratación del PIC se refirió en los conceptos C ‒ 044 del 04 de marzo de 2022, C ‒ 158 del 04 de abril de 2022, C ‒ 364 del 20 de mayo de 2022, C-979 del 25 de agosto de 2025, C- 1296 del 17 de octubre de 2025</w:t>
      </w:r>
      <w:r>
        <w:rPr>
          <w:rFonts w:ascii="Verdana" w:hAnsi="Verdana" w:cs="Arial"/>
          <w:color w:val="000000" w:themeColor="text1"/>
          <w:shd w:val="clear" w:color="auto" w:fill="FFFFFF"/>
          <w:lang w:val="es-ES"/>
        </w:rPr>
        <w:t xml:space="preserve">, </w:t>
      </w:r>
      <w:r w:rsidRPr="00CF4676">
        <w:rPr>
          <w:rFonts w:ascii="Verdana" w:hAnsi="Verdana" w:cs="Arial"/>
          <w:color w:val="000000" w:themeColor="text1"/>
          <w:shd w:val="clear" w:color="auto" w:fill="FFFFFF"/>
          <w:lang w:val="es-ES"/>
        </w:rPr>
        <w:t>C-1507 del 26 de noviembre de 202</w:t>
      </w:r>
      <w:r>
        <w:rPr>
          <w:rFonts w:ascii="Verdana" w:hAnsi="Verdana" w:cs="Arial"/>
          <w:color w:val="000000" w:themeColor="text1"/>
          <w:shd w:val="clear" w:color="auto" w:fill="FFFFFF"/>
          <w:lang w:val="es-ES"/>
        </w:rPr>
        <w:t>5, C-1675 del 23 de diciembre de 2025, C-168 del 26 de febrero de 2026, C-172 del 19 de febrero de 2026, C-210 del 12 de marzo de 2026, C-296 del 13 de marzo de 2026 y C-372 del 16 de marzo de 2026, entre otros.</w:t>
      </w:r>
    </w:p>
    <w:p w14:paraId="1A65BCF5" w14:textId="77777777" w:rsidR="00FE0942" w:rsidRPr="00E75CDF" w:rsidRDefault="00FE0942" w:rsidP="00FE0942">
      <w:pPr>
        <w:spacing w:after="0" w:line="276" w:lineRule="auto"/>
        <w:jc w:val="both"/>
        <w:rPr>
          <w:rFonts w:ascii="Verdana" w:hAnsi="Verdana" w:cs="Arial"/>
          <w:color w:val="4472C4" w:themeColor="accent1"/>
          <w:shd w:val="clear" w:color="auto" w:fill="FFFFFF"/>
          <w:lang w:val="es-ES"/>
        </w:rPr>
      </w:pPr>
      <w:r w:rsidRPr="00FD551E">
        <w:rPr>
          <w:rFonts w:ascii="Verdana" w:hAnsi="Verdana" w:cs="Arial"/>
          <w:shd w:val="clear" w:color="auto" w:fill="FFFFFF"/>
          <w:lang w:val="es-ES"/>
        </w:rPr>
        <w:t>Estos</w:t>
      </w:r>
      <w:r w:rsidRPr="00FD551E">
        <w:rPr>
          <w:rFonts w:ascii="Verdana" w:hAnsi="Verdana"/>
          <w:lang w:val="es-ES"/>
        </w:rPr>
        <w:t xml:space="preserve"> y otros se encuentran disponibles para consulta en el Sistema de relatoría de la Agencia, al cual se puede acceder a través del siguiente enlace:</w:t>
      </w:r>
      <w:r w:rsidRPr="00FD551E">
        <w:rPr>
          <w:rFonts w:ascii="Verdana" w:hAnsi="Verdana" w:cs="Arial"/>
          <w:shd w:val="clear" w:color="auto" w:fill="FFFFFF"/>
          <w:lang w:val="es-ES"/>
        </w:rPr>
        <w:t xml:space="preserve"> </w:t>
      </w:r>
      <w:hyperlink r:id="rId12" w:history="1">
        <w:r w:rsidRPr="00FD551E">
          <w:rPr>
            <w:rStyle w:val="Hipervnculo"/>
            <w:rFonts w:ascii="Verdana" w:hAnsi="Verdana" w:cs="Arial"/>
            <w:shd w:val="clear" w:color="auto" w:fill="FFFFFF"/>
            <w:lang w:val="es-ES"/>
          </w:rPr>
          <w:t>https://relatoria.colombiacompra.gov.co/busqueda/conceptos</w:t>
        </w:r>
      </w:hyperlink>
    </w:p>
    <w:p w14:paraId="4C0ECB76" w14:textId="77777777" w:rsidR="00FE0942" w:rsidRPr="0076466E" w:rsidRDefault="00FE0942" w:rsidP="00FE0942">
      <w:pPr>
        <w:spacing w:after="0" w:line="276" w:lineRule="auto"/>
        <w:jc w:val="both"/>
        <w:rPr>
          <w:rStyle w:val="normaltextrun"/>
          <w:rFonts w:ascii="Verdana" w:hAnsi="Verdana" w:cs="Arial"/>
          <w:color w:val="EE0000"/>
          <w:shd w:val="clear" w:color="auto" w:fill="FFFFFF"/>
        </w:rPr>
      </w:pPr>
    </w:p>
    <w:p w14:paraId="6EA03A24" w14:textId="77777777" w:rsidR="00FE0942" w:rsidRPr="0076466E" w:rsidRDefault="00FE0942" w:rsidP="00FE0942">
      <w:pPr>
        <w:spacing w:after="0" w:line="276" w:lineRule="auto"/>
        <w:jc w:val="both"/>
        <w:rPr>
          <w:rFonts w:ascii="Verdana" w:hAnsi="Verdana"/>
          <w:color w:val="EE0000"/>
        </w:rPr>
      </w:pPr>
      <w:r w:rsidRPr="00FD551E">
        <w:rPr>
          <w:rFonts w:ascii="Verdana" w:hAnsi="Verdana"/>
        </w:rPr>
        <w:t xml:space="preserve">La sostenibilidad no es una opción, es una obligación. Por ello, la Agencia Nacional de Contratación Pública –Colombia Compra Eficiente– te invita a realizar el </w:t>
      </w:r>
      <w:r w:rsidRPr="00FD551E">
        <w:rPr>
          <w:rFonts w:ascii="Verdana" w:hAnsi="Verdana"/>
          <w:b/>
          <w:bCs/>
        </w:rPr>
        <w:t>Curso de Contratación Pública Sostenible y Socialmente Responsable</w:t>
      </w:r>
      <w:r w:rsidRPr="00FD551E">
        <w:rPr>
          <w:rFonts w:ascii="Verdana" w:hAnsi="Verdana"/>
        </w:rPr>
        <w:t xml:space="preserve">, una herramienta clave para fortalecer las capacidades de todos </w:t>
      </w:r>
      <w:r w:rsidRPr="00FD551E">
        <w:rPr>
          <w:rFonts w:ascii="Verdana" w:hAnsi="Verdana"/>
        </w:rPr>
        <w:lastRenderedPageBreak/>
        <w:t>los compradores públicos, proveedores, servidores públicos v para generar mayor valor público. Accede al curso y aprende como implementar criterios sociales y ambientales en las diferentes etapas del proceso de contratación:</w:t>
      </w:r>
      <w:r w:rsidRPr="0076466E">
        <w:rPr>
          <w:rFonts w:ascii="Verdana" w:hAnsi="Verdana"/>
          <w:color w:val="EE0000"/>
        </w:rPr>
        <w:br/>
      </w:r>
      <w:hyperlink r:id="rId13" w:tgtFrame="_new" w:history="1">
        <w:r w:rsidRPr="00FD551E">
          <w:rPr>
            <w:rStyle w:val="Hipervnculo"/>
            <w:rFonts w:ascii="Verdana" w:hAnsi="Verdana"/>
          </w:rPr>
          <w:t>https://formacionvirtual.colombiacompra.gov.co/mod/page/view.php?id=3718</w:t>
        </w:r>
      </w:hyperlink>
    </w:p>
    <w:p w14:paraId="13E373D6" w14:textId="77777777" w:rsidR="00FE0942" w:rsidRPr="0076466E" w:rsidRDefault="00FE0942" w:rsidP="00FE0942">
      <w:pPr>
        <w:spacing w:after="0" w:line="276" w:lineRule="auto"/>
        <w:jc w:val="both"/>
        <w:rPr>
          <w:rFonts w:ascii="Verdana" w:hAnsi="Verdana"/>
          <w:color w:val="EE0000"/>
        </w:rPr>
      </w:pPr>
    </w:p>
    <w:p w14:paraId="17DF9CDB" w14:textId="77777777" w:rsidR="00FE0942" w:rsidRPr="0076466E" w:rsidRDefault="00FE0942" w:rsidP="00FE0942">
      <w:pPr>
        <w:spacing w:after="0" w:line="276" w:lineRule="auto"/>
        <w:jc w:val="both"/>
        <w:rPr>
          <w:rFonts w:ascii="Verdana" w:hAnsi="Verdana"/>
          <w:color w:val="EE0000"/>
        </w:rPr>
      </w:pPr>
      <w:r w:rsidRPr="00FD551E">
        <w:rPr>
          <w:rFonts w:ascii="Verdana" w:hAnsi="Verdana"/>
        </w:rPr>
        <w:t xml:space="preserve">De otro lado, te contamos que esta Agencia ha da un paso decisivo en la estandarización y modernización del </w:t>
      </w:r>
      <w:r w:rsidRPr="00FD551E">
        <w:rPr>
          <w:rFonts w:ascii="Verdana" w:hAnsi="Verdana"/>
          <w:b/>
          <w:bCs/>
        </w:rPr>
        <w:t>sector  social</w:t>
      </w:r>
      <w:r w:rsidRPr="00FD551E">
        <w:rPr>
          <w:rFonts w:ascii="Verdana" w:hAnsi="Verdana"/>
        </w:rPr>
        <w:t xml:space="preserve"> con la expedición de las </w:t>
      </w:r>
      <w:r w:rsidRPr="00FD551E">
        <w:rPr>
          <w:rFonts w:ascii="Verdana" w:hAnsi="Verdana"/>
          <w:b/>
          <w:bCs/>
        </w:rPr>
        <w:t>Resoluciones 539, 540, 541, 952 y 953 de 2025</w:t>
      </w:r>
      <w:r w:rsidRPr="00FD551E">
        <w:rPr>
          <w:rFonts w:ascii="Verdana" w:hAnsi="Verdana"/>
        </w:rPr>
        <w:t xml:space="preserve">, </w:t>
      </w:r>
      <w:r w:rsidRPr="00FD551E">
        <w:rPr>
          <w:rFonts w:ascii="Verdana" w:hAnsi="Verdana"/>
          <w:b/>
          <w:bCs/>
        </w:rPr>
        <w:t>mediante las cuales adoptó Documentos Tipo</w:t>
      </w:r>
      <w:r w:rsidRPr="00FD551E">
        <w:rPr>
          <w:rFonts w:ascii="Verdana" w:hAnsi="Verdana"/>
        </w:rPr>
        <w:t xml:space="preserve"> para las modalidades de selección de</w:t>
      </w:r>
      <w:r w:rsidRPr="00FD551E">
        <w:rPr>
          <w:rFonts w:ascii="Verdana" w:hAnsi="Verdana"/>
          <w:b/>
          <w:bCs/>
        </w:rPr>
        <w:t xml:space="preserve"> licitación pública (versión 2), selección abreviada de menor cuantía, mínima cuantía, consultoría e interventoría</w:t>
      </w:r>
      <w:r w:rsidRPr="00FD551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FD551E">
          <w:rPr>
            <w:rStyle w:val="Hipervnculo"/>
            <w:rFonts w:ascii="Verdana" w:hAnsi="Verdana"/>
          </w:rPr>
          <w:t>https://www.colombiacompra.gov.co/normativa-y-relatoria/documentos-tipo</w:t>
        </w:r>
      </w:hyperlink>
    </w:p>
    <w:p w14:paraId="7891354D" w14:textId="77777777" w:rsidR="00FE0942" w:rsidRPr="0076466E" w:rsidRDefault="00FE0942" w:rsidP="00FE0942">
      <w:pPr>
        <w:spacing w:after="0" w:line="276" w:lineRule="auto"/>
        <w:jc w:val="both"/>
        <w:rPr>
          <w:rFonts w:ascii="Verdana" w:hAnsi="Verdana"/>
          <w:color w:val="EE0000"/>
        </w:rPr>
      </w:pPr>
    </w:p>
    <w:p w14:paraId="75B6D091" w14:textId="77777777" w:rsidR="00FE0942" w:rsidRPr="0076466E" w:rsidRDefault="00FE0942" w:rsidP="00FE0942">
      <w:pPr>
        <w:spacing w:after="0" w:line="276" w:lineRule="auto"/>
        <w:jc w:val="both"/>
        <w:rPr>
          <w:rFonts w:ascii="Verdana" w:hAnsi="Verdana"/>
          <w:color w:val="EE0000"/>
        </w:rPr>
      </w:pPr>
      <w:r w:rsidRPr="00FD551E">
        <w:rPr>
          <w:rFonts w:ascii="Verdana" w:hAnsi="Verdana"/>
        </w:rPr>
        <w:t xml:space="preserve">Si quieres conocer más sobre la aplicación de Documentos Tipo puedes consultar la última versión de la </w:t>
      </w:r>
      <w:r w:rsidRPr="00FD551E">
        <w:rPr>
          <w:rFonts w:ascii="Verdana" w:hAnsi="Verdana"/>
          <w:b/>
          <w:bCs/>
        </w:rPr>
        <w:t>Guía para la comprensión e implementación de los Documentos Tipo de obra pública de infraestructura de transporte</w:t>
      </w:r>
      <w:r w:rsidRPr="00FD551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6466E">
        <w:rPr>
          <w:rFonts w:ascii="Verdana" w:hAnsi="Verdana"/>
          <w:color w:val="EE0000"/>
        </w:rPr>
        <w:br/>
      </w:r>
      <w:hyperlink r:id="rId15" w:tgtFrame="_new" w:history="1">
        <w:r w:rsidRPr="00FD551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16C45CA" w14:textId="77777777" w:rsidR="00FE0942" w:rsidRPr="0076466E" w:rsidRDefault="00FE0942" w:rsidP="00FE0942">
      <w:pPr>
        <w:spacing w:after="0" w:line="276" w:lineRule="auto"/>
        <w:jc w:val="both"/>
        <w:rPr>
          <w:rFonts w:ascii="Verdana" w:hAnsi="Verdana" w:cs="Arial"/>
          <w:color w:val="EE0000"/>
          <w:shd w:val="clear" w:color="auto" w:fill="FFFFFF"/>
        </w:rPr>
      </w:pPr>
    </w:p>
    <w:p w14:paraId="31BDF448" w14:textId="77777777" w:rsidR="00FE0942" w:rsidRPr="00116940" w:rsidRDefault="00FE0942" w:rsidP="00FE0942">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F5133D7" w14:textId="77777777" w:rsidR="00FE0942" w:rsidRPr="00116940" w:rsidRDefault="00FE0942" w:rsidP="00FE0942">
      <w:pPr>
        <w:spacing w:after="0"/>
        <w:jc w:val="both"/>
        <w:rPr>
          <w:rFonts w:ascii="Verdana" w:hAnsi="Verdana"/>
        </w:rPr>
      </w:pPr>
    </w:p>
    <w:p w14:paraId="493EA199" w14:textId="77777777" w:rsidR="00FE0942" w:rsidRPr="00116940" w:rsidRDefault="00FE0942" w:rsidP="00FE0942">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lastRenderedPageBreak/>
        <w:t xml:space="preserve">Línea nacional gratuita o servicio a la ciudadanía (Mesa de servicio): </w:t>
      </w:r>
      <w:r w:rsidRPr="00116940">
        <w:rPr>
          <w:rStyle w:val="Hipervnculo"/>
          <w:rFonts w:ascii="Verdana" w:hAnsi="Verdana"/>
        </w:rPr>
        <w:t>01800 0520808</w:t>
      </w:r>
    </w:p>
    <w:p w14:paraId="02CA4EB1" w14:textId="77777777" w:rsidR="00FE0942" w:rsidRPr="00116940" w:rsidRDefault="00FE0942" w:rsidP="00FE0942">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26398331" w14:textId="77777777" w:rsidR="00FE0942" w:rsidRPr="00116940" w:rsidRDefault="00FE0942" w:rsidP="00FE094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076AACB3" w14:textId="77777777" w:rsidR="00FE0942" w:rsidRPr="00116940" w:rsidRDefault="00FE0942" w:rsidP="00FE094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226FF47E" w14:textId="77777777" w:rsidR="00FE0942" w:rsidRPr="00116940" w:rsidRDefault="00FE0942" w:rsidP="00FE0942">
      <w:pPr>
        <w:spacing w:after="0" w:line="240" w:lineRule="auto"/>
        <w:ind w:left="720"/>
        <w:jc w:val="both"/>
        <w:rPr>
          <w:rFonts w:ascii="Verdana" w:hAnsi="Verdana"/>
        </w:rPr>
      </w:pPr>
    </w:p>
    <w:p w14:paraId="3C0358B8" w14:textId="77777777" w:rsidR="00FE0942" w:rsidRPr="00116940" w:rsidRDefault="00FE0942" w:rsidP="00FE0942">
      <w:pPr>
        <w:spacing w:after="0" w:line="240"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FB4AC0">
          <w:rPr>
            <w:rStyle w:val="Hipervnculo"/>
            <w:rFonts w:ascii="Verdana" w:hAnsi="Verdana"/>
          </w:rPr>
          <w:t>https://forms.office.com/r/pPHyWVs2SZ</w:t>
        </w:r>
      </w:hyperlink>
      <w:r w:rsidRPr="00116940">
        <w:rPr>
          <w:rFonts w:ascii="Verdana" w:hAnsi="Verdana"/>
        </w:rPr>
        <w:t xml:space="preserve"> .¡Ayúdanos a</w:t>
      </w:r>
      <w:r>
        <w:rPr>
          <w:rFonts w:ascii="Verdana" w:hAnsi="Verdana"/>
        </w:rPr>
        <w:t xml:space="preserve"> </w:t>
      </w:r>
      <w:r w:rsidRPr="00116940">
        <w:rPr>
          <w:rFonts w:ascii="Verdana" w:hAnsi="Verdana"/>
        </w:rPr>
        <w:t>mejorar porque el compromiso es de todos!</w:t>
      </w:r>
    </w:p>
    <w:p w14:paraId="676F679A" w14:textId="77777777" w:rsidR="00FE0942" w:rsidRPr="00116940" w:rsidRDefault="00FE0942" w:rsidP="00FE0942">
      <w:pPr>
        <w:spacing w:after="0" w:line="240" w:lineRule="auto"/>
        <w:rPr>
          <w:rFonts w:ascii="Verdana" w:hAnsi="Verdana"/>
        </w:rPr>
      </w:pPr>
    </w:p>
    <w:p w14:paraId="37E67A34" w14:textId="77777777" w:rsidR="00FE0942" w:rsidRPr="00116940" w:rsidRDefault="00FE0942" w:rsidP="00FE0942">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FEAEF04" w14:textId="77777777" w:rsidR="00FE0942" w:rsidRPr="00116940" w:rsidRDefault="00FE0942" w:rsidP="00FE0942">
      <w:pPr>
        <w:spacing w:after="0" w:line="240" w:lineRule="auto"/>
        <w:jc w:val="both"/>
        <w:rPr>
          <w:rFonts w:ascii="Verdana" w:hAnsi="Verdana"/>
        </w:rPr>
      </w:pPr>
    </w:p>
    <w:p w14:paraId="12E022EE" w14:textId="77777777" w:rsidR="00FE0942" w:rsidRPr="00116940" w:rsidRDefault="00FE0942" w:rsidP="00FE0942">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BA8B9F6" w14:textId="77777777" w:rsidR="00FE0942" w:rsidRPr="00116940" w:rsidRDefault="00FE0942" w:rsidP="00FE0942">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52F2E05E" w14:textId="77777777" w:rsidR="00FE0942" w:rsidRPr="00116940" w:rsidRDefault="00FE0942" w:rsidP="00FE0942">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A96535C" w14:textId="77777777" w:rsidR="00FE0942" w:rsidRPr="00CC060C" w:rsidRDefault="00FE0942" w:rsidP="00FE0942">
      <w:pPr>
        <w:widowControl w:val="0"/>
        <w:autoSpaceDE w:val="0"/>
        <w:autoSpaceDN w:val="0"/>
        <w:spacing w:after="0" w:line="276" w:lineRule="auto"/>
        <w:jc w:val="both"/>
        <w:rPr>
          <w:rFonts w:ascii="Verdana" w:hAnsi="Verdana" w:cs="Arial"/>
        </w:rPr>
      </w:pPr>
    </w:p>
    <w:p w14:paraId="0408C8C4" w14:textId="77777777" w:rsidR="00FE0942" w:rsidRPr="00FD551E" w:rsidRDefault="00FE0942" w:rsidP="00FE0942">
      <w:pPr>
        <w:widowControl w:val="0"/>
        <w:autoSpaceDE w:val="0"/>
        <w:autoSpaceDN w:val="0"/>
        <w:spacing w:after="0" w:line="276" w:lineRule="auto"/>
        <w:jc w:val="both"/>
        <w:rPr>
          <w:rFonts w:ascii="Verdana" w:hAnsi="Verdana" w:cs="Arial"/>
          <w:lang w:val="es-ES"/>
        </w:rPr>
      </w:pPr>
      <w:r w:rsidRPr="00FD551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00AC099" w14:textId="77777777" w:rsidR="00FE0942" w:rsidRPr="00FD551E" w:rsidRDefault="00FE0942" w:rsidP="00FE0942">
      <w:pPr>
        <w:widowControl w:val="0"/>
        <w:autoSpaceDE w:val="0"/>
        <w:autoSpaceDN w:val="0"/>
        <w:spacing w:after="0" w:line="276" w:lineRule="auto"/>
        <w:jc w:val="both"/>
        <w:rPr>
          <w:rFonts w:ascii="Verdana" w:hAnsi="Verdana" w:cs="Arial"/>
          <w:lang w:val="es-ES"/>
        </w:rPr>
      </w:pPr>
    </w:p>
    <w:p w14:paraId="20572F41" w14:textId="0A0F423C" w:rsidR="00F6164F" w:rsidRPr="00F6164F" w:rsidRDefault="00FE0942" w:rsidP="00F6164F">
      <w:pPr>
        <w:spacing w:after="0" w:line="276" w:lineRule="auto"/>
        <w:rPr>
          <w:rFonts w:ascii="Verdana" w:hAnsi="Verdana" w:cs="Arial"/>
          <w:lang w:val="es-ES" w:eastAsia="es-CO"/>
        </w:rPr>
      </w:pPr>
      <w:r w:rsidRPr="00FD551E">
        <w:rPr>
          <w:rFonts w:ascii="Verdana" w:eastAsia="Times New Roman" w:hAnsi="Verdana" w:cs="Arial"/>
          <w:lang w:val="es-ES" w:eastAsia="es-CO"/>
        </w:rPr>
        <w:t>Atentamente,</w:t>
      </w:r>
      <w:r w:rsidRPr="00FD551E">
        <w:rPr>
          <w:rFonts w:ascii="Verdana" w:hAnsi="Verdana" w:cs="Arial"/>
          <w:lang w:val="es-ES" w:eastAsia="es-CO"/>
        </w:rPr>
        <w:t xml:space="preserve"> </w:t>
      </w:r>
    </w:p>
    <w:p w14:paraId="69438C9A" w14:textId="64EED289" w:rsidR="00FE0942" w:rsidRPr="0076466E" w:rsidRDefault="00F6164F" w:rsidP="00F6164F">
      <w:pPr>
        <w:spacing w:after="0" w:line="276" w:lineRule="auto"/>
        <w:jc w:val="center"/>
        <w:rPr>
          <w:rFonts w:ascii="Verdana" w:hAnsi="Verdana" w:cs="Arial"/>
          <w:color w:val="EE0000"/>
          <w:lang w:val="es-ES" w:eastAsia="es-CO"/>
        </w:rPr>
      </w:pPr>
      <w:r w:rsidRPr="00F6164F">
        <w:rPr>
          <w:rFonts w:ascii="Verdana" w:hAnsi="Verdana" w:cs="Arial"/>
          <w:color w:val="EE0000"/>
          <w:lang w:val="es-ES" w:eastAsia="es-CO"/>
        </w:rPr>
        <w:drawing>
          <wp:inline distT="0" distB="0" distL="0" distR="0" wp14:anchorId="390FC6CF" wp14:editId="2D4AC266">
            <wp:extent cx="2715004" cy="1019317"/>
            <wp:effectExtent l="0" t="0" r="9525" b="9525"/>
            <wp:docPr id="510573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57326" name=""/>
                    <pic:cNvPicPr/>
                  </pic:nvPicPr>
                  <pic:blipFill>
                    <a:blip r:embed="rId19"/>
                    <a:stretch>
                      <a:fillRect/>
                    </a:stretch>
                  </pic:blipFill>
                  <pic:spPr>
                    <a:xfrm>
                      <a:off x="0" y="0"/>
                      <a:ext cx="2715004" cy="1019317"/>
                    </a:xfrm>
                    <a:prstGeom prst="rect">
                      <a:avLst/>
                    </a:prstGeom>
                  </pic:spPr>
                </pic:pic>
              </a:graphicData>
            </a:graphic>
          </wp:inline>
        </w:drawing>
      </w:r>
    </w:p>
    <w:p w14:paraId="5F75E5E1" w14:textId="77777777" w:rsidR="00FE0942" w:rsidRPr="0076466E" w:rsidRDefault="00FE0942" w:rsidP="00FE0942">
      <w:pPr>
        <w:spacing w:after="0" w:line="276" w:lineRule="auto"/>
        <w:rPr>
          <w:rFonts w:ascii="Verdana" w:hAnsi="Verdana" w:cs="Arial"/>
          <w:color w:val="EE0000"/>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E0942" w:rsidRPr="0076466E" w14:paraId="1EE9662C" w14:textId="77777777" w:rsidTr="009934A8">
        <w:trPr>
          <w:trHeight w:val="315"/>
        </w:trPr>
        <w:tc>
          <w:tcPr>
            <w:tcW w:w="893" w:type="dxa"/>
            <w:vAlign w:val="center"/>
            <w:hideMark/>
          </w:tcPr>
          <w:p w14:paraId="4900E532" w14:textId="77777777" w:rsidR="00FE0942" w:rsidRPr="00FD551E" w:rsidRDefault="00FE0942" w:rsidP="009934A8">
            <w:pPr>
              <w:contextualSpacing/>
              <w:rPr>
                <w:rFonts w:ascii="Verdana" w:hAnsi="Verdana" w:cs="Arial"/>
                <w:sz w:val="16"/>
                <w:szCs w:val="16"/>
                <w:lang w:val="es-ES" w:eastAsia="es-ES"/>
              </w:rPr>
            </w:pPr>
            <w:r w:rsidRPr="00FD551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657DB0" w14:textId="77777777" w:rsidR="00FE0942" w:rsidRPr="00FD551E" w:rsidRDefault="00FE0942" w:rsidP="009934A8">
            <w:pPr>
              <w:rPr>
                <w:rFonts w:ascii="Verdana" w:eastAsia="Times New Roman" w:hAnsi="Verdana" w:cs="Arial"/>
                <w:sz w:val="16"/>
                <w:szCs w:val="16"/>
                <w:lang w:eastAsia="es-ES"/>
              </w:rPr>
            </w:pPr>
            <w:r w:rsidRPr="00FD551E">
              <w:rPr>
                <w:rFonts w:ascii="Verdana" w:eastAsia="Times New Roman" w:hAnsi="Verdana" w:cs="Arial"/>
                <w:sz w:val="16"/>
                <w:szCs w:val="16"/>
                <w:lang w:eastAsia="es-ES"/>
              </w:rPr>
              <w:t>Camila Alejandra Naranjo Gómez</w:t>
            </w:r>
          </w:p>
          <w:p w14:paraId="4A93B090" w14:textId="77777777" w:rsidR="00FE0942" w:rsidRPr="00FD551E" w:rsidRDefault="00FE0942" w:rsidP="009934A8">
            <w:pPr>
              <w:contextualSpacing/>
              <w:rPr>
                <w:rFonts w:ascii="Verdana" w:eastAsia="Arial" w:hAnsi="Verdana" w:cs="Arial"/>
                <w:sz w:val="16"/>
                <w:szCs w:val="16"/>
                <w:lang w:val="es-ES"/>
              </w:rPr>
            </w:pPr>
            <w:r w:rsidRPr="00FD551E">
              <w:rPr>
                <w:rFonts w:ascii="Verdana" w:eastAsia="Times New Roman" w:hAnsi="Verdana" w:cs="Arial"/>
                <w:sz w:val="16"/>
                <w:szCs w:val="16"/>
                <w:lang w:eastAsia="es-ES"/>
              </w:rPr>
              <w:t>Analista T2-02 de la Subdirección de Gestión Contractual</w:t>
            </w:r>
          </w:p>
        </w:tc>
      </w:tr>
      <w:tr w:rsidR="00FE0942" w:rsidRPr="0076466E" w14:paraId="0755E219" w14:textId="77777777" w:rsidTr="009934A8">
        <w:trPr>
          <w:trHeight w:val="330"/>
        </w:trPr>
        <w:tc>
          <w:tcPr>
            <w:tcW w:w="893" w:type="dxa"/>
            <w:vAlign w:val="center"/>
            <w:hideMark/>
          </w:tcPr>
          <w:p w14:paraId="7B016200" w14:textId="77777777" w:rsidR="00FE0942" w:rsidRPr="00FD551E" w:rsidRDefault="00FE0942" w:rsidP="009934A8">
            <w:pPr>
              <w:contextualSpacing/>
              <w:rPr>
                <w:rFonts w:ascii="Verdana" w:hAnsi="Verdana" w:cs="Arial"/>
                <w:sz w:val="16"/>
                <w:szCs w:val="16"/>
                <w:lang w:val="es-ES" w:eastAsia="es-ES"/>
              </w:rPr>
            </w:pPr>
            <w:r w:rsidRPr="00FD551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1986CB" w14:textId="77777777" w:rsidR="00FE0942" w:rsidRPr="00FD551E" w:rsidRDefault="00FE0942" w:rsidP="009934A8">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w:t>
            </w:r>
          </w:p>
          <w:p w14:paraId="11551010" w14:textId="77777777" w:rsidR="00FE0942" w:rsidRPr="00FD551E" w:rsidRDefault="00FE0942" w:rsidP="009934A8">
            <w:pPr>
              <w:pStyle w:val="paragraph"/>
              <w:spacing w:before="0" w:beforeAutospacing="0" w:after="0" w:afterAutospacing="0"/>
              <w:contextualSpacing/>
              <w:textAlignment w:val="baseline"/>
              <w:rPr>
                <w:rFonts w:ascii="Verdana" w:hAnsi="Verdana" w:cs="Segoe UI"/>
                <w:sz w:val="16"/>
                <w:szCs w:val="16"/>
                <w:lang w:val="es-ES"/>
              </w:rPr>
            </w:pPr>
            <w:r w:rsidRPr="00FD551E">
              <w:rPr>
                <w:rFonts w:ascii="Verdana" w:hAnsi="Verdana" w:cs="Arial"/>
                <w:sz w:val="16"/>
                <w:szCs w:val="16"/>
                <w:lang w:eastAsia="es-ES"/>
              </w:rPr>
              <w:t>Contratista de la Subdirección de Gestión Contractual</w:t>
            </w:r>
          </w:p>
        </w:tc>
      </w:tr>
      <w:tr w:rsidR="00FE0942" w:rsidRPr="0076466E" w14:paraId="7043C6B0" w14:textId="77777777" w:rsidTr="009934A8">
        <w:trPr>
          <w:trHeight w:val="300"/>
        </w:trPr>
        <w:tc>
          <w:tcPr>
            <w:tcW w:w="893" w:type="dxa"/>
            <w:vAlign w:val="center"/>
          </w:tcPr>
          <w:p w14:paraId="04CF99F9" w14:textId="77777777" w:rsidR="00FE0942" w:rsidRPr="00FD551E" w:rsidRDefault="00FE0942" w:rsidP="009934A8">
            <w:pPr>
              <w:contextualSpacing/>
              <w:rPr>
                <w:rFonts w:ascii="Verdana" w:hAnsi="Verdana" w:cs="Arial"/>
                <w:sz w:val="16"/>
                <w:szCs w:val="16"/>
                <w:lang w:val="es-ES" w:eastAsia="es-ES"/>
              </w:rPr>
            </w:pPr>
            <w:r w:rsidRPr="00FD551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52A479" w14:textId="77777777" w:rsidR="00FE0942" w:rsidRPr="00FD551E" w:rsidRDefault="00FE0942" w:rsidP="009934A8">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Carolina Quintero Gacharná</w:t>
            </w:r>
          </w:p>
          <w:p w14:paraId="1C7C8695" w14:textId="77777777" w:rsidR="00FE0942" w:rsidRPr="00FD551E" w:rsidRDefault="00FE0942" w:rsidP="009934A8">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Subdirectora de Gestión Contractual ANCP – CCE</w:t>
            </w:r>
          </w:p>
        </w:tc>
      </w:tr>
      <w:bookmarkEnd w:id="0"/>
    </w:tbl>
    <w:p w14:paraId="0F293BF4" w14:textId="5F7F901B" w:rsidR="00127233" w:rsidRPr="00FE0942" w:rsidRDefault="00127233" w:rsidP="00FE0942"/>
    <w:sectPr w:rsidR="00127233" w:rsidRPr="00FE0942"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E615D" w14:textId="77777777" w:rsidR="000467DF" w:rsidRDefault="000467DF" w:rsidP="004A1847">
      <w:pPr>
        <w:spacing w:after="0" w:line="240" w:lineRule="auto"/>
      </w:pPr>
      <w:r>
        <w:separator/>
      </w:r>
    </w:p>
  </w:endnote>
  <w:endnote w:type="continuationSeparator" w:id="0">
    <w:p w14:paraId="4B89256B" w14:textId="77777777" w:rsidR="000467DF" w:rsidRDefault="000467D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E2F1A" w14:textId="77777777" w:rsidR="000467DF" w:rsidRDefault="000467DF" w:rsidP="004A1847">
      <w:pPr>
        <w:spacing w:after="0" w:line="240" w:lineRule="auto"/>
      </w:pPr>
      <w:r>
        <w:separator/>
      </w:r>
    </w:p>
  </w:footnote>
  <w:footnote w:type="continuationSeparator" w:id="0">
    <w:p w14:paraId="52101DB9" w14:textId="77777777" w:rsidR="000467DF" w:rsidRDefault="000467DF" w:rsidP="004A1847">
      <w:pPr>
        <w:spacing w:after="0" w:line="240" w:lineRule="auto"/>
      </w:pPr>
      <w:r>
        <w:continuationSeparator/>
      </w:r>
    </w:p>
  </w:footnote>
  <w:footnote w:id="1">
    <w:p w14:paraId="066C47C6" w14:textId="77777777" w:rsidR="00FE0942" w:rsidRPr="00F6164F" w:rsidRDefault="00FE0942" w:rsidP="00FE0942">
      <w:pPr>
        <w:pStyle w:val="Textonotapie"/>
        <w:ind w:firstLine="709"/>
        <w:contextualSpacing/>
        <w:jc w:val="both"/>
        <w:rPr>
          <w:rFonts w:ascii="Verdana"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30A3007" w14:textId="77777777" w:rsidR="00FE0942" w:rsidRPr="00F6164F" w:rsidRDefault="00FE0942" w:rsidP="00FE0942">
      <w:pPr>
        <w:pStyle w:val="Textonotapie"/>
        <w:ind w:firstLine="709"/>
        <w:contextualSpacing/>
        <w:jc w:val="both"/>
        <w:rPr>
          <w:rFonts w:ascii="Verdana" w:hAnsi="Verdana" w:cs="Arial"/>
          <w:sz w:val="14"/>
          <w:szCs w:val="14"/>
        </w:rPr>
      </w:pPr>
      <w:r w:rsidRPr="00F6164F">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38E13FC1" w14:textId="77777777" w:rsidR="00FE0942" w:rsidRPr="00F6164F" w:rsidRDefault="00FE0942" w:rsidP="00FE0942">
      <w:pPr>
        <w:pStyle w:val="Textonotapie"/>
        <w:ind w:firstLine="709"/>
        <w:contextualSpacing/>
        <w:jc w:val="both"/>
        <w:rPr>
          <w:rFonts w:ascii="Verdana"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Gaceta del Congreso de la República No. 71 del 2005.</w:t>
      </w:r>
    </w:p>
  </w:footnote>
  <w:footnote w:id="3">
    <w:p w14:paraId="3457A655" w14:textId="77777777" w:rsidR="00FE0942" w:rsidRPr="00F6164F" w:rsidRDefault="00FE0942" w:rsidP="00FE0942">
      <w:pPr>
        <w:pStyle w:val="Textonotapie"/>
        <w:ind w:firstLine="709"/>
        <w:contextualSpacing/>
        <w:jc w:val="both"/>
        <w:rPr>
          <w:rFonts w:ascii="Verdana" w:hAnsi="Verdana" w:cs="Arial"/>
          <w:sz w:val="14"/>
          <w:szCs w:val="14"/>
          <w:lang w:val="pt-BR"/>
        </w:rPr>
      </w:pPr>
      <w:r w:rsidRPr="00F6164F">
        <w:rPr>
          <w:rStyle w:val="Refdenotaalpie"/>
          <w:rFonts w:ascii="Verdana" w:hAnsi="Verdana" w:cs="Arial"/>
          <w:sz w:val="14"/>
          <w:szCs w:val="14"/>
        </w:rPr>
        <w:footnoteRef/>
      </w:r>
      <w:r w:rsidRPr="00F6164F">
        <w:rPr>
          <w:rFonts w:ascii="Verdana" w:hAnsi="Verdana" w:cs="Arial"/>
          <w:sz w:val="14"/>
          <w:szCs w:val="14"/>
          <w:lang w:val="pt-BR"/>
        </w:rPr>
        <w:t xml:space="preserve"> Corte Constitucional, Sentencia C- 1153 de 2005, M.P. Marco Gerardo Monroy Cabra.</w:t>
      </w:r>
    </w:p>
  </w:footnote>
  <w:footnote w:id="4">
    <w:p w14:paraId="2194E5D8" w14:textId="77777777" w:rsidR="00FE0942" w:rsidRPr="00F6164F" w:rsidRDefault="00FE0942" w:rsidP="00FE0942">
      <w:pPr>
        <w:pStyle w:val="Textonotapie"/>
        <w:ind w:firstLine="709"/>
        <w:contextualSpacing/>
        <w:jc w:val="both"/>
        <w:rPr>
          <w:rFonts w:ascii="Verdana"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8425693" w14:textId="77777777" w:rsidR="00FE0942" w:rsidRPr="00F6164F" w:rsidRDefault="00FE0942" w:rsidP="00FE0942">
      <w:pPr>
        <w:pStyle w:val="Textonotapie"/>
        <w:ind w:firstLine="709"/>
        <w:contextualSpacing/>
        <w:jc w:val="both"/>
        <w:rPr>
          <w:rFonts w:ascii="Verdana" w:hAnsi="Verdana" w:cs="Arial"/>
          <w:sz w:val="14"/>
          <w:szCs w:val="14"/>
        </w:rPr>
      </w:pPr>
      <w:r w:rsidRPr="00F6164F">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5">
    <w:p w14:paraId="54002DB4" w14:textId="77777777" w:rsidR="00FE0942" w:rsidRPr="00F6164F" w:rsidRDefault="00FE0942" w:rsidP="00FE0942">
      <w:pPr>
        <w:pStyle w:val="Textonotapie"/>
        <w:ind w:firstLine="709"/>
        <w:contextualSpacing/>
        <w:jc w:val="both"/>
        <w:rPr>
          <w:rFonts w:ascii="Verdana"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Gaceta del Congreso de la República No. 71 del 2005.</w:t>
      </w:r>
    </w:p>
  </w:footnote>
  <w:footnote w:id="6">
    <w:p w14:paraId="25E6263D" w14:textId="77777777" w:rsidR="00FE0942" w:rsidRPr="00F6164F" w:rsidRDefault="00FE0942" w:rsidP="00FE0942">
      <w:pPr>
        <w:pStyle w:val="Textonotapie"/>
        <w:ind w:firstLine="709"/>
        <w:contextualSpacing/>
        <w:jc w:val="both"/>
        <w:rPr>
          <w:rFonts w:ascii="Verdana" w:hAnsi="Verdana" w:cs="Arial"/>
          <w:sz w:val="14"/>
          <w:szCs w:val="14"/>
          <w:lang w:val="pt-BR"/>
        </w:rPr>
      </w:pPr>
      <w:r w:rsidRPr="00F6164F">
        <w:rPr>
          <w:rStyle w:val="Refdenotaalpie"/>
          <w:rFonts w:ascii="Verdana" w:hAnsi="Verdana" w:cs="Arial"/>
          <w:sz w:val="14"/>
          <w:szCs w:val="14"/>
        </w:rPr>
        <w:footnoteRef/>
      </w:r>
      <w:r w:rsidRPr="00F6164F">
        <w:rPr>
          <w:rFonts w:ascii="Verdana" w:hAnsi="Verdana" w:cs="Arial"/>
          <w:sz w:val="14"/>
          <w:szCs w:val="14"/>
          <w:lang w:val="pt-BR"/>
        </w:rPr>
        <w:t xml:space="preserve"> Corte Constitucional, Sentencia C- 1153 de 2005, M.P. Marco Gerardo Monroy Cabra.</w:t>
      </w:r>
    </w:p>
  </w:footnote>
  <w:footnote w:id="7">
    <w:p w14:paraId="0955AF75" w14:textId="77777777" w:rsidR="00FE0942" w:rsidRPr="00F6164F" w:rsidRDefault="00FE0942" w:rsidP="00FE0942">
      <w:pPr>
        <w:pStyle w:val="Textonotapie"/>
        <w:ind w:firstLine="709"/>
        <w:contextualSpacing/>
        <w:jc w:val="both"/>
        <w:rPr>
          <w:rFonts w:ascii="Verdana" w:hAnsi="Verdana" w:cs="Arial"/>
          <w:sz w:val="14"/>
          <w:szCs w:val="14"/>
          <w:lang w:val="pt-BR"/>
        </w:rPr>
      </w:pPr>
      <w:r w:rsidRPr="00F6164F">
        <w:rPr>
          <w:rStyle w:val="Refdenotaalpie"/>
          <w:rFonts w:ascii="Verdana" w:hAnsi="Verdana" w:cs="Arial"/>
          <w:sz w:val="14"/>
          <w:szCs w:val="14"/>
        </w:rPr>
        <w:footnoteRef/>
      </w:r>
      <w:r w:rsidRPr="00F6164F">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8">
    <w:p w14:paraId="3738BEF2" w14:textId="77777777" w:rsidR="00FE0942" w:rsidRPr="00F6164F" w:rsidRDefault="00FE0942" w:rsidP="00FE0942">
      <w:pPr>
        <w:pStyle w:val="Textonotapie"/>
        <w:ind w:firstLine="709"/>
        <w:contextualSpacing/>
        <w:jc w:val="both"/>
        <w:rPr>
          <w:rFonts w:ascii="Verdana" w:hAnsi="Verdana" w:cs="Arial"/>
          <w:sz w:val="14"/>
          <w:szCs w:val="14"/>
          <w:lang w:val="es-CO"/>
        </w:rPr>
      </w:pPr>
      <w:r w:rsidRPr="00F6164F">
        <w:rPr>
          <w:rStyle w:val="Refdenotaalpie"/>
          <w:rFonts w:ascii="Verdana" w:hAnsi="Verdana" w:cs="Arial"/>
          <w:sz w:val="14"/>
          <w:szCs w:val="14"/>
        </w:rPr>
        <w:footnoteRef/>
      </w:r>
      <w:r w:rsidRPr="00F6164F">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9">
    <w:p w14:paraId="17022089" w14:textId="77777777" w:rsidR="00FE0942" w:rsidRPr="00F6164F" w:rsidRDefault="00FE0942" w:rsidP="00FE0942">
      <w:pPr>
        <w:pStyle w:val="Textonotapie"/>
        <w:ind w:firstLine="708"/>
        <w:contextualSpacing/>
        <w:jc w:val="both"/>
        <w:rPr>
          <w:rFonts w:ascii="Verdana"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Consejo de Estado, Sala de Consulta y Servicio Civil de fecha 24 de julio de 2013, Rad. 2166, C. P. Álvaro Namén Vargas.  </w:t>
      </w:r>
    </w:p>
  </w:footnote>
  <w:footnote w:id="10">
    <w:p w14:paraId="47A6DA59" w14:textId="77777777" w:rsidR="00FE0942" w:rsidRPr="00F6164F" w:rsidRDefault="00FE0942" w:rsidP="00FE0942">
      <w:pPr>
        <w:spacing w:after="0" w:line="240" w:lineRule="auto"/>
        <w:ind w:firstLine="709"/>
        <w:contextualSpacing/>
        <w:jc w:val="both"/>
        <w:rPr>
          <w:rFonts w:ascii="Verdana" w:eastAsia="Times New Roman"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w:t>
      </w:r>
      <w:r w:rsidRPr="00F6164F">
        <w:rPr>
          <w:rFonts w:ascii="Verdana" w:eastAsia="Calibri" w:hAnsi="Verdana" w:cs="Arial"/>
          <w:color w:val="000000"/>
          <w:sz w:val="14"/>
          <w:szCs w:val="14"/>
        </w:rPr>
        <w:t>“</w:t>
      </w:r>
      <w:r w:rsidRPr="00F6164F">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713531C" w14:textId="77777777" w:rsidR="00FE0942" w:rsidRPr="00F6164F" w:rsidRDefault="00FE0942" w:rsidP="00FE0942">
      <w:pPr>
        <w:spacing w:after="0" w:line="240" w:lineRule="auto"/>
        <w:ind w:firstLine="709"/>
        <w:contextualSpacing/>
        <w:jc w:val="both"/>
        <w:rPr>
          <w:rFonts w:ascii="Verdana" w:eastAsia="Times New Roman" w:hAnsi="Verdana" w:cs="Arial"/>
          <w:sz w:val="14"/>
          <w:szCs w:val="14"/>
        </w:rPr>
      </w:pPr>
      <w:r w:rsidRPr="00F6164F">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6164F">
        <w:rPr>
          <w:rFonts w:ascii="Verdana" w:eastAsia="Calibri" w:hAnsi="Verdana" w:cs="Arial"/>
          <w:color w:val="000000"/>
          <w:sz w:val="14"/>
          <w:szCs w:val="14"/>
        </w:rPr>
        <w:t>”</w:t>
      </w:r>
      <w:r w:rsidRPr="00F6164F">
        <w:rPr>
          <w:rFonts w:ascii="Verdana" w:eastAsia="Times New Roman" w:hAnsi="Verdana" w:cs="Arial"/>
          <w:sz w:val="14"/>
          <w:szCs w:val="14"/>
        </w:rPr>
        <w:t>.</w:t>
      </w:r>
    </w:p>
  </w:footnote>
  <w:footnote w:id="11">
    <w:p w14:paraId="6B683DA6" w14:textId="77777777" w:rsidR="00FE0942" w:rsidRPr="00F6164F" w:rsidRDefault="00FE0942" w:rsidP="00FE0942">
      <w:pPr>
        <w:pStyle w:val="NormalWeb"/>
        <w:spacing w:before="0" w:beforeAutospacing="0" w:after="0" w:afterAutospacing="0"/>
        <w:ind w:firstLine="709"/>
        <w:contextualSpacing/>
        <w:jc w:val="both"/>
        <w:rPr>
          <w:rFonts w:ascii="Verdana" w:hAnsi="Verdana" w:cs="Arial"/>
          <w:sz w:val="14"/>
          <w:szCs w:val="14"/>
          <w:lang w:val="es-MX"/>
        </w:rPr>
      </w:pPr>
      <w:r w:rsidRPr="00F6164F">
        <w:rPr>
          <w:rStyle w:val="Refdenotaalpie"/>
          <w:rFonts w:ascii="Verdana" w:hAnsi="Verdana" w:cs="Arial"/>
          <w:sz w:val="14"/>
          <w:szCs w:val="14"/>
        </w:rPr>
        <w:footnoteRef/>
      </w:r>
      <w:r w:rsidRPr="00F6164F">
        <w:rPr>
          <w:rFonts w:ascii="Verdana" w:hAnsi="Verdana" w:cs="Arial"/>
          <w:sz w:val="14"/>
          <w:szCs w:val="14"/>
        </w:rPr>
        <w:t xml:space="preserve"> </w:t>
      </w:r>
      <w:r w:rsidRPr="00F6164F">
        <w:rPr>
          <w:rFonts w:ascii="Verdana" w:eastAsia="Calibri" w:hAnsi="Verdana" w:cs="Arial"/>
          <w:color w:val="000000"/>
          <w:sz w:val="14"/>
          <w:szCs w:val="14"/>
        </w:rPr>
        <w:t>“</w:t>
      </w:r>
      <w:r w:rsidRPr="00F6164F">
        <w:rPr>
          <w:rFonts w:ascii="Verdana" w:hAnsi="Verdana" w:cs="Arial"/>
          <w:sz w:val="14"/>
          <w:szCs w:val="14"/>
          <w:lang w:val="es-MX"/>
        </w:rPr>
        <w:t>Artículo 38. Prohibiciones para los servidores públicos. A los empleados del Estado les está prohibido: (…)</w:t>
      </w:r>
    </w:p>
    <w:p w14:paraId="1911F966" w14:textId="77777777" w:rsidR="00FE0942" w:rsidRPr="00F6164F" w:rsidRDefault="00FE0942" w:rsidP="00FE0942">
      <w:pPr>
        <w:pStyle w:val="NormalWeb"/>
        <w:spacing w:before="0" w:beforeAutospacing="0" w:after="0" w:afterAutospacing="0"/>
        <w:ind w:firstLine="709"/>
        <w:contextualSpacing/>
        <w:jc w:val="both"/>
        <w:rPr>
          <w:rFonts w:ascii="Verdana" w:hAnsi="Verdana" w:cs="Arial"/>
          <w:sz w:val="14"/>
          <w:szCs w:val="14"/>
          <w:lang w:val="es-MX"/>
        </w:rPr>
      </w:pPr>
      <w:r w:rsidRPr="00F6164F">
        <w:rPr>
          <w:rStyle w:val="baj"/>
          <w:rFonts w:ascii="Verdana" w:hAnsi="Verdana" w:cs="Arial"/>
          <w:sz w:val="14"/>
          <w:szCs w:val="14"/>
          <w:lang w:val="es-MX"/>
        </w:rPr>
        <w:t>Parágrafo.</w:t>
      </w:r>
      <w:r w:rsidRPr="00F6164F">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6164F">
        <w:rPr>
          <w:rFonts w:ascii="Verdana" w:eastAsia="Calibri" w:hAnsi="Verdana" w:cs="Arial"/>
          <w:color w:val="000000"/>
          <w:sz w:val="14"/>
          <w:szCs w:val="14"/>
        </w:rPr>
        <w:t>”</w:t>
      </w:r>
      <w:r w:rsidRPr="00F6164F">
        <w:rPr>
          <w:rFonts w:ascii="Verdana" w:hAnsi="Verdana" w:cs="Arial"/>
          <w:sz w:val="14"/>
          <w:szCs w:val="14"/>
          <w:lang w:val="es-MX"/>
        </w:rPr>
        <w:t>.</w:t>
      </w:r>
    </w:p>
    <w:p w14:paraId="61998DB4" w14:textId="77777777" w:rsidR="00FE0942" w:rsidRPr="00F6164F" w:rsidRDefault="00FE0942" w:rsidP="00FE0942">
      <w:pPr>
        <w:pStyle w:val="NormalWeb"/>
        <w:spacing w:before="0" w:beforeAutospacing="0" w:after="0" w:afterAutospacing="0"/>
        <w:ind w:firstLine="709"/>
        <w:contextualSpacing/>
        <w:jc w:val="both"/>
        <w:rPr>
          <w:rFonts w:ascii="Verdana" w:hAnsi="Verdana" w:cs="Arial"/>
          <w:sz w:val="14"/>
          <w:szCs w:val="14"/>
          <w:lang w:val="es-MX"/>
        </w:rPr>
      </w:pPr>
    </w:p>
  </w:footnote>
  <w:footnote w:id="12">
    <w:p w14:paraId="5ADE0F73" w14:textId="77777777" w:rsidR="00FE0942" w:rsidRPr="00F6164F" w:rsidRDefault="00FE0942" w:rsidP="00FE0942">
      <w:pPr>
        <w:spacing w:after="0" w:line="240" w:lineRule="auto"/>
        <w:ind w:left="100" w:right="244" w:firstLine="709"/>
        <w:contextualSpacing/>
        <w:jc w:val="both"/>
        <w:rPr>
          <w:rFonts w:ascii="Verdana" w:hAnsi="Verdana" w:cs="Arial"/>
          <w:sz w:val="14"/>
          <w:szCs w:val="14"/>
          <w:lang w:val="es-ES"/>
        </w:rPr>
      </w:pPr>
      <w:r w:rsidRPr="00F6164F">
        <w:rPr>
          <w:rStyle w:val="Refdenotaalpie"/>
          <w:rFonts w:ascii="Verdana" w:hAnsi="Verdana" w:cs="Arial"/>
          <w:sz w:val="14"/>
          <w:szCs w:val="14"/>
        </w:rPr>
        <w:footnoteRef/>
      </w:r>
      <w:r w:rsidRPr="00F6164F">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3">
    <w:p w14:paraId="14039F8C" w14:textId="77777777" w:rsidR="00FE0942" w:rsidRPr="00F6164F" w:rsidRDefault="00FE0942" w:rsidP="00FE0942">
      <w:pPr>
        <w:pStyle w:val="Textonotapie"/>
        <w:ind w:right="51" w:firstLine="709"/>
        <w:contextualSpacing/>
        <w:jc w:val="both"/>
        <w:rPr>
          <w:rFonts w:ascii="Verdana"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w:t>
      </w:r>
      <w:r w:rsidRPr="00F6164F">
        <w:rPr>
          <w:rFonts w:ascii="Verdana" w:hAnsi="Verdana" w:cs="Arial"/>
          <w:sz w:val="14"/>
          <w:szCs w:val="14"/>
          <w:lang w:val="es-ES"/>
        </w:rPr>
        <w:t xml:space="preserve">(25) </w:t>
      </w:r>
      <w:r w:rsidRPr="00F6164F">
        <w:rPr>
          <w:rFonts w:ascii="Verdana" w:hAnsi="Verdana" w:cs="Arial"/>
          <w:sz w:val="14"/>
          <w:szCs w:val="14"/>
        </w:rPr>
        <w:t>Cfr. Consejo de Estado. Sección Tercera. Sentencia de 3 de diciembre de 2007. Radicados: 24.715, 25.206, 25.409, 24.524, 27.834, 25.410, 26.105, 28.244, 31.447 -acumulados-”.</w:t>
      </w:r>
    </w:p>
  </w:footnote>
  <w:footnote w:id="14">
    <w:p w14:paraId="6A0C7F7F" w14:textId="77777777" w:rsidR="00FE0942" w:rsidRPr="00F6164F" w:rsidRDefault="00FE0942" w:rsidP="00FE0942">
      <w:pPr>
        <w:pStyle w:val="Textonotapie"/>
        <w:ind w:right="51" w:firstLine="709"/>
        <w:contextualSpacing/>
        <w:jc w:val="both"/>
        <w:rPr>
          <w:rFonts w:ascii="Verdana"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w:t>
      </w:r>
      <w:bookmarkStart w:id="6" w:name="_Hlk74294506"/>
      <w:r w:rsidRPr="00F6164F">
        <w:rPr>
          <w:rFonts w:ascii="Verdana" w:hAnsi="Verdana" w:cs="Arial"/>
          <w:sz w:val="14"/>
          <w:szCs w:val="14"/>
        </w:rPr>
        <w:t>“</w:t>
      </w:r>
      <w:r w:rsidRPr="00F6164F">
        <w:rPr>
          <w:rFonts w:ascii="Verdana" w:hAnsi="Verdana" w:cs="Arial"/>
          <w:sz w:val="14"/>
          <w:szCs w:val="14"/>
          <w:lang w:val="es-ES"/>
        </w:rPr>
        <w:t xml:space="preserve">(26) </w:t>
      </w:r>
      <w:bookmarkEnd w:id="6"/>
      <w:r w:rsidRPr="00F6164F">
        <w:rPr>
          <w:rFonts w:ascii="Verdana" w:hAnsi="Verdana" w:cs="Arial"/>
          <w:sz w:val="14"/>
          <w:szCs w:val="14"/>
        </w:rPr>
        <w:t>Al respecto ver el concepto 1712 de 2 de febrero de 2006. Consejo de Estado Sala de Consulta y Servicio Civil”.</w:t>
      </w:r>
    </w:p>
    <w:p w14:paraId="7C840978" w14:textId="77777777" w:rsidR="00FE0942" w:rsidRPr="00F6164F" w:rsidRDefault="00FE0942" w:rsidP="00FE0942">
      <w:pPr>
        <w:pStyle w:val="Textonotapie"/>
        <w:ind w:right="51" w:firstLine="709"/>
        <w:contextualSpacing/>
        <w:jc w:val="both"/>
        <w:rPr>
          <w:rFonts w:ascii="Verdana" w:hAnsi="Verdana" w:cs="Arial"/>
          <w:sz w:val="14"/>
          <w:szCs w:val="14"/>
        </w:rPr>
      </w:pPr>
    </w:p>
  </w:footnote>
  <w:footnote w:id="15">
    <w:p w14:paraId="706C34BB" w14:textId="77777777" w:rsidR="00FE0942" w:rsidRPr="00F6164F" w:rsidRDefault="00FE0942" w:rsidP="00FE0942">
      <w:pPr>
        <w:pStyle w:val="Textonotapie"/>
        <w:ind w:firstLine="709"/>
        <w:contextualSpacing/>
        <w:jc w:val="both"/>
        <w:rPr>
          <w:rFonts w:ascii="Verdana"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6">
    <w:p w14:paraId="022FD8C2" w14:textId="77777777" w:rsidR="00FE0942" w:rsidRPr="00F6164F" w:rsidRDefault="00FE0942" w:rsidP="00FE0942">
      <w:pPr>
        <w:pStyle w:val="Textonotapie"/>
        <w:ind w:firstLine="709"/>
        <w:contextualSpacing/>
        <w:jc w:val="both"/>
        <w:rPr>
          <w:rFonts w:ascii="Verdana" w:hAnsi="Verdana" w:cs="Arial"/>
          <w:sz w:val="14"/>
          <w:szCs w:val="14"/>
          <w:lang w:val="es-ES"/>
        </w:rPr>
      </w:pPr>
      <w:r w:rsidRPr="00F6164F">
        <w:rPr>
          <w:rStyle w:val="Refdenotaalpie"/>
          <w:rFonts w:ascii="Verdana" w:hAnsi="Verdana" w:cs="Arial"/>
          <w:sz w:val="14"/>
          <w:szCs w:val="14"/>
        </w:rPr>
        <w:footnoteRef/>
      </w:r>
      <w:r w:rsidRPr="00F6164F">
        <w:rPr>
          <w:rFonts w:ascii="Verdana" w:hAnsi="Verdana" w:cs="Arial"/>
          <w:sz w:val="14"/>
          <w:szCs w:val="14"/>
        </w:rPr>
        <w:t xml:space="preserve"> </w:t>
      </w:r>
      <w:r w:rsidRPr="00F6164F">
        <w:rPr>
          <w:rFonts w:ascii="Verdana" w:hAnsi="Verdana" w:cs="Arial"/>
          <w:sz w:val="14"/>
          <w:szCs w:val="14"/>
          <w:lang w:val="es-ES"/>
        </w:rPr>
        <w:t xml:space="preserve">Artículo 2. </w:t>
      </w:r>
    </w:p>
  </w:footnote>
  <w:footnote w:id="17">
    <w:p w14:paraId="009B3078" w14:textId="77777777" w:rsidR="00FE0942" w:rsidRPr="00F6164F" w:rsidRDefault="00FE0942" w:rsidP="00FE0942">
      <w:pPr>
        <w:pStyle w:val="Textonotapie"/>
        <w:ind w:firstLine="709"/>
        <w:contextualSpacing/>
        <w:jc w:val="both"/>
        <w:rPr>
          <w:rFonts w:ascii="Verdana" w:hAnsi="Verdana" w:cs="Arial"/>
          <w:sz w:val="14"/>
          <w:szCs w:val="14"/>
          <w:lang w:val="es-ES"/>
        </w:rPr>
      </w:pPr>
      <w:r w:rsidRPr="00F6164F">
        <w:rPr>
          <w:rStyle w:val="Refdenotaalpie"/>
          <w:rFonts w:ascii="Verdana" w:hAnsi="Verdana" w:cs="Arial"/>
          <w:sz w:val="14"/>
          <w:szCs w:val="14"/>
        </w:rPr>
        <w:footnoteRef/>
      </w:r>
      <w:r w:rsidRPr="00F6164F">
        <w:rPr>
          <w:rFonts w:ascii="Verdana" w:hAnsi="Verdana" w:cs="Arial"/>
          <w:sz w:val="14"/>
          <w:szCs w:val="14"/>
        </w:rPr>
        <w:t xml:space="preserve"> </w:t>
      </w:r>
      <w:r w:rsidRPr="00F6164F">
        <w:rPr>
          <w:rFonts w:ascii="Verdana" w:hAnsi="Verdana" w:cs="Arial"/>
          <w:i/>
          <w:sz w:val="14"/>
          <w:szCs w:val="14"/>
          <w:lang w:val="es-ES"/>
        </w:rPr>
        <w:t>Ídem</w:t>
      </w:r>
      <w:r w:rsidRPr="00F6164F">
        <w:rPr>
          <w:rFonts w:ascii="Verdana" w:hAnsi="Verdana" w:cs="Arial"/>
          <w:sz w:val="14"/>
          <w:szCs w:val="14"/>
          <w:lang w:val="es-ES"/>
        </w:rPr>
        <w:t>.</w:t>
      </w:r>
    </w:p>
  </w:footnote>
  <w:footnote w:id="18">
    <w:p w14:paraId="5C9F2298" w14:textId="77777777" w:rsidR="00FE0942" w:rsidRPr="00F6164F" w:rsidRDefault="00FE0942" w:rsidP="00FE0942">
      <w:pPr>
        <w:pStyle w:val="Textonotapie"/>
        <w:ind w:firstLine="709"/>
        <w:contextualSpacing/>
        <w:jc w:val="both"/>
        <w:rPr>
          <w:rFonts w:ascii="Verdana" w:hAnsi="Verdana" w:cs="Arial"/>
          <w:sz w:val="14"/>
          <w:szCs w:val="14"/>
          <w:lang w:val="es-ES"/>
        </w:rPr>
      </w:pPr>
      <w:r w:rsidRPr="00F6164F">
        <w:rPr>
          <w:rStyle w:val="Refdenotaalpie"/>
          <w:rFonts w:ascii="Verdana" w:hAnsi="Verdana" w:cs="Arial"/>
          <w:sz w:val="14"/>
          <w:szCs w:val="14"/>
        </w:rPr>
        <w:footnoteRef/>
      </w:r>
      <w:r w:rsidRPr="00F6164F">
        <w:rPr>
          <w:rStyle w:val="Refdenotaalpie"/>
          <w:rFonts w:ascii="Verdana" w:hAnsi="Verdana" w:cs="Arial"/>
          <w:sz w:val="14"/>
          <w:szCs w:val="14"/>
        </w:rPr>
        <w:t xml:space="preserve"> </w:t>
      </w:r>
      <w:r w:rsidRPr="00F6164F">
        <w:rPr>
          <w:rFonts w:ascii="Verdana" w:hAnsi="Verdana" w:cs="Arial"/>
          <w:sz w:val="14"/>
          <w:szCs w:val="14"/>
          <w:lang w:val="es-ES"/>
        </w:rPr>
        <w:t xml:space="preserve">“(…) A este respecto, cabe recordar que el artículo 860 del Código de Comercio regula la licitación en el derecho privado”. </w:t>
      </w:r>
    </w:p>
    <w:p w14:paraId="5FFEF821" w14:textId="77777777" w:rsidR="00FE0942" w:rsidRPr="00F6164F" w:rsidRDefault="00FE0942" w:rsidP="00FE0942">
      <w:pPr>
        <w:pStyle w:val="Textonotapie"/>
        <w:ind w:firstLine="709"/>
        <w:contextualSpacing/>
        <w:jc w:val="both"/>
        <w:rPr>
          <w:rFonts w:ascii="Verdana" w:hAnsi="Verdana" w:cs="Arial"/>
          <w:sz w:val="14"/>
          <w:szCs w:val="14"/>
          <w:lang w:val="es-ES"/>
        </w:rPr>
      </w:pPr>
    </w:p>
  </w:footnote>
  <w:footnote w:id="19">
    <w:p w14:paraId="5381EBB2" w14:textId="77777777" w:rsidR="00FE0942" w:rsidRPr="00F6164F" w:rsidRDefault="00FE0942" w:rsidP="00FE0942">
      <w:pPr>
        <w:shd w:val="clear" w:color="auto" w:fill="FFFFFF"/>
        <w:spacing w:after="0" w:line="240" w:lineRule="auto"/>
        <w:ind w:firstLine="709"/>
        <w:contextualSpacing/>
        <w:jc w:val="both"/>
        <w:rPr>
          <w:rFonts w:ascii="Verdana" w:hAnsi="Verdana" w:cs="Arial"/>
          <w:sz w:val="14"/>
          <w:szCs w:val="14"/>
          <w:lang w:val="es-ES"/>
        </w:rPr>
      </w:pPr>
      <w:r w:rsidRPr="00F6164F">
        <w:rPr>
          <w:rStyle w:val="Refdenotaalpie"/>
          <w:rFonts w:ascii="Verdana" w:hAnsi="Verdana" w:cs="Arial"/>
          <w:sz w:val="14"/>
          <w:szCs w:val="14"/>
        </w:rPr>
        <w:footnoteRef/>
      </w:r>
      <w:r w:rsidRPr="00F6164F">
        <w:rPr>
          <w:rStyle w:val="Refdenotaalpie"/>
          <w:rFonts w:ascii="Verdana" w:hAnsi="Verdana" w:cs="Arial"/>
          <w:sz w:val="14"/>
          <w:szCs w:val="14"/>
        </w:rPr>
        <w:t xml:space="preserve"> </w:t>
      </w:r>
      <w:r w:rsidRPr="00F6164F">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20">
    <w:p w14:paraId="3A3BE01C" w14:textId="77777777" w:rsidR="00FE0942" w:rsidRPr="00F6164F" w:rsidRDefault="00FE0942" w:rsidP="00FE0942">
      <w:pPr>
        <w:pStyle w:val="Textonotapie"/>
        <w:ind w:firstLine="709"/>
        <w:contextualSpacing/>
        <w:jc w:val="both"/>
        <w:rPr>
          <w:rFonts w:ascii="Verdana" w:hAnsi="Verdana" w:cs="Arial"/>
          <w:sz w:val="14"/>
          <w:szCs w:val="14"/>
        </w:rPr>
      </w:pPr>
      <w:r w:rsidRPr="00F6164F">
        <w:rPr>
          <w:rStyle w:val="Refdenotaalpie"/>
          <w:rFonts w:ascii="Verdana" w:hAnsi="Verdana" w:cs="Arial"/>
          <w:sz w:val="14"/>
          <w:szCs w:val="14"/>
        </w:rPr>
        <w:footnoteRef/>
      </w:r>
      <w:r w:rsidRPr="00F6164F">
        <w:rPr>
          <w:rFonts w:ascii="Verdana" w:hAnsi="Verdana" w:cs="Arial"/>
          <w:sz w:val="14"/>
          <w:szCs w:val="14"/>
        </w:rPr>
        <w:t xml:space="preserve"> Consejo de Estado. Sala de Consulta y Servicio Civil. Concepto del 08 de mayo de 2018. Exp. 2.382. C.P. Álvaro Namén Vargas.</w:t>
      </w:r>
    </w:p>
    <w:p w14:paraId="261160D9" w14:textId="77777777" w:rsidR="00FE0942" w:rsidRPr="00F6164F" w:rsidRDefault="00FE0942" w:rsidP="00FE0942">
      <w:pPr>
        <w:pStyle w:val="Textonotapie"/>
        <w:ind w:firstLine="709"/>
        <w:contextualSpacing/>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7DF"/>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03C21"/>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91DEE"/>
    <w:rsid w:val="00706C16"/>
    <w:rsid w:val="007340C3"/>
    <w:rsid w:val="0075235A"/>
    <w:rsid w:val="00756841"/>
    <w:rsid w:val="007649AB"/>
    <w:rsid w:val="00771D0C"/>
    <w:rsid w:val="007833AC"/>
    <w:rsid w:val="00790121"/>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3A5"/>
    <w:rsid w:val="00E16408"/>
    <w:rsid w:val="00E16FF3"/>
    <w:rsid w:val="00E177F7"/>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164F"/>
    <w:rsid w:val="00F666C4"/>
    <w:rsid w:val="00F76AFC"/>
    <w:rsid w:val="00FA47C0"/>
    <w:rsid w:val="00FB5DD1"/>
    <w:rsid w:val="00FC2B5D"/>
    <w:rsid w:val="00FE0942"/>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E0942"/>
    <w:pPr>
      <w:spacing w:line="240" w:lineRule="exact"/>
    </w:pPr>
    <w:rPr>
      <w:vertAlign w:val="superscript"/>
    </w:rPr>
  </w:style>
  <w:style w:type="character" w:customStyle="1" w:styleId="NormalWebCar">
    <w:name w:val="Normal (Web) Car"/>
    <w:link w:val="NormalWeb"/>
    <w:uiPriority w:val="99"/>
    <w:locked/>
    <w:rsid w:val="00FE0942"/>
    <w:rPr>
      <w:rFonts w:ascii="Times New Roman" w:eastAsia="Times New Roman" w:hAnsi="Times New Roman" w:cs="Times New Roman"/>
      <w:sz w:val="24"/>
      <w:szCs w:val="24"/>
      <w:lang w:eastAsia="es-CO"/>
    </w:rPr>
  </w:style>
  <w:style w:type="character" w:customStyle="1" w:styleId="baj">
    <w:name w:val="b_aj"/>
    <w:basedOn w:val="Fuentedeprrafopredeter"/>
    <w:rsid w:val="00FE09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an.acero@unimilitar.edu.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9E43A7B-E593-467B-B2C4-BBFA962661F1}"/>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17</Pages>
  <Words>5604</Words>
  <Characters>30822</Characters>
  <Application>Microsoft Office Word</Application>
  <DocSecurity>0</DocSecurity>
  <Lines>256</Lines>
  <Paragraphs>72</Paragraphs>
  <ScaleCrop>false</ScaleCrop>
  <Company/>
  <LinksUpToDate>false</LinksUpToDate>
  <CharactersWithSpaces>36354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3</cp:revision>
  <cp:lastPrinted>2023-01-10T21:18:00Z</cp:lastPrinted>
  <dcterms:created xsi:type="dcterms:W3CDTF">2026-05-20T21:39:00Z</dcterms:created>
  <dcterms:modified xsi:type="dcterms:W3CDTF">2026-05-21T16:41:00Z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