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DC11CC" w14:textId="77777777" w:rsidR="00303D51" w:rsidRPr="00DC0D69" w:rsidRDefault="00303D51" w:rsidP="00303D51">
      <w:pPr>
        <w:spacing w:after="0" w:line="240" w:lineRule="auto"/>
        <w:jc w:val="both"/>
        <w:rPr>
          <w:rFonts w:ascii="Verdana" w:eastAsia="Calibri" w:hAnsi="Verdana" w:cs="Arial"/>
          <w:b/>
          <w:lang w:val="es-ES_tradnl"/>
        </w:rPr>
      </w:pPr>
      <w:bookmarkStart w:id="0" w:name="_Hlk143780582"/>
      <w:r w:rsidRPr="00DC0D69">
        <w:rPr>
          <w:rFonts w:ascii="Verdana" w:eastAsia="Calibri" w:hAnsi="Verdana" w:cs="Arial"/>
          <w:b/>
          <w:lang w:val="es-ES_tradnl"/>
        </w:rPr>
        <w:t xml:space="preserve">LEY DE EMPRENDIMIENTO – Ley 2069 de 2020 – Vigencia </w:t>
      </w:r>
    </w:p>
    <w:p w14:paraId="59A37967" w14:textId="77777777" w:rsidR="00303D51" w:rsidRPr="00DC0D69" w:rsidRDefault="00303D51" w:rsidP="00303D51">
      <w:pPr>
        <w:spacing w:after="0" w:line="240" w:lineRule="auto"/>
        <w:jc w:val="both"/>
        <w:rPr>
          <w:rFonts w:ascii="Verdana" w:eastAsia="Calibri" w:hAnsi="Verdana" w:cs="Arial"/>
          <w:b/>
          <w:lang w:val="es-ES_tradnl"/>
        </w:rPr>
      </w:pPr>
    </w:p>
    <w:p w14:paraId="6F754A65" w14:textId="77777777" w:rsidR="00303D51" w:rsidRPr="00DC0D69" w:rsidRDefault="00303D51" w:rsidP="00303D51">
      <w:pPr>
        <w:spacing w:after="0" w:line="240" w:lineRule="auto"/>
        <w:jc w:val="both"/>
        <w:rPr>
          <w:rFonts w:ascii="Verdana" w:eastAsia="Calibri" w:hAnsi="Verdana" w:cs="Arial"/>
          <w:sz w:val="20"/>
          <w:szCs w:val="20"/>
          <w:lang w:val="es-ES_tradnl"/>
        </w:rPr>
      </w:pPr>
      <w:r w:rsidRPr="00DC0D69">
        <w:rPr>
          <w:rFonts w:ascii="Verdana" w:eastAsia="Calibri" w:hAnsi="Verdana" w:cs="Arial"/>
          <w:sz w:val="20"/>
          <w:szCs w:val="20"/>
          <w:lang w:val="es-ES_tradnl"/>
        </w:rPr>
        <w:t>El 31 de diciembre de 2020 se expidió la Ley 2069, “Por medio de la cual se impulsa el emprendimiento en Colombia”. De acuerdo con el artículo 84, “La presente Ley rige a partir del momento de su promulgación […]”, lo que significa que es obligatoria para sus destinatarios desde esa fecha. Lo anterior, sin perjuicio de la posibilidad de que el gobierno nacional ejerza la potestad reglamentaria del artículo 189.11 de la Constitución Política para la cumplida ejecución de esta ley.</w:t>
      </w:r>
    </w:p>
    <w:p w14:paraId="01B3E6B4" w14:textId="77777777" w:rsidR="00303D51" w:rsidRPr="00DC0D69" w:rsidRDefault="00303D51" w:rsidP="00303D51">
      <w:pPr>
        <w:spacing w:after="0" w:line="240" w:lineRule="auto"/>
        <w:jc w:val="both"/>
        <w:rPr>
          <w:rFonts w:ascii="Verdana" w:eastAsia="Calibri" w:hAnsi="Verdana" w:cs="Arial"/>
          <w:sz w:val="20"/>
          <w:szCs w:val="20"/>
          <w:lang w:val="es-ES_tradnl"/>
        </w:rPr>
      </w:pPr>
    </w:p>
    <w:p w14:paraId="6DA62AFB" w14:textId="77777777" w:rsidR="00303D51" w:rsidRPr="00DC0D69" w:rsidRDefault="00303D51" w:rsidP="00303D51">
      <w:pPr>
        <w:spacing w:after="0" w:line="240" w:lineRule="auto"/>
        <w:jc w:val="both"/>
        <w:rPr>
          <w:rFonts w:ascii="Verdana" w:eastAsia="Calibri" w:hAnsi="Verdana" w:cs="Arial"/>
          <w:sz w:val="20"/>
          <w:szCs w:val="20"/>
          <w:lang w:val="es-ES"/>
        </w:rPr>
      </w:pPr>
      <w:r w:rsidRPr="00DC0D69">
        <w:rPr>
          <w:rFonts w:ascii="Verdana" w:eastAsia="Calibri" w:hAnsi="Verdana" w:cs="Arial"/>
          <w:sz w:val="20"/>
          <w:szCs w:val="20"/>
          <w:lang w:val="es-ES"/>
        </w:rPr>
        <w:t>En cuanto a su contenido, es importante señalar que, como dispone el artículo 1, aquella “tiene por objeto establecer un marco regulatorio que propicie el emprendimiento y el crecimiento, consolidación y sostenibilidad de las empresas, con el fin de aumentar el bienestar social y generar equidad”. Esto, a partir de “[…] un enfoque regionalizado de acuerdo a las realidades socioeconómicas de cada región”. En desarrollo de esta finalidad, se establecen medidas de apoyo para las micro, pequeñas y medianas empresas –mipymes–, mediante la racionalización y simplificación de los trámites y tarifas, así como incentivos a favor de aquellas dentro del sistema de compras y contratación pública. También se consagran mecanismos de acceso al financiamiento, se unifican las fuentes de emprendimiento y de desarrollo empresarial, para fortalecer y promover los distintos sectores de la economía y se prevén medidas de educación para el emprendimiento y la innovación.</w:t>
      </w:r>
    </w:p>
    <w:p w14:paraId="1ACBC3BE" w14:textId="77777777" w:rsidR="00303D51" w:rsidRPr="00DC0D69" w:rsidRDefault="00303D51" w:rsidP="00303D51">
      <w:pPr>
        <w:spacing w:after="0" w:line="240" w:lineRule="auto"/>
        <w:jc w:val="both"/>
        <w:rPr>
          <w:rFonts w:ascii="Verdana" w:eastAsia="Calibri" w:hAnsi="Verdana" w:cs="Arial"/>
          <w:sz w:val="20"/>
          <w:szCs w:val="20"/>
          <w:lang w:val="es-ES_tradnl"/>
        </w:rPr>
      </w:pPr>
    </w:p>
    <w:p w14:paraId="16211170" w14:textId="77777777" w:rsidR="00303D51" w:rsidRPr="00DC0D69" w:rsidRDefault="00303D51" w:rsidP="00303D51">
      <w:pPr>
        <w:spacing w:after="0" w:line="240" w:lineRule="auto"/>
        <w:jc w:val="both"/>
        <w:rPr>
          <w:rFonts w:ascii="Verdana" w:eastAsia="Calibri" w:hAnsi="Verdana" w:cs="Arial"/>
          <w:b/>
        </w:rPr>
      </w:pPr>
      <w:r w:rsidRPr="00DC0D69">
        <w:rPr>
          <w:rFonts w:ascii="Verdana" w:eastAsia="Calibri" w:hAnsi="Verdana" w:cs="Arial"/>
          <w:b/>
        </w:rPr>
        <w:t xml:space="preserve">ARTÍCULO 2.2.1.2.4.2.16 DEL DECRETO 1860 DE 2021 – Propósito – sujetos de especial protección constitucional </w:t>
      </w:r>
    </w:p>
    <w:p w14:paraId="0DA6BF1F" w14:textId="77777777" w:rsidR="00303D51" w:rsidRPr="00DC0D69" w:rsidRDefault="00303D51" w:rsidP="00303D51">
      <w:pPr>
        <w:spacing w:after="0" w:line="240" w:lineRule="auto"/>
        <w:jc w:val="both"/>
        <w:rPr>
          <w:rFonts w:ascii="Verdana" w:eastAsia="Calibri" w:hAnsi="Verdana" w:cs="Arial"/>
          <w:sz w:val="20"/>
          <w:szCs w:val="20"/>
        </w:rPr>
      </w:pPr>
    </w:p>
    <w:p w14:paraId="50FEBC09" w14:textId="77777777" w:rsidR="00303D51" w:rsidRPr="00DC0D69" w:rsidRDefault="00303D51" w:rsidP="00303D51">
      <w:pPr>
        <w:tabs>
          <w:tab w:val="left" w:pos="6551"/>
        </w:tabs>
        <w:spacing w:after="0" w:line="240" w:lineRule="auto"/>
        <w:jc w:val="both"/>
        <w:rPr>
          <w:rFonts w:ascii="Verdana" w:eastAsia="Calibri" w:hAnsi="Verdana" w:cs="Arial"/>
          <w:bCs/>
          <w:sz w:val="20"/>
          <w:szCs w:val="20"/>
        </w:rPr>
      </w:pPr>
      <w:r w:rsidRPr="00DC0D69">
        <w:rPr>
          <w:rFonts w:ascii="Verdana" w:eastAsia="Calibri" w:hAnsi="Verdana" w:cs="Arial"/>
          <w:bCs/>
          <w:sz w:val="20"/>
          <w:szCs w:val="20"/>
        </w:rPr>
        <w:t>Ahora bien, es necesario tener en cuenta que el Gobierno Nacional expidió el Decreto 1860 de 24 de diciembre de 2021, el cual adicionó el artículo 2.2.1.2.4.2.16 a la Subsección 2 de la Sección 4 del Capítulo 2 del Título 1 de la Parte 2 del Libro 2 del Decreto 1082 de 2015, Único Reglamentario del Sector Administrativo de Planeación Nacional. Esto para desarrollar el inciso cuarto del artículo 34 de la Ley 2069 de 2020, el cual dispone que “[…] en los pliegos de condiciones dispondrán, de mecanismos que fomenten en la ejecución de los contratos estatales la provisión de bienes y servicios por población en pobreza extrema, desplazados por la violencia, personas en proceso de reintegración o reincorporación y, sujetos de especial protección constitucional en las condiciones que señale el reglamento; siempre que se garanticen las condiciones de calidad y cumplimiento del objeto contractual”</w:t>
      </w:r>
    </w:p>
    <w:p w14:paraId="578092D0" w14:textId="77777777" w:rsidR="00303D51" w:rsidRPr="00DC0D69" w:rsidRDefault="00303D51" w:rsidP="00303D51">
      <w:pPr>
        <w:tabs>
          <w:tab w:val="left" w:pos="6551"/>
        </w:tabs>
        <w:spacing w:after="0" w:line="240" w:lineRule="auto"/>
        <w:jc w:val="both"/>
        <w:rPr>
          <w:rFonts w:ascii="Verdana" w:eastAsia="Calibri" w:hAnsi="Verdana" w:cs="Arial"/>
          <w:b/>
          <w:color w:val="000000" w:themeColor="text1"/>
          <w:lang w:val="es-ES_tradnl"/>
        </w:rPr>
      </w:pPr>
    </w:p>
    <w:p w14:paraId="7A8D24D4" w14:textId="77777777" w:rsidR="00303D51" w:rsidRPr="00DC0D69" w:rsidRDefault="00303D51" w:rsidP="00303D51">
      <w:pPr>
        <w:tabs>
          <w:tab w:val="left" w:pos="6551"/>
        </w:tabs>
        <w:spacing w:after="0" w:line="240" w:lineRule="auto"/>
        <w:jc w:val="both"/>
        <w:rPr>
          <w:rFonts w:ascii="Verdana" w:eastAsia="Calibri" w:hAnsi="Verdana" w:cs="Arial"/>
          <w:b/>
          <w:color w:val="000000" w:themeColor="text1"/>
          <w:lang w:val="es-ES_tradnl"/>
        </w:rPr>
      </w:pPr>
      <w:r w:rsidRPr="00DC0D69">
        <w:rPr>
          <w:rFonts w:ascii="Verdana" w:eastAsia="Calibri" w:hAnsi="Verdana" w:cs="Arial"/>
          <w:b/>
          <w:color w:val="000000" w:themeColor="text1"/>
          <w:lang w:val="es-ES_tradnl"/>
        </w:rPr>
        <w:t xml:space="preserve">INCENTIVO DE FOMENTO – Ejecución de contratos estatales por sujetos de especial protección constitucional – Aplicación discrecional </w:t>
      </w:r>
    </w:p>
    <w:p w14:paraId="13CACF1B" w14:textId="77777777" w:rsidR="00303D51" w:rsidRPr="00DC0D69" w:rsidRDefault="00303D51" w:rsidP="00303D51">
      <w:pPr>
        <w:tabs>
          <w:tab w:val="left" w:pos="6551"/>
        </w:tabs>
        <w:spacing w:after="0" w:line="240" w:lineRule="auto"/>
        <w:jc w:val="both"/>
        <w:rPr>
          <w:rFonts w:ascii="Verdana" w:eastAsia="Calibri" w:hAnsi="Verdana" w:cs="Arial"/>
          <w:b/>
          <w:color w:val="000000" w:themeColor="text1"/>
          <w:lang w:val="es-ES_tradnl"/>
        </w:rPr>
      </w:pPr>
    </w:p>
    <w:p w14:paraId="6677FC79" w14:textId="77777777" w:rsidR="00303D51" w:rsidRPr="00DC0D69" w:rsidRDefault="00303D51" w:rsidP="00303D51">
      <w:pPr>
        <w:spacing w:after="0" w:line="240" w:lineRule="auto"/>
        <w:jc w:val="both"/>
        <w:rPr>
          <w:rFonts w:ascii="Verdana" w:eastAsia="Calibri" w:hAnsi="Verdana" w:cs="Arial"/>
          <w:bCs/>
          <w:sz w:val="20"/>
          <w:szCs w:val="20"/>
        </w:rPr>
      </w:pPr>
      <w:r w:rsidRPr="00DC0D69">
        <w:rPr>
          <w:rFonts w:ascii="Verdana" w:eastAsia="Calibri" w:hAnsi="Verdana" w:cs="Arial"/>
          <w:bCs/>
          <w:sz w:val="20"/>
          <w:szCs w:val="20"/>
        </w:rPr>
        <w:t xml:space="preserve">La aplicación del artículo 2.2.1.2.4.2.16 del Decreto 1082 de 2015, que se traduce en la inclusión de obligaciones a cargo del contratista cuyo incumplimiento podría acarrearle sanciones pecuniarias, no es automática en todos los procesos de selección iniciados a partir de la vigencia del Decreto 1860 de 2021. Esto ya que el incentivo, además de garantizar las condiciones de calidad y el cumplimiento adecuado del objeto contractual </w:t>
      </w:r>
      <w:r w:rsidRPr="00DC0D69">
        <w:rPr>
          <w:rFonts w:ascii="Verdana" w:eastAsia="Calibri" w:hAnsi="Verdana" w:cs="Arial"/>
          <w:bCs/>
          <w:sz w:val="20"/>
          <w:szCs w:val="20"/>
        </w:rPr>
        <w:lastRenderedPageBreak/>
        <w:t>sin perjuicio de los acuerdos comerciales suscritos por el Estado colombiano, también está supeditado al análisis previo de oportunidad y conveniencia en los Documentos del Proceso. Así las cosas, conforme a lo explicado en la memoria de la reglamentación, es necesario considerar que la regla de fomento:</w:t>
      </w:r>
    </w:p>
    <w:p w14:paraId="241D9A9B" w14:textId="77777777" w:rsidR="00303D51" w:rsidRPr="00DC0D69" w:rsidRDefault="00303D51" w:rsidP="00303D51">
      <w:pPr>
        <w:spacing w:after="0" w:line="240" w:lineRule="auto"/>
        <w:jc w:val="both"/>
        <w:rPr>
          <w:rFonts w:ascii="Verdana" w:eastAsia="Calibri" w:hAnsi="Verdana" w:cs="Arial"/>
          <w:bCs/>
          <w:sz w:val="20"/>
          <w:szCs w:val="20"/>
        </w:rPr>
      </w:pPr>
    </w:p>
    <w:p w14:paraId="1EC0EE53" w14:textId="77777777" w:rsidR="00303D51" w:rsidRPr="00DC0D69" w:rsidRDefault="00303D51" w:rsidP="00303D51">
      <w:pPr>
        <w:spacing w:after="0" w:line="240" w:lineRule="auto"/>
        <w:jc w:val="both"/>
        <w:rPr>
          <w:rFonts w:ascii="Verdana" w:eastAsia="Calibri" w:hAnsi="Verdana" w:cs="Arial"/>
          <w:bCs/>
          <w:sz w:val="20"/>
          <w:szCs w:val="20"/>
        </w:rPr>
      </w:pPr>
      <w:r w:rsidRPr="00DC0D69">
        <w:rPr>
          <w:rFonts w:ascii="Verdana" w:eastAsia="Calibri" w:hAnsi="Verdana" w:cs="Arial"/>
          <w:bCs/>
          <w:sz w:val="20"/>
          <w:szCs w:val="20"/>
        </w:rPr>
        <w:t xml:space="preserve">“[…] además de estar condicionada por un desarrollo normativo posterior, está limitada en el sentido que los mecanismos que se implementen para incentivar la provisión de bienes y servicios por población en pobreza extrema, desplazados por la violencia, personas en procesos de reintegración y reincorporación, o sujetos de especial protección constitucional, no afecten las condiciones de calidad y cumplimiento del objeto contractual. En ese sentido, cuando la norma se refiere al desarrollo reglamentario posterior, lo que hace es confiar al decreto la definición de reglas que permitan que los mecanismos que introduzcan las entidades en sus pliegos de condiciones y documentos equivalentes no atenten contra el debido cumplimiento del objeto contractual. </w:t>
      </w:r>
      <w:r w:rsidRPr="00DC0D69">
        <w:rPr>
          <w:rFonts w:ascii="Verdana" w:eastAsia="Calibri" w:hAnsi="Verdana" w:cs="Arial"/>
          <w:bCs/>
          <w:i/>
          <w:iCs/>
          <w:sz w:val="20"/>
          <w:szCs w:val="20"/>
        </w:rPr>
        <w:t>Por tanto,</w:t>
      </w:r>
      <w:r w:rsidRPr="00DC0D69">
        <w:rPr>
          <w:rFonts w:ascii="Verdana" w:eastAsia="Calibri" w:hAnsi="Verdana" w:cs="Arial"/>
          <w:bCs/>
          <w:sz w:val="20"/>
          <w:szCs w:val="20"/>
        </w:rPr>
        <w:t xml:space="preserve"> </w:t>
      </w:r>
      <w:r w:rsidRPr="00DC0D69">
        <w:rPr>
          <w:rFonts w:ascii="Verdana" w:eastAsia="Calibri" w:hAnsi="Verdana" w:cs="Arial"/>
          <w:bCs/>
          <w:i/>
          <w:iCs/>
          <w:sz w:val="20"/>
          <w:szCs w:val="20"/>
        </w:rPr>
        <w:t>la inclusión de los mecanismos de fomento mencionados en inciso 4 del artículo 34 de la Ley 2069 en los pliegos de condiciones, e incluso en las obligaciones del contrato, es un asunto que compete a las entidades contratantes, dentro del marco que determine el reglamento</w:t>
      </w:r>
      <w:r w:rsidRPr="00DC0D69">
        <w:rPr>
          <w:rFonts w:ascii="Verdana" w:eastAsia="Calibri" w:hAnsi="Verdana" w:cs="Arial"/>
          <w:bCs/>
          <w:sz w:val="20"/>
          <w:szCs w:val="20"/>
        </w:rPr>
        <w:t>”. (Énfasis fuera de texto)</w:t>
      </w:r>
    </w:p>
    <w:p w14:paraId="6A839A9A" w14:textId="77777777" w:rsidR="00303D51" w:rsidRPr="00DC0D69" w:rsidRDefault="00303D51" w:rsidP="00303D51">
      <w:pPr>
        <w:spacing w:after="0" w:line="240" w:lineRule="auto"/>
        <w:jc w:val="both"/>
        <w:rPr>
          <w:rFonts w:ascii="Verdana" w:eastAsia="Calibri" w:hAnsi="Verdana" w:cs="Arial"/>
          <w:bCs/>
          <w:sz w:val="20"/>
          <w:szCs w:val="20"/>
        </w:rPr>
      </w:pPr>
    </w:p>
    <w:p w14:paraId="55CEE57A" w14:textId="77777777" w:rsidR="00303D51" w:rsidRPr="00DC0D69" w:rsidRDefault="00303D51" w:rsidP="00303D51">
      <w:pPr>
        <w:spacing w:after="0" w:line="240" w:lineRule="auto"/>
        <w:jc w:val="both"/>
        <w:rPr>
          <w:rFonts w:ascii="Verdana" w:eastAsia="Calibri" w:hAnsi="Verdana" w:cs="Arial"/>
          <w:bCs/>
          <w:sz w:val="20"/>
          <w:szCs w:val="20"/>
        </w:rPr>
      </w:pPr>
      <w:r w:rsidRPr="00DC0D69">
        <w:rPr>
          <w:rFonts w:ascii="Verdana" w:eastAsia="Calibri" w:hAnsi="Verdana" w:cs="Arial"/>
          <w:bCs/>
          <w:sz w:val="20"/>
          <w:szCs w:val="20"/>
        </w:rPr>
        <w:t>En consecuencia, dado que el fomento a la ejecución de contratos estatales con participación de sujetos de especial protección constitucional en la provisión de los bienes y servicios para el cumplimiento del objeto contractual se realizará bajo criterios de oportunidad y conveniencia, garantizando la calidad y sin poner en riesgo el cumplimiento del contrato, debe concluirse que la aplicación de este incentivo es de naturaleza discrecional.</w:t>
      </w:r>
    </w:p>
    <w:p w14:paraId="7B60C86C" w14:textId="77777777" w:rsidR="00303D51" w:rsidRPr="00DC0D69" w:rsidRDefault="00303D51" w:rsidP="30821638">
      <w:pPr>
        <w:spacing w:after="0"/>
        <w:rPr>
          <w:rFonts w:ascii="Verdana" w:eastAsia="Verdana" w:hAnsi="Verdana" w:cs="Verdana"/>
        </w:rPr>
      </w:pPr>
    </w:p>
    <w:p w14:paraId="0DD917B6" w14:textId="77777777" w:rsidR="00303D51" w:rsidRPr="00DC0D69" w:rsidRDefault="00303D51" w:rsidP="30821638">
      <w:pPr>
        <w:spacing w:after="0"/>
        <w:rPr>
          <w:rFonts w:ascii="Verdana" w:eastAsia="Verdana" w:hAnsi="Verdana" w:cs="Verdana"/>
        </w:rPr>
      </w:pPr>
    </w:p>
    <w:p w14:paraId="389C7F68" w14:textId="77777777" w:rsidR="00303D51" w:rsidRPr="00DC0D69" w:rsidRDefault="00303D51" w:rsidP="30821638">
      <w:pPr>
        <w:spacing w:after="0"/>
        <w:rPr>
          <w:rFonts w:ascii="Verdana" w:eastAsia="Verdana" w:hAnsi="Verdana" w:cs="Verdana"/>
        </w:rPr>
      </w:pPr>
    </w:p>
    <w:p w14:paraId="67B010CC" w14:textId="77777777" w:rsidR="00303D51" w:rsidRPr="00DC0D69" w:rsidRDefault="00303D51" w:rsidP="30821638">
      <w:pPr>
        <w:spacing w:after="0"/>
        <w:rPr>
          <w:rFonts w:ascii="Verdana" w:eastAsia="Verdana" w:hAnsi="Verdana" w:cs="Verdana"/>
        </w:rPr>
      </w:pPr>
    </w:p>
    <w:p w14:paraId="44F07C64" w14:textId="77777777" w:rsidR="00303D51" w:rsidRPr="00DC0D69" w:rsidRDefault="00303D51" w:rsidP="30821638">
      <w:pPr>
        <w:spacing w:after="0"/>
        <w:rPr>
          <w:rFonts w:ascii="Verdana" w:eastAsia="Verdana" w:hAnsi="Verdana" w:cs="Verdana"/>
        </w:rPr>
      </w:pPr>
    </w:p>
    <w:p w14:paraId="48230858" w14:textId="77777777" w:rsidR="00303D51" w:rsidRPr="00DC0D69" w:rsidRDefault="00303D51" w:rsidP="30821638">
      <w:pPr>
        <w:spacing w:after="0"/>
        <w:rPr>
          <w:rFonts w:ascii="Verdana" w:eastAsia="Verdana" w:hAnsi="Verdana" w:cs="Verdana"/>
        </w:rPr>
      </w:pPr>
    </w:p>
    <w:p w14:paraId="46FEFF4A" w14:textId="77777777" w:rsidR="00303D51" w:rsidRPr="00DC0D69" w:rsidRDefault="00303D51" w:rsidP="30821638">
      <w:pPr>
        <w:spacing w:after="0"/>
        <w:rPr>
          <w:rFonts w:ascii="Verdana" w:eastAsia="Verdana" w:hAnsi="Verdana" w:cs="Verdana"/>
        </w:rPr>
      </w:pPr>
    </w:p>
    <w:p w14:paraId="409558A9" w14:textId="77777777" w:rsidR="00303D51" w:rsidRPr="00DC0D69" w:rsidRDefault="00303D51" w:rsidP="30821638">
      <w:pPr>
        <w:spacing w:after="0"/>
        <w:rPr>
          <w:rFonts w:ascii="Verdana" w:eastAsia="Verdana" w:hAnsi="Verdana" w:cs="Verdana"/>
        </w:rPr>
      </w:pPr>
    </w:p>
    <w:p w14:paraId="410A69E9" w14:textId="77777777" w:rsidR="00303D51" w:rsidRPr="00DC0D69" w:rsidRDefault="00303D51" w:rsidP="30821638">
      <w:pPr>
        <w:spacing w:after="0"/>
        <w:rPr>
          <w:rFonts w:ascii="Verdana" w:eastAsia="Verdana" w:hAnsi="Verdana" w:cs="Verdana"/>
        </w:rPr>
      </w:pPr>
    </w:p>
    <w:p w14:paraId="2948F6F9" w14:textId="77777777" w:rsidR="00303D51" w:rsidRPr="00DC0D69" w:rsidRDefault="00303D51" w:rsidP="30821638">
      <w:pPr>
        <w:spacing w:after="0"/>
        <w:rPr>
          <w:rFonts w:ascii="Verdana" w:eastAsia="Verdana" w:hAnsi="Verdana" w:cs="Verdana"/>
        </w:rPr>
      </w:pPr>
    </w:p>
    <w:p w14:paraId="3CA06962" w14:textId="77777777" w:rsidR="00303D51" w:rsidRPr="00DC0D69" w:rsidRDefault="00303D51" w:rsidP="30821638">
      <w:pPr>
        <w:spacing w:after="0"/>
        <w:rPr>
          <w:rFonts w:ascii="Verdana" w:eastAsia="Verdana" w:hAnsi="Verdana" w:cs="Verdana"/>
        </w:rPr>
      </w:pPr>
    </w:p>
    <w:p w14:paraId="66BE4FCF" w14:textId="77777777" w:rsidR="00303D51" w:rsidRPr="00DC0D69" w:rsidRDefault="00303D51" w:rsidP="30821638">
      <w:pPr>
        <w:spacing w:after="0"/>
        <w:rPr>
          <w:rFonts w:ascii="Verdana" w:eastAsia="Verdana" w:hAnsi="Verdana" w:cs="Verdana"/>
        </w:rPr>
      </w:pPr>
    </w:p>
    <w:p w14:paraId="1E9A2479" w14:textId="77777777" w:rsidR="00303D51" w:rsidRPr="00DC0D69" w:rsidRDefault="00303D51" w:rsidP="30821638">
      <w:pPr>
        <w:spacing w:after="0"/>
        <w:rPr>
          <w:rFonts w:ascii="Verdana" w:eastAsia="Verdana" w:hAnsi="Verdana" w:cs="Verdana"/>
        </w:rPr>
      </w:pPr>
    </w:p>
    <w:p w14:paraId="3B12BBC5" w14:textId="77777777" w:rsidR="00303D51" w:rsidRPr="00DC0D69" w:rsidRDefault="00303D51" w:rsidP="30821638">
      <w:pPr>
        <w:spacing w:after="0"/>
        <w:rPr>
          <w:rFonts w:ascii="Verdana" w:eastAsia="Verdana" w:hAnsi="Verdana" w:cs="Verdana"/>
        </w:rPr>
      </w:pPr>
    </w:p>
    <w:p w14:paraId="7CB55097" w14:textId="77777777" w:rsidR="00303D51" w:rsidRPr="00DC0D69" w:rsidRDefault="00303D51" w:rsidP="30821638">
      <w:pPr>
        <w:spacing w:after="0"/>
        <w:rPr>
          <w:rFonts w:ascii="Verdana" w:eastAsia="Verdana" w:hAnsi="Verdana" w:cs="Verdana"/>
        </w:rPr>
      </w:pPr>
    </w:p>
    <w:p w14:paraId="36ABA5B3" w14:textId="77777777" w:rsidR="00303D51" w:rsidRPr="00DC0D69" w:rsidRDefault="00303D51" w:rsidP="30821638">
      <w:pPr>
        <w:spacing w:after="0"/>
        <w:rPr>
          <w:rFonts w:ascii="Verdana" w:eastAsia="Verdana" w:hAnsi="Verdana" w:cs="Verdana"/>
        </w:rPr>
      </w:pPr>
    </w:p>
    <w:p w14:paraId="348ACB11" w14:textId="77777777" w:rsidR="005C73ED" w:rsidRPr="00DC0D69" w:rsidRDefault="005C73ED" w:rsidP="30821638">
      <w:pPr>
        <w:spacing w:after="0"/>
        <w:rPr>
          <w:rFonts w:ascii="Verdana" w:eastAsia="Verdana" w:hAnsi="Verdana" w:cs="Verdana"/>
        </w:rPr>
      </w:pPr>
    </w:p>
    <w:p w14:paraId="59C46E8B" w14:textId="77777777" w:rsidR="007317A1" w:rsidRPr="00DC0D69" w:rsidRDefault="007317A1" w:rsidP="30821638">
      <w:pPr>
        <w:spacing w:after="0"/>
        <w:rPr>
          <w:rFonts w:ascii="Verdana" w:eastAsia="Verdana" w:hAnsi="Verdana" w:cs="Verdana"/>
        </w:rPr>
      </w:pPr>
    </w:p>
    <w:p w14:paraId="12443EE0" w14:textId="0A246D80" w:rsidR="00C15139" w:rsidRPr="00DC0D69" w:rsidRDefault="00C15139" w:rsidP="30821638">
      <w:pPr>
        <w:spacing w:after="0"/>
        <w:rPr>
          <w:rFonts w:ascii="Verdana" w:eastAsia="Verdana" w:hAnsi="Verdana" w:cs="Verdana"/>
        </w:rPr>
      </w:pPr>
      <w:r w:rsidRPr="00DC0D69">
        <w:rPr>
          <w:rFonts w:ascii="Verdana" w:eastAsia="Verdana" w:hAnsi="Verdana" w:cs="Verdana"/>
        </w:rPr>
        <w:lastRenderedPageBreak/>
        <w:t xml:space="preserve">Bogotá D.C., </w:t>
      </w:r>
      <w:r w:rsidR="007317A1" w:rsidRPr="00DC0D69">
        <w:rPr>
          <w:rFonts w:ascii="Verdana" w:eastAsia="Verdana" w:hAnsi="Verdana" w:cs="Verdana"/>
        </w:rPr>
        <w:t>19 de mayo del 2026</w:t>
      </w:r>
    </w:p>
    <w:p w14:paraId="2A95C9C6" w14:textId="6201CB14" w:rsidR="00485422" w:rsidRPr="00DC0D69" w:rsidRDefault="00485422" w:rsidP="00485422">
      <w:pPr>
        <w:spacing w:after="0"/>
        <w:jc w:val="right"/>
        <w:rPr>
          <w:rFonts w:ascii="Verdana" w:eastAsia="Verdana" w:hAnsi="Verdana" w:cs="Verdana"/>
        </w:rPr>
      </w:pPr>
      <w:r w:rsidRPr="00DC0D69">
        <w:rPr>
          <w:rFonts w:ascii="Verdana" w:eastAsia="Verdana" w:hAnsi="Verdana" w:cs="Verdana"/>
          <w:noProof/>
        </w:rPr>
        <w:drawing>
          <wp:inline distT="0" distB="0" distL="0" distR="0" wp14:anchorId="79D8AB48" wp14:editId="082FF460">
            <wp:extent cx="2495898" cy="752580"/>
            <wp:effectExtent l="0" t="0" r="0" b="9525"/>
            <wp:docPr id="7342601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260152" name=""/>
                    <pic:cNvPicPr/>
                  </pic:nvPicPr>
                  <pic:blipFill>
                    <a:blip r:embed="rId10"/>
                    <a:stretch>
                      <a:fillRect/>
                    </a:stretch>
                  </pic:blipFill>
                  <pic:spPr>
                    <a:xfrm>
                      <a:off x="0" y="0"/>
                      <a:ext cx="2495898" cy="752580"/>
                    </a:xfrm>
                    <a:prstGeom prst="rect">
                      <a:avLst/>
                    </a:prstGeom>
                  </pic:spPr>
                </pic:pic>
              </a:graphicData>
            </a:graphic>
          </wp:inline>
        </w:drawing>
      </w:r>
    </w:p>
    <w:p w14:paraId="38F27203" w14:textId="77777777" w:rsidR="008817B0" w:rsidRPr="00DC0D69" w:rsidRDefault="008817B0" w:rsidP="008817B0">
      <w:pPr>
        <w:spacing w:after="0" w:line="240" w:lineRule="auto"/>
        <w:rPr>
          <w:rFonts w:ascii="Verdana" w:hAnsi="Verdana"/>
        </w:rPr>
      </w:pPr>
      <w:r w:rsidRPr="00DC0D69">
        <w:rPr>
          <w:rFonts w:ascii="Verdana" w:eastAsia="Calibri" w:hAnsi="Verdana" w:cs="Arial"/>
          <w:color w:val="000000" w:themeColor="text1"/>
          <w:lang w:val="es-ES" w:eastAsia="es-ES"/>
        </w:rPr>
        <w:t>Señora:</w:t>
      </w:r>
    </w:p>
    <w:p w14:paraId="480CB56E" w14:textId="131D23C5" w:rsidR="008817B0" w:rsidRPr="00DC0D69" w:rsidRDefault="00A51508" w:rsidP="008817B0">
      <w:pPr>
        <w:spacing w:after="0" w:line="240" w:lineRule="auto"/>
        <w:jc w:val="both"/>
        <w:rPr>
          <w:rFonts w:ascii="Verdana" w:eastAsia="Calibri" w:hAnsi="Verdana" w:cs="Arial"/>
          <w:b/>
          <w:bCs/>
          <w:color w:val="000000" w:themeColor="text1"/>
          <w:lang w:eastAsia="es-ES"/>
        </w:rPr>
      </w:pPr>
      <w:r w:rsidRPr="00DC0D69">
        <w:rPr>
          <w:rFonts w:ascii="Verdana" w:eastAsia="Calibri" w:hAnsi="Verdana" w:cs="Arial"/>
          <w:b/>
          <w:bCs/>
          <w:color w:val="000000" w:themeColor="text1"/>
          <w:lang w:eastAsia="es-ES"/>
        </w:rPr>
        <w:t>Julieth Patricia Muñoz Cadena</w:t>
      </w:r>
    </w:p>
    <w:p w14:paraId="23A77302" w14:textId="5438717F" w:rsidR="00100D95" w:rsidRPr="00DC0D69" w:rsidRDefault="00C75223" w:rsidP="008817B0">
      <w:pPr>
        <w:spacing w:after="0" w:line="240" w:lineRule="auto"/>
        <w:jc w:val="both"/>
        <w:rPr>
          <w:rFonts w:ascii="Verdana" w:eastAsia="Calibri" w:hAnsi="Verdana" w:cs="Arial"/>
          <w:color w:val="000000" w:themeColor="text1"/>
          <w:lang w:eastAsia="es-ES"/>
        </w:rPr>
      </w:pPr>
      <w:r w:rsidRPr="00DC0D69">
        <w:rPr>
          <w:rFonts w:ascii="Verdana" w:eastAsia="Calibri" w:hAnsi="Verdana" w:cs="Arial"/>
          <w:color w:val="000000" w:themeColor="text1"/>
          <w:lang w:eastAsia="es-ES"/>
        </w:rPr>
        <w:t>Personería</w:t>
      </w:r>
      <w:r w:rsidR="00100D95" w:rsidRPr="00DC0D69">
        <w:rPr>
          <w:rFonts w:ascii="Verdana" w:eastAsia="Calibri" w:hAnsi="Verdana" w:cs="Arial"/>
          <w:color w:val="000000" w:themeColor="text1"/>
          <w:lang w:eastAsia="es-ES"/>
        </w:rPr>
        <w:t xml:space="preserve"> Municipal de Zapatoca </w:t>
      </w:r>
    </w:p>
    <w:p w14:paraId="0AEECD9D" w14:textId="57C3A6DF" w:rsidR="00100D95" w:rsidRPr="00DC0D69" w:rsidRDefault="00100D95" w:rsidP="008817B0">
      <w:pPr>
        <w:spacing w:after="0" w:line="240" w:lineRule="auto"/>
        <w:rPr>
          <w:rFonts w:ascii="Verdana" w:eastAsia="Calibri" w:hAnsi="Verdana" w:cs="Arial"/>
          <w:lang w:val="es-ES_tradnl" w:eastAsia="es-ES"/>
        </w:rPr>
      </w:pPr>
      <w:hyperlink r:id="rId11" w:history="1">
        <w:r w:rsidRPr="00DC0D69">
          <w:rPr>
            <w:rStyle w:val="Hipervnculo"/>
            <w:rFonts w:ascii="Verdana" w:eastAsia="Calibri" w:hAnsi="Verdana" w:cs="Arial"/>
            <w:lang w:val="es-ES_tradnl" w:eastAsia="es-ES"/>
          </w:rPr>
          <w:t>personeria@zapatoca-santander.gov.co</w:t>
        </w:r>
      </w:hyperlink>
    </w:p>
    <w:p w14:paraId="4EEF9DED" w14:textId="18E100F7" w:rsidR="008817B0" w:rsidRPr="00DC0D69" w:rsidRDefault="00A51508" w:rsidP="008817B0">
      <w:pPr>
        <w:spacing w:after="0" w:line="240" w:lineRule="auto"/>
        <w:rPr>
          <w:rFonts w:ascii="Verdana" w:eastAsia="Calibri" w:hAnsi="Verdana" w:cs="Arial"/>
          <w:lang w:val="es-ES_tradnl" w:eastAsia="es-ES"/>
        </w:rPr>
      </w:pPr>
      <w:r w:rsidRPr="00DC0D69">
        <w:rPr>
          <w:rFonts w:ascii="Verdana" w:eastAsia="Calibri" w:hAnsi="Verdana" w:cs="Arial"/>
          <w:lang w:val="es-ES_tradnl" w:eastAsia="es-ES"/>
        </w:rPr>
        <w:t>Za</w:t>
      </w:r>
      <w:r w:rsidR="009E4EEB" w:rsidRPr="00DC0D69">
        <w:rPr>
          <w:rFonts w:ascii="Verdana" w:eastAsia="Calibri" w:hAnsi="Verdana" w:cs="Arial"/>
          <w:lang w:val="es-ES_tradnl" w:eastAsia="es-ES"/>
        </w:rPr>
        <w:t xml:space="preserve">patoca, Santander </w:t>
      </w:r>
    </w:p>
    <w:p w14:paraId="307E95A0" w14:textId="43ACA353" w:rsidR="008817B0" w:rsidRPr="00DC0D69" w:rsidRDefault="008817B0" w:rsidP="008817B0">
      <w:pPr>
        <w:spacing w:after="0" w:line="240" w:lineRule="auto"/>
        <w:rPr>
          <w:rFonts w:ascii="Verdana" w:eastAsia="Calibri" w:hAnsi="Verdana" w:cs="Arial"/>
          <w:b/>
          <w:bCs/>
          <w:color w:val="000000" w:themeColor="text1"/>
          <w:highlight w:val="cyan"/>
          <w:lang w:val="es-ES_tradnl" w:eastAsia="es-ES_tradnl"/>
        </w:rPr>
      </w:pPr>
    </w:p>
    <w:p w14:paraId="510288B5" w14:textId="77777777" w:rsidR="00656864" w:rsidRPr="00DC0D69" w:rsidRDefault="00656864" w:rsidP="008817B0">
      <w:pPr>
        <w:spacing w:after="0" w:line="240" w:lineRule="auto"/>
        <w:rPr>
          <w:rFonts w:ascii="Verdana" w:eastAsia="Calibri" w:hAnsi="Verdana" w:cs="Arial"/>
          <w:b/>
          <w:bCs/>
          <w:color w:val="000000" w:themeColor="text1"/>
          <w:highlight w:val="cyan"/>
          <w:lang w:val="es-ES_tradnl" w:eastAsia="es-ES_tradnl"/>
        </w:rPr>
      </w:pPr>
    </w:p>
    <w:p w14:paraId="033EDD37" w14:textId="27BD4F02" w:rsidR="008817B0" w:rsidRPr="00DC0D69" w:rsidRDefault="008817B0" w:rsidP="008817B0">
      <w:pPr>
        <w:spacing w:after="0" w:line="240" w:lineRule="auto"/>
        <w:rPr>
          <w:rFonts w:ascii="Verdana" w:eastAsia="Calibri" w:hAnsi="Verdana" w:cs="Arial"/>
          <w:b/>
          <w:bCs/>
          <w:color w:val="000000" w:themeColor="text1"/>
          <w:lang w:val="es-ES_tradnl" w:eastAsia="es-ES_tradnl"/>
        </w:rPr>
      </w:pPr>
      <w:r w:rsidRPr="00DC0D69">
        <w:rPr>
          <w:rFonts w:ascii="Verdana" w:eastAsia="Calibri" w:hAnsi="Verdana" w:cs="Arial"/>
          <w:b/>
          <w:bCs/>
          <w:color w:val="000000" w:themeColor="text1"/>
          <w:lang w:val="es-ES_tradnl" w:eastAsia="es-ES_tradnl"/>
        </w:rPr>
        <w:t xml:space="preserve">                                   Concepto C</w:t>
      </w:r>
      <w:r w:rsidR="000F2485" w:rsidRPr="00DC0D69">
        <w:rPr>
          <w:rFonts w:ascii="Verdana" w:eastAsia="Calibri" w:hAnsi="Verdana" w:cs="Arial"/>
          <w:b/>
          <w:bCs/>
          <w:color w:val="000000" w:themeColor="text1"/>
          <w:lang w:val="es-ES_tradnl" w:eastAsia="es-ES_tradnl"/>
        </w:rPr>
        <w:t>-</w:t>
      </w:r>
      <w:r w:rsidR="00097DC3" w:rsidRPr="00DC0D69">
        <w:rPr>
          <w:rFonts w:ascii="Verdana" w:eastAsia="Calibri" w:hAnsi="Verdana" w:cs="Arial"/>
          <w:b/>
          <w:bCs/>
          <w:color w:val="000000" w:themeColor="text1"/>
          <w:lang w:val="es-ES_tradnl" w:eastAsia="es-ES_tradnl"/>
        </w:rPr>
        <w:t>569</w:t>
      </w:r>
      <w:r w:rsidR="00166223" w:rsidRPr="00DC0D69">
        <w:rPr>
          <w:rFonts w:ascii="Verdana" w:eastAsia="Calibri" w:hAnsi="Verdana" w:cs="Arial"/>
          <w:b/>
          <w:bCs/>
          <w:color w:val="000000" w:themeColor="text1"/>
          <w:lang w:val="es-ES_tradnl" w:eastAsia="es-ES_tradnl"/>
        </w:rPr>
        <w:t xml:space="preserve"> </w:t>
      </w:r>
      <w:r w:rsidRPr="00DC0D69">
        <w:rPr>
          <w:rFonts w:ascii="Verdana" w:eastAsia="Calibri" w:hAnsi="Verdana" w:cs="Arial"/>
          <w:b/>
          <w:bCs/>
          <w:color w:val="000000" w:themeColor="text1"/>
          <w:lang w:val="es-ES_tradnl" w:eastAsia="es-ES_tradnl"/>
        </w:rPr>
        <w:t>del 2026</w:t>
      </w:r>
    </w:p>
    <w:p w14:paraId="496ACFD0" w14:textId="77777777" w:rsidR="00097DC3" w:rsidRPr="00DC0D69" w:rsidRDefault="00097DC3" w:rsidP="008817B0">
      <w:pPr>
        <w:spacing w:after="0" w:line="240" w:lineRule="auto"/>
        <w:rPr>
          <w:rFonts w:ascii="Verdana" w:eastAsia="Calibri" w:hAnsi="Verdana" w:cs="Arial"/>
          <w:b/>
          <w:bCs/>
          <w:color w:val="000000" w:themeColor="text1"/>
          <w:highlight w:val="cyan"/>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817B0" w:rsidRPr="00DC0D69" w14:paraId="04F20E38" w14:textId="77777777" w:rsidTr="00366EF7">
        <w:trPr>
          <w:trHeight w:val="884"/>
        </w:trPr>
        <w:tc>
          <w:tcPr>
            <w:tcW w:w="2689" w:type="dxa"/>
          </w:tcPr>
          <w:p w14:paraId="2BF175AD" w14:textId="77777777" w:rsidR="008817B0" w:rsidRPr="00DC0D69" w:rsidRDefault="008817B0" w:rsidP="00366EF7">
            <w:pPr>
              <w:jc w:val="both"/>
              <w:rPr>
                <w:rFonts w:ascii="Verdana" w:eastAsia="Calibri" w:hAnsi="Verdana" w:cs="Arial"/>
                <w:color w:val="000000" w:themeColor="text1"/>
                <w:highlight w:val="cyan"/>
                <w:lang w:val="es-ES_tradnl" w:eastAsia="es-ES_tradnl"/>
              </w:rPr>
            </w:pPr>
            <w:r w:rsidRPr="00DC0D69">
              <w:rPr>
                <w:rFonts w:ascii="Verdana" w:eastAsia="Calibri" w:hAnsi="Verdana" w:cs="Arial"/>
                <w:b/>
                <w:color w:val="000000" w:themeColor="text1"/>
                <w:lang w:val="es-ES_tradnl" w:eastAsia="es-ES_tradnl"/>
              </w:rPr>
              <w:t>Temas:</w:t>
            </w:r>
            <w:r w:rsidRPr="00DC0D69">
              <w:rPr>
                <w:rFonts w:ascii="Verdana" w:eastAsia="Calibri" w:hAnsi="Verdana" w:cs="Arial"/>
                <w:color w:val="000000" w:themeColor="text1"/>
                <w:lang w:val="es-ES_tradnl" w:eastAsia="es-ES_tradnl"/>
              </w:rPr>
              <w:t xml:space="preserve">                   </w:t>
            </w:r>
          </w:p>
        </w:tc>
        <w:tc>
          <w:tcPr>
            <w:tcW w:w="6100" w:type="dxa"/>
          </w:tcPr>
          <w:p w14:paraId="247F743C" w14:textId="77777777" w:rsidR="008817B0" w:rsidRPr="00DC0D69" w:rsidRDefault="00C00E61" w:rsidP="001567E7">
            <w:pPr>
              <w:spacing w:line="276" w:lineRule="auto"/>
              <w:jc w:val="both"/>
              <w:rPr>
                <w:rStyle w:val="normaltextrun"/>
                <w:rFonts w:ascii="Verdana" w:hAnsi="Verdana"/>
                <w:color w:val="000000"/>
                <w:shd w:val="clear" w:color="auto" w:fill="FFFFFF"/>
                <w:lang w:val="es-MX"/>
              </w:rPr>
            </w:pPr>
            <w:r w:rsidRPr="00DC0D69">
              <w:rPr>
                <w:rStyle w:val="normaltextrun"/>
                <w:rFonts w:ascii="Verdana" w:hAnsi="Verdana" w:cs="Arial"/>
                <w:color w:val="000000"/>
                <w:shd w:val="clear" w:color="auto" w:fill="FFFFFF"/>
                <w:lang w:val="es-MX"/>
              </w:rPr>
              <w:t xml:space="preserve">LEY DE EMPRENDIMIENTO – Ley 2069 de 2020 – Vigencia </w:t>
            </w:r>
            <w:r w:rsidRPr="00DC0D69">
              <w:rPr>
                <w:rStyle w:val="normaltextrun"/>
                <w:rFonts w:ascii="Verdana" w:hAnsi="Verdana"/>
                <w:color w:val="000000"/>
                <w:shd w:val="clear" w:color="auto" w:fill="FFFFFF"/>
                <w:lang w:val="es-MX"/>
              </w:rPr>
              <w:t>/ ARTÍCULO 2.2.1.2.4.2.16 DEL DECRETO 1860 DE 2021 – Propósito – sujetos de especial protección constitucional / INCENTIVO DE FOMENTO – Ejecución de contratos estatales por sujetos de especial protección constitucional – Aplicación discrecional</w:t>
            </w:r>
          </w:p>
          <w:p w14:paraId="4829C186" w14:textId="5539C676" w:rsidR="008817B0" w:rsidRPr="00DC0D69" w:rsidRDefault="008817B0" w:rsidP="001567E7">
            <w:pPr>
              <w:spacing w:line="276" w:lineRule="auto"/>
              <w:jc w:val="both"/>
              <w:rPr>
                <w:rFonts w:ascii="Verdana" w:hAnsi="Verdana"/>
                <w:highlight w:val="cyan"/>
                <w:lang w:val="es-ES_tradnl"/>
              </w:rPr>
            </w:pPr>
          </w:p>
        </w:tc>
      </w:tr>
      <w:tr w:rsidR="008817B0" w:rsidRPr="00DC0D69" w14:paraId="79ADB3C3" w14:textId="77777777" w:rsidTr="00366EF7">
        <w:tc>
          <w:tcPr>
            <w:tcW w:w="2689" w:type="dxa"/>
          </w:tcPr>
          <w:p w14:paraId="55183A55" w14:textId="77777777" w:rsidR="008817B0" w:rsidRPr="00DC0D69" w:rsidRDefault="008817B0" w:rsidP="00366EF7">
            <w:pPr>
              <w:jc w:val="both"/>
              <w:rPr>
                <w:rFonts w:ascii="Verdana" w:eastAsia="Calibri" w:hAnsi="Verdana" w:cs="Arial"/>
                <w:b/>
                <w:color w:val="000000" w:themeColor="text1"/>
                <w:lang w:val="es-ES_tradnl" w:eastAsia="es-ES_tradnl"/>
              </w:rPr>
            </w:pPr>
            <w:r w:rsidRPr="00DC0D69">
              <w:rPr>
                <w:rFonts w:ascii="Verdana" w:eastAsia="Calibri" w:hAnsi="Verdana" w:cs="Arial"/>
                <w:b/>
                <w:color w:val="000000" w:themeColor="text1"/>
                <w:lang w:val="es-ES_tradnl" w:eastAsia="es-ES_tradnl"/>
              </w:rPr>
              <w:t>Radicación:</w:t>
            </w:r>
            <w:r w:rsidRPr="00DC0D69">
              <w:rPr>
                <w:rFonts w:ascii="Verdana" w:eastAsia="Calibri" w:hAnsi="Verdana" w:cs="Arial"/>
                <w:color w:val="000000" w:themeColor="text1"/>
                <w:lang w:val="es-ES_tradnl" w:eastAsia="es-ES_tradnl"/>
              </w:rPr>
              <w:t xml:space="preserve">               </w:t>
            </w:r>
          </w:p>
        </w:tc>
        <w:tc>
          <w:tcPr>
            <w:tcW w:w="6100" w:type="dxa"/>
          </w:tcPr>
          <w:p w14:paraId="26508291" w14:textId="696FC538" w:rsidR="008817B0" w:rsidRPr="00DC0D69" w:rsidRDefault="008817B0" w:rsidP="001567E7">
            <w:pPr>
              <w:spacing w:line="276" w:lineRule="auto"/>
              <w:jc w:val="both"/>
              <w:rPr>
                <w:rFonts w:ascii="Verdana" w:hAnsi="Verdana"/>
              </w:rPr>
            </w:pPr>
            <w:r w:rsidRPr="00DC0D69">
              <w:rPr>
                <w:rFonts w:ascii="Verdana" w:eastAsia="Calibri" w:hAnsi="Verdana" w:cs="Arial"/>
                <w:color w:val="000000" w:themeColor="text1"/>
                <w:lang w:val="es-ES_tradnl" w:eastAsia="es-ES_tradnl"/>
              </w:rPr>
              <w:t xml:space="preserve">Respuesta a consulta con radicado No. </w:t>
            </w:r>
            <w:r w:rsidR="00656864" w:rsidRPr="00DC0D69">
              <w:rPr>
                <w:rFonts w:ascii="Verdana" w:hAnsi="Verdana" w:cs="Calibri"/>
                <w:color w:val="000000"/>
              </w:rPr>
              <w:t xml:space="preserve"> </w:t>
            </w:r>
            <w:r w:rsidR="00EB3289" w:rsidRPr="00DC0D69">
              <w:rPr>
                <w:rFonts w:ascii="Verdana" w:hAnsi="Verdana"/>
              </w:rPr>
              <w:t>1_2026_04_07_004674</w:t>
            </w:r>
            <w:r w:rsidR="00656864" w:rsidRPr="00DC0D69">
              <w:rPr>
                <w:rFonts w:ascii="Verdana" w:hAnsi="Verdana"/>
              </w:rPr>
              <w:t xml:space="preserve">. </w:t>
            </w:r>
          </w:p>
        </w:tc>
      </w:tr>
    </w:tbl>
    <w:p w14:paraId="5D08778C" w14:textId="60D73183" w:rsidR="008817B0" w:rsidRPr="00DC0D69" w:rsidRDefault="008817B0" w:rsidP="008817B0">
      <w:pPr>
        <w:spacing w:after="0" w:line="276" w:lineRule="auto"/>
        <w:jc w:val="both"/>
        <w:rPr>
          <w:rFonts w:ascii="Verdana" w:eastAsia="Calibri" w:hAnsi="Verdana" w:cs="Arial"/>
          <w:color w:val="000000" w:themeColor="text1"/>
          <w:highlight w:val="cyan"/>
          <w:lang w:val="es-ES" w:eastAsia="es-ES"/>
        </w:rPr>
      </w:pPr>
    </w:p>
    <w:p w14:paraId="3A936594" w14:textId="77777777" w:rsidR="00656864" w:rsidRPr="00DC0D69" w:rsidRDefault="00656864" w:rsidP="008817B0">
      <w:pPr>
        <w:spacing w:after="0" w:line="276" w:lineRule="auto"/>
        <w:jc w:val="both"/>
        <w:rPr>
          <w:rFonts w:ascii="Verdana" w:eastAsia="Calibri" w:hAnsi="Verdana" w:cs="Arial"/>
          <w:color w:val="000000" w:themeColor="text1"/>
          <w:highlight w:val="cyan"/>
          <w:lang w:val="es-ES" w:eastAsia="es-ES"/>
        </w:rPr>
      </w:pPr>
    </w:p>
    <w:p w14:paraId="17D63DCC" w14:textId="287B3751" w:rsidR="008817B0" w:rsidRPr="00DC0D69" w:rsidRDefault="008817B0" w:rsidP="008817B0">
      <w:pPr>
        <w:spacing w:after="0" w:line="276" w:lineRule="auto"/>
        <w:jc w:val="both"/>
        <w:rPr>
          <w:rFonts w:ascii="Verdana" w:eastAsia="Calibri" w:hAnsi="Verdana" w:cs="Arial"/>
          <w:color w:val="000000" w:themeColor="text1"/>
          <w:lang w:val="es-ES" w:eastAsia="es-ES"/>
        </w:rPr>
      </w:pPr>
      <w:r w:rsidRPr="00DC0D69">
        <w:rPr>
          <w:rFonts w:ascii="Verdana" w:eastAsia="Calibri" w:hAnsi="Verdana" w:cs="Arial"/>
          <w:color w:val="000000" w:themeColor="text1"/>
          <w:lang w:val="es-ES" w:eastAsia="es-ES"/>
        </w:rPr>
        <w:t xml:space="preserve">Estimada señora </w:t>
      </w:r>
      <w:r w:rsidR="00A51508" w:rsidRPr="00DC0D69">
        <w:rPr>
          <w:rFonts w:ascii="Verdana" w:eastAsia="Calibri" w:hAnsi="Verdana" w:cs="Arial"/>
          <w:color w:val="000000" w:themeColor="text1"/>
          <w:lang w:val="es-ES" w:eastAsia="es-ES"/>
        </w:rPr>
        <w:t>Muñoz</w:t>
      </w:r>
      <w:r w:rsidRPr="00DC0D69">
        <w:rPr>
          <w:rFonts w:ascii="Verdana" w:eastAsia="Calibri" w:hAnsi="Verdana" w:cs="Arial"/>
          <w:color w:val="000000" w:themeColor="text1"/>
          <w:lang w:val="es-ES" w:eastAsia="es-ES"/>
        </w:rPr>
        <w:t xml:space="preserve">: </w:t>
      </w:r>
    </w:p>
    <w:p w14:paraId="110D7BA0" w14:textId="77777777" w:rsidR="008817B0" w:rsidRPr="00DC0D69" w:rsidRDefault="008817B0" w:rsidP="008817B0">
      <w:pPr>
        <w:spacing w:after="0" w:line="276" w:lineRule="auto"/>
        <w:rPr>
          <w:rFonts w:ascii="Verdana" w:eastAsia="Times New Roman" w:hAnsi="Verdana" w:cs="Segoe UI"/>
          <w:highlight w:val="cyan"/>
          <w:lang w:eastAsia="es-CO"/>
        </w:rPr>
      </w:pPr>
    </w:p>
    <w:p w14:paraId="4D4C6BA9" w14:textId="68C4C25E" w:rsidR="008817B0" w:rsidRPr="00DC0D69" w:rsidRDefault="008817B0" w:rsidP="008817B0">
      <w:pPr>
        <w:spacing w:after="0" w:line="276" w:lineRule="auto"/>
        <w:jc w:val="both"/>
        <w:rPr>
          <w:rFonts w:ascii="Verdana" w:eastAsia="Calibri" w:hAnsi="Verdana" w:cs="Arial"/>
          <w:lang w:val="es-ES" w:eastAsia="es-ES"/>
        </w:rPr>
      </w:pPr>
      <w:r w:rsidRPr="00DC0D69">
        <w:rPr>
          <w:rFonts w:ascii="Verdana" w:eastAsia="Calibri" w:hAnsi="Verdana" w:cs="Arial"/>
          <w:lang w:val="es-ES" w:eastAsia="es-ES"/>
        </w:rPr>
        <w:t>En ejercicio de la competencia otorgada por los artículos 3, numeral 5º, y 11, numeral 8º, del Decreto Ley 4170 de 2011,</w:t>
      </w:r>
      <w:r w:rsidRPr="00DC0D69">
        <w:rPr>
          <w:rFonts w:ascii="Verdana" w:eastAsia="Arial MT" w:hAnsi="Verdana" w:cs="Arial"/>
          <w:lang w:val="es-ES" w:eastAsia="es-ES"/>
        </w:rPr>
        <w:t xml:space="preserve"> </w:t>
      </w:r>
      <w:r w:rsidRPr="00DC0D69">
        <w:rPr>
          <w:rFonts w:ascii="Verdana" w:hAnsi="Verdana" w:cs="Arial"/>
        </w:rPr>
        <w:t xml:space="preserve">así como lo establecido en el artículo 4 de la Resolución 1707 de 2018 expedida por esta Entidad, </w:t>
      </w:r>
      <w:r w:rsidRPr="00DC0D69">
        <w:rPr>
          <w:rFonts w:ascii="Verdana" w:eastAsia="Calibri" w:hAnsi="Verdana" w:cs="Arial"/>
          <w:lang w:val="es-ES" w:eastAsia="es-ES"/>
        </w:rPr>
        <w:t xml:space="preserve">la Agencia Nacional de Contratación Pública – Colombia Compra Eficiente– responde su solicitud del </w:t>
      </w:r>
      <w:r w:rsidR="00A51508" w:rsidRPr="00DC0D69">
        <w:rPr>
          <w:rFonts w:ascii="Verdana" w:eastAsia="Calibri" w:hAnsi="Verdana" w:cs="Arial"/>
          <w:lang w:val="es-ES" w:eastAsia="es-ES"/>
        </w:rPr>
        <w:t>06 de abril del 2026</w:t>
      </w:r>
      <w:r w:rsidRPr="00DC0D69">
        <w:rPr>
          <w:rFonts w:ascii="Verdana" w:eastAsia="Calibri" w:hAnsi="Verdana" w:cs="Arial"/>
          <w:lang w:val="es-ES" w:eastAsia="es-ES"/>
        </w:rPr>
        <w:t xml:space="preserve">, en la cual manifiesta lo siguiente: </w:t>
      </w:r>
    </w:p>
    <w:p w14:paraId="07CB17A0" w14:textId="77777777" w:rsidR="008817B0" w:rsidRPr="00DC0D69" w:rsidRDefault="008817B0" w:rsidP="008817B0">
      <w:pPr>
        <w:spacing w:after="0" w:line="276" w:lineRule="auto"/>
        <w:jc w:val="both"/>
        <w:rPr>
          <w:rFonts w:ascii="Verdana" w:eastAsia="Calibri" w:hAnsi="Verdana" w:cs="Arial"/>
          <w:highlight w:val="cyan"/>
          <w:lang w:val="es-ES" w:eastAsia="es-ES"/>
        </w:rPr>
      </w:pPr>
    </w:p>
    <w:p w14:paraId="155617D0" w14:textId="3CCD0467" w:rsidR="008817B0" w:rsidRPr="00DC0D69" w:rsidRDefault="008817B0" w:rsidP="008817B0">
      <w:pPr>
        <w:spacing w:after="0" w:line="240" w:lineRule="auto"/>
        <w:ind w:left="709" w:right="709"/>
        <w:jc w:val="both"/>
        <w:rPr>
          <w:rFonts w:ascii="Verdana" w:eastAsia="Century Gothic" w:hAnsi="Verdana" w:cs="Arial"/>
          <w:sz w:val="20"/>
          <w:szCs w:val="20"/>
        </w:rPr>
      </w:pPr>
      <w:r w:rsidRPr="00DC0D69">
        <w:rPr>
          <w:rFonts w:ascii="Verdana" w:eastAsia="Century Gothic" w:hAnsi="Verdana" w:cs="Arial"/>
          <w:sz w:val="20"/>
          <w:szCs w:val="20"/>
          <w:lang w:val="es-ES"/>
        </w:rPr>
        <w:t xml:space="preserve">“[…] </w:t>
      </w:r>
      <w:r w:rsidR="00540646" w:rsidRPr="00DC0D69">
        <w:rPr>
          <w:rFonts w:ascii="Verdana" w:eastAsia="Century Gothic" w:hAnsi="Verdana" w:cs="Arial"/>
          <w:sz w:val="20"/>
          <w:szCs w:val="20"/>
        </w:rPr>
        <w:t xml:space="preserve">Solicitar un concepto a la Agencia Nacional de Contratación Pública, donde de manera general, abstracta e impersonal, manifieste el alcance del decreto 1860 de 2021, en cuanto a la obligatoriedad de las entidades contratantes de fomentar en los estudios previos la ejecución de contratos estales </w:t>
      </w:r>
      <w:r w:rsidR="000A1CF6" w:rsidRPr="00DC0D69">
        <w:rPr>
          <w:rFonts w:ascii="Verdana" w:eastAsia="Century Gothic" w:hAnsi="Verdana" w:cs="Arial"/>
          <w:sz w:val="20"/>
          <w:szCs w:val="20"/>
        </w:rPr>
        <w:t xml:space="preserve">por parte de población en pobreza extrema, desplazados por la </w:t>
      </w:r>
      <w:r w:rsidR="000A1CF6" w:rsidRPr="00DC0D69">
        <w:rPr>
          <w:rFonts w:ascii="Verdana" w:eastAsia="Century Gothic" w:hAnsi="Verdana" w:cs="Arial"/>
          <w:sz w:val="20"/>
          <w:szCs w:val="20"/>
        </w:rPr>
        <w:lastRenderedPageBreak/>
        <w:t xml:space="preserve">violencia, personas en proceso de reintegración o reincorporación y sujetos de especial protección constitucional. </w:t>
      </w:r>
      <w:r w:rsidRPr="00DC0D69">
        <w:rPr>
          <w:rFonts w:ascii="Verdana" w:eastAsia="Century Gothic" w:hAnsi="Verdana" w:cs="Arial"/>
          <w:sz w:val="20"/>
          <w:szCs w:val="20"/>
        </w:rPr>
        <w:t>[…]”</w:t>
      </w:r>
    </w:p>
    <w:p w14:paraId="22DC535E" w14:textId="77777777" w:rsidR="008817B0" w:rsidRPr="00DC0D69" w:rsidRDefault="008817B0" w:rsidP="008817B0">
      <w:pPr>
        <w:spacing w:after="0"/>
        <w:jc w:val="both"/>
        <w:rPr>
          <w:rFonts w:ascii="Verdana" w:hAnsi="Verdana" w:cs="Arial"/>
          <w:highlight w:val="cyan"/>
          <w:lang w:val="es-ES"/>
        </w:rPr>
      </w:pPr>
    </w:p>
    <w:p w14:paraId="7976F797" w14:textId="77777777" w:rsidR="008817B0" w:rsidRPr="00DC0D69" w:rsidRDefault="008817B0" w:rsidP="008817B0">
      <w:pPr>
        <w:spacing w:after="120" w:line="276" w:lineRule="auto"/>
        <w:ind w:firstLine="709"/>
        <w:jc w:val="both"/>
        <w:rPr>
          <w:rFonts w:ascii="Verdana" w:eastAsia="Calibri" w:hAnsi="Verdana" w:cs="Arial"/>
          <w:color w:val="000000"/>
          <w:lang w:val="es-ES_tradnl" w:eastAsia="es-ES_tradnl"/>
        </w:rPr>
      </w:pPr>
      <w:r w:rsidRPr="00DC0D69">
        <w:rPr>
          <w:rFonts w:ascii="Verdana" w:eastAsia="Calibri" w:hAnsi="Verdana" w:cs="Arial"/>
          <w:color w:val="000000"/>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64054FC5" w14:textId="77777777" w:rsidR="008817B0" w:rsidRPr="00DC0D69" w:rsidRDefault="008817B0" w:rsidP="008817B0">
      <w:pPr>
        <w:spacing w:after="0" w:line="276" w:lineRule="auto"/>
        <w:ind w:firstLine="709"/>
        <w:jc w:val="both"/>
        <w:rPr>
          <w:rFonts w:ascii="Verdana" w:eastAsia="Calibri" w:hAnsi="Verdana" w:cs="Arial"/>
          <w:color w:val="000000"/>
          <w:lang w:val="es-ES" w:eastAsia="es-ES"/>
        </w:rPr>
      </w:pPr>
      <w:r w:rsidRPr="00DC0D69">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AD21268" w14:textId="77777777" w:rsidR="008817B0" w:rsidRPr="00DC0D69" w:rsidRDefault="008817B0" w:rsidP="008817B0">
      <w:pPr>
        <w:spacing w:after="0" w:line="276" w:lineRule="auto"/>
        <w:jc w:val="both"/>
        <w:rPr>
          <w:rStyle w:val="Hipervnculo"/>
          <w:rFonts w:ascii="Verdana" w:hAnsi="Verdana"/>
          <w:lang w:val="es-ES"/>
        </w:rPr>
      </w:pPr>
    </w:p>
    <w:p w14:paraId="2818F174" w14:textId="77777777" w:rsidR="008817B0" w:rsidRPr="00DC0D69" w:rsidRDefault="008817B0" w:rsidP="008817B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Arial"/>
          <w:b/>
          <w:bCs/>
        </w:rPr>
      </w:pPr>
      <w:r w:rsidRPr="00DC0D69">
        <w:rPr>
          <w:rFonts w:ascii="Verdana" w:eastAsia="Century Gothic" w:hAnsi="Verdana" w:cs="Arial"/>
          <w:b/>
          <w:bCs/>
        </w:rPr>
        <w:t>Problema planteado:</w:t>
      </w:r>
    </w:p>
    <w:p w14:paraId="5FF3C887" w14:textId="77777777" w:rsidR="008817B0" w:rsidRPr="00DC0D69" w:rsidRDefault="008817B0" w:rsidP="008817B0">
      <w:pPr>
        <w:spacing w:after="0" w:line="276" w:lineRule="auto"/>
        <w:jc w:val="both"/>
        <w:rPr>
          <w:rStyle w:val="Hipervnculo"/>
          <w:rFonts w:ascii="Verdana" w:hAnsi="Verdana" w:cs="Arial"/>
          <w:highlight w:val="cyan"/>
        </w:rPr>
      </w:pPr>
    </w:p>
    <w:p w14:paraId="6844169C" w14:textId="6F0EB2C6" w:rsidR="007F1028" w:rsidRPr="00DC0D69" w:rsidRDefault="008817B0" w:rsidP="007F1028">
      <w:pPr>
        <w:spacing w:after="0" w:line="276" w:lineRule="auto"/>
        <w:jc w:val="both"/>
        <w:rPr>
          <w:rFonts w:ascii="Verdana" w:eastAsia="Century Gothic" w:hAnsi="Verdana" w:cs="Arial"/>
        </w:rPr>
      </w:pPr>
      <w:r w:rsidRPr="00DC0D69">
        <w:rPr>
          <w:rFonts w:ascii="Verdana" w:eastAsia="Century Gothic" w:hAnsi="Verdana" w:cs="Arial"/>
        </w:rPr>
        <w:t>De acuerdo con el contenido de su solicitud, esta Agencia resolverá el siguiente problema jurídico:</w:t>
      </w:r>
      <w:r w:rsidR="00D3606F" w:rsidRPr="00DC0D69">
        <w:rPr>
          <w:rFonts w:ascii="Verdana" w:eastAsia="Century Gothic" w:hAnsi="Verdana" w:cs="Arial"/>
        </w:rPr>
        <w:t xml:space="preserve"> </w:t>
      </w:r>
      <w:r w:rsidR="007F1028" w:rsidRPr="00DC0D69">
        <w:rPr>
          <w:rFonts w:ascii="Verdana" w:eastAsia="Century Gothic" w:hAnsi="Verdana" w:cs="Arial"/>
        </w:rPr>
        <w:t xml:space="preserve">¿La aplicación del artículo 2.2.1.2.4.2.16 del Decreto 1082 de 2015, </w:t>
      </w:r>
      <w:r w:rsidR="00E15099" w:rsidRPr="00DC0D69">
        <w:rPr>
          <w:rFonts w:ascii="Verdana" w:eastAsia="Century Gothic" w:hAnsi="Verdana" w:cs="Arial"/>
        </w:rPr>
        <w:t xml:space="preserve">modificado por el Decreto 1860 de 2021, </w:t>
      </w:r>
      <w:r w:rsidR="007F1028" w:rsidRPr="00DC0D69">
        <w:rPr>
          <w:rFonts w:ascii="Verdana" w:eastAsia="Century Gothic" w:hAnsi="Verdana" w:cs="Arial"/>
        </w:rPr>
        <w:t>relativo al incentivo de participación de sujetos de especial protección constitucional en la ejecución de contratos estatales, es de carácter obligatorio para todas las entidades contratantes?</w:t>
      </w:r>
    </w:p>
    <w:p w14:paraId="6C3D2D9A" w14:textId="77777777" w:rsidR="008817B0" w:rsidRPr="00DC0D69" w:rsidRDefault="008817B0" w:rsidP="008817B0">
      <w:pPr>
        <w:spacing w:after="0" w:line="276" w:lineRule="auto"/>
        <w:jc w:val="both"/>
        <w:rPr>
          <w:rStyle w:val="Hipervnculo"/>
          <w:rFonts w:ascii="Verdana" w:hAnsi="Verdana" w:cs="Arial"/>
          <w:highlight w:val="cyan"/>
          <w:lang w:val="es-ES"/>
        </w:rPr>
      </w:pPr>
    </w:p>
    <w:p w14:paraId="020B5F4A" w14:textId="77777777" w:rsidR="008817B0" w:rsidRPr="00DC0D69" w:rsidRDefault="008817B0" w:rsidP="008817B0">
      <w:pPr>
        <w:pStyle w:val="Prrafodelista"/>
        <w:widowControl w:val="0"/>
        <w:numPr>
          <w:ilvl w:val="0"/>
          <w:numId w:val="16"/>
        </w:numPr>
        <w:autoSpaceDE w:val="0"/>
        <w:autoSpaceDN w:val="0"/>
        <w:spacing w:after="0" w:line="276" w:lineRule="auto"/>
        <w:ind w:left="360"/>
        <w:contextualSpacing w:val="0"/>
        <w:jc w:val="both"/>
        <w:outlineLvl w:val="0"/>
        <w:rPr>
          <w:rFonts w:ascii="Verdana" w:eastAsia="Arial" w:hAnsi="Verdana" w:cs="Arial"/>
          <w:b/>
          <w:bCs/>
        </w:rPr>
      </w:pPr>
      <w:r w:rsidRPr="00DC0D69">
        <w:rPr>
          <w:rFonts w:ascii="Verdana" w:eastAsia="Arial" w:hAnsi="Verdana" w:cs="Arial"/>
          <w:b/>
          <w:bCs/>
        </w:rPr>
        <w:t>Respuesta:</w:t>
      </w:r>
    </w:p>
    <w:p w14:paraId="0953548E" w14:textId="77777777" w:rsidR="008817B0" w:rsidRPr="00DC0D69" w:rsidRDefault="008817B0" w:rsidP="008817B0">
      <w:pPr>
        <w:spacing w:after="0" w:line="276" w:lineRule="auto"/>
        <w:rPr>
          <w:rFonts w:ascii="Verdana" w:eastAsia="Aptos" w:hAnsi="Verdana" w:cs="Arial"/>
          <w:highlight w:val="cy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817B0" w:rsidRPr="00DC0D69" w14:paraId="16785698" w14:textId="77777777" w:rsidTr="00366EF7">
        <w:tc>
          <w:tcPr>
            <w:tcW w:w="8828" w:type="dxa"/>
          </w:tcPr>
          <w:p w14:paraId="5CDF87AE" w14:textId="77777777" w:rsidR="008817B0" w:rsidRPr="00DC0D69" w:rsidRDefault="008817B0" w:rsidP="00366EF7">
            <w:pPr>
              <w:spacing w:line="276" w:lineRule="auto"/>
              <w:jc w:val="both"/>
              <w:rPr>
                <w:rFonts w:ascii="Verdana" w:hAnsi="Verdana" w:cs="Arial"/>
                <w:color w:val="000000" w:themeColor="text1"/>
              </w:rPr>
            </w:pPr>
            <w:bookmarkStart w:id="1" w:name="_Hlk171067516"/>
            <w:r w:rsidRPr="00DC0D69">
              <w:rPr>
                <w:rFonts w:ascii="Verdana" w:hAnsi="Verdana" w:cs="Arial"/>
                <w:color w:val="000000" w:themeColor="text1"/>
              </w:rPr>
              <w:t>En respuesta al problema antes planteado, esta Subdirección manifiesta lo siguiente:</w:t>
            </w:r>
          </w:p>
          <w:p w14:paraId="0665029C" w14:textId="77777777" w:rsidR="008817B0" w:rsidRPr="00DC0D69" w:rsidRDefault="008817B0" w:rsidP="00366EF7">
            <w:pPr>
              <w:spacing w:line="276" w:lineRule="auto"/>
              <w:jc w:val="both"/>
              <w:rPr>
                <w:rFonts w:ascii="Verdana" w:hAnsi="Verdana" w:cs="Arial"/>
                <w:color w:val="000000" w:themeColor="text1"/>
              </w:rPr>
            </w:pPr>
          </w:p>
          <w:p w14:paraId="1B37900E" w14:textId="77777777" w:rsidR="00130F27" w:rsidRPr="00DC0D69" w:rsidRDefault="00130F27" w:rsidP="00130F27">
            <w:pPr>
              <w:spacing w:after="120" w:line="276" w:lineRule="auto"/>
              <w:jc w:val="both"/>
              <w:rPr>
                <w:rFonts w:ascii="Verdana" w:hAnsi="Verdana" w:cs="Arial"/>
                <w:sz w:val="21"/>
                <w:szCs w:val="21"/>
              </w:rPr>
            </w:pPr>
            <w:r w:rsidRPr="00DC0D69">
              <w:rPr>
                <w:rFonts w:ascii="Verdana" w:hAnsi="Verdana" w:cs="Arial"/>
              </w:rPr>
              <w:lastRenderedPageBreak/>
              <w:t xml:space="preserve">Conforme a la interpretación de las normas generales del sistema de compras públicas, la aplicación del artículo 2.2.1.2.4.2.16 del Decreto 1082 de 2015, que se traduce en la inclusión de obligaciones a cargo del contratista cuyo incumplimiento podría acarrearle sanciones pecuniarias, no es automática en todos los procesos de selección iniciados a partir de la vigencia del Decreto 1860 de 2021. Esto ya que el incentivo, además de garantizar las condiciones de calidad y el cumplimiento adecuado del objeto contractual sin perjuicio de los acuerdos comerciales suscritos por el Estado colombiano, también está supeditado al análisis previo de oportunidad y conveniencia en los Documentos del Proceso. </w:t>
            </w:r>
          </w:p>
          <w:p w14:paraId="3D9E24E1" w14:textId="6A128517" w:rsidR="00130F27" w:rsidRPr="00DC0D69" w:rsidRDefault="00130F27" w:rsidP="00130F27">
            <w:pPr>
              <w:spacing w:after="120" w:line="276" w:lineRule="auto"/>
              <w:ind w:firstLine="708"/>
              <w:jc w:val="both"/>
              <w:rPr>
                <w:rFonts w:ascii="Verdana" w:eastAsia="Calibri" w:hAnsi="Verdana" w:cs="Arial"/>
                <w:lang w:val="es-ES_tradnl"/>
              </w:rPr>
            </w:pPr>
            <w:r w:rsidRPr="00DC0D69">
              <w:rPr>
                <w:rFonts w:ascii="Verdana" w:hAnsi="Verdana" w:cs="Arial"/>
              </w:rPr>
              <w:t>En consecuencia, dado</w:t>
            </w:r>
            <w:r w:rsidRPr="00DC0D69">
              <w:rPr>
                <w:rFonts w:ascii="Verdana" w:eastAsia="Calibri" w:hAnsi="Verdana" w:cs="Arial"/>
                <w:lang w:val="es-ES_tradnl"/>
              </w:rPr>
              <w:t xml:space="preserve"> que el fomento a la ejecución de contratos estatales con participación de sujetos de especial protección constitucional en la provisión de los bienes y servicios para el cumplimiento del objeto contractual se realizará bajo criterios </w:t>
            </w:r>
            <w:r w:rsidRPr="00DC0D69">
              <w:rPr>
                <w:rFonts w:ascii="Verdana" w:eastAsia="Calibri" w:hAnsi="Verdana" w:cs="Arial"/>
                <w:i/>
                <w:iCs/>
                <w:lang w:val="es-ES_tradnl"/>
              </w:rPr>
              <w:t xml:space="preserve">de oportunidad y conveniencia, garantizando la calidad y sin poner en riesgo el cumplimiento del contrato, </w:t>
            </w:r>
            <w:r w:rsidRPr="00DC0D69">
              <w:rPr>
                <w:rFonts w:ascii="Verdana" w:eastAsia="Calibri" w:hAnsi="Verdana" w:cs="Arial"/>
                <w:lang w:val="es-ES_tradnl"/>
              </w:rPr>
              <w:t>debe concluirse que la aplicación de este incentivo es de naturaleza discrecional. Esto en la medida que corresponderá a la entidad contratante, en la etapa de planeación, determinar si es oportuno o inconveniente incluir dicha provisión en los pliegos de condiciones o documentos equivalentes</w:t>
            </w:r>
            <w:r w:rsidR="00750FC0" w:rsidRPr="00DC0D69">
              <w:rPr>
                <w:rFonts w:ascii="Verdana" w:eastAsia="Calibri" w:hAnsi="Verdana" w:cs="Arial"/>
                <w:lang w:val="es-ES_tradnl"/>
              </w:rPr>
              <w:t xml:space="preserve"> y el porcentaje que se estime pertinente que debe acreditarse</w:t>
            </w:r>
            <w:r w:rsidRPr="00DC0D69">
              <w:rPr>
                <w:rFonts w:ascii="Verdana" w:eastAsia="Calibri" w:hAnsi="Verdana" w:cs="Arial"/>
                <w:lang w:val="es-ES_tradnl"/>
              </w:rPr>
              <w:t>.</w:t>
            </w:r>
          </w:p>
          <w:p w14:paraId="76F9A3A0" w14:textId="6388B099" w:rsidR="00130F27" w:rsidRPr="00DC0D69" w:rsidRDefault="00130F27" w:rsidP="00130F27">
            <w:pPr>
              <w:spacing w:after="120" w:line="276" w:lineRule="auto"/>
              <w:ind w:firstLine="709"/>
              <w:jc w:val="both"/>
              <w:rPr>
                <w:rFonts w:ascii="Verdana" w:eastAsia="Calibri" w:hAnsi="Verdana" w:cs="Arial"/>
              </w:rPr>
            </w:pPr>
            <w:r w:rsidRPr="00DC0D69">
              <w:rPr>
                <w:rFonts w:ascii="Verdana" w:eastAsia="Calibri" w:hAnsi="Verdana" w:cs="Arial"/>
                <w:lang w:val="es-ES_tradnl"/>
              </w:rPr>
              <w:t>En efecto, el ejercicio de potestades discrecionales comporta valoraciones de conveniencia</w:t>
            </w:r>
            <w:r w:rsidRPr="00DC0D69">
              <w:rPr>
                <w:rFonts w:ascii="Verdana" w:eastAsia="Calibri" w:hAnsi="Verdana" w:cs="Arial"/>
              </w:rPr>
              <w:t>, ya que la norma no predetermina el contenido de la decisión</w:t>
            </w:r>
            <w:r w:rsidR="00750FC0" w:rsidRPr="00DC0D69">
              <w:rPr>
                <w:rFonts w:ascii="Verdana" w:eastAsia="Calibri" w:hAnsi="Verdana" w:cs="Arial"/>
              </w:rPr>
              <w:t>,</w:t>
            </w:r>
            <w:r w:rsidRPr="00DC0D69">
              <w:rPr>
                <w:rFonts w:ascii="Verdana" w:eastAsia="Calibri" w:hAnsi="Verdana" w:cs="Arial"/>
              </w:rPr>
              <w:t xml:space="preserve"> sino que la deja a la libre consideración del órgano competente. En otras palabras, queda a la Administración la facultad de valorar la oportunidad de actuar o dejar de hacerlo. Esa facultad de apreciación del interés público con el fin de decidir la conveniencia o no de la acción administrativa no correspondería a ejercicio de una potestad reglada. </w:t>
            </w:r>
          </w:p>
          <w:p w14:paraId="508A31FF" w14:textId="32F5BDDB" w:rsidR="00130F27" w:rsidRPr="00DC0D69" w:rsidRDefault="00130F27" w:rsidP="00130F27">
            <w:pPr>
              <w:spacing w:after="120" w:line="276" w:lineRule="auto"/>
              <w:ind w:firstLine="708"/>
              <w:jc w:val="both"/>
              <w:rPr>
                <w:rFonts w:ascii="Verdana" w:hAnsi="Verdana" w:cs="Arial"/>
              </w:rPr>
            </w:pPr>
            <w:r w:rsidRPr="00DC0D69">
              <w:rPr>
                <w:rFonts w:ascii="Verdana" w:eastAsia="Calibri" w:hAnsi="Verdana" w:cs="Arial"/>
                <w:lang w:val="es-ES_tradnl"/>
              </w:rPr>
              <w:t xml:space="preserve">Por tanto, si previa valoración de la </w:t>
            </w:r>
            <w:r w:rsidRPr="00DC0D69">
              <w:rPr>
                <w:rFonts w:ascii="Verdana" w:eastAsia="Calibri" w:hAnsi="Verdana" w:cs="Arial"/>
                <w:i/>
                <w:iCs/>
                <w:lang w:val="es-ES_tradnl"/>
              </w:rPr>
              <w:t xml:space="preserve">oportunidad </w:t>
            </w:r>
            <w:r w:rsidRPr="00DC0D69">
              <w:rPr>
                <w:rFonts w:ascii="Verdana" w:eastAsia="Calibri" w:hAnsi="Verdana" w:cs="Arial"/>
                <w:lang w:val="es-ES_tradnl"/>
              </w:rPr>
              <w:t>y</w:t>
            </w:r>
            <w:r w:rsidRPr="00DC0D69">
              <w:rPr>
                <w:rFonts w:ascii="Verdana" w:eastAsia="Calibri" w:hAnsi="Verdana" w:cs="Arial"/>
                <w:i/>
                <w:iCs/>
                <w:lang w:val="es-ES_tradnl"/>
              </w:rPr>
              <w:t xml:space="preserve"> </w:t>
            </w:r>
            <w:r w:rsidRPr="00DC0D69">
              <w:rPr>
                <w:rFonts w:ascii="Verdana" w:eastAsia="Calibri" w:hAnsi="Verdana" w:cs="Arial"/>
                <w:lang w:val="es-ES_tradnl"/>
              </w:rPr>
              <w:t xml:space="preserve">la </w:t>
            </w:r>
            <w:r w:rsidRPr="00DC0D69">
              <w:rPr>
                <w:rFonts w:ascii="Verdana" w:eastAsia="Calibri" w:hAnsi="Verdana" w:cs="Arial"/>
                <w:i/>
                <w:iCs/>
                <w:lang w:val="es-ES_tradnl"/>
              </w:rPr>
              <w:t xml:space="preserve">conveniencia </w:t>
            </w:r>
            <w:r w:rsidRPr="00DC0D69">
              <w:rPr>
                <w:rFonts w:ascii="Verdana" w:eastAsia="Calibri" w:hAnsi="Verdana" w:cs="Arial"/>
                <w:lang w:val="es-ES_tradnl"/>
              </w:rPr>
              <w:t>se concluye que el incentivo no pone en riesgo las condiciones de calidad, no contraría Acuerdos Comerciales vigentes ni pone en riesgo la adecuada ejecución del objeto contractual, la entidad contratante</w:t>
            </w:r>
            <w:r w:rsidRPr="00DC0D69" w:rsidDel="00150930">
              <w:rPr>
                <w:rFonts w:ascii="Verdana" w:eastAsia="Calibri" w:hAnsi="Verdana" w:cs="Arial"/>
                <w:lang w:val="es-ES_tradnl"/>
              </w:rPr>
              <w:t xml:space="preserve"> </w:t>
            </w:r>
            <w:r w:rsidRPr="00DC0D69">
              <w:rPr>
                <w:rFonts w:ascii="Verdana" w:eastAsia="Calibri" w:hAnsi="Verdana" w:cs="Arial"/>
                <w:lang w:val="es-ES_tradnl"/>
              </w:rPr>
              <w:t xml:space="preserve">estructurará el pliego de condiciones o documento equivalente exigiendo el porcentaje dentro del rango previsto en la norma en comento y fijando las sanciones pecuniarias derivadas del incumplimiento injustificado en la minuta del contrato. </w:t>
            </w:r>
          </w:p>
          <w:p w14:paraId="462BB981" w14:textId="1F746D1A" w:rsidR="008817B0" w:rsidRPr="00DC0D69" w:rsidRDefault="008817B0" w:rsidP="00130F27">
            <w:pPr>
              <w:spacing w:after="120" w:line="276" w:lineRule="auto"/>
              <w:ind w:firstLine="708"/>
              <w:jc w:val="both"/>
              <w:rPr>
                <w:rFonts w:ascii="Verdana" w:eastAsia="Calibri" w:hAnsi="Verdana" w:cs="Arial"/>
              </w:rPr>
            </w:pPr>
            <w:r w:rsidRPr="00DC0D69">
              <w:rPr>
                <w:rStyle w:val="s15"/>
                <w:rFonts w:ascii="Verdana" w:hAnsi="Verdana"/>
                <w:color w:val="000000"/>
              </w:rPr>
              <w:lastRenderedPageBreak/>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bookmarkEnd w:id="1"/>
    </w:tbl>
    <w:p w14:paraId="219EB8B2" w14:textId="77777777" w:rsidR="008817B0" w:rsidRPr="00DC0D69" w:rsidRDefault="008817B0" w:rsidP="008817B0">
      <w:pPr>
        <w:widowControl w:val="0"/>
        <w:autoSpaceDE w:val="0"/>
        <w:autoSpaceDN w:val="0"/>
        <w:spacing w:after="0" w:line="276" w:lineRule="auto"/>
        <w:ind w:left="360" w:hanging="360"/>
        <w:outlineLvl w:val="0"/>
        <w:rPr>
          <w:rFonts w:ascii="Verdana" w:eastAsia="Arial" w:hAnsi="Verdana" w:cs="Arial"/>
          <w:b/>
          <w:bCs/>
          <w:highlight w:val="cyan"/>
          <w:lang w:val="es-ES"/>
        </w:rPr>
      </w:pPr>
    </w:p>
    <w:p w14:paraId="61205656" w14:textId="77777777" w:rsidR="008817B0" w:rsidRPr="00DC0D69" w:rsidRDefault="008817B0" w:rsidP="008817B0">
      <w:pPr>
        <w:widowControl w:val="0"/>
        <w:autoSpaceDE w:val="0"/>
        <w:autoSpaceDN w:val="0"/>
        <w:spacing w:after="0" w:line="276" w:lineRule="auto"/>
        <w:ind w:left="360" w:hanging="360"/>
        <w:outlineLvl w:val="0"/>
        <w:rPr>
          <w:rFonts w:ascii="Verdana" w:eastAsia="Arial" w:hAnsi="Verdana" w:cs="Arial"/>
          <w:b/>
          <w:bCs/>
          <w:lang w:val="es-ES"/>
        </w:rPr>
      </w:pPr>
      <w:r w:rsidRPr="00DC0D69">
        <w:rPr>
          <w:rFonts w:ascii="Verdana" w:eastAsia="Arial" w:hAnsi="Verdana" w:cs="Arial"/>
          <w:b/>
          <w:bCs/>
          <w:lang w:val="es-ES"/>
        </w:rPr>
        <w:t>3. Razones de la respuesta:</w:t>
      </w:r>
    </w:p>
    <w:p w14:paraId="309CFAA2" w14:textId="77777777" w:rsidR="008817B0" w:rsidRPr="00DC0D69" w:rsidRDefault="008817B0" w:rsidP="008817B0">
      <w:pPr>
        <w:spacing w:after="0" w:line="276" w:lineRule="auto"/>
        <w:jc w:val="both"/>
        <w:rPr>
          <w:rFonts w:ascii="Verdana" w:eastAsia="Calibri" w:hAnsi="Verdana" w:cs="Arial"/>
          <w:lang w:val="es-ES"/>
        </w:rPr>
      </w:pPr>
    </w:p>
    <w:p w14:paraId="1147E714" w14:textId="77777777" w:rsidR="008817B0" w:rsidRPr="00DC0D69" w:rsidRDefault="008817B0" w:rsidP="008817B0">
      <w:pPr>
        <w:spacing w:after="0" w:line="276" w:lineRule="auto"/>
        <w:jc w:val="both"/>
        <w:rPr>
          <w:rFonts w:ascii="Verdana" w:eastAsia="Calibri" w:hAnsi="Verdana" w:cs="Arial"/>
          <w:lang w:val="es-ES"/>
        </w:rPr>
      </w:pPr>
      <w:r w:rsidRPr="00DC0D69">
        <w:rPr>
          <w:rFonts w:ascii="Verdana" w:eastAsia="Calibri" w:hAnsi="Verdana" w:cs="Arial"/>
          <w:lang w:val="es-ES"/>
        </w:rPr>
        <w:t xml:space="preserve">La respuesta anterior se sustenta en las siguientes consideraciones: </w:t>
      </w:r>
    </w:p>
    <w:p w14:paraId="0E78B605" w14:textId="77777777" w:rsidR="008817B0" w:rsidRPr="00DC0D69" w:rsidRDefault="008817B0" w:rsidP="008817B0">
      <w:pPr>
        <w:spacing w:after="0" w:line="276" w:lineRule="auto"/>
        <w:jc w:val="both"/>
        <w:rPr>
          <w:rFonts w:ascii="Verdana" w:eastAsia="Calibri" w:hAnsi="Verdana" w:cs="Arial"/>
          <w:lang w:val="es-ES"/>
        </w:rPr>
      </w:pPr>
    </w:p>
    <w:p w14:paraId="1B55210C" w14:textId="6E247F35" w:rsidR="00EC7321" w:rsidRPr="00DC0D69" w:rsidRDefault="00287C31" w:rsidP="00D2011A">
      <w:pPr>
        <w:spacing w:after="120" w:line="276" w:lineRule="auto"/>
        <w:jc w:val="both"/>
        <w:rPr>
          <w:rFonts w:ascii="Verdana" w:eastAsia="Calibri" w:hAnsi="Verdana" w:cs="Arial"/>
          <w:lang w:val="es-ES_tradnl"/>
        </w:rPr>
      </w:pPr>
      <w:r w:rsidRPr="00DC0D69">
        <w:rPr>
          <w:rFonts w:ascii="Verdana" w:eastAsia="Calibri" w:hAnsi="Verdana" w:cs="Arial"/>
          <w:lang w:val="es-ES_tradnl"/>
        </w:rPr>
        <w:t xml:space="preserve">i) </w:t>
      </w:r>
      <w:r w:rsidR="00EC7321" w:rsidRPr="00DC0D69">
        <w:rPr>
          <w:rFonts w:ascii="Verdana" w:eastAsia="Calibri" w:hAnsi="Verdana" w:cs="Arial"/>
          <w:lang w:val="es-ES_tradnl"/>
        </w:rPr>
        <w:t>El artículo 34 de la Ley 2069 de 2020 establece nuevas reglas sobre la promoción al desarrollo en la contratación estatal. Concretamente, modifica el contenido del artículo 12 de la Ley 1150 de 2007</w:t>
      </w:r>
      <w:r w:rsidR="00EC7321" w:rsidRPr="00DC0D69">
        <w:rPr>
          <w:rStyle w:val="Refdenotaalpie"/>
          <w:rFonts w:ascii="Verdana" w:eastAsia="Calibri" w:hAnsi="Verdana" w:cs="Arial"/>
          <w:lang w:val="es-ES_tradnl"/>
        </w:rPr>
        <w:footnoteReference w:id="1"/>
      </w:r>
      <w:r w:rsidR="00EC7321" w:rsidRPr="00DC0D69">
        <w:rPr>
          <w:rFonts w:ascii="Verdana" w:eastAsia="Calibri" w:hAnsi="Verdana" w:cs="Arial"/>
          <w:lang w:val="es-ES_tradnl"/>
        </w:rPr>
        <w:t>, prescribiendo lo que se indica a continuación:</w:t>
      </w:r>
    </w:p>
    <w:p w14:paraId="0A48BD0D" w14:textId="4607B9F4" w:rsidR="00EF2B09" w:rsidRPr="00DC0D69" w:rsidRDefault="00EF2B09" w:rsidP="00D2011A">
      <w:pPr>
        <w:spacing w:after="120" w:line="276" w:lineRule="auto"/>
        <w:ind w:firstLine="709"/>
        <w:jc w:val="both"/>
        <w:rPr>
          <w:rFonts w:ascii="Verdana" w:eastAsia="Calibri" w:hAnsi="Verdana" w:cs="Arial"/>
          <w:lang w:val="es-ES_tradnl"/>
        </w:rPr>
      </w:pPr>
      <w:r w:rsidRPr="00DC0D69">
        <w:rPr>
          <w:rFonts w:ascii="Verdana" w:eastAsia="Calibri" w:hAnsi="Verdana" w:cs="Arial"/>
          <w:lang w:val="es-ES_tradnl"/>
        </w:rPr>
        <w:lastRenderedPageBreak/>
        <w:t xml:space="preserve">i) Encomienda, con carácter imperativo, al gobierno nacional definir las condiciones y los montos para que las entidades estatales –cualquiera sea su régimen contractual–, los patrimonios autónomos constituidos por aquellas y los particulares que administren recursos </w:t>
      </w:r>
      <w:r w:rsidR="00EE27A8" w:rsidRPr="00DC0D69">
        <w:rPr>
          <w:rFonts w:ascii="Verdana" w:eastAsia="Calibri" w:hAnsi="Verdana" w:cs="Arial"/>
          <w:lang w:val="es-ES_tradnl"/>
        </w:rPr>
        <w:t>públicos</w:t>
      </w:r>
      <w:r w:rsidRPr="00DC0D69">
        <w:rPr>
          <w:rFonts w:ascii="Verdana" w:eastAsia="Calibri" w:hAnsi="Verdana" w:cs="Arial"/>
          <w:lang w:val="es-ES_tradnl"/>
        </w:rPr>
        <w:t xml:space="preserve"> efectúen convocatorias limitadas a mipymes en los procesos de contratación. Y agrega que estas convocatorias se pueden realizar también en el ámbito municipal o departamental en el que se ejecute el contrato. </w:t>
      </w:r>
    </w:p>
    <w:p w14:paraId="238944EF" w14:textId="77777777" w:rsidR="00EF2B09" w:rsidRPr="00DC0D69" w:rsidRDefault="00EF2B09" w:rsidP="00D2011A">
      <w:pPr>
        <w:spacing w:after="120" w:line="276" w:lineRule="auto"/>
        <w:ind w:firstLine="709"/>
        <w:jc w:val="both"/>
        <w:rPr>
          <w:rFonts w:ascii="Verdana" w:eastAsia="Calibri" w:hAnsi="Verdana" w:cs="Arial"/>
          <w:lang w:val="es-ES_tradnl"/>
        </w:rPr>
      </w:pPr>
      <w:r w:rsidRPr="00DC0D69">
        <w:rPr>
          <w:rFonts w:ascii="Verdana" w:eastAsia="Calibri" w:hAnsi="Verdana" w:cs="Arial"/>
          <w:lang w:val="es-ES_tradnl"/>
        </w:rPr>
        <w:t>ii) Indica que dichas convocatorias se deben efectuar siempre y cuando, antes del acto administrativo de apertura del proceso de selección, por lo menos dos (2) mipymes hayan manifestado su interés.</w:t>
      </w:r>
    </w:p>
    <w:p w14:paraId="64265AEA" w14:textId="77777777" w:rsidR="00EF2B09" w:rsidRPr="00DC0D69" w:rsidRDefault="00EF2B09" w:rsidP="00D2011A">
      <w:pPr>
        <w:spacing w:after="120" w:line="276" w:lineRule="auto"/>
        <w:ind w:firstLine="709"/>
        <w:jc w:val="both"/>
        <w:rPr>
          <w:rFonts w:ascii="Verdana" w:eastAsia="Calibri" w:hAnsi="Verdana" w:cs="Arial"/>
          <w:lang w:val="es-ES_tradnl"/>
        </w:rPr>
      </w:pPr>
      <w:r w:rsidRPr="00DC0D69">
        <w:rPr>
          <w:rFonts w:ascii="Verdana" w:eastAsia="Calibri" w:hAnsi="Verdana" w:cs="Arial"/>
          <w:lang w:val="es-ES_tradnl"/>
        </w:rPr>
        <w:t>iii) Determina que uno de los parámetros que deberá tener en cuenta el gobierno nacional para reglamentar la materia es el cumplimiento de los compromisos internacionales vigentes. Es decir que se deberán considerar las estipulaciones contenidas en los tratados comerciales suscritos entre Colombia y otros Estados.</w:t>
      </w:r>
    </w:p>
    <w:p w14:paraId="2E7AB7E6" w14:textId="77777777" w:rsidR="00EF2B09" w:rsidRPr="00DC0D69" w:rsidRDefault="00EF2B09" w:rsidP="00D2011A">
      <w:pPr>
        <w:spacing w:after="120" w:line="276" w:lineRule="auto"/>
        <w:ind w:firstLine="709"/>
        <w:jc w:val="both"/>
        <w:rPr>
          <w:rFonts w:ascii="Verdana" w:eastAsia="Calibri" w:hAnsi="Verdana" w:cs="Arial"/>
          <w:lang w:val="es-ES_tradnl"/>
        </w:rPr>
      </w:pPr>
      <w:r w:rsidRPr="00DC0D69">
        <w:rPr>
          <w:rFonts w:ascii="Verdana" w:eastAsia="Calibri" w:hAnsi="Verdana" w:cs="Arial"/>
          <w:lang w:val="es-ES_tradnl"/>
        </w:rPr>
        <w:t>iv) Establece que, en el reglamento, el gobierno nacional podría establecer condiciones preferenciales para los bienes y servicios producidos por las mipymes, sin contrariar los compromisos internacionales vigentes.</w:t>
      </w:r>
    </w:p>
    <w:p w14:paraId="34EDB3D1" w14:textId="77777777" w:rsidR="00EF2B09" w:rsidRPr="00DC0D69" w:rsidRDefault="00EF2B09" w:rsidP="00D2011A">
      <w:pPr>
        <w:spacing w:after="120" w:line="276" w:lineRule="auto"/>
        <w:ind w:firstLine="709"/>
        <w:jc w:val="both"/>
        <w:rPr>
          <w:rFonts w:ascii="Verdana" w:eastAsia="Calibri" w:hAnsi="Verdana" w:cs="Arial"/>
          <w:lang w:val="es-ES_tradnl"/>
        </w:rPr>
      </w:pPr>
      <w:r w:rsidRPr="00DC0D69">
        <w:rPr>
          <w:rFonts w:ascii="Verdana" w:eastAsia="Calibri" w:hAnsi="Verdana" w:cs="Arial"/>
          <w:lang w:val="es-ES_tradnl"/>
        </w:rPr>
        <w:t>v)  Aclara que tanto las convocatorias limitadas a mipymes, como las condiciones preferenciales a favor de los bienes y servicios producidos por estas, no es óbice para que deban cumplir las exigencias técnicas y económicas del proceso de selección.</w:t>
      </w:r>
    </w:p>
    <w:p w14:paraId="1E183AC9" w14:textId="77777777" w:rsidR="00EF2B09" w:rsidRPr="00DC0D69" w:rsidRDefault="00EF2B09" w:rsidP="00D2011A">
      <w:pPr>
        <w:spacing w:after="120" w:line="276" w:lineRule="auto"/>
        <w:ind w:firstLine="709"/>
        <w:jc w:val="both"/>
        <w:rPr>
          <w:rFonts w:ascii="Verdana" w:eastAsia="Calibri" w:hAnsi="Verdana" w:cs="Arial"/>
          <w:lang w:val="es-ES_tradnl"/>
        </w:rPr>
      </w:pPr>
      <w:r w:rsidRPr="00DC0D69">
        <w:rPr>
          <w:rFonts w:ascii="Verdana" w:eastAsia="Calibri" w:hAnsi="Verdana" w:cs="Arial"/>
          <w:lang w:val="es-ES_tradnl"/>
        </w:rPr>
        <w:t xml:space="preserve">vi) Señala que el reglamento a cargo del gobierno nacional, además de las convocatorias limitadas a mipymes, deberá contener disposiciones normativas que permitan la provisión de bienes y servicios, a través de la </w:t>
      </w:r>
      <w:r w:rsidRPr="00DC0D69">
        <w:rPr>
          <w:rFonts w:ascii="Verdana" w:eastAsia="Calibri" w:hAnsi="Verdana" w:cs="Arial"/>
          <w:lang w:val="es-ES_tradnl"/>
        </w:rPr>
        <w:lastRenderedPageBreak/>
        <w:t xml:space="preserve">celebración de contratos estatales con algunas </w:t>
      </w:r>
      <w:r w:rsidRPr="00DC0D69">
        <w:rPr>
          <w:rFonts w:ascii="Verdana" w:eastAsia="Calibri" w:hAnsi="Verdana" w:cs="Arial"/>
          <w:i/>
          <w:iCs/>
          <w:lang w:val="es-ES_tradnl"/>
        </w:rPr>
        <w:t>personas que gozan de especial protección constitucional</w:t>
      </w:r>
      <w:r w:rsidRPr="00DC0D69">
        <w:rPr>
          <w:rFonts w:ascii="Verdana" w:eastAsia="Calibri" w:hAnsi="Verdana" w:cs="Arial"/>
          <w:lang w:val="es-ES_tradnl"/>
        </w:rPr>
        <w:t>. Entre tales personas se encuentran las que tengan condiciones de pobreza extrema, las desplazadas por la violencia y quienes estén en procesos de reintegración o reincorporación, entre otras que incluya el reglamento.</w:t>
      </w:r>
    </w:p>
    <w:p w14:paraId="2293ED0A" w14:textId="77777777" w:rsidR="00EF2B09" w:rsidRPr="00DC0D69" w:rsidRDefault="00EF2B09" w:rsidP="00D2011A">
      <w:pPr>
        <w:spacing w:after="120" w:line="276" w:lineRule="auto"/>
        <w:ind w:firstLine="709"/>
        <w:jc w:val="both"/>
        <w:rPr>
          <w:rFonts w:ascii="Verdana" w:eastAsia="Calibri" w:hAnsi="Verdana" w:cs="Arial"/>
          <w:lang w:val="es-ES_tradnl"/>
        </w:rPr>
      </w:pPr>
      <w:r w:rsidRPr="00DC0D69">
        <w:rPr>
          <w:rFonts w:ascii="Verdana" w:eastAsia="Calibri" w:hAnsi="Verdana" w:cs="Arial"/>
          <w:lang w:val="es-ES_tradnl"/>
        </w:rPr>
        <w:t>vii) Precisa que la posibilidad de participar en convocatorias limitadas a mipymes se encuentra condicionada a que estas acrediten como mínimo un año de existencia, con el certificado expedido por la cámara de comercio respectiva o por la autoridad que sea competente para ello.</w:t>
      </w:r>
    </w:p>
    <w:p w14:paraId="1FF95F11" w14:textId="77777777" w:rsidR="00EF2B09" w:rsidRPr="00DC0D69" w:rsidRDefault="00EF2B09" w:rsidP="00D2011A">
      <w:pPr>
        <w:spacing w:after="120" w:line="276" w:lineRule="auto"/>
        <w:ind w:firstLine="709"/>
        <w:jc w:val="both"/>
        <w:rPr>
          <w:rFonts w:ascii="Verdana" w:eastAsia="Calibri" w:hAnsi="Verdana" w:cs="Arial"/>
          <w:lang w:val="es-ES_tradnl"/>
        </w:rPr>
      </w:pPr>
      <w:r w:rsidRPr="00DC0D69">
        <w:rPr>
          <w:rFonts w:ascii="Verdana" w:eastAsia="Calibri" w:hAnsi="Verdana" w:cs="Arial"/>
          <w:lang w:val="es-ES_tradnl"/>
        </w:rPr>
        <w:t>viii) Hace obligatorio el cumplimiento de lo dispuesto en los artículos 90 a 95 de la Ley 418 de 1997 –normas que establecen la obligación de declarar la caducidad y la liquidación unilateral cuando el contratista beneficie grupos armados organizados al margen de la ley– en la ejecución de los contratos celebrados en virtud del artículo 34 de la Ley 2069 de 2020.</w:t>
      </w:r>
    </w:p>
    <w:p w14:paraId="4EEE0494" w14:textId="01B55B7F" w:rsidR="00831FCA" w:rsidRPr="00DC0D69" w:rsidRDefault="00E15099" w:rsidP="00D2011A">
      <w:pPr>
        <w:spacing w:after="120" w:line="276" w:lineRule="auto"/>
        <w:ind w:firstLine="709"/>
        <w:jc w:val="both"/>
        <w:rPr>
          <w:rFonts w:ascii="Verdana" w:eastAsia="Calibri" w:hAnsi="Verdana" w:cs="Arial"/>
          <w:lang w:val="es-ES_tradnl"/>
        </w:rPr>
      </w:pPr>
      <w:r w:rsidRPr="00DC0D69">
        <w:rPr>
          <w:rFonts w:ascii="Verdana" w:eastAsia="Calibri" w:hAnsi="Verdana" w:cs="Arial"/>
          <w:lang w:val="es-ES_tradnl"/>
        </w:rPr>
        <w:t xml:space="preserve">Teniendo en cuenta el objeto de su consulta, </w:t>
      </w:r>
      <w:r w:rsidR="00EF2B09" w:rsidRPr="00DC0D69">
        <w:rPr>
          <w:rFonts w:ascii="Verdana" w:eastAsia="Calibri" w:hAnsi="Verdana" w:cs="Arial"/>
          <w:lang w:val="es-ES_tradnl"/>
        </w:rPr>
        <w:t xml:space="preserve">es necesario tener en cuenta que el Gobierno Nacional expidió el Decreto 1860 de 24 de diciembre de 2021, el cual adicionó el artículo 2.2.1.2.4.2.16 a la Subsección 2 de la Sección 4 del Capítulo 2 del Título 1 de la Parte 2 del Libro 2 del Decreto 1082 de 2015, Único Reglamentario del Sector Administrativo de Planeación Nacional. Esto para desarrollar el inciso cuarto del artículo 34 de la Ley 2069 de 2020, </w:t>
      </w:r>
      <w:r w:rsidR="00831FCA" w:rsidRPr="00DC0D69">
        <w:rPr>
          <w:rFonts w:ascii="Verdana" w:eastAsia="Calibri" w:hAnsi="Verdana" w:cs="Arial"/>
          <w:lang w:val="es-ES_tradnl"/>
        </w:rPr>
        <w:t>que expresamente</w:t>
      </w:r>
      <w:r w:rsidR="00EF2B09" w:rsidRPr="00DC0D69">
        <w:rPr>
          <w:rFonts w:ascii="Verdana" w:eastAsia="Calibri" w:hAnsi="Verdana" w:cs="Arial"/>
          <w:lang w:val="es-ES_tradnl"/>
        </w:rPr>
        <w:t xml:space="preserve"> dispone</w:t>
      </w:r>
      <w:r w:rsidR="00831FCA" w:rsidRPr="00DC0D69">
        <w:rPr>
          <w:rFonts w:ascii="Verdana" w:eastAsia="Calibri" w:hAnsi="Verdana" w:cs="Arial"/>
          <w:lang w:val="es-ES_tradnl"/>
        </w:rPr>
        <w:t>:</w:t>
      </w:r>
      <w:r w:rsidR="00EF2B09" w:rsidRPr="00DC0D69">
        <w:rPr>
          <w:rFonts w:ascii="Verdana" w:eastAsia="Calibri" w:hAnsi="Verdana" w:cs="Arial"/>
          <w:lang w:val="es-ES_tradnl"/>
        </w:rPr>
        <w:t xml:space="preserve"> “[…] en los pliegos de condiciones dispondrán, de mecanismos que fomenten en la ejecución de los contratos estatales la provisión de bienes y servicios por población en pobreza extrema, desplazados por la violencia, personas en proceso de reintegración o reincorporación y, sujetos de especial protección constitucional </w:t>
      </w:r>
      <w:r w:rsidR="00EF2B09" w:rsidRPr="00DC0D69">
        <w:rPr>
          <w:rFonts w:ascii="Verdana" w:eastAsia="Calibri" w:hAnsi="Verdana" w:cs="Arial"/>
          <w:i/>
          <w:iCs/>
          <w:lang w:val="es-ES_tradnl"/>
        </w:rPr>
        <w:t>en las condiciones que señale el reglamento</w:t>
      </w:r>
      <w:r w:rsidR="00EF2B09" w:rsidRPr="00DC0D69">
        <w:rPr>
          <w:rFonts w:ascii="Verdana" w:eastAsia="Calibri" w:hAnsi="Verdana" w:cs="Arial"/>
          <w:lang w:val="es-ES_tradnl"/>
        </w:rPr>
        <w:t xml:space="preserve">; siempre que se garanticen las condiciones de calidad y cumplimiento del objeto contractual” (Énfasis fuera de texto). </w:t>
      </w:r>
    </w:p>
    <w:p w14:paraId="57101E0E" w14:textId="4E528610" w:rsidR="00EF2B09" w:rsidRPr="00DC0D69" w:rsidRDefault="00EF2B09" w:rsidP="00EF2B09">
      <w:pPr>
        <w:spacing w:before="120" w:after="0" w:line="276" w:lineRule="auto"/>
        <w:ind w:firstLine="709"/>
        <w:jc w:val="both"/>
        <w:rPr>
          <w:rFonts w:ascii="Verdana" w:eastAsia="Calibri" w:hAnsi="Verdana" w:cs="Arial"/>
          <w:lang w:val="es-ES_tradnl"/>
        </w:rPr>
      </w:pPr>
      <w:r w:rsidRPr="00DC0D69">
        <w:rPr>
          <w:rFonts w:ascii="Verdana" w:eastAsia="Calibri" w:hAnsi="Verdana" w:cs="Arial"/>
          <w:lang w:val="es-ES_tradnl"/>
        </w:rPr>
        <w:t xml:space="preserve">Para estos efectos, el artículo 2.2.1.2.4.2.16 del Decreto 1082 de 2015, adicionado por el artículo 3 del Decreto 1860 de 2021, prescribe lo siguiente: </w:t>
      </w:r>
    </w:p>
    <w:p w14:paraId="205DF566" w14:textId="77777777" w:rsidR="00EF2B09" w:rsidRPr="00DC0D69" w:rsidRDefault="00EF2B09" w:rsidP="00EF2B09">
      <w:pPr>
        <w:spacing w:after="0" w:line="276" w:lineRule="auto"/>
        <w:ind w:left="709" w:right="709"/>
        <w:jc w:val="both"/>
        <w:rPr>
          <w:rFonts w:ascii="Verdana" w:eastAsia="Calibri" w:hAnsi="Verdana" w:cs="Arial"/>
          <w:lang w:val="es-ES_tradnl"/>
        </w:rPr>
      </w:pPr>
    </w:p>
    <w:p w14:paraId="4F9C1CA0" w14:textId="29C45D28" w:rsidR="00EF2B09" w:rsidRPr="00DC0D69" w:rsidRDefault="00EF2B09" w:rsidP="0007494B">
      <w:pPr>
        <w:spacing w:after="0" w:line="240" w:lineRule="auto"/>
        <w:ind w:left="709" w:right="709"/>
        <w:jc w:val="both"/>
        <w:rPr>
          <w:rFonts w:ascii="Verdana" w:hAnsi="Verdana" w:cs="Arial"/>
          <w:sz w:val="20"/>
          <w:szCs w:val="20"/>
        </w:rPr>
      </w:pPr>
      <w:r w:rsidRPr="00DC0D69">
        <w:rPr>
          <w:rFonts w:ascii="Verdana" w:hAnsi="Verdana" w:cs="Arial"/>
          <w:sz w:val="20"/>
          <w:szCs w:val="20"/>
        </w:rPr>
        <w:t xml:space="preserve">“En los Procesos de Contratación, las Entidades Estatales indistintamente de su régimen de contratación, los patrimonios autónomos constituidos por Entidades Estatales y los particulares que ejecuten recursos públicos </w:t>
      </w:r>
      <w:r w:rsidRPr="00DC0D69">
        <w:rPr>
          <w:rFonts w:ascii="Verdana" w:hAnsi="Verdana" w:cs="Arial"/>
          <w:i/>
          <w:iCs/>
          <w:sz w:val="20"/>
          <w:szCs w:val="20"/>
        </w:rPr>
        <w:t>fomentarán</w:t>
      </w:r>
      <w:r w:rsidRPr="00DC0D69">
        <w:rPr>
          <w:rFonts w:ascii="Verdana" w:hAnsi="Verdana" w:cs="Arial"/>
          <w:sz w:val="20"/>
          <w:szCs w:val="20"/>
        </w:rPr>
        <w:t xml:space="preserve"> en los pliegos de condiciones o documento equivalente que los contratistas destinen al cumplimiento del objeto contractual la provisión de bienes o servicios por parte de población en pobreza extrema, </w:t>
      </w:r>
      <w:r w:rsidRPr="00DC0D69">
        <w:rPr>
          <w:rFonts w:ascii="Verdana" w:hAnsi="Verdana" w:cs="Arial"/>
          <w:sz w:val="20"/>
          <w:szCs w:val="20"/>
        </w:rPr>
        <w:lastRenderedPageBreak/>
        <w:t xml:space="preserve">desplazados por la violencia, personas en proceso de reintegración o reincorporación y </w:t>
      </w:r>
      <w:r w:rsidRPr="00DC0D69">
        <w:rPr>
          <w:rFonts w:ascii="Verdana" w:hAnsi="Verdana" w:cs="Arial"/>
          <w:i/>
          <w:iCs/>
          <w:sz w:val="20"/>
          <w:szCs w:val="20"/>
        </w:rPr>
        <w:t>sujetos de especial protección constitucional</w:t>
      </w:r>
      <w:r w:rsidRPr="00DC0D69">
        <w:rPr>
          <w:rFonts w:ascii="Verdana" w:hAnsi="Verdana" w:cs="Arial"/>
          <w:sz w:val="20"/>
          <w:szCs w:val="20"/>
        </w:rPr>
        <w:t xml:space="preserve">, garantizando las condiciones de calidad y sin perjuicio de los Acuerdos Comerciales vigentes. </w:t>
      </w:r>
    </w:p>
    <w:p w14:paraId="6D369BF9" w14:textId="77777777" w:rsidR="0007494B" w:rsidRPr="00DC0D69" w:rsidRDefault="0007494B" w:rsidP="00D2011A">
      <w:pPr>
        <w:spacing w:after="0" w:line="240" w:lineRule="auto"/>
        <w:ind w:left="709" w:right="709"/>
        <w:jc w:val="both"/>
        <w:rPr>
          <w:rFonts w:ascii="Verdana" w:hAnsi="Verdana" w:cs="Arial"/>
          <w:sz w:val="20"/>
          <w:szCs w:val="20"/>
        </w:rPr>
      </w:pPr>
    </w:p>
    <w:p w14:paraId="33030669" w14:textId="630A947E" w:rsidR="00EF2B09" w:rsidRPr="00DC0D69" w:rsidRDefault="00EF2B09" w:rsidP="0007494B">
      <w:pPr>
        <w:spacing w:after="0" w:line="240" w:lineRule="auto"/>
        <w:ind w:left="709" w:right="709"/>
        <w:jc w:val="both"/>
        <w:rPr>
          <w:rFonts w:ascii="Verdana" w:hAnsi="Verdana" w:cs="Arial"/>
          <w:sz w:val="20"/>
          <w:szCs w:val="20"/>
        </w:rPr>
      </w:pPr>
      <w:r w:rsidRPr="00DC0D69">
        <w:rPr>
          <w:rFonts w:ascii="Verdana" w:hAnsi="Verdana" w:cs="Arial"/>
          <w:sz w:val="20"/>
          <w:szCs w:val="20"/>
        </w:rPr>
        <w:t xml:space="preserve">La participación de los sujetos anteriormente mencionados en la ejecución del contrato </w:t>
      </w:r>
      <w:r w:rsidRPr="00DC0D69">
        <w:rPr>
          <w:rFonts w:ascii="Verdana" w:hAnsi="Verdana" w:cs="Arial"/>
          <w:i/>
          <w:iCs/>
          <w:sz w:val="20"/>
          <w:szCs w:val="20"/>
        </w:rPr>
        <w:t>se fomentará previo análisis de su oportunidad y conveniencia en los Documentos del Proceso</w:t>
      </w:r>
      <w:r w:rsidRPr="00DC0D69">
        <w:rPr>
          <w:rFonts w:ascii="Verdana" w:hAnsi="Verdana" w:cs="Arial"/>
          <w:sz w:val="20"/>
          <w:szCs w:val="20"/>
        </w:rPr>
        <w:t xml:space="preserve">, teniendo en cuenta el objeto contractual y el alcance de las obligaciones. </w:t>
      </w:r>
    </w:p>
    <w:p w14:paraId="27EF9B7D" w14:textId="77777777" w:rsidR="0007494B" w:rsidRPr="00DC0D69" w:rsidRDefault="0007494B" w:rsidP="00D2011A">
      <w:pPr>
        <w:spacing w:after="0" w:line="240" w:lineRule="auto"/>
        <w:ind w:left="709" w:right="709"/>
        <w:jc w:val="both"/>
        <w:rPr>
          <w:rFonts w:ascii="Verdana" w:hAnsi="Verdana" w:cs="Arial"/>
          <w:sz w:val="20"/>
          <w:szCs w:val="20"/>
        </w:rPr>
      </w:pPr>
    </w:p>
    <w:p w14:paraId="1619AD48" w14:textId="2E2CCB99" w:rsidR="00EF2B09" w:rsidRPr="00DC0D69" w:rsidRDefault="00EF2B09" w:rsidP="0007494B">
      <w:pPr>
        <w:spacing w:after="0" w:line="240" w:lineRule="auto"/>
        <w:ind w:left="709" w:right="709"/>
        <w:jc w:val="both"/>
        <w:rPr>
          <w:rFonts w:ascii="Verdana" w:hAnsi="Verdana" w:cs="Arial"/>
          <w:sz w:val="20"/>
          <w:szCs w:val="20"/>
        </w:rPr>
      </w:pPr>
      <w:r w:rsidRPr="00DC0D69">
        <w:rPr>
          <w:rFonts w:ascii="Verdana" w:hAnsi="Verdana" w:cs="Arial"/>
          <w:sz w:val="20"/>
          <w:szCs w:val="20"/>
        </w:rPr>
        <w:t xml:space="preserve">Esta provisión se establecerá en un porcentaje que no será superior al diez por ciento (10%) ni inferior al cinco por ciento (5%) de los bienes o servicios requeridos para la ejecución del contrato, </w:t>
      </w:r>
      <w:r w:rsidRPr="00DC0D69">
        <w:rPr>
          <w:rFonts w:ascii="Verdana" w:hAnsi="Verdana" w:cs="Arial"/>
          <w:i/>
          <w:iCs/>
          <w:sz w:val="20"/>
          <w:szCs w:val="20"/>
        </w:rPr>
        <w:t>de manera que no se ponga en riesgo su cumplimiento adecuado</w:t>
      </w:r>
      <w:r w:rsidRPr="00DC0D69">
        <w:rPr>
          <w:rFonts w:ascii="Verdana" w:hAnsi="Verdana" w:cs="Arial"/>
          <w:sz w:val="20"/>
          <w:szCs w:val="20"/>
        </w:rPr>
        <w:t xml:space="preserve">.   </w:t>
      </w:r>
    </w:p>
    <w:p w14:paraId="078B8779" w14:textId="77777777" w:rsidR="0007494B" w:rsidRPr="00DC0D69" w:rsidRDefault="0007494B" w:rsidP="00D2011A">
      <w:pPr>
        <w:spacing w:after="0" w:line="240" w:lineRule="auto"/>
        <w:ind w:left="709" w:right="709"/>
        <w:jc w:val="both"/>
        <w:rPr>
          <w:rFonts w:ascii="Verdana" w:hAnsi="Verdana" w:cs="Arial"/>
          <w:sz w:val="20"/>
          <w:szCs w:val="20"/>
        </w:rPr>
      </w:pPr>
    </w:p>
    <w:p w14:paraId="72197367" w14:textId="0ED8ED19" w:rsidR="00EF2B09" w:rsidRPr="00DC0D69" w:rsidRDefault="00EF2B09" w:rsidP="0007494B">
      <w:pPr>
        <w:spacing w:after="0" w:line="240" w:lineRule="auto"/>
        <w:ind w:left="709" w:right="709"/>
        <w:jc w:val="both"/>
        <w:rPr>
          <w:rFonts w:ascii="Verdana" w:hAnsi="Verdana" w:cs="Arial"/>
          <w:sz w:val="20"/>
          <w:szCs w:val="20"/>
        </w:rPr>
      </w:pPr>
      <w:r w:rsidRPr="00DC0D69">
        <w:rPr>
          <w:rFonts w:ascii="Verdana" w:hAnsi="Verdana" w:cs="Arial"/>
          <w:i/>
          <w:iCs/>
          <w:sz w:val="20"/>
          <w:szCs w:val="20"/>
        </w:rPr>
        <w:t>Previo análisis de oportunidad y conveniencia</w:t>
      </w:r>
      <w:r w:rsidRPr="00DC0D69">
        <w:rPr>
          <w:rFonts w:ascii="Verdana" w:hAnsi="Verdana" w:cs="Arial"/>
          <w:sz w:val="20"/>
          <w:szCs w:val="20"/>
        </w:rPr>
        <w:t xml:space="preserve">, la Entidad Estatal incorporará esta obligación en la minuta del contrato del pliego de condiciones o documento equivalente, precisando las sanciones pecuniarias producto del incumplimiento injustificado de esta a través de las causales de multa que estime pertinentes. </w:t>
      </w:r>
    </w:p>
    <w:p w14:paraId="330C9E24" w14:textId="77777777" w:rsidR="0007494B" w:rsidRPr="00DC0D69" w:rsidRDefault="0007494B" w:rsidP="00D2011A">
      <w:pPr>
        <w:spacing w:after="0" w:line="240" w:lineRule="auto"/>
        <w:ind w:left="709" w:right="709"/>
        <w:jc w:val="both"/>
        <w:rPr>
          <w:rFonts w:ascii="Verdana" w:hAnsi="Verdana" w:cs="Arial"/>
          <w:sz w:val="20"/>
          <w:szCs w:val="20"/>
        </w:rPr>
      </w:pPr>
    </w:p>
    <w:p w14:paraId="556D24DC" w14:textId="061B9E8D" w:rsidR="00EF2B09" w:rsidRPr="00DC0D69" w:rsidRDefault="00EF2B09" w:rsidP="0007494B">
      <w:pPr>
        <w:spacing w:after="0" w:line="240" w:lineRule="auto"/>
        <w:ind w:left="709" w:right="709"/>
        <w:jc w:val="both"/>
        <w:rPr>
          <w:rFonts w:ascii="Verdana" w:hAnsi="Verdana" w:cs="Arial"/>
          <w:sz w:val="20"/>
          <w:szCs w:val="20"/>
        </w:rPr>
      </w:pPr>
      <w:r w:rsidRPr="00DC0D69">
        <w:rPr>
          <w:rFonts w:ascii="Verdana" w:hAnsi="Verdana" w:cs="Arial"/>
          <w:sz w:val="20"/>
          <w:szCs w:val="20"/>
        </w:rPr>
        <w:t xml:space="preserve">El supervisor o el interventor, según el caso, realizará el seguimiento y verificará que las personas vinculadas al inicio y durante la ejecución del contrato pertenezcan a los grupos poblacionales enunciados anteriormente.  </w:t>
      </w:r>
    </w:p>
    <w:p w14:paraId="6C9E4809" w14:textId="77777777" w:rsidR="0007494B" w:rsidRPr="00DC0D69" w:rsidRDefault="0007494B" w:rsidP="00D2011A">
      <w:pPr>
        <w:spacing w:after="0" w:line="240" w:lineRule="auto"/>
        <w:ind w:left="709" w:right="709"/>
        <w:jc w:val="both"/>
        <w:rPr>
          <w:rFonts w:ascii="Verdana" w:hAnsi="Verdana" w:cs="Arial"/>
          <w:sz w:val="20"/>
          <w:szCs w:val="20"/>
        </w:rPr>
      </w:pPr>
    </w:p>
    <w:p w14:paraId="572C023C" w14:textId="0F3E5FAF" w:rsidR="00EF2B09" w:rsidRPr="00DC0D69" w:rsidRDefault="00EF2B09" w:rsidP="0007494B">
      <w:pPr>
        <w:spacing w:after="0" w:line="240" w:lineRule="auto"/>
        <w:ind w:left="709" w:right="709"/>
        <w:jc w:val="both"/>
        <w:rPr>
          <w:rFonts w:ascii="Verdana" w:hAnsi="Verdana" w:cs="Arial"/>
          <w:sz w:val="20"/>
          <w:szCs w:val="20"/>
        </w:rPr>
      </w:pPr>
      <w:r w:rsidRPr="00DC0D69">
        <w:rPr>
          <w:rFonts w:ascii="Verdana" w:hAnsi="Verdana" w:cs="Arial"/>
          <w:sz w:val="20"/>
          <w:szCs w:val="20"/>
        </w:rPr>
        <w:t xml:space="preserve">PARÁGRAFO 1. Para los efectos previstos en el presente artículo, </w:t>
      </w:r>
      <w:r w:rsidRPr="00DC0D69">
        <w:rPr>
          <w:rFonts w:ascii="Verdana" w:hAnsi="Verdana" w:cs="Arial"/>
          <w:i/>
          <w:iCs/>
          <w:sz w:val="20"/>
          <w:szCs w:val="20"/>
        </w:rPr>
        <w:t xml:space="preserve">los sujetos de especial protección constitucional </w:t>
      </w:r>
      <w:r w:rsidRPr="00DC0D69">
        <w:rPr>
          <w:rFonts w:ascii="Verdana" w:hAnsi="Verdana" w:cs="Arial"/>
          <w:sz w:val="20"/>
          <w:szCs w:val="20"/>
        </w:rPr>
        <w:t xml:space="preserve">son aquellas personas que debido a su particular condición física, psicológica o social merecen una acción positiva estatal para efectos de lograr una igualdad real y efectiva. Dentro de esta categoría se encuentran, entre otros, las víctimas del conflicto armado interno, las mujeres cabeza de familia, los adultos mayores, las personas en condición de discapacidad, así como la población de las comunidades indígena, negra, afrocolombiana, raizal, palanquera, Rrom o gitanas. </w:t>
      </w:r>
    </w:p>
    <w:p w14:paraId="66E96AF4" w14:textId="77777777" w:rsidR="0007494B" w:rsidRPr="00DC0D69" w:rsidRDefault="0007494B" w:rsidP="00D2011A">
      <w:pPr>
        <w:spacing w:after="0" w:line="240" w:lineRule="auto"/>
        <w:ind w:left="709" w:right="709"/>
        <w:jc w:val="both"/>
        <w:rPr>
          <w:rFonts w:ascii="Verdana" w:hAnsi="Verdana" w:cs="Arial"/>
          <w:sz w:val="20"/>
          <w:szCs w:val="20"/>
        </w:rPr>
      </w:pPr>
    </w:p>
    <w:p w14:paraId="4E5E8A5E" w14:textId="23B8FD31" w:rsidR="00EF2B09" w:rsidRPr="00DC0D69" w:rsidRDefault="00EF2B09" w:rsidP="0007494B">
      <w:pPr>
        <w:spacing w:after="0" w:line="240" w:lineRule="auto"/>
        <w:ind w:left="709" w:right="709"/>
        <w:jc w:val="both"/>
        <w:rPr>
          <w:rFonts w:ascii="Verdana" w:hAnsi="Verdana" w:cs="Arial"/>
          <w:sz w:val="20"/>
          <w:szCs w:val="20"/>
        </w:rPr>
      </w:pPr>
      <w:r w:rsidRPr="00DC0D69">
        <w:rPr>
          <w:rFonts w:ascii="Verdana" w:hAnsi="Verdana" w:cs="Arial"/>
          <w:sz w:val="20"/>
          <w:szCs w:val="20"/>
        </w:rPr>
        <w:t xml:space="preserve">Estas circunstancias se acreditarán en las condiciones que disponga la ley o el reglamento, aplicando en lo pertinente lo definido en el artículo 2.2.1.2.4.2.17 del presente Decreto. En ausencia de una condición especial prevista en la normativa vigente, se acreditarán en los términos que defina el pliego de condiciones o documento equivalente. </w:t>
      </w:r>
    </w:p>
    <w:p w14:paraId="0AD5FF85" w14:textId="77777777" w:rsidR="0007494B" w:rsidRPr="00DC0D69" w:rsidRDefault="0007494B" w:rsidP="00D2011A">
      <w:pPr>
        <w:spacing w:after="0" w:line="240" w:lineRule="auto"/>
        <w:ind w:left="709" w:right="709"/>
        <w:jc w:val="both"/>
        <w:rPr>
          <w:rFonts w:ascii="Verdana" w:hAnsi="Verdana" w:cs="Arial"/>
          <w:sz w:val="20"/>
          <w:szCs w:val="20"/>
        </w:rPr>
      </w:pPr>
    </w:p>
    <w:p w14:paraId="1BEF186F" w14:textId="77777777" w:rsidR="00EF2B09" w:rsidRPr="00DC0D69" w:rsidRDefault="00EF2B09" w:rsidP="00EF2B09">
      <w:pPr>
        <w:spacing w:after="0" w:line="240" w:lineRule="auto"/>
        <w:ind w:left="709" w:right="709"/>
        <w:jc w:val="both"/>
        <w:rPr>
          <w:rFonts w:ascii="Verdana" w:hAnsi="Verdana" w:cs="Arial"/>
          <w:sz w:val="20"/>
          <w:szCs w:val="20"/>
        </w:rPr>
      </w:pPr>
      <w:r w:rsidRPr="00DC0D69">
        <w:rPr>
          <w:rFonts w:ascii="Verdana" w:hAnsi="Verdana" w:cs="Arial"/>
          <w:sz w:val="20"/>
          <w:szCs w:val="20"/>
        </w:rPr>
        <w:t xml:space="preserve">PARÁGRAFO 2. Para efectos de los Procesos de Contratación regidos por documentos tipo, con sujeción a la potestad prevista en este artículo, la Agencia Nacional de Contratación Pública - Colombia Compra Eficiente regulará el porcentaje de sujetos de especial protección constitucional que </w:t>
      </w:r>
      <w:r w:rsidRPr="00DC0D69">
        <w:rPr>
          <w:rFonts w:ascii="Verdana" w:hAnsi="Verdana" w:cs="Arial"/>
          <w:sz w:val="20"/>
          <w:szCs w:val="20"/>
        </w:rPr>
        <w:lastRenderedPageBreak/>
        <w:t>el contratista destinará al cumplimiento de las obligaciones, las condiciones para incorporarlos a la ejecución del contrato y las sanciones pecuniarias producto del incumplimiento injustificado de la obligación”. (Énfasis fuera de texto)</w:t>
      </w:r>
    </w:p>
    <w:p w14:paraId="3E891D76" w14:textId="77777777" w:rsidR="00EF2B09" w:rsidRPr="00DC0D69" w:rsidRDefault="00EF2B09" w:rsidP="00EF2B09">
      <w:pPr>
        <w:spacing w:after="0" w:line="276" w:lineRule="auto"/>
        <w:ind w:left="709" w:right="709"/>
        <w:jc w:val="both"/>
        <w:rPr>
          <w:rFonts w:ascii="Verdana" w:hAnsi="Verdana" w:cs="Arial"/>
        </w:rPr>
      </w:pPr>
    </w:p>
    <w:p w14:paraId="2D3C081E" w14:textId="54FB1778" w:rsidR="00EF2B09" w:rsidRPr="00DC0D69" w:rsidRDefault="0007494B" w:rsidP="00EF2B09">
      <w:pPr>
        <w:spacing w:after="120" w:line="276" w:lineRule="auto"/>
        <w:ind w:firstLine="709"/>
        <w:jc w:val="both"/>
        <w:rPr>
          <w:rFonts w:ascii="Verdana" w:hAnsi="Verdana" w:cs="Arial"/>
        </w:rPr>
      </w:pPr>
      <w:r w:rsidRPr="00DC0D69">
        <w:rPr>
          <w:rFonts w:ascii="Verdana" w:hAnsi="Verdana" w:cs="Arial"/>
        </w:rPr>
        <w:t>De la norma transcrita, es posible extraer varias conclusiones. E</w:t>
      </w:r>
      <w:r w:rsidR="00EF2B09" w:rsidRPr="00DC0D69">
        <w:rPr>
          <w:rFonts w:ascii="Verdana" w:hAnsi="Verdana" w:cs="Arial"/>
        </w:rPr>
        <w:t xml:space="preserve">n primer lugar, la nueva norma está dirigida a las entidades estatales indistintamente de su régimen de contratación, los patrimonios autónomos constituidos por </w:t>
      </w:r>
      <w:r w:rsidR="0071191A" w:rsidRPr="00DC0D69">
        <w:rPr>
          <w:rFonts w:ascii="Verdana" w:hAnsi="Verdana" w:cs="Arial"/>
        </w:rPr>
        <w:t>e</w:t>
      </w:r>
      <w:r w:rsidR="00EF2B09" w:rsidRPr="00DC0D69">
        <w:rPr>
          <w:rFonts w:ascii="Verdana" w:hAnsi="Verdana" w:cs="Arial"/>
        </w:rPr>
        <w:t xml:space="preserve">ntidades </w:t>
      </w:r>
      <w:r w:rsidR="0071191A" w:rsidRPr="00DC0D69">
        <w:rPr>
          <w:rFonts w:ascii="Verdana" w:hAnsi="Verdana" w:cs="Arial"/>
        </w:rPr>
        <w:t>e</w:t>
      </w:r>
      <w:r w:rsidR="00EF2B09" w:rsidRPr="00DC0D69">
        <w:rPr>
          <w:rFonts w:ascii="Verdana" w:hAnsi="Verdana" w:cs="Arial"/>
        </w:rPr>
        <w:t xml:space="preserve">statales y los particulares que ejecuten recursos públicos. En segundo lugar, dispone que en los pliegos de condiciones o documento equivalente deben implementarse mecanismos para que durante la ejecución del contrato estatal participen los </w:t>
      </w:r>
      <w:r w:rsidR="00EF2B09" w:rsidRPr="00DC0D69">
        <w:rPr>
          <w:rFonts w:ascii="Verdana" w:hAnsi="Verdana" w:cs="Arial"/>
          <w:i/>
          <w:iCs/>
        </w:rPr>
        <w:t>sujetos de especial protección constitucional</w:t>
      </w:r>
      <w:r w:rsidR="00EF2B09" w:rsidRPr="00DC0D69">
        <w:rPr>
          <w:rFonts w:ascii="Verdana" w:hAnsi="Verdana" w:cs="Arial"/>
        </w:rPr>
        <w:t xml:space="preserve"> en la provisión de los bienes o servicios. De esta manera, la norma regula un parámetro cuantitativo, en la medida que dicha provisión no será superior al diez por ciento (10%) ni inferior al cinco por ciento (5%) de los bienes o servicios requeridos para la ejecución del contrato.  </w:t>
      </w:r>
    </w:p>
    <w:p w14:paraId="14E14BAC" w14:textId="3FC04244" w:rsidR="00051B0D" w:rsidRPr="00DC0D69" w:rsidRDefault="00EF2B09" w:rsidP="00D2011A">
      <w:pPr>
        <w:spacing w:after="120" w:line="276" w:lineRule="auto"/>
        <w:ind w:firstLine="709"/>
        <w:jc w:val="both"/>
        <w:rPr>
          <w:rFonts w:ascii="Verdana" w:hAnsi="Verdana" w:cs="Arial"/>
        </w:rPr>
      </w:pPr>
      <w:r w:rsidRPr="00DC0D69">
        <w:rPr>
          <w:rFonts w:ascii="Verdana" w:hAnsi="Verdana" w:cs="Arial"/>
        </w:rPr>
        <w:t xml:space="preserve">No obstante, la aplicación del artículo 2.2.1.2.4.2.16 del Decreto 1082 de 2015, que se traduce en la inclusión de obligaciones a cargo del contratista cuyo incumplimiento podría acarrearle sanciones pecuniarias, no es automática en todos los procesos de selección iniciados a partir de la vigencia del Decreto 1860 de 2021. Esto </w:t>
      </w:r>
      <w:r w:rsidR="00A5501D" w:rsidRPr="00DC0D69">
        <w:rPr>
          <w:rFonts w:ascii="Verdana" w:hAnsi="Verdana" w:cs="Arial"/>
        </w:rPr>
        <w:t>en la medida</w:t>
      </w:r>
      <w:r w:rsidR="00051B0D" w:rsidRPr="00DC0D69">
        <w:rPr>
          <w:rFonts w:ascii="Verdana" w:hAnsi="Verdana" w:cs="Arial"/>
        </w:rPr>
        <w:t xml:space="preserve"> en</w:t>
      </w:r>
      <w:r w:rsidRPr="00DC0D69">
        <w:rPr>
          <w:rFonts w:ascii="Verdana" w:hAnsi="Verdana" w:cs="Arial"/>
        </w:rPr>
        <w:t xml:space="preserve"> que el incentivo, además de garantizar las condiciones de calidad y el cumplimiento adecuado del objeto contractual sin perjuicio de los acuerdos comerciales suscritos por el Estado colombiano, también está supeditado al análisis previo de oportunidad y conveniencia en los Documentos del Proceso. </w:t>
      </w:r>
    </w:p>
    <w:p w14:paraId="73102EFA" w14:textId="5F69C440" w:rsidR="00EF2B09" w:rsidRPr="00DC0D69" w:rsidRDefault="00EF2B09" w:rsidP="00EF2B09">
      <w:pPr>
        <w:spacing w:after="0" w:line="276" w:lineRule="auto"/>
        <w:ind w:firstLine="709"/>
        <w:jc w:val="both"/>
        <w:rPr>
          <w:rFonts w:ascii="Verdana" w:hAnsi="Verdana" w:cs="Arial"/>
        </w:rPr>
      </w:pPr>
      <w:r w:rsidRPr="00DC0D69">
        <w:rPr>
          <w:rFonts w:ascii="Verdana" w:hAnsi="Verdana" w:cs="Arial"/>
        </w:rPr>
        <w:t xml:space="preserve">Así las cosas, conforme a lo explicado en la memoria </w:t>
      </w:r>
      <w:r w:rsidR="00051B0D" w:rsidRPr="00DC0D69">
        <w:rPr>
          <w:rFonts w:ascii="Verdana" w:hAnsi="Verdana" w:cs="Arial"/>
        </w:rPr>
        <w:t xml:space="preserve">justificativa </w:t>
      </w:r>
      <w:r w:rsidRPr="00DC0D69">
        <w:rPr>
          <w:rFonts w:ascii="Verdana" w:hAnsi="Verdana" w:cs="Arial"/>
        </w:rPr>
        <w:t>de la reglamentación, es necesario considerar que la regla de fomento:</w:t>
      </w:r>
    </w:p>
    <w:p w14:paraId="4EE722FB" w14:textId="77777777" w:rsidR="00EF2B09" w:rsidRPr="00DC0D69" w:rsidRDefault="00EF2B09" w:rsidP="00EF2B09">
      <w:pPr>
        <w:spacing w:after="0" w:line="276" w:lineRule="auto"/>
        <w:ind w:firstLine="709"/>
        <w:jc w:val="both"/>
        <w:rPr>
          <w:rFonts w:ascii="Verdana" w:hAnsi="Verdana" w:cs="Arial"/>
        </w:rPr>
      </w:pPr>
    </w:p>
    <w:p w14:paraId="1435E242" w14:textId="77777777" w:rsidR="00EF2B09" w:rsidRPr="00DC0D69" w:rsidRDefault="00EF2B09" w:rsidP="00EF2B09">
      <w:pPr>
        <w:spacing w:after="0" w:line="240" w:lineRule="auto"/>
        <w:ind w:left="709" w:right="709"/>
        <w:jc w:val="both"/>
        <w:rPr>
          <w:rFonts w:ascii="Verdana" w:hAnsi="Verdana" w:cs="Arial"/>
          <w:sz w:val="20"/>
          <w:szCs w:val="20"/>
        </w:rPr>
      </w:pPr>
      <w:r w:rsidRPr="00DC0D69">
        <w:rPr>
          <w:rFonts w:ascii="Verdana" w:hAnsi="Verdana" w:cs="Arial"/>
          <w:sz w:val="20"/>
          <w:szCs w:val="20"/>
        </w:rPr>
        <w:t xml:space="preserve">“[…] además de estar condicionada por un desarrollo normativo posterior, está limitada en el sentido que los mecanismos que se implementen para incentivar la provisión de bienes y servicios por población en pobreza extrema, desplazados por la violencia, personas en procesos de reintegración y reincorporación, o sujetos de especial protección constitucional, no afecten las condiciones de calidad y cumplimiento del objeto contractual. En ese sentido, cuando la norma se refiere al desarrollo reglamentario posterior, lo que hace es confiar al decreto la definición de reglas que permitan que los mecanismos que introduzcan las entidades en sus pliegos de condiciones y documentos equivalentes no atenten contra el debido cumplimiento del objeto contractual. </w:t>
      </w:r>
      <w:r w:rsidRPr="00DC0D69">
        <w:rPr>
          <w:rFonts w:ascii="Verdana" w:hAnsi="Verdana" w:cs="Arial"/>
          <w:i/>
          <w:iCs/>
          <w:sz w:val="20"/>
          <w:szCs w:val="20"/>
        </w:rPr>
        <w:t xml:space="preserve">Por tanto, la inclusión de </w:t>
      </w:r>
      <w:r w:rsidRPr="00DC0D69">
        <w:rPr>
          <w:rFonts w:ascii="Verdana" w:hAnsi="Verdana" w:cs="Arial"/>
          <w:i/>
          <w:iCs/>
          <w:sz w:val="20"/>
          <w:szCs w:val="20"/>
        </w:rPr>
        <w:lastRenderedPageBreak/>
        <w:t>los mecanismos de fomento mencionados en inciso 4 del artículo 34 de la Ley 2069 en los pliegos de condiciones, e incluso en las obligaciones del contrato, es un asunto que compete a las entidades contratantes, dentro del marco que determine el reglamento</w:t>
      </w:r>
      <w:r w:rsidRPr="00DC0D69">
        <w:rPr>
          <w:rFonts w:ascii="Verdana" w:hAnsi="Verdana" w:cs="Arial"/>
          <w:sz w:val="20"/>
          <w:szCs w:val="20"/>
        </w:rPr>
        <w:t>”</w:t>
      </w:r>
      <w:r w:rsidRPr="00DC0D69">
        <w:rPr>
          <w:rStyle w:val="Refdenotaalpie"/>
          <w:rFonts w:ascii="Verdana" w:hAnsi="Verdana" w:cs="Arial"/>
          <w:sz w:val="20"/>
          <w:szCs w:val="20"/>
        </w:rPr>
        <w:footnoteReference w:id="2"/>
      </w:r>
      <w:r w:rsidRPr="00DC0D69">
        <w:rPr>
          <w:rFonts w:ascii="Verdana" w:hAnsi="Verdana" w:cs="Arial"/>
          <w:sz w:val="20"/>
          <w:szCs w:val="20"/>
        </w:rPr>
        <w:t>. (Énfasis fuera de texto)</w:t>
      </w:r>
    </w:p>
    <w:p w14:paraId="7235C71B" w14:textId="77777777" w:rsidR="00EF2B09" w:rsidRPr="00DC0D69" w:rsidRDefault="00EF2B09" w:rsidP="00EF2B09">
      <w:pPr>
        <w:spacing w:after="0" w:line="276" w:lineRule="auto"/>
        <w:ind w:left="709" w:right="709"/>
        <w:jc w:val="both"/>
        <w:rPr>
          <w:rFonts w:ascii="Verdana" w:hAnsi="Verdana" w:cs="Arial"/>
          <w:sz w:val="21"/>
          <w:szCs w:val="21"/>
        </w:rPr>
      </w:pPr>
    </w:p>
    <w:p w14:paraId="14243B71" w14:textId="0C870160" w:rsidR="00EF2B09" w:rsidRPr="00DC0D69" w:rsidRDefault="00EF2B09" w:rsidP="00EF2B09">
      <w:pPr>
        <w:spacing w:after="120" w:line="276" w:lineRule="auto"/>
        <w:ind w:firstLine="708"/>
        <w:jc w:val="both"/>
        <w:rPr>
          <w:rFonts w:ascii="Verdana" w:eastAsia="Calibri" w:hAnsi="Verdana" w:cs="Arial"/>
          <w:lang w:val="es-ES_tradnl"/>
        </w:rPr>
      </w:pPr>
      <w:r w:rsidRPr="00DC0D69">
        <w:rPr>
          <w:rFonts w:ascii="Verdana" w:hAnsi="Verdana" w:cs="Arial"/>
        </w:rPr>
        <w:t>Con la salvedad prevista en el parágrafo 2 del artículo del artículo 2.2.1.2.4.2.16 del Decreto 1082 de 2015 para los procesos regidos por documentos tipo, dado</w:t>
      </w:r>
      <w:r w:rsidRPr="00DC0D69">
        <w:rPr>
          <w:rFonts w:ascii="Verdana" w:eastAsia="Calibri" w:hAnsi="Verdana" w:cs="Arial"/>
          <w:lang w:val="es-ES_tradnl"/>
        </w:rPr>
        <w:t xml:space="preserve"> que el fomento a la ejecución de contratos estatales con participación de sujetos de especial protección constitucional en la provisión de los bienes y servicios para el cumplimiento del objeto contractual se realizará bajo criterios </w:t>
      </w:r>
      <w:r w:rsidRPr="00DC0D69">
        <w:rPr>
          <w:rFonts w:ascii="Verdana" w:eastAsia="Calibri" w:hAnsi="Verdana" w:cs="Arial"/>
          <w:i/>
          <w:iCs/>
          <w:lang w:val="es-ES_tradnl"/>
        </w:rPr>
        <w:t xml:space="preserve">de oportunidad y conveniencia, garantizando la calidad y sin poner en riesgo el cumplimiento del contrato, </w:t>
      </w:r>
      <w:r w:rsidRPr="00DC0D69">
        <w:rPr>
          <w:rFonts w:ascii="Verdana" w:eastAsia="Calibri" w:hAnsi="Verdana" w:cs="Arial"/>
          <w:lang w:val="es-ES_tradnl"/>
        </w:rPr>
        <w:t>debe concluirse que la aplicación de este incentivo es de naturaleza discrecional. Esto en la medida que corresponderá a la entidad contratante, en la etapa de planeación, determinar si es oportuno o inconveniente incluir dicha provisión en los pliegos de condiciones o documentos equivalentes</w:t>
      </w:r>
      <w:r w:rsidR="00E809E9" w:rsidRPr="00DC0D69">
        <w:rPr>
          <w:rFonts w:ascii="Verdana" w:eastAsia="Calibri" w:hAnsi="Verdana" w:cs="Arial"/>
          <w:lang w:val="es-ES_tradnl"/>
        </w:rPr>
        <w:t xml:space="preserve"> y el respectivo porcentaje que deberá acatarse</w:t>
      </w:r>
      <w:r w:rsidRPr="00DC0D69">
        <w:rPr>
          <w:rFonts w:ascii="Verdana" w:eastAsia="Calibri" w:hAnsi="Verdana" w:cs="Arial"/>
          <w:lang w:val="es-ES_tradnl"/>
        </w:rPr>
        <w:t>.</w:t>
      </w:r>
    </w:p>
    <w:p w14:paraId="4D090F6E" w14:textId="4DBB0537" w:rsidR="00EF2B09" w:rsidRPr="00DC0D69" w:rsidRDefault="00EF2B09" w:rsidP="00EF2B09">
      <w:pPr>
        <w:spacing w:after="0" w:line="276" w:lineRule="auto"/>
        <w:ind w:firstLine="708"/>
        <w:jc w:val="both"/>
        <w:rPr>
          <w:rFonts w:ascii="Verdana" w:eastAsia="Calibri" w:hAnsi="Verdana" w:cs="Arial"/>
        </w:rPr>
      </w:pPr>
      <w:r w:rsidRPr="00DC0D69">
        <w:rPr>
          <w:rFonts w:ascii="Verdana" w:eastAsia="Calibri" w:hAnsi="Verdana" w:cs="Arial"/>
          <w:lang w:val="es-ES_tradnl"/>
        </w:rPr>
        <w:t>En efecto, el ejercicio de potestades discrecionales comporta valoraciones de conveniencia</w:t>
      </w:r>
      <w:r w:rsidRPr="00DC0D69">
        <w:rPr>
          <w:rFonts w:ascii="Verdana" w:eastAsia="Calibri" w:hAnsi="Verdana" w:cs="Arial"/>
        </w:rPr>
        <w:t xml:space="preserve">, ya que la norma no predetermina el contenido de la </w:t>
      </w:r>
      <w:r w:rsidR="00E809E9" w:rsidRPr="00DC0D69">
        <w:rPr>
          <w:rFonts w:ascii="Verdana" w:eastAsia="Calibri" w:hAnsi="Verdana" w:cs="Arial"/>
        </w:rPr>
        <w:t>decisión,</w:t>
      </w:r>
      <w:r w:rsidRPr="00DC0D69">
        <w:rPr>
          <w:rFonts w:ascii="Verdana" w:eastAsia="Calibri" w:hAnsi="Verdana" w:cs="Arial"/>
        </w:rPr>
        <w:t xml:space="preserve"> sino que la deja a la libre consideración del órgano competente. En otras palabras, queda a la Administración la facultad de valorar la oportunidad de actuar o dejar de hacerlo. Esa facultad de apreciación del interés público con el fin de decidir la conveniencia o no de la acción administrativa no correspondería a ejercicio de una potestad reglada</w:t>
      </w:r>
      <w:r w:rsidRPr="00DC0D69">
        <w:rPr>
          <w:rStyle w:val="Refdenotaalpie"/>
          <w:rFonts w:ascii="Verdana" w:eastAsia="Calibri" w:hAnsi="Verdana" w:cs="Arial"/>
        </w:rPr>
        <w:footnoteReference w:id="3"/>
      </w:r>
      <w:r w:rsidRPr="00DC0D69">
        <w:rPr>
          <w:rFonts w:ascii="Verdana" w:eastAsia="Calibri" w:hAnsi="Verdana" w:cs="Arial"/>
        </w:rPr>
        <w:t>. De esta manera, la doctrina explica que:</w:t>
      </w:r>
    </w:p>
    <w:p w14:paraId="6FA1BD55" w14:textId="77777777" w:rsidR="00EF2B09" w:rsidRPr="00DC0D69" w:rsidRDefault="00EF2B09" w:rsidP="00EF2B09">
      <w:pPr>
        <w:spacing w:after="0" w:line="276" w:lineRule="auto"/>
        <w:ind w:firstLine="708"/>
        <w:jc w:val="both"/>
        <w:rPr>
          <w:rFonts w:ascii="Verdana" w:eastAsia="Calibri" w:hAnsi="Verdana" w:cs="Arial"/>
        </w:rPr>
      </w:pPr>
    </w:p>
    <w:p w14:paraId="2AE965EF" w14:textId="77777777" w:rsidR="00EF2B09" w:rsidRPr="00DC0D69" w:rsidRDefault="00EF2B09" w:rsidP="00EF2B09">
      <w:pPr>
        <w:spacing w:after="0" w:line="240" w:lineRule="auto"/>
        <w:ind w:left="709" w:right="709"/>
        <w:jc w:val="both"/>
        <w:rPr>
          <w:rFonts w:ascii="Verdana" w:eastAsia="Calibri" w:hAnsi="Verdana" w:cs="Arial"/>
          <w:sz w:val="20"/>
          <w:szCs w:val="20"/>
        </w:rPr>
      </w:pPr>
      <w:r w:rsidRPr="00DC0D69">
        <w:rPr>
          <w:rFonts w:ascii="Verdana" w:eastAsia="Calibri" w:hAnsi="Verdana" w:cs="Arial"/>
          <w:sz w:val="20"/>
          <w:szCs w:val="20"/>
        </w:rPr>
        <w:t xml:space="preserve">“[…] la discrecionalidad comporta, como se reconoce por doquier, la necesidad de tomar en cuenta criterios no estrictamente jurídicos para adoptar la decisión, es decir, criterios políticos, técnicos o de mera oportunidad o conveniencia (económica, social, organizativa), según los </w:t>
      </w:r>
      <w:r w:rsidRPr="00DC0D69">
        <w:rPr>
          <w:rFonts w:ascii="Verdana" w:eastAsia="Calibri" w:hAnsi="Verdana" w:cs="Arial"/>
          <w:sz w:val="20"/>
          <w:szCs w:val="20"/>
        </w:rPr>
        <w:lastRenderedPageBreak/>
        <w:t xml:space="preserve">casos. Criterios que han de utilizarse bien para adoptar una iniciativa de gobierno o de gestión, bien para aplicar una directriz legal imprecisa, </w:t>
      </w:r>
      <w:r w:rsidRPr="00DC0D69">
        <w:rPr>
          <w:rFonts w:ascii="Verdana" w:eastAsia="Calibri" w:hAnsi="Verdana" w:cs="Arial"/>
          <w:i/>
          <w:iCs/>
          <w:sz w:val="20"/>
          <w:szCs w:val="20"/>
        </w:rPr>
        <w:t>bien para valorar una situación de hecho para la que la ley dispone una cierta consecuencia</w:t>
      </w:r>
      <w:r w:rsidRPr="00DC0D69">
        <w:rPr>
          <w:rFonts w:ascii="Verdana" w:eastAsia="Calibri" w:hAnsi="Verdana" w:cs="Arial"/>
          <w:sz w:val="20"/>
          <w:szCs w:val="20"/>
        </w:rPr>
        <w:t>, bien para optar entre una u otra soluciones posibles cuando la tarea de gobernar o de administrar impone tomar una decisión”</w:t>
      </w:r>
      <w:r w:rsidRPr="00DC0D69">
        <w:rPr>
          <w:rStyle w:val="Refdenotaalpie"/>
          <w:rFonts w:ascii="Verdana" w:eastAsia="Calibri" w:hAnsi="Verdana" w:cs="Arial"/>
          <w:sz w:val="20"/>
          <w:szCs w:val="20"/>
        </w:rPr>
        <w:footnoteReference w:id="4"/>
      </w:r>
      <w:r w:rsidRPr="00DC0D69">
        <w:rPr>
          <w:rFonts w:ascii="Verdana" w:eastAsia="Calibri" w:hAnsi="Verdana" w:cs="Arial"/>
          <w:sz w:val="20"/>
          <w:szCs w:val="20"/>
        </w:rPr>
        <w:t>. (Énfasis fuera de texto)</w:t>
      </w:r>
    </w:p>
    <w:p w14:paraId="56F845A2" w14:textId="77777777" w:rsidR="00EF2B09" w:rsidRPr="00DC0D69" w:rsidRDefault="00EF2B09" w:rsidP="00EF2B09">
      <w:pPr>
        <w:spacing w:after="0" w:line="276" w:lineRule="auto"/>
        <w:jc w:val="both"/>
        <w:rPr>
          <w:rFonts w:ascii="Verdana" w:eastAsia="Calibri" w:hAnsi="Verdana" w:cs="Arial"/>
          <w:lang w:val="es-ES_tradnl"/>
        </w:rPr>
      </w:pPr>
    </w:p>
    <w:p w14:paraId="0D944074" w14:textId="77777777" w:rsidR="00EF2B09" w:rsidRPr="00DC0D69" w:rsidRDefault="00EF2B09" w:rsidP="00EF2B09">
      <w:pPr>
        <w:spacing w:after="0" w:line="276" w:lineRule="auto"/>
        <w:ind w:firstLine="708"/>
        <w:jc w:val="both"/>
        <w:rPr>
          <w:rFonts w:ascii="Verdana" w:eastAsia="Calibri" w:hAnsi="Verdana" w:cs="Arial"/>
          <w:lang w:val="es-ES_tradnl"/>
        </w:rPr>
      </w:pPr>
      <w:r w:rsidRPr="00DC0D69">
        <w:rPr>
          <w:rFonts w:ascii="Verdana" w:eastAsia="Calibri" w:hAnsi="Verdana" w:cs="Arial"/>
          <w:lang w:val="es-ES_tradnl"/>
        </w:rPr>
        <w:t xml:space="preserve">Por tanto, si previa valoración de la </w:t>
      </w:r>
      <w:r w:rsidRPr="00DC0D69">
        <w:rPr>
          <w:rFonts w:ascii="Verdana" w:eastAsia="Calibri" w:hAnsi="Verdana" w:cs="Arial"/>
          <w:i/>
          <w:iCs/>
          <w:lang w:val="es-ES_tradnl"/>
        </w:rPr>
        <w:t xml:space="preserve">oportunidad </w:t>
      </w:r>
      <w:r w:rsidRPr="00DC0D69">
        <w:rPr>
          <w:rFonts w:ascii="Verdana" w:eastAsia="Calibri" w:hAnsi="Verdana" w:cs="Arial"/>
          <w:lang w:val="es-ES_tradnl"/>
        </w:rPr>
        <w:t>y</w:t>
      </w:r>
      <w:r w:rsidRPr="00DC0D69">
        <w:rPr>
          <w:rFonts w:ascii="Verdana" w:eastAsia="Calibri" w:hAnsi="Verdana" w:cs="Arial"/>
          <w:i/>
          <w:iCs/>
          <w:lang w:val="es-ES_tradnl"/>
        </w:rPr>
        <w:t xml:space="preserve"> </w:t>
      </w:r>
      <w:r w:rsidRPr="00DC0D69">
        <w:rPr>
          <w:rFonts w:ascii="Verdana" w:eastAsia="Calibri" w:hAnsi="Verdana" w:cs="Arial"/>
          <w:lang w:val="es-ES_tradnl"/>
        </w:rPr>
        <w:t xml:space="preserve">la </w:t>
      </w:r>
      <w:r w:rsidRPr="00DC0D69">
        <w:rPr>
          <w:rFonts w:ascii="Verdana" w:eastAsia="Calibri" w:hAnsi="Verdana" w:cs="Arial"/>
          <w:i/>
          <w:iCs/>
          <w:lang w:val="es-ES_tradnl"/>
        </w:rPr>
        <w:t xml:space="preserve">conveniencia </w:t>
      </w:r>
      <w:r w:rsidRPr="00DC0D69">
        <w:rPr>
          <w:rFonts w:ascii="Verdana" w:eastAsia="Calibri" w:hAnsi="Verdana" w:cs="Arial"/>
          <w:lang w:val="es-ES_tradnl"/>
        </w:rPr>
        <w:t>se concluye que el incentivo no pone en riesgo las condiciones de calidad, no contraría Acuerdos Comerciales vigentes ni pone en riesgo la adecuada ejecución del objeto contractual, la entidad contratante</w:t>
      </w:r>
      <w:r w:rsidRPr="00DC0D69" w:rsidDel="00150930">
        <w:rPr>
          <w:rFonts w:ascii="Verdana" w:eastAsia="Calibri" w:hAnsi="Verdana" w:cs="Arial"/>
          <w:lang w:val="es-ES_tradnl"/>
        </w:rPr>
        <w:t xml:space="preserve"> </w:t>
      </w:r>
      <w:r w:rsidRPr="00DC0D69">
        <w:rPr>
          <w:rFonts w:ascii="Verdana" w:eastAsia="Calibri" w:hAnsi="Verdana" w:cs="Arial"/>
          <w:lang w:val="es-ES_tradnl"/>
        </w:rPr>
        <w:t xml:space="preserve">estructurará el pliego de condiciones o documento equivalente exigiendo el porcentaje dentro del rango previsto en la norma en comento y fijando las sanciones pecuniarias derivadas del incumplimiento injustificado en la minuta del contrato. En este caso, por ejemplo, si un contrato de obra pública requiere diez (200) albañiles, mínimo 10 o máximo 20 deberán ser sujetos de especial protección constitucional. Por el contrario, si estima que el incentivo no cumple los criterios anteriormente expuestos por las razones que se expresen en los documentos del proceso, no aplicará la regla de fomento del </w:t>
      </w:r>
      <w:r w:rsidRPr="00DC0D69">
        <w:rPr>
          <w:rFonts w:ascii="Verdana" w:hAnsi="Verdana" w:cs="Arial"/>
        </w:rPr>
        <w:t xml:space="preserve">artículo 2.2.1.2.4.2.16 del Decreto 1082 de 2015. </w:t>
      </w:r>
    </w:p>
    <w:p w14:paraId="47E990E9" w14:textId="77777777" w:rsidR="008817B0" w:rsidRPr="00DC0D69" w:rsidRDefault="008817B0" w:rsidP="008817B0">
      <w:pPr>
        <w:spacing w:after="0" w:line="276" w:lineRule="auto"/>
        <w:jc w:val="both"/>
        <w:rPr>
          <w:rFonts w:ascii="Verdana" w:eastAsia="Calibri" w:hAnsi="Verdana" w:cs="Arial"/>
          <w:lang w:val="es-ES_tradnl"/>
        </w:rPr>
      </w:pPr>
    </w:p>
    <w:p w14:paraId="0931021A" w14:textId="1A587F89" w:rsidR="00287C31" w:rsidRPr="00DC0D69" w:rsidRDefault="00287C31" w:rsidP="00E809E9">
      <w:pPr>
        <w:spacing w:after="0" w:line="276" w:lineRule="auto"/>
        <w:jc w:val="both"/>
        <w:rPr>
          <w:rFonts w:ascii="Verdana" w:eastAsia="Calibri" w:hAnsi="Verdana" w:cs="Arial"/>
          <w:color w:val="000000"/>
          <w:lang w:val="es-ES_tradnl"/>
        </w:rPr>
      </w:pPr>
      <w:r w:rsidRPr="00DC0D69">
        <w:rPr>
          <w:rFonts w:ascii="Verdana" w:eastAsia="Calibri" w:hAnsi="Verdana" w:cs="Arial"/>
          <w:color w:val="000000"/>
          <w:lang w:val="es-ES_tradnl"/>
        </w:rPr>
        <w:t>ii) El artículo 12 de la Ley 1150 de 2007, modificado por el artículo 34 de la Ley 2069 de 2020, establece en su inciso cuarto el fomento en la ejecución de los contratos estatales de la provisión de bienes y servicios por parte de determinados grupos poblacionales y por parte de sujetos de especial protección constitucional. En este sentido, el artículo establece:</w:t>
      </w:r>
    </w:p>
    <w:p w14:paraId="50216FB4" w14:textId="77777777" w:rsidR="00E809E9" w:rsidRPr="00DC0D69" w:rsidRDefault="00E809E9" w:rsidP="00D2011A">
      <w:pPr>
        <w:spacing w:after="0" w:line="276" w:lineRule="auto"/>
        <w:jc w:val="both"/>
        <w:rPr>
          <w:rFonts w:ascii="Verdana" w:eastAsia="Calibri" w:hAnsi="Verdana" w:cs="Arial"/>
          <w:color w:val="000000"/>
          <w:lang w:val="es-ES_tradnl"/>
        </w:rPr>
      </w:pPr>
    </w:p>
    <w:p w14:paraId="382A5E03" w14:textId="77777777" w:rsidR="00287C31" w:rsidRPr="00DC0D69" w:rsidRDefault="00287C31" w:rsidP="00287C31">
      <w:pPr>
        <w:spacing w:line="240" w:lineRule="auto"/>
        <w:ind w:left="709" w:right="709"/>
        <w:jc w:val="both"/>
        <w:rPr>
          <w:rFonts w:ascii="Verdana" w:eastAsia="Calibri" w:hAnsi="Verdana" w:cs="Arial"/>
          <w:color w:val="000000"/>
          <w:sz w:val="20"/>
          <w:szCs w:val="20"/>
          <w:lang w:val="es-ES_tradnl"/>
        </w:rPr>
      </w:pPr>
      <w:r w:rsidRPr="00DC0D69">
        <w:rPr>
          <w:rFonts w:ascii="Verdana" w:eastAsia="Calibri" w:hAnsi="Verdana" w:cs="Arial"/>
          <w:color w:val="000000"/>
          <w:sz w:val="20"/>
          <w:szCs w:val="20"/>
          <w:lang w:val="es-ES_tradnl"/>
        </w:rPr>
        <w:t xml:space="preserve">“ARTÍCULO 12. Promoción del desarrollo en la contratación pública. De conformidad con lo dispuesto en los artículos 13, 333 y 334 de la Constitución Política, el Gobierno Nacional definirá las condiciones y los montos de acuerdo con los compromisos internacionales vigentes, para que, en desarrollo de los Procesos de Contratación, las Entidades Estatales indistintamente de su régimen de contratación, los patrimonios autónomos constituidos por Entidades Estatales y los particulares que ejecuten recursos públicos, adopten en beneficio de las Mipyme, convocatorias limitadas a estas en las que, previo a la Resolución de </w:t>
      </w:r>
      <w:r w:rsidRPr="00DC0D69">
        <w:rPr>
          <w:rFonts w:ascii="Verdana" w:eastAsia="Calibri" w:hAnsi="Verdana" w:cs="Arial"/>
          <w:color w:val="000000"/>
          <w:sz w:val="20"/>
          <w:szCs w:val="20"/>
          <w:lang w:val="es-ES_tradnl"/>
        </w:rPr>
        <w:lastRenderedPageBreak/>
        <w:t>apertura del proceso respectivo, se haya manifestado el interés de por lo menos dos (2) Mipyme.</w:t>
      </w:r>
    </w:p>
    <w:p w14:paraId="4C656644" w14:textId="77777777" w:rsidR="00287C31" w:rsidRPr="00DC0D69" w:rsidRDefault="00287C31" w:rsidP="00287C31">
      <w:pPr>
        <w:spacing w:line="240" w:lineRule="auto"/>
        <w:ind w:left="709" w:right="709"/>
        <w:jc w:val="both"/>
        <w:rPr>
          <w:rFonts w:ascii="Verdana" w:eastAsia="Calibri" w:hAnsi="Verdana" w:cs="Arial"/>
          <w:color w:val="000000"/>
          <w:sz w:val="20"/>
          <w:szCs w:val="20"/>
          <w:lang w:val="es-ES_tradnl"/>
        </w:rPr>
      </w:pPr>
      <w:r w:rsidRPr="00DC0D69">
        <w:rPr>
          <w:rFonts w:ascii="Verdana" w:eastAsia="Calibri" w:hAnsi="Verdana" w:cs="Arial"/>
          <w:color w:val="000000"/>
          <w:sz w:val="20"/>
          <w:szCs w:val="20"/>
          <w:lang w:val="es-ES_tradnl"/>
        </w:rPr>
        <w:t>Asimismo, el reglamento podrá establecer condiciones preferenciales en favor de la oferta de bienes y servicios producidos por las Mipyme, respetando los montos y las condiciones contenidas en los compromisos internacionales vigentes, cuando sean aplicables.</w:t>
      </w:r>
    </w:p>
    <w:p w14:paraId="69111BFD" w14:textId="77777777" w:rsidR="00287C31" w:rsidRPr="00DC0D69" w:rsidRDefault="00287C31" w:rsidP="00287C31">
      <w:pPr>
        <w:spacing w:line="240" w:lineRule="auto"/>
        <w:ind w:left="709" w:right="709"/>
        <w:jc w:val="both"/>
        <w:rPr>
          <w:rFonts w:ascii="Verdana" w:eastAsia="Calibri" w:hAnsi="Verdana" w:cs="Arial"/>
          <w:color w:val="000000"/>
          <w:sz w:val="20"/>
          <w:szCs w:val="20"/>
          <w:lang w:val="es-ES_tradnl"/>
        </w:rPr>
      </w:pPr>
      <w:r w:rsidRPr="00DC0D69">
        <w:rPr>
          <w:rFonts w:ascii="Verdana" w:eastAsia="Calibri" w:hAnsi="Verdana" w:cs="Arial"/>
          <w:color w:val="000000"/>
          <w:sz w:val="20"/>
          <w:szCs w:val="20"/>
          <w:lang w:val="es-ES_tradnl"/>
        </w:rPr>
        <w:t>En todo caso, se deberá garantizar la satisfacción de las condiciones técnicas y económicas requeridas en el Proceso de Contratación.</w:t>
      </w:r>
    </w:p>
    <w:p w14:paraId="506B9838" w14:textId="77777777" w:rsidR="00287C31" w:rsidRPr="00DC0D69" w:rsidRDefault="00287C31" w:rsidP="00287C31">
      <w:pPr>
        <w:spacing w:after="0" w:line="240" w:lineRule="auto"/>
        <w:ind w:left="709" w:right="709"/>
        <w:jc w:val="both"/>
        <w:rPr>
          <w:rFonts w:ascii="Verdana" w:eastAsia="Calibri" w:hAnsi="Verdana" w:cs="Arial"/>
          <w:color w:val="000000"/>
          <w:sz w:val="20"/>
          <w:szCs w:val="20"/>
          <w:lang w:val="es-ES_tradnl"/>
        </w:rPr>
      </w:pPr>
      <w:r w:rsidRPr="00DC0D69">
        <w:rPr>
          <w:rFonts w:ascii="Verdana" w:eastAsia="Calibri" w:hAnsi="Verdana" w:cs="Arial"/>
          <w:color w:val="000000"/>
          <w:sz w:val="20"/>
          <w:szCs w:val="20"/>
          <w:lang w:val="es-ES_tradnl"/>
        </w:rPr>
        <w:t xml:space="preserve">De igual forma, en </w:t>
      </w:r>
      <w:r w:rsidRPr="00DC0D69">
        <w:rPr>
          <w:rFonts w:ascii="Verdana" w:eastAsia="Calibri" w:hAnsi="Verdana" w:cs="Arial"/>
          <w:b/>
          <w:bCs/>
          <w:color w:val="000000"/>
          <w:sz w:val="20"/>
          <w:szCs w:val="20"/>
          <w:lang w:val="es-ES_tradnl"/>
        </w:rPr>
        <w:t>los pliegos de condiciones</w:t>
      </w:r>
      <w:r w:rsidRPr="00DC0D69">
        <w:rPr>
          <w:rFonts w:ascii="Verdana" w:eastAsia="Calibri" w:hAnsi="Verdana" w:cs="Arial"/>
          <w:color w:val="000000"/>
          <w:sz w:val="20"/>
          <w:szCs w:val="20"/>
          <w:lang w:val="es-ES_tradnl"/>
        </w:rPr>
        <w:t xml:space="preserve"> dispondrán, de mecanismos que fomenten en la ejecución de los contratos estatales la provisión de bienes y servicios por población en pobreza extrema, desplazados por la violencia, personas en proceso de reintegración o reincorporación y, sujetos de especial protección constitucional en las condiciones que señale el reglamento; siempre que se garanticen las condiciones de calidad y cumplimiento del objeto contractual.”. […] (Destacado fuera del original)</w:t>
      </w:r>
    </w:p>
    <w:p w14:paraId="4ABB77FB" w14:textId="77777777" w:rsidR="00287C31" w:rsidRPr="00DC0D69" w:rsidRDefault="00287C31" w:rsidP="00287C31">
      <w:pPr>
        <w:spacing w:after="0"/>
        <w:jc w:val="both"/>
        <w:rPr>
          <w:rFonts w:ascii="Verdana" w:eastAsia="Calibri" w:hAnsi="Verdana" w:cs="Arial"/>
          <w:color w:val="000000"/>
          <w:sz w:val="21"/>
          <w:szCs w:val="21"/>
          <w:lang w:val="es-ES_tradnl"/>
        </w:rPr>
      </w:pPr>
    </w:p>
    <w:p w14:paraId="14F6B7A5" w14:textId="758A8B33" w:rsidR="00287C31" w:rsidRPr="00DC0D69" w:rsidRDefault="00B05D11" w:rsidP="00287C31">
      <w:pPr>
        <w:spacing w:after="120" w:line="276" w:lineRule="auto"/>
        <w:ind w:firstLine="708"/>
        <w:jc w:val="both"/>
        <w:rPr>
          <w:rFonts w:ascii="Verdana" w:eastAsia="Calibri" w:hAnsi="Verdana" w:cs="Arial"/>
          <w:color w:val="000000"/>
          <w:lang w:val="es-ES_tradnl"/>
        </w:rPr>
      </w:pPr>
      <w:r w:rsidRPr="00DC0D69">
        <w:rPr>
          <w:rFonts w:ascii="Verdana" w:eastAsia="Calibri" w:hAnsi="Verdana" w:cs="Arial"/>
          <w:color w:val="000000"/>
          <w:lang w:val="es-ES_tradnl"/>
        </w:rPr>
        <w:t>Así las cosas</w:t>
      </w:r>
      <w:r w:rsidR="00287C31" w:rsidRPr="00DC0D69">
        <w:rPr>
          <w:rFonts w:ascii="Verdana" w:eastAsia="Calibri" w:hAnsi="Verdana" w:cs="Arial"/>
          <w:color w:val="000000"/>
          <w:lang w:val="es-ES_tradnl"/>
        </w:rPr>
        <w:t xml:space="preserve">, conviene destacar que la norma de orden legal, que fundamentó la expedición del Decreto 1860 de 2021 hace referencia a que el fomento en la ejecución de los contratos estatales de la provisión de bienes y servicios por parte de ciertos grupos poblacionales y de sujetos de especial protección constitucional se realizará </w:t>
      </w:r>
      <w:r w:rsidR="00287C31" w:rsidRPr="00DC0D69">
        <w:rPr>
          <w:rFonts w:ascii="Verdana" w:eastAsia="Calibri" w:hAnsi="Verdana" w:cs="Arial"/>
          <w:i/>
          <w:iCs/>
          <w:color w:val="000000"/>
          <w:lang w:val="es-ES_tradnl"/>
        </w:rPr>
        <w:t>en los pliegos de condiciones</w:t>
      </w:r>
      <w:r w:rsidR="00287C31" w:rsidRPr="00DC0D69">
        <w:rPr>
          <w:rFonts w:ascii="Verdana" w:eastAsia="Calibri" w:hAnsi="Verdana" w:cs="Arial"/>
          <w:color w:val="000000"/>
          <w:lang w:val="es-ES_tradnl"/>
        </w:rPr>
        <w:t>, de acuerdo con las condiciones que señale el reglamento.</w:t>
      </w:r>
    </w:p>
    <w:p w14:paraId="57EFF827" w14:textId="18FF951A" w:rsidR="00287C31" w:rsidRPr="00DC0D69" w:rsidRDefault="00287C31" w:rsidP="00287C31">
      <w:pPr>
        <w:spacing w:after="120" w:line="276" w:lineRule="auto"/>
        <w:ind w:firstLine="708"/>
        <w:jc w:val="both"/>
        <w:rPr>
          <w:rFonts w:ascii="Verdana" w:eastAsia="Calibri" w:hAnsi="Verdana" w:cs="Arial"/>
          <w:color w:val="000000"/>
          <w:lang w:val="es-ES_tradnl"/>
        </w:rPr>
      </w:pPr>
      <w:r w:rsidRPr="00DC0D69">
        <w:rPr>
          <w:rFonts w:ascii="Verdana" w:eastAsia="Calibri" w:hAnsi="Verdana" w:cs="Arial"/>
          <w:color w:val="000000"/>
          <w:lang w:val="es-ES_tradnl"/>
        </w:rPr>
        <w:t xml:space="preserve">En armonía con lo anterior, el artículo 3 del Decreto 1860 de 2021, que adicionó el artículo 2.2.1.2.4.2.16 del Decreto 1082 de 2015, consagra el deber de las </w:t>
      </w:r>
      <w:r w:rsidR="00E809E9" w:rsidRPr="00DC0D69">
        <w:rPr>
          <w:rFonts w:ascii="Verdana" w:eastAsia="Calibri" w:hAnsi="Verdana" w:cs="Arial"/>
          <w:color w:val="000000"/>
          <w:lang w:val="es-ES_tradnl"/>
        </w:rPr>
        <w:t>e</w:t>
      </w:r>
      <w:r w:rsidRPr="00DC0D69">
        <w:rPr>
          <w:rFonts w:ascii="Verdana" w:eastAsia="Calibri" w:hAnsi="Verdana" w:cs="Arial"/>
          <w:color w:val="000000"/>
          <w:lang w:val="es-ES_tradnl"/>
        </w:rPr>
        <w:t xml:space="preserve">ntidades </w:t>
      </w:r>
      <w:r w:rsidR="00E809E9" w:rsidRPr="00DC0D69">
        <w:rPr>
          <w:rFonts w:ascii="Verdana" w:eastAsia="Calibri" w:hAnsi="Verdana" w:cs="Arial"/>
          <w:color w:val="000000"/>
          <w:lang w:val="es-ES_tradnl"/>
        </w:rPr>
        <w:t>e</w:t>
      </w:r>
      <w:r w:rsidRPr="00DC0D69">
        <w:rPr>
          <w:rFonts w:ascii="Verdana" w:eastAsia="Calibri" w:hAnsi="Verdana" w:cs="Arial"/>
          <w:color w:val="000000"/>
          <w:lang w:val="es-ES_tradnl"/>
        </w:rPr>
        <w:t>statales de incorporar las obligaciones para el cumplimiento del objeto contractual tendientes a la provisión de bienes y servicios por parte de población en pobreza extrema, desplazados por la violencia, personas en proceso de reintegración o reincorporación y sujetos de especial protección constitucional, en los pliegos de condiciones o documento equivalente, garantizando las condiciones de calidad y sin perjuicio de los acuerdos comerciales vigentes</w:t>
      </w:r>
      <w:r w:rsidRPr="00DC0D69">
        <w:rPr>
          <w:rStyle w:val="Refdenotaalpie"/>
          <w:rFonts w:ascii="Verdana" w:eastAsia="Calibri" w:hAnsi="Verdana" w:cs="Arial"/>
          <w:color w:val="000000"/>
          <w:lang w:val="es-ES_tradnl"/>
        </w:rPr>
        <w:footnoteReference w:id="5"/>
      </w:r>
      <w:r w:rsidRPr="00DC0D69">
        <w:rPr>
          <w:rFonts w:ascii="Verdana" w:eastAsia="Calibri" w:hAnsi="Verdana" w:cs="Arial"/>
          <w:color w:val="000000"/>
          <w:lang w:val="es-ES_tradnl"/>
        </w:rPr>
        <w:t xml:space="preserve">.  Esto aplica a las </w:t>
      </w:r>
      <w:r w:rsidR="005B4C45" w:rsidRPr="00DC0D69">
        <w:rPr>
          <w:rFonts w:ascii="Verdana" w:eastAsia="Calibri" w:hAnsi="Verdana" w:cs="Arial"/>
          <w:color w:val="000000"/>
          <w:lang w:val="es-ES_tradnl"/>
        </w:rPr>
        <w:t>e</w:t>
      </w:r>
      <w:r w:rsidRPr="00DC0D69">
        <w:rPr>
          <w:rFonts w:ascii="Verdana" w:eastAsia="Calibri" w:hAnsi="Verdana" w:cs="Arial"/>
          <w:color w:val="000000"/>
          <w:lang w:val="es-ES_tradnl"/>
        </w:rPr>
        <w:t xml:space="preserve">ntidades </w:t>
      </w:r>
      <w:r w:rsidR="005B4C45" w:rsidRPr="00DC0D69">
        <w:rPr>
          <w:rFonts w:ascii="Verdana" w:eastAsia="Calibri" w:hAnsi="Verdana" w:cs="Arial"/>
          <w:color w:val="000000"/>
          <w:lang w:val="es-ES_tradnl"/>
        </w:rPr>
        <w:t>e</w:t>
      </w:r>
      <w:r w:rsidRPr="00DC0D69">
        <w:rPr>
          <w:rFonts w:ascii="Verdana" w:eastAsia="Calibri" w:hAnsi="Verdana" w:cs="Arial"/>
          <w:color w:val="000000"/>
          <w:lang w:val="es-ES_tradnl"/>
        </w:rPr>
        <w:t xml:space="preserve">statales indistintamente de </w:t>
      </w:r>
      <w:r w:rsidRPr="00DC0D69">
        <w:rPr>
          <w:rFonts w:ascii="Verdana" w:eastAsia="Calibri" w:hAnsi="Verdana" w:cs="Arial"/>
          <w:color w:val="000000"/>
          <w:lang w:val="es-ES_tradnl"/>
        </w:rPr>
        <w:lastRenderedPageBreak/>
        <w:t xml:space="preserve">su régimen de contratación, los patrimonios autónomos constituidos por </w:t>
      </w:r>
      <w:r w:rsidR="005B4C45" w:rsidRPr="00DC0D69">
        <w:rPr>
          <w:rFonts w:ascii="Verdana" w:eastAsia="Calibri" w:hAnsi="Verdana" w:cs="Arial"/>
          <w:color w:val="000000"/>
          <w:lang w:val="es-ES_tradnl"/>
        </w:rPr>
        <w:t>e</w:t>
      </w:r>
      <w:r w:rsidRPr="00DC0D69">
        <w:rPr>
          <w:rFonts w:ascii="Verdana" w:eastAsia="Calibri" w:hAnsi="Verdana" w:cs="Arial"/>
          <w:color w:val="000000"/>
          <w:lang w:val="es-ES_tradnl"/>
        </w:rPr>
        <w:t xml:space="preserve">ntidades </w:t>
      </w:r>
      <w:r w:rsidR="005B4C45" w:rsidRPr="00DC0D69">
        <w:rPr>
          <w:rFonts w:ascii="Verdana" w:eastAsia="Calibri" w:hAnsi="Verdana" w:cs="Arial"/>
          <w:color w:val="000000"/>
          <w:lang w:val="es-ES_tradnl"/>
        </w:rPr>
        <w:t>e</w:t>
      </w:r>
      <w:r w:rsidRPr="00DC0D69">
        <w:rPr>
          <w:rFonts w:ascii="Verdana" w:eastAsia="Calibri" w:hAnsi="Verdana" w:cs="Arial"/>
          <w:color w:val="000000"/>
          <w:lang w:val="es-ES_tradnl"/>
        </w:rPr>
        <w:t>statales y los particulares que ejecuten recursos públicos</w:t>
      </w:r>
      <w:r w:rsidRPr="00DC0D69">
        <w:rPr>
          <w:rStyle w:val="Refdenotaalpie"/>
          <w:rFonts w:ascii="Verdana" w:eastAsia="Calibri" w:hAnsi="Verdana" w:cs="Arial"/>
          <w:color w:val="000000"/>
          <w:lang w:val="es-ES_tradnl"/>
        </w:rPr>
        <w:footnoteReference w:id="6"/>
      </w:r>
      <w:r w:rsidRPr="00DC0D69">
        <w:rPr>
          <w:rFonts w:ascii="Verdana" w:eastAsia="Calibri" w:hAnsi="Verdana" w:cs="Arial"/>
          <w:color w:val="000000"/>
          <w:lang w:val="es-ES_tradnl"/>
        </w:rPr>
        <w:t>.</w:t>
      </w:r>
    </w:p>
    <w:p w14:paraId="2C0FC763" w14:textId="67B5D364" w:rsidR="00287C31" w:rsidRPr="00DC0D69" w:rsidRDefault="00287C31" w:rsidP="00287C31">
      <w:pPr>
        <w:spacing w:after="120" w:line="276" w:lineRule="auto"/>
        <w:ind w:firstLine="709"/>
        <w:jc w:val="both"/>
        <w:rPr>
          <w:rFonts w:ascii="Verdana" w:eastAsia="Calibri" w:hAnsi="Verdana" w:cs="Arial"/>
          <w:color w:val="000000"/>
          <w:lang w:val="es-ES_tradnl"/>
        </w:rPr>
      </w:pPr>
      <w:r w:rsidRPr="00DC0D69">
        <w:rPr>
          <w:rFonts w:ascii="Verdana" w:eastAsia="Calibri" w:hAnsi="Verdana" w:cs="Arial"/>
          <w:color w:val="000000"/>
          <w:lang w:val="es-ES_tradnl"/>
        </w:rPr>
        <w:t xml:space="preserve">Como se evidencia, este artículo busca que las </w:t>
      </w:r>
      <w:r w:rsidR="00231E2B" w:rsidRPr="00DC0D69">
        <w:rPr>
          <w:rFonts w:ascii="Verdana" w:eastAsia="Calibri" w:hAnsi="Verdana" w:cs="Arial"/>
          <w:color w:val="000000"/>
          <w:lang w:val="es-ES_tradnl"/>
        </w:rPr>
        <w:t>e</w:t>
      </w:r>
      <w:r w:rsidRPr="00DC0D69">
        <w:rPr>
          <w:rFonts w:ascii="Verdana" w:eastAsia="Calibri" w:hAnsi="Verdana" w:cs="Arial"/>
          <w:color w:val="000000"/>
          <w:lang w:val="es-ES_tradnl"/>
        </w:rPr>
        <w:t xml:space="preserve">ntidades </w:t>
      </w:r>
      <w:r w:rsidR="00231E2B" w:rsidRPr="00DC0D69">
        <w:rPr>
          <w:rFonts w:ascii="Verdana" w:eastAsia="Calibri" w:hAnsi="Verdana" w:cs="Arial"/>
          <w:color w:val="000000"/>
          <w:lang w:val="es-ES_tradnl"/>
        </w:rPr>
        <w:t>e</w:t>
      </w:r>
      <w:r w:rsidRPr="00DC0D69">
        <w:rPr>
          <w:rFonts w:ascii="Verdana" w:eastAsia="Calibri" w:hAnsi="Verdana" w:cs="Arial"/>
          <w:color w:val="000000"/>
          <w:lang w:val="es-ES_tradnl"/>
        </w:rPr>
        <w:t xml:space="preserve">statales incluyan en los pliegos de condiciones o documento equivalente, disposiciones que garanticen que los bienes y servicios requeridos por el contratista para la </w:t>
      </w:r>
      <w:r w:rsidRPr="00DC0D69">
        <w:rPr>
          <w:rFonts w:ascii="Verdana" w:eastAsia="Calibri" w:hAnsi="Verdana" w:cs="Arial"/>
          <w:color w:val="000000"/>
          <w:lang w:val="es-ES_tradnl"/>
        </w:rPr>
        <w:lastRenderedPageBreak/>
        <w:t>ejecución del objeto contractual, sean proveídos por sujetos de especial protección constitucional. Para estos efectos, la norma precisa que la participación de los sujetos mencionados se fomentará previo análisis de oportunidad y conveniencia en los documentos del proceso, teniendo en cuenta el objeto contractual y el alcance de las obligaciones. Este parámetro asegura que el mecanismo implementado no atente contra el cabal cumplimiento del contrato, de tal manera que el acatamiento de lo dispuesto no devenga en el incumplimiento del contrato ni la desmejora de la calidad requerida</w:t>
      </w:r>
      <w:r w:rsidRPr="00DC0D69">
        <w:rPr>
          <w:rStyle w:val="Refdenotaalpie"/>
          <w:rFonts w:ascii="Verdana" w:eastAsia="Calibri" w:hAnsi="Verdana" w:cs="Arial"/>
          <w:color w:val="000000"/>
          <w:lang w:val="es-ES_tradnl"/>
        </w:rPr>
        <w:footnoteReference w:id="7"/>
      </w:r>
      <w:r w:rsidRPr="00DC0D69">
        <w:rPr>
          <w:rFonts w:ascii="Verdana" w:eastAsia="Calibri" w:hAnsi="Verdana" w:cs="Arial"/>
          <w:color w:val="000000"/>
          <w:lang w:val="es-ES_tradnl"/>
        </w:rPr>
        <w:t>.</w:t>
      </w:r>
    </w:p>
    <w:p w14:paraId="7460E4EC" w14:textId="77777777" w:rsidR="00287C31" w:rsidRPr="00DC0D69" w:rsidRDefault="00287C31" w:rsidP="00287C31">
      <w:pPr>
        <w:spacing w:after="120" w:line="276" w:lineRule="auto"/>
        <w:ind w:firstLine="709"/>
        <w:jc w:val="both"/>
        <w:rPr>
          <w:rFonts w:ascii="Verdana" w:eastAsia="Calibri" w:hAnsi="Verdana" w:cs="Arial"/>
          <w:color w:val="000000"/>
          <w:lang w:val="es-ES_tradnl"/>
        </w:rPr>
      </w:pPr>
      <w:r w:rsidRPr="00DC0D69">
        <w:rPr>
          <w:rFonts w:ascii="Verdana" w:eastAsia="Calibri" w:hAnsi="Verdana" w:cs="Arial"/>
          <w:color w:val="000000"/>
          <w:lang w:val="es-ES_tradnl"/>
        </w:rPr>
        <w:t>El parágrafo 1 del artículo 2.2.1.2.4.2.16 define algunos de los sujetos de especial protección constitucional, señalando que su acreditación se realizará en las condiciones que disponga la ley o el reglamento, aplicando en lo pertinente lo indicado en el artículo 2.2.1.2.4.2.17. En ausencia de una condición especial prevista en la normativa vigente, se acreditarán en los términos que determine el pliego de condiciones o documento equivalente</w:t>
      </w:r>
      <w:r w:rsidRPr="00DC0D69">
        <w:rPr>
          <w:rStyle w:val="Refdenotaalpie"/>
          <w:rFonts w:ascii="Verdana" w:eastAsia="Calibri" w:hAnsi="Verdana" w:cs="Arial"/>
          <w:color w:val="000000"/>
          <w:lang w:val="es-ES_tradnl"/>
        </w:rPr>
        <w:footnoteReference w:id="8"/>
      </w:r>
      <w:r w:rsidRPr="00DC0D69">
        <w:rPr>
          <w:rFonts w:ascii="Verdana" w:eastAsia="Calibri" w:hAnsi="Verdana" w:cs="Arial"/>
          <w:color w:val="000000"/>
          <w:lang w:val="es-ES_tradnl"/>
        </w:rPr>
        <w:t>.</w:t>
      </w:r>
    </w:p>
    <w:p w14:paraId="443B2845" w14:textId="77777777" w:rsidR="00287C31" w:rsidRPr="00DC0D69" w:rsidRDefault="00287C31" w:rsidP="00287C31">
      <w:pPr>
        <w:spacing w:line="276" w:lineRule="auto"/>
        <w:ind w:firstLine="709"/>
        <w:jc w:val="both"/>
        <w:rPr>
          <w:rFonts w:ascii="Verdana" w:eastAsia="Calibri" w:hAnsi="Verdana" w:cs="Arial"/>
          <w:bCs/>
          <w:color w:val="000000"/>
          <w:lang w:val="es-ES_tradnl"/>
        </w:rPr>
      </w:pPr>
      <w:r w:rsidRPr="00DC0D69">
        <w:rPr>
          <w:rFonts w:ascii="Verdana" w:eastAsia="Calibri" w:hAnsi="Verdana" w:cs="Arial"/>
          <w:bCs/>
          <w:color w:val="000000"/>
          <w:lang w:val="es-ES_tradnl"/>
        </w:rPr>
        <w:t xml:space="preserve">En efecto, el artículo 2.2.1.2.4.2.17 establece la forma como se debe acreditar el carácter de sujeto de especial protección constitucional, en ciertos eventos. Por ejemplo, a título enunciativo: </w:t>
      </w:r>
    </w:p>
    <w:p w14:paraId="2C84C6B2" w14:textId="77777777" w:rsidR="00287C31" w:rsidRPr="00DC0D69" w:rsidRDefault="00287C31" w:rsidP="00287C31">
      <w:pPr>
        <w:spacing w:before="120" w:line="276" w:lineRule="auto"/>
        <w:ind w:firstLine="709"/>
        <w:jc w:val="both"/>
        <w:rPr>
          <w:rFonts w:ascii="Verdana" w:eastAsia="Calibri" w:hAnsi="Verdana" w:cs="Arial"/>
          <w:bCs/>
          <w:color w:val="000000"/>
          <w:lang w:val="es-ES_tradnl"/>
        </w:rPr>
      </w:pPr>
      <w:r w:rsidRPr="00DC0D69">
        <w:rPr>
          <w:rFonts w:ascii="Verdana" w:eastAsia="Calibri" w:hAnsi="Verdana" w:cs="Arial"/>
          <w:bCs/>
          <w:color w:val="000000"/>
          <w:lang w:val="es-ES_tradnl"/>
        </w:rPr>
        <w:t>i) De acuerdo con el numeral 2, para las mujeres cabeza de familia, “Su acreditación se realizará en los términos del parágrafo del artículo 2 de la Ley 82 de 1993, modificado por el artículo 1 de la Ley 1232 de 2008, o la norma que lo modifique, aclare, adicione o sustituya. Es decir, la condición de mujer cabeza de familia y la cesación de esta se otorgará desde el momento en que ocurra el respectivo evento y se declare ante un notario”.</w:t>
      </w:r>
    </w:p>
    <w:p w14:paraId="7CC75627" w14:textId="77777777" w:rsidR="00287C31" w:rsidRPr="00DC0D69" w:rsidRDefault="00287C31" w:rsidP="00287C31">
      <w:pPr>
        <w:spacing w:before="120" w:line="276" w:lineRule="auto"/>
        <w:ind w:firstLine="709"/>
        <w:jc w:val="both"/>
        <w:rPr>
          <w:rFonts w:ascii="Verdana" w:eastAsia="Calibri" w:hAnsi="Verdana" w:cs="Arial"/>
          <w:color w:val="000000"/>
          <w:lang w:val="es-ES"/>
        </w:rPr>
      </w:pPr>
      <w:r w:rsidRPr="00DC0D69">
        <w:rPr>
          <w:rFonts w:ascii="Verdana" w:eastAsia="Calibri" w:hAnsi="Verdana" w:cs="Arial"/>
          <w:color w:val="000000" w:themeColor="text1"/>
          <w:lang w:val="es-ES"/>
        </w:rPr>
        <w:t xml:space="preserve">ii) Según el numeral 5, la acreditación de la pertenencia a la población indígena, negra, afrocolombiana, raizal, palenquera, Rrom o gitana, en los términos del Decreto Ley 2893 de 2011, o la norma que lo modifique, sustituya o complemente, se certifica por el Ministerio del Interior. </w:t>
      </w:r>
    </w:p>
    <w:p w14:paraId="06411EEA" w14:textId="77777777" w:rsidR="00287C31" w:rsidRPr="00DC0D69" w:rsidRDefault="00287C31" w:rsidP="00287C31">
      <w:pPr>
        <w:spacing w:before="120" w:line="276" w:lineRule="auto"/>
        <w:ind w:firstLine="709"/>
        <w:jc w:val="both"/>
        <w:rPr>
          <w:rFonts w:ascii="Verdana" w:eastAsia="Calibri" w:hAnsi="Verdana" w:cs="Arial"/>
          <w:color w:val="000000"/>
          <w:lang w:val="es-ES"/>
        </w:rPr>
      </w:pPr>
      <w:r w:rsidRPr="00DC0D69">
        <w:rPr>
          <w:rFonts w:ascii="Verdana" w:eastAsia="Calibri" w:hAnsi="Verdana" w:cs="Arial"/>
          <w:color w:val="000000" w:themeColor="text1"/>
          <w:lang w:val="es-ES"/>
        </w:rPr>
        <w:t xml:space="preserve">iii) De conformidad con el numeral 6, la situación de encontrarse en un proceso de reintegración o reincorporación, se demuestra con: “i) la certificación en las desmovilizaciones colectivas que expida la Oficina de Alto Comisionado para la Paz, ii) el certificado que emita el Comité Operativo para la Dejación de </w:t>
      </w:r>
      <w:r w:rsidRPr="00DC0D69">
        <w:rPr>
          <w:rFonts w:ascii="Verdana" w:eastAsia="Calibri" w:hAnsi="Verdana" w:cs="Arial"/>
          <w:color w:val="000000" w:themeColor="text1"/>
          <w:lang w:val="es-ES"/>
        </w:rPr>
        <w:lastRenderedPageBreak/>
        <w:t>las Armas respecto de las personas desmovilizadas en forma individual, iii) el certificado que emita la Agencia para la Reincorporación y la Normalización que acredite que la persona se encuentra en proceso de reincorporación o reintegración o iv) cualquier otro certificado que para el efecto determine la Ley. Además, se entregará copia del documento de identificación de la persona en proceso de reintegración o reincorporación”.</w:t>
      </w:r>
    </w:p>
    <w:p w14:paraId="0B4BBD85" w14:textId="77777777" w:rsidR="00287C31" w:rsidRPr="00DC0D69" w:rsidRDefault="00287C31" w:rsidP="00287C31">
      <w:pPr>
        <w:spacing w:before="120" w:line="276" w:lineRule="auto"/>
        <w:ind w:firstLine="709"/>
        <w:jc w:val="both"/>
        <w:rPr>
          <w:rFonts w:ascii="Verdana" w:eastAsia="Calibri" w:hAnsi="Verdana" w:cs="Arial"/>
          <w:bCs/>
          <w:color w:val="000000"/>
          <w:lang w:val="es-ES_tradnl"/>
        </w:rPr>
      </w:pPr>
      <w:r w:rsidRPr="00DC0D69">
        <w:rPr>
          <w:rFonts w:ascii="Verdana" w:eastAsia="Calibri" w:hAnsi="Verdana" w:cs="Arial"/>
          <w:bCs/>
          <w:color w:val="000000"/>
          <w:lang w:val="es-ES_tradnl"/>
        </w:rPr>
        <w:t>En todo caso, el parágrafo 1 del artículo 2.2.1.2.4.2.16. dispone que si no existe una condición especial para demostrar las circunstancias que hacen a las personas sujetos de especial protección constitucional “se acreditarán en los términos que defina el pliego de condiciones o documento equivalente”. Esto significa que si bien, en principio, existiría libertad probatoria, las entidades estatales podrían definir en el pliego de condiciones o documento equivalente de qué manera se deben acreditar tales situaciones. Al configurar estos requisitos, las entidades públicas deben tener en cuenta el principio de proporcionalidad, de manera que no impongan requisitos probatorios irrazonables.</w:t>
      </w:r>
    </w:p>
    <w:p w14:paraId="73B247DE" w14:textId="76ECB041" w:rsidR="00287C31" w:rsidRPr="00DC0D69" w:rsidRDefault="00287C31" w:rsidP="00287C31">
      <w:pPr>
        <w:spacing w:before="120" w:line="276" w:lineRule="auto"/>
        <w:ind w:firstLine="709"/>
        <w:jc w:val="both"/>
        <w:rPr>
          <w:rFonts w:ascii="Verdana" w:eastAsia="Calibri" w:hAnsi="Verdana" w:cs="Arial"/>
          <w:bCs/>
          <w:color w:val="000000"/>
          <w:lang w:val="es-ES_tradnl"/>
        </w:rPr>
      </w:pPr>
      <w:r w:rsidRPr="00DC0D69">
        <w:rPr>
          <w:rFonts w:ascii="Verdana" w:eastAsia="Calibri" w:hAnsi="Verdana" w:cs="Arial"/>
          <w:bCs/>
          <w:color w:val="000000"/>
          <w:lang w:val="es-ES_tradnl"/>
        </w:rPr>
        <w:t xml:space="preserve">Por otra parte, el Decreto 1860 de 2021 no define fuentes de información específicas que las entidades públicas puedan consultar para “identificar bienes, servicios y la participación en la economía y en los sectores de la población en pobreza extrema, desplazados por la violencia, personas en proceso de reintegración o reincorporación y sujetos de especial protección constitucional”. Este es un aspecto que debe analizar cada entidad pública en el estudio del sector económico. Así se desprende del artículo 2.2.1.2.4.2.16., cuyo segundo inciso dispone que “La participación de los sujetos anteriormente mencionados en la ejecución del contrato se fomentará previo análisis de su oportunidad y conveniencia en los Documentos del Proceso, teniendo en cuenta el objeto contractual y el alcance de las obligaciones”. </w:t>
      </w:r>
    </w:p>
    <w:p w14:paraId="197C0477" w14:textId="77777777" w:rsidR="00287C31" w:rsidRPr="00DC0D69" w:rsidRDefault="00287C31" w:rsidP="00287C31">
      <w:pPr>
        <w:spacing w:before="120" w:line="276" w:lineRule="auto"/>
        <w:ind w:firstLine="709"/>
        <w:jc w:val="both"/>
        <w:rPr>
          <w:rFonts w:ascii="Verdana" w:eastAsia="Calibri" w:hAnsi="Verdana" w:cs="Arial"/>
          <w:bCs/>
          <w:color w:val="000000"/>
          <w:lang w:val="es-ES_tradnl"/>
        </w:rPr>
      </w:pPr>
      <w:r w:rsidRPr="00DC0D69">
        <w:rPr>
          <w:rFonts w:ascii="Verdana" w:eastAsia="Calibri" w:hAnsi="Verdana" w:cs="Arial"/>
          <w:bCs/>
          <w:color w:val="000000"/>
          <w:lang w:val="es-ES_tradnl"/>
        </w:rPr>
        <w:t xml:space="preserve">Adicionalmente, el inciso quinto del artículo 2.2.1.2.4.2.16. establece que “El supervisor o el interventor, según el caso, realizará el seguimiento y verificará que las personas </w:t>
      </w:r>
      <w:r w:rsidRPr="00DC0D69">
        <w:rPr>
          <w:rFonts w:ascii="Verdana" w:eastAsia="Calibri" w:hAnsi="Verdana" w:cs="Arial"/>
          <w:bCs/>
          <w:i/>
          <w:iCs/>
          <w:color w:val="000000"/>
          <w:lang w:val="es-ES_tradnl"/>
        </w:rPr>
        <w:t>vinculadas</w:t>
      </w:r>
      <w:r w:rsidRPr="00DC0D69">
        <w:rPr>
          <w:rFonts w:ascii="Verdana" w:eastAsia="Calibri" w:hAnsi="Verdana" w:cs="Arial"/>
          <w:bCs/>
          <w:color w:val="000000"/>
          <w:lang w:val="es-ES_tradnl"/>
        </w:rPr>
        <w:t xml:space="preserve"> al inicio y durante la ejecución del contrato pertenezcan a los grupos poblacionales enunciados anteriormente” (énfasis fuera de texto). La norma no exige que la vinculación sea, necesariamente, laboral, pues de acuerdo con el primer inciso del artículo en comento, lo importante es “que los contratistas destinen al cumplimiento del objeto contractual la provisión de bienes o servicios por parte de población en pobreza extrema, desplazados por la violencia, personas en proceso de reintegración o </w:t>
      </w:r>
      <w:r w:rsidRPr="00DC0D69">
        <w:rPr>
          <w:rFonts w:ascii="Verdana" w:eastAsia="Calibri" w:hAnsi="Verdana" w:cs="Arial"/>
          <w:bCs/>
          <w:color w:val="000000"/>
          <w:lang w:val="es-ES_tradnl"/>
        </w:rPr>
        <w:lastRenderedPageBreak/>
        <w:t>reincorporación y sujetos de especial protección constitucional, garantizando las condiciones de calidad y sin perjuicio de los Acuerdos Comerciales vigentes”. El concepto de “provisión de bienes o servicios” es amplio, pues enmarca las actividades que se desarrollan en el mercado, para vender, suministrar o prestar bienes o servicios</w:t>
      </w:r>
      <w:r w:rsidRPr="00DC0D69">
        <w:rPr>
          <w:rStyle w:val="Refdenotaalpie"/>
          <w:rFonts w:ascii="Verdana" w:eastAsia="Calibri" w:hAnsi="Verdana" w:cs="Arial"/>
          <w:bCs/>
          <w:color w:val="000000"/>
          <w:lang w:val="es-ES_tradnl"/>
        </w:rPr>
        <w:footnoteReference w:id="9"/>
      </w:r>
      <w:r w:rsidRPr="00DC0D69">
        <w:rPr>
          <w:rFonts w:ascii="Verdana" w:eastAsia="Calibri" w:hAnsi="Verdana" w:cs="Arial"/>
          <w:bCs/>
          <w:color w:val="000000"/>
          <w:lang w:val="es-ES_tradnl"/>
        </w:rPr>
        <w:t>. Esto significa que se puede ser proveedor de bienes o servicios, en calidad de trabajador o como contratista independiente. El supervisor o interventor, según el caso, debe constatar, entonces, durante la ejecución del contrato, que la provisión de los bienes o servicios, en el porcentaje indicado por la entidad estatal, se realice por parte de los sujetos de especial protección constitucional, independientemente de la naturaleza del contrato suscrito entre ellos y el contratista.</w:t>
      </w:r>
    </w:p>
    <w:p w14:paraId="6D14E1B6" w14:textId="77777777" w:rsidR="00545A70" w:rsidRPr="00DC0D69" w:rsidRDefault="00287C31" w:rsidP="00545A70">
      <w:pPr>
        <w:spacing w:before="120" w:after="0" w:line="276" w:lineRule="auto"/>
        <w:ind w:firstLine="709"/>
        <w:jc w:val="both"/>
        <w:rPr>
          <w:rFonts w:ascii="Verdana" w:eastAsia="Calibri" w:hAnsi="Verdana" w:cs="Arial"/>
          <w:bCs/>
          <w:color w:val="000000"/>
          <w:lang w:val="es-ES_tradnl"/>
        </w:rPr>
      </w:pPr>
      <w:r w:rsidRPr="00DC0D69">
        <w:rPr>
          <w:rFonts w:ascii="Verdana" w:eastAsia="Calibri" w:hAnsi="Verdana" w:cs="Arial"/>
          <w:bCs/>
          <w:color w:val="000000"/>
          <w:lang w:val="es-ES_tradnl"/>
        </w:rPr>
        <w:t>Con todo, la provisión de los bienes o servicios se debe realizar directamente por la población en pobreza extrema, los desplazados por la violencia, las personas en proceso de reintegración o reincorporación y los sujetos de especial protección constitucional. Por tanto, esta Agencia no considera procedente interpretar que se satisface la exigencia del porcentaje de provisión de bienes o servicios, por contratar con un particular que, a su vez, adquirirá los bienes o servicios de parte de los grupos poblacionales enunciados en el artículo 2.2.1.2.4.2.16. En armonía con el artículo 34 de la Ley 2069 de 2020, el espíritu de la norma es promover el desarrollo para las personas que necesiten estas acciones de fomento por parte del Estado; finalidad que se desnaturalizaría si se entendiera que esto puede ser fuente de ganancia económica para sujetos que no caben en los grupos poblacionales beneficiados con esta medida, encareciendo con la intermediación el coste de los bienes o servicios requeridos para cumplir con el objeto contractual.</w:t>
      </w:r>
    </w:p>
    <w:p w14:paraId="3A866A9B" w14:textId="77777777" w:rsidR="00545A70" w:rsidRPr="00DC0D69" w:rsidRDefault="00545A70" w:rsidP="00545A70">
      <w:pPr>
        <w:spacing w:before="120" w:after="0" w:line="276" w:lineRule="auto"/>
        <w:ind w:firstLine="709"/>
        <w:jc w:val="both"/>
        <w:rPr>
          <w:rFonts w:ascii="Verdana" w:eastAsia="Calibri" w:hAnsi="Verdana" w:cs="Arial"/>
          <w:bCs/>
          <w:color w:val="000000"/>
          <w:lang w:val="es-ES_tradnl"/>
        </w:rPr>
      </w:pPr>
      <w:r w:rsidRPr="00DC0D69">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w:t>
      </w:r>
      <w:r w:rsidRPr="00DC0D69">
        <w:rPr>
          <w:rFonts w:ascii="Verdana" w:eastAsia="Calibri" w:hAnsi="Verdana" w:cs="Arial"/>
          <w:bCs/>
          <w:color w:val="000000" w:themeColor="text1"/>
        </w:rPr>
        <w:lastRenderedPageBreak/>
        <w:t>correspondiente y, en caso de conflicto, a las autoridades judiciales, fiscales y disciplinarias.</w:t>
      </w:r>
    </w:p>
    <w:p w14:paraId="2B3664D5" w14:textId="75C976CD" w:rsidR="008817B0" w:rsidRPr="00DC0D69" w:rsidRDefault="00545A70" w:rsidP="00960581">
      <w:pPr>
        <w:spacing w:before="120" w:after="0" w:line="276" w:lineRule="auto"/>
        <w:ind w:firstLine="709"/>
        <w:jc w:val="both"/>
        <w:rPr>
          <w:rFonts w:ascii="Verdana" w:eastAsia="Calibri" w:hAnsi="Verdana" w:cs="Arial"/>
          <w:bCs/>
          <w:color w:val="000000"/>
          <w:lang w:val="es-ES_tradnl"/>
        </w:rPr>
      </w:pPr>
      <w:r w:rsidRPr="00DC0D69">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9D9FBDA" w14:textId="77777777" w:rsidR="004024E1" w:rsidRPr="00DC0D69" w:rsidRDefault="004024E1" w:rsidP="004024E1">
      <w:pPr>
        <w:pBdr>
          <w:top w:val="nil"/>
          <w:left w:val="nil"/>
          <w:bottom w:val="nil"/>
          <w:right w:val="nil"/>
          <w:between w:val="nil"/>
        </w:pBdr>
        <w:spacing w:after="0" w:line="276" w:lineRule="auto"/>
        <w:jc w:val="both"/>
        <w:rPr>
          <w:rFonts w:ascii="Verdana" w:eastAsia="Calibri" w:hAnsi="Verdana" w:cs="Arial"/>
          <w:bCs/>
          <w:color w:val="000000" w:themeColor="text1"/>
          <w:lang w:val="es-ES_tradnl"/>
        </w:rPr>
      </w:pPr>
    </w:p>
    <w:p w14:paraId="5A9FA233" w14:textId="77777777" w:rsidR="004024E1" w:rsidRPr="00DC0D69" w:rsidRDefault="004024E1" w:rsidP="004024E1">
      <w:pPr>
        <w:pStyle w:val="Prrafodelista"/>
        <w:numPr>
          <w:ilvl w:val="0"/>
          <w:numId w:val="18"/>
        </w:numPr>
        <w:tabs>
          <w:tab w:val="left" w:pos="142"/>
          <w:tab w:val="left" w:pos="284"/>
        </w:tabs>
        <w:spacing w:after="0" w:line="276" w:lineRule="auto"/>
        <w:ind w:left="360"/>
        <w:contextualSpacing w:val="0"/>
        <w:jc w:val="both"/>
        <w:rPr>
          <w:rFonts w:ascii="Verdana" w:eastAsia="Century Gothic" w:hAnsi="Verdana" w:cs="Century Gothic"/>
          <w:b/>
          <w:bCs/>
        </w:rPr>
      </w:pPr>
      <w:r w:rsidRPr="00DC0D69">
        <w:rPr>
          <w:rFonts w:ascii="Verdana" w:eastAsia="Century Gothic" w:hAnsi="Verdana" w:cs="Century Gothic"/>
          <w:b/>
          <w:bCs/>
        </w:rPr>
        <w:t>Referencias normativas, jurisprudenciales y otras fuentes:</w:t>
      </w:r>
    </w:p>
    <w:p w14:paraId="391E6DB9" w14:textId="77777777" w:rsidR="004024E1" w:rsidRPr="00DC0D69" w:rsidRDefault="004024E1" w:rsidP="004024E1">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024E1" w:rsidRPr="00DC0D69" w14:paraId="102A3A4D" w14:textId="77777777" w:rsidTr="00366EF7">
        <w:trPr>
          <w:trHeight w:val="870"/>
        </w:trPr>
        <w:tc>
          <w:tcPr>
            <w:tcW w:w="8647" w:type="dxa"/>
          </w:tcPr>
          <w:p w14:paraId="5F641AF6" w14:textId="2A8A575C" w:rsidR="004024E1" w:rsidRPr="00DC0D69" w:rsidRDefault="00B4049B" w:rsidP="004024E1">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sidRPr="00DC0D69">
              <w:rPr>
                <w:rFonts w:ascii="Verdana" w:hAnsi="Verdana" w:cs="Arial"/>
              </w:rPr>
              <w:t>Ley 2069 del 2020, artículo 34</w:t>
            </w:r>
            <w:r w:rsidR="00D43E24" w:rsidRPr="00DC0D69">
              <w:rPr>
                <w:rFonts w:ascii="Verdana" w:hAnsi="Verdana" w:cs="Arial"/>
              </w:rPr>
              <w:t>.</w:t>
            </w:r>
          </w:p>
          <w:p w14:paraId="5BD2D04B" w14:textId="13357138" w:rsidR="004024E1" w:rsidRPr="00DC0D69" w:rsidRDefault="00B4049B" w:rsidP="00FF0BE4">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sidRPr="00DC0D69">
              <w:rPr>
                <w:rFonts w:ascii="Verdana" w:hAnsi="Verdana" w:cs="Arial"/>
              </w:rPr>
              <w:t>Ley 1150 de 2007, artículo 12</w:t>
            </w:r>
          </w:p>
          <w:p w14:paraId="48A185AA" w14:textId="1846258A" w:rsidR="00B4049B" w:rsidRPr="00DC0D69" w:rsidRDefault="00B4049B" w:rsidP="00FF0BE4">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sidRPr="00DC0D69">
              <w:rPr>
                <w:rFonts w:ascii="Verdana" w:hAnsi="Verdana" w:cs="Arial"/>
              </w:rPr>
              <w:t xml:space="preserve">Decreto </w:t>
            </w:r>
            <w:r w:rsidR="003674CD" w:rsidRPr="00DC0D69">
              <w:rPr>
                <w:rFonts w:ascii="Verdana" w:hAnsi="Verdana" w:cs="Arial"/>
              </w:rPr>
              <w:t>1860 del 2021</w:t>
            </w:r>
            <w:r w:rsidR="00D43E24" w:rsidRPr="00DC0D69">
              <w:rPr>
                <w:rFonts w:ascii="Verdana" w:hAnsi="Verdana" w:cs="Arial"/>
              </w:rPr>
              <w:t>.</w:t>
            </w:r>
          </w:p>
          <w:p w14:paraId="36E8036A" w14:textId="561ACCB0" w:rsidR="003674CD" w:rsidRPr="00DC0D69" w:rsidRDefault="003674CD" w:rsidP="00FF0BE4">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sidRPr="00DC0D69">
              <w:rPr>
                <w:rFonts w:ascii="Verdana" w:hAnsi="Verdana" w:cs="Arial"/>
              </w:rPr>
              <w:t xml:space="preserve">Decreto 1082 del 2015, artículos </w:t>
            </w:r>
            <w:r w:rsidR="00EB39EC" w:rsidRPr="00DC0D69">
              <w:rPr>
                <w:rFonts w:ascii="Verdana" w:hAnsi="Verdana" w:cs="Arial"/>
              </w:rPr>
              <w:t xml:space="preserve">2.2.1.2.4.2.16 y </w:t>
            </w:r>
            <w:r w:rsidR="00F166AC" w:rsidRPr="00DC0D69">
              <w:rPr>
                <w:rFonts w:ascii="Verdana" w:eastAsia="Calibri" w:hAnsi="Verdana" w:cs="Arial"/>
                <w:color w:val="000000"/>
                <w:lang w:val="es-ES_tradnl"/>
              </w:rPr>
              <w:t>2.2.1.2.4.2.17</w:t>
            </w:r>
            <w:r w:rsidR="00D43E24" w:rsidRPr="00DC0D69">
              <w:rPr>
                <w:rFonts w:ascii="Verdana" w:eastAsia="Calibri" w:hAnsi="Verdana" w:cs="Arial"/>
                <w:color w:val="000000"/>
                <w:lang w:val="es-ES_tradnl"/>
              </w:rPr>
              <w:t>.</w:t>
            </w:r>
          </w:p>
          <w:p w14:paraId="3DB97E2C" w14:textId="7C94D4A3" w:rsidR="006910D3" w:rsidRPr="00DC0D69" w:rsidRDefault="006910D3" w:rsidP="00FF0BE4">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sidRPr="00DC0D69">
              <w:rPr>
                <w:rFonts w:ascii="Verdana" w:hAnsi="Verdana" w:cs="Arial"/>
              </w:rPr>
              <w:t>Corte Constitucional. Sentencia C-502 de 2012. Magistrada Ponente: Adriana María Guillén Arango.</w:t>
            </w:r>
          </w:p>
        </w:tc>
      </w:tr>
    </w:tbl>
    <w:p w14:paraId="3F0B470F" w14:textId="77777777" w:rsidR="004024E1" w:rsidRPr="00DC0D69" w:rsidRDefault="004024E1" w:rsidP="004024E1">
      <w:pPr>
        <w:widowControl w:val="0"/>
        <w:autoSpaceDE w:val="0"/>
        <w:autoSpaceDN w:val="0"/>
        <w:spacing w:after="0" w:line="276" w:lineRule="auto"/>
        <w:jc w:val="both"/>
        <w:rPr>
          <w:rFonts w:ascii="Verdana" w:hAnsi="Verdana" w:cs="Arial"/>
        </w:rPr>
      </w:pPr>
    </w:p>
    <w:p w14:paraId="2EB1CEEF" w14:textId="77777777" w:rsidR="004024E1" w:rsidRPr="00DC0D69" w:rsidRDefault="004024E1" w:rsidP="004024E1">
      <w:pPr>
        <w:pStyle w:val="Prrafodelista"/>
        <w:numPr>
          <w:ilvl w:val="0"/>
          <w:numId w:val="18"/>
        </w:numPr>
        <w:tabs>
          <w:tab w:val="left" w:pos="142"/>
          <w:tab w:val="left" w:pos="284"/>
        </w:tabs>
        <w:spacing w:after="0" w:line="276" w:lineRule="auto"/>
        <w:ind w:left="0" w:firstLine="0"/>
        <w:contextualSpacing w:val="0"/>
        <w:jc w:val="both"/>
        <w:rPr>
          <w:rFonts w:ascii="Verdana" w:eastAsia="Century Gothic" w:hAnsi="Verdana" w:cs="Arial"/>
          <w:b/>
          <w:bCs/>
        </w:rPr>
      </w:pPr>
      <w:r w:rsidRPr="00DC0D69">
        <w:rPr>
          <w:rFonts w:ascii="Verdana" w:eastAsia="Century Gothic" w:hAnsi="Verdana" w:cs="Arial"/>
          <w:b/>
          <w:bCs/>
        </w:rPr>
        <w:t>Doctrina de la Agencia Nacional de Contratación Pública:</w:t>
      </w:r>
    </w:p>
    <w:p w14:paraId="765C8169" w14:textId="77777777" w:rsidR="004024E1" w:rsidRPr="00DC0D69" w:rsidRDefault="004024E1" w:rsidP="004024E1">
      <w:pPr>
        <w:widowControl w:val="0"/>
        <w:autoSpaceDE w:val="0"/>
        <w:autoSpaceDN w:val="0"/>
        <w:spacing w:after="0" w:line="276" w:lineRule="auto"/>
        <w:jc w:val="both"/>
        <w:rPr>
          <w:rFonts w:ascii="Verdana" w:hAnsi="Verdana" w:cs="Arial"/>
        </w:rPr>
      </w:pPr>
    </w:p>
    <w:p w14:paraId="55DD8A23" w14:textId="20BE594E" w:rsidR="004024E1" w:rsidRPr="00DC0D69" w:rsidRDefault="004024E1" w:rsidP="004024E1">
      <w:pPr>
        <w:widowControl w:val="0"/>
        <w:autoSpaceDE w:val="0"/>
        <w:autoSpaceDN w:val="0"/>
        <w:spacing w:after="0" w:line="276" w:lineRule="auto"/>
        <w:jc w:val="both"/>
        <w:rPr>
          <w:rFonts w:ascii="Verdana" w:hAnsi="Verdana" w:cs="Arial"/>
          <w:shd w:val="clear" w:color="auto" w:fill="FFFFFF"/>
        </w:rPr>
      </w:pPr>
      <w:r w:rsidRPr="00DC0D69">
        <w:rPr>
          <w:rFonts w:ascii="Verdana" w:hAnsi="Verdana" w:cs="Arial"/>
          <w:shd w:val="clear" w:color="auto" w:fill="FFFFFF"/>
        </w:rPr>
        <w:t xml:space="preserve">Sobre </w:t>
      </w:r>
      <w:r w:rsidR="00336A37" w:rsidRPr="00DC0D69">
        <w:rPr>
          <w:rFonts w:ascii="Verdana" w:hAnsi="Verdana" w:cs="Arial"/>
          <w:shd w:val="clear" w:color="auto" w:fill="FFFFFF"/>
        </w:rPr>
        <w:t>la aplicación del artículo 2.2.1.2.4.2.16. del Decreto 1082 de 2015 adicionado por el Decreto 1860 de 2021</w:t>
      </w:r>
      <w:r w:rsidRPr="00DC0D69">
        <w:rPr>
          <w:rFonts w:ascii="Verdana" w:hAnsi="Verdana" w:cs="Arial"/>
          <w:shd w:val="clear" w:color="auto" w:fill="FFFFFF"/>
        </w:rPr>
        <w:t xml:space="preserve">, la </w:t>
      </w:r>
      <w:r w:rsidR="00253853" w:rsidRPr="00DC0D69">
        <w:rPr>
          <w:rFonts w:ascii="Verdana" w:hAnsi="Verdana" w:cs="Arial"/>
          <w:shd w:val="clear" w:color="auto" w:fill="FFFFFF"/>
        </w:rPr>
        <w:t xml:space="preserve">subdirección de gestión contractual de la </w:t>
      </w:r>
      <w:r w:rsidRPr="00DC0D69">
        <w:rPr>
          <w:rFonts w:ascii="Verdana" w:hAnsi="Verdana" w:cs="Arial"/>
          <w:shd w:val="clear" w:color="auto" w:fill="FFFFFF"/>
        </w:rPr>
        <w:t xml:space="preserve">ANCP- CCE se ha pronunciado en los conceptos </w:t>
      </w:r>
      <w:r w:rsidR="00F9017E" w:rsidRPr="00DC0D69">
        <w:rPr>
          <w:rFonts w:ascii="Verdana" w:hAnsi="Verdana" w:cs="Arial"/>
          <w:shd w:val="clear" w:color="auto" w:fill="FFFFFF"/>
        </w:rPr>
        <w:t>C-293 del 12 de abril de 2022, C-317 del 16 de mayo de 2022, C-343 del 31 de mayo de 2022, C- 513 del 11 de agosto de 2022</w:t>
      </w:r>
      <w:r w:rsidR="005845DB" w:rsidRPr="00DC0D69">
        <w:rPr>
          <w:rFonts w:ascii="Verdana" w:hAnsi="Verdana" w:cs="Arial"/>
          <w:shd w:val="clear" w:color="auto" w:fill="FFFFFF"/>
        </w:rPr>
        <w:t xml:space="preserve">, </w:t>
      </w:r>
      <w:r w:rsidR="00F9017E" w:rsidRPr="00DC0D69">
        <w:rPr>
          <w:rFonts w:ascii="Verdana" w:hAnsi="Verdana" w:cs="Arial"/>
          <w:shd w:val="clear" w:color="auto" w:fill="FFFFFF"/>
        </w:rPr>
        <w:t>C-392 del 19 de septiembre de 2023</w:t>
      </w:r>
      <w:r w:rsidR="00F9609A" w:rsidRPr="00DC0D69">
        <w:rPr>
          <w:rFonts w:ascii="Verdana" w:hAnsi="Verdana" w:cs="Arial"/>
          <w:shd w:val="clear" w:color="auto" w:fill="FFFFFF"/>
        </w:rPr>
        <w:t xml:space="preserve">, C-002 del </w:t>
      </w:r>
      <w:r w:rsidR="004B1CEE" w:rsidRPr="00DC0D69">
        <w:rPr>
          <w:rFonts w:ascii="Verdana" w:hAnsi="Verdana" w:cs="Arial"/>
          <w:shd w:val="clear" w:color="auto" w:fill="FFFFFF"/>
        </w:rPr>
        <w:t xml:space="preserve">16 de febrero del 2024 y </w:t>
      </w:r>
      <w:r w:rsidR="00ED245D" w:rsidRPr="00DC0D69">
        <w:rPr>
          <w:rFonts w:ascii="Verdana" w:hAnsi="Verdana" w:cs="Arial"/>
          <w:shd w:val="clear" w:color="auto" w:fill="FFFFFF"/>
        </w:rPr>
        <w:t>C-437 del 04 de mayo del 2026</w:t>
      </w:r>
      <w:r w:rsidRPr="00DC0D69">
        <w:rPr>
          <w:rFonts w:ascii="Verdana" w:hAnsi="Verdana" w:cs="Arial"/>
          <w:shd w:val="clear" w:color="auto" w:fill="FFFFFF"/>
        </w:rPr>
        <w:t xml:space="preserve">, entre otros. </w:t>
      </w:r>
      <w:r w:rsidRPr="00DC0D69">
        <w:rPr>
          <w:rFonts w:ascii="Verdana" w:hAnsi="Verdana" w:cs="Arial"/>
        </w:rPr>
        <w:t>Estos y otros conceptos se encuentran disponibles para consulta en el Sistema de relatoría de la Agencia, al cual se puede acceder a través del siguiente enlace:</w:t>
      </w:r>
      <w:r w:rsidRPr="00DC0D69">
        <w:rPr>
          <w:rFonts w:ascii="Verdana" w:hAnsi="Verdana" w:cs="Arial"/>
          <w:shd w:val="clear" w:color="auto" w:fill="FFFFFF"/>
        </w:rPr>
        <w:t xml:space="preserve"> </w:t>
      </w:r>
      <w:hyperlink r:id="rId12" w:history="1">
        <w:r w:rsidRPr="00DC0D69">
          <w:rPr>
            <w:rStyle w:val="Hipervnculo"/>
            <w:rFonts w:ascii="Verdana" w:hAnsi="Verdana" w:cs="Arial"/>
            <w:shd w:val="clear" w:color="auto" w:fill="FFFFFF"/>
          </w:rPr>
          <w:t>https://relatoria.colombiacompra.gov.co/busqueda/conceptos</w:t>
        </w:r>
      </w:hyperlink>
      <w:r w:rsidRPr="00DC0D69">
        <w:rPr>
          <w:rFonts w:ascii="Verdana" w:hAnsi="Verdana" w:cs="Arial"/>
          <w:shd w:val="clear" w:color="auto" w:fill="FFFFFF"/>
        </w:rPr>
        <w:t>.</w:t>
      </w:r>
      <w:r w:rsidRPr="00DC0D69">
        <w:rPr>
          <w:rFonts w:ascii="Verdana" w:hAnsi="Verdana" w:cs="Arial"/>
          <w:color w:val="FF0000"/>
          <w:shd w:val="clear" w:color="auto" w:fill="FFFFFF"/>
        </w:rPr>
        <w:t xml:space="preserve"> </w:t>
      </w:r>
      <w:r w:rsidRPr="00DC0D69">
        <w:rPr>
          <w:rFonts w:ascii="Verdana" w:hAnsi="Verdana" w:cs="Arial"/>
          <w:color w:val="000000" w:themeColor="text1"/>
          <w:shd w:val="clear" w:color="auto" w:fill="FFFFFF"/>
        </w:rPr>
        <w:t>  </w:t>
      </w:r>
    </w:p>
    <w:p w14:paraId="2F093742" w14:textId="77777777" w:rsidR="004024E1" w:rsidRPr="00DC0D69" w:rsidRDefault="004024E1" w:rsidP="004024E1">
      <w:pPr>
        <w:spacing w:after="0" w:line="276" w:lineRule="auto"/>
        <w:jc w:val="both"/>
        <w:rPr>
          <w:rFonts w:ascii="Verdana" w:hAnsi="Verdana" w:cs="Arial"/>
        </w:rPr>
      </w:pPr>
    </w:p>
    <w:p w14:paraId="0F99B0F4" w14:textId="77777777" w:rsidR="004024E1" w:rsidRPr="00DC0D69" w:rsidRDefault="004024E1" w:rsidP="004024E1">
      <w:pPr>
        <w:spacing w:after="0" w:line="276" w:lineRule="auto"/>
        <w:jc w:val="both"/>
        <w:rPr>
          <w:rFonts w:ascii="Verdana" w:hAnsi="Verdana" w:cs="Arial"/>
        </w:rPr>
      </w:pPr>
      <w:r w:rsidRPr="00DC0D69">
        <w:rPr>
          <w:rFonts w:ascii="Verdana" w:hAnsi="Verdana" w:cs="Arial"/>
        </w:rPr>
        <w:lastRenderedPageBreak/>
        <w:t xml:space="preserve">La sostenibilidad no es una opción, es una obligación. Por ello, la Agencia Nacional de Contratación Pública –Colombia Compra Eficiente– te invita a realizar el </w:t>
      </w:r>
      <w:r w:rsidRPr="00DC0D69">
        <w:rPr>
          <w:rFonts w:ascii="Verdana" w:hAnsi="Verdana" w:cs="Arial"/>
          <w:b/>
          <w:bCs/>
        </w:rPr>
        <w:t>Curso de Contratación Pública Sostenible y Socialmente Responsable</w:t>
      </w:r>
      <w:r w:rsidRPr="00DC0D69">
        <w:rPr>
          <w:rFonts w:ascii="Verdana"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DC0D69">
        <w:rPr>
          <w:rFonts w:ascii="Verdana" w:hAnsi="Verdana" w:cs="Arial"/>
        </w:rPr>
        <w:br/>
      </w:r>
      <w:hyperlink r:id="rId13" w:tgtFrame="_new" w:history="1">
        <w:r w:rsidRPr="00DC0D69">
          <w:rPr>
            <w:rStyle w:val="Hipervnculo"/>
            <w:rFonts w:ascii="Verdana" w:hAnsi="Verdana" w:cs="Arial"/>
          </w:rPr>
          <w:t>https://formacionvirtual.colombiacompra.gov.co/mod/page/view.php?id=3718</w:t>
        </w:r>
      </w:hyperlink>
    </w:p>
    <w:p w14:paraId="1626292E" w14:textId="77777777" w:rsidR="004024E1" w:rsidRPr="00DC0D69" w:rsidRDefault="004024E1" w:rsidP="004024E1">
      <w:pPr>
        <w:spacing w:after="0" w:line="276" w:lineRule="auto"/>
        <w:jc w:val="both"/>
        <w:rPr>
          <w:rFonts w:ascii="Verdana" w:hAnsi="Verdana" w:cs="Arial"/>
        </w:rPr>
      </w:pPr>
    </w:p>
    <w:p w14:paraId="51068773" w14:textId="77777777" w:rsidR="004024E1" w:rsidRPr="00DC0D69" w:rsidRDefault="004024E1" w:rsidP="004024E1">
      <w:pPr>
        <w:spacing w:after="0" w:line="276" w:lineRule="auto"/>
        <w:jc w:val="both"/>
        <w:rPr>
          <w:rFonts w:ascii="Verdana" w:hAnsi="Verdana" w:cs="Arial"/>
        </w:rPr>
      </w:pPr>
      <w:r w:rsidRPr="00DC0D69">
        <w:rPr>
          <w:rFonts w:ascii="Verdana" w:hAnsi="Verdana" w:cs="Arial"/>
        </w:rPr>
        <w:t xml:space="preserve">De otro lado, te contamos que esta Agencia ha da un paso decisivo en la estandarización y modernización del </w:t>
      </w:r>
      <w:r w:rsidRPr="00DC0D69">
        <w:rPr>
          <w:rFonts w:ascii="Verdana" w:hAnsi="Verdana" w:cs="Arial"/>
          <w:b/>
          <w:bCs/>
        </w:rPr>
        <w:t>sector  social</w:t>
      </w:r>
      <w:r w:rsidRPr="00DC0D69">
        <w:rPr>
          <w:rFonts w:ascii="Verdana" w:hAnsi="Verdana" w:cs="Arial"/>
        </w:rPr>
        <w:t xml:space="preserve"> con la expedición de las </w:t>
      </w:r>
      <w:r w:rsidRPr="00DC0D69">
        <w:rPr>
          <w:rFonts w:ascii="Verdana" w:hAnsi="Verdana" w:cs="Arial"/>
          <w:b/>
          <w:bCs/>
        </w:rPr>
        <w:t>Resoluciones 539, 540, 541, 952 y 953 de 2025</w:t>
      </w:r>
      <w:r w:rsidRPr="00DC0D69">
        <w:rPr>
          <w:rFonts w:ascii="Verdana" w:hAnsi="Verdana" w:cs="Arial"/>
        </w:rPr>
        <w:t xml:space="preserve">, </w:t>
      </w:r>
      <w:r w:rsidRPr="00DC0D69">
        <w:rPr>
          <w:rFonts w:ascii="Verdana" w:hAnsi="Verdana" w:cs="Arial"/>
          <w:b/>
          <w:bCs/>
        </w:rPr>
        <w:t>mediante las cuales adoptó Documentos Tipo</w:t>
      </w:r>
      <w:r w:rsidRPr="00DC0D69">
        <w:rPr>
          <w:rFonts w:ascii="Verdana" w:hAnsi="Verdana" w:cs="Arial"/>
        </w:rPr>
        <w:t xml:space="preserve"> para las modalidades de selección de</w:t>
      </w:r>
      <w:r w:rsidRPr="00DC0D69">
        <w:rPr>
          <w:rFonts w:ascii="Verdana" w:hAnsi="Verdana" w:cs="Arial"/>
          <w:b/>
          <w:bCs/>
        </w:rPr>
        <w:t xml:space="preserve"> licitación pública (versión 2), selección abreviada de menor cuantía, mínima cuantía, consultoría e interventoría</w:t>
      </w:r>
      <w:r w:rsidRPr="00DC0D69">
        <w:rPr>
          <w:rFonts w:ascii="Verdana"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DC0D69">
          <w:rPr>
            <w:rStyle w:val="Hipervnculo"/>
            <w:rFonts w:ascii="Verdana" w:hAnsi="Verdana" w:cs="Arial"/>
          </w:rPr>
          <w:t>https://www.colombiacompra.gov.co/normativa-y-relatoria/documentos-tipo</w:t>
        </w:r>
      </w:hyperlink>
    </w:p>
    <w:p w14:paraId="02873A65" w14:textId="77777777" w:rsidR="004024E1" w:rsidRPr="00DC0D69" w:rsidRDefault="004024E1" w:rsidP="004024E1">
      <w:pPr>
        <w:spacing w:after="0" w:line="276" w:lineRule="auto"/>
        <w:jc w:val="both"/>
        <w:rPr>
          <w:rFonts w:ascii="Verdana" w:hAnsi="Verdana" w:cs="Arial"/>
        </w:rPr>
      </w:pPr>
    </w:p>
    <w:p w14:paraId="18D7F296" w14:textId="77777777" w:rsidR="004024E1" w:rsidRPr="00DC0D69" w:rsidRDefault="004024E1" w:rsidP="004024E1">
      <w:pPr>
        <w:spacing w:after="0" w:line="276" w:lineRule="auto"/>
        <w:jc w:val="both"/>
        <w:rPr>
          <w:rFonts w:ascii="Verdana" w:hAnsi="Verdana" w:cs="Arial"/>
        </w:rPr>
      </w:pPr>
      <w:r w:rsidRPr="00DC0D69">
        <w:rPr>
          <w:rFonts w:ascii="Verdana" w:hAnsi="Verdana" w:cs="Arial"/>
        </w:rPr>
        <w:t xml:space="preserve">Si quieres conocer más sobre la aplicación de Documentos Tipo puedes consultar la última versión de la </w:t>
      </w:r>
      <w:r w:rsidRPr="00DC0D69">
        <w:rPr>
          <w:rFonts w:ascii="Verdana" w:hAnsi="Verdana" w:cs="Arial"/>
          <w:b/>
          <w:bCs/>
        </w:rPr>
        <w:t>Guía para la comprensión e implementación de los Documentos Tipo de obra pública de infraestructura de transporte</w:t>
      </w:r>
      <w:r w:rsidRPr="00DC0D69">
        <w:rPr>
          <w:rFonts w:ascii="Verdana"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DC0D69">
        <w:rPr>
          <w:rFonts w:ascii="Verdana" w:hAnsi="Verdana" w:cs="Arial"/>
        </w:rPr>
        <w:br/>
      </w:r>
      <w:hyperlink r:id="rId15" w:tgtFrame="_new" w:history="1">
        <w:r w:rsidRPr="00DC0D69">
          <w:rPr>
            <w:rStyle w:val="Hipervnculo"/>
            <w:rFonts w:ascii="Verdana" w:hAnsi="Verdana" w:cs="Arial"/>
          </w:rPr>
          <w:t>https://www.colombiacompra.gov.co/archivos/manual/guia-para-la-comprension-e-implementacion-de-los-documentos-tipo-de-obra-publica-de-infraestructura-de-transporte-bajo-las-diferentes-modalidades-de-contratacion-vigentes</w:t>
        </w:r>
      </w:hyperlink>
    </w:p>
    <w:p w14:paraId="2F821952" w14:textId="77777777" w:rsidR="004024E1" w:rsidRPr="00DC0D69" w:rsidRDefault="004024E1" w:rsidP="004024E1">
      <w:pPr>
        <w:spacing w:after="0" w:line="276" w:lineRule="auto"/>
        <w:jc w:val="both"/>
        <w:rPr>
          <w:rFonts w:ascii="Verdana" w:hAnsi="Verdana" w:cs="Arial"/>
        </w:rPr>
      </w:pPr>
    </w:p>
    <w:p w14:paraId="2D122B71" w14:textId="77777777" w:rsidR="004024E1" w:rsidRPr="00DC0D69" w:rsidRDefault="004024E1" w:rsidP="004024E1">
      <w:pPr>
        <w:spacing w:after="0" w:line="276" w:lineRule="auto"/>
        <w:jc w:val="both"/>
        <w:rPr>
          <w:rFonts w:ascii="Verdana" w:hAnsi="Verdana" w:cs="Arial"/>
        </w:rPr>
      </w:pPr>
      <w:r w:rsidRPr="00DC0D69">
        <w:rPr>
          <w:rFonts w:ascii="Verdana" w:hAnsi="Verdana" w:cs="Arial"/>
        </w:rPr>
        <w:t xml:space="preserve">Por último, lo invitamos a seguirnos en las redes sociales en las cuales se difunde información institucional: </w:t>
      </w:r>
    </w:p>
    <w:p w14:paraId="2D1960EC" w14:textId="77777777" w:rsidR="004024E1" w:rsidRPr="00DC0D69" w:rsidRDefault="004024E1" w:rsidP="004024E1">
      <w:pPr>
        <w:spacing w:after="0" w:line="276" w:lineRule="auto"/>
        <w:jc w:val="both"/>
        <w:rPr>
          <w:rFonts w:ascii="Verdana" w:hAnsi="Verdana" w:cs="Arial"/>
        </w:rPr>
      </w:pPr>
    </w:p>
    <w:p w14:paraId="41A81387" w14:textId="77777777" w:rsidR="004024E1" w:rsidRPr="00DC0D69" w:rsidRDefault="004024E1" w:rsidP="004024E1">
      <w:pPr>
        <w:spacing w:after="0" w:line="276" w:lineRule="auto"/>
        <w:jc w:val="both"/>
        <w:rPr>
          <w:rFonts w:ascii="Verdana" w:hAnsi="Verdana" w:cs="Arial"/>
        </w:rPr>
      </w:pPr>
      <w:r w:rsidRPr="00DC0D69">
        <w:rPr>
          <w:rFonts w:ascii="Verdana" w:hAnsi="Verdana" w:cs="Arial"/>
        </w:rPr>
        <w:t xml:space="preserve">Twitter: </w:t>
      </w:r>
      <w:r w:rsidRPr="00DC0D69">
        <w:rPr>
          <w:rStyle w:val="Hipervnculo"/>
          <w:rFonts w:ascii="Verdana" w:hAnsi="Verdana" w:cs="Arial"/>
          <w:color w:val="4472C4" w:themeColor="accent1"/>
        </w:rPr>
        <w:t>@colombiacompra</w:t>
      </w:r>
      <w:r w:rsidRPr="00DC0D69">
        <w:rPr>
          <w:rFonts w:ascii="Verdana" w:hAnsi="Verdana" w:cs="Arial"/>
          <w:color w:val="4472C4" w:themeColor="accent1"/>
        </w:rPr>
        <w:t xml:space="preserve"> </w:t>
      </w:r>
    </w:p>
    <w:p w14:paraId="6801FB0E" w14:textId="77777777" w:rsidR="004024E1" w:rsidRPr="00DC0D69" w:rsidRDefault="004024E1" w:rsidP="004024E1">
      <w:pPr>
        <w:spacing w:after="0" w:line="276" w:lineRule="auto"/>
        <w:jc w:val="both"/>
        <w:rPr>
          <w:rFonts w:ascii="Verdana" w:hAnsi="Verdana" w:cs="Arial"/>
        </w:rPr>
      </w:pPr>
      <w:r w:rsidRPr="00DC0D69">
        <w:rPr>
          <w:rFonts w:ascii="Verdana" w:hAnsi="Verdana" w:cs="Arial"/>
        </w:rPr>
        <w:t xml:space="preserve">Facebook: </w:t>
      </w:r>
      <w:r w:rsidRPr="00DC0D69">
        <w:rPr>
          <w:rStyle w:val="Hipervnculo"/>
          <w:rFonts w:ascii="Verdana" w:hAnsi="Verdana" w:cs="Arial"/>
          <w:color w:val="4472C4" w:themeColor="accent1"/>
        </w:rPr>
        <w:t>ColombiaCompraEficiente</w:t>
      </w:r>
    </w:p>
    <w:p w14:paraId="2F094033" w14:textId="77777777" w:rsidR="004024E1" w:rsidRPr="00DC0D69" w:rsidRDefault="004024E1" w:rsidP="004024E1">
      <w:pPr>
        <w:spacing w:after="0" w:line="276" w:lineRule="auto"/>
        <w:jc w:val="both"/>
        <w:rPr>
          <w:rStyle w:val="Hipervnculo"/>
          <w:rFonts w:ascii="Verdana" w:hAnsi="Verdana" w:cs="Arial"/>
          <w:color w:val="4472C4" w:themeColor="accent1"/>
        </w:rPr>
      </w:pPr>
      <w:r w:rsidRPr="00DC0D69">
        <w:rPr>
          <w:rFonts w:ascii="Verdana" w:hAnsi="Verdana" w:cs="Arial"/>
        </w:rPr>
        <w:t xml:space="preserve">LinkedIn: </w:t>
      </w:r>
      <w:r w:rsidRPr="00DC0D69">
        <w:rPr>
          <w:rStyle w:val="Hipervnculo"/>
          <w:rFonts w:ascii="Verdana" w:hAnsi="Verdana" w:cs="Arial"/>
          <w:color w:val="4472C4" w:themeColor="accent1"/>
        </w:rPr>
        <w:t>Agencia Nacional de Contratación Pública - Colombia Compra Eficiente</w:t>
      </w:r>
      <w:r w:rsidRPr="00DC0D69">
        <w:rPr>
          <w:rFonts w:ascii="Verdana" w:hAnsi="Verdana" w:cs="Arial"/>
          <w:color w:val="4472C4" w:themeColor="accent1"/>
        </w:rPr>
        <w:t xml:space="preserve"> </w:t>
      </w:r>
      <w:r w:rsidRPr="00DC0D69">
        <w:rPr>
          <w:rFonts w:ascii="Verdana" w:hAnsi="Verdana" w:cs="Arial"/>
        </w:rPr>
        <w:t xml:space="preserve">Instagram: </w:t>
      </w:r>
      <w:r w:rsidRPr="00DC0D69">
        <w:rPr>
          <w:rStyle w:val="Hipervnculo"/>
          <w:rFonts w:ascii="Verdana" w:hAnsi="Verdana" w:cs="Arial"/>
          <w:color w:val="4472C4" w:themeColor="accent1"/>
        </w:rPr>
        <w:t>@colombiacompraeficiente_cce</w:t>
      </w:r>
    </w:p>
    <w:p w14:paraId="10F09E86" w14:textId="77777777" w:rsidR="004024E1" w:rsidRPr="00DC0D69" w:rsidRDefault="004024E1" w:rsidP="004024E1">
      <w:pPr>
        <w:spacing w:after="0" w:line="276" w:lineRule="auto"/>
        <w:jc w:val="both"/>
        <w:rPr>
          <w:rStyle w:val="Hipervnculo"/>
          <w:rFonts w:ascii="Verdana" w:hAnsi="Verdana" w:cs="Arial"/>
          <w:color w:val="4472C4" w:themeColor="accent1"/>
        </w:rPr>
      </w:pPr>
    </w:p>
    <w:p w14:paraId="79FE44C8" w14:textId="77777777" w:rsidR="004024E1" w:rsidRPr="00DC0D69" w:rsidRDefault="004024E1" w:rsidP="004024E1">
      <w:pPr>
        <w:widowControl w:val="0"/>
        <w:autoSpaceDE w:val="0"/>
        <w:autoSpaceDN w:val="0"/>
        <w:spacing w:after="0" w:line="276" w:lineRule="auto"/>
        <w:jc w:val="both"/>
        <w:rPr>
          <w:rFonts w:ascii="Verdana" w:hAnsi="Verdana" w:cs="Arial"/>
          <w:lang w:val="es-ES_tradnl"/>
        </w:rPr>
      </w:pPr>
      <w:r w:rsidRPr="00DC0D69">
        <w:rPr>
          <w:rFonts w:ascii="Verdana" w:hAnsi="Verdana" w:cs="Arial"/>
        </w:rPr>
        <w:t xml:space="preserve">Este concepto tiene el alcance previsto en el artículo 28 del Código de Procedimiento Administrativo y de lo Contencioso Administrativo </w:t>
      </w:r>
      <w:r w:rsidRPr="00DC0D69">
        <w:rPr>
          <w:rFonts w:ascii="Verdana" w:hAnsi="Verdana" w:cs="Arial"/>
          <w:lang w:val="es-ES_tradnl"/>
        </w:rPr>
        <w:t>y las expresiones aquí utilizadas con mayúscula inicial deben ser entendidas con el significado que les otorga el artículo 2.2.1.1.1.3.1. del Decreto 1082 de 2015.</w:t>
      </w:r>
    </w:p>
    <w:p w14:paraId="64A8BE03" w14:textId="77777777" w:rsidR="001A33BF" w:rsidRPr="00DC0D69" w:rsidRDefault="001A33BF" w:rsidP="30821638">
      <w:pPr>
        <w:spacing w:after="0" w:line="240" w:lineRule="auto"/>
        <w:jc w:val="both"/>
        <w:rPr>
          <w:rFonts w:ascii="Verdana" w:eastAsia="Verdana" w:hAnsi="Verdana" w:cs="Verdana"/>
          <w:lang w:val="es-MX"/>
        </w:rPr>
      </w:pPr>
    </w:p>
    <w:p w14:paraId="0EE67BCA" w14:textId="388E65A9" w:rsidR="002A0DD0" w:rsidRPr="00DC0D69" w:rsidRDefault="002A0DD0" w:rsidP="30821638">
      <w:pPr>
        <w:spacing w:after="0" w:line="240" w:lineRule="auto"/>
        <w:jc w:val="both"/>
        <w:rPr>
          <w:rFonts w:ascii="Verdana" w:eastAsia="Verdana" w:hAnsi="Verdana" w:cs="Verdana"/>
          <w:lang w:val="es-MX"/>
        </w:rPr>
      </w:pPr>
      <w:r w:rsidRPr="00DC0D69">
        <w:rPr>
          <w:rFonts w:ascii="Verdana" w:eastAsia="Verdana" w:hAnsi="Verdana" w:cs="Verdana"/>
          <w:lang w:val="es-MX"/>
        </w:rPr>
        <w:t>Cordialmente,</w:t>
      </w:r>
    </w:p>
    <w:p w14:paraId="26BC04D8" w14:textId="77777777" w:rsidR="00FD121D" w:rsidRPr="00DC0D69" w:rsidRDefault="00FD121D" w:rsidP="30821638">
      <w:pPr>
        <w:spacing w:after="0" w:line="240" w:lineRule="auto"/>
        <w:jc w:val="both"/>
        <w:rPr>
          <w:rFonts w:ascii="Verdana" w:eastAsia="Verdana" w:hAnsi="Verdana" w:cs="Verdana"/>
          <w:lang w:val="es-MX"/>
        </w:rPr>
      </w:pPr>
    </w:p>
    <w:p w14:paraId="42410BF8" w14:textId="0FB431E1" w:rsidR="006021FD" w:rsidRPr="00DC0D69" w:rsidRDefault="00D0050A" w:rsidP="006021FD">
      <w:pPr>
        <w:spacing w:after="0" w:line="240" w:lineRule="auto"/>
        <w:jc w:val="center"/>
        <w:rPr>
          <w:rFonts w:ascii="Verdana" w:eastAsia="Verdana" w:hAnsi="Verdana" w:cs="Verdana"/>
          <w:b/>
          <w:bCs/>
          <w:lang w:val="es-MX"/>
        </w:rPr>
      </w:pPr>
      <w:r w:rsidRPr="00DC0D69">
        <w:rPr>
          <w:rFonts w:ascii="Verdana" w:hAnsi="Verdana"/>
          <w:noProof/>
        </w:rPr>
        <w:drawing>
          <wp:inline distT="0" distB="0" distL="0" distR="0" wp14:anchorId="0EEA452E" wp14:editId="4C6CB147">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D121D" w:rsidRPr="00DC0D69" w14:paraId="0FA93B3B" w14:textId="77777777" w:rsidTr="00366EF7">
        <w:trPr>
          <w:trHeight w:val="315"/>
        </w:trPr>
        <w:tc>
          <w:tcPr>
            <w:tcW w:w="893" w:type="dxa"/>
            <w:vAlign w:val="center"/>
            <w:hideMark/>
          </w:tcPr>
          <w:p w14:paraId="0DED1A1D" w14:textId="77777777" w:rsidR="00FD121D" w:rsidRPr="00DC0D69" w:rsidRDefault="00FD121D" w:rsidP="00366EF7">
            <w:pPr>
              <w:contextualSpacing/>
              <w:rPr>
                <w:rFonts w:ascii="Verdana" w:hAnsi="Verdana" w:cs="Arial"/>
                <w:sz w:val="16"/>
                <w:szCs w:val="16"/>
                <w:lang w:val="es-ES" w:eastAsia="es-ES"/>
              </w:rPr>
            </w:pPr>
            <w:r w:rsidRPr="00DC0D69">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C0F7937" w14:textId="77777777" w:rsidR="00FD121D" w:rsidRPr="00DC0D69" w:rsidRDefault="00FD121D" w:rsidP="00366EF7">
            <w:pPr>
              <w:contextualSpacing/>
              <w:rPr>
                <w:rFonts w:ascii="Verdana" w:eastAsia="Arial" w:hAnsi="Verdana" w:cs="Arial"/>
                <w:sz w:val="16"/>
                <w:szCs w:val="16"/>
              </w:rPr>
            </w:pPr>
            <w:r w:rsidRPr="00DC0D69">
              <w:rPr>
                <w:rFonts w:ascii="Verdana" w:eastAsia="Arial" w:hAnsi="Verdana" w:cs="Arial"/>
                <w:sz w:val="16"/>
                <w:szCs w:val="16"/>
              </w:rPr>
              <w:t>Ana María Ortiz Ballesteros</w:t>
            </w:r>
          </w:p>
          <w:p w14:paraId="58AA130A" w14:textId="77777777" w:rsidR="00FD121D" w:rsidRPr="00DC0D69" w:rsidRDefault="00FD121D" w:rsidP="00366EF7">
            <w:pPr>
              <w:contextualSpacing/>
              <w:rPr>
                <w:rFonts w:ascii="Verdana" w:eastAsia="Arial" w:hAnsi="Verdana" w:cs="Arial"/>
                <w:sz w:val="16"/>
                <w:szCs w:val="16"/>
              </w:rPr>
            </w:pPr>
            <w:r w:rsidRPr="00DC0D69">
              <w:rPr>
                <w:rStyle w:val="normaltextrun"/>
                <w:rFonts w:ascii="Verdana" w:eastAsia="Arial" w:hAnsi="Verdana" w:cs="Arial"/>
                <w:sz w:val="16"/>
                <w:szCs w:val="16"/>
              </w:rPr>
              <w:t>C</w:t>
            </w:r>
            <w:r w:rsidRPr="00DC0D69">
              <w:rPr>
                <w:rStyle w:val="normaltextrun"/>
                <w:rFonts w:ascii="Verdana" w:hAnsi="Verdana"/>
                <w:sz w:val="16"/>
                <w:szCs w:val="16"/>
              </w:rPr>
              <w:t>ontratista</w:t>
            </w:r>
            <w:r w:rsidRPr="00DC0D69">
              <w:rPr>
                <w:rStyle w:val="normaltextrun"/>
                <w:rFonts w:ascii="Verdana" w:eastAsia="Arial" w:hAnsi="Verdana" w:cs="Arial"/>
                <w:sz w:val="16"/>
                <w:szCs w:val="16"/>
              </w:rPr>
              <w:t xml:space="preserve"> de la Subdirección de Gestión Contractual</w:t>
            </w:r>
          </w:p>
        </w:tc>
      </w:tr>
      <w:tr w:rsidR="00FD121D" w:rsidRPr="00DC0D69" w14:paraId="5617BCA7" w14:textId="77777777" w:rsidTr="00366EF7">
        <w:trPr>
          <w:trHeight w:val="330"/>
        </w:trPr>
        <w:tc>
          <w:tcPr>
            <w:tcW w:w="893" w:type="dxa"/>
            <w:vAlign w:val="center"/>
            <w:hideMark/>
          </w:tcPr>
          <w:p w14:paraId="6A51FCAE" w14:textId="77777777" w:rsidR="00FD121D" w:rsidRPr="00DC0D69" w:rsidRDefault="00FD121D" w:rsidP="00366EF7">
            <w:pPr>
              <w:contextualSpacing/>
              <w:rPr>
                <w:rFonts w:ascii="Verdana" w:hAnsi="Verdana" w:cs="Arial"/>
                <w:sz w:val="16"/>
                <w:szCs w:val="16"/>
                <w:lang w:val="es-ES" w:eastAsia="es-ES"/>
              </w:rPr>
            </w:pPr>
            <w:r w:rsidRPr="00DC0D69">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6578C88" w14:textId="77777777" w:rsidR="00FD121D" w:rsidRPr="00DC0D69" w:rsidRDefault="00FD121D" w:rsidP="00366EF7">
            <w:pPr>
              <w:pStyle w:val="paragraph"/>
              <w:spacing w:before="0" w:beforeAutospacing="0" w:after="0" w:afterAutospacing="0"/>
              <w:contextualSpacing/>
              <w:textAlignment w:val="baseline"/>
              <w:rPr>
                <w:rFonts w:ascii="Verdana" w:hAnsi="Verdana" w:cs="Arial"/>
                <w:sz w:val="16"/>
                <w:szCs w:val="16"/>
              </w:rPr>
            </w:pPr>
            <w:r w:rsidRPr="00DC0D69">
              <w:rPr>
                <w:rFonts w:ascii="Verdana" w:hAnsi="Verdana" w:cs="Arial"/>
                <w:sz w:val="16"/>
                <w:szCs w:val="16"/>
              </w:rPr>
              <w:t>Diana Lucia Saavedra Castañeda</w:t>
            </w:r>
          </w:p>
          <w:p w14:paraId="47B717C5" w14:textId="77777777" w:rsidR="00FD121D" w:rsidRPr="00DC0D69" w:rsidRDefault="00FD121D" w:rsidP="00366EF7">
            <w:pPr>
              <w:pStyle w:val="paragraph"/>
              <w:spacing w:before="0" w:beforeAutospacing="0" w:after="0" w:afterAutospacing="0"/>
              <w:contextualSpacing/>
              <w:textAlignment w:val="baseline"/>
              <w:rPr>
                <w:rFonts w:ascii="Verdana" w:hAnsi="Verdana" w:cs="Arial"/>
                <w:sz w:val="16"/>
                <w:szCs w:val="16"/>
              </w:rPr>
            </w:pPr>
            <w:r w:rsidRPr="00DC0D69">
              <w:rPr>
                <w:rStyle w:val="normaltextrun"/>
                <w:rFonts w:ascii="Verdana" w:eastAsia="Arial" w:hAnsi="Verdana" w:cs="Arial"/>
                <w:sz w:val="16"/>
                <w:szCs w:val="16"/>
              </w:rPr>
              <w:t>C</w:t>
            </w:r>
            <w:r w:rsidRPr="00DC0D69">
              <w:rPr>
                <w:rStyle w:val="normaltextrun"/>
                <w:rFonts w:ascii="Verdana" w:hAnsi="Verdana"/>
                <w:sz w:val="16"/>
                <w:szCs w:val="16"/>
              </w:rPr>
              <w:t>ontratista</w:t>
            </w:r>
            <w:r w:rsidRPr="00DC0D69">
              <w:rPr>
                <w:rStyle w:val="normaltextrun"/>
                <w:rFonts w:ascii="Verdana" w:eastAsia="Arial" w:hAnsi="Verdana" w:cs="Arial"/>
                <w:sz w:val="16"/>
                <w:szCs w:val="16"/>
              </w:rPr>
              <w:t xml:space="preserve"> de la Subdirección de Gestión Contractual</w:t>
            </w:r>
          </w:p>
        </w:tc>
      </w:tr>
      <w:tr w:rsidR="00FD121D" w:rsidRPr="00DC0D69" w14:paraId="7D8C92D2" w14:textId="77777777" w:rsidTr="00366EF7">
        <w:trPr>
          <w:trHeight w:val="300"/>
        </w:trPr>
        <w:tc>
          <w:tcPr>
            <w:tcW w:w="893" w:type="dxa"/>
            <w:vAlign w:val="center"/>
          </w:tcPr>
          <w:p w14:paraId="67AD3592" w14:textId="77777777" w:rsidR="00FD121D" w:rsidRPr="00DC0D69" w:rsidRDefault="00FD121D" w:rsidP="00366EF7">
            <w:pPr>
              <w:contextualSpacing/>
              <w:rPr>
                <w:rFonts w:ascii="Verdana" w:hAnsi="Verdana" w:cs="Arial"/>
                <w:sz w:val="16"/>
                <w:szCs w:val="16"/>
                <w:lang w:val="es-ES" w:eastAsia="es-ES"/>
              </w:rPr>
            </w:pPr>
            <w:r w:rsidRPr="00DC0D69">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AED193F" w14:textId="77777777" w:rsidR="00FD121D" w:rsidRPr="00DC0D69" w:rsidRDefault="00FD121D" w:rsidP="00366EF7">
            <w:pPr>
              <w:contextualSpacing/>
              <w:rPr>
                <w:rFonts w:ascii="Verdana" w:eastAsia="Calibri" w:hAnsi="Verdana" w:cs="Arial"/>
                <w:sz w:val="16"/>
                <w:szCs w:val="16"/>
                <w:lang w:val="pt-BR" w:eastAsia="es-ES"/>
              </w:rPr>
            </w:pPr>
            <w:r w:rsidRPr="00DC0D69">
              <w:rPr>
                <w:rFonts w:ascii="Verdana" w:eastAsia="Calibri" w:hAnsi="Verdana" w:cs="Arial"/>
                <w:sz w:val="16"/>
                <w:szCs w:val="16"/>
                <w:lang w:val="pt-BR" w:eastAsia="es-ES"/>
              </w:rPr>
              <w:t>Carolina Quintero Gacharná</w:t>
            </w:r>
          </w:p>
          <w:p w14:paraId="74EE85B6" w14:textId="77777777" w:rsidR="00FD121D" w:rsidRPr="00DC0D69" w:rsidRDefault="00FD121D" w:rsidP="00366EF7">
            <w:pPr>
              <w:contextualSpacing/>
              <w:rPr>
                <w:rFonts w:ascii="Verdana" w:eastAsia="Calibri" w:hAnsi="Verdana" w:cs="Arial"/>
                <w:sz w:val="16"/>
                <w:szCs w:val="16"/>
                <w:lang w:val="pt-BR" w:eastAsia="es-ES"/>
              </w:rPr>
            </w:pPr>
            <w:r w:rsidRPr="00DC0D69">
              <w:rPr>
                <w:rFonts w:ascii="Verdana" w:eastAsia="Calibri" w:hAnsi="Verdana" w:cs="Arial"/>
                <w:sz w:val="16"/>
                <w:szCs w:val="16"/>
                <w:lang w:eastAsia="es-ES"/>
              </w:rPr>
              <w:t>Subdirectora</w:t>
            </w:r>
            <w:r w:rsidRPr="00DC0D69">
              <w:rPr>
                <w:rFonts w:ascii="Verdana" w:eastAsia="Calibri" w:hAnsi="Verdana" w:cs="Arial"/>
                <w:sz w:val="16"/>
                <w:szCs w:val="16"/>
                <w:lang w:val="pt-BR" w:eastAsia="es-ES"/>
              </w:rPr>
              <w:t xml:space="preserve"> de Gestión Contractual ANCP – CCE</w:t>
            </w:r>
          </w:p>
        </w:tc>
      </w:tr>
    </w:tbl>
    <w:p w14:paraId="69BC4D14" w14:textId="3590CF52" w:rsidR="00C15139" w:rsidRPr="00DC0D69" w:rsidRDefault="00C15139" w:rsidP="30821638">
      <w:pPr>
        <w:spacing w:after="0" w:line="240" w:lineRule="auto"/>
        <w:textAlignment w:val="baseline"/>
        <w:rPr>
          <w:rFonts w:ascii="Verdana" w:eastAsia="Verdana" w:hAnsi="Verdana" w:cs="Verdana"/>
          <w:lang w:eastAsia="es-CO"/>
        </w:rPr>
      </w:pPr>
      <w:r w:rsidRPr="00DC0D69">
        <w:rPr>
          <w:rFonts w:ascii="Verdana" w:eastAsia="Verdana" w:hAnsi="Verdana" w:cs="Verdana"/>
          <w:lang w:eastAsia="es-CO"/>
        </w:rPr>
        <w:t> </w:t>
      </w:r>
      <w:bookmarkEnd w:id="0"/>
    </w:p>
    <w:sectPr w:rsidR="00C15139" w:rsidRPr="00DC0D69"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6CB978" w14:textId="77777777" w:rsidR="00BA068F" w:rsidRDefault="00BA068F" w:rsidP="004A1847">
      <w:pPr>
        <w:spacing w:after="0" w:line="240" w:lineRule="auto"/>
      </w:pPr>
      <w:r>
        <w:separator/>
      </w:r>
    </w:p>
  </w:endnote>
  <w:endnote w:type="continuationSeparator" w:id="0">
    <w:p w14:paraId="30FB775D" w14:textId="77777777" w:rsidR="00BA068F" w:rsidRDefault="00BA068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4C9BA0" w14:textId="77777777" w:rsidR="00BA068F" w:rsidRDefault="00BA068F" w:rsidP="004A1847">
      <w:pPr>
        <w:spacing w:after="0" w:line="240" w:lineRule="auto"/>
      </w:pPr>
      <w:r>
        <w:separator/>
      </w:r>
    </w:p>
  </w:footnote>
  <w:footnote w:type="continuationSeparator" w:id="0">
    <w:p w14:paraId="78DDCADF" w14:textId="77777777" w:rsidR="00BA068F" w:rsidRDefault="00BA068F" w:rsidP="004A1847">
      <w:pPr>
        <w:spacing w:after="0" w:line="240" w:lineRule="auto"/>
      </w:pPr>
      <w:r>
        <w:continuationSeparator/>
      </w:r>
    </w:p>
  </w:footnote>
  <w:footnote w:id="1">
    <w:p w14:paraId="2BE19B7B" w14:textId="77777777" w:rsidR="00EC7321" w:rsidRPr="009B0991" w:rsidRDefault="00EC7321" w:rsidP="00EC7321">
      <w:pPr>
        <w:spacing w:after="0"/>
        <w:ind w:firstLine="709"/>
        <w:jc w:val="both"/>
        <w:rPr>
          <w:rFonts w:ascii="Verdana" w:hAnsi="Verdana" w:cs="Arial"/>
          <w:sz w:val="18"/>
          <w:szCs w:val="18"/>
        </w:rPr>
      </w:pPr>
      <w:r w:rsidRPr="009B0991">
        <w:rPr>
          <w:rStyle w:val="Refdenotaalpie"/>
          <w:rFonts w:ascii="Verdana" w:hAnsi="Verdana" w:cs="Arial"/>
          <w:sz w:val="18"/>
          <w:szCs w:val="18"/>
        </w:rPr>
        <w:footnoteRef/>
      </w:r>
      <w:r w:rsidRPr="009B0991">
        <w:rPr>
          <w:rFonts w:ascii="Verdana" w:hAnsi="Verdana" w:cs="Arial"/>
          <w:sz w:val="18"/>
          <w:szCs w:val="18"/>
        </w:rPr>
        <w:t xml:space="preserve"> </w:t>
      </w:r>
      <w:r w:rsidRPr="009B0991">
        <w:rPr>
          <w:rFonts w:ascii="Verdana" w:hAnsi="Verdana" w:cs="Arial"/>
          <w:sz w:val="18"/>
          <w:szCs w:val="18"/>
          <w:lang w:val="es-ES"/>
        </w:rPr>
        <w:t>En efecto, el artículo 34 de la Ley 2069 de 2020 establece: “</w:t>
      </w:r>
      <w:r w:rsidRPr="009B0991">
        <w:rPr>
          <w:rFonts w:ascii="Verdana" w:hAnsi="Verdana" w:cs="Arial"/>
          <w:sz w:val="18"/>
          <w:szCs w:val="18"/>
        </w:rPr>
        <w:t xml:space="preserve">Modifíquese el artículo 12 de la Ley 1150 de 2007, el cual quedará así: </w:t>
      </w:r>
    </w:p>
    <w:p w14:paraId="09169A86" w14:textId="77777777" w:rsidR="00EC7321" w:rsidRPr="009B0991" w:rsidRDefault="00EC7321" w:rsidP="00EC7321">
      <w:pPr>
        <w:spacing w:after="0"/>
        <w:ind w:firstLine="709"/>
        <w:jc w:val="both"/>
        <w:rPr>
          <w:rFonts w:ascii="Verdana" w:eastAsia="Calibri" w:hAnsi="Verdana" w:cs="Arial"/>
          <w:color w:val="000000" w:themeColor="text1"/>
          <w:sz w:val="18"/>
          <w:szCs w:val="18"/>
          <w:lang w:val="es-ES_tradnl"/>
        </w:rPr>
      </w:pPr>
      <w:r w:rsidRPr="009B0991">
        <w:rPr>
          <w:rFonts w:ascii="Verdana" w:eastAsia="Calibri" w:hAnsi="Verdana" w:cs="Arial"/>
          <w:color w:val="000000" w:themeColor="text1"/>
          <w:sz w:val="18"/>
          <w:szCs w:val="18"/>
          <w:lang w:val="es-ES_tradnl"/>
        </w:rPr>
        <w:t>Artículo 12. Promoción del desarrollo en la contratación pública. De conformidad con lo dispuesto en los artículos 13, 333 y 334 de la Constitución Política, el Gobierno Nacional definirá las condiciones y los montos de acuerdo con los compromisos internacionales vigentes, para que, en desarrollo de los Procesos de Contratación, las Entidades Estatales indistintamente de su régimen de contratación, los patrimonios autónomos constituidos por Entidades Estatales y los particulares que ejecuten recursos públicos, adopten en beneficio de las Mipyme, convocatorias limitadas a estas en las que, previo a la Resolución de apertura del proceso respectivo, se haya manifestado el interés de por lo menos dos (2) Mipyme.</w:t>
      </w:r>
    </w:p>
    <w:p w14:paraId="4332BC2E" w14:textId="77777777" w:rsidR="00EC7321" w:rsidRPr="009B0991" w:rsidRDefault="00EC7321" w:rsidP="00EC7321">
      <w:pPr>
        <w:spacing w:after="0"/>
        <w:ind w:firstLine="709"/>
        <w:jc w:val="both"/>
        <w:rPr>
          <w:rFonts w:ascii="Verdana" w:eastAsia="Calibri" w:hAnsi="Verdana" w:cs="Arial"/>
          <w:color w:val="000000" w:themeColor="text1"/>
          <w:sz w:val="18"/>
          <w:szCs w:val="18"/>
          <w:lang w:val="es-ES_tradnl"/>
        </w:rPr>
      </w:pPr>
      <w:r w:rsidRPr="009B0991">
        <w:rPr>
          <w:rFonts w:ascii="Verdana" w:eastAsia="Calibri" w:hAnsi="Verdana" w:cs="Arial"/>
          <w:color w:val="000000" w:themeColor="text1"/>
          <w:sz w:val="18"/>
          <w:szCs w:val="18"/>
          <w:lang w:val="es-ES_tradnl"/>
        </w:rPr>
        <w:t>Asimismo, el reglamento podrá establecer condiciones preferenciales a favor de la oferta de bienes y servicios producidos por las Mipyme respetando los montos y las condiciones contenidas en los compromisos internacionales vigentes, cuando sean aplicables.</w:t>
      </w:r>
    </w:p>
    <w:p w14:paraId="0C69FEB7" w14:textId="77777777" w:rsidR="00EC7321" w:rsidRPr="009B0991" w:rsidRDefault="00EC7321" w:rsidP="00EC7321">
      <w:pPr>
        <w:spacing w:after="0"/>
        <w:ind w:firstLine="709"/>
        <w:jc w:val="both"/>
        <w:rPr>
          <w:rFonts w:ascii="Verdana" w:eastAsia="Calibri" w:hAnsi="Verdana" w:cs="Arial"/>
          <w:color w:val="000000" w:themeColor="text1"/>
          <w:sz w:val="18"/>
          <w:szCs w:val="18"/>
          <w:lang w:val="es-ES_tradnl"/>
        </w:rPr>
      </w:pPr>
      <w:r w:rsidRPr="009B0991">
        <w:rPr>
          <w:rFonts w:ascii="Verdana" w:eastAsia="Calibri" w:hAnsi="Verdana" w:cs="Arial"/>
          <w:color w:val="000000" w:themeColor="text1"/>
          <w:sz w:val="18"/>
          <w:szCs w:val="18"/>
          <w:lang w:val="es-ES_tradnl"/>
        </w:rPr>
        <w:t>En todo caso, se deberá garantizar la satisfacción de las condiciones técnicas y económicas requeridas en el Proceso de Contratación.</w:t>
      </w:r>
    </w:p>
    <w:p w14:paraId="595D6954" w14:textId="77777777" w:rsidR="00EC7321" w:rsidRPr="009B0991" w:rsidRDefault="00EC7321" w:rsidP="00EC7321">
      <w:pPr>
        <w:spacing w:after="0"/>
        <w:ind w:firstLine="709"/>
        <w:jc w:val="both"/>
        <w:rPr>
          <w:rFonts w:ascii="Verdana" w:eastAsia="Calibri" w:hAnsi="Verdana" w:cs="Arial"/>
          <w:color w:val="000000" w:themeColor="text1"/>
          <w:sz w:val="18"/>
          <w:szCs w:val="18"/>
          <w:lang w:val="es-ES_tradnl"/>
        </w:rPr>
      </w:pPr>
      <w:bookmarkStart w:id="2" w:name="_Hlk104884979"/>
      <w:r w:rsidRPr="009B0991">
        <w:rPr>
          <w:rFonts w:ascii="Verdana" w:eastAsia="Calibri" w:hAnsi="Verdana" w:cs="Arial"/>
          <w:color w:val="000000" w:themeColor="text1"/>
          <w:sz w:val="18"/>
          <w:szCs w:val="18"/>
          <w:lang w:val="es-ES_tradnl"/>
        </w:rPr>
        <w:t>De igual forma, en los pliegos de condiciones dispondrán, de mecanismos que fomenten en la ejecución de los contratos estatales la provisión de bienes y servicios por población en pobreza extrema, desplazados por la violencia, personas en proceso de reintegración o reincorporación y, sujetos de especial protección constitucional en las condiciones que señale el reglamento; siempre que se garanticen las condiciones de calidad y cumplimiento del objeto contractual</w:t>
      </w:r>
      <w:bookmarkEnd w:id="2"/>
      <w:r w:rsidRPr="009B0991">
        <w:rPr>
          <w:rFonts w:ascii="Verdana" w:eastAsia="Calibri" w:hAnsi="Verdana" w:cs="Arial"/>
          <w:color w:val="000000" w:themeColor="text1"/>
          <w:sz w:val="18"/>
          <w:szCs w:val="18"/>
          <w:lang w:val="es-ES_tradnl"/>
        </w:rPr>
        <w:t>.</w:t>
      </w:r>
    </w:p>
    <w:p w14:paraId="6F9E93DA" w14:textId="77777777" w:rsidR="00EC7321" w:rsidRPr="009B0991" w:rsidRDefault="00EC7321" w:rsidP="00EC7321">
      <w:pPr>
        <w:spacing w:after="0"/>
        <w:ind w:firstLine="709"/>
        <w:jc w:val="both"/>
        <w:rPr>
          <w:rFonts w:ascii="Verdana" w:eastAsia="Calibri" w:hAnsi="Verdana" w:cs="Arial"/>
          <w:color w:val="000000" w:themeColor="text1"/>
          <w:sz w:val="18"/>
          <w:szCs w:val="18"/>
          <w:lang w:val="es-ES_tradnl"/>
        </w:rPr>
      </w:pPr>
      <w:r w:rsidRPr="009B0991">
        <w:rPr>
          <w:rFonts w:ascii="Verdana" w:eastAsia="Calibri" w:hAnsi="Verdana" w:cs="Arial"/>
          <w:color w:val="000000" w:themeColor="text1"/>
          <w:sz w:val="18"/>
          <w:szCs w:val="18"/>
          <w:lang w:val="es-ES_tradnl"/>
        </w:rPr>
        <w:t>Parágrafo Primero. En los Procesos de Contratación que se desarrollen con base en el primer inciso, las entidades podrán realizar las convocatorias limitadas que beneficien a las Mipyme del ámbito municipal o departamental correspondiente al de la ejecución del contrato.</w:t>
      </w:r>
    </w:p>
    <w:p w14:paraId="319B1851" w14:textId="77777777" w:rsidR="00EC7321" w:rsidRPr="009B0991" w:rsidRDefault="00EC7321" w:rsidP="00EC7321">
      <w:pPr>
        <w:spacing w:after="0"/>
        <w:ind w:firstLine="709"/>
        <w:jc w:val="both"/>
        <w:rPr>
          <w:rFonts w:ascii="Verdana" w:eastAsia="Calibri" w:hAnsi="Verdana" w:cs="Arial"/>
          <w:color w:val="000000" w:themeColor="text1"/>
          <w:sz w:val="18"/>
          <w:szCs w:val="18"/>
          <w:lang w:val="es-ES_tradnl"/>
        </w:rPr>
      </w:pPr>
      <w:r w:rsidRPr="009B0991">
        <w:rPr>
          <w:rFonts w:ascii="Verdana" w:eastAsia="Calibri" w:hAnsi="Verdana" w:cs="Arial"/>
          <w:color w:val="000000" w:themeColor="text1"/>
          <w:sz w:val="18"/>
          <w:szCs w:val="18"/>
          <w:lang w:val="es-ES_tradnl"/>
        </w:rPr>
        <w:t>Parágrafo Segundo. Sin perjuicio de lo dispuesto en los artículos 5 y 6 de la Ley 1150 de 2007, para que las Mipymes puedan participar en las convocatorias a las que se refiere este artículo, deberán acreditar como mínimo un año de existencia, para lo cual deberán presentar el certificado expedido por la cámara de comercio o por la autoridad que sea competente para dicha acreditación.</w:t>
      </w:r>
    </w:p>
    <w:p w14:paraId="2600BAA9" w14:textId="77777777" w:rsidR="00EC7321" w:rsidRPr="009B0991" w:rsidRDefault="00EC7321" w:rsidP="00EC7321">
      <w:pPr>
        <w:spacing w:after="0"/>
        <w:ind w:firstLine="709"/>
        <w:jc w:val="both"/>
        <w:rPr>
          <w:rFonts w:ascii="Verdana" w:eastAsia="Calibri" w:hAnsi="Verdana" w:cs="Arial"/>
          <w:color w:val="000000" w:themeColor="text1"/>
          <w:sz w:val="18"/>
          <w:szCs w:val="18"/>
          <w:lang w:val="es-ES_tradnl"/>
        </w:rPr>
      </w:pPr>
      <w:r w:rsidRPr="009B0991">
        <w:rPr>
          <w:rFonts w:ascii="Verdana" w:eastAsia="Calibri" w:hAnsi="Verdana" w:cs="Arial"/>
          <w:color w:val="000000" w:themeColor="text1"/>
          <w:sz w:val="18"/>
          <w:szCs w:val="18"/>
          <w:lang w:val="es-ES_tradnl"/>
        </w:rPr>
        <w:t xml:space="preserve">Parágrafo Tercero. En la ejecución de los contratos a que se refiere el presente artículo, las entidades y los contratistas, deberán observar lo dispuesto en los artículos 90 a 95 de la Ley 418 de 1997 y las normas que la modifiquen, adicionen o subroguen”.  </w:t>
      </w:r>
    </w:p>
  </w:footnote>
  <w:footnote w:id="2">
    <w:p w14:paraId="4C1DBA4F" w14:textId="77777777" w:rsidR="00EF2B09" w:rsidRPr="009B0991" w:rsidRDefault="00EF2B09" w:rsidP="00EF2B09">
      <w:pPr>
        <w:pStyle w:val="Textonotapie"/>
        <w:ind w:firstLine="708"/>
        <w:jc w:val="both"/>
        <w:rPr>
          <w:rFonts w:ascii="Verdana" w:eastAsia="Times New Roman" w:hAnsi="Verdana" w:cs="Arial"/>
          <w:sz w:val="18"/>
          <w:szCs w:val="18"/>
          <w:lang w:val="es-ES" w:eastAsia="es-ES_tradnl"/>
        </w:rPr>
      </w:pPr>
      <w:r w:rsidRPr="009B0991">
        <w:rPr>
          <w:rStyle w:val="Refdenotaalpie"/>
          <w:rFonts w:ascii="Verdana" w:hAnsi="Verdana" w:cs="Arial"/>
          <w:sz w:val="18"/>
          <w:szCs w:val="18"/>
        </w:rPr>
        <w:footnoteRef/>
      </w:r>
      <w:r w:rsidRPr="009B0991">
        <w:rPr>
          <w:rFonts w:ascii="Verdana" w:hAnsi="Verdana" w:cs="Arial"/>
          <w:sz w:val="18"/>
          <w:szCs w:val="18"/>
        </w:rPr>
        <w:t xml:space="preserve"> </w:t>
      </w:r>
      <w:r w:rsidRPr="009B0991">
        <w:rPr>
          <w:rFonts w:ascii="Verdana" w:eastAsia="Times New Roman" w:hAnsi="Verdana" w:cs="Arial"/>
          <w:sz w:val="18"/>
          <w:szCs w:val="18"/>
          <w:lang w:val="es-ES" w:eastAsia="es-ES_tradnl"/>
        </w:rPr>
        <w:t xml:space="preserve">DNP, Memoria Justificativa del proyecto de decreto de 24/09/2021, publicada en página web: </w:t>
      </w:r>
      <w:hyperlink r:id="rId1" w:history="1">
        <w:r w:rsidRPr="009B0991">
          <w:rPr>
            <w:rStyle w:val="Hipervnculo"/>
            <w:rFonts w:ascii="Verdana" w:eastAsia="Times New Roman" w:hAnsi="Verdana" w:cs="Arial"/>
            <w:sz w:val="18"/>
            <w:szCs w:val="18"/>
            <w:lang w:val="es-ES" w:eastAsia="es-ES_tradnl"/>
          </w:rPr>
          <w:t>https://colaboracion.dnp.gov.co/CDT/Normatividad/SEGUNDA%20PUBLICACI%c3%93N%20-%20MEMORIA%20JUSTIFICATIVA%2024_09_2021.pdf</w:t>
        </w:r>
      </w:hyperlink>
      <w:r w:rsidRPr="009B0991">
        <w:rPr>
          <w:rFonts w:ascii="Verdana" w:eastAsia="Times New Roman" w:hAnsi="Verdana" w:cs="Arial"/>
          <w:sz w:val="18"/>
          <w:szCs w:val="18"/>
          <w:lang w:val="es-ES" w:eastAsia="es-ES_tradnl"/>
        </w:rPr>
        <w:t xml:space="preserve">.   </w:t>
      </w:r>
    </w:p>
  </w:footnote>
  <w:footnote w:id="3">
    <w:p w14:paraId="2B813401" w14:textId="77777777" w:rsidR="00EF2B09" w:rsidRPr="009B0991" w:rsidRDefault="00EF2B09" w:rsidP="00EF2B09">
      <w:pPr>
        <w:pStyle w:val="Textonotapie"/>
        <w:ind w:firstLine="708"/>
        <w:jc w:val="both"/>
        <w:rPr>
          <w:rFonts w:ascii="Verdana" w:hAnsi="Verdana" w:cs="Arial"/>
          <w:sz w:val="18"/>
          <w:szCs w:val="18"/>
        </w:rPr>
      </w:pPr>
      <w:r w:rsidRPr="009B0991">
        <w:rPr>
          <w:rStyle w:val="Refdenotaalpie"/>
          <w:rFonts w:ascii="Verdana" w:hAnsi="Verdana" w:cs="Arial"/>
          <w:sz w:val="18"/>
          <w:szCs w:val="18"/>
        </w:rPr>
        <w:footnoteRef/>
      </w:r>
      <w:r w:rsidRPr="009B0991">
        <w:rPr>
          <w:rFonts w:ascii="Verdana" w:hAnsi="Verdana" w:cs="Arial"/>
          <w:sz w:val="18"/>
          <w:szCs w:val="18"/>
        </w:rPr>
        <w:t xml:space="preserve"> En efecto, “En el caso de la determinación </w:t>
      </w:r>
      <w:r w:rsidRPr="009B0991">
        <w:rPr>
          <w:rFonts w:ascii="Verdana" w:hAnsi="Verdana" w:cs="Arial"/>
          <w:i/>
          <w:iCs/>
          <w:sz w:val="18"/>
          <w:szCs w:val="18"/>
        </w:rPr>
        <w:t>precisa</w:t>
      </w:r>
      <w:r w:rsidRPr="009B0991">
        <w:rPr>
          <w:rFonts w:ascii="Verdana" w:hAnsi="Verdana" w:cs="Arial"/>
          <w:sz w:val="18"/>
          <w:szCs w:val="18"/>
        </w:rPr>
        <w:t xml:space="preserve"> del interés público, la Administración no tiene potestad alguna de valoración de éste en orden a la oportunidad de actuar o no, por lo que su actividad se llama </w:t>
      </w:r>
      <w:r w:rsidRPr="009B0991">
        <w:rPr>
          <w:rFonts w:ascii="Verdana" w:hAnsi="Verdana" w:cs="Arial"/>
          <w:i/>
          <w:iCs/>
          <w:sz w:val="18"/>
          <w:szCs w:val="18"/>
        </w:rPr>
        <w:t>reglada</w:t>
      </w:r>
      <w:r w:rsidRPr="009B0991">
        <w:rPr>
          <w:rFonts w:ascii="Verdana" w:hAnsi="Verdana" w:cs="Arial"/>
          <w:sz w:val="18"/>
          <w:szCs w:val="18"/>
        </w:rPr>
        <w:t xml:space="preserve">. En cambio, en el caso de determinación </w:t>
      </w:r>
      <w:r w:rsidRPr="009B0991">
        <w:rPr>
          <w:rFonts w:ascii="Verdana" w:hAnsi="Verdana" w:cs="Arial"/>
          <w:i/>
          <w:iCs/>
          <w:sz w:val="18"/>
          <w:szCs w:val="18"/>
        </w:rPr>
        <w:t>imprecisa</w:t>
      </w:r>
      <w:r w:rsidRPr="009B0991">
        <w:rPr>
          <w:rFonts w:ascii="Verdana" w:hAnsi="Verdana" w:cs="Arial"/>
          <w:sz w:val="18"/>
          <w:szCs w:val="18"/>
        </w:rPr>
        <w:t xml:space="preserve">, a la Administración le queda de cualquier modo, la potestad de valorar la oportunidad de actuar o no, potestad que es mas o menos amplia según los casos […]. Tal potestad de apreciación del interés público con el fin de decidir la conveniencia o no de la acción administrativa se llama potestad </w:t>
      </w:r>
      <w:r w:rsidRPr="009B0991">
        <w:rPr>
          <w:rFonts w:ascii="Verdana" w:hAnsi="Verdana" w:cs="Arial"/>
          <w:i/>
          <w:iCs/>
          <w:sz w:val="18"/>
          <w:szCs w:val="18"/>
        </w:rPr>
        <w:t>discrecional</w:t>
      </w:r>
      <w:r w:rsidRPr="009B0991">
        <w:rPr>
          <w:rFonts w:ascii="Verdana" w:hAnsi="Verdana" w:cs="Arial"/>
          <w:sz w:val="18"/>
          <w:szCs w:val="18"/>
        </w:rPr>
        <w:t xml:space="preserve"> o </w:t>
      </w:r>
      <w:r w:rsidRPr="009B0991">
        <w:rPr>
          <w:rFonts w:ascii="Verdana" w:hAnsi="Verdana" w:cs="Arial"/>
          <w:i/>
          <w:iCs/>
          <w:sz w:val="18"/>
          <w:szCs w:val="18"/>
        </w:rPr>
        <w:t>discrecionalidad</w:t>
      </w:r>
      <w:r w:rsidRPr="009B0991">
        <w:rPr>
          <w:rFonts w:ascii="Verdana" w:hAnsi="Verdana" w:cs="Arial"/>
          <w:sz w:val="18"/>
          <w:szCs w:val="18"/>
        </w:rPr>
        <w:t xml:space="preserve"> […]” (ALESSI, Renato. Instituciones de derecho administrativo. Tomo I. Tercera Edición. Barcelona: Bosch, 1970.  p. 118. Énfasis dentro del texto)    </w:t>
      </w:r>
    </w:p>
  </w:footnote>
  <w:footnote w:id="4">
    <w:p w14:paraId="16B4D2E6" w14:textId="77777777" w:rsidR="00EF2B09" w:rsidRPr="009B0991" w:rsidRDefault="00EF2B09" w:rsidP="00EF2B09">
      <w:pPr>
        <w:pStyle w:val="Textonotapie"/>
        <w:ind w:firstLine="708"/>
        <w:jc w:val="both"/>
        <w:rPr>
          <w:rFonts w:ascii="Verdana" w:hAnsi="Verdana" w:cs="Arial"/>
          <w:sz w:val="18"/>
          <w:szCs w:val="18"/>
        </w:rPr>
      </w:pPr>
      <w:r w:rsidRPr="009B0991">
        <w:rPr>
          <w:rStyle w:val="Refdenotaalpie"/>
          <w:rFonts w:ascii="Verdana" w:hAnsi="Verdana" w:cs="Arial"/>
          <w:sz w:val="18"/>
          <w:szCs w:val="18"/>
        </w:rPr>
        <w:footnoteRef/>
      </w:r>
      <w:r w:rsidRPr="009B0991">
        <w:rPr>
          <w:rFonts w:ascii="Verdana" w:hAnsi="Verdana" w:cs="Arial"/>
          <w:sz w:val="18"/>
          <w:szCs w:val="18"/>
        </w:rPr>
        <w:t xml:space="preserve"> </w:t>
      </w:r>
      <w:r w:rsidRPr="009B0991">
        <w:rPr>
          <w:rFonts w:ascii="Verdana" w:hAnsi="Verdana" w:cs="Arial"/>
          <w:sz w:val="18"/>
          <w:szCs w:val="18"/>
          <w:lang w:val="es-CO"/>
        </w:rPr>
        <w:t>SÁNCHEZ MORÓN, Miguel. Discrecionalidad administrativa y control judicial. Madrid: Tecnos, 1994. p. 114.</w:t>
      </w:r>
    </w:p>
  </w:footnote>
  <w:footnote w:id="5">
    <w:p w14:paraId="0BCAF188" w14:textId="77777777" w:rsidR="00287C31" w:rsidRPr="009B0991" w:rsidRDefault="00287C31" w:rsidP="00287C31">
      <w:pPr>
        <w:pStyle w:val="Textonotapie"/>
        <w:ind w:firstLine="708"/>
        <w:jc w:val="both"/>
        <w:rPr>
          <w:rFonts w:ascii="Verdana" w:hAnsi="Verdana" w:cs="Arial"/>
          <w:sz w:val="18"/>
          <w:szCs w:val="18"/>
          <w:lang w:val="es-ES"/>
        </w:rPr>
      </w:pPr>
      <w:r w:rsidRPr="009B0991">
        <w:rPr>
          <w:rStyle w:val="Refdenotaalpie"/>
          <w:rFonts w:ascii="Verdana" w:hAnsi="Verdana" w:cs="Arial"/>
          <w:sz w:val="18"/>
          <w:szCs w:val="18"/>
        </w:rPr>
        <w:footnoteRef/>
      </w:r>
      <w:r w:rsidRPr="009B0991">
        <w:rPr>
          <w:rFonts w:ascii="Verdana" w:hAnsi="Verdana" w:cs="Arial"/>
          <w:sz w:val="18"/>
          <w:szCs w:val="18"/>
        </w:rPr>
        <w:t xml:space="preserve"> </w:t>
      </w:r>
      <w:r w:rsidRPr="009B0991">
        <w:rPr>
          <w:rFonts w:ascii="Verdana" w:hAnsi="Verdana" w:cs="Arial"/>
          <w:sz w:val="18"/>
          <w:szCs w:val="18"/>
          <w:lang w:val="es-ES"/>
        </w:rPr>
        <w:t>Memoria justificativa de la Resolución 275 de 2022 expedida por Colombia Compra Eficiente.</w:t>
      </w:r>
    </w:p>
    <w:p w14:paraId="03A0A5EF" w14:textId="77777777" w:rsidR="00287C31" w:rsidRPr="009B0991" w:rsidRDefault="00287C31" w:rsidP="00287C31">
      <w:pPr>
        <w:pStyle w:val="Textonotapie"/>
        <w:ind w:firstLine="708"/>
        <w:jc w:val="both"/>
        <w:rPr>
          <w:rFonts w:ascii="Verdana" w:hAnsi="Verdana" w:cs="Arial"/>
          <w:sz w:val="18"/>
          <w:szCs w:val="18"/>
          <w:lang w:val="es-ES"/>
        </w:rPr>
      </w:pPr>
    </w:p>
  </w:footnote>
  <w:footnote w:id="6">
    <w:p w14:paraId="450A65CA" w14:textId="01AA520F" w:rsidR="00287C31" w:rsidRPr="00D16E30" w:rsidRDefault="00287C31" w:rsidP="00287C31">
      <w:pPr>
        <w:pStyle w:val="Textonotapie"/>
        <w:ind w:firstLine="708"/>
        <w:jc w:val="both"/>
        <w:rPr>
          <w:rFonts w:ascii="Verdana" w:hAnsi="Verdana" w:cs="Arial"/>
          <w:sz w:val="18"/>
          <w:szCs w:val="18"/>
        </w:rPr>
      </w:pPr>
      <w:r w:rsidRPr="009B0991">
        <w:rPr>
          <w:rStyle w:val="Refdenotaalpie"/>
          <w:rFonts w:ascii="Verdana" w:hAnsi="Verdana" w:cs="Arial"/>
          <w:sz w:val="18"/>
          <w:szCs w:val="18"/>
        </w:rPr>
        <w:footnoteRef/>
      </w:r>
      <w:r w:rsidRPr="009B0991">
        <w:rPr>
          <w:rFonts w:ascii="Verdana" w:hAnsi="Verdana" w:cs="Arial"/>
          <w:sz w:val="18"/>
          <w:szCs w:val="18"/>
        </w:rPr>
        <w:t xml:space="preserve"> </w:t>
      </w:r>
      <w:r w:rsidRPr="00D16E30">
        <w:rPr>
          <w:rFonts w:ascii="Verdana" w:hAnsi="Verdana" w:cs="Arial"/>
          <w:sz w:val="18"/>
          <w:szCs w:val="18"/>
        </w:rPr>
        <w:t>Decreto 1082 de 2015 –de acuerdo con la modificación realizada por el Decreto 1860 de 2021</w:t>
      </w:r>
      <w:r w:rsidR="00FF4F0A" w:rsidRPr="00D16E30">
        <w:rPr>
          <w:rFonts w:ascii="Verdana" w:hAnsi="Verdana" w:cs="Arial"/>
          <w:sz w:val="18"/>
          <w:szCs w:val="18"/>
        </w:rPr>
        <w:t>–:</w:t>
      </w:r>
      <w:r w:rsidRPr="00D16E30">
        <w:rPr>
          <w:rFonts w:ascii="Verdana" w:hAnsi="Verdana" w:cs="Arial"/>
          <w:sz w:val="18"/>
          <w:szCs w:val="18"/>
        </w:rPr>
        <w:t xml:space="preserve"> “Artículo 2.2.1.2.4.2.16. Fomento a la ejecución de contratos estatales por parte de población en pobreza extrema, desplazados por la violencia, personas en proceso de reintegración o reincorporación y sujetos de especial protección constitucional. En los Procesos de Contratación, las Entidades Estatales indistintamente de su régimen de contratación, los patrimonios autónomos constituidos por Entidades Estatales y los particulares que ejecuten recursos públicos fomentarán en los pliegos de condiciones o documento equivalente que los contratistas destinen al cumplimiento del objeto contractual la provisión de bienes o servicios por parte de población en pobreza extrema, desplazados por la violencia, personas en proceso de reintegración o reincorporación y sujetos de especial protección constitucional, garantizando las condiciones de calidad y sin perjuicio de los Acuerdos Comerciales vigentes.</w:t>
      </w:r>
      <w:r w:rsidRPr="00D16E30">
        <w:rPr>
          <w:rFonts w:ascii="Arial" w:hAnsi="Arial" w:cs="Arial"/>
          <w:sz w:val="18"/>
          <w:szCs w:val="18"/>
        </w:rPr>
        <w:t>​</w:t>
      </w:r>
    </w:p>
    <w:p w14:paraId="3AEFD76A" w14:textId="77777777" w:rsidR="00287C31" w:rsidRPr="00D16E30" w:rsidRDefault="00287C31" w:rsidP="00287C31">
      <w:pPr>
        <w:pStyle w:val="Textonotapie"/>
        <w:ind w:firstLine="708"/>
        <w:jc w:val="both"/>
        <w:rPr>
          <w:rFonts w:ascii="Verdana" w:hAnsi="Verdana" w:cs="Arial"/>
          <w:sz w:val="18"/>
          <w:szCs w:val="18"/>
        </w:rPr>
      </w:pPr>
      <w:r w:rsidRPr="00D16E30">
        <w:rPr>
          <w:rFonts w:ascii="Verdana" w:hAnsi="Verdana" w:cs="Arial"/>
          <w:sz w:val="18"/>
          <w:szCs w:val="18"/>
        </w:rPr>
        <w:t>“La participación de los sujetos anteriormente mencionados en la ejecución del contrato se fomentará previo análisis de su oportunidad y conveniencia en los Documentos del Proceso, teniendo en cuenta el objeto contractual y el alcance de las obligaciones.</w:t>
      </w:r>
    </w:p>
    <w:p w14:paraId="1E27DFF7" w14:textId="77777777" w:rsidR="00287C31" w:rsidRPr="00D16E30" w:rsidRDefault="00287C31" w:rsidP="00287C31">
      <w:pPr>
        <w:pStyle w:val="Textonotapie"/>
        <w:ind w:firstLine="708"/>
        <w:jc w:val="both"/>
        <w:rPr>
          <w:rFonts w:ascii="Verdana" w:hAnsi="Verdana" w:cs="Arial"/>
          <w:sz w:val="18"/>
          <w:szCs w:val="18"/>
        </w:rPr>
      </w:pPr>
      <w:r w:rsidRPr="00D16E30">
        <w:rPr>
          <w:rFonts w:ascii="Verdana" w:hAnsi="Verdana" w:cs="Arial"/>
          <w:sz w:val="18"/>
          <w:szCs w:val="18"/>
        </w:rPr>
        <w:t>“Esta provisión se establecerá en un porcentaje que no será superior al diez por ciento (10%) ni inferior al cinco por ciento (5%) de los bienes o servicios requeridos para la ejecución del contrato, de manera que no se ponga en riesgo su cumplimiento adecuado.</w:t>
      </w:r>
    </w:p>
    <w:p w14:paraId="7AC7D421" w14:textId="77777777" w:rsidR="00287C31" w:rsidRPr="00D16E30" w:rsidRDefault="00287C31" w:rsidP="00287C31">
      <w:pPr>
        <w:pStyle w:val="Textonotapie"/>
        <w:ind w:firstLine="708"/>
        <w:jc w:val="both"/>
        <w:rPr>
          <w:rFonts w:ascii="Verdana" w:hAnsi="Verdana" w:cs="Arial"/>
          <w:sz w:val="18"/>
          <w:szCs w:val="18"/>
        </w:rPr>
      </w:pPr>
      <w:r w:rsidRPr="00D16E30">
        <w:rPr>
          <w:rFonts w:ascii="Verdana" w:hAnsi="Verdana" w:cs="Arial"/>
          <w:sz w:val="18"/>
          <w:szCs w:val="18"/>
        </w:rPr>
        <w:t>“Previo análisis de oportunidad y conveniencia, la Entidad Estatal incorporará esta obligación en la minuta del contrato del pliego de condiciones o documento equivalente, precisando las sanciones pecuniarias producto del incumplimiento injustificado de esta a través de las causales de multa que estime pertinentes.</w:t>
      </w:r>
    </w:p>
    <w:p w14:paraId="5F21E82D" w14:textId="77777777" w:rsidR="00287C31" w:rsidRPr="00D16E30" w:rsidRDefault="00287C31" w:rsidP="00287C31">
      <w:pPr>
        <w:pStyle w:val="Textonotapie"/>
        <w:ind w:firstLine="708"/>
        <w:jc w:val="both"/>
        <w:rPr>
          <w:rFonts w:ascii="Verdana" w:hAnsi="Verdana" w:cs="Arial"/>
          <w:sz w:val="18"/>
          <w:szCs w:val="18"/>
        </w:rPr>
      </w:pPr>
      <w:r w:rsidRPr="00D16E30">
        <w:rPr>
          <w:rFonts w:ascii="Verdana" w:hAnsi="Verdana" w:cs="Arial"/>
          <w:sz w:val="18"/>
          <w:szCs w:val="18"/>
        </w:rPr>
        <w:t>“El supervisor o el interventor, según el caso, realizará el seguimiento y verificará que las personas vinculadas al inicio y durante la ejecución del contrato pertenezcan a los grupos poblacionales enunciados anteriormente.</w:t>
      </w:r>
    </w:p>
    <w:p w14:paraId="32D4FFA8" w14:textId="77777777" w:rsidR="00287C31" w:rsidRPr="00D16E30" w:rsidRDefault="00287C31" w:rsidP="00287C31">
      <w:pPr>
        <w:pStyle w:val="Textonotapie"/>
        <w:ind w:firstLine="708"/>
        <w:jc w:val="both"/>
        <w:rPr>
          <w:rFonts w:ascii="Verdana" w:hAnsi="Verdana" w:cs="Arial"/>
          <w:sz w:val="18"/>
          <w:szCs w:val="18"/>
        </w:rPr>
      </w:pPr>
      <w:r w:rsidRPr="00D16E30">
        <w:rPr>
          <w:rFonts w:ascii="Verdana" w:hAnsi="Verdana" w:cs="Arial"/>
          <w:sz w:val="18"/>
          <w:szCs w:val="18"/>
        </w:rPr>
        <w:t>“PARÁGRAFO 1. Para los efectos previstos en el presente artículo, los sujetos de especial protección constitucional son aquellas personas que debido a su particular condición física, psicológica o social merecen una acción positiva estatal para efectos de lograr una igualdad real y efectiva. Dentro de esta categoría se encuentran, entre otros, las víctimas del conflicto armado interno, las mujeres cabeza de familia, los adultos mayores, las personas en condición de discapacidad, así como la población de las comunidades indígena, negra, afrocolombiana, raizal, palanquera, Rrom o gitanas.</w:t>
      </w:r>
    </w:p>
    <w:p w14:paraId="3060ACCB" w14:textId="77777777" w:rsidR="00287C31" w:rsidRPr="00D16E30" w:rsidRDefault="00287C31" w:rsidP="00287C31">
      <w:pPr>
        <w:pStyle w:val="Textonotapie"/>
        <w:ind w:firstLine="708"/>
        <w:jc w:val="both"/>
        <w:rPr>
          <w:rFonts w:ascii="Verdana" w:hAnsi="Verdana" w:cs="Arial"/>
          <w:sz w:val="18"/>
          <w:szCs w:val="18"/>
        </w:rPr>
      </w:pPr>
      <w:r w:rsidRPr="00D16E30">
        <w:rPr>
          <w:rFonts w:ascii="Verdana" w:hAnsi="Verdana" w:cs="Arial"/>
          <w:sz w:val="18"/>
          <w:szCs w:val="18"/>
        </w:rPr>
        <w:t>“Estas circunstancias se acreditarán en las condiciones que disponga la ley o el reglamento, aplicando en lo pertinente lo definido en el artículo 2.2.1.2.4.2.17 del presente Decreto. En ausencia de una condición especial prevista en la normativa vigente, se acreditarán en los términos que defina el pliego de condiciones o documento equivalente.</w:t>
      </w:r>
    </w:p>
    <w:p w14:paraId="07D1BCA5" w14:textId="77777777" w:rsidR="00287C31" w:rsidRPr="00D16E30" w:rsidRDefault="00287C31" w:rsidP="00287C31">
      <w:pPr>
        <w:pStyle w:val="Textonotapie"/>
        <w:ind w:firstLine="708"/>
        <w:jc w:val="both"/>
        <w:rPr>
          <w:rFonts w:ascii="Verdana" w:hAnsi="Verdana" w:cs="Arial"/>
          <w:sz w:val="18"/>
          <w:szCs w:val="18"/>
        </w:rPr>
      </w:pPr>
      <w:r w:rsidRPr="00D16E30">
        <w:rPr>
          <w:rFonts w:ascii="Verdana" w:hAnsi="Verdana" w:cs="Arial"/>
          <w:sz w:val="18"/>
          <w:szCs w:val="18"/>
        </w:rPr>
        <w:t>“PARÁGRAFO 2. Para efectos de los Procesos de Contratación regidos por documentos tipo, con sujeción a la potestad prevista en este artículo, la Agencia Nacional de Contratación Pública - Colombia Compra Eficiente regulará el porcentaje de sujetos de especial protección constitucional que el contratista destinará al cumplimiento de las obligaciones, las condiciones para incorporarlos a la ejecución del contrato y las sanciones pecuniarias producto del incumplimiento injustificado de la obligación”. (Negrilla fuera del original).</w:t>
      </w:r>
    </w:p>
    <w:p w14:paraId="143EB1B4" w14:textId="77777777" w:rsidR="00287C31" w:rsidRPr="009B0991" w:rsidRDefault="00287C31" w:rsidP="00287C31">
      <w:pPr>
        <w:pStyle w:val="Textonotapie"/>
        <w:ind w:firstLine="708"/>
        <w:jc w:val="both"/>
        <w:rPr>
          <w:rFonts w:ascii="Verdana" w:hAnsi="Verdana" w:cs="Arial"/>
          <w:sz w:val="18"/>
          <w:szCs w:val="18"/>
          <w:lang w:val="es-CO"/>
        </w:rPr>
      </w:pPr>
    </w:p>
  </w:footnote>
  <w:footnote w:id="7">
    <w:p w14:paraId="4433FCDD" w14:textId="7E62F70F" w:rsidR="00287C31" w:rsidRPr="00D16E30" w:rsidRDefault="00287C31" w:rsidP="00287C31">
      <w:pPr>
        <w:pBdr>
          <w:top w:val="nil"/>
          <w:left w:val="nil"/>
          <w:bottom w:val="nil"/>
          <w:right w:val="nil"/>
          <w:between w:val="nil"/>
        </w:pBdr>
        <w:spacing w:after="0"/>
        <w:ind w:firstLine="708"/>
        <w:jc w:val="both"/>
        <w:rPr>
          <w:rFonts w:ascii="Verdana" w:hAnsi="Verdana" w:cs="Arial"/>
          <w:iCs/>
          <w:sz w:val="18"/>
          <w:szCs w:val="18"/>
          <w:lang w:val="es-ES"/>
        </w:rPr>
      </w:pPr>
      <w:r w:rsidRPr="00D16E30">
        <w:rPr>
          <w:rStyle w:val="Refdenotaalpie"/>
          <w:rFonts w:ascii="Verdana" w:hAnsi="Verdana" w:cs="Arial"/>
          <w:iCs/>
          <w:sz w:val="18"/>
          <w:szCs w:val="18"/>
        </w:rPr>
        <w:footnoteRef/>
      </w:r>
      <w:r w:rsidRPr="00D16E30">
        <w:rPr>
          <w:rFonts w:ascii="Verdana" w:hAnsi="Verdana" w:cs="Arial"/>
          <w:iCs/>
          <w:sz w:val="18"/>
          <w:szCs w:val="18"/>
        </w:rPr>
        <w:t xml:space="preserve"> </w:t>
      </w:r>
      <w:r w:rsidR="00D16E30" w:rsidRPr="00D16E30">
        <w:rPr>
          <w:rFonts w:ascii="Verdana" w:hAnsi="Verdana" w:cs="Arial"/>
          <w:iCs/>
          <w:sz w:val="18"/>
          <w:szCs w:val="18"/>
          <w:lang w:val="es-ES"/>
        </w:rPr>
        <w:t>Ibidem</w:t>
      </w:r>
    </w:p>
    <w:p w14:paraId="19788626" w14:textId="77777777" w:rsidR="00287C31" w:rsidRPr="00D16E30" w:rsidRDefault="00287C31" w:rsidP="00287C31">
      <w:pPr>
        <w:pBdr>
          <w:top w:val="nil"/>
          <w:left w:val="nil"/>
          <w:bottom w:val="nil"/>
          <w:right w:val="nil"/>
          <w:between w:val="nil"/>
        </w:pBdr>
        <w:spacing w:after="0"/>
        <w:ind w:firstLine="708"/>
        <w:jc w:val="both"/>
        <w:rPr>
          <w:rFonts w:ascii="Verdana" w:hAnsi="Verdana" w:cs="Arial"/>
          <w:iCs/>
          <w:sz w:val="18"/>
          <w:szCs w:val="18"/>
          <w:lang w:val="es-ES"/>
        </w:rPr>
      </w:pPr>
    </w:p>
  </w:footnote>
  <w:footnote w:id="8">
    <w:p w14:paraId="3FBF2DCE" w14:textId="495D7BBA" w:rsidR="00287C31" w:rsidRPr="009B0991" w:rsidRDefault="00287C31" w:rsidP="00287C31">
      <w:pPr>
        <w:pBdr>
          <w:top w:val="nil"/>
          <w:left w:val="nil"/>
          <w:bottom w:val="nil"/>
          <w:right w:val="nil"/>
          <w:between w:val="nil"/>
        </w:pBdr>
        <w:spacing w:after="0"/>
        <w:ind w:firstLine="708"/>
        <w:jc w:val="both"/>
        <w:rPr>
          <w:rFonts w:ascii="Verdana" w:hAnsi="Verdana" w:cs="Arial"/>
          <w:i/>
          <w:sz w:val="18"/>
          <w:szCs w:val="18"/>
          <w:lang w:val="es-ES"/>
        </w:rPr>
      </w:pPr>
      <w:r w:rsidRPr="00D16E30">
        <w:rPr>
          <w:rStyle w:val="Refdenotaalpie"/>
          <w:rFonts w:ascii="Verdana" w:hAnsi="Verdana" w:cs="Arial"/>
          <w:iCs/>
          <w:sz w:val="18"/>
          <w:szCs w:val="18"/>
        </w:rPr>
        <w:footnoteRef/>
      </w:r>
      <w:r w:rsidRPr="00D16E30">
        <w:rPr>
          <w:rFonts w:ascii="Verdana" w:hAnsi="Verdana" w:cs="Arial"/>
          <w:iCs/>
          <w:sz w:val="18"/>
          <w:szCs w:val="18"/>
        </w:rPr>
        <w:t xml:space="preserve"> </w:t>
      </w:r>
      <w:r w:rsidR="00D16E30" w:rsidRPr="00D16E30">
        <w:rPr>
          <w:rFonts w:ascii="Verdana" w:hAnsi="Verdana" w:cs="Arial"/>
          <w:iCs/>
          <w:sz w:val="18"/>
          <w:szCs w:val="18"/>
          <w:lang w:val="es-ES"/>
        </w:rPr>
        <w:t>Ibidem</w:t>
      </w:r>
    </w:p>
  </w:footnote>
  <w:footnote w:id="9">
    <w:p w14:paraId="037ED51C" w14:textId="22D780C2" w:rsidR="00287C31" w:rsidRPr="00D31279" w:rsidRDefault="00287C31" w:rsidP="00287C31">
      <w:pPr>
        <w:pStyle w:val="Textonotapie"/>
        <w:ind w:firstLine="709"/>
        <w:jc w:val="both"/>
        <w:rPr>
          <w:rFonts w:ascii="Century Gothic" w:hAnsi="Century Gothic" w:cs="Arial"/>
          <w:sz w:val="16"/>
          <w:szCs w:val="16"/>
          <w:lang w:val="es-CO"/>
        </w:rPr>
      </w:pPr>
      <w:r w:rsidRPr="009B0991">
        <w:rPr>
          <w:rStyle w:val="Refdenotaalpie"/>
          <w:rFonts w:ascii="Verdana" w:hAnsi="Verdana" w:cs="Arial"/>
          <w:sz w:val="18"/>
          <w:szCs w:val="18"/>
        </w:rPr>
        <w:footnoteRef/>
      </w:r>
      <w:r w:rsidRPr="009B0991">
        <w:rPr>
          <w:rFonts w:ascii="Verdana" w:hAnsi="Verdana" w:cs="Arial"/>
          <w:sz w:val="18"/>
          <w:szCs w:val="18"/>
        </w:rPr>
        <w:t xml:space="preserve"> </w:t>
      </w:r>
      <w:r w:rsidRPr="009B0991">
        <w:rPr>
          <w:rFonts w:ascii="Verdana" w:hAnsi="Verdana" w:cs="Arial"/>
          <w:sz w:val="18"/>
          <w:szCs w:val="18"/>
          <w:lang w:val="es-ES"/>
        </w:rPr>
        <w:t xml:space="preserve">La RAE define el verbo “proveer”, entre otras acepciones, como “Suministrar o facilitar lo necesario o conveniente para un fin”. En: </w:t>
      </w:r>
      <w:hyperlink r:id="rId2" w:history="1">
        <w:r w:rsidR="001E0BF9" w:rsidRPr="00AE1762">
          <w:rPr>
            <w:rStyle w:val="Hipervnculo"/>
            <w:rFonts w:ascii="Verdana" w:hAnsi="Verdana" w:cs="Arial"/>
            <w:sz w:val="18"/>
            <w:szCs w:val="18"/>
            <w:lang w:val="es-ES"/>
          </w:rPr>
          <w:t>https://dle.rae.es/proveer?m=form</w:t>
        </w:r>
      </w:hyperlink>
      <w:r w:rsidR="001E0BF9">
        <w:rPr>
          <w:rFonts w:ascii="Verdana" w:hAnsi="Verdana" w:cs="Arial"/>
          <w:sz w:val="18"/>
          <w:szCs w:val="18"/>
          <w:lang w:val="es-ES"/>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3244075"/>
    <w:multiLevelType w:val="hybridMultilevel"/>
    <w:tmpl w:val="99FC0930"/>
    <w:lvl w:ilvl="0" w:tplc="6DD292B4">
      <w:start w:val="4"/>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489201040">
    <w:abstractNumId w:val="0"/>
  </w:num>
  <w:num w:numId="17" w16cid:durableId="1542086715">
    <w:abstractNumId w:val="9"/>
  </w:num>
  <w:num w:numId="18" w16cid:durableId="172348233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51A1"/>
    <w:rsid w:val="00016F78"/>
    <w:rsid w:val="00046945"/>
    <w:rsid w:val="00051B0D"/>
    <w:rsid w:val="00061B2A"/>
    <w:rsid w:val="000677C5"/>
    <w:rsid w:val="0007494B"/>
    <w:rsid w:val="00082362"/>
    <w:rsid w:val="00090F5C"/>
    <w:rsid w:val="00097DC3"/>
    <w:rsid w:val="000A1CF6"/>
    <w:rsid w:val="000A683E"/>
    <w:rsid w:val="000B19B9"/>
    <w:rsid w:val="000C240A"/>
    <w:rsid w:val="000D0334"/>
    <w:rsid w:val="000D5DA7"/>
    <w:rsid w:val="000F2485"/>
    <w:rsid w:val="000F6486"/>
    <w:rsid w:val="00100D95"/>
    <w:rsid w:val="00116940"/>
    <w:rsid w:val="00117E14"/>
    <w:rsid w:val="00125105"/>
    <w:rsid w:val="00127233"/>
    <w:rsid w:val="00130F27"/>
    <w:rsid w:val="0014297A"/>
    <w:rsid w:val="001450AE"/>
    <w:rsid w:val="001567E7"/>
    <w:rsid w:val="0015699B"/>
    <w:rsid w:val="00166223"/>
    <w:rsid w:val="00185A8F"/>
    <w:rsid w:val="001A33BF"/>
    <w:rsid w:val="001E0BF9"/>
    <w:rsid w:val="001E4177"/>
    <w:rsid w:val="001F0B24"/>
    <w:rsid w:val="001F7DC6"/>
    <w:rsid w:val="0020736B"/>
    <w:rsid w:val="0022400B"/>
    <w:rsid w:val="00231E2B"/>
    <w:rsid w:val="002421BB"/>
    <w:rsid w:val="00253853"/>
    <w:rsid w:val="00256097"/>
    <w:rsid w:val="0025796E"/>
    <w:rsid w:val="002707A2"/>
    <w:rsid w:val="00287C31"/>
    <w:rsid w:val="002951A0"/>
    <w:rsid w:val="002962BC"/>
    <w:rsid w:val="002A093D"/>
    <w:rsid w:val="002A0DD0"/>
    <w:rsid w:val="002A49AC"/>
    <w:rsid w:val="002A64FD"/>
    <w:rsid w:val="002C7A84"/>
    <w:rsid w:val="002E2BF8"/>
    <w:rsid w:val="002E4FD9"/>
    <w:rsid w:val="00303D51"/>
    <w:rsid w:val="0030657A"/>
    <w:rsid w:val="00321959"/>
    <w:rsid w:val="00322A85"/>
    <w:rsid w:val="00324168"/>
    <w:rsid w:val="00330834"/>
    <w:rsid w:val="00335F34"/>
    <w:rsid w:val="00336A37"/>
    <w:rsid w:val="003448F4"/>
    <w:rsid w:val="003674CD"/>
    <w:rsid w:val="00374F5E"/>
    <w:rsid w:val="003777EE"/>
    <w:rsid w:val="00377E3E"/>
    <w:rsid w:val="00383E26"/>
    <w:rsid w:val="003A397D"/>
    <w:rsid w:val="003A779E"/>
    <w:rsid w:val="003D0F4D"/>
    <w:rsid w:val="003D5B0D"/>
    <w:rsid w:val="003E0499"/>
    <w:rsid w:val="003E4F80"/>
    <w:rsid w:val="003E6439"/>
    <w:rsid w:val="003F3941"/>
    <w:rsid w:val="003F60A4"/>
    <w:rsid w:val="004024E1"/>
    <w:rsid w:val="00406575"/>
    <w:rsid w:val="00414C74"/>
    <w:rsid w:val="0042722E"/>
    <w:rsid w:val="0044528D"/>
    <w:rsid w:val="00466E39"/>
    <w:rsid w:val="004730D5"/>
    <w:rsid w:val="00485422"/>
    <w:rsid w:val="004A1847"/>
    <w:rsid w:val="004A305D"/>
    <w:rsid w:val="004A3CC1"/>
    <w:rsid w:val="004B1CEE"/>
    <w:rsid w:val="004F21C4"/>
    <w:rsid w:val="004F685F"/>
    <w:rsid w:val="00540646"/>
    <w:rsid w:val="00545A70"/>
    <w:rsid w:val="005566E8"/>
    <w:rsid w:val="00574867"/>
    <w:rsid w:val="005845DB"/>
    <w:rsid w:val="00591460"/>
    <w:rsid w:val="005A65E0"/>
    <w:rsid w:val="005B4C45"/>
    <w:rsid w:val="005C1F2E"/>
    <w:rsid w:val="005C2E36"/>
    <w:rsid w:val="005C3777"/>
    <w:rsid w:val="005C5CDC"/>
    <w:rsid w:val="005C73ED"/>
    <w:rsid w:val="005D476C"/>
    <w:rsid w:val="005E27C7"/>
    <w:rsid w:val="006021FD"/>
    <w:rsid w:val="006200BF"/>
    <w:rsid w:val="006219F8"/>
    <w:rsid w:val="006302F7"/>
    <w:rsid w:val="00646B9F"/>
    <w:rsid w:val="00656864"/>
    <w:rsid w:val="00665D70"/>
    <w:rsid w:val="006900D9"/>
    <w:rsid w:val="006910D3"/>
    <w:rsid w:val="006978F9"/>
    <w:rsid w:val="00701310"/>
    <w:rsid w:val="00706C16"/>
    <w:rsid w:val="0071191A"/>
    <w:rsid w:val="0072459C"/>
    <w:rsid w:val="007317A1"/>
    <w:rsid w:val="007340C3"/>
    <w:rsid w:val="00750FC0"/>
    <w:rsid w:val="0075235A"/>
    <w:rsid w:val="00756841"/>
    <w:rsid w:val="007649AB"/>
    <w:rsid w:val="00771D0C"/>
    <w:rsid w:val="007833AC"/>
    <w:rsid w:val="007B268C"/>
    <w:rsid w:val="007B7171"/>
    <w:rsid w:val="007C0C0F"/>
    <w:rsid w:val="007C3DC2"/>
    <w:rsid w:val="007E5497"/>
    <w:rsid w:val="007F1028"/>
    <w:rsid w:val="00806F5F"/>
    <w:rsid w:val="00820278"/>
    <w:rsid w:val="008258C9"/>
    <w:rsid w:val="00831FCA"/>
    <w:rsid w:val="00844AE9"/>
    <w:rsid w:val="00867F95"/>
    <w:rsid w:val="008817B0"/>
    <w:rsid w:val="008843B6"/>
    <w:rsid w:val="00891928"/>
    <w:rsid w:val="008A446D"/>
    <w:rsid w:val="008B25F1"/>
    <w:rsid w:val="008D180B"/>
    <w:rsid w:val="008F0EA7"/>
    <w:rsid w:val="00914C0D"/>
    <w:rsid w:val="00923EEF"/>
    <w:rsid w:val="009419F9"/>
    <w:rsid w:val="00945098"/>
    <w:rsid w:val="0095685E"/>
    <w:rsid w:val="00960581"/>
    <w:rsid w:val="00961B09"/>
    <w:rsid w:val="00965334"/>
    <w:rsid w:val="0097093E"/>
    <w:rsid w:val="009A0DFA"/>
    <w:rsid w:val="009A1C6F"/>
    <w:rsid w:val="009B0991"/>
    <w:rsid w:val="009B2D26"/>
    <w:rsid w:val="009C71FA"/>
    <w:rsid w:val="009C72E7"/>
    <w:rsid w:val="009C7F7E"/>
    <w:rsid w:val="009D3058"/>
    <w:rsid w:val="009E4EEB"/>
    <w:rsid w:val="009F3A13"/>
    <w:rsid w:val="00A122D3"/>
    <w:rsid w:val="00A14468"/>
    <w:rsid w:val="00A17F13"/>
    <w:rsid w:val="00A20739"/>
    <w:rsid w:val="00A219F7"/>
    <w:rsid w:val="00A23AF9"/>
    <w:rsid w:val="00A33C78"/>
    <w:rsid w:val="00A51508"/>
    <w:rsid w:val="00A5501D"/>
    <w:rsid w:val="00A72E4C"/>
    <w:rsid w:val="00AA747C"/>
    <w:rsid w:val="00AB0ADB"/>
    <w:rsid w:val="00B00C0E"/>
    <w:rsid w:val="00B01B1A"/>
    <w:rsid w:val="00B0381D"/>
    <w:rsid w:val="00B05D11"/>
    <w:rsid w:val="00B1390B"/>
    <w:rsid w:val="00B4049B"/>
    <w:rsid w:val="00B44A47"/>
    <w:rsid w:val="00B63E83"/>
    <w:rsid w:val="00B708B1"/>
    <w:rsid w:val="00B72CD3"/>
    <w:rsid w:val="00B72FFF"/>
    <w:rsid w:val="00BA068F"/>
    <w:rsid w:val="00BC3D36"/>
    <w:rsid w:val="00BD0185"/>
    <w:rsid w:val="00BD54A6"/>
    <w:rsid w:val="00BD7F72"/>
    <w:rsid w:val="00BF7425"/>
    <w:rsid w:val="00C00E61"/>
    <w:rsid w:val="00C04FB3"/>
    <w:rsid w:val="00C11D8B"/>
    <w:rsid w:val="00C15139"/>
    <w:rsid w:val="00C236F9"/>
    <w:rsid w:val="00C330EB"/>
    <w:rsid w:val="00C50D69"/>
    <w:rsid w:val="00C5365C"/>
    <w:rsid w:val="00C75223"/>
    <w:rsid w:val="00C754BE"/>
    <w:rsid w:val="00C76B1C"/>
    <w:rsid w:val="00C925AC"/>
    <w:rsid w:val="00CB6357"/>
    <w:rsid w:val="00CC1B26"/>
    <w:rsid w:val="00D0050A"/>
    <w:rsid w:val="00D151EB"/>
    <w:rsid w:val="00D16E30"/>
    <w:rsid w:val="00D2011A"/>
    <w:rsid w:val="00D3606F"/>
    <w:rsid w:val="00D361FD"/>
    <w:rsid w:val="00D423A2"/>
    <w:rsid w:val="00D43E24"/>
    <w:rsid w:val="00D44E26"/>
    <w:rsid w:val="00D520D8"/>
    <w:rsid w:val="00D63AC2"/>
    <w:rsid w:val="00D7383B"/>
    <w:rsid w:val="00D7788A"/>
    <w:rsid w:val="00DA231B"/>
    <w:rsid w:val="00DB52E4"/>
    <w:rsid w:val="00DC0D69"/>
    <w:rsid w:val="00DC39FC"/>
    <w:rsid w:val="00DF5254"/>
    <w:rsid w:val="00E02524"/>
    <w:rsid w:val="00E15099"/>
    <w:rsid w:val="00E16408"/>
    <w:rsid w:val="00E20894"/>
    <w:rsid w:val="00E245AB"/>
    <w:rsid w:val="00E2764C"/>
    <w:rsid w:val="00E27F2E"/>
    <w:rsid w:val="00E50AFE"/>
    <w:rsid w:val="00E60F78"/>
    <w:rsid w:val="00E75C92"/>
    <w:rsid w:val="00E771DC"/>
    <w:rsid w:val="00E809E9"/>
    <w:rsid w:val="00E8772A"/>
    <w:rsid w:val="00E90F6B"/>
    <w:rsid w:val="00E92C27"/>
    <w:rsid w:val="00EA0E3D"/>
    <w:rsid w:val="00EB3289"/>
    <w:rsid w:val="00EB39EC"/>
    <w:rsid w:val="00EB607C"/>
    <w:rsid w:val="00EC38A7"/>
    <w:rsid w:val="00EC7321"/>
    <w:rsid w:val="00ED245D"/>
    <w:rsid w:val="00EE1AA8"/>
    <w:rsid w:val="00EE27A8"/>
    <w:rsid w:val="00EF2B09"/>
    <w:rsid w:val="00EF6F2A"/>
    <w:rsid w:val="00F166AC"/>
    <w:rsid w:val="00F16CFB"/>
    <w:rsid w:val="00F23FEA"/>
    <w:rsid w:val="00F31EDC"/>
    <w:rsid w:val="00F35E0F"/>
    <w:rsid w:val="00F462B3"/>
    <w:rsid w:val="00F46523"/>
    <w:rsid w:val="00F5664F"/>
    <w:rsid w:val="00F666C4"/>
    <w:rsid w:val="00F76AFC"/>
    <w:rsid w:val="00F9017E"/>
    <w:rsid w:val="00F9609A"/>
    <w:rsid w:val="00FA47C0"/>
    <w:rsid w:val="00FB5DD1"/>
    <w:rsid w:val="00FC2B5D"/>
    <w:rsid w:val="00FD121D"/>
    <w:rsid w:val="00FF0BE4"/>
    <w:rsid w:val="00FF1449"/>
    <w:rsid w:val="00FF4F0A"/>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AAD69EE"/>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817B0"/>
    <w:rPr>
      <w:rFonts w:ascii="Geomanist Light" w:hAnsi="Geomanist Light"/>
      <w:lang w:val="es-ES"/>
    </w:rPr>
  </w:style>
  <w:style w:type="character" w:customStyle="1" w:styleId="s15">
    <w:name w:val="s15"/>
    <w:basedOn w:val="Fuentedeprrafopredeter"/>
    <w:rsid w:val="008817B0"/>
  </w:style>
  <w:style w:type="paragraph" w:customStyle="1" w:styleId="Appelnotedebasde">
    <w:name w:val="Appel note de bas de..."/>
    <w:basedOn w:val="Normal"/>
    <w:link w:val="Refdenotaalpie"/>
    <w:uiPriority w:val="99"/>
    <w:rsid w:val="00EC7321"/>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445604">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ersoneria@zapatoca-santander.gov.c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dle.rae.es/proveer?m=form" TargetMode="External"/><Relationship Id="rId1" Type="http://schemas.openxmlformats.org/officeDocument/2006/relationships/hyperlink" Target="https://colaboracion.dnp.gov.co/CDT/Normatividad/SEGUNDA%20PUBLICACI%c3%93N%20-%20MEMORIA%20JUSTIFICATIVA%2024_09_202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492F4C8F-82DE-4121-92DF-C583D71F2F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20</Pages>
  <Words>6267</Words>
  <Characters>34473</Characters>
  <Application>Microsoft Office Word</Application>
  <DocSecurity>0</DocSecurity>
  <Lines>287</Lines>
  <Paragraphs>81</Paragraphs>
  <ScaleCrop>false</ScaleCrop>
  <Company/>
  <LinksUpToDate>false</LinksUpToDate>
  <CharactersWithSpaces>40659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María Ortiz Ballesteros</cp:lastModifiedBy>
  <cp:revision>19</cp:revision>
  <cp:lastPrinted>2023-01-10T21:18:00Z</cp:lastPrinted>
  <dcterms:created xsi:type="dcterms:W3CDTF">2026-05-19T13:29:00Z</dcterms:created>
  <dcterms:modified xsi:type="dcterms:W3CDTF">2026-05-19T21:55:00Z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