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68063" w14:textId="52285903" w:rsidR="00EB3C00" w:rsidRDefault="00EB3C00" w:rsidP="00EB3C00">
      <w:pPr>
        <w:spacing w:after="0" w:line="240" w:lineRule="auto"/>
        <w:jc w:val="both"/>
        <w:rPr>
          <w:rFonts w:ascii="Verdana" w:eastAsia="Calibri" w:hAnsi="Verdana" w:cs="Arial"/>
          <w:b/>
        </w:rPr>
      </w:pPr>
      <w:bookmarkStart w:id="0" w:name="_Hlk143780582"/>
      <w:r w:rsidRPr="00EB3C00">
        <w:rPr>
          <w:rFonts w:ascii="Verdana" w:eastAsia="Calibri" w:hAnsi="Verdana" w:cs="Arial"/>
          <w:b/>
        </w:rPr>
        <w:t>RÉGIMEN DE INHABILIDADES E INCOMPATIBILIDADES – Definición – Taxatividad – Interpretación restrictiva</w:t>
      </w:r>
    </w:p>
    <w:p w14:paraId="0D982B39" w14:textId="77777777" w:rsidR="00EB3C00" w:rsidRDefault="00EB3C00" w:rsidP="00EB3C00">
      <w:pPr>
        <w:spacing w:after="0" w:line="240" w:lineRule="auto"/>
        <w:jc w:val="both"/>
        <w:rPr>
          <w:rFonts w:ascii="Verdana" w:eastAsia="Calibri" w:hAnsi="Verdana" w:cs="Arial"/>
          <w:b/>
        </w:rPr>
      </w:pPr>
    </w:p>
    <w:p w14:paraId="11102F8A" w14:textId="0CEB2898" w:rsidR="00EB3C00" w:rsidRDefault="00EB3C00" w:rsidP="00EB3C00">
      <w:pPr>
        <w:contextualSpacing/>
        <w:jc w:val="both"/>
        <w:rPr>
          <w:rFonts w:ascii="Verdana" w:hAnsi="Verdana" w:cs="Arial"/>
          <w:sz w:val="20"/>
          <w:szCs w:val="20"/>
          <w:lang w:eastAsia="es-ES"/>
        </w:rPr>
      </w:pPr>
      <w:r w:rsidRPr="00EB3C00">
        <w:rPr>
          <w:rFonts w:ascii="Verdana" w:hAnsi="Verdana" w:cs="Arial"/>
          <w:sz w:val="20"/>
          <w:szCs w:val="20"/>
          <w:lang w:eastAsia="es-ES"/>
        </w:rPr>
        <w:t>[…] es importante precisar que las inhabilidades e incompatibilidades para contratar con el Estado son restricciones establecidas por la Constitución o la ley que limitan la capacidad de las personas para celebrar contratos con entidades públicas. En tanto constituyen limitaciones a derechos fundamentales como la igualdad y la libre concurrencia, su interpretación debe ser restrictiva, nunca extensiva, analógica o teleológica. Esto significa que ninguna entidad pública puede crear o ampliar causales de inhabilidad que no estén expresamente contempladas en la ley, pues los particulares solo son responsables ante las autoridades por infringir la Constitución y las leyes, conforme al artículo 6° de la Constitución Política.</w:t>
      </w:r>
    </w:p>
    <w:p w14:paraId="4A18F59E" w14:textId="77777777" w:rsidR="00EB3C00" w:rsidRDefault="00EB3C00" w:rsidP="00EB3C00">
      <w:pPr>
        <w:contextualSpacing/>
        <w:jc w:val="both"/>
        <w:rPr>
          <w:rFonts w:ascii="Verdana" w:hAnsi="Verdana" w:cs="Arial"/>
          <w:sz w:val="20"/>
          <w:szCs w:val="20"/>
          <w:lang w:eastAsia="es-ES"/>
        </w:rPr>
      </w:pPr>
    </w:p>
    <w:p w14:paraId="6C7B9840" w14:textId="77777777" w:rsidR="00EB3C00" w:rsidRPr="00EB3C00" w:rsidRDefault="00EB3C00" w:rsidP="00EB3C00">
      <w:pPr>
        <w:spacing w:line="276" w:lineRule="auto"/>
        <w:jc w:val="both"/>
        <w:rPr>
          <w:rFonts w:ascii="Verdana" w:eastAsia="Calibri" w:hAnsi="Verdana" w:cs="Arial"/>
          <w:b/>
        </w:rPr>
      </w:pPr>
      <w:r w:rsidRPr="00EB3C00">
        <w:rPr>
          <w:rFonts w:ascii="Verdana" w:eastAsia="Calibri" w:hAnsi="Verdana" w:cs="Arial"/>
          <w:b/>
        </w:rPr>
        <w:t>INHABILIDADES E INCOMPATIBILIDADES – Ley 1474 de 2011 – Artículo 5 - Aplicabilidad</w:t>
      </w:r>
    </w:p>
    <w:p w14:paraId="6E160A2E" w14:textId="51151389" w:rsidR="00EB3C00" w:rsidRPr="00EB3C00" w:rsidRDefault="00EB3C00" w:rsidP="00EB3C00">
      <w:pPr>
        <w:contextualSpacing/>
        <w:jc w:val="both"/>
        <w:rPr>
          <w:rFonts w:ascii="Verdana" w:hAnsi="Verdana" w:cs="Arial"/>
          <w:sz w:val="20"/>
          <w:szCs w:val="20"/>
          <w:lang w:eastAsia="es-ES"/>
        </w:rPr>
      </w:pPr>
      <w:r w:rsidRPr="00EB3C00">
        <w:rPr>
          <w:rFonts w:ascii="Verdana" w:hAnsi="Verdana" w:cs="Arial"/>
          <w:sz w:val="20"/>
          <w:szCs w:val="20"/>
          <w:lang w:eastAsia="es-ES"/>
        </w:rPr>
        <w:t>[…] de acuerdo con el criterio de interpretación restrictiva aplicable a las disposiciones del régimen de inhabilidades e incompatibilidades y analizada la situación descrita en su pregunta. A juicio de esta Agencia en este evento no hay lugar a la aplicación de la inhabilidad prevista en el artículo 5 de la Ley 1474 de 2011, como quiera que la norma señala a quien hubiese celebrado un contrato de obra pública o su cónyuge, compañero o compañera permanente, pariente hasta el segundo grado de consanguinidad, segundo de afinidad y/o primero civil o sus socios en sociedades distintas de las anónimas abiertas no pueden celebrar contratos de interventoría durante la ejecución y hasta la liquidación del mismo. Por ende, según los hechos expuestos, los contratos de obra e interventoría fueron adjudicados mediante procesos independientes y su celebración ocurrió antes del inicio de la ejecución contractual, circunstancia que impide extender la causal de inhabilidad más allá de los supuestos expresamente previstos por el legislador.</w:t>
      </w:r>
    </w:p>
    <w:p w14:paraId="48688322" w14:textId="77777777" w:rsidR="00EB3C00" w:rsidRPr="00EB3C00" w:rsidRDefault="00EB3C00" w:rsidP="00EB3C00">
      <w:pPr>
        <w:spacing w:line="240" w:lineRule="auto"/>
        <w:contextualSpacing/>
        <w:jc w:val="both"/>
        <w:rPr>
          <w:rFonts w:ascii="Verdana" w:hAnsi="Verdana" w:cs="Arial"/>
          <w:sz w:val="20"/>
          <w:szCs w:val="20"/>
          <w:lang w:eastAsia="es-ES"/>
        </w:rPr>
      </w:pPr>
    </w:p>
    <w:p w14:paraId="34EA06B5" w14:textId="77777777" w:rsidR="00EB3C00" w:rsidRDefault="00EB3C00" w:rsidP="00EB3C00">
      <w:pPr>
        <w:spacing w:after="0" w:line="240" w:lineRule="auto"/>
        <w:jc w:val="both"/>
        <w:rPr>
          <w:rFonts w:ascii="Verdana" w:eastAsia="Calibri" w:hAnsi="Verdana" w:cs="Arial"/>
          <w:b/>
        </w:rPr>
      </w:pPr>
    </w:p>
    <w:p w14:paraId="1EA98B5B" w14:textId="77777777" w:rsidR="00EB3C00" w:rsidRPr="00EB3C00" w:rsidRDefault="00EB3C00" w:rsidP="00EB3C00">
      <w:pPr>
        <w:spacing w:after="0" w:line="240" w:lineRule="auto"/>
        <w:jc w:val="both"/>
        <w:rPr>
          <w:rFonts w:ascii="Verdana" w:eastAsia="Geomanist Light" w:hAnsi="Verdana" w:cs="Arial"/>
          <w:b/>
          <w:color w:val="000000" w:themeColor="text1"/>
          <w:lang w:val="es-MX"/>
        </w:rPr>
      </w:pPr>
    </w:p>
    <w:p w14:paraId="3C0C65E3" w14:textId="77777777" w:rsidR="00EB3C00" w:rsidRDefault="00EB3C00" w:rsidP="00685370">
      <w:pPr>
        <w:spacing w:after="0" w:line="240" w:lineRule="auto"/>
        <w:rPr>
          <w:rFonts w:ascii="Verdana" w:eastAsia="Geomanist Light" w:hAnsi="Verdana" w:cs="Arial"/>
          <w:color w:val="000000" w:themeColor="text1"/>
          <w:lang w:val="es-MX"/>
        </w:rPr>
      </w:pPr>
    </w:p>
    <w:p w14:paraId="185989C2" w14:textId="77777777" w:rsidR="00EB3C00" w:rsidRDefault="00EB3C00" w:rsidP="00685370">
      <w:pPr>
        <w:spacing w:after="0" w:line="240" w:lineRule="auto"/>
        <w:rPr>
          <w:rFonts w:ascii="Verdana" w:eastAsia="Geomanist Light" w:hAnsi="Verdana" w:cs="Arial"/>
          <w:color w:val="000000" w:themeColor="text1"/>
          <w:lang w:val="es-MX"/>
        </w:rPr>
      </w:pPr>
    </w:p>
    <w:p w14:paraId="1FBF39C4" w14:textId="77777777" w:rsidR="00EB3C00" w:rsidRDefault="00EB3C00" w:rsidP="00685370">
      <w:pPr>
        <w:spacing w:after="0" w:line="240" w:lineRule="auto"/>
        <w:rPr>
          <w:rFonts w:ascii="Verdana" w:eastAsia="Geomanist Light" w:hAnsi="Verdana" w:cs="Arial"/>
          <w:color w:val="000000" w:themeColor="text1"/>
          <w:lang w:val="es-MX"/>
        </w:rPr>
      </w:pPr>
    </w:p>
    <w:p w14:paraId="5D0BA513" w14:textId="77777777" w:rsidR="00EB3C00" w:rsidRDefault="00EB3C00" w:rsidP="00685370">
      <w:pPr>
        <w:spacing w:after="0" w:line="240" w:lineRule="auto"/>
        <w:rPr>
          <w:rFonts w:ascii="Verdana" w:eastAsia="Geomanist Light" w:hAnsi="Verdana" w:cs="Arial"/>
          <w:color w:val="000000" w:themeColor="text1"/>
          <w:lang w:val="es-MX"/>
        </w:rPr>
      </w:pPr>
    </w:p>
    <w:p w14:paraId="08B9C51E" w14:textId="77777777" w:rsidR="00EB3C00" w:rsidRDefault="00EB3C00" w:rsidP="00685370">
      <w:pPr>
        <w:spacing w:after="0" w:line="240" w:lineRule="auto"/>
        <w:rPr>
          <w:rFonts w:ascii="Verdana" w:eastAsia="Geomanist Light" w:hAnsi="Verdana" w:cs="Arial"/>
          <w:color w:val="000000" w:themeColor="text1"/>
          <w:lang w:val="es-MX"/>
        </w:rPr>
      </w:pPr>
    </w:p>
    <w:p w14:paraId="7A801B1F" w14:textId="77777777" w:rsidR="00EB3C00" w:rsidRDefault="00EB3C00" w:rsidP="00685370">
      <w:pPr>
        <w:spacing w:after="0" w:line="240" w:lineRule="auto"/>
        <w:rPr>
          <w:rFonts w:ascii="Verdana" w:eastAsia="Geomanist Light" w:hAnsi="Verdana" w:cs="Arial"/>
          <w:color w:val="000000" w:themeColor="text1"/>
          <w:lang w:val="es-MX"/>
        </w:rPr>
      </w:pPr>
    </w:p>
    <w:p w14:paraId="72C6D639" w14:textId="77777777" w:rsidR="00EB3C00" w:rsidRDefault="00EB3C00" w:rsidP="00685370">
      <w:pPr>
        <w:spacing w:after="0" w:line="240" w:lineRule="auto"/>
        <w:rPr>
          <w:rFonts w:ascii="Verdana" w:eastAsia="Geomanist Light" w:hAnsi="Verdana" w:cs="Arial"/>
          <w:color w:val="000000" w:themeColor="text1"/>
          <w:lang w:val="es-MX"/>
        </w:rPr>
      </w:pPr>
    </w:p>
    <w:p w14:paraId="38758626" w14:textId="77777777" w:rsidR="00EB3C00" w:rsidRDefault="00EB3C00" w:rsidP="00685370">
      <w:pPr>
        <w:spacing w:after="0" w:line="240" w:lineRule="auto"/>
        <w:rPr>
          <w:rFonts w:ascii="Verdana" w:eastAsia="Geomanist Light" w:hAnsi="Verdana" w:cs="Arial"/>
          <w:color w:val="000000" w:themeColor="text1"/>
          <w:lang w:val="es-MX"/>
        </w:rPr>
      </w:pPr>
    </w:p>
    <w:p w14:paraId="4245714C" w14:textId="77777777" w:rsidR="00EB3C00" w:rsidRDefault="00EB3C00" w:rsidP="00685370">
      <w:pPr>
        <w:spacing w:after="0" w:line="240" w:lineRule="auto"/>
        <w:rPr>
          <w:rFonts w:ascii="Verdana" w:eastAsia="Geomanist Light" w:hAnsi="Verdana" w:cs="Arial"/>
          <w:color w:val="000000" w:themeColor="text1"/>
          <w:lang w:val="es-MX"/>
        </w:rPr>
      </w:pPr>
    </w:p>
    <w:p w14:paraId="2709D9AB" w14:textId="77777777" w:rsidR="00EB3C00" w:rsidRDefault="00EB3C00" w:rsidP="00685370">
      <w:pPr>
        <w:spacing w:after="0" w:line="240" w:lineRule="auto"/>
        <w:rPr>
          <w:rFonts w:ascii="Verdana" w:eastAsia="Geomanist Light" w:hAnsi="Verdana" w:cs="Arial"/>
          <w:color w:val="000000" w:themeColor="text1"/>
          <w:lang w:val="es-MX"/>
        </w:rPr>
      </w:pPr>
    </w:p>
    <w:p w14:paraId="7E0FA7B2" w14:textId="77777777" w:rsidR="00EB3C00" w:rsidRDefault="00EB3C00" w:rsidP="00685370">
      <w:pPr>
        <w:spacing w:after="0" w:line="240" w:lineRule="auto"/>
        <w:rPr>
          <w:rFonts w:ascii="Verdana" w:eastAsia="Geomanist Light" w:hAnsi="Verdana" w:cs="Arial"/>
          <w:color w:val="000000" w:themeColor="text1"/>
          <w:lang w:val="es-MX"/>
        </w:rPr>
      </w:pPr>
    </w:p>
    <w:p w14:paraId="7C6D0023" w14:textId="77777777" w:rsidR="00EB3C00" w:rsidRDefault="00EB3C00" w:rsidP="00685370">
      <w:pPr>
        <w:spacing w:after="0" w:line="240" w:lineRule="auto"/>
        <w:rPr>
          <w:rFonts w:ascii="Verdana" w:eastAsia="Geomanist Light" w:hAnsi="Verdana" w:cs="Arial"/>
          <w:color w:val="000000" w:themeColor="text1"/>
          <w:lang w:val="es-MX"/>
        </w:rPr>
      </w:pPr>
    </w:p>
    <w:p w14:paraId="43A36304" w14:textId="0D2CD4EB" w:rsidR="00685370" w:rsidRPr="0050687B" w:rsidRDefault="00685370" w:rsidP="00685370">
      <w:pPr>
        <w:spacing w:after="0" w:line="240" w:lineRule="auto"/>
        <w:rPr>
          <w:rFonts w:ascii="Verdana" w:eastAsia="Times New Roman" w:hAnsi="Verdana" w:cs="Arial"/>
          <w:lang w:eastAsia="es-ES_tradnl"/>
        </w:rPr>
      </w:pPr>
      <w:r w:rsidRPr="00CF64C0">
        <w:rPr>
          <w:rFonts w:ascii="Verdana" w:eastAsia="Geomanist Light" w:hAnsi="Verdana" w:cs="Arial"/>
          <w:color w:val="000000" w:themeColor="text1"/>
          <w:lang w:val="es-MX"/>
        </w:rPr>
        <w:t>Bogotá D.C., </w:t>
      </w:r>
      <w:r w:rsidR="00EB3C00">
        <w:rPr>
          <w:rFonts w:ascii="Verdana" w:eastAsia="Geomanist Light" w:hAnsi="Verdana" w:cs="Arial"/>
          <w:color w:val="201F1E"/>
          <w:lang w:val="es-MX"/>
        </w:rPr>
        <w:t>13</w:t>
      </w:r>
      <w:r w:rsidRPr="00CF64C0">
        <w:rPr>
          <w:rFonts w:ascii="Verdana" w:eastAsia="Geomanist Light" w:hAnsi="Verdana" w:cs="Arial"/>
          <w:color w:val="201F1E"/>
          <w:lang w:val="es-MX"/>
        </w:rPr>
        <w:t xml:space="preserve"> de </w:t>
      </w:r>
      <w:r w:rsidR="00EB3C00">
        <w:rPr>
          <w:rFonts w:ascii="Verdana" w:eastAsia="Geomanist Light" w:hAnsi="Verdana" w:cs="Arial"/>
          <w:color w:val="201F1E"/>
          <w:lang w:val="es-MX"/>
        </w:rPr>
        <w:t>mayo</w:t>
      </w:r>
      <w:r w:rsidRPr="00CF64C0">
        <w:rPr>
          <w:rFonts w:ascii="Verdana" w:eastAsia="Geomanist Light" w:hAnsi="Verdana" w:cs="Arial"/>
          <w:color w:val="201F1E"/>
          <w:lang w:val="es-MX"/>
        </w:rPr>
        <w:t xml:space="preserve"> de </w:t>
      </w:r>
      <w:r w:rsidR="00EB3C00">
        <w:rPr>
          <w:rFonts w:ascii="Verdana" w:eastAsia="Geomanist Light" w:hAnsi="Verdana" w:cs="Arial"/>
          <w:color w:val="201F1E"/>
          <w:lang w:val="es-MX"/>
        </w:rPr>
        <w:t>2026</w:t>
      </w:r>
    </w:p>
    <w:p w14:paraId="6E1A78FA" w14:textId="7484EA22" w:rsidR="00685370" w:rsidRDefault="00685370" w:rsidP="00685370">
      <w:pPr>
        <w:spacing w:after="0" w:line="240" w:lineRule="auto"/>
        <w:rPr>
          <w:rFonts w:ascii="Verdana" w:eastAsia="Calibri" w:hAnsi="Verdana" w:cs="Arial"/>
          <w:b/>
          <w:bCs/>
          <w:lang w:eastAsia="es-ES_tradnl"/>
        </w:rPr>
      </w:pPr>
    </w:p>
    <w:p w14:paraId="143F4170" w14:textId="79D040A4" w:rsidR="00EB3C00" w:rsidRDefault="00EB3C00" w:rsidP="00EB3C00">
      <w:pPr>
        <w:spacing w:after="0" w:line="240" w:lineRule="auto"/>
        <w:ind w:left="5664"/>
        <w:rPr>
          <w:rFonts w:ascii="Verdana" w:eastAsia="Calibri" w:hAnsi="Verdana" w:cs="Arial"/>
          <w:lang w:eastAsia="es-ES_tradnl"/>
        </w:rPr>
      </w:pPr>
    </w:p>
    <w:p w14:paraId="089FF793" w14:textId="454CBD01" w:rsidR="00685370" w:rsidRDefault="00EA0AB1" w:rsidP="00685370">
      <w:pPr>
        <w:spacing w:after="0" w:line="240" w:lineRule="auto"/>
        <w:rPr>
          <w:rFonts w:ascii="Verdana" w:eastAsia="Calibri" w:hAnsi="Verdana" w:cs="Arial"/>
          <w:lang w:eastAsia="es-ES_tradnl"/>
        </w:rPr>
      </w:pPr>
      <w:r w:rsidRPr="00EB3C00">
        <w:rPr>
          <w:rFonts w:ascii="Verdana" w:eastAsia="Calibri" w:hAnsi="Verdana" w:cs="Arial"/>
          <w:noProof/>
          <w:lang w:eastAsia="es-ES_tradnl"/>
        </w:rPr>
        <w:drawing>
          <wp:anchor distT="0" distB="0" distL="114300" distR="114300" simplePos="0" relativeHeight="251658240" behindDoc="0" locked="0" layoutInCell="1" allowOverlap="1" wp14:anchorId="1B11964D" wp14:editId="2BFB98B8">
            <wp:simplePos x="0" y="0"/>
            <wp:positionH relativeFrom="margin">
              <wp:align>right</wp:align>
            </wp:positionH>
            <wp:positionV relativeFrom="paragraph">
              <wp:posOffset>6019</wp:posOffset>
            </wp:positionV>
            <wp:extent cx="2505075" cy="733425"/>
            <wp:effectExtent l="0" t="0" r="9525" b="9525"/>
            <wp:wrapSquare wrapText="bothSides"/>
            <wp:docPr id="9743170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317035" name=""/>
                    <pic:cNvPicPr/>
                  </pic:nvPicPr>
                  <pic:blipFill>
                    <a:blip r:embed="rId10">
                      <a:extLst>
                        <a:ext uri="{28A0092B-C50C-407E-A947-70E740481C1C}">
                          <a14:useLocalDpi xmlns:a14="http://schemas.microsoft.com/office/drawing/2010/main" val="0"/>
                        </a:ext>
                      </a:extLst>
                    </a:blip>
                    <a:stretch>
                      <a:fillRect/>
                    </a:stretch>
                  </pic:blipFill>
                  <pic:spPr>
                    <a:xfrm>
                      <a:off x="0" y="0"/>
                      <a:ext cx="2505075" cy="733425"/>
                    </a:xfrm>
                    <a:prstGeom prst="rect">
                      <a:avLst/>
                    </a:prstGeom>
                  </pic:spPr>
                </pic:pic>
              </a:graphicData>
            </a:graphic>
          </wp:anchor>
        </w:drawing>
      </w:r>
      <w:r w:rsidR="00685370">
        <w:rPr>
          <w:rFonts w:ascii="Verdana" w:eastAsia="Calibri" w:hAnsi="Verdana" w:cs="Arial"/>
          <w:lang w:eastAsia="es-ES_tradnl"/>
        </w:rPr>
        <w:t>Señor</w:t>
      </w:r>
    </w:p>
    <w:p w14:paraId="7BE9737A" w14:textId="77777777" w:rsidR="00685370" w:rsidRPr="00763D98" w:rsidRDefault="00685370" w:rsidP="00685370">
      <w:pPr>
        <w:spacing w:after="0" w:line="240" w:lineRule="auto"/>
        <w:rPr>
          <w:rFonts w:ascii="Verdana" w:eastAsia="Calibri" w:hAnsi="Verdana" w:cs="Arial"/>
          <w:b/>
          <w:bCs/>
          <w:lang w:eastAsia="es-ES_tradnl"/>
        </w:rPr>
      </w:pPr>
      <w:r>
        <w:rPr>
          <w:rFonts w:ascii="Verdana" w:eastAsia="Calibri" w:hAnsi="Verdana" w:cs="Arial"/>
          <w:b/>
          <w:bCs/>
          <w:lang w:eastAsia="es-ES_tradnl"/>
        </w:rPr>
        <w:t>Anónimo</w:t>
      </w:r>
    </w:p>
    <w:p w14:paraId="46000E8C" w14:textId="77777777" w:rsidR="00685370" w:rsidRPr="00E638CF" w:rsidRDefault="00685370" w:rsidP="00685370">
      <w:pPr>
        <w:spacing w:after="0" w:line="240" w:lineRule="auto"/>
        <w:rPr>
          <w:rFonts w:ascii="Verdana" w:hAnsi="Verdana"/>
        </w:rPr>
      </w:pPr>
      <w:hyperlink r:id="rId11" w:history="1">
        <w:r w:rsidRPr="00E638CF">
          <w:rPr>
            <w:rStyle w:val="Hipervnculo"/>
            <w:rFonts w:ascii="Verdana" w:hAnsi="Verdana"/>
          </w:rPr>
          <w:t>evelinviidal@gmail.com</w:t>
        </w:r>
      </w:hyperlink>
    </w:p>
    <w:p w14:paraId="0B3AFB30" w14:textId="77777777" w:rsidR="00685370" w:rsidRDefault="00685370" w:rsidP="00685370">
      <w:pPr>
        <w:spacing w:after="0" w:line="240" w:lineRule="auto"/>
        <w:rPr>
          <w:rFonts w:ascii="Verdana" w:eastAsia="Calibri" w:hAnsi="Verdana" w:cs="Arial"/>
          <w:lang w:eastAsia="es-ES_tradnl"/>
        </w:rPr>
      </w:pPr>
      <w:r>
        <w:rPr>
          <w:rFonts w:ascii="Verdana" w:eastAsia="Calibri" w:hAnsi="Verdana" w:cs="Arial"/>
          <w:lang w:eastAsia="es-ES_tradnl"/>
        </w:rPr>
        <w:t>Ciudad.</w:t>
      </w:r>
    </w:p>
    <w:p w14:paraId="70C30A3F" w14:textId="77777777" w:rsidR="00685370" w:rsidRPr="00514983" w:rsidRDefault="00685370" w:rsidP="00685370">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85370" w:rsidRPr="00960F72" w14:paraId="26149A07" w14:textId="77777777" w:rsidTr="003E29C5">
        <w:trPr>
          <w:trHeight w:val="190"/>
        </w:trPr>
        <w:tc>
          <w:tcPr>
            <w:tcW w:w="2689" w:type="dxa"/>
          </w:tcPr>
          <w:p w14:paraId="056CFA5E" w14:textId="77777777" w:rsidR="00685370" w:rsidRPr="00960F72" w:rsidRDefault="00685370" w:rsidP="003E29C5">
            <w:pPr>
              <w:jc w:val="both"/>
              <w:rPr>
                <w:rFonts w:ascii="Verdana" w:eastAsia="Calibri" w:hAnsi="Verdana" w:cs="Arial"/>
                <w:b/>
                <w:bCs/>
                <w:lang w:eastAsia="es-ES_tradnl"/>
              </w:rPr>
            </w:pPr>
          </w:p>
        </w:tc>
        <w:tc>
          <w:tcPr>
            <w:tcW w:w="6100" w:type="dxa"/>
          </w:tcPr>
          <w:p w14:paraId="40CD95C8" w14:textId="77777777" w:rsidR="00685370" w:rsidRPr="00960F72" w:rsidRDefault="00685370" w:rsidP="003E29C5">
            <w:pPr>
              <w:jc w:val="both"/>
              <w:rPr>
                <w:rFonts w:ascii="Verdana" w:eastAsia="Calibri" w:hAnsi="Verdana" w:cs="Arial"/>
                <w:b/>
                <w:bCs/>
                <w:lang w:eastAsia="es-ES"/>
              </w:rPr>
            </w:pPr>
            <w:r w:rsidRPr="00960F72">
              <w:rPr>
                <w:rFonts w:ascii="Verdana" w:eastAsia="Calibri" w:hAnsi="Verdana" w:cs="Arial"/>
                <w:b/>
                <w:bCs/>
                <w:lang w:eastAsia="es-ES"/>
              </w:rPr>
              <w:t xml:space="preserve">Concepto </w:t>
            </w:r>
            <w:r w:rsidRPr="00E638CF">
              <w:rPr>
                <w:rFonts w:ascii="Verdana" w:eastAsia="Calibri" w:hAnsi="Verdana" w:cs="Arial"/>
                <w:b/>
                <w:bCs/>
                <w:lang w:eastAsia="es-ES"/>
              </w:rPr>
              <w:t>C-570</w:t>
            </w:r>
            <w:r>
              <w:rPr>
                <w:rFonts w:ascii="Verdana" w:eastAsia="Calibri" w:hAnsi="Verdana" w:cs="Arial"/>
                <w:b/>
                <w:bCs/>
                <w:lang w:eastAsia="es-ES"/>
              </w:rPr>
              <w:t xml:space="preserve"> </w:t>
            </w:r>
            <w:r w:rsidRPr="00960F72">
              <w:rPr>
                <w:rFonts w:ascii="Verdana" w:eastAsia="Calibri" w:hAnsi="Verdana" w:cs="Arial"/>
                <w:b/>
                <w:bCs/>
                <w:lang w:eastAsia="es-ES"/>
              </w:rPr>
              <w:t>de 202</w:t>
            </w:r>
            <w:r>
              <w:rPr>
                <w:rFonts w:ascii="Verdana" w:eastAsia="Calibri" w:hAnsi="Verdana" w:cs="Arial"/>
                <w:b/>
                <w:bCs/>
                <w:lang w:eastAsia="es-ES"/>
              </w:rPr>
              <w:t>6</w:t>
            </w:r>
          </w:p>
          <w:p w14:paraId="29F7E4E3" w14:textId="77777777" w:rsidR="00685370" w:rsidRPr="00960F72" w:rsidRDefault="00685370" w:rsidP="003E29C5">
            <w:pPr>
              <w:jc w:val="both"/>
              <w:rPr>
                <w:rFonts w:ascii="Verdana" w:eastAsia="Calibri" w:hAnsi="Verdana" w:cs="Arial"/>
                <w:b/>
                <w:bCs/>
                <w:lang w:eastAsia="es-ES"/>
              </w:rPr>
            </w:pPr>
          </w:p>
        </w:tc>
      </w:tr>
      <w:tr w:rsidR="00685370" w:rsidRPr="00960F72" w14:paraId="68298EB1" w14:textId="77777777" w:rsidTr="003E29C5">
        <w:trPr>
          <w:trHeight w:val="884"/>
        </w:trPr>
        <w:tc>
          <w:tcPr>
            <w:tcW w:w="2689" w:type="dxa"/>
          </w:tcPr>
          <w:p w14:paraId="7F65D5E8" w14:textId="77777777" w:rsidR="00685370" w:rsidRPr="00960F72" w:rsidRDefault="00685370" w:rsidP="003E29C5">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00CC1D8C" w14:textId="27DA06ED" w:rsidR="00685370" w:rsidRDefault="00685370" w:rsidP="003E29C5">
            <w:pPr>
              <w:spacing w:line="276" w:lineRule="auto"/>
              <w:jc w:val="both"/>
              <w:rPr>
                <w:rFonts w:ascii="Verdana" w:eastAsia="Calibri" w:hAnsi="Verdana" w:cs="Arial"/>
                <w:bCs/>
              </w:rPr>
            </w:pPr>
            <w:r w:rsidRPr="005F6A40">
              <w:rPr>
                <w:rFonts w:ascii="Verdana" w:eastAsia="Calibri" w:hAnsi="Verdana" w:cs="Arial"/>
                <w:bCs/>
              </w:rPr>
              <w:t xml:space="preserve">RÉGIMEN DE INHABILIDADES E INCOMPATIBILIDADES – Definición – Taxatividad – Interpretación restrictiva / INHABILIDADES E INCOMPATIBILIDADES – Ley </w:t>
            </w:r>
            <w:r>
              <w:rPr>
                <w:rFonts w:ascii="Verdana" w:eastAsia="Calibri" w:hAnsi="Verdana" w:cs="Arial"/>
                <w:bCs/>
              </w:rPr>
              <w:t>1474</w:t>
            </w:r>
            <w:r w:rsidRPr="005F6A40">
              <w:rPr>
                <w:rFonts w:ascii="Verdana" w:eastAsia="Calibri" w:hAnsi="Verdana" w:cs="Arial"/>
                <w:bCs/>
              </w:rPr>
              <w:t xml:space="preserve"> de </w:t>
            </w:r>
            <w:r>
              <w:rPr>
                <w:rFonts w:ascii="Verdana" w:eastAsia="Calibri" w:hAnsi="Verdana" w:cs="Arial"/>
                <w:bCs/>
              </w:rPr>
              <w:t>2011</w:t>
            </w:r>
            <w:r w:rsidRPr="005F6A40">
              <w:rPr>
                <w:rFonts w:ascii="Verdana" w:eastAsia="Calibri" w:hAnsi="Verdana" w:cs="Arial"/>
                <w:bCs/>
              </w:rPr>
              <w:t xml:space="preserve"> – Artículo </w:t>
            </w:r>
            <w:r>
              <w:rPr>
                <w:rFonts w:ascii="Verdana" w:eastAsia="Calibri" w:hAnsi="Verdana" w:cs="Arial"/>
                <w:bCs/>
              </w:rPr>
              <w:t xml:space="preserve">5 </w:t>
            </w:r>
            <w:r w:rsidR="00EA0AB1" w:rsidRPr="00EA0AB1">
              <w:rPr>
                <w:rFonts w:ascii="Verdana" w:eastAsia="Calibri" w:hAnsi="Verdana" w:cs="Arial"/>
                <w:b/>
                <w:bCs/>
                <w:lang w:val="es-ES"/>
              </w:rPr>
              <w:t>–</w:t>
            </w:r>
            <w:r>
              <w:rPr>
                <w:rFonts w:ascii="Verdana" w:eastAsia="Calibri" w:hAnsi="Verdana" w:cs="Arial"/>
                <w:bCs/>
              </w:rPr>
              <w:t xml:space="preserve"> Aplicabilidad</w:t>
            </w:r>
          </w:p>
          <w:p w14:paraId="31962581" w14:textId="77777777" w:rsidR="00685370" w:rsidRPr="001F1B6C" w:rsidRDefault="00685370" w:rsidP="003E29C5">
            <w:pPr>
              <w:jc w:val="both"/>
              <w:rPr>
                <w:rFonts w:ascii="Verdana" w:eastAsia="Calibri" w:hAnsi="Verdana" w:cs="Arial"/>
                <w:lang w:val="es-ES" w:eastAsia="es-ES"/>
              </w:rPr>
            </w:pP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p>
        </w:tc>
      </w:tr>
      <w:tr w:rsidR="00685370" w:rsidRPr="00960F72" w14:paraId="27ACCA3E" w14:textId="77777777" w:rsidTr="003E29C5">
        <w:tc>
          <w:tcPr>
            <w:tcW w:w="2689" w:type="dxa"/>
          </w:tcPr>
          <w:p w14:paraId="1D5416EC" w14:textId="77777777" w:rsidR="00685370" w:rsidRPr="008149BA" w:rsidRDefault="00685370" w:rsidP="003E29C5">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3E002C35" w14:textId="77777777" w:rsidR="00685370" w:rsidRPr="008149BA" w:rsidRDefault="00685370" w:rsidP="003E29C5">
            <w:pPr>
              <w:jc w:val="both"/>
              <w:rPr>
                <w:rFonts w:ascii="Verdana" w:eastAsia="Calibri" w:hAnsi="Verdana" w:cs="Arial"/>
                <w:lang w:eastAsia="es-ES_tradnl"/>
              </w:rPr>
            </w:pPr>
            <w:r w:rsidRPr="008149BA">
              <w:rPr>
                <w:rFonts w:ascii="Verdana" w:eastAsia="Calibri" w:hAnsi="Verdana" w:cs="Arial"/>
                <w:lang w:eastAsia="es-ES_tradnl"/>
              </w:rPr>
              <w:t>Respuesta a consulta con radicado No.</w:t>
            </w:r>
            <w:r w:rsidRPr="008149BA">
              <w:rPr>
                <w:rFonts w:ascii="Verdana" w:hAnsi="Verdana" w:cs="Segoe UI"/>
                <w:color w:val="2B2B2B"/>
                <w:shd w:val="clear" w:color="auto" w:fill="FFFFFF"/>
              </w:rPr>
              <w:t xml:space="preserve"> </w:t>
            </w:r>
            <w:r w:rsidRPr="00E638CF">
              <w:rPr>
                <w:rFonts w:ascii="Verdana" w:hAnsi="Verdana" w:cs="Segoe UI"/>
                <w:color w:val="2B2B2B"/>
                <w:shd w:val="clear" w:color="auto" w:fill="FFFFFF"/>
              </w:rPr>
              <w:t>1_2026_04_05_004536</w:t>
            </w:r>
          </w:p>
        </w:tc>
      </w:tr>
    </w:tbl>
    <w:p w14:paraId="2AD76FF6" w14:textId="77777777" w:rsidR="00685370" w:rsidRPr="00960F72" w:rsidRDefault="00685370" w:rsidP="00685370">
      <w:pPr>
        <w:spacing w:after="0" w:line="276" w:lineRule="auto"/>
        <w:jc w:val="both"/>
        <w:rPr>
          <w:rFonts w:ascii="Verdana" w:eastAsia="Calibri" w:hAnsi="Verdana" w:cs="Arial"/>
          <w:lang w:eastAsia="es-ES_tradnl"/>
        </w:rPr>
      </w:pPr>
    </w:p>
    <w:p w14:paraId="25EEF621" w14:textId="77777777" w:rsidR="00685370" w:rsidRPr="00960F72" w:rsidRDefault="00685370" w:rsidP="00685370">
      <w:pPr>
        <w:spacing w:after="0" w:line="276" w:lineRule="auto"/>
        <w:jc w:val="both"/>
        <w:rPr>
          <w:rFonts w:ascii="Verdana" w:eastAsia="Calibri" w:hAnsi="Verdana" w:cs="Arial"/>
          <w:lang w:eastAsia="es-ES"/>
        </w:rPr>
      </w:pPr>
      <w:r>
        <w:rPr>
          <w:rFonts w:ascii="Verdana" w:eastAsia="Calibri" w:hAnsi="Verdana" w:cs="Arial"/>
          <w:lang w:eastAsia="es-ES"/>
        </w:rPr>
        <w:t>Estimado señor Anónimo:</w:t>
      </w:r>
    </w:p>
    <w:p w14:paraId="5B650795" w14:textId="77777777" w:rsidR="00685370" w:rsidRPr="00960F72" w:rsidRDefault="00685370" w:rsidP="00685370">
      <w:pPr>
        <w:tabs>
          <w:tab w:val="left" w:pos="3768"/>
        </w:tabs>
        <w:spacing w:after="0" w:line="276" w:lineRule="auto"/>
        <w:jc w:val="both"/>
        <w:rPr>
          <w:rFonts w:ascii="Verdana" w:eastAsia="Calibri" w:hAnsi="Verdana" w:cs="Arial"/>
          <w:lang w:eastAsia="es-ES"/>
        </w:rPr>
      </w:pPr>
    </w:p>
    <w:p w14:paraId="4DE0D6CA" w14:textId="77777777" w:rsidR="00685370" w:rsidRPr="00960F72" w:rsidRDefault="00685370" w:rsidP="00685370">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así como lo establecido en</w:t>
      </w:r>
      <w:r>
        <w:rPr>
          <w:rFonts w:ascii="Verdana" w:hAnsi="Verdana" w:cs="Arial"/>
        </w:rPr>
        <w:t xml:space="preserve"> la</w:t>
      </w:r>
      <w:r w:rsidRPr="00960F72">
        <w:rPr>
          <w:rFonts w:ascii="Verdana" w:hAnsi="Verdana" w:cs="Arial"/>
        </w:rPr>
        <w:t xml:space="preserve"> </w:t>
      </w:r>
      <w:r w:rsidRPr="000F2158">
        <w:rPr>
          <w:rFonts w:ascii="Verdana" w:eastAsia="Calibri" w:hAnsi="Verdana" w:cs="Arial"/>
          <w:lang w:eastAsia="es-ES"/>
        </w:rPr>
        <w:t xml:space="preserve">Resolución </w:t>
      </w:r>
      <w:r>
        <w:rPr>
          <w:rFonts w:ascii="Verdana" w:eastAsia="Calibri" w:hAnsi="Verdana" w:cs="Arial"/>
          <w:lang w:eastAsia="es-ES"/>
        </w:rPr>
        <w:t>469 de 2025</w:t>
      </w:r>
      <w:r w:rsidRPr="000F2158">
        <w:rPr>
          <w:rFonts w:ascii="Verdana" w:eastAsia="Calibri" w:hAnsi="Verdana" w:cs="Arial"/>
          <w:lang w:eastAsia="es-ES"/>
        </w:rPr>
        <w:t xml:space="preserve"> </w:t>
      </w:r>
      <w:r w:rsidRPr="00960F72">
        <w:rPr>
          <w:rFonts w:ascii="Verdana" w:hAnsi="Verdana" w:cs="Arial"/>
        </w:rPr>
        <w:t xml:space="preserve">expedida por esta Entidad, </w:t>
      </w:r>
      <w:r w:rsidRPr="00960F72">
        <w:rPr>
          <w:rFonts w:ascii="Verdana" w:eastAsia="Calibri" w:hAnsi="Verdana" w:cs="Arial"/>
          <w:lang w:eastAsia="es-ES"/>
        </w:rPr>
        <w:t xml:space="preserve">la Agencia Nacional de Contratación Pública – Colombia Compra Eficiente– responde su solicitud </w:t>
      </w:r>
      <w:r>
        <w:rPr>
          <w:rFonts w:ascii="Verdana" w:eastAsia="Calibri" w:hAnsi="Verdana" w:cs="Arial"/>
          <w:lang w:eastAsia="es-ES"/>
        </w:rPr>
        <w:t xml:space="preserve">recibida por competencia en esta Agencia el pasado 05 </w:t>
      </w:r>
      <w:r w:rsidRPr="00960F72">
        <w:rPr>
          <w:rFonts w:ascii="Verdana" w:eastAsia="Calibri" w:hAnsi="Verdana" w:cs="Arial"/>
          <w:lang w:eastAsia="es-ES"/>
        </w:rPr>
        <w:t xml:space="preserve">de </w:t>
      </w:r>
      <w:r>
        <w:rPr>
          <w:rFonts w:ascii="Verdana" w:eastAsia="Calibri" w:hAnsi="Verdana" w:cs="Arial"/>
          <w:lang w:eastAsia="es-ES"/>
        </w:rPr>
        <w:t>abril</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459CE04B" w14:textId="77777777" w:rsidR="00685370" w:rsidRPr="00960F72" w:rsidRDefault="00685370" w:rsidP="00685370">
      <w:pPr>
        <w:spacing w:after="0" w:line="276" w:lineRule="auto"/>
        <w:jc w:val="both"/>
        <w:rPr>
          <w:rFonts w:ascii="Verdana" w:eastAsia="Calibri" w:hAnsi="Verdana" w:cs="Arial"/>
          <w:lang w:eastAsia="es-ES"/>
        </w:rPr>
      </w:pPr>
    </w:p>
    <w:p w14:paraId="2E558014"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En ejercicio del derecho de petición (Art. 23 CP), solicito concepto</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jurídico orientador sobre la siguiente situación abstracta en el marco de</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la contratación estatal:</w:t>
      </w:r>
    </w:p>
    <w:p w14:paraId="211F4926"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¿Se configura la inhabilidad prevista en el Artículo 5 de la Ley 1474 de</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2011 cuando un socio de una empresa integrante de un Consorcio de</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Obra tiene un vínculo de parentesco en segundo grado de</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consanguinidad (hermanos) con un socio de una empresa integrante del</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Consorcio de Interventoría, considerando que ambas empresas son</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personas jurídicas independientes y los contratos fueron adjudicados</w:t>
      </w:r>
      <w:r>
        <w:rPr>
          <w:rFonts w:ascii="Verdana" w:eastAsia="Calibri" w:hAnsi="Verdana" w:cs="Arial"/>
          <w:sz w:val="20"/>
          <w:szCs w:val="20"/>
          <w:lang w:eastAsia="es-ES"/>
        </w:rPr>
        <w:t xml:space="preserve"> </w:t>
      </w:r>
      <w:r w:rsidRPr="00E638CF">
        <w:rPr>
          <w:rFonts w:ascii="Verdana" w:eastAsia="Calibri" w:hAnsi="Verdana" w:cs="Arial"/>
          <w:sz w:val="20"/>
          <w:szCs w:val="20"/>
          <w:lang w:eastAsia="es-ES"/>
        </w:rPr>
        <w:t>mediante procesos distintos?</w:t>
      </w:r>
    </w:p>
    <w:p w14:paraId="4845EE07"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Ante la identificación de dicho vínculo de parentesco entre socios de las</w:t>
      </w:r>
    </w:p>
    <w:p w14:paraId="3DC9575D"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empresas integrantes de los consorcios una vez adjudicados los contratos,</w:t>
      </w:r>
    </w:p>
    <w:p w14:paraId="702955F0"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¿resulta legalmente procedente aplicar la cesión de la participación de la</w:t>
      </w:r>
    </w:p>
    <w:p w14:paraId="7CD2B924"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lastRenderedPageBreak/>
        <w:t>empresa afectada (Art. 9 de la Ley 80 de 1993) como mecanismo para</w:t>
      </w:r>
    </w:p>
    <w:p w14:paraId="3B159C14" w14:textId="77777777" w:rsidR="00685370" w:rsidRPr="00E638CF"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sanear la posible inhabilidad o conflicto de interés, garantizando así la</w:t>
      </w:r>
    </w:p>
    <w:p w14:paraId="47118ACD" w14:textId="77777777" w:rsidR="00685370" w:rsidRDefault="00685370" w:rsidP="00685370">
      <w:pPr>
        <w:spacing w:after="0" w:line="240" w:lineRule="auto"/>
        <w:ind w:left="709" w:right="709"/>
        <w:jc w:val="both"/>
        <w:rPr>
          <w:rFonts w:ascii="Verdana" w:eastAsia="Calibri" w:hAnsi="Verdana" w:cs="Arial"/>
          <w:sz w:val="20"/>
          <w:szCs w:val="20"/>
          <w:lang w:eastAsia="es-ES"/>
        </w:rPr>
      </w:pPr>
      <w:r w:rsidRPr="00E638CF">
        <w:rPr>
          <w:rFonts w:ascii="Verdana" w:eastAsia="Calibri" w:hAnsi="Verdana" w:cs="Arial"/>
          <w:sz w:val="20"/>
          <w:szCs w:val="20"/>
          <w:lang w:eastAsia="es-ES"/>
        </w:rPr>
        <w:t>independencia de la inter</w:t>
      </w:r>
      <w:r w:rsidRPr="00763D98">
        <w:rPr>
          <w:rFonts w:ascii="Verdana" w:eastAsia="Calibri" w:hAnsi="Verdana" w:cs="Arial"/>
          <w:sz w:val="20"/>
          <w:szCs w:val="20"/>
          <w:lang w:eastAsia="es-ES"/>
        </w:rPr>
        <w:t>?</w:t>
      </w:r>
    </w:p>
    <w:p w14:paraId="0706A4A8" w14:textId="77777777" w:rsidR="00685370" w:rsidRPr="00755387" w:rsidRDefault="00685370" w:rsidP="00685370">
      <w:pPr>
        <w:spacing w:after="0" w:line="276" w:lineRule="auto"/>
        <w:ind w:right="709"/>
        <w:jc w:val="both"/>
        <w:rPr>
          <w:rFonts w:ascii="Verdana" w:eastAsia="Calibri" w:hAnsi="Verdana" w:cs="Arial"/>
          <w:lang w:eastAsia="es-ES"/>
        </w:rPr>
      </w:pPr>
    </w:p>
    <w:p w14:paraId="24E76DC4" w14:textId="77777777" w:rsidR="00685370" w:rsidRPr="00960F72" w:rsidRDefault="00685370" w:rsidP="00685370">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D6ABC89" w14:textId="77777777" w:rsidR="00685370" w:rsidRDefault="00685370" w:rsidP="00685370">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62CFC6C8" w14:textId="77777777" w:rsidR="00685370" w:rsidRPr="00960F72" w:rsidRDefault="00685370" w:rsidP="00685370">
      <w:pPr>
        <w:spacing w:after="0" w:line="276" w:lineRule="auto"/>
        <w:jc w:val="both"/>
        <w:rPr>
          <w:rFonts w:ascii="Verdana" w:eastAsia="Calibri" w:hAnsi="Verdana" w:cs="Arial"/>
          <w:lang w:eastAsia="es-ES"/>
        </w:rPr>
      </w:pPr>
    </w:p>
    <w:p w14:paraId="5809DFE4" w14:textId="77777777" w:rsidR="00685370" w:rsidRPr="00960F72" w:rsidRDefault="00685370" w:rsidP="00685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DDF03A0" w14:textId="77777777" w:rsidR="00685370" w:rsidRPr="00960F72" w:rsidRDefault="00685370" w:rsidP="00685370">
      <w:pPr>
        <w:tabs>
          <w:tab w:val="left" w:pos="426"/>
        </w:tabs>
        <w:spacing w:after="0" w:line="276" w:lineRule="auto"/>
        <w:jc w:val="both"/>
        <w:rPr>
          <w:rFonts w:ascii="Verdana" w:eastAsia="Century Gothic" w:hAnsi="Verdana" w:cs="Century Gothic"/>
        </w:rPr>
      </w:pPr>
    </w:p>
    <w:p w14:paraId="3F9AC3C7" w14:textId="77777777" w:rsidR="00685370" w:rsidRPr="002E294E" w:rsidRDefault="00685370" w:rsidP="00685370">
      <w:pPr>
        <w:spacing w:after="0" w:line="276" w:lineRule="auto"/>
        <w:jc w:val="both"/>
        <w:rPr>
          <w:rFonts w:ascii="Verdana" w:eastAsia="Century Gothic" w:hAnsi="Verdana" w:cs="Century Gothic"/>
          <w:color w:val="ED7D31" w:themeColor="accent2"/>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8B5E05">
        <w:t>¿</w:t>
      </w:r>
      <w:r w:rsidRPr="008B5E05">
        <w:rPr>
          <w:rFonts w:ascii="Verdana" w:eastAsia="Century Gothic" w:hAnsi="Verdana" w:cs="Century Gothic"/>
        </w:rPr>
        <w:t>Se configura la inhabilidad prevista en el artículo 5 de la Ley 1474 de 2011 por la existencia de un vínculo de parentesco en segundo grado de consanguinidad entre socios de personas jurídicas independientes que integran, respectivamente, un consorcio de obra y un consorcio de interventoría?</w:t>
      </w:r>
      <w:r>
        <w:rPr>
          <w:rFonts w:ascii="Verdana" w:eastAsia="Century Gothic" w:hAnsi="Verdana" w:cs="Century Gothic"/>
        </w:rPr>
        <w:t xml:space="preserve"> </w:t>
      </w:r>
    </w:p>
    <w:p w14:paraId="2F557B0B" w14:textId="77777777" w:rsidR="00685370" w:rsidRPr="00960F72" w:rsidRDefault="00685370" w:rsidP="00685370">
      <w:pPr>
        <w:spacing w:after="0" w:line="276" w:lineRule="auto"/>
        <w:jc w:val="both"/>
        <w:rPr>
          <w:rFonts w:ascii="Verdana" w:eastAsia="Century Gothic" w:hAnsi="Verdana" w:cs="Century Gothic"/>
        </w:rPr>
      </w:pPr>
    </w:p>
    <w:p w14:paraId="7D5E0EFD" w14:textId="77777777" w:rsidR="00685370" w:rsidRDefault="00685370" w:rsidP="0068537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1C71F061" w14:textId="77777777" w:rsidR="00685370" w:rsidRPr="00027E7B" w:rsidRDefault="00685370" w:rsidP="0068537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85370" w:rsidRPr="00960F72" w14:paraId="5DC57A0A" w14:textId="77777777" w:rsidTr="003E29C5">
        <w:tc>
          <w:tcPr>
            <w:tcW w:w="8828" w:type="dxa"/>
          </w:tcPr>
          <w:p w14:paraId="5A1F8570" w14:textId="77777777" w:rsidR="00685370" w:rsidRPr="006421B2" w:rsidRDefault="00685370" w:rsidP="003E29C5">
            <w:pPr>
              <w:spacing w:line="276" w:lineRule="auto"/>
              <w:ind w:firstLine="709"/>
              <w:contextualSpacing/>
              <w:jc w:val="both"/>
              <w:rPr>
                <w:rFonts w:ascii="Verdana" w:hAnsi="Verdana" w:cs="Arial"/>
                <w:lang w:eastAsia="es-ES"/>
              </w:rPr>
            </w:pPr>
            <w:r w:rsidRPr="006421B2">
              <w:rPr>
                <w:rFonts w:ascii="Verdana" w:hAnsi="Verdana" w:cs="Arial"/>
                <w:lang w:eastAsia="es-ES"/>
              </w:rPr>
              <w:t xml:space="preserve">Para responder el problema jurídico, es importante precisar que las inhabilidades e incompatibilidades para contratar con el Estado son restricciones establecidas por la Constitución o la ley que limitan la capacidad </w:t>
            </w:r>
            <w:r w:rsidRPr="006421B2">
              <w:rPr>
                <w:rFonts w:ascii="Verdana" w:hAnsi="Verdana" w:cs="Arial"/>
                <w:lang w:eastAsia="es-ES"/>
              </w:rPr>
              <w:lastRenderedPageBreak/>
              <w:t>de las personas para celebrar contratos con entidades públicas. En tanto constituyen limitaciones a derechos fundamentales como la igualdad y la libre concurrencia, su interpretación debe ser restrictiva, nunca extensiva, analógica o teleológica. Esto significa que ninguna entidad pública puede crear o ampliar causales de inhabilidad que no estén expresamente contempladas en la ley, pues los particulares solo son responsables ante las autoridades por infringir la Constitución y las leyes, conforme al artículo 6° de la Constitución Política.</w:t>
            </w:r>
          </w:p>
          <w:p w14:paraId="064F0F7B" w14:textId="77777777" w:rsidR="00685370" w:rsidRDefault="00685370" w:rsidP="003E29C5">
            <w:pPr>
              <w:spacing w:line="276" w:lineRule="auto"/>
              <w:contextualSpacing/>
              <w:jc w:val="both"/>
              <w:rPr>
                <w:rFonts w:ascii="Verdana" w:hAnsi="Verdana" w:cs="Arial"/>
                <w:lang w:eastAsia="es-ES"/>
              </w:rPr>
            </w:pPr>
          </w:p>
          <w:p w14:paraId="2211837A" w14:textId="77777777" w:rsidR="00685370" w:rsidRDefault="00685370" w:rsidP="003E29C5">
            <w:pPr>
              <w:spacing w:line="276" w:lineRule="auto"/>
              <w:contextualSpacing/>
              <w:jc w:val="both"/>
              <w:rPr>
                <w:rFonts w:ascii="Verdana" w:eastAsia="Century Gothic" w:hAnsi="Verdana" w:cs="Century Gothic"/>
                <w:bCs/>
              </w:rPr>
            </w:pPr>
            <w:r>
              <w:rPr>
                <w:rFonts w:ascii="Verdana" w:eastAsia="Century Gothic" w:hAnsi="Verdana" w:cs="Century Gothic"/>
                <w:bCs/>
              </w:rPr>
              <w:t xml:space="preserve">Es por eso que, le </w:t>
            </w:r>
            <w:r w:rsidRPr="00E0405E">
              <w:rPr>
                <w:rFonts w:ascii="Verdana" w:eastAsia="Century Gothic" w:hAnsi="Verdana" w:cs="Century Gothic"/>
                <w:bCs/>
              </w:rPr>
              <w:t>corresponde a las Entidades Estatales, al verificar la capacidad jurídica de las personas con quienes pretenden suscribir contratos, determinar en cada caso concreto si se configura alguna inhabilidad, incompatibilidad o conflicto de interés</w:t>
            </w:r>
            <w:r>
              <w:rPr>
                <w:rFonts w:ascii="Verdana" w:eastAsia="Century Gothic" w:hAnsi="Verdana" w:cs="Century Gothic"/>
                <w:bCs/>
              </w:rPr>
              <w:t>; y si existe dicha situación, la persona no tendría capacidad jurídica para contratar que es uno de los requisitos que lo habilita para participar, por lo que no se le podría permitir su participación y la oferta no debe ser tenida en cuenta para la evaluación. En caso de celebrar contratos con personas naturales o jurídicas que se encuentren inmersas en dichas situaciones podría configurarse una nulidad absoluta del contrato de conformidad a lo establecido en el numeral 1 del artículo 44 de la Ley 80 de 1993</w:t>
            </w:r>
            <w:r>
              <w:rPr>
                <w:rStyle w:val="Refdenotaalpie"/>
                <w:rFonts w:ascii="Verdana" w:eastAsia="Century Gothic" w:hAnsi="Verdana" w:cs="Century Gothic"/>
                <w:bCs/>
              </w:rPr>
              <w:footnoteReference w:id="1"/>
            </w:r>
            <w:r>
              <w:rPr>
                <w:rFonts w:ascii="Verdana" w:eastAsia="Century Gothic" w:hAnsi="Verdana" w:cs="Century Gothic"/>
                <w:bCs/>
              </w:rPr>
              <w:t xml:space="preserve"> y con los efectos señalados en el artículo 45</w:t>
            </w:r>
            <w:r>
              <w:rPr>
                <w:rStyle w:val="Refdenotaalpie"/>
                <w:rFonts w:ascii="Verdana" w:eastAsia="Century Gothic" w:hAnsi="Verdana" w:cs="Century Gothic"/>
                <w:bCs/>
              </w:rPr>
              <w:footnoteReference w:id="2"/>
            </w:r>
            <w:r>
              <w:rPr>
                <w:rFonts w:ascii="Verdana" w:eastAsia="Century Gothic" w:hAnsi="Verdana" w:cs="Century Gothic"/>
                <w:bCs/>
              </w:rPr>
              <w:t xml:space="preserve"> del mismo cuerpo normativo.</w:t>
            </w:r>
          </w:p>
          <w:p w14:paraId="14EDB617" w14:textId="77777777" w:rsidR="00685370" w:rsidRDefault="00685370" w:rsidP="003E29C5">
            <w:pPr>
              <w:spacing w:line="276" w:lineRule="auto"/>
              <w:contextualSpacing/>
              <w:jc w:val="both"/>
              <w:rPr>
                <w:rFonts w:ascii="Verdana" w:hAnsi="Verdana" w:cs="Arial"/>
                <w:lang w:eastAsia="es-ES"/>
              </w:rPr>
            </w:pPr>
          </w:p>
          <w:p w14:paraId="7E6F50DE" w14:textId="77777777" w:rsidR="00685370" w:rsidRDefault="00685370" w:rsidP="003E29C5">
            <w:pPr>
              <w:spacing w:line="276" w:lineRule="auto"/>
              <w:contextualSpacing/>
              <w:jc w:val="both"/>
              <w:rPr>
                <w:rFonts w:ascii="Verdana" w:eastAsia="Century Gothic" w:hAnsi="Verdana" w:cs="Century Gothic"/>
                <w:bCs/>
              </w:rPr>
            </w:pPr>
            <w:r>
              <w:rPr>
                <w:rFonts w:ascii="Verdana" w:hAnsi="Verdana" w:cs="Arial"/>
                <w:lang w:eastAsia="es-ES"/>
              </w:rPr>
              <w:t>Ahora bien, d</w:t>
            </w:r>
            <w:r w:rsidRPr="00E0405E">
              <w:rPr>
                <w:rFonts w:ascii="Verdana" w:eastAsia="Century Gothic" w:hAnsi="Verdana" w:cs="Century Gothic"/>
                <w:bCs/>
              </w:rPr>
              <w:t>e acuerdo con el criterio de interpretación restrictiva aplicable a las disposiciones del régimen de inhabilidades e incompatibilidades</w:t>
            </w:r>
            <w:r>
              <w:rPr>
                <w:rFonts w:ascii="Verdana" w:eastAsia="Century Gothic" w:hAnsi="Verdana" w:cs="Century Gothic"/>
                <w:bCs/>
              </w:rPr>
              <w:t xml:space="preserve"> y analizada la situación descrita en su pregunta. A juicio de esta Agencia e</w:t>
            </w:r>
            <w:r w:rsidRPr="00E0405E">
              <w:rPr>
                <w:rFonts w:ascii="Verdana" w:eastAsia="Century Gothic" w:hAnsi="Verdana" w:cs="Century Gothic"/>
                <w:bCs/>
              </w:rPr>
              <w:t>n este evento</w:t>
            </w:r>
            <w:r>
              <w:rPr>
                <w:rFonts w:ascii="Verdana" w:eastAsia="Century Gothic" w:hAnsi="Verdana" w:cs="Century Gothic"/>
                <w:bCs/>
              </w:rPr>
              <w:t xml:space="preserve"> no</w:t>
            </w:r>
            <w:r w:rsidRPr="00E0405E">
              <w:rPr>
                <w:rFonts w:ascii="Verdana" w:eastAsia="Century Gothic" w:hAnsi="Verdana" w:cs="Century Gothic"/>
                <w:bCs/>
              </w:rPr>
              <w:t xml:space="preserve"> hay lugar a la aplicación de la inhabilidad prevista en el artículo 5 de la Ley 1474 de 2011, como quiera que la norma </w:t>
            </w:r>
            <w:r>
              <w:rPr>
                <w:rFonts w:ascii="Verdana" w:eastAsia="Century Gothic" w:hAnsi="Verdana" w:cs="Century Gothic"/>
                <w:bCs/>
              </w:rPr>
              <w:t xml:space="preserve">señala </w:t>
            </w:r>
            <w:r w:rsidRPr="00E0405E">
              <w:rPr>
                <w:rFonts w:ascii="Verdana" w:eastAsia="Century Gothic" w:hAnsi="Verdana" w:cs="Century Gothic"/>
                <w:bCs/>
              </w:rPr>
              <w:t xml:space="preserve">a quien hubiese celebrado un contrato de obra pública </w:t>
            </w:r>
            <w:r>
              <w:rPr>
                <w:rFonts w:ascii="Verdana" w:eastAsia="Century Gothic" w:hAnsi="Verdana" w:cs="Century Gothic"/>
                <w:bCs/>
              </w:rPr>
              <w:t xml:space="preserve">o su </w:t>
            </w:r>
            <w:r w:rsidRPr="004163EB">
              <w:rPr>
                <w:rFonts w:ascii="Verdana" w:eastAsia="Century Gothic" w:hAnsi="Verdana" w:cs="Century Gothic"/>
                <w:bCs/>
              </w:rPr>
              <w:t xml:space="preserve">cónyuge, compañero o compañera permanente, pariente </w:t>
            </w:r>
            <w:r w:rsidRPr="0048372B">
              <w:rPr>
                <w:rFonts w:ascii="Verdana" w:eastAsia="Century Gothic" w:hAnsi="Verdana" w:cs="Century Gothic"/>
                <w:b/>
                <w:u w:val="single"/>
              </w:rPr>
              <w:t>hasta el segundo grado de consanguinidad</w:t>
            </w:r>
            <w:r w:rsidRPr="004163EB">
              <w:rPr>
                <w:rFonts w:ascii="Verdana" w:eastAsia="Century Gothic" w:hAnsi="Verdana" w:cs="Century Gothic"/>
                <w:bCs/>
              </w:rPr>
              <w:t xml:space="preserve">, segundo de afinidad </w:t>
            </w:r>
            <w:r w:rsidRPr="004163EB">
              <w:rPr>
                <w:rFonts w:ascii="Verdana" w:eastAsia="Century Gothic" w:hAnsi="Verdana" w:cs="Century Gothic"/>
                <w:bCs/>
              </w:rPr>
              <w:lastRenderedPageBreak/>
              <w:t>y/o primero civil</w:t>
            </w:r>
            <w:r>
              <w:rPr>
                <w:rFonts w:ascii="Verdana" w:eastAsia="Century Gothic" w:hAnsi="Verdana" w:cs="Century Gothic"/>
                <w:bCs/>
              </w:rPr>
              <w:t xml:space="preserve"> o sus socios </w:t>
            </w:r>
            <w:r w:rsidRPr="006E7EA3">
              <w:rPr>
                <w:rFonts w:ascii="Verdana" w:eastAsia="Century Gothic" w:hAnsi="Verdana" w:cs="Century Gothic"/>
                <w:bCs/>
              </w:rPr>
              <w:t>en sociedades distintas de las anónimas abiertas</w:t>
            </w:r>
            <w:r>
              <w:rPr>
                <w:rFonts w:ascii="Verdana" w:eastAsia="Century Gothic" w:hAnsi="Verdana" w:cs="Century Gothic"/>
                <w:bCs/>
              </w:rPr>
              <w:t xml:space="preserve"> no pueden celebrar contratos de interventoría </w:t>
            </w:r>
            <w:r w:rsidRPr="007207D9">
              <w:rPr>
                <w:rFonts w:ascii="Verdana" w:eastAsia="Century Gothic" w:hAnsi="Verdana" w:cs="Century Gothic"/>
                <w:b/>
                <w:u w:val="single"/>
              </w:rPr>
              <w:t>durante la ejecución y hasta la liquidación del mismo</w:t>
            </w:r>
            <w:r>
              <w:rPr>
                <w:rFonts w:ascii="Verdana" w:eastAsia="Century Gothic" w:hAnsi="Verdana" w:cs="Century Gothic"/>
                <w:bCs/>
              </w:rPr>
              <w:t>. Por ende</w:t>
            </w:r>
            <w:r w:rsidRPr="007207D9">
              <w:rPr>
                <w:rFonts w:ascii="Verdana" w:eastAsia="Century Gothic" w:hAnsi="Verdana" w:cs="Century Gothic"/>
                <w:bCs/>
              </w:rPr>
              <w:t>, según los hechos expuestos, los contratos de obra e interventoría fueron adjudicados mediante procesos independientes y su celebración ocurrió antes del inicio de la ejecución contractual, circunstancia que impide extender la causal de inhabilidad más allá de los supuestos expresamente previstos por el legislador.</w:t>
            </w:r>
          </w:p>
          <w:p w14:paraId="0F7E3D8D" w14:textId="77777777" w:rsidR="00685370" w:rsidRPr="006421B2" w:rsidRDefault="00685370" w:rsidP="003E29C5">
            <w:pPr>
              <w:spacing w:line="276" w:lineRule="auto"/>
              <w:contextualSpacing/>
              <w:jc w:val="both"/>
              <w:rPr>
                <w:rFonts w:ascii="Verdana" w:hAnsi="Verdana" w:cs="Arial"/>
                <w:lang w:eastAsia="es-ES"/>
              </w:rPr>
            </w:pPr>
          </w:p>
          <w:p w14:paraId="790C0916" w14:textId="77777777" w:rsidR="00685370" w:rsidRPr="00EB66F0" w:rsidRDefault="00685370" w:rsidP="003E29C5">
            <w:pPr>
              <w:spacing w:line="276" w:lineRule="auto"/>
              <w:ind w:firstLine="709"/>
              <w:contextualSpacing/>
              <w:jc w:val="both"/>
              <w:rPr>
                <w:rFonts w:ascii="Verdana" w:hAnsi="Verdana" w:cs="Arial"/>
                <w:lang w:eastAsia="es-ES"/>
              </w:rPr>
            </w:pPr>
            <w:r w:rsidRPr="006421B2">
              <w:rPr>
                <w:rFonts w:ascii="Verdana" w:hAnsi="Verdana" w:cs="Arial"/>
                <w:lang w:eastAsia="es-ES"/>
              </w:rPr>
              <w:t>No obstante, debe advertirse que el análisis requerido para resolver situaciones específicas en torno a la gestión contractual y al acceso a cargos públicos debe ser realizado por quienes tengan interés directo en ello, previo concepto de sus asesores jurídicos. La solución de casos particulares corresponde adoptarla a los propios interesados y, en caso de conflicto, a las autoridades judiciales, fiscales y disciplinarias competentes.</w:t>
            </w:r>
          </w:p>
        </w:tc>
      </w:tr>
    </w:tbl>
    <w:p w14:paraId="7BE7C4F2" w14:textId="77777777" w:rsidR="00685370" w:rsidRPr="00235ED9" w:rsidRDefault="00685370" w:rsidP="00685370">
      <w:pPr>
        <w:tabs>
          <w:tab w:val="left" w:pos="142"/>
          <w:tab w:val="left" w:pos="284"/>
        </w:tabs>
        <w:spacing w:after="0" w:line="276" w:lineRule="auto"/>
        <w:jc w:val="both"/>
        <w:rPr>
          <w:rFonts w:ascii="Verdana" w:eastAsia="Century Gothic" w:hAnsi="Verdana" w:cs="Century Gothic"/>
          <w:b/>
          <w:bCs/>
          <w:color w:val="4472C4" w:themeColor="accent1"/>
          <w:lang w:val="es-ES"/>
        </w:rPr>
      </w:pPr>
    </w:p>
    <w:p w14:paraId="057B66A9" w14:textId="77777777" w:rsidR="00685370" w:rsidRPr="00F6040E" w:rsidRDefault="00685370" w:rsidP="00685370">
      <w:pPr>
        <w:tabs>
          <w:tab w:val="left" w:pos="142"/>
          <w:tab w:val="left" w:pos="284"/>
        </w:tabs>
        <w:spacing w:after="0" w:line="276" w:lineRule="auto"/>
        <w:jc w:val="both"/>
        <w:rPr>
          <w:rFonts w:ascii="Verdana" w:eastAsia="Century Gothic" w:hAnsi="Verdana" w:cs="Century Gothic"/>
          <w:b/>
          <w:lang w:val="es-ES"/>
        </w:rPr>
      </w:pPr>
      <w:r w:rsidRPr="00F6040E">
        <w:rPr>
          <w:rFonts w:ascii="Verdana" w:eastAsia="Century Gothic" w:hAnsi="Verdana" w:cs="Century Gothic"/>
          <w:b/>
          <w:lang w:val="es-ES"/>
        </w:rPr>
        <w:t>3. Razones de la respuesta:</w:t>
      </w:r>
    </w:p>
    <w:p w14:paraId="6A1E26DA" w14:textId="77777777" w:rsidR="00685370" w:rsidRPr="00F6040E" w:rsidRDefault="00685370" w:rsidP="00685370">
      <w:pPr>
        <w:tabs>
          <w:tab w:val="left" w:pos="142"/>
          <w:tab w:val="left" w:pos="284"/>
        </w:tabs>
        <w:spacing w:after="0" w:line="276" w:lineRule="auto"/>
        <w:jc w:val="both"/>
        <w:rPr>
          <w:rFonts w:ascii="Verdana" w:eastAsia="Century Gothic" w:hAnsi="Verdana" w:cs="Century Gothic"/>
          <w:b/>
          <w:lang w:val="es-ES"/>
        </w:rPr>
      </w:pPr>
    </w:p>
    <w:p w14:paraId="21C561A6" w14:textId="77777777" w:rsidR="00685370" w:rsidRPr="00F6040E" w:rsidRDefault="00685370" w:rsidP="00685370">
      <w:pPr>
        <w:spacing w:after="0" w:line="276" w:lineRule="auto"/>
        <w:jc w:val="both"/>
        <w:rPr>
          <w:rFonts w:ascii="Verdana" w:eastAsia="Calibri" w:hAnsi="Verdana" w:cs="Arial"/>
          <w:lang w:val="es-ES"/>
        </w:rPr>
      </w:pPr>
      <w:r w:rsidRPr="00F6040E">
        <w:rPr>
          <w:rFonts w:ascii="Verdana" w:eastAsia="Calibri" w:hAnsi="Verdana" w:cs="Arial"/>
          <w:lang w:val="es-ES"/>
        </w:rPr>
        <w:t>Lo anterior se sustenta en las siguientes consideraciones:</w:t>
      </w:r>
    </w:p>
    <w:p w14:paraId="2C3FD8B9" w14:textId="77777777" w:rsidR="00685370" w:rsidRPr="00235ED9" w:rsidRDefault="00685370" w:rsidP="00685370">
      <w:pPr>
        <w:spacing w:after="0" w:line="276" w:lineRule="auto"/>
        <w:jc w:val="both"/>
        <w:rPr>
          <w:rFonts w:ascii="Verdana" w:eastAsia="Calibri" w:hAnsi="Verdana" w:cs="Arial"/>
          <w:color w:val="4472C4" w:themeColor="accent1"/>
          <w:lang w:val="es-ES"/>
        </w:rPr>
      </w:pPr>
    </w:p>
    <w:p w14:paraId="286A0C9F" w14:textId="77777777" w:rsidR="00685370" w:rsidRPr="004B6089" w:rsidRDefault="00685370" w:rsidP="00685370">
      <w:pPr>
        <w:pStyle w:val="Sinespaciado"/>
        <w:spacing w:line="276" w:lineRule="auto"/>
        <w:jc w:val="both"/>
        <w:rPr>
          <w:rFonts w:ascii="Verdana" w:hAnsi="Verdana" w:cs="Arial"/>
          <w:color w:val="000000" w:themeColor="text1"/>
          <w:sz w:val="22"/>
        </w:rPr>
      </w:pPr>
      <w:bookmarkStart w:id="1" w:name="_Hlk102983874"/>
      <w:bookmarkStart w:id="2" w:name="_Hlk102388095"/>
      <w:r w:rsidRPr="004B6089">
        <w:rPr>
          <w:rFonts w:ascii="Verdana" w:eastAsia="Calibri" w:hAnsi="Verdana" w:cs="Arial"/>
          <w:color w:val="000000" w:themeColor="text1"/>
          <w:sz w:val="22"/>
          <w:lang w:val="es-ES"/>
        </w:rPr>
        <w:t>i.</w:t>
      </w:r>
      <w:r w:rsidRPr="004B6089">
        <w:rPr>
          <w:rFonts w:ascii="Verdana" w:eastAsia="Verdana" w:hAnsi="Verdana" w:cs="Verdana"/>
          <w:color w:val="000000" w:themeColor="text1"/>
          <w:sz w:val="22"/>
          <w:lang w:val="es-ES"/>
        </w:rPr>
        <w:t xml:space="preserve"> </w:t>
      </w:r>
      <w:r w:rsidRPr="004B6089">
        <w:rPr>
          <w:rFonts w:ascii="Verdana" w:hAnsi="Verdana" w:cs="Arial"/>
          <w:color w:val="000000" w:themeColor="text1"/>
          <w:sz w:val="22"/>
        </w:rPr>
        <w:t xml:space="preserve">Las inhabilidades e incompatibilidades son circunstancias establecidas por la Constitución o la ley que impiden la posibilidad de que ciertas personas sean elegidas o designadas en un cargo público o puedan celebrar contratos con el Estado, con el objetivo de garantizar la idoneidad, imparcialidad, probidad, transparencia y moralidad de la gestión pública.  El régimen de inhabilidades e incompatibilidades para contratar con el Estado es un conjunto de restricciones establecidas por el constituyente o por el legislador que afectan directamente la capacidad de las personas para establecer una relación jurídica contractual con el Estado, que pueden resultar de condenas, sanciones o situaciones previamente establecidas por el ordenamiento jurídico. Estas restricciones o limitaciones que afectan la capacidad jurídica de las personas para contratar realizan los principios de la función administrativa, consagrados en el artículo 209 de la Constitución Política, con especial énfasis en el de moralidad. Así lo ha entendido el Consejo de Estado: </w:t>
      </w:r>
    </w:p>
    <w:p w14:paraId="0772FA52" w14:textId="77777777" w:rsidR="00685370" w:rsidRPr="00235ED9" w:rsidRDefault="00685370" w:rsidP="00685370">
      <w:pPr>
        <w:pStyle w:val="Sinespaciado"/>
        <w:spacing w:line="276" w:lineRule="auto"/>
        <w:jc w:val="both"/>
        <w:rPr>
          <w:rFonts w:ascii="Verdana" w:hAnsi="Verdana" w:cs="Arial"/>
          <w:color w:val="4472C4" w:themeColor="accent1"/>
          <w:sz w:val="20"/>
          <w:szCs w:val="20"/>
          <w:lang w:val="es-ES"/>
        </w:rPr>
      </w:pPr>
    </w:p>
    <w:p w14:paraId="60F9C4FF" w14:textId="77777777" w:rsidR="00685370" w:rsidRPr="00E90529" w:rsidRDefault="00685370" w:rsidP="00685370">
      <w:pPr>
        <w:pStyle w:val="NormalWeb"/>
        <w:shd w:val="clear" w:color="auto" w:fill="FFFFFF"/>
        <w:spacing w:before="0" w:beforeAutospacing="0" w:after="120" w:afterAutospacing="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 xml:space="preserve">“De manera primordial en esta reflexión debe advertirse que la consagración legal de las incompatibilidades e inhabilidades en materia contractual, no es sino desarrollo del Principio de Moralidad que la </w:t>
      </w:r>
      <w:r w:rsidRPr="00E90529">
        <w:rPr>
          <w:rFonts w:ascii="Verdana" w:hAnsi="Verdana" w:cs="Arial"/>
          <w:color w:val="000000" w:themeColor="text1"/>
          <w:sz w:val="20"/>
          <w:szCs w:val="20"/>
          <w:lang w:val="es-ES"/>
        </w:rPr>
        <w:lastRenderedPageBreak/>
        <w:t>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69076717" w14:textId="77777777" w:rsidR="00685370" w:rsidRPr="00E90529" w:rsidRDefault="00685370" w:rsidP="00685370">
      <w:pPr>
        <w:pStyle w:val="NormalWeb"/>
        <w:shd w:val="clear" w:color="auto" w:fill="FFFFFF"/>
        <w:spacing w:before="0" w:beforeAutospacing="0" w:after="0"/>
        <w:ind w:left="709" w:right="709"/>
        <w:jc w:val="both"/>
        <w:rPr>
          <w:rFonts w:ascii="Verdana" w:hAnsi="Verdana" w:cs="Arial"/>
          <w:color w:val="000000" w:themeColor="text1"/>
          <w:sz w:val="20"/>
          <w:szCs w:val="20"/>
          <w:lang w:val="es-ES"/>
        </w:rPr>
      </w:pPr>
      <w:r w:rsidRPr="00E90529">
        <w:rPr>
          <w:rFonts w:ascii="Verdana" w:hAnsi="Verdana" w:cs="Arial"/>
          <w:color w:val="000000" w:themeColor="text1"/>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E90529">
        <w:rPr>
          <w:rStyle w:val="Refdenotaalpie"/>
          <w:rFonts w:ascii="Verdana" w:hAnsi="Verdana" w:cs="Arial"/>
          <w:color w:val="000000" w:themeColor="text1"/>
          <w:sz w:val="20"/>
          <w:szCs w:val="20"/>
          <w:lang w:val="es-ES"/>
        </w:rPr>
        <w:footnoteReference w:id="3"/>
      </w:r>
      <w:r w:rsidRPr="00E90529">
        <w:rPr>
          <w:rFonts w:ascii="Verdana" w:hAnsi="Verdana" w:cs="Arial"/>
          <w:color w:val="000000" w:themeColor="text1"/>
          <w:sz w:val="20"/>
          <w:szCs w:val="20"/>
          <w:lang w:val="es-ES"/>
        </w:rPr>
        <w:t xml:space="preserve">. </w:t>
      </w:r>
    </w:p>
    <w:p w14:paraId="5C0AD23E" w14:textId="77777777" w:rsidR="00685370" w:rsidRPr="00084873" w:rsidRDefault="00685370" w:rsidP="00685370">
      <w:pPr>
        <w:spacing w:after="120" w:line="276" w:lineRule="auto"/>
        <w:ind w:firstLine="708"/>
        <w:jc w:val="both"/>
        <w:rPr>
          <w:rFonts w:ascii="Verdana" w:hAnsi="Verdana" w:cs="Arial"/>
          <w:color w:val="000000" w:themeColor="text1"/>
        </w:rPr>
      </w:pPr>
      <w:r w:rsidRPr="00084873">
        <w:rPr>
          <w:rFonts w:ascii="Verdana" w:hAnsi="Verdana" w:cs="Arial"/>
          <w:color w:val="000000" w:themeColor="text1"/>
        </w:rPr>
        <w:t>Las inhabilidades e incompatibilidades son medios que buscan garantizar la transparencia y eficiencia en la actividad contractual del Estado y para ello imponen restricciones en la personalidad jurídica, la igualdad, la libre empresa y, particularmente, el derecho a participar en procesos de selección y celebrar contratos con la Administración. Asimismo</w:t>
      </w:r>
      <w:r w:rsidRPr="00084873">
        <w:rPr>
          <w:rFonts w:ascii="Verdana" w:eastAsia="Calibri" w:hAnsi="Verdana" w:cs="Arial"/>
          <w:color w:val="000000" w:themeColor="text1"/>
          <w:lang w:val="es-ES_tradnl"/>
        </w:rPr>
        <w:t xml:space="preserve">, el carácter reconocidamente taxativo del régimen de inhabilidades obedece a la necesidad de salvaguardar el interés general inherente en la contratación pública, de forma que implique el menor sacrificio posible al derecho de igualdad y de reconocimiento de la personalidad jurídica de quienes aspiran a contratar con el Estado. Por ello, </w:t>
      </w:r>
      <w:r w:rsidRPr="00084873">
        <w:rPr>
          <w:rFonts w:ascii="Verdana" w:hAnsi="Verdana" w:cs="Arial"/>
          <w:color w:val="000000" w:themeColor="text1"/>
        </w:rPr>
        <w:t>la competencia para determinar qué hechos o situaciones generan inhabilidad para contratar con el Estado la tiene el legislador, pues este régimen es un aspecto propio del Estatuto General de la Contratación Pública, cuya expedición corresponde al Congreso de la República, conforme al artículo 150 de la Constitución Política, por lo que en esta materia rige el principio de legalidad.</w:t>
      </w:r>
    </w:p>
    <w:p w14:paraId="26307C27" w14:textId="77777777" w:rsidR="00685370" w:rsidRPr="00363B54" w:rsidRDefault="00685370" w:rsidP="00685370">
      <w:pPr>
        <w:spacing w:after="0" w:line="276" w:lineRule="auto"/>
        <w:ind w:firstLine="709"/>
        <w:contextualSpacing/>
        <w:jc w:val="both"/>
        <w:rPr>
          <w:rFonts w:ascii="Verdana" w:eastAsia="Calibri" w:hAnsi="Verdana" w:cs="Arial"/>
          <w:color w:val="000000" w:themeColor="text1"/>
          <w:lang w:val="es-ES_tradnl"/>
        </w:rPr>
      </w:pPr>
      <w:r w:rsidRPr="00363B54">
        <w:rPr>
          <w:rFonts w:ascii="Verdana" w:eastAsia="Calibri" w:hAnsi="Verdana" w:cs="Arial"/>
          <w:color w:val="000000" w:themeColor="text1"/>
          <w:lang w:val="es-ES_tradnl"/>
        </w:rPr>
        <w:t xml:space="preserve">De esta manera, las inhabilidades e incompatibilidades al ser límites especiales a la capacidad para presentar ofertas y celebrar contratos estatales, solo pueden tipificarse en la ley o la Constitución –o sea, deben satisfacer el </w:t>
      </w:r>
      <w:r w:rsidRPr="00363B54">
        <w:rPr>
          <w:rFonts w:ascii="Verdana" w:eastAsia="Calibri" w:hAnsi="Verdana" w:cs="Arial"/>
          <w:color w:val="000000" w:themeColor="text1"/>
          <w:lang w:val="es-ES_tradnl"/>
        </w:rPr>
        <w:lastRenderedPageBreak/>
        <w:t xml:space="preserve">principio de legalidad– y su interpretación debe ser </w:t>
      </w:r>
      <w:r w:rsidRPr="00363B54">
        <w:rPr>
          <w:rFonts w:ascii="Verdana" w:eastAsia="Calibri" w:hAnsi="Verdana" w:cs="Arial"/>
          <w:i/>
          <w:iCs/>
          <w:color w:val="000000" w:themeColor="text1"/>
          <w:lang w:val="es-ES_tradnl"/>
        </w:rPr>
        <w:t>restrictiva</w:t>
      </w:r>
      <w:r w:rsidRPr="00363B54">
        <w:rPr>
          <w:rFonts w:ascii="Verdana" w:eastAsia="Calibri" w:hAnsi="Verdana" w:cs="Arial"/>
          <w:color w:val="000000" w:themeColor="text1"/>
          <w:lang w:val="es-ES_tradnl"/>
        </w:rPr>
        <w:t>. En contraste, si se admitiera una interpretación amplia, extensiva, analógica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w:t>
      </w:r>
      <w:r w:rsidRPr="00363B54">
        <w:rPr>
          <w:rStyle w:val="Refdenotaalpie"/>
          <w:rFonts w:ascii="Verdana" w:eastAsia="Calibri" w:hAnsi="Verdana" w:cs="Arial"/>
          <w:color w:val="000000" w:themeColor="text1"/>
          <w:lang w:val="es-ES_tradnl"/>
        </w:rPr>
        <w:footnoteReference w:id="4"/>
      </w:r>
      <w:r w:rsidRPr="00363B54">
        <w:rPr>
          <w:rFonts w:ascii="Verdana" w:eastAsia="Calibri" w:hAnsi="Verdana" w:cs="Arial"/>
          <w:color w:val="000000" w:themeColor="text1"/>
          <w:lang w:val="es-ES_tradnl"/>
        </w:rPr>
        <w:t>.</w:t>
      </w:r>
    </w:p>
    <w:p w14:paraId="2D179FAA" w14:textId="77777777" w:rsidR="00685370" w:rsidRPr="00235ED9" w:rsidRDefault="00685370" w:rsidP="00685370">
      <w:pPr>
        <w:spacing w:after="0" w:line="276" w:lineRule="auto"/>
        <w:ind w:firstLine="709"/>
        <w:contextualSpacing/>
        <w:jc w:val="both"/>
        <w:rPr>
          <w:rFonts w:ascii="Verdana" w:eastAsia="Calibri" w:hAnsi="Verdana" w:cs="Arial"/>
          <w:color w:val="4472C4" w:themeColor="accent1"/>
          <w:lang w:val="es-ES_tradnl"/>
        </w:rPr>
      </w:pPr>
    </w:p>
    <w:p w14:paraId="7E54F8C6" w14:textId="77777777" w:rsidR="00685370" w:rsidRDefault="00685370" w:rsidP="00685370">
      <w:pPr>
        <w:widowControl w:val="0"/>
        <w:autoSpaceDE w:val="0"/>
        <w:autoSpaceDN w:val="0"/>
        <w:spacing w:before="120" w:after="0" w:line="276" w:lineRule="auto"/>
        <w:ind w:right="68" w:firstLine="820"/>
        <w:jc w:val="both"/>
        <w:rPr>
          <w:rFonts w:ascii="Verdana" w:eastAsia="Arial MT" w:hAnsi="Verdana" w:cs="Arial"/>
          <w:lang w:val="es-ES"/>
        </w:rPr>
      </w:pPr>
      <w:r>
        <w:rPr>
          <w:rFonts w:ascii="Verdana" w:eastAsia="Arial MT" w:hAnsi="Verdana" w:cs="Arial"/>
          <w:lang w:val="es-ES"/>
        </w:rPr>
        <w:t>Asi mismo</w:t>
      </w:r>
      <w:r w:rsidRPr="00E0405E">
        <w:rPr>
          <w:rFonts w:ascii="Verdana" w:eastAsia="Arial MT" w:hAnsi="Verdana" w:cs="Arial"/>
          <w:lang w:val="es-ES"/>
        </w:rPr>
        <w:t>,</w:t>
      </w:r>
      <w:r w:rsidRPr="00E0405E">
        <w:rPr>
          <w:rFonts w:ascii="Verdana" w:eastAsia="Arial MT" w:hAnsi="Verdana" w:cs="Arial"/>
          <w:spacing w:val="-10"/>
          <w:lang w:val="es-ES"/>
        </w:rPr>
        <w:t xml:space="preserve"> </w:t>
      </w:r>
      <w:r w:rsidRPr="00E0405E">
        <w:rPr>
          <w:rFonts w:ascii="Verdana" w:eastAsia="Arial MT" w:hAnsi="Verdana" w:cs="Arial"/>
          <w:lang w:val="es-ES"/>
        </w:rPr>
        <w:t>el</w:t>
      </w:r>
      <w:r w:rsidRPr="00E0405E">
        <w:rPr>
          <w:rFonts w:ascii="Verdana" w:eastAsia="Arial MT" w:hAnsi="Verdana" w:cs="Arial"/>
          <w:spacing w:val="-10"/>
          <w:lang w:val="es-ES"/>
        </w:rPr>
        <w:t xml:space="preserve"> </w:t>
      </w:r>
      <w:r w:rsidRPr="00E0405E">
        <w:rPr>
          <w:rFonts w:ascii="Verdana" w:eastAsia="Arial MT" w:hAnsi="Verdana" w:cs="Arial"/>
          <w:lang w:val="es-ES"/>
        </w:rPr>
        <w:t>máximo</w:t>
      </w:r>
      <w:r w:rsidRPr="00E0405E">
        <w:rPr>
          <w:rFonts w:ascii="Verdana" w:eastAsia="Arial MT" w:hAnsi="Verdana" w:cs="Arial"/>
          <w:spacing w:val="-10"/>
          <w:lang w:val="es-ES"/>
        </w:rPr>
        <w:t xml:space="preserve"> </w:t>
      </w:r>
      <w:r w:rsidRPr="00E0405E">
        <w:rPr>
          <w:rFonts w:ascii="Verdana" w:eastAsia="Arial MT" w:hAnsi="Verdana" w:cs="Arial"/>
          <w:lang w:val="es-ES"/>
        </w:rPr>
        <w:t>tribunal</w:t>
      </w:r>
      <w:r w:rsidRPr="00E0405E">
        <w:rPr>
          <w:rFonts w:ascii="Verdana" w:eastAsia="Arial MT" w:hAnsi="Verdana" w:cs="Arial"/>
          <w:spacing w:val="-9"/>
          <w:lang w:val="es-ES"/>
        </w:rPr>
        <w:t xml:space="preserve"> </w:t>
      </w:r>
      <w:r w:rsidRPr="00E0405E">
        <w:rPr>
          <w:rFonts w:ascii="Verdana" w:eastAsia="Arial MT" w:hAnsi="Verdana" w:cs="Arial"/>
          <w:lang w:val="es-ES"/>
        </w:rPr>
        <w:t>constitucional</w:t>
      </w:r>
      <w:r w:rsidRPr="00E0405E">
        <w:rPr>
          <w:rFonts w:ascii="Verdana" w:eastAsia="Arial MT" w:hAnsi="Verdana" w:cs="Arial"/>
          <w:spacing w:val="-11"/>
          <w:lang w:val="es-ES"/>
        </w:rPr>
        <w:t xml:space="preserve"> </w:t>
      </w:r>
      <w:r w:rsidRPr="00E0405E">
        <w:rPr>
          <w:rFonts w:ascii="Verdana" w:eastAsia="Arial MT" w:hAnsi="Verdana" w:cs="Arial"/>
          <w:lang w:val="es-ES"/>
        </w:rPr>
        <w:t>ha</w:t>
      </w:r>
      <w:r w:rsidRPr="00E0405E">
        <w:rPr>
          <w:rFonts w:ascii="Verdana" w:eastAsia="Arial MT" w:hAnsi="Verdana" w:cs="Arial"/>
          <w:spacing w:val="-10"/>
          <w:lang w:val="es-ES"/>
        </w:rPr>
        <w:t xml:space="preserve"> </w:t>
      </w:r>
      <w:r w:rsidRPr="00E0405E">
        <w:rPr>
          <w:rFonts w:ascii="Verdana" w:eastAsia="Arial MT" w:hAnsi="Verdana" w:cs="Arial"/>
          <w:lang w:val="es-ES"/>
        </w:rPr>
        <w:t>indicado</w:t>
      </w:r>
      <w:r w:rsidRPr="00E0405E">
        <w:rPr>
          <w:rFonts w:ascii="Verdana" w:eastAsia="Arial MT" w:hAnsi="Verdana" w:cs="Arial"/>
          <w:spacing w:val="-10"/>
          <w:lang w:val="es-ES"/>
        </w:rPr>
        <w:t xml:space="preserve"> </w:t>
      </w:r>
      <w:r w:rsidRPr="00E0405E">
        <w:rPr>
          <w:rFonts w:ascii="Verdana" w:eastAsia="Arial MT" w:hAnsi="Verdana" w:cs="Arial"/>
          <w:lang w:val="es-ES"/>
        </w:rPr>
        <w:t>que,</w:t>
      </w:r>
      <w:r w:rsidRPr="00E0405E">
        <w:rPr>
          <w:rFonts w:ascii="Verdana" w:eastAsia="Arial MT" w:hAnsi="Verdana" w:cs="Arial"/>
          <w:spacing w:val="-10"/>
          <w:lang w:val="es-ES"/>
        </w:rPr>
        <w:t xml:space="preserve"> </w:t>
      </w:r>
      <w:r w:rsidRPr="00E0405E">
        <w:rPr>
          <w:rFonts w:ascii="Verdana" w:eastAsia="Arial MT" w:hAnsi="Verdana" w:cs="Arial"/>
          <w:lang w:val="es-ES"/>
        </w:rPr>
        <w:t>al</w:t>
      </w:r>
      <w:r w:rsidRPr="00E0405E">
        <w:rPr>
          <w:rFonts w:ascii="Verdana" w:eastAsia="Arial MT" w:hAnsi="Verdana" w:cs="Arial"/>
          <w:spacing w:val="-10"/>
          <w:lang w:val="es-ES"/>
        </w:rPr>
        <w:t xml:space="preserve"> </w:t>
      </w:r>
      <w:r w:rsidRPr="00E0405E">
        <w:rPr>
          <w:rFonts w:ascii="Verdana" w:eastAsia="Arial MT" w:hAnsi="Verdana" w:cs="Arial"/>
          <w:lang w:val="es-ES"/>
        </w:rPr>
        <w:t>tratar</w:t>
      </w:r>
      <w:r w:rsidRPr="00E0405E">
        <w:rPr>
          <w:rFonts w:ascii="Verdana" w:eastAsia="Arial MT" w:hAnsi="Verdana" w:cs="Arial"/>
          <w:spacing w:val="-10"/>
          <w:lang w:val="es-ES"/>
        </w:rPr>
        <w:t xml:space="preserve"> </w:t>
      </w:r>
      <w:r w:rsidRPr="00E0405E">
        <w:rPr>
          <w:rFonts w:ascii="Verdana" w:eastAsia="Arial MT" w:hAnsi="Verdana" w:cs="Arial"/>
          <w:lang w:val="es-ES"/>
        </w:rPr>
        <w:t>de</w:t>
      </w:r>
      <w:r w:rsidRPr="00E0405E">
        <w:rPr>
          <w:rFonts w:ascii="Verdana" w:eastAsia="Arial MT" w:hAnsi="Verdana" w:cs="Arial"/>
          <w:spacing w:val="-10"/>
          <w:lang w:val="es-ES"/>
        </w:rPr>
        <w:t xml:space="preserve"> </w:t>
      </w:r>
      <w:r w:rsidRPr="00E0405E">
        <w:rPr>
          <w:rFonts w:ascii="Verdana" w:eastAsia="Arial MT" w:hAnsi="Verdana" w:cs="Arial"/>
          <w:lang w:val="es-ES"/>
        </w:rPr>
        <w:t>precisar el sentido</w:t>
      </w:r>
      <w:r w:rsidRPr="00E0405E">
        <w:rPr>
          <w:rFonts w:ascii="Verdana" w:eastAsia="Arial MT" w:hAnsi="Verdana" w:cs="Arial"/>
          <w:spacing w:val="-6"/>
          <w:lang w:val="es-ES"/>
        </w:rPr>
        <w:t xml:space="preserve"> </w:t>
      </w:r>
      <w:r w:rsidRPr="00E0405E">
        <w:rPr>
          <w:rFonts w:ascii="Verdana" w:eastAsia="Arial MT" w:hAnsi="Verdana" w:cs="Arial"/>
          <w:lang w:val="es-ES"/>
        </w:rPr>
        <w:t>de</w:t>
      </w:r>
      <w:r w:rsidRPr="00E0405E">
        <w:rPr>
          <w:rFonts w:ascii="Verdana" w:eastAsia="Arial MT" w:hAnsi="Verdana" w:cs="Arial"/>
          <w:spacing w:val="-5"/>
          <w:lang w:val="es-ES"/>
        </w:rPr>
        <w:t xml:space="preserve"> </w:t>
      </w:r>
      <w:r w:rsidRPr="00E0405E">
        <w:rPr>
          <w:rFonts w:ascii="Verdana" w:eastAsia="Arial MT" w:hAnsi="Verdana" w:cs="Arial"/>
          <w:lang w:val="es-ES"/>
        </w:rPr>
        <w:t>este</w:t>
      </w:r>
      <w:r w:rsidRPr="00E0405E">
        <w:rPr>
          <w:rFonts w:ascii="Verdana" w:eastAsia="Arial MT" w:hAnsi="Verdana" w:cs="Arial"/>
          <w:spacing w:val="-6"/>
          <w:lang w:val="es-ES"/>
        </w:rPr>
        <w:t xml:space="preserve"> </w:t>
      </w:r>
      <w:r w:rsidRPr="00E0405E">
        <w:rPr>
          <w:rFonts w:ascii="Verdana" w:eastAsia="Arial MT" w:hAnsi="Verdana" w:cs="Arial"/>
          <w:lang w:val="es-ES"/>
        </w:rPr>
        <w:t>tipo</w:t>
      </w:r>
      <w:r w:rsidRPr="00E0405E">
        <w:rPr>
          <w:rFonts w:ascii="Verdana" w:eastAsia="Arial MT" w:hAnsi="Verdana" w:cs="Arial"/>
          <w:spacing w:val="-4"/>
          <w:lang w:val="es-ES"/>
        </w:rPr>
        <w:t xml:space="preserve"> </w:t>
      </w:r>
      <w:r w:rsidRPr="00E0405E">
        <w:rPr>
          <w:rFonts w:ascii="Verdana" w:eastAsia="Arial MT" w:hAnsi="Verdana" w:cs="Arial"/>
          <w:lang w:val="es-ES"/>
        </w:rPr>
        <w:t>de</w:t>
      </w:r>
      <w:r w:rsidRPr="00E0405E">
        <w:rPr>
          <w:rFonts w:ascii="Verdana" w:eastAsia="Arial MT" w:hAnsi="Verdana" w:cs="Arial"/>
          <w:spacing w:val="-6"/>
          <w:lang w:val="es-ES"/>
        </w:rPr>
        <w:t xml:space="preserve"> </w:t>
      </w:r>
      <w:r w:rsidRPr="00E0405E">
        <w:rPr>
          <w:rFonts w:ascii="Verdana" w:eastAsia="Arial MT" w:hAnsi="Verdana" w:cs="Arial"/>
          <w:lang w:val="es-ES"/>
        </w:rPr>
        <w:t>normas,</w:t>
      </w:r>
      <w:r w:rsidRPr="00E0405E">
        <w:rPr>
          <w:rFonts w:ascii="Verdana" w:eastAsia="Arial MT" w:hAnsi="Verdana" w:cs="Arial"/>
          <w:spacing w:val="-6"/>
          <w:lang w:val="es-ES"/>
        </w:rPr>
        <w:t xml:space="preserve"> </w:t>
      </w:r>
      <w:r w:rsidRPr="00E0405E">
        <w:rPr>
          <w:rFonts w:ascii="Verdana" w:eastAsia="Arial MT" w:hAnsi="Verdana" w:cs="Arial"/>
          <w:lang w:val="es-ES"/>
        </w:rPr>
        <w:t>“[…]</w:t>
      </w:r>
      <w:r w:rsidRPr="00E0405E">
        <w:rPr>
          <w:rFonts w:ascii="Verdana" w:eastAsia="Arial MT" w:hAnsi="Verdana" w:cs="Arial"/>
          <w:spacing w:val="-5"/>
          <w:lang w:val="es-ES"/>
        </w:rPr>
        <w:t xml:space="preserve"> </w:t>
      </w:r>
      <w:r w:rsidRPr="00E0405E">
        <w:rPr>
          <w:rFonts w:ascii="Verdana" w:eastAsia="Arial MT" w:hAnsi="Verdana" w:cs="Arial"/>
          <w:lang w:val="es-ES"/>
        </w:rPr>
        <w:t>el</w:t>
      </w:r>
      <w:r w:rsidRPr="00E0405E">
        <w:rPr>
          <w:rFonts w:ascii="Verdana" w:eastAsia="Arial MT" w:hAnsi="Verdana" w:cs="Arial"/>
          <w:spacing w:val="-6"/>
          <w:lang w:val="es-ES"/>
        </w:rPr>
        <w:t xml:space="preserve"> </w:t>
      </w:r>
      <w:r w:rsidRPr="00E0405E">
        <w:rPr>
          <w:rFonts w:ascii="Verdana" w:eastAsia="Arial MT" w:hAnsi="Verdana" w:cs="Arial"/>
          <w:lang w:val="es-ES"/>
        </w:rPr>
        <w:t>intérprete</w:t>
      </w:r>
      <w:r w:rsidRPr="00E0405E">
        <w:rPr>
          <w:rFonts w:ascii="Verdana" w:eastAsia="Arial MT" w:hAnsi="Verdana" w:cs="Arial"/>
          <w:spacing w:val="-5"/>
          <w:lang w:val="es-ES"/>
        </w:rPr>
        <w:t xml:space="preserve"> </w:t>
      </w:r>
      <w:r w:rsidRPr="00E0405E">
        <w:rPr>
          <w:rFonts w:ascii="Verdana" w:eastAsia="Arial MT" w:hAnsi="Verdana" w:cs="Arial"/>
          <w:lang w:val="es-ES"/>
        </w:rPr>
        <w:t>de</w:t>
      </w:r>
      <w:r w:rsidRPr="00E0405E">
        <w:rPr>
          <w:rFonts w:ascii="Verdana" w:eastAsia="Arial MT" w:hAnsi="Verdana" w:cs="Arial"/>
          <w:spacing w:val="-6"/>
          <w:lang w:val="es-ES"/>
        </w:rPr>
        <w:t xml:space="preserve"> </w:t>
      </w:r>
      <w:r w:rsidRPr="00E0405E">
        <w:rPr>
          <w:rFonts w:ascii="Verdana" w:eastAsia="Arial MT" w:hAnsi="Verdana" w:cs="Arial"/>
          <w:lang w:val="es-ES"/>
        </w:rPr>
        <w:t>las</w:t>
      </w:r>
      <w:r w:rsidRPr="00E0405E">
        <w:rPr>
          <w:rFonts w:ascii="Verdana" w:eastAsia="Arial MT" w:hAnsi="Verdana" w:cs="Arial"/>
          <w:spacing w:val="-5"/>
          <w:lang w:val="es-ES"/>
        </w:rPr>
        <w:t xml:space="preserve"> </w:t>
      </w:r>
      <w:r w:rsidRPr="00E0405E">
        <w:rPr>
          <w:rFonts w:ascii="Verdana" w:eastAsia="Arial MT" w:hAnsi="Verdana" w:cs="Arial"/>
          <w:lang w:val="es-ES"/>
        </w:rPr>
        <w:t>disposiciones</w:t>
      </w:r>
      <w:r w:rsidRPr="00E0405E">
        <w:rPr>
          <w:rFonts w:ascii="Verdana" w:eastAsia="Arial MT" w:hAnsi="Verdana" w:cs="Arial"/>
          <w:spacing w:val="-5"/>
          <w:lang w:val="es-ES"/>
        </w:rPr>
        <w:t xml:space="preserve"> </w:t>
      </w:r>
      <w:r w:rsidRPr="00E0405E">
        <w:rPr>
          <w:rFonts w:ascii="Verdana" w:eastAsia="Arial MT" w:hAnsi="Verdana" w:cs="Arial"/>
          <w:lang w:val="es-ES"/>
        </w:rPr>
        <w:t>legislativas</w:t>
      </w:r>
      <w:r w:rsidRPr="00E0405E">
        <w:rPr>
          <w:rFonts w:ascii="Verdana" w:eastAsia="Arial MT" w:hAnsi="Verdana" w:cs="Arial"/>
          <w:spacing w:val="-5"/>
          <w:lang w:val="es-ES"/>
        </w:rPr>
        <w:t xml:space="preserve"> </w:t>
      </w:r>
      <w:r w:rsidRPr="00E0405E">
        <w:rPr>
          <w:rFonts w:ascii="Verdana" w:eastAsia="Arial MT" w:hAnsi="Verdana" w:cs="Arial"/>
          <w:lang w:val="es-ES"/>
        </w:rPr>
        <w:t>en</w:t>
      </w:r>
      <w:r w:rsidRPr="00E0405E">
        <w:rPr>
          <w:rFonts w:ascii="Verdana" w:eastAsia="Arial MT" w:hAnsi="Verdana" w:cs="Arial"/>
          <w:spacing w:val="-58"/>
          <w:lang w:val="es-ES"/>
        </w:rPr>
        <w:t xml:space="preserve">    </w:t>
      </w:r>
      <w:r w:rsidRPr="00E0405E">
        <w:rPr>
          <w:rFonts w:ascii="Verdana" w:eastAsia="Arial MT" w:hAnsi="Verdana" w:cs="Arial"/>
          <w:lang w:val="es-ES"/>
        </w:rPr>
        <w:t xml:space="preserve"> la materia ha de ceñirse en la mayor medida posible al tenor literal y gramatical de los</w:t>
      </w:r>
      <w:r w:rsidRPr="00E0405E">
        <w:rPr>
          <w:rFonts w:ascii="Verdana" w:eastAsia="Arial MT" w:hAnsi="Verdana" w:cs="Arial"/>
          <w:spacing w:val="1"/>
          <w:lang w:val="es-ES"/>
        </w:rPr>
        <w:t xml:space="preserve"> </w:t>
      </w:r>
      <w:r w:rsidRPr="00E0405E">
        <w:rPr>
          <w:rFonts w:ascii="Verdana" w:eastAsia="Arial MT" w:hAnsi="Verdana" w:cs="Arial"/>
          <w:lang w:val="es-ES"/>
        </w:rPr>
        <w:t>enunciados</w:t>
      </w:r>
      <w:r w:rsidRPr="00E0405E">
        <w:rPr>
          <w:rFonts w:ascii="Verdana" w:eastAsia="Arial MT" w:hAnsi="Verdana" w:cs="Arial"/>
          <w:spacing w:val="-9"/>
          <w:lang w:val="es-ES"/>
        </w:rPr>
        <w:t xml:space="preserve"> </w:t>
      </w:r>
      <w:r w:rsidRPr="00E0405E">
        <w:rPr>
          <w:rFonts w:ascii="Verdana" w:eastAsia="Arial MT" w:hAnsi="Verdana" w:cs="Arial"/>
          <w:lang w:val="es-ES"/>
        </w:rPr>
        <w:t>normativos,</w:t>
      </w:r>
      <w:r w:rsidRPr="00E0405E">
        <w:rPr>
          <w:rFonts w:ascii="Verdana" w:eastAsia="Arial MT" w:hAnsi="Verdana" w:cs="Arial"/>
          <w:spacing w:val="-9"/>
          <w:lang w:val="es-ES"/>
        </w:rPr>
        <w:t xml:space="preserve"> </w:t>
      </w:r>
      <w:r w:rsidRPr="00E0405E">
        <w:rPr>
          <w:rFonts w:ascii="Verdana" w:eastAsia="Arial MT" w:hAnsi="Verdana" w:cs="Arial"/>
          <w:lang w:val="es-ES"/>
        </w:rPr>
        <w:t>sin</w:t>
      </w:r>
      <w:r w:rsidRPr="00E0405E">
        <w:rPr>
          <w:rFonts w:ascii="Verdana" w:eastAsia="Arial MT" w:hAnsi="Verdana" w:cs="Arial"/>
          <w:spacing w:val="-9"/>
          <w:lang w:val="es-ES"/>
        </w:rPr>
        <w:t xml:space="preserve"> </w:t>
      </w:r>
      <w:r w:rsidRPr="00E0405E">
        <w:rPr>
          <w:rFonts w:ascii="Verdana" w:eastAsia="Arial MT" w:hAnsi="Verdana" w:cs="Arial"/>
          <w:lang w:val="es-ES"/>
        </w:rPr>
        <w:t>que</w:t>
      </w:r>
      <w:r w:rsidRPr="00E0405E">
        <w:rPr>
          <w:rFonts w:ascii="Verdana" w:eastAsia="Arial MT" w:hAnsi="Verdana" w:cs="Arial"/>
          <w:spacing w:val="-8"/>
          <w:lang w:val="es-ES"/>
        </w:rPr>
        <w:t xml:space="preserve"> </w:t>
      </w:r>
      <w:r w:rsidRPr="00E0405E">
        <w:rPr>
          <w:rFonts w:ascii="Verdana" w:eastAsia="Arial MT" w:hAnsi="Verdana" w:cs="Arial"/>
          <w:lang w:val="es-ES"/>
        </w:rPr>
        <w:t>pueda</w:t>
      </w:r>
      <w:r w:rsidRPr="00E0405E">
        <w:rPr>
          <w:rFonts w:ascii="Verdana" w:eastAsia="Arial MT" w:hAnsi="Verdana" w:cs="Arial"/>
          <w:spacing w:val="-9"/>
          <w:lang w:val="es-ES"/>
        </w:rPr>
        <w:t xml:space="preserve"> </w:t>
      </w:r>
      <w:r w:rsidRPr="00E0405E">
        <w:rPr>
          <w:rFonts w:ascii="Verdana" w:eastAsia="Arial MT" w:hAnsi="Verdana" w:cs="Arial"/>
          <w:lang w:val="es-ES"/>
        </w:rPr>
        <w:t>acudir</w:t>
      </w:r>
      <w:r w:rsidRPr="00E0405E">
        <w:rPr>
          <w:rFonts w:ascii="Verdana" w:eastAsia="Arial MT" w:hAnsi="Verdana" w:cs="Arial"/>
          <w:spacing w:val="-9"/>
          <w:lang w:val="es-ES"/>
        </w:rPr>
        <w:t xml:space="preserve"> </w:t>
      </w:r>
      <w:r w:rsidRPr="00E0405E">
        <w:rPr>
          <w:rFonts w:ascii="Verdana" w:eastAsia="Arial MT" w:hAnsi="Verdana" w:cs="Arial"/>
          <w:lang w:val="es-ES"/>
        </w:rPr>
        <w:t>prima</w:t>
      </w:r>
      <w:r w:rsidRPr="00E0405E">
        <w:rPr>
          <w:rFonts w:ascii="Verdana" w:eastAsia="Arial MT" w:hAnsi="Verdana" w:cs="Arial"/>
          <w:spacing w:val="-9"/>
          <w:lang w:val="es-ES"/>
        </w:rPr>
        <w:t xml:space="preserve"> </w:t>
      </w:r>
      <w:r w:rsidRPr="00E0405E">
        <w:rPr>
          <w:rFonts w:ascii="Verdana" w:eastAsia="Arial MT" w:hAnsi="Verdana" w:cs="Arial"/>
          <w:lang w:val="es-ES"/>
        </w:rPr>
        <w:t>facie</w:t>
      </w:r>
      <w:r w:rsidRPr="00E0405E">
        <w:rPr>
          <w:rFonts w:ascii="Verdana" w:eastAsia="Arial MT" w:hAnsi="Verdana" w:cs="Arial"/>
          <w:spacing w:val="-8"/>
          <w:lang w:val="es-ES"/>
        </w:rPr>
        <w:t xml:space="preserve"> </w:t>
      </w:r>
      <w:r w:rsidRPr="00E0405E">
        <w:rPr>
          <w:rFonts w:ascii="Verdana" w:eastAsia="Arial MT" w:hAnsi="Verdana" w:cs="Arial"/>
          <w:lang w:val="es-ES"/>
        </w:rPr>
        <w:t>a</w:t>
      </w:r>
      <w:r w:rsidRPr="00E0405E">
        <w:rPr>
          <w:rFonts w:ascii="Verdana" w:eastAsia="Arial MT" w:hAnsi="Verdana" w:cs="Arial"/>
          <w:spacing w:val="-9"/>
          <w:lang w:val="es-ES"/>
        </w:rPr>
        <w:t xml:space="preserve"> </w:t>
      </w:r>
      <w:r w:rsidRPr="00E0405E">
        <w:rPr>
          <w:rFonts w:ascii="Verdana" w:eastAsia="Arial MT" w:hAnsi="Verdana" w:cs="Arial"/>
          <w:lang w:val="es-ES"/>
        </w:rPr>
        <w:t>criterios</w:t>
      </w:r>
      <w:r w:rsidRPr="00E0405E">
        <w:rPr>
          <w:rFonts w:ascii="Verdana" w:eastAsia="Arial MT" w:hAnsi="Verdana" w:cs="Arial"/>
          <w:spacing w:val="-9"/>
          <w:lang w:val="es-ES"/>
        </w:rPr>
        <w:t xml:space="preserve"> </w:t>
      </w:r>
      <w:r w:rsidRPr="00E0405E">
        <w:rPr>
          <w:rFonts w:ascii="Verdana" w:eastAsia="Arial MT" w:hAnsi="Verdana" w:cs="Arial"/>
          <w:lang w:val="es-ES"/>
        </w:rPr>
        <w:t>interpretativos</w:t>
      </w:r>
      <w:r w:rsidRPr="00E0405E">
        <w:rPr>
          <w:rFonts w:ascii="Verdana" w:eastAsia="Arial MT" w:hAnsi="Verdana" w:cs="Arial"/>
          <w:spacing w:val="-9"/>
          <w:lang w:val="es-ES"/>
        </w:rPr>
        <w:t xml:space="preserve"> </w:t>
      </w:r>
      <w:r w:rsidRPr="00E0405E">
        <w:rPr>
          <w:rFonts w:ascii="Verdana" w:eastAsia="Arial MT" w:hAnsi="Verdana" w:cs="Arial"/>
          <w:lang w:val="es-ES"/>
        </w:rPr>
        <w:t>tales</w:t>
      </w:r>
      <w:r w:rsidRPr="00E0405E">
        <w:rPr>
          <w:rFonts w:ascii="Verdana" w:eastAsia="Arial MT" w:hAnsi="Verdana" w:cs="Arial"/>
          <w:spacing w:val="-58"/>
          <w:lang w:val="es-ES"/>
        </w:rPr>
        <w:t xml:space="preserve"> </w:t>
      </w:r>
      <w:r w:rsidRPr="00E0405E">
        <w:rPr>
          <w:rFonts w:ascii="Verdana" w:eastAsia="Arial MT" w:hAnsi="Verdana" w:cs="Arial"/>
          <w:lang w:val="es-ES"/>
        </w:rPr>
        <w:t>como la analogía, la interpretación extensiva para ampliar el alcance de las causales</w:t>
      </w:r>
      <w:r w:rsidRPr="00E0405E">
        <w:rPr>
          <w:rFonts w:ascii="Verdana" w:eastAsia="Arial MT" w:hAnsi="Verdana" w:cs="Arial"/>
          <w:spacing w:val="1"/>
          <w:lang w:val="es-ES"/>
        </w:rPr>
        <w:t xml:space="preserve"> </w:t>
      </w:r>
      <w:r w:rsidRPr="00E0405E">
        <w:rPr>
          <w:rFonts w:ascii="Verdana" w:eastAsia="Arial MT" w:hAnsi="Verdana" w:cs="Arial"/>
          <w:lang w:val="es-ES"/>
        </w:rPr>
        <w:t>legalmente fijadas”</w:t>
      </w:r>
      <w:r w:rsidRPr="00E0405E">
        <w:rPr>
          <w:rFonts w:ascii="Verdana" w:eastAsia="Arial MT" w:hAnsi="Verdana" w:cs="Arial"/>
          <w:vertAlign w:val="superscript"/>
          <w:lang w:val="es-ES"/>
        </w:rPr>
        <w:footnoteReference w:id="5"/>
      </w:r>
      <w:r w:rsidRPr="00E0405E">
        <w:rPr>
          <w:rFonts w:ascii="Verdana" w:eastAsia="Arial MT" w:hAnsi="Verdana" w:cs="Arial"/>
          <w:lang w:val="es-ES"/>
        </w:rPr>
        <w:t xml:space="preserve">. </w:t>
      </w:r>
    </w:p>
    <w:p w14:paraId="1CD8B0BA" w14:textId="77777777" w:rsidR="00685370" w:rsidRPr="00E0405E" w:rsidRDefault="00685370" w:rsidP="00685370">
      <w:pPr>
        <w:widowControl w:val="0"/>
        <w:autoSpaceDE w:val="0"/>
        <w:autoSpaceDN w:val="0"/>
        <w:spacing w:before="120" w:after="0" w:line="276" w:lineRule="auto"/>
        <w:ind w:right="68" w:firstLine="820"/>
        <w:jc w:val="both"/>
        <w:rPr>
          <w:rFonts w:ascii="Verdana" w:eastAsia="Arial MT" w:hAnsi="Verdana" w:cs="Arial"/>
          <w:lang w:val="es-ES"/>
        </w:rPr>
      </w:pPr>
      <w:r w:rsidRPr="00E0405E">
        <w:rPr>
          <w:rFonts w:ascii="Verdana" w:eastAsia="Arial MT" w:hAnsi="Verdana" w:cs="Arial"/>
          <w:lang w:val="es-ES"/>
        </w:rPr>
        <w:t>Por su parte, el Consejo de Estado también ha acogido este</w:t>
      </w:r>
      <w:r w:rsidRPr="00E0405E">
        <w:rPr>
          <w:rFonts w:ascii="Verdana" w:eastAsia="Arial MT" w:hAnsi="Verdana" w:cs="Arial"/>
          <w:spacing w:val="1"/>
          <w:lang w:val="es-ES"/>
        </w:rPr>
        <w:t xml:space="preserve"> </w:t>
      </w:r>
      <w:r w:rsidRPr="00E0405E">
        <w:rPr>
          <w:rFonts w:ascii="Verdana" w:eastAsia="Arial MT" w:hAnsi="Verdana" w:cs="Arial"/>
          <w:lang w:val="es-ES"/>
        </w:rPr>
        <w:t>criterio, considerando –como expresa la Sala de Consulta y Servicio Civil–, que “La</w:t>
      </w:r>
      <w:r w:rsidRPr="00E0405E">
        <w:rPr>
          <w:rFonts w:ascii="Verdana" w:eastAsia="Arial MT" w:hAnsi="Verdana" w:cs="Arial"/>
          <w:spacing w:val="1"/>
          <w:lang w:val="es-ES"/>
        </w:rPr>
        <w:t xml:space="preserve"> </w:t>
      </w:r>
      <w:r w:rsidRPr="00E0405E">
        <w:rPr>
          <w:rFonts w:ascii="Verdana" w:eastAsia="Arial MT" w:hAnsi="Verdana" w:cs="Arial"/>
          <w:lang w:val="es-ES"/>
        </w:rPr>
        <w:t>interpretación restrictiva de las normas que establecen inhabilidades constituye una</w:t>
      </w:r>
      <w:r w:rsidRPr="00E0405E">
        <w:rPr>
          <w:rFonts w:ascii="Verdana" w:eastAsia="Arial MT" w:hAnsi="Verdana" w:cs="Arial"/>
          <w:spacing w:val="1"/>
          <w:lang w:val="es-ES"/>
        </w:rPr>
        <w:t xml:space="preserve"> </w:t>
      </w:r>
      <w:r w:rsidRPr="00E0405E">
        <w:rPr>
          <w:rFonts w:ascii="Verdana" w:eastAsia="Arial MT" w:hAnsi="Verdana" w:cs="Arial"/>
          <w:lang w:val="es-ES"/>
        </w:rPr>
        <w:t>aplicación</w:t>
      </w:r>
      <w:r w:rsidRPr="00E0405E">
        <w:rPr>
          <w:rFonts w:ascii="Verdana" w:eastAsia="Arial MT" w:hAnsi="Verdana" w:cs="Arial"/>
          <w:spacing w:val="1"/>
          <w:lang w:val="es-ES"/>
        </w:rPr>
        <w:t xml:space="preserve"> </w:t>
      </w:r>
      <w:r w:rsidRPr="00E0405E">
        <w:rPr>
          <w:rFonts w:ascii="Verdana" w:eastAsia="Arial MT" w:hAnsi="Verdana" w:cs="Arial"/>
          <w:lang w:val="es-ES"/>
        </w:rPr>
        <w:t>del</w:t>
      </w:r>
      <w:r w:rsidRPr="00E0405E">
        <w:rPr>
          <w:rFonts w:ascii="Verdana" w:eastAsia="Arial MT" w:hAnsi="Verdana" w:cs="Arial"/>
          <w:spacing w:val="1"/>
          <w:lang w:val="es-ES"/>
        </w:rPr>
        <w:t xml:space="preserve"> </w:t>
      </w:r>
      <w:r w:rsidRPr="00E0405E">
        <w:rPr>
          <w:rFonts w:ascii="Verdana" w:eastAsia="Arial MT" w:hAnsi="Verdana" w:cs="Arial"/>
          <w:lang w:val="es-ES"/>
        </w:rPr>
        <w:t>principio</w:t>
      </w:r>
      <w:r w:rsidRPr="00E0405E">
        <w:rPr>
          <w:rFonts w:ascii="Verdana" w:eastAsia="Arial MT" w:hAnsi="Verdana" w:cs="Arial"/>
          <w:spacing w:val="1"/>
          <w:lang w:val="es-ES"/>
        </w:rPr>
        <w:t xml:space="preserve"> </w:t>
      </w:r>
      <w:r w:rsidRPr="00E0405E">
        <w:rPr>
          <w:rFonts w:ascii="Verdana" w:eastAsia="Arial MT" w:hAnsi="Verdana" w:cs="Arial"/>
          <w:lang w:val="es-ES"/>
        </w:rPr>
        <w:t>del</w:t>
      </w:r>
      <w:r w:rsidRPr="00E0405E">
        <w:rPr>
          <w:rFonts w:ascii="Verdana" w:eastAsia="Arial MT" w:hAnsi="Verdana" w:cs="Arial"/>
          <w:spacing w:val="1"/>
          <w:lang w:val="es-ES"/>
        </w:rPr>
        <w:t xml:space="preserve"> </w:t>
      </w:r>
      <w:r w:rsidRPr="00E0405E">
        <w:rPr>
          <w:rFonts w:ascii="Verdana" w:eastAsia="Arial MT" w:hAnsi="Verdana" w:cs="Arial"/>
          <w:lang w:val="es-ES"/>
        </w:rPr>
        <w:t>Estado</w:t>
      </w:r>
      <w:r w:rsidRPr="00E0405E">
        <w:rPr>
          <w:rFonts w:ascii="Verdana" w:eastAsia="Arial MT" w:hAnsi="Verdana" w:cs="Arial"/>
          <w:spacing w:val="1"/>
          <w:lang w:val="es-ES"/>
        </w:rPr>
        <w:t xml:space="preserve"> </w:t>
      </w:r>
      <w:r w:rsidRPr="00E0405E">
        <w:rPr>
          <w:rFonts w:ascii="Verdana" w:eastAsia="Arial MT" w:hAnsi="Verdana" w:cs="Arial"/>
          <w:lang w:val="es-ES"/>
        </w:rPr>
        <w:t>de</w:t>
      </w:r>
      <w:r w:rsidRPr="00E0405E">
        <w:rPr>
          <w:rFonts w:ascii="Verdana" w:eastAsia="Arial MT" w:hAnsi="Verdana" w:cs="Arial"/>
          <w:spacing w:val="1"/>
          <w:lang w:val="es-ES"/>
        </w:rPr>
        <w:t xml:space="preserve"> </w:t>
      </w:r>
      <w:r w:rsidRPr="00E0405E">
        <w:rPr>
          <w:rFonts w:ascii="Verdana" w:eastAsia="Arial MT" w:hAnsi="Verdana" w:cs="Arial"/>
          <w:lang w:val="es-ES"/>
        </w:rPr>
        <w:t>Derecho</w:t>
      </w:r>
      <w:r w:rsidRPr="00E0405E">
        <w:rPr>
          <w:rFonts w:ascii="Verdana" w:eastAsia="Arial MT" w:hAnsi="Verdana" w:cs="Arial"/>
          <w:spacing w:val="1"/>
          <w:lang w:val="es-ES"/>
        </w:rPr>
        <w:t xml:space="preserve"> </w:t>
      </w:r>
      <w:r w:rsidRPr="00E0405E">
        <w:rPr>
          <w:rFonts w:ascii="Verdana" w:eastAsia="Arial MT" w:hAnsi="Verdana" w:cs="Arial"/>
          <w:lang w:val="es-ES"/>
        </w:rPr>
        <w:t>previsto</w:t>
      </w:r>
      <w:r w:rsidRPr="00E0405E">
        <w:rPr>
          <w:rFonts w:ascii="Verdana" w:eastAsia="Arial MT" w:hAnsi="Verdana" w:cs="Arial"/>
          <w:spacing w:val="1"/>
          <w:lang w:val="es-ES"/>
        </w:rPr>
        <w:t xml:space="preserve"> </w:t>
      </w:r>
      <w:r w:rsidRPr="00E0405E">
        <w:rPr>
          <w:rFonts w:ascii="Verdana" w:eastAsia="Arial MT" w:hAnsi="Verdana" w:cs="Arial"/>
          <w:lang w:val="es-ES"/>
        </w:rPr>
        <w:t>en</w:t>
      </w:r>
      <w:r w:rsidRPr="00E0405E">
        <w:rPr>
          <w:rFonts w:ascii="Verdana" w:eastAsia="Arial MT" w:hAnsi="Verdana" w:cs="Arial"/>
          <w:spacing w:val="1"/>
          <w:lang w:val="es-ES"/>
        </w:rPr>
        <w:t xml:space="preserve"> </w:t>
      </w:r>
      <w:r w:rsidRPr="00E0405E">
        <w:rPr>
          <w:rFonts w:ascii="Verdana" w:eastAsia="Arial MT" w:hAnsi="Verdana" w:cs="Arial"/>
          <w:lang w:val="es-ES"/>
        </w:rPr>
        <w:t>el</w:t>
      </w:r>
      <w:r w:rsidRPr="00E0405E">
        <w:rPr>
          <w:rFonts w:ascii="Verdana" w:eastAsia="Arial MT" w:hAnsi="Verdana" w:cs="Arial"/>
          <w:spacing w:val="1"/>
          <w:lang w:val="es-ES"/>
        </w:rPr>
        <w:t xml:space="preserve"> </w:t>
      </w:r>
      <w:r w:rsidRPr="00E0405E">
        <w:rPr>
          <w:rFonts w:ascii="Verdana" w:eastAsia="Arial MT" w:hAnsi="Verdana" w:cs="Arial"/>
          <w:lang w:val="es-ES"/>
        </w:rPr>
        <w:t>artículo</w:t>
      </w:r>
      <w:r w:rsidRPr="00E0405E">
        <w:rPr>
          <w:rFonts w:ascii="Verdana" w:eastAsia="Arial MT" w:hAnsi="Verdana" w:cs="Arial"/>
          <w:spacing w:val="1"/>
          <w:lang w:val="es-ES"/>
        </w:rPr>
        <w:t xml:space="preserve"> </w:t>
      </w:r>
      <w:r w:rsidRPr="00E0405E">
        <w:rPr>
          <w:rFonts w:ascii="Verdana" w:eastAsia="Arial MT" w:hAnsi="Verdana" w:cs="Arial"/>
          <w:lang w:val="es-ES"/>
        </w:rPr>
        <w:t>6º</w:t>
      </w:r>
      <w:r w:rsidRPr="00E0405E">
        <w:rPr>
          <w:rFonts w:ascii="Verdana" w:eastAsia="Arial MT" w:hAnsi="Verdana" w:cs="Arial"/>
          <w:spacing w:val="1"/>
          <w:lang w:val="es-ES"/>
        </w:rPr>
        <w:t xml:space="preserve"> </w:t>
      </w:r>
      <w:r w:rsidRPr="00E0405E">
        <w:rPr>
          <w:rFonts w:ascii="Verdana" w:eastAsia="Arial MT" w:hAnsi="Verdana" w:cs="Arial"/>
          <w:lang w:val="es-ES"/>
        </w:rPr>
        <w:t>de</w:t>
      </w:r>
      <w:r w:rsidRPr="00E0405E">
        <w:rPr>
          <w:rFonts w:ascii="Verdana" w:eastAsia="Arial MT" w:hAnsi="Verdana" w:cs="Arial"/>
          <w:spacing w:val="1"/>
          <w:lang w:val="es-ES"/>
        </w:rPr>
        <w:t xml:space="preserve"> </w:t>
      </w:r>
      <w:r w:rsidRPr="00E0405E">
        <w:rPr>
          <w:rFonts w:ascii="Verdana" w:eastAsia="Arial MT" w:hAnsi="Verdana" w:cs="Arial"/>
          <w:lang w:val="es-ES"/>
        </w:rPr>
        <w:t>la</w:t>
      </w:r>
      <w:r w:rsidRPr="00E0405E">
        <w:rPr>
          <w:rFonts w:ascii="Verdana" w:eastAsia="Arial MT" w:hAnsi="Verdana" w:cs="Arial"/>
          <w:spacing w:val="1"/>
          <w:lang w:val="es-ES"/>
        </w:rPr>
        <w:t xml:space="preserve"> </w:t>
      </w:r>
      <w:r w:rsidRPr="00E0405E">
        <w:rPr>
          <w:rFonts w:ascii="Verdana" w:eastAsia="Arial MT" w:hAnsi="Verdana" w:cs="Arial"/>
          <w:lang w:val="es-ES"/>
        </w:rPr>
        <w:t>Constitución,</w:t>
      </w:r>
      <w:r w:rsidRPr="00E0405E">
        <w:rPr>
          <w:rFonts w:ascii="Verdana" w:eastAsia="Arial MT" w:hAnsi="Verdana" w:cs="Arial"/>
          <w:spacing w:val="-14"/>
          <w:lang w:val="es-ES"/>
        </w:rPr>
        <w:t xml:space="preserve"> </w:t>
      </w:r>
      <w:r w:rsidRPr="00E0405E">
        <w:rPr>
          <w:rFonts w:ascii="Verdana" w:eastAsia="Arial MT" w:hAnsi="Verdana" w:cs="Arial"/>
          <w:lang w:val="es-ES"/>
        </w:rPr>
        <w:t>según</w:t>
      </w:r>
      <w:r w:rsidRPr="00E0405E">
        <w:rPr>
          <w:rFonts w:ascii="Verdana" w:eastAsia="Arial MT" w:hAnsi="Verdana" w:cs="Arial"/>
          <w:spacing w:val="-14"/>
          <w:lang w:val="es-ES"/>
        </w:rPr>
        <w:t xml:space="preserve"> </w:t>
      </w:r>
      <w:r w:rsidRPr="00E0405E">
        <w:rPr>
          <w:rFonts w:ascii="Verdana" w:eastAsia="Arial MT" w:hAnsi="Verdana" w:cs="Arial"/>
          <w:lang w:val="es-ES"/>
        </w:rPr>
        <w:t>el</w:t>
      </w:r>
      <w:r w:rsidRPr="00E0405E">
        <w:rPr>
          <w:rFonts w:ascii="Verdana" w:eastAsia="Arial MT" w:hAnsi="Verdana" w:cs="Arial"/>
          <w:spacing w:val="-13"/>
          <w:lang w:val="es-ES"/>
        </w:rPr>
        <w:t xml:space="preserve"> </w:t>
      </w:r>
      <w:r w:rsidRPr="00E0405E">
        <w:rPr>
          <w:rFonts w:ascii="Verdana" w:eastAsia="Arial MT" w:hAnsi="Verdana" w:cs="Arial"/>
          <w:lang w:val="es-ES"/>
        </w:rPr>
        <w:t>cual</w:t>
      </w:r>
      <w:r w:rsidRPr="00E0405E">
        <w:rPr>
          <w:rFonts w:ascii="Verdana" w:eastAsia="Arial MT" w:hAnsi="Verdana" w:cs="Arial"/>
          <w:spacing w:val="-14"/>
          <w:lang w:val="es-ES"/>
        </w:rPr>
        <w:t xml:space="preserve"> </w:t>
      </w:r>
      <w:r w:rsidRPr="00E0405E">
        <w:rPr>
          <w:rFonts w:ascii="Verdana" w:eastAsia="Arial MT" w:hAnsi="Verdana" w:cs="Arial"/>
          <w:lang w:val="es-ES"/>
        </w:rPr>
        <w:t>“Los</w:t>
      </w:r>
      <w:r w:rsidRPr="00E0405E">
        <w:rPr>
          <w:rFonts w:ascii="Verdana" w:eastAsia="Arial MT" w:hAnsi="Verdana" w:cs="Arial"/>
          <w:spacing w:val="-13"/>
          <w:lang w:val="es-ES"/>
        </w:rPr>
        <w:t xml:space="preserve"> </w:t>
      </w:r>
      <w:r w:rsidRPr="00E0405E">
        <w:rPr>
          <w:rFonts w:ascii="Verdana" w:eastAsia="Arial MT" w:hAnsi="Verdana" w:cs="Arial"/>
          <w:lang w:val="es-ES"/>
        </w:rPr>
        <w:t>particulares</w:t>
      </w:r>
      <w:r w:rsidRPr="00E0405E">
        <w:rPr>
          <w:rFonts w:ascii="Verdana" w:eastAsia="Arial MT" w:hAnsi="Verdana" w:cs="Arial"/>
          <w:spacing w:val="-14"/>
          <w:lang w:val="es-ES"/>
        </w:rPr>
        <w:t xml:space="preserve"> </w:t>
      </w:r>
      <w:r w:rsidRPr="00E0405E">
        <w:rPr>
          <w:rFonts w:ascii="Verdana" w:eastAsia="Arial MT" w:hAnsi="Verdana" w:cs="Arial"/>
          <w:lang w:val="es-ES"/>
        </w:rPr>
        <w:t>sólo</w:t>
      </w:r>
      <w:r w:rsidRPr="00E0405E">
        <w:rPr>
          <w:rFonts w:ascii="Verdana" w:eastAsia="Arial MT" w:hAnsi="Verdana" w:cs="Arial"/>
          <w:spacing w:val="-13"/>
          <w:lang w:val="es-ES"/>
        </w:rPr>
        <w:t xml:space="preserve"> </w:t>
      </w:r>
      <w:r w:rsidRPr="00E0405E">
        <w:rPr>
          <w:rFonts w:ascii="Verdana" w:eastAsia="Arial MT" w:hAnsi="Verdana" w:cs="Arial"/>
          <w:lang w:val="es-ES"/>
        </w:rPr>
        <w:t>son</w:t>
      </w:r>
      <w:r w:rsidRPr="00E0405E">
        <w:rPr>
          <w:rFonts w:ascii="Verdana" w:eastAsia="Arial MT" w:hAnsi="Verdana" w:cs="Arial"/>
          <w:spacing w:val="-14"/>
          <w:lang w:val="es-ES"/>
        </w:rPr>
        <w:t xml:space="preserve"> </w:t>
      </w:r>
      <w:r w:rsidRPr="00E0405E">
        <w:rPr>
          <w:rFonts w:ascii="Verdana" w:eastAsia="Arial MT" w:hAnsi="Verdana" w:cs="Arial"/>
          <w:lang w:val="es-ES"/>
        </w:rPr>
        <w:t>responsables</w:t>
      </w:r>
      <w:r w:rsidRPr="00E0405E">
        <w:rPr>
          <w:rFonts w:ascii="Verdana" w:eastAsia="Arial MT" w:hAnsi="Verdana" w:cs="Arial"/>
          <w:spacing w:val="-13"/>
          <w:lang w:val="es-ES"/>
        </w:rPr>
        <w:t xml:space="preserve"> </w:t>
      </w:r>
      <w:r w:rsidRPr="00E0405E">
        <w:rPr>
          <w:rFonts w:ascii="Verdana" w:eastAsia="Arial MT" w:hAnsi="Verdana" w:cs="Arial"/>
          <w:lang w:val="es-ES"/>
        </w:rPr>
        <w:t>ante</w:t>
      </w:r>
      <w:r w:rsidRPr="00E0405E">
        <w:rPr>
          <w:rFonts w:ascii="Verdana" w:eastAsia="Arial MT" w:hAnsi="Verdana" w:cs="Arial"/>
          <w:spacing w:val="-14"/>
          <w:lang w:val="es-ES"/>
        </w:rPr>
        <w:t xml:space="preserve"> </w:t>
      </w:r>
      <w:r w:rsidRPr="00E0405E">
        <w:rPr>
          <w:rFonts w:ascii="Verdana" w:eastAsia="Arial MT" w:hAnsi="Verdana" w:cs="Arial"/>
          <w:lang w:val="es-ES"/>
        </w:rPr>
        <w:t>las</w:t>
      </w:r>
      <w:r w:rsidRPr="00E0405E">
        <w:rPr>
          <w:rFonts w:ascii="Verdana" w:eastAsia="Arial MT" w:hAnsi="Verdana" w:cs="Arial"/>
          <w:spacing w:val="-13"/>
          <w:lang w:val="es-ES"/>
        </w:rPr>
        <w:t xml:space="preserve"> </w:t>
      </w:r>
      <w:r w:rsidRPr="00E0405E">
        <w:rPr>
          <w:rFonts w:ascii="Verdana" w:eastAsia="Arial MT" w:hAnsi="Verdana" w:cs="Arial"/>
          <w:lang w:val="es-ES"/>
        </w:rPr>
        <w:t>autoridades</w:t>
      </w:r>
      <w:r w:rsidRPr="00E0405E">
        <w:rPr>
          <w:rFonts w:ascii="Verdana" w:eastAsia="Arial MT" w:hAnsi="Verdana" w:cs="Arial"/>
          <w:spacing w:val="-59"/>
          <w:lang w:val="es-ES"/>
        </w:rPr>
        <w:t xml:space="preserve"> </w:t>
      </w:r>
      <w:r w:rsidRPr="00E0405E">
        <w:rPr>
          <w:rFonts w:ascii="Verdana" w:eastAsia="Arial MT" w:hAnsi="Verdana" w:cs="Arial"/>
          <w:lang w:val="es-ES"/>
        </w:rPr>
        <w:t xml:space="preserve">por infringir la Constitución y las leyes” lo que se traduce en que </w:t>
      </w:r>
      <w:r w:rsidRPr="00E0405E">
        <w:rPr>
          <w:rFonts w:ascii="Verdana" w:eastAsia="Arial MT" w:hAnsi="Verdana" w:cs="Arial"/>
          <w:lang w:val="es-ES"/>
        </w:rPr>
        <w:lastRenderedPageBreak/>
        <w:t>pueden hacer todo</w:t>
      </w:r>
      <w:r w:rsidRPr="00E0405E">
        <w:rPr>
          <w:rFonts w:ascii="Verdana" w:eastAsia="Arial MT" w:hAnsi="Verdana" w:cs="Arial"/>
          <w:spacing w:val="1"/>
          <w:lang w:val="es-ES"/>
        </w:rPr>
        <w:t xml:space="preserve"> </w:t>
      </w:r>
      <w:r w:rsidRPr="00E0405E">
        <w:rPr>
          <w:rFonts w:ascii="Verdana" w:eastAsia="Arial MT" w:hAnsi="Verdana" w:cs="Arial"/>
          <w:lang w:val="es-ES"/>
        </w:rPr>
        <w:t>aquello que no les esté expresamente prohibido”</w:t>
      </w:r>
      <w:r w:rsidRPr="00E0405E">
        <w:rPr>
          <w:rFonts w:ascii="Verdana" w:eastAsia="Arial MT" w:hAnsi="Verdana" w:cs="Arial"/>
          <w:vertAlign w:val="superscript"/>
          <w:lang w:val="es-ES"/>
        </w:rPr>
        <w:footnoteReference w:id="6"/>
      </w:r>
      <w:r w:rsidRPr="00E0405E">
        <w:rPr>
          <w:rFonts w:ascii="Verdana" w:eastAsia="Arial MT" w:hAnsi="Verdana" w:cs="Arial"/>
          <w:lang w:val="es-ES"/>
        </w:rPr>
        <w:t>. En tal sentido, la Sección Tercera</w:t>
      </w:r>
      <w:r w:rsidRPr="00E0405E">
        <w:rPr>
          <w:rFonts w:ascii="Verdana" w:eastAsia="Arial MT" w:hAnsi="Verdana" w:cs="Arial"/>
          <w:spacing w:val="1"/>
          <w:lang w:val="es-ES"/>
        </w:rPr>
        <w:t xml:space="preserve"> </w:t>
      </w:r>
      <w:r w:rsidRPr="00E0405E">
        <w:rPr>
          <w:rFonts w:ascii="Verdana" w:eastAsia="Arial MT" w:hAnsi="Verdana" w:cs="Arial"/>
          <w:lang w:val="es-ES"/>
        </w:rPr>
        <w:t>ha</w:t>
      </w:r>
      <w:r w:rsidRPr="00E0405E">
        <w:rPr>
          <w:rFonts w:ascii="Verdana" w:eastAsia="Arial MT" w:hAnsi="Verdana" w:cs="Arial"/>
          <w:spacing w:val="-2"/>
          <w:lang w:val="es-ES"/>
        </w:rPr>
        <w:t xml:space="preserve"> </w:t>
      </w:r>
      <w:r w:rsidRPr="00E0405E">
        <w:rPr>
          <w:rFonts w:ascii="Verdana" w:eastAsia="Arial MT" w:hAnsi="Verdana" w:cs="Arial"/>
          <w:lang w:val="es-ES"/>
        </w:rPr>
        <w:t>señalado</w:t>
      </w:r>
      <w:r w:rsidRPr="00E0405E">
        <w:rPr>
          <w:rFonts w:ascii="Verdana" w:eastAsia="Arial MT" w:hAnsi="Verdana" w:cs="Arial"/>
          <w:spacing w:val="-1"/>
          <w:lang w:val="es-ES"/>
        </w:rPr>
        <w:t xml:space="preserve"> </w:t>
      </w:r>
      <w:r w:rsidRPr="00E0405E">
        <w:rPr>
          <w:rFonts w:ascii="Verdana" w:eastAsia="Arial MT" w:hAnsi="Verdana" w:cs="Arial"/>
          <w:lang w:val="es-ES"/>
        </w:rPr>
        <w:t>que:</w:t>
      </w:r>
    </w:p>
    <w:p w14:paraId="40009F85" w14:textId="77777777" w:rsidR="00685370" w:rsidRPr="00E0405E" w:rsidRDefault="00685370" w:rsidP="00685370">
      <w:pPr>
        <w:widowControl w:val="0"/>
        <w:autoSpaceDE w:val="0"/>
        <w:autoSpaceDN w:val="0"/>
        <w:spacing w:before="3" w:after="0" w:line="240" w:lineRule="auto"/>
        <w:rPr>
          <w:rFonts w:ascii="Verdana" w:eastAsia="Arial MT" w:hAnsi="Verdana" w:cs="Arial"/>
          <w:sz w:val="25"/>
          <w:lang w:val="es-ES"/>
        </w:rPr>
      </w:pPr>
    </w:p>
    <w:p w14:paraId="72F483E2" w14:textId="77777777" w:rsidR="00685370" w:rsidRPr="00E0405E" w:rsidRDefault="00685370" w:rsidP="00685370">
      <w:pPr>
        <w:widowControl w:val="0"/>
        <w:autoSpaceDE w:val="0"/>
        <w:autoSpaceDN w:val="0"/>
        <w:spacing w:after="0" w:line="240" w:lineRule="auto"/>
        <w:ind w:left="709" w:right="709"/>
        <w:jc w:val="both"/>
        <w:rPr>
          <w:rFonts w:ascii="Verdana" w:eastAsia="Calibri" w:hAnsi="Verdana" w:cs="Arial"/>
          <w:sz w:val="21"/>
          <w:lang w:val="es-MX"/>
        </w:rPr>
      </w:pPr>
      <w:r w:rsidRPr="00E0405E">
        <w:rPr>
          <w:rFonts w:ascii="Verdana" w:eastAsia="Arial MT" w:hAnsi="Verdana" w:cs="Arial"/>
          <w:sz w:val="21"/>
          <w:lang w:val="es-ES"/>
        </w:rPr>
        <w:t>“(…)</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de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conformidad</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con</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la</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jurisprudencia</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uniforme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y</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reiterada</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de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esta</w:t>
      </w:r>
      <w:r w:rsidRPr="00E0405E">
        <w:rPr>
          <w:rFonts w:ascii="Verdana" w:eastAsia="Arial MT" w:hAnsi="Verdana" w:cs="Arial"/>
          <w:spacing w:val="-56"/>
          <w:sz w:val="21"/>
          <w:lang w:val="es-ES"/>
        </w:rPr>
        <w:t xml:space="preserve"> </w:t>
      </w:r>
      <w:r w:rsidRPr="00E0405E">
        <w:rPr>
          <w:rFonts w:ascii="Verdana" w:eastAsia="Arial MT" w:hAnsi="Verdana" w:cs="Arial"/>
          <w:sz w:val="21"/>
          <w:lang w:val="es-ES"/>
        </w:rPr>
        <w:t>Corporación, la aplicación de las normas que contemplan inhabilidades 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incompatibilidades,</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como</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en</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general</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de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todas</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aquellas</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que</w:t>
      </w:r>
      <w:r w:rsidRPr="00E0405E">
        <w:rPr>
          <w:rFonts w:ascii="Verdana" w:eastAsia="Arial MT" w:hAnsi="Verdana" w:cs="Arial"/>
          <w:spacing w:val="1"/>
          <w:sz w:val="21"/>
          <w:lang w:val="es-ES"/>
        </w:rPr>
        <w:t xml:space="preserve"> </w:t>
      </w:r>
      <w:r w:rsidRPr="00E0405E">
        <w:rPr>
          <w:rFonts w:ascii="Verdana" w:eastAsia="Arial MT" w:hAnsi="Verdana" w:cs="Arial"/>
          <w:sz w:val="21"/>
          <w:lang w:val="es-ES"/>
        </w:rPr>
        <w:t>comportan</w:t>
      </w:r>
      <w:r w:rsidRPr="00E0405E">
        <w:rPr>
          <w:rFonts w:ascii="Verdana" w:eastAsia="Arial MT" w:hAnsi="Verdana" w:cs="Arial"/>
          <w:spacing w:val="-56"/>
          <w:sz w:val="21"/>
          <w:lang w:val="es-ES"/>
        </w:rPr>
        <w:t xml:space="preserve"> </w:t>
      </w:r>
      <w:r w:rsidRPr="00E0405E">
        <w:rPr>
          <w:rFonts w:ascii="Verdana" w:eastAsia="Arial MT" w:hAnsi="Verdana" w:cs="Arial"/>
          <w:sz w:val="21"/>
          <w:lang w:val="es-ES"/>
        </w:rPr>
        <w:t>prohibiciones</w:t>
      </w:r>
      <w:r w:rsidRPr="00E0405E">
        <w:rPr>
          <w:rFonts w:ascii="Verdana" w:eastAsia="Arial MT" w:hAnsi="Verdana" w:cs="Arial"/>
          <w:spacing w:val="-12"/>
          <w:sz w:val="21"/>
          <w:lang w:val="es-ES"/>
        </w:rPr>
        <w:t xml:space="preserve"> </w:t>
      </w:r>
      <w:r w:rsidRPr="00E0405E">
        <w:rPr>
          <w:rFonts w:ascii="Verdana" w:eastAsia="Arial MT" w:hAnsi="Verdana" w:cs="Arial"/>
          <w:sz w:val="21"/>
          <w:lang w:val="es-ES"/>
        </w:rPr>
        <w:t>o</w:t>
      </w:r>
      <w:r w:rsidRPr="00E0405E">
        <w:rPr>
          <w:rFonts w:ascii="Verdana" w:eastAsia="Arial MT" w:hAnsi="Verdana" w:cs="Arial"/>
          <w:spacing w:val="-13"/>
          <w:sz w:val="21"/>
          <w:lang w:val="es-ES"/>
        </w:rPr>
        <w:t xml:space="preserve"> </w:t>
      </w:r>
      <w:r w:rsidRPr="00E0405E">
        <w:rPr>
          <w:rFonts w:ascii="Verdana" w:eastAsia="Arial MT" w:hAnsi="Verdana" w:cs="Arial"/>
          <w:sz w:val="21"/>
          <w:lang w:val="es-ES"/>
        </w:rPr>
        <w:t>limitaciones,</w:t>
      </w:r>
      <w:r w:rsidRPr="00E0405E">
        <w:rPr>
          <w:rFonts w:ascii="Verdana" w:eastAsia="Arial MT" w:hAnsi="Verdana" w:cs="Arial"/>
          <w:spacing w:val="-12"/>
          <w:sz w:val="21"/>
          <w:lang w:val="es-ES"/>
        </w:rPr>
        <w:t xml:space="preserve"> </w:t>
      </w:r>
      <w:r w:rsidRPr="00E0405E">
        <w:rPr>
          <w:rFonts w:ascii="Verdana" w:eastAsia="Arial MT" w:hAnsi="Verdana" w:cs="Arial"/>
          <w:sz w:val="21"/>
          <w:lang w:val="es-ES"/>
        </w:rPr>
        <w:t>deben</w:t>
      </w:r>
      <w:r w:rsidRPr="00E0405E">
        <w:rPr>
          <w:rFonts w:ascii="Verdana" w:eastAsia="Arial MT" w:hAnsi="Verdana" w:cs="Arial"/>
          <w:spacing w:val="-13"/>
          <w:sz w:val="21"/>
          <w:lang w:val="es-ES"/>
        </w:rPr>
        <w:t xml:space="preserve"> </w:t>
      </w:r>
      <w:r w:rsidRPr="00E0405E">
        <w:rPr>
          <w:rFonts w:ascii="Verdana" w:eastAsia="Arial MT" w:hAnsi="Verdana" w:cs="Arial"/>
          <w:sz w:val="21"/>
          <w:lang w:val="es-ES"/>
        </w:rPr>
        <w:t>responder</w:t>
      </w:r>
      <w:r w:rsidRPr="00E0405E">
        <w:rPr>
          <w:rFonts w:ascii="Verdana" w:eastAsia="Arial MT" w:hAnsi="Verdana" w:cs="Arial"/>
          <w:spacing w:val="-13"/>
          <w:sz w:val="21"/>
          <w:lang w:val="es-ES"/>
        </w:rPr>
        <w:t xml:space="preserve"> </w:t>
      </w:r>
      <w:r w:rsidRPr="00E0405E">
        <w:rPr>
          <w:rFonts w:ascii="Verdana" w:eastAsia="Arial MT" w:hAnsi="Verdana" w:cs="Arial"/>
          <w:sz w:val="21"/>
          <w:lang w:val="es-ES"/>
        </w:rPr>
        <w:t>a</w:t>
      </w:r>
      <w:r w:rsidRPr="00E0405E">
        <w:rPr>
          <w:rFonts w:ascii="Verdana" w:eastAsia="Arial MT" w:hAnsi="Verdana" w:cs="Arial"/>
          <w:spacing w:val="-12"/>
          <w:sz w:val="21"/>
          <w:lang w:val="es-ES"/>
        </w:rPr>
        <w:t xml:space="preserve"> </w:t>
      </w:r>
      <w:r w:rsidRPr="00E0405E">
        <w:rPr>
          <w:rFonts w:ascii="Verdana" w:eastAsia="Arial MT" w:hAnsi="Verdana" w:cs="Arial"/>
          <w:sz w:val="21"/>
          <w:lang w:val="es-ES"/>
        </w:rPr>
        <w:t>una</w:t>
      </w:r>
      <w:r w:rsidRPr="00E0405E">
        <w:rPr>
          <w:rFonts w:ascii="Verdana" w:eastAsia="Arial MT" w:hAnsi="Verdana" w:cs="Arial"/>
          <w:spacing w:val="-13"/>
          <w:sz w:val="21"/>
          <w:lang w:val="es-ES"/>
        </w:rPr>
        <w:t xml:space="preserve"> </w:t>
      </w:r>
      <w:r w:rsidRPr="00E0405E">
        <w:rPr>
          <w:rFonts w:ascii="Verdana" w:eastAsia="Arial MT" w:hAnsi="Verdana" w:cs="Arial"/>
          <w:sz w:val="21"/>
          <w:lang w:val="es-ES"/>
        </w:rPr>
        <w:t>interpretación</w:t>
      </w:r>
      <w:r w:rsidRPr="00E0405E">
        <w:rPr>
          <w:rFonts w:ascii="Verdana" w:eastAsia="Arial MT" w:hAnsi="Verdana" w:cs="Arial"/>
          <w:spacing w:val="-12"/>
          <w:sz w:val="21"/>
          <w:lang w:val="es-ES"/>
        </w:rPr>
        <w:t xml:space="preserve"> </w:t>
      </w:r>
      <w:r w:rsidRPr="00E0405E">
        <w:rPr>
          <w:rFonts w:ascii="Verdana" w:eastAsia="Arial MT" w:hAnsi="Verdana" w:cs="Arial"/>
          <w:sz w:val="21"/>
          <w:lang w:val="es-ES"/>
        </w:rPr>
        <w:t xml:space="preserve">restrictiva </w:t>
      </w:r>
      <w:r w:rsidRPr="00E0405E">
        <w:rPr>
          <w:rFonts w:ascii="Verdana" w:eastAsia="Calibri" w:hAnsi="Verdana" w:cs="Arial"/>
          <w:sz w:val="21"/>
          <w:lang w:val="es-MX"/>
        </w:rPr>
        <w:t>que</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no</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permite</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su</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extensión,</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por</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vía</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de</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la</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figura</w:t>
      </w:r>
      <w:r w:rsidRPr="00E0405E">
        <w:rPr>
          <w:rFonts w:ascii="Verdana" w:eastAsia="Calibri" w:hAnsi="Verdana" w:cs="Arial"/>
          <w:spacing w:val="-4"/>
          <w:sz w:val="21"/>
          <w:lang w:val="es-MX"/>
        </w:rPr>
        <w:t xml:space="preserve"> </w:t>
      </w:r>
      <w:r w:rsidRPr="00E0405E">
        <w:rPr>
          <w:rFonts w:ascii="Verdana" w:eastAsia="Calibri" w:hAnsi="Verdana" w:cs="Arial"/>
          <w:sz w:val="21"/>
          <w:lang w:val="es-MX"/>
        </w:rPr>
        <w:t>de</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la</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analogía,</w:t>
      </w:r>
      <w:r w:rsidRPr="00E0405E">
        <w:rPr>
          <w:rFonts w:ascii="Verdana" w:eastAsia="Calibri" w:hAnsi="Verdana" w:cs="Arial"/>
          <w:spacing w:val="-6"/>
          <w:sz w:val="21"/>
          <w:lang w:val="es-MX"/>
        </w:rPr>
        <w:t xml:space="preserve"> </w:t>
      </w:r>
      <w:r w:rsidRPr="00E0405E">
        <w:rPr>
          <w:rFonts w:ascii="Verdana" w:eastAsia="Calibri" w:hAnsi="Verdana" w:cs="Arial"/>
          <w:sz w:val="21"/>
          <w:lang w:val="es-MX"/>
        </w:rPr>
        <w:t>a</w:t>
      </w:r>
      <w:r w:rsidRPr="00E0405E">
        <w:rPr>
          <w:rFonts w:ascii="Verdana" w:eastAsia="Calibri" w:hAnsi="Verdana" w:cs="Arial"/>
          <w:spacing w:val="-5"/>
          <w:sz w:val="21"/>
          <w:lang w:val="es-MX"/>
        </w:rPr>
        <w:t xml:space="preserve"> </w:t>
      </w:r>
      <w:r w:rsidRPr="00E0405E">
        <w:rPr>
          <w:rFonts w:ascii="Verdana" w:eastAsia="Calibri" w:hAnsi="Verdana" w:cs="Arial"/>
          <w:sz w:val="21"/>
          <w:lang w:val="es-MX"/>
        </w:rPr>
        <w:t>supuestos</w:t>
      </w:r>
      <w:r w:rsidRPr="00E0405E">
        <w:rPr>
          <w:rFonts w:ascii="Verdana" w:eastAsia="Calibri" w:hAnsi="Verdana" w:cs="Arial"/>
          <w:spacing w:val="-56"/>
          <w:sz w:val="21"/>
          <w:lang w:val="es-MX"/>
        </w:rPr>
        <w:t xml:space="preserve"> </w:t>
      </w:r>
      <w:r w:rsidRPr="00E0405E">
        <w:rPr>
          <w:rFonts w:ascii="Verdana" w:eastAsia="Calibri" w:hAnsi="Verdana" w:cs="Arial"/>
          <w:sz w:val="21"/>
          <w:lang w:val="es-MX"/>
        </w:rPr>
        <w:t>no</w:t>
      </w:r>
      <w:r w:rsidRPr="00E0405E">
        <w:rPr>
          <w:rFonts w:ascii="Verdana" w:eastAsia="Calibri" w:hAnsi="Verdana" w:cs="Arial"/>
          <w:spacing w:val="-2"/>
          <w:sz w:val="21"/>
          <w:lang w:val="es-MX"/>
        </w:rPr>
        <w:t xml:space="preserve"> </w:t>
      </w:r>
      <w:r w:rsidRPr="00E0405E">
        <w:rPr>
          <w:rFonts w:ascii="Verdana" w:eastAsia="Calibri" w:hAnsi="Verdana" w:cs="Arial"/>
          <w:sz w:val="21"/>
          <w:lang w:val="es-MX"/>
        </w:rPr>
        <w:t>contemplados</w:t>
      </w:r>
      <w:r w:rsidRPr="00E0405E">
        <w:rPr>
          <w:rFonts w:ascii="Verdana" w:eastAsia="Calibri" w:hAnsi="Verdana" w:cs="Arial"/>
          <w:spacing w:val="-1"/>
          <w:sz w:val="21"/>
          <w:lang w:val="es-MX"/>
        </w:rPr>
        <w:t xml:space="preserve"> </w:t>
      </w:r>
      <w:r w:rsidRPr="00E0405E">
        <w:rPr>
          <w:rFonts w:ascii="Verdana" w:eastAsia="Calibri" w:hAnsi="Verdana" w:cs="Arial"/>
          <w:sz w:val="21"/>
          <w:lang w:val="es-MX"/>
        </w:rPr>
        <w:t>por</w:t>
      </w:r>
      <w:r w:rsidRPr="00E0405E">
        <w:rPr>
          <w:rFonts w:ascii="Verdana" w:eastAsia="Calibri" w:hAnsi="Verdana" w:cs="Arial"/>
          <w:spacing w:val="-1"/>
          <w:sz w:val="21"/>
          <w:lang w:val="es-MX"/>
        </w:rPr>
        <w:t xml:space="preserve"> </w:t>
      </w:r>
      <w:r w:rsidRPr="00E0405E">
        <w:rPr>
          <w:rFonts w:ascii="Verdana" w:eastAsia="Calibri" w:hAnsi="Verdana" w:cs="Arial"/>
          <w:sz w:val="21"/>
          <w:lang w:val="es-MX"/>
        </w:rPr>
        <w:t>el</w:t>
      </w:r>
      <w:r w:rsidRPr="00E0405E">
        <w:rPr>
          <w:rFonts w:ascii="Verdana" w:eastAsia="Calibri" w:hAnsi="Verdana" w:cs="Arial"/>
          <w:spacing w:val="-1"/>
          <w:sz w:val="21"/>
          <w:lang w:val="es-MX"/>
        </w:rPr>
        <w:t xml:space="preserve"> </w:t>
      </w:r>
      <w:r w:rsidRPr="00E0405E">
        <w:rPr>
          <w:rFonts w:ascii="Verdana" w:eastAsia="Calibri" w:hAnsi="Verdana" w:cs="Arial"/>
          <w:sz w:val="21"/>
          <w:lang w:val="es-MX"/>
        </w:rPr>
        <w:t>ordenamiento”</w:t>
      </w:r>
      <w:r w:rsidRPr="00E0405E">
        <w:rPr>
          <w:rFonts w:ascii="Verdana" w:eastAsia="Calibri" w:hAnsi="Verdana" w:cs="Arial"/>
          <w:sz w:val="21"/>
          <w:vertAlign w:val="superscript"/>
          <w:lang w:val="es-MX"/>
        </w:rPr>
        <w:footnoteReference w:id="7"/>
      </w:r>
      <w:r w:rsidRPr="00E0405E">
        <w:rPr>
          <w:rFonts w:ascii="Verdana" w:eastAsia="Calibri" w:hAnsi="Verdana" w:cs="Arial"/>
          <w:sz w:val="21"/>
          <w:lang w:val="es-MX"/>
        </w:rPr>
        <w:t>.</w:t>
      </w:r>
    </w:p>
    <w:p w14:paraId="29747BC0" w14:textId="77777777" w:rsidR="00685370" w:rsidRPr="00E0405E" w:rsidRDefault="00685370" w:rsidP="00685370">
      <w:pPr>
        <w:widowControl w:val="0"/>
        <w:autoSpaceDE w:val="0"/>
        <w:autoSpaceDN w:val="0"/>
        <w:spacing w:after="0" w:line="240" w:lineRule="auto"/>
        <w:ind w:left="709" w:right="709"/>
        <w:jc w:val="both"/>
        <w:rPr>
          <w:rFonts w:ascii="Verdana" w:eastAsia="Calibri" w:hAnsi="Verdana" w:cs="Arial"/>
          <w:sz w:val="21"/>
          <w:lang w:val="es-MX"/>
        </w:rPr>
      </w:pPr>
    </w:p>
    <w:p w14:paraId="74BC37F5" w14:textId="77777777" w:rsidR="00685370" w:rsidRDefault="00685370" w:rsidP="00685370">
      <w:pPr>
        <w:spacing w:after="120" w:line="276" w:lineRule="auto"/>
        <w:ind w:firstLine="709"/>
        <w:jc w:val="both"/>
        <w:rPr>
          <w:rFonts w:ascii="Verdana" w:hAnsi="Verdana" w:cs="Arial"/>
          <w:i/>
          <w:iCs/>
          <w:color w:val="000000"/>
        </w:rPr>
      </w:pPr>
      <w:r w:rsidRPr="00E0405E">
        <w:rPr>
          <w:rFonts w:ascii="Verdana" w:eastAsia="Calibri" w:hAnsi="Verdana" w:cs="Arial"/>
          <w:lang w:val="es-ES"/>
        </w:rPr>
        <w:t>En relación con el supuesto de hecho materia de consulta resulta relevante analizar si se configura la in</w:t>
      </w:r>
      <w:r>
        <w:rPr>
          <w:rFonts w:ascii="Verdana" w:eastAsia="Calibri" w:hAnsi="Verdana" w:cs="Arial"/>
          <w:lang w:val="es-ES"/>
        </w:rPr>
        <w:t>habilidad</w:t>
      </w:r>
      <w:r w:rsidRPr="00E0405E">
        <w:rPr>
          <w:rFonts w:ascii="Verdana" w:eastAsia="Calibri" w:hAnsi="Verdana" w:cs="Arial"/>
          <w:lang w:val="es-ES"/>
        </w:rPr>
        <w:t xml:space="preserve"> establecida en el artículo 5 de la Ley 1474 de 2011, en virtud de la cual </w:t>
      </w:r>
      <w:r w:rsidRPr="00E0405E">
        <w:rPr>
          <w:rFonts w:ascii="Verdana" w:eastAsia="Calibri" w:hAnsi="Verdana" w:cs="Arial"/>
          <w:i/>
          <w:iCs/>
          <w:lang w:val="es-ES"/>
        </w:rPr>
        <w:t>“</w:t>
      </w:r>
      <w:r w:rsidRPr="00E0405E">
        <w:rPr>
          <w:rFonts w:ascii="Verdana" w:hAnsi="Verdana" w:cs="Arial"/>
          <w:i/>
          <w:iCs/>
          <w:color w:val="000000"/>
        </w:rPr>
        <w:t>(…)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 de la Ley 80 de 1993, durante el plazo de ejecución y hasta la liquidación del mismo, no podrán celebrar contratos de interventoría con la misma entidad. (…)”.</w:t>
      </w:r>
    </w:p>
    <w:p w14:paraId="73BBAF95" w14:textId="77777777" w:rsidR="00685370" w:rsidRDefault="00685370" w:rsidP="00685370">
      <w:pPr>
        <w:spacing w:after="120" w:line="276" w:lineRule="auto"/>
        <w:ind w:firstLine="709"/>
        <w:jc w:val="both"/>
        <w:rPr>
          <w:rFonts w:ascii="Verdana" w:eastAsia="Calibri" w:hAnsi="Verdana" w:cs="Arial"/>
        </w:rPr>
      </w:pPr>
      <w:r w:rsidRPr="00E0405E">
        <w:rPr>
          <w:rFonts w:ascii="Verdana" w:eastAsia="Century Gothic" w:hAnsi="Verdana" w:cs="Century Gothic"/>
          <w:bCs/>
        </w:rPr>
        <w:t xml:space="preserve">Ahora bien, analizada la referida </w:t>
      </w:r>
      <w:r w:rsidRPr="00E0405E">
        <w:rPr>
          <w:rFonts w:ascii="Verdana" w:eastAsia="Calibri" w:hAnsi="Verdana" w:cs="Arial"/>
        </w:rPr>
        <w:t xml:space="preserve">inhabilidad, se advierte que esta configura en quienes hayan celebrado un contrato de obra pública, y por lo cual no podrán durante el plazo de ejecución y hasta la liquidación </w:t>
      </w:r>
      <w:proofErr w:type="gramStart"/>
      <w:r w:rsidRPr="00E0405E">
        <w:rPr>
          <w:rFonts w:ascii="Verdana" w:eastAsia="Calibri" w:hAnsi="Verdana" w:cs="Arial"/>
        </w:rPr>
        <w:t>del mismo</w:t>
      </w:r>
      <w:proofErr w:type="gramEnd"/>
      <w:r w:rsidRPr="00E0405E">
        <w:rPr>
          <w:rFonts w:ascii="Verdana" w:eastAsia="Calibri" w:hAnsi="Verdana" w:cs="Arial"/>
        </w:rPr>
        <w:t>, celebrar contratos de interventoría con la misma entidad.  En virtud de esta causal tienen entonces restringida la capacidad contractual personas naturales o jurídicas, que tengan en ejecución un contrato de obra pública para la celebración de un contrato de interventoría</w:t>
      </w:r>
      <w:r>
        <w:rPr>
          <w:rFonts w:ascii="Verdana" w:eastAsia="Calibri" w:hAnsi="Verdana" w:cs="Arial"/>
        </w:rPr>
        <w:t xml:space="preserve">. </w:t>
      </w:r>
    </w:p>
    <w:p w14:paraId="024BD175" w14:textId="77777777" w:rsidR="00685370" w:rsidRPr="00C70A70" w:rsidRDefault="00685370" w:rsidP="00685370">
      <w:pPr>
        <w:spacing w:after="120" w:line="276" w:lineRule="auto"/>
        <w:ind w:firstLine="709"/>
        <w:jc w:val="both"/>
        <w:rPr>
          <w:rFonts w:ascii="Verdana" w:hAnsi="Verdana" w:cs="Arial"/>
          <w:color w:val="000000"/>
        </w:rPr>
      </w:pPr>
      <w:r>
        <w:rPr>
          <w:rFonts w:ascii="Verdana" w:hAnsi="Verdana" w:cs="Arial"/>
          <w:lang w:eastAsia="es-ES"/>
        </w:rPr>
        <w:t xml:space="preserve">Así mismo, </w:t>
      </w:r>
      <w:proofErr w:type="gramStart"/>
      <w:r>
        <w:rPr>
          <w:rFonts w:ascii="Verdana" w:hAnsi="Verdana" w:cs="Arial"/>
          <w:lang w:eastAsia="es-ES"/>
        </w:rPr>
        <w:t>de acuerdo a</w:t>
      </w:r>
      <w:proofErr w:type="gramEnd"/>
      <w:r>
        <w:rPr>
          <w:rFonts w:ascii="Verdana" w:hAnsi="Verdana" w:cs="Arial"/>
          <w:lang w:eastAsia="es-ES"/>
        </w:rPr>
        <w:t xml:space="preserve"> la norma que indica la inhabilidad y acudiendo al</w:t>
      </w:r>
      <w:r w:rsidRPr="00E0405E">
        <w:rPr>
          <w:rFonts w:ascii="Verdana" w:eastAsia="Century Gothic" w:hAnsi="Verdana" w:cs="Century Gothic"/>
          <w:bCs/>
        </w:rPr>
        <w:t xml:space="preserve"> criterio de interpretación restrictiva aplicable a las disposiciones del régimen de inhabilidades e incompatibilidades</w:t>
      </w:r>
      <w:r>
        <w:rPr>
          <w:rFonts w:ascii="Verdana" w:eastAsia="Century Gothic" w:hAnsi="Verdana" w:cs="Century Gothic"/>
          <w:bCs/>
        </w:rPr>
        <w:t xml:space="preserve"> y analizada la situación descrita en su pregunta. A juicio de esta Agencia e</w:t>
      </w:r>
      <w:r w:rsidRPr="00E0405E">
        <w:rPr>
          <w:rFonts w:ascii="Verdana" w:eastAsia="Century Gothic" w:hAnsi="Verdana" w:cs="Century Gothic"/>
          <w:bCs/>
        </w:rPr>
        <w:t>n este evento</w:t>
      </w:r>
      <w:r>
        <w:rPr>
          <w:rFonts w:ascii="Verdana" w:eastAsia="Century Gothic" w:hAnsi="Verdana" w:cs="Century Gothic"/>
          <w:bCs/>
        </w:rPr>
        <w:t xml:space="preserve"> no</w:t>
      </w:r>
      <w:r w:rsidRPr="00E0405E">
        <w:rPr>
          <w:rFonts w:ascii="Verdana" w:eastAsia="Century Gothic" w:hAnsi="Verdana" w:cs="Century Gothic"/>
          <w:bCs/>
        </w:rPr>
        <w:t xml:space="preserve"> hay lugar a la aplicación de la inhabilidad prevista en el artículo 5 de la Ley 1474 de 2011, como quiera </w:t>
      </w:r>
      <w:r w:rsidRPr="00E0405E">
        <w:rPr>
          <w:rFonts w:ascii="Verdana" w:eastAsia="Century Gothic" w:hAnsi="Verdana" w:cs="Century Gothic"/>
          <w:bCs/>
        </w:rPr>
        <w:lastRenderedPageBreak/>
        <w:t xml:space="preserve">que la norma </w:t>
      </w:r>
      <w:r>
        <w:rPr>
          <w:rFonts w:ascii="Verdana" w:eastAsia="Century Gothic" w:hAnsi="Verdana" w:cs="Century Gothic"/>
          <w:bCs/>
        </w:rPr>
        <w:t xml:space="preserve">señala </w:t>
      </w:r>
      <w:r w:rsidRPr="00E0405E">
        <w:rPr>
          <w:rFonts w:ascii="Verdana" w:eastAsia="Century Gothic" w:hAnsi="Verdana" w:cs="Century Gothic"/>
          <w:bCs/>
        </w:rPr>
        <w:t xml:space="preserve">a quien hubiese celebrado un contrato de obra pública </w:t>
      </w:r>
      <w:r>
        <w:rPr>
          <w:rFonts w:ascii="Verdana" w:eastAsia="Century Gothic" w:hAnsi="Verdana" w:cs="Century Gothic"/>
          <w:bCs/>
        </w:rPr>
        <w:t xml:space="preserve">o su </w:t>
      </w:r>
      <w:r w:rsidRPr="004163EB">
        <w:rPr>
          <w:rFonts w:ascii="Verdana" w:eastAsia="Century Gothic" w:hAnsi="Verdana" w:cs="Century Gothic"/>
          <w:bCs/>
        </w:rPr>
        <w:t xml:space="preserve">cónyuge, compañero o compañera permanente, pariente </w:t>
      </w:r>
      <w:r w:rsidRPr="00C70A70">
        <w:rPr>
          <w:rFonts w:ascii="Verdana" w:eastAsia="Century Gothic" w:hAnsi="Verdana" w:cs="Century Gothic"/>
          <w:bCs/>
        </w:rPr>
        <w:t>hasta el segundo grado de consanguinidad,</w:t>
      </w:r>
      <w:r w:rsidRPr="004163EB">
        <w:rPr>
          <w:rFonts w:ascii="Verdana" w:eastAsia="Century Gothic" w:hAnsi="Verdana" w:cs="Century Gothic"/>
          <w:bCs/>
        </w:rPr>
        <w:t xml:space="preserve"> segundo de afinidad y/o primero civil</w:t>
      </w:r>
      <w:r>
        <w:rPr>
          <w:rFonts w:ascii="Verdana" w:eastAsia="Century Gothic" w:hAnsi="Verdana" w:cs="Century Gothic"/>
          <w:bCs/>
        </w:rPr>
        <w:t xml:space="preserve"> o sus socios </w:t>
      </w:r>
      <w:r w:rsidRPr="006E7EA3">
        <w:rPr>
          <w:rFonts w:ascii="Verdana" w:eastAsia="Century Gothic" w:hAnsi="Verdana" w:cs="Century Gothic"/>
          <w:bCs/>
        </w:rPr>
        <w:t>en sociedades distintas de las anónimas abiertas</w:t>
      </w:r>
      <w:r>
        <w:rPr>
          <w:rFonts w:ascii="Verdana" w:eastAsia="Century Gothic" w:hAnsi="Verdana" w:cs="Century Gothic"/>
          <w:bCs/>
        </w:rPr>
        <w:t xml:space="preserve"> no pueden celebrar contratos de interventoría </w:t>
      </w:r>
      <w:r w:rsidRPr="00C70A70">
        <w:rPr>
          <w:rFonts w:ascii="Verdana" w:eastAsia="Century Gothic" w:hAnsi="Verdana" w:cs="Century Gothic"/>
          <w:bCs/>
        </w:rPr>
        <w:t>durante la ejecución y hasta la liquidación del mismo</w:t>
      </w:r>
      <w:r>
        <w:rPr>
          <w:rFonts w:ascii="Verdana" w:eastAsia="Century Gothic" w:hAnsi="Verdana" w:cs="Century Gothic"/>
          <w:bCs/>
        </w:rPr>
        <w:t xml:space="preserve"> de obra. Por ende</w:t>
      </w:r>
      <w:r w:rsidRPr="007207D9">
        <w:rPr>
          <w:rFonts w:ascii="Verdana" w:eastAsia="Century Gothic" w:hAnsi="Verdana" w:cs="Century Gothic"/>
          <w:bCs/>
        </w:rPr>
        <w:t>, según los hechos expuestos, los contratos de obra e interventoría fueron adjudicados mediante procesos independientes y su celebración ocurrió antes del inicio de la ejecución contractual, circunstancia que impide extender la causal de inhabilidad más allá de los supuestos expresamente previstos por el legislador.</w:t>
      </w:r>
    </w:p>
    <w:p w14:paraId="31AF1F64" w14:textId="77777777" w:rsidR="00685370" w:rsidRPr="001F13B8" w:rsidRDefault="00685370" w:rsidP="00685370">
      <w:pPr>
        <w:spacing w:after="0" w:line="276" w:lineRule="auto"/>
        <w:ind w:firstLine="709"/>
        <w:jc w:val="both"/>
        <w:rPr>
          <w:rFonts w:ascii="Verdana" w:eastAsia="Times New Roman" w:hAnsi="Verdana" w:cs="Times New Roman"/>
          <w:color w:val="000000" w:themeColor="text1"/>
          <w:lang w:eastAsia="es-ES"/>
        </w:rPr>
      </w:pPr>
      <w:r w:rsidRPr="001F13B8">
        <w:rPr>
          <w:rFonts w:ascii="Verdana" w:eastAsia="Calibri" w:hAnsi="Verdana" w:cs="Arial"/>
          <w:color w:val="000000" w:themeColor="text1"/>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1F13B8">
        <w:rPr>
          <w:rFonts w:ascii="Verdana" w:eastAsia="Times New Roman" w:hAnsi="Verdana" w:cs="Times New Roman"/>
          <w:color w:val="000000" w:themeColor="text1"/>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2654076A" w14:textId="77777777" w:rsidR="00685370" w:rsidRPr="00235ED9" w:rsidRDefault="00685370" w:rsidP="00685370">
      <w:pPr>
        <w:spacing w:after="0" w:line="276" w:lineRule="auto"/>
        <w:ind w:firstLine="709"/>
        <w:jc w:val="both"/>
        <w:rPr>
          <w:rFonts w:ascii="Verdana" w:eastAsia="Times New Roman" w:hAnsi="Verdana" w:cs="Times New Roman"/>
          <w:color w:val="4472C4" w:themeColor="accent1"/>
          <w:lang w:eastAsia="es-ES"/>
        </w:rPr>
      </w:pPr>
    </w:p>
    <w:p w14:paraId="00AD2DF3" w14:textId="77777777" w:rsidR="00685370" w:rsidRPr="001A1BB6" w:rsidRDefault="00685370" w:rsidP="00685370">
      <w:pPr>
        <w:spacing w:after="120" w:line="276" w:lineRule="auto"/>
        <w:jc w:val="both"/>
        <w:rPr>
          <w:rFonts w:ascii="Verdana" w:eastAsia="Century Gothic" w:hAnsi="Verdana" w:cs="Century Gothic"/>
          <w:b/>
          <w:lang w:val="es-ES"/>
        </w:rPr>
      </w:pPr>
      <w:r w:rsidRPr="001A1BB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85370" w:rsidRPr="00235ED9" w14:paraId="3D5EB04B" w14:textId="77777777" w:rsidTr="003E29C5">
        <w:trPr>
          <w:trHeight w:val="1689"/>
        </w:trPr>
        <w:tc>
          <w:tcPr>
            <w:tcW w:w="8647" w:type="dxa"/>
          </w:tcPr>
          <w:p w14:paraId="0EC87ED9" w14:textId="77777777" w:rsidR="00685370" w:rsidRPr="00E0405E" w:rsidRDefault="00685370" w:rsidP="003E29C5">
            <w:pPr>
              <w:pStyle w:val="Prrafodelista"/>
              <w:numPr>
                <w:ilvl w:val="0"/>
                <w:numId w:val="18"/>
              </w:numPr>
              <w:tabs>
                <w:tab w:val="left" w:pos="142"/>
                <w:tab w:val="left" w:pos="284"/>
              </w:tabs>
              <w:jc w:val="both"/>
              <w:rPr>
                <w:rFonts w:ascii="Verdana" w:eastAsia="Century Gothic" w:hAnsi="Verdana" w:cs="Century Gothic"/>
              </w:rPr>
            </w:pPr>
            <w:r w:rsidRPr="00E0405E">
              <w:rPr>
                <w:rFonts w:ascii="Verdana" w:eastAsia="Century Gothic" w:hAnsi="Verdana" w:cs="Century Gothic"/>
              </w:rPr>
              <w:t xml:space="preserve">Constitución Política de Colombia, artículo 6. Disponible en: </w:t>
            </w:r>
            <w:hyperlink r:id="rId12" w:history="1">
              <w:r w:rsidRPr="00E0405E">
                <w:rPr>
                  <w:rStyle w:val="Hipervnculo"/>
                  <w:rFonts w:ascii="Verdana" w:eastAsia="Century Gothic" w:hAnsi="Verdana" w:cs="Century Gothic"/>
                </w:rPr>
                <w:t>https://relatoria.colombiacompra.gov.co/normativa/constitucion-politica-de-colombia-de-1991-de-1991/</w:t>
              </w:r>
            </w:hyperlink>
          </w:p>
          <w:p w14:paraId="3CB70DD2" w14:textId="77777777" w:rsidR="00685370" w:rsidRPr="00E0405E" w:rsidRDefault="00685370" w:rsidP="003E29C5">
            <w:pPr>
              <w:pStyle w:val="Prrafodelista"/>
              <w:tabs>
                <w:tab w:val="left" w:pos="142"/>
                <w:tab w:val="left" w:pos="284"/>
              </w:tabs>
              <w:jc w:val="both"/>
              <w:rPr>
                <w:rFonts w:ascii="Verdana" w:eastAsia="Century Gothic" w:hAnsi="Verdana" w:cs="Century Gothic"/>
              </w:rPr>
            </w:pPr>
            <w:r w:rsidRPr="00E0405E">
              <w:rPr>
                <w:rFonts w:ascii="Verdana" w:eastAsia="Century Gothic" w:hAnsi="Verdana" w:cs="Century Gothic"/>
              </w:rPr>
              <w:t xml:space="preserve"> </w:t>
            </w:r>
          </w:p>
          <w:p w14:paraId="5599FF1A" w14:textId="77777777" w:rsidR="00685370" w:rsidRPr="00E0405E" w:rsidRDefault="00685370" w:rsidP="003E29C5">
            <w:pPr>
              <w:pStyle w:val="Prrafodelista"/>
              <w:numPr>
                <w:ilvl w:val="0"/>
                <w:numId w:val="18"/>
              </w:numPr>
              <w:tabs>
                <w:tab w:val="left" w:pos="142"/>
                <w:tab w:val="left" w:pos="284"/>
              </w:tabs>
              <w:jc w:val="both"/>
              <w:rPr>
                <w:rFonts w:ascii="Verdana" w:eastAsia="Century Gothic" w:hAnsi="Verdana" w:cs="Century Gothic"/>
              </w:rPr>
            </w:pPr>
            <w:r w:rsidRPr="00E0405E">
              <w:rPr>
                <w:rFonts w:ascii="Verdana" w:eastAsia="Century Gothic" w:hAnsi="Verdana" w:cs="Century Gothic"/>
              </w:rPr>
              <w:t>Ley 80 de 1993, artículo 3, artículo 40</w:t>
            </w:r>
            <w:r>
              <w:rPr>
                <w:rFonts w:ascii="Verdana" w:eastAsia="Century Gothic" w:hAnsi="Verdana" w:cs="Century Gothic"/>
              </w:rPr>
              <w:t xml:space="preserve">, artículo 44 y artículo 45. </w:t>
            </w:r>
            <w:r w:rsidRPr="00E0405E">
              <w:rPr>
                <w:rFonts w:ascii="Verdana" w:eastAsia="Century Gothic" w:hAnsi="Verdana" w:cs="Century Gothic"/>
              </w:rPr>
              <w:t xml:space="preserve"> Disponible en:</w:t>
            </w:r>
          </w:p>
          <w:p w14:paraId="0FDC6775" w14:textId="77777777" w:rsidR="00685370" w:rsidRPr="00E0405E" w:rsidRDefault="00685370" w:rsidP="003E29C5">
            <w:pPr>
              <w:tabs>
                <w:tab w:val="left" w:pos="142"/>
                <w:tab w:val="left" w:pos="284"/>
              </w:tabs>
              <w:jc w:val="both"/>
              <w:rPr>
                <w:rFonts w:ascii="Verdana" w:eastAsia="Century Gothic" w:hAnsi="Verdana" w:cs="Century Gothic"/>
                <w:bCs/>
                <w:lang w:val="es-ES_tradnl"/>
              </w:rPr>
            </w:pPr>
            <w:r w:rsidRPr="00E0405E">
              <w:rPr>
                <w:rFonts w:ascii="Verdana" w:eastAsia="Century Gothic" w:hAnsi="Verdana" w:cs="Century Gothic"/>
                <w:bCs/>
                <w:lang w:val="es-ES_tradnl"/>
              </w:rPr>
              <w:tab/>
            </w:r>
            <w:r w:rsidRPr="00E0405E">
              <w:rPr>
                <w:rFonts w:ascii="Verdana" w:eastAsia="Century Gothic" w:hAnsi="Verdana" w:cs="Century Gothic"/>
                <w:bCs/>
                <w:lang w:val="es-ES_tradnl"/>
              </w:rPr>
              <w:tab/>
            </w:r>
            <w:r w:rsidRPr="00E0405E">
              <w:rPr>
                <w:rFonts w:ascii="Verdana" w:eastAsia="Century Gothic" w:hAnsi="Verdana" w:cs="Century Gothic"/>
                <w:bCs/>
                <w:lang w:val="es-ES_tradnl"/>
              </w:rPr>
              <w:tab/>
            </w:r>
            <w:hyperlink r:id="rId13" w:history="1">
              <w:r w:rsidRPr="00E0405E">
                <w:rPr>
                  <w:rStyle w:val="Hipervnculo"/>
                  <w:rFonts w:ascii="Verdana" w:eastAsia="Century Gothic" w:hAnsi="Verdana" w:cs="Century Gothic"/>
                  <w:bCs/>
                  <w:lang w:val="es-ES_tradnl"/>
                </w:rPr>
                <w:t>https://relatoria.colombiacompra.gov.co/normativa/ley-80-de-1993/</w:t>
              </w:r>
            </w:hyperlink>
          </w:p>
          <w:p w14:paraId="1579B345" w14:textId="77777777" w:rsidR="00685370" w:rsidRPr="00E0405E" w:rsidRDefault="00685370" w:rsidP="003E29C5">
            <w:pPr>
              <w:pStyle w:val="Prrafodelista"/>
              <w:tabs>
                <w:tab w:val="left" w:pos="142"/>
                <w:tab w:val="left" w:pos="284"/>
              </w:tabs>
              <w:jc w:val="both"/>
              <w:rPr>
                <w:rFonts w:ascii="Verdana" w:eastAsia="Century Gothic" w:hAnsi="Verdana" w:cs="Century Gothic"/>
              </w:rPr>
            </w:pPr>
          </w:p>
          <w:p w14:paraId="78DF27A5" w14:textId="77777777" w:rsidR="00685370" w:rsidRPr="00E0405E" w:rsidRDefault="00685370" w:rsidP="003E29C5">
            <w:pPr>
              <w:pStyle w:val="Prrafodelista"/>
              <w:numPr>
                <w:ilvl w:val="0"/>
                <w:numId w:val="18"/>
              </w:numPr>
              <w:tabs>
                <w:tab w:val="left" w:pos="142"/>
                <w:tab w:val="left" w:pos="284"/>
              </w:tabs>
              <w:jc w:val="both"/>
              <w:rPr>
                <w:rFonts w:ascii="Verdana" w:eastAsia="Century Gothic" w:hAnsi="Verdana" w:cs="Century Gothic"/>
              </w:rPr>
            </w:pPr>
            <w:r w:rsidRPr="00E0405E">
              <w:rPr>
                <w:rFonts w:ascii="Verdana" w:eastAsia="Century Gothic" w:hAnsi="Verdana" w:cs="Century Gothic"/>
              </w:rPr>
              <w:t xml:space="preserve">Ley 1474 de 2011, artículo 5. Disponible en: </w:t>
            </w:r>
            <w:hyperlink r:id="rId14" w:history="1">
              <w:r w:rsidRPr="00E0405E">
                <w:rPr>
                  <w:rStyle w:val="Hipervnculo"/>
                  <w:rFonts w:ascii="Verdana" w:eastAsia="Century Gothic" w:hAnsi="Verdana" w:cs="Century Gothic"/>
                </w:rPr>
                <w:t>https://relatoria.colombiacompra.gov.co/normativa/ley-1474-de-2011/</w:t>
              </w:r>
            </w:hyperlink>
          </w:p>
          <w:p w14:paraId="2400CD05" w14:textId="77777777" w:rsidR="00685370" w:rsidRPr="00E0405E" w:rsidRDefault="00685370" w:rsidP="003E29C5">
            <w:pPr>
              <w:pStyle w:val="Prrafodelista"/>
              <w:tabs>
                <w:tab w:val="left" w:pos="142"/>
                <w:tab w:val="left" w:pos="284"/>
              </w:tabs>
              <w:jc w:val="both"/>
              <w:rPr>
                <w:rFonts w:ascii="Verdana" w:eastAsia="Century Gothic" w:hAnsi="Verdana" w:cs="Century Gothic"/>
              </w:rPr>
            </w:pPr>
          </w:p>
          <w:p w14:paraId="4DC5F7D5" w14:textId="77777777" w:rsidR="00685370" w:rsidRPr="00E0405E" w:rsidRDefault="00685370" w:rsidP="003E29C5">
            <w:pPr>
              <w:pStyle w:val="Prrafodelista"/>
              <w:numPr>
                <w:ilvl w:val="0"/>
                <w:numId w:val="18"/>
              </w:numPr>
              <w:tabs>
                <w:tab w:val="left" w:pos="142"/>
                <w:tab w:val="left" w:pos="284"/>
              </w:tabs>
              <w:jc w:val="both"/>
              <w:rPr>
                <w:rFonts w:ascii="Verdana" w:eastAsia="Century Gothic" w:hAnsi="Verdana" w:cs="Century Gothic"/>
              </w:rPr>
            </w:pPr>
            <w:r w:rsidRPr="00E0405E">
              <w:rPr>
                <w:rFonts w:ascii="Verdana" w:eastAsia="Century Gothic" w:hAnsi="Verdana" w:cs="Century Gothic"/>
              </w:rPr>
              <w:lastRenderedPageBreak/>
              <w:t>Consejo de Estado. Sección Tercera. Subsección A. Sentencia del 24 de junio de 2015. Exp. 40.635. Consejero Ponente: Hernán Andrade Rincón (E). Disponible en:</w:t>
            </w:r>
          </w:p>
          <w:p w14:paraId="3EC17701" w14:textId="77777777" w:rsidR="00685370" w:rsidRPr="00E0405E" w:rsidRDefault="00685370" w:rsidP="003E29C5">
            <w:pPr>
              <w:pStyle w:val="Prrafodelista"/>
              <w:tabs>
                <w:tab w:val="left" w:pos="142"/>
                <w:tab w:val="left" w:pos="284"/>
              </w:tabs>
              <w:jc w:val="both"/>
              <w:rPr>
                <w:rFonts w:ascii="Verdana" w:eastAsia="Century Gothic" w:hAnsi="Verdana" w:cs="Century Gothic"/>
                <w:bCs/>
                <w:lang w:val="es-ES_tradnl"/>
              </w:rPr>
            </w:pPr>
            <w:hyperlink r:id="rId15" w:history="1">
              <w:r w:rsidRPr="00E0405E">
                <w:rPr>
                  <w:rStyle w:val="Hipervnculo"/>
                  <w:rFonts w:ascii="Verdana" w:eastAsia="Century Gothic" w:hAnsi="Verdana" w:cs="Century Gothic"/>
                  <w:bCs/>
                  <w:lang w:val="es-ES_tradnl"/>
                </w:rPr>
                <w:t>https://relatoria.colombiacompra.gov.co/providencias/05001-23-31-000-1997-02636-01_40635/</w:t>
              </w:r>
            </w:hyperlink>
          </w:p>
          <w:p w14:paraId="1EFF25ED" w14:textId="77777777" w:rsidR="00685370" w:rsidRPr="00CD4D90" w:rsidRDefault="00685370" w:rsidP="003E29C5">
            <w:pPr>
              <w:widowControl w:val="0"/>
              <w:numPr>
                <w:ilvl w:val="0"/>
                <w:numId w:val="17"/>
              </w:numPr>
              <w:autoSpaceDE w:val="0"/>
              <w:autoSpaceDN w:val="0"/>
              <w:spacing w:line="276" w:lineRule="auto"/>
              <w:ind w:left="714" w:hanging="357"/>
              <w:jc w:val="both"/>
              <w:rPr>
                <w:rFonts w:ascii="Verdana" w:eastAsia="Arial MT" w:hAnsi="Verdana" w:cs="Arial"/>
                <w:bCs/>
                <w:lang w:eastAsia="es-ES" w:bidi="es-ES"/>
              </w:rPr>
            </w:pPr>
            <w:r w:rsidRPr="00D34660">
              <w:rPr>
                <w:rFonts w:ascii="Verdana" w:eastAsia="Arial MT" w:hAnsi="Verdana" w:cs="Arial"/>
                <w:bCs/>
                <w:lang w:eastAsia="es-ES" w:bidi="es-ES"/>
              </w:rPr>
              <w:t xml:space="preserve"> </w:t>
            </w:r>
          </w:p>
        </w:tc>
      </w:tr>
    </w:tbl>
    <w:p w14:paraId="749DF3C0" w14:textId="77777777" w:rsidR="00685370" w:rsidRPr="00AB7215" w:rsidRDefault="00685370" w:rsidP="00685370">
      <w:pPr>
        <w:widowControl w:val="0"/>
        <w:autoSpaceDE w:val="0"/>
        <w:autoSpaceDN w:val="0"/>
        <w:spacing w:after="0" w:line="276" w:lineRule="auto"/>
        <w:jc w:val="both"/>
        <w:rPr>
          <w:rFonts w:ascii="Verdana" w:hAnsi="Verdana" w:cs="Arial"/>
          <w:lang w:val="es-ES"/>
        </w:rPr>
      </w:pPr>
    </w:p>
    <w:p w14:paraId="6A9D0A07" w14:textId="77777777" w:rsidR="00685370" w:rsidRPr="00AB7215" w:rsidRDefault="00685370" w:rsidP="00685370">
      <w:pPr>
        <w:tabs>
          <w:tab w:val="left" w:pos="142"/>
          <w:tab w:val="left" w:pos="284"/>
        </w:tabs>
        <w:spacing w:after="0" w:line="276" w:lineRule="auto"/>
        <w:jc w:val="both"/>
        <w:rPr>
          <w:rFonts w:ascii="Verdana" w:eastAsia="Century Gothic" w:hAnsi="Verdana" w:cs="Century Gothic"/>
          <w:b/>
          <w:lang w:val="es-ES"/>
        </w:rPr>
      </w:pPr>
      <w:r w:rsidRPr="00AB7215">
        <w:rPr>
          <w:rFonts w:ascii="Verdana" w:eastAsia="Century Gothic" w:hAnsi="Verdana" w:cs="Century Gothic"/>
          <w:b/>
          <w:lang w:val="es-ES"/>
        </w:rPr>
        <w:t>5. Doctrina de la Agencia Nacional de Contratación Pública:</w:t>
      </w:r>
    </w:p>
    <w:p w14:paraId="2596A35C" w14:textId="77777777" w:rsidR="00685370" w:rsidRPr="00235ED9" w:rsidRDefault="00685370" w:rsidP="00685370">
      <w:pPr>
        <w:widowControl w:val="0"/>
        <w:autoSpaceDE w:val="0"/>
        <w:autoSpaceDN w:val="0"/>
        <w:spacing w:after="0" w:line="276" w:lineRule="auto"/>
        <w:jc w:val="both"/>
        <w:rPr>
          <w:rFonts w:ascii="Verdana" w:hAnsi="Verdana" w:cs="Arial"/>
          <w:color w:val="4472C4" w:themeColor="accent1"/>
          <w:lang w:val="es-ES"/>
        </w:rPr>
      </w:pPr>
    </w:p>
    <w:p w14:paraId="1F05BAB8" w14:textId="77777777" w:rsidR="00685370" w:rsidRPr="00C70A70" w:rsidRDefault="00685370" w:rsidP="00685370">
      <w:pPr>
        <w:spacing w:after="0" w:line="276" w:lineRule="auto"/>
        <w:jc w:val="both"/>
        <w:rPr>
          <w:rFonts w:ascii="Verdana" w:hAnsi="Verdana" w:cs="Arial"/>
          <w:color w:val="000000" w:themeColor="text1"/>
          <w:shd w:val="clear" w:color="auto" w:fill="FFFFFF"/>
          <w:lang w:val="es-ES"/>
        </w:rPr>
      </w:pPr>
      <w:r w:rsidRPr="001F13B8">
        <w:rPr>
          <w:rFonts w:ascii="Verdana" w:eastAsia="Calibri" w:hAnsi="Verdana" w:cs="Arial"/>
          <w:color w:val="000000" w:themeColor="text1"/>
          <w:lang w:val="es-ES"/>
        </w:rPr>
        <w:t xml:space="preserve">La Agencia Nacional de Contratación Pública – Colombia Compra Eficiente se ha referido </w:t>
      </w:r>
      <w:r w:rsidRPr="001F13B8">
        <w:rPr>
          <w:rFonts w:ascii="Verdana" w:hAnsi="Verdana" w:cs="Arial"/>
          <w:color w:val="000000" w:themeColor="text1"/>
          <w:shd w:val="clear" w:color="auto" w:fill="FFFFFF"/>
          <w:lang w:val="es-ES"/>
        </w:rPr>
        <w:t xml:space="preserve">sobre el régimen de inhabilidades en los conceptos </w:t>
      </w:r>
      <w:r w:rsidRPr="001F13B8">
        <w:rPr>
          <w:rStyle w:val="normaltextrun"/>
          <w:rFonts w:ascii="Verdana" w:hAnsi="Verdana" w:cs="Arial"/>
          <w:color w:val="000000" w:themeColor="text1"/>
          <w:shd w:val="clear" w:color="auto" w:fill="FFFFFF"/>
          <w:lang w:val="es-ES"/>
        </w:rPr>
        <w:t>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C-410 del 7 de julio del 2021, C-491 del 14 de septiembre de 2021, C-028 del 28 de febrero de 2022, C-318 del 18 de mayo de 2022, C-252 del 30 de mayo de 2022, C-175 del 4 de mayo de 2023, C-234 del 5 de julio de 2023, C-408 del 21 de agosto de 2024, C-975 del 16 de diciembre de 2024, C-1716 del 23 de diciembre de 2025, C-1790 del 30 de diciembre de 2025, C-1655 del 03 de febrero de 2026.</w:t>
      </w:r>
      <w:r>
        <w:rPr>
          <w:rStyle w:val="normaltextrun"/>
          <w:rFonts w:ascii="Verdana" w:hAnsi="Verdana" w:cs="Arial"/>
          <w:color w:val="000000" w:themeColor="text1"/>
          <w:shd w:val="clear" w:color="auto" w:fill="FFFFFF"/>
          <w:lang w:val="es-ES"/>
        </w:rPr>
        <w:t xml:space="preserve"> </w:t>
      </w:r>
      <w:r w:rsidRPr="00AB7215">
        <w:rPr>
          <w:rFonts w:ascii="Verdana" w:hAnsi="Verdana" w:cs="Arial"/>
          <w:shd w:val="clear" w:color="auto" w:fill="FFFFFF"/>
          <w:lang w:val="es-ES"/>
        </w:rPr>
        <w:t>Estos</w:t>
      </w:r>
      <w:r w:rsidRPr="00AB7215">
        <w:rPr>
          <w:rFonts w:ascii="Verdana" w:hAnsi="Verdana"/>
          <w:lang w:val="es-ES"/>
        </w:rPr>
        <w:t xml:space="preserve"> y otros se encuentran disponibles para consulta en el Sistema de relatoría de la Agencia, al cual se puede acceder a través del siguiente enlace:</w:t>
      </w:r>
      <w:r w:rsidRPr="00AB7215">
        <w:rPr>
          <w:rFonts w:ascii="Verdana" w:hAnsi="Verdana" w:cs="Arial"/>
          <w:shd w:val="clear" w:color="auto" w:fill="FFFFFF"/>
          <w:lang w:val="es-ES"/>
        </w:rPr>
        <w:t xml:space="preserve"> </w:t>
      </w:r>
      <w:hyperlink r:id="rId16" w:history="1">
        <w:r w:rsidRPr="00AB7215">
          <w:rPr>
            <w:rStyle w:val="Hipervnculo"/>
            <w:rFonts w:ascii="Verdana" w:hAnsi="Verdana" w:cs="Arial"/>
            <w:shd w:val="clear" w:color="auto" w:fill="FFFFFF"/>
            <w:lang w:val="es-ES"/>
          </w:rPr>
          <w:t>https://relatoria.colombiacompra.gov.co/busqueda/conceptos</w:t>
        </w:r>
      </w:hyperlink>
    </w:p>
    <w:p w14:paraId="39D8E475" w14:textId="77777777" w:rsidR="00685370" w:rsidRDefault="00685370" w:rsidP="00685370">
      <w:pPr>
        <w:spacing w:after="0" w:line="276" w:lineRule="auto"/>
        <w:jc w:val="both"/>
        <w:rPr>
          <w:rFonts w:ascii="Verdana" w:hAnsi="Verdana"/>
        </w:rPr>
      </w:pPr>
    </w:p>
    <w:p w14:paraId="50C13E82" w14:textId="77777777" w:rsidR="00685370" w:rsidRPr="00C15525" w:rsidRDefault="00685370" w:rsidP="00685370">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7" w:tgtFrame="_new" w:history="1">
        <w:r w:rsidRPr="00C15525">
          <w:rPr>
            <w:rFonts w:ascii="Verdana" w:hAnsi="Verdana"/>
            <w:color w:val="0000FF"/>
            <w:u w:val="single"/>
          </w:rPr>
          <w:t>https://formacionvirtual.colombiacompra.gov.co/mod/page/view.php?id=3718</w:t>
        </w:r>
      </w:hyperlink>
    </w:p>
    <w:p w14:paraId="2087F18C" w14:textId="77777777" w:rsidR="00685370" w:rsidRPr="00C15525" w:rsidRDefault="00685370" w:rsidP="00685370">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w:t>
      </w:r>
      <w:r w:rsidRPr="00C15525">
        <w:rPr>
          <w:rFonts w:ascii="Verdana" w:hAnsi="Verdana"/>
          <w:b/>
          <w:bCs/>
        </w:rPr>
        <w:lastRenderedPageBreak/>
        <w:t>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8" w:tgtFrame="_new" w:history="1">
        <w:r w:rsidRPr="00C15525">
          <w:rPr>
            <w:rFonts w:ascii="Verdana" w:hAnsi="Verdana"/>
            <w:color w:val="0000FF"/>
            <w:u w:val="single"/>
          </w:rPr>
          <w:t>https://www.colombiacompra.gov.co/normativa-y-relatoria/documentos-tipo</w:t>
        </w:r>
      </w:hyperlink>
    </w:p>
    <w:p w14:paraId="1A4A460D" w14:textId="77777777" w:rsidR="00685370" w:rsidRPr="00C15525" w:rsidRDefault="00685370" w:rsidP="00685370">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9"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E6E316C" w14:textId="77777777" w:rsidR="00685370" w:rsidRPr="00C15525" w:rsidRDefault="00685370" w:rsidP="00685370">
      <w:pPr>
        <w:spacing w:after="0"/>
        <w:jc w:val="both"/>
        <w:rPr>
          <w:rFonts w:ascii="Verdana" w:hAnsi="Verdana"/>
        </w:rPr>
      </w:pPr>
      <w:r w:rsidRPr="00C15525">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46AC7C3" w14:textId="77777777" w:rsidR="00685370" w:rsidRPr="00C15525" w:rsidRDefault="00685370" w:rsidP="00685370">
      <w:pPr>
        <w:spacing w:after="0"/>
        <w:jc w:val="both"/>
        <w:rPr>
          <w:rFonts w:ascii="Verdana" w:hAnsi="Verdana"/>
        </w:rPr>
      </w:pPr>
    </w:p>
    <w:p w14:paraId="1F7E6147" w14:textId="77777777" w:rsidR="00685370" w:rsidRPr="00C15525" w:rsidRDefault="00685370" w:rsidP="00685370">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4E66A7AD" w14:textId="77777777" w:rsidR="00685370" w:rsidRPr="00C15525" w:rsidRDefault="00685370" w:rsidP="00685370">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533B6B3E" w14:textId="77777777" w:rsidR="00685370" w:rsidRPr="00C15525" w:rsidRDefault="00685370" w:rsidP="00685370">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20" w:history="1">
        <w:r w:rsidRPr="00C15525">
          <w:rPr>
            <w:rFonts w:ascii="Verdana" w:eastAsia="Verdana" w:hAnsi="Verdana" w:cs="Verdana"/>
            <w:color w:val="0000FF"/>
            <w:u w:val="single"/>
            <w:lang w:val="es-MX"/>
          </w:rPr>
          <w:t>ventanilladeradicacion@colombiacompra.gov.co</w:t>
        </w:r>
      </w:hyperlink>
    </w:p>
    <w:p w14:paraId="298E09BC" w14:textId="77777777" w:rsidR="00685370" w:rsidRPr="00C15525" w:rsidRDefault="00685370" w:rsidP="00685370">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21" w:history="1">
        <w:r w:rsidRPr="00C15525">
          <w:rPr>
            <w:rFonts w:ascii="Verdana" w:eastAsia="Verdana" w:hAnsi="Verdana" w:cs="Verdana"/>
            <w:color w:val="0000FF"/>
            <w:u w:val="single"/>
            <w:lang w:val="es-MX"/>
          </w:rPr>
          <w:t>https://www.colombiacompra.gov.co/pqrsd/informacion-importante-antes-de-formular-una-pqrsd</w:t>
        </w:r>
      </w:hyperlink>
    </w:p>
    <w:p w14:paraId="49182D77" w14:textId="77777777" w:rsidR="00685370" w:rsidRPr="00C15525" w:rsidRDefault="00685370" w:rsidP="00685370">
      <w:pPr>
        <w:spacing w:after="0" w:line="240" w:lineRule="auto"/>
        <w:ind w:left="720"/>
        <w:jc w:val="both"/>
        <w:rPr>
          <w:rFonts w:ascii="Verdana" w:hAnsi="Verdana"/>
        </w:rPr>
      </w:pPr>
    </w:p>
    <w:p w14:paraId="3F95029A" w14:textId="77777777" w:rsidR="00685370" w:rsidRPr="00C15525" w:rsidRDefault="00685370" w:rsidP="00685370">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22"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529195A7" w14:textId="77777777" w:rsidR="00685370" w:rsidRPr="00C15525" w:rsidRDefault="00685370" w:rsidP="00685370">
      <w:pPr>
        <w:spacing w:after="0" w:line="240" w:lineRule="auto"/>
        <w:rPr>
          <w:rFonts w:ascii="Verdana" w:hAnsi="Verdana"/>
        </w:rPr>
      </w:pPr>
    </w:p>
    <w:p w14:paraId="3626FAFD" w14:textId="77777777" w:rsidR="00685370" w:rsidRPr="00C15525" w:rsidRDefault="00685370" w:rsidP="00685370">
      <w:pPr>
        <w:spacing w:after="0" w:line="240" w:lineRule="auto"/>
        <w:jc w:val="both"/>
        <w:rPr>
          <w:rFonts w:ascii="Verdana" w:hAnsi="Verdana"/>
        </w:rPr>
      </w:pPr>
      <w:r w:rsidRPr="00C15525">
        <w:rPr>
          <w:rFonts w:ascii="Verdana" w:hAnsi="Verdana"/>
        </w:rPr>
        <w:lastRenderedPageBreak/>
        <w:t xml:space="preserve">Por último, lo invitamos a seguirnos en las redes sociales en las cuales se difunde información institucional: </w:t>
      </w:r>
    </w:p>
    <w:p w14:paraId="10779527" w14:textId="77777777" w:rsidR="00685370" w:rsidRPr="00C15525" w:rsidRDefault="00685370" w:rsidP="00685370">
      <w:pPr>
        <w:spacing w:after="0" w:line="240" w:lineRule="auto"/>
        <w:jc w:val="both"/>
        <w:rPr>
          <w:rFonts w:ascii="Verdana" w:hAnsi="Verdana"/>
        </w:rPr>
      </w:pPr>
    </w:p>
    <w:p w14:paraId="56A1B975" w14:textId="77777777" w:rsidR="00685370" w:rsidRPr="00C15525" w:rsidRDefault="00685370" w:rsidP="00685370">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15549180" w14:textId="77777777" w:rsidR="00685370" w:rsidRPr="00C15525" w:rsidRDefault="00685370" w:rsidP="00685370">
      <w:pPr>
        <w:spacing w:after="0" w:line="240" w:lineRule="auto"/>
        <w:jc w:val="both"/>
        <w:rPr>
          <w:rFonts w:ascii="Verdana" w:hAnsi="Verdana"/>
        </w:rPr>
      </w:pPr>
      <w:r w:rsidRPr="00C15525">
        <w:rPr>
          <w:rFonts w:ascii="Verdana" w:hAnsi="Verdana"/>
        </w:rPr>
        <w:t xml:space="preserve">Facebook: </w:t>
      </w:r>
      <w:r w:rsidRPr="00C15525">
        <w:rPr>
          <w:rFonts w:ascii="Verdana" w:hAnsi="Verdana"/>
          <w:color w:val="0000FF"/>
          <w:u w:val="single"/>
        </w:rPr>
        <w:t>ColombiaCompraEficiente</w:t>
      </w:r>
    </w:p>
    <w:p w14:paraId="685EA6BA" w14:textId="77777777" w:rsidR="00685370" w:rsidRPr="00C15525" w:rsidRDefault="00685370" w:rsidP="00685370">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122F1580" w14:textId="77777777" w:rsidR="00685370" w:rsidRPr="008278B1" w:rsidRDefault="00685370" w:rsidP="00685370">
      <w:pPr>
        <w:widowControl w:val="0"/>
        <w:autoSpaceDE w:val="0"/>
        <w:autoSpaceDN w:val="0"/>
        <w:spacing w:after="120" w:line="276" w:lineRule="auto"/>
        <w:jc w:val="both"/>
        <w:rPr>
          <w:rFonts w:ascii="Verdana" w:hAnsi="Verdana" w:cs="Arial"/>
          <w:lang w:val="es-ES"/>
        </w:rPr>
      </w:pPr>
      <w:r w:rsidRPr="00C15525">
        <w:rPr>
          <w:rFonts w:ascii="Verdana" w:hAnsi="Verdana" w:cs="Arial"/>
          <w:color w:val="FF0000"/>
          <w:shd w:val="clear" w:color="auto" w:fill="FFFFFF"/>
          <w:lang w:val="es-ES_tradnl"/>
        </w:rPr>
        <w:t xml:space="preserve">        </w:t>
      </w:r>
    </w:p>
    <w:p w14:paraId="33588081" w14:textId="77777777" w:rsidR="00685370" w:rsidRPr="004A2E17" w:rsidRDefault="00685370" w:rsidP="00685370">
      <w:pPr>
        <w:spacing w:after="0" w:line="276" w:lineRule="auto"/>
        <w:jc w:val="both"/>
        <w:rPr>
          <w:rFonts w:ascii="Verdana" w:eastAsia="Calibri" w:hAnsi="Verdana" w:cs="Times New Roman"/>
          <w:lang w:val="es-ES_tradnl"/>
        </w:rPr>
      </w:pPr>
    </w:p>
    <w:p w14:paraId="6546A6C2" w14:textId="77777777" w:rsidR="00685370" w:rsidRPr="000440A0" w:rsidRDefault="00685370" w:rsidP="00685370">
      <w:pPr>
        <w:spacing w:after="0" w:line="276" w:lineRule="auto"/>
        <w:jc w:val="both"/>
        <w:rPr>
          <w:rFonts w:ascii="Verdana" w:eastAsia="Calibri" w:hAnsi="Verdana" w:cs="Times New Roman"/>
        </w:rPr>
      </w:pPr>
      <w:r w:rsidRPr="004A2E17">
        <w:rPr>
          <w:rFonts w:ascii="Verdana" w:eastAsia="Calibri" w:hAnsi="Verdana" w:cs="Times New Roman"/>
        </w:rPr>
        <w:t>Atentamente,</w:t>
      </w:r>
    </w:p>
    <w:p w14:paraId="62784EC5" w14:textId="70EBA467" w:rsidR="00685370" w:rsidRDefault="00EB3C00" w:rsidP="00685370">
      <w:pPr>
        <w:spacing w:after="0" w:line="276" w:lineRule="auto"/>
        <w:jc w:val="center"/>
        <w:rPr>
          <w:rFonts w:ascii="Verdana" w:hAnsi="Verdana"/>
          <w:lang w:val="es-ES_tradnl"/>
        </w:rPr>
      </w:pPr>
      <w:r w:rsidRPr="002C3AD6">
        <w:rPr>
          <w:rFonts w:ascii="Century Gothic" w:hAnsi="Century Gothic"/>
          <w:noProof/>
        </w:rPr>
        <w:drawing>
          <wp:inline distT="0" distB="0" distL="0" distR="0" wp14:anchorId="1B0F074B" wp14:editId="2A979619">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85370" w:rsidRPr="00D53651" w14:paraId="00182D91" w14:textId="77777777" w:rsidTr="003E29C5">
        <w:trPr>
          <w:trHeight w:val="315"/>
        </w:trPr>
        <w:tc>
          <w:tcPr>
            <w:tcW w:w="893" w:type="dxa"/>
            <w:vAlign w:val="center"/>
            <w:hideMark/>
          </w:tcPr>
          <w:p w14:paraId="3C72C3CB" w14:textId="77777777" w:rsidR="00685370" w:rsidRPr="00D53651" w:rsidRDefault="00685370" w:rsidP="003E29C5">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19CE0FA0" w14:textId="77777777" w:rsidR="00685370" w:rsidRPr="00C70A70" w:rsidRDefault="00685370" w:rsidP="003E29C5">
            <w:pPr>
              <w:spacing w:line="276" w:lineRule="auto"/>
              <w:jc w:val="both"/>
              <w:rPr>
                <w:rFonts w:ascii="Verdana" w:hAnsi="Verdana"/>
                <w:sz w:val="16"/>
                <w:szCs w:val="16"/>
              </w:rPr>
            </w:pPr>
            <w:r w:rsidRPr="00C70A70">
              <w:rPr>
                <w:rFonts w:ascii="Verdana" w:hAnsi="Verdana"/>
                <w:sz w:val="16"/>
                <w:szCs w:val="16"/>
              </w:rPr>
              <w:t>Richard Andrés Montenegro Siefken</w:t>
            </w:r>
          </w:p>
          <w:p w14:paraId="113A2E8A" w14:textId="77777777" w:rsidR="00685370" w:rsidRPr="00D53651" w:rsidRDefault="00685370" w:rsidP="003E29C5">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685370" w:rsidRPr="00D53651" w14:paraId="5F2100A2" w14:textId="77777777" w:rsidTr="003E29C5">
        <w:trPr>
          <w:trHeight w:val="330"/>
        </w:trPr>
        <w:tc>
          <w:tcPr>
            <w:tcW w:w="893" w:type="dxa"/>
            <w:vAlign w:val="center"/>
            <w:hideMark/>
          </w:tcPr>
          <w:p w14:paraId="3A98C774" w14:textId="77777777" w:rsidR="00685370" w:rsidRPr="00D53651" w:rsidRDefault="00685370" w:rsidP="003E29C5">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2287454" w14:textId="77777777" w:rsidR="00685370" w:rsidRPr="00C70A70" w:rsidRDefault="00685370" w:rsidP="003E29C5">
            <w:pPr>
              <w:pStyle w:val="paragraph"/>
              <w:spacing w:before="0" w:beforeAutospacing="0" w:after="0" w:afterAutospacing="0"/>
              <w:contextualSpacing/>
              <w:textAlignment w:val="baseline"/>
              <w:rPr>
                <w:rFonts w:ascii="Verdana" w:hAnsi="Verdana" w:cs="Segoe UI"/>
                <w:sz w:val="16"/>
                <w:szCs w:val="16"/>
              </w:rPr>
            </w:pPr>
            <w:r w:rsidRPr="00C70A70">
              <w:rPr>
                <w:rFonts w:ascii="Verdana" w:hAnsi="Verdana" w:cs="Segoe UI"/>
                <w:sz w:val="16"/>
                <w:szCs w:val="16"/>
              </w:rPr>
              <w:t>Diana Lucia Saavedra Castañeda</w:t>
            </w:r>
          </w:p>
          <w:p w14:paraId="35036AB2" w14:textId="77777777" w:rsidR="00685370" w:rsidRPr="00D53651" w:rsidRDefault="00685370" w:rsidP="003E29C5">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685370" w:rsidRPr="00D53651" w14:paraId="455FD145" w14:textId="77777777" w:rsidTr="003E29C5">
        <w:trPr>
          <w:trHeight w:val="300"/>
        </w:trPr>
        <w:tc>
          <w:tcPr>
            <w:tcW w:w="893" w:type="dxa"/>
            <w:vAlign w:val="center"/>
            <w:hideMark/>
          </w:tcPr>
          <w:p w14:paraId="10223C1E" w14:textId="77777777" w:rsidR="00685370" w:rsidRPr="00D53651" w:rsidRDefault="00685370" w:rsidP="003E29C5">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0C6908A5" w14:textId="77777777" w:rsidR="00685370" w:rsidRPr="00D53651" w:rsidRDefault="00685370" w:rsidP="003E29C5">
            <w:pPr>
              <w:spacing w:line="276" w:lineRule="auto"/>
              <w:jc w:val="both"/>
              <w:rPr>
                <w:rFonts w:ascii="Verdana" w:hAnsi="Verdana"/>
                <w:sz w:val="16"/>
                <w:szCs w:val="16"/>
                <w:lang w:val="pt-BR"/>
              </w:rPr>
            </w:pPr>
            <w:r w:rsidRPr="00D53651">
              <w:rPr>
                <w:rFonts w:ascii="Verdana" w:hAnsi="Verdana"/>
                <w:sz w:val="16"/>
                <w:szCs w:val="16"/>
                <w:lang w:val="pt-BR"/>
              </w:rPr>
              <w:t>Carolina Quintero Gacharná</w:t>
            </w:r>
          </w:p>
          <w:p w14:paraId="347D48D5" w14:textId="77777777" w:rsidR="00685370" w:rsidRPr="00D53651" w:rsidRDefault="00685370" w:rsidP="003E29C5">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07EC1F42" w14:textId="77777777" w:rsidR="00685370" w:rsidRPr="000E2B93" w:rsidRDefault="00685370" w:rsidP="00685370">
      <w:pPr>
        <w:spacing w:after="0" w:line="240" w:lineRule="auto"/>
        <w:textAlignment w:val="baseline"/>
        <w:rPr>
          <w:rFonts w:ascii="Verdana" w:eastAsia="Verdana" w:hAnsi="Verdana" w:cs="Verdana"/>
          <w:lang w:eastAsia="es-CO"/>
        </w:rPr>
      </w:pPr>
    </w:p>
    <w:bookmarkEnd w:id="0"/>
    <w:p w14:paraId="0F293BF4" w14:textId="57AA1D87" w:rsidR="00127233" w:rsidRPr="00685370" w:rsidRDefault="00127233" w:rsidP="00685370">
      <w:pPr>
        <w:spacing w:after="0" w:line="240" w:lineRule="auto"/>
        <w:textAlignment w:val="baseline"/>
        <w:rPr>
          <w:rFonts w:ascii="Verdana" w:eastAsia="Verdana" w:hAnsi="Verdana" w:cs="Verdana"/>
          <w:lang w:eastAsia="es-CO"/>
        </w:rPr>
      </w:pPr>
    </w:p>
    <w:sectPr w:rsidR="00127233" w:rsidRPr="00685370" w:rsidSect="007C0C0F">
      <w:headerReference w:type="default" r:id="rId24"/>
      <w:footerReference w:type="default" r:id="rId2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46B47" w14:textId="77777777" w:rsidR="00DE2CC2" w:rsidRDefault="00DE2CC2" w:rsidP="004A1847">
      <w:pPr>
        <w:spacing w:after="0" w:line="240" w:lineRule="auto"/>
      </w:pPr>
      <w:r>
        <w:separator/>
      </w:r>
    </w:p>
  </w:endnote>
  <w:endnote w:type="continuationSeparator" w:id="0">
    <w:p w14:paraId="1D5B55CD" w14:textId="77777777" w:rsidR="00DE2CC2" w:rsidRDefault="00DE2CC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73619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736198">
      <w:rPr>
        <w:rFonts w:ascii="Verdana" w:eastAsia="Verdana" w:hAnsi="Verdana" w:cs="Verdana"/>
        <w:b/>
        <w:bCs/>
        <w:color w:val="000000" w:themeColor="text1"/>
        <w:sz w:val="18"/>
        <w:szCs w:val="18"/>
        <w:lang w:val="pt-PT" w:eastAsia="es-CO"/>
      </w:rPr>
      <w:t xml:space="preserve">Código: </w:t>
    </w:r>
    <w:r w:rsidRPr="00736198">
      <w:rPr>
        <w:rFonts w:ascii="Verdana" w:eastAsia="Verdana" w:hAnsi="Verdana" w:cs="Verdana"/>
        <w:color w:val="000000" w:themeColor="text1"/>
        <w:sz w:val="18"/>
        <w:szCs w:val="18"/>
        <w:lang w:val="pt-PT" w:eastAsia="es-CO"/>
      </w:rPr>
      <w:t xml:space="preserve">CCE-REC-FM-17 </w:t>
    </w:r>
    <w:r w:rsidRPr="00736198">
      <w:rPr>
        <w:rFonts w:ascii="Verdana" w:eastAsia="Verdana" w:hAnsi="Verdana" w:cs="Verdana"/>
        <w:b/>
        <w:bCs/>
        <w:color w:val="000000" w:themeColor="text1"/>
        <w:sz w:val="18"/>
        <w:szCs w:val="18"/>
        <w:lang w:val="pt-PT" w:eastAsia="es-CO"/>
      </w:rPr>
      <w:t xml:space="preserve">V: </w:t>
    </w:r>
    <w:r w:rsidRPr="00736198">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89073F" w14:textId="77777777" w:rsidR="00DE2CC2" w:rsidRDefault="00DE2CC2" w:rsidP="004A1847">
      <w:pPr>
        <w:spacing w:after="0" w:line="240" w:lineRule="auto"/>
      </w:pPr>
      <w:r>
        <w:separator/>
      </w:r>
    </w:p>
  </w:footnote>
  <w:footnote w:type="continuationSeparator" w:id="0">
    <w:p w14:paraId="052A304E" w14:textId="77777777" w:rsidR="00DE2CC2" w:rsidRDefault="00DE2CC2" w:rsidP="004A1847">
      <w:pPr>
        <w:spacing w:after="0" w:line="240" w:lineRule="auto"/>
      </w:pPr>
      <w:r>
        <w:continuationSeparator/>
      </w:r>
    </w:p>
  </w:footnote>
  <w:footnote w:id="1">
    <w:p w14:paraId="6BD078D7" w14:textId="77777777" w:rsidR="00685370" w:rsidRDefault="00685370" w:rsidP="00685370">
      <w:pPr>
        <w:pStyle w:val="Textonotapie"/>
        <w:ind w:firstLine="708"/>
        <w:jc w:val="both"/>
        <w:rPr>
          <w:rFonts w:ascii="Verdana" w:hAnsi="Verdana" w:cs="Arial"/>
          <w:sz w:val="14"/>
          <w:szCs w:val="14"/>
        </w:rPr>
      </w:pPr>
      <w:r>
        <w:rPr>
          <w:rStyle w:val="Refdenotaalpie"/>
        </w:rPr>
        <w:footnoteRef/>
      </w:r>
      <w:r>
        <w:t xml:space="preserve"> </w:t>
      </w:r>
      <w:r>
        <w:rPr>
          <w:rFonts w:ascii="Verdana" w:hAnsi="Verdana" w:cs="Arial"/>
          <w:sz w:val="14"/>
          <w:szCs w:val="14"/>
        </w:rPr>
        <w:t>Ley 80 de 1993, artículo 44:(…)</w:t>
      </w:r>
      <w:r w:rsidRPr="00514038">
        <w:rPr>
          <w:rFonts w:ascii="Verdana" w:hAnsi="Verdana" w:cs="Arial"/>
          <w:sz w:val="14"/>
          <w:szCs w:val="14"/>
        </w:rPr>
        <w:t xml:space="preserve"> DE LAS CAUSALES DE NULIDAD ABSOLUTA. Los contratos del Estado son absolutamente nulos en los casos previstos en el derecho común y además cuando:   1o. Se celebren con personas incursas en causales de inhabilidad o incompatibilidad previstas en la Constitución y la ley</w:t>
      </w:r>
      <w:r>
        <w:rPr>
          <w:rFonts w:ascii="Verdana" w:hAnsi="Verdana" w:cs="Arial"/>
          <w:sz w:val="14"/>
          <w:szCs w:val="14"/>
        </w:rPr>
        <w:t>. (…)</w:t>
      </w:r>
    </w:p>
    <w:p w14:paraId="37B8CA77" w14:textId="77777777" w:rsidR="00685370" w:rsidRDefault="00685370" w:rsidP="00685370">
      <w:pPr>
        <w:pStyle w:val="Textonotapie"/>
      </w:pPr>
    </w:p>
  </w:footnote>
  <w:footnote w:id="2">
    <w:p w14:paraId="473C0E12" w14:textId="77777777" w:rsidR="00685370" w:rsidRDefault="00685370" w:rsidP="00685370">
      <w:pPr>
        <w:pStyle w:val="Textonotapie"/>
        <w:ind w:firstLine="708"/>
        <w:jc w:val="both"/>
        <w:rPr>
          <w:rFonts w:ascii="Verdana" w:hAnsi="Verdana" w:cs="Arial"/>
          <w:sz w:val="14"/>
          <w:szCs w:val="14"/>
        </w:rPr>
      </w:pPr>
      <w:r>
        <w:rPr>
          <w:rStyle w:val="Refdenotaalpie"/>
        </w:rPr>
        <w:footnoteRef/>
      </w:r>
      <w:r>
        <w:t xml:space="preserve"> </w:t>
      </w:r>
      <w:r>
        <w:rPr>
          <w:rFonts w:ascii="Verdana" w:hAnsi="Verdana" w:cs="Arial"/>
          <w:sz w:val="14"/>
          <w:szCs w:val="14"/>
        </w:rPr>
        <w:t xml:space="preserve">Ley 80 de 1993, artículo 45: (…) </w:t>
      </w:r>
      <w:r w:rsidRPr="00514038">
        <w:rPr>
          <w:rFonts w:ascii="Verdana" w:hAnsi="Verdana" w:cs="Arial"/>
          <w:sz w:val="14"/>
          <w:szCs w:val="14"/>
          <w:lang w:val="es-CO"/>
        </w:rPr>
        <w:t>DE LA NULIDAD ABSOLUTA.</w:t>
      </w:r>
      <w:r w:rsidRPr="00514038">
        <w:rPr>
          <w:rFonts w:ascii="Verdana" w:hAnsi="Verdana" w:cs="Arial"/>
          <w:b/>
          <w:bCs/>
          <w:sz w:val="14"/>
          <w:szCs w:val="14"/>
          <w:lang w:val="es-CO"/>
        </w:rPr>
        <w:t> </w:t>
      </w:r>
      <w:r w:rsidRPr="00514038">
        <w:rPr>
          <w:rFonts w:ascii="Verdana" w:hAnsi="Verdana" w:cs="Arial"/>
          <w:sz w:val="14"/>
          <w:szCs w:val="14"/>
          <w:lang w:val="es-CO"/>
        </w:rPr>
        <w:t>La nulidad absoluta podrá ser alegada por las partes, por el agente del ministerio público, por cualquier persona o declarada de oficio, y no es susceptible de saneamiento por ratificación. En los casos previstos en los numerales 1o., 2o. y 4o. del artículo anterior, el jefe o representante legal de la entidad respectiva deberá dar por terminado el contrato mediante acto administrativo debidamente motivado y ordenará su liquidación en el estado en que se encuentre.</w:t>
      </w:r>
      <w:r>
        <w:rPr>
          <w:rFonts w:ascii="Verdana" w:hAnsi="Verdana" w:cs="Arial"/>
          <w:sz w:val="14"/>
          <w:szCs w:val="14"/>
          <w:lang w:val="es-CO"/>
        </w:rPr>
        <w:t xml:space="preserve"> </w:t>
      </w:r>
      <w:r>
        <w:rPr>
          <w:rFonts w:ascii="Verdana" w:hAnsi="Verdana" w:cs="Arial"/>
          <w:sz w:val="14"/>
          <w:szCs w:val="14"/>
        </w:rPr>
        <w:t>(…)</w:t>
      </w:r>
    </w:p>
    <w:p w14:paraId="65F4B662" w14:textId="77777777" w:rsidR="00685370" w:rsidRDefault="00685370" w:rsidP="00685370">
      <w:pPr>
        <w:pStyle w:val="Textonotapie"/>
        <w:ind w:firstLine="708"/>
        <w:jc w:val="both"/>
      </w:pPr>
    </w:p>
  </w:footnote>
  <w:footnote w:id="3">
    <w:p w14:paraId="7805B261" w14:textId="77777777" w:rsidR="00685370" w:rsidRPr="00D4796C" w:rsidRDefault="00685370" w:rsidP="00685370">
      <w:pPr>
        <w:pStyle w:val="Textonotapie"/>
        <w:ind w:firstLine="708"/>
        <w:jc w:val="both"/>
        <w:rPr>
          <w:rFonts w:ascii="Verdana" w:hAnsi="Verdana" w:cs="Arial"/>
          <w:color w:val="000000" w:themeColor="text1"/>
          <w:sz w:val="16"/>
          <w:szCs w:val="16"/>
        </w:rPr>
      </w:pPr>
      <w:r w:rsidRPr="00D4796C">
        <w:rPr>
          <w:rStyle w:val="Refdenotaalpie"/>
          <w:rFonts w:ascii="Verdana" w:hAnsi="Verdana" w:cs="Arial"/>
          <w:color w:val="000000" w:themeColor="text1"/>
          <w:sz w:val="16"/>
          <w:szCs w:val="16"/>
        </w:rPr>
        <w:footnoteRef/>
      </w:r>
      <w:r w:rsidRPr="00D4796C">
        <w:rPr>
          <w:rFonts w:ascii="Verdana" w:hAnsi="Verdana" w:cs="Arial"/>
          <w:color w:val="000000" w:themeColor="text1"/>
          <w:sz w:val="16"/>
          <w:szCs w:val="16"/>
        </w:rPr>
        <w:t xml:space="preserve"> Consejo De Estado. Sección Tercera, Subsección A. Sentencia del 13 de noviembre de 2013. Rad. 25.646.C.P. Mauricio Fajardo Gómez. </w:t>
      </w:r>
    </w:p>
  </w:footnote>
  <w:footnote w:id="4">
    <w:p w14:paraId="0D9918D8" w14:textId="77777777" w:rsidR="00685370" w:rsidRDefault="00685370" w:rsidP="00685370">
      <w:pPr>
        <w:pStyle w:val="Textonotapie"/>
        <w:ind w:firstLine="708"/>
        <w:jc w:val="both"/>
        <w:rPr>
          <w:rFonts w:ascii="Verdana" w:hAnsi="Verdana"/>
          <w:sz w:val="16"/>
          <w:szCs w:val="16"/>
        </w:rPr>
      </w:pPr>
      <w:r w:rsidRPr="001664CE">
        <w:rPr>
          <w:rStyle w:val="Refdenotaalpie"/>
          <w:rFonts w:ascii="Verdana" w:hAnsi="Verdana"/>
          <w:sz w:val="16"/>
          <w:szCs w:val="16"/>
        </w:rPr>
        <w:footnoteRef/>
      </w:r>
      <w:r w:rsidRPr="001664CE">
        <w:rPr>
          <w:rFonts w:ascii="Verdana" w:hAnsi="Verdana"/>
          <w:sz w:val="16"/>
          <w:szCs w:val="16"/>
        </w:rPr>
        <w:t xml:space="preserve"> </w:t>
      </w:r>
      <w:r>
        <w:rPr>
          <w:rFonts w:ascii="Verdana" w:hAnsi="Verdana"/>
          <w:sz w:val="16"/>
          <w:szCs w:val="16"/>
        </w:rPr>
        <w:t>Por ejemplo</w:t>
      </w:r>
      <w:r w:rsidRPr="001664CE">
        <w:rPr>
          <w:rFonts w:ascii="Verdana" w:hAnsi="Verdana"/>
          <w:sz w:val="16"/>
          <w:szCs w:val="16"/>
        </w:rPr>
        <w:t>, el máximo tribunal constitucional ha indicado, al tratar de precisar el sentido de este tipo de normas, que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Pr>
          <w:rFonts w:ascii="Verdana" w:hAnsi="Verdana"/>
          <w:sz w:val="16"/>
          <w:szCs w:val="16"/>
        </w:rPr>
        <w:t xml:space="preserve"> (Cfr. </w:t>
      </w:r>
      <w:r w:rsidRPr="001664CE">
        <w:rPr>
          <w:rFonts w:ascii="Verdana" w:hAnsi="Verdana"/>
          <w:sz w:val="16"/>
          <w:szCs w:val="16"/>
        </w:rPr>
        <w:t>Corte Constitucional. Sentencia T-1039 de 2006. M.P. Humberto Sierra Porto. La Corte Constitucional ha mantenido este criterio en las sentencias: C-903 de 2008. M.P. Jaime Araujo Rentería; C-101 de 2018. M.P. Gloria Stella Ortiz Delgado; entre otras</w:t>
      </w:r>
      <w:r>
        <w:rPr>
          <w:rFonts w:ascii="Verdana" w:hAnsi="Verdana"/>
          <w:sz w:val="16"/>
          <w:szCs w:val="16"/>
        </w:rPr>
        <w:t>)</w:t>
      </w:r>
      <w:r w:rsidRPr="001664CE">
        <w:rPr>
          <w:rFonts w:ascii="Verdana" w:hAnsi="Verdana"/>
          <w:sz w:val="16"/>
          <w:szCs w:val="16"/>
        </w:rPr>
        <w:t>.</w:t>
      </w:r>
      <w:r>
        <w:rPr>
          <w:rFonts w:ascii="Verdana" w:hAnsi="Verdana"/>
          <w:sz w:val="16"/>
          <w:szCs w:val="16"/>
        </w:rPr>
        <w:t xml:space="preserve"> </w:t>
      </w:r>
    </w:p>
    <w:p w14:paraId="455AD5A2" w14:textId="77777777" w:rsidR="00685370" w:rsidRPr="001664CE" w:rsidRDefault="00685370" w:rsidP="00685370">
      <w:pPr>
        <w:pStyle w:val="Textonotapie"/>
        <w:ind w:firstLine="708"/>
        <w:jc w:val="both"/>
        <w:rPr>
          <w:rFonts w:ascii="Verdana" w:hAnsi="Verdana"/>
          <w:sz w:val="16"/>
          <w:szCs w:val="16"/>
          <w:lang w:val="es-CO"/>
        </w:rPr>
      </w:pPr>
      <w:r w:rsidRPr="001664CE">
        <w:rPr>
          <w:rFonts w:ascii="Verdana" w:hAnsi="Verdana"/>
          <w:sz w:val="16"/>
          <w:szCs w:val="16"/>
        </w:rPr>
        <w:t xml:space="preserve">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w:t>
      </w:r>
      <w:r>
        <w:rPr>
          <w:rFonts w:ascii="Verdana" w:hAnsi="Verdana"/>
          <w:sz w:val="16"/>
          <w:szCs w:val="16"/>
        </w:rPr>
        <w:t>‘</w:t>
      </w:r>
      <w:r w:rsidRPr="001664CE">
        <w:rPr>
          <w:rFonts w:ascii="Verdana" w:hAnsi="Verdana"/>
          <w:sz w:val="16"/>
          <w:szCs w:val="16"/>
        </w:rPr>
        <w:t>Los particulares sólo son responsables ante las autoridades por infringir la Constitución y las leyes</w:t>
      </w:r>
      <w:r>
        <w:rPr>
          <w:rFonts w:ascii="Verdana" w:hAnsi="Verdana"/>
          <w:sz w:val="16"/>
          <w:szCs w:val="16"/>
        </w:rPr>
        <w:t>’</w:t>
      </w:r>
      <w:r w:rsidRPr="001664CE">
        <w:rPr>
          <w:rFonts w:ascii="Verdana" w:hAnsi="Verdana"/>
          <w:sz w:val="16"/>
          <w:szCs w:val="16"/>
        </w:rPr>
        <w:t xml:space="preserve"> lo que se traduce en que pueden hacer todo aquello que no les esté expresamente prohibido”</w:t>
      </w:r>
      <w:r>
        <w:rPr>
          <w:rFonts w:ascii="Verdana" w:hAnsi="Verdana"/>
          <w:sz w:val="16"/>
          <w:szCs w:val="16"/>
        </w:rPr>
        <w:t xml:space="preserve"> (Cfr. </w:t>
      </w:r>
      <w:r w:rsidRPr="001664CE">
        <w:rPr>
          <w:rFonts w:ascii="Verdana" w:hAnsi="Verdana"/>
          <w:sz w:val="16"/>
          <w:szCs w:val="16"/>
        </w:rPr>
        <w:t>Consejo De Estado. Sala de Consulta y Servicio Civil. Concepto del 30 de abril de 2015. Exp. 2251. C.P. Álvaro Namén Vargas.</w:t>
      </w:r>
      <w:r>
        <w:rPr>
          <w:rFonts w:ascii="Verdana" w:hAnsi="Verdana"/>
          <w:sz w:val="16"/>
          <w:szCs w:val="16"/>
        </w:rPr>
        <w:t xml:space="preserve"> En un sentido similar, </w:t>
      </w:r>
      <w:r w:rsidRPr="001664CE">
        <w:rPr>
          <w:rFonts w:ascii="Verdana" w:hAnsi="Verdana"/>
          <w:sz w:val="16"/>
          <w:szCs w:val="16"/>
        </w:rPr>
        <w:t>Sección Tercera. Subsección A. Sentencia del 24 de junio de 2015. Exp. 40.635. C.P. Hernán Andrade Rincón (E)</w:t>
      </w:r>
      <w:r>
        <w:rPr>
          <w:rFonts w:ascii="Verdana" w:hAnsi="Verdana"/>
          <w:sz w:val="16"/>
          <w:szCs w:val="16"/>
        </w:rPr>
        <w:t xml:space="preserve"> y </w:t>
      </w:r>
      <w:r w:rsidRPr="001664CE">
        <w:rPr>
          <w:rFonts w:ascii="Verdana" w:hAnsi="Verdana"/>
          <w:sz w:val="16"/>
          <w:szCs w:val="16"/>
        </w:rPr>
        <w:t>Sección Tercera. Subsección C. Sentencia del 22 de mayo de 2013. Rad. 24.057. C.P. Olga Mélida Valle De La Hoz</w:t>
      </w:r>
      <w:r>
        <w:rPr>
          <w:rFonts w:ascii="Verdana" w:hAnsi="Verdana"/>
          <w:sz w:val="16"/>
          <w:szCs w:val="16"/>
        </w:rPr>
        <w:t>)</w:t>
      </w:r>
      <w:r w:rsidRPr="001664CE">
        <w:rPr>
          <w:rFonts w:ascii="Verdana" w:hAnsi="Verdana"/>
          <w:sz w:val="16"/>
          <w:szCs w:val="16"/>
        </w:rPr>
        <w:t>.</w:t>
      </w:r>
    </w:p>
  </w:footnote>
  <w:footnote w:id="5">
    <w:p w14:paraId="48C28669" w14:textId="77777777" w:rsidR="00685370" w:rsidRPr="00264AE1" w:rsidRDefault="00685370" w:rsidP="00685370">
      <w:pPr>
        <w:pStyle w:val="Textonotapie"/>
        <w:ind w:firstLine="709"/>
        <w:jc w:val="both"/>
        <w:rPr>
          <w:rFonts w:ascii="Verdana" w:hAnsi="Verdana" w:cs="Arial"/>
          <w:color w:val="000000"/>
          <w:sz w:val="14"/>
          <w:szCs w:val="14"/>
        </w:rPr>
      </w:pPr>
      <w:r w:rsidRPr="00264AE1">
        <w:rPr>
          <w:rStyle w:val="Refdenotaalpie"/>
          <w:rFonts w:ascii="Verdana" w:hAnsi="Verdana" w:cs="Arial"/>
          <w:color w:val="000000"/>
          <w:sz w:val="14"/>
          <w:szCs w:val="14"/>
        </w:rPr>
        <w:footnoteRef/>
      </w:r>
      <w:r w:rsidRPr="007207D9">
        <w:rPr>
          <w:rFonts w:ascii="Verdana" w:hAnsi="Verdana" w:cs="Arial"/>
          <w:color w:val="000000"/>
          <w:sz w:val="14"/>
          <w:szCs w:val="14"/>
          <w:lang w:val="pt-PT"/>
        </w:rPr>
        <w:t xml:space="preserve"> Corte Constitucional. Sentencia T-1039 de 2006. </w:t>
      </w:r>
      <w:r w:rsidRPr="00264AE1">
        <w:rPr>
          <w:rFonts w:ascii="Verdana" w:hAnsi="Verdana" w:cs="Arial"/>
          <w:color w:val="000000"/>
          <w:sz w:val="14"/>
          <w:szCs w:val="14"/>
        </w:rPr>
        <w:t>Magistrado Ponente: Humberto Sierra Porto. La Corte ha mantenido este criterio en las sentencias: C-903 de 2008. Magistrado Ponente: Jaime Araujo Rentería; C-101 de 2018. Magistrada Ponente Gloria Stella Ortiz Delgado; entre otras.</w:t>
      </w:r>
    </w:p>
    <w:p w14:paraId="69AB4CD3" w14:textId="77777777" w:rsidR="00685370" w:rsidRPr="00264AE1" w:rsidRDefault="00685370" w:rsidP="00685370">
      <w:pPr>
        <w:pStyle w:val="Textonotapie"/>
        <w:ind w:firstLine="709"/>
        <w:jc w:val="both"/>
        <w:rPr>
          <w:rFonts w:ascii="Verdana" w:hAnsi="Verdana" w:cs="Arial"/>
          <w:color w:val="000000"/>
          <w:sz w:val="14"/>
          <w:szCs w:val="14"/>
        </w:rPr>
      </w:pPr>
    </w:p>
  </w:footnote>
  <w:footnote w:id="6">
    <w:p w14:paraId="6BAF1CF5" w14:textId="77777777" w:rsidR="00685370" w:rsidRPr="00264AE1" w:rsidRDefault="00685370" w:rsidP="00685370">
      <w:pPr>
        <w:pStyle w:val="Textonotapie"/>
        <w:ind w:firstLine="709"/>
        <w:jc w:val="both"/>
        <w:rPr>
          <w:rFonts w:ascii="Verdana" w:hAnsi="Verdana" w:cs="Arial"/>
          <w:color w:val="000000"/>
          <w:sz w:val="14"/>
          <w:szCs w:val="14"/>
        </w:rPr>
      </w:pPr>
      <w:r w:rsidRPr="00264AE1">
        <w:rPr>
          <w:rStyle w:val="Refdenotaalpie"/>
          <w:rFonts w:ascii="Verdana" w:hAnsi="Verdana" w:cs="Arial"/>
          <w:color w:val="000000"/>
          <w:sz w:val="14"/>
          <w:szCs w:val="14"/>
        </w:rPr>
        <w:footnoteRef/>
      </w:r>
      <w:r w:rsidRPr="00264AE1">
        <w:rPr>
          <w:rFonts w:ascii="Verdana" w:hAnsi="Verdana" w:cs="Arial"/>
          <w:color w:val="000000"/>
          <w:sz w:val="14"/>
          <w:szCs w:val="14"/>
        </w:rPr>
        <w:t xml:space="preserve"> Consejo de Estado. Sala de Consulta y Servicio Civil. Concepto del 30 de abril de 2015. Expediente: 2251. Consejero Ponente: Álvaro Namén Vargas.</w:t>
      </w:r>
    </w:p>
    <w:p w14:paraId="37F6C8D5" w14:textId="77777777" w:rsidR="00685370" w:rsidRPr="00264AE1" w:rsidRDefault="00685370" w:rsidP="00685370">
      <w:pPr>
        <w:pStyle w:val="Textonotapie"/>
        <w:ind w:firstLine="709"/>
        <w:jc w:val="both"/>
        <w:rPr>
          <w:rFonts w:ascii="Verdana" w:hAnsi="Verdana" w:cs="Arial"/>
          <w:color w:val="000000"/>
          <w:sz w:val="14"/>
          <w:szCs w:val="14"/>
        </w:rPr>
      </w:pPr>
    </w:p>
  </w:footnote>
  <w:footnote w:id="7">
    <w:p w14:paraId="11836787" w14:textId="77777777" w:rsidR="00685370" w:rsidRPr="00264AE1" w:rsidRDefault="00685370" w:rsidP="00685370">
      <w:pPr>
        <w:spacing w:after="0" w:line="240" w:lineRule="auto"/>
        <w:ind w:firstLine="709"/>
        <w:jc w:val="both"/>
        <w:rPr>
          <w:rFonts w:ascii="Verdana" w:hAnsi="Verdana" w:cs="Arial"/>
          <w:color w:val="000000"/>
          <w:sz w:val="14"/>
          <w:szCs w:val="14"/>
        </w:rPr>
      </w:pPr>
      <w:r w:rsidRPr="00264AE1">
        <w:rPr>
          <w:rStyle w:val="Refdenotaalpie"/>
          <w:rFonts w:ascii="Verdana" w:hAnsi="Verdana" w:cs="Arial"/>
          <w:color w:val="000000"/>
          <w:sz w:val="14"/>
          <w:szCs w:val="14"/>
        </w:rPr>
        <w:footnoteRef/>
      </w:r>
      <w:r w:rsidRPr="00264AE1">
        <w:rPr>
          <w:rFonts w:ascii="Verdana" w:hAnsi="Verdana" w:cs="Arial"/>
          <w:color w:val="000000"/>
          <w:sz w:val="14"/>
          <w:szCs w:val="14"/>
        </w:rPr>
        <w:t xml:space="preserve"> </w:t>
      </w:r>
      <w:r w:rsidRPr="00264AE1">
        <w:rPr>
          <w:rFonts w:ascii="Verdana" w:hAnsi="Verdana" w:cs="Arial"/>
          <w:sz w:val="14"/>
          <w:szCs w:val="14"/>
          <w:lang w:val="es-MX"/>
        </w:rPr>
        <w:t>Consejo de Estado. Sección Tercera. Subsección A. Sentencia del 24 de junio de 2015. Exp. 40.635. Consejero Ponente: Hernán Andrade Rincón (E).</w:t>
      </w:r>
    </w:p>
    <w:p w14:paraId="792758D7" w14:textId="77777777" w:rsidR="00685370" w:rsidRPr="00264AE1" w:rsidRDefault="00685370" w:rsidP="00685370">
      <w:pPr>
        <w:pStyle w:val="Textonotapie"/>
        <w:ind w:firstLine="709"/>
        <w:jc w:val="both"/>
        <w:rPr>
          <w:rFonts w:ascii="Verdana" w:hAnsi="Verdana" w:cs="Arial"/>
          <w:color w:val="000000"/>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548A74AE"/>
    <w:multiLevelType w:val="hybridMultilevel"/>
    <w:tmpl w:val="223E270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447578744">
    <w:abstractNumId w:val="0"/>
  </w:num>
  <w:num w:numId="17" w16cid:durableId="747656097">
    <w:abstractNumId w:val="9"/>
  </w:num>
  <w:num w:numId="18" w16cid:durableId="9500191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3E89"/>
    <w:rsid w:val="00406575"/>
    <w:rsid w:val="00414C74"/>
    <w:rsid w:val="0042722E"/>
    <w:rsid w:val="0044528D"/>
    <w:rsid w:val="00466E39"/>
    <w:rsid w:val="004A1847"/>
    <w:rsid w:val="004A305D"/>
    <w:rsid w:val="004D0F87"/>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5370"/>
    <w:rsid w:val="006900D9"/>
    <w:rsid w:val="00706C16"/>
    <w:rsid w:val="007340C3"/>
    <w:rsid w:val="00736198"/>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A7464"/>
    <w:rsid w:val="009B2D26"/>
    <w:rsid w:val="009C71FA"/>
    <w:rsid w:val="009C72E7"/>
    <w:rsid w:val="009C7F7E"/>
    <w:rsid w:val="009D3058"/>
    <w:rsid w:val="009F3A13"/>
    <w:rsid w:val="009F7526"/>
    <w:rsid w:val="00A122D3"/>
    <w:rsid w:val="00A14468"/>
    <w:rsid w:val="00A154C5"/>
    <w:rsid w:val="00A17F13"/>
    <w:rsid w:val="00A20739"/>
    <w:rsid w:val="00A23AF9"/>
    <w:rsid w:val="00A33C78"/>
    <w:rsid w:val="00AB0ADB"/>
    <w:rsid w:val="00AE13B2"/>
    <w:rsid w:val="00B00C0E"/>
    <w:rsid w:val="00B01B1A"/>
    <w:rsid w:val="00B0381D"/>
    <w:rsid w:val="00B3368F"/>
    <w:rsid w:val="00B44A47"/>
    <w:rsid w:val="00B72CD3"/>
    <w:rsid w:val="00B72FFF"/>
    <w:rsid w:val="00BC3D36"/>
    <w:rsid w:val="00BD54A6"/>
    <w:rsid w:val="00BD7F72"/>
    <w:rsid w:val="00BE4938"/>
    <w:rsid w:val="00BF7425"/>
    <w:rsid w:val="00C04FB3"/>
    <w:rsid w:val="00C11D8B"/>
    <w:rsid w:val="00C15139"/>
    <w:rsid w:val="00C318C8"/>
    <w:rsid w:val="00C330EB"/>
    <w:rsid w:val="00C50D69"/>
    <w:rsid w:val="00C5365C"/>
    <w:rsid w:val="00C56D93"/>
    <w:rsid w:val="00C754BE"/>
    <w:rsid w:val="00C76B1C"/>
    <w:rsid w:val="00C925AC"/>
    <w:rsid w:val="00CB6357"/>
    <w:rsid w:val="00CC1B26"/>
    <w:rsid w:val="00D361FD"/>
    <w:rsid w:val="00D423A2"/>
    <w:rsid w:val="00D44E26"/>
    <w:rsid w:val="00D520D8"/>
    <w:rsid w:val="00D63AC2"/>
    <w:rsid w:val="00D7383B"/>
    <w:rsid w:val="00D7788A"/>
    <w:rsid w:val="00DA231B"/>
    <w:rsid w:val="00DA4C76"/>
    <w:rsid w:val="00DC39FC"/>
    <w:rsid w:val="00DE2CC2"/>
    <w:rsid w:val="00DF5254"/>
    <w:rsid w:val="00E02524"/>
    <w:rsid w:val="00E16408"/>
    <w:rsid w:val="00E20894"/>
    <w:rsid w:val="00E245AB"/>
    <w:rsid w:val="00E2764C"/>
    <w:rsid w:val="00E27F2E"/>
    <w:rsid w:val="00E50AFE"/>
    <w:rsid w:val="00E75C92"/>
    <w:rsid w:val="00E771DC"/>
    <w:rsid w:val="00E8772A"/>
    <w:rsid w:val="00E90F6B"/>
    <w:rsid w:val="00E92C27"/>
    <w:rsid w:val="00EA0AB1"/>
    <w:rsid w:val="00EA0E3D"/>
    <w:rsid w:val="00EB3C00"/>
    <w:rsid w:val="00EC38A7"/>
    <w:rsid w:val="00EE1AA8"/>
    <w:rsid w:val="00EF0EAA"/>
    <w:rsid w:val="00F23FEA"/>
    <w:rsid w:val="00F31EDC"/>
    <w:rsid w:val="00F45F2A"/>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8537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685370"/>
    <w:rPr>
      <w:rFonts w:ascii="Geomanist Light" w:hAnsi="Geomanist Light"/>
      <w:lang w:val="es-ES"/>
    </w:rPr>
  </w:style>
  <w:style w:type="character" w:customStyle="1" w:styleId="NormalWebCar">
    <w:name w:val="Normal (Web) Car"/>
    <w:link w:val="NormalWeb"/>
    <w:uiPriority w:val="99"/>
    <w:locked/>
    <w:rsid w:val="00685370"/>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685370"/>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80-de-1993/" TargetMode="External"/><Relationship Id="rId18" Type="http://schemas.openxmlformats.org/officeDocument/2006/relationships/hyperlink" Target="https://www.colombiacompra.gov.co/normativa-y-relatoria/documentos-tipo"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webSettings" Target="webSettings.xml"/><Relationship Id="rId12" Type="http://schemas.openxmlformats.org/officeDocument/2006/relationships/hyperlink" Target="https://relatoria.colombiacompra.gov.co/normativa/constitucion-politica-de-colombia-de-1991-de-1991/" TargetMode="External"/><Relationship Id="rId17" Type="http://schemas.openxmlformats.org/officeDocument/2006/relationships/hyperlink" Target="https://formacionvirtual.colombiacompra.gov.co/mod/page/view.php?id=371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velinviidal@gmail.com"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relatoria.colombiacompra.gov.co/providencias/05001-23-31-000-1997-02636-01_40635/" TargetMode="External"/><Relationship Id="rId23"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ley-1474-de-2011/"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43784279-8F62-459F-B505-EAE5A260F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12</Pages>
  <Words>3814</Words>
  <Characters>20981</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2026-05-20T15:53:00Z</dcterms:created>
  <dcterms:modified xsi:type="dcterms:W3CDTF">2026-05-21T17:04:00Z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