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976A28" w14:textId="77777777" w:rsidR="00493433" w:rsidRPr="00C55BDE" w:rsidRDefault="00493433" w:rsidP="00493433">
      <w:pPr>
        <w:jc w:val="both"/>
        <w:rPr>
          <w:rFonts w:ascii="Verdana" w:eastAsia="Calibri" w:hAnsi="Verdana" w:cs="Arial"/>
          <w:b/>
        </w:rPr>
      </w:pPr>
      <w:bookmarkStart w:id="0" w:name="_Hlk143780582"/>
      <w:r w:rsidRPr="00C55BDE">
        <w:rPr>
          <w:rFonts w:ascii="Verdana" w:eastAsia="Calibri" w:hAnsi="Verdana" w:cs="Arial"/>
          <w:b/>
        </w:rPr>
        <w:t>RESGUARDOS INDÍGENAS – Administración de recursos del SGP – Entidades Estatales</w:t>
      </w:r>
    </w:p>
    <w:p w14:paraId="5AD058DF" w14:textId="77777777" w:rsidR="00493433" w:rsidRPr="00C55BDE" w:rsidRDefault="00493433" w:rsidP="00493433">
      <w:pPr>
        <w:spacing w:after="0" w:line="240" w:lineRule="auto"/>
        <w:jc w:val="both"/>
        <w:rPr>
          <w:rFonts w:ascii="Verdana" w:eastAsia="Calibri" w:hAnsi="Verdana" w:cs="Arial"/>
          <w:sz w:val="20"/>
        </w:rPr>
      </w:pPr>
      <w:r w:rsidRPr="00C55BDE">
        <w:rPr>
          <w:rFonts w:ascii="Verdana" w:eastAsia="Calibri" w:hAnsi="Verdana" w:cs="Arial"/>
          <w:sz w:val="20"/>
        </w:rPr>
        <w:t xml:space="preserve">Al respecto, [el Decreto 1953 de 2014] dispone que los resguardos indígenas que se ubiquen en ciertos supuestos, al igual que las asociaciones que estos conformen para administrar recursos del SGP, podrán ser considerados como territorios indígenas, de manera transitoria, “[…] mientras el Congreso expide la Ley Orgánica de Ordenamiento Territorial que crea las entidades territoriales indígenas”.   </w:t>
      </w:r>
    </w:p>
    <w:p w14:paraId="05EE42C6" w14:textId="77777777" w:rsidR="00493433" w:rsidRPr="00C55BDE" w:rsidRDefault="00493433" w:rsidP="00493433">
      <w:pPr>
        <w:spacing w:after="0" w:line="240" w:lineRule="auto"/>
        <w:jc w:val="both"/>
        <w:rPr>
          <w:rFonts w:ascii="Verdana" w:eastAsia="Calibri" w:hAnsi="Verdana" w:cs="Arial"/>
          <w:b/>
        </w:rPr>
      </w:pPr>
    </w:p>
    <w:p w14:paraId="20845EA7" w14:textId="77777777" w:rsidR="00493433" w:rsidRPr="00C55BDE" w:rsidRDefault="00493433" w:rsidP="00493433">
      <w:pPr>
        <w:spacing w:after="0" w:line="240" w:lineRule="auto"/>
        <w:jc w:val="both"/>
        <w:rPr>
          <w:rFonts w:ascii="Verdana" w:eastAsia="Calibri" w:hAnsi="Verdana" w:cs="Arial"/>
          <w:sz w:val="20"/>
        </w:rPr>
      </w:pPr>
      <w:r w:rsidRPr="00C55BDE">
        <w:rPr>
          <w:rFonts w:ascii="Verdana" w:eastAsia="Calibri" w:hAnsi="Verdana" w:cs="Arial"/>
          <w:sz w:val="20"/>
        </w:rPr>
        <w:t xml:space="preserve">Adicionalmente, establece que para los fines y la ejecución de los recursos de que trata dicho decreto, los territorios y resguardos indígenas que hayan sido autorizados para administrar recursos del SGP serán considerados entidades estatales de acuerdo con lo indicado en el artículo 2 de la Ley 80 de 1993. La norma además establece una última posibilidad para los resguardos indígenas que no hayan sido autorizados para administrar de manera directa los recursos del SGP, consistente en la celebración de contratos de administración con las entidades territoriales respectivas y los representantes legales del resguardo designado por las autoridades propias. </w:t>
      </w:r>
    </w:p>
    <w:p w14:paraId="112FF367" w14:textId="77777777" w:rsidR="00493433" w:rsidRPr="00C55BDE" w:rsidRDefault="00493433" w:rsidP="00493433">
      <w:pPr>
        <w:spacing w:after="0" w:line="240" w:lineRule="auto"/>
        <w:jc w:val="both"/>
        <w:rPr>
          <w:rFonts w:ascii="Verdana" w:eastAsia="Calibri" w:hAnsi="Verdana" w:cs="Arial"/>
          <w:sz w:val="20"/>
        </w:rPr>
      </w:pPr>
    </w:p>
    <w:p w14:paraId="77997BE0" w14:textId="77777777" w:rsidR="00493433" w:rsidRPr="00C55BDE" w:rsidRDefault="00493433" w:rsidP="00493433">
      <w:pPr>
        <w:snapToGrid w:val="0"/>
        <w:contextualSpacing/>
        <w:jc w:val="both"/>
        <w:rPr>
          <w:rFonts w:ascii="Verdana" w:hAnsi="Verdana" w:cs="Arial"/>
          <w:b/>
          <w:bCs/>
          <w:lang w:val="es-ES" w:eastAsia="es-ES"/>
        </w:rPr>
      </w:pPr>
      <w:r w:rsidRPr="00C55BDE">
        <w:rPr>
          <w:rFonts w:ascii="Verdana" w:hAnsi="Verdana" w:cs="Arial"/>
          <w:b/>
          <w:bCs/>
          <w:lang w:val="es-ES" w:eastAsia="es-ES"/>
        </w:rPr>
        <w:t>LEY DE GARANTÍAS ELECTORALES – Finalidad</w:t>
      </w:r>
    </w:p>
    <w:p w14:paraId="563228D3" w14:textId="77777777" w:rsidR="00493433" w:rsidRPr="00C55BDE" w:rsidRDefault="00493433" w:rsidP="00493433">
      <w:pPr>
        <w:snapToGrid w:val="0"/>
        <w:contextualSpacing/>
        <w:jc w:val="both"/>
        <w:rPr>
          <w:rFonts w:ascii="Verdana" w:hAnsi="Verdana" w:cs="Arial"/>
          <w:b/>
          <w:bCs/>
          <w:lang w:val="es-ES" w:eastAsia="es-ES"/>
        </w:rPr>
      </w:pPr>
    </w:p>
    <w:p w14:paraId="5D550895" w14:textId="77777777" w:rsidR="00493433" w:rsidRPr="00C55BDE" w:rsidRDefault="00493433" w:rsidP="00493433">
      <w:pPr>
        <w:tabs>
          <w:tab w:val="left" w:pos="426"/>
        </w:tabs>
        <w:snapToGrid w:val="0"/>
        <w:spacing w:after="0" w:line="240" w:lineRule="auto"/>
        <w:contextualSpacing/>
        <w:jc w:val="both"/>
        <w:rPr>
          <w:rFonts w:ascii="Verdana" w:hAnsi="Verdana" w:cs="Arial"/>
          <w:sz w:val="20"/>
          <w:szCs w:val="20"/>
          <w:lang w:val="es-ES"/>
        </w:rPr>
      </w:pPr>
      <w:r w:rsidRPr="00C55BDE">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C55BDE">
        <w:rPr>
          <w:rFonts w:ascii="Verdana" w:hAnsi="Verdana" w:cs="Arial"/>
          <w:sz w:val="20"/>
          <w:szCs w:val="20"/>
          <w:lang w:val="es-ES"/>
        </w:rPr>
        <w:t xml:space="preserve"> </w:t>
      </w:r>
    </w:p>
    <w:p w14:paraId="2237257B" w14:textId="77777777" w:rsidR="00493433" w:rsidRPr="00C55BDE" w:rsidRDefault="00493433" w:rsidP="00493433">
      <w:pPr>
        <w:snapToGrid w:val="0"/>
        <w:contextualSpacing/>
        <w:jc w:val="both"/>
        <w:rPr>
          <w:rFonts w:ascii="Verdana" w:hAnsi="Verdana" w:cs="Arial"/>
          <w:b/>
          <w:bCs/>
          <w:lang w:val="es-ES" w:eastAsia="es-ES"/>
        </w:rPr>
      </w:pPr>
    </w:p>
    <w:p w14:paraId="38A5A1FF" w14:textId="77777777" w:rsidR="00493433" w:rsidRPr="00C55BDE" w:rsidRDefault="00493433" w:rsidP="00493433">
      <w:pPr>
        <w:snapToGrid w:val="0"/>
        <w:contextualSpacing/>
        <w:jc w:val="both"/>
        <w:rPr>
          <w:rFonts w:ascii="Verdana" w:hAnsi="Verdana" w:cs="Arial"/>
          <w:b/>
          <w:bCs/>
          <w:sz w:val="20"/>
          <w:szCs w:val="20"/>
          <w:lang w:val="es-ES" w:eastAsia="es-ES"/>
        </w:rPr>
      </w:pPr>
      <w:r w:rsidRPr="00C55BDE">
        <w:rPr>
          <w:rFonts w:ascii="Verdana" w:hAnsi="Verdana" w:cs="Arial"/>
          <w:b/>
          <w:bCs/>
          <w:lang w:val="es-ES" w:eastAsia="es-ES"/>
        </w:rPr>
        <w:t>LEY DE GARANTÍAS ELECTORALES ‒ Restricciones ‒ Contratación ‒ Tipos de elección</w:t>
      </w:r>
    </w:p>
    <w:p w14:paraId="454483F6" w14:textId="77777777" w:rsidR="00493433" w:rsidRPr="00C55BDE" w:rsidRDefault="00493433" w:rsidP="00493433">
      <w:pPr>
        <w:snapToGrid w:val="0"/>
        <w:spacing w:after="0" w:line="240" w:lineRule="auto"/>
        <w:contextualSpacing/>
        <w:jc w:val="both"/>
        <w:rPr>
          <w:rFonts w:ascii="Verdana" w:hAnsi="Verdana" w:cs="Arial"/>
          <w:sz w:val="20"/>
          <w:szCs w:val="20"/>
          <w:lang w:val="es-ES" w:eastAsia="es-ES"/>
        </w:rPr>
      </w:pPr>
    </w:p>
    <w:p w14:paraId="7087436A" w14:textId="77777777" w:rsidR="00493433" w:rsidRPr="00C55BDE" w:rsidRDefault="00493433" w:rsidP="00493433">
      <w:pPr>
        <w:snapToGrid w:val="0"/>
        <w:spacing w:after="0" w:line="240" w:lineRule="auto"/>
        <w:contextualSpacing/>
        <w:jc w:val="both"/>
        <w:rPr>
          <w:rFonts w:ascii="Verdana" w:hAnsi="Verdana" w:cs="Arial"/>
          <w:sz w:val="20"/>
          <w:szCs w:val="20"/>
          <w:lang w:val="es-ES"/>
        </w:rPr>
      </w:pPr>
      <w:r w:rsidRPr="00C55BDE">
        <w:rPr>
          <w:rFonts w:ascii="Verdana" w:hAnsi="Verdana" w:cs="Arial"/>
          <w:sz w:val="20"/>
          <w:szCs w:val="20"/>
          <w:lang w:val="es-ES"/>
        </w:rPr>
        <w:t xml:space="preserve">Por un lado, el </w:t>
      </w:r>
      <w:r w:rsidRPr="00C55BDE">
        <w:rPr>
          <w:rFonts w:ascii="Verdana" w:hAnsi="Verdana" w:cs="Arial"/>
          <w:i/>
          <w:iCs/>
          <w:sz w:val="20"/>
          <w:szCs w:val="20"/>
          <w:lang w:val="es-ES"/>
        </w:rPr>
        <w:t xml:space="preserve">artículo 33 </w:t>
      </w:r>
      <w:r w:rsidRPr="00C55BDE">
        <w:rPr>
          <w:rFonts w:ascii="Verdana" w:hAnsi="Verdana" w:cs="Arial"/>
          <w:sz w:val="20"/>
          <w:szCs w:val="20"/>
          <w:lang w:val="es-ES"/>
        </w:rPr>
        <w:t xml:space="preserve">de la Ley 996 de 2005 prohíbe “[…] la contratación directa por parte de </w:t>
      </w:r>
      <w:r w:rsidRPr="00C55BDE">
        <w:rPr>
          <w:rFonts w:ascii="Verdana" w:hAnsi="Verdana" w:cs="Arial"/>
          <w:i/>
          <w:iCs/>
          <w:sz w:val="20"/>
          <w:szCs w:val="20"/>
          <w:lang w:val="es-ES"/>
        </w:rPr>
        <w:t>todos los entes del Estado</w:t>
      </w:r>
      <w:r w:rsidRPr="00C55BDE">
        <w:rPr>
          <w:rFonts w:ascii="Verdana" w:hAnsi="Verdana" w:cs="Arial"/>
          <w:sz w:val="20"/>
          <w:szCs w:val="20"/>
          <w:lang w:val="es-ES"/>
        </w:rPr>
        <w:t xml:space="preserve">” durante los cuatro (4) meses anteriores a las </w:t>
      </w:r>
      <w:r w:rsidRPr="00C55BDE">
        <w:rPr>
          <w:rFonts w:ascii="Verdana" w:hAnsi="Verdana" w:cs="Arial"/>
          <w:i/>
          <w:iCs/>
          <w:sz w:val="20"/>
          <w:szCs w:val="20"/>
          <w:lang w:val="es-ES"/>
        </w:rPr>
        <w:t>elecciones presidenciales</w:t>
      </w:r>
      <w:r w:rsidRPr="00C55BDE">
        <w:rPr>
          <w:rFonts w:ascii="Verdana"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10322B8D" w14:textId="77777777" w:rsidR="00493433" w:rsidRPr="00C55BDE" w:rsidRDefault="00493433" w:rsidP="00493433">
      <w:pPr>
        <w:snapToGrid w:val="0"/>
        <w:spacing w:after="0" w:line="240" w:lineRule="auto"/>
        <w:contextualSpacing/>
        <w:jc w:val="both"/>
        <w:rPr>
          <w:rFonts w:ascii="Verdana" w:hAnsi="Verdana" w:cs="Arial"/>
          <w:sz w:val="20"/>
          <w:szCs w:val="20"/>
          <w:lang w:val="es-ES"/>
        </w:rPr>
      </w:pPr>
    </w:p>
    <w:p w14:paraId="6FBD8561" w14:textId="77777777" w:rsidR="00493433" w:rsidRPr="00C55BDE" w:rsidRDefault="00493433" w:rsidP="00493433">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sidRPr="00C55BDE">
        <w:rPr>
          <w:rFonts w:ascii="Verdana" w:hAnsi="Verdana" w:cs="Arial"/>
          <w:sz w:val="20"/>
          <w:szCs w:val="20"/>
          <w:lang w:val="es-ES"/>
        </w:rPr>
        <w:t xml:space="preserve">Por otro lado, </w:t>
      </w:r>
      <w:r w:rsidRPr="00C55BDE">
        <w:rPr>
          <w:rFonts w:ascii="Verdana" w:hAnsi="Verdana" w:cs="Arial"/>
          <w:i/>
          <w:iCs/>
          <w:sz w:val="20"/>
          <w:szCs w:val="20"/>
          <w:lang w:val="es-ES"/>
        </w:rPr>
        <w:t xml:space="preserve">el parágrafo del artículo 38 </w:t>
      </w:r>
      <w:r w:rsidRPr="00C55BDE">
        <w:rPr>
          <w:rFonts w:ascii="Verdana" w:hAnsi="Verdana" w:cs="Arial"/>
          <w:sz w:val="20"/>
          <w:szCs w:val="20"/>
          <w:lang w:val="es-ES"/>
        </w:rPr>
        <w:t xml:space="preserve">de la Ley 996 de 2005 prevé una restricción, aplicable respecto de </w:t>
      </w:r>
      <w:r w:rsidRPr="00C55BDE">
        <w:rPr>
          <w:rFonts w:ascii="Verdana" w:hAnsi="Verdana" w:cs="Arial"/>
          <w:i/>
          <w:iCs/>
          <w:sz w:val="20"/>
          <w:szCs w:val="20"/>
          <w:lang w:val="es-ES"/>
        </w:rPr>
        <w:t>cualquier tipo de contienda electoral</w:t>
      </w:r>
      <w:r w:rsidRPr="00C55BDE">
        <w:rPr>
          <w:rFonts w:ascii="Verdana" w:hAnsi="Verdana" w:cs="Arial"/>
          <w:sz w:val="20"/>
          <w:szCs w:val="20"/>
          <w:lang w:val="es-ES"/>
        </w:rPr>
        <w:t xml:space="preserve">, que prohíbe a los gobernadores, alcaldes municipales o distritales, secretarios, gerentes y directores de entidades descentralizadas del orden municipal, departamental o distrital “[…] celebrar </w:t>
      </w:r>
      <w:r w:rsidRPr="00C55BDE">
        <w:rPr>
          <w:rFonts w:ascii="Verdana" w:hAnsi="Verdana" w:cs="Arial"/>
          <w:sz w:val="20"/>
          <w:szCs w:val="20"/>
          <w:lang w:val="es-ES"/>
        </w:rPr>
        <w:lastRenderedPageBreak/>
        <w:t>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55BDE">
        <w:rPr>
          <w:rFonts w:ascii="Verdana" w:eastAsia="Arial" w:hAnsi="Verdana" w:cs="Arial"/>
          <w:sz w:val="20"/>
          <w:szCs w:val="20"/>
          <w:lang w:val="es-ES" w:eastAsia="es-ES" w:bidi="es-ES"/>
        </w:rPr>
        <w:t xml:space="preserve"> </w:t>
      </w:r>
    </w:p>
    <w:p w14:paraId="54B2CD2D" w14:textId="77777777" w:rsidR="00493433" w:rsidRPr="00C55BDE" w:rsidRDefault="00493433" w:rsidP="00493433">
      <w:pPr>
        <w:spacing w:after="0" w:line="240" w:lineRule="auto"/>
        <w:jc w:val="both"/>
        <w:rPr>
          <w:rFonts w:ascii="Verdana" w:eastAsia="Calibri" w:hAnsi="Verdana" w:cs="Arial"/>
          <w:b/>
          <w:lang w:val="es-ES"/>
        </w:rPr>
      </w:pPr>
    </w:p>
    <w:p w14:paraId="6A7629C3" w14:textId="77777777" w:rsidR="00493433" w:rsidRDefault="00493433" w:rsidP="00493433">
      <w:pPr>
        <w:spacing w:after="0"/>
        <w:jc w:val="both"/>
        <w:rPr>
          <w:rFonts w:ascii="Verdana" w:hAnsi="Verdana" w:cs="Arial"/>
          <w:b/>
          <w:lang w:val="es-MX" w:eastAsia="es-ES_tradnl"/>
        </w:rPr>
      </w:pPr>
      <w:r w:rsidRPr="00765900">
        <w:rPr>
          <w:rFonts w:ascii="Verdana" w:hAnsi="Verdana" w:cs="Arial"/>
          <w:b/>
          <w:lang w:val="es-MX" w:eastAsia="es-ES_tradnl"/>
        </w:rPr>
        <w:t xml:space="preserve">RECURSOS </w:t>
      </w:r>
      <w:proofErr w:type="spellStart"/>
      <w:r w:rsidRPr="00765900">
        <w:rPr>
          <w:rFonts w:ascii="Verdana" w:hAnsi="Verdana" w:cs="Arial"/>
          <w:b/>
          <w:lang w:val="es-MX" w:eastAsia="es-ES_tradnl"/>
        </w:rPr>
        <w:t>AESGPRl</w:t>
      </w:r>
      <w:proofErr w:type="spellEnd"/>
      <w:r>
        <w:rPr>
          <w:rFonts w:ascii="Verdana" w:hAnsi="Verdana" w:cs="Arial"/>
          <w:b/>
          <w:lang w:val="es-MX" w:eastAsia="es-ES_tradnl"/>
        </w:rPr>
        <w:t xml:space="preserve"> </w:t>
      </w:r>
      <w:r w:rsidRPr="00765900">
        <w:rPr>
          <w:rFonts w:ascii="Verdana" w:hAnsi="Verdana" w:cs="Arial"/>
          <w:b/>
          <w:lang w:val="es-MX" w:eastAsia="es-ES_tradnl"/>
        </w:rPr>
        <w:t xml:space="preserve">‒ Aplicación Ley de Garantías </w:t>
      </w:r>
    </w:p>
    <w:p w14:paraId="522D05B1" w14:textId="77777777" w:rsidR="00493433" w:rsidRDefault="00493433" w:rsidP="00493433">
      <w:pPr>
        <w:spacing w:after="0"/>
        <w:jc w:val="both"/>
        <w:rPr>
          <w:rFonts w:ascii="Verdana" w:hAnsi="Verdana" w:cs="Arial"/>
          <w:b/>
          <w:lang w:val="es-MX" w:eastAsia="es-ES_tradnl"/>
        </w:rPr>
      </w:pPr>
    </w:p>
    <w:p w14:paraId="244027B3" w14:textId="77777777" w:rsidR="00493433" w:rsidRDefault="00493433" w:rsidP="00493433">
      <w:pPr>
        <w:spacing w:after="0" w:line="240" w:lineRule="auto"/>
        <w:jc w:val="both"/>
        <w:rPr>
          <w:rFonts w:ascii="Verdana" w:eastAsia="Arial" w:hAnsi="Verdana" w:cs="Arial"/>
          <w:sz w:val="20"/>
          <w:lang w:val="es-MX" w:eastAsia="es-ES" w:bidi="es-ES"/>
        </w:rPr>
      </w:pPr>
      <w:r w:rsidRPr="00005E1E">
        <w:rPr>
          <w:rFonts w:ascii="Verdana" w:eastAsia="Arial" w:hAnsi="Verdana" w:cs="Arial"/>
          <w:sz w:val="20"/>
          <w:lang w:val="es-MX" w:eastAsia="es-ES" w:bidi="es-ES"/>
        </w:rPr>
        <w:t xml:space="preserve">En cuanto a la restricción prevista en el artículo 33 de la Ley 996 de 2005 es preciso resaltar que esta 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4C3FD40B" w14:textId="77777777" w:rsidR="00493433" w:rsidRDefault="00493433" w:rsidP="00493433">
      <w:pPr>
        <w:spacing w:after="0" w:line="240" w:lineRule="auto"/>
        <w:jc w:val="both"/>
        <w:rPr>
          <w:rFonts w:ascii="Verdana" w:eastAsia="Arial" w:hAnsi="Verdana" w:cs="Arial"/>
          <w:sz w:val="20"/>
          <w:lang w:val="es-MX" w:eastAsia="es-ES" w:bidi="es-ES"/>
        </w:rPr>
      </w:pPr>
    </w:p>
    <w:p w14:paraId="47B697EA" w14:textId="77777777" w:rsidR="00493433" w:rsidRPr="00005E1E" w:rsidRDefault="00493433" w:rsidP="00493433">
      <w:pPr>
        <w:spacing w:after="0" w:line="240" w:lineRule="auto"/>
        <w:jc w:val="both"/>
        <w:rPr>
          <w:rFonts w:ascii="Verdana" w:eastAsia="Arial" w:hAnsi="Verdana" w:cs="Arial"/>
          <w:sz w:val="20"/>
          <w:lang w:val="es-MX" w:eastAsia="es-ES" w:bidi="es-ES"/>
        </w:rPr>
      </w:pPr>
      <w:r w:rsidRPr="00BA247B">
        <w:rPr>
          <w:rFonts w:ascii="Verdana" w:eastAsia="Arial" w:hAnsi="Verdana" w:cs="Arial"/>
          <w:sz w:val="20"/>
          <w:lang w:val="es-MX" w:eastAsia="es-ES" w:bidi="es-ES"/>
        </w:rPr>
        <w:t xml:space="preserve">En esta cuestión, Ley 715 de 2001 no establece excepciones al artículo 33 de la Ley 996 de 2005 que restringe la contratación directa en el periodo preelectoral a las elecciones presidenciales por la ejecución de un cierto tipo de recursos. En otras palabras, esta normatividad especial para la ejecución de recursos de la AESGPRI, no implica que esté exonerada de la restricción, pues el legislador no hizo distinción del tipo de recursos al establecer la prohibición.  </w:t>
      </w:r>
    </w:p>
    <w:p w14:paraId="42EED7C1" w14:textId="77777777" w:rsidR="00493433" w:rsidRDefault="00493433" w:rsidP="00493433">
      <w:pPr>
        <w:spacing w:after="0"/>
        <w:jc w:val="both"/>
        <w:rPr>
          <w:rFonts w:ascii="Verdana" w:hAnsi="Verdana" w:cs="Arial"/>
          <w:b/>
          <w:lang w:val="es-MX" w:eastAsia="es-ES_tradnl"/>
        </w:rPr>
      </w:pPr>
    </w:p>
    <w:p w14:paraId="5FD7E898" w14:textId="48AA5589" w:rsidR="00493433" w:rsidRPr="00765900" w:rsidRDefault="00493433" w:rsidP="00493433">
      <w:pPr>
        <w:spacing w:after="0"/>
        <w:jc w:val="both"/>
        <w:rPr>
          <w:rFonts w:ascii="Verdana" w:hAnsi="Verdana" w:cs="Arial"/>
          <w:b/>
          <w:lang w:val="es-MX" w:eastAsia="es-ES_tradnl"/>
        </w:rPr>
      </w:pPr>
      <w:r w:rsidRPr="00C55BDE">
        <w:rPr>
          <w:rFonts w:ascii="Verdana" w:hAnsi="Verdana" w:cs="Arial"/>
          <w:b/>
          <w:lang w:val="es-MX" w:eastAsia="es-ES_tradnl"/>
        </w:rPr>
        <w:t>CONTRATOS Y CONVENIOS INTERADMINISTRATIVOS – Circular Externa Única – Auto de suspensión –</w:t>
      </w:r>
      <w:r w:rsidR="00BE090D">
        <w:rPr>
          <w:rFonts w:ascii="Verdana" w:hAnsi="Verdana" w:cs="Arial"/>
          <w:b/>
          <w:lang w:val="es-MX" w:eastAsia="es-ES_tradnl"/>
        </w:rPr>
        <w:t xml:space="preserve"> N</w:t>
      </w:r>
      <w:r w:rsidRPr="00C55BDE">
        <w:rPr>
          <w:rFonts w:ascii="Verdana" w:hAnsi="Verdana" w:cs="Arial"/>
          <w:b/>
          <w:lang w:val="es-MX" w:eastAsia="es-ES_tradnl"/>
        </w:rPr>
        <w:t>umeral 16.2.</w:t>
      </w:r>
    </w:p>
    <w:p w14:paraId="7902F51E" w14:textId="77777777" w:rsidR="00493433" w:rsidRPr="00C55BDE" w:rsidRDefault="00493433" w:rsidP="00493433">
      <w:pPr>
        <w:spacing w:after="0"/>
        <w:jc w:val="both"/>
        <w:rPr>
          <w:rFonts w:ascii="Verdana" w:hAnsi="Verdana"/>
          <w:b/>
        </w:rPr>
      </w:pPr>
    </w:p>
    <w:p w14:paraId="0182814E" w14:textId="77777777" w:rsidR="00493433" w:rsidRPr="00C55BDE" w:rsidRDefault="00493433" w:rsidP="00493433">
      <w:pPr>
        <w:spacing w:after="0" w:line="240" w:lineRule="auto"/>
        <w:jc w:val="both"/>
        <w:rPr>
          <w:rFonts w:ascii="Verdana" w:hAnsi="Verdana"/>
          <w:sz w:val="18"/>
          <w:szCs w:val="20"/>
        </w:rPr>
      </w:pPr>
      <w:r w:rsidRPr="00C55BDE">
        <w:rPr>
          <w:rFonts w:ascii="Verdana" w:eastAsia="Arial" w:hAnsi="Verdana" w:cs="Arial"/>
          <w:sz w:val="20"/>
          <w:lang w:val="es-MX" w:eastAsia="es-ES" w:bidi="es-ES"/>
        </w:rPr>
        <w:t xml:space="preserve">[…] conviene señalar que, mediante auto de 4 de octubre del 2024, el Consejo de Estado, Sección Tercera, decretó medida de suspensión provisional parcial del </w:t>
      </w:r>
      <w:r w:rsidRPr="00C55BDE">
        <w:rPr>
          <w:rFonts w:ascii="Verdana" w:hAnsi="Verdana"/>
          <w:sz w:val="20"/>
        </w:rPr>
        <w:t>numeral 16.2 de la Circular Externa Única de 2022 expedida por la Agencia Nacional de Contratación Pública -Colombia Compra Eficiente-, concretamente, respecto de los siguientes apartes normativos</w:t>
      </w:r>
      <w:r w:rsidRPr="00C55BDE">
        <w:rPr>
          <w:rFonts w:ascii="Verdana" w:hAnsi="Verdana"/>
          <w:sz w:val="18"/>
          <w:szCs w:val="20"/>
        </w:rPr>
        <w:t xml:space="preserve"> </w:t>
      </w:r>
    </w:p>
    <w:p w14:paraId="06A73520" w14:textId="77777777" w:rsidR="00493433" w:rsidRPr="00C55BDE" w:rsidRDefault="00493433" w:rsidP="00493433">
      <w:pPr>
        <w:spacing w:after="0" w:line="240" w:lineRule="auto"/>
        <w:ind w:left="709" w:right="709"/>
        <w:jc w:val="both"/>
        <w:rPr>
          <w:rFonts w:ascii="Verdana" w:hAnsi="Verdana"/>
          <w:sz w:val="20"/>
        </w:rPr>
      </w:pPr>
    </w:p>
    <w:p w14:paraId="57ADD169" w14:textId="77777777" w:rsidR="00493433" w:rsidRPr="00C55BDE" w:rsidRDefault="00493433" w:rsidP="00493433">
      <w:pPr>
        <w:spacing w:after="0" w:line="240" w:lineRule="auto"/>
        <w:jc w:val="both"/>
        <w:rPr>
          <w:rFonts w:ascii="Verdana" w:eastAsia="Arial" w:hAnsi="Verdana" w:cs="Arial"/>
          <w:i/>
          <w:iCs/>
          <w:sz w:val="20"/>
          <w:lang w:eastAsia="es-ES" w:bidi="es-ES"/>
        </w:rPr>
      </w:pPr>
      <w:r w:rsidRPr="00C55BDE">
        <w:rPr>
          <w:rFonts w:ascii="Verdana" w:eastAsia="Arial" w:hAnsi="Verdana" w:cs="Arial"/>
          <w:sz w:val="20"/>
          <w:lang w:val="es-MX" w:eastAsia="es-ES" w:bidi="es-ES"/>
        </w:rPr>
        <w:t xml:space="preserve">De conformidad con los argumentos de dicha providencia, se parte de la distinción entre los conceptos </w:t>
      </w:r>
      <w:r w:rsidRPr="00C55BDE">
        <w:rPr>
          <w:rFonts w:ascii="Verdana" w:eastAsia="Arial" w:hAnsi="Verdana" w:cs="Arial"/>
          <w:sz w:val="20"/>
          <w:lang w:eastAsia="es-ES" w:bidi="es-ES"/>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C55BDE">
        <w:rPr>
          <w:rFonts w:ascii="Verdana" w:eastAsia="Arial" w:hAnsi="Verdana" w:cs="Arial"/>
          <w:i/>
          <w:iCs/>
          <w:sz w:val="20"/>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C55BDE">
        <w:rPr>
          <w:rFonts w:ascii="Verdana" w:eastAsia="Arial" w:hAnsi="Verdana" w:cs="Arial"/>
          <w:sz w:val="20"/>
          <w:lang w:eastAsia="es-ES" w:bidi="es-ES"/>
        </w:rPr>
        <w:t xml:space="preserve">Por tal motivo, para efectos de decretar la medida de suspensión provisional de los apartes señalados del numeral 16.2 de la Circular Externa Única, argumentó que </w:t>
      </w:r>
      <w:r w:rsidRPr="00C55BDE">
        <w:rPr>
          <w:rFonts w:ascii="Verdana" w:eastAsia="Arial" w:hAnsi="Verdana" w:cs="Arial"/>
          <w:i/>
          <w:iCs/>
          <w:sz w:val="20"/>
          <w:lang w:eastAsia="es-ES" w:bidi="es-ES"/>
        </w:rPr>
        <w:t xml:space="preserve">“con independencia del propósito loable o plausible de la </w:t>
      </w:r>
      <w:r w:rsidRPr="00C55BDE">
        <w:rPr>
          <w:rFonts w:ascii="Verdana" w:eastAsia="Arial" w:hAnsi="Verdana" w:cs="Arial"/>
          <w:i/>
          <w:iCs/>
          <w:sz w:val="20"/>
          <w:lang w:eastAsia="es-ES" w:bidi="es-ES"/>
        </w:rPr>
        <w:lastRenderedPageBreak/>
        <w:t xml:space="preserve">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424784BD" w14:textId="77777777" w:rsidR="00493433" w:rsidRPr="00C55BDE" w:rsidRDefault="00493433" w:rsidP="00493433">
      <w:pPr>
        <w:spacing w:after="0" w:line="240" w:lineRule="auto"/>
        <w:rPr>
          <w:rFonts w:ascii="Verdana" w:eastAsia="Geomanist Light" w:hAnsi="Verdana" w:cs="Arial"/>
          <w:color w:val="000000" w:themeColor="text1"/>
          <w:lang w:val="es-ES_tradnl"/>
        </w:rPr>
      </w:pPr>
    </w:p>
    <w:p w14:paraId="4CBC2E36" w14:textId="77777777" w:rsidR="00493433" w:rsidRPr="00C55BDE" w:rsidRDefault="00493433" w:rsidP="00493433">
      <w:pPr>
        <w:spacing w:after="0"/>
        <w:rPr>
          <w:rFonts w:ascii="Verdana" w:hAnsi="Verdana"/>
          <w:lang w:val="es-ES_tradnl"/>
        </w:rPr>
      </w:pPr>
    </w:p>
    <w:p w14:paraId="2D54886A" w14:textId="77777777" w:rsidR="00591781" w:rsidRDefault="00591781" w:rsidP="00493433">
      <w:pPr>
        <w:spacing w:after="0" w:line="240" w:lineRule="auto"/>
        <w:rPr>
          <w:rFonts w:ascii="Verdana" w:hAnsi="Verdana"/>
        </w:rPr>
      </w:pPr>
    </w:p>
    <w:p w14:paraId="2C9E8585" w14:textId="77777777" w:rsidR="00591781" w:rsidRDefault="00591781" w:rsidP="00493433">
      <w:pPr>
        <w:spacing w:after="0" w:line="240" w:lineRule="auto"/>
        <w:rPr>
          <w:rFonts w:ascii="Verdana" w:hAnsi="Verdana"/>
        </w:rPr>
      </w:pPr>
    </w:p>
    <w:p w14:paraId="1C47E841" w14:textId="77777777" w:rsidR="00591781" w:rsidRDefault="00591781" w:rsidP="00493433">
      <w:pPr>
        <w:spacing w:after="0" w:line="240" w:lineRule="auto"/>
        <w:rPr>
          <w:rFonts w:ascii="Verdana" w:hAnsi="Verdana"/>
        </w:rPr>
      </w:pPr>
    </w:p>
    <w:p w14:paraId="2A4D126F" w14:textId="77777777" w:rsidR="00591781" w:rsidRDefault="00591781" w:rsidP="00493433">
      <w:pPr>
        <w:spacing w:after="0" w:line="240" w:lineRule="auto"/>
        <w:rPr>
          <w:rFonts w:ascii="Verdana" w:hAnsi="Verdana"/>
        </w:rPr>
      </w:pPr>
    </w:p>
    <w:p w14:paraId="5D2CCB64" w14:textId="77777777" w:rsidR="00591781" w:rsidRDefault="00591781" w:rsidP="00493433">
      <w:pPr>
        <w:spacing w:after="0" w:line="240" w:lineRule="auto"/>
        <w:rPr>
          <w:rFonts w:ascii="Verdana" w:hAnsi="Verdana"/>
        </w:rPr>
      </w:pPr>
    </w:p>
    <w:p w14:paraId="44B68787" w14:textId="77777777" w:rsidR="00591781" w:rsidRDefault="00591781" w:rsidP="00493433">
      <w:pPr>
        <w:spacing w:after="0" w:line="240" w:lineRule="auto"/>
        <w:rPr>
          <w:rFonts w:ascii="Verdana" w:hAnsi="Verdana"/>
        </w:rPr>
      </w:pPr>
    </w:p>
    <w:p w14:paraId="4B45E85F" w14:textId="77777777" w:rsidR="00591781" w:rsidRDefault="00591781" w:rsidP="00493433">
      <w:pPr>
        <w:spacing w:after="0" w:line="240" w:lineRule="auto"/>
        <w:rPr>
          <w:rFonts w:ascii="Verdana" w:hAnsi="Verdana"/>
        </w:rPr>
      </w:pPr>
    </w:p>
    <w:p w14:paraId="46F61927" w14:textId="77777777" w:rsidR="00591781" w:rsidRDefault="00591781" w:rsidP="00493433">
      <w:pPr>
        <w:spacing w:after="0" w:line="240" w:lineRule="auto"/>
        <w:rPr>
          <w:rFonts w:ascii="Verdana" w:hAnsi="Verdana"/>
        </w:rPr>
      </w:pPr>
    </w:p>
    <w:p w14:paraId="45BBCBDB" w14:textId="77777777" w:rsidR="00591781" w:rsidRDefault="00591781" w:rsidP="00493433">
      <w:pPr>
        <w:spacing w:after="0" w:line="240" w:lineRule="auto"/>
        <w:rPr>
          <w:rFonts w:ascii="Verdana" w:hAnsi="Verdana"/>
        </w:rPr>
      </w:pPr>
    </w:p>
    <w:p w14:paraId="1C91BACA" w14:textId="77777777" w:rsidR="00591781" w:rsidRDefault="00591781" w:rsidP="00493433">
      <w:pPr>
        <w:spacing w:after="0" w:line="240" w:lineRule="auto"/>
        <w:rPr>
          <w:rFonts w:ascii="Verdana" w:hAnsi="Verdana"/>
        </w:rPr>
      </w:pPr>
    </w:p>
    <w:p w14:paraId="2781B2A3" w14:textId="77777777" w:rsidR="00591781" w:rsidRDefault="00591781" w:rsidP="00493433">
      <w:pPr>
        <w:spacing w:after="0" w:line="240" w:lineRule="auto"/>
        <w:rPr>
          <w:rFonts w:ascii="Verdana" w:hAnsi="Verdana"/>
        </w:rPr>
      </w:pPr>
    </w:p>
    <w:p w14:paraId="0F1B4909" w14:textId="77777777" w:rsidR="00591781" w:rsidRDefault="00591781" w:rsidP="00493433">
      <w:pPr>
        <w:spacing w:after="0" w:line="240" w:lineRule="auto"/>
        <w:rPr>
          <w:rFonts w:ascii="Verdana" w:hAnsi="Verdana"/>
        </w:rPr>
      </w:pPr>
    </w:p>
    <w:p w14:paraId="7CE1839E" w14:textId="77777777" w:rsidR="00591781" w:rsidRDefault="00591781" w:rsidP="00493433">
      <w:pPr>
        <w:spacing w:after="0" w:line="240" w:lineRule="auto"/>
        <w:rPr>
          <w:rFonts w:ascii="Verdana" w:hAnsi="Verdana"/>
        </w:rPr>
      </w:pPr>
    </w:p>
    <w:p w14:paraId="2EA9D3C3" w14:textId="77777777" w:rsidR="00591781" w:rsidRDefault="00591781" w:rsidP="00493433">
      <w:pPr>
        <w:spacing w:after="0" w:line="240" w:lineRule="auto"/>
        <w:rPr>
          <w:rFonts w:ascii="Verdana" w:hAnsi="Verdana"/>
        </w:rPr>
      </w:pPr>
    </w:p>
    <w:p w14:paraId="28E89D81" w14:textId="77777777" w:rsidR="00591781" w:rsidRDefault="00591781" w:rsidP="00493433">
      <w:pPr>
        <w:spacing w:after="0" w:line="240" w:lineRule="auto"/>
        <w:rPr>
          <w:rFonts w:ascii="Verdana" w:hAnsi="Verdana"/>
        </w:rPr>
      </w:pPr>
    </w:p>
    <w:p w14:paraId="3A330652" w14:textId="77777777" w:rsidR="00591781" w:rsidRDefault="00591781" w:rsidP="00493433">
      <w:pPr>
        <w:spacing w:after="0" w:line="240" w:lineRule="auto"/>
        <w:rPr>
          <w:rFonts w:ascii="Verdana" w:hAnsi="Verdana"/>
        </w:rPr>
      </w:pPr>
    </w:p>
    <w:p w14:paraId="072151B7" w14:textId="77777777" w:rsidR="00591781" w:rsidRDefault="00591781" w:rsidP="00493433">
      <w:pPr>
        <w:spacing w:after="0" w:line="240" w:lineRule="auto"/>
        <w:rPr>
          <w:rFonts w:ascii="Verdana" w:hAnsi="Verdana"/>
        </w:rPr>
      </w:pPr>
    </w:p>
    <w:p w14:paraId="0D4630D6" w14:textId="77777777" w:rsidR="00591781" w:rsidRDefault="00591781" w:rsidP="00493433">
      <w:pPr>
        <w:spacing w:after="0" w:line="240" w:lineRule="auto"/>
        <w:rPr>
          <w:rFonts w:ascii="Verdana" w:hAnsi="Verdana"/>
        </w:rPr>
      </w:pPr>
    </w:p>
    <w:p w14:paraId="2DA0F154" w14:textId="77777777" w:rsidR="00591781" w:rsidRDefault="00591781" w:rsidP="00493433">
      <w:pPr>
        <w:spacing w:after="0" w:line="240" w:lineRule="auto"/>
        <w:rPr>
          <w:rFonts w:ascii="Verdana" w:hAnsi="Verdana"/>
        </w:rPr>
      </w:pPr>
    </w:p>
    <w:p w14:paraId="2A03CE9E" w14:textId="77777777" w:rsidR="00591781" w:rsidRDefault="00591781" w:rsidP="00493433">
      <w:pPr>
        <w:spacing w:after="0" w:line="240" w:lineRule="auto"/>
        <w:rPr>
          <w:rFonts w:ascii="Verdana" w:hAnsi="Verdana"/>
        </w:rPr>
      </w:pPr>
    </w:p>
    <w:p w14:paraId="5F21D9BB" w14:textId="77777777" w:rsidR="00591781" w:rsidRDefault="00591781" w:rsidP="00493433">
      <w:pPr>
        <w:spacing w:after="0" w:line="240" w:lineRule="auto"/>
        <w:rPr>
          <w:rFonts w:ascii="Verdana" w:hAnsi="Verdana"/>
        </w:rPr>
      </w:pPr>
    </w:p>
    <w:p w14:paraId="21D44B5C" w14:textId="77777777" w:rsidR="00591781" w:rsidRDefault="00591781" w:rsidP="00493433">
      <w:pPr>
        <w:spacing w:after="0" w:line="240" w:lineRule="auto"/>
        <w:rPr>
          <w:rFonts w:ascii="Verdana" w:hAnsi="Verdana"/>
        </w:rPr>
      </w:pPr>
    </w:p>
    <w:p w14:paraId="25355658" w14:textId="77777777" w:rsidR="00591781" w:rsidRDefault="00591781" w:rsidP="00493433">
      <w:pPr>
        <w:spacing w:after="0" w:line="240" w:lineRule="auto"/>
        <w:rPr>
          <w:rFonts w:ascii="Verdana" w:hAnsi="Verdana"/>
        </w:rPr>
      </w:pPr>
    </w:p>
    <w:p w14:paraId="116FAC38" w14:textId="77777777" w:rsidR="00591781" w:rsidRDefault="00591781" w:rsidP="00493433">
      <w:pPr>
        <w:spacing w:after="0" w:line="240" w:lineRule="auto"/>
        <w:rPr>
          <w:rFonts w:ascii="Verdana" w:hAnsi="Verdana"/>
        </w:rPr>
      </w:pPr>
    </w:p>
    <w:p w14:paraId="0D424A6D" w14:textId="77777777" w:rsidR="00591781" w:rsidRDefault="00591781" w:rsidP="00493433">
      <w:pPr>
        <w:spacing w:after="0" w:line="240" w:lineRule="auto"/>
        <w:rPr>
          <w:rFonts w:ascii="Verdana" w:hAnsi="Verdana"/>
        </w:rPr>
      </w:pPr>
    </w:p>
    <w:p w14:paraId="537D8B20" w14:textId="77777777" w:rsidR="00591781" w:rsidRDefault="00591781" w:rsidP="00493433">
      <w:pPr>
        <w:spacing w:after="0" w:line="240" w:lineRule="auto"/>
        <w:rPr>
          <w:rFonts w:ascii="Verdana" w:hAnsi="Verdana"/>
        </w:rPr>
      </w:pPr>
    </w:p>
    <w:p w14:paraId="02CEE88B" w14:textId="77777777" w:rsidR="00591781" w:rsidRDefault="00591781" w:rsidP="00493433">
      <w:pPr>
        <w:spacing w:after="0" w:line="240" w:lineRule="auto"/>
        <w:rPr>
          <w:rFonts w:ascii="Verdana" w:hAnsi="Verdana"/>
        </w:rPr>
      </w:pPr>
    </w:p>
    <w:p w14:paraId="7C9F66B7" w14:textId="77777777" w:rsidR="00591781" w:rsidRDefault="00591781" w:rsidP="00493433">
      <w:pPr>
        <w:spacing w:after="0" w:line="240" w:lineRule="auto"/>
        <w:rPr>
          <w:rFonts w:ascii="Verdana" w:hAnsi="Verdana"/>
        </w:rPr>
      </w:pPr>
    </w:p>
    <w:p w14:paraId="1B75B030" w14:textId="77777777" w:rsidR="00591781" w:rsidRDefault="00591781" w:rsidP="00493433">
      <w:pPr>
        <w:spacing w:after="0" w:line="240" w:lineRule="auto"/>
        <w:rPr>
          <w:rFonts w:ascii="Verdana" w:hAnsi="Verdana"/>
        </w:rPr>
      </w:pPr>
    </w:p>
    <w:p w14:paraId="2864FD80" w14:textId="77777777" w:rsidR="00591781" w:rsidRDefault="00591781" w:rsidP="00493433">
      <w:pPr>
        <w:spacing w:after="0" w:line="240" w:lineRule="auto"/>
        <w:rPr>
          <w:rFonts w:ascii="Verdana" w:hAnsi="Verdana"/>
        </w:rPr>
      </w:pPr>
    </w:p>
    <w:p w14:paraId="3C547291" w14:textId="77777777" w:rsidR="00591781" w:rsidRDefault="00591781" w:rsidP="00493433">
      <w:pPr>
        <w:spacing w:after="0" w:line="240" w:lineRule="auto"/>
        <w:rPr>
          <w:rFonts w:ascii="Verdana" w:hAnsi="Verdana"/>
        </w:rPr>
      </w:pPr>
    </w:p>
    <w:p w14:paraId="5DC977FE" w14:textId="77777777" w:rsidR="00591781" w:rsidRDefault="00591781" w:rsidP="00493433">
      <w:pPr>
        <w:spacing w:after="0" w:line="240" w:lineRule="auto"/>
        <w:rPr>
          <w:rFonts w:ascii="Verdana" w:hAnsi="Verdana"/>
        </w:rPr>
      </w:pPr>
    </w:p>
    <w:p w14:paraId="3812D024" w14:textId="77777777" w:rsidR="00591781" w:rsidRDefault="00591781" w:rsidP="00493433">
      <w:pPr>
        <w:spacing w:after="0" w:line="240" w:lineRule="auto"/>
        <w:rPr>
          <w:rFonts w:ascii="Verdana" w:hAnsi="Verdana"/>
        </w:rPr>
      </w:pPr>
    </w:p>
    <w:p w14:paraId="4198F0B0" w14:textId="77777777" w:rsidR="00591781" w:rsidRDefault="00591781" w:rsidP="00493433">
      <w:pPr>
        <w:spacing w:after="0" w:line="240" w:lineRule="auto"/>
        <w:rPr>
          <w:rFonts w:ascii="Verdana" w:hAnsi="Verdana"/>
        </w:rPr>
      </w:pPr>
    </w:p>
    <w:p w14:paraId="1B6E7142" w14:textId="77777777" w:rsidR="00591781" w:rsidRDefault="00591781" w:rsidP="00493433">
      <w:pPr>
        <w:spacing w:after="0" w:line="240" w:lineRule="auto"/>
        <w:rPr>
          <w:rFonts w:ascii="Verdana" w:hAnsi="Verdana"/>
        </w:rPr>
      </w:pPr>
    </w:p>
    <w:p w14:paraId="2F0BE5E0" w14:textId="77777777" w:rsidR="00591781" w:rsidRDefault="00591781" w:rsidP="00493433">
      <w:pPr>
        <w:spacing w:after="0" w:line="240" w:lineRule="auto"/>
        <w:rPr>
          <w:rFonts w:ascii="Verdana" w:hAnsi="Verdana"/>
        </w:rPr>
      </w:pPr>
    </w:p>
    <w:p w14:paraId="6A45A881" w14:textId="71342A93" w:rsidR="00493433" w:rsidRDefault="00493433" w:rsidP="00493433">
      <w:pPr>
        <w:spacing w:after="0" w:line="240" w:lineRule="auto"/>
        <w:rPr>
          <w:rFonts w:ascii="Verdana" w:eastAsia="Geomanist Light" w:hAnsi="Verdana" w:cs="Arial"/>
          <w:color w:val="201F1E"/>
        </w:rPr>
      </w:pPr>
      <w:r w:rsidRPr="00C55BDE">
        <w:rPr>
          <w:rFonts w:ascii="Verdana" w:hAnsi="Verdana"/>
        </w:rPr>
        <w:lastRenderedPageBreak/>
        <w:t xml:space="preserve">Bogotá D.C., </w:t>
      </w:r>
      <w:r w:rsidR="0004035A">
        <w:rPr>
          <w:rFonts w:ascii="Verdana" w:eastAsia="Geomanist Light" w:hAnsi="Verdana" w:cs="Arial"/>
          <w:color w:val="201F1E"/>
        </w:rPr>
        <w:t xml:space="preserve">19 de mayo de 2026 </w:t>
      </w:r>
    </w:p>
    <w:p w14:paraId="0D5E435E" w14:textId="77777777" w:rsidR="00493433" w:rsidRDefault="00493433" w:rsidP="00493433">
      <w:pPr>
        <w:spacing w:after="0"/>
        <w:rPr>
          <w:rFonts w:ascii="Verdana" w:hAnsi="Verdana"/>
        </w:rPr>
      </w:pPr>
    </w:p>
    <w:p w14:paraId="744B3334" w14:textId="6E3FE1EB" w:rsidR="00493433" w:rsidRDefault="00493433" w:rsidP="00E849F4">
      <w:pPr>
        <w:spacing w:after="0"/>
        <w:jc w:val="right"/>
        <w:rPr>
          <w:rFonts w:ascii="Verdana" w:hAnsi="Verdana"/>
        </w:rPr>
      </w:pPr>
      <w:r w:rsidRPr="00C55BDE">
        <w:rPr>
          <w:rFonts w:ascii="Verdana" w:hAnsi="Verdana"/>
        </w:rPr>
        <w:tab/>
      </w:r>
      <w:r w:rsidR="00DF7CBC" w:rsidRPr="00DF7CBC">
        <w:rPr>
          <w:rFonts w:ascii="Verdana" w:hAnsi="Verdana"/>
          <w:noProof/>
        </w:rPr>
        <w:drawing>
          <wp:anchor distT="0" distB="0" distL="114300" distR="114300" simplePos="0" relativeHeight="251658240" behindDoc="0" locked="0" layoutInCell="1" allowOverlap="1" wp14:anchorId="5CE69BBF" wp14:editId="66973434">
            <wp:simplePos x="0" y="0"/>
            <wp:positionH relativeFrom="column">
              <wp:posOffset>3362325</wp:posOffset>
            </wp:positionH>
            <wp:positionV relativeFrom="paragraph">
              <wp:posOffset>-3175</wp:posOffset>
            </wp:positionV>
            <wp:extent cx="2247900" cy="762000"/>
            <wp:effectExtent l="0" t="0" r="0" b="0"/>
            <wp:wrapSquare wrapText="bothSides"/>
            <wp:docPr id="153368001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47900" cy="762000"/>
                    </a:xfrm>
                    <a:prstGeom prst="rect">
                      <a:avLst/>
                    </a:prstGeom>
                    <a:noFill/>
                    <a:ln>
                      <a:noFill/>
                    </a:ln>
                  </pic:spPr>
                </pic:pic>
              </a:graphicData>
            </a:graphic>
          </wp:anchor>
        </w:drawing>
      </w:r>
    </w:p>
    <w:p w14:paraId="03F84BBA" w14:textId="77777777" w:rsidR="00493433" w:rsidRDefault="00493433" w:rsidP="00493433">
      <w:pPr>
        <w:spacing w:after="0"/>
        <w:rPr>
          <w:rFonts w:ascii="Verdana" w:eastAsia="Calibri" w:hAnsi="Verdana" w:cs="Arial"/>
          <w:color w:val="000000" w:themeColor="text1"/>
          <w:lang w:val="es-ES" w:eastAsia="es-ES"/>
        </w:rPr>
      </w:pPr>
      <w:r w:rsidRPr="00C55BDE">
        <w:rPr>
          <w:rFonts w:ascii="Verdana" w:eastAsia="Calibri" w:hAnsi="Verdana" w:cs="Arial"/>
          <w:color w:val="000000" w:themeColor="text1"/>
          <w:lang w:val="es-ES" w:eastAsia="es-ES"/>
        </w:rPr>
        <w:t>Señor</w:t>
      </w:r>
    </w:p>
    <w:p w14:paraId="677DDF88" w14:textId="77777777" w:rsidR="00493433" w:rsidRPr="00CF2943" w:rsidRDefault="00493433" w:rsidP="00493433">
      <w:pPr>
        <w:spacing w:after="0"/>
        <w:rPr>
          <w:rFonts w:ascii="Verdana" w:hAnsi="Verdana"/>
          <w:b/>
          <w:bCs/>
        </w:rPr>
      </w:pPr>
      <w:r>
        <w:rPr>
          <w:rFonts w:ascii="Verdana" w:hAnsi="Verdana"/>
          <w:b/>
          <w:bCs/>
        </w:rPr>
        <w:t xml:space="preserve">Oscar Dario Erazo </w:t>
      </w:r>
      <w:r w:rsidRPr="00E034B2">
        <w:rPr>
          <w:rFonts w:ascii="Verdana" w:hAnsi="Verdana"/>
          <w:b/>
          <w:bCs/>
        </w:rPr>
        <w:t>V</w:t>
      </w:r>
      <w:r>
        <w:rPr>
          <w:rFonts w:ascii="Verdana" w:hAnsi="Verdana"/>
          <w:b/>
          <w:bCs/>
        </w:rPr>
        <w:t>elasco</w:t>
      </w:r>
    </w:p>
    <w:p w14:paraId="62F550C0" w14:textId="77777777" w:rsidR="00493433" w:rsidRPr="004265F0" w:rsidRDefault="00493433" w:rsidP="00493433">
      <w:pPr>
        <w:spacing w:after="0" w:line="240" w:lineRule="auto"/>
        <w:jc w:val="both"/>
        <w:rPr>
          <w:rFonts w:ascii="Verdana" w:hAnsi="Verdana"/>
        </w:rPr>
      </w:pPr>
      <w:hyperlink r:id="rId12" w:history="1">
        <w:r w:rsidRPr="004265F0">
          <w:rPr>
            <w:rStyle w:val="Hipervnculo"/>
            <w:rFonts w:ascii="Verdana" w:hAnsi="Verdana"/>
          </w:rPr>
          <w:t>dario@erazo.co</w:t>
        </w:r>
      </w:hyperlink>
      <w:r w:rsidRPr="004265F0">
        <w:rPr>
          <w:rFonts w:ascii="Verdana" w:hAnsi="Verdana"/>
        </w:rPr>
        <w:t xml:space="preserve"> </w:t>
      </w:r>
    </w:p>
    <w:p w14:paraId="7827C89D" w14:textId="77777777" w:rsidR="00493433" w:rsidRPr="00CE3F9C" w:rsidRDefault="00493433" w:rsidP="00493433">
      <w:pPr>
        <w:spacing w:after="0" w:line="240" w:lineRule="auto"/>
        <w:jc w:val="both"/>
      </w:pPr>
      <w:r>
        <w:rPr>
          <w:rFonts w:ascii="Verdana" w:hAnsi="Verdana"/>
        </w:rPr>
        <w:t>Bogotá D.C.</w:t>
      </w:r>
    </w:p>
    <w:p w14:paraId="29481A56" w14:textId="77777777" w:rsidR="00493433" w:rsidRPr="00C55BDE" w:rsidRDefault="00493433" w:rsidP="00493433">
      <w:pPr>
        <w:spacing w:after="0" w:line="240" w:lineRule="auto"/>
        <w:rPr>
          <w:rFonts w:ascii="Verdana" w:eastAsia="Calibri" w:hAnsi="Verdana" w:cs="Arial"/>
          <w:b/>
          <w:bCs/>
          <w:color w:val="000000" w:themeColor="text1"/>
          <w:lang w:val="es-ES_tradnl" w:eastAsia="es-ES_tradnl"/>
        </w:rPr>
      </w:pPr>
    </w:p>
    <w:p w14:paraId="4E270CEA" w14:textId="77777777" w:rsidR="00493433" w:rsidRPr="00C55BDE" w:rsidRDefault="00493433" w:rsidP="00493433">
      <w:pPr>
        <w:spacing w:after="0" w:line="240" w:lineRule="auto"/>
        <w:rPr>
          <w:rFonts w:ascii="Verdana" w:eastAsia="Calibri" w:hAnsi="Verdana" w:cs="Arial"/>
          <w:b/>
          <w:bCs/>
          <w:color w:val="000000" w:themeColor="text1"/>
          <w:lang w:val="es-ES_tradnl" w:eastAsia="es-ES_tradnl"/>
        </w:rPr>
      </w:pPr>
      <w:r w:rsidRPr="00C55BDE">
        <w:rPr>
          <w:rFonts w:ascii="Verdana" w:eastAsia="Calibri" w:hAnsi="Verdana" w:cs="Arial"/>
          <w:b/>
          <w:bCs/>
          <w:color w:val="000000" w:themeColor="text1"/>
          <w:lang w:val="es-ES_tradnl" w:eastAsia="es-ES_tradnl"/>
        </w:rPr>
        <w:t xml:space="preserve">                                   Concepto C-</w:t>
      </w:r>
      <w:r>
        <w:rPr>
          <w:rFonts w:ascii="Verdana" w:eastAsia="Calibri" w:hAnsi="Verdana" w:cs="Arial"/>
          <w:b/>
          <w:bCs/>
          <w:color w:val="000000" w:themeColor="text1"/>
          <w:lang w:val="es-ES_tradnl" w:eastAsia="es-ES_tradnl"/>
        </w:rPr>
        <w:t>571</w:t>
      </w:r>
      <w:r w:rsidRPr="00C55BDE">
        <w:rPr>
          <w:rFonts w:ascii="Verdana" w:eastAsia="Calibri" w:hAnsi="Verdana" w:cs="Arial"/>
          <w:b/>
          <w:bCs/>
          <w:color w:val="000000" w:themeColor="text1"/>
          <w:lang w:val="es-ES_tradnl" w:eastAsia="es-ES_tradnl"/>
        </w:rPr>
        <w:t xml:space="preserve"> del 202</w:t>
      </w:r>
      <w:r>
        <w:rPr>
          <w:rFonts w:ascii="Verdana" w:eastAsia="Calibri" w:hAnsi="Verdana" w:cs="Arial"/>
          <w:b/>
          <w:bCs/>
          <w:color w:val="000000" w:themeColor="text1"/>
          <w:lang w:val="es-ES_tradnl" w:eastAsia="es-ES_tradnl"/>
        </w:rPr>
        <w:t>6</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93433" w:rsidRPr="00C55BDE" w14:paraId="3C996738" w14:textId="77777777" w:rsidTr="00813B0E">
        <w:trPr>
          <w:gridAfter w:val="1"/>
          <w:wAfter w:w="6100" w:type="dxa"/>
          <w:trHeight w:val="133"/>
        </w:trPr>
        <w:tc>
          <w:tcPr>
            <w:tcW w:w="2689" w:type="dxa"/>
          </w:tcPr>
          <w:p w14:paraId="4B274546" w14:textId="77777777" w:rsidR="00493433" w:rsidRPr="00C55BDE" w:rsidRDefault="00493433" w:rsidP="00813B0E">
            <w:pPr>
              <w:jc w:val="both"/>
              <w:rPr>
                <w:rFonts w:ascii="Verdana" w:eastAsia="Calibri" w:hAnsi="Verdana" w:cs="Arial"/>
                <w:b/>
                <w:bCs/>
                <w:color w:val="000000" w:themeColor="text1"/>
                <w:highlight w:val="cyan"/>
                <w:lang w:val="es-ES_tradnl" w:eastAsia="es-ES_tradnl"/>
              </w:rPr>
            </w:pPr>
          </w:p>
        </w:tc>
      </w:tr>
      <w:tr w:rsidR="00493433" w:rsidRPr="00C55BDE" w14:paraId="0E428032" w14:textId="77777777" w:rsidTr="00813B0E">
        <w:trPr>
          <w:trHeight w:val="884"/>
        </w:trPr>
        <w:tc>
          <w:tcPr>
            <w:tcW w:w="2689" w:type="dxa"/>
          </w:tcPr>
          <w:p w14:paraId="6419B28C" w14:textId="77777777" w:rsidR="00493433" w:rsidRPr="00C55BDE" w:rsidRDefault="00493433" w:rsidP="00813B0E">
            <w:pPr>
              <w:jc w:val="both"/>
              <w:rPr>
                <w:rFonts w:ascii="Verdana" w:eastAsia="Calibri" w:hAnsi="Verdana" w:cs="Arial"/>
                <w:color w:val="000000" w:themeColor="text1"/>
                <w:highlight w:val="cyan"/>
                <w:lang w:val="es-ES_tradnl" w:eastAsia="es-ES_tradnl"/>
              </w:rPr>
            </w:pPr>
            <w:r w:rsidRPr="00C55BDE">
              <w:rPr>
                <w:rFonts w:ascii="Verdana" w:eastAsia="Calibri" w:hAnsi="Verdana" w:cs="Arial"/>
                <w:b/>
                <w:color w:val="000000" w:themeColor="text1"/>
                <w:lang w:val="es-ES_tradnl" w:eastAsia="es-ES_tradnl"/>
              </w:rPr>
              <w:t>Temas:</w:t>
            </w:r>
            <w:r w:rsidRPr="00C55BDE">
              <w:rPr>
                <w:rFonts w:ascii="Verdana" w:eastAsia="Calibri" w:hAnsi="Verdana" w:cs="Arial"/>
                <w:color w:val="000000" w:themeColor="text1"/>
                <w:lang w:val="es-ES_tradnl" w:eastAsia="es-ES_tradnl"/>
              </w:rPr>
              <w:t xml:space="preserve">                   </w:t>
            </w:r>
          </w:p>
        </w:tc>
        <w:tc>
          <w:tcPr>
            <w:tcW w:w="6100" w:type="dxa"/>
          </w:tcPr>
          <w:p w14:paraId="48E39195" w14:textId="77777777" w:rsidR="00493433" w:rsidRDefault="00493433" w:rsidP="00813B0E">
            <w:pPr>
              <w:spacing w:line="276" w:lineRule="auto"/>
              <w:jc w:val="both"/>
              <w:rPr>
                <w:rFonts w:ascii="Verdana" w:hAnsi="Verdana" w:cs="Arial"/>
                <w:lang w:val="es-ES" w:eastAsia="es-ES"/>
              </w:rPr>
            </w:pPr>
            <w:r w:rsidRPr="00C55BDE">
              <w:rPr>
                <w:rFonts w:ascii="Verdana" w:eastAsia="Calibri" w:hAnsi="Verdana" w:cs="Arial"/>
                <w:lang w:val="es-ES" w:eastAsia="es-ES"/>
              </w:rPr>
              <w:t xml:space="preserve">RESGUARDOS INDÍGENAS – Administración de recursos del SGP – Entidades Estatales / </w:t>
            </w:r>
            <w:r w:rsidRPr="00C55BDE">
              <w:rPr>
                <w:rFonts w:ascii="Verdana" w:hAnsi="Verdana" w:cs="Arial"/>
                <w:lang w:val="es-ES" w:eastAsia="es-ES"/>
              </w:rPr>
              <w:t xml:space="preserve">LEY DE GARANTÍAS ELECTORALES – Finalidad / LEY DE GARANTÍAS ELECTORALES ‒ Restricciones ‒ Contratación ‒ Tipos de elección / </w:t>
            </w:r>
            <w:r>
              <w:rPr>
                <w:rFonts w:ascii="Verdana" w:hAnsi="Verdana" w:cs="Arial"/>
                <w:lang w:val="es-ES" w:eastAsia="es-ES"/>
              </w:rPr>
              <w:t xml:space="preserve">RECURSOS </w:t>
            </w:r>
            <w:proofErr w:type="spellStart"/>
            <w:r w:rsidRPr="00FC403C">
              <w:rPr>
                <w:rFonts w:ascii="Verdana" w:hAnsi="Verdana"/>
                <w:iCs/>
              </w:rPr>
              <w:t>AESGPRl</w:t>
            </w:r>
            <w:proofErr w:type="spellEnd"/>
          </w:p>
          <w:p w14:paraId="5D54CA1C" w14:textId="77777777" w:rsidR="00493433" w:rsidRPr="00A23DBA" w:rsidRDefault="00493433" w:rsidP="00813B0E">
            <w:pPr>
              <w:spacing w:line="276" w:lineRule="auto"/>
              <w:jc w:val="both"/>
              <w:rPr>
                <w:rFonts w:ascii="Verdana" w:hAnsi="Verdana" w:cs="Arial"/>
                <w:lang w:val="es-ES" w:eastAsia="es-ES"/>
              </w:rPr>
            </w:pPr>
            <w:r w:rsidRPr="00C55BDE">
              <w:rPr>
                <w:rFonts w:ascii="Verdana" w:hAnsi="Verdana" w:cs="Arial"/>
                <w:lang w:val="es-ES" w:eastAsia="es-ES"/>
              </w:rPr>
              <w:t>‒</w:t>
            </w:r>
            <w:r>
              <w:rPr>
                <w:rFonts w:ascii="Verdana" w:hAnsi="Verdana" w:cs="Arial"/>
                <w:lang w:val="es-ES" w:eastAsia="es-ES"/>
              </w:rPr>
              <w:t xml:space="preserve"> Aplicación Ley de Garantías </w:t>
            </w:r>
            <w:r w:rsidRPr="00C55BDE">
              <w:rPr>
                <w:rFonts w:ascii="Verdana" w:hAnsi="Verdana" w:cs="Arial"/>
                <w:lang w:val="es-MX" w:eastAsia="es-ES_tradnl"/>
              </w:rPr>
              <w:t>/</w:t>
            </w:r>
            <w:r w:rsidRPr="00C55BDE">
              <w:rPr>
                <w:rFonts w:ascii="Verdana" w:hAnsi="Verdana"/>
              </w:rPr>
              <w:t xml:space="preserve"> </w:t>
            </w:r>
            <w:r w:rsidRPr="00C55BDE">
              <w:rPr>
                <w:rFonts w:ascii="Verdana" w:hAnsi="Verdana" w:cs="Arial"/>
                <w:lang w:val="es-MX" w:eastAsia="es-ES_tradnl"/>
              </w:rPr>
              <w:t xml:space="preserve">CONTRATOS Y CONVENIOS INTERADMINISTRATIVOS – Circular Externa Única – Auto de suspensión </w:t>
            </w:r>
          </w:p>
          <w:p w14:paraId="18DA6ADE" w14:textId="77777777" w:rsidR="00493433" w:rsidRPr="00C55BDE" w:rsidRDefault="00493433" w:rsidP="00813B0E">
            <w:pPr>
              <w:spacing w:line="276" w:lineRule="auto"/>
              <w:jc w:val="both"/>
              <w:rPr>
                <w:rFonts w:ascii="Verdana" w:hAnsi="Verdana" w:cs="Arial"/>
                <w:bCs/>
                <w:color w:val="000000" w:themeColor="text1"/>
                <w:highlight w:val="cyan"/>
              </w:rPr>
            </w:pPr>
          </w:p>
        </w:tc>
      </w:tr>
      <w:tr w:rsidR="00493433" w:rsidRPr="00C55BDE" w14:paraId="6CB1B00D" w14:textId="77777777" w:rsidTr="00813B0E">
        <w:tc>
          <w:tcPr>
            <w:tcW w:w="2689" w:type="dxa"/>
          </w:tcPr>
          <w:p w14:paraId="283CC4D3" w14:textId="77777777" w:rsidR="00493433" w:rsidRPr="00C55BDE" w:rsidRDefault="00493433" w:rsidP="00813B0E">
            <w:pPr>
              <w:jc w:val="both"/>
              <w:rPr>
                <w:rFonts w:ascii="Verdana" w:eastAsia="Calibri" w:hAnsi="Verdana" w:cs="Arial"/>
                <w:b/>
                <w:color w:val="000000" w:themeColor="text1"/>
                <w:lang w:val="es-ES_tradnl" w:eastAsia="es-ES_tradnl"/>
              </w:rPr>
            </w:pPr>
            <w:r w:rsidRPr="00C55BDE">
              <w:rPr>
                <w:rFonts w:ascii="Verdana" w:eastAsia="Calibri" w:hAnsi="Verdana" w:cs="Arial"/>
                <w:b/>
                <w:color w:val="000000" w:themeColor="text1"/>
                <w:lang w:val="es-ES_tradnl" w:eastAsia="es-ES_tradnl"/>
              </w:rPr>
              <w:t>Radicación:</w:t>
            </w:r>
            <w:r w:rsidRPr="00C55BDE">
              <w:rPr>
                <w:rFonts w:ascii="Verdana" w:eastAsia="Calibri" w:hAnsi="Verdana" w:cs="Arial"/>
                <w:color w:val="000000" w:themeColor="text1"/>
                <w:lang w:val="es-ES_tradnl" w:eastAsia="es-ES_tradnl"/>
              </w:rPr>
              <w:t xml:space="preserve">               </w:t>
            </w:r>
          </w:p>
        </w:tc>
        <w:tc>
          <w:tcPr>
            <w:tcW w:w="6100" w:type="dxa"/>
          </w:tcPr>
          <w:p w14:paraId="3E579125" w14:textId="77777777" w:rsidR="00493433" w:rsidRDefault="00493433" w:rsidP="00813B0E">
            <w:pPr>
              <w:jc w:val="both"/>
              <w:rPr>
                <w:rFonts w:ascii="Verdana" w:eastAsia="Calibri" w:hAnsi="Verdana" w:cs="Arial"/>
                <w:color w:val="000000" w:themeColor="text1"/>
                <w:lang w:val="es-ES_tradnl" w:eastAsia="es-ES_tradnl"/>
              </w:rPr>
            </w:pPr>
            <w:r w:rsidRPr="00C55BDE">
              <w:rPr>
                <w:rFonts w:ascii="Verdana" w:eastAsia="Calibri" w:hAnsi="Verdana" w:cs="Arial"/>
                <w:color w:val="000000" w:themeColor="text1"/>
                <w:lang w:val="es-ES_tradnl" w:eastAsia="es-ES_tradnl"/>
              </w:rPr>
              <w:t xml:space="preserve">Respuesta a </w:t>
            </w:r>
            <w:r>
              <w:rPr>
                <w:rFonts w:ascii="Verdana" w:eastAsia="Calibri" w:hAnsi="Verdana" w:cs="Arial"/>
                <w:color w:val="000000" w:themeColor="text1"/>
                <w:lang w:val="es-ES_tradnl" w:eastAsia="es-ES_tradnl"/>
              </w:rPr>
              <w:t xml:space="preserve">la </w:t>
            </w:r>
            <w:r w:rsidRPr="00C55BDE">
              <w:rPr>
                <w:rFonts w:ascii="Verdana" w:eastAsia="Calibri" w:hAnsi="Verdana" w:cs="Arial"/>
                <w:color w:val="000000" w:themeColor="text1"/>
                <w:lang w:val="es-ES_tradnl" w:eastAsia="es-ES_tradnl"/>
              </w:rPr>
              <w:t>consulta con radicado No</w:t>
            </w:r>
            <w:r>
              <w:rPr>
                <w:rFonts w:ascii="Verdana" w:eastAsia="Calibri" w:hAnsi="Verdana" w:cs="Arial"/>
                <w:color w:val="000000" w:themeColor="text1"/>
                <w:lang w:val="es-ES_tradnl" w:eastAsia="es-ES_tradnl"/>
              </w:rPr>
              <w:t xml:space="preserve">. </w:t>
            </w:r>
            <w:r w:rsidRPr="007E545B">
              <w:rPr>
                <w:rFonts w:ascii="Verdana" w:eastAsia="Calibri" w:hAnsi="Verdana" w:cs="Arial"/>
                <w:color w:val="000000" w:themeColor="text1"/>
                <w:lang w:val="es-ES_tradnl" w:eastAsia="es-ES_tradnl"/>
              </w:rPr>
              <w:t>1_2026_04_07_004676</w:t>
            </w:r>
          </w:p>
          <w:p w14:paraId="4067FEA6" w14:textId="77777777" w:rsidR="00493433" w:rsidRPr="00C55BDE" w:rsidRDefault="00493433" w:rsidP="00813B0E">
            <w:pPr>
              <w:jc w:val="both"/>
              <w:rPr>
                <w:rFonts w:ascii="Verdana" w:hAnsi="Verdana" w:cs="Arial"/>
              </w:rPr>
            </w:pPr>
          </w:p>
          <w:p w14:paraId="70A107B5" w14:textId="77777777" w:rsidR="00493433" w:rsidRPr="00C55BDE" w:rsidRDefault="00493433" w:rsidP="00813B0E">
            <w:pPr>
              <w:jc w:val="both"/>
              <w:rPr>
                <w:rFonts w:ascii="Verdana" w:hAnsi="Verdana"/>
                <w:color w:val="000000"/>
              </w:rPr>
            </w:pPr>
          </w:p>
        </w:tc>
      </w:tr>
    </w:tbl>
    <w:p w14:paraId="77BBC1F4" w14:textId="77777777" w:rsidR="00493433" w:rsidRPr="00C55BDE" w:rsidRDefault="00493433" w:rsidP="00493433">
      <w:pPr>
        <w:spacing w:after="0" w:line="276" w:lineRule="auto"/>
        <w:jc w:val="both"/>
        <w:rPr>
          <w:rFonts w:ascii="Verdana" w:eastAsia="Calibri" w:hAnsi="Verdana" w:cs="Arial"/>
          <w:color w:val="000000" w:themeColor="text1"/>
          <w:lang w:val="es-ES" w:eastAsia="es-ES"/>
        </w:rPr>
      </w:pPr>
      <w:r w:rsidRPr="00C55BDE">
        <w:rPr>
          <w:rFonts w:ascii="Verdana" w:eastAsia="Calibri" w:hAnsi="Verdana" w:cs="Arial"/>
          <w:color w:val="000000" w:themeColor="text1"/>
          <w:lang w:val="es-ES" w:eastAsia="es-ES"/>
        </w:rPr>
        <w:t>Estimado señor</w:t>
      </w:r>
      <w:r>
        <w:rPr>
          <w:rFonts w:ascii="Verdana" w:eastAsia="Calibri" w:hAnsi="Verdana" w:cs="Arial"/>
          <w:color w:val="000000" w:themeColor="text1"/>
          <w:lang w:val="es-ES" w:eastAsia="es-ES"/>
        </w:rPr>
        <w:t xml:space="preserve"> Erazo</w:t>
      </w:r>
      <w:r w:rsidRPr="00C55BDE">
        <w:rPr>
          <w:rFonts w:ascii="Verdana" w:eastAsia="Calibri" w:hAnsi="Verdana" w:cs="Arial"/>
          <w:color w:val="000000" w:themeColor="text1"/>
          <w:lang w:val="es-ES" w:eastAsia="es-ES"/>
        </w:rPr>
        <w:t xml:space="preserve">: </w:t>
      </w:r>
    </w:p>
    <w:p w14:paraId="790CA8BF" w14:textId="77777777" w:rsidR="00493433" w:rsidRPr="00C55BDE" w:rsidRDefault="00493433" w:rsidP="00493433">
      <w:pPr>
        <w:spacing w:after="0"/>
        <w:rPr>
          <w:rFonts w:ascii="Verdana" w:eastAsia="Times New Roman" w:hAnsi="Verdana" w:cs="Segoe UI"/>
          <w:lang w:eastAsia="es-CO"/>
        </w:rPr>
      </w:pPr>
    </w:p>
    <w:p w14:paraId="75B29202" w14:textId="77777777" w:rsidR="00493433" w:rsidRPr="00BA1D42" w:rsidRDefault="00493433" w:rsidP="00493433">
      <w:pPr>
        <w:spacing w:after="0" w:line="276" w:lineRule="auto"/>
        <w:jc w:val="both"/>
        <w:rPr>
          <w:rFonts w:ascii="Verdana" w:hAnsi="Verdana" w:cs="Arial"/>
          <w:color w:val="000000" w:themeColor="text1"/>
        </w:rPr>
      </w:pPr>
      <w:r w:rsidRPr="00C55BDE">
        <w:rPr>
          <w:rFonts w:ascii="Verdana" w:eastAsia="Calibri" w:hAnsi="Verdana" w:cs="Arial"/>
          <w:color w:val="000000" w:themeColor="text1"/>
          <w:lang w:val="es-ES" w:eastAsia="es-ES"/>
        </w:rPr>
        <w:t>En ejercicio de la competencia otorgada por los artículos 3, numeral 5º, y 11, numeral 8º, del Decreto Ley 4170 de 2011,</w:t>
      </w:r>
      <w:r w:rsidRPr="00C55BDE">
        <w:rPr>
          <w:rFonts w:ascii="Verdana" w:eastAsia="Arial MT" w:hAnsi="Verdana" w:cs="Arial MT"/>
          <w:color w:val="000000" w:themeColor="text1"/>
          <w:lang w:val="es-ES" w:eastAsia="es-ES"/>
        </w:rPr>
        <w:t xml:space="preserve"> </w:t>
      </w:r>
      <w:r>
        <w:rPr>
          <w:rFonts w:ascii="Verdana" w:hAnsi="Verdana" w:cs="Arial"/>
          <w:lang w:val="es-ES_tradnl"/>
        </w:rPr>
        <w:t>así como lo establecido en</w:t>
      </w:r>
      <w:r>
        <w:rPr>
          <w:rFonts w:ascii="Verdana" w:hAnsi="Verdana" w:cs="Arial"/>
        </w:rPr>
        <w:t xml:space="preserve"> la Resolución 469 de 2025 expedida por esta Entidad</w:t>
      </w:r>
      <w:r w:rsidRPr="00C55BDE">
        <w:rPr>
          <w:rFonts w:ascii="Verdana" w:hAnsi="Verdana" w:cs="Arial"/>
          <w:color w:val="000000" w:themeColor="text1"/>
        </w:rPr>
        <w:t xml:space="preserve">, </w:t>
      </w:r>
      <w:r w:rsidRPr="00C55BDE">
        <w:rPr>
          <w:rFonts w:ascii="Verdana" w:eastAsia="Calibri" w:hAnsi="Verdana" w:cs="Arial"/>
          <w:color w:val="000000" w:themeColor="text1"/>
          <w:lang w:val="es-ES" w:eastAsia="es-ES"/>
        </w:rPr>
        <w:t xml:space="preserve">la Agencia Nacional de Contratación Pública – Colombia Compra Eficiente– responde su solicitud de consulta </w:t>
      </w:r>
      <w:r>
        <w:rPr>
          <w:rFonts w:ascii="Verdana" w:eastAsia="Calibri" w:hAnsi="Verdana" w:cs="Arial"/>
          <w:color w:val="000000" w:themeColor="text1"/>
          <w:lang w:val="es-ES" w:eastAsia="es-ES"/>
        </w:rPr>
        <w:t>del</w:t>
      </w:r>
      <w:r w:rsidRPr="00C55BDE">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7</w:t>
      </w:r>
      <w:r w:rsidRPr="00C55BDE">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abril</w:t>
      </w:r>
      <w:r w:rsidRPr="00C55BDE">
        <w:rPr>
          <w:rFonts w:ascii="Verdana" w:eastAsia="Calibri" w:hAnsi="Verdana" w:cs="Arial"/>
          <w:color w:val="000000" w:themeColor="text1"/>
          <w:lang w:val="es-ES" w:eastAsia="es-ES"/>
        </w:rPr>
        <w:t xml:space="preserve"> del 202</w:t>
      </w:r>
      <w:r>
        <w:rPr>
          <w:rFonts w:ascii="Verdana" w:eastAsia="Calibri" w:hAnsi="Verdana" w:cs="Arial"/>
          <w:color w:val="000000" w:themeColor="text1"/>
          <w:lang w:val="es-ES" w:eastAsia="es-ES"/>
        </w:rPr>
        <w:t>6</w:t>
      </w:r>
      <w:r w:rsidRPr="00C55BDE">
        <w:rPr>
          <w:rFonts w:ascii="Verdana" w:eastAsia="Calibri" w:hAnsi="Verdana" w:cs="Arial"/>
          <w:color w:val="000000" w:themeColor="text1"/>
          <w:lang w:val="es-ES" w:eastAsia="es-ES"/>
        </w:rPr>
        <w:t xml:space="preserve">, en la cual manifiesta lo siguiente: </w:t>
      </w:r>
    </w:p>
    <w:p w14:paraId="5E9842D9" w14:textId="77777777" w:rsidR="00493433" w:rsidRPr="00504FBE" w:rsidRDefault="00493433" w:rsidP="00493433">
      <w:pPr>
        <w:spacing w:after="0" w:line="276" w:lineRule="auto"/>
        <w:jc w:val="both"/>
        <w:rPr>
          <w:rFonts w:ascii="Verdana" w:eastAsia="Calibri" w:hAnsi="Verdana" w:cs="Arial"/>
          <w:color w:val="000000" w:themeColor="text1"/>
          <w:lang w:val="es-ES" w:eastAsia="es-ES"/>
        </w:rPr>
      </w:pPr>
    </w:p>
    <w:p w14:paraId="12495CDF" w14:textId="77777777" w:rsidR="00493433" w:rsidRPr="00504FBE" w:rsidRDefault="00493433" w:rsidP="00493433">
      <w:pPr>
        <w:spacing w:after="0" w:line="240" w:lineRule="auto"/>
        <w:ind w:left="709" w:right="709"/>
        <w:jc w:val="both"/>
        <w:rPr>
          <w:rFonts w:ascii="Verdana" w:eastAsia="Century Gothic" w:hAnsi="Verdana" w:cs="Century Gothic"/>
          <w:i/>
          <w:iCs/>
          <w:color w:val="000000" w:themeColor="text1"/>
          <w:sz w:val="20"/>
          <w:szCs w:val="20"/>
        </w:rPr>
      </w:pPr>
      <w:bookmarkStart w:id="1" w:name="_Hlk95313578"/>
      <w:r w:rsidRPr="00504FBE">
        <w:rPr>
          <w:rFonts w:ascii="Verdana" w:eastAsia="Century Gothic" w:hAnsi="Verdana" w:cs="Century Gothic"/>
          <w:color w:val="000000" w:themeColor="text1"/>
          <w:sz w:val="20"/>
          <w:szCs w:val="20"/>
          <w:lang w:val="es-ES"/>
        </w:rPr>
        <w:t>“</w:t>
      </w:r>
      <w:bookmarkEnd w:id="1"/>
      <w:r w:rsidRPr="00CE7967">
        <w:rPr>
          <w:rFonts w:ascii="Verdana" w:eastAsia="Century Gothic" w:hAnsi="Verdana" w:cs="Century Gothic"/>
          <w:color w:val="000000" w:themeColor="text1"/>
          <w:sz w:val="20"/>
          <w:szCs w:val="20"/>
        </w:rPr>
        <w:t>Se puede en este periodo de ley de garantías celebrar con un </w:t>
      </w:r>
      <w:r w:rsidRPr="00CE7967">
        <w:rPr>
          <w:rFonts w:ascii="Verdana" w:eastAsia="Century Gothic" w:hAnsi="Verdana" w:cs="Century Gothic"/>
          <w:b/>
          <w:bCs/>
          <w:color w:val="000000" w:themeColor="text1"/>
          <w:sz w:val="20"/>
          <w:szCs w:val="20"/>
          <w:lang w:val="es-ES"/>
        </w:rPr>
        <w:t>CONTRATO PARA LA ADMINISTRACIÓN DE LOS RECURSOS DE LA ASIGNACIÓN ESPECIAL DEL SISTEMA GENERAL DE PARTICIPACIONES PARA LOS RESGUARDOS INDÍGENAS CELEBRADOS ENTRE EL MUNICIPIO DE TIMBÍO CAUCA Y LA AUTORIDAD TRADICIONAL DEL RESGUARDO INDÍGENA NASA KITEK KIWE DEL MUNICIPIO DE TIMBÍO CAUCA VIGENCIA 2026?</w:t>
      </w:r>
      <w:r w:rsidRPr="00504FBE">
        <w:rPr>
          <w:rFonts w:ascii="Verdana" w:eastAsia="Century Gothic" w:hAnsi="Verdana" w:cs="Century Gothic"/>
          <w:i/>
          <w:iCs/>
          <w:color w:val="000000" w:themeColor="text1"/>
          <w:sz w:val="20"/>
          <w:szCs w:val="20"/>
        </w:rPr>
        <w:t>”</w:t>
      </w:r>
    </w:p>
    <w:p w14:paraId="237C88EB" w14:textId="77777777" w:rsidR="00493433" w:rsidRPr="00C55BDE" w:rsidRDefault="00493433" w:rsidP="00493433">
      <w:pPr>
        <w:spacing w:after="0" w:line="276" w:lineRule="auto"/>
        <w:ind w:left="709" w:right="709"/>
        <w:jc w:val="both"/>
        <w:rPr>
          <w:rFonts w:ascii="Verdana" w:eastAsia="Times New Roman" w:hAnsi="Verdana" w:cs="Arial"/>
          <w:i/>
          <w:iCs/>
          <w:sz w:val="20"/>
          <w:szCs w:val="20"/>
          <w:lang w:eastAsia="es-ES_tradnl"/>
        </w:rPr>
      </w:pPr>
    </w:p>
    <w:p w14:paraId="7B9D51CB" w14:textId="77777777" w:rsidR="00493433" w:rsidRPr="00C55BDE" w:rsidRDefault="00493433" w:rsidP="00493433">
      <w:pPr>
        <w:spacing w:after="120" w:line="276" w:lineRule="auto"/>
        <w:ind w:firstLine="709"/>
        <w:jc w:val="both"/>
        <w:rPr>
          <w:rFonts w:ascii="Verdana" w:eastAsia="Calibri" w:hAnsi="Verdana" w:cs="Arial"/>
          <w:color w:val="000000" w:themeColor="text1"/>
          <w:szCs w:val="24"/>
          <w:lang w:val="es-ES_tradnl" w:eastAsia="es-ES_tradnl"/>
        </w:rPr>
      </w:pPr>
      <w:r w:rsidRPr="00C55BDE">
        <w:rPr>
          <w:rFonts w:ascii="Verdana" w:eastAsia="Calibri" w:hAnsi="Verdana" w:cs="Arial"/>
          <w:color w:val="000000" w:themeColor="text1"/>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55BDE">
        <w:rPr>
          <w:rFonts w:ascii="Verdana" w:eastAsia="Calibri" w:hAnsi="Verdana" w:cs="Arial"/>
          <w:color w:val="000000" w:themeColor="text1"/>
          <w:szCs w:val="24"/>
          <w:lang w:val="es-ES_tradnl" w:eastAsia="es-ES_tradnl"/>
        </w:rPr>
        <w:tab/>
      </w:r>
    </w:p>
    <w:p w14:paraId="5D57E250" w14:textId="77777777" w:rsidR="00493433" w:rsidRPr="00C55BDE" w:rsidRDefault="00493433" w:rsidP="00493433">
      <w:pPr>
        <w:spacing w:after="0" w:line="276" w:lineRule="auto"/>
        <w:ind w:firstLine="709"/>
        <w:jc w:val="both"/>
        <w:rPr>
          <w:rFonts w:ascii="Verdana" w:eastAsia="Calibri" w:hAnsi="Verdana" w:cs="Arial"/>
          <w:color w:val="000000" w:themeColor="text1"/>
          <w:lang w:val="es-ES" w:eastAsia="es-ES"/>
        </w:rPr>
      </w:pPr>
      <w:r w:rsidRPr="00C55BDE">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0F9203C9" w14:textId="77777777" w:rsidR="00493433" w:rsidRPr="00C55BDE" w:rsidRDefault="00493433" w:rsidP="00493433">
      <w:pPr>
        <w:spacing w:after="0" w:line="276" w:lineRule="auto"/>
        <w:jc w:val="both"/>
        <w:rPr>
          <w:rFonts w:ascii="Verdana" w:eastAsia="Calibri" w:hAnsi="Verdana" w:cs="Arial"/>
          <w:color w:val="000000" w:themeColor="text1"/>
          <w:lang w:val="es-ES" w:eastAsia="es-ES"/>
        </w:rPr>
      </w:pPr>
    </w:p>
    <w:p w14:paraId="6FA7FEFF" w14:textId="77777777" w:rsidR="00493433" w:rsidRPr="00C55BDE" w:rsidRDefault="00493433" w:rsidP="0049343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C55BDE">
        <w:rPr>
          <w:rFonts w:ascii="Verdana" w:eastAsia="Century Gothic" w:hAnsi="Verdana" w:cs="Century Gothic"/>
          <w:b/>
          <w:bCs/>
          <w:color w:val="000000" w:themeColor="text1"/>
        </w:rPr>
        <w:t>Problema planteado:</w:t>
      </w:r>
    </w:p>
    <w:p w14:paraId="1AEE79B2" w14:textId="77777777" w:rsidR="00493433" w:rsidRPr="00C55BDE" w:rsidRDefault="00493433" w:rsidP="00493433">
      <w:pPr>
        <w:tabs>
          <w:tab w:val="left" w:pos="426"/>
        </w:tabs>
        <w:spacing w:after="0" w:line="276" w:lineRule="auto"/>
        <w:jc w:val="both"/>
        <w:rPr>
          <w:rFonts w:ascii="Verdana" w:eastAsia="Century Gothic" w:hAnsi="Verdana" w:cs="Century Gothic"/>
          <w:color w:val="000000" w:themeColor="text1"/>
          <w:lang w:val="es-ES"/>
        </w:rPr>
      </w:pPr>
    </w:p>
    <w:p w14:paraId="49BF5B49" w14:textId="77777777" w:rsidR="00493433" w:rsidRPr="00C55BDE" w:rsidRDefault="00493433" w:rsidP="00493433">
      <w:pPr>
        <w:spacing w:after="0" w:line="276" w:lineRule="auto"/>
        <w:jc w:val="both"/>
        <w:rPr>
          <w:rFonts w:ascii="Verdana" w:eastAsia="Century Gothic" w:hAnsi="Verdana" w:cs="Century Gothic"/>
          <w:color w:val="000000" w:themeColor="text1"/>
        </w:rPr>
      </w:pPr>
      <w:r w:rsidRPr="00C55BDE">
        <w:rPr>
          <w:rFonts w:ascii="Verdana" w:eastAsia="Century Gothic" w:hAnsi="Verdana" w:cs="Century Gothic"/>
          <w:color w:val="000000" w:themeColor="text1"/>
        </w:rPr>
        <w:t xml:space="preserve">De acuerdo con el contenido de su solicitud, esta Agencia resolverá </w:t>
      </w:r>
      <w:r>
        <w:rPr>
          <w:rFonts w:ascii="Verdana" w:eastAsia="Century Gothic" w:hAnsi="Verdana" w:cs="Century Gothic"/>
          <w:color w:val="000000" w:themeColor="text1"/>
        </w:rPr>
        <w:t>el</w:t>
      </w:r>
      <w:r w:rsidRPr="00C55BDE">
        <w:rPr>
          <w:rFonts w:ascii="Verdana" w:eastAsia="Century Gothic" w:hAnsi="Verdana" w:cs="Century Gothic"/>
          <w:color w:val="000000" w:themeColor="text1"/>
        </w:rPr>
        <w:t xml:space="preserve"> siguiente problema jurídico:</w:t>
      </w:r>
      <w:r>
        <w:rPr>
          <w:rFonts w:ascii="Verdana" w:eastAsia="Century Gothic" w:hAnsi="Verdana" w:cs="Century Gothic"/>
          <w:color w:val="000000" w:themeColor="text1"/>
        </w:rPr>
        <w:t xml:space="preserve"> </w:t>
      </w:r>
      <w:r w:rsidRPr="00C55BDE">
        <w:rPr>
          <w:rFonts w:ascii="Verdana" w:eastAsia="Century Gothic" w:hAnsi="Verdana" w:cs="Century Gothic"/>
          <w:color w:val="000000" w:themeColor="text1"/>
        </w:rPr>
        <w:t>¿</w:t>
      </w:r>
      <w:r>
        <w:rPr>
          <w:rFonts w:ascii="Verdana" w:eastAsia="Century Gothic" w:hAnsi="Verdana" w:cs="Century Gothic"/>
          <w:color w:val="000000" w:themeColor="text1"/>
        </w:rPr>
        <w:t xml:space="preserve">aplican las restricciones </w:t>
      </w:r>
      <w:r w:rsidRPr="00C55BDE">
        <w:rPr>
          <w:rFonts w:ascii="Verdana" w:eastAsia="Times New Roman" w:hAnsi="Verdana" w:cs="Arial"/>
          <w:lang w:eastAsia="es-CO"/>
        </w:rPr>
        <w:t>de la Ley de Garantías Electorales -</w:t>
      </w:r>
      <w:r w:rsidRPr="00C55BDE">
        <w:rPr>
          <w:rFonts w:ascii="Verdana" w:hAnsi="Verdana"/>
          <w:iCs/>
        </w:rPr>
        <w:t xml:space="preserve"> Ley 996 de 2005</w:t>
      </w:r>
      <w:r>
        <w:rPr>
          <w:rFonts w:ascii="Verdana" w:hAnsi="Verdana"/>
          <w:iCs/>
        </w:rPr>
        <w:t xml:space="preserve">- a los </w:t>
      </w:r>
      <w:r w:rsidRPr="00FC403C">
        <w:rPr>
          <w:rFonts w:ascii="Verdana" w:hAnsi="Verdana"/>
          <w:iCs/>
        </w:rPr>
        <w:t xml:space="preserve">contratos relacionados con proyectos financiados con </w:t>
      </w:r>
      <w:r>
        <w:rPr>
          <w:rFonts w:ascii="Verdana" w:hAnsi="Verdana"/>
          <w:iCs/>
        </w:rPr>
        <w:t xml:space="preserve">recursos de la </w:t>
      </w:r>
      <w:proofErr w:type="spellStart"/>
      <w:r w:rsidRPr="00FC403C">
        <w:rPr>
          <w:rFonts w:ascii="Verdana" w:hAnsi="Verdana"/>
          <w:iCs/>
        </w:rPr>
        <w:t>AESGPRl</w:t>
      </w:r>
      <w:proofErr w:type="spellEnd"/>
      <w:r w:rsidRPr="00C55BDE">
        <w:rPr>
          <w:rFonts w:ascii="Verdana" w:hAnsi="Verdana"/>
          <w:iCs/>
        </w:rPr>
        <w:t>?</w:t>
      </w:r>
    </w:p>
    <w:p w14:paraId="4D1DCD25" w14:textId="77777777" w:rsidR="00493433" w:rsidRPr="00C55BDE" w:rsidRDefault="00493433" w:rsidP="00493433">
      <w:pPr>
        <w:spacing w:after="0" w:line="276" w:lineRule="auto"/>
        <w:jc w:val="both"/>
        <w:rPr>
          <w:rFonts w:ascii="Verdana" w:eastAsia="Century Gothic" w:hAnsi="Verdana" w:cs="Century Gothic"/>
          <w:color w:val="000000" w:themeColor="text1"/>
        </w:rPr>
      </w:pPr>
    </w:p>
    <w:p w14:paraId="0B53E52D" w14:textId="77777777" w:rsidR="00493433" w:rsidRPr="00C55BDE" w:rsidRDefault="00493433" w:rsidP="0049343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C55BDE">
        <w:rPr>
          <w:rFonts w:ascii="Verdana" w:eastAsia="Century Gothic" w:hAnsi="Verdana" w:cs="Century Gothic"/>
          <w:b/>
          <w:bCs/>
          <w:color w:val="000000" w:themeColor="text1"/>
        </w:rPr>
        <w:t xml:space="preserve">Respuesta: </w:t>
      </w:r>
    </w:p>
    <w:p w14:paraId="2C8BB5EE" w14:textId="77777777" w:rsidR="00493433" w:rsidRPr="00C55BDE" w:rsidRDefault="00493433" w:rsidP="00493433">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93433" w:rsidRPr="00C55BDE" w14:paraId="5A9D020E" w14:textId="77777777" w:rsidTr="00813B0E">
        <w:tc>
          <w:tcPr>
            <w:tcW w:w="8828" w:type="dxa"/>
          </w:tcPr>
          <w:p w14:paraId="06CF495A" w14:textId="77777777" w:rsidR="00493433" w:rsidRDefault="00493433" w:rsidP="00813B0E">
            <w:pPr>
              <w:spacing w:before="120" w:after="120" w:line="276" w:lineRule="auto"/>
              <w:jc w:val="both"/>
              <w:rPr>
                <w:rFonts w:ascii="Verdana" w:hAnsi="Verdana" w:cs="Arial"/>
              </w:rPr>
            </w:pPr>
            <w:r>
              <w:rPr>
                <w:rFonts w:ascii="Verdana" w:hAnsi="Verdana" w:cs="Arial"/>
                <w:lang w:val="es-ES"/>
              </w:rPr>
              <w:t xml:space="preserve">Los recursos de la Asignación Especial del Sistema General de Participaciones para los Resguardos Indígenas -AESGPRI- corresponden a los recursos del Sistema General de Participaciones que les son transferidos a los resguardos indígenas de conformidad con lo dispuesto por el artículo 356 de la Constitución Política y por los artículos 2º y 83 de la Ley 715 de 2001, para la financiación de proyectos de inversión debidamente formulados, e incluidos en </w:t>
            </w:r>
            <w:r>
              <w:rPr>
                <w:rFonts w:ascii="Verdana" w:hAnsi="Verdana" w:cs="Arial"/>
                <w:lang w:val="es-ES"/>
              </w:rPr>
              <w:lastRenderedPageBreak/>
              <w:t>los planes de vida o de acuerdo con los usos y costumbres de los pueblos indígenas.</w:t>
            </w:r>
          </w:p>
          <w:p w14:paraId="593DA5A9" w14:textId="77777777" w:rsidR="00493433" w:rsidRDefault="00493433" w:rsidP="00813B0E">
            <w:pPr>
              <w:spacing w:before="120" w:after="120" w:line="276" w:lineRule="auto"/>
              <w:ind w:firstLine="709"/>
              <w:jc w:val="both"/>
              <w:rPr>
                <w:rFonts w:ascii="Verdana" w:eastAsia="Calibri" w:hAnsi="Verdana" w:cs="Arial"/>
                <w:lang w:val="es-ES"/>
              </w:rPr>
            </w:pPr>
            <w:r>
              <w:rPr>
                <w:rFonts w:ascii="Verdana" w:hAnsi="Verdana" w:cs="Arial"/>
                <w:lang w:val="es-ES"/>
              </w:rPr>
              <w:t xml:space="preserve">Bajo este contexto, en el parágrafo 2º del artículo 2º de la Ley 715 de 2001 se establece la Asignación Especial del Sistema General de Participaciones para los Resguardos Indígenas -AESGPRI- y en el artículo 83 se determinan los criterios para la distribución y la administración de los recursos. Con base en lo anterior, se entiende que </w:t>
            </w:r>
            <w:r>
              <w:rPr>
                <w:rFonts w:ascii="Verdana" w:hAnsi="Verdana" w:cs="Arial"/>
                <w:i/>
                <w:iCs/>
                <w:lang w:val="es-ES"/>
              </w:rPr>
              <w:t xml:space="preserve">los recursos de la AESGPRI son públicos </w:t>
            </w:r>
            <w:r>
              <w:rPr>
                <w:rFonts w:ascii="Verdana" w:hAnsi="Verdana" w:cs="Arial"/>
                <w:lang w:val="es-ES"/>
              </w:rPr>
              <w:t>y tienen como propósito beneficiar a la población indígena que habita en los resguardos. Por otro lado, el mencionado decreto dispone de manera expresa que l</w:t>
            </w:r>
            <w:r>
              <w:rPr>
                <w:rFonts w:ascii="Verdana" w:eastAsia="Calibri" w:hAnsi="Verdana" w:cs="Arial"/>
                <w:lang w:val="es-ES"/>
              </w:rPr>
              <w:t xml:space="preserve">os territorios y resguardos indígenas que hayan sido autorizados para administrar recursos del SGP se consideran </w:t>
            </w:r>
            <w:r>
              <w:rPr>
                <w:rFonts w:ascii="Verdana" w:eastAsia="Calibri" w:hAnsi="Verdana" w:cs="Arial"/>
                <w:u w:val="single"/>
                <w:lang w:val="es-ES"/>
              </w:rPr>
              <w:t>Entidades Estatales</w:t>
            </w:r>
            <w:r>
              <w:rPr>
                <w:rFonts w:ascii="Verdana" w:eastAsia="Calibri" w:hAnsi="Verdana" w:cs="Arial"/>
                <w:lang w:val="es-ES"/>
              </w:rPr>
              <w:t>, de acuerdo con lo dispuesto en el artículo 2° de la Ley 80 de 1993.</w:t>
            </w:r>
          </w:p>
          <w:p w14:paraId="2D09256E" w14:textId="77777777" w:rsidR="00493433" w:rsidRDefault="00493433" w:rsidP="00813B0E">
            <w:pPr>
              <w:spacing w:before="120" w:after="120" w:line="276" w:lineRule="auto"/>
              <w:ind w:firstLine="743"/>
              <w:jc w:val="both"/>
              <w:rPr>
                <w:rFonts w:ascii="Verdana" w:eastAsia="Times New Roman" w:hAnsi="Verdana" w:cs="Arial"/>
                <w:bCs/>
                <w:lang w:val="es-MX" w:eastAsia="x-none"/>
              </w:rPr>
            </w:pPr>
            <w:r>
              <w:rPr>
                <w:rFonts w:ascii="Verdana" w:eastAsia="Calibri" w:hAnsi="Verdana" w:cs="Times New Roman"/>
              </w:rPr>
              <w:t xml:space="preserve">De esta manera, en cuanto a </w:t>
            </w:r>
            <w:r>
              <w:rPr>
                <w:rFonts w:ascii="Verdana" w:eastAsia="Calibri" w:hAnsi="Verdana" w:cs="Arial"/>
                <w:lang w:val="es-MX"/>
              </w:rPr>
              <w:t>la restricción prevista en el artículo 33 de la</w:t>
            </w:r>
            <w:r w:rsidRPr="0057193B">
              <w:rPr>
                <w:rFonts w:ascii="Verdana" w:eastAsia="Calibri" w:hAnsi="Verdana" w:cs="Arial"/>
                <w:lang w:val="es-MX"/>
              </w:rPr>
              <w:t xml:space="preserve"> Ley 996 de 2005 </w:t>
            </w:r>
            <w:r>
              <w:rPr>
                <w:rFonts w:ascii="Verdana" w:eastAsia="Calibri" w:hAnsi="Verdana" w:cs="Arial"/>
                <w:lang w:val="es-MX"/>
              </w:rPr>
              <w:t xml:space="preserve">es preciso resaltar que esta </w:t>
            </w:r>
            <w:r w:rsidRPr="0057193B">
              <w:rPr>
                <w:rFonts w:ascii="Verdana" w:eastAsia="Times New Roman" w:hAnsi="Verdana" w:cs="Arial"/>
                <w:bCs/>
                <w:lang w:val="es-MX" w:eastAsia="x-none"/>
              </w:rPr>
              <w:t xml:space="preserve">cobija a cualquier </w:t>
            </w:r>
            <w:r w:rsidRPr="00676214">
              <w:rPr>
                <w:rFonts w:ascii="Verdana" w:eastAsia="Times New Roman" w:hAnsi="Verdana" w:cs="Arial"/>
                <w:bCs/>
                <w:i/>
                <w:iCs/>
                <w:lang w:val="es-MX" w:eastAsia="x-none"/>
              </w:rPr>
              <w:t>entidad pública</w:t>
            </w:r>
            <w:r w:rsidRPr="0057193B">
              <w:rPr>
                <w:rFonts w:ascii="Verdana" w:eastAsia="Times New Roman" w:hAnsi="Verdana" w:cs="Arial"/>
                <w:bCs/>
                <w:lang w:val="es-MX" w:eastAsia="x-none"/>
              </w:rPr>
              <w:t xml:space="preserve">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w:t>
            </w:r>
            <w:r>
              <w:rPr>
                <w:rFonts w:ascii="Verdana" w:eastAsia="Times New Roman" w:hAnsi="Verdana" w:cs="Arial"/>
                <w:bCs/>
                <w:lang w:val="es-MX" w:eastAsia="x-none"/>
              </w:rPr>
              <w:t xml:space="preserve"> o </w:t>
            </w:r>
            <w:r w:rsidRPr="00B36A23">
              <w:rPr>
                <w:rFonts w:ascii="Verdana" w:eastAsia="Times New Roman" w:hAnsi="Verdana" w:cs="Arial"/>
                <w:bCs/>
                <w:i/>
                <w:iCs/>
                <w:lang w:val="es-MX" w:eastAsia="x-none"/>
              </w:rPr>
              <w:t>por la ejecución de un cierto tipo de recursos en sus contrataciones</w:t>
            </w:r>
            <w:r w:rsidRPr="0057193B">
              <w:rPr>
                <w:rFonts w:ascii="Verdana" w:eastAsia="Times New Roman" w:hAnsi="Verdana" w:cs="Arial"/>
                <w:bCs/>
                <w:lang w:val="es-MX" w:eastAsia="x-none"/>
              </w:rPr>
              <w:t>, pues, la posibilidad de que lo</w:t>
            </w:r>
            <w:r>
              <w:rPr>
                <w:rFonts w:ascii="Verdana" w:eastAsia="Times New Roman" w:hAnsi="Verdana" w:cs="Arial"/>
                <w:bCs/>
                <w:lang w:val="es-MX" w:eastAsia="x-none"/>
              </w:rPr>
              <w:t>s entes del Estado usen</w:t>
            </w:r>
            <w:r w:rsidRPr="0057193B">
              <w:rPr>
                <w:rFonts w:ascii="Verdana" w:eastAsia="Times New Roman" w:hAnsi="Verdana" w:cs="Arial"/>
                <w:bCs/>
                <w:lang w:val="es-MX" w:eastAsia="x-none"/>
              </w:rPr>
              <w:t xml:space="preserve">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52EDA90D" w14:textId="77777777" w:rsidR="00493433" w:rsidRDefault="00493433" w:rsidP="00813B0E">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En relación con los destinatarios de la restricción analizada, el artículo 33 de la Ley 996 de 2005 los señala expresamente</w:t>
            </w:r>
            <w:r>
              <w:rPr>
                <w:rFonts w:ascii="Verdana" w:eastAsia="Times New Roman" w:hAnsi="Verdana" w:cs="Arial"/>
                <w:bCs/>
                <w:lang w:val="es-MX" w:eastAsia="x-none"/>
              </w:rPr>
              <w:t xml:space="preserve">, en el sentido de que son </w:t>
            </w:r>
            <w:r w:rsidRPr="00C46683">
              <w:rPr>
                <w:rFonts w:ascii="Verdana" w:eastAsia="Times New Roman" w:hAnsi="Verdana" w:cs="Arial"/>
                <w:bCs/>
                <w:i/>
                <w:iCs/>
                <w:lang w:val="es-MX" w:eastAsia="x-none"/>
              </w:rPr>
              <w:t xml:space="preserve">“todos los entes del Estado”, </w:t>
            </w:r>
            <w:r w:rsidRPr="0057193B">
              <w:rPr>
                <w:rFonts w:ascii="Verdana" w:eastAsia="Times New Roman" w:hAnsi="Verdana" w:cs="Arial"/>
                <w:bCs/>
                <w:lang w:val="es-MX" w:eastAsia="x-none"/>
              </w:rPr>
              <w:t>expresión que contempla a los diferentes organismos o entidades autorizadas por la ley para suscribir contratos</w:t>
            </w:r>
            <w:r>
              <w:rPr>
                <w:rFonts w:ascii="Verdana" w:eastAsia="Times New Roman" w:hAnsi="Verdana" w:cs="Arial"/>
                <w:bCs/>
                <w:lang w:val="es-MX" w:eastAsia="x-none"/>
              </w:rPr>
              <w:t xml:space="preserve">, </w:t>
            </w:r>
            <w:r w:rsidRPr="00C46683">
              <w:rPr>
                <w:rFonts w:ascii="Verdana" w:eastAsia="Times New Roman" w:hAnsi="Verdana" w:cs="Arial"/>
                <w:bCs/>
                <w:lang w:eastAsia="x-none"/>
              </w:rPr>
              <w:t>sin distinción del régimen jurídico, forma de organización o naturaleza, su pertenencia a una u otra rama del poder público o su autonomía, e incluso si se trata de entidades estatales que al estar sometidas a un régimen especial se encuentren del ámbito de aplicación del Estatuto General de Contratación de la Administración Pública</w:t>
            </w:r>
            <w:r>
              <w:rPr>
                <w:rFonts w:ascii="Verdana" w:eastAsia="Times New Roman" w:hAnsi="Verdana" w:cs="Arial"/>
                <w:bCs/>
                <w:lang w:eastAsia="x-none"/>
              </w:rPr>
              <w:t xml:space="preserve">. </w:t>
            </w:r>
          </w:p>
          <w:p w14:paraId="027B4B7E" w14:textId="77777777" w:rsidR="00493433" w:rsidRDefault="00493433" w:rsidP="00813B0E">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ES" w:eastAsia="x-none"/>
              </w:rPr>
              <w:t xml:space="preserve">En esta cuestión, </w:t>
            </w:r>
            <w:r>
              <w:rPr>
                <w:rFonts w:ascii="Verdana" w:hAnsi="Verdana" w:cs="Arial"/>
                <w:lang w:val="es-ES"/>
              </w:rPr>
              <w:t>Ley 715 de 2001</w:t>
            </w:r>
            <w:r w:rsidRPr="009A35DF">
              <w:rPr>
                <w:rFonts w:ascii="Verdana" w:eastAsia="Times New Roman" w:hAnsi="Verdana" w:cs="Arial"/>
                <w:bCs/>
                <w:lang w:eastAsia="x-none"/>
              </w:rPr>
              <w:t xml:space="preserve"> no </w:t>
            </w:r>
            <w:r>
              <w:rPr>
                <w:rFonts w:ascii="Verdana" w:eastAsia="Times New Roman" w:hAnsi="Verdana" w:cs="Arial"/>
                <w:bCs/>
                <w:lang w:eastAsia="x-none"/>
              </w:rPr>
              <w:t xml:space="preserve">establece </w:t>
            </w:r>
            <w:r w:rsidRPr="009A35DF">
              <w:rPr>
                <w:rFonts w:ascii="Verdana" w:eastAsia="Times New Roman" w:hAnsi="Verdana" w:cs="Arial"/>
                <w:bCs/>
                <w:lang w:eastAsia="x-none"/>
              </w:rPr>
              <w:t xml:space="preserve">excepciones </w:t>
            </w:r>
            <w:r>
              <w:rPr>
                <w:rFonts w:ascii="Verdana" w:eastAsia="Times New Roman" w:hAnsi="Verdana" w:cs="Arial"/>
                <w:bCs/>
                <w:lang w:eastAsia="x-none"/>
              </w:rPr>
              <w:t xml:space="preserve">al </w:t>
            </w:r>
            <w:r>
              <w:rPr>
                <w:rFonts w:ascii="Verdana" w:eastAsia="Times New Roman" w:hAnsi="Verdana" w:cs="Arial"/>
                <w:bCs/>
                <w:lang w:val="es-ES" w:eastAsia="x-none"/>
              </w:rPr>
              <w:t xml:space="preserve">artículo 33 de la Ley 996 de 2005 </w:t>
            </w:r>
            <w:r w:rsidRPr="0057193B">
              <w:rPr>
                <w:rFonts w:ascii="Verdana" w:eastAsia="Times New Roman" w:hAnsi="Verdana" w:cs="Arial"/>
                <w:bCs/>
                <w:lang w:val="es-MX" w:eastAsia="x-none"/>
              </w:rPr>
              <w:t xml:space="preserve">que restringe la contratación directa en el periodo </w:t>
            </w:r>
            <w:r w:rsidRPr="0057193B">
              <w:rPr>
                <w:rFonts w:ascii="Verdana" w:eastAsia="Times New Roman" w:hAnsi="Verdana" w:cs="Arial"/>
                <w:bCs/>
                <w:lang w:val="es-MX" w:eastAsia="x-none"/>
              </w:rPr>
              <w:lastRenderedPageBreak/>
              <w:t>preelectoral a las elecciones presidenciales</w:t>
            </w:r>
            <w:r>
              <w:rPr>
                <w:rFonts w:ascii="Verdana" w:eastAsia="Times New Roman" w:hAnsi="Verdana" w:cs="Arial"/>
                <w:bCs/>
                <w:lang w:val="es-MX" w:eastAsia="x-none"/>
              </w:rPr>
              <w:t xml:space="preserve"> por la ejecución de un cierto tipo de recursos</w:t>
            </w:r>
            <w:r w:rsidRPr="0057193B">
              <w:rPr>
                <w:rFonts w:ascii="Verdana" w:eastAsia="Times New Roman" w:hAnsi="Verdana" w:cs="Arial"/>
                <w:bCs/>
                <w:lang w:val="es-MX" w:eastAsia="x-none"/>
              </w:rPr>
              <w:t xml:space="preserve">. </w:t>
            </w:r>
            <w:r>
              <w:rPr>
                <w:rFonts w:ascii="Verdana" w:eastAsia="Times New Roman" w:hAnsi="Verdana" w:cs="Arial"/>
                <w:bCs/>
                <w:lang w:val="es-MX" w:eastAsia="x-none"/>
              </w:rPr>
              <w:t xml:space="preserve">En otras palabras, esta normatividad especial para la ejecución de recursos </w:t>
            </w:r>
            <w:r w:rsidRPr="00987C44">
              <w:rPr>
                <w:rFonts w:ascii="Verdana" w:hAnsi="Verdana" w:cs="Arial"/>
                <w:lang w:val="es-ES"/>
              </w:rPr>
              <w:t>de la AESGPRI</w:t>
            </w:r>
            <w:r>
              <w:rPr>
                <w:rFonts w:ascii="Verdana" w:eastAsia="Times New Roman" w:hAnsi="Verdana" w:cs="Arial"/>
                <w:bCs/>
                <w:lang w:val="es-MX" w:eastAsia="x-none"/>
              </w:rPr>
              <w:t xml:space="preserve">, no implica que esté exonerada de la restricción, pues el legislador no hizo distinción del tipo de recursos al establecer la prohibición. </w:t>
            </w:r>
            <w:r w:rsidRPr="0057193B">
              <w:rPr>
                <w:rFonts w:ascii="Verdana" w:eastAsia="Times New Roman" w:hAnsi="Verdana" w:cs="Arial"/>
                <w:bCs/>
                <w:lang w:val="es-MX" w:eastAsia="x-none"/>
              </w:rPr>
              <w:t xml:space="preserve"> </w:t>
            </w:r>
          </w:p>
          <w:p w14:paraId="4F0BC63D" w14:textId="77777777" w:rsidR="00493433" w:rsidRDefault="00493433" w:rsidP="00813B0E">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 xml:space="preserve">Esto, sin perjuicio de las </w:t>
            </w:r>
            <w:r w:rsidRPr="0057193B">
              <w:rPr>
                <w:rFonts w:ascii="Verdana" w:eastAsia="Times New Roman" w:hAnsi="Verdana" w:cs="Arial"/>
                <w:bCs/>
                <w:lang w:val="es-MX" w:eastAsia="x-none"/>
              </w:rPr>
              <w:t>excepciones a la prohibición establecidas en el inciso</w:t>
            </w:r>
            <w:r>
              <w:rPr>
                <w:rFonts w:ascii="Verdana" w:eastAsia="Times New Roman" w:hAnsi="Verdana" w:cs="Arial"/>
                <w:bCs/>
                <w:lang w:val="es-MX" w:eastAsia="x-none"/>
              </w:rPr>
              <w:t xml:space="preserve"> segundo del artículo 33, que cobija determinados contratos como son: </w:t>
            </w:r>
            <w:r w:rsidRPr="00333EDB">
              <w:rPr>
                <w:rFonts w:ascii="Verdana" w:eastAsia="Times New Roman" w:hAnsi="Verdana" w:cs="Arial"/>
                <w:bCs/>
                <w:lang w:val="es-MX" w:eastAsia="x-none"/>
              </w:rPr>
              <w:t xml:space="preserve">i) la defensa y seguridad del Estado; </w:t>
            </w:r>
            <w:proofErr w:type="spellStart"/>
            <w:r w:rsidRPr="00333EDB">
              <w:rPr>
                <w:rFonts w:ascii="Verdana" w:eastAsia="Times New Roman" w:hAnsi="Verdana" w:cs="Arial"/>
                <w:bCs/>
                <w:lang w:val="es-MX" w:eastAsia="x-none"/>
              </w:rPr>
              <w:t>ii</w:t>
            </w:r>
            <w:proofErr w:type="spellEnd"/>
            <w:r w:rsidRPr="00333EDB">
              <w:rPr>
                <w:rFonts w:ascii="Verdana" w:eastAsia="Times New Roman" w:hAnsi="Verdana" w:cs="Arial"/>
                <w:bCs/>
                <w:lang w:val="es-MX" w:eastAsia="x-none"/>
              </w:rPr>
              <w:t xml:space="preserve">) los contratos de crédito público; </w:t>
            </w:r>
            <w:proofErr w:type="spellStart"/>
            <w:r w:rsidRPr="00333EDB">
              <w:rPr>
                <w:rFonts w:ascii="Verdana" w:eastAsia="Times New Roman" w:hAnsi="Verdana" w:cs="Arial"/>
                <w:bCs/>
                <w:lang w:val="es-MX" w:eastAsia="x-none"/>
              </w:rPr>
              <w:t>iii</w:t>
            </w:r>
            <w:proofErr w:type="spellEnd"/>
            <w:r w:rsidRPr="00333EDB">
              <w:rPr>
                <w:rFonts w:ascii="Verdana" w:eastAsia="Times New Roman" w:hAnsi="Verdana" w:cs="Arial"/>
                <w:bCs/>
                <w:lang w:val="es-MX" w:eastAsia="x-none"/>
              </w:rPr>
              <w:t xml:space="preserve">) los requeridos para cubrir las emergencias educativas, sanitarias y desastres; </w:t>
            </w:r>
            <w:proofErr w:type="spellStart"/>
            <w:r w:rsidRPr="00333EDB">
              <w:rPr>
                <w:rFonts w:ascii="Verdana" w:eastAsia="Times New Roman" w:hAnsi="Verdana" w:cs="Arial"/>
                <w:bCs/>
                <w:lang w:val="es-MX" w:eastAsia="x-none"/>
              </w:rPr>
              <w:t>iv</w:t>
            </w:r>
            <w:proofErr w:type="spellEnd"/>
            <w:r w:rsidRPr="00333EDB">
              <w:rPr>
                <w:rFonts w:ascii="Verdana" w:eastAsia="Times New Roman" w:hAnsi="Verdana" w:cs="Arial"/>
                <w:bCs/>
                <w:lang w:val="es-MX" w:eastAsia="x-none"/>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w:t>
            </w:r>
          </w:p>
          <w:p w14:paraId="11C0E51C" w14:textId="77777777" w:rsidR="00493433" w:rsidRPr="00840E4B" w:rsidRDefault="00493433" w:rsidP="00813B0E">
            <w:pPr>
              <w:spacing w:after="120" w:line="276" w:lineRule="auto"/>
              <w:ind w:firstLine="709"/>
              <w:jc w:val="both"/>
              <w:rPr>
                <w:rFonts w:ascii="Verdana" w:eastAsia="Times New Roman" w:hAnsi="Verdana" w:cs="Arial"/>
                <w:bCs/>
                <w:lang w:val="es-ES" w:eastAsia="x-none"/>
              </w:rPr>
            </w:pPr>
            <w:r>
              <w:rPr>
                <w:rFonts w:ascii="Verdana" w:eastAsia="Times New Roman" w:hAnsi="Verdana" w:cs="Arial"/>
                <w:bCs/>
                <w:lang w:val="es-MX" w:eastAsia="x-none"/>
              </w:rPr>
              <w:t xml:space="preserve">En este sentido, aplicará la restricción señalada respecto de todos los </w:t>
            </w:r>
            <w:r w:rsidRPr="003101A1">
              <w:rPr>
                <w:rFonts w:ascii="Verdana" w:eastAsia="Times New Roman" w:hAnsi="Verdana" w:cs="Arial"/>
                <w:bCs/>
                <w:i/>
                <w:iCs/>
                <w:lang w:val="es-MX" w:eastAsia="x-none"/>
              </w:rPr>
              <w:t xml:space="preserve">entes del </w:t>
            </w:r>
            <w:r>
              <w:rPr>
                <w:rFonts w:ascii="Verdana" w:eastAsia="Times New Roman" w:hAnsi="Verdana" w:cs="Arial"/>
                <w:bCs/>
                <w:i/>
                <w:iCs/>
                <w:lang w:val="es-MX" w:eastAsia="x-none"/>
              </w:rPr>
              <w:t>E</w:t>
            </w:r>
            <w:r w:rsidRPr="003101A1">
              <w:rPr>
                <w:rFonts w:ascii="Verdana" w:eastAsia="Times New Roman" w:hAnsi="Verdana" w:cs="Arial"/>
                <w:bCs/>
                <w:i/>
                <w:iCs/>
                <w:lang w:val="es-MX" w:eastAsia="x-none"/>
              </w:rPr>
              <w:t>stado,</w:t>
            </w:r>
            <w:r>
              <w:rPr>
                <w:rFonts w:ascii="Verdana" w:eastAsia="Times New Roman" w:hAnsi="Verdana" w:cs="Arial"/>
                <w:bCs/>
                <w:lang w:val="es-MX" w:eastAsia="x-none"/>
              </w:rPr>
              <w:t xml:space="preserve"> con independencia de la fuente de los recursos, por lo que e</w:t>
            </w:r>
            <w:r w:rsidRPr="00333EDB">
              <w:rPr>
                <w:rFonts w:ascii="Verdana" w:eastAsia="Times New Roman" w:hAnsi="Verdana" w:cs="Arial"/>
                <w:bCs/>
                <w:lang w:val="es-MX" w:eastAsia="x-none"/>
              </w:rPr>
              <w:t>s responsabilidad del respectivo</w:t>
            </w:r>
            <w:r>
              <w:rPr>
                <w:rFonts w:ascii="Verdana" w:eastAsia="Times New Roman" w:hAnsi="Verdana" w:cs="Arial"/>
                <w:bCs/>
                <w:lang w:val="es-MX" w:eastAsia="x-none"/>
              </w:rPr>
              <w:t xml:space="preserve"> ente</w:t>
            </w:r>
            <w:r w:rsidRPr="00333EDB">
              <w:rPr>
                <w:rFonts w:ascii="Verdana" w:eastAsia="Times New Roman" w:hAnsi="Verdana" w:cs="Arial"/>
                <w:bCs/>
                <w:lang w:val="es-MX" w:eastAsia="x-none"/>
              </w:rPr>
              <w:t xml:space="preserve"> examinar en cada caso la naturaleza de las actividades que adelanta y determinar si las mismas se enmarcan en alguna </w:t>
            </w:r>
            <w:r>
              <w:rPr>
                <w:rFonts w:ascii="Verdana" w:eastAsia="Times New Roman" w:hAnsi="Verdana" w:cs="Arial"/>
                <w:bCs/>
                <w:lang w:val="es-MX" w:eastAsia="x-none"/>
              </w:rPr>
              <w:t>de las mencionadas excepciones.</w:t>
            </w:r>
          </w:p>
          <w:p w14:paraId="30223093" w14:textId="77777777" w:rsidR="00493433" w:rsidRDefault="00493433" w:rsidP="00813B0E">
            <w:pPr>
              <w:spacing w:before="120" w:after="120" w:line="276" w:lineRule="auto"/>
              <w:ind w:firstLine="709"/>
              <w:jc w:val="both"/>
              <w:rPr>
                <w:rFonts w:ascii="Verdana" w:eastAsia="Times New Roman" w:hAnsi="Verdana" w:cs="Arial"/>
                <w:lang w:eastAsia="es-CO"/>
              </w:rPr>
            </w:pPr>
            <w:r>
              <w:rPr>
                <w:rFonts w:ascii="Verdana" w:hAnsi="Verdana" w:cs="Arial"/>
                <w:lang w:val="es-ES"/>
              </w:rPr>
              <w:t xml:space="preserve">Respecto de lo dispuesto en el parágrafo </w:t>
            </w:r>
            <w:r>
              <w:rPr>
                <w:rFonts w:ascii="Verdana" w:eastAsia="Times New Roman" w:hAnsi="Verdana" w:cs="Arial"/>
                <w:lang w:eastAsia="es-CO"/>
              </w:rPr>
              <w:t xml:space="preserve">del artículo 38 de la Ley 996 de 2005, se precisa que, este prohíbe a los Alcaldes, Gobernadores, Secretarios, Gerentes y Directores de las entidades del orden municipal, departamental o distrital celebrar </w:t>
            </w:r>
            <w:r>
              <w:rPr>
                <w:rFonts w:ascii="Verdana" w:eastAsia="Times New Roman" w:hAnsi="Verdana" w:cs="Arial"/>
                <w:i/>
                <w:iCs/>
                <w:lang w:eastAsia="es-CO"/>
              </w:rPr>
              <w:t>convenios interadministrativos</w:t>
            </w:r>
            <w:r>
              <w:rPr>
                <w:rFonts w:ascii="Verdana" w:eastAsia="Times New Roman" w:hAnsi="Verdana" w:cs="Arial"/>
                <w:lang w:eastAsia="es-CO"/>
              </w:rPr>
              <w:t xml:space="preserve"> </w:t>
            </w:r>
            <w:r>
              <w:rPr>
                <w:rFonts w:ascii="Verdana" w:eastAsia="Times New Roman" w:hAnsi="Verdana" w:cs="Arial"/>
                <w:i/>
                <w:iCs/>
                <w:lang w:eastAsia="es-CO"/>
              </w:rPr>
              <w:t>para la ejecución de recursos públicos</w:t>
            </w:r>
            <w:r>
              <w:rPr>
                <w:rFonts w:ascii="Verdana" w:eastAsia="Times New Roman" w:hAnsi="Verdana" w:cs="Arial"/>
                <w:lang w:eastAsia="es-CO"/>
              </w:rPr>
              <w:t xml:space="preserve">. En este sentido, si una o ambas partes de la relación contractual es una entidad de aquellas descritas en el parágrafo </w:t>
            </w:r>
            <w:r>
              <w:rPr>
                <w:rFonts w:ascii="Verdana" w:eastAsia="Times New Roman" w:hAnsi="Verdana" w:cs="Arial"/>
                <w:i/>
                <w:lang w:eastAsia="es-CO"/>
              </w:rPr>
              <w:t>ibidem</w:t>
            </w:r>
            <w:r>
              <w:rPr>
                <w:rFonts w:ascii="Verdana" w:eastAsia="Times New Roman" w:hAnsi="Verdana" w:cs="Arial"/>
                <w:lang w:eastAsia="es-CO"/>
              </w:rPr>
              <w:t xml:space="preserve">, no podrá celebrar tales </w:t>
            </w:r>
            <w:r>
              <w:rPr>
                <w:rFonts w:ascii="Verdana" w:eastAsia="Times New Roman" w:hAnsi="Verdana" w:cs="Arial"/>
                <w:i/>
                <w:iCs/>
                <w:lang w:eastAsia="es-CO"/>
              </w:rPr>
              <w:t>convenios</w:t>
            </w:r>
            <w:r>
              <w:rPr>
                <w:rFonts w:ascii="Verdana" w:eastAsia="Times New Roman" w:hAnsi="Verdana" w:cs="Arial"/>
                <w:lang w:eastAsia="es-CO"/>
              </w:rPr>
              <w:t xml:space="preserve"> durante la aplicación de la Ley de Garantías Electorales, toda vez que la citada disposición hace referencia a dicha tipología contractual sin que el legislador hubiere contemplado un efecto extensivo a otra tipología.</w:t>
            </w:r>
          </w:p>
          <w:p w14:paraId="2AAE433B" w14:textId="77777777" w:rsidR="00493433" w:rsidRDefault="00493433" w:rsidP="00813B0E">
            <w:pPr>
              <w:spacing w:before="120" w:after="120" w:line="276" w:lineRule="auto"/>
              <w:ind w:firstLine="709"/>
              <w:jc w:val="both"/>
              <w:rPr>
                <w:rFonts w:ascii="Verdana" w:eastAsia="Arial" w:hAnsi="Verdana" w:cs="Arial"/>
                <w:lang w:val="es-ES"/>
              </w:rPr>
            </w:pPr>
            <w:r>
              <w:rPr>
                <w:rFonts w:ascii="Verdana" w:eastAsia="Arial" w:hAnsi="Verdana" w:cs="Arial"/>
                <w:lang w:val="es-ES"/>
              </w:rPr>
              <w:t xml:space="preserve">En complemento con lo anterior, es necesario tener en cuenta que, los </w:t>
            </w:r>
            <w:r>
              <w:rPr>
                <w:rFonts w:ascii="Verdana" w:eastAsia="Arial" w:hAnsi="Verdana" w:cs="Arial"/>
                <w:i/>
                <w:iCs/>
                <w:lang w:val="es-ES"/>
              </w:rPr>
              <w:t>convenios interadministrativos</w:t>
            </w:r>
            <w:r>
              <w:rPr>
                <w:rFonts w:ascii="Verdana" w:eastAsia="Arial" w:hAnsi="Verdana" w:cs="Arial"/>
                <w:lang w:val="es-ES"/>
              </w:rPr>
              <w:t xml:space="preserve"> se definen por la </w:t>
            </w:r>
            <w:r>
              <w:rPr>
                <w:rFonts w:ascii="Verdana" w:eastAsia="Arial" w:hAnsi="Verdana" w:cs="Arial"/>
                <w:u w:val="single"/>
                <w:lang w:val="es-ES"/>
              </w:rPr>
              <w:t>naturaleza de las partes</w:t>
            </w:r>
            <w:r>
              <w:rPr>
                <w:rFonts w:ascii="Verdana" w:eastAsia="Arial" w:hAnsi="Verdana" w:cs="Arial"/>
                <w:lang w:val="es-ES"/>
              </w:rPr>
              <w:t xml:space="preserve">, de manera que están determinados por un criterio orgánico, en el sentido de que lo serán aquellos celebrados entre </w:t>
            </w:r>
            <w:r>
              <w:rPr>
                <w:rFonts w:ascii="Verdana" w:eastAsia="Arial" w:hAnsi="Verdana" w:cs="Arial"/>
                <w:i/>
                <w:iCs/>
                <w:lang w:val="es-ES"/>
              </w:rPr>
              <w:t>entidades de derecho público</w:t>
            </w:r>
            <w:r>
              <w:rPr>
                <w:rFonts w:ascii="Verdana" w:eastAsia="Arial" w:hAnsi="Verdana" w:cs="Arial"/>
                <w:lang w:val="es-ES"/>
              </w:rPr>
              <w:t xml:space="preserve">. En este contexto, cuando </w:t>
            </w:r>
            <w:r>
              <w:rPr>
                <w:rFonts w:ascii="Verdana" w:eastAsia="Calibri" w:hAnsi="Verdana" w:cs="Arial"/>
                <w:bCs/>
                <w:color w:val="000000" w:themeColor="text1"/>
                <w:lang w:val="es-ES_tradnl"/>
              </w:rPr>
              <w:t xml:space="preserve">gobernadores, alcaldes, secretarios, gerentes y directores </w:t>
            </w:r>
            <w:r>
              <w:rPr>
                <w:rFonts w:ascii="Verdana" w:eastAsia="Calibri" w:hAnsi="Verdana" w:cs="Arial"/>
                <w:bCs/>
                <w:color w:val="000000" w:themeColor="text1"/>
                <w:lang w:val="es-ES_tradnl"/>
              </w:rPr>
              <w:lastRenderedPageBreak/>
              <w:t xml:space="preserve">de Entidades Estatales del orden municipal, departamental o distrital </w:t>
            </w:r>
            <w:r>
              <w:rPr>
                <w:rFonts w:ascii="Verdana" w:eastAsia="Arial" w:hAnsi="Verdana" w:cs="Arial"/>
                <w:lang w:val="es-ES"/>
              </w:rPr>
              <w:t xml:space="preserve">celebren convenios </w:t>
            </w:r>
            <w:r>
              <w:rPr>
                <w:rFonts w:ascii="Verdana" w:eastAsia="Times New Roman" w:hAnsi="Verdana" w:cs="Arial"/>
                <w:lang w:eastAsia="es-ES_tradnl"/>
              </w:rPr>
              <w:t xml:space="preserve">con </w:t>
            </w:r>
            <w:r>
              <w:rPr>
                <w:rFonts w:ascii="Verdana" w:eastAsia="Times New Roman" w:hAnsi="Verdana" w:cs="Arial"/>
                <w:bCs/>
                <w:color w:val="000000" w:themeColor="text1"/>
                <w:lang w:eastAsia="es-CO"/>
              </w:rPr>
              <w:t>cabildos indígenas, autoridades tradicionales indígenas y las asociaciones de cabildos indígenas y/o autoridades tradicionales indígenas</w:t>
            </w:r>
            <w:r>
              <w:rPr>
                <w:rFonts w:ascii="Verdana" w:eastAsia="Times New Roman" w:hAnsi="Verdana" w:cs="Arial"/>
                <w:lang w:eastAsia="es-ES_tradnl"/>
              </w:rPr>
              <w:t xml:space="preserve">, se entenderán que son interadministrativos al catalogarlos la ley como entidades públicas. En estos casos </w:t>
            </w:r>
            <w:r>
              <w:rPr>
                <w:rFonts w:ascii="Verdana" w:eastAsia="Arial" w:hAnsi="Verdana" w:cs="Arial"/>
                <w:lang w:val="es-ES"/>
              </w:rPr>
              <w:t>aplicará la restricción del artículo 38 de la Ley 996 de 2005.</w:t>
            </w:r>
          </w:p>
          <w:p w14:paraId="7A560160" w14:textId="77777777" w:rsidR="00493433" w:rsidRDefault="00493433" w:rsidP="00813B0E">
            <w:pPr>
              <w:spacing w:before="120" w:after="120" w:line="276" w:lineRule="auto"/>
              <w:ind w:firstLine="709"/>
              <w:jc w:val="both"/>
              <w:rPr>
                <w:rFonts w:ascii="Verdana" w:eastAsia="Arial" w:hAnsi="Verdana" w:cs="Arial"/>
                <w:lang w:val="es-ES"/>
              </w:rPr>
            </w:pPr>
            <w:r>
              <w:rPr>
                <w:rFonts w:ascii="Verdana" w:eastAsia="Times New Roman" w:hAnsi="Verdana" w:cs="Arial"/>
                <w:lang w:eastAsia="es-CO"/>
              </w:rPr>
              <w:t xml:space="preserve">No obstante, a la luz de lo analizado por el Consejo de Estado en la sentencia expedida por la Sección Tercera de la Sala de lo Contencioso Administrativo del 17 de octubre de 2025,  los autos del 4 de octubre de 2024 y 6 de noviembre de 2025, en los cuales se declaró la nulidad parcial, se decretó la medida </w:t>
            </w:r>
            <w:r>
              <w:rPr>
                <w:rFonts w:ascii="Verdana" w:eastAsia="Arial" w:hAnsi="Verdana" w:cs="Arial"/>
                <w:lang w:eastAsia="es-ES" w:bidi="es-ES"/>
              </w:rPr>
              <w:t xml:space="preserve">de suspensión provisional parcial del </w:t>
            </w:r>
            <w:r>
              <w:rPr>
                <w:rFonts w:ascii="Verdana" w:hAnsi="Verdana" w:cs="Arial"/>
              </w:rPr>
              <w:t xml:space="preserve">numeral 16.2 de la Circular Externa Única de 2022 expedida por la Agencia Nacional de Contratación Pública -Colombia Compra Eficiente-, y </w:t>
            </w:r>
            <w:r>
              <w:rPr>
                <w:rFonts w:ascii="Verdana" w:eastAsia="Arial" w:hAnsi="Verdana" w:cs="Arial"/>
                <w:lang w:eastAsia="es-ES" w:bidi="es-ES"/>
              </w:rPr>
              <w:t>de los apartes cuestionados del inciso segundo y del inciso cuarto del numeral 16.2 de la Circular Externa Única, versión 3 del 27 de diciembre de 2023,</w:t>
            </w:r>
            <w:r>
              <w:rPr>
                <w:rFonts w:ascii="Verdana" w:eastAsia="Times New Roman" w:hAnsi="Verdana" w:cs="Arial"/>
                <w:lang w:eastAsia="es-CO"/>
              </w:rPr>
              <w:t xml:space="preserve"> no resultaría aplicable la prohibición del parágrafo del artículo 38 de la Ley de Garantías Electorales a los </w:t>
            </w:r>
            <w:r>
              <w:rPr>
                <w:rFonts w:ascii="Verdana" w:eastAsia="Times New Roman" w:hAnsi="Verdana" w:cs="Arial"/>
                <w:i/>
                <w:lang w:eastAsia="es-CO"/>
              </w:rPr>
              <w:t>contratos interadministrativos</w:t>
            </w:r>
            <w:r>
              <w:rPr>
                <w:rFonts w:ascii="Verdana" w:eastAsia="Times New Roman" w:hAnsi="Verdana" w:cs="Arial"/>
                <w:lang w:eastAsia="es-CO"/>
              </w:rPr>
              <w:t>.</w:t>
            </w:r>
          </w:p>
          <w:p w14:paraId="507FC300" w14:textId="77777777" w:rsidR="00493433" w:rsidRDefault="00493433" w:rsidP="00813B0E">
            <w:pPr>
              <w:spacing w:after="120" w:line="276" w:lineRule="auto"/>
              <w:ind w:firstLine="708"/>
              <w:jc w:val="both"/>
              <w:rPr>
                <w:rFonts w:ascii="Verdana" w:eastAsia="Times New Roman" w:hAnsi="Verdana" w:cs="Arial"/>
                <w:lang w:eastAsia="es-CO"/>
              </w:rPr>
            </w:pPr>
            <w:r>
              <w:rPr>
                <w:rFonts w:ascii="Verdana" w:eastAsia="Times New Roman" w:hAnsi="Verdana" w:cs="Arial"/>
                <w:lang w:eastAsia="es-CO"/>
              </w:rPr>
              <w:t xml:space="preserve">De lo expuesto, conforme a lo señalado por el Consejo de Estado, cuando dos entidades públicas celebren un </w:t>
            </w:r>
            <w:r>
              <w:rPr>
                <w:rFonts w:ascii="Verdana" w:eastAsia="Times New Roman" w:hAnsi="Verdana" w:cs="Arial"/>
                <w:i/>
                <w:iCs/>
                <w:lang w:eastAsia="es-CO"/>
              </w:rPr>
              <w:t>contrato interadministrativo,</w:t>
            </w:r>
            <w:r>
              <w:rPr>
                <w:rFonts w:ascii="Verdana" w:eastAsia="Times New Roman" w:hAnsi="Verdana" w:cs="Arial"/>
                <w:lang w:eastAsia="es-CO"/>
              </w:rPr>
              <w:t xml:space="preserve"> independientemente del objeto, dicho contrato puede suscribirse durante el periodo preelectoral. Sin embargo, es importante mencionar que aún se encuentra por definir la demanda </w:t>
            </w:r>
            <w:r>
              <w:rPr>
                <w:rFonts w:ascii="Verdana" w:eastAsia="Calibri" w:hAnsi="Verdana" w:cs="Arial"/>
                <w:lang w:val="es-ES" w:eastAsia="es-ES"/>
              </w:rPr>
              <w:t xml:space="preserve">de nulidad simple, identificada con el Radicado número 11001-03-26-000-2025-00016-00, en la cual se cuestiona </w:t>
            </w:r>
            <w:r>
              <w:rPr>
                <w:rFonts w:ascii="Verdana" w:eastAsia="Calibri" w:hAnsi="Verdana" w:cs="Arial"/>
                <w:lang w:eastAsia="es-ES"/>
              </w:rPr>
              <w:t>parcialmente el numeral 16.2 de la Circular Externa Única CCE-EICP-MA-06, Versión 03 del 27 de diciembre de 2023.</w:t>
            </w:r>
            <w:r>
              <w:rPr>
                <w:rFonts w:ascii="Verdana" w:eastAsia="Calibri" w:hAnsi="Verdana" w:cs="Arial"/>
                <w:lang w:val="es-ES" w:eastAsia="es-ES"/>
              </w:rPr>
              <w:t xml:space="preserve"> </w:t>
            </w:r>
          </w:p>
          <w:p w14:paraId="5068AC0B" w14:textId="77777777" w:rsidR="00493433" w:rsidRPr="006C2D59" w:rsidRDefault="00493433" w:rsidP="00813B0E">
            <w:pPr>
              <w:spacing w:after="120" w:line="276" w:lineRule="auto"/>
              <w:ind w:firstLine="708"/>
              <w:jc w:val="both"/>
              <w:rPr>
                <w:rFonts w:ascii="Verdana" w:eastAsia="Arial" w:hAnsi="Verdana" w:cs="Arial"/>
                <w:color w:val="000000" w:themeColor="text1"/>
              </w:rPr>
            </w:pPr>
            <w:r>
              <w:rPr>
                <w:rFonts w:ascii="Verdana" w:eastAsia="Arial" w:hAnsi="Verdana" w:cs="Arial"/>
                <w:bCs/>
                <w:color w:val="000000" w:themeColor="text1"/>
              </w:rPr>
              <w:t xml:space="preserve">En todo caso, vale anotar que es responsabilidad del respectivo ente del Estado examinar </w:t>
            </w:r>
            <w:r>
              <w:rPr>
                <w:rFonts w:ascii="Verdana" w:eastAsia="Arial" w:hAnsi="Verdana" w:cs="Arial"/>
                <w:color w:val="000000" w:themeColor="text1"/>
              </w:rPr>
              <w:t>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tc>
      </w:tr>
    </w:tbl>
    <w:p w14:paraId="5464A7AE" w14:textId="77777777" w:rsidR="00493433" w:rsidRPr="00C55BDE" w:rsidRDefault="00493433" w:rsidP="00493433">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34819AD3" w14:textId="77777777" w:rsidR="00493433" w:rsidRPr="00C55BDE" w:rsidRDefault="00493433" w:rsidP="0049343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C55BDE">
        <w:rPr>
          <w:rFonts w:ascii="Verdana" w:eastAsia="Century Gothic" w:hAnsi="Verdana" w:cs="Century Gothic"/>
          <w:b/>
          <w:bCs/>
          <w:color w:val="000000" w:themeColor="text1"/>
        </w:rPr>
        <w:t>Razones de la respuesta:</w:t>
      </w:r>
    </w:p>
    <w:p w14:paraId="6B1D579B" w14:textId="77777777" w:rsidR="00493433" w:rsidRPr="00C55BDE" w:rsidRDefault="00493433" w:rsidP="00493433">
      <w:pPr>
        <w:spacing w:after="0" w:line="276" w:lineRule="auto"/>
        <w:jc w:val="both"/>
        <w:rPr>
          <w:rFonts w:ascii="Verdana" w:eastAsia="Calibri" w:hAnsi="Verdana" w:cs="Arial"/>
          <w:color w:val="000000" w:themeColor="text1"/>
          <w:lang w:val="es-ES"/>
        </w:rPr>
      </w:pPr>
    </w:p>
    <w:p w14:paraId="5FB6D609" w14:textId="77777777" w:rsidR="00493433" w:rsidRPr="00C55BDE" w:rsidRDefault="00493433" w:rsidP="00493433">
      <w:pPr>
        <w:spacing w:after="120" w:line="276" w:lineRule="auto"/>
        <w:jc w:val="both"/>
        <w:rPr>
          <w:rFonts w:ascii="Verdana" w:eastAsia="Calibri" w:hAnsi="Verdana" w:cs="Arial"/>
          <w:color w:val="000000" w:themeColor="text1"/>
          <w:lang w:val="es-ES"/>
        </w:rPr>
      </w:pPr>
      <w:r w:rsidRPr="00C55BDE">
        <w:rPr>
          <w:rFonts w:ascii="Verdana" w:eastAsia="Calibri" w:hAnsi="Verdana" w:cs="Arial"/>
          <w:color w:val="000000" w:themeColor="text1"/>
          <w:lang w:val="es-ES"/>
        </w:rPr>
        <w:t xml:space="preserve">Lo anterior se sustenta en las siguientes consideraciones: </w:t>
      </w:r>
    </w:p>
    <w:p w14:paraId="043DF383" w14:textId="77777777" w:rsidR="00493433" w:rsidRPr="00C55BDE" w:rsidRDefault="00493433" w:rsidP="00493433">
      <w:pPr>
        <w:spacing w:after="120" w:line="276" w:lineRule="auto"/>
        <w:jc w:val="both"/>
        <w:rPr>
          <w:rFonts w:ascii="Verdana" w:eastAsia="Calibri" w:hAnsi="Verdana" w:cs="Arial"/>
          <w:color w:val="000000" w:themeColor="text1"/>
          <w:lang w:val="es-ES"/>
        </w:rPr>
      </w:pPr>
      <w:r>
        <w:rPr>
          <w:rFonts w:ascii="Verdana" w:eastAsia="Calibri" w:hAnsi="Verdana" w:cs="Arial"/>
          <w:lang w:val="es-ES"/>
        </w:rPr>
        <w:lastRenderedPageBreak/>
        <w:t xml:space="preserve">i. </w:t>
      </w:r>
      <w:r w:rsidRPr="00C55BDE">
        <w:rPr>
          <w:rFonts w:ascii="Verdana" w:eastAsia="Calibri" w:hAnsi="Verdana" w:cs="Arial"/>
          <w:lang w:val="es-ES"/>
        </w:rPr>
        <w:t>El artículo 329 de la Constitución Política de 1991 dispuso que la conformación de las entidades territoriales indígenas se realizaría conforme a lo dispuesto en la Ley de Ordenamiento Territorial – LOT. En ese sentido, la norma previamente mencionada dispuso que la conformación de las entidades territoriales indígenas se realizaría de acuerdo con lo indicado en la Ley de Ordenamiento Territorial. No obstante, mientras esa ley era expedida por el Congreso de la República, la Constitución contempló un mecanismo para poner en funcionamiento los territorios indígenas de manera transitoria. En efecto, el artículo 56 transitorio de la Constitución Política prescribe que “Mientras se expide la ley a que se refiere el artículo 329, el Gobierno podrá dictar las normas fiscales necesarias y las demás relativas al funcionamiento de los territorios indígenas y su coordinación con las demás entidades territoriales”.</w:t>
      </w:r>
    </w:p>
    <w:p w14:paraId="57B38CB4" w14:textId="77777777" w:rsidR="00493433" w:rsidRPr="00C55BDE" w:rsidRDefault="00493433" w:rsidP="00493433">
      <w:pPr>
        <w:spacing w:after="120" w:line="276" w:lineRule="auto"/>
        <w:ind w:firstLine="680"/>
        <w:jc w:val="both"/>
        <w:rPr>
          <w:rFonts w:ascii="Verdana" w:eastAsia="Calibri" w:hAnsi="Verdana" w:cs="Arial"/>
          <w:lang w:val="es-ES"/>
        </w:rPr>
      </w:pPr>
      <w:r w:rsidRPr="00C55BDE">
        <w:rPr>
          <w:rFonts w:ascii="Verdana" w:eastAsia="Calibri" w:hAnsi="Verdana" w:cs="Arial"/>
          <w:lang w:val="es-ES"/>
        </w:rPr>
        <w:t>De este modo, basados en el artículo 56 de la Constitución Política, en junio de 1993 se expidió el Decreto 1088, “Por el cual se regula la creación de las asociaciones de Cabildos y/o Autoridades Tradicionales Indígenas”, que otorgó a los cabildos y/o autoridades indígenas la posibilidad de conformar asociaciones</w:t>
      </w:r>
      <w:r w:rsidRPr="00C55BDE">
        <w:rPr>
          <w:rStyle w:val="Refdenotaalpie"/>
          <w:rFonts w:ascii="Verdana" w:eastAsia="Calibri" w:hAnsi="Verdana" w:cs="Arial"/>
          <w:lang w:val="es-ES"/>
        </w:rPr>
        <w:footnoteReference w:id="1"/>
      </w:r>
      <w:r w:rsidRPr="00C55BDE">
        <w:rPr>
          <w:rFonts w:ascii="Verdana" w:eastAsia="Calibri" w:hAnsi="Verdana" w:cs="Arial"/>
          <w:lang w:val="es-ES"/>
        </w:rPr>
        <w:t>. Con base en esto, los cabildos y las asociaciones de autoridades tradicionales indígenas pueden asociarse en representación de sus territorios, y esas asociaciones tienen la naturaleza de ser entidades de derecho público de carácter especial, que gozan de personería jurídica y tienen capacidad para adquirir obligaciones.</w:t>
      </w:r>
    </w:p>
    <w:p w14:paraId="1E29C45D" w14:textId="77777777" w:rsidR="00493433" w:rsidRPr="00C55BDE" w:rsidRDefault="00493433" w:rsidP="00493433">
      <w:pPr>
        <w:spacing w:after="120" w:line="276" w:lineRule="auto"/>
        <w:ind w:firstLine="680"/>
        <w:jc w:val="both"/>
        <w:rPr>
          <w:rFonts w:ascii="Verdana" w:eastAsia="Calibri" w:hAnsi="Verdana" w:cs="Arial"/>
          <w:lang w:val="es-ES"/>
        </w:rPr>
      </w:pPr>
      <w:r w:rsidRPr="00C55BDE">
        <w:rPr>
          <w:rFonts w:ascii="Verdana" w:eastAsia="Calibri" w:hAnsi="Verdana" w:cs="Arial"/>
          <w:lang w:val="es-ES"/>
        </w:rPr>
        <w:t>De otra parte,</w:t>
      </w:r>
      <w:r>
        <w:rPr>
          <w:rFonts w:ascii="Verdana" w:eastAsia="Calibri" w:hAnsi="Verdana" w:cs="Arial"/>
          <w:lang w:val="es-ES"/>
        </w:rPr>
        <w:t xml:space="preserve"> el</w:t>
      </w:r>
      <w:r w:rsidRPr="00C55BDE">
        <w:rPr>
          <w:rFonts w:ascii="Verdana" w:eastAsia="Calibri" w:hAnsi="Verdana" w:cs="Arial"/>
          <w:lang w:val="es-ES"/>
        </w:rPr>
        <w:t xml:space="preserve"> artículo 329 de la Constitución además involucra dentro del tema relativo a las entidades territoriales indígenas a los resguardos, de quienes predica su carácter de propiedad colectiva no enajenable. Esto es concordante con el artículo 63 de la Carta Política cuyo texto establece expresamente que: “Los bienes de uso público, los parques naturales, las tierras comunales de grupos étnicos, las tierras de resguardo, el patrimonio arqueológico de la Nación y los demás bienes que determine la ley, son inalienables, imprescriptibles e inembargables”</w:t>
      </w:r>
      <w:r w:rsidRPr="00C55BDE">
        <w:rPr>
          <w:rStyle w:val="Refdenotaalpie"/>
          <w:rFonts w:ascii="Verdana" w:eastAsia="Calibri" w:hAnsi="Verdana" w:cs="Arial"/>
          <w:lang w:val="es-ES"/>
        </w:rPr>
        <w:footnoteReference w:id="2"/>
      </w:r>
      <w:r w:rsidRPr="00C55BDE">
        <w:rPr>
          <w:rFonts w:ascii="Verdana" w:eastAsia="Calibri" w:hAnsi="Verdana" w:cs="Arial"/>
          <w:lang w:val="es-ES"/>
        </w:rPr>
        <w:t xml:space="preserve">. De estos artículos se colige </w:t>
      </w:r>
      <w:r w:rsidRPr="00C55BDE">
        <w:rPr>
          <w:rFonts w:ascii="Verdana" w:eastAsia="Calibri" w:hAnsi="Verdana" w:cs="Arial"/>
          <w:lang w:val="es-ES"/>
        </w:rPr>
        <w:lastRenderedPageBreak/>
        <w:t xml:space="preserve">como los resguardos indígenas son una forma de propiedad colectiva a la que la Constitución le endilga unos atributos que la sustraen de actos traslaticios o de comercio, al igual que con los bienes de uso público.  </w:t>
      </w:r>
    </w:p>
    <w:p w14:paraId="435ED7A3" w14:textId="77777777" w:rsidR="00493433" w:rsidRPr="00C55BDE" w:rsidRDefault="00493433" w:rsidP="00493433">
      <w:pPr>
        <w:spacing w:before="120" w:line="276" w:lineRule="auto"/>
        <w:ind w:firstLine="680"/>
        <w:jc w:val="both"/>
        <w:rPr>
          <w:rFonts w:ascii="Verdana" w:eastAsia="Calibri" w:hAnsi="Verdana" w:cs="Arial"/>
          <w:lang w:val="es-ES"/>
        </w:rPr>
      </w:pPr>
      <w:r w:rsidRPr="00C55BDE">
        <w:rPr>
          <w:rFonts w:ascii="Verdana" w:eastAsia="Calibri" w:hAnsi="Verdana" w:cs="Arial"/>
          <w:lang w:val="es-ES"/>
        </w:rPr>
        <w:t xml:space="preserve">De acuerdo con esto, la Ley 160 de 1994 </w:t>
      </w:r>
      <w:r w:rsidRPr="00C55BDE">
        <w:rPr>
          <w:rFonts w:ascii="Verdana" w:hAnsi="Verdana"/>
        </w:rPr>
        <w:t>“</w:t>
      </w:r>
      <w:r w:rsidRPr="00C55BDE">
        <w:rPr>
          <w:rFonts w:ascii="Verdana" w:eastAsia="Calibri" w:hAnsi="Verdana" w:cs="Arial"/>
          <w:lang w:val="es-ES"/>
        </w:rPr>
        <w:t>por la cual se crea el Sistema Nacional de Reforma Agraria y Desarrollo Rural Campesino, se establece un subsidio para la adquisición de tierras, se reforma el Instituto Colombiano de la Reforma Agraria y se dictan otras disposiciones”, concibe la constitución, ampliación, saneamiento y reestructuración de resguardos como formas para satisfacer las necesidades de tierras de las comunidades indígenas, tal como se colige de los artículos 12-18</w:t>
      </w:r>
      <w:r w:rsidRPr="00C55BDE">
        <w:rPr>
          <w:rStyle w:val="Refdenotaalpie"/>
          <w:rFonts w:ascii="Verdana" w:eastAsia="Calibri" w:hAnsi="Verdana" w:cs="Arial"/>
          <w:lang w:val="es-ES"/>
        </w:rPr>
        <w:footnoteReference w:id="3"/>
      </w:r>
      <w:r w:rsidRPr="00C55BDE">
        <w:rPr>
          <w:rFonts w:ascii="Verdana" w:eastAsia="Calibri" w:hAnsi="Verdana" w:cs="Arial"/>
          <w:lang w:val="es-ES"/>
        </w:rPr>
        <w:t xml:space="preserve"> y 85 de dicha Ley</w:t>
      </w:r>
      <w:r w:rsidRPr="00C55BDE">
        <w:rPr>
          <w:rStyle w:val="Refdenotaalpie"/>
          <w:rFonts w:ascii="Verdana" w:eastAsia="Calibri" w:hAnsi="Verdana" w:cs="Arial"/>
          <w:lang w:val="es-ES"/>
        </w:rPr>
        <w:footnoteReference w:id="4"/>
      </w:r>
      <w:r w:rsidRPr="00C55BDE">
        <w:rPr>
          <w:rFonts w:ascii="Verdana" w:eastAsia="Calibri" w:hAnsi="Verdana" w:cs="Arial"/>
          <w:lang w:val="es-ES"/>
        </w:rPr>
        <w:t>. De hecho, esta última norma hace parte del Capítulo XIV de la Ley 160 de 1994, específicamente referido a resguardos indígenas, el cual sería reglamentado por el Decreto 2164 de 1995, norma compilada por el Decreto 1071 de 2015, “Por medio del cual se expide el Decreto Único Reglamentario del Sector Administrativo Agropecuario, Pesquero y de Desarrollo Rural”, y contiene las definiciones de resguardo, cabildo y autoridad indígena:</w:t>
      </w:r>
    </w:p>
    <w:p w14:paraId="2883565E" w14:textId="77777777" w:rsidR="00493433" w:rsidRPr="00C55BDE" w:rsidRDefault="00493433" w:rsidP="00493433">
      <w:pPr>
        <w:spacing w:after="0" w:line="240" w:lineRule="auto"/>
        <w:ind w:left="709" w:right="709"/>
        <w:jc w:val="both"/>
        <w:rPr>
          <w:rFonts w:ascii="Verdana" w:eastAsia="Calibri" w:hAnsi="Verdana" w:cs="Arial"/>
          <w:sz w:val="20"/>
          <w:szCs w:val="20"/>
          <w:lang w:val="es-ES"/>
        </w:rPr>
      </w:pPr>
      <w:r w:rsidRPr="00C55BDE">
        <w:rPr>
          <w:rFonts w:ascii="Verdana" w:hAnsi="Verdana"/>
          <w:color w:val="242424"/>
          <w:sz w:val="20"/>
          <w:szCs w:val="20"/>
          <w:shd w:val="clear" w:color="auto" w:fill="FFFFFF"/>
        </w:rPr>
        <w:t xml:space="preserve">“[…] </w:t>
      </w:r>
      <w:r w:rsidRPr="00C55BDE">
        <w:rPr>
          <w:rFonts w:ascii="Verdana" w:eastAsia="Calibri" w:hAnsi="Verdana" w:cs="Arial"/>
          <w:sz w:val="20"/>
          <w:szCs w:val="20"/>
          <w:lang w:val="es-ES"/>
        </w:rPr>
        <w:t xml:space="preserve">Artículo 2.14.7.5.1. Naturaleza Jurídica. Los resguardos indígenas son propiedad colectiva de las comunidades indígenas en favor de las cuales se constituyen y conforme a los artículos 63 y 329 de la Constitución Política, tienen el carácter de inalienables, imprescriptibles e inembargables. </w:t>
      </w:r>
    </w:p>
    <w:p w14:paraId="519518EF" w14:textId="77777777" w:rsidR="00493433" w:rsidRPr="00C55BDE" w:rsidRDefault="00493433" w:rsidP="00493433">
      <w:pPr>
        <w:spacing w:after="0" w:line="240" w:lineRule="auto"/>
        <w:ind w:left="709" w:right="709"/>
        <w:jc w:val="both"/>
        <w:rPr>
          <w:rFonts w:ascii="Verdana" w:eastAsia="Calibri" w:hAnsi="Verdana" w:cs="Arial"/>
          <w:sz w:val="20"/>
          <w:szCs w:val="20"/>
          <w:lang w:val="es-ES"/>
        </w:rPr>
      </w:pPr>
    </w:p>
    <w:p w14:paraId="5FEA58EC" w14:textId="77777777" w:rsidR="00493433" w:rsidRPr="00C55BDE" w:rsidRDefault="00493433" w:rsidP="00493433">
      <w:pPr>
        <w:spacing w:after="0" w:line="240" w:lineRule="auto"/>
        <w:ind w:left="709" w:right="709"/>
        <w:jc w:val="both"/>
        <w:rPr>
          <w:rFonts w:ascii="Verdana" w:eastAsia="Calibri" w:hAnsi="Verdana" w:cs="Arial"/>
          <w:sz w:val="20"/>
          <w:szCs w:val="20"/>
          <w:lang w:val="es-ES"/>
        </w:rPr>
      </w:pPr>
      <w:r w:rsidRPr="00C55BDE">
        <w:rPr>
          <w:rFonts w:ascii="Verdana" w:eastAsia="Calibri" w:hAnsi="Verdana" w:cs="Arial"/>
          <w:sz w:val="20"/>
          <w:szCs w:val="20"/>
          <w:lang w:val="es-ES"/>
        </w:rPr>
        <w:t xml:space="preserve">Los resguardos son una institución legal y sociopolítica de carácter especial, conformada por una o más comunidades indígenas, que con un título de propiedad colectiva que goza de las garantías de la propiedad privada, poseen su territorio y se rigen para el manejo de este y su vida interna por una organización autónoma amparada por el fuero indígena y su sistema normativo propio. </w:t>
      </w:r>
    </w:p>
    <w:p w14:paraId="3C62363E" w14:textId="77777777" w:rsidR="00493433" w:rsidRPr="00C55BDE" w:rsidRDefault="00493433" w:rsidP="00493433">
      <w:pPr>
        <w:spacing w:after="0" w:line="240" w:lineRule="auto"/>
        <w:ind w:left="709" w:right="709"/>
        <w:jc w:val="both"/>
        <w:rPr>
          <w:rFonts w:ascii="Verdana" w:eastAsia="Calibri" w:hAnsi="Verdana" w:cs="Arial"/>
          <w:sz w:val="20"/>
          <w:szCs w:val="20"/>
          <w:lang w:val="es-ES"/>
        </w:rPr>
      </w:pPr>
    </w:p>
    <w:p w14:paraId="1EC7C091" w14:textId="77777777" w:rsidR="00493433" w:rsidRPr="00C55BDE" w:rsidRDefault="00493433" w:rsidP="00493433">
      <w:pPr>
        <w:spacing w:after="0" w:line="240" w:lineRule="auto"/>
        <w:ind w:left="709" w:right="709"/>
        <w:jc w:val="both"/>
        <w:rPr>
          <w:rFonts w:ascii="Verdana" w:eastAsia="Calibri" w:hAnsi="Verdana" w:cs="Arial"/>
          <w:sz w:val="20"/>
          <w:szCs w:val="20"/>
          <w:lang w:val="es-ES"/>
        </w:rPr>
      </w:pPr>
      <w:r w:rsidRPr="00C55BDE">
        <w:rPr>
          <w:rFonts w:ascii="Verdana" w:eastAsia="Calibri" w:hAnsi="Verdana" w:cs="Arial"/>
          <w:sz w:val="20"/>
          <w:szCs w:val="20"/>
          <w:lang w:val="es-ES"/>
        </w:rPr>
        <w:lastRenderedPageBreak/>
        <w:t>Parágrafo. Los integrantes de la comunidad indígena del resguardo no podrán enajenar a cualquier título, arrendar por cuenta propia o hipotecar los terrenos que constituyen el resguardo. (Decreto número 2164 de 1995, artículo 21) (Cursiva fuera de texto).</w:t>
      </w:r>
    </w:p>
    <w:p w14:paraId="70333E8F" w14:textId="77777777" w:rsidR="00493433" w:rsidRPr="00C55BDE" w:rsidRDefault="00493433" w:rsidP="00493433">
      <w:pPr>
        <w:spacing w:after="0" w:line="240" w:lineRule="auto"/>
        <w:ind w:left="709" w:right="709"/>
        <w:jc w:val="both"/>
        <w:rPr>
          <w:rFonts w:ascii="Verdana" w:eastAsia="Calibri" w:hAnsi="Verdana" w:cs="Arial"/>
          <w:sz w:val="20"/>
          <w:szCs w:val="20"/>
          <w:lang w:val="es-ES"/>
        </w:rPr>
      </w:pPr>
    </w:p>
    <w:p w14:paraId="78F3E384" w14:textId="77777777" w:rsidR="00493433" w:rsidRDefault="00493433" w:rsidP="00493433">
      <w:pPr>
        <w:spacing w:after="0" w:line="240" w:lineRule="auto"/>
        <w:ind w:left="708" w:right="709"/>
        <w:jc w:val="both"/>
        <w:rPr>
          <w:rFonts w:ascii="Verdana" w:eastAsia="Calibri" w:hAnsi="Verdana" w:cs="Arial"/>
          <w:sz w:val="20"/>
          <w:szCs w:val="20"/>
          <w:lang w:val="es-ES"/>
        </w:rPr>
      </w:pPr>
      <w:r w:rsidRPr="00C55BDE">
        <w:rPr>
          <w:rFonts w:ascii="Verdana" w:eastAsia="Calibri" w:hAnsi="Verdana" w:cs="Arial"/>
          <w:sz w:val="20"/>
          <w:szCs w:val="20"/>
          <w:lang w:val="es-ES"/>
        </w:rPr>
        <w:t>Artículo 2.14.7.5.2. Manejo y Administración. Las áreas que se constituyan con el carácter de resguardo indígena serán manejadas y administradas por lo respectivos cabildos o autoridades tradicionales de las comunidades, de acuerdo con sus usos y costumbres, la legislación especial referida a la materia y a las normas que sobre este particular se adopten por aquellas.</w:t>
      </w:r>
      <w:r w:rsidRPr="00C55BDE">
        <w:rPr>
          <w:rFonts w:ascii="Verdana" w:hAnsi="Verdana"/>
          <w:color w:val="242424"/>
          <w:sz w:val="20"/>
          <w:szCs w:val="20"/>
          <w:shd w:val="clear" w:color="auto" w:fill="FFFFFF"/>
        </w:rPr>
        <w:t xml:space="preserve"> […]”</w:t>
      </w:r>
    </w:p>
    <w:p w14:paraId="3F6C2AA0" w14:textId="77777777" w:rsidR="00493433" w:rsidRPr="00A575FE" w:rsidRDefault="00493433" w:rsidP="00493433">
      <w:pPr>
        <w:spacing w:after="0" w:line="240" w:lineRule="auto"/>
        <w:ind w:left="708" w:right="709"/>
        <w:jc w:val="both"/>
        <w:rPr>
          <w:rFonts w:ascii="Verdana" w:eastAsia="Calibri" w:hAnsi="Verdana" w:cs="Arial"/>
          <w:sz w:val="20"/>
          <w:szCs w:val="20"/>
          <w:lang w:val="es-ES"/>
        </w:rPr>
      </w:pPr>
    </w:p>
    <w:p w14:paraId="33AC16B7" w14:textId="77777777" w:rsidR="00493433" w:rsidRPr="00C55BDE" w:rsidRDefault="00493433" w:rsidP="00493433">
      <w:pPr>
        <w:spacing w:line="276" w:lineRule="auto"/>
        <w:jc w:val="both"/>
        <w:rPr>
          <w:rFonts w:ascii="Verdana" w:eastAsia="Calibri" w:hAnsi="Verdana" w:cs="Arial"/>
          <w:lang w:val="es-ES"/>
        </w:rPr>
      </w:pPr>
      <w:proofErr w:type="spellStart"/>
      <w:r>
        <w:rPr>
          <w:rFonts w:ascii="Verdana" w:eastAsia="Calibri" w:hAnsi="Verdana" w:cs="Arial"/>
          <w:lang w:val="es-ES"/>
        </w:rPr>
        <w:t>ii</w:t>
      </w:r>
      <w:proofErr w:type="spellEnd"/>
      <w:r>
        <w:rPr>
          <w:rFonts w:ascii="Verdana" w:eastAsia="Calibri" w:hAnsi="Verdana" w:cs="Arial"/>
          <w:lang w:val="es-ES"/>
        </w:rPr>
        <w:t xml:space="preserve">. </w:t>
      </w:r>
      <w:r w:rsidRPr="00C55BDE">
        <w:rPr>
          <w:rFonts w:ascii="Verdana" w:eastAsia="Calibri" w:hAnsi="Verdana" w:cs="Arial"/>
          <w:lang w:val="es-ES"/>
        </w:rPr>
        <w:t xml:space="preserve">Ahora bien, en octubre de 1993 se expidió la Ley 80, “Por la cual se expide el Estatuto General de Contratación de la Administración Pública”. El artículo 2 define las entidades estatales a las cuales le aplican sus disposiciones, e incluye a los territorios indígenas: </w:t>
      </w:r>
    </w:p>
    <w:p w14:paraId="6BF0351B" w14:textId="77777777" w:rsidR="00493433" w:rsidRPr="00C55BDE" w:rsidRDefault="00493433" w:rsidP="00493433">
      <w:pPr>
        <w:spacing w:after="0" w:line="240" w:lineRule="auto"/>
        <w:ind w:left="708" w:right="709"/>
        <w:jc w:val="both"/>
        <w:rPr>
          <w:rFonts w:ascii="Verdana" w:eastAsia="Calibri" w:hAnsi="Verdana" w:cs="Arial"/>
          <w:sz w:val="20"/>
          <w:szCs w:val="20"/>
          <w:lang w:val="es-ES"/>
        </w:rPr>
      </w:pPr>
      <w:r w:rsidRPr="00C55BDE">
        <w:rPr>
          <w:rFonts w:ascii="Verdana" w:hAnsi="Verdana"/>
          <w:color w:val="242424"/>
          <w:sz w:val="20"/>
          <w:szCs w:val="20"/>
          <w:shd w:val="clear" w:color="auto" w:fill="FFFFFF"/>
        </w:rPr>
        <w:t xml:space="preserve">[…] </w:t>
      </w:r>
      <w:r w:rsidRPr="00C55BDE">
        <w:rPr>
          <w:rFonts w:ascii="Verdana" w:eastAsia="Calibri" w:hAnsi="Verdana" w:cs="Arial"/>
          <w:sz w:val="20"/>
          <w:szCs w:val="20"/>
          <w:lang w:val="es-ES"/>
        </w:rPr>
        <w:t xml:space="preserve">Artículo 2o. De la definición de entidades, servidores y servicios públicos. Para los solos efectos de esta ley: </w:t>
      </w:r>
    </w:p>
    <w:p w14:paraId="793249B6" w14:textId="77777777" w:rsidR="00493433" w:rsidRPr="00C55BDE" w:rsidRDefault="00493433" w:rsidP="00493433">
      <w:pPr>
        <w:spacing w:after="0" w:line="240" w:lineRule="auto"/>
        <w:ind w:left="708" w:right="709"/>
        <w:jc w:val="both"/>
        <w:rPr>
          <w:rFonts w:ascii="Verdana" w:eastAsia="Calibri" w:hAnsi="Verdana" w:cs="Arial"/>
          <w:sz w:val="20"/>
          <w:szCs w:val="20"/>
          <w:lang w:val="es-ES"/>
        </w:rPr>
      </w:pPr>
    </w:p>
    <w:p w14:paraId="1942C388" w14:textId="77777777" w:rsidR="00493433" w:rsidRPr="00C55BDE" w:rsidRDefault="00493433" w:rsidP="00493433">
      <w:pPr>
        <w:spacing w:after="0" w:line="240" w:lineRule="auto"/>
        <w:ind w:left="708" w:right="709"/>
        <w:jc w:val="both"/>
        <w:rPr>
          <w:rFonts w:ascii="Verdana" w:eastAsia="Calibri" w:hAnsi="Verdana" w:cs="Arial"/>
          <w:sz w:val="20"/>
          <w:szCs w:val="20"/>
          <w:lang w:val="es-ES"/>
        </w:rPr>
      </w:pPr>
      <w:r w:rsidRPr="00C55BDE">
        <w:rPr>
          <w:rFonts w:ascii="Verdana" w:eastAsia="Calibri" w:hAnsi="Verdana" w:cs="Arial"/>
          <w:sz w:val="20"/>
          <w:szCs w:val="20"/>
          <w:lang w:val="es-ES"/>
        </w:rPr>
        <w:t xml:space="preserve">1o. Se denominan entidades estatales: </w:t>
      </w:r>
    </w:p>
    <w:p w14:paraId="3153E7FD" w14:textId="77777777" w:rsidR="00493433" w:rsidRPr="00C55BDE" w:rsidRDefault="00493433" w:rsidP="00493433">
      <w:pPr>
        <w:spacing w:after="0" w:line="240" w:lineRule="auto"/>
        <w:ind w:left="708" w:right="709"/>
        <w:jc w:val="both"/>
        <w:rPr>
          <w:rFonts w:ascii="Verdana" w:eastAsia="Calibri" w:hAnsi="Verdana" w:cs="Arial"/>
          <w:sz w:val="20"/>
          <w:szCs w:val="20"/>
          <w:lang w:val="es-ES"/>
        </w:rPr>
      </w:pPr>
    </w:p>
    <w:p w14:paraId="7AF7957F" w14:textId="77777777" w:rsidR="00493433" w:rsidRPr="00C55BDE" w:rsidRDefault="00493433" w:rsidP="00493433">
      <w:pPr>
        <w:spacing w:after="0" w:line="240" w:lineRule="auto"/>
        <w:ind w:left="708" w:right="709"/>
        <w:jc w:val="both"/>
        <w:rPr>
          <w:rFonts w:ascii="Verdana" w:eastAsia="Calibri" w:hAnsi="Verdana" w:cs="Arial"/>
          <w:sz w:val="20"/>
          <w:szCs w:val="20"/>
          <w:lang w:val="es-ES"/>
        </w:rPr>
      </w:pPr>
      <w:r w:rsidRPr="00C55BDE">
        <w:rPr>
          <w:rFonts w:ascii="Verdana" w:eastAsia="Calibri" w:hAnsi="Verdana" w:cs="Arial"/>
          <w:sz w:val="20"/>
          <w:szCs w:val="20"/>
          <w:lang w:val="es-ES"/>
        </w:rPr>
        <w:t xml:space="preserve">a) La Nación, las regiones, los departamentos, las provincias, el distrito capital y los distritos especiales, las áreas metropolitanas, las asociaciones de municipios, </w:t>
      </w:r>
      <w:r w:rsidRPr="00C55BDE">
        <w:rPr>
          <w:rFonts w:ascii="Verdana" w:eastAsia="Calibri" w:hAnsi="Verdana" w:cs="Arial"/>
          <w:i/>
          <w:sz w:val="20"/>
          <w:szCs w:val="20"/>
          <w:lang w:val="es-ES"/>
        </w:rPr>
        <w:t>los territorios indígenas</w:t>
      </w:r>
      <w:r w:rsidRPr="00C55BDE">
        <w:rPr>
          <w:rFonts w:ascii="Verdana" w:eastAsia="Calibri" w:hAnsi="Verdana" w:cs="Arial"/>
          <w:sz w:val="20"/>
          <w:szCs w:val="20"/>
          <w:lang w:val="es-ES"/>
        </w:rPr>
        <w:t xml:space="preserve">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 (énfasis fuera de texto).</w:t>
      </w:r>
    </w:p>
    <w:p w14:paraId="072F1902" w14:textId="77777777" w:rsidR="00493433" w:rsidRPr="00C55BDE" w:rsidRDefault="00493433" w:rsidP="00493433">
      <w:pPr>
        <w:spacing w:after="0" w:line="240" w:lineRule="auto"/>
        <w:textAlignment w:val="baseline"/>
        <w:rPr>
          <w:rFonts w:ascii="Verdana" w:eastAsia="Times New Roman" w:hAnsi="Verdana" w:cs="Segoe UI"/>
          <w:b/>
          <w:bCs/>
          <w:color w:val="46589C"/>
          <w:lang w:val="es-ES" w:eastAsia="es-CO"/>
        </w:rPr>
      </w:pPr>
    </w:p>
    <w:p w14:paraId="34DF1C8C" w14:textId="77777777" w:rsidR="00493433" w:rsidRPr="00C55BDE" w:rsidRDefault="00493433" w:rsidP="00493433">
      <w:pPr>
        <w:spacing w:after="120" w:line="276" w:lineRule="auto"/>
        <w:ind w:firstLine="708"/>
        <w:jc w:val="both"/>
        <w:rPr>
          <w:rFonts w:ascii="Verdana" w:eastAsia="Calibri" w:hAnsi="Verdana" w:cs="Arial"/>
          <w:lang w:val="es-ES"/>
        </w:rPr>
      </w:pPr>
      <w:r w:rsidRPr="00C55BDE">
        <w:rPr>
          <w:rFonts w:ascii="Verdana" w:eastAsia="Calibri" w:hAnsi="Verdana" w:cs="Arial"/>
          <w:lang w:val="es-ES"/>
        </w:rPr>
        <w:t xml:space="preserve">De acuerdo con la Ley 80 de 1993, los territorios indígenas eran considerados Entidades Estatales. Sin embargo, la existencia de aquellos se encuentra condicionada a la expedición de la Ley de Ordenamiento Territorial, por lo que la aplicación del Estatuto General de Contratación de la Administración Pública para este tipo de entidades, a luz de las disposiciones hasta aquí referidas, presenta dificultades. Esto en la medida que no existe una norma que defina los territorios indígenas a los que hace referencia el artículo 2 de esta Ley, lo que necesariamente remite a otras normas a efectos de determinar qué se entiende por estos y cuáles tienen capacidad para adquirir obligaciones. </w:t>
      </w:r>
    </w:p>
    <w:p w14:paraId="6E56F0E3" w14:textId="77777777" w:rsidR="00493433" w:rsidRPr="00C55BDE" w:rsidRDefault="00493433" w:rsidP="00493433">
      <w:pPr>
        <w:spacing w:before="120" w:line="276" w:lineRule="auto"/>
        <w:ind w:firstLine="680"/>
        <w:jc w:val="both"/>
        <w:rPr>
          <w:rFonts w:ascii="Verdana" w:eastAsia="Calibri" w:hAnsi="Verdana" w:cs="Arial"/>
          <w:lang w:val="es-ES"/>
        </w:rPr>
      </w:pPr>
      <w:r w:rsidRPr="00C55BDE">
        <w:rPr>
          <w:rFonts w:ascii="Verdana" w:eastAsia="Calibri" w:hAnsi="Verdana" w:cs="Arial"/>
          <w:lang w:val="es-ES"/>
        </w:rPr>
        <w:lastRenderedPageBreak/>
        <w:t xml:space="preserve">En este contexto, posteriormente, se expediría la Ley 1454 de 2011, “Por la cual se dictan normas orgánicas sobre ordenamiento territorial y se modifican otras disposiciones”, que reguló asuntos relacionados con el ordenamiento territorial. Sin embargo, esta ley no constituyó a los territorios indígenas, como lo demuestra el parágrafo 2° del artículo 37, al disponer que el Gobierno debía presentar al Congreso un proyecto de ley que regulara la materia. </w:t>
      </w:r>
    </w:p>
    <w:p w14:paraId="18641FFD" w14:textId="77777777" w:rsidR="00493433" w:rsidRPr="00C55BDE" w:rsidRDefault="00493433" w:rsidP="00493433">
      <w:pPr>
        <w:spacing w:after="120" w:line="276" w:lineRule="auto"/>
        <w:jc w:val="both"/>
        <w:rPr>
          <w:rFonts w:ascii="Verdana" w:eastAsia="Calibri" w:hAnsi="Verdana" w:cs="Arial"/>
          <w:lang w:val="es-ES"/>
        </w:rPr>
      </w:pPr>
      <w:r w:rsidRPr="00C55BDE">
        <w:rPr>
          <w:rFonts w:ascii="Verdana" w:eastAsia="Calibri" w:hAnsi="Verdana" w:cs="Arial"/>
          <w:lang w:val="es-ES"/>
        </w:rPr>
        <w:tab/>
        <w:t xml:space="preserve">Otra disposición de relevancia es el artículo 356 superior, el cual </w:t>
      </w:r>
      <w:r>
        <w:rPr>
          <w:rFonts w:ascii="Verdana" w:eastAsia="Calibri" w:hAnsi="Verdana" w:cs="Arial"/>
          <w:lang w:val="es-ES"/>
        </w:rPr>
        <w:t>se refiere a</w:t>
      </w:r>
      <w:r w:rsidRPr="00C55BDE">
        <w:rPr>
          <w:rFonts w:ascii="Verdana" w:eastAsia="Calibri" w:hAnsi="Verdana" w:cs="Arial"/>
          <w:lang w:val="es-ES"/>
        </w:rPr>
        <w:t xml:space="preserve"> la distribución de los recursos del Sistema General de Participaciones–SGP, </w:t>
      </w:r>
      <w:r>
        <w:rPr>
          <w:rFonts w:ascii="Verdana" w:eastAsia="Calibri" w:hAnsi="Verdana" w:cs="Arial"/>
          <w:lang w:val="es-ES"/>
        </w:rPr>
        <w:t xml:space="preserve">que establece </w:t>
      </w:r>
      <w:r w:rsidRPr="00C55BDE">
        <w:rPr>
          <w:rFonts w:ascii="Verdana" w:eastAsia="Calibri" w:hAnsi="Verdana" w:cs="Arial"/>
          <w:lang w:val="es-ES"/>
        </w:rPr>
        <w:t xml:space="preserve">que “[…] serán beneficiarias las entidades territoriales indígenas, una vez constituidas. Así mismo, la ley establecerá como beneficiarios a los resguardos indígenas, siempre y cuando estos no se hayan constituido en entidad territorial indígena”. A efectos de materializar esta distribución, –y ante la </w:t>
      </w:r>
      <w:proofErr w:type="spellStart"/>
      <w:r w:rsidRPr="00C55BDE">
        <w:rPr>
          <w:rFonts w:ascii="Verdana" w:eastAsia="Calibri" w:hAnsi="Verdana" w:cs="Arial"/>
          <w:lang w:val="es-ES"/>
        </w:rPr>
        <w:t>omisión</w:t>
      </w:r>
      <w:proofErr w:type="spellEnd"/>
      <w:r w:rsidRPr="00C55BDE">
        <w:rPr>
          <w:rFonts w:ascii="Verdana" w:eastAsia="Calibri" w:hAnsi="Verdana" w:cs="Arial"/>
          <w:lang w:val="es-ES"/>
        </w:rPr>
        <w:t xml:space="preserve"> legislativa identificada por la Corte Constitucional en la sentencia C-489 del 2012–, con sustento en el mencionado artículo 56 transitorio  se expidió el Decreto 1953 de 2014, “Por el cual se crea un régimen especial con el fin de poner en funcionamiento los territorios indígenas respecto de la administración de los sistemas propios de los pueblos indígenas hasta que el Congreso expida la ley de qué trata el artículo 329 de la Constitución Política”. </w:t>
      </w:r>
    </w:p>
    <w:p w14:paraId="542BF990" w14:textId="77777777" w:rsidR="00493433" w:rsidRPr="00C55BDE" w:rsidRDefault="00493433" w:rsidP="00493433">
      <w:pPr>
        <w:spacing w:line="276" w:lineRule="auto"/>
        <w:ind w:firstLine="708"/>
        <w:jc w:val="both"/>
        <w:rPr>
          <w:rFonts w:ascii="Verdana" w:eastAsia="Calibri" w:hAnsi="Verdana" w:cs="Arial"/>
          <w:lang w:val="es-ES"/>
        </w:rPr>
      </w:pPr>
      <w:r w:rsidRPr="00C55BDE">
        <w:rPr>
          <w:rFonts w:ascii="Verdana" w:eastAsia="Calibri" w:hAnsi="Verdana" w:cs="Arial"/>
          <w:lang w:val="es-ES"/>
        </w:rPr>
        <w:t>Los aspectos más relevantes de esta norma son los relacionados con el funcionamiento de los territorios indígenas. Al respecto, dispone que los resguardos indígenas que se ubiquen en ciertos supuestos</w:t>
      </w:r>
      <w:r w:rsidRPr="00C55BDE">
        <w:rPr>
          <w:rStyle w:val="Refdenotaalpie"/>
          <w:rFonts w:ascii="Verdana" w:eastAsia="Calibri" w:hAnsi="Verdana" w:cs="Arial"/>
          <w:lang w:val="es-ES"/>
        </w:rPr>
        <w:footnoteReference w:id="5"/>
      </w:r>
      <w:r w:rsidRPr="00C55BDE">
        <w:rPr>
          <w:rFonts w:ascii="Verdana" w:eastAsia="Calibri" w:hAnsi="Verdana" w:cs="Arial"/>
          <w:lang w:val="es-ES"/>
        </w:rPr>
        <w:t>, al igual que las asociaciones que estos conformen para administrar recursos del SGP, podrán ser considerados como territorios indígenas, de manera transitoria, “[…] mientras el Congreso expide la Ley Orgánica de Ordenamiento Territorial que crea las entidades territoriales indígenas”.</w:t>
      </w:r>
      <w:r w:rsidRPr="00C55BDE">
        <w:rPr>
          <w:rStyle w:val="Refdenotaalpie"/>
          <w:rFonts w:ascii="Verdana" w:eastAsia="Calibri" w:hAnsi="Verdana" w:cs="Arial"/>
          <w:lang w:val="es-ES"/>
        </w:rPr>
        <w:footnoteReference w:id="6"/>
      </w:r>
      <w:r w:rsidRPr="00C55BDE">
        <w:rPr>
          <w:rFonts w:ascii="Verdana" w:eastAsia="Calibri" w:hAnsi="Verdana" w:cs="Arial"/>
          <w:lang w:val="es-ES"/>
        </w:rPr>
        <w:t xml:space="preserve">  Adicionalmente, establece que para los fines y la ejecución de los recursos de que trata dicho decreto, los territorios y resguardos indígenas que hayan sido autorizados para administrar recursos del SGP serán considerados Entidades Estatales de acuerdo con lo indicado en el artículo 2 de la Ley 80 de 1993. La norma además establece una última posibilidad para los resguardos indígenas que no hayan sido autorizados para </w:t>
      </w:r>
      <w:r w:rsidRPr="00C55BDE">
        <w:rPr>
          <w:rFonts w:ascii="Verdana" w:eastAsia="Calibri" w:hAnsi="Verdana" w:cs="Arial"/>
          <w:lang w:val="es-ES"/>
        </w:rPr>
        <w:lastRenderedPageBreak/>
        <w:t xml:space="preserve">administrar de manera directa los recursos del SGP, consistente en la celebración de contratos de administración con las entidades territoriales respectivas y los representantes legales del resguardo designado por las autoridades propias. </w:t>
      </w:r>
    </w:p>
    <w:p w14:paraId="3611DC2F" w14:textId="77777777" w:rsidR="00493433" w:rsidRPr="00C55BDE" w:rsidRDefault="00493433" w:rsidP="00493433">
      <w:pPr>
        <w:spacing w:after="120" w:line="276" w:lineRule="auto"/>
        <w:ind w:firstLine="708"/>
        <w:jc w:val="both"/>
        <w:rPr>
          <w:rFonts w:ascii="Verdana" w:eastAsia="Calibri" w:hAnsi="Verdana" w:cs="Arial"/>
          <w:lang w:val="es-ES"/>
        </w:rPr>
      </w:pPr>
      <w:r w:rsidRPr="00C55BDE">
        <w:rPr>
          <w:rFonts w:ascii="Verdana" w:eastAsia="Calibri" w:hAnsi="Verdana" w:cs="Arial"/>
          <w:lang w:val="es-ES"/>
        </w:rPr>
        <w:t>Por otro lado, el artículo 20 del Decreto 1953 de 2014 dispone que los actos o contratos que celebren o expidan los territorios indígenas en virtud de dicho decreto se regirán por el Estatuto Orgánico del Presupuesto y el Estatuto de Contratación Estatal, entre otras normas. También dispuso que los territorios indígenas pueden celebrar contratos con las asociaciones de cabildos y/o autoridades tradicionales de que trata el Decreto 1088 de 1993, pero estos solo podrán celebrarse entre territorios indígenas, cabildos y/o autoridades tradicionales constituidos bajo lo dispuesto en el Decreto 1088 de 1993, no con otras entidades del Estado</w:t>
      </w:r>
      <w:r w:rsidRPr="00C55BDE">
        <w:rPr>
          <w:rStyle w:val="Refdenotaalpie"/>
          <w:rFonts w:ascii="Verdana" w:eastAsia="Calibri" w:hAnsi="Verdana" w:cs="Arial"/>
          <w:lang w:val="es-ES"/>
        </w:rPr>
        <w:footnoteReference w:id="7"/>
      </w:r>
      <w:r w:rsidRPr="00C55BDE">
        <w:rPr>
          <w:rFonts w:ascii="Verdana" w:eastAsia="Calibri" w:hAnsi="Verdana" w:cs="Arial"/>
          <w:lang w:val="es-ES"/>
        </w:rPr>
        <w:t xml:space="preserve">. </w:t>
      </w:r>
    </w:p>
    <w:p w14:paraId="6638CCDD" w14:textId="77777777" w:rsidR="00493433" w:rsidRPr="00C55BDE" w:rsidRDefault="00493433" w:rsidP="00493433">
      <w:pPr>
        <w:spacing w:after="120" w:line="276" w:lineRule="auto"/>
        <w:ind w:firstLine="709"/>
        <w:jc w:val="both"/>
        <w:rPr>
          <w:rFonts w:ascii="Verdana" w:eastAsia="Calibri" w:hAnsi="Verdana" w:cs="Arial"/>
          <w:lang w:val="es-ES"/>
        </w:rPr>
      </w:pPr>
      <w:r w:rsidRPr="00C55BDE">
        <w:rPr>
          <w:rFonts w:ascii="Verdana" w:eastAsia="Calibri" w:hAnsi="Verdana" w:cs="Arial"/>
          <w:lang w:val="es-ES"/>
        </w:rPr>
        <w:t xml:space="preserve">Conforme a lo anterior, el Decreto 1953 de 2014 permite que resguardos podrán asociarse para administrar y ejecutar los recursos de la asignación especial del SGP, siempre que acrediten los requisitos establecidos en el decreto, y son personas jurídicas de derecho público especial. Los territorios y resguardos Indígenas que hayan sido autorizados para administrar recursos del SGP, conforme a lo dispuesto por ese decreto, se consideran Entidades Estatales, de acuerdo con lo dispuesto en el artículo 2° de la Ley 80 de 1993. Dicha capacidad será ejercida a través de su representante legal, de acuerdo con lo dispuesto en el decreto. En caso de que un resguardo indígena no administre la asignación especial del Sistema General de Participaciones, o no se haya asociado con otros para administrarlos, su ejecución se realizará mediante la celebración de un contrato de administración suscrito entre la entidad territorial respectiva y el representante legal del resguardo designado por las autoridades propias. </w:t>
      </w:r>
    </w:p>
    <w:p w14:paraId="2C1839AA" w14:textId="77777777" w:rsidR="00493433" w:rsidRPr="00C55BDE" w:rsidRDefault="00493433" w:rsidP="00493433">
      <w:pPr>
        <w:spacing w:after="120" w:line="276" w:lineRule="auto"/>
        <w:jc w:val="both"/>
        <w:rPr>
          <w:rFonts w:ascii="Verdana" w:eastAsia="Calibri" w:hAnsi="Verdana" w:cs="Arial"/>
          <w:lang w:val="es-ES"/>
        </w:rPr>
      </w:pPr>
      <w:r w:rsidRPr="00C55BDE">
        <w:rPr>
          <w:rFonts w:ascii="Verdana" w:eastAsia="Calibri" w:hAnsi="Verdana" w:cs="Arial"/>
          <w:lang w:val="es-ES"/>
        </w:rPr>
        <w:t>  </w:t>
      </w:r>
      <w:r w:rsidRPr="00C55BDE">
        <w:rPr>
          <w:rFonts w:ascii="Verdana" w:eastAsia="Calibri" w:hAnsi="Verdana" w:cs="Arial"/>
          <w:lang w:val="es-ES"/>
        </w:rPr>
        <w:tab/>
        <w:t xml:space="preserve"> Las normas hasta aquí analizadas, por un lado, conciben a los resguardos indígenas como una instituciones legales y sociopolíticas de carácter especial, que pueden estar conformadas por una o más comunidades indígenas, que </w:t>
      </w:r>
      <w:r w:rsidRPr="00C55BDE">
        <w:rPr>
          <w:rFonts w:ascii="Verdana" w:eastAsia="Calibri" w:hAnsi="Verdana" w:cs="Arial"/>
          <w:lang w:val="es-ES"/>
        </w:rPr>
        <w:lastRenderedPageBreak/>
        <w:t>ejercen la propiedad colectiva sobre un territorio común, y que, si bien gozan de las garantías de la propiedad privada, tienen naturaleza inalienable, imprescriptible e inembargable. En ese sentido, a pesar de que la noción de resguardos indígenas no se agota en el territorio físico que es objeto de propiedad colectiva, tampoco es susceptible de ser equiparado al concepto de territorios indígenas al que se refiere el artículo 2 de la Ley 80 de 1993, ya que este aplica a las entidades territoriales indígenas, que, conforme a lo aquí explicado, aún no han sido objeto de implementación. Así pues, en principio, los resguardos indígenas no tienen el carácter de Entidades Estatales en el marco del Estatuto General de Contratación de la Administración Pública, ni tampoco tienen capacidad para contratar a luz del artículo 6 de la Ley 80 de 1993.</w:t>
      </w:r>
    </w:p>
    <w:p w14:paraId="38690081" w14:textId="77777777" w:rsidR="00493433" w:rsidRPr="00C55BDE" w:rsidRDefault="00493433" w:rsidP="00493433">
      <w:pPr>
        <w:spacing w:after="120" w:line="276" w:lineRule="auto"/>
        <w:jc w:val="both"/>
        <w:rPr>
          <w:rFonts w:ascii="Verdana" w:eastAsia="Calibri" w:hAnsi="Verdana" w:cs="Arial"/>
          <w:lang w:val="es-ES"/>
        </w:rPr>
      </w:pPr>
      <w:r w:rsidRPr="00C55BDE">
        <w:rPr>
          <w:rFonts w:ascii="Verdana" w:eastAsia="Calibri" w:hAnsi="Verdana" w:cs="Arial"/>
          <w:lang w:val="es-ES"/>
        </w:rPr>
        <w:tab/>
        <w:t xml:space="preserve">No obstante, el régimen para la transitoria puesta en marcha de los territorios indígenas establecido por el Decreto autónomo 1953 de 2014, a efectos de garantizar la distribución de los recursos de asignación especial del Sistema General de Participaciones que corresponden a los pueblos indígenas, estableció diferentes mecanismos para que se ejecutaran los mismos. Dentro de estos mecanismos se estableció la posibilidad de que los resguardos indígenas que cumplieran ciertos requisitos o se agruparan con otros resguardos fueran reconocidos de manera transitoria como territorios indígenas, evento en el que, de conformidad con el artículo 9 del Decreto 1953 de 2014, son consideradas como Entidades Estatales de acuerdo con el artículo 2 de la Ley 80 de 1993. No obstante, la capacidad jurídica que deriva de este artículo está limitada a lo relacionado con el ejercicio de las funciones públicas y la ejecución de recursos de los que trata el decreto.   </w:t>
      </w:r>
    </w:p>
    <w:p w14:paraId="2F453539" w14:textId="77777777" w:rsidR="00493433" w:rsidRPr="00C55BDE" w:rsidRDefault="00493433" w:rsidP="00493433">
      <w:pPr>
        <w:spacing w:after="120" w:line="276" w:lineRule="auto"/>
        <w:jc w:val="both"/>
        <w:rPr>
          <w:rFonts w:ascii="Verdana" w:eastAsia="Calibri" w:hAnsi="Verdana" w:cs="Arial"/>
          <w:lang w:val="es-ES"/>
        </w:rPr>
      </w:pPr>
      <w:r w:rsidRPr="00C55BDE">
        <w:rPr>
          <w:rFonts w:ascii="Verdana" w:eastAsia="Calibri" w:hAnsi="Verdana" w:cs="Arial"/>
          <w:lang w:val="es-ES"/>
        </w:rPr>
        <w:tab/>
        <w:t>En síntesis, a pesar de que el Decreto 1953 de 2014 establece el carácter de Entidades Estatales de los territorios indígenas regulados de manera transitoria, los resguardos indígenas y sus asociaciones, esto solo resulta aplicable a los asuntos contractuales regulados por dicha norma autónoma. Esto significa que, los territorios, resguardos indígenas y asociaciones de estos, solo son consideradas Entidades Estatales para efectos de celebrar los negocios jurídicos requeridos para el cumplimiento de las funciones que les asigna el decreto</w:t>
      </w:r>
      <w:r w:rsidRPr="00C55BDE">
        <w:rPr>
          <w:rStyle w:val="Refdenotaalpie"/>
          <w:rFonts w:ascii="Verdana" w:eastAsia="Calibri" w:hAnsi="Verdana" w:cs="Arial"/>
          <w:lang w:val="es-ES"/>
        </w:rPr>
        <w:footnoteReference w:id="8"/>
      </w:r>
      <w:r w:rsidRPr="00C55BDE">
        <w:rPr>
          <w:rFonts w:ascii="Verdana" w:eastAsia="Calibri" w:hAnsi="Verdana" w:cs="Arial"/>
          <w:lang w:val="es-ES"/>
        </w:rPr>
        <w:t xml:space="preserve">, prevalentemente relacionadas con la ejecución y administración de </w:t>
      </w:r>
      <w:r w:rsidRPr="00C55BDE">
        <w:rPr>
          <w:rFonts w:ascii="Verdana" w:eastAsia="Calibri" w:hAnsi="Verdana" w:cs="Arial"/>
          <w:lang w:val="es-ES"/>
        </w:rPr>
        <w:lastRenderedPageBreak/>
        <w:t xml:space="preserve">recursos del Sistema General de Participaciones, por lo que no estarían facultados para ejecutar negocios jurídicos no relacionados con tales atribuciones. </w:t>
      </w:r>
    </w:p>
    <w:p w14:paraId="0D1795D1" w14:textId="77777777" w:rsidR="00493433" w:rsidRPr="00C55BDE" w:rsidRDefault="00493433" w:rsidP="00493433">
      <w:pPr>
        <w:spacing w:before="120" w:after="120" w:line="276" w:lineRule="auto"/>
        <w:ind w:firstLine="709"/>
        <w:jc w:val="both"/>
        <w:rPr>
          <w:rFonts w:ascii="Verdana" w:hAnsi="Verdana" w:cs="Arial"/>
        </w:rPr>
      </w:pPr>
      <w:r w:rsidRPr="00C55BDE">
        <w:rPr>
          <w:rFonts w:ascii="Verdana" w:hAnsi="Verdana" w:cs="Arial"/>
          <w:lang w:val="es-ES"/>
        </w:rPr>
        <w:t>Sumado a los anterior, debe indicarse que los recursos de la Asignación Especial del Sistema General de Participaciones para los Resguardos Indígenas -AESGPRI- corresponden a los recursos del Sistema General de Participaciones que les son transferidos a los resguardos indígenas de conformidad con lo dispuesto por el artículo 356 de la Constitución Política y por los artículos 2º y 83 de la Ley 715 de 2001, para la financiación de proyectos de inversión debidamente formulados, e incluidos en los planes de vida o de acuerdo con los usos y costumbres de los pueblos indígenas.</w:t>
      </w:r>
    </w:p>
    <w:p w14:paraId="5CDB18B0" w14:textId="77777777" w:rsidR="00493433" w:rsidRPr="00C55BDE" w:rsidRDefault="00493433" w:rsidP="00493433">
      <w:pPr>
        <w:spacing w:before="120" w:after="120" w:line="276" w:lineRule="auto"/>
        <w:ind w:firstLine="709"/>
        <w:jc w:val="both"/>
        <w:rPr>
          <w:rFonts w:ascii="Verdana" w:hAnsi="Verdana" w:cs="Arial"/>
          <w:lang w:val="es-ES"/>
        </w:rPr>
      </w:pPr>
      <w:r w:rsidRPr="00C55BDE">
        <w:rPr>
          <w:rFonts w:ascii="Verdana" w:hAnsi="Verdana" w:cs="Arial"/>
          <w:lang w:val="es-ES"/>
        </w:rPr>
        <w:t xml:space="preserve">Bajo este contexto, en el parágrafo 2º del artículo 2º de la Ley 715 de 2001 se establece la Asignación Especial del Sistema General de Participaciones para los Resguardos Indígenas -AESGPRI- y en el artículo 83 se determinan los criterios para la distribución y la administración de los recursos. Con base en lo anterior, se entiende que </w:t>
      </w:r>
      <w:r w:rsidRPr="00C55BDE">
        <w:rPr>
          <w:rFonts w:ascii="Verdana" w:hAnsi="Verdana" w:cs="Arial"/>
          <w:i/>
          <w:iCs/>
          <w:lang w:val="es-ES"/>
        </w:rPr>
        <w:t xml:space="preserve">los recursos de la AESGPRI son públicos </w:t>
      </w:r>
      <w:r w:rsidRPr="00C55BDE">
        <w:rPr>
          <w:rFonts w:ascii="Verdana" w:hAnsi="Verdana" w:cs="Arial"/>
          <w:lang w:val="es-ES"/>
        </w:rPr>
        <w:t>y tienen como propósito beneficiar a la población indígena que habita en los resguardos.</w:t>
      </w:r>
      <w:r w:rsidRPr="005D2ED3">
        <w:rPr>
          <w:rFonts w:ascii="Verdana" w:hAnsi="Verdana" w:cs="Arial"/>
          <w:lang w:val="es-ES"/>
        </w:rPr>
        <w:t xml:space="preserve"> </w:t>
      </w:r>
    </w:p>
    <w:p w14:paraId="5C4F06C1" w14:textId="77777777" w:rsidR="00493433" w:rsidRPr="00C55BDE" w:rsidRDefault="00493433" w:rsidP="00493433">
      <w:pPr>
        <w:spacing w:before="120" w:after="120" w:line="276" w:lineRule="auto"/>
        <w:ind w:firstLine="709"/>
        <w:jc w:val="both"/>
        <w:rPr>
          <w:rFonts w:ascii="Verdana" w:hAnsi="Verdana"/>
        </w:rPr>
      </w:pPr>
      <w:r w:rsidRPr="00C55BDE">
        <w:rPr>
          <w:rFonts w:ascii="Verdana" w:hAnsi="Verdana"/>
        </w:rPr>
        <w:t xml:space="preserve">Ahora bien, tratándose de recursos -AESGPRI- debe tenerse de presente que el artículo 83 de la Ley 715 de 2001 dispone que estos serán girados a cada uno de los municipios en proporción a la población indígena que comprenda y que para su ejecución deberá celebrarse un contrato entre la entidad territorial y las autoridades del resguardo, </w:t>
      </w:r>
      <w:r w:rsidRPr="00C55BDE">
        <w:rPr>
          <w:rFonts w:ascii="Verdana" w:hAnsi="Verdana"/>
          <w:i/>
          <w:iCs/>
        </w:rPr>
        <w:t>antes del 31 de diciembre de cada año</w:t>
      </w:r>
      <w:r w:rsidRPr="00C55BDE">
        <w:rPr>
          <w:rFonts w:ascii="Verdana" w:hAnsi="Verdana"/>
        </w:rPr>
        <w:t>, en la que se determine el uso de los recursos en el año siguiente. Copia de dicho contrato se enviará antes del 20 de enero al Ministerio del Interior.</w:t>
      </w:r>
    </w:p>
    <w:p w14:paraId="5EC30CC1" w14:textId="77777777" w:rsidR="00493433" w:rsidRPr="00C55BDE" w:rsidRDefault="00493433" w:rsidP="00493433">
      <w:pPr>
        <w:spacing w:before="120" w:after="120" w:line="276" w:lineRule="auto"/>
        <w:jc w:val="both"/>
        <w:rPr>
          <w:rFonts w:ascii="Verdana" w:hAnsi="Verdana"/>
        </w:rPr>
      </w:pPr>
      <w:proofErr w:type="spellStart"/>
      <w:r>
        <w:rPr>
          <w:rFonts w:ascii="Verdana" w:hAnsi="Verdana" w:cs="Arial"/>
          <w:lang w:val="es-ES"/>
        </w:rPr>
        <w:t>iii</w:t>
      </w:r>
      <w:proofErr w:type="spellEnd"/>
      <w:r>
        <w:rPr>
          <w:rFonts w:ascii="Verdana" w:hAnsi="Verdana" w:cs="Arial"/>
          <w:lang w:val="es-ES"/>
        </w:rPr>
        <w:t xml:space="preserve">. </w:t>
      </w:r>
      <w:r w:rsidRPr="00C55BDE">
        <w:rPr>
          <w:rFonts w:ascii="Verdana" w:hAnsi="Verdana" w:cs="Arial"/>
          <w:lang w:val="es-ES"/>
        </w:rPr>
        <w:t xml:space="preserve">Frente a las restricciones de Ley de Garantías debe tener en cuenta que el ordenamiento jurídico colombiano contempla medidas para evitar la obtención </w:t>
      </w:r>
      <w:r w:rsidRPr="00C55BDE">
        <w:rPr>
          <w:rFonts w:ascii="Verdana" w:hAnsi="Verdana" w:cs="Arial"/>
          <w:lang w:val="es-ES"/>
        </w:rPr>
        <w:lastRenderedPageBreak/>
        <w:t>de beneficios personales en asuntos propios de la administración pública</w:t>
      </w:r>
      <w:r w:rsidRPr="00C55BDE">
        <w:rPr>
          <w:rFonts w:ascii="Verdana" w:hAnsi="Verdana" w:cs="Arial"/>
          <w:i/>
          <w:lang w:val="es-ES"/>
        </w:rPr>
        <w:t xml:space="preserve">. </w:t>
      </w:r>
      <w:r w:rsidRPr="00C55BDE">
        <w:rPr>
          <w:rFonts w:ascii="Verdana"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C55BDE">
        <w:rPr>
          <w:rFonts w:ascii="Verdana" w:hAnsi="Verdana"/>
          <w:vertAlign w:val="superscript"/>
          <w:lang w:val="es-ES"/>
        </w:rPr>
        <w:footnoteReference w:id="9"/>
      </w:r>
      <w:r w:rsidRPr="00C55BDE">
        <w:rPr>
          <w:rFonts w:ascii="Verdana" w:hAnsi="Verdana" w:cs="Arial"/>
          <w:lang w:val="es-ES"/>
        </w:rPr>
        <w:t>.</w:t>
      </w:r>
    </w:p>
    <w:p w14:paraId="7BCD1E81" w14:textId="77777777" w:rsidR="00493433" w:rsidRPr="00C55BDE" w:rsidRDefault="00493433" w:rsidP="00493433">
      <w:pPr>
        <w:tabs>
          <w:tab w:val="left" w:pos="426"/>
        </w:tabs>
        <w:spacing w:after="120" w:line="276" w:lineRule="auto"/>
        <w:ind w:firstLine="709"/>
        <w:jc w:val="both"/>
        <w:rPr>
          <w:rFonts w:ascii="Verdana" w:hAnsi="Verdana" w:cs="Arial"/>
          <w:lang w:val="es-ES"/>
        </w:rPr>
      </w:pPr>
      <w:r w:rsidRPr="00C55BDE">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C55BDE">
        <w:rPr>
          <w:rFonts w:ascii="Verdana" w:eastAsia="Times New Roman" w:hAnsi="Verdana" w:cs="Arial"/>
          <w:vertAlign w:val="superscript"/>
          <w:lang w:val="es-ES" w:eastAsia="es-CO"/>
        </w:rPr>
        <w:footnoteReference w:id="10"/>
      </w:r>
      <w:r w:rsidRPr="00C55BDE">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C55BDE">
        <w:rPr>
          <w:rFonts w:ascii="Verdana" w:hAnsi="Verdana" w:cs="Arial"/>
          <w:lang w:val="es-ES"/>
        </w:rPr>
        <w:t xml:space="preserve"> </w:t>
      </w:r>
    </w:p>
    <w:p w14:paraId="07182544" w14:textId="77777777" w:rsidR="00493433" w:rsidRPr="00C55BDE" w:rsidRDefault="00493433" w:rsidP="00493433">
      <w:pPr>
        <w:tabs>
          <w:tab w:val="left" w:pos="426"/>
        </w:tabs>
        <w:spacing w:after="0" w:line="276" w:lineRule="auto"/>
        <w:ind w:firstLine="709"/>
        <w:jc w:val="both"/>
        <w:rPr>
          <w:rFonts w:ascii="Verdana" w:hAnsi="Verdana" w:cs="Arial"/>
          <w:lang w:val="es-ES"/>
        </w:rPr>
      </w:pPr>
      <w:r w:rsidRPr="00C55BDE">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445A527B" w14:textId="77777777" w:rsidR="00493433" w:rsidRPr="00C55BDE" w:rsidRDefault="00493433" w:rsidP="00493433">
      <w:pPr>
        <w:spacing w:after="0" w:line="276" w:lineRule="auto"/>
        <w:ind w:right="709"/>
        <w:jc w:val="both"/>
        <w:rPr>
          <w:rFonts w:ascii="Verdana" w:eastAsia="Times New Roman" w:hAnsi="Verdana" w:cs="Arial"/>
          <w:lang w:val="es-ES" w:eastAsia="es-CO"/>
        </w:rPr>
      </w:pPr>
    </w:p>
    <w:p w14:paraId="581B1C0A" w14:textId="77777777" w:rsidR="00493433" w:rsidRPr="00C55BDE" w:rsidRDefault="00493433" w:rsidP="00493433">
      <w:pPr>
        <w:spacing w:after="0" w:line="240" w:lineRule="auto"/>
        <w:ind w:left="709" w:right="709"/>
        <w:contextualSpacing/>
        <w:jc w:val="both"/>
        <w:rPr>
          <w:rFonts w:ascii="Verdana" w:eastAsia="Times New Roman" w:hAnsi="Verdana" w:cs="Arial"/>
          <w:sz w:val="20"/>
          <w:szCs w:val="20"/>
          <w:lang w:val="es-ES" w:eastAsia="es-CO"/>
        </w:rPr>
      </w:pPr>
      <w:r w:rsidRPr="00C55BDE">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230F7FEE" w14:textId="77777777" w:rsidR="00493433" w:rsidRPr="00C55BDE" w:rsidRDefault="00493433" w:rsidP="00493433">
      <w:pPr>
        <w:spacing w:after="0" w:line="240" w:lineRule="auto"/>
        <w:ind w:left="709" w:right="709"/>
        <w:contextualSpacing/>
        <w:jc w:val="both"/>
        <w:rPr>
          <w:rFonts w:ascii="Verdana" w:eastAsia="Times New Roman" w:hAnsi="Verdana" w:cs="Arial"/>
          <w:sz w:val="20"/>
          <w:szCs w:val="20"/>
          <w:lang w:val="es-ES" w:eastAsia="es-CO"/>
        </w:rPr>
      </w:pPr>
    </w:p>
    <w:p w14:paraId="24AB8E33" w14:textId="77777777" w:rsidR="00493433" w:rsidRPr="00C55BDE" w:rsidRDefault="00493433" w:rsidP="00493433">
      <w:pPr>
        <w:spacing w:after="0" w:line="240" w:lineRule="auto"/>
        <w:ind w:left="709" w:right="709"/>
        <w:contextualSpacing/>
        <w:jc w:val="both"/>
        <w:rPr>
          <w:rFonts w:ascii="Verdana" w:eastAsia="Times New Roman" w:hAnsi="Verdana" w:cs="Arial"/>
          <w:sz w:val="20"/>
          <w:szCs w:val="20"/>
          <w:lang w:val="es-ES" w:eastAsia="es-CO"/>
        </w:rPr>
      </w:pPr>
      <w:r w:rsidRPr="00C55BDE">
        <w:rPr>
          <w:rFonts w:ascii="Verdana" w:eastAsia="Times New Roman" w:hAnsi="Verdana" w:cs="Arial"/>
          <w:sz w:val="20"/>
          <w:szCs w:val="20"/>
          <w:lang w:val="es-ES" w:eastAsia="es-CO"/>
        </w:rPr>
        <w:t xml:space="preserve">[…] </w:t>
      </w:r>
    </w:p>
    <w:p w14:paraId="647B11F7" w14:textId="77777777" w:rsidR="00493433" w:rsidRPr="00C55BDE" w:rsidRDefault="00493433" w:rsidP="00493433">
      <w:pPr>
        <w:spacing w:after="0" w:line="240" w:lineRule="auto"/>
        <w:ind w:left="709" w:right="709"/>
        <w:contextualSpacing/>
        <w:jc w:val="both"/>
        <w:rPr>
          <w:rFonts w:ascii="Verdana" w:eastAsia="Times New Roman" w:hAnsi="Verdana" w:cs="Arial"/>
          <w:sz w:val="20"/>
          <w:szCs w:val="20"/>
          <w:lang w:val="es-ES" w:eastAsia="es-CO"/>
        </w:rPr>
      </w:pPr>
    </w:p>
    <w:p w14:paraId="606D2FF5" w14:textId="77777777" w:rsidR="00493433" w:rsidRPr="00C55BDE" w:rsidRDefault="00493433" w:rsidP="00493433">
      <w:pPr>
        <w:spacing w:after="0" w:line="240" w:lineRule="auto"/>
        <w:ind w:left="709" w:right="709"/>
        <w:contextualSpacing/>
        <w:jc w:val="both"/>
        <w:rPr>
          <w:rFonts w:ascii="Verdana" w:eastAsia="Times New Roman" w:hAnsi="Verdana" w:cs="Arial"/>
          <w:sz w:val="20"/>
          <w:szCs w:val="20"/>
          <w:lang w:val="es-ES" w:eastAsia="es-CO"/>
        </w:rPr>
      </w:pPr>
      <w:r w:rsidRPr="00C55BDE">
        <w:rPr>
          <w:rFonts w:ascii="Verdana" w:eastAsia="Times New Roman" w:hAnsi="Verdana" w:cs="Arial"/>
          <w:sz w:val="20"/>
          <w:szCs w:val="20"/>
          <w:lang w:val="es-ES"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w:t>
      </w:r>
      <w:r w:rsidRPr="00C55BDE">
        <w:rPr>
          <w:rFonts w:ascii="Verdana" w:eastAsia="Times New Roman" w:hAnsi="Verdana" w:cs="Arial"/>
          <w:sz w:val="20"/>
          <w:szCs w:val="20"/>
          <w:lang w:val="es-ES" w:eastAsia="es-CO"/>
        </w:rPr>
        <w:lastRenderedPageBreak/>
        <w:t>una ley de garantías debe permitir que, en el debate democrático, sean las ideas y las propuestas las que definan el ascenso al poder, y no el músculo económico de los que se lo disputan”.</w:t>
      </w:r>
      <w:r w:rsidRPr="00C55BDE">
        <w:rPr>
          <w:rFonts w:ascii="Verdana" w:hAnsi="Verdana" w:cs="Arial"/>
          <w:sz w:val="20"/>
          <w:szCs w:val="20"/>
          <w:vertAlign w:val="superscript"/>
          <w:lang w:val="es-ES"/>
        </w:rPr>
        <w:footnoteReference w:id="11"/>
      </w:r>
    </w:p>
    <w:p w14:paraId="57D5B42D" w14:textId="77777777" w:rsidR="00493433" w:rsidRPr="00C55BDE" w:rsidRDefault="00493433" w:rsidP="00493433">
      <w:pPr>
        <w:spacing w:after="0" w:line="276" w:lineRule="auto"/>
        <w:ind w:left="709" w:right="709"/>
        <w:jc w:val="both"/>
        <w:rPr>
          <w:rFonts w:ascii="Verdana" w:eastAsia="Times New Roman" w:hAnsi="Verdana" w:cs="Arial"/>
          <w:sz w:val="20"/>
          <w:szCs w:val="20"/>
          <w:lang w:val="es-ES" w:eastAsia="es-CO"/>
        </w:rPr>
      </w:pPr>
    </w:p>
    <w:p w14:paraId="3C6E0AF3" w14:textId="77777777" w:rsidR="00493433" w:rsidRPr="00C55BDE" w:rsidRDefault="00493433" w:rsidP="00493433">
      <w:pPr>
        <w:spacing w:after="0" w:line="276" w:lineRule="auto"/>
        <w:ind w:firstLine="709"/>
        <w:jc w:val="both"/>
        <w:rPr>
          <w:rFonts w:ascii="Verdana" w:eastAsia="Times New Roman" w:hAnsi="Verdana" w:cs="Arial"/>
          <w:lang w:val="es-ES" w:eastAsia="es-CO"/>
        </w:rPr>
      </w:pPr>
      <w:r w:rsidRPr="00C55BDE">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64A6D5A1" w14:textId="77777777" w:rsidR="00493433" w:rsidRPr="00C55BDE" w:rsidRDefault="00493433" w:rsidP="00493433">
      <w:pPr>
        <w:spacing w:after="0" w:line="276" w:lineRule="auto"/>
        <w:ind w:firstLine="709"/>
        <w:jc w:val="both"/>
        <w:rPr>
          <w:rFonts w:ascii="Verdana" w:eastAsia="Times New Roman" w:hAnsi="Verdana" w:cs="Arial"/>
          <w:lang w:val="es-ES" w:eastAsia="es-CO"/>
        </w:rPr>
      </w:pPr>
    </w:p>
    <w:p w14:paraId="6F5E7B05" w14:textId="77777777" w:rsidR="00493433" w:rsidRPr="00C55BDE" w:rsidRDefault="00493433" w:rsidP="00493433">
      <w:pPr>
        <w:spacing w:after="0" w:line="240" w:lineRule="auto"/>
        <w:ind w:left="709" w:right="709"/>
        <w:jc w:val="both"/>
        <w:rPr>
          <w:rFonts w:ascii="Verdana" w:eastAsia="Times New Roman" w:hAnsi="Verdana" w:cs="Arial"/>
          <w:sz w:val="20"/>
          <w:szCs w:val="20"/>
          <w:lang w:val="es-ES" w:eastAsia="es-CO"/>
        </w:rPr>
      </w:pPr>
      <w:r w:rsidRPr="00C55BDE">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C55BDE">
        <w:rPr>
          <w:rFonts w:ascii="Verdana" w:eastAsia="Times New Roman" w:hAnsi="Verdana" w:cs="Arial"/>
          <w:sz w:val="20"/>
          <w:szCs w:val="20"/>
          <w:lang w:val="es-ES" w:eastAsia="es-CO"/>
        </w:rPr>
        <w:t>legis</w:t>
      </w:r>
      <w:proofErr w:type="spellEnd"/>
      <w:r w:rsidRPr="00C55BDE">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16A2607C" w14:textId="77777777" w:rsidR="00493433" w:rsidRPr="00C55BDE" w:rsidRDefault="00493433" w:rsidP="00493433">
      <w:pPr>
        <w:spacing w:after="0" w:line="240" w:lineRule="auto"/>
        <w:ind w:right="709"/>
        <w:jc w:val="both"/>
        <w:rPr>
          <w:rFonts w:ascii="Verdana" w:eastAsia="Times New Roman" w:hAnsi="Verdana" w:cs="Arial"/>
          <w:lang w:val="es-ES" w:eastAsia="es-CO"/>
        </w:rPr>
      </w:pPr>
    </w:p>
    <w:p w14:paraId="6E5C3DA6" w14:textId="77777777" w:rsidR="00493433" w:rsidRPr="00C55BDE" w:rsidRDefault="00493433" w:rsidP="00493433">
      <w:pPr>
        <w:spacing w:after="0" w:line="240" w:lineRule="auto"/>
        <w:ind w:left="709" w:right="709"/>
        <w:jc w:val="both"/>
        <w:rPr>
          <w:rFonts w:ascii="Verdana" w:eastAsia="Times New Roman" w:hAnsi="Verdana" w:cs="Arial"/>
          <w:sz w:val="20"/>
          <w:szCs w:val="20"/>
          <w:lang w:val="es-ES" w:eastAsia="es-CO"/>
        </w:rPr>
      </w:pPr>
      <w:r w:rsidRPr="00C55BDE">
        <w:rPr>
          <w:rFonts w:ascii="Verdana" w:eastAsia="Times New Roman" w:hAnsi="Verdana" w:cs="Arial"/>
          <w:sz w:val="20"/>
          <w:szCs w:val="20"/>
          <w:lang w:val="es-ES" w:eastAsia="es-CO"/>
        </w:rPr>
        <w:t>La jurisprudencia de la Corte Constitucional</w:t>
      </w:r>
      <w:r w:rsidRPr="00C55BDE">
        <w:rPr>
          <w:rFonts w:ascii="Verdana" w:eastAsia="Times New Roman" w:hAnsi="Verdana" w:cs="Arial"/>
          <w:sz w:val="20"/>
          <w:szCs w:val="20"/>
          <w:vertAlign w:val="superscript"/>
          <w:lang w:val="es-ES" w:eastAsia="es-CO"/>
        </w:rPr>
        <w:footnoteReference w:id="12"/>
      </w:r>
      <w:r w:rsidRPr="00C55BDE">
        <w:rPr>
          <w:rFonts w:ascii="Verdana" w:eastAsia="Times New Roman" w:hAnsi="Verdana" w:cs="Arial"/>
          <w:sz w:val="20"/>
          <w:szCs w:val="20"/>
          <w:lang w:val="es-ES" w:eastAsia="es-CO"/>
        </w:rPr>
        <w:t> y del Consejo de Estado</w:t>
      </w:r>
      <w:r w:rsidRPr="00C55BDE">
        <w:rPr>
          <w:rFonts w:ascii="Verdana" w:eastAsia="Times New Roman" w:hAnsi="Verdana" w:cs="Arial"/>
          <w:sz w:val="20"/>
          <w:szCs w:val="20"/>
          <w:vertAlign w:val="superscript"/>
          <w:lang w:val="es-ES" w:eastAsia="es-CO"/>
        </w:rPr>
        <w:footnoteReference w:id="13"/>
      </w:r>
      <w:r w:rsidRPr="00C55BDE">
        <w:rPr>
          <w:rFonts w:ascii="Verdana" w:eastAsia="Times New Roman" w:hAnsi="Verdana" w:cs="Arial"/>
          <w:sz w:val="20"/>
          <w:szCs w:val="20"/>
          <w:lang w:val="es-ES"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w:t>
      </w:r>
      <w:r w:rsidRPr="00C55BDE">
        <w:rPr>
          <w:rFonts w:ascii="Verdana" w:eastAsia="Times New Roman" w:hAnsi="Verdana" w:cs="Arial"/>
          <w:sz w:val="20"/>
          <w:szCs w:val="20"/>
          <w:lang w:val="es-ES" w:eastAsia="es-CO"/>
        </w:rPr>
        <w:lastRenderedPageBreak/>
        <w:t>o capacidad de obrar, sobrepasar sus precisos términos comporta el desconocimiento de la voluntad del legislador”</w:t>
      </w:r>
      <w:r w:rsidRPr="00C55BDE">
        <w:rPr>
          <w:rFonts w:ascii="Verdana" w:eastAsia="Times New Roman" w:hAnsi="Verdana" w:cs="Arial"/>
          <w:sz w:val="20"/>
          <w:szCs w:val="20"/>
          <w:vertAlign w:val="superscript"/>
          <w:lang w:val="es-ES" w:eastAsia="es-CO"/>
        </w:rPr>
        <w:footnoteReference w:id="14"/>
      </w:r>
      <w:r w:rsidRPr="00C55BDE">
        <w:rPr>
          <w:rFonts w:ascii="Verdana" w:eastAsia="Times New Roman" w:hAnsi="Verdana" w:cs="Arial"/>
          <w:sz w:val="20"/>
          <w:szCs w:val="20"/>
          <w:lang w:val="es-ES" w:eastAsia="es-CO"/>
        </w:rPr>
        <w:t>.</w:t>
      </w:r>
    </w:p>
    <w:p w14:paraId="63B609E1" w14:textId="77777777" w:rsidR="00493433" w:rsidRPr="00C55BDE" w:rsidRDefault="00493433" w:rsidP="00493433">
      <w:pPr>
        <w:spacing w:after="0" w:line="276" w:lineRule="auto"/>
        <w:jc w:val="both"/>
        <w:rPr>
          <w:rFonts w:ascii="Verdana" w:hAnsi="Verdana" w:cs="Arial"/>
          <w:bCs/>
          <w:lang w:val="es-ES"/>
        </w:rPr>
      </w:pPr>
    </w:p>
    <w:p w14:paraId="59A5F140" w14:textId="77777777" w:rsidR="00493433" w:rsidRPr="00C55BDE" w:rsidRDefault="00493433" w:rsidP="00493433">
      <w:pPr>
        <w:spacing w:after="120" w:line="276" w:lineRule="auto"/>
        <w:ind w:firstLine="709"/>
        <w:jc w:val="both"/>
        <w:rPr>
          <w:rFonts w:ascii="Verdana" w:eastAsia="Arial" w:hAnsi="Verdana" w:cs="Arial"/>
          <w:lang w:val="es-ES" w:eastAsia="es-ES" w:bidi="es-ES"/>
        </w:rPr>
      </w:pPr>
      <w:r w:rsidRPr="00C55BDE">
        <w:rPr>
          <w:rFonts w:ascii="Verdana" w:eastAsia="Times New Roman" w:hAnsi="Verdana" w:cs="Arial"/>
          <w:lang w:val="es-ES" w:eastAsia="es-CO"/>
        </w:rPr>
        <w:t>De</w:t>
      </w:r>
      <w:r w:rsidRPr="00C55BDE">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w:t>
      </w:r>
    </w:p>
    <w:p w14:paraId="4E250F66" w14:textId="77777777" w:rsidR="00493433" w:rsidRPr="00C55BDE" w:rsidRDefault="00493433" w:rsidP="00493433">
      <w:pPr>
        <w:spacing w:after="120" w:line="276" w:lineRule="auto"/>
        <w:ind w:firstLine="709"/>
        <w:jc w:val="both"/>
        <w:rPr>
          <w:rFonts w:ascii="Verdana" w:eastAsia="Arial" w:hAnsi="Verdana" w:cs="Arial"/>
          <w:lang w:val="es-ES" w:eastAsia="es-ES" w:bidi="es-ES"/>
        </w:rPr>
      </w:pPr>
      <w:r w:rsidRPr="00C55BDE">
        <w:rPr>
          <w:rFonts w:ascii="Verdana" w:eastAsia="Arial" w:hAnsi="Verdana" w:cs="Arial"/>
          <w:lang w:val="es-ES" w:eastAsia="es-ES" w:bidi="es-ES"/>
        </w:rPr>
        <w:t>En ese orden, las restricciones consagradas en la Ley de Garantías Electorales se dirigen a dos (2) tipos de campañas electorales diferenciadas: las presidenciales y las que se adelanten para la elección de los demás cargos de elección popular, tanto a nivel nacional como territorial.</w:t>
      </w:r>
    </w:p>
    <w:p w14:paraId="7ECC8C26" w14:textId="77777777" w:rsidR="00493433" w:rsidRPr="00C55BDE" w:rsidRDefault="00493433" w:rsidP="00493433">
      <w:pPr>
        <w:spacing w:after="120" w:line="276" w:lineRule="auto"/>
        <w:ind w:firstLine="708"/>
        <w:jc w:val="both"/>
        <w:rPr>
          <w:rFonts w:ascii="Verdana" w:hAnsi="Verdana" w:cs="Arial"/>
          <w:lang w:val="es-ES"/>
        </w:rPr>
      </w:pPr>
      <w:r w:rsidRPr="00C55BDE">
        <w:rPr>
          <w:rFonts w:ascii="Verdana" w:hAnsi="Verdana" w:cs="Arial"/>
          <w:lang w:val="es-ES"/>
        </w:rPr>
        <w:t xml:space="preserve">Por un lado, el </w:t>
      </w:r>
      <w:r w:rsidRPr="00C55BDE">
        <w:rPr>
          <w:rFonts w:ascii="Verdana" w:hAnsi="Verdana" w:cs="Arial"/>
          <w:i/>
          <w:iCs/>
          <w:lang w:val="es-ES"/>
        </w:rPr>
        <w:t xml:space="preserve">artículo 33 </w:t>
      </w:r>
      <w:r w:rsidRPr="00C55BDE">
        <w:rPr>
          <w:rFonts w:ascii="Verdana" w:hAnsi="Verdana" w:cs="Arial"/>
          <w:lang w:val="es-ES"/>
        </w:rPr>
        <w:t xml:space="preserve">de la Ley 996 de 2005 prohíbe “[…] la contratación directa por parte de </w:t>
      </w:r>
      <w:r w:rsidRPr="00C55BDE">
        <w:rPr>
          <w:rFonts w:ascii="Verdana" w:hAnsi="Verdana" w:cs="Arial"/>
          <w:i/>
          <w:iCs/>
          <w:lang w:val="es-ES"/>
        </w:rPr>
        <w:t>todos los entes del Estado</w:t>
      </w:r>
      <w:r w:rsidRPr="00C55BDE">
        <w:rPr>
          <w:rFonts w:ascii="Verdana" w:hAnsi="Verdana" w:cs="Arial"/>
          <w:lang w:val="es-ES"/>
        </w:rPr>
        <w:t xml:space="preserve">” durante los cuatro (4) meses anteriores a las </w:t>
      </w:r>
      <w:r w:rsidRPr="00C55BDE">
        <w:rPr>
          <w:rFonts w:ascii="Verdana" w:hAnsi="Verdana" w:cs="Arial"/>
          <w:i/>
          <w:iCs/>
          <w:lang w:val="es-ES"/>
        </w:rPr>
        <w:t>elecciones presidenciales</w:t>
      </w:r>
      <w:r w:rsidRPr="00C55BDE">
        <w:rPr>
          <w:rFonts w:ascii="Verdana"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C55BDE">
        <w:rPr>
          <w:rFonts w:ascii="Verdana" w:hAnsi="Verdana" w:cs="Arial"/>
          <w:vertAlign w:val="superscript"/>
          <w:lang w:val="es-ES"/>
        </w:rPr>
        <w:footnoteReference w:id="15"/>
      </w:r>
      <w:r w:rsidRPr="00C55BDE">
        <w:rPr>
          <w:rFonts w:ascii="Verdana" w:hAnsi="Verdana" w:cs="Arial"/>
          <w:lang w:val="es-ES"/>
        </w:rPr>
        <w:t>.</w:t>
      </w:r>
    </w:p>
    <w:p w14:paraId="082994AE" w14:textId="77777777" w:rsidR="00493433" w:rsidRPr="00C55BDE" w:rsidRDefault="00493433" w:rsidP="00493433">
      <w:pPr>
        <w:widowControl w:val="0"/>
        <w:autoSpaceDE w:val="0"/>
        <w:autoSpaceDN w:val="0"/>
        <w:spacing w:after="120" w:line="276" w:lineRule="auto"/>
        <w:ind w:right="113" w:firstLine="709"/>
        <w:jc w:val="both"/>
        <w:rPr>
          <w:rFonts w:ascii="Verdana" w:eastAsia="Arial" w:hAnsi="Verdana" w:cs="Arial"/>
          <w:lang w:val="es-ES" w:eastAsia="es-ES" w:bidi="es-ES"/>
        </w:rPr>
      </w:pPr>
      <w:r w:rsidRPr="00C55BDE">
        <w:rPr>
          <w:rFonts w:ascii="Verdana" w:hAnsi="Verdana" w:cs="Arial"/>
          <w:lang w:val="es-ES"/>
        </w:rPr>
        <w:t xml:space="preserve">Por otro lado, </w:t>
      </w:r>
      <w:r w:rsidRPr="00C55BDE">
        <w:rPr>
          <w:rFonts w:ascii="Verdana" w:hAnsi="Verdana" w:cs="Arial"/>
          <w:i/>
          <w:iCs/>
          <w:lang w:val="es-ES"/>
        </w:rPr>
        <w:t xml:space="preserve">el parágrafo del artículo 38 </w:t>
      </w:r>
      <w:r w:rsidRPr="00C55BDE">
        <w:rPr>
          <w:rFonts w:ascii="Verdana" w:hAnsi="Verdana" w:cs="Arial"/>
          <w:lang w:val="es-ES"/>
        </w:rPr>
        <w:t xml:space="preserve">de la Ley 996 de 2005 prevé una restricción, aplicable respecto de </w:t>
      </w:r>
      <w:r w:rsidRPr="00C55BDE">
        <w:rPr>
          <w:rFonts w:ascii="Verdana" w:hAnsi="Verdana" w:cs="Arial"/>
          <w:i/>
          <w:iCs/>
          <w:lang w:val="es-ES"/>
        </w:rPr>
        <w:t>cualquier tipo de contienda electoral</w:t>
      </w:r>
      <w:r w:rsidRPr="00C55BDE">
        <w:rPr>
          <w:rFonts w:ascii="Verdana" w:hAnsi="Verdana" w:cs="Arial"/>
          <w:lang w:val="es-ES"/>
        </w:rPr>
        <w:t xml:space="preserve">, que prohíbe a los gobernadores, alcaldes municipales o distritales, secretarios, gerentes y directores de entidades descentralizadas del orden municipal, departamental o distrital “[…] celebrar convenios interadministrativos para la </w:t>
      </w:r>
      <w:r w:rsidRPr="00C55BDE">
        <w:rPr>
          <w:rFonts w:ascii="Verdana" w:hAnsi="Verdana" w:cs="Arial"/>
          <w:lang w:val="es-ES"/>
        </w:rPr>
        <w:lastRenderedPageBreak/>
        <w:t>ejecución de recursos públicos, ni participar, promover y destinar recursos públicos de las entidades a su cargo, como tampoco de las que participen como miembros de sus juntas directivas, en o para reuniones de carácter proselitista”</w:t>
      </w:r>
      <w:r w:rsidRPr="00C55BDE">
        <w:rPr>
          <w:rFonts w:ascii="Verdana" w:hAnsi="Verdana" w:cs="Arial"/>
          <w:vertAlign w:val="superscript"/>
          <w:lang w:val="es-ES"/>
        </w:rPr>
        <w:footnoteReference w:id="16"/>
      </w:r>
      <w:r w:rsidRPr="00C55BDE">
        <w:rPr>
          <w:rFonts w:ascii="Verdana" w:hAnsi="Verdana" w:cs="Arial"/>
          <w:lang w:val="es-ES"/>
        </w:rPr>
        <w:t>.</w:t>
      </w:r>
      <w:r w:rsidRPr="00C55BDE">
        <w:rPr>
          <w:rFonts w:ascii="Verdana" w:eastAsia="Arial" w:hAnsi="Verdana" w:cs="Arial"/>
          <w:lang w:val="es-ES" w:eastAsia="es-ES" w:bidi="es-ES"/>
        </w:rPr>
        <w:t xml:space="preserve"> </w:t>
      </w:r>
    </w:p>
    <w:p w14:paraId="3E3988E4" w14:textId="77777777" w:rsidR="00493433" w:rsidRPr="00C55BDE" w:rsidRDefault="00493433" w:rsidP="00493433">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C55BDE">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404556B7" w14:textId="77777777" w:rsidR="00493433" w:rsidRPr="00C55BDE" w:rsidRDefault="00493433" w:rsidP="00493433">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3F1C73B0" w14:textId="77777777" w:rsidR="00493433" w:rsidRPr="00C55BDE" w:rsidRDefault="00493433" w:rsidP="00493433">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C55BDE">
        <w:rPr>
          <w:rFonts w:ascii="Verdana" w:eastAsia="Arial" w:hAnsi="Verdana" w:cs="Arial"/>
          <w:sz w:val="20"/>
          <w:szCs w:val="20"/>
          <w:lang w:val="es-ES" w:eastAsia="es-ES" w:bidi="es-ES"/>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C55BDE">
        <w:rPr>
          <w:rFonts w:ascii="Verdana" w:eastAsia="Arial" w:hAnsi="Verdana" w:cs="Arial"/>
          <w:sz w:val="20"/>
          <w:szCs w:val="20"/>
          <w:vertAlign w:val="superscript"/>
          <w:lang w:val="es-ES" w:eastAsia="es-ES" w:bidi="es-ES"/>
        </w:rPr>
        <w:footnoteReference w:id="17"/>
      </w:r>
    </w:p>
    <w:p w14:paraId="418EEC2C" w14:textId="77777777" w:rsidR="00493433" w:rsidRPr="00C55BDE" w:rsidRDefault="00493433" w:rsidP="00493433">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p>
    <w:p w14:paraId="23072788" w14:textId="77777777" w:rsidR="00493433" w:rsidRPr="00C55BDE" w:rsidRDefault="00493433" w:rsidP="00493433">
      <w:pPr>
        <w:spacing w:after="120" w:line="276" w:lineRule="auto"/>
        <w:ind w:firstLine="709"/>
        <w:jc w:val="both"/>
        <w:rPr>
          <w:rFonts w:ascii="Verdana" w:eastAsia="Arial" w:hAnsi="Verdana" w:cs="Arial"/>
          <w:lang w:val="es-ES" w:eastAsia="es-ES" w:bidi="es-ES"/>
        </w:rPr>
      </w:pPr>
      <w:r w:rsidRPr="00C55BDE">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C55BDE">
        <w:rPr>
          <w:rFonts w:ascii="Verdana" w:eastAsia="Arial" w:hAnsi="Verdana" w:cs="Arial"/>
          <w:i/>
          <w:lang w:val="es-ES" w:eastAsia="es-ES" w:bidi="es-ES"/>
        </w:rPr>
        <w:t>En primer lugar</w:t>
      </w:r>
      <w:r w:rsidRPr="00C55BDE">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w:t>
      </w:r>
      <w:r w:rsidRPr="00C55BDE">
        <w:rPr>
          <w:rFonts w:ascii="Verdana" w:eastAsia="Arial" w:hAnsi="Verdana" w:cs="Arial"/>
          <w:lang w:val="es-ES" w:eastAsia="es-ES" w:bidi="es-ES"/>
        </w:rPr>
        <w:lastRenderedPageBreak/>
        <w:t xml:space="preserve">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C55BDE">
        <w:rPr>
          <w:rFonts w:ascii="Verdana" w:eastAsia="Arial" w:hAnsi="Verdana" w:cs="Arial"/>
          <w:i/>
          <w:lang w:val="es-ES" w:eastAsia="es-ES" w:bidi="es-ES"/>
        </w:rPr>
        <w:t>En segundo lugar</w:t>
      </w:r>
      <w:r w:rsidRPr="00C55BDE">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64845430" w14:textId="77777777" w:rsidR="00493433" w:rsidRPr="00C55BDE" w:rsidRDefault="00493433" w:rsidP="00493433">
      <w:pPr>
        <w:spacing w:after="120" w:line="276" w:lineRule="auto"/>
        <w:ind w:firstLine="709"/>
        <w:jc w:val="both"/>
        <w:rPr>
          <w:rFonts w:ascii="Verdana" w:eastAsia="Arial" w:hAnsi="Verdana" w:cs="Arial"/>
          <w:lang w:val="es-ES" w:eastAsia="es-ES" w:bidi="es-ES"/>
        </w:rPr>
      </w:pPr>
      <w:r w:rsidRPr="00C55BDE">
        <w:rPr>
          <w:rFonts w:ascii="Verdana" w:eastAsia="Arial" w:hAnsi="Verdana" w:cs="Arial"/>
          <w:lang w:val="es-ES" w:eastAsia="es-ES" w:bidi="es-ES"/>
        </w:rPr>
        <w:t>Ambas restricciones no son excluyentes, lo que permite concluir que, en el período preelectoral para elección de Presidente de la República, aplican las restricciones del artículo 33 con sus excepciones, así como las del parágrafo del artículo 38, a todos los entes del Estado. En cambio, tratándose de elecciones en general, excluyendo las correspondientes al Presidente de la República, las autoridades allí mencionadas sólo deben aplicar las restricciones contenidas en el parágrafo del artículo 38.</w:t>
      </w:r>
    </w:p>
    <w:p w14:paraId="439E8FBA" w14:textId="77777777" w:rsidR="00493433" w:rsidRPr="00C55BDE" w:rsidRDefault="00493433" w:rsidP="00493433">
      <w:pPr>
        <w:spacing w:after="120" w:line="276" w:lineRule="auto"/>
        <w:ind w:firstLine="709"/>
        <w:jc w:val="both"/>
        <w:rPr>
          <w:rFonts w:ascii="Verdana" w:eastAsia="Arial" w:hAnsi="Verdana" w:cs="Arial"/>
          <w:lang w:val="es-ES" w:eastAsia="es-ES" w:bidi="es-ES"/>
        </w:rPr>
      </w:pPr>
      <w:r w:rsidRPr="00C55BDE">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34FCA7B1" w14:textId="77777777" w:rsidR="00493433" w:rsidRPr="000322B7" w:rsidRDefault="00493433" w:rsidP="00493433">
      <w:pPr>
        <w:spacing w:after="120" w:line="276" w:lineRule="auto"/>
        <w:jc w:val="both"/>
        <w:rPr>
          <w:rFonts w:ascii="Verdana" w:eastAsia="Arial" w:hAnsi="Verdana" w:cs="Arial"/>
          <w:lang w:val="es-ES" w:eastAsia="es-ES" w:bidi="es-ES"/>
        </w:rPr>
      </w:pPr>
      <w:proofErr w:type="spellStart"/>
      <w:r>
        <w:rPr>
          <w:rFonts w:ascii="Verdana" w:hAnsi="Verdana" w:cs="Arial"/>
          <w:lang w:val="es-ES"/>
        </w:rPr>
        <w:t>iv</w:t>
      </w:r>
      <w:proofErr w:type="spellEnd"/>
      <w:r>
        <w:rPr>
          <w:rFonts w:ascii="Verdana" w:hAnsi="Verdana" w:cs="Arial"/>
          <w:lang w:val="es-ES"/>
        </w:rPr>
        <w:t xml:space="preserve">. Ahora bien, para efectos de dar respuesta al problema jurídico planteado es necesario precisar el </w:t>
      </w:r>
      <w:r w:rsidRPr="0057193B">
        <w:rPr>
          <w:rFonts w:ascii="Verdana" w:eastAsia="Times New Roman" w:hAnsi="Verdana" w:cs="Arial"/>
          <w:bCs/>
          <w:lang w:val="es-MX" w:eastAsia="x-none"/>
        </w:rPr>
        <w:t>ámbito material de la prohibición contenida en el artículo 33 de la ley 996 de 2005</w:t>
      </w:r>
      <w:r>
        <w:rPr>
          <w:rFonts w:ascii="Verdana" w:eastAsia="Times New Roman" w:hAnsi="Verdana" w:cs="Arial"/>
          <w:bCs/>
          <w:lang w:val="es-MX" w:eastAsia="x-none"/>
        </w:rPr>
        <w:t>, el cual</w:t>
      </w:r>
      <w:r w:rsidRPr="0057193B">
        <w:rPr>
          <w:rFonts w:ascii="Verdana" w:eastAsia="Times New Roman" w:hAnsi="Verdana" w:cs="Arial"/>
          <w:bCs/>
          <w:lang w:val="es-MX" w:eastAsia="x-none"/>
        </w:rPr>
        <w:t xml:space="preserve"> está delimitado por la expresión </w:t>
      </w:r>
      <w:r>
        <w:rPr>
          <w:rFonts w:ascii="Verdana" w:eastAsia="Calibri" w:hAnsi="Verdana" w:cs="Arial"/>
          <w:bCs/>
          <w:sz w:val="20"/>
          <w:szCs w:val="20"/>
          <w:lang w:val="es-MX"/>
        </w:rPr>
        <w:t>“</w:t>
      </w:r>
      <w:r w:rsidRPr="0057193B">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sidRPr="0057193B">
        <w:rPr>
          <w:rFonts w:ascii="Verdana" w:eastAsia="Times New Roman" w:hAnsi="Verdana" w:cs="Arial"/>
          <w:bCs/>
          <w:lang w:val="es-MX" w:eastAsia="x-none"/>
        </w:rPr>
        <w:t xml:space="preserve">. </w:t>
      </w:r>
      <w:r w:rsidRPr="0057193B">
        <w:rPr>
          <w:rFonts w:ascii="Verdana" w:eastAsia="Times New Roman" w:hAnsi="Verdana" w:cs="Arial"/>
          <w:lang w:val="es-MX" w:eastAsia="es-CO"/>
        </w:rPr>
        <w:t xml:space="preserve"> A propósito de </w:t>
      </w:r>
      <w:r w:rsidRPr="0057193B">
        <w:rPr>
          <w:rFonts w:ascii="Verdana" w:eastAsia="Times New Roman" w:hAnsi="Verdana" w:cs="Arial"/>
          <w:lang w:eastAsia="es-CO"/>
        </w:rPr>
        <w:t xml:space="preserve">esta restricción de la Ley de </w:t>
      </w:r>
      <w:r w:rsidRPr="0057193B">
        <w:rPr>
          <w:rFonts w:ascii="Verdana" w:eastAsia="Times New Roman" w:hAnsi="Verdana" w:cs="Arial"/>
          <w:lang w:eastAsia="es-CO"/>
        </w:rPr>
        <w:lastRenderedPageBreak/>
        <w:t>Garantías Electorales, la Sala de Consulta y Servicio Civil del Consejo de Estado ha considerado que:</w:t>
      </w:r>
    </w:p>
    <w:p w14:paraId="5BB9F1F6" w14:textId="77777777" w:rsidR="00493433" w:rsidRPr="0057193B" w:rsidRDefault="00493433" w:rsidP="00493433">
      <w:pPr>
        <w:spacing w:after="0" w:line="240" w:lineRule="auto"/>
        <w:ind w:left="708" w:right="709"/>
        <w:jc w:val="both"/>
        <w:rPr>
          <w:rFonts w:ascii="Verdana" w:eastAsia="Calibri" w:hAnsi="Verdana" w:cs="Arial"/>
          <w:sz w:val="21"/>
          <w:szCs w:val="21"/>
          <w:lang w:val="es-MX"/>
        </w:rPr>
      </w:pPr>
    </w:p>
    <w:p w14:paraId="07846135" w14:textId="77777777" w:rsidR="00493433" w:rsidRPr="0059023C" w:rsidRDefault="00493433" w:rsidP="00493433">
      <w:pPr>
        <w:spacing w:after="120" w:line="240" w:lineRule="auto"/>
        <w:ind w:left="709" w:right="709"/>
        <w:jc w:val="both"/>
        <w:rPr>
          <w:rFonts w:ascii="Verdana" w:eastAsia="Calibri" w:hAnsi="Verdana" w:cs="Arial"/>
          <w:sz w:val="20"/>
          <w:szCs w:val="20"/>
          <w:lang w:val="es-MX"/>
        </w:rPr>
      </w:pPr>
      <w:r w:rsidRPr="0059023C">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59023C">
        <w:rPr>
          <w:rFonts w:ascii="Verdana" w:eastAsia="Times New Roman" w:hAnsi="Verdana" w:cs="Arial"/>
          <w:sz w:val="20"/>
          <w:szCs w:val="20"/>
          <w:vertAlign w:val="superscript"/>
          <w:lang w:eastAsia="es-CO"/>
        </w:rPr>
        <w:footnoteReference w:id="18"/>
      </w:r>
      <w:r w:rsidRPr="0059023C">
        <w:rPr>
          <w:rFonts w:ascii="Verdana" w:eastAsia="Calibri" w:hAnsi="Verdana" w:cs="Arial"/>
          <w:sz w:val="20"/>
          <w:szCs w:val="20"/>
          <w:lang w:val="es-MX"/>
        </w:rPr>
        <w:t>.</w:t>
      </w:r>
    </w:p>
    <w:p w14:paraId="7C91E4E0" w14:textId="77777777" w:rsidR="00493433" w:rsidRPr="0057193B" w:rsidRDefault="00493433" w:rsidP="00493433">
      <w:pPr>
        <w:spacing w:after="0" w:line="240" w:lineRule="auto"/>
        <w:ind w:left="708" w:right="709"/>
        <w:jc w:val="both"/>
        <w:rPr>
          <w:rFonts w:ascii="Verdana" w:eastAsia="Calibri" w:hAnsi="Verdana" w:cs="Arial"/>
          <w:sz w:val="21"/>
          <w:szCs w:val="21"/>
          <w:lang w:val="es-MX"/>
        </w:rPr>
      </w:pPr>
      <w:r w:rsidRPr="0059023C">
        <w:rPr>
          <w:rFonts w:ascii="Verdana" w:eastAsia="Calibri"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59023C">
        <w:rPr>
          <w:rFonts w:ascii="Verdana" w:eastAsia="Times New Roman" w:hAnsi="Verdana" w:cs="Arial"/>
          <w:sz w:val="20"/>
          <w:szCs w:val="20"/>
          <w:vertAlign w:val="superscript"/>
          <w:lang w:val="es-MX"/>
        </w:rPr>
        <w:footnoteReference w:id="19"/>
      </w:r>
      <w:r w:rsidRPr="0059023C">
        <w:rPr>
          <w:rFonts w:ascii="Verdana" w:eastAsia="Times New Roman" w:hAnsi="Verdana" w:cs="Arial"/>
          <w:sz w:val="20"/>
          <w:szCs w:val="20"/>
          <w:vertAlign w:val="superscript"/>
          <w:lang w:val="es-MX"/>
        </w:rPr>
        <w:t>.</w:t>
      </w:r>
      <w:r w:rsidRPr="0059023C">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57193B">
        <w:rPr>
          <w:rFonts w:ascii="Verdana" w:eastAsia="Times New Roman" w:hAnsi="Verdana" w:cs="Arial"/>
          <w:vertAlign w:val="superscript"/>
          <w:lang w:eastAsia="es-CO"/>
        </w:rPr>
        <w:footnoteReference w:id="20"/>
      </w:r>
      <w:r w:rsidRPr="0057193B">
        <w:rPr>
          <w:rFonts w:ascii="Verdana" w:eastAsia="Calibri" w:hAnsi="Verdana" w:cs="Arial"/>
          <w:sz w:val="21"/>
          <w:szCs w:val="21"/>
          <w:lang w:val="es-MX"/>
        </w:rPr>
        <w:t xml:space="preserve"> .</w:t>
      </w:r>
    </w:p>
    <w:p w14:paraId="04064F2D" w14:textId="77777777" w:rsidR="00493433" w:rsidRPr="0057193B" w:rsidRDefault="00493433" w:rsidP="00493433">
      <w:pPr>
        <w:shd w:val="clear" w:color="auto" w:fill="FFFFFF"/>
        <w:spacing w:after="0" w:line="276" w:lineRule="auto"/>
        <w:ind w:firstLine="709"/>
        <w:jc w:val="both"/>
        <w:rPr>
          <w:rFonts w:ascii="Verdana" w:eastAsia="Times New Roman" w:hAnsi="Verdana" w:cs="Arial"/>
          <w:lang w:eastAsia="x-none"/>
        </w:rPr>
      </w:pPr>
    </w:p>
    <w:p w14:paraId="0118371C" w14:textId="77777777" w:rsidR="00493433" w:rsidRPr="0057193B" w:rsidRDefault="00493433" w:rsidP="00493433">
      <w:pPr>
        <w:spacing w:after="120" w:line="276" w:lineRule="auto"/>
        <w:ind w:firstLine="708"/>
        <w:jc w:val="both"/>
        <w:rPr>
          <w:rFonts w:ascii="Verdana" w:eastAsia="Times New Roman" w:hAnsi="Verdana" w:cs="Arial"/>
          <w:bCs/>
          <w:lang w:eastAsia="x-none"/>
        </w:rPr>
      </w:pPr>
      <w:r w:rsidRPr="0057193B">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sidRPr="0057193B">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sidRPr="0057193B">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57193B">
        <w:rPr>
          <w:rFonts w:ascii="Verdana" w:eastAsia="Times New Roman" w:hAnsi="Verdana" w:cs="Arial"/>
          <w:lang w:val="es-ES_tradnl" w:eastAsia="x-none"/>
        </w:rPr>
        <w:t>y la mínima cuantía</w:t>
      </w:r>
      <w:r w:rsidRPr="0057193B" w:rsidDel="00A85D9F">
        <w:rPr>
          <w:rFonts w:ascii="Verdana" w:eastAsia="Times New Roman" w:hAnsi="Verdana" w:cs="Arial"/>
          <w:lang w:eastAsia="x-none"/>
        </w:rPr>
        <w:t xml:space="preserve"> </w:t>
      </w:r>
      <w:r w:rsidRPr="0057193B">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57193B">
        <w:rPr>
          <w:rFonts w:ascii="Verdana" w:eastAsia="Times New Roman" w:hAnsi="Verdana" w:cs="Arial"/>
          <w:vertAlign w:val="superscript"/>
          <w:lang w:val="en-GB" w:eastAsia="x-none"/>
        </w:rPr>
        <w:footnoteReference w:id="21"/>
      </w:r>
      <w:r w:rsidRPr="0057193B">
        <w:rPr>
          <w:rFonts w:ascii="Verdana" w:eastAsia="Times New Roman" w:hAnsi="Verdana" w:cs="Arial"/>
          <w:lang w:eastAsia="x-none"/>
        </w:rPr>
        <w:t xml:space="preserve"> y sistematizó las causales de contratación directa</w:t>
      </w:r>
      <w:r w:rsidRPr="0057193B">
        <w:rPr>
          <w:rFonts w:ascii="Verdana" w:eastAsia="Times New Roman" w:hAnsi="Verdana" w:cs="Arial"/>
          <w:vertAlign w:val="superscript"/>
          <w:lang w:val="en-GB" w:eastAsia="x-none"/>
        </w:rPr>
        <w:footnoteReference w:id="22"/>
      </w:r>
      <w:r w:rsidRPr="0057193B">
        <w:rPr>
          <w:rFonts w:ascii="Verdana" w:eastAsia="Times New Roman" w:hAnsi="Verdana" w:cs="Arial"/>
          <w:lang w:eastAsia="x-none"/>
        </w:rPr>
        <w:t xml:space="preserve">, </w:t>
      </w:r>
      <w:r w:rsidRPr="0057193B">
        <w:rPr>
          <w:rFonts w:ascii="Verdana" w:eastAsia="Calibri" w:hAnsi="Verdana" w:cs="Arial"/>
          <w:szCs w:val="24"/>
          <w:lang w:eastAsia="x-none"/>
        </w:rPr>
        <w:t xml:space="preserve">además lo es con la posterior creación de la modalidad de mínima cuantía establecida actualmente en el numeral 5 del </w:t>
      </w:r>
      <w:r w:rsidRPr="0057193B">
        <w:rPr>
          <w:rFonts w:ascii="Verdana" w:eastAsia="Calibri" w:hAnsi="Verdana" w:cs="Arial"/>
          <w:szCs w:val="24"/>
          <w:lang w:eastAsia="x-none"/>
        </w:rPr>
        <w:lastRenderedPageBreak/>
        <w:t>artículo 2 de la Ley 1150 de 2007, de acuerdo con las modificaciones realizadas por leyes posteriores.</w:t>
      </w:r>
    </w:p>
    <w:p w14:paraId="1906E4C5" w14:textId="77777777" w:rsidR="00493433" w:rsidRPr="0057193B" w:rsidRDefault="00493433" w:rsidP="00493433">
      <w:pPr>
        <w:spacing w:after="120" w:line="276" w:lineRule="auto"/>
        <w:ind w:firstLine="708"/>
        <w:jc w:val="both"/>
        <w:rPr>
          <w:rFonts w:ascii="Verdana" w:eastAsia="Times New Roman" w:hAnsi="Verdana" w:cs="Arial"/>
          <w:lang w:val="es-MX" w:eastAsia="x-none"/>
        </w:rPr>
      </w:pPr>
      <w:r w:rsidRPr="0057193B">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sidRPr="0057193B">
        <w:rPr>
          <w:rFonts w:ascii="Verdana" w:eastAsia="Times New Roman" w:hAnsi="Verdana" w:cs="Arial"/>
          <w:lang w:eastAsia="x-none"/>
        </w:rPr>
        <w:t>contratación directa</w:t>
      </w:r>
      <w:r>
        <w:rPr>
          <w:rFonts w:ascii="Verdana" w:eastAsia="Times New Roman" w:hAnsi="Verdana" w:cs="Arial"/>
          <w:lang w:eastAsia="en-GB"/>
        </w:rPr>
        <w:t>”</w:t>
      </w:r>
      <w:r w:rsidRPr="0057193B">
        <w:rPr>
          <w:rFonts w:ascii="Verdana" w:eastAsia="Times New Roman" w:hAnsi="Verdana" w:cs="Arial"/>
          <w:lang w:eastAsia="x-none"/>
        </w:rPr>
        <w:t xml:space="preserve">, precisando el Consejo de Estado –en el concepto citado– que, </w:t>
      </w:r>
      <w:r>
        <w:rPr>
          <w:rFonts w:ascii="Verdana" w:eastAsia="Times New Roman" w:hAnsi="Verdana" w:cs="Arial"/>
          <w:lang w:eastAsia="x-none"/>
        </w:rPr>
        <w:t>“</w:t>
      </w:r>
      <w:r w:rsidRPr="0057193B">
        <w:rPr>
          <w:rFonts w:ascii="Verdana" w:eastAsia="Times New Roman"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57193B">
        <w:rPr>
          <w:rFonts w:ascii="Verdana" w:eastAsia="Times New Roman" w:hAnsi="Verdana" w:cs="Arial"/>
          <w:vertAlign w:val="superscript"/>
          <w:lang w:val="en-GB" w:eastAsia="x-none"/>
        </w:rPr>
        <w:footnoteReference w:id="23"/>
      </w:r>
      <w:r w:rsidRPr="0057193B">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sidRPr="0057193B">
        <w:rPr>
          <w:rFonts w:ascii="Verdana" w:eastAsia="Times New Roman" w:hAnsi="Verdana" w:cs="Arial"/>
          <w:lang w:eastAsia="x-none"/>
        </w:rPr>
        <w:t xml:space="preserve">. </w:t>
      </w:r>
    </w:p>
    <w:p w14:paraId="38832ADE" w14:textId="77777777" w:rsidR="00493433" w:rsidRPr="0057193B" w:rsidRDefault="00493433" w:rsidP="00493433">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E</w:t>
      </w:r>
      <w:r w:rsidRPr="0057193B">
        <w:rPr>
          <w:rFonts w:ascii="Verdana" w:eastAsia="Times New Roman"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eastAsia="Times New Roman" w:hAnsi="Verdana" w:cs="Arial"/>
          <w:lang w:eastAsia="x-none"/>
        </w:rPr>
        <w:t>“</w:t>
      </w:r>
      <w:r w:rsidRPr="0057193B">
        <w:rPr>
          <w:rFonts w:ascii="Verdana" w:eastAsia="Times New Roman" w:hAnsi="Verdana" w:cs="Arial"/>
          <w:lang w:eastAsia="x-none"/>
        </w:rPr>
        <w:t>contratación directa</w:t>
      </w:r>
      <w:r>
        <w:rPr>
          <w:rFonts w:ascii="Verdana" w:eastAsia="Times New Roman" w:hAnsi="Verdana" w:cs="Arial"/>
          <w:lang w:eastAsia="x-none"/>
        </w:rPr>
        <w:t>”</w:t>
      </w:r>
      <w:r w:rsidRPr="0057193B">
        <w:rPr>
          <w:rFonts w:ascii="Verdana" w:eastAsia="Times New Roman" w:hAnsi="Verdana" w:cs="Arial"/>
          <w:lang w:eastAsia="x-none"/>
        </w:rPr>
        <w:t>, es que la convocatoria para inscribirse en forma previa se haga de manera pública, y que se permita la participación de una pluralidad de oferentes</w:t>
      </w:r>
      <w:r w:rsidRPr="0057193B">
        <w:rPr>
          <w:rFonts w:ascii="Verdana" w:eastAsia="Times New Roman" w:hAnsi="Verdana" w:cs="Arial"/>
          <w:vertAlign w:val="superscript"/>
          <w:lang w:eastAsia="x-none"/>
        </w:rPr>
        <w:footnoteReference w:id="24"/>
      </w:r>
      <w:r w:rsidRPr="0057193B">
        <w:rPr>
          <w:rFonts w:ascii="Verdana" w:eastAsia="Times New Roman" w:hAnsi="Verdana" w:cs="Arial"/>
          <w:lang w:eastAsia="x-none"/>
        </w:rPr>
        <w:t xml:space="preserve">. </w:t>
      </w:r>
    </w:p>
    <w:p w14:paraId="1B1048B3" w14:textId="77777777" w:rsidR="00493433" w:rsidRPr="0057193B" w:rsidRDefault="00493433" w:rsidP="00493433">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Pr>
          <w:rFonts w:ascii="Verdana" w:eastAsia="Times New Roman" w:hAnsi="Verdana" w:cs="Arial"/>
          <w:bCs/>
          <w:lang w:val="es-MX" w:eastAsia="es-CO"/>
        </w:rPr>
        <w:t>“</w:t>
      </w:r>
      <w:r w:rsidRPr="0057193B">
        <w:rPr>
          <w:rFonts w:ascii="Verdana" w:eastAsia="Times New Roman" w:hAnsi="Verdana" w:cs="Arial"/>
          <w:bCs/>
          <w:lang w:val="es-MX" w:eastAsia="es-CO"/>
        </w:rPr>
        <w:t>contratación directa</w:t>
      </w:r>
      <w:r>
        <w:rPr>
          <w:rFonts w:ascii="Verdana" w:eastAsia="Times New Roman" w:hAnsi="Verdana" w:cs="Arial"/>
          <w:bCs/>
          <w:lang w:val="es-MX" w:eastAsia="es-CO"/>
        </w:rPr>
        <w:t>”</w:t>
      </w:r>
      <w:r w:rsidRPr="0057193B">
        <w:rPr>
          <w:rFonts w:ascii="Verdana" w:eastAsia="Times New Roman" w:hAnsi="Verdana" w:cs="Arial"/>
          <w:bCs/>
          <w:lang w:val="es-MX" w:eastAsia="es-CO"/>
        </w:rPr>
        <w:t>.</w:t>
      </w:r>
    </w:p>
    <w:p w14:paraId="5AC1C61B" w14:textId="77777777" w:rsidR="00493433" w:rsidRPr="0057193B" w:rsidRDefault="00493433" w:rsidP="00493433">
      <w:pPr>
        <w:spacing w:after="12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lastRenderedPageBreak/>
        <w:t xml:space="preserve"> Así las cosas, ha de entenderse que, 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25"/>
      </w:r>
      <w:r w:rsidRPr="0057193B">
        <w:rPr>
          <w:rFonts w:ascii="Verdana" w:eastAsia="Times New Roman" w:hAnsi="Verdana" w:cs="Arial"/>
          <w:bCs/>
          <w:lang w:val="es-MX" w:eastAsia="x-none"/>
        </w:rPr>
        <w:t>.</w:t>
      </w:r>
      <w:r w:rsidRPr="0057193B">
        <w:rPr>
          <w:rFonts w:ascii="Verdana" w:eastAsia="Times New Roman" w:hAnsi="Verdana" w:cs="Arial"/>
          <w:vertAlign w:val="superscript"/>
          <w:lang w:eastAsia="x-none"/>
        </w:rPr>
        <w:t xml:space="preserve"> </w:t>
      </w:r>
    </w:p>
    <w:p w14:paraId="56D9D3CC" w14:textId="77777777" w:rsidR="00493433" w:rsidRPr="0057193B" w:rsidRDefault="00493433" w:rsidP="00493433">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57193B">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7D9F18B7" w14:textId="77777777" w:rsidR="00493433" w:rsidRPr="00447D82" w:rsidRDefault="00493433" w:rsidP="00493433">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26"/>
      </w:r>
      <w:r w:rsidRPr="0057193B">
        <w:rPr>
          <w:rFonts w:ascii="Verdana" w:eastAsia="Times New Roman" w:hAnsi="Verdana" w:cs="Arial"/>
          <w:bCs/>
          <w:lang w:val="es-MX" w:eastAsia="es-CO"/>
        </w:rPr>
        <w:t>. Además, también es posible que contratos celebrados previamente se continúen ejecutando con normalidad.</w:t>
      </w:r>
      <w:r>
        <w:rPr>
          <w:rFonts w:ascii="Verdana" w:eastAsia="Times New Roman" w:hAnsi="Verdana" w:cs="Arial"/>
          <w:bCs/>
          <w:lang w:val="es-MX" w:eastAsia="es-CO"/>
        </w:rPr>
        <w:t xml:space="preserve"> </w:t>
      </w:r>
    </w:p>
    <w:p w14:paraId="5B841BFD" w14:textId="77777777" w:rsidR="00493433" w:rsidRPr="0057193B" w:rsidRDefault="00493433" w:rsidP="00493433">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57193B">
        <w:rPr>
          <w:rFonts w:ascii="Verdana" w:eastAsia="Times New Roman" w:hAnsi="Verdana" w:cs="Arial"/>
          <w:bCs/>
          <w:lang w:val="es-MX" w:eastAsia="x-none"/>
        </w:rPr>
        <w:t>ii</w:t>
      </w:r>
      <w:proofErr w:type="spellEnd"/>
      <w:r w:rsidRPr="0057193B">
        <w:rPr>
          <w:rFonts w:ascii="Verdana" w:eastAsia="Times New Roman" w:hAnsi="Verdana" w:cs="Arial"/>
          <w:bCs/>
          <w:lang w:val="es-MX" w:eastAsia="x-none"/>
        </w:rPr>
        <w:t xml:space="preserve">) los contratos de crédito público; </w:t>
      </w:r>
      <w:proofErr w:type="spellStart"/>
      <w:r w:rsidRPr="0057193B">
        <w:rPr>
          <w:rFonts w:ascii="Verdana" w:eastAsia="Times New Roman" w:hAnsi="Verdana" w:cs="Arial"/>
          <w:bCs/>
          <w:lang w:val="es-MX" w:eastAsia="x-none"/>
        </w:rPr>
        <w:t>iii</w:t>
      </w:r>
      <w:proofErr w:type="spellEnd"/>
      <w:r w:rsidRPr="0057193B">
        <w:rPr>
          <w:rFonts w:ascii="Verdana" w:eastAsia="Times New Roman" w:hAnsi="Verdana" w:cs="Arial"/>
          <w:bCs/>
          <w:lang w:val="es-MX" w:eastAsia="x-none"/>
        </w:rPr>
        <w:t xml:space="preserve">) los requeridos para cubrir las emergencias educativas, sanitarias y desastres; </w:t>
      </w:r>
      <w:proofErr w:type="spellStart"/>
      <w:r w:rsidRPr="0057193B">
        <w:rPr>
          <w:rFonts w:ascii="Verdana" w:eastAsia="Times New Roman" w:hAnsi="Verdana" w:cs="Arial"/>
          <w:bCs/>
          <w:lang w:val="es-MX" w:eastAsia="x-none"/>
        </w:rPr>
        <w:t>iv</w:t>
      </w:r>
      <w:proofErr w:type="spellEnd"/>
      <w:r w:rsidRPr="0057193B">
        <w:rPr>
          <w:rFonts w:ascii="Verdana" w:eastAsia="Times New Roman" w:hAnsi="Verdana" w:cs="Arial"/>
          <w:bCs/>
          <w:lang w:val="es-MX" w:eastAsia="x-none"/>
        </w:rPr>
        <w:t xml:space="preserve">) los utilizados para la reconstrucción de vías, puentes, carreteras, infraestructura energética y de </w:t>
      </w:r>
      <w:r w:rsidRPr="0057193B">
        <w:rPr>
          <w:rFonts w:ascii="Verdana" w:eastAsia="Times New Roman" w:hAnsi="Verdana" w:cs="Arial"/>
          <w:bCs/>
          <w:lang w:val="es-MX" w:eastAsia="x-none"/>
        </w:rPr>
        <w:lastRenderedPageBreak/>
        <w:t>comunicaciones, en caso de que hayan sido objeto de atentados, acciones terroristas, desastres naturales o casos de fuerza mayor; y, v) los que deban realizar las entidades sanitarias y hospitalarias.</w:t>
      </w:r>
      <w:r w:rsidRPr="0057193B">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7632AE52" w14:textId="77777777" w:rsidR="00493433" w:rsidRPr="0057193B" w:rsidRDefault="00493433" w:rsidP="00493433">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En esta labor es importante tener en cuenta, como lo anotó la Corte Constitucional, en Sentencia C-11</w:t>
      </w:r>
      <w:r>
        <w:rPr>
          <w:rFonts w:ascii="Verdana" w:eastAsia="Times New Roman" w:hAnsi="Verdana" w:cs="Arial"/>
          <w:bCs/>
          <w:lang w:val="es-MX" w:eastAsia="x-none"/>
        </w:rPr>
        <w:t>53 de noviembre 11 de 2005 que “</w:t>
      </w:r>
      <w:r w:rsidRPr="0057193B">
        <w:rPr>
          <w:rFonts w:ascii="Verdana" w:eastAsia="Times New Roman" w:hAnsi="Verdana" w:cs="Arial"/>
          <w:bCs/>
          <w:lang w:val="es-MX" w:eastAsia="x-none"/>
        </w:rPr>
        <w:t>si bien la limitación garantiza la igualdad de condiciones, también es necesario que tal limitación que pretende la igualdad no termine yendo en detrimento de intereses públicos, cuya garantía está en cabeza del ejecutivo, como son los inmersos en las excepciones para</w:t>
      </w:r>
      <w:r>
        <w:rPr>
          <w:rFonts w:ascii="Verdana" w:eastAsia="Times New Roman" w:hAnsi="Verdana" w:cs="Arial"/>
          <w:bCs/>
          <w:lang w:val="es-MX" w:eastAsia="x-none"/>
        </w:rPr>
        <w:t xml:space="preserve"> la prohibición de contratación”</w:t>
      </w:r>
      <w:r w:rsidRPr="0057193B">
        <w:rPr>
          <w:rFonts w:ascii="Verdana" w:eastAsia="Calibri" w:hAnsi="Verdana" w:cs="Arial"/>
          <w:vertAlign w:val="superscript"/>
          <w:lang w:val="es-MX"/>
        </w:rPr>
        <w:footnoteReference w:id="27"/>
      </w:r>
      <w:r w:rsidRPr="0057193B">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115671D5" w14:textId="77777777" w:rsidR="00493433" w:rsidRPr="0057193B" w:rsidRDefault="00493433" w:rsidP="00493433">
      <w:pPr>
        <w:spacing w:after="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En relación con los destinatarios de la restricción analizada, el artículo 33 de la Ley 996 de 2005 los señala expresamente</w:t>
      </w:r>
      <w:r>
        <w:rPr>
          <w:rFonts w:ascii="Verdana" w:eastAsia="Times New Roman" w:hAnsi="Verdana" w:cs="Arial"/>
          <w:bCs/>
          <w:lang w:val="es-MX" w:eastAsia="x-none"/>
        </w:rPr>
        <w:t>, en el sentido de que son “todos los entes del Estado”</w:t>
      </w:r>
      <w:r w:rsidRPr="0057193B">
        <w:rPr>
          <w:rFonts w:ascii="Verdana" w:eastAsia="Times New Roman" w:hAnsi="Verdana" w:cs="Arial"/>
          <w:bCs/>
          <w:lang w:val="es-MX" w:eastAsia="x-none"/>
        </w:rPr>
        <w:t>, expresión que contempla a los diferentes organismos o entidades autorizadas por la ley para suscribir contratos.</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En efecto, tal como lo ha sostenido el</w:t>
      </w:r>
      <w:r>
        <w:rPr>
          <w:rFonts w:ascii="Verdana" w:eastAsia="Times New Roman" w:hAnsi="Verdana" w:cs="Arial"/>
          <w:bCs/>
          <w:lang w:val="es-MX" w:eastAsia="x-none"/>
        </w:rPr>
        <w:t xml:space="preserve"> Consejo de Estado, el vocablo “todos”</w:t>
      </w:r>
      <w:r w:rsidRPr="0057193B">
        <w:rPr>
          <w:rFonts w:ascii="Verdana" w:eastAsia="Times New Roman" w:hAnsi="Verdana" w:cs="Arial"/>
          <w:bCs/>
          <w:lang w:val="es-MX" w:eastAsia="x-none"/>
        </w:rPr>
        <w:t xml:space="preserve"> utilizado por el legislador comprende</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57193B">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3C59BD8A" w14:textId="77777777" w:rsidR="00493433" w:rsidRPr="0057193B" w:rsidRDefault="00493433" w:rsidP="00493433">
      <w:pPr>
        <w:spacing w:after="0" w:line="276" w:lineRule="auto"/>
        <w:jc w:val="both"/>
        <w:rPr>
          <w:rFonts w:ascii="Verdana" w:eastAsia="Times New Roman" w:hAnsi="Verdana" w:cs="Arial"/>
          <w:bCs/>
          <w:lang w:val="es-MX" w:eastAsia="x-none"/>
        </w:rPr>
      </w:pPr>
    </w:p>
    <w:p w14:paraId="59C923B5" w14:textId="77777777" w:rsidR="00493433" w:rsidRPr="0057193B" w:rsidRDefault="00493433" w:rsidP="00493433">
      <w:pPr>
        <w:spacing w:after="0" w:line="240" w:lineRule="auto"/>
        <w:ind w:left="708" w:right="709"/>
        <w:jc w:val="both"/>
        <w:rPr>
          <w:rFonts w:ascii="Verdana" w:eastAsia="Times New Roman" w:hAnsi="Verdana" w:cs="Arial"/>
          <w:bCs/>
          <w:sz w:val="21"/>
          <w:szCs w:val="21"/>
          <w:lang w:val="es-MX" w:eastAsia="es-CO"/>
        </w:rPr>
      </w:pPr>
      <w:r w:rsidRPr="002979E2">
        <w:rPr>
          <w:rFonts w:ascii="Verdana" w:eastAsia="Times New Roman" w:hAnsi="Verdana" w:cs="Arial"/>
          <w:bCs/>
          <w:sz w:val="20"/>
          <w:szCs w:val="20"/>
          <w:lang w:val="es-MX" w:eastAsia="x-none"/>
        </w:rPr>
        <w:t xml:space="preserve">El artículo 33 de la ley 996 de 2005, efectivamente se aplica incluso a las entidades estatales con régimen especial de contratación y que están </w:t>
      </w:r>
      <w:r w:rsidRPr="002979E2">
        <w:rPr>
          <w:rFonts w:ascii="Verdana" w:eastAsia="Times New Roman" w:hAnsi="Verdana" w:cs="Arial"/>
          <w:bCs/>
          <w:sz w:val="20"/>
          <w:szCs w:val="20"/>
          <w:lang w:val="es-MX" w:eastAsia="x-none"/>
        </w:rPr>
        <w:lastRenderedPageBreak/>
        <w:t>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57193B">
        <w:rPr>
          <w:rFonts w:ascii="Verdana" w:eastAsia="Times New Roman" w:hAnsi="Verdana" w:cs="Arial"/>
          <w:bCs/>
          <w:sz w:val="21"/>
          <w:szCs w:val="21"/>
          <w:vertAlign w:val="superscript"/>
          <w:lang w:val="es-MX" w:eastAsia="x-none"/>
        </w:rPr>
        <w:footnoteReference w:id="28"/>
      </w:r>
      <w:r w:rsidRPr="0057193B">
        <w:rPr>
          <w:rFonts w:ascii="Verdana" w:eastAsia="Times New Roman" w:hAnsi="Verdana" w:cs="Arial"/>
          <w:bCs/>
          <w:sz w:val="21"/>
          <w:szCs w:val="21"/>
          <w:lang w:val="es-MX" w:eastAsia="x-none"/>
        </w:rPr>
        <w:t>.</w:t>
      </w:r>
      <w:r w:rsidRPr="0057193B">
        <w:rPr>
          <w:rFonts w:ascii="Verdana" w:eastAsia="Times New Roman" w:hAnsi="Verdana" w:cs="Arial"/>
          <w:bCs/>
          <w:sz w:val="21"/>
          <w:szCs w:val="21"/>
          <w:lang w:val="es-MX" w:eastAsia="es-CO"/>
        </w:rPr>
        <w:t xml:space="preserve"> </w:t>
      </w:r>
    </w:p>
    <w:p w14:paraId="146BC906" w14:textId="77777777" w:rsidR="00493433" w:rsidRPr="0057193B" w:rsidRDefault="00493433" w:rsidP="00493433">
      <w:pPr>
        <w:spacing w:after="0" w:line="276" w:lineRule="auto"/>
        <w:ind w:firstLine="708"/>
        <w:jc w:val="both"/>
        <w:rPr>
          <w:rFonts w:ascii="Verdana" w:eastAsia="Times New Roman" w:hAnsi="Verdana" w:cs="Arial"/>
          <w:bCs/>
          <w:lang w:val="es-MX" w:eastAsia="es-CO"/>
        </w:rPr>
      </w:pPr>
    </w:p>
    <w:p w14:paraId="060B9EBC" w14:textId="77777777" w:rsidR="00493433" w:rsidRPr="0057193B" w:rsidRDefault="00493433" w:rsidP="00493433">
      <w:pPr>
        <w:spacing w:after="0" w:line="276" w:lineRule="auto"/>
        <w:ind w:firstLine="708"/>
        <w:jc w:val="both"/>
        <w:rPr>
          <w:rFonts w:ascii="Verdana" w:eastAsia="Calibri" w:hAnsi="Verdana" w:cs="Arial"/>
          <w:lang w:val="es-MX"/>
        </w:rPr>
      </w:pPr>
      <w:r w:rsidRPr="0057193B">
        <w:rPr>
          <w:rFonts w:ascii="Verdana" w:eastAsia="Times New Roman" w:hAnsi="Verdana" w:cs="Arial"/>
          <w:bCs/>
          <w:lang w:val="es-MX" w:eastAsia="x-none"/>
        </w:rPr>
        <w:t>De igual forma, en Concepto con radicado 1738 del 6 de abril de 2006, esa m</w:t>
      </w:r>
      <w:r>
        <w:rPr>
          <w:rFonts w:ascii="Verdana" w:eastAsia="Times New Roman" w:hAnsi="Verdana" w:cs="Arial"/>
          <w:bCs/>
          <w:lang w:val="es-MX" w:eastAsia="x-none"/>
        </w:rPr>
        <w:t>isma Corporación manifestó que “</w:t>
      </w:r>
      <w:r w:rsidRPr="0057193B">
        <w:rPr>
          <w:rFonts w:ascii="Verdana" w:eastAsia="Times New Roman" w:hAnsi="Verdana" w:cs="Arial"/>
          <w:bCs/>
          <w:lang w:val="es-MX" w:eastAsia="x-none"/>
        </w:rPr>
        <w:t xml:space="preserve">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w:t>
      </w:r>
      <w:r>
        <w:rPr>
          <w:rFonts w:ascii="Verdana" w:eastAsia="Times New Roman" w:hAnsi="Verdana" w:cs="Arial"/>
          <w:bCs/>
          <w:lang w:val="es-MX" w:eastAsia="x-none"/>
        </w:rPr>
        <w:t>ambas partes, por el Legislador”</w:t>
      </w:r>
      <w:r w:rsidRPr="0057193B">
        <w:rPr>
          <w:rFonts w:ascii="Verdana" w:eastAsia="Calibri" w:hAnsi="Verdana" w:cs="Arial"/>
          <w:sz w:val="24"/>
          <w:vertAlign w:val="superscript"/>
          <w:lang w:val="es-MX"/>
        </w:rPr>
        <w:footnoteReference w:id="29"/>
      </w:r>
      <w:r w:rsidRPr="0057193B">
        <w:rPr>
          <w:rFonts w:ascii="Verdana" w:eastAsia="Times New Roman" w:hAnsi="Verdana" w:cs="Arial"/>
          <w:bCs/>
          <w:lang w:val="es-MX" w:eastAsia="x-none"/>
        </w:rPr>
        <w:t>.</w:t>
      </w:r>
      <w:r w:rsidRPr="0057193B">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06D54494" w14:textId="77777777" w:rsidR="00493433" w:rsidRPr="0057193B" w:rsidRDefault="00493433" w:rsidP="00493433">
      <w:pPr>
        <w:spacing w:after="0" w:line="276" w:lineRule="auto"/>
        <w:jc w:val="both"/>
        <w:rPr>
          <w:rFonts w:ascii="Verdana" w:eastAsia="Calibri" w:hAnsi="Verdana" w:cs="Arial"/>
          <w:lang w:val="es-MX"/>
        </w:rPr>
      </w:pPr>
    </w:p>
    <w:p w14:paraId="3EB490AC" w14:textId="77777777" w:rsidR="00493433" w:rsidRPr="001924B7" w:rsidRDefault="00493433" w:rsidP="00493433">
      <w:pPr>
        <w:spacing w:after="0" w:line="240" w:lineRule="auto"/>
        <w:ind w:left="708" w:right="709"/>
        <w:jc w:val="both"/>
        <w:rPr>
          <w:rFonts w:ascii="Verdana" w:eastAsia="Calibri" w:hAnsi="Verdana" w:cs="Arial"/>
          <w:sz w:val="20"/>
          <w:szCs w:val="20"/>
          <w:lang w:val="es-MX"/>
        </w:rPr>
      </w:pPr>
      <w:r w:rsidRPr="001924B7">
        <w:rPr>
          <w:rFonts w:ascii="Verdana" w:eastAsia="Calibri"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301EE516" w14:textId="77777777" w:rsidR="00493433" w:rsidRPr="001924B7" w:rsidRDefault="00493433" w:rsidP="00493433">
      <w:pPr>
        <w:spacing w:after="0" w:line="240" w:lineRule="auto"/>
        <w:ind w:left="708" w:right="709"/>
        <w:jc w:val="both"/>
        <w:rPr>
          <w:rFonts w:ascii="Verdana" w:eastAsia="Calibri" w:hAnsi="Verdana" w:cs="Arial"/>
          <w:sz w:val="20"/>
          <w:szCs w:val="20"/>
          <w:lang w:val="es-MX"/>
        </w:rPr>
      </w:pPr>
    </w:p>
    <w:p w14:paraId="2C474539" w14:textId="77777777" w:rsidR="00493433" w:rsidRPr="001924B7" w:rsidRDefault="00493433" w:rsidP="00493433">
      <w:pPr>
        <w:spacing w:after="0" w:line="240" w:lineRule="auto"/>
        <w:ind w:left="708" w:right="709"/>
        <w:jc w:val="both"/>
        <w:rPr>
          <w:rFonts w:ascii="Verdana" w:eastAsia="Calibri" w:hAnsi="Verdana" w:cs="Arial"/>
          <w:sz w:val="20"/>
          <w:szCs w:val="20"/>
          <w:lang w:val="es-MX"/>
        </w:rPr>
      </w:pPr>
      <w:r w:rsidRPr="001924B7">
        <w:rPr>
          <w:rFonts w:ascii="Verdana" w:eastAsia="Times New Roman" w:hAnsi="Verdana" w:cs="Arial"/>
          <w:bCs/>
          <w:sz w:val="20"/>
          <w:szCs w:val="20"/>
          <w:lang w:val="es-MX" w:eastAsia="x-none"/>
        </w:rPr>
        <w:lastRenderedPageBreak/>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1924B7">
        <w:rPr>
          <w:rFonts w:ascii="Verdana" w:eastAsia="Calibri" w:hAnsi="Verdana" w:cs="Arial"/>
          <w:sz w:val="20"/>
          <w:szCs w:val="20"/>
          <w:vertAlign w:val="superscript"/>
          <w:lang w:val="es-MX"/>
        </w:rPr>
        <w:footnoteReference w:id="30"/>
      </w:r>
      <w:r w:rsidRPr="001924B7">
        <w:rPr>
          <w:rFonts w:ascii="Verdana" w:eastAsia="Times New Roman" w:hAnsi="Verdana" w:cs="Arial"/>
          <w:bCs/>
          <w:sz w:val="20"/>
          <w:szCs w:val="20"/>
          <w:lang w:val="es-MX" w:eastAsia="x-none"/>
        </w:rPr>
        <w:t>.</w:t>
      </w:r>
    </w:p>
    <w:p w14:paraId="45377971" w14:textId="77777777" w:rsidR="00493433" w:rsidRPr="0057193B" w:rsidRDefault="00493433" w:rsidP="00493433">
      <w:pPr>
        <w:spacing w:after="0" w:line="276" w:lineRule="auto"/>
        <w:jc w:val="both"/>
        <w:rPr>
          <w:rFonts w:ascii="Verdana" w:eastAsia="Calibri" w:hAnsi="Verdana" w:cs="Arial"/>
          <w:lang w:val="es-MX"/>
        </w:rPr>
      </w:pPr>
    </w:p>
    <w:p w14:paraId="7C3AC6CE" w14:textId="77777777" w:rsidR="00493433" w:rsidRPr="0057193B" w:rsidRDefault="00493433" w:rsidP="00493433">
      <w:pPr>
        <w:spacing w:after="120" w:line="276" w:lineRule="auto"/>
        <w:ind w:firstLine="709"/>
        <w:jc w:val="both"/>
        <w:rPr>
          <w:rFonts w:ascii="Verdana" w:eastAsia="Times New Roman" w:hAnsi="Verdana" w:cs="Arial"/>
          <w:lang w:eastAsia="es-CO"/>
        </w:rPr>
      </w:pPr>
      <w:r w:rsidRPr="0057193B">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57193B">
        <w:rPr>
          <w:rFonts w:ascii="Verdana" w:eastAsia="Times New Roman" w:hAnsi="Verdana" w:cs="Arial"/>
          <w:bCs/>
          <w:lang w:val="es-MX" w:eastAsia="x-none"/>
        </w:rPr>
        <w:t>establecimientos de crédito, las sociedades de servicios financieros y las entidades aseguradoras</w:t>
      </w:r>
      <w:r w:rsidRPr="0057193B">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w:t>
      </w:r>
      <w:r>
        <w:rPr>
          <w:rFonts w:ascii="Verdana" w:eastAsia="Calibri" w:hAnsi="Verdana" w:cs="Arial"/>
          <w:lang w:val="es-MX"/>
        </w:rPr>
        <w:t>“</w:t>
      </w:r>
      <w:r w:rsidRPr="0057193B">
        <w:rPr>
          <w:rFonts w:ascii="Verdana" w:eastAsia="Calibri" w:hAnsi="Verdana" w:cs="Arial"/>
          <w:lang w:val="es-MX"/>
        </w:rPr>
        <w:t>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lang w:val="es-MX"/>
        </w:rPr>
        <w:t>”</w:t>
      </w:r>
      <w:r w:rsidRPr="0057193B">
        <w:rPr>
          <w:rFonts w:ascii="Verdana" w:eastAsia="Calibri" w:hAnsi="Verdana" w:cs="Arial"/>
          <w:vertAlign w:val="superscript"/>
          <w:lang w:val="es-MX"/>
        </w:rPr>
        <w:footnoteReference w:id="31"/>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75E9B61B" w14:textId="77777777" w:rsidR="00493433" w:rsidRPr="00C44F26" w:rsidRDefault="00493433" w:rsidP="00493433">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lang w:eastAsia="es-CO"/>
        </w:rPr>
        <w:t>Sin perjuicio de estos pronunciamientos de la Sala de Consulta y Servicio Civil</w:t>
      </w:r>
      <w:r w:rsidRPr="0057193B">
        <w:rPr>
          <w:rFonts w:ascii="Verdana" w:eastAsia="Calibri" w:hAnsi="Verdana" w:cs="Arial"/>
          <w:lang w:val="es-MX"/>
        </w:rPr>
        <w:t xml:space="preserve">, como la ha señalado esa misma Corporación, la restricción prevista en la Ley 996 de 2005 </w:t>
      </w:r>
      <w:r w:rsidRPr="0057193B">
        <w:rPr>
          <w:rFonts w:ascii="Verdana" w:eastAsia="Times New Roman" w:hAnsi="Verdana" w:cs="Arial"/>
          <w:bCs/>
          <w:lang w:val="es-MX"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w:t>
      </w:r>
      <w:r>
        <w:rPr>
          <w:rFonts w:ascii="Verdana" w:eastAsia="Times New Roman" w:hAnsi="Verdana" w:cs="Arial"/>
          <w:bCs/>
          <w:lang w:val="es-MX" w:eastAsia="x-none"/>
        </w:rPr>
        <w:t xml:space="preserve"> o por la ejecución de un cierto tipo de recursos en sus contrataciones</w:t>
      </w:r>
      <w:r w:rsidRPr="0057193B">
        <w:rPr>
          <w:rFonts w:ascii="Verdana" w:eastAsia="Times New Roman" w:hAnsi="Verdana" w:cs="Arial"/>
          <w:bCs/>
          <w:lang w:val="es-MX" w:eastAsia="x-none"/>
        </w:rPr>
        <w:t>, pues, la posibilidad de que lo</w:t>
      </w:r>
      <w:r>
        <w:rPr>
          <w:rFonts w:ascii="Verdana" w:eastAsia="Times New Roman" w:hAnsi="Verdana" w:cs="Arial"/>
          <w:bCs/>
          <w:lang w:val="es-MX" w:eastAsia="x-none"/>
        </w:rPr>
        <w:t>s entes del Estado usen</w:t>
      </w:r>
      <w:r w:rsidRPr="0057193B">
        <w:rPr>
          <w:rFonts w:ascii="Verdana" w:eastAsia="Times New Roman" w:hAnsi="Verdana" w:cs="Arial"/>
          <w:bCs/>
          <w:lang w:val="es-MX" w:eastAsia="x-none"/>
        </w:rPr>
        <w:t xml:space="preserve"> la contratación con fines políticos, esto es, con la intención de influir a los electores y alterar la voluntad popular en las contiendas electorales, puede presentarse </w:t>
      </w:r>
      <w:r w:rsidRPr="0057193B">
        <w:rPr>
          <w:rFonts w:ascii="Verdana" w:eastAsia="Times New Roman" w:hAnsi="Verdana" w:cs="Arial"/>
          <w:bCs/>
          <w:lang w:val="es-MX" w:eastAsia="x-none"/>
        </w:rPr>
        <w:lastRenderedPageBreak/>
        <w:t>tanto en la contratación regulada por la Ley 80 de 1993 como en la regida por normas especiales</w:t>
      </w:r>
      <w:r>
        <w:rPr>
          <w:rFonts w:ascii="Verdana" w:eastAsia="Times New Roman" w:hAnsi="Verdana" w:cs="Arial"/>
          <w:bCs/>
          <w:lang w:eastAsia="x-none"/>
        </w:rPr>
        <w:t>.</w:t>
      </w:r>
    </w:p>
    <w:p w14:paraId="21FC31F5" w14:textId="77777777" w:rsidR="00493433" w:rsidRDefault="00493433" w:rsidP="00493433">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 xml:space="preserve">Teniendo en cuenta esta precisión, es necesario señalar que </w:t>
      </w:r>
      <w:r>
        <w:rPr>
          <w:rFonts w:ascii="Verdana" w:hAnsi="Verdana" w:cs="Arial"/>
          <w:lang w:val="es-ES"/>
        </w:rPr>
        <w:t>Ley 715 de 2001</w:t>
      </w:r>
      <w:r w:rsidRPr="009A35DF">
        <w:rPr>
          <w:rFonts w:ascii="Verdana" w:eastAsia="Times New Roman" w:hAnsi="Verdana" w:cs="Arial"/>
          <w:bCs/>
          <w:lang w:eastAsia="x-none"/>
        </w:rPr>
        <w:t xml:space="preserve"> no </w:t>
      </w:r>
      <w:r>
        <w:rPr>
          <w:rFonts w:ascii="Verdana" w:eastAsia="Times New Roman" w:hAnsi="Verdana" w:cs="Arial"/>
          <w:bCs/>
          <w:lang w:eastAsia="x-none"/>
        </w:rPr>
        <w:t xml:space="preserve">establece </w:t>
      </w:r>
      <w:r w:rsidRPr="009A35DF">
        <w:rPr>
          <w:rFonts w:ascii="Verdana" w:eastAsia="Times New Roman" w:hAnsi="Verdana" w:cs="Arial"/>
          <w:bCs/>
          <w:lang w:eastAsia="x-none"/>
        </w:rPr>
        <w:t xml:space="preserve">excepciones </w:t>
      </w:r>
      <w:r>
        <w:rPr>
          <w:rFonts w:ascii="Verdana" w:eastAsia="Times New Roman" w:hAnsi="Verdana" w:cs="Arial"/>
          <w:bCs/>
          <w:lang w:eastAsia="x-none"/>
        </w:rPr>
        <w:t xml:space="preserve">al </w:t>
      </w:r>
      <w:r>
        <w:rPr>
          <w:rFonts w:ascii="Verdana" w:eastAsia="Times New Roman" w:hAnsi="Verdana" w:cs="Arial"/>
          <w:bCs/>
          <w:lang w:val="es-ES" w:eastAsia="x-none"/>
        </w:rPr>
        <w:t xml:space="preserve">artículo 33 de la Ley 996 de 2005 </w:t>
      </w:r>
      <w:r w:rsidRPr="0057193B">
        <w:rPr>
          <w:rFonts w:ascii="Verdana" w:eastAsia="Times New Roman" w:hAnsi="Verdana" w:cs="Arial"/>
          <w:bCs/>
          <w:lang w:val="es-MX" w:eastAsia="x-none"/>
        </w:rPr>
        <w:t>que restringe la contratación directa en el periodo preelectoral a las elecciones presidenciales</w:t>
      </w:r>
      <w:r>
        <w:rPr>
          <w:rFonts w:ascii="Verdana" w:eastAsia="Times New Roman" w:hAnsi="Verdana" w:cs="Arial"/>
          <w:bCs/>
          <w:lang w:val="es-MX" w:eastAsia="x-none"/>
        </w:rPr>
        <w:t xml:space="preserve"> por la ejecución de un cierto tipo de recursos</w:t>
      </w:r>
      <w:r w:rsidRPr="0057193B">
        <w:rPr>
          <w:rFonts w:ascii="Verdana" w:eastAsia="Times New Roman" w:hAnsi="Verdana" w:cs="Arial"/>
          <w:bCs/>
          <w:lang w:val="es-MX" w:eastAsia="x-none"/>
        </w:rPr>
        <w:t xml:space="preserve">. </w:t>
      </w:r>
      <w:r>
        <w:rPr>
          <w:rFonts w:ascii="Verdana" w:eastAsia="Times New Roman" w:hAnsi="Verdana" w:cs="Arial"/>
          <w:bCs/>
          <w:lang w:val="es-MX" w:eastAsia="x-none"/>
        </w:rPr>
        <w:t xml:space="preserve">En otras palabras, esta normatividad especial para la ejecución de recursos </w:t>
      </w:r>
      <w:r w:rsidRPr="00987C44">
        <w:rPr>
          <w:rFonts w:ascii="Verdana" w:hAnsi="Verdana" w:cs="Arial"/>
          <w:lang w:val="es-ES"/>
        </w:rPr>
        <w:t>de la AESGPRI</w:t>
      </w:r>
      <w:r>
        <w:rPr>
          <w:rFonts w:ascii="Verdana" w:eastAsia="Times New Roman" w:hAnsi="Verdana" w:cs="Arial"/>
          <w:bCs/>
          <w:lang w:val="es-MX" w:eastAsia="x-none"/>
        </w:rPr>
        <w:t xml:space="preserve">, no implica que esté exonerada de la restricción, pues el legislador no hizo distinción del tipo de recursos al establecer la prohibición. </w:t>
      </w:r>
      <w:r w:rsidRPr="0057193B">
        <w:rPr>
          <w:rFonts w:ascii="Verdana" w:eastAsia="Times New Roman" w:hAnsi="Verdana" w:cs="Arial"/>
          <w:bCs/>
          <w:lang w:val="es-MX" w:eastAsia="x-none"/>
        </w:rPr>
        <w:t xml:space="preserve"> </w:t>
      </w:r>
    </w:p>
    <w:p w14:paraId="63153920" w14:textId="77777777" w:rsidR="00493433" w:rsidRDefault="00493433" w:rsidP="00493433">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 xml:space="preserve">Esto, sin perjuicio de </w:t>
      </w:r>
      <w:r w:rsidRPr="0057193B">
        <w:rPr>
          <w:rFonts w:ascii="Verdana" w:eastAsia="Times New Roman" w:hAnsi="Verdana" w:cs="Arial"/>
          <w:bCs/>
          <w:lang w:val="es-MX" w:eastAsia="x-none"/>
        </w:rPr>
        <w:t>las excepciones a la prohibición establecidas en el inciso</w:t>
      </w:r>
      <w:r>
        <w:rPr>
          <w:rFonts w:ascii="Verdana" w:eastAsia="Times New Roman" w:hAnsi="Verdana" w:cs="Arial"/>
          <w:bCs/>
          <w:lang w:val="es-MX" w:eastAsia="x-none"/>
        </w:rPr>
        <w:t xml:space="preserve"> segundo del mismo artículo 33, como son: </w:t>
      </w:r>
      <w:r w:rsidRPr="00333EDB">
        <w:rPr>
          <w:rFonts w:ascii="Verdana" w:eastAsia="Times New Roman" w:hAnsi="Verdana" w:cs="Arial"/>
          <w:bCs/>
          <w:lang w:val="es-MX" w:eastAsia="x-none"/>
        </w:rPr>
        <w:t xml:space="preserve">i) la defensa y seguridad del Estado; </w:t>
      </w:r>
      <w:proofErr w:type="spellStart"/>
      <w:r w:rsidRPr="00333EDB">
        <w:rPr>
          <w:rFonts w:ascii="Verdana" w:eastAsia="Times New Roman" w:hAnsi="Verdana" w:cs="Arial"/>
          <w:bCs/>
          <w:lang w:val="es-MX" w:eastAsia="x-none"/>
        </w:rPr>
        <w:t>ii</w:t>
      </w:r>
      <w:proofErr w:type="spellEnd"/>
      <w:r w:rsidRPr="00333EDB">
        <w:rPr>
          <w:rFonts w:ascii="Verdana" w:eastAsia="Times New Roman" w:hAnsi="Verdana" w:cs="Arial"/>
          <w:bCs/>
          <w:lang w:val="es-MX" w:eastAsia="x-none"/>
        </w:rPr>
        <w:t xml:space="preserve">) los contratos de crédito público; </w:t>
      </w:r>
      <w:proofErr w:type="spellStart"/>
      <w:r w:rsidRPr="00333EDB">
        <w:rPr>
          <w:rFonts w:ascii="Verdana" w:eastAsia="Times New Roman" w:hAnsi="Verdana" w:cs="Arial"/>
          <w:bCs/>
          <w:lang w:val="es-MX" w:eastAsia="x-none"/>
        </w:rPr>
        <w:t>iii</w:t>
      </w:r>
      <w:proofErr w:type="spellEnd"/>
      <w:r w:rsidRPr="00333EDB">
        <w:rPr>
          <w:rFonts w:ascii="Verdana" w:eastAsia="Times New Roman" w:hAnsi="Verdana" w:cs="Arial"/>
          <w:bCs/>
          <w:lang w:val="es-MX" w:eastAsia="x-none"/>
        </w:rPr>
        <w:t xml:space="preserve">) los requeridos para cubrir las emergencias educativas, sanitarias y desastres; </w:t>
      </w:r>
      <w:proofErr w:type="spellStart"/>
      <w:r w:rsidRPr="00333EDB">
        <w:rPr>
          <w:rFonts w:ascii="Verdana" w:eastAsia="Times New Roman" w:hAnsi="Verdana" w:cs="Arial"/>
          <w:bCs/>
          <w:lang w:val="es-MX" w:eastAsia="x-none"/>
        </w:rPr>
        <w:t>iv</w:t>
      </w:r>
      <w:proofErr w:type="spellEnd"/>
      <w:r w:rsidRPr="00333EDB">
        <w:rPr>
          <w:rFonts w:ascii="Verdana" w:eastAsia="Times New Roman" w:hAnsi="Verdana" w:cs="Arial"/>
          <w:bCs/>
          <w:lang w:val="es-MX" w:eastAsia="x-none"/>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w:t>
      </w:r>
    </w:p>
    <w:p w14:paraId="403D7883" w14:textId="77777777" w:rsidR="00493433" w:rsidRPr="002112C9" w:rsidRDefault="00493433" w:rsidP="00493433">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 xml:space="preserve">En este sentido, aplicará la restricción señalada respecto de todos los </w:t>
      </w:r>
      <w:r w:rsidRPr="003101A1">
        <w:rPr>
          <w:rFonts w:ascii="Verdana" w:eastAsia="Times New Roman" w:hAnsi="Verdana" w:cs="Arial"/>
          <w:bCs/>
          <w:i/>
          <w:iCs/>
          <w:lang w:val="es-MX" w:eastAsia="x-none"/>
        </w:rPr>
        <w:t xml:space="preserve">entes del </w:t>
      </w:r>
      <w:r>
        <w:rPr>
          <w:rFonts w:ascii="Verdana" w:eastAsia="Times New Roman" w:hAnsi="Verdana" w:cs="Arial"/>
          <w:bCs/>
          <w:i/>
          <w:iCs/>
          <w:lang w:val="es-MX" w:eastAsia="x-none"/>
        </w:rPr>
        <w:t>E</w:t>
      </w:r>
      <w:r w:rsidRPr="003101A1">
        <w:rPr>
          <w:rFonts w:ascii="Verdana" w:eastAsia="Times New Roman" w:hAnsi="Verdana" w:cs="Arial"/>
          <w:bCs/>
          <w:i/>
          <w:iCs/>
          <w:lang w:val="es-MX" w:eastAsia="x-none"/>
        </w:rPr>
        <w:t>stado,</w:t>
      </w:r>
      <w:r>
        <w:rPr>
          <w:rFonts w:ascii="Verdana" w:eastAsia="Times New Roman" w:hAnsi="Verdana" w:cs="Arial"/>
          <w:bCs/>
          <w:lang w:val="es-MX" w:eastAsia="x-none"/>
        </w:rPr>
        <w:t xml:space="preserve"> con independencia de la fuente de los recursos, por lo que e</w:t>
      </w:r>
      <w:r w:rsidRPr="00333EDB">
        <w:rPr>
          <w:rFonts w:ascii="Verdana" w:eastAsia="Times New Roman" w:hAnsi="Verdana" w:cs="Arial"/>
          <w:bCs/>
          <w:lang w:val="es-MX" w:eastAsia="x-none"/>
        </w:rPr>
        <w:t>s responsabilidad del respectivo</w:t>
      </w:r>
      <w:r>
        <w:rPr>
          <w:rFonts w:ascii="Verdana" w:eastAsia="Times New Roman" w:hAnsi="Verdana" w:cs="Arial"/>
          <w:bCs/>
          <w:lang w:val="es-MX" w:eastAsia="x-none"/>
        </w:rPr>
        <w:t xml:space="preserve"> ente</w:t>
      </w:r>
      <w:r w:rsidRPr="00333EDB">
        <w:rPr>
          <w:rFonts w:ascii="Verdana" w:eastAsia="Times New Roman" w:hAnsi="Verdana" w:cs="Arial"/>
          <w:bCs/>
          <w:lang w:val="es-MX" w:eastAsia="x-none"/>
        </w:rPr>
        <w:t xml:space="preserve"> examinar en cada caso la naturaleza de las actividades que adelanta y determinar si las mismas se enmarcan en alguna </w:t>
      </w:r>
      <w:r>
        <w:rPr>
          <w:rFonts w:ascii="Verdana" w:eastAsia="Times New Roman" w:hAnsi="Verdana" w:cs="Arial"/>
          <w:bCs/>
          <w:lang w:val="es-MX" w:eastAsia="x-none"/>
        </w:rPr>
        <w:t>de las mencionadas excepciones.</w:t>
      </w:r>
    </w:p>
    <w:p w14:paraId="1145050C" w14:textId="77777777" w:rsidR="00493433" w:rsidRPr="00C55BDE" w:rsidRDefault="00493433" w:rsidP="00493433">
      <w:pPr>
        <w:spacing w:after="120" w:line="276" w:lineRule="auto"/>
        <w:jc w:val="both"/>
        <w:rPr>
          <w:rFonts w:ascii="Verdana" w:hAnsi="Verdana" w:cs="Arial"/>
          <w:lang w:val="es-ES"/>
        </w:rPr>
      </w:pPr>
      <w:r>
        <w:rPr>
          <w:rFonts w:ascii="Verdana" w:hAnsi="Verdana" w:cs="Arial"/>
          <w:lang w:val="es-ES"/>
        </w:rPr>
        <w:t>v. Re</w:t>
      </w:r>
      <w:r w:rsidRPr="00C55BDE">
        <w:rPr>
          <w:rFonts w:ascii="Verdana" w:hAnsi="Verdana" w:cs="Arial"/>
          <w:lang w:val="es-ES"/>
        </w:rPr>
        <w:t xml:space="preserve">specto del alcance del parágrafo </w:t>
      </w:r>
      <w:r w:rsidRPr="00C55BDE">
        <w:rPr>
          <w:rFonts w:ascii="Verdana" w:hAnsi="Verdana" w:cs="Arial"/>
        </w:rPr>
        <w:t xml:space="preserve">del artículo 38 de la Ley 996 de 2005, esta prohibición dispone en primera medida que: “[l]os Gobernadores, Alcaldes Municipales y/o Distritales, Secretarios, Gerentes y directores de Entidades Descentralizadas del orden Municipal, Departamental o Distrital, dentro de los cuatro (4) meses anteriores a las elecciones, no podrán celebrar </w:t>
      </w:r>
      <w:r w:rsidRPr="00C55BDE">
        <w:rPr>
          <w:rFonts w:ascii="Verdana" w:hAnsi="Verdana" w:cs="Arial"/>
          <w:i/>
          <w:iCs/>
        </w:rPr>
        <w:t>convenios interadministrativos</w:t>
      </w:r>
      <w:r w:rsidRPr="00C55BDE">
        <w:rPr>
          <w:rFonts w:ascii="Verdana" w:hAnsi="Verdana" w:cs="Arial"/>
        </w:rPr>
        <w:t xml:space="preserve"> </w:t>
      </w:r>
      <w:r w:rsidRPr="00C55BDE">
        <w:rPr>
          <w:rFonts w:ascii="Verdana" w:hAnsi="Verdana" w:cs="Arial"/>
          <w:i/>
          <w:iCs/>
        </w:rPr>
        <w:t>para la ejecución de recursos públicos</w:t>
      </w:r>
      <w:r w:rsidRPr="00C55BDE">
        <w:rPr>
          <w:rFonts w:ascii="Verdana" w:hAnsi="Verdana" w:cs="Arial"/>
        </w:rPr>
        <w:t>”.</w:t>
      </w:r>
      <w:r w:rsidRPr="00C55BDE">
        <w:rPr>
          <w:rFonts w:ascii="Verdana" w:eastAsia="Times New Roman" w:hAnsi="Verdana" w:cs="Arial"/>
          <w:lang w:val="es-MX" w:eastAsia="x-none"/>
        </w:rPr>
        <w:t xml:space="preserve"> [Énfasis fuera del texto original]</w:t>
      </w:r>
    </w:p>
    <w:p w14:paraId="1FDF4D77" w14:textId="77777777" w:rsidR="00493433" w:rsidRPr="00C55BDE" w:rsidRDefault="00493433" w:rsidP="00493433">
      <w:pPr>
        <w:spacing w:after="120" w:line="276" w:lineRule="auto"/>
        <w:ind w:firstLine="709"/>
        <w:jc w:val="both"/>
        <w:rPr>
          <w:rFonts w:ascii="Verdana" w:hAnsi="Verdana" w:cs="Arial"/>
          <w:lang w:eastAsia="es-ES"/>
        </w:rPr>
      </w:pPr>
      <w:r w:rsidRPr="00C55BDE">
        <w:rPr>
          <w:rFonts w:ascii="Verdana" w:eastAsia="Times New Roman" w:hAnsi="Verdana" w:cs="Arial"/>
          <w:lang w:val="es-ES" w:eastAsia="es-ES"/>
        </w:rPr>
        <w:t xml:space="preserve">Para tales efectos, debe precisarse que </w:t>
      </w:r>
      <w:r w:rsidRPr="00C55BDE">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C55BDE">
        <w:rPr>
          <w:rFonts w:ascii="Verdana" w:hAnsi="Verdana" w:cs="Arial"/>
          <w:lang w:eastAsia="es-ES"/>
        </w:rPr>
        <w:t xml:space="preserve">independientemente de las normas que regulan la relación contractual. En este sentido, los convenios interadministrativos solo pueden ser celebrados entre </w:t>
      </w:r>
      <w:r w:rsidRPr="00C55BDE">
        <w:rPr>
          <w:rFonts w:ascii="Verdana" w:hAnsi="Verdana" w:cs="Arial"/>
          <w:lang w:eastAsia="es-ES"/>
        </w:rPr>
        <w:lastRenderedPageBreak/>
        <w:t>entidades públicas, pues a éstas corresponde la realización de los fines y tareas que el legislador les ha asignado</w:t>
      </w:r>
      <w:r w:rsidRPr="00C55BDE">
        <w:rPr>
          <w:rFonts w:ascii="Verdana" w:hAnsi="Verdana" w:cs="Arial"/>
          <w:vertAlign w:val="superscript"/>
          <w:lang w:eastAsia="es-ES"/>
        </w:rPr>
        <w:footnoteReference w:id="32"/>
      </w:r>
      <w:r w:rsidRPr="00C55BDE">
        <w:rPr>
          <w:rFonts w:ascii="Verdana" w:hAnsi="Verdana" w:cs="Arial"/>
          <w:lang w:eastAsia="es-ES"/>
        </w:rPr>
        <w:t>.</w:t>
      </w:r>
    </w:p>
    <w:p w14:paraId="54AB993C" w14:textId="77777777" w:rsidR="00493433" w:rsidRDefault="00493433" w:rsidP="00493433">
      <w:pPr>
        <w:spacing w:before="120" w:after="0" w:line="276" w:lineRule="auto"/>
        <w:ind w:firstLine="708"/>
        <w:jc w:val="both"/>
        <w:rPr>
          <w:rFonts w:ascii="Verdana" w:eastAsia="Times New Roman" w:hAnsi="Verdana" w:cs="Arial"/>
          <w:lang w:val="es-MX" w:eastAsia="es-CO"/>
        </w:rPr>
      </w:pPr>
      <w:r w:rsidRPr="00C55BDE">
        <w:rPr>
          <w:rFonts w:ascii="Verdana" w:eastAsia="Arial" w:hAnsi="Verdana" w:cs="Arial"/>
          <w:lang w:val="es-MX" w:eastAsia="es-ES" w:bidi="es-ES"/>
        </w:rPr>
        <w:t>De esta manera, se</w:t>
      </w:r>
      <w:r w:rsidRPr="00C55BDE">
        <w:rPr>
          <w:rFonts w:ascii="Verdana" w:eastAsia="Times New Roman" w:hAnsi="Verdana" w:cs="Arial"/>
          <w:lang w:eastAsia="es-CO"/>
        </w:rPr>
        <w:t xml:space="preserve"> observa entonces que </w:t>
      </w:r>
      <w:r w:rsidRPr="00C55BDE">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C55BDE">
        <w:rPr>
          <w:rFonts w:ascii="Verdana" w:eastAsia="Times New Roman" w:hAnsi="Verdana" w:cs="Arial"/>
          <w:i/>
          <w:iCs/>
          <w:lang w:val="es-MX" w:eastAsia="es-CO"/>
        </w:rPr>
        <w:t>convenios interadministrativos</w:t>
      </w:r>
      <w:r w:rsidRPr="00C55BDE">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C55BDE">
        <w:rPr>
          <w:rFonts w:ascii="Verdana" w:eastAsia="Times New Roman" w:hAnsi="Verdana" w:cs="Arial"/>
          <w:i/>
          <w:lang w:val="es-MX" w:eastAsia="es-CO"/>
        </w:rPr>
        <w:t>ibidem</w:t>
      </w:r>
      <w:r w:rsidRPr="00C55BDE">
        <w:rPr>
          <w:rFonts w:ascii="Verdana" w:eastAsia="Times New Roman" w:hAnsi="Verdana" w:cs="Arial"/>
          <w:lang w:val="es-MX" w:eastAsia="es-CO"/>
        </w:rPr>
        <w:t xml:space="preserve">, no podrá celebrar tales </w:t>
      </w:r>
      <w:r w:rsidRPr="00C55BDE">
        <w:rPr>
          <w:rFonts w:ascii="Verdana" w:eastAsia="Times New Roman" w:hAnsi="Verdana" w:cs="Arial"/>
          <w:i/>
          <w:iCs/>
          <w:lang w:val="es-MX" w:eastAsia="es-CO"/>
        </w:rPr>
        <w:t>convenios</w:t>
      </w:r>
      <w:r w:rsidRPr="00C55BDE">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562265D1" w14:textId="77777777" w:rsidR="00493433" w:rsidRDefault="00493433" w:rsidP="00493433">
      <w:pPr>
        <w:spacing w:before="120" w:after="120" w:line="276" w:lineRule="auto"/>
        <w:ind w:firstLine="709"/>
        <w:jc w:val="both"/>
        <w:rPr>
          <w:rFonts w:ascii="Verdana" w:eastAsia="Arial" w:hAnsi="Verdana" w:cs="Arial"/>
          <w:lang w:val="es-ES"/>
        </w:rPr>
      </w:pPr>
      <w:r>
        <w:rPr>
          <w:rFonts w:ascii="Verdana" w:eastAsia="Arial" w:hAnsi="Verdana" w:cs="Arial"/>
          <w:lang w:val="es-ES"/>
        </w:rPr>
        <w:t xml:space="preserve">En complemento con lo anterior, es necesario tener en cuenta que, los </w:t>
      </w:r>
      <w:r>
        <w:rPr>
          <w:rFonts w:ascii="Verdana" w:eastAsia="Arial" w:hAnsi="Verdana" w:cs="Arial"/>
          <w:i/>
          <w:iCs/>
          <w:lang w:val="es-ES"/>
        </w:rPr>
        <w:t>convenios interadministrativos</w:t>
      </w:r>
      <w:r>
        <w:rPr>
          <w:rFonts w:ascii="Verdana" w:eastAsia="Arial" w:hAnsi="Verdana" w:cs="Arial"/>
          <w:lang w:val="es-ES"/>
        </w:rPr>
        <w:t xml:space="preserve"> se definen por la </w:t>
      </w:r>
      <w:r>
        <w:rPr>
          <w:rFonts w:ascii="Verdana" w:eastAsia="Arial" w:hAnsi="Verdana" w:cs="Arial"/>
          <w:u w:val="single"/>
          <w:lang w:val="es-ES"/>
        </w:rPr>
        <w:t>naturaleza de las partes</w:t>
      </w:r>
      <w:r>
        <w:rPr>
          <w:rFonts w:ascii="Verdana" w:eastAsia="Arial" w:hAnsi="Verdana" w:cs="Arial"/>
          <w:lang w:val="es-ES"/>
        </w:rPr>
        <w:t xml:space="preserve">, de manera que están determinados por un criterio orgánico, en el sentido de que lo serán aquellos celebrados entre </w:t>
      </w:r>
      <w:r>
        <w:rPr>
          <w:rFonts w:ascii="Verdana" w:eastAsia="Arial" w:hAnsi="Verdana" w:cs="Arial"/>
          <w:i/>
          <w:iCs/>
          <w:lang w:val="es-ES"/>
        </w:rPr>
        <w:t>entidades de derecho público</w:t>
      </w:r>
      <w:r>
        <w:rPr>
          <w:rFonts w:ascii="Verdana" w:eastAsia="Arial" w:hAnsi="Verdana" w:cs="Arial"/>
          <w:lang w:val="es-ES"/>
        </w:rPr>
        <w:t xml:space="preserve">. En este contexto, cuando </w:t>
      </w:r>
      <w:r>
        <w:rPr>
          <w:rFonts w:ascii="Verdana" w:eastAsia="Calibri" w:hAnsi="Verdana" w:cs="Arial"/>
          <w:bCs/>
          <w:color w:val="000000" w:themeColor="text1"/>
          <w:lang w:val="es-ES_tradnl"/>
        </w:rPr>
        <w:t xml:space="preserve">gobernadores, alcaldes, secretarios, gerentes y directores de Entidades Estatales del orden municipal, departamental o distrital </w:t>
      </w:r>
      <w:r>
        <w:rPr>
          <w:rFonts w:ascii="Verdana" w:eastAsia="Arial" w:hAnsi="Verdana" w:cs="Arial"/>
          <w:lang w:val="es-ES"/>
        </w:rPr>
        <w:t xml:space="preserve">celebren convenios </w:t>
      </w:r>
      <w:r>
        <w:rPr>
          <w:rFonts w:ascii="Verdana" w:eastAsia="Times New Roman" w:hAnsi="Verdana" w:cs="Arial"/>
          <w:lang w:eastAsia="es-ES_tradnl"/>
        </w:rPr>
        <w:t xml:space="preserve">con </w:t>
      </w:r>
      <w:r>
        <w:rPr>
          <w:rFonts w:ascii="Verdana" w:eastAsia="Times New Roman" w:hAnsi="Verdana" w:cs="Arial"/>
          <w:bCs/>
          <w:color w:val="000000" w:themeColor="text1"/>
          <w:lang w:eastAsia="es-CO"/>
        </w:rPr>
        <w:t>cabildos indígenas, autoridades tradicionales indígenas y las asociaciones de cabildos indígenas y/o autoridades tradicionales indígenas</w:t>
      </w:r>
      <w:r>
        <w:rPr>
          <w:rFonts w:ascii="Verdana" w:eastAsia="Times New Roman" w:hAnsi="Verdana" w:cs="Arial"/>
          <w:lang w:eastAsia="es-ES_tradnl"/>
        </w:rPr>
        <w:t xml:space="preserve">, se entenderán que son interadministrativos al catalogarlos la ley como entidades públicas. En estos casos </w:t>
      </w:r>
      <w:r>
        <w:rPr>
          <w:rFonts w:ascii="Verdana" w:eastAsia="Arial" w:hAnsi="Verdana" w:cs="Arial"/>
          <w:lang w:val="es-ES"/>
        </w:rPr>
        <w:t>aplicará la restricción del artículo 38 de la Ley 996 de 2005.</w:t>
      </w:r>
    </w:p>
    <w:p w14:paraId="00A8E6A9" w14:textId="77777777" w:rsidR="00493433" w:rsidRPr="00C55BDE" w:rsidRDefault="00493433" w:rsidP="00493433">
      <w:pPr>
        <w:spacing w:before="120" w:after="0" w:line="276" w:lineRule="auto"/>
        <w:ind w:firstLine="708"/>
        <w:jc w:val="both"/>
        <w:rPr>
          <w:rFonts w:ascii="Verdana" w:eastAsia="Times New Roman" w:hAnsi="Verdana" w:cs="Arial"/>
          <w:lang w:val="es-MX" w:eastAsia="es-CO"/>
        </w:rPr>
      </w:pPr>
      <w:r>
        <w:rPr>
          <w:rFonts w:ascii="Verdana" w:eastAsia="Times New Roman" w:hAnsi="Verdana" w:cs="Arial"/>
          <w:lang w:eastAsia="es-CO"/>
        </w:rPr>
        <w:t>En este contexto, e</w:t>
      </w:r>
      <w:r w:rsidRPr="00C55BDE">
        <w:rPr>
          <w:rFonts w:ascii="Verdana" w:eastAsia="Times New Roman" w:hAnsi="Verdana" w:cs="Arial"/>
          <w:lang w:eastAsia="es-CO"/>
        </w:rPr>
        <w:t xml:space="preserve">s importante tener en cuenta que el ámbito de aplicación de la restricción prevista en el parágrafo del artículo 38 de la Ley 996 de 2005 solo se extiende a los </w:t>
      </w:r>
      <w:r w:rsidRPr="00C55BDE">
        <w:rPr>
          <w:rFonts w:ascii="Verdana" w:eastAsia="Times New Roman" w:hAnsi="Verdana" w:cs="Arial"/>
          <w:i/>
          <w:iCs/>
          <w:lang w:eastAsia="es-CO"/>
        </w:rPr>
        <w:t>convenios interadministrativos</w:t>
      </w:r>
      <w:r w:rsidRPr="00C55BDE">
        <w:rPr>
          <w:rFonts w:ascii="Verdana" w:eastAsia="Times New Roman" w:hAnsi="Verdana" w:cs="Arial"/>
          <w:lang w:eastAsia="es-CO"/>
        </w:rPr>
        <w:t xml:space="preserve"> en los que se contemple la </w:t>
      </w:r>
      <w:r w:rsidRPr="00C55BDE">
        <w:rPr>
          <w:rFonts w:ascii="Verdana" w:eastAsia="Times New Roman" w:hAnsi="Verdana" w:cs="Arial"/>
          <w:i/>
          <w:iCs/>
          <w:lang w:eastAsia="es-CO"/>
        </w:rPr>
        <w:t>ejecución de recursos públicos</w:t>
      </w:r>
      <w:r w:rsidRPr="00C55BDE">
        <w:rPr>
          <w:rFonts w:ascii="Verdana" w:eastAsia="Times New Roman" w:hAnsi="Verdana" w:cs="Arial"/>
          <w:lang w:eastAsia="es-CO"/>
        </w:rPr>
        <w:t xml:space="preserve">. Esto significa que la prohibición no resulta aplicable a </w:t>
      </w:r>
      <w:r w:rsidRPr="00C55BDE">
        <w:rPr>
          <w:rFonts w:ascii="Verdana" w:eastAsia="Times New Roman" w:hAnsi="Verdana" w:cs="Arial"/>
          <w:i/>
          <w:iCs/>
          <w:lang w:eastAsia="es-CO"/>
        </w:rPr>
        <w:t>convenios interadministrativos a título gratuito,</w:t>
      </w:r>
      <w:r w:rsidRPr="00C55BDE">
        <w:rPr>
          <w:rFonts w:ascii="Verdana" w:eastAsia="Times New Roman" w:hAnsi="Verdana" w:cs="Arial"/>
          <w:lang w:eastAsia="es-CO"/>
        </w:rPr>
        <w:t xml:space="preserve"> los cuales pueden celebrarse válidamente durante la vigencia de la mencionada restricción. </w:t>
      </w:r>
    </w:p>
    <w:p w14:paraId="6AA58BCD" w14:textId="77777777" w:rsidR="00493433" w:rsidRPr="00C55BDE" w:rsidRDefault="00493433" w:rsidP="00493433">
      <w:pPr>
        <w:spacing w:before="120" w:after="0" w:line="276" w:lineRule="auto"/>
        <w:ind w:firstLine="708"/>
        <w:jc w:val="both"/>
        <w:rPr>
          <w:rFonts w:ascii="Verdana" w:eastAsia="Times New Roman" w:hAnsi="Verdana" w:cs="Arial"/>
          <w:lang w:eastAsia="es-CO"/>
        </w:rPr>
      </w:pPr>
      <w:r w:rsidRPr="00C55BDE">
        <w:rPr>
          <w:rFonts w:ascii="Verdana" w:eastAsia="Times New Roman" w:hAnsi="Verdana" w:cs="Arial"/>
          <w:lang w:eastAsia="es-CO"/>
        </w:rPr>
        <w:t xml:space="preserve">En este punto, vale la pena destacar que </w:t>
      </w:r>
      <w:r w:rsidRPr="00C55BDE">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C55BDE">
        <w:rPr>
          <w:rFonts w:ascii="Verdana" w:hAnsi="Verdana" w:cs="Arial"/>
        </w:rPr>
        <w:t>numeral 16.2 de la Circular Externa Única de 2022 expedida por la Agencia Nacional de Contratación Pública -</w:t>
      </w:r>
      <w:r w:rsidRPr="00C55BDE">
        <w:rPr>
          <w:rFonts w:ascii="Verdana" w:hAnsi="Verdana" w:cs="Arial"/>
        </w:rPr>
        <w:lastRenderedPageBreak/>
        <w:t>Colombia Compra Eficiente-, concretamente, respecto de los siguientes apartes normativos</w:t>
      </w:r>
      <w:r w:rsidRPr="00C55BDE">
        <w:rPr>
          <w:rFonts w:ascii="Verdana" w:hAnsi="Verdana" w:cs="Arial"/>
          <w:vertAlign w:val="superscript"/>
        </w:rPr>
        <w:footnoteReference w:id="33"/>
      </w:r>
      <w:r w:rsidRPr="00C55BDE">
        <w:rPr>
          <w:rFonts w:ascii="Verdana" w:hAnsi="Verdana" w:cs="Arial"/>
        </w:rPr>
        <w:t xml:space="preserve">: </w:t>
      </w:r>
    </w:p>
    <w:p w14:paraId="6BF13055" w14:textId="77777777" w:rsidR="00493433" w:rsidRPr="00C55BDE" w:rsidRDefault="00493433" w:rsidP="00493433">
      <w:pPr>
        <w:spacing w:after="0" w:line="276" w:lineRule="auto"/>
        <w:ind w:firstLine="709"/>
        <w:jc w:val="both"/>
        <w:rPr>
          <w:rFonts w:ascii="Verdana" w:hAnsi="Verdana" w:cs="Arial"/>
        </w:rPr>
      </w:pPr>
    </w:p>
    <w:p w14:paraId="1ED811A9" w14:textId="77777777" w:rsidR="00493433" w:rsidRPr="00C55BDE" w:rsidRDefault="00493433" w:rsidP="00493433">
      <w:pPr>
        <w:spacing w:after="0" w:line="240" w:lineRule="auto"/>
        <w:ind w:left="709" w:right="709"/>
        <w:jc w:val="both"/>
        <w:rPr>
          <w:rFonts w:ascii="Verdana" w:hAnsi="Verdana" w:cs="Arial"/>
          <w:sz w:val="20"/>
          <w:szCs w:val="20"/>
        </w:rPr>
      </w:pPr>
      <w:r>
        <w:rPr>
          <w:rFonts w:ascii="Verdana" w:hAnsi="Verdana" w:cs="Arial"/>
          <w:sz w:val="20"/>
          <w:szCs w:val="20"/>
          <w:lang w:val="es-MX"/>
        </w:rPr>
        <w:t>“</w:t>
      </w:r>
      <w:r w:rsidRPr="00C55BDE">
        <w:rPr>
          <w:rFonts w:ascii="Verdana" w:hAnsi="Verdana" w:cs="Arial"/>
          <w:sz w:val="20"/>
          <w:szCs w:val="20"/>
          <w:lang w:val="es-MX"/>
        </w:rPr>
        <w:t>i)</w:t>
      </w:r>
      <w:r w:rsidRPr="00C55BDE">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622A3FB5" w14:textId="77777777" w:rsidR="00493433" w:rsidRPr="00C55BDE" w:rsidRDefault="00493433" w:rsidP="00493433">
      <w:pPr>
        <w:spacing w:after="0" w:line="240" w:lineRule="auto"/>
        <w:ind w:left="709" w:right="709"/>
        <w:jc w:val="both"/>
        <w:rPr>
          <w:rFonts w:ascii="Verdana" w:hAnsi="Verdana" w:cs="Arial"/>
          <w:sz w:val="20"/>
          <w:szCs w:val="20"/>
        </w:rPr>
      </w:pPr>
    </w:p>
    <w:p w14:paraId="09DAEF41" w14:textId="77777777" w:rsidR="00493433" w:rsidRPr="00C55BDE" w:rsidRDefault="00493433" w:rsidP="00493433">
      <w:pPr>
        <w:spacing w:after="0" w:line="240" w:lineRule="auto"/>
        <w:ind w:left="709" w:right="709"/>
        <w:jc w:val="both"/>
        <w:rPr>
          <w:rFonts w:ascii="Verdana" w:hAnsi="Verdana" w:cs="Arial"/>
          <w:sz w:val="20"/>
          <w:szCs w:val="20"/>
        </w:rPr>
      </w:pPr>
      <w:proofErr w:type="spellStart"/>
      <w:r w:rsidRPr="00C55BDE">
        <w:rPr>
          <w:rFonts w:ascii="Verdana" w:hAnsi="Verdana" w:cs="Arial"/>
          <w:sz w:val="20"/>
          <w:szCs w:val="20"/>
        </w:rPr>
        <w:t>ii</w:t>
      </w:r>
      <w:proofErr w:type="spellEnd"/>
      <w:r w:rsidRPr="00C55BDE">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2F1944B1" w14:textId="77777777" w:rsidR="00493433" w:rsidRPr="00C55BDE" w:rsidRDefault="00493433" w:rsidP="00493433">
      <w:pPr>
        <w:spacing w:after="0" w:line="276" w:lineRule="auto"/>
        <w:ind w:left="709" w:right="709"/>
        <w:jc w:val="both"/>
        <w:rPr>
          <w:rFonts w:ascii="Verdana" w:hAnsi="Verdana" w:cs="Arial"/>
        </w:rPr>
      </w:pPr>
    </w:p>
    <w:p w14:paraId="776CF6FD" w14:textId="77777777" w:rsidR="00493433" w:rsidRPr="00C55BDE" w:rsidRDefault="00493433" w:rsidP="00493433">
      <w:pPr>
        <w:spacing w:after="120" w:line="276" w:lineRule="auto"/>
        <w:ind w:firstLine="709"/>
        <w:jc w:val="both"/>
        <w:rPr>
          <w:rFonts w:ascii="Verdana" w:eastAsia="Arial" w:hAnsi="Verdana" w:cs="Arial"/>
          <w:i/>
          <w:iCs/>
          <w:lang w:eastAsia="es-ES" w:bidi="es-ES"/>
        </w:rPr>
      </w:pPr>
      <w:r w:rsidRPr="00C55BDE">
        <w:rPr>
          <w:rFonts w:ascii="Verdana" w:eastAsia="Arial" w:hAnsi="Verdana" w:cs="Arial"/>
          <w:lang w:val="es-MX" w:eastAsia="es-ES" w:bidi="es-ES"/>
        </w:rPr>
        <w:t xml:space="preserve">De conformidad con los argumentos de dicha providencia, se parte de la distinción entre los conceptos </w:t>
      </w:r>
      <w:r w:rsidRPr="00C55BDE">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C55BDE">
        <w:rPr>
          <w:rFonts w:ascii="Verdana" w:hAnsi="Verdana"/>
          <w:sz w:val="24"/>
          <w:szCs w:val="24"/>
          <w:lang w:eastAsia="es-CO"/>
        </w:rPr>
        <w:t xml:space="preserve"> </w:t>
      </w:r>
      <w:r w:rsidRPr="00C55BDE">
        <w:rPr>
          <w:rFonts w:ascii="Verdana" w:eastAsia="Arial" w:hAnsi="Verdana" w:cs="Arial"/>
          <w:lang w:eastAsia="es-ES" w:bidi="es-ES"/>
        </w:rPr>
        <w:t xml:space="preserve">En este sentido, en relación con el parágrafo del artículo 38 de la Ley 996 de 2005 concluyó que </w:t>
      </w:r>
      <w:r w:rsidRPr="00C55BDE">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C55BDE">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C55BDE">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2A4C4D0F" w14:textId="77777777" w:rsidR="00493433" w:rsidRPr="00C55BDE" w:rsidRDefault="00493433" w:rsidP="00493433">
      <w:pPr>
        <w:spacing w:after="120" w:line="276" w:lineRule="auto"/>
        <w:ind w:firstLine="709"/>
        <w:jc w:val="both"/>
        <w:rPr>
          <w:rFonts w:ascii="Verdana" w:eastAsia="Arial" w:hAnsi="Verdana" w:cs="Arial"/>
          <w:lang w:eastAsia="es-ES" w:bidi="es-ES"/>
        </w:rPr>
      </w:pPr>
      <w:r w:rsidRPr="00C55BDE">
        <w:rPr>
          <w:rFonts w:ascii="Verdana" w:eastAsia="Arial" w:hAnsi="Verdana" w:cs="Arial"/>
          <w:lang w:eastAsia="es-ES" w:bidi="es-ES"/>
        </w:rPr>
        <w:lastRenderedPageBreak/>
        <w:t>De igual manera, mediante auto del 6 de noviembre de 2025, el Consejo de Estado, Subsección A de la Sección Tercera, decretó</w:t>
      </w:r>
      <w:r w:rsidRPr="00C55BDE">
        <w:rPr>
          <w:rFonts w:ascii="Verdana" w:eastAsia="Arial" w:hAnsi="Verdana" w:cs="Arial"/>
          <w:b/>
          <w:bCs/>
          <w:lang w:eastAsia="es-ES" w:bidi="es-ES"/>
        </w:rPr>
        <w:t xml:space="preserve"> </w:t>
      </w:r>
      <w:r w:rsidRPr="00C55BDE">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C55BDE">
        <w:rPr>
          <w:rFonts w:ascii="Verdana" w:eastAsia="Arial" w:hAnsi="Verdana" w:cs="Arial"/>
          <w:vertAlign w:val="superscript"/>
          <w:lang w:eastAsia="es-ES" w:bidi="es-ES"/>
        </w:rPr>
        <w:footnoteReference w:id="34"/>
      </w:r>
      <w:r w:rsidRPr="00C55BDE">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C55BDE">
        <w:rPr>
          <w:rFonts w:ascii="Verdana" w:eastAsia="Arial" w:hAnsi="Verdana" w:cs="Arial"/>
          <w:lang w:eastAsia="es-ES" w:bidi="es-ES"/>
        </w:rPr>
        <w:t>legis</w:t>
      </w:r>
      <w:proofErr w:type="spellEnd"/>
      <w:r w:rsidRPr="00C55BDE">
        <w:rPr>
          <w:rFonts w:ascii="Verdana" w:eastAsia="Arial" w:hAnsi="Verdana" w:cs="Arial"/>
          <w:lang w:eastAsia="es-ES" w:bidi="es-ES"/>
        </w:rPr>
        <w:t xml:space="preserve"> o iuris y la interpretación extensiva y reiteró los argumentos sobre la diferencia entre contratos y convenios interadministrativos. </w:t>
      </w:r>
    </w:p>
    <w:p w14:paraId="4C3509BF" w14:textId="77777777" w:rsidR="00493433" w:rsidRPr="00C55BDE" w:rsidRDefault="00493433" w:rsidP="00493433">
      <w:pPr>
        <w:spacing w:after="120" w:line="276" w:lineRule="auto"/>
        <w:ind w:firstLine="709"/>
        <w:jc w:val="both"/>
        <w:rPr>
          <w:rFonts w:ascii="Verdana" w:eastAsia="Times New Roman" w:hAnsi="Verdana" w:cs="Times New Roman"/>
          <w:lang w:eastAsia="es-ES"/>
        </w:rPr>
      </w:pPr>
      <w:r w:rsidRPr="00C55BDE">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C55BDE">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29C3C14D" w14:textId="77777777" w:rsidR="00493433" w:rsidRPr="00C55BDE" w:rsidRDefault="00493433" w:rsidP="00493433">
      <w:pPr>
        <w:spacing w:after="120" w:line="276" w:lineRule="auto"/>
        <w:ind w:firstLine="709"/>
        <w:jc w:val="both"/>
        <w:rPr>
          <w:rFonts w:ascii="Verdana" w:eastAsia="Times New Roman" w:hAnsi="Verdana" w:cs="Times New Roman"/>
          <w:lang w:eastAsia="es-ES"/>
        </w:rPr>
      </w:pPr>
      <w:r w:rsidRPr="00C55BDE">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C55BDE">
        <w:rPr>
          <w:rStyle w:val="Refdenotaalpie"/>
          <w:rFonts w:ascii="Verdana" w:eastAsia="Times New Roman" w:hAnsi="Verdana" w:cs="Times New Roman"/>
          <w:lang w:eastAsia="es-ES"/>
        </w:rPr>
        <w:footnoteReference w:id="35"/>
      </w:r>
      <w:r w:rsidRPr="00C55BDE">
        <w:rPr>
          <w:rFonts w:ascii="Verdana" w:eastAsia="Times New Roman" w:hAnsi="Verdana" w:cs="Times New Roman"/>
          <w:lang w:eastAsia="es-ES"/>
        </w:rPr>
        <w:t xml:space="preserve">. Sobre el </w:t>
      </w:r>
      <w:r w:rsidRPr="00C55BDE">
        <w:rPr>
          <w:rFonts w:ascii="Verdana" w:eastAsia="Times New Roman" w:hAnsi="Verdana" w:cs="Times New Roman"/>
          <w:lang w:eastAsia="es-ES"/>
        </w:rPr>
        <w:lastRenderedPageBreak/>
        <w:t xml:space="preserve">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55DB6370" w14:textId="77777777" w:rsidR="00493433" w:rsidRPr="00C55BDE" w:rsidRDefault="00493433" w:rsidP="00493433">
      <w:pPr>
        <w:spacing w:after="120" w:line="276" w:lineRule="auto"/>
        <w:ind w:firstLine="709"/>
        <w:jc w:val="both"/>
        <w:rPr>
          <w:rFonts w:ascii="Verdana" w:eastAsia="Times New Roman" w:hAnsi="Verdana" w:cs="Times New Roman"/>
          <w:lang w:eastAsia="es-ES"/>
        </w:rPr>
      </w:pPr>
      <w:r w:rsidRPr="00C55BDE">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5C82AFEE" w14:textId="77777777" w:rsidR="00493433" w:rsidRPr="00C55BDE" w:rsidRDefault="00493433" w:rsidP="00493433">
      <w:pPr>
        <w:spacing w:after="120" w:line="276" w:lineRule="auto"/>
        <w:ind w:firstLine="709"/>
        <w:jc w:val="both"/>
        <w:rPr>
          <w:rFonts w:ascii="Verdana" w:eastAsia="Times New Roman" w:hAnsi="Verdana" w:cs="Arial"/>
          <w:lang w:eastAsia="es-CO"/>
        </w:rPr>
      </w:pPr>
      <w:r w:rsidRPr="00C55BDE">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C55BDE">
        <w:rPr>
          <w:rFonts w:ascii="Verdana" w:eastAsia="Times New Roman" w:hAnsi="Verdana" w:cs="Arial"/>
          <w:i/>
          <w:iCs/>
          <w:lang w:eastAsia="es-CO"/>
        </w:rPr>
        <w:t>contratos interadministrativos</w:t>
      </w:r>
      <w:r w:rsidRPr="00C55BDE">
        <w:rPr>
          <w:rFonts w:ascii="Verdana" w:eastAsia="Times New Roman" w:hAnsi="Verdana" w:cs="Arial"/>
          <w:lang w:eastAsia="es-CO"/>
        </w:rPr>
        <w:t>, esta prohibición solo aplicaría a los convenios interadministrativos que impliquen la ejecución de recursos públicos</w:t>
      </w:r>
      <w:r w:rsidRPr="00C55BDE">
        <w:rPr>
          <w:rStyle w:val="Refdenotaalpie"/>
          <w:rFonts w:ascii="Verdana" w:eastAsia="Times New Roman" w:hAnsi="Verdana" w:cs="Arial"/>
          <w:lang w:eastAsia="es-CO"/>
        </w:rPr>
        <w:footnoteReference w:id="36"/>
      </w:r>
      <w:r w:rsidRPr="00C55BDE">
        <w:rPr>
          <w:rFonts w:ascii="Verdana" w:eastAsia="Times New Roman" w:hAnsi="Verdana" w:cs="Arial"/>
          <w:lang w:eastAsia="es-CO"/>
        </w:rPr>
        <w:t>.</w:t>
      </w:r>
    </w:p>
    <w:p w14:paraId="1CA41B0D" w14:textId="77777777" w:rsidR="00493433" w:rsidRPr="00C55BDE" w:rsidRDefault="00493433" w:rsidP="00493433">
      <w:pPr>
        <w:spacing w:after="120" w:line="276" w:lineRule="auto"/>
        <w:ind w:firstLine="708"/>
        <w:jc w:val="both"/>
        <w:rPr>
          <w:rFonts w:ascii="Verdana" w:eastAsia="Times New Roman" w:hAnsi="Verdana" w:cs="Arial"/>
          <w:lang w:eastAsia="es-CO"/>
        </w:rPr>
      </w:pPr>
      <w:r w:rsidRPr="00C55BDE">
        <w:rPr>
          <w:rFonts w:ascii="Verdana"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w:t>
      </w:r>
      <w:r w:rsidRPr="00C55BDE">
        <w:rPr>
          <w:rFonts w:ascii="Verdana" w:hAnsi="Verdana" w:cs="Arial"/>
          <w:bCs/>
          <w:color w:val="000000" w:themeColor="text1"/>
        </w:rPr>
        <w:lastRenderedPageBreak/>
        <w:t>correspondiente y, en caso de conflicto, a las autoridades judiciales, fiscales y disciplinarias.</w:t>
      </w:r>
    </w:p>
    <w:p w14:paraId="5EAE702D" w14:textId="77777777" w:rsidR="00493433" w:rsidRPr="00C55BDE" w:rsidRDefault="00493433" w:rsidP="00493433">
      <w:pPr>
        <w:spacing w:after="0" w:line="276" w:lineRule="auto"/>
        <w:ind w:firstLine="708"/>
        <w:jc w:val="both"/>
        <w:rPr>
          <w:rFonts w:ascii="Verdana" w:hAnsi="Verdana" w:cs="Arial"/>
          <w:bCs/>
          <w:color w:val="000000" w:themeColor="text1"/>
        </w:rPr>
      </w:pPr>
      <w:r w:rsidRPr="00C55BDE">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65125FDD" w14:textId="77777777" w:rsidR="00493433" w:rsidRPr="00C55BDE" w:rsidRDefault="00493433" w:rsidP="00493433">
      <w:pPr>
        <w:spacing w:after="0" w:line="276" w:lineRule="auto"/>
        <w:ind w:firstLine="708"/>
        <w:jc w:val="both"/>
        <w:rPr>
          <w:rFonts w:ascii="Verdana" w:hAnsi="Verdana" w:cs="Arial"/>
          <w:bCs/>
          <w:color w:val="000000" w:themeColor="text1"/>
        </w:rPr>
      </w:pPr>
    </w:p>
    <w:p w14:paraId="0CF4823F" w14:textId="77777777" w:rsidR="00493433" w:rsidRPr="00C55BDE" w:rsidRDefault="00493433" w:rsidP="00493433">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C55BDE">
        <w:rPr>
          <w:rFonts w:ascii="Verdana" w:eastAsia="Century Gothic" w:hAnsi="Verdana" w:cs="Century Gothic"/>
          <w:b/>
          <w:bCs/>
          <w:lang w:val="es-ES_tradnl"/>
        </w:rPr>
        <w:t>Referencias normativas:</w:t>
      </w:r>
    </w:p>
    <w:p w14:paraId="1B356003" w14:textId="77777777" w:rsidR="00493433" w:rsidRPr="00C55BDE" w:rsidRDefault="00493433" w:rsidP="00493433">
      <w:pPr>
        <w:widowControl w:val="0"/>
        <w:autoSpaceDE w:val="0"/>
        <w:autoSpaceDN w:val="0"/>
        <w:spacing w:after="0" w:line="276" w:lineRule="auto"/>
        <w:jc w:val="both"/>
        <w:rPr>
          <w:rFonts w:ascii="Verdana" w:hAnsi="Verdana" w:cs="Arial"/>
          <w:lang w:val="es-ES_tradn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93433" w:rsidRPr="00C55BDE" w14:paraId="4F23A80E" w14:textId="77777777" w:rsidTr="00813B0E">
        <w:trPr>
          <w:trHeight w:val="491"/>
          <w:jc w:val="center"/>
        </w:trPr>
        <w:tc>
          <w:tcPr>
            <w:tcW w:w="8647" w:type="dxa"/>
          </w:tcPr>
          <w:p w14:paraId="69B1249C" w14:textId="77777777" w:rsidR="00493433" w:rsidRPr="00C55BDE" w:rsidRDefault="00493433" w:rsidP="00813B0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55BDE">
              <w:rPr>
                <w:rFonts w:ascii="Verdana" w:eastAsia="Arial MT" w:hAnsi="Verdana" w:cs="Arial"/>
                <w:lang w:val="es-ES" w:eastAsia="es-ES" w:bidi="es-ES"/>
              </w:rPr>
              <w:t>Constitución Política, artículos 127, 329, 356.</w:t>
            </w:r>
          </w:p>
          <w:p w14:paraId="4BD6667D" w14:textId="77777777" w:rsidR="00493433" w:rsidRPr="00C55BDE" w:rsidRDefault="00493433" w:rsidP="00813B0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55BDE">
              <w:rPr>
                <w:rFonts w:ascii="Verdana" w:eastAsia="Arial MT" w:hAnsi="Verdana" w:cs="Arial"/>
                <w:lang w:val="es-ES" w:eastAsia="es-ES" w:bidi="es-ES"/>
              </w:rPr>
              <w:t>Decreto 1088 de 1993.</w:t>
            </w:r>
          </w:p>
          <w:p w14:paraId="7B269FE0" w14:textId="77777777" w:rsidR="00493433" w:rsidRPr="00C55BDE" w:rsidRDefault="00493433" w:rsidP="00813B0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55BDE">
              <w:rPr>
                <w:rFonts w:ascii="Verdana" w:eastAsia="Arial MT" w:hAnsi="Verdana" w:cs="Arial"/>
                <w:lang w:val="es-ES" w:eastAsia="es-ES" w:bidi="es-ES"/>
              </w:rPr>
              <w:t>Decreto 1953 de 2014.</w:t>
            </w:r>
          </w:p>
          <w:p w14:paraId="13D045BF" w14:textId="77777777" w:rsidR="00493433" w:rsidRPr="00C55BDE" w:rsidRDefault="00493433" w:rsidP="00813B0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55BDE">
              <w:rPr>
                <w:rFonts w:ascii="Verdana" w:eastAsia="Arial MT" w:hAnsi="Verdana" w:cs="Arial"/>
                <w:lang w:val="es-ES" w:eastAsia="es-ES" w:bidi="es-ES"/>
              </w:rPr>
              <w:t>Ley 80 de 1993, artículo 2.</w:t>
            </w:r>
          </w:p>
          <w:p w14:paraId="38105D1F" w14:textId="77777777" w:rsidR="00493433" w:rsidRPr="00C55BDE" w:rsidRDefault="00493433" w:rsidP="00813B0E">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55BDE">
              <w:rPr>
                <w:rFonts w:ascii="Verdana" w:eastAsia="Arial MT" w:hAnsi="Verdana" w:cs="Arial"/>
                <w:lang w:val="es-ES" w:eastAsia="es-ES" w:bidi="es-ES"/>
              </w:rPr>
              <w:t>Ley 715 de 2001.</w:t>
            </w:r>
          </w:p>
          <w:p w14:paraId="66D13298" w14:textId="77777777" w:rsidR="00493433" w:rsidRPr="00C55BDE" w:rsidRDefault="00493433" w:rsidP="00813B0E">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C55BDE">
              <w:rPr>
                <w:rFonts w:ascii="Verdana" w:eastAsia="Arial MT" w:hAnsi="Verdana" w:cs="Arial"/>
                <w:bCs/>
                <w:lang w:val="es-ES" w:eastAsia="es-ES" w:bidi="es-ES"/>
              </w:rPr>
              <w:t>Ley 996 de 2005, artículos 33 y 38.</w:t>
            </w:r>
          </w:p>
          <w:p w14:paraId="028EE43D" w14:textId="77777777" w:rsidR="00493433" w:rsidRPr="00C55BDE" w:rsidRDefault="00493433" w:rsidP="00813B0E">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C55BDE">
              <w:rPr>
                <w:rFonts w:ascii="Verdana" w:hAnsi="Verdana" w:cs="Arial"/>
                <w:bCs/>
                <w:color w:val="000000" w:themeColor="text1"/>
                <w:lang w:val="es-ES"/>
              </w:rPr>
              <w:t>Decreto 1068 de 2015, artículo 2.2.1.1.1.</w:t>
            </w:r>
          </w:p>
          <w:p w14:paraId="3ED6A4AB" w14:textId="77777777" w:rsidR="00493433" w:rsidRPr="00C55BDE" w:rsidRDefault="00493433" w:rsidP="00813B0E">
            <w:pPr>
              <w:widowControl w:val="0"/>
              <w:numPr>
                <w:ilvl w:val="0"/>
                <w:numId w:val="17"/>
              </w:numPr>
              <w:autoSpaceDE w:val="0"/>
              <w:autoSpaceDN w:val="0"/>
              <w:spacing w:after="120" w:line="276" w:lineRule="auto"/>
              <w:jc w:val="both"/>
              <w:rPr>
                <w:rFonts w:ascii="Verdana" w:hAnsi="Verdana" w:cs="Arial"/>
                <w:lang w:val="es-ES"/>
              </w:rPr>
            </w:pPr>
            <w:r w:rsidRPr="00C55BDE">
              <w:rPr>
                <w:rFonts w:ascii="Verdana" w:hAnsi="Verdana" w:cs="Arial"/>
                <w:lang w:val="pt-BR"/>
              </w:rPr>
              <w:t>Corte Constitucional. Sentencia C-671 de 2015. M.P. Alberto Rojas Ríos.</w:t>
            </w:r>
          </w:p>
          <w:p w14:paraId="4B7809EA" w14:textId="77777777" w:rsidR="00493433" w:rsidRPr="00C55BDE" w:rsidRDefault="00493433" w:rsidP="00813B0E">
            <w:pPr>
              <w:widowControl w:val="0"/>
              <w:numPr>
                <w:ilvl w:val="0"/>
                <w:numId w:val="17"/>
              </w:numPr>
              <w:autoSpaceDE w:val="0"/>
              <w:autoSpaceDN w:val="0"/>
              <w:spacing w:after="120" w:line="276" w:lineRule="auto"/>
              <w:jc w:val="both"/>
              <w:rPr>
                <w:rFonts w:ascii="Verdana" w:hAnsi="Verdana" w:cs="Arial"/>
                <w:lang w:val="es-ES"/>
              </w:rPr>
            </w:pPr>
            <w:r w:rsidRPr="00C55BDE">
              <w:rPr>
                <w:rFonts w:ascii="Verdana" w:hAnsi="Verdana" w:cs="Arial"/>
                <w:lang w:val="es-ES"/>
              </w:rPr>
              <w:t xml:space="preserve">Consejo de Estado, Sección Primera. Sentencia de 3 de marzo de 2005, </w:t>
            </w:r>
            <w:proofErr w:type="spellStart"/>
            <w:r w:rsidRPr="00C55BDE">
              <w:rPr>
                <w:rFonts w:ascii="Verdana" w:hAnsi="Verdana" w:cs="Arial"/>
                <w:lang w:val="es-ES"/>
              </w:rPr>
              <w:t>Exp</w:t>
            </w:r>
            <w:proofErr w:type="spellEnd"/>
            <w:r w:rsidRPr="00C55BDE">
              <w:rPr>
                <w:rFonts w:ascii="Verdana" w:hAnsi="Verdana" w:cs="Arial"/>
                <w:lang w:val="es-ES"/>
              </w:rPr>
              <w:t xml:space="preserve">. 2004-00823-01(PI). </w:t>
            </w:r>
          </w:p>
          <w:p w14:paraId="57214606" w14:textId="77777777" w:rsidR="00493433" w:rsidRPr="00C55BDE" w:rsidRDefault="00493433" w:rsidP="00813B0E">
            <w:pPr>
              <w:numPr>
                <w:ilvl w:val="0"/>
                <w:numId w:val="17"/>
              </w:numPr>
              <w:spacing w:before="120" w:after="120" w:line="276" w:lineRule="auto"/>
              <w:jc w:val="both"/>
              <w:rPr>
                <w:rFonts w:ascii="Verdana" w:hAnsi="Verdana" w:cs="Arial"/>
                <w:lang w:val="es-ES"/>
              </w:rPr>
            </w:pPr>
            <w:r w:rsidRPr="00C55BDE">
              <w:rPr>
                <w:rFonts w:ascii="Verdana" w:hAnsi="Verdana" w:cs="Arial"/>
              </w:rPr>
              <w:t>Consejo de Estado. Sala de Consulta y Servicio Civil. Concepto del 15 de noviembre de 2007. Expediente número 1863. Consejero Ponente: Luis Fernando Álvarez Jaramillo</w:t>
            </w:r>
          </w:p>
          <w:p w14:paraId="32884339" w14:textId="77777777" w:rsidR="00493433" w:rsidRPr="00C55BDE" w:rsidRDefault="00493433" w:rsidP="00813B0E">
            <w:pPr>
              <w:widowControl w:val="0"/>
              <w:numPr>
                <w:ilvl w:val="0"/>
                <w:numId w:val="17"/>
              </w:numPr>
              <w:autoSpaceDE w:val="0"/>
              <w:autoSpaceDN w:val="0"/>
              <w:spacing w:after="120" w:line="276" w:lineRule="auto"/>
              <w:jc w:val="both"/>
              <w:rPr>
                <w:rFonts w:ascii="Verdana" w:hAnsi="Verdana" w:cs="Arial"/>
                <w:lang w:val="es-ES"/>
              </w:rPr>
            </w:pPr>
            <w:r w:rsidRPr="00C55BDE">
              <w:rPr>
                <w:rFonts w:ascii="Verdana" w:hAnsi="Verdana" w:cs="Arial"/>
                <w:lang w:val="es-ES"/>
              </w:rPr>
              <w:t xml:space="preserve">Consejo de Estado, Sala de Consulta y Servicio Civil, Concepto de fecha 24 de julio de 2013, Rad. 2166, C. P. Álvaro Namén Vargas. </w:t>
            </w:r>
          </w:p>
          <w:p w14:paraId="3087C2E4" w14:textId="77777777" w:rsidR="00493433" w:rsidRPr="00C55BDE" w:rsidRDefault="00493433" w:rsidP="00813B0E">
            <w:pPr>
              <w:numPr>
                <w:ilvl w:val="0"/>
                <w:numId w:val="17"/>
              </w:numPr>
              <w:spacing w:before="120" w:after="120" w:line="276" w:lineRule="auto"/>
              <w:jc w:val="both"/>
              <w:rPr>
                <w:rFonts w:ascii="Verdana" w:hAnsi="Verdana" w:cs="Arial"/>
                <w:lang w:val="es-ES"/>
              </w:rPr>
            </w:pPr>
            <w:r w:rsidRPr="00C55BDE">
              <w:rPr>
                <w:rFonts w:ascii="Verdana" w:hAnsi="Verdana" w:cs="Arial"/>
              </w:rPr>
              <w:lastRenderedPageBreak/>
              <w:t>Consejo de Estado. Sala de Consulta y Servicio Civil. Concepto del 2 de septiembre de 2013 Radicado No: 2168. CP: Alvaro Namén Vargas.</w:t>
            </w:r>
          </w:p>
          <w:p w14:paraId="634C6EDB" w14:textId="77777777" w:rsidR="00493433" w:rsidRPr="00C55BDE" w:rsidRDefault="00493433" w:rsidP="00813B0E">
            <w:pPr>
              <w:numPr>
                <w:ilvl w:val="0"/>
                <w:numId w:val="17"/>
              </w:numPr>
              <w:spacing w:before="120" w:after="120" w:line="276" w:lineRule="auto"/>
              <w:jc w:val="both"/>
              <w:rPr>
                <w:rFonts w:ascii="Verdana" w:hAnsi="Verdana" w:cs="Arial"/>
                <w:lang w:val="es-ES"/>
              </w:rPr>
            </w:pPr>
            <w:r w:rsidRPr="00C55BDE">
              <w:rPr>
                <w:rFonts w:ascii="Verdana" w:hAnsi="Verdana" w:cs="Arial"/>
                <w:lang w:val="es-ES"/>
              </w:rPr>
              <w:t>Consejo de Estado. Sala de Consulta y Servicio Civil. Concepto del 17 de febrero de 2015. C.P. William Zambrano Cetina. Radicación No. 11001-03-06-000-2015-00164-00(2269).</w:t>
            </w:r>
          </w:p>
          <w:p w14:paraId="0645B316" w14:textId="77777777" w:rsidR="00493433" w:rsidRPr="00C55BDE" w:rsidRDefault="00493433" w:rsidP="00813B0E">
            <w:pPr>
              <w:numPr>
                <w:ilvl w:val="0"/>
                <w:numId w:val="17"/>
              </w:numPr>
              <w:spacing w:before="120" w:after="120" w:line="276" w:lineRule="auto"/>
              <w:jc w:val="both"/>
              <w:rPr>
                <w:rFonts w:ascii="Verdana" w:hAnsi="Verdana" w:cs="Arial"/>
                <w:lang w:val="es-ES"/>
              </w:rPr>
            </w:pPr>
            <w:r w:rsidRPr="00C55BDE">
              <w:rPr>
                <w:rFonts w:ascii="Verdana" w:hAnsi="Verdana" w:cs="Arial"/>
                <w:lang w:val="es-ES"/>
              </w:rPr>
              <w:t>Consejo de Estado, Sala de Consulta y Servicio Civil, Concepto de fecha 8 de mayo de 2018, No. 2382. C. P. Álvaro Namén Vargas.</w:t>
            </w:r>
          </w:p>
          <w:p w14:paraId="3AF3F935" w14:textId="77777777" w:rsidR="00493433" w:rsidRPr="00C55BDE" w:rsidRDefault="00493433" w:rsidP="00813B0E">
            <w:pPr>
              <w:widowControl w:val="0"/>
              <w:numPr>
                <w:ilvl w:val="0"/>
                <w:numId w:val="17"/>
              </w:numPr>
              <w:autoSpaceDE w:val="0"/>
              <w:autoSpaceDN w:val="0"/>
              <w:spacing w:after="120" w:line="276" w:lineRule="auto"/>
              <w:jc w:val="both"/>
              <w:rPr>
                <w:rFonts w:ascii="Verdana" w:hAnsi="Verdana" w:cs="Arial"/>
                <w:lang w:val="es-ES"/>
              </w:rPr>
            </w:pPr>
            <w:proofErr w:type="spellStart"/>
            <w:r w:rsidRPr="00C55BDE">
              <w:rPr>
                <w:rFonts w:ascii="Verdana" w:hAnsi="Verdana" w:cs="Arial"/>
                <w:lang w:val="pt-BR"/>
              </w:rPr>
              <w:t>Consejo</w:t>
            </w:r>
            <w:proofErr w:type="spellEnd"/>
            <w:r w:rsidRPr="00C55BDE">
              <w:rPr>
                <w:rFonts w:ascii="Verdana" w:hAnsi="Verdana" w:cs="Arial"/>
                <w:lang w:val="pt-BR"/>
              </w:rPr>
              <w:t xml:space="preserve"> de Estado, </w:t>
            </w:r>
            <w:proofErr w:type="spellStart"/>
            <w:r w:rsidRPr="00C55BDE">
              <w:rPr>
                <w:rFonts w:ascii="Verdana" w:hAnsi="Verdana" w:cs="Arial"/>
                <w:lang w:val="pt-BR"/>
              </w:rPr>
              <w:t>Sección</w:t>
            </w:r>
            <w:proofErr w:type="spellEnd"/>
            <w:r w:rsidRPr="00C55BDE">
              <w:rPr>
                <w:rFonts w:ascii="Verdana" w:hAnsi="Verdana" w:cs="Arial"/>
                <w:lang w:val="pt-BR"/>
              </w:rPr>
              <w:t xml:space="preserve"> Tercera. Auto </w:t>
            </w:r>
            <w:proofErr w:type="spellStart"/>
            <w:r w:rsidRPr="00C55BDE">
              <w:rPr>
                <w:rFonts w:ascii="Verdana" w:hAnsi="Verdana" w:cs="Arial"/>
                <w:lang w:val="pt-BR"/>
              </w:rPr>
              <w:t>del</w:t>
            </w:r>
            <w:proofErr w:type="spellEnd"/>
            <w:r w:rsidRPr="00C55BDE">
              <w:rPr>
                <w:rFonts w:ascii="Verdana" w:hAnsi="Verdana" w:cs="Arial"/>
                <w:lang w:val="pt-BR"/>
              </w:rPr>
              <w:t xml:space="preserve"> 4 de </w:t>
            </w:r>
            <w:proofErr w:type="spellStart"/>
            <w:r w:rsidRPr="00C55BDE">
              <w:rPr>
                <w:rFonts w:ascii="Verdana" w:hAnsi="Verdana" w:cs="Arial"/>
                <w:lang w:val="pt-BR"/>
              </w:rPr>
              <w:t>octubre</w:t>
            </w:r>
            <w:proofErr w:type="spellEnd"/>
            <w:r w:rsidRPr="00C55BDE">
              <w:rPr>
                <w:rFonts w:ascii="Verdana" w:hAnsi="Verdana" w:cs="Arial"/>
                <w:lang w:val="pt-BR"/>
              </w:rPr>
              <w:t xml:space="preserve"> de 2024. Exp. 70.313. C.P: Fredy Ibarra Martínez.</w:t>
            </w:r>
          </w:p>
          <w:p w14:paraId="3CAC3228" w14:textId="77777777" w:rsidR="00493433" w:rsidRPr="00C55BDE" w:rsidRDefault="00493433" w:rsidP="00813B0E">
            <w:pPr>
              <w:widowControl w:val="0"/>
              <w:numPr>
                <w:ilvl w:val="0"/>
                <w:numId w:val="17"/>
              </w:numPr>
              <w:autoSpaceDE w:val="0"/>
              <w:autoSpaceDN w:val="0"/>
              <w:spacing w:after="120" w:line="276" w:lineRule="auto"/>
              <w:jc w:val="both"/>
              <w:rPr>
                <w:rFonts w:ascii="Verdana" w:hAnsi="Verdana" w:cs="Arial"/>
                <w:lang w:val="es-ES"/>
              </w:rPr>
            </w:pPr>
            <w:r w:rsidRPr="00C55BDE">
              <w:rPr>
                <w:rFonts w:ascii="Verdana" w:eastAsia="Times New Roman" w:hAnsi="Verdana" w:cs="Times New Roman"/>
                <w:lang w:eastAsia="es-ES_tradnl"/>
              </w:rPr>
              <w:t xml:space="preserve">Consejo de Estado. Sala de lo Contencioso Administrativo. Sección Tercera. Subsección B. 17 de octubre de 2025. Magistrado Ponente: Fredy Ibarra Martínez.  </w:t>
            </w:r>
          </w:p>
          <w:p w14:paraId="350D0272" w14:textId="77777777" w:rsidR="00493433" w:rsidRPr="00C55BDE" w:rsidRDefault="00493433" w:rsidP="00813B0E">
            <w:pPr>
              <w:widowControl w:val="0"/>
              <w:numPr>
                <w:ilvl w:val="0"/>
                <w:numId w:val="17"/>
              </w:numPr>
              <w:autoSpaceDE w:val="0"/>
              <w:autoSpaceDN w:val="0"/>
              <w:spacing w:after="120" w:line="276" w:lineRule="auto"/>
              <w:jc w:val="both"/>
              <w:rPr>
                <w:rFonts w:ascii="Verdana" w:hAnsi="Verdana" w:cs="Arial"/>
                <w:lang w:val="es-ES"/>
              </w:rPr>
            </w:pPr>
            <w:r w:rsidRPr="00C55BDE">
              <w:rPr>
                <w:rFonts w:ascii="Verdana" w:hAnsi="Verdana" w:cs="Arial"/>
              </w:rPr>
              <w:t xml:space="preserve">Circular Externa No. 006 de 2025 </w:t>
            </w:r>
            <w:hyperlink r:id="rId13" w:history="1">
              <w:r w:rsidRPr="00C55BDE">
                <w:rPr>
                  <w:rFonts w:ascii="Verdana" w:hAnsi="Verdana" w:cs="Arial"/>
                  <w:color w:val="0000FF"/>
                  <w:u w:val="single"/>
                </w:rPr>
                <w:t>https://www.colombiacompra.gov.co/archivos/circular/circular-externa-006-de-2025</w:t>
              </w:r>
            </w:hyperlink>
            <w:r w:rsidRPr="00C55BDE">
              <w:rPr>
                <w:rFonts w:ascii="Verdana" w:hAnsi="Verdana" w:cs="Arial"/>
              </w:rPr>
              <w:t xml:space="preserve"> </w:t>
            </w:r>
          </w:p>
        </w:tc>
      </w:tr>
    </w:tbl>
    <w:p w14:paraId="25F2F65B" w14:textId="77777777" w:rsidR="00493433" w:rsidRPr="00C55BDE" w:rsidRDefault="00493433" w:rsidP="00493433">
      <w:pPr>
        <w:widowControl w:val="0"/>
        <w:autoSpaceDE w:val="0"/>
        <w:autoSpaceDN w:val="0"/>
        <w:spacing w:after="0" w:line="276" w:lineRule="auto"/>
        <w:jc w:val="both"/>
        <w:rPr>
          <w:rFonts w:ascii="Verdana" w:hAnsi="Verdana" w:cs="Arial"/>
          <w:lang w:val="es-ES_tradnl"/>
        </w:rPr>
      </w:pPr>
    </w:p>
    <w:p w14:paraId="74E1CFA8" w14:textId="77777777" w:rsidR="00493433" w:rsidRPr="00C55BDE" w:rsidRDefault="00493433" w:rsidP="00493433">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C55BDE">
        <w:rPr>
          <w:rFonts w:ascii="Verdana" w:eastAsia="Century Gothic" w:hAnsi="Verdana" w:cs="Century Gothic"/>
          <w:b/>
          <w:bCs/>
          <w:lang w:val="es-ES_tradnl"/>
        </w:rPr>
        <w:t>Doctrina de la Agencia Nacional de Contratación Pública:</w:t>
      </w:r>
    </w:p>
    <w:p w14:paraId="15E84EA1" w14:textId="77777777" w:rsidR="00493433" w:rsidRPr="00C55BDE" w:rsidRDefault="00493433" w:rsidP="00493433">
      <w:pPr>
        <w:widowControl w:val="0"/>
        <w:autoSpaceDE w:val="0"/>
        <w:autoSpaceDN w:val="0"/>
        <w:spacing w:after="0" w:line="276" w:lineRule="auto"/>
        <w:jc w:val="both"/>
        <w:rPr>
          <w:rFonts w:ascii="Verdana" w:hAnsi="Verdana" w:cs="Arial"/>
          <w:lang w:val="es-ES_tradnl"/>
        </w:rPr>
      </w:pPr>
    </w:p>
    <w:p w14:paraId="0C1D2DDD" w14:textId="77777777" w:rsidR="00493433" w:rsidRPr="00C55BDE" w:rsidRDefault="00493433" w:rsidP="00493433">
      <w:pPr>
        <w:widowControl w:val="0"/>
        <w:autoSpaceDE w:val="0"/>
        <w:autoSpaceDN w:val="0"/>
        <w:spacing w:after="120" w:line="276" w:lineRule="auto"/>
        <w:jc w:val="both"/>
        <w:rPr>
          <w:rFonts w:ascii="Verdana" w:hAnsi="Verdana" w:cs="Arial"/>
          <w:shd w:val="clear" w:color="auto" w:fill="FFFFFF"/>
        </w:rPr>
      </w:pPr>
      <w:r w:rsidRPr="00C55BDE">
        <w:rPr>
          <w:rFonts w:ascii="Verdana" w:hAnsi="Verdana" w:cs="Arial"/>
          <w:shd w:val="clear" w:color="auto" w:fill="FFFFFF"/>
        </w:rPr>
        <w:t>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 C-1430 del 12 de noviembre del 2025 y C-1492 del 21 de noviembre del 2025</w:t>
      </w:r>
      <w:r>
        <w:rPr>
          <w:rFonts w:ascii="Verdana" w:hAnsi="Verdana" w:cs="Arial"/>
          <w:shd w:val="clear" w:color="auto" w:fill="FFFFFF"/>
        </w:rPr>
        <w:t xml:space="preserve"> y C-1608 del 4 de diciembre de 2025</w:t>
      </w:r>
      <w:r w:rsidRPr="00C55BDE">
        <w:rPr>
          <w:rFonts w:ascii="Verdana" w:hAnsi="Verdana" w:cs="Arial"/>
          <w:shd w:val="clear" w:color="auto" w:fill="FFFFFF"/>
        </w:rPr>
        <w:t>.</w:t>
      </w:r>
    </w:p>
    <w:p w14:paraId="567533AD" w14:textId="77777777" w:rsidR="00493433" w:rsidRPr="00C55BDE" w:rsidRDefault="00493433" w:rsidP="00493433">
      <w:pPr>
        <w:widowControl w:val="0"/>
        <w:autoSpaceDE w:val="0"/>
        <w:autoSpaceDN w:val="0"/>
        <w:spacing w:after="120" w:line="276" w:lineRule="auto"/>
        <w:jc w:val="both"/>
        <w:rPr>
          <w:rFonts w:ascii="Verdana" w:hAnsi="Verdana" w:cs="Arial"/>
          <w:shd w:val="clear" w:color="auto" w:fill="FFFFFF"/>
        </w:rPr>
      </w:pPr>
      <w:r w:rsidRPr="00C55BDE">
        <w:rPr>
          <w:rFonts w:ascii="Verdana" w:hAnsi="Verdana" w:cs="Arial"/>
          <w:shd w:val="clear" w:color="auto" w:fill="FFFFFF"/>
        </w:rPr>
        <w:t>Igualmente ha analizado el marco normativo de contratación con Pueblos Indígenas en los conceptos N</w:t>
      </w:r>
      <w:r>
        <w:rPr>
          <w:rFonts w:ascii="Verdana" w:hAnsi="Verdana" w:cs="Arial"/>
          <w:shd w:val="clear" w:color="auto" w:fill="FFFFFF"/>
        </w:rPr>
        <w:t>os</w:t>
      </w:r>
      <w:r w:rsidRPr="00C55BDE">
        <w:rPr>
          <w:rFonts w:ascii="Verdana" w:hAnsi="Verdana" w:cs="Arial"/>
          <w:shd w:val="clear" w:color="auto" w:fill="FFFFFF"/>
        </w:rPr>
        <w:t xml:space="preserve">. C-459 del 22 de diciembre del 2023, C-011 del </w:t>
      </w:r>
      <w:r w:rsidRPr="00C55BDE">
        <w:rPr>
          <w:rFonts w:ascii="Verdana" w:hAnsi="Verdana" w:cs="Arial"/>
          <w:shd w:val="clear" w:color="auto" w:fill="FFFFFF"/>
        </w:rPr>
        <w:lastRenderedPageBreak/>
        <w:t>01 de marzo del 2024, C-012 del 21 de marzo del 2024, C-062 del 07 de junio del 2024, C-371 del 09 de agosto del 2024, C-256 del 30 de agosto del 2024, C-596 del 16 de octubre del 2024</w:t>
      </w:r>
      <w:r w:rsidRPr="00C55BDE">
        <w:rPr>
          <w:rFonts w:ascii="Verdana" w:hAnsi="Verdana" w:cs="Arial"/>
          <w:shd w:val="clear" w:color="auto" w:fill="FFFFFF"/>
          <w:lang w:val="es-ES"/>
        </w:rPr>
        <w:t>, C-484 del 2025, C-891 del 20 de diciembre del 2024, C-714 del 04 de julio del 2025, C-844 del 06 de agosto del 2025, C-1130 del 17 de septiembre del 2025</w:t>
      </w:r>
      <w:r>
        <w:rPr>
          <w:rFonts w:ascii="Verdana" w:hAnsi="Verdana" w:cs="Arial"/>
          <w:shd w:val="clear" w:color="auto" w:fill="FFFFFF"/>
          <w:lang w:val="es-ES"/>
        </w:rPr>
        <w:t xml:space="preserve">, </w:t>
      </w:r>
      <w:r w:rsidRPr="00C55BDE">
        <w:rPr>
          <w:rFonts w:ascii="Verdana" w:hAnsi="Verdana" w:cs="Arial"/>
          <w:shd w:val="clear" w:color="auto" w:fill="FFFFFF"/>
          <w:lang w:val="es-ES"/>
        </w:rPr>
        <w:t>C-1585 del 03 de diciembre del 2025</w:t>
      </w:r>
      <w:r>
        <w:rPr>
          <w:rFonts w:ascii="Verdana" w:hAnsi="Verdana" w:cs="Arial"/>
          <w:shd w:val="clear" w:color="auto" w:fill="FFFFFF"/>
          <w:lang w:val="es-ES"/>
        </w:rPr>
        <w:t xml:space="preserve">, C-026 del 23 de enero de 2026, C-128 del 10 de febrero de 2026 y C-289 del 6 de abril de 2026, </w:t>
      </w:r>
      <w:r w:rsidRPr="00C55BDE">
        <w:rPr>
          <w:rFonts w:ascii="Verdana" w:hAnsi="Verdana" w:cs="Arial"/>
          <w:shd w:val="clear" w:color="auto" w:fill="FFFFFF"/>
          <w:lang w:val="es-ES_tradnl"/>
        </w:rPr>
        <w:t xml:space="preserve">Estos conceptos se encuentran disponibles para consulta en el Sistema de relatoría de la Agencia, al cual puede accederse a través del siguiente enlace: </w:t>
      </w:r>
      <w:hyperlink r:id="rId14" w:history="1">
        <w:r w:rsidRPr="00C55BDE">
          <w:rPr>
            <w:rFonts w:ascii="Verdana" w:hAnsi="Verdana" w:cs="Arial"/>
            <w:color w:val="0000FF"/>
            <w:u w:val="single"/>
            <w:shd w:val="clear" w:color="auto" w:fill="FFFFFF"/>
            <w:lang w:val="es-ES_tradnl"/>
          </w:rPr>
          <w:t>https://relatoria.colombiacompra.gov.co/busqueda/conceptos</w:t>
        </w:r>
      </w:hyperlink>
      <w:r w:rsidRPr="00C55BDE">
        <w:rPr>
          <w:rFonts w:ascii="Verdana" w:hAnsi="Verdana" w:cs="Arial"/>
          <w:shd w:val="clear" w:color="auto" w:fill="FFFFFF"/>
          <w:lang w:val="es-ES_tradnl"/>
        </w:rPr>
        <w:t xml:space="preserve">. </w:t>
      </w:r>
      <w:r w:rsidRPr="00C55BDE">
        <w:rPr>
          <w:rFonts w:ascii="Verdana" w:hAnsi="Verdana" w:cs="Arial"/>
          <w:color w:val="FF0000"/>
          <w:shd w:val="clear" w:color="auto" w:fill="FFFFFF"/>
          <w:lang w:val="es-ES_tradnl"/>
        </w:rPr>
        <w:t xml:space="preserve"> </w:t>
      </w:r>
    </w:p>
    <w:p w14:paraId="694C5D1F" w14:textId="77777777" w:rsidR="00493433" w:rsidRDefault="00493433" w:rsidP="00493433">
      <w:pPr>
        <w:spacing w:after="0" w:line="276" w:lineRule="auto"/>
        <w:jc w:val="both"/>
        <w:rPr>
          <w:rFonts w:ascii="Verdana" w:hAnsi="Verdana" w:cs="Arial"/>
        </w:rPr>
      </w:pPr>
      <w:r>
        <w:rPr>
          <w:rFonts w:ascii="Verdana" w:hAnsi="Verdana" w:cs="Arial"/>
        </w:rPr>
        <w:t xml:space="preserve">La sostenibilidad no es una opción, es una obligación. Por ello, la Agencia Nacional de Contratación Pública –Colombia Compra Eficiente– te invita a realizar el </w:t>
      </w:r>
      <w:r>
        <w:rPr>
          <w:rFonts w:ascii="Verdana" w:hAnsi="Verdana" w:cs="Arial"/>
          <w:b/>
          <w:bCs/>
        </w:rPr>
        <w:t>Curso de Contratación Pública Sostenible y Socialmente Responsable</w:t>
      </w:r>
      <w:r>
        <w:rPr>
          <w:rFonts w:ascii="Verdana" w:hAnsi="Verdana" w:cs="Ari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Pr>
          <w:rFonts w:ascii="Verdana" w:hAnsi="Verdana" w:cs="Arial"/>
        </w:rPr>
        <w:br/>
      </w:r>
      <w:hyperlink r:id="rId15" w:tgtFrame="_new" w:history="1">
        <w:r>
          <w:rPr>
            <w:rStyle w:val="Hipervnculo"/>
            <w:rFonts w:ascii="Verdana" w:hAnsi="Verdana" w:cs="Arial"/>
          </w:rPr>
          <w:t>https://formacionvirtual.colombiacompra.gov.co/mod/page/view.php?id=3718</w:t>
        </w:r>
      </w:hyperlink>
    </w:p>
    <w:p w14:paraId="319D4FF8" w14:textId="77777777" w:rsidR="00493433" w:rsidRDefault="00493433" w:rsidP="00493433">
      <w:pPr>
        <w:spacing w:after="0" w:line="276" w:lineRule="auto"/>
        <w:jc w:val="both"/>
        <w:rPr>
          <w:rFonts w:ascii="Verdana" w:hAnsi="Verdana" w:cs="Arial"/>
        </w:rPr>
      </w:pPr>
    </w:p>
    <w:p w14:paraId="7B11B189" w14:textId="77777777" w:rsidR="00493433" w:rsidRDefault="00493433" w:rsidP="00493433">
      <w:pPr>
        <w:spacing w:after="0" w:line="276" w:lineRule="auto"/>
        <w:jc w:val="both"/>
        <w:rPr>
          <w:rFonts w:ascii="Verdana" w:hAnsi="Verdana" w:cs="Arial"/>
        </w:rPr>
      </w:pPr>
      <w:r>
        <w:rPr>
          <w:rFonts w:ascii="Verdana" w:hAnsi="Verdana" w:cs="Arial"/>
        </w:rPr>
        <w:t xml:space="preserve">De otro lado, te contamos que esta Agencia ha da un paso decisivo en la estandarización y modernización del </w:t>
      </w:r>
      <w:r>
        <w:rPr>
          <w:rFonts w:ascii="Verdana" w:hAnsi="Verdana" w:cs="Arial"/>
          <w:b/>
          <w:bCs/>
        </w:rPr>
        <w:t>sector  social</w:t>
      </w:r>
      <w:r>
        <w:rPr>
          <w:rFonts w:ascii="Verdana" w:hAnsi="Verdana" w:cs="Arial"/>
        </w:rPr>
        <w:t xml:space="preserve"> con la expedición de las </w:t>
      </w:r>
      <w:r>
        <w:rPr>
          <w:rFonts w:ascii="Verdana" w:hAnsi="Verdana" w:cs="Arial"/>
          <w:b/>
          <w:bCs/>
        </w:rPr>
        <w:t>Resoluciones 539, 540, 541, 952 y 953 de 2025</w:t>
      </w:r>
      <w:r>
        <w:rPr>
          <w:rFonts w:ascii="Verdana" w:hAnsi="Verdana" w:cs="Arial"/>
        </w:rPr>
        <w:t xml:space="preserve">, </w:t>
      </w:r>
      <w:r>
        <w:rPr>
          <w:rFonts w:ascii="Verdana" w:hAnsi="Verdana" w:cs="Arial"/>
          <w:b/>
          <w:bCs/>
        </w:rPr>
        <w:t>mediante las cuales adoptó Documentos Tipo</w:t>
      </w:r>
      <w:r>
        <w:rPr>
          <w:rFonts w:ascii="Verdana" w:hAnsi="Verdana" w:cs="Arial"/>
        </w:rPr>
        <w:t xml:space="preserve"> para las modalidades de selección de</w:t>
      </w:r>
      <w:r>
        <w:rPr>
          <w:rFonts w:ascii="Verdana" w:hAnsi="Verdana" w:cs="Arial"/>
          <w:b/>
          <w:bCs/>
        </w:rPr>
        <w:t xml:space="preserve"> licitación pública (versión 2), selección abreviada de menor cuantía, mínima cuantía, consultoría e interventoría</w:t>
      </w:r>
      <w:r>
        <w:rPr>
          <w:rFonts w:ascii="Verdana"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Pr>
            <w:rStyle w:val="Hipervnculo"/>
            <w:rFonts w:ascii="Verdana" w:hAnsi="Verdana" w:cs="Arial"/>
          </w:rPr>
          <w:t>https://www.colombiacompra.gov.co/normativa-y-relatoria/documentos-tipo</w:t>
        </w:r>
      </w:hyperlink>
    </w:p>
    <w:p w14:paraId="70D4C9CE" w14:textId="77777777" w:rsidR="00493433" w:rsidRDefault="00493433" w:rsidP="00493433">
      <w:pPr>
        <w:spacing w:after="0" w:line="276" w:lineRule="auto"/>
        <w:jc w:val="both"/>
        <w:rPr>
          <w:rFonts w:ascii="Verdana" w:hAnsi="Verdana" w:cs="Arial"/>
        </w:rPr>
      </w:pPr>
    </w:p>
    <w:p w14:paraId="2E4ED98D" w14:textId="77777777" w:rsidR="00493433" w:rsidRDefault="00493433" w:rsidP="00493433">
      <w:pPr>
        <w:spacing w:after="0" w:line="276" w:lineRule="auto"/>
        <w:jc w:val="both"/>
        <w:rPr>
          <w:rFonts w:ascii="Verdana" w:hAnsi="Verdana" w:cs="Arial"/>
        </w:rPr>
      </w:pPr>
      <w:r>
        <w:rPr>
          <w:rFonts w:ascii="Verdana" w:hAnsi="Verdana" w:cs="Arial"/>
        </w:rPr>
        <w:t xml:space="preserve">Si quieres conocer más sobre la aplicación de Documentos Tipo puedes consultar la última versión de la </w:t>
      </w:r>
      <w:r>
        <w:rPr>
          <w:rFonts w:ascii="Verdana" w:hAnsi="Verdana" w:cs="Arial"/>
          <w:b/>
          <w:bCs/>
        </w:rPr>
        <w:t>Guía para la comprensión e implementación de los Documentos Tipo de obra pública de infraestructura de transporte</w:t>
      </w:r>
      <w:r>
        <w:rPr>
          <w:rFonts w:ascii="Verdana" w:hAnsi="Verdana" w:cs="Arial"/>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w:t>
      </w:r>
      <w:r>
        <w:rPr>
          <w:rFonts w:ascii="Verdana" w:hAnsi="Verdana" w:cs="Arial"/>
        </w:rPr>
        <w:lastRenderedPageBreak/>
        <w:t>implementación de los criterios ambientales y sociales incluidos en los documentos tipo: Consulta la guía aquí:</w:t>
      </w:r>
      <w:r>
        <w:rPr>
          <w:rFonts w:ascii="Verdana" w:hAnsi="Verdana" w:cs="Arial"/>
        </w:rPr>
        <w:br/>
      </w:r>
      <w:hyperlink r:id="rId17" w:tgtFrame="_new" w:history="1">
        <w:r>
          <w:rPr>
            <w:rStyle w:val="Hipervnculo"/>
            <w:rFonts w:ascii="Verdana" w:hAnsi="Verdana" w:cs="Arial"/>
          </w:rPr>
          <w:t>https://www.colombiacompra.gov.co/archivos/manual/guia-para-la-comprension-e-implementacion-de-los-documentos-tipo-de-obra-publica-de-infraestructura-de-transporte-bajo-las-diferentes-modalidades-de-contratacion-vigentes</w:t>
        </w:r>
      </w:hyperlink>
    </w:p>
    <w:p w14:paraId="21FCB77D" w14:textId="77777777" w:rsidR="00493433" w:rsidRDefault="00493433" w:rsidP="00493433">
      <w:pPr>
        <w:spacing w:after="0" w:line="276" w:lineRule="auto"/>
        <w:jc w:val="both"/>
        <w:rPr>
          <w:rFonts w:ascii="Verdana" w:hAnsi="Verdana" w:cs="Arial"/>
        </w:rPr>
      </w:pPr>
    </w:p>
    <w:p w14:paraId="7717F1E6" w14:textId="77777777" w:rsidR="00493433" w:rsidRDefault="00493433" w:rsidP="00493433">
      <w:pPr>
        <w:spacing w:after="0" w:line="276" w:lineRule="auto"/>
        <w:jc w:val="both"/>
        <w:rPr>
          <w:rFonts w:ascii="Verdana" w:hAnsi="Verdana" w:cs="Arial"/>
        </w:rPr>
      </w:pPr>
      <w:r>
        <w:rPr>
          <w:rFonts w:ascii="Verdana" w:hAnsi="Verdana" w:cs="Arial"/>
        </w:rPr>
        <w:t xml:space="preserve">Por último, lo invitamos a seguirnos en las redes sociales en las cuales se difunde información institucional: </w:t>
      </w:r>
    </w:p>
    <w:p w14:paraId="6CA80D4C" w14:textId="77777777" w:rsidR="00493433" w:rsidRDefault="00493433" w:rsidP="00493433">
      <w:pPr>
        <w:spacing w:after="0" w:line="276" w:lineRule="auto"/>
        <w:jc w:val="both"/>
        <w:rPr>
          <w:rFonts w:ascii="Verdana" w:hAnsi="Verdana" w:cs="Arial"/>
        </w:rPr>
      </w:pPr>
    </w:p>
    <w:p w14:paraId="0613097C" w14:textId="77777777" w:rsidR="00493433" w:rsidRDefault="00493433" w:rsidP="00493433">
      <w:pPr>
        <w:spacing w:after="0" w:line="276" w:lineRule="auto"/>
        <w:jc w:val="both"/>
        <w:rPr>
          <w:rFonts w:ascii="Verdana" w:hAnsi="Verdana" w:cs="Arial"/>
        </w:rPr>
      </w:pPr>
      <w:r>
        <w:rPr>
          <w:rFonts w:ascii="Verdana" w:hAnsi="Verdana" w:cs="Arial"/>
        </w:rPr>
        <w:t xml:space="preserve">Twitter: </w:t>
      </w:r>
      <w:r>
        <w:rPr>
          <w:rStyle w:val="Hipervnculo"/>
          <w:rFonts w:ascii="Verdana" w:hAnsi="Verdana" w:cs="Arial"/>
          <w:color w:val="4472C4" w:themeColor="accent1"/>
        </w:rPr>
        <w:t>@colombiacompra</w:t>
      </w:r>
      <w:r>
        <w:rPr>
          <w:rFonts w:ascii="Verdana" w:hAnsi="Verdana" w:cs="Arial"/>
          <w:color w:val="4472C4" w:themeColor="accent1"/>
        </w:rPr>
        <w:t xml:space="preserve"> </w:t>
      </w:r>
    </w:p>
    <w:p w14:paraId="235F8AAD" w14:textId="77777777" w:rsidR="00493433" w:rsidRDefault="00493433" w:rsidP="00493433">
      <w:pPr>
        <w:spacing w:after="0" w:line="276" w:lineRule="auto"/>
        <w:jc w:val="both"/>
        <w:rPr>
          <w:rFonts w:ascii="Verdana" w:hAnsi="Verdana" w:cs="Arial"/>
        </w:rPr>
      </w:pPr>
      <w:r>
        <w:rPr>
          <w:rFonts w:ascii="Verdana" w:hAnsi="Verdana" w:cs="Arial"/>
        </w:rPr>
        <w:t xml:space="preserve">Facebook: </w:t>
      </w:r>
      <w:proofErr w:type="spellStart"/>
      <w:r>
        <w:rPr>
          <w:rStyle w:val="Hipervnculo"/>
          <w:rFonts w:ascii="Verdana" w:hAnsi="Verdana" w:cs="Arial"/>
          <w:color w:val="4472C4" w:themeColor="accent1"/>
        </w:rPr>
        <w:t>ColombiaCompraEficiente</w:t>
      </w:r>
      <w:proofErr w:type="spellEnd"/>
    </w:p>
    <w:p w14:paraId="2357E445" w14:textId="77777777" w:rsidR="00493433" w:rsidRDefault="00493433" w:rsidP="00493433">
      <w:pPr>
        <w:spacing w:after="0" w:line="276" w:lineRule="auto"/>
        <w:jc w:val="both"/>
        <w:rPr>
          <w:rStyle w:val="Hipervnculo"/>
          <w:color w:val="4472C4" w:themeColor="accent1"/>
        </w:rPr>
      </w:pPr>
      <w:r>
        <w:rPr>
          <w:rFonts w:ascii="Verdana" w:hAnsi="Verdana" w:cs="Arial"/>
        </w:rPr>
        <w:t xml:space="preserve">LinkedIn: </w:t>
      </w:r>
      <w:r>
        <w:rPr>
          <w:rStyle w:val="Hipervnculo"/>
          <w:rFonts w:ascii="Verdana" w:hAnsi="Verdana" w:cs="Arial"/>
          <w:color w:val="4472C4" w:themeColor="accent1"/>
        </w:rPr>
        <w:t>Agencia Nacional de Contratación Pública - Colombia Compra Eficiente</w:t>
      </w:r>
      <w:r>
        <w:rPr>
          <w:rFonts w:ascii="Verdana" w:hAnsi="Verdana" w:cs="Arial"/>
          <w:color w:val="4472C4" w:themeColor="accent1"/>
        </w:rPr>
        <w:t xml:space="preserve"> </w:t>
      </w:r>
      <w:r>
        <w:rPr>
          <w:rFonts w:ascii="Verdana" w:hAnsi="Verdana" w:cs="Arial"/>
        </w:rPr>
        <w:t xml:space="preserve">Instagram: </w:t>
      </w:r>
      <w:r>
        <w:rPr>
          <w:rStyle w:val="Hipervnculo"/>
          <w:rFonts w:ascii="Verdana" w:hAnsi="Verdana" w:cs="Arial"/>
          <w:color w:val="4472C4" w:themeColor="accent1"/>
        </w:rPr>
        <w:t>@colombiacompraeficiente_cce</w:t>
      </w:r>
    </w:p>
    <w:p w14:paraId="7DDCE13C" w14:textId="77777777" w:rsidR="00493433" w:rsidRDefault="00493433" w:rsidP="00493433">
      <w:pPr>
        <w:widowControl w:val="0"/>
        <w:autoSpaceDE w:val="0"/>
        <w:autoSpaceDN w:val="0"/>
        <w:spacing w:after="0" w:line="276" w:lineRule="auto"/>
        <w:jc w:val="both"/>
        <w:rPr>
          <w:rFonts w:ascii="Verdana" w:hAnsi="Verdana"/>
          <w:color w:val="000000"/>
          <w:lang w:val="es-ES_tradnl"/>
        </w:rPr>
      </w:pPr>
    </w:p>
    <w:p w14:paraId="1DB9C784" w14:textId="77777777" w:rsidR="00493433" w:rsidRPr="00C55BDE" w:rsidRDefault="00493433" w:rsidP="00493433">
      <w:pPr>
        <w:widowControl w:val="0"/>
        <w:autoSpaceDE w:val="0"/>
        <w:autoSpaceDN w:val="0"/>
        <w:spacing w:after="0" w:line="276" w:lineRule="auto"/>
        <w:jc w:val="both"/>
        <w:rPr>
          <w:rFonts w:ascii="Verdana" w:hAnsi="Verdana" w:cs="Arial"/>
          <w:lang w:val="es-ES_tradnl"/>
        </w:rPr>
      </w:pPr>
      <w:r w:rsidRPr="00C55BDE">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7B27CB39" w14:textId="77777777" w:rsidR="00493433" w:rsidRPr="00C55BDE" w:rsidRDefault="00493433" w:rsidP="00493433">
      <w:pPr>
        <w:widowControl w:val="0"/>
        <w:autoSpaceDE w:val="0"/>
        <w:autoSpaceDN w:val="0"/>
        <w:spacing w:after="0" w:line="276" w:lineRule="auto"/>
        <w:jc w:val="both"/>
        <w:rPr>
          <w:rFonts w:ascii="Verdana" w:hAnsi="Verdana" w:cs="Arial"/>
          <w:lang w:val="es-ES_tradnl"/>
        </w:rPr>
      </w:pPr>
    </w:p>
    <w:p w14:paraId="40AC335B" w14:textId="77777777" w:rsidR="00493433" w:rsidRPr="00C55BDE" w:rsidRDefault="00493433" w:rsidP="00493433">
      <w:pPr>
        <w:spacing w:after="0" w:line="240" w:lineRule="auto"/>
        <w:rPr>
          <w:rFonts w:ascii="Verdana" w:hAnsi="Verdana" w:cs="Arial"/>
          <w:lang w:val="es-ES_tradnl" w:eastAsia="es-CO"/>
        </w:rPr>
      </w:pPr>
      <w:r w:rsidRPr="00C55BDE">
        <w:rPr>
          <w:rFonts w:ascii="Verdana" w:eastAsia="Times New Roman" w:hAnsi="Verdana" w:cs="Arial"/>
          <w:lang w:val="es-ES" w:eastAsia="es-CO"/>
        </w:rPr>
        <w:t>Atentamente,</w:t>
      </w:r>
      <w:r w:rsidRPr="00C55BDE">
        <w:rPr>
          <w:rFonts w:ascii="Verdana" w:hAnsi="Verdana" w:cs="Arial"/>
          <w:lang w:val="es-ES" w:eastAsia="es-CO"/>
        </w:rPr>
        <w:t xml:space="preserve"> </w:t>
      </w:r>
    </w:p>
    <w:p w14:paraId="293B0865" w14:textId="7FB08DBA" w:rsidR="00493433" w:rsidRDefault="008864A5" w:rsidP="00493433">
      <w:pPr>
        <w:spacing w:line="276" w:lineRule="auto"/>
        <w:jc w:val="center"/>
        <w:rPr>
          <w:rFonts w:ascii="Verdana" w:eastAsia="Calibri" w:hAnsi="Verdana" w:cs="Arial"/>
          <w:color w:val="000000"/>
          <w:lang w:val="es-ES_tradnl" w:eastAsia="es-CO"/>
        </w:rPr>
      </w:pPr>
      <w:r>
        <w:rPr>
          <w:noProof/>
        </w:rPr>
        <w:drawing>
          <wp:inline distT="0" distB="0" distL="0" distR="0" wp14:anchorId="333A164D" wp14:editId="56765A05">
            <wp:extent cx="3044190" cy="1129665"/>
            <wp:effectExtent l="0" t="0" r="3810" b="0"/>
            <wp:docPr id="1827870648"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870648" name="Imagen 2" descr="Texto&#10;&#10;El contenido generado por IA puede ser incorrecto."/>
                    <pic:cNvPicPr>
                      <a:picLocks noChangeAspect="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044190" cy="1129665"/>
                    </a:xfrm>
                    <a:prstGeom prst="rect">
                      <a:avLst/>
                    </a:prstGeom>
                    <a:noFill/>
                    <a:ln>
                      <a:noFill/>
                    </a:ln>
                  </pic:spPr>
                </pic:pic>
              </a:graphicData>
            </a:graphic>
          </wp:inline>
        </w:drawing>
      </w:r>
    </w:p>
    <w:tbl>
      <w:tblPr>
        <w:tblStyle w:val="Tablaconcuadrcula11"/>
        <w:tblW w:w="6521" w:type="dxa"/>
        <w:tblLook w:val="04A0" w:firstRow="1" w:lastRow="0" w:firstColumn="1" w:lastColumn="0" w:noHBand="0" w:noVBand="1"/>
      </w:tblPr>
      <w:tblGrid>
        <w:gridCol w:w="893"/>
        <w:gridCol w:w="5628"/>
      </w:tblGrid>
      <w:tr w:rsidR="00493433" w14:paraId="1586819D" w14:textId="77777777" w:rsidTr="00813B0E">
        <w:trPr>
          <w:trHeight w:val="315"/>
        </w:trPr>
        <w:tc>
          <w:tcPr>
            <w:tcW w:w="893" w:type="dxa"/>
            <w:vAlign w:val="center"/>
            <w:hideMark/>
          </w:tcPr>
          <w:p w14:paraId="58BDD877" w14:textId="77777777" w:rsidR="00493433" w:rsidRDefault="00493433" w:rsidP="00813B0E">
            <w:pPr>
              <w:spacing w:after="255" w:line="254" w:lineRule="auto"/>
              <w:contextualSpacing/>
              <w:rPr>
                <w:rFonts w:ascii="Verdana" w:eastAsia="Calibri" w:hAnsi="Verdana"/>
                <w:sz w:val="16"/>
                <w:szCs w:val="16"/>
                <w:lang w:eastAsia="es-ES"/>
              </w:rPr>
            </w:pPr>
            <w:r>
              <w:rPr>
                <w:rFonts w:ascii="Verdana" w:eastAsia="Calibri" w:hAnsi="Verdana"/>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06263BE7" w14:textId="77777777" w:rsidR="00493433" w:rsidRDefault="00493433" w:rsidP="00813B0E">
            <w:pPr>
              <w:spacing w:after="255" w:line="254" w:lineRule="auto"/>
              <w:contextualSpacing/>
              <w:rPr>
                <w:rFonts w:ascii="Verdana" w:eastAsia="Calibri" w:hAnsi="Verdana" w:cs="Times New Roman"/>
                <w:sz w:val="16"/>
                <w:szCs w:val="16"/>
              </w:rPr>
            </w:pPr>
            <w:r>
              <w:rPr>
                <w:rFonts w:ascii="Verdana" w:eastAsia="Calibri" w:hAnsi="Verdana" w:cs="Times New Roman"/>
                <w:sz w:val="16"/>
                <w:szCs w:val="16"/>
              </w:rPr>
              <w:t>Tatiana Baquero Iguarán</w:t>
            </w:r>
          </w:p>
          <w:p w14:paraId="03D4CB43" w14:textId="77777777" w:rsidR="00493433" w:rsidRDefault="00493433" w:rsidP="00813B0E">
            <w:pPr>
              <w:spacing w:after="255" w:line="254" w:lineRule="auto"/>
              <w:contextualSpacing/>
              <w:rPr>
                <w:rFonts w:ascii="Verdana" w:hAnsi="Verdana"/>
                <w:sz w:val="16"/>
                <w:szCs w:val="16"/>
              </w:rPr>
            </w:pPr>
            <w:r>
              <w:rPr>
                <w:rFonts w:ascii="Verdana" w:eastAsia="Calibri" w:hAnsi="Verdana" w:cs="Times New Roman"/>
                <w:sz w:val="16"/>
                <w:szCs w:val="16"/>
              </w:rPr>
              <w:t>Contratista de la Subdirección de Gestión Contractual</w:t>
            </w:r>
          </w:p>
        </w:tc>
      </w:tr>
      <w:tr w:rsidR="00493433" w14:paraId="0F25B882" w14:textId="77777777" w:rsidTr="00813B0E">
        <w:trPr>
          <w:trHeight w:val="330"/>
        </w:trPr>
        <w:tc>
          <w:tcPr>
            <w:tcW w:w="893" w:type="dxa"/>
            <w:vAlign w:val="center"/>
            <w:hideMark/>
          </w:tcPr>
          <w:p w14:paraId="64272752" w14:textId="77777777" w:rsidR="00493433" w:rsidRDefault="00493433" w:rsidP="00813B0E">
            <w:pPr>
              <w:spacing w:after="255" w:line="254" w:lineRule="auto"/>
              <w:contextualSpacing/>
              <w:rPr>
                <w:rFonts w:ascii="Verdana" w:eastAsia="Calibri" w:hAnsi="Verdana"/>
                <w:sz w:val="16"/>
                <w:szCs w:val="16"/>
                <w:lang w:eastAsia="es-ES"/>
              </w:rPr>
            </w:pPr>
            <w:r>
              <w:rPr>
                <w:rFonts w:ascii="Verdana" w:eastAsia="Calibri" w:hAnsi="Verdana"/>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D1C52F9" w14:textId="77777777" w:rsidR="00493433" w:rsidRDefault="00493433" w:rsidP="00813B0E">
            <w:pPr>
              <w:rPr>
                <w:rFonts w:ascii="Verdana" w:eastAsia="Arial" w:hAnsi="Verdana" w:cs="Arial"/>
                <w:sz w:val="16"/>
                <w:szCs w:val="16"/>
                <w:lang w:val="es-ES"/>
              </w:rPr>
            </w:pPr>
            <w:r>
              <w:rPr>
                <w:rFonts w:ascii="Verdana" w:eastAsia="Arial" w:hAnsi="Verdana" w:cs="Arial"/>
                <w:sz w:val="16"/>
                <w:szCs w:val="16"/>
                <w:lang w:val="es-ES"/>
              </w:rPr>
              <w:t xml:space="preserve">Adriana Katherine López Rodríguez </w:t>
            </w:r>
          </w:p>
          <w:p w14:paraId="52A800A9" w14:textId="77777777" w:rsidR="00493433" w:rsidRDefault="00493433" w:rsidP="00813B0E">
            <w:pPr>
              <w:spacing w:before="100" w:beforeAutospacing="1" w:after="100" w:afterAutospacing="1" w:line="254" w:lineRule="auto"/>
              <w:contextualSpacing/>
              <w:textAlignment w:val="baseline"/>
              <w:rPr>
                <w:rFonts w:ascii="Verdana" w:eastAsia="Times New Roman" w:hAnsi="Verdana" w:cs="Segoe UI"/>
                <w:sz w:val="16"/>
                <w:szCs w:val="16"/>
                <w:lang w:eastAsia="es-ES_tradnl"/>
              </w:rPr>
            </w:pPr>
            <w:r>
              <w:rPr>
                <w:rFonts w:ascii="Verdana" w:eastAsia="Arial" w:hAnsi="Verdana" w:cs="Arial"/>
                <w:sz w:val="16"/>
                <w:szCs w:val="16"/>
                <w:lang w:val="es-ES_tradnl"/>
              </w:rPr>
              <w:t>Contratista de la Subdirección de Gestión Contractual</w:t>
            </w:r>
          </w:p>
          <w:p w14:paraId="122E23F2" w14:textId="77777777" w:rsidR="00493433" w:rsidRDefault="00493433" w:rsidP="00813B0E">
            <w:pPr>
              <w:spacing w:after="255" w:line="254" w:lineRule="auto"/>
              <w:contextualSpacing/>
              <w:textAlignment w:val="baseline"/>
              <w:rPr>
                <w:rFonts w:ascii="Verdana" w:eastAsia="Times New Roman" w:hAnsi="Verdana" w:cs="Segoe UI"/>
                <w:sz w:val="16"/>
                <w:szCs w:val="16"/>
                <w:lang w:eastAsia="es-ES_tradnl"/>
              </w:rPr>
            </w:pPr>
          </w:p>
        </w:tc>
      </w:tr>
      <w:tr w:rsidR="00493433" w14:paraId="04937D28" w14:textId="77777777" w:rsidTr="00813B0E">
        <w:trPr>
          <w:trHeight w:val="300"/>
        </w:trPr>
        <w:tc>
          <w:tcPr>
            <w:tcW w:w="893" w:type="dxa"/>
            <w:vAlign w:val="center"/>
            <w:hideMark/>
          </w:tcPr>
          <w:p w14:paraId="3524128B" w14:textId="77777777" w:rsidR="00493433" w:rsidRDefault="00493433" w:rsidP="00813B0E">
            <w:pPr>
              <w:spacing w:after="255" w:line="254" w:lineRule="auto"/>
              <w:contextualSpacing/>
              <w:rPr>
                <w:rFonts w:ascii="Verdana" w:eastAsia="Calibri" w:hAnsi="Verdana"/>
                <w:sz w:val="16"/>
                <w:szCs w:val="16"/>
                <w:lang w:eastAsia="es-ES"/>
              </w:rPr>
            </w:pPr>
            <w:r>
              <w:rPr>
                <w:rFonts w:ascii="Verdana" w:eastAsia="Calibri" w:hAnsi="Verdana"/>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3E824A1" w14:textId="77777777" w:rsidR="00493433" w:rsidRDefault="00493433" w:rsidP="00813B0E">
            <w:pPr>
              <w:spacing w:after="255" w:line="254" w:lineRule="auto"/>
              <w:contextualSpacing/>
              <w:rPr>
                <w:rFonts w:ascii="Verdana" w:eastAsia="Calibri" w:hAnsi="Verdana"/>
                <w:sz w:val="16"/>
                <w:szCs w:val="16"/>
                <w:lang w:val="pt-BR" w:eastAsia="es-ES"/>
              </w:rPr>
            </w:pPr>
            <w:r>
              <w:rPr>
                <w:rFonts w:ascii="Verdana" w:eastAsia="Calibri" w:hAnsi="Verdana"/>
                <w:sz w:val="16"/>
                <w:szCs w:val="16"/>
                <w:lang w:val="pt-BR" w:eastAsia="es-ES"/>
              </w:rPr>
              <w:t xml:space="preserve">Carolina Quintero </w:t>
            </w:r>
            <w:proofErr w:type="spellStart"/>
            <w:r>
              <w:rPr>
                <w:rFonts w:ascii="Verdana" w:eastAsia="Calibri" w:hAnsi="Verdana"/>
                <w:sz w:val="16"/>
                <w:szCs w:val="16"/>
                <w:lang w:val="pt-BR" w:eastAsia="es-ES"/>
              </w:rPr>
              <w:t>Gacharná</w:t>
            </w:r>
            <w:proofErr w:type="spellEnd"/>
          </w:p>
          <w:p w14:paraId="3BD20EED" w14:textId="77777777" w:rsidR="00493433" w:rsidRDefault="00493433" w:rsidP="00813B0E">
            <w:pPr>
              <w:spacing w:after="255" w:line="254" w:lineRule="auto"/>
              <w:contextualSpacing/>
              <w:rPr>
                <w:rFonts w:ascii="Verdana" w:eastAsia="Calibri" w:hAnsi="Verdana"/>
                <w:sz w:val="16"/>
                <w:szCs w:val="16"/>
                <w:lang w:val="pt-BR" w:eastAsia="es-ES"/>
              </w:rPr>
            </w:pPr>
            <w:r>
              <w:rPr>
                <w:rFonts w:ascii="Verdana" w:eastAsia="Calibri" w:hAnsi="Verdana"/>
                <w:sz w:val="16"/>
                <w:szCs w:val="16"/>
                <w:lang w:eastAsia="es-ES"/>
              </w:rPr>
              <w:t>Subdirectora</w:t>
            </w:r>
            <w:r>
              <w:rPr>
                <w:rFonts w:ascii="Verdana" w:eastAsia="Calibri" w:hAnsi="Verdana"/>
                <w:sz w:val="16"/>
                <w:szCs w:val="16"/>
                <w:lang w:val="pt-BR" w:eastAsia="es-ES"/>
              </w:rPr>
              <w:t xml:space="preserve"> de Gestión Contratual ANCP – CCE</w:t>
            </w:r>
          </w:p>
        </w:tc>
      </w:tr>
    </w:tbl>
    <w:p w14:paraId="4FD9A84D" w14:textId="77777777" w:rsidR="004C60B5" w:rsidRDefault="004C60B5" w:rsidP="00493433">
      <w:pPr>
        <w:spacing w:after="0" w:line="240" w:lineRule="auto"/>
        <w:textAlignment w:val="baseline"/>
        <w:rPr>
          <w:rFonts w:ascii="Verdana" w:eastAsia="Verdana" w:hAnsi="Verdana" w:cs="Verdana"/>
          <w:lang w:eastAsia="es-CO"/>
        </w:rPr>
      </w:pPr>
    </w:p>
    <w:p w14:paraId="29351FF4" w14:textId="2CA01EFF" w:rsidR="00493433" w:rsidRPr="0015699B" w:rsidRDefault="00493433" w:rsidP="00493433">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0999B537" w14:textId="77777777" w:rsidR="007E5A5A" w:rsidRPr="00493433" w:rsidRDefault="007E5A5A" w:rsidP="00493433"/>
    <w:sectPr w:rsidR="007E5A5A" w:rsidRPr="00493433"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E9320B" w14:textId="77777777" w:rsidR="00B15F21" w:rsidRDefault="00B15F21" w:rsidP="004A1847">
      <w:pPr>
        <w:spacing w:after="0" w:line="240" w:lineRule="auto"/>
      </w:pPr>
      <w:r>
        <w:separator/>
      </w:r>
    </w:p>
  </w:endnote>
  <w:endnote w:type="continuationSeparator" w:id="0">
    <w:p w14:paraId="055EB327" w14:textId="77777777" w:rsidR="00B15F21" w:rsidRDefault="00B15F2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AA0505" w14:textId="77777777" w:rsidR="00B15F21" w:rsidRDefault="00B15F21" w:rsidP="004A1847">
      <w:pPr>
        <w:spacing w:after="0" w:line="240" w:lineRule="auto"/>
      </w:pPr>
      <w:r>
        <w:separator/>
      </w:r>
    </w:p>
  </w:footnote>
  <w:footnote w:type="continuationSeparator" w:id="0">
    <w:p w14:paraId="65637E93" w14:textId="77777777" w:rsidR="00B15F21" w:rsidRDefault="00B15F21" w:rsidP="004A1847">
      <w:pPr>
        <w:spacing w:after="0" w:line="240" w:lineRule="auto"/>
      </w:pPr>
      <w:r>
        <w:continuationSeparator/>
      </w:r>
    </w:p>
  </w:footnote>
  <w:footnote w:id="1">
    <w:p w14:paraId="795B1792" w14:textId="77777777" w:rsidR="00493433" w:rsidRPr="00454929" w:rsidRDefault="00493433" w:rsidP="00493433">
      <w:pPr>
        <w:pStyle w:val="Textonotapie"/>
        <w:ind w:firstLine="708"/>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Decreto 1088 de 1993: “Artículo 1° Aplicabilidad. Los Cabildos y/o Autoridades Tradicionales Indígenas, en representación de sus respectivos territorios indígenas, podrán conformar asociaciones de conformidad con el presente Decreto. </w:t>
      </w:r>
    </w:p>
    <w:p w14:paraId="36A425D7" w14:textId="77777777" w:rsidR="00493433" w:rsidRPr="00454929" w:rsidRDefault="00493433" w:rsidP="00493433">
      <w:pPr>
        <w:pStyle w:val="Textonotapie"/>
        <w:ind w:firstLine="708"/>
        <w:jc w:val="both"/>
        <w:rPr>
          <w:rFonts w:ascii="Verdana" w:hAnsi="Verdana" w:cs="Arial"/>
          <w:sz w:val="16"/>
          <w:szCs w:val="16"/>
        </w:rPr>
      </w:pPr>
      <w:r w:rsidRPr="00454929">
        <w:rPr>
          <w:rFonts w:ascii="Verdana" w:hAnsi="Verdana" w:cs="Arial"/>
          <w:sz w:val="16"/>
          <w:szCs w:val="16"/>
        </w:rPr>
        <w:t>“Artículo 2° Naturaleza Jurídica. Las asociaciones de que trata el presente Decreto son entidades de Derecho Público de carácter especial, con personería jurídica, patrimonio propio y autonomía administrativa”.</w:t>
      </w:r>
    </w:p>
  </w:footnote>
  <w:footnote w:id="2">
    <w:p w14:paraId="524C6EDD" w14:textId="77777777" w:rsidR="00493433" w:rsidRPr="00454929" w:rsidRDefault="00493433" w:rsidP="00493433">
      <w:pPr>
        <w:shd w:val="clear" w:color="auto" w:fill="FFFFFF"/>
        <w:spacing w:after="0" w:line="240" w:lineRule="auto"/>
        <w:ind w:firstLine="708"/>
        <w:jc w:val="both"/>
        <w:rPr>
          <w:rFonts w:ascii="Verdana" w:hAnsi="Verdana" w:cs="Arial"/>
          <w:color w:val="2D2D2D"/>
          <w:sz w:val="16"/>
          <w:szCs w:val="16"/>
          <w:lang w:eastAsia="es-CO"/>
        </w:rPr>
      </w:pPr>
      <w:r w:rsidRPr="00454929">
        <w:rPr>
          <w:rStyle w:val="Refdenotaalpie"/>
          <w:rFonts w:ascii="Verdana" w:hAnsi="Verdana" w:cs="Arial"/>
          <w:sz w:val="16"/>
          <w:szCs w:val="16"/>
        </w:rPr>
        <w:footnoteRef/>
      </w:r>
      <w:r w:rsidRPr="00454929">
        <w:rPr>
          <w:rFonts w:ascii="Verdana" w:hAnsi="Verdana" w:cs="Arial"/>
          <w:sz w:val="16"/>
          <w:szCs w:val="16"/>
        </w:rPr>
        <w:t xml:space="preserve"> Sobre la noción de Resguardos indígenas la Corte Constitucional: “</w:t>
      </w:r>
      <w:r w:rsidRPr="00454929">
        <w:rPr>
          <w:rFonts w:ascii="Verdana" w:hAnsi="Verdana" w:cs="Arial"/>
          <w:color w:val="2D2D2D"/>
          <w:sz w:val="16"/>
          <w:szCs w:val="16"/>
          <w:lang w:eastAsia="es-CO"/>
        </w:rPr>
        <w:t>Cabe recordar, que los resguardos indígenas se remontan a la época de la colonización española, fueron creados por Cédula Real y deben su nombre al propósito de “</w:t>
      </w:r>
      <w:r w:rsidRPr="00454929">
        <w:rPr>
          <w:rFonts w:ascii="Verdana" w:hAnsi="Verdana" w:cs="Arial"/>
          <w:i/>
          <w:color w:val="2D2D2D"/>
          <w:sz w:val="16"/>
          <w:szCs w:val="16"/>
          <w:lang w:eastAsia="es-CO"/>
        </w:rPr>
        <w:t>resguardar</w:t>
      </w:r>
      <w:r w:rsidRPr="00454929">
        <w:rPr>
          <w:rFonts w:ascii="Verdana" w:hAnsi="Verdana" w:cs="Arial"/>
          <w:color w:val="2D2D2D"/>
          <w:sz w:val="16"/>
          <w:szCs w:val="16"/>
          <w:lang w:eastAsia="es-CO"/>
        </w:rPr>
        <w:t xml:space="preserve">” a las comunidades indígenas del desalojo, el despojo y el exterminio al que estaban siendo sometidas por parte de los denominados conquistadores. </w:t>
      </w:r>
    </w:p>
    <w:p w14:paraId="5945F23E" w14:textId="77777777" w:rsidR="00493433" w:rsidRPr="00454929" w:rsidRDefault="00493433" w:rsidP="00493433">
      <w:pPr>
        <w:shd w:val="clear" w:color="auto" w:fill="FFFFFF"/>
        <w:spacing w:after="0" w:line="240" w:lineRule="auto"/>
        <w:ind w:firstLine="708"/>
        <w:jc w:val="both"/>
        <w:rPr>
          <w:rFonts w:ascii="Verdana" w:hAnsi="Verdana" w:cs="Arial"/>
          <w:color w:val="2D2D2D"/>
          <w:sz w:val="16"/>
          <w:szCs w:val="16"/>
          <w:lang w:eastAsia="es-CO"/>
        </w:rPr>
      </w:pPr>
    </w:p>
  </w:footnote>
  <w:footnote w:id="3">
    <w:p w14:paraId="6B6B2C2E" w14:textId="77777777" w:rsidR="00493433" w:rsidRPr="00454929" w:rsidRDefault="00493433" w:rsidP="00493433">
      <w:pPr>
        <w:pStyle w:val="NormalWeb"/>
        <w:spacing w:before="0" w:beforeAutospacing="0" w:after="0" w:afterAutospacing="0"/>
        <w:ind w:firstLine="708"/>
        <w:jc w:val="both"/>
        <w:rPr>
          <w:rFonts w:ascii="Verdana" w:hAnsi="Verdana" w:cs="Arial"/>
          <w:color w:val="000000"/>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Ley 160 de 1994: “</w:t>
      </w:r>
      <w:r w:rsidRPr="00454929">
        <w:rPr>
          <w:rFonts w:ascii="Verdana" w:hAnsi="Verdana" w:cs="Arial"/>
          <w:color w:val="000000"/>
          <w:sz w:val="16"/>
          <w:szCs w:val="16"/>
        </w:rPr>
        <w:t>Artículo 12. Son funciones del Instituto Colombiano de la Reforma Agraria:  </w:t>
      </w:r>
    </w:p>
    <w:p w14:paraId="098AE3FD" w14:textId="77777777" w:rsidR="00493433" w:rsidRPr="00454929" w:rsidRDefault="00493433" w:rsidP="00493433">
      <w:pPr>
        <w:spacing w:after="0" w:line="240" w:lineRule="auto"/>
        <w:ind w:firstLine="708"/>
        <w:jc w:val="both"/>
        <w:rPr>
          <w:rFonts w:ascii="Verdana" w:hAnsi="Verdana" w:cs="Arial"/>
          <w:color w:val="000000"/>
          <w:sz w:val="16"/>
          <w:szCs w:val="16"/>
          <w:lang w:eastAsia="es-CO"/>
        </w:rPr>
      </w:pPr>
      <w:r w:rsidRPr="00454929">
        <w:rPr>
          <w:rFonts w:ascii="Verdana" w:hAnsi="Verdana" w:cs="Arial"/>
          <w:color w:val="000000"/>
          <w:sz w:val="16"/>
          <w:szCs w:val="16"/>
          <w:lang w:eastAsia="es-CO"/>
        </w:rPr>
        <w:t>[…]</w:t>
      </w:r>
    </w:p>
    <w:p w14:paraId="30591D61" w14:textId="77777777" w:rsidR="00493433" w:rsidRPr="00454929" w:rsidRDefault="00493433" w:rsidP="00493433">
      <w:pPr>
        <w:spacing w:after="0" w:line="240" w:lineRule="auto"/>
        <w:ind w:firstLine="708"/>
        <w:jc w:val="both"/>
        <w:rPr>
          <w:rFonts w:ascii="Verdana" w:hAnsi="Verdana" w:cs="Arial"/>
          <w:color w:val="000000"/>
          <w:sz w:val="16"/>
          <w:szCs w:val="16"/>
          <w:lang w:eastAsia="es-CO"/>
        </w:rPr>
      </w:pPr>
      <w:r w:rsidRPr="00454929">
        <w:rPr>
          <w:rFonts w:ascii="Verdana" w:hAnsi="Verdana" w:cs="Arial"/>
          <w:color w:val="000000"/>
          <w:sz w:val="16"/>
          <w:szCs w:val="16"/>
          <w:lang w:eastAsia="es-CO"/>
        </w:rPr>
        <w:t>“18. Estudiar las necesidades de tierras de las comunidades indígenas y constituir, ampliar, sanear y reestructurar los resguardos en beneficio de las respectivas parcialidades […]”.</w:t>
      </w:r>
    </w:p>
    <w:p w14:paraId="65C8DC1E" w14:textId="77777777" w:rsidR="00493433" w:rsidRPr="00454929" w:rsidRDefault="00493433" w:rsidP="00493433">
      <w:pPr>
        <w:spacing w:after="0" w:line="240" w:lineRule="auto"/>
        <w:ind w:firstLine="708"/>
        <w:jc w:val="both"/>
        <w:rPr>
          <w:rFonts w:ascii="Verdana" w:hAnsi="Verdana" w:cs="Arial"/>
          <w:color w:val="000000"/>
          <w:sz w:val="16"/>
          <w:szCs w:val="16"/>
          <w:lang w:eastAsia="es-CO"/>
        </w:rPr>
      </w:pPr>
    </w:p>
  </w:footnote>
  <w:footnote w:id="4">
    <w:p w14:paraId="65B1487B" w14:textId="77777777" w:rsidR="00493433" w:rsidRPr="00454929" w:rsidRDefault="00493433" w:rsidP="00493433">
      <w:pPr>
        <w:pStyle w:val="Textonotapie"/>
        <w:ind w:firstLine="708"/>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Ley 160 de 1994 “Articulo 85. El Instituto estudiará las necesidades de tierras, de las comunidades indígenas, para el efecto de dotarlas de las superficies indispensables que faciliten su adecuado asentamiento y desarrollo, y además llevará a cabo el estudio de los títulos que aquellas presenten con el fin de establecer la existencia legal de los resguardos. </w:t>
      </w:r>
    </w:p>
    <w:p w14:paraId="5D3691DD" w14:textId="77777777" w:rsidR="00493433" w:rsidRPr="00454929" w:rsidRDefault="00493433" w:rsidP="00493433">
      <w:pPr>
        <w:pStyle w:val="Textonotapie"/>
        <w:ind w:firstLine="708"/>
        <w:jc w:val="both"/>
        <w:rPr>
          <w:rFonts w:ascii="Verdana" w:hAnsi="Verdana" w:cs="Arial"/>
          <w:sz w:val="16"/>
          <w:szCs w:val="16"/>
        </w:rPr>
      </w:pPr>
      <w:r w:rsidRPr="00454929">
        <w:rPr>
          <w:rFonts w:ascii="Verdana" w:hAnsi="Verdana" w:cs="Arial"/>
          <w:sz w:val="16"/>
          <w:szCs w:val="16"/>
        </w:rPr>
        <w:t xml:space="preserve">“Con tal objeto constituirá o ampliará resguardos de tierras y procederá al saneamiento de aquellos que estuvieren ocupados por personas que no pertenezcan a la respectiva parcialidad. </w:t>
      </w:r>
    </w:p>
  </w:footnote>
  <w:footnote w:id="5">
    <w:p w14:paraId="1186BCCE" w14:textId="77777777" w:rsidR="00493433" w:rsidRPr="00454929" w:rsidRDefault="00493433" w:rsidP="00493433">
      <w:pPr>
        <w:pStyle w:val="NormalWeb"/>
        <w:spacing w:before="0" w:beforeAutospacing="0" w:after="0" w:afterAutospacing="0"/>
        <w:ind w:firstLine="708"/>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Decreto 1953 de 2014: “</w:t>
      </w:r>
      <w:r w:rsidRPr="00454929">
        <w:rPr>
          <w:rFonts w:ascii="Verdana" w:hAnsi="Verdana" w:cs="Arial"/>
          <w:color w:val="000000"/>
          <w:sz w:val="16"/>
          <w:szCs w:val="16"/>
        </w:rPr>
        <w:t>Artículo 3°. Funcionamiento de los Territorios Indígenas</w:t>
      </w:r>
      <w:r w:rsidRPr="00454929">
        <w:rPr>
          <w:rFonts w:ascii="Verdana" w:hAnsi="Verdana" w:cs="Arial"/>
          <w:i/>
          <w:color w:val="000000"/>
          <w:sz w:val="16"/>
          <w:szCs w:val="16"/>
        </w:rPr>
        <w:t>. </w:t>
      </w:r>
      <w:r w:rsidRPr="00454929">
        <w:rPr>
          <w:rFonts w:ascii="Verdana" w:hAnsi="Verdana" w:cs="Arial"/>
          <w:color w:val="000000"/>
          <w:sz w:val="16"/>
          <w:szCs w:val="16"/>
        </w:rPr>
        <w:t xml:space="preserve">Los Territorios Indígenas podrán ponerse en funcionamiento, de manera transitoria, de conformidad con las disposiciones del presente decreto, mientras el Congreso expide la Ley Orgánica de Ordenamiento Territorial que crea las entidades territoriales indígenas. </w:t>
      </w:r>
    </w:p>
  </w:footnote>
  <w:footnote w:id="6">
    <w:p w14:paraId="7905E56D" w14:textId="77777777" w:rsidR="00493433" w:rsidRPr="00454929" w:rsidRDefault="00493433" w:rsidP="00493433">
      <w:pPr>
        <w:pStyle w:val="Textonotapie"/>
        <w:jc w:val="both"/>
        <w:rPr>
          <w:rFonts w:ascii="Verdana" w:hAnsi="Verdana" w:cs="Arial"/>
          <w:sz w:val="16"/>
          <w:szCs w:val="16"/>
        </w:rPr>
      </w:pPr>
    </w:p>
    <w:p w14:paraId="723F8872" w14:textId="77777777" w:rsidR="00493433" w:rsidRPr="00454929" w:rsidRDefault="00493433" w:rsidP="00493433">
      <w:pPr>
        <w:pStyle w:val="Textonotapie"/>
        <w:ind w:firstLine="708"/>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Ibidem. </w:t>
      </w:r>
    </w:p>
    <w:p w14:paraId="0A627561" w14:textId="77777777" w:rsidR="00493433" w:rsidRPr="00454929" w:rsidRDefault="00493433" w:rsidP="00493433">
      <w:pPr>
        <w:pStyle w:val="Textonotapie"/>
        <w:ind w:firstLine="708"/>
        <w:jc w:val="both"/>
        <w:rPr>
          <w:rFonts w:ascii="Verdana" w:hAnsi="Verdana" w:cs="Arial"/>
          <w:sz w:val="16"/>
          <w:szCs w:val="16"/>
        </w:rPr>
      </w:pPr>
    </w:p>
  </w:footnote>
  <w:footnote w:id="7">
    <w:p w14:paraId="7E3DB65E" w14:textId="77777777" w:rsidR="00493433" w:rsidRPr="00454929" w:rsidRDefault="00493433" w:rsidP="00493433">
      <w:pPr>
        <w:spacing w:after="0" w:line="240" w:lineRule="auto"/>
        <w:ind w:firstLine="708"/>
        <w:jc w:val="both"/>
        <w:rPr>
          <w:rFonts w:ascii="Verdana" w:eastAsia="Calibri" w:hAnsi="Verdana" w:cs="Arial"/>
          <w:sz w:val="16"/>
          <w:szCs w:val="16"/>
          <w:lang w:val="es-ES"/>
        </w:rPr>
      </w:pPr>
      <w:r w:rsidRPr="00454929">
        <w:rPr>
          <w:rStyle w:val="Refdenotaalpie"/>
          <w:rFonts w:ascii="Verdana" w:hAnsi="Verdana" w:cs="Arial"/>
          <w:sz w:val="16"/>
          <w:szCs w:val="16"/>
        </w:rPr>
        <w:footnoteRef/>
      </w:r>
      <w:r w:rsidRPr="00454929">
        <w:rPr>
          <w:rFonts w:ascii="Verdana" w:hAnsi="Verdana" w:cs="Arial"/>
          <w:sz w:val="16"/>
          <w:szCs w:val="16"/>
        </w:rPr>
        <w:t xml:space="preserve"> </w:t>
      </w:r>
      <w:r w:rsidRPr="00454929">
        <w:rPr>
          <w:rFonts w:ascii="Verdana" w:eastAsia="Calibri" w:hAnsi="Verdana" w:cs="Arial"/>
          <w:sz w:val="16"/>
          <w:szCs w:val="16"/>
          <w:lang w:val="es-ES"/>
        </w:rPr>
        <w:t xml:space="preserve">Artículo 20. Ejecución de recursos. Los actos o contratos que expidan o celebren los Territorios Indígenas, según sea el caso, para la ejecución de los recursos a que hace referencia el presente decreto, se regirán por las normas del Estatuto Orgánico de Presupuesto, el Estatuto de Contratación Estatal, las normas contables que para este efecto defina la Contaduría General de la Nación y las demás disposiciones complementarias, y por las disposiciones vigentes para aquellos sectores en los cuales haya sido certificado. </w:t>
      </w:r>
    </w:p>
    <w:p w14:paraId="208A33D4" w14:textId="77777777" w:rsidR="00493433" w:rsidRPr="00454929" w:rsidRDefault="00493433" w:rsidP="00493433">
      <w:pPr>
        <w:spacing w:after="0" w:line="240" w:lineRule="auto"/>
        <w:ind w:firstLine="708"/>
        <w:jc w:val="both"/>
        <w:rPr>
          <w:rFonts w:ascii="Verdana" w:eastAsia="Calibri" w:hAnsi="Verdana" w:cs="Arial"/>
          <w:sz w:val="16"/>
          <w:szCs w:val="16"/>
          <w:lang w:val="es-ES"/>
        </w:rPr>
      </w:pPr>
      <w:r w:rsidRPr="00454929">
        <w:rPr>
          <w:rFonts w:ascii="Verdana" w:eastAsia="Calibri" w:hAnsi="Verdana" w:cs="Arial"/>
          <w:sz w:val="16"/>
          <w:szCs w:val="16"/>
          <w:lang w:val="es-ES"/>
        </w:rPr>
        <w:t>Parágrafo. Cuando los Territorios Indígenas requieran celebrar contratos con las asociaciones de cabildos y/o autoridades tradicionales indígenas constituidos bajo lo dispuesto en el Decreto 1088 de 1993, la modalidad de selección se surtirá de acuerdo con lo establecido en el literal c) del numeral 4 del artículo 2° de la Ley 1150 de 2007.</w:t>
      </w:r>
    </w:p>
  </w:footnote>
  <w:footnote w:id="8">
    <w:p w14:paraId="70F31345" w14:textId="77777777" w:rsidR="00493433" w:rsidRPr="00454929" w:rsidRDefault="00493433" w:rsidP="00493433">
      <w:pPr>
        <w:pStyle w:val="Textonotapie"/>
        <w:ind w:firstLine="709"/>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Decreto 1953 de 2014: “Artículo 13. Competencias Generales de los Territorios Indígenas. Los Territorios Indígenas ejercerán las siguientes competencias dentro del ámbito de su autonomía para la gestión de sus intereses en el marco de sus planes de vida:</w:t>
      </w:r>
    </w:p>
    <w:p w14:paraId="3837344E" w14:textId="77777777" w:rsidR="00493433" w:rsidRPr="00454929" w:rsidRDefault="00493433" w:rsidP="00493433">
      <w:pPr>
        <w:pStyle w:val="Textonotapie"/>
        <w:ind w:firstLine="709"/>
        <w:jc w:val="both"/>
        <w:rPr>
          <w:rFonts w:ascii="Verdana" w:hAnsi="Verdana" w:cs="Arial"/>
          <w:sz w:val="16"/>
          <w:szCs w:val="16"/>
        </w:rPr>
      </w:pPr>
      <w:r w:rsidRPr="00454929">
        <w:rPr>
          <w:rFonts w:ascii="Verdana" w:hAnsi="Verdana" w:cs="Arial"/>
          <w:sz w:val="16"/>
          <w:szCs w:val="16"/>
        </w:rPr>
        <w:t>“1. Gobernarse por Autoridades Propias de acuerdo con la ley de origen, derecho mayor o derecho propio.</w:t>
      </w:r>
    </w:p>
    <w:p w14:paraId="38DE6017" w14:textId="77777777" w:rsidR="00493433" w:rsidRPr="00454929" w:rsidRDefault="00493433" w:rsidP="00493433">
      <w:pPr>
        <w:pStyle w:val="Textonotapie"/>
        <w:ind w:firstLine="709"/>
        <w:jc w:val="both"/>
        <w:rPr>
          <w:rFonts w:ascii="Verdana" w:hAnsi="Verdana" w:cs="Arial"/>
          <w:sz w:val="16"/>
          <w:szCs w:val="16"/>
        </w:rPr>
      </w:pPr>
      <w:r w:rsidRPr="00454929">
        <w:rPr>
          <w:rFonts w:ascii="Verdana" w:hAnsi="Verdana" w:cs="Arial"/>
          <w:sz w:val="16"/>
          <w:szCs w:val="16"/>
        </w:rPr>
        <w:t>“2. Ejercer las competencias y derechos establecidos en este decreto, conforme con la Constitución Política, la legislación nacional e internacional que hace parte del bloque de constitucionalidad, la ley de origen, el derecho mayor o derecho propio.</w:t>
      </w:r>
    </w:p>
    <w:p w14:paraId="46191E55" w14:textId="77777777" w:rsidR="00493433" w:rsidRPr="00454929" w:rsidRDefault="00493433" w:rsidP="00493433">
      <w:pPr>
        <w:pStyle w:val="Textonotapie"/>
        <w:ind w:firstLine="709"/>
        <w:jc w:val="both"/>
        <w:rPr>
          <w:rFonts w:ascii="Verdana" w:hAnsi="Verdana" w:cs="Arial"/>
          <w:sz w:val="16"/>
          <w:szCs w:val="16"/>
        </w:rPr>
      </w:pPr>
      <w:r w:rsidRPr="00454929">
        <w:rPr>
          <w:rFonts w:ascii="Verdana" w:hAnsi="Verdana" w:cs="Arial"/>
          <w:sz w:val="16"/>
          <w:szCs w:val="16"/>
        </w:rPr>
        <w:t>“3. Definir, ejecutar y evaluar las políticas económicas, sociales, ambientales y culturales propias en el marco de los planes de vida, en los respectivos territorios dentro del marco de la legislación nacional, y conforme a los principios de coordinación, concurrencia y subsidiariedad.</w:t>
      </w:r>
    </w:p>
    <w:p w14:paraId="4CAD83C3" w14:textId="77777777" w:rsidR="00493433" w:rsidRPr="00454929" w:rsidRDefault="00493433" w:rsidP="00493433">
      <w:pPr>
        <w:pStyle w:val="Textonotapie"/>
        <w:ind w:firstLine="709"/>
        <w:jc w:val="both"/>
        <w:rPr>
          <w:rFonts w:ascii="Verdana" w:hAnsi="Verdana" w:cs="Arial"/>
          <w:sz w:val="16"/>
          <w:szCs w:val="16"/>
        </w:rPr>
      </w:pPr>
      <w:r w:rsidRPr="00454929">
        <w:rPr>
          <w:rFonts w:ascii="Verdana" w:hAnsi="Verdana" w:cs="Arial"/>
          <w:sz w:val="16"/>
          <w:szCs w:val="16"/>
        </w:rPr>
        <w:t>“4. Darse sus estructuras de gobierno propio y de coordinación para efectos del desarrollo de sus respectivas competencias.</w:t>
      </w:r>
    </w:p>
    <w:p w14:paraId="37A4A45C" w14:textId="77777777" w:rsidR="00493433" w:rsidRPr="00454929" w:rsidRDefault="00493433" w:rsidP="00493433">
      <w:pPr>
        <w:pStyle w:val="Textonotapie"/>
        <w:ind w:firstLine="708"/>
        <w:jc w:val="both"/>
        <w:rPr>
          <w:rFonts w:ascii="Verdana" w:hAnsi="Verdana" w:cs="Arial"/>
          <w:sz w:val="16"/>
          <w:szCs w:val="16"/>
        </w:rPr>
      </w:pPr>
      <w:r w:rsidRPr="00454929">
        <w:rPr>
          <w:rFonts w:ascii="Verdana" w:hAnsi="Verdana" w:cs="Arial"/>
          <w:sz w:val="16"/>
          <w:szCs w:val="16"/>
        </w:rPr>
        <w:t>“5. Percibir y administrar los recursos provenientes de fuentes de financiación públicas y/o privadas para el desarrollo de sus funciones y competencias de acuerdo con lo establecido en este decreto”.</w:t>
      </w:r>
    </w:p>
  </w:footnote>
  <w:footnote w:id="9">
    <w:p w14:paraId="42423311" w14:textId="77777777" w:rsidR="00493433" w:rsidRPr="00454929" w:rsidRDefault="00493433" w:rsidP="00493433">
      <w:pPr>
        <w:pStyle w:val="Textonotapie"/>
        <w:ind w:firstLine="709"/>
        <w:contextualSpacing/>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00ADDE42" w14:textId="77777777" w:rsidR="00493433" w:rsidRPr="00454929" w:rsidRDefault="00493433" w:rsidP="00493433">
      <w:pPr>
        <w:pStyle w:val="Textonotapie"/>
        <w:ind w:firstLine="709"/>
        <w:contextualSpacing/>
        <w:jc w:val="both"/>
        <w:rPr>
          <w:rFonts w:ascii="Verdana" w:hAnsi="Verdana" w:cs="Arial"/>
          <w:sz w:val="16"/>
          <w:szCs w:val="16"/>
        </w:rPr>
      </w:pPr>
      <w:r w:rsidRPr="00454929">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29343D9B" w14:textId="77777777" w:rsidR="00493433" w:rsidRPr="00454929" w:rsidRDefault="00493433" w:rsidP="00493433">
      <w:pPr>
        <w:pStyle w:val="Textonotapie"/>
        <w:ind w:firstLine="709"/>
        <w:contextualSpacing/>
        <w:jc w:val="both"/>
        <w:rPr>
          <w:rFonts w:ascii="Verdana" w:hAnsi="Verdana" w:cs="Arial"/>
          <w:sz w:val="16"/>
          <w:szCs w:val="16"/>
        </w:rPr>
      </w:pPr>
    </w:p>
  </w:footnote>
  <w:footnote w:id="10">
    <w:p w14:paraId="542C1C8E" w14:textId="77777777" w:rsidR="00493433" w:rsidRPr="00454929" w:rsidRDefault="00493433" w:rsidP="00493433">
      <w:pPr>
        <w:pStyle w:val="Textonotapie"/>
        <w:ind w:firstLine="709"/>
        <w:contextualSpacing/>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Gaceta del Congreso de la República No. 71 del 2005.</w:t>
      </w:r>
    </w:p>
    <w:p w14:paraId="3B50503C" w14:textId="77777777" w:rsidR="00493433" w:rsidRPr="00454929" w:rsidRDefault="00493433" w:rsidP="00493433">
      <w:pPr>
        <w:pStyle w:val="Textonotapie"/>
        <w:ind w:firstLine="709"/>
        <w:contextualSpacing/>
        <w:jc w:val="both"/>
        <w:rPr>
          <w:rFonts w:ascii="Verdana" w:hAnsi="Verdana" w:cs="Arial"/>
          <w:sz w:val="16"/>
          <w:szCs w:val="16"/>
        </w:rPr>
      </w:pPr>
    </w:p>
  </w:footnote>
  <w:footnote w:id="11">
    <w:p w14:paraId="1322EB76" w14:textId="77777777" w:rsidR="00493433" w:rsidRDefault="00493433" w:rsidP="00493433">
      <w:pPr>
        <w:pStyle w:val="Textonotapie"/>
        <w:ind w:firstLine="709"/>
        <w:contextualSpacing/>
        <w:jc w:val="both"/>
        <w:rPr>
          <w:rFonts w:ascii="Verdana" w:hAnsi="Verdana" w:cs="Arial"/>
          <w:sz w:val="16"/>
          <w:szCs w:val="16"/>
          <w:lang w:val="pt-BR"/>
        </w:rPr>
      </w:pPr>
      <w:r w:rsidRPr="00454929">
        <w:rPr>
          <w:rStyle w:val="Refdenotaalpie"/>
          <w:rFonts w:ascii="Verdana" w:hAnsi="Verdana" w:cs="Arial"/>
          <w:sz w:val="16"/>
          <w:szCs w:val="16"/>
        </w:rPr>
        <w:footnoteRef/>
      </w:r>
      <w:r w:rsidRPr="00454929">
        <w:rPr>
          <w:rFonts w:ascii="Verdana" w:hAnsi="Verdana" w:cs="Arial"/>
          <w:sz w:val="16"/>
          <w:szCs w:val="16"/>
          <w:lang w:val="pt-BR"/>
        </w:rPr>
        <w:t xml:space="preserve"> Corte Constitucional, Sentencia C- 1153 de 2005, M.P. Marco Gerardo </w:t>
      </w:r>
      <w:proofErr w:type="spellStart"/>
      <w:r w:rsidRPr="00454929">
        <w:rPr>
          <w:rFonts w:ascii="Verdana" w:hAnsi="Verdana" w:cs="Arial"/>
          <w:sz w:val="16"/>
          <w:szCs w:val="16"/>
          <w:lang w:val="pt-BR"/>
        </w:rPr>
        <w:t>Monroy</w:t>
      </w:r>
      <w:proofErr w:type="spellEnd"/>
      <w:r w:rsidRPr="00454929">
        <w:rPr>
          <w:rFonts w:ascii="Verdana" w:hAnsi="Verdana" w:cs="Arial"/>
          <w:sz w:val="16"/>
          <w:szCs w:val="16"/>
          <w:lang w:val="pt-BR"/>
        </w:rPr>
        <w:t xml:space="preserve"> Cabra.</w:t>
      </w:r>
    </w:p>
    <w:p w14:paraId="3DAFC34B" w14:textId="77777777" w:rsidR="00493433" w:rsidRPr="00454929" w:rsidRDefault="00493433" w:rsidP="00493433">
      <w:pPr>
        <w:pStyle w:val="Textonotapie"/>
        <w:ind w:firstLine="709"/>
        <w:contextualSpacing/>
        <w:jc w:val="both"/>
        <w:rPr>
          <w:rFonts w:ascii="Verdana" w:hAnsi="Verdana" w:cs="Arial"/>
          <w:sz w:val="16"/>
          <w:szCs w:val="16"/>
          <w:lang w:val="pt-BR"/>
        </w:rPr>
      </w:pPr>
    </w:p>
  </w:footnote>
  <w:footnote w:id="12">
    <w:p w14:paraId="1AE3DB48" w14:textId="77777777" w:rsidR="00493433" w:rsidRPr="00454929" w:rsidRDefault="00493433" w:rsidP="00493433">
      <w:pPr>
        <w:pStyle w:val="Textonotapie"/>
        <w:ind w:firstLine="709"/>
        <w:contextualSpacing/>
        <w:jc w:val="both"/>
        <w:rPr>
          <w:rFonts w:ascii="Verdana" w:hAnsi="Verdana" w:cs="Arial"/>
          <w:sz w:val="16"/>
          <w:szCs w:val="16"/>
          <w:lang w:val="pt-BR"/>
        </w:rPr>
      </w:pPr>
      <w:r w:rsidRPr="00454929">
        <w:rPr>
          <w:rStyle w:val="Refdenotaalpie"/>
          <w:rFonts w:ascii="Verdana" w:hAnsi="Verdana" w:cs="Arial"/>
          <w:sz w:val="16"/>
          <w:szCs w:val="16"/>
        </w:rPr>
        <w:footnoteRef/>
      </w:r>
      <w:r w:rsidRPr="00454929">
        <w:rPr>
          <w:rFonts w:ascii="Verdana" w:hAnsi="Verdana" w:cs="Arial"/>
          <w:sz w:val="16"/>
          <w:szCs w:val="16"/>
          <w:lang w:val="pt-BR"/>
        </w:rPr>
        <w:t xml:space="preserve"> Corte Constitucional. Sentencias: C-233 de 4 de abril de 2002, expediente: D-3704; C-551 de 9 de </w:t>
      </w:r>
      <w:proofErr w:type="spellStart"/>
      <w:r w:rsidRPr="00454929">
        <w:rPr>
          <w:rFonts w:ascii="Verdana" w:hAnsi="Verdana" w:cs="Arial"/>
          <w:sz w:val="16"/>
          <w:szCs w:val="16"/>
          <w:lang w:val="pt-BR"/>
        </w:rPr>
        <w:t>julio</w:t>
      </w:r>
      <w:proofErr w:type="spellEnd"/>
      <w:r w:rsidRPr="00454929">
        <w:rPr>
          <w:rFonts w:ascii="Verdana" w:hAnsi="Verdana" w:cs="Arial"/>
          <w:sz w:val="16"/>
          <w:szCs w:val="16"/>
          <w:lang w:val="pt-BR"/>
        </w:rPr>
        <w:t xml:space="preserve"> de 2003, expediente: CRF-001 de 9 de </w:t>
      </w:r>
      <w:proofErr w:type="spellStart"/>
      <w:r w:rsidRPr="00454929">
        <w:rPr>
          <w:rFonts w:ascii="Verdana" w:hAnsi="Verdana" w:cs="Arial"/>
          <w:sz w:val="16"/>
          <w:szCs w:val="16"/>
          <w:lang w:val="pt-BR"/>
        </w:rPr>
        <w:t>julio</w:t>
      </w:r>
      <w:proofErr w:type="spellEnd"/>
      <w:r w:rsidRPr="00454929">
        <w:rPr>
          <w:rFonts w:ascii="Verdana" w:hAnsi="Verdana" w:cs="Arial"/>
          <w:sz w:val="16"/>
          <w:szCs w:val="16"/>
          <w:lang w:val="pt-BR"/>
        </w:rPr>
        <w:t xml:space="preserve"> de 2003; C-652 de 5 de agosto de 2003, expediente: D-4330; C-353 de 20 de </w:t>
      </w:r>
      <w:proofErr w:type="spellStart"/>
      <w:r w:rsidRPr="00454929">
        <w:rPr>
          <w:rFonts w:ascii="Verdana" w:hAnsi="Verdana" w:cs="Arial"/>
          <w:sz w:val="16"/>
          <w:szCs w:val="16"/>
          <w:lang w:val="pt-BR"/>
        </w:rPr>
        <w:t>mayo</w:t>
      </w:r>
      <w:proofErr w:type="spellEnd"/>
      <w:r w:rsidRPr="00454929">
        <w:rPr>
          <w:rFonts w:ascii="Verdana" w:hAnsi="Verdana" w:cs="Arial"/>
          <w:sz w:val="16"/>
          <w:szCs w:val="16"/>
          <w:lang w:val="pt-BR"/>
        </w:rPr>
        <w:t xml:space="preserve"> de 2009, expediente: D-7518, C-541 de 30 de </w:t>
      </w:r>
      <w:proofErr w:type="spellStart"/>
      <w:r w:rsidRPr="00454929">
        <w:rPr>
          <w:rFonts w:ascii="Verdana" w:hAnsi="Verdana" w:cs="Arial"/>
          <w:sz w:val="16"/>
          <w:szCs w:val="16"/>
          <w:lang w:val="pt-BR"/>
        </w:rPr>
        <w:t>junio</w:t>
      </w:r>
      <w:proofErr w:type="spellEnd"/>
      <w:r w:rsidRPr="00454929">
        <w:rPr>
          <w:rFonts w:ascii="Verdana" w:hAnsi="Verdana" w:cs="Arial"/>
          <w:sz w:val="16"/>
          <w:szCs w:val="16"/>
          <w:lang w:val="pt-BR"/>
        </w:rPr>
        <w:t xml:space="preserve"> de 2010, expediente: DD7966; entre otras.</w:t>
      </w:r>
    </w:p>
    <w:p w14:paraId="32601420" w14:textId="77777777" w:rsidR="00493433" w:rsidRPr="00454929" w:rsidRDefault="00493433" w:rsidP="00493433">
      <w:pPr>
        <w:pStyle w:val="Textonotapie"/>
        <w:ind w:firstLine="709"/>
        <w:contextualSpacing/>
        <w:jc w:val="both"/>
        <w:rPr>
          <w:rFonts w:ascii="Verdana" w:hAnsi="Verdana" w:cs="Arial"/>
          <w:sz w:val="16"/>
          <w:szCs w:val="16"/>
          <w:lang w:val="pt-BR"/>
        </w:rPr>
      </w:pPr>
    </w:p>
  </w:footnote>
  <w:footnote w:id="13">
    <w:p w14:paraId="2AF0E798" w14:textId="77777777" w:rsidR="00493433" w:rsidRPr="00454929" w:rsidRDefault="00493433" w:rsidP="00493433">
      <w:pPr>
        <w:pStyle w:val="Textonotapie"/>
        <w:ind w:firstLine="709"/>
        <w:contextualSpacing/>
        <w:jc w:val="both"/>
        <w:rPr>
          <w:rFonts w:ascii="Verdana" w:hAnsi="Verdana" w:cs="Arial"/>
          <w:sz w:val="16"/>
          <w:szCs w:val="16"/>
          <w:lang w:val="es-CO"/>
        </w:rPr>
      </w:pPr>
      <w:r w:rsidRPr="00454929">
        <w:rPr>
          <w:rStyle w:val="Refdenotaalpie"/>
          <w:rFonts w:ascii="Verdana" w:hAnsi="Verdana" w:cs="Arial"/>
          <w:sz w:val="16"/>
          <w:szCs w:val="16"/>
        </w:rPr>
        <w:footnoteRef/>
      </w:r>
      <w:r w:rsidRPr="00454929">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76F16F22" w14:textId="77777777" w:rsidR="00493433" w:rsidRPr="00454929" w:rsidRDefault="00493433" w:rsidP="00493433">
      <w:pPr>
        <w:pStyle w:val="Textonotapie"/>
        <w:ind w:firstLine="709"/>
        <w:contextualSpacing/>
        <w:jc w:val="both"/>
        <w:rPr>
          <w:rFonts w:ascii="Verdana" w:hAnsi="Verdana" w:cs="Arial"/>
          <w:sz w:val="16"/>
          <w:szCs w:val="16"/>
          <w:lang w:val="es-CO"/>
        </w:rPr>
      </w:pPr>
    </w:p>
  </w:footnote>
  <w:footnote w:id="14">
    <w:p w14:paraId="27415F0B" w14:textId="77777777" w:rsidR="00493433" w:rsidRDefault="00493433" w:rsidP="00493433">
      <w:pPr>
        <w:pStyle w:val="Textonotapie"/>
        <w:ind w:firstLine="709"/>
        <w:contextualSpacing/>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Consejo de Estado, Sala de Consulta y Servicio Civil de fecha 24 de julio de 2013, Rad. 2166, C. P. Álvaro Namén Vargas.  </w:t>
      </w:r>
    </w:p>
    <w:p w14:paraId="11E7EDDC" w14:textId="77777777" w:rsidR="00493433" w:rsidRPr="00454929" w:rsidRDefault="00493433" w:rsidP="00493433">
      <w:pPr>
        <w:pStyle w:val="Textonotapie"/>
        <w:ind w:firstLine="709"/>
        <w:contextualSpacing/>
        <w:jc w:val="both"/>
        <w:rPr>
          <w:rFonts w:ascii="Verdana" w:hAnsi="Verdana" w:cs="Arial"/>
          <w:sz w:val="16"/>
          <w:szCs w:val="16"/>
        </w:rPr>
      </w:pPr>
    </w:p>
  </w:footnote>
  <w:footnote w:id="15">
    <w:p w14:paraId="099CC1A1" w14:textId="77777777" w:rsidR="00493433" w:rsidRPr="00454929" w:rsidRDefault="00493433" w:rsidP="00493433">
      <w:pPr>
        <w:spacing w:after="0" w:line="240" w:lineRule="auto"/>
        <w:ind w:firstLine="709"/>
        <w:contextualSpacing/>
        <w:jc w:val="both"/>
        <w:rPr>
          <w:rFonts w:ascii="Verdana" w:eastAsia="Times New Roman"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w:t>
      </w:r>
      <w:r w:rsidRPr="00454929">
        <w:rPr>
          <w:rFonts w:ascii="Verdana" w:hAnsi="Verdana" w:cs="Arial"/>
          <w:color w:val="000000"/>
          <w:sz w:val="16"/>
          <w:szCs w:val="16"/>
        </w:rPr>
        <w:t>“</w:t>
      </w:r>
      <w:r w:rsidRPr="00454929">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5DBCF383" w14:textId="77777777" w:rsidR="00493433" w:rsidRPr="00454929" w:rsidRDefault="00493433" w:rsidP="00493433">
      <w:pPr>
        <w:spacing w:after="0" w:line="240" w:lineRule="auto"/>
        <w:ind w:firstLine="709"/>
        <w:contextualSpacing/>
        <w:jc w:val="both"/>
        <w:rPr>
          <w:rFonts w:ascii="Verdana" w:eastAsia="Times New Roman" w:hAnsi="Verdana" w:cs="Arial"/>
          <w:sz w:val="16"/>
          <w:szCs w:val="16"/>
        </w:rPr>
      </w:pPr>
      <w:r w:rsidRPr="00454929">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454929">
        <w:rPr>
          <w:rFonts w:ascii="Verdana" w:hAnsi="Verdana" w:cs="Arial"/>
          <w:color w:val="000000" w:themeColor="text1"/>
          <w:sz w:val="16"/>
          <w:szCs w:val="16"/>
        </w:rPr>
        <w:t>”</w:t>
      </w:r>
      <w:r w:rsidRPr="00454929">
        <w:rPr>
          <w:rFonts w:ascii="Verdana" w:eastAsia="Times New Roman" w:hAnsi="Verdana" w:cs="Arial"/>
          <w:sz w:val="16"/>
          <w:szCs w:val="16"/>
        </w:rPr>
        <w:t>.</w:t>
      </w:r>
    </w:p>
    <w:p w14:paraId="34D6C102" w14:textId="77777777" w:rsidR="00493433" w:rsidRPr="00454929" w:rsidRDefault="00493433" w:rsidP="00493433">
      <w:pPr>
        <w:spacing w:after="0" w:line="240" w:lineRule="auto"/>
        <w:ind w:firstLine="709"/>
        <w:contextualSpacing/>
        <w:jc w:val="both"/>
        <w:rPr>
          <w:rFonts w:ascii="Verdana" w:eastAsia="Times New Roman" w:hAnsi="Verdana" w:cs="Arial"/>
          <w:sz w:val="16"/>
          <w:szCs w:val="16"/>
        </w:rPr>
      </w:pPr>
    </w:p>
  </w:footnote>
  <w:footnote w:id="16">
    <w:p w14:paraId="2DB72A17" w14:textId="77777777" w:rsidR="00493433" w:rsidRPr="00454929" w:rsidRDefault="00493433" w:rsidP="00493433">
      <w:pPr>
        <w:pStyle w:val="NormalWeb"/>
        <w:spacing w:before="0" w:beforeAutospacing="0" w:after="0" w:afterAutospacing="0"/>
        <w:ind w:firstLine="709"/>
        <w:contextualSpacing/>
        <w:jc w:val="both"/>
        <w:rPr>
          <w:rFonts w:ascii="Verdana" w:hAnsi="Verdana" w:cs="Arial"/>
          <w:sz w:val="16"/>
          <w:szCs w:val="16"/>
          <w:lang w:val="es-MX"/>
        </w:rPr>
      </w:pPr>
      <w:r w:rsidRPr="00454929">
        <w:rPr>
          <w:rStyle w:val="Refdenotaalpie"/>
          <w:rFonts w:ascii="Verdana" w:hAnsi="Verdana" w:cs="Arial"/>
          <w:sz w:val="16"/>
          <w:szCs w:val="16"/>
        </w:rPr>
        <w:footnoteRef/>
      </w:r>
      <w:r w:rsidRPr="00454929">
        <w:rPr>
          <w:rFonts w:ascii="Verdana" w:hAnsi="Verdana" w:cs="Arial"/>
          <w:sz w:val="16"/>
          <w:szCs w:val="16"/>
        </w:rPr>
        <w:t xml:space="preserve"> </w:t>
      </w:r>
      <w:r w:rsidRPr="00454929">
        <w:rPr>
          <w:rFonts w:ascii="Verdana" w:eastAsia="Calibri" w:hAnsi="Verdana" w:cs="Arial"/>
          <w:color w:val="000000"/>
          <w:sz w:val="16"/>
          <w:szCs w:val="16"/>
        </w:rPr>
        <w:t>“</w:t>
      </w:r>
      <w:r w:rsidRPr="00454929">
        <w:rPr>
          <w:rFonts w:ascii="Verdana" w:hAnsi="Verdana" w:cs="Arial"/>
          <w:sz w:val="16"/>
          <w:szCs w:val="16"/>
          <w:lang w:val="es-MX"/>
        </w:rPr>
        <w:t>Artículo 38. Prohibiciones para los servidores públicos. A los empleados del Estado les está prohibido: […]</w:t>
      </w:r>
    </w:p>
    <w:p w14:paraId="66D68F51" w14:textId="77777777" w:rsidR="00493433" w:rsidRDefault="00493433" w:rsidP="00493433">
      <w:pPr>
        <w:pStyle w:val="NormalWeb"/>
        <w:spacing w:before="0" w:beforeAutospacing="0" w:after="0" w:afterAutospacing="0"/>
        <w:ind w:firstLine="709"/>
        <w:contextualSpacing/>
        <w:jc w:val="both"/>
        <w:rPr>
          <w:rFonts w:ascii="Verdana" w:hAnsi="Verdana" w:cs="Arial"/>
          <w:sz w:val="16"/>
          <w:szCs w:val="16"/>
          <w:lang w:val="es-MX"/>
        </w:rPr>
      </w:pPr>
      <w:r w:rsidRPr="00454929">
        <w:rPr>
          <w:rStyle w:val="baj"/>
          <w:rFonts w:ascii="Verdana" w:hAnsi="Verdana" w:cs="Arial"/>
          <w:sz w:val="16"/>
          <w:szCs w:val="16"/>
          <w:lang w:val="es-MX"/>
        </w:rPr>
        <w:t>Parágrafo.</w:t>
      </w:r>
      <w:r w:rsidRPr="00454929">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54929">
        <w:rPr>
          <w:rFonts w:ascii="Verdana" w:eastAsia="Calibri" w:hAnsi="Verdana" w:cs="Arial"/>
          <w:color w:val="000000"/>
          <w:sz w:val="16"/>
          <w:szCs w:val="16"/>
        </w:rPr>
        <w:t>”</w:t>
      </w:r>
      <w:r w:rsidRPr="00454929">
        <w:rPr>
          <w:rFonts w:ascii="Verdana" w:hAnsi="Verdana" w:cs="Arial"/>
          <w:sz w:val="16"/>
          <w:szCs w:val="16"/>
          <w:lang w:val="es-MX"/>
        </w:rPr>
        <w:t>.</w:t>
      </w:r>
    </w:p>
    <w:p w14:paraId="504503E5" w14:textId="77777777" w:rsidR="00493433" w:rsidRPr="00454929" w:rsidRDefault="00493433" w:rsidP="00493433">
      <w:pPr>
        <w:pStyle w:val="NormalWeb"/>
        <w:spacing w:before="0" w:beforeAutospacing="0" w:after="0" w:afterAutospacing="0"/>
        <w:ind w:firstLine="709"/>
        <w:contextualSpacing/>
        <w:jc w:val="both"/>
        <w:rPr>
          <w:rFonts w:ascii="Verdana" w:hAnsi="Verdana" w:cs="Arial"/>
          <w:sz w:val="16"/>
          <w:szCs w:val="16"/>
          <w:lang w:val="es-MX"/>
        </w:rPr>
      </w:pPr>
    </w:p>
  </w:footnote>
  <w:footnote w:id="17">
    <w:p w14:paraId="02B3507F" w14:textId="77777777" w:rsidR="00493433" w:rsidRPr="00454929" w:rsidRDefault="00493433" w:rsidP="00493433">
      <w:pPr>
        <w:spacing w:after="0" w:line="240" w:lineRule="auto"/>
        <w:ind w:left="100" w:right="244" w:firstLine="709"/>
        <w:contextualSpacing/>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8">
    <w:p w14:paraId="3423C59F" w14:textId="77777777" w:rsidR="00493433" w:rsidRPr="00F95083" w:rsidRDefault="00493433" w:rsidP="00493433">
      <w:pPr>
        <w:pStyle w:val="Textonotapie"/>
        <w:ind w:right="51"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w:t>
      </w:r>
      <w:r w:rsidRPr="00F95083">
        <w:rPr>
          <w:rFonts w:ascii="Verdana" w:hAnsi="Verdana" w:cs="Arial"/>
          <w:sz w:val="15"/>
          <w:szCs w:val="15"/>
          <w:lang w:val="es-ES"/>
        </w:rPr>
        <w:t xml:space="preserve">[25] </w:t>
      </w:r>
      <w:r w:rsidRPr="00F95083">
        <w:rPr>
          <w:rFonts w:ascii="Verdana" w:hAnsi="Verdana" w:cs="Arial"/>
          <w:sz w:val="15"/>
          <w:szCs w:val="15"/>
        </w:rPr>
        <w:t>Cfr. Consejo de Estado. Sección Tercera. Sentencia de 3 de diciembre de 2007. Radicados: 24.715, 25.206, 25.409, 24.524, 27.834, 25.410, 26.105, 28.244, 31.447 -acumulados-“.</w:t>
      </w:r>
    </w:p>
  </w:footnote>
  <w:footnote w:id="19">
    <w:p w14:paraId="5B61220E" w14:textId="77777777" w:rsidR="00493433" w:rsidRPr="00F95083" w:rsidRDefault="00493433" w:rsidP="00493433">
      <w:pPr>
        <w:pStyle w:val="Textonotapie"/>
        <w:ind w:right="51"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w:t>
      </w:r>
      <w:r w:rsidRPr="00F95083">
        <w:rPr>
          <w:rFonts w:ascii="Verdana" w:hAnsi="Verdana" w:cs="Arial"/>
          <w:sz w:val="15"/>
          <w:szCs w:val="15"/>
          <w:lang w:val="es-ES"/>
        </w:rPr>
        <w:t xml:space="preserve">[26] </w:t>
      </w:r>
      <w:r w:rsidRPr="00F95083">
        <w:rPr>
          <w:rFonts w:ascii="Verdana" w:hAnsi="Verdana" w:cs="Arial"/>
          <w:sz w:val="15"/>
          <w:szCs w:val="15"/>
        </w:rPr>
        <w:t>Al respecto ver el concepto 1712 de 2 de febrero de 2006. Consejo de Estado Sala de Consulta y Servicio Civil”.</w:t>
      </w:r>
    </w:p>
  </w:footnote>
  <w:footnote w:id="20">
    <w:p w14:paraId="386453E5" w14:textId="77777777" w:rsidR="00493433" w:rsidRPr="00F95083" w:rsidRDefault="00493433" w:rsidP="00493433">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del 2 de septiembre de 2013. Radicación número: 11001-03-06-000-2013-00412-00 (2168). Consejero Ponente: Álvaro Namén Vargas.</w:t>
      </w:r>
    </w:p>
  </w:footnote>
  <w:footnote w:id="21">
    <w:p w14:paraId="7BF345BD" w14:textId="77777777" w:rsidR="00493433" w:rsidRPr="00F95083" w:rsidRDefault="00493433" w:rsidP="00493433">
      <w:pPr>
        <w:pStyle w:val="Textonotapie"/>
        <w:ind w:firstLine="709"/>
        <w:jc w:val="both"/>
        <w:rPr>
          <w:rFonts w:ascii="Verdana" w:hAnsi="Verdana" w:cs="Arial"/>
          <w:sz w:val="15"/>
          <w:szCs w:val="15"/>
          <w:lang w:val="es-ES"/>
        </w:rPr>
      </w:pPr>
      <w:r w:rsidRPr="00F95083">
        <w:rPr>
          <w:rStyle w:val="Refdenotaalpie"/>
          <w:rFonts w:ascii="Verdana" w:hAnsi="Verdana" w:cs="Arial"/>
          <w:sz w:val="15"/>
          <w:szCs w:val="15"/>
        </w:rPr>
        <w:footnoteRef/>
      </w:r>
      <w:r w:rsidRPr="00F95083">
        <w:rPr>
          <w:rFonts w:ascii="Verdana" w:hAnsi="Verdana" w:cs="Arial"/>
          <w:sz w:val="15"/>
          <w:szCs w:val="15"/>
        </w:rPr>
        <w:t xml:space="preserve"> </w:t>
      </w:r>
      <w:r w:rsidRPr="00F95083">
        <w:rPr>
          <w:rFonts w:ascii="Verdana" w:hAnsi="Verdana" w:cs="Arial"/>
          <w:sz w:val="15"/>
          <w:szCs w:val="15"/>
          <w:lang w:val="es-ES"/>
        </w:rPr>
        <w:t xml:space="preserve">Artículo 2. </w:t>
      </w:r>
    </w:p>
  </w:footnote>
  <w:footnote w:id="22">
    <w:p w14:paraId="3EC763CA" w14:textId="77777777" w:rsidR="00493433" w:rsidRPr="00F95083" w:rsidRDefault="00493433" w:rsidP="00493433">
      <w:pPr>
        <w:pStyle w:val="Textonotapie"/>
        <w:ind w:firstLine="709"/>
        <w:jc w:val="both"/>
        <w:rPr>
          <w:rFonts w:ascii="Verdana" w:hAnsi="Verdana" w:cs="Arial"/>
          <w:sz w:val="15"/>
          <w:szCs w:val="15"/>
          <w:lang w:val="es-ES"/>
        </w:rPr>
      </w:pPr>
      <w:r w:rsidRPr="00F95083">
        <w:rPr>
          <w:rStyle w:val="Refdenotaalpie"/>
          <w:rFonts w:ascii="Verdana" w:hAnsi="Verdana" w:cs="Arial"/>
          <w:sz w:val="15"/>
          <w:szCs w:val="15"/>
        </w:rPr>
        <w:footnoteRef/>
      </w:r>
      <w:r w:rsidRPr="00F95083">
        <w:rPr>
          <w:rFonts w:ascii="Verdana" w:hAnsi="Verdana" w:cs="Arial"/>
          <w:sz w:val="15"/>
          <w:szCs w:val="15"/>
        </w:rPr>
        <w:t xml:space="preserve"> </w:t>
      </w:r>
      <w:r w:rsidRPr="00F95083">
        <w:rPr>
          <w:rFonts w:ascii="Verdana" w:hAnsi="Verdana" w:cs="Arial"/>
          <w:i/>
          <w:sz w:val="15"/>
          <w:szCs w:val="15"/>
          <w:lang w:val="es-ES"/>
        </w:rPr>
        <w:t>Ídem</w:t>
      </w:r>
      <w:r w:rsidRPr="00F95083">
        <w:rPr>
          <w:rFonts w:ascii="Verdana" w:hAnsi="Verdana" w:cs="Arial"/>
          <w:sz w:val="15"/>
          <w:szCs w:val="15"/>
          <w:lang w:val="es-ES"/>
        </w:rPr>
        <w:t>.</w:t>
      </w:r>
    </w:p>
  </w:footnote>
  <w:footnote w:id="23">
    <w:p w14:paraId="024C073E" w14:textId="77777777" w:rsidR="00493433" w:rsidRPr="00F95083" w:rsidRDefault="00493433" w:rsidP="00493433">
      <w:pPr>
        <w:pStyle w:val="Textonotapie"/>
        <w:ind w:firstLine="709"/>
        <w:jc w:val="both"/>
        <w:rPr>
          <w:rFonts w:ascii="Verdana" w:hAnsi="Verdana" w:cs="Arial"/>
          <w:sz w:val="15"/>
          <w:szCs w:val="15"/>
          <w:lang w:val="es-ES"/>
        </w:rPr>
      </w:pPr>
      <w:r w:rsidRPr="00F95083">
        <w:rPr>
          <w:rStyle w:val="Refdenotaalpie"/>
          <w:rFonts w:ascii="Verdana" w:hAnsi="Verdana" w:cs="Arial"/>
          <w:sz w:val="15"/>
          <w:szCs w:val="15"/>
        </w:rPr>
        <w:footnoteRef/>
      </w:r>
      <w:r w:rsidRPr="00F95083">
        <w:rPr>
          <w:rStyle w:val="Refdenotaalpie"/>
          <w:rFonts w:ascii="Verdana" w:hAnsi="Verdana" w:cs="Arial"/>
          <w:sz w:val="15"/>
          <w:szCs w:val="15"/>
        </w:rPr>
        <w:t xml:space="preserve"> </w:t>
      </w:r>
      <w:r w:rsidRPr="00F95083">
        <w:rPr>
          <w:rFonts w:ascii="Verdana" w:hAnsi="Verdana" w:cs="Arial"/>
          <w:sz w:val="15"/>
          <w:szCs w:val="15"/>
          <w:lang w:val="es-ES"/>
        </w:rPr>
        <w:t xml:space="preserve">“[…] A este respecto, cabe recordar que el artículo 860 del Código de Comercio regula la licitación en el derecho privado”. </w:t>
      </w:r>
    </w:p>
  </w:footnote>
  <w:footnote w:id="24">
    <w:p w14:paraId="39BE743F" w14:textId="77777777" w:rsidR="00493433" w:rsidRPr="00F95083" w:rsidRDefault="00493433" w:rsidP="00493433">
      <w:pPr>
        <w:shd w:val="clear" w:color="auto" w:fill="FFFFFF"/>
        <w:spacing w:after="0" w:line="240" w:lineRule="auto"/>
        <w:ind w:firstLine="709"/>
        <w:jc w:val="both"/>
        <w:rPr>
          <w:rFonts w:ascii="Verdana" w:hAnsi="Verdana" w:cs="Arial"/>
          <w:sz w:val="15"/>
          <w:szCs w:val="15"/>
          <w:lang w:val="es-ES"/>
        </w:rPr>
      </w:pPr>
      <w:r w:rsidRPr="00F95083">
        <w:rPr>
          <w:rStyle w:val="Refdenotaalpie"/>
          <w:rFonts w:ascii="Verdana" w:hAnsi="Verdana" w:cs="Arial"/>
          <w:sz w:val="15"/>
          <w:szCs w:val="15"/>
        </w:rPr>
        <w:footnoteRef/>
      </w:r>
      <w:r w:rsidRPr="00F95083">
        <w:rPr>
          <w:rStyle w:val="Refdenotaalpie"/>
          <w:rFonts w:ascii="Verdana" w:hAnsi="Verdana" w:cs="Arial"/>
          <w:sz w:val="15"/>
          <w:szCs w:val="15"/>
        </w:rPr>
        <w:t xml:space="preserve"> </w:t>
      </w:r>
      <w:r w:rsidRPr="00F95083">
        <w:rPr>
          <w:rFonts w:ascii="Verdana" w:hAnsi="Verdana" w:cs="Arial"/>
          <w:sz w:val="15"/>
          <w:szCs w:val="15"/>
          <w:lang w:val="es-ES"/>
        </w:rPr>
        <w:t>Consejo de Estado. Sala de Consulta y Servicio Civil, Concepto de 8 de mayo de 2018. Radicación Número: 11001-03-06-000-2018-00095-00(2382). C.P. Álvaro Namén Vargas.</w:t>
      </w:r>
    </w:p>
  </w:footnote>
  <w:footnote w:id="25">
    <w:p w14:paraId="5A7E5A7F" w14:textId="77777777" w:rsidR="00493433" w:rsidRPr="00F95083" w:rsidRDefault="00493433" w:rsidP="00493433">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del 08 de mayo de 2018. </w:t>
      </w:r>
      <w:proofErr w:type="spellStart"/>
      <w:r w:rsidRPr="00F95083">
        <w:rPr>
          <w:rFonts w:ascii="Verdana" w:hAnsi="Verdana" w:cs="Arial"/>
          <w:sz w:val="15"/>
          <w:szCs w:val="15"/>
        </w:rPr>
        <w:t>Exp</w:t>
      </w:r>
      <w:proofErr w:type="spellEnd"/>
      <w:r w:rsidRPr="00F95083">
        <w:rPr>
          <w:rFonts w:ascii="Verdana" w:hAnsi="Verdana" w:cs="Arial"/>
          <w:sz w:val="15"/>
          <w:szCs w:val="15"/>
        </w:rPr>
        <w:t>. 2.382. C.P. Álvaro Namén Vargas.</w:t>
      </w:r>
    </w:p>
  </w:footnote>
  <w:footnote w:id="26">
    <w:p w14:paraId="3C62A12A" w14:textId="77777777" w:rsidR="00493433" w:rsidRPr="00F95083" w:rsidRDefault="00493433" w:rsidP="00493433">
      <w:pPr>
        <w:pStyle w:val="Textonotapie"/>
        <w:ind w:firstLine="708"/>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 w:id="27">
    <w:p w14:paraId="2ECD98BB" w14:textId="77777777" w:rsidR="00493433" w:rsidRPr="00F95083" w:rsidRDefault="00493433" w:rsidP="00493433">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La Corte Constitucional mediante Sentencia C-1153-05 de 11 de noviembre de 2005, Magistrado Ponente Marco Gerardo Monroy Cabra, efectuó el Control constitucional al Proyecto de Ley Estatutaria </w:t>
      </w:r>
      <w:proofErr w:type="spellStart"/>
      <w:r w:rsidRPr="00F95083">
        <w:rPr>
          <w:rFonts w:ascii="Verdana" w:hAnsi="Verdana" w:cs="Arial"/>
          <w:sz w:val="15"/>
          <w:szCs w:val="15"/>
        </w:rPr>
        <w:t>N°</w:t>
      </w:r>
      <w:proofErr w:type="spellEnd"/>
      <w:r w:rsidRPr="00F95083">
        <w:rPr>
          <w:rFonts w:ascii="Verdana" w:hAnsi="Verdana" w:cs="Arial"/>
          <w:sz w:val="15"/>
          <w:szCs w:val="15"/>
        </w:rPr>
        <w:t xml:space="preserve"> 216/05 Senado, </w:t>
      </w:r>
      <w:proofErr w:type="spellStart"/>
      <w:r w:rsidRPr="00F95083">
        <w:rPr>
          <w:rFonts w:ascii="Verdana" w:hAnsi="Verdana" w:cs="Arial"/>
          <w:sz w:val="15"/>
          <w:szCs w:val="15"/>
        </w:rPr>
        <w:t>N°</w:t>
      </w:r>
      <w:proofErr w:type="spellEnd"/>
      <w:r w:rsidRPr="00F95083">
        <w:rPr>
          <w:rFonts w:ascii="Verdana" w:hAnsi="Verdana" w:cs="Arial"/>
          <w:sz w:val="15"/>
          <w:szCs w:val="15"/>
        </w:rPr>
        <w:t xml:space="preserve"> 235-Cámara que dio lugar a la Ley de Garantías Electorales.</w:t>
      </w:r>
    </w:p>
  </w:footnote>
  <w:footnote w:id="28">
    <w:p w14:paraId="20691AEC" w14:textId="77777777" w:rsidR="00493433" w:rsidRPr="00F95083" w:rsidRDefault="00493433" w:rsidP="00493433">
      <w:pPr>
        <w:spacing w:after="0" w:line="240" w:lineRule="auto"/>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9">
    <w:p w14:paraId="7B3A932B" w14:textId="77777777" w:rsidR="00493433" w:rsidRPr="00CB2288" w:rsidRDefault="00493433" w:rsidP="00493433">
      <w:pPr>
        <w:pStyle w:val="Textonotapie"/>
        <w:ind w:right="51" w:firstLine="709"/>
        <w:jc w:val="both"/>
        <w:rPr>
          <w:rFonts w:ascii="Verdana" w:eastAsia="Times New Roman" w:hAnsi="Verdana" w:cs="Arial"/>
          <w:bCs/>
          <w:sz w:val="15"/>
          <w:szCs w:val="15"/>
          <w:lang w:eastAsia="x-none"/>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 6 de abril de 2006. Radicación Número: 11001-03-06-000-2006-00038-00 (1738). C.P. Enrique José Arboleda Perdomo:</w:t>
      </w:r>
      <w:r w:rsidRPr="00F95083">
        <w:rPr>
          <w:rFonts w:ascii="Verdana" w:eastAsia="Times New Roman" w:hAnsi="Verdana" w:cs="Arial"/>
          <w:bCs/>
          <w:sz w:val="15"/>
          <w:szCs w:val="15"/>
          <w:lang w:eastAsia="x-none"/>
        </w:rPr>
        <w:t xml:space="preserve"> “</w:t>
      </w:r>
      <w:r w:rsidRPr="00F95083">
        <w:rPr>
          <w:rFonts w:ascii="Verdana" w:hAnsi="Verdana" w:cs="Arial"/>
          <w:sz w:val="15"/>
          <w:szCs w:val="15"/>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F95083">
        <w:rPr>
          <w:rFonts w:ascii="Verdana" w:eastAsia="Times New Roman" w:hAnsi="Verdana" w:cs="Arial"/>
          <w:bCs/>
          <w:sz w:val="15"/>
          <w:szCs w:val="15"/>
          <w:lang w:eastAsia="x-none"/>
        </w:rPr>
        <w:t>”.</w:t>
      </w:r>
    </w:p>
  </w:footnote>
  <w:footnote w:id="30">
    <w:p w14:paraId="112CC4BF" w14:textId="77777777" w:rsidR="00493433" w:rsidRPr="00F95083" w:rsidRDefault="00493433" w:rsidP="00493433">
      <w:pPr>
        <w:spacing w:after="0" w:line="240" w:lineRule="auto"/>
        <w:ind w:firstLine="708"/>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 6 de abril de 2006. Radicación Número: 11001-03-06-000-2006-00038-00(1738). Consejero Ponente: Enrique José Arboleda Perdomo. </w:t>
      </w:r>
    </w:p>
  </w:footnote>
  <w:footnote w:id="31">
    <w:p w14:paraId="7D848B0E" w14:textId="77777777" w:rsidR="00493433" w:rsidRPr="00F95083" w:rsidRDefault="00493433" w:rsidP="00493433">
      <w:pPr>
        <w:pStyle w:val="Textonotapie"/>
        <w:ind w:right="51"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ídem.</w:t>
      </w:r>
    </w:p>
  </w:footnote>
  <w:footnote w:id="32">
    <w:p w14:paraId="60D796B7" w14:textId="77777777" w:rsidR="00493433" w:rsidRPr="00454929" w:rsidRDefault="00493433" w:rsidP="00493433">
      <w:pPr>
        <w:pStyle w:val="Textonotapie"/>
        <w:ind w:firstLine="709"/>
        <w:contextualSpacing/>
        <w:jc w:val="both"/>
        <w:rPr>
          <w:rFonts w:ascii="Verdana" w:hAnsi="Verdana" w:cs="Arial"/>
          <w:sz w:val="16"/>
          <w:szCs w:val="16"/>
        </w:rPr>
      </w:pPr>
      <w:r w:rsidRPr="00454929">
        <w:rPr>
          <w:rStyle w:val="Refdenotaalpie"/>
          <w:rFonts w:ascii="Verdana" w:hAnsi="Verdana"/>
          <w:sz w:val="16"/>
          <w:szCs w:val="16"/>
        </w:rPr>
        <w:footnoteRef/>
      </w:r>
      <w:r w:rsidRPr="00454929">
        <w:rPr>
          <w:rFonts w:ascii="Verdana" w:hAnsi="Verdana"/>
          <w:sz w:val="16"/>
          <w:szCs w:val="16"/>
        </w:rPr>
        <w:t xml:space="preserve"> </w:t>
      </w:r>
      <w:r w:rsidRPr="00454929">
        <w:rPr>
          <w:rFonts w:ascii="Verdana" w:hAnsi="Verdana" w:cs="Arial"/>
          <w:sz w:val="16"/>
          <w:szCs w:val="16"/>
        </w:rPr>
        <w:t>Consejo de Estado -Sección Tercera-. Sentencia del 21 de febrero de 2025. Radicación Número: 68.280. CP: José Roberto Sáchica Méndez.</w:t>
      </w:r>
    </w:p>
    <w:p w14:paraId="49BDC36C" w14:textId="77777777" w:rsidR="00493433" w:rsidRPr="00454929" w:rsidRDefault="00493433" w:rsidP="00493433">
      <w:pPr>
        <w:pStyle w:val="Textonotapie"/>
        <w:ind w:firstLine="709"/>
        <w:contextualSpacing/>
        <w:jc w:val="both"/>
        <w:rPr>
          <w:rFonts w:ascii="Verdana" w:hAnsi="Verdana" w:cs="Arial"/>
          <w:sz w:val="16"/>
          <w:szCs w:val="16"/>
        </w:rPr>
      </w:pPr>
    </w:p>
  </w:footnote>
  <w:footnote w:id="33">
    <w:p w14:paraId="0FFED104" w14:textId="77777777" w:rsidR="00493433" w:rsidRPr="00454929" w:rsidRDefault="00493433" w:rsidP="00493433">
      <w:pPr>
        <w:pStyle w:val="Textonotapie"/>
        <w:ind w:firstLine="709"/>
        <w:contextualSpacing/>
        <w:jc w:val="both"/>
        <w:rPr>
          <w:rFonts w:ascii="Verdana" w:hAnsi="Verdana"/>
          <w:sz w:val="16"/>
          <w:szCs w:val="16"/>
          <w:lang w:val="es-CO"/>
        </w:rPr>
      </w:pPr>
      <w:r w:rsidRPr="00454929">
        <w:rPr>
          <w:rStyle w:val="Refdenotaalpie"/>
          <w:rFonts w:ascii="Verdana" w:hAnsi="Verdana"/>
          <w:sz w:val="16"/>
          <w:szCs w:val="16"/>
        </w:rPr>
        <w:footnoteRef/>
      </w:r>
      <w:r w:rsidRPr="00454929">
        <w:rPr>
          <w:rFonts w:ascii="Verdana" w:hAnsi="Verdana"/>
          <w:sz w:val="16"/>
          <w:szCs w:val="16"/>
          <w:lang w:val="es-CO"/>
        </w:rPr>
        <w:t xml:space="preserve"> Consejo de Estado, Sección Tercera. Auto del 4 de octubre de 2024. </w:t>
      </w:r>
      <w:proofErr w:type="spellStart"/>
      <w:r w:rsidRPr="00454929">
        <w:rPr>
          <w:rFonts w:ascii="Verdana" w:hAnsi="Verdana"/>
          <w:sz w:val="16"/>
          <w:szCs w:val="16"/>
          <w:lang w:val="es-CO"/>
        </w:rPr>
        <w:t>Exp</w:t>
      </w:r>
      <w:proofErr w:type="spellEnd"/>
      <w:r w:rsidRPr="00454929">
        <w:rPr>
          <w:rFonts w:ascii="Verdana" w:hAnsi="Verdana"/>
          <w:sz w:val="16"/>
          <w:szCs w:val="16"/>
          <w:lang w:val="es-CO"/>
        </w:rPr>
        <w:t>. 70.313. C.P: Fredy Ibarra Martínez.</w:t>
      </w:r>
    </w:p>
  </w:footnote>
  <w:footnote w:id="34">
    <w:p w14:paraId="3DA54492" w14:textId="77777777" w:rsidR="00493433" w:rsidRPr="00454929" w:rsidRDefault="00493433" w:rsidP="00493433">
      <w:pPr>
        <w:pStyle w:val="Textonotapie"/>
        <w:ind w:firstLine="709"/>
        <w:contextualSpacing/>
        <w:jc w:val="both"/>
        <w:rPr>
          <w:rFonts w:ascii="Verdana" w:hAnsi="Verdana"/>
          <w:sz w:val="16"/>
          <w:szCs w:val="16"/>
          <w:lang w:val="es-CO"/>
        </w:rPr>
      </w:pPr>
      <w:r w:rsidRPr="00454929">
        <w:rPr>
          <w:rStyle w:val="Refdenotaalpie"/>
          <w:rFonts w:ascii="Verdana" w:hAnsi="Verdana"/>
          <w:sz w:val="16"/>
          <w:szCs w:val="16"/>
        </w:rPr>
        <w:footnoteRef/>
      </w:r>
      <w:r w:rsidRPr="00454929">
        <w:rPr>
          <w:rFonts w:ascii="Verdana" w:hAnsi="Verdana"/>
          <w:sz w:val="16"/>
          <w:szCs w:val="16"/>
        </w:rPr>
        <w:t xml:space="preserve"> La parte resolutiva del auto dispone lo siguiente; “</w:t>
      </w:r>
      <w:r w:rsidRPr="00301509">
        <w:rPr>
          <w:rFonts w:ascii="Verdana" w:hAnsi="Verdana"/>
          <w:bCs/>
          <w:sz w:val="16"/>
          <w:szCs w:val="16"/>
          <w:lang w:val="es-CO"/>
        </w:rPr>
        <w:t>PRIMERO: DECRETAR la</w:t>
      </w:r>
      <w:r w:rsidRPr="00454929">
        <w:rPr>
          <w:rFonts w:ascii="Verdana" w:hAnsi="Verdana"/>
          <w:sz w:val="16"/>
          <w:szCs w:val="16"/>
          <w:lang w:val="es-CO"/>
        </w:rPr>
        <w:t xml:space="preserve"> suspensión provisional de los apartes cuestionados del inciso segundo del numeral 16.2 de la Circular Externa única, versión 3 del 27 de diciembre de 2023, expedida por la Agencia Nacional de Contratación Pública – Colombia Compra Eficiente, según el cual </w:t>
      </w:r>
      <w:r w:rsidRPr="00454929">
        <w:rPr>
          <w:rFonts w:ascii="Verdana" w:hAnsi="Verdana"/>
          <w:i/>
          <w:sz w:val="16"/>
          <w:szCs w:val="16"/>
          <w:lang w:val="es-CO"/>
        </w:rPr>
        <w:t>“[e]</w:t>
      </w:r>
      <w:proofErr w:type="spellStart"/>
      <w:r w:rsidRPr="00454929">
        <w:rPr>
          <w:rFonts w:ascii="Verdana" w:hAnsi="Verdana"/>
          <w:i/>
          <w:sz w:val="16"/>
          <w:szCs w:val="16"/>
          <w:lang w:val="es-CO"/>
        </w:rPr>
        <w:t>sta</w:t>
      </w:r>
      <w:proofErr w:type="spellEnd"/>
      <w:r w:rsidRPr="00454929">
        <w:rPr>
          <w:rFonts w:ascii="Verdana" w:hAnsi="Verdana"/>
          <w:i/>
          <w:sz w:val="16"/>
          <w:szCs w:val="16"/>
          <w:lang w:val="es-CO"/>
        </w:rPr>
        <w:t xml:space="preserve">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454929">
        <w:rPr>
          <w:rFonts w:ascii="Verdana" w:hAnsi="Verdana"/>
          <w:sz w:val="16"/>
          <w:szCs w:val="16"/>
          <w:lang w:val="es-CO"/>
        </w:rPr>
        <w:t xml:space="preserve">, por las razones expuestas en precedencia. </w:t>
      </w:r>
    </w:p>
    <w:p w14:paraId="08445EC6" w14:textId="77777777" w:rsidR="00493433" w:rsidRPr="00454929" w:rsidRDefault="00493433" w:rsidP="00493433">
      <w:pPr>
        <w:pStyle w:val="Textonotapie"/>
        <w:ind w:firstLine="709"/>
        <w:contextualSpacing/>
        <w:jc w:val="both"/>
        <w:rPr>
          <w:rFonts w:ascii="Verdana" w:hAnsi="Verdana"/>
          <w:sz w:val="16"/>
          <w:szCs w:val="16"/>
          <w:lang w:val="es-CO"/>
        </w:rPr>
      </w:pPr>
      <w:r w:rsidRPr="00301509">
        <w:rPr>
          <w:rFonts w:ascii="Verdana" w:hAnsi="Verdana"/>
          <w:bCs/>
          <w:sz w:val="16"/>
          <w:szCs w:val="16"/>
          <w:lang w:val="es-CO"/>
        </w:rPr>
        <w:t>SEGUNDO: DECRETAR</w:t>
      </w:r>
      <w:r w:rsidRPr="00454929">
        <w:rPr>
          <w:rFonts w:ascii="Verdana" w:hAnsi="Verdana"/>
          <w:b/>
          <w:sz w:val="16"/>
          <w:szCs w:val="16"/>
          <w:lang w:val="es-CO"/>
        </w:rPr>
        <w:t xml:space="preserve"> </w:t>
      </w:r>
      <w:r w:rsidRPr="00454929">
        <w:rPr>
          <w:rFonts w:ascii="Verdana" w:hAnsi="Verdana"/>
          <w:sz w:val="16"/>
          <w:szCs w:val="16"/>
          <w:lang w:val="es-CO"/>
        </w:rPr>
        <w:t>la suspensión provisional de la expresión “</w:t>
      </w:r>
      <w:r w:rsidRPr="00454929">
        <w:rPr>
          <w:rFonts w:ascii="Verdana" w:hAnsi="Verdana"/>
          <w:i/>
          <w:sz w:val="16"/>
          <w:szCs w:val="16"/>
          <w:lang w:val="es-CO"/>
        </w:rPr>
        <w:t>contratos</w:t>
      </w:r>
      <w:r w:rsidRPr="00454929">
        <w:rPr>
          <w:rFonts w:ascii="Verdana" w:hAnsi="Verdana"/>
          <w:sz w:val="16"/>
          <w:szCs w:val="16"/>
          <w:lang w:val="es-CO"/>
        </w:rPr>
        <w:t xml:space="preserve">” y del párrafo </w:t>
      </w:r>
      <w:r w:rsidRPr="00454929">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454929">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w:t>
      </w:r>
      <w:proofErr w:type="spellStart"/>
      <w:r w:rsidRPr="00454929">
        <w:rPr>
          <w:rFonts w:ascii="Verdana" w:hAnsi="Verdana"/>
          <w:sz w:val="16"/>
          <w:szCs w:val="16"/>
          <w:lang w:val="es-CO"/>
        </w:rPr>
        <w:t>Exp</w:t>
      </w:r>
      <w:proofErr w:type="spellEnd"/>
      <w:r w:rsidRPr="00454929">
        <w:rPr>
          <w:rFonts w:ascii="Verdana" w:hAnsi="Verdana"/>
          <w:sz w:val="16"/>
          <w:szCs w:val="16"/>
          <w:lang w:val="es-CO"/>
        </w:rPr>
        <w:t xml:space="preserve">. 72.424. C.P: Fernando Alexei Pardo </w:t>
      </w:r>
      <w:proofErr w:type="spellStart"/>
      <w:r w:rsidRPr="00454929">
        <w:rPr>
          <w:rFonts w:ascii="Verdana" w:hAnsi="Verdana"/>
          <w:sz w:val="16"/>
          <w:szCs w:val="16"/>
          <w:lang w:val="es-CO"/>
        </w:rPr>
        <w:t>Florez</w:t>
      </w:r>
      <w:proofErr w:type="spellEnd"/>
      <w:r w:rsidRPr="00454929">
        <w:rPr>
          <w:rFonts w:ascii="Verdana" w:hAnsi="Verdana"/>
          <w:sz w:val="16"/>
          <w:szCs w:val="16"/>
          <w:lang w:val="es-CO"/>
        </w:rPr>
        <w:t xml:space="preserve">. </w:t>
      </w:r>
    </w:p>
  </w:footnote>
  <w:footnote w:id="35">
    <w:p w14:paraId="41F47B37" w14:textId="77777777" w:rsidR="00493433" w:rsidRDefault="00493433" w:rsidP="00493433">
      <w:pPr>
        <w:spacing w:after="0" w:line="240" w:lineRule="auto"/>
        <w:ind w:firstLine="709"/>
        <w:contextualSpacing/>
        <w:jc w:val="both"/>
        <w:rPr>
          <w:rFonts w:ascii="Verdana" w:eastAsia="Times New Roman" w:hAnsi="Verdana" w:cs="Times New Roman"/>
          <w:sz w:val="16"/>
          <w:szCs w:val="16"/>
          <w:lang w:eastAsia="es-ES"/>
        </w:rPr>
      </w:pPr>
      <w:r w:rsidRPr="00454929">
        <w:rPr>
          <w:rStyle w:val="Refdenotaalpie"/>
          <w:rFonts w:ascii="Verdana" w:hAnsi="Verdana"/>
          <w:sz w:val="16"/>
          <w:szCs w:val="16"/>
        </w:rPr>
        <w:footnoteRef/>
      </w:r>
      <w:r w:rsidRPr="00454929">
        <w:rPr>
          <w:rFonts w:ascii="Verdana" w:hAnsi="Verdana"/>
          <w:sz w:val="16"/>
          <w:szCs w:val="16"/>
        </w:rPr>
        <w:t xml:space="preserve"> </w:t>
      </w:r>
      <w:r w:rsidRPr="00454929">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454929">
        <w:rPr>
          <w:rFonts w:ascii="Verdana" w:hAnsi="Verdana"/>
          <w:sz w:val="16"/>
          <w:szCs w:val="16"/>
        </w:rPr>
        <w:t xml:space="preserve">La parte de la providencia señala: </w:t>
      </w:r>
      <w:r w:rsidRPr="00454929">
        <w:rPr>
          <w:rFonts w:ascii="Verdana" w:eastAsia="Times New Roman" w:hAnsi="Verdana" w:cs="Times New Roman"/>
          <w:sz w:val="16"/>
          <w:szCs w:val="16"/>
          <w:lang w:eastAsia="es-ES"/>
        </w:rPr>
        <w:t xml:space="preserve">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roofErr w:type="spellStart"/>
      <w:r w:rsidRPr="00454929">
        <w:rPr>
          <w:rFonts w:ascii="Verdana" w:eastAsia="Times New Roman" w:hAnsi="Verdana" w:cs="Times New Roman"/>
          <w:sz w:val="16"/>
          <w:szCs w:val="16"/>
          <w:lang w:eastAsia="es-ES"/>
        </w:rPr>
        <w:t>ii</w:t>
      </w:r>
      <w:proofErr w:type="spellEnd"/>
      <w:r w:rsidRPr="00454929">
        <w:rPr>
          <w:rFonts w:ascii="Verdana" w:eastAsia="Times New Roman" w:hAnsi="Verdana" w:cs="Times New Roman"/>
          <w:sz w:val="16"/>
          <w:szCs w:val="16"/>
          <w:lang w:eastAsia="es-ES"/>
        </w:rPr>
        <w:t>)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5B27CA0A" w14:textId="77777777" w:rsidR="00493433" w:rsidRPr="00454929" w:rsidRDefault="00493433" w:rsidP="00493433">
      <w:pPr>
        <w:spacing w:after="0" w:line="240" w:lineRule="auto"/>
        <w:ind w:firstLine="709"/>
        <w:contextualSpacing/>
        <w:jc w:val="both"/>
        <w:rPr>
          <w:rFonts w:ascii="Verdana" w:eastAsia="Times New Roman" w:hAnsi="Verdana" w:cs="Times New Roman"/>
          <w:sz w:val="16"/>
          <w:szCs w:val="16"/>
          <w:lang w:eastAsia="es-ES"/>
        </w:rPr>
      </w:pPr>
    </w:p>
  </w:footnote>
  <w:footnote w:id="36">
    <w:p w14:paraId="207ED267" w14:textId="77777777" w:rsidR="00493433" w:rsidRPr="00454929" w:rsidRDefault="00493433" w:rsidP="00493433">
      <w:pPr>
        <w:pStyle w:val="Textonotapie"/>
        <w:ind w:firstLine="709"/>
        <w:jc w:val="both"/>
        <w:rPr>
          <w:rFonts w:ascii="Verdana" w:hAnsi="Verdana"/>
          <w:sz w:val="16"/>
          <w:szCs w:val="16"/>
          <w:lang w:val="es-CO"/>
        </w:rPr>
      </w:pPr>
      <w:r w:rsidRPr="00454929">
        <w:rPr>
          <w:rStyle w:val="Refdenotaalpie"/>
          <w:rFonts w:ascii="Verdana" w:hAnsi="Verdana"/>
          <w:sz w:val="16"/>
          <w:szCs w:val="16"/>
        </w:rPr>
        <w:footnoteRef/>
      </w:r>
      <w:r w:rsidRPr="00454929">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970"/>
    <w:rsid w:val="00005E1E"/>
    <w:rsid w:val="00013201"/>
    <w:rsid w:val="00014D9E"/>
    <w:rsid w:val="00016F78"/>
    <w:rsid w:val="0002029B"/>
    <w:rsid w:val="00020484"/>
    <w:rsid w:val="00031855"/>
    <w:rsid w:val="00035438"/>
    <w:rsid w:val="0004035A"/>
    <w:rsid w:val="00040801"/>
    <w:rsid w:val="000466BD"/>
    <w:rsid w:val="00046945"/>
    <w:rsid w:val="0005195F"/>
    <w:rsid w:val="00052B57"/>
    <w:rsid w:val="000547F7"/>
    <w:rsid w:val="00061547"/>
    <w:rsid w:val="00061B2A"/>
    <w:rsid w:val="000673BA"/>
    <w:rsid w:val="00071189"/>
    <w:rsid w:val="00071D46"/>
    <w:rsid w:val="00074CDA"/>
    <w:rsid w:val="00081B47"/>
    <w:rsid w:val="00082362"/>
    <w:rsid w:val="00082F90"/>
    <w:rsid w:val="0008354C"/>
    <w:rsid w:val="000838BA"/>
    <w:rsid w:val="00092DCC"/>
    <w:rsid w:val="000A50F2"/>
    <w:rsid w:val="000A683E"/>
    <w:rsid w:val="000A6D90"/>
    <w:rsid w:val="000B19B9"/>
    <w:rsid w:val="000D0334"/>
    <w:rsid w:val="000D15E3"/>
    <w:rsid w:val="000D5DA7"/>
    <w:rsid w:val="000E3C0C"/>
    <w:rsid w:val="000F6486"/>
    <w:rsid w:val="0010158A"/>
    <w:rsid w:val="001078E9"/>
    <w:rsid w:val="001131F7"/>
    <w:rsid w:val="00116940"/>
    <w:rsid w:val="00125105"/>
    <w:rsid w:val="00127233"/>
    <w:rsid w:val="00132DDE"/>
    <w:rsid w:val="0013793B"/>
    <w:rsid w:val="0015683D"/>
    <w:rsid w:val="0015699B"/>
    <w:rsid w:val="00160992"/>
    <w:rsid w:val="00161946"/>
    <w:rsid w:val="0016386A"/>
    <w:rsid w:val="00186559"/>
    <w:rsid w:val="00192440"/>
    <w:rsid w:val="0019248B"/>
    <w:rsid w:val="001A0022"/>
    <w:rsid w:val="001A2CE0"/>
    <w:rsid w:val="001A33BF"/>
    <w:rsid w:val="001B04E1"/>
    <w:rsid w:val="001B40D7"/>
    <w:rsid w:val="001C02BF"/>
    <w:rsid w:val="001C7A3B"/>
    <w:rsid w:val="001E4177"/>
    <w:rsid w:val="001F0A93"/>
    <w:rsid w:val="001F0B24"/>
    <w:rsid w:val="001F7DC6"/>
    <w:rsid w:val="0020697A"/>
    <w:rsid w:val="002112C9"/>
    <w:rsid w:val="0021326C"/>
    <w:rsid w:val="002133AC"/>
    <w:rsid w:val="00220E51"/>
    <w:rsid w:val="0022103D"/>
    <w:rsid w:val="0022400B"/>
    <w:rsid w:val="00225635"/>
    <w:rsid w:val="0022674B"/>
    <w:rsid w:val="002421BB"/>
    <w:rsid w:val="002439E8"/>
    <w:rsid w:val="0025796E"/>
    <w:rsid w:val="0026347A"/>
    <w:rsid w:val="002707A2"/>
    <w:rsid w:val="0027500F"/>
    <w:rsid w:val="00275223"/>
    <w:rsid w:val="00285515"/>
    <w:rsid w:val="002951A0"/>
    <w:rsid w:val="002962BC"/>
    <w:rsid w:val="002979E2"/>
    <w:rsid w:val="002A093D"/>
    <w:rsid w:val="002A0DD0"/>
    <w:rsid w:val="002A49AC"/>
    <w:rsid w:val="002A64FD"/>
    <w:rsid w:val="002B2A46"/>
    <w:rsid w:val="002C1DC7"/>
    <w:rsid w:val="002C5481"/>
    <w:rsid w:val="002C7024"/>
    <w:rsid w:val="002C7A84"/>
    <w:rsid w:val="002E2BF8"/>
    <w:rsid w:val="002E4FD9"/>
    <w:rsid w:val="002E61CB"/>
    <w:rsid w:val="002F0013"/>
    <w:rsid w:val="00301509"/>
    <w:rsid w:val="0030657A"/>
    <w:rsid w:val="00322A85"/>
    <w:rsid w:val="00322EC5"/>
    <w:rsid w:val="00324168"/>
    <w:rsid w:val="00330834"/>
    <w:rsid w:val="003344F3"/>
    <w:rsid w:val="003448F4"/>
    <w:rsid w:val="00364792"/>
    <w:rsid w:val="00371077"/>
    <w:rsid w:val="00372C6B"/>
    <w:rsid w:val="00374F5E"/>
    <w:rsid w:val="0037544F"/>
    <w:rsid w:val="0037556D"/>
    <w:rsid w:val="00375627"/>
    <w:rsid w:val="00377E3E"/>
    <w:rsid w:val="003820DF"/>
    <w:rsid w:val="003A779E"/>
    <w:rsid w:val="003C6845"/>
    <w:rsid w:val="003D0F4D"/>
    <w:rsid w:val="003D1B64"/>
    <w:rsid w:val="003D5B0D"/>
    <w:rsid w:val="003E0499"/>
    <w:rsid w:val="003E2D73"/>
    <w:rsid w:val="003E4F80"/>
    <w:rsid w:val="003E6439"/>
    <w:rsid w:val="003E735B"/>
    <w:rsid w:val="003F0CFC"/>
    <w:rsid w:val="003F3941"/>
    <w:rsid w:val="003F614D"/>
    <w:rsid w:val="00406575"/>
    <w:rsid w:val="00407DAB"/>
    <w:rsid w:val="00410798"/>
    <w:rsid w:val="00411BDC"/>
    <w:rsid w:val="00413BA2"/>
    <w:rsid w:val="0041468A"/>
    <w:rsid w:val="00414C74"/>
    <w:rsid w:val="004265F0"/>
    <w:rsid w:val="0042722E"/>
    <w:rsid w:val="00441CBA"/>
    <w:rsid w:val="0044391D"/>
    <w:rsid w:val="0044528D"/>
    <w:rsid w:val="00447D68"/>
    <w:rsid w:val="00454929"/>
    <w:rsid w:val="00460A3E"/>
    <w:rsid w:val="00466E39"/>
    <w:rsid w:val="004826B6"/>
    <w:rsid w:val="004905DF"/>
    <w:rsid w:val="0049280A"/>
    <w:rsid w:val="00493433"/>
    <w:rsid w:val="0049672E"/>
    <w:rsid w:val="004A1847"/>
    <w:rsid w:val="004A305D"/>
    <w:rsid w:val="004A6106"/>
    <w:rsid w:val="004C60B5"/>
    <w:rsid w:val="004D249E"/>
    <w:rsid w:val="004E615E"/>
    <w:rsid w:val="004F21C4"/>
    <w:rsid w:val="004F685F"/>
    <w:rsid w:val="00500CF5"/>
    <w:rsid w:val="00504FBE"/>
    <w:rsid w:val="00511259"/>
    <w:rsid w:val="0051328D"/>
    <w:rsid w:val="005173C4"/>
    <w:rsid w:val="005254E6"/>
    <w:rsid w:val="0053094D"/>
    <w:rsid w:val="00531CAE"/>
    <w:rsid w:val="00555728"/>
    <w:rsid w:val="005566E8"/>
    <w:rsid w:val="00556C7F"/>
    <w:rsid w:val="00560E48"/>
    <w:rsid w:val="005675BF"/>
    <w:rsid w:val="00574867"/>
    <w:rsid w:val="00576B1A"/>
    <w:rsid w:val="005846EA"/>
    <w:rsid w:val="0059023C"/>
    <w:rsid w:val="00591460"/>
    <w:rsid w:val="00591781"/>
    <w:rsid w:val="00591C5C"/>
    <w:rsid w:val="00593BF1"/>
    <w:rsid w:val="005A2F05"/>
    <w:rsid w:val="005A65E0"/>
    <w:rsid w:val="005B6132"/>
    <w:rsid w:val="005C3777"/>
    <w:rsid w:val="005C5CDC"/>
    <w:rsid w:val="005D2ED3"/>
    <w:rsid w:val="005D476C"/>
    <w:rsid w:val="005E29C8"/>
    <w:rsid w:val="005E3A7D"/>
    <w:rsid w:val="00612C39"/>
    <w:rsid w:val="00613744"/>
    <w:rsid w:val="006200BF"/>
    <w:rsid w:val="006204DF"/>
    <w:rsid w:val="006219F8"/>
    <w:rsid w:val="006302F7"/>
    <w:rsid w:val="00646B9F"/>
    <w:rsid w:val="006638D4"/>
    <w:rsid w:val="00665D70"/>
    <w:rsid w:val="0067695F"/>
    <w:rsid w:val="00684307"/>
    <w:rsid w:val="00687CC0"/>
    <w:rsid w:val="006900D9"/>
    <w:rsid w:val="006918E2"/>
    <w:rsid w:val="00694F2A"/>
    <w:rsid w:val="006C2D59"/>
    <w:rsid w:val="006E7646"/>
    <w:rsid w:val="006F73F6"/>
    <w:rsid w:val="00700FC1"/>
    <w:rsid w:val="00706C16"/>
    <w:rsid w:val="00712DFD"/>
    <w:rsid w:val="007173F3"/>
    <w:rsid w:val="00720881"/>
    <w:rsid w:val="007340C3"/>
    <w:rsid w:val="00746BE7"/>
    <w:rsid w:val="0075235A"/>
    <w:rsid w:val="00756841"/>
    <w:rsid w:val="007649AB"/>
    <w:rsid w:val="00765900"/>
    <w:rsid w:val="00771CCA"/>
    <w:rsid w:val="00771D0C"/>
    <w:rsid w:val="00782142"/>
    <w:rsid w:val="007833AC"/>
    <w:rsid w:val="0079605D"/>
    <w:rsid w:val="007A0A4B"/>
    <w:rsid w:val="007B268C"/>
    <w:rsid w:val="007B7171"/>
    <w:rsid w:val="007C0C0F"/>
    <w:rsid w:val="007C3DC2"/>
    <w:rsid w:val="007D4B2E"/>
    <w:rsid w:val="007D57F7"/>
    <w:rsid w:val="007E545B"/>
    <w:rsid w:val="007E5497"/>
    <w:rsid w:val="007E5A5A"/>
    <w:rsid w:val="007F431E"/>
    <w:rsid w:val="007F494F"/>
    <w:rsid w:val="008035CF"/>
    <w:rsid w:val="008036B4"/>
    <w:rsid w:val="00806F5F"/>
    <w:rsid w:val="0081175D"/>
    <w:rsid w:val="00816000"/>
    <w:rsid w:val="00820278"/>
    <w:rsid w:val="008258C9"/>
    <w:rsid w:val="008318E9"/>
    <w:rsid w:val="00832214"/>
    <w:rsid w:val="00834510"/>
    <w:rsid w:val="00834C77"/>
    <w:rsid w:val="008403B4"/>
    <w:rsid w:val="00840E4B"/>
    <w:rsid w:val="00841220"/>
    <w:rsid w:val="00844AE9"/>
    <w:rsid w:val="00846D07"/>
    <w:rsid w:val="00861E32"/>
    <w:rsid w:val="00865796"/>
    <w:rsid w:val="00867F95"/>
    <w:rsid w:val="008717DA"/>
    <w:rsid w:val="0087320F"/>
    <w:rsid w:val="008843B6"/>
    <w:rsid w:val="008864A5"/>
    <w:rsid w:val="00887563"/>
    <w:rsid w:val="00891928"/>
    <w:rsid w:val="008A446D"/>
    <w:rsid w:val="008A56A7"/>
    <w:rsid w:val="008B0077"/>
    <w:rsid w:val="008B25F1"/>
    <w:rsid w:val="008C17CB"/>
    <w:rsid w:val="008C7945"/>
    <w:rsid w:val="008D180B"/>
    <w:rsid w:val="008E12F2"/>
    <w:rsid w:val="008E492D"/>
    <w:rsid w:val="008E55E5"/>
    <w:rsid w:val="008F0EA7"/>
    <w:rsid w:val="009207CE"/>
    <w:rsid w:val="00923EEF"/>
    <w:rsid w:val="00926E3D"/>
    <w:rsid w:val="0093137C"/>
    <w:rsid w:val="00934F4F"/>
    <w:rsid w:val="009419F9"/>
    <w:rsid w:val="009433C7"/>
    <w:rsid w:val="00950F0B"/>
    <w:rsid w:val="0095685E"/>
    <w:rsid w:val="00957615"/>
    <w:rsid w:val="00961B09"/>
    <w:rsid w:val="00965334"/>
    <w:rsid w:val="0097093E"/>
    <w:rsid w:val="00970FE4"/>
    <w:rsid w:val="0097436F"/>
    <w:rsid w:val="009800F8"/>
    <w:rsid w:val="009833ED"/>
    <w:rsid w:val="00987C44"/>
    <w:rsid w:val="009948A2"/>
    <w:rsid w:val="0099559C"/>
    <w:rsid w:val="009A0DFA"/>
    <w:rsid w:val="009A1C6F"/>
    <w:rsid w:val="009B0E84"/>
    <w:rsid w:val="009B2D26"/>
    <w:rsid w:val="009B4037"/>
    <w:rsid w:val="009B604C"/>
    <w:rsid w:val="009C1F94"/>
    <w:rsid w:val="009C71FA"/>
    <w:rsid w:val="009C72E7"/>
    <w:rsid w:val="009C7F7E"/>
    <w:rsid w:val="009D3058"/>
    <w:rsid w:val="009F3A13"/>
    <w:rsid w:val="00A03375"/>
    <w:rsid w:val="00A060B6"/>
    <w:rsid w:val="00A122D3"/>
    <w:rsid w:val="00A14468"/>
    <w:rsid w:val="00A17F13"/>
    <w:rsid w:val="00A20739"/>
    <w:rsid w:val="00A23AF9"/>
    <w:rsid w:val="00A23DBA"/>
    <w:rsid w:val="00A32BE2"/>
    <w:rsid w:val="00A332C8"/>
    <w:rsid w:val="00A33C78"/>
    <w:rsid w:val="00A3402F"/>
    <w:rsid w:val="00A43116"/>
    <w:rsid w:val="00A43159"/>
    <w:rsid w:val="00A53532"/>
    <w:rsid w:val="00A554C9"/>
    <w:rsid w:val="00A575FE"/>
    <w:rsid w:val="00A92EC3"/>
    <w:rsid w:val="00A960E5"/>
    <w:rsid w:val="00AA0F1F"/>
    <w:rsid w:val="00AA63B5"/>
    <w:rsid w:val="00AB0ADB"/>
    <w:rsid w:val="00AD6C81"/>
    <w:rsid w:val="00AF1BE5"/>
    <w:rsid w:val="00B00C0E"/>
    <w:rsid w:val="00B01B1A"/>
    <w:rsid w:val="00B0381D"/>
    <w:rsid w:val="00B060A3"/>
    <w:rsid w:val="00B15F21"/>
    <w:rsid w:val="00B37969"/>
    <w:rsid w:val="00B44A47"/>
    <w:rsid w:val="00B45858"/>
    <w:rsid w:val="00B714B0"/>
    <w:rsid w:val="00B72CD3"/>
    <w:rsid w:val="00B72FFF"/>
    <w:rsid w:val="00B85A64"/>
    <w:rsid w:val="00BA1D42"/>
    <w:rsid w:val="00BA247B"/>
    <w:rsid w:val="00BB4382"/>
    <w:rsid w:val="00BB43C2"/>
    <w:rsid w:val="00BC3D36"/>
    <w:rsid w:val="00BC7A3D"/>
    <w:rsid w:val="00BD4350"/>
    <w:rsid w:val="00BD54A6"/>
    <w:rsid w:val="00BD7F72"/>
    <w:rsid w:val="00BE090D"/>
    <w:rsid w:val="00BF2144"/>
    <w:rsid w:val="00BF7425"/>
    <w:rsid w:val="00C04FB3"/>
    <w:rsid w:val="00C0783E"/>
    <w:rsid w:val="00C11D8B"/>
    <w:rsid w:val="00C15139"/>
    <w:rsid w:val="00C16A37"/>
    <w:rsid w:val="00C222DC"/>
    <w:rsid w:val="00C330EB"/>
    <w:rsid w:val="00C413E9"/>
    <w:rsid w:val="00C41DE8"/>
    <w:rsid w:val="00C44F26"/>
    <w:rsid w:val="00C50D69"/>
    <w:rsid w:val="00C5151D"/>
    <w:rsid w:val="00C5365C"/>
    <w:rsid w:val="00C54178"/>
    <w:rsid w:val="00C541CA"/>
    <w:rsid w:val="00C546CC"/>
    <w:rsid w:val="00C55BDE"/>
    <w:rsid w:val="00C708C9"/>
    <w:rsid w:val="00C72A81"/>
    <w:rsid w:val="00C754BE"/>
    <w:rsid w:val="00C76B1C"/>
    <w:rsid w:val="00C851C7"/>
    <w:rsid w:val="00C925AC"/>
    <w:rsid w:val="00CA3CFE"/>
    <w:rsid w:val="00CA7C8E"/>
    <w:rsid w:val="00CB1D05"/>
    <w:rsid w:val="00CB6357"/>
    <w:rsid w:val="00CC1B26"/>
    <w:rsid w:val="00CC2FD7"/>
    <w:rsid w:val="00CE3F9C"/>
    <w:rsid w:val="00CE58AD"/>
    <w:rsid w:val="00CE7967"/>
    <w:rsid w:val="00CF01D4"/>
    <w:rsid w:val="00CF2943"/>
    <w:rsid w:val="00CF29BA"/>
    <w:rsid w:val="00CF4966"/>
    <w:rsid w:val="00D177E6"/>
    <w:rsid w:val="00D201E9"/>
    <w:rsid w:val="00D25E73"/>
    <w:rsid w:val="00D302D9"/>
    <w:rsid w:val="00D323D9"/>
    <w:rsid w:val="00D361FD"/>
    <w:rsid w:val="00D414FE"/>
    <w:rsid w:val="00D423A2"/>
    <w:rsid w:val="00D42613"/>
    <w:rsid w:val="00D44E26"/>
    <w:rsid w:val="00D460D0"/>
    <w:rsid w:val="00D520D8"/>
    <w:rsid w:val="00D63AC2"/>
    <w:rsid w:val="00D7383B"/>
    <w:rsid w:val="00D7788A"/>
    <w:rsid w:val="00D82C96"/>
    <w:rsid w:val="00D86621"/>
    <w:rsid w:val="00D94D77"/>
    <w:rsid w:val="00DA02A1"/>
    <w:rsid w:val="00DA1FBF"/>
    <w:rsid w:val="00DA231B"/>
    <w:rsid w:val="00DA4A00"/>
    <w:rsid w:val="00DB2058"/>
    <w:rsid w:val="00DB2E63"/>
    <w:rsid w:val="00DC2676"/>
    <w:rsid w:val="00DC38B2"/>
    <w:rsid w:val="00DC39FC"/>
    <w:rsid w:val="00DC75CA"/>
    <w:rsid w:val="00DE440E"/>
    <w:rsid w:val="00DE4943"/>
    <w:rsid w:val="00DE79ED"/>
    <w:rsid w:val="00DF5254"/>
    <w:rsid w:val="00DF7CBC"/>
    <w:rsid w:val="00E02524"/>
    <w:rsid w:val="00E034B2"/>
    <w:rsid w:val="00E07A6B"/>
    <w:rsid w:val="00E1209B"/>
    <w:rsid w:val="00E13BCD"/>
    <w:rsid w:val="00E15C40"/>
    <w:rsid w:val="00E16408"/>
    <w:rsid w:val="00E20894"/>
    <w:rsid w:val="00E245AB"/>
    <w:rsid w:val="00E27291"/>
    <w:rsid w:val="00E2764C"/>
    <w:rsid w:val="00E27F2E"/>
    <w:rsid w:val="00E36176"/>
    <w:rsid w:val="00E46B80"/>
    <w:rsid w:val="00E50AFE"/>
    <w:rsid w:val="00E51371"/>
    <w:rsid w:val="00E75C92"/>
    <w:rsid w:val="00E771DC"/>
    <w:rsid w:val="00E826C6"/>
    <w:rsid w:val="00E849F4"/>
    <w:rsid w:val="00E84EEF"/>
    <w:rsid w:val="00E86265"/>
    <w:rsid w:val="00E8772A"/>
    <w:rsid w:val="00E90F6B"/>
    <w:rsid w:val="00E92C27"/>
    <w:rsid w:val="00E93496"/>
    <w:rsid w:val="00EA0E3D"/>
    <w:rsid w:val="00EB5A8E"/>
    <w:rsid w:val="00EC214E"/>
    <w:rsid w:val="00EC38A7"/>
    <w:rsid w:val="00EC74E9"/>
    <w:rsid w:val="00ED5F50"/>
    <w:rsid w:val="00ED765B"/>
    <w:rsid w:val="00EE04B9"/>
    <w:rsid w:val="00EE1AA8"/>
    <w:rsid w:val="00EF2E3F"/>
    <w:rsid w:val="00EF5BD7"/>
    <w:rsid w:val="00F01EE6"/>
    <w:rsid w:val="00F0382A"/>
    <w:rsid w:val="00F06C6E"/>
    <w:rsid w:val="00F07CE6"/>
    <w:rsid w:val="00F07F01"/>
    <w:rsid w:val="00F10689"/>
    <w:rsid w:val="00F23FEA"/>
    <w:rsid w:val="00F302DC"/>
    <w:rsid w:val="00F31EDC"/>
    <w:rsid w:val="00F32232"/>
    <w:rsid w:val="00F34198"/>
    <w:rsid w:val="00F4296A"/>
    <w:rsid w:val="00F462B3"/>
    <w:rsid w:val="00F5664F"/>
    <w:rsid w:val="00F60C80"/>
    <w:rsid w:val="00F63C15"/>
    <w:rsid w:val="00F666C4"/>
    <w:rsid w:val="00F76AFC"/>
    <w:rsid w:val="00F775C8"/>
    <w:rsid w:val="00F80590"/>
    <w:rsid w:val="00F9305C"/>
    <w:rsid w:val="00F96512"/>
    <w:rsid w:val="00FA2A14"/>
    <w:rsid w:val="00FA47C0"/>
    <w:rsid w:val="00FB5DD1"/>
    <w:rsid w:val="00FC2B5D"/>
    <w:rsid w:val="00FC403C"/>
    <w:rsid w:val="00FC6BC9"/>
    <w:rsid w:val="00FD6717"/>
    <w:rsid w:val="00FE2845"/>
    <w:rsid w:val="00FE31CD"/>
    <w:rsid w:val="00FE3454"/>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57615"/>
    <w:rPr>
      <w:rFonts w:ascii="Geomanist Light" w:hAnsi="Geomanist Light"/>
      <w:lang w:val="es-ES"/>
    </w:rPr>
  </w:style>
  <w:style w:type="paragraph" w:customStyle="1" w:styleId="Appelnotedebasde">
    <w:name w:val="Appel note de bas de..."/>
    <w:basedOn w:val="Normal"/>
    <w:link w:val="Refdenotaalpie"/>
    <w:uiPriority w:val="99"/>
    <w:rsid w:val="00EF2E3F"/>
    <w:pPr>
      <w:spacing w:line="240" w:lineRule="exact"/>
    </w:pPr>
    <w:rPr>
      <w:vertAlign w:val="superscript"/>
    </w:rPr>
  </w:style>
  <w:style w:type="character" w:customStyle="1" w:styleId="NormalWebCar">
    <w:name w:val="Normal (Web) Car"/>
    <w:link w:val="NormalWeb"/>
    <w:uiPriority w:val="99"/>
    <w:rsid w:val="00EF2E3F"/>
    <w:rPr>
      <w:rFonts w:ascii="Times New Roman" w:eastAsia="Times New Roman" w:hAnsi="Times New Roman" w:cs="Times New Roman"/>
      <w:sz w:val="24"/>
      <w:szCs w:val="24"/>
      <w:lang w:eastAsia="es-CO"/>
    </w:rPr>
  </w:style>
  <w:style w:type="character" w:customStyle="1" w:styleId="baj">
    <w:name w:val="b_aj"/>
    <w:basedOn w:val="Fuentedeprrafopredeter"/>
    <w:rsid w:val="00092DCC"/>
  </w:style>
  <w:style w:type="table" w:customStyle="1" w:styleId="Tablaconcuadrcula1">
    <w:name w:val="Tabla con cuadrícula1"/>
    <w:basedOn w:val="Tablanormal"/>
    <w:next w:val="Tablaconcuadrcula"/>
    <w:uiPriority w:val="39"/>
    <w:qFormat/>
    <w:rsid w:val="006638D4"/>
    <w:pPr>
      <w:spacing w:after="0" w:line="240" w:lineRule="auto"/>
    </w:pPr>
    <w:tblPr/>
  </w:style>
  <w:style w:type="table" w:customStyle="1" w:styleId="Tablaconcuadrcula11">
    <w:name w:val="Tabla con cuadrícula11"/>
    <w:basedOn w:val="Tablanormal"/>
    <w:next w:val="Tablaconcuadrcula"/>
    <w:uiPriority w:val="39"/>
    <w:qFormat/>
    <w:rsid w:val="00782142"/>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circular/circular-externa-006-de-2025"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dario@erazo.co"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6D03173-9E34-4A08-BC2F-30708C43E48C}">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8BBD2B75-43A0-469F-AC99-54771750A3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37</TotalTime>
  <Pages>35</Pages>
  <Words>11388</Words>
  <Characters>62640</Characters>
  <Application>Microsoft Office Word</Application>
  <DocSecurity>0</DocSecurity>
  <Lines>522</Lines>
  <Paragraphs>147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10</cp:revision>
  <cp:lastPrinted>2023-01-10T21:18:00Z</cp:lastPrinted>
  <dcterms:created xsi:type="dcterms:W3CDTF">2026-05-20T14:44:00Z</dcterms:created>
  <dcterms:modified xsi:type="dcterms:W3CDTF">2026-05-20T16:24:00Z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