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E7727" w14:textId="77777777" w:rsidR="00DD5F4E" w:rsidRPr="00DD5F4E" w:rsidRDefault="00DD5F4E" w:rsidP="005F65E0">
      <w:pPr>
        <w:spacing w:after="0" w:line="240" w:lineRule="auto"/>
        <w:jc w:val="both"/>
        <w:rPr>
          <w:rFonts w:ascii="Verdana" w:eastAsia="Verdana" w:hAnsi="Verdana" w:cs="Verdana"/>
          <w:b/>
          <w:lang w:val="es-ES"/>
        </w:rPr>
      </w:pPr>
      <w:bookmarkStart w:id="0" w:name="_Hlk143780582"/>
      <w:r w:rsidRPr="00DD5F4E">
        <w:rPr>
          <w:rFonts w:ascii="Verdana" w:eastAsia="Verdana" w:hAnsi="Verdana" w:cs="Verdana"/>
          <w:b/>
          <w:lang w:val="es-ES"/>
        </w:rPr>
        <w:t>EGCAP – Ámbito de aplicación – Entidades estatales</w:t>
      </w:r>
    </w:p>
    <w:p w14:paraId="378EDB93" w14:textId="598A1A34" w:rsidR="00DD5F4E" w:rsidRDefault="00DD5F4E" w:rsidP="005F65E0">
      <w:pPr>
        <w:spacing w:after="0" w:line="240" w:lineRule="auto"/>
        <w:jc w:val="both"/>
        <w:rPr>
          <w:rFonts w:ascii="Verdana" w:eastAsia="Verdana" w:hAnsi="Verdana" w:cs="Verdana"/>
          <w:b/>
          <w:lang w:val="es-ES"/>
        </w:rPr>
      </w:pPr>
    </w:p>
    <w:p w14:paraId="1E19248A" w14:textId="01868C9E" w:rsidR="00DD5F4E" w:rsidRDefault="00DD5F4E" w:rsidP="005F65E0">
      <w:pPr>
        <w:spacing w:after="0" w:line="240" w:lineRule="auto"/>
        <w:jc w:val="both"/>
        <w:rPr>
          <w:rFonts w:ascii="Verdana" w:eastAsia="Verdana" w:hAnsi="Verdana" w:cs="Verdana"/>
          <w:sz w:val="20"/>
          <w:lang w:val="es-ES"/>
        </w:rPr>
      </w:pPr>
      <w:r w:rsidRPr="00DD5F4E">
        <w:rPr>
          <w:rFonts w:ascii="Verdana" w:eastAsia="Verdana" w:hAnsi="Verdana" w:cs="Verdana"/>
          <w:sz w:val="20"/>
          <w:lang w:val="es-ES"/>
        </w:rPr>
        <w:t xml:space="preserve">De acuerdo con el inciso final del artículo 150 superior, corresponde al Congreso de la República expedir el EGCAP y, en especial, de la Administración Nacional. Esta competencia fue ejercida con la expedición de la Ley 80 de 1993, la cual rige para las </w:t>
      </w:r>
      <w:r w:rsidRPr="00DD5F4E">
        <w:rPr>
          <w:rFonts w:ascii="Verdana" w:eastAsia="Verdana" w:hAnsi="Verdana" w:cs="Verdana"/>
          <w:i/>
          <w:iCs/>
          <w:sz w:val="20"/>
          <w:lang w:val="es-ES"/>
        </w:rPr>
        <w:t>entidades estatales</w:t>
      </w:r>
      <w:r w:rsidRPr="00DD5F4E">
        <w:rPr>
          <w:rFonts w:ascii="Verdana" w:eastAsia="Verdana" w:hAnsi="Verdana" w:cs="Verdana"/>
          <w:sz w:val="20"/>
          <w:lang w:val="es-ES"/>
        </w:rPr>
        <w:t xml:space="preserve">, esto es, aquellas previstas en los literales a) y b) del numeral 1 del artículo 2 </w:t>
      </w:r>
      <w:r w:rsidRPr="00DD5F4E">
        <w:rPr>
          <w:rFonts w:ascii="Verdana" w:eastAsia="Verdana" w:hAnsi="Verdana" w:cs="Verdana"/>
          <w:i/>
          <w:iCs/>
          <w:sz w:val="20"/>
          <w:lang w:val="es-ES"/>
        </w:rPr>
        <w:t>ibidem</w:t>
      </w:r>
      <w:r w:rsidRPr="00DD5F4E">
        <w:rPr>
          <w:rFonts w:ascii="Verdana" w:eastAsia="Verdana" w:hAnsi="Verdana" w:cs="Verdana"/>
          <w:sz w:val="20"/>
          <w:lang w:val="es-ES"/>
        </w:rPr>
        <w:t xml:space="preserve">. La norma citada define la competencia contractual en los siguientes términos: </w:t>
      </w:r>
    </w:p>
    <w:p w14:paraId="21CD2C9E" w14:textId="77777777" w:rsidR="00DD5F4E" w:rsidRPr="00DD5F4E" w:rsidRDefault="00DD5F4E" w:rsidP="005F65E0">
      <w:pPr>
        <w:spacing w:after="0" w:line="240" w:lineRule="auto"/>
        <w:jc w:val="both"/>
        <w:rPr>
          <w:rFonts w:ascii="Verdana" w:eastAsia="Verdana" w:hAnsi="Verdana" w:cs="Verdana"/>
          <w:sz w:val="20"/>
          <w:lang w:val="es-ES"/>
        </w:rPr>
      </w:pPr>
    </w:p>
    <w:p w14:paraId="459B7622" w14:textId="0878F47B" w:rsidR="00DD5F4E" w:rsidRDefault="00DD5F4E" w:rsidP="005F65E0">
      <w:pPr>
        <w:spacing w:after="0" w:line="240" w:lineRule="auto"/>
        <w:jc w:val="both"/>
        <w:rPr>
          <w:rFonts w:ascii="Verdana" w:eastAsia="Verdana" w:hAnsi="Verdana" w:cs="Verdana"/>
          <w:sz w:val="20"/>
          <w:lang w:val="es-ES"/>
        </w:rPr>
      </w:pPr>
      <w:r w:rsidRPr="00DD5F4E">
        <w:rPr>
          <w:rFonts w:ascii="Verdana" w:eastAsia="Verdana" w:hAnsi="Verdana" w:cs="Verdana"/>
          <w:sz w:val="20"/>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2347D97E" w14:textId="77777777" w:rsidR="00DD5F4E" w:rsidRPr="00DD5F4E" w:rsidRDefault="00DD5F4E" w:rsidP="005F65E0">
      <w:pPr>
        <w:spacing w:after="0" w:line="240" w:lineRule="auto"/>
        <w:jc w:val="both"/>
        <w:rPr>
          <w:rFonts w:ascii="Verdana" w:eastAsia="Verdana" w:hAnsi="Verdana" w:cs="Verdana"/>
          <w:sz w:val="20"/>
          <w:lang w:val="es-ES"/>
        </w:rPr>
      </w:pPr>
    </w:p>
    <w:p w14:paraId="221C1FCC" w14:textId="4E6CCDE7" w:rsidR="00DD5F4E" w:rsidRPr="00DD5F4E" w:rsidRDefault="00DD5F4E" w:rsidP="005F65E0">
      <w:pPr>
        <w:spacing w:after="0" w:line="240" w:lineRule="auto"/>
        <w:jc w:val="both"/>
        <w:rPr>
          <w:rFonts w:ascii="Verdana" w:eastAsia="Verdana" w:hAnsi="Verdana" w:cs="Verdana"/>
          <w:sz w:val="20"/>
          <w:lang w:val="es-ES"/>
        </w:rPr>
      </w:pPr>
      <w:r w:rsidRPr="00DD5F4E">
        <w:rPr>
          <w:rFonts w:ascii="Verdana" w:eastAsia="Verdana" w:hAnsi="Verdana" w:cs="Verdana"/>
          <w:sz w:val="20"/>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p>
    <w:p w14:paraId="3F23FBD9" w14:textId="77777777" w:rsidR="00DD5F4E" w:rsidRPr="00DD5F4E" w:rsidRDefault="00DD5F4E" w:rsidP="005F65E0">
      <w:pPr>
        <w:spacing w:after="0" w:line="240" w:lineRule="auto"/>
        <w:jc w:val="both"/>
        <w:rPr>
          <w:rFonts w:ascii="Verdana" w:eastAsia="Verdana" w:hAnsi="Verdana" w:cs="Verdana"/>
          <w:b/>
          <w:lang w:val="es-ES"/>
        </w:rPr>
      </w:pPr>
    </w:p>
    <w:p w14:paraId="06010115" w14:textId="77777777" w:rsidR="00DD5F4E" w:rsidRPr="00DD5F4E" w:rsidRDefault="00DD5F4E" w:rsidP="005F65E0">
      <w:pPr>
        <w:spacing w:after="0" w:line="240" w:lineRule="auto"/>
        <w:jc w:val="both"/>
        <w:rPr>
          <w:rFonts w:ascii="Verdana" w:eastAsia="Verdana" w:hAnsi="Verdana" w:cs="Verdana"/>
          <w:b/>
          <w:lang w:val="es-ES"/>
        </w:rPr>
      </w:pPr>
      <w:r w:rsidRPr="00DD5F4E">
        <w:rPr>
          <w:rFonts w:ascii="Verdana" w:eastAsia="Verdana" w:hAnsi="Verdana" w:cs="Verdana"/>
          <w:b/>
          <w:lang w:val="es-ES"/>
        </w:rPr>
        <w:t xml:space="preserve">CONTRATO ESTATAL – Criterio orgánico </w:t>
      </w:r>
    </w:p>
    <w:p w14:paraId="7B1501CB" w14:textId="77777777" w:rsidR="00DD5F4E" w:rsidRPr="00DD5F4E" w:rsidRDefault="00DD5F4E" w:rsidP="005F65E0">
      <w:pPr>
        <w:spacing w:after="0" w:line="240" w:lineRule="auto"/>
        <w:jc w:val="both"/>
        <w:rPr>
          <w:rFonts w:ascii="Verdana" w:eastAsia="Verdana" w:hAnsi="Verdana" w:cs="Verdana"/>
          <w:sz w:val="20"/>
          <w:lang w:val="es-ES"/>
        </w:rPr>
      </w:pPr>
    </w:p>
    <w:p w14:paraId="3A5F096C" w14:textId="2FDC5C21" w:rsidR="00DD5F4E" w:rsidRPr="00DD5F4E" w:rsidRDefault="00DD5F4E" w:rsidP="005F65E0">
      <w:pPr>
        <w:spacing w:after="0" w:line="240" w:lineRule="auto"/>
        <w:jc w:val="both"/>
        <w:rPr>
          <w:rFonts w:ascii="Verdana" w:eastAsia="Verdana" w:hAnsi="Verdana" w:cs="Verdana"/>
          <w:sz w:val="20"/>
          <w:lang w:val="es-ES"/>
        </w:rPr>
      </w:pPr>
      <w:r w:rsidRPr="00DD5F4E">
        <w:rPr>
          <w:rFonts w:ascii="Verdana" w:eastAsia="Verdana" w:hAnsi="Verdana" w:cs="Verdana"/>
          <w:sz w:val="20"/>
          <w:lang w:val="es-ES"/>
        </w:rPr>
        <w:t>De esta manera, el contrato estatal es el acto jurídico creador de obligaciones a cuya celebración concurra una de las entidades estatales, independientemente de que se trate de contratos previstos o tipificados en el derecho privado, en disposiciones especiales o que resulten del ejercicio de la autonomía de la voluntad, como sucede con los que se clasifican como atípicos e innominados.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p>
    <w:p w14:paraId="33C71D27" w14:textId="77777777" w:rsidR="00DD5F4E" w:rsidRPr="00DD5F4E" w:rsidRDefault="00DD5F4E" w:rsidP="005F65E0">
      <w:pPr>
        <w:spacing w:after="0" w:line="240" w:lineRule="auto"/>
        <w:jc w:val="both"/>
        <w:rPr>
          <w:rFonts w:ascii="Verdana" w:eastAsia="Verdana" w:hAnsi="Verdana" w:cs="Verdana"/>
          <w:lang w:val="es-ES"/>
        </w:rPr>
      </w:pPr>
    </w:p>
    <w:p w14:paraId="684CF159" w14:textId="77777777" w:rsidR="00DD5F4E" w:rsidRPr="00DD5F4E" w:rsidRDefault="00DD5F4E" w:rsidP="005F65E0">
      <w:pPr>
        <w:spacing w:after="0" w:line="240" w:lineRule="auto"/>
        <w:jc w:val="both"/>
        <w:rPr>
          <w:rFonts w:ascii="Verdana" w:eastAsia="Verdana" w:hAnsi="Verdana" w:cs="Verdana"/>
          <w:b/>
          <w:lang w:val="es-ES"/>
        </w:rPr>
      </w:pPr>
      <w:r w:rsidRPr="00DD5F4E">
        <w:rPr>
          <w:rFonts w:ascii="Verdana" w:eastAsia="Verdana" w:hAnsi="Verdana" w:cs="Verdana"/>
          <w:b/>
          <w:lang w:val="es-ES"/>
        </w:rPr>
        <w:t xml:space="preserve">CAJAS DE COMPENSACIÓN FAMILIAR – Naturaleza Jurídica </w:t>
      </w:r>
    </w:p>
    <w:p w14:paraId="43C859D2" w14:textId="77777777" w:rsidR="00DD5F4E" w:rsidRDefault="00DD5F4E" w:rsidP="005F65E0">
      <w:pPr>
        <w:spacing w:after="0" w:line="240" w:lineRule="auto"/>
        <w:jc w:val="both"/>
        <w:rPr>
          <w:rFonts w:ascii="Verdana" w:hAnsi="Verdana"/>
          <w:b/>
          <w:lang w:val="es-ES"/>
        </w:rPr>
      </w:pPr>
    </w:p>
    <w:p w14:paraId="782AAE78" w14:textId="77777777" w:rsidR="00DD5F4E" w:rsidRPr="001D1FE7" w:rsidRDefault="00DD5F4E" w:rsidP="005F65E0">
      <w:pPr>
        <w:spacing w:after="0" w:line="240" w:lineRule="auto"/>
        <w:jc w:val="both"/>
        <w:rPr>
          <w:rFonts w:ascii="Verdana" w:hAnsi="Verdana"/>
          <w:sz w:val="20"/>
        </w:rPr>
      </w:pPr>
      <w:r w:rsidRPr="001D1FE7">
        <w:rPr>
          <w:rFonts w:ascii="Verdana" w:hAnsi="Verdana"/>
          <w:sz w:val="20"/>
        </w:rPr>
        <w:t>Estas entidades, pese a ser privadas y sin ánimo de lucro, forman parte del sistema de seguridad social y actúan bajo un régimen de vigilancia, inspección y control estatal. Su naturaleza jurídica se ha configurado alrededor de la idea de que cumplen funciones de interés público, en especial, en la administración de recursos parafiscales y en la prestación de servicios sociales complementarios. Esto implica que, aunque no integran la estructura orgánica del Estado, sí están sometidas a un marco regulatorio estricto que garantiza transparencia, destinación específica de los recursos y sujeción a los fines constitucionales de la seguridad social.</w:t>
      </w:r>
    </w:p>
    <w:p w14:paraId="187421FD" w14:textId="77777777" w:rsidR="00DD5F4E" w:rsidRPr="001D1FE7" w:rsidRDefault="00DD5F4E" w:rsidP="005F65E0">
      <w:pPr>
        <w:spacing w:after="0" w:line="240" w:lineRule="auto"/>
        <w:jc w:val="both"/>
        <w:rPr>
          <w:rFonts w:ascii="Verdana" w:hAnsi="Verdana"/>
          <w:sz w:val="20"/>
        </w:rPr>
      </w:pPr>
    </w:p>
    <w:p w14:paraId="3A48AC12" w14:textId="77777777" w:rsidR="00DD5F4E" w:rsidRPr="001D1FE7" w:rsidRDefault="00DD5F4E" w:rsidP="005F65E0">
      <w:pPr>
        <w:spacing w:after="0" w:line="240" w:lineRule="auto"/>
        <w:jc w:val="both"/>
        <w:rPr>
          <w:rFonts w:ascii="Verdana" w:hAnsi="Verdana"/>
          <w:sz w:val="20"/>
        </w:rPr>
      </w:pPr>
      <w:r w:rsidRPr="001D1FE7">
        <w:rPr>
          <w:rFonts w:ascii="Verdana" w:hAnsi="Verdana"/>
          <w:sz w:val="20"/>
        </w:rPr>
        <w:t>Con el tiempo, su papel se ha ampliado hacia la colaboración funcional con el Estado, convirtiéndose en instituciones que coadyuvan en la gestión del servicio público de seguridad social. Esta colaboración no las transforma en entidades estatales, pero sí justifica una intervención más intensa del Estado en su operación, en virtud de la protección del interés general, la adecuada administración de los aportes parafiscales y la garantía de acceso equitativo a los beneficios sociales que administran.</w:t>
      </w:r>
    </w:p>
    <w:p w14:paraId="21F7DA30" w14:textId="77777777" w:rsidR="00DD5F4E" w:rsidRPr="00DD5F4E" w:rsidRDefault="00DD5F4E" w:rsidP="005F65E0">
      <w:pPr>
        <w:spacing w:after="0" w:line="240" w:lineRule="auto"/>
        <w:jc w:val="both"/>
        <w:rPr>
          <w:rFonts w:ascii="Verdana" w:eastAsia="Verdana" w:hAnsi="Verdana" w:cs="Verdana"/>
          <w:b/>
        </w:rPr>
      </w:pPr>
    </w:p>
    <w:p w14:paraId="4CAE8BA1" w14:textId="77777777" w:rsidR="00DD5F4E" w:rsidRPr="00DD5F4E" w:rsidRDefault="00DD5F4E" w:rsidP="005F65E0">
      <w:pPr>
        <w:spacing w:after="0" w:line="240" w:lineRule="auto"/>
        <w:jc w:val="both"/>
        <w:rPr>
          <w:rFonts w:ascii="Verdana" w:eastAsia="Verdana" w:hAnsi="Verdana" w:cs="Verdana"/>
          <w:b/>
          <w:lang w:val="es-ES"/>
        </w:rPr>
      </w:pPr>
      <w:r w:rsidRPr="00DD5F4E">
        <w:rPr>
          <w:rFonts w:ascii="Verdana" w:eastAsia="Verdana" w:hAnsi="Verdana" w:cs="Verdana"/>
          <w:b/>
          <w:lang w:val="es-ES"/>
        </w:rPr>
        <w:t>CAJAS DE COMPENSACIÓN FAMILIAR – Recursos – Naturaleza de los recursos</w:t>
      </w:r>
    </w:p>
    <w:p w14:paraId="638B99E4" w14:textId="7734D7A5" w:rsidR="00DD5F4E" w:rsidRPr="001D1FE7" w:rsidRDefault="00DD5F4E" w:rsidP="005F65E0">
      <w:pPr>
        <w:spacing w:after="0" w:line="240" w:lineRule="auto"/>
        <w:jc w:val="both"/>
        <w:rPr>
          <w:rFonts w:ascii="Verdana" w:hAnsi="Verdana"/>
          <w:b/>
          <w:lang w:val="es-ES"/>
        </w:rPr>
      </w:pPr>
    </w:p>
    <w:p w14:paraId="7D9BB191" w14:textId="77777777" w:rsidR="00DD5F4E" w:rsidRPr="001D1FE7" w:rsidRDefault="00DD5F4E" w:rsidP="005F65E0">
      <w:pPr>
        <w:spacing w:after="0" w:line="240" w:lineRule="auto"/>
        <w:jc w:val="both"/>
        <w:rPr>
          <w:rFonts w:ascii="Verdana" w:hAnsi="Verdana"/>
          <w:sz w:val="20"/>
        </w:rPr>
      </w:pPr>
      <w:r w:rsidRPr="001D1FE7">
        <w:rPr>
          <w:rFonts w:ascii="Verdana" w:hAnsi="Verdana"/>
          <w:sz w:val="20"/>
        </w:rPr>
        <w:t xml:space="preserve">Ahora bien, el Consejo de Estado sobre la naturaleza de los aportes que reciben dichas Cajas, en su calidad de administradoras del subsidio familiar, enfatizó que la legislación y la jurisprudencia le han otorgado la calidad de recursos parafiscales. </w:t>
      </w:r>
    </w:p>
    <w:p w14:paraId="58F7FD89" w14:textId="77777777" w:rsidR="00DD5F4E" w:rsidRPr="001D1FE7" w:rsidRDefault="00DD5F4E" w:rsidP="005F65E0">
      <w:pPr>
        <w:spacing w:after="0" w:line="240" w:lineRule="auto"/>
        <w:jc w:val="both"/>
        <w:rPr>
          <w:rFonts w:ascii="Verdana" w:hAnsi="Verdana"/>
          <w:sz w:val="20"/>
        </w:rPr>
      </w:pPr>
      <w:r w:rsidRPr="001D1FE7">
        <w:rPr>
          <w:rFonts w:ascii="Verdana" w:hAnsi="Verdana"/>
          <w:sz w:val="20"/>
        </w:rPr>
        <w:t>[…]</w:t>
      </w:r>
    </w:p>
    <w:p w14:paraId="3CC66655" w14:textId="77777777" w:rsidR="00DD5F4E" w:rsidRDefault="00DD5F4E" w:rsidP="005F65E0">
      <w:pPr>
        <w:spacing w:after="0" w:line="240" w:lineRule="auto"/>
        <w:jc w:val="both"/>
        <w:rPr>
          <w:rFonts w:ascii="Verdana" w:hAnsi="Verdana"/>
          <w:sz w:val="20"/>
        </w:rPr>
      </w:pPr>
      <w:r w:rsidRPr="001D1FE7">
        <w:rPr>
          <w:rFonts w:ascii="Verdana" w:hAnsi="Verdana"/>
          <w:sz w:val="20"/>
        </w:rPr>
        <w:t>En ese orden, para el Consejo de Estado, los recursos de carácter parafiscal que administran las Cajas de Compensación Familiar son de naturaleza pública, en tanto constituyen una fuente de financiación que el Estado consagra en beneficio de un sector, aunque desde la perspectiva presupuestal no integran el Presupuesto General de la Nación</w:t>
      </w:r>
      <w:r>
        <w:rPr>
          <w:rFonts w:ascii="Verdana" w:hAnsi="Verdana"/>
          <w:sz w:val="20"/>
        </w:rPr>
        <w:t>.</w:t>
      </w:r>
    </w:p>
    <w:p w14:paraId="26B8DC76" w14:textId="77777777" w:rsidR="00DD5F4E" w:rsidRPr="00DD5F4E" w:rsidRDefault="00DD5F4E" w:rsidP="005F65E0">
      <w:pPr>
        <w:spacing w:after="0" w:line="240" w:lineRule="auto"/>
        <w:jc w:val="both"/>
        <w:rPr>
          <w:rFonts w:ascii="Verdana" w:eastAsia="Verdana" w:hAnsi="Verdana" w:cs="Verdana"/>
          <w:b/>
        </w:rPr>
      </w:pPr>
    </w:p>
    <w:p w14:paraId="5659AD0D" w14:textId="77777777" w:rsidR="00DD5F4E" w:rsidRPr="00DD5F4E" w:rsidRDefault="00DD5F4E" w:rsidP="005F65E0">
      <w:pPr>
        <w:spacing w:after="0" w:line="240" w:lineRule="auto"/>
        <w:jc w:val="both"/>
        <w:rPr>
          <w:rFonts w:ascii="Verdana" w:eastAsia="Verdana" w:hAnsi="Verdana" w:cs="Verdana"/>
          <w:b/>
          <w:lang w:val="es-ES"/>
        </w:rPr>
      </w:pPr>
      <w:r w:rsidRPr="00DD5F4E">
        <w:rPr>
          <w:rFonts w:ascii="Verdana" w:eastAsia="Verdana" w:hAnsi="Verdana" w:cs="Verdana"/>
          <w:b/>
          <w:lang w:val="es-ES"/>
        </w:rPr>
        <w:t xml:space="preserve">CAJAS DE LA COMPENSACIÓN FAMILIAR – Descentralización por Colaboración – Particular – Funciones Administrativas </w:t>
      </w:r>
    </w:p>
    <w:p w14:paraId="7FF80366" w14:textId="77777777" w:rsidR="00DD5F4E" w:rsidRPr="00DD5F4E" w:rsidRDefault="00DD5F4E" w:rsidP="005F65E0">
      <w:pPr>
        <w:spacing w:after="0" w:line="240" w:lineRule="auto"/>
        <w:jc w:val="both"/>
        <w:rPr>
          <w:rFonts w:ascii="Verdana" w:eastAsia="Verdana" w:hAnsi="Verdana" w:cs="Verdana"/>
          <w:b/>
          <w:lang w:val="es-ES"/>
        </w:rPr>
      </w:pPr>
    </w:p>
    <w:p w14:paraId="695B5506" w14:textId="2EC64D0B" w:rsidR="00DD5F4E" w:rsidRDefault="00DD5F4E" w:rsidP="005F65E0">
      <w:pPr>
        <w:spacing w:after="0" w:line="240" w:lineRule="auto"/>
        <w:jc w:val="both"/>
        <w:rPr>
          <w:rFonts w:ascii="Verdana" w:eastAsia="Verdana" w:hAnsi="Verdana" w:cs="Verdana"/>
          <w:sz w:val="20"/>
        </w:rPr>
      </w:pPr>
      <w:r w:rsidRPr="00DD5F4E">
        <w:rPr>
          <w:rFonts w:ascii="Verdana" w:eastAsia="Verdana" w:hAnsi="Verdana" w:cs="Verdana"/>
          <w:sz w:val="20"/>
        </w:rPr>
        <w:t xml:space="preserve">Esta norma implica una extensión del EGCAP a sujetos que no tienen la naturaleza de entidad estatal. Sin embargo, para la Agencia esta norma no es aplicable a las funciones administrativas que desarrollan las Cajas de Compensación Familiar con fundamento en atribución legal previa, pues en éstas no media la expedición de actos administrativos y la suscripción de convenios como se explicó en los párrafos precedentes. Por tanto, su gestión contractual no está sujeta a la Ley 80 de 1993 ni a los procedimientos de licitación pública, selección abreviada, concurso de méritos, mínima cuantía y contratación directa del artículo 2 de la Ley 1150 de 2007, salvo que deban celebrar contratos en ejercicio de funciones administrativas que eventualmente les confiera una autoridad de igual naturaleza conforme a los artículos 110 y siguientes de la Ley 489 de 1998. Fuera de esta última hipótesis, como sujetos de derecho privado, los contratos de </w:t>
      </w:r>
      <w:r w:rsidRPr="00DD5F4E">
        <w:rPr>
          <w:rFonts w:ascii="Verdana" w:eastAsia="Verdana" w:hAnsi="Verdana" w:cs="Verdana"/>
          <w:sz w:val="20"/>
        </w:rPr>
        <w:lastRenderedPageBreak/>
        <w:t>estas instituciones se rigen por el derecho civil y comercial, sin perjuicio de acatar los principios del artículo 209 superior en las actividades administrativas que desempeñen. Por tanto, reconocerles naturaleza estatal por el ejercicio de funciones administrativas implicaría desdibujar la distinción constitucional y legal entre entidades públicas y particulares que cumplen funciones administrativas en el marco de la descentralización por colaboración.</w:t>
      </w:r>
    </w:p>
    <w:p w14:paraId="7E0A24FD" w14:textId="77777777" w:rsidR="004F0F13" w:rsidRPr="00DD5F4E" w:rsidRDefault="004F0F13" w:rsidP="005F65E0">
      <w:pPr>
        <w:spacing w:after="0" w:line="240" w:lineRule="auto"/>
        <w:jc w:val="both"/>
        <w:rPr>
          <w:rFonts w:ascii="Verdana" w:eastAsia="Verdana" w:hAnsi="Verdana" w:cs="Verdana"/>
          <w:sz w:val="20"/>
        </w:rPr>
      </w:pPr>
    </w:p>
    <w:p w14:paraId="6FD9C954" w14:textId="77777777" w:rsidR="00DD5F4E" w:rsidRPr="00DD5F4E" w:rsidRDefault="00DD5F4E" w:rsidP="005F65E0">
      <w:pPr>
        <w:spacing w:after="0" w:line="240" w:lineRule="auto"/>
        <w:jc w:val="both"/>
        <w:rPr>
          <w:rFonts w:ascii="Verdana" w:eastAsia="Verdana" w:hAnsi="Verdana" w:cs="Verdana"/>
          <w:sz w:val="20"/>
        </w:rPr>
      </w:pPr>
      <w:r w:rsidRPr="00DD5F4E">
        <w:rPr>
          <w:rFonts w:ascii="Verdana" w:eastAsia="Verdana" w:hAnsi="Verdana" w:cs="Verdana"/>
          <w:sz w:val="20"/>
        </w:rPr>
        <w:t>De este modo, puede afirmarse., que, como regla, es improcedente la celebración de convenios interadministrativos entre una entidad estatal y una caja de compensación familiar. Esto se sustenta en que estas últimas, si bien cumplen funciones administrativas – actividades de interés social y administran recursos parafiscales-, no tienen la naturaleza de entidad estatal, condición sine qua non para la celebración de convenios interadministrativos. No obstante, dicha prohibición admite una excepción cuando la caja de compensación familiar tenga la condición de entidad sin ánimo de lucro creada por entidades estatales. En este evento, la celebración del convenio interadministrativo resulta procedente, siempre que se ajuste a lo previsto en el artículo 96 de la Ley 489 de 1998 y en el artículo 2 de la Ley 80 de 1993.</w:t>
      </w:r>
    </w:p>
    <w:p w14:paraId="00095EB2" w14:textId="77777777" w:rsidR="00DD5F4E" w:rsidRPr="00DD5F4E" w:rsidRDefault="00DD5F4E" w:rsidP="005F65E0">
      <w:pPr>
        <w:spacing w:after="0" w:line="240" w:lineRule="auto"/>
        <w:jc w:val="both"/>
        <w:rPr>
          <w:rFonts w:ascii="Verdana" w:eastAsia="Verdana" w:hAnsi="Verdana" w:cs="Verdana"/>
          <w:b/>
        </w:rPr>
      </w:pPr>
    </w:p>
    <w:p w14:paraId="593CE312" w14:textId="1117EDC8" w:rsidR="00DD5F4E" w:rsidRPr="00DD5F4E" w:rsidRDefault="00DD5F4E" w:rsidP="005F65E0">
      <w:pPr>
        <w:spacing w:after="0" w:line="240" w:lineRule="auto"/>
        <w:jc w:val="both"/>
        <w:rPr>
          <w:rFonts w:ascii="Verdana" w:eastAsia="Verdana" w:hAnsi="Verdana" w:cs="Verdana"/>
          <w:lang w:val="es-ES"/>
        </w:rPr>
      </w:pPr>
      <w:r w:rsidRPr="00DD5F4E">
        <w:rPr>
          <w:rFonts w:ascii="Verdana" w:eastAsia="Verdana" w:hAnsi="Verdana" w:cs="Verdana"/>
          <w:b/>
          <w:lang w:val="es-ES"/>
        </w:rPr>
        <w:t>CAJAS DE COMPENSACIÓN FAMILIAR – Posibilidad – Participación – Procesos de Contratación Estatal</w:t>
      </w:r>
    </w:p>
    <w:p w14:paraId="7610E9C5" w14:textId="77777777" w:rsidR="00DD5F4E" w:rsidRPr="004F0F13" w:rsidRDefault="00DD5F4E" w:rsidP="005F65E0">
      <w:pPr>
        <w:spacing w:after="0" w:line="240" w:lineRule="auto"/>
        <w:jc w:val="both"/>
        <w:rPr>
          <w:rFonts w:ascii="Verdana" w:eastAsia="Verdana" w:hAnsi="Verdana" w:cs="Verdana"/>
          <w:sz w:val="20"/>
          <w:lang w:val="es-ES"/>
        </w:rPr>
      </w:pPr>
    </w:p>
    <w:p w14:paraId="08EC4FA5" w14:textId="01268FF4" w:rsidR="004F0F13" w:rsidRDefault="004F0F13" w:rsidP="005F65E0">
      <w:pPr>
        <w:spacing w:after="0" w:line="240" w:lineRule="auto"/>
        <w:jc w:val="both"/>
        <w:rPr>
          <w:rFonts w:ascii="Verdana" w:eastAsia="Verdana" w:hAnsi="Verdana" w:cs="Verdana"/>
          <w:sz w:val="20"/>
        </w:rPr>
      </w:pPr>
      <w:r w:rsidRPr="004F0F13">
        <w:rPr>
          <w:rFonts w:ascii="Verdana" w:eastAsia="Verdana" w:hAnsi="Verdana" w:cs="Verdana"/>
          <w:sz w:val="20"/>
        </w:rPr>
        <w:t>En principio, las Cajas de Compensación Familiar no son entidades estatales, esta circunstancia no las excluye de participar en procesos de contratación pública. En tales eventos, actúan como organizaciones de naturaleza privada que prestan servicios y concurren al mercado en igualdad de condiciones frente a otros oferentes, sin prerrogativas derivadas del régimen público. En consecuencia, pueden presentarse como proponentes u oferentes en los distintos procedimientos de selección previstos en el Estatuto General de Contratación de la Administración Pública, tales como la licitación pública, la selección abreviada, la mínima cuantía, entre otros, con la condición de que su objeto social guarde relación directa con el objeto contractual y cumplan los requisitos legales y técnicos exigidos en cada proceso.</w:t>
      </w:r>
    </w:p>
    <w:p w14:paraId="3F6D4401" w14:textId="77777777" w:rsidR="004F0F13" w:rsidRPr="004F0F13" w:rsidRDefault="004F0F13" w:rsidP="005F65E0">
      <w:pPr>
        <w:spacing w:after="0" w:line="240" w:lineRule="auto"/>
        <w:jc w:val="both"/>
        <w:rPr>
          <w:rFonts w:ascii="Verdana" w:eastAsia="Verdana" w:hAnsi="Verdana" w:cs="Verdana"/>
          <w:sz w:val="20"/>
        </w:rPr>
      </w:pPr>
    </w:p>
    <w:p w14:paraId="6CB81147" w14:textId="77777777" w:rsidR="004F0F13" w:rsidRPr="004F0F13" w:rsidRDefault="004F0F13" w:rsidP="005F65E0">
      <w:pPr>
        <w:spacing w:after="0" w:line="240" w:lineRule="auto"/>
        <w:jc w:val="both"/>
        <w:rPr>
          <w:rFonts w:ascii="Verdana" w:eastAsia="Verdana" w:hAnsi="Verdana" w:cs="Verdana"/>
          <w:sz w:val="20"/>
        </w:rPr>
      </w:pPr>
      <w:r w:rsidRPr="004F0F13">
        <w:rPr>
          <w:rFonts w:ascii="Verdana" w:eastAsia="Verdana" w:hAnsi="Verdana" w:cs="Verdana"/>
          <w:sz w:val="20"/>
        </w:rPr>
        <w:t>Así mismo, las cajas de compensación familiar pueden participar en esquemas de contratación especial previstos para entidades sin ánimo de lucro, en especial, aquellos regulados por el artículo 355 de la Constitución Política y el Decreto 092 de 2017. En este contexto, su vinculación resulta viable en la medida en que se demuestre que cumplen las condiciones sustanciales y formales exigidas por el régimen dispuesto en el Decreto 092 de 2017.</w:t>
      </w:r>
    </w:p>
    <w:p w14:paraId="2DA02D0C" w14:textId="77777777" w:rsidR="00DD5F4E" w:rsidRDefault="00DD5F4E" w:rsidP="00AC73F2">
      <w:pPr>
        <w:spacing w:after="0"/>
        <w:rPr>
          <w:rFonts w:ascii="Verdana" w:eastAsia="Verdana" w:hAnsi="Verdana" w:cs="Verdana"/>
        </w:rPr>
      </w:pPr>
    </w:p>
    <w:p w14:paraId="73136FC1" w14:textId="40EB8AD8" w:rsidR="00DD5F4E" w:rsidRDefault="00DD5F4E" w:rsidP="00AC73F2">
      <w:pPr>
        <w:spacing w:after="0"/>
        <w:rPr>
          <w:rFonts w:ascii="Verdana" w:eastAsia="Verdana" w:hAnsi="Verdana" w:cs="Verdana"/>
        </w:rPr>
      </w:pPr>
    </w:p>
    <w:p w14:paraId="273A6733" w14:textId="0ECD20C4" w:rsidR="004F0F13" w:rsidRDefault="004F0F13" w:rsidP="00AC73F2">
      <w:pPr>
        <w:spacing w:after="0"/>
        <w:rPr>
          <w:rFonts w:ascii="Verdana" w:eastAsia="Verdana" w:hAnsi="Verdana" w:cs="Verdana"/>
        </w:rPr>
      </w:pPr>
    </w:p>
    <w:p w14:paraId="6E6EC183" w14:textId="24938867" w:rsidR="004F0F13" w:rsidRDefault="004F0F13" w:rsidP="00AC73F2">
      <w:pPr>
        <w:spacing w:after="0"/>
        <w:rPr>
          <w:rFonts w:ascii="Verdana" w:eastAsia="Verdana" w:hAnsi="Verdana" w:cs="Verdana"/>
        </w:rPr>
      </w:pPr>
    </w:p>
    <w:p w14:paraId="4AE48F9D" w14:textId="5776B757" w:rsidR="004F0F13" w:rsidRDefault="004F0F13" w:rsidP="00AC73F2">
      <w:pPr>
        <w:spacing w:after="0"/>
        <w:rPr>
          <w:rFonts w:ascii="Verdana" w:eastAsia="Verdana" w:hAnsi="Verdana" w:cs="Verdana"/>
        </w:rPr>
      </w:pPr>
    </w:p>
    <w:p w14:paraId="00645921" w14:textId="77777777" w:rsidR="004F0F13" w:rsidRDefault="004F0F13" w:rsidP="00AC73F2">
      <w:pPr>
        <w:spacing w:after="0"/>
        <w:rPr>
          <w:rFonts w:ascii="Verdana" w:eastAsia="Verdana" w:hAnsi="Verdana" w:cs="Verdana"/>
        </w:rPr>
      </w:pPr>
    </w:p>
    <w:p w14:paraId="5C41957F" w14:textId="43362BBE" w:rsidR="00AC73F2" w:rsidRPr="00983DCD" w:rsidRDefault="004F0F13" w:rsidP="00AC73F2">
      <w:pPr>
        <w:spacing w:after="0"/>
        <w:rPr>
          <w:rFonts w:ascii="Verdana" w:eastAsia="Calibri" w:hAnsi="Verdana" w:cs="Arial"/>
          <w:color w:val="000000"/>
          <w:lang w:val="es-MX" w:eastAsia="es-ES_tradnl"/>
        </w:rPr>
      </w:pPr>
      <w:r w:rsidRPr="004F0F13">
        <w:rPr>
          <w:noProof/>
          <w:lang w:val="en-US"/>
        </w:rPr>
        <w:lastRenderedPageBreak/>
        <w:drawing>
          <wp:anchor distT="0" distB="0" distL="114300" distR="114300" simplePos="0" relativeHeight="251658240" behindDoc="0" locked="0" layoutInCell="1" allowOverlap="1" wp14:anchorId="568AF206" wp14:editId="37BAF06E">
            <wp:simplePos x="0" y="0"/>
            <wp:positionH relativeFrom="margin">
              <wp:align>right</wp:align>
            </wp:positionH>
            <wp:positionV relativeFrom="paragraph">
              <wp:posOffset>194310</wp:posOffset>
            </wp:positionV>
            <wp:extent cx="2769870" cy="76454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69870" cy="764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73F2" w:rsidRPr="30821638">
        <w:rPr>
          <w:rFonts w:ascii="Verdana" w:eastAsia="Verdana" w:hAnsi="Verdana" w:cs="Verdana"/>
        </w:rPr>
        <w:t>Bogotá D.C.,</w:t>
      </w:r>
      <w:r w:rsidR="00DD5F4E">
        <w:rPr>
          <w:rFonts w:ascii="Verdana" w:eastAsia="Verdana" w:hAnsi="Verdana" w:cs="Verdana"/>
        </w:rPr>
        <w:t xml:space="preserve"> 19 de mayo de 2026</w:t>
      </w:r>
      <w:r w:rsidR="00AC73F2">
        <w:tab/>
      </w:r>
      <w:r w:rsidR="00AC73F2">
        <w:br/>
      </w:r>
      <w:r w:rsidR="00AC73F2">
        <w:tab/>
      </w:r>
    </w:p>
    <w:p w14:paraId="5B11128F" w14:textId="621A48D8" w:rsidR="00AC73F2" w:rsidRPr="00983DCD" w:rsidRDefault="00AC73F2" w:rsidP="00AC73F2">
      <w:pPr>
        <w:spacing w:after="0" w:line="240" w:lineRule="auto"/>
        <w:jc w:val="both"/>
        <w:rPr>
          <w:rFonts w:ascii="Verdana" w:eastAsia="Calibri" w:hAnsi="Verdana" w:cs="Arial"/>
          <w:lang w:val="es-ES" w:eastAsia="es-ES"/>
        </w:rPr>
      </w:pPr>
    </w:p>
    <w:p w14:paraId="3901E798" w14:textId="2A7770FC" w:rsidR="00AC73F2" w:rsidRPr="00E01518" w:rsidRDefault="00AC73F2" w:rsidP="00AC73F2">
      <w:pPr>
        <w:spacing w:after="0" w:line="240" w:lineRule="auto"/>
        <w:jc w:val="both"/>
        <w:rPr>
          <w:rFonts w:ascii="Verdana" w:eastAsia="Calibri" w:hAnsi="Verdana" w:cs="Arial"/>
          <w:lang w:eastAsia="es-ES"/>
        </w:rPr>
      </w:pPr>
      <w:r w:rsidRPr="00E01518">
        <w:rPr>
          <w:rFonts w:ascii="Verdana" w:eastAsia="Calibri" w:hAnsi="Verdana" w:cs="Arial"/>
          <w:lang w:eastAsia="es-ES"/>
        </w:rPr>
        <w:t>Señor</w:t>
      </w:r>
    </w:p>
    <w:p w14:paraId="191E7E6C" w14:textId="77777777" w:rsidR="00AC73F2" w:rsidRPr="00E01518" w:rsidRDefault="00AC73F2" w:rsidP="00AC73F2">
      <w:pPr>
        <w:spacing w:after="0" w:line="240" w:lineRule="auto"/>
        <w:rPr>
          <w:rFonts w:ascii="Verdana" w:eastAsia="Calibri" w:hAnsi="Verdana" w:cs="Arial"/>
          <w:b/>
          <w:lang w:eastAsia="es-ES_tradnl"/>
        </w:rPr>
      </w:pPr>
      <w:r w:rsidRPr="00E01518">
        <w:rPr>
          <w:rFonts w:ascii="Verdana" w:eastAsia="Calibri" w:hAnsi="Verdana" w:cs="Arial"/>
          <w:b/>
          <w:lang w:eastAsia="es-ES_tradnl"/>
        </w:rPr>
        <w:t>Julián David Monsalve Londoño</w:t>
      </w:r>
    </w:p>
    <w:p w14:paraId="41E4C4A9" w14:textId="77777777" w:rsidR="00AC73F2" w:rsidRPr="00E01518" w:rsidRDefault="00AC73F2" w:rsidP="00AC73F2">
      <w:pPr>
        <w:spacing w:after="0" w:line="240" w:lineRule="auto"/>
        <w:rPr>
          <w:rFonts w:ascii="Verdana" w:hAnsi="Verdana"/>
        </w:rPr>
      </w:pPr>
      <w:hyperlink r:id="rId12" w:history="1">
        <w:r w:rsidRPr="00B255BB">
          <w:rPr>
            <w:rStyle w:val="Hipervnculo"/>
            <w:rFonts w:ascii="Verdana" w:hAnsi="Verdana"/>
          </w:rPr>
          <w:t>juliandmonsalve@hotmail.com</w:t>
        </w:r>
      </w:hyperlink>
      <w:r>
        <w:rPr>
          <w:rFonts w:ascii="Verdana" w:hAnsi="Verdana"/>
        </w:rPr>
        <w:t xml:space="preserve"> </w:t>
      </w:r>
    </w:p>
    <w:p w14:paraId="00594F8E" w14:textId="77777777" w:rsidR="00AC73F2" w:rsidRPr="00E01518" w:rsidRDefault="00AC73F2" w:rsidP="00AC73F2">
      <w:pPr>
        <w:spacing w:after="0" w:line="240" w:lineRule="auto"/>
        <w:rPr>
          <w:rFonts w:ascii="Verdana" w:eastAsia="Calibri" w:hAnsi="Verdana" w:cs="Arial"/>
          <w:b/>
          <w:bCs/>
          <w:lang w:val="es-ES" w:eastAsia="es-ES"/>
        </w:rPr>
      </w:pPr>
      <w:r w:rsidRPr="00E01518">
        <w:rPr>
          <w:rFonts w:ascii="Verdana" w:eastAsia="Calibri" w:hAnsi="Verdana" w:cs="Arial"/>
          <w:lang w:val="es-ES" w:eastAsia="es-ES"/>
        </w:rPr>
        <w:t>Cali, Valle del Cauca</w:t>
      </w:r>
    </w:p>
    <w:p w14:paraId="7D4DAAFC" w14:textId="77777777" w:rsidR="00AC73F2" w:rsidRPr="00983DCD" w:rsidRDefault="00AC73F2" w:rsidP="00AC73F2">
      <w:pPr>
        <w:spacing w:after="0" w:line="240" w:lineRule="auto"/>
        <w:rPr>
          <w:rFonts w:ascii="Verdana" w:eastAsia="Calibri" w:hAnsi="Verdana" w:cs="Arial"/>
          <w:b/>
          <w:bCs/>
          <w:color w:val="000000"/>
          <w:lang w:val="es-ES_tradnl" w:eastAsia="es-ES_tradnl"/>
        </w:rPr>
      </w:pPr>
    </w:p>
    <w:p w14:paraId="27A592CA" w14:textId="77777777" w:rsidR="00AC73F2" w:rsidRPr="00983DCD" w:rsidRDefault="00AC73F2" w:rsidP="00AC73F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73F2" w:rsidRPr="00983DCD" w14:paraId="2D2199CA" w14:textId="77777777" w:rsidTr="004B22BF">
        <w:trPr>
          <w:trHeight w:val="80"/>
        </w:trPr>
        <w:tc>
          <w:tcPr>
            <w:tcW w:w="2689" w:type="dxa"/>
          </w:tcPr>
          <w:p w14:paraId="15FD2062" w14:textId="77777777" w:rsidR="00AC73F2" w:rsidRPr="00983DCD" w:rsidRDefault="00AC73F2" w:rsidP="004B22BF">
            <w:pPr>
              <w:jc w:val="both"/>
              <w:rPr>
                <w:rFonts w:ascii="Verdana" w:eastAsia="Calibri" w:hAnsi="Verdana" w:cs="Arial"/>
                <w:b/>
                <w:bCs/>
                <w:color w:val="7030A0"/>
                <w:lang w:val="es-ES_tradnl" w:eastAsia="es-ES_tradnl"/>
              </w:rPr>
            </w:pPr>
          </w:p>
        </w:tc>
        <w:tc>
          <w:tcPr>
            <w:tcW w:w="6100" w:type="dxa"/>
          </w:tcPr>
          <w:p w14:paraId="2AD010A4" w14:textId="77777777" w:rsidR="00AC73F2" w:rsidRPr="00983DCD" w:rsidRDefault="00AC73F2" w:rsidP="004B22BF">
            <w:pPr>
              <w:jc w:val="both"/>
              <w:rPr>
                <w:rFonts w:ascii="Verdana" w:eastAsia="Calibri" w:hAnsi="Verdana" w:cs="Arial"/>
                <w:b/>
                <w:bCs/>
                <w:lang w:val="es-ES" w:eastAsia="es-ES"/>
              </w:rPr>
            </w:pPr>
            <w:r w:rsidRPr="00983DCD">
              <w:rPr>
                <w:rFonts w:ascii="Verdana" w:eastAsia="Calibri" w:hAnsi="Verdana" w:cs="Arial"/>
                <w:b/>
                <w:bCs/>
                <w:lang w:val="es-ES" w:eastAsia="es-ES"/>
              </w:rPr>
              <w:t>Concepto C-</w:t>
            </w:r>
            <w:r>
              <w:rPr>
                <w:rFonts w:ascii="Verdana" w:eastAsia="Calibri" w:hAnsi="Verdana" w:cs="Arial"/>
                <w:b/>
                <w:bCs/>
                <w:lang w:val="es-ES" w:eastAsia="es-ES"/>
              </w:rPr>
              <w:t>574</w:t>
            </w:r>
            <w:r w:rsidRPr="00983DCD">
              <w:rPr>
                <w:rFonts w:ascii="Verdana" w:eastAsia="Calibri" w:hAnsi="Verdana" w:cs="Arial"/>
                <w:b/>
                <w:bCs/>
                <w:color w:val="7030A0"/>
                <w:lang w:val="es-ES" w:eastAsia="es-ES"/>
              </w:rPr>
              <w:t xml:space="preserve"> </w:t>
            </w:r>
            <w:r w:rsidRPr="00983DCD">
              <w:rPr>
                <w:rFonts w:ascii="Verdana" w:eastAsia="Calibri" w:hAnsi="Verdana" w:cs="Arial"/>
                <w:b/>
                <w:bCs/>
                <w:lang w:val="es-ES" w:eastAsia="es-ES"/>
              </w:rPr>
              <w:t>de 2026</w:t>
            </w:r>
          </w:p>
          <w:p w14:paraId="0B1B3088" w14:textId="77777777" w:rsidR="00AC73F2" w:rsidRPr="00983DCD" w:rsidRDefault="00AC73F2" w:rsidP="004B22BF">
            <w:pPr>
              <w:jc w:val="both"/>
              <w:rPr>
                <w:rFonts w:ascii="Verdana" w:eastAsia="Calibri" w:hAnsi="Verdana" w:cs="Arial"/>
                <w:b/>
                <w:bCs/>
                <w:color w:val="7030A0"/>
                <w:lang w:val="es-ES" w:eastAsia="es-ES"/>
              </w:rPr>
            </w:pPr>
          </w:p>
        </w:tc>
      </w:tr>
      <w:tr w:rsidR="00AC73F2" w:rsidRPr="00983DCD" w14:paraId="6BB37127" w14:textId="77777777" w:rsidTr="004B22BF">
        <w:trPr>
          <w:trHeight w:val="884"/>
        </w:trPr>
        <w:tc>
          <w:tcPr>
            <w:tcW w:w="2689" w:type="dxa"/>
          </w:tcPr>
          <w:p w14:paraId="7D159FB0" w14:textId="77777777" w:rsidR="00AC73F2" w:rsidRPr="00983DCD" w:rsidRDefault="00AC73F2" w:rsidP="004B22BF">
            <w:pPr>
              <w:spacing w:line="276" w:lineRule="auto"/>
              <w:jc w:val="both"/>
              <w:rPr>
                <w:rFonts w:ascii="Verdana" w:eastAsia="Calibri" w:hAnsi="Verdana" w:cs="Arial"/>
                <w:color w:val="000000"/>
                <w:lang w:val="es-ES_tradnl" w:eastAsia="es-ES_tradnl"/>
              </w:rPr>
            </w:pPr>
            <w:r w:rsidRPr="00983DCD">
              <w:rPr>
                <w:rFonts w:ascii="Verdana" w:eastAsia="Calibri" w:hAnsi="Verdana" w:cs="Arial"/>
                <w:b/>
                <w:color w:val="000000"/>
                <w:lang w:val="es-ES_tradnl" w:eastAsia="es-ES_tradnl"/>
              </w:rPr>
              <w:t>Temas:</w:t>
            </w:r>
            <w:r w:rsidRPr="00983DCD">
              <w:rPr>
                <w:rFonts w:ascii="Verdana" w:eastAsia="Calibri" w:hAnsi="Verdana" w:cs="Arial"/>
                <w:color w:val="000000"/>
                <w:lang w:val="es-ES_tradnl" w:eastAsia="es-ES_tradnl"/>
              </w:rPr>
              <w:t xml:space="preserve">                   </w:t>
            </w:r>
          </w:p>
        </w:tc>
        <w:tc>
          <w:tcPr>
            <w:tcW w:w="6100" w:type="dxa"/>
          </w:tcPr>
          <w:p w14:paraId="419C23D0" w14:textId="1D1C8B1A" w:rsidR="00AC73F2" w:rsidRDefault="00AC73F2" w:rsidP="004B22BF">
            <w:pPr>
              <w:spacing w:line="276" w:lineRule="auto"/>
              <w:jc w:val="both"/>
              <w:rPr>
                <w:rFonts w:ascii="Verdana" w:eastAsia="Calibri" w:hAnsi="Verdana" w:cs="Arial"/>
                <w:lang w:val="es-ES" w:eastAsia="es-ES"/>
              </w:rPr>
            </w:pPr>
            <w:r w:rsidRPr="005F0988">
              <w:rPr>
                <w:rFonts w:ascii="Verdana" w:eastAsia="Calibri" w:hAnsi="Verdana" w:cs="Arial"/>
                <w:lang w:val="es-ES" w:eastAsia="es-ES"/>
              </w:rPr>
              <w:t xml:space="preserve">EGCAP – Ámbito de aplicación – Entidades estatales </w:t>
            </w:r>
            <w:r>
              <w:rPr>
                <w:rFonts w:ascii="Verdana" w:eastAsia="Calibri" w:hAnsi="Verdana" w:cs="Arial"/>
                <w:lang w:val="es-ES" w:eastAsia="es-ES"/>
              </w:rPr>
              <w:t xml:space="preserve">/ </w:t>
            </w:r>
            <w:r w:rsidRPr="005F0988">
              <w:rPr>
                <w:rFonts w:ascii="Verdana" w:eastAsia="Calibri" w:hAnsi="Verdana" w:cs="Arial"/>
                <w:lang w:val="es-ES" w:eastAsia="es-ES"/>
              </w:rPr>
              <w:t xml:space="preserve">CONTRATO ESTATAL – Criterio orgánico </w:t>
            </w:r>
            <w:r>
              <w:rPr>
                <w:rFonts w:ascii="Verdana" w:eastAsia="Calibri" w:hAnsi="Verdana" w:cs="Arial"/>
                <w:lang w:val="es-ES" w:eastAsia="es-ES"/>
              </w:rPr>
              <w:t xml:space="preserve">/ </w:t>
            </w:r>
            <w:r w:rsidRPr="00983DCD">
              <w:rPr>
                <w:rFonts w:ascii="Verdana" w:eastAsia="Calibri" w:hAnsi="Verdana" w:cs="Arial"/>
                <w:lang w:val="es-ES" w:eastAsia="es-ES"/>
              </w:rPr>
              <w:t>CAJAS DE COMPENSACIÓN FAMILIAR – Naturaleza Jurídica / CAJAS DE COMPENSACIÓN FAMILIAR – Recursos – Naturaleza de los recursos / CAJAS DE LA COMPENSACIÓN FAMILIAR –</w:t>
            </w:r>
            <w:r>
              <w:rPr>
                <w:rFonts w:ascii="Verdana" w:eastAsia="Calibri" w:hAnsi="Verdana" w:cs="Arial"/>
                <w:lang w:val="es-ES" w:eastAsia="es-ES"/>
              </w:rPr>
              <w:t xml:space="preserve"> Descentralización por Colaboración – Particular – Funciones Administrativas </w:t>
            </w:r>
            <w:r w:rsidRPr="00983DCD">
              <w:rPr>
                <w:rFonts w:ascii="Verdana" w:eastAsia="Calibri" w:hAnsi="Verdana" w:cs="Arial"/>
                <w:lang w:val="es-ES" w:eastAsia="es-ES"/>
              </w:rPr>
              <w:t xml:space="preserve">/ </w:t>
            </w:r>
            <w:r w:rsidRPr="005F0988">
              <w:rPr>
                <w:rFonts w:ascii="Verdana" w:eastAsia="Calibri" w:hAnsi="Verdana" w:cs="Arial"/>
                <w:lang w:val="es-ES" w:eastAsia="es-ES"/>
              </w:rPr>
              <w:t>CAJAS DE COMPENSACIÓN FAMILIAR – Posibilidad – Participación – Procesos de Contratación Estatal</w:t>
            </w:r>
          </w:p>
          <w:p w14:paraId="1E16CC97" w14:textId="77777777" w:rsidR="00AC73F2" w:rsidRPr="00983DCD" w:rsidRDefault="00AC73F2" w:rsidP="004B22BF">
            <w:pPr>
              <w:spacing w:line="276" w:lineRule="auto"/>
              <w:jc w:val="both"/>
              <w:rPr>
                <w:rFonts w:ascii="Verdana" w:eastAsia="Calibri" w:hAnsi="Verdana" w:cs="Arial"/>
                <w:lang w:val="es-ES" w:eastAsia="es-ES"/>
              </w:rPr>
            </w:pPr>
          </w:p>
        </w:tc>
      </w:tr>
      <w:tr w:rsidR="00AC73F2" w:rsidRPr="00983DCD" w14:paraId="56CA275C" w14:textId="77777777" w:rsidTr="004B22BF">
        <w:tc>
          <w:tcPr>
            <w:tcW w:w="2689" w:type="dxa"/>
          </w:tcPr>
          <w:p w14:paraId="5E08DD20" w14:textId="77777777" w:rsidR="00AC73F2" w:rsidRPr="00983DCD" w:rsidRDefault="00AC73F2" w:rsidP="004B22BF">
            <w:pPr>
              <w:jc w:val="both"/>
              <w:rPr>
                <w:rFonts w:ascii="Verdana" w:eastAsia="Calibri" w:hAnsi="Verdana" w:cs="Arial"/>
                <w:b/>
                <w:lang w:val="es-ES_tradnl" w:eastAsia="es-ES_tradnl"/>
              </w:rPr>
            </w:pPr>
            <w:r w:rsidRPr="00983DCD">
              <w:rPr>
                <w:rFonts w:ascii="Verdana" w:eastAsia="Calibri" w:hAnsi="Verdana" w:cs="Arial"/>
                <w:b/>
                <w:lang w:val="es-ES_tradnl" w:eastAsia="es-ES_tradnl"/>
              </w:rPr>
              <w:t xml:space="preserve"> Radicación:</w:t>
            </w:r>
            <w:r w:rsidRPr="00983DCD">
              <w:rPr>
                <w:rFonts w:ascii="Verdana" w:eastAsia="Calibri" w:hAnsi="Verdana" w:cs="Arial"/>
                <w:lang w:val="es-ES_tradnl" w:eastAsia="es-ES_tradnl"/>
              </w:rPr>
              <w:t xml:space="preserve">               </w:t>
            </w:r>
          </w:p>
        </w:tc>
        <w:tc>
          <w:tcPr>
            <w:tcW w:w="6100" w:type="dxa"/>
          </w:tcPr>
          <w:p w14:paraId="15180D7D" w14:textId="77777777" w:rsidR="00AC73F2" w:rsidRPr="00983DCD" w:rsidRDefault="00AC73F2" w:rsidP="004B22BF">
            <w:pPr>
              <w:spacing w:line="276" w:lineRule="auto"/>
              <w:jc w:val="both"/>
              <w:rPr>
                <w:rFonts w:ascii="Verdana" w:eastAsia="Calibri" w:hAnsi="Verdana" w:cs="Arial"/>
                <w:lang w:eastAsia="es-ES_tradnl"/>
              </w:rPr>
            </w:pPr>
            <w:r w:rsidRPr="00983DCD">
              <w:rPr>
                <w:rFonts w:ascii="Verdana" w:eastAsia="Calibri" w:hAnsi="Verdana" w:cs="Arial"/>
                <w:lang w:val="es-ES_tradnl" w:eastAsia="es-ES_tradnl"/>
              </w:rPr>
              <w:t xml:space="preserve">Respuesta a consulta con radicado No. </w:t>
            </w:r>
            <w:r w:rsidRPr="00E01518">
              <w:rPr>
                <w:rFonts w:ascii="Verdana" w:eastAsia="Calibri" w:hAnsi="Verdana" w:cs="Arial"/>
                <w:lang w:eastAsia="es-ES_tradnl"/>
              </w:rPr>
              <w:t>1_2026_04_07_004701</w:t>
            </w:r>
          </w:p>
        </w:tc>
      </w:tr>
    </w:tbl>
    <w:p w14:paraId="2454E20B" w14:textId="77777777" w:rsidR="00AC73F2" w:rsidRPr="00983DCD" w:rsidRDefault="00AC73F2" w:rsidP="00AC73F2">
      <w:pPr>
        <w:spacing w:after="0" w:line="276" w:lineRule="auto"/>
        <w:jc w:val="both"/>
        <w:rPr>
          <w:rFonts w:ascii="Verdana" w:eastAsia="Calibri" w:hAnsi="Verdana" w:cs="Arial"/>
          <w:color w:val="000000"/>
          <w:lang w:val="es-ES_tradnl" w:eastAsia="es-ES_tradnl"/>
        </w:rPr>
      </w:pPr>
    </w:p>
    <w:p w14:paraId="67708FDE" w14:textId="77777777" w:rsidR="00AC73F2" w:rsidRPr="00983DCD" w:rsidRDefault="00AC73F2" w:rsidP="00AC73F2">
      <w:pPr>
        <w:spacing w:after="0" w:line="276" w:lineRule="auto"/>
        <w:jc w:val="both"/>
        <w:rPr>
          <w:rFonts w:ascii="Verdana" w:eastAsia="Calibri" w:hAnsi="Verdana" w:cs="Arial"/>
          <w:color w:val="000000"/>
          <w:lang w:val="es-ES_tradnl" w:eastAsia="es-ES_tradnl"/>
        </w:rPr>
      </w:pPr>
    </w:p>
    <w:p w14:paraId="644C299D" w14:textId="77777777" w:rsidR="00AC73F2" w:rsidRPr="00983DCD" w:rsidRDefault="00AC73F2" w:rsidP="00AC73F2">
      <w:pPr>
        <w:spacing w:after="0" w:line="276" w:lineRule="auto"/>
        <w:jc w:val="both"/>
        <w:rPr>
          <w:rFonts w:ascii="Verdana" w:eastAsia="Calibri" w:hAnsi="Verdana" w:cs="Arial"/>
          <w:lang w:val="es-ES" w:eastAsia="es-ES"/>
        </w:rPr>
      </w:pPr>
      <w:r>
        <w:rPr>
          <w:rFonts w:ascii="Verdana" w:eastAsia="Calibri" w:hAnsi="Verdana" w:cs="Arial"/>
          <w:color w:val="000000" w:themeColor="text1"/>
          <w:lang w:val="es-ES" w:eastAsia="es-ES"/>
        </w:rPr>
        <w:t>Estimado Señor Monsalve</w:t>
      </w:r>
      <w:r w:rsidRPr="00983DCD">
        <w:rPr>
          <w:rFonts w:ascii="Verdana" w:eastAsia="Calibri" w:hAnsi="Verdana" w:cs="Arial"/>
          <w:lang w:val="es-ES" w:eastAsia="es-ES"/>
        </w:rPr>
        <w:t>,</w:t>
      </w:r>
    </w:p>
    <w:p w14:paraId="58E55070" w14:textId="77777777" w:rsidR="00AC73F2" w:rsidRPr="00983DCD" w:rsidRDefault="00AC73F2" w:rsidP="00AC73F2">
      <w:pPr>
        <w:tabs>
          <w:tab w:val="left" w:pos="3768"/>
        </w:tabs>
        <w:spacing w:after="0" w:line="276" w:lineRule="auto"/>
        <w:jc w:val="both"/>
        <w:rPr>
          <w:rFonts w:ascii="Verdana" w:eastAsia="Calibri" w:hAnsi="Verdana" w:cs="Arial"/>
          <w:lang w:val="es-ES" w:eastAsia="es-ES"/>
        </w:rPr>
      </w:pPr>
    </w:p>
    <w:p w14:paraId="704BC1CF" w14:textId="77777777" w:rsidR="00AC73F2" w:rsidRDefault="00AC73F2" w:rsidP="00AC73F2">
      <w:pPr>
        <w:spacing w:after="0" w:line="276" w:lineRule="auto"/>
        <w:contextualSpacing/>
        <w:jc w:val="both"/>
        <w:rPr>
          <w:rFonts w:ascii="Verdana" w:eastAsia="Calibri" w:hAnsi="Verdana" w:cs="Arial"/>
          <w:lang w:val="es-ES" w:eastAsia="es-ES_tradnl"/>
        </w:rPr>
      </w:pPr>
      <w:r w:rsidRPr="00983DCD">
        <w:rPr>
          <w:rFonts w:ascii="Verdana" w:eastAsia="Calibri" w:hAnsi="Verdana" w:cs="Arial"/>
          <w:lang w:val="es-ES" w:eastAsia="es-ES_tradnl"/>
        </w:rPr>
        <w:t xml:space="preserve">En ejercicio de la competencia otorgada por los artículos 3, numeral 5º, y 11, numeral 8º, del Decreto Ley 4170 de 2011, así como lo establecido en la Resolución </w:t>
      </w:r>
      <w:r w:rsidRPr="00983DCD">
        <w:rPr>
          <w:rFonts w:ascii="Verdana" w:eastAsia="Times New Roman" w:hAnsi="Verdana" w:cs="Arial"/>
          <w:lang w:eastAsia="es-ES_tradnl"/>
        </w:rPr>
        <w:t xml:space="preserve">469 de 2025 </w:t>
      </w:r>
      <w:r w:rsidRPr="00983DCD">
        <w:rPr>
          <w:rFonts w:ascii="Verdana" w:eastAsia="Calibri" w:hAnsi="Verdana" w:cs="Arial"/>
          <w:lang w:val="es-ES" w:eastAsia="es-ES_tradnl"/>
        </w:rPr>
        <w:t>expedida por esta Entidad, la Agencia Nacional de Contratación Pública – Colombia Compra Eficiente– responde su</w:t>
      </w:r>
      <w:r>
        <w:rPr>
          <w:rFonts w:ascii="Verdana" w:eastAsia="Calibri" w:hAnsi="Verdana" w:cs="Arial"/>
          <w:lang w:val="es-ES" w:eastAsia="es-ES_tradnl"/>
        </w:rPr>
        <w:t xml:space="preserve"> solicitud de consulta del 7 de abril de 2026, en la cual manifiesta: </w:t>
      </w:r>
    </w:p>
    <w:p w14:paraId="25571C56" w14:textId="77777777" w:rsidR="00AC73F2" w:rsidRPr="00983DCD" w:rsidRDefault="00AC73F2" w:rsidP="00AC73F2">
      <w:pPr>
        <w:spacing w:after="0" w:line="276" w:lineRule="auto"/>
        <w:contextualSpacing/>
        <w:jc w:val="both"/>
        <w:rPr>
          <w:rFonts w:ascii="Verdana" w:eastAsia="Century Gothic" w:hAnsi="Verdana" w:cs="Century Gothic"/>
          <w:b/>
          <w:bCs/>
          <w:lang w:val="es-ES"/>
        </w:rPr>
      </w:pPr>
    </w:p>
    <w:p w14:paraId="19E6C5B8" w14:textId="77777777" w:rsidR="00AC73F2" w:rsidRDefault="00AC73F2" w:rsidP="00AC73F2">
      <w:pPr>
        <w:autoSpaceDE w:val="0"/>
        <w:autoSpaceDN w:val="0"/>
        <w:adjustRightInd w:val="0"/>
        <w:spacing w:after="0" w:line="240" w:lineRule="auto"/>
        <w:ind w:left="709" w:right="709"/>
        <w:jc w:val="both"/>
        <w:rPr>
          <w:rFonts w:ascii="Verdana" w:eastAsia="Times New Roman" w:hAnsi="Verdana" w:cs="CIDFont+F1"/>
          <w:b/>
          <w:bCs/>
          <w:i/>
          <w:iCs/>
          <w:sz w:val="20"/>
          <w:szCs w:val="20"/>
          <w:lang w:eastAsia="es-ES_tradnl"/>
        </w:rPr>
      </w:pPr>
      <w:r>
        <w:rPr>
          <w:rFonts w:ascii="Verdana" w:eastAsia="Times New Roman" w:hAnsi="Verdana" w:cs="CIDFont+F1"/>
          <w:i/>
          <w:iCs/>
          <w:sz w:val="20"/>
          <w:szCs w:val="20"/>
          <w:lang w:eastAsia="es-ES_tradnl"/>
        </w:rPr>
        <w:t>“</w:t>
      </w:r>
      <w:r w:rsidRPr="00F17049">
        <w:rPr>
          <w:rFonts w:ascii="Verdana" w:eastAsia="Times New Roman" w:hAnsi="Verdana" w:cs="CIDFont+F1"/>
          <w:i/>
          <w:iCs/>
          <w:sz w:val="20"/>
          <w:szCs w:val="20"/>
          <w:lang w:eastAsia="es-ES_tradnl"/>
        </w:rPr>
        <w:t>1.</w:t>
      </w:r>
      <w:r>
        <w:rPr>
          <w:rFonts w:ascii="Verdana" w:eastAsia="Times New Roman" w:hAnsi="Verdana" w:cs="CIDFont+F1"/>
          <w:i/>
          <w:iCs/>
          <w:sz w:val="20"/>
          <w:szCs w:val="20"/>
          <w:lang w:eastAsia="es-ES_tradnl"/>
        </w:rPr>
        <w:t xml:space="preserve"> </w:t>
      </w:r>
      <w:r w:rsidRPr="00F17049">
        <w:rPr>
          <w:rFonts w:ascii="Verdana" w:eastAsia="Times New Roman" w:hAnsi="Verdana" w:cs="CIDFont+F1"/>
          <w:b/>
          <w:bCs/>
          <w:i/>
          <w:iCs/>
          <w:sz w:val="20"/>
          <w:szCs w:val="20"/>
          <w:lang w:eastAsia="es-ES_tradnl"/>
        </w:rPr>
        <w:t xml:space="preserve">¿La Caja de Compensación Familiar del Valle del Cauca – COMFANDI se enmarca dentro de la definición de “entidad estatal” prevista en el artículo 2 de la Ley 80 de 1993, para los solos efectos del Estatuto General de Contratación de la Administración Pública? </w:t>
      </w:r>
    </w:p>
    <w:p w14:paraId="453BD958" w14:textId="77777777" w:rsidR="00AC73F2" w:rsidRDefault="00AC73F2" w:rsidP="00AC73F2">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r>
        <w:rPr>
          <w:rFonts w:ascii="Verdana" w:eastAsia="Times New Roman" w:hAnsi="Verdana" w:cs="CIDFont+F1"/>
          <w:i/>
          <w:iCs/>
          <w:sz w:val="20"/>
          <w:szCs w:val="20"/>
          <w:lang w:eastAsia="es-ES_tradnl"/>
        </w:rPr>
        <w:lastRenderedPageBreak/>
        <w:t xml:space="preserve">2. </w:t>
      </w:r>
      <w:r w:rsidRPr="00F17049">
        <w:rPr>
          <w:rFonts w:ascii="Verdana" w:eastAsia="Times New Roman" w:hAnsi="Verdana" w:cs="CIDFont+F1"/>
          <w:i/>
          <w:iCs/>
          <w:sz w:val="20"/>
          <w:szCs w:val="20"/>
          <w:lang w:eastAsia="es-ES_tradnl"/>
        </w:rPr>
        <w:t xml:space="preserve">En caso de que </w:t>
      </w:r>
      <w:r w:rsidRPr="00F17049">
        <w:rPr>
          <w:rFonts w:ascii="Verdana" w:eastAsia="Times New Roman" w:hAnsi="Verdana" w:cs="CIDFont+F1"/>
          <w:b/>
          <w:bCs/>
          <w:i/>
          <w:iCs/>
          <w:sz w:val="20"/>
          <w:szCs w:val="20"/>
          <w:lang w:eastAsia="es-ES_tradnl"/>
        </w:rPr>
        <w:t xml:space="preserve">no </w:t>
      </w:r>
      <w:r w:rsidRPr="00F17049">
        <w:rPr>
          <w:rFonts w:ascii="Verdana" w:eastAsia="Times New Roman" w:hAnsi="Verdana" w:cs="CIDFont+F1"/>
          <w:i/>
          <w:iCs/>
          <w:sz w:val="20"/>
          <w:szCs w:val="20"/>
          <w:lang w:eastAsia="es-ES_tradnl"/>
        </w:rPr>
        <w:t xml:space="preserve">se considere entidad estatal para dichos efectos, </w:t>
      </w:r>
      <w:r w:rsidRPr="00F17049">
        <w:rPr>
          <w:rFonts w:ascii="Verdana" w:eastAsia="Times New Roman" w:hAnsi="Verdana" w:cs="CIDFont+F1"/>
          <w:b/>
          <w:bCs/>
          <w:i/>
          <w:iCs/>
          <w:sz w:val="20"/>
          <w:szCs w:val="20"/>
          <w:lang w:eastAsia="es-ES_tradnl"/>
        </w:rPr>
        <w:t>¿cuál es su naturaleza jurídica aplicable en materia contractual</w:t>
      </w:r>
      <w:r w:rsidRPr="00F17049">
        <w:rPr>
          <w:rFonts w:ascii="Verdana" w:eastAsia="Times New Roman" w:hAnsi="Verdana" w:cs="CIDFont+F1"/>
          <w:i/>
          <w:iCs/>
          <w:sz w:val="20"/>
          <w:szCs w:val="20"/>
          <w:lang w:eastAsia="es-ES_tradnl"/>
        </w:rPr>
        <w:t xml:space="preserve">, de conformidad con el ordenamiento jurídico vigente? </w:t>
      </w:r>
    </w:p>
    <w:p w14:paraId="240DD2F9" w14:textId="77777777" w:rsidR="00AC73F2" w:rsidRDefault="00AC73F2" w:rsidP="00AC73F2">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p>
    <w:p w14:paraId="4163514E" w14:textId="77777777" w:rsidR="00AC73F2" w:rsidRPr="00983DCD" w:rsidRDefault="00AC73F2" w:rsidP="00AC73F2">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r w:rsidRPr="00F17049">
        <w:rPr>
          <w:rFonts w:ascii="Verdana" w:eastAsia="Times New Roman" w:hAnsi="Verdana" w:cs="CIDFont+F1"/>
          <w:i/>
          <w:iCs/>
          <w:sz w:val="20"/>
          <w:szCs w:val="20"/>
          <w:lang w:eastAsia="es-ES_tradnl"/>
        </w:rPr>
        <w:t xml:space="preserve">En ese contexto, </w:t>
      </w:r>
      <w:r w:rsidRPr="00F17049">
        <w:rPr>
          <w:rFonts w:ascii="Verdana" w:eastAsia="Times New Roman" w:hAnsi="Verdana" w:cs="CIDFont+F1"/>
          <w:b/>
          <w:bCs/>
          <w:i/>
          <w:iCs/>
          <w:sz w:val="20"/>
          <w:szCs w:val="20"/>
          <w:lang w:eastAsia="es-ES_tradnl"/>
        </w:rPr>
        <w:t>¿resulta jurídicamente procedente la celebración de convenios interadministrativos entre COMFANDI y entidades estatales para la ejecución del apoyo logístico del plan de bienestar de un etidad publica</w:t>
      </w:r>
      <w:r w:rsidRPr="00F17049">
        <w:rPr>
          <w:rFonts w:ascii="Verdana" w:eastAsia="Times New Roman" w:hAnsi="Verdana" w:cs="CIDFont+F1"/>
          <w:i/>
          <w:iCs/>
          <w:sz w:val="20"/>
          <w:szCs w:val="20"/>
          <w:lang w:eastAsia="es-ES_tradnl"/>
        </w:rPr>
        <w:t>, o dichos vínculos deben instrumentarse mediante otra modalidad contractual distinta a la prevista para entidades estatales?</w:t>
      </w:r>
      <w:r>
        <w:rPr>
          <w:rFonts w:ascii="Verdana" w:eastAsia="Times New Roman" w:hAnsi="Verdana" w:cs="CIDFont+F1"/>
          <w:i/>
          <w:iCs/>
          <w:sz w:val="20"/>
          <w:szCs w:val="20"/>
          <w:lang w:eastAsia="es-ES_tradnl"/>
        </w:rPr>
        <w:t xml:space="preserve">” (énfasis dentro de texto). </w:t>
      </w:r>
    </w:p>
    <w:p w14:paraId="1A32F5AE" w14:textId="77777777" w:rsidR="00AC73F2" w:rsidRPr="00983DCD" w:rsidRDefault="00AC73F2" w:rsidP="00AC73F2">
      <w:pPr>
        <w:autoSpaceDE w:val="0"/>
        <w:autoSpaceDN w:val="0"/>
        <w:adjustRightInd w:val="0"/>
        <w:spacing w:after="0" w:line="276" w:lineRule="auto"/>
        <w:ind w:left="851" w:right="616"/>
        <w:jc w:val="both"/>
        <w:rPr>
          <w:rFonts w:ascii="Verdana" w:eastAsia="Century Gothic" w:hAnsi="Verdana" w:cs="Century Gothic"/>
          <w:b/>
          <w:bCs/>
          <w:lang w:eastAsia="es-ES_tradnl"/>
        </w:rPr>
      </w:pPr>
    </w:p>
    <w:p w14:paraId="3007CD9B" w14:textId="77777777" w:rsidR="00AC73F2" w:rsidRPr="00983DCD" w:rsidRDefault="00AC73F2" w:rsidP="00AC73F2">
      <w:pPr>
        <w:spacing w:after="120" w:line="276" w:lineRule="auto"/>
        <w:ind w:firstLine="709"/>
        <w:jc w:val="both"/>
        <w:rPr>
          <w:rFonts w:ascii="Verdana" w:eastAsia="Calibri" w:hAnsi="Verdana" w:cs="Arial"/>
          <w:color w:val="000000"/>
          <w:lang w:val="es-ES_tradnl" w:eastAsia="es-ES_tradnl"/>
        </w:rPr>
      </w:pPr>
      <w:r w:rsidRPr="00983DC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3DCD">
        <w:rPr>
          <w:rFonts w:ascii="Verdana" w:eastAsia="Calibri" w:hAnsi="Verdana" w:cs="Arial"/>
          <w:color w:val="000000"/>
          <w:lang w:val="es-ES_tradnl" w:eastAsia="es-ES_tradnl"/>
        </w:rPr>
        <w:tab/>
      </w:r>
    </w:p>
    <w:p w14:paraId="36679265" w14:textId="77777777" w:rsidR="00AC73F2" w:rsidRPr="00983DCD" w:rsidRDefault="00AC73F2" w:rsidP="00AC73F2">
      <w:pPr>
        <w:spacing w:after="0" w:line="276" w:lineRule="auto"/>
        <w:ind w:firstLine="709"/>
        <w:jc w:val="both"/>
        <w:rPr>
          <w:rFonts w:ascii="Verdana" w:eastAsia="Calibri" w:hAnsi="Verdana" w:cs="Arial"/>
          <w:color w:val="000000"/>
          <w:lang w:val="es-ES" w:eastAsia="es-ES"/>
        </w:rPr>
      </w:pPr>
      <w:r w:rsidRPr="00983DCD">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lang w:val="es-ES" w:eastAsia="es-ES"/>
        </w:rPr>
        <w:t>el problema jurídico de su consulta.</w:t>
      </w:r>
    </w:p>
    <w:p w14:paraId="3E67F36D" w14:textId="77777777" w:rsidR="00AC73F2" w:rsidRPr="00C57A00" w:rsidRDefault="00AC73F2" w:rsidP="00AC73F2">
      <w:pPr>
        <w:spacing w:after="0" w:line="276" w:lineRule="auto"/>
        <w:ind w:firstLine="709"/>
        <w:jc w:val="both"/>
        <w:rPr>
          <w:rFonts w:ascii="Verdana" w:eastAsia="Calibri" w:hAnsi="Verdana" w:cs="Arial"/>
          <w:color w:val="000000"/>
          <w:lang w:val="es-ES" w:eastAsia="es-ES"/>
        </w:rPr>
      </w:pPr>
    </w:p>
    <w:p w14:paraId="34F2620F" w14:textId="77777777" w:rsidR="00AC73F2" w:rsidRPr="00C57A00" w:rsidRDefault="00AC73F2" w:rsidP="00AC73F2">
      <w:pPr>
        <w:tabs>
          <w:tab w:val="left" w:pos="142"/>
          <w:tab w:val="left" w:pos="284"/>
        </w:tabs>
        <w:spacing w:after="0" w:line="276" w:lineRule="auto"/>
        <w:jc w:val="both"/>
        <w:rPr>
          <w:rFonts w:ascii="Verdana" w:eastAsia="Century Gothic" w:hAnsi="Verdana" w:cs="Century Gothic"/>
          <w:b/>
          <w:bCs/>
          <w:lang w:eastAsia="es-ES_tradnl"/>
        </w:rPr>
      </w:pPr>
      <w:r w:rsidRPr="00C57A00">
        <w:rPr>
          <w:rFonts w:ascii="Verdana" w:eastAsia="Century Gothic" w:hAnsi="Verdana" w:cs="Century Gothic"/>
          <w:b/>
          <w:bCs/>
          <w:lang w:eastAsia="es-ES_tradnl"/>
        </w:rPr>
        <w:t>I. Problema planteado:</w:t>
      </w:r>
    </w:p>
    <w:p w14:paraId="51A89B89" w14:textId="77777777" w:rsidR="00AC73F2" w:rsidRPr="00983DCD" w:rsidRDefault="00AC73F2" w:rsidP="00AC73F2">
      <w:pPr>
        <w:tabs>
          <w:tab w:val="left" w:pos="426"/>
        </w:tabs>
        <w:spacing w:after="0" w:line="276" w:lineRule="auto"/>
        <w:jc w:val="both"/>
        <w:rPr>
          <w:rFonts w:ascii="Verdana" w:eastAsia="Century Gothic" w:hAnsi="Verdana" w:cs="Century Gothic"/>
          <w:lang w:val="es-ES" w:eastAsia="es-ES_tradnl"/>
        </w:rPr>
      </w:pPr>
    </w:p>
    <w:p w14:paraId="4C63B88D" w14:textId="77777777" w:rsidR="00AC73F2" w:rsidRPr="00A73C39" w:rsidRDefault="00AC73F2" w:rsidP="00AC73F2">
      <w:pPr>
        <w:spacing w:after="0" w:line="276" w:lineRule="auto"/>
        <w:jc w:val="both"/>
        <w:rPr>
          <w:rFonts w:ascii="Verdana" w:eastAsia="Century Gothic" w:hAnsi="Verdana" w:cs="Century Gothic"/>
          <w:lang w:eastAsia="es-ES_tradnl"/>
        </w:rPr>
      </w:pPr>
      <w:r w:rsidRPr="00983DCD">
        <w:rPr>
          <w:rFonts w:ascii="Verdana" w:eastAsia="Century Gothic" w:hAnsi="Verdana" w:cs="Century Gothic"/>
          <w:lang w:eastAsia="es-ES_tradnl"/>
        </w:rPr>
        <w:t>De acuerdo con el contenido de su so</w:t>
      </w:r>
      <w:r>
        <w:rPr>
          <w:rFonts w:ascii="Verdana" w:eastAsia="Century Gothic" w:hAnsi="Verdana" w:cs="Century Gothic"/>
          <w:lang w:eastAsia="es-ES_tradnl"/>
        </w:rPr>
        <w:t xml:space="preserve">licitud, esta Agencia resolver el siguiente problema jurídico: ¿Resulta </w:t>
      </w:r>
      <w:r w:rsidRPr="00A73C39">
        <w:rPr>
          <w:rFonts w:ascii="Verdana" w:eastAsia="Century Gothic" w:hAnsi="Verdana" w:cs="Century Gothic"/>
          <w:lang w:eastAsia="es-ES_tradnl"/>
        </w:rPr>
        <w:t>procedente la celebración de convenios interadministrativos entre una entidad pública y una caja de compensación familiar que ostenta la calidad de particular que ej</w:t>
      </w:r>
      <w:r>
        <w:rPr>
          <w:rFonts w:ascii="Verdana" w:eastAsia="Century Gothic" w:hAnsi="Verdana" w:cs="Century Gothic"/>
          <w:lang w:eastAsia="es-ES_tradnl"/>
        </w:rPr>
        <w:t>erce funciones administrativas y cuál es el tipo de</w:t>
      </w:r>
      <w:r w:rsidRPr="00A73C39">
        <w:rPr>
          <w:rFonts w:ascii="Verdana" w:eastAsia="Century Gothic" w:hAnsi="Verdana" w:cs="Century Gothic"/>
          <w:lang w:eastAsia="es-ES_tradnl"/>
        </w:rPr>
        <w:t xml:space="preserve"> modalidad contractual que debe emplearse?</w:t>
      </w:r>
    </w:p>
    <w:p w14:paraId="28ABD4A3" w14:textId="77777777" w:rsidR="00AC73F2" w:rsidRPr="00983DCD" w:rsidRDefault="00AC73F2" w:rsidP="00AC73F2">
      <w:pPr>
        <w:spacing w:after="0" w:line="276" w:lineRule="auto"/>
        <w:jc w:val="both"/>
        <w:rPr>
          <w:rFonts w:ascii="Verdana" w:eastAsia="Calibri" w:hAnsi="Verdana" w:cs="Arial"/>
          <w:color w:val="7030A0"/>
          <w:lang w:val="es-ES" w:eastAsia="es-ES_tradnl"/>
        </w:rPr>
      </w:pPr>
    </w:p>
    <w:p w14:paraId="63093BC4" w14:textId="77777777" w:rsidR="00AC73F2" w:rsidRPr="00C57A00" w:rsidRDefault="00AC73F2" w:rsidP="00AC73F2">
      <w:pPr>
        <w:tabs>
          <w:tab w:val="left" w:pos="142"/>
          <w:tab w:val="left" w:pos="284"/>
        </w:tabs>
        <w:spacing w:after="0" w:line="276" w:lineRule="auto"/>
        <w:jc w:val="both"/>
        <w:rPr>
          <w:rFonts w:ascii="Verdana" w:eastAsia="Century Gothic" w:hAnsi="Verdana" w:cs="Century Gothic"/>
          <w:b/>
          <w:bCs/>
          <w:lang w:eastAsia="es-ES_tradnl"/>
        </w:rPr>
      </w:pPr>
      <w:r w:rsidRPr="00C57A00">
        <w:rPr>
          <w:rFonts w:ascii="Verdana" w:eastAsia="Century Gothic" w:hAnsi="Verdana" w:cs="Century Gothic"/>
          <w:b/>
          <w:bCs/>
          <w:lang w:eastAsia="es-ES_tradnl"/>
        </w:rPr>
        <w:t>II. Respuesta:</w:t>
      </w:r>
    </w:p>
    <w:p w14:paraId="7446C423" w14:textId="77777777" w:rsidR="00AC73F2" w:rsidRPr="00983DCD" w:rsidRDefault="00AC73F2" w:rsidP="00AC73F2">
      <w:pPr>
        <w:tabs>
          <w:tab w:val="left" w:pos="142"/>
          <w:tab w:val="left" w:pos="284"/>
        </w:tabs>
        <w:spacing w:after="0" w:line="276" w:lineRule="auto"/>
        <w:jc w:val="both"/>
        <w:rPr>
          <w:rFonts w:ascii="Verdana" w:eastAsia="Century Gothic" w:hAnsi="Verdana" w:cs="Century Gothic"/>
          <w:b/>
          <w:bCs/>
          <w:lang w:val="es-ES" w:eastAsia="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73F2" w:rsidRPr="00983DCD" w14:paraId="3673EC74" w14:textId="77777777" w:rsidTr="004B22BF">
        <w:tc>
          <w:tcPr>
            <w:tcW w:w="8828" w:type="dxa"/>
          </w:tcPr>
          <w:p w14:paraId="59DF6F2B" w14:textId="77777777" w:rsidR="00AC73F2" w:rsidRPr="00DD0D10" w:rsidRDefault="00AC73F2" w:rsidP="004B22BF">
            <w:pPr>
              <w:spacing w:after="120" w:line="276" w:lineRule="auto"/>
              <w:jc w:val="both"/>
              <w:rPr>
                <w:rFonts w:ascii="Verdana" w:eastAsia="Calibri" w:hAnsi="Verdana" w:cs="Arial"/>
                <w:kern w:val="2"/>
                <w:lang w:eastAsia="es-ES_tradnl"/>
                <w14:ligatures w14:val="standardContextual"/>
              </w:rPr>
            </w:pPr>
            <w:r>
              <w:rPr>
                <w:rFonts w:ascii="Verdana" w:eastAsia="Times New Roman" w:hAnsi="Verdana" w:cs="Arial"/>
                <w:lang w:val="es-ES" w:eastAsia="es-ES_tradnl"/>
              </w:rPr>
              <w:t xml:space="preserve">De acuerdo con el problema jurídico objeto de consulta, </w:t>
            </w:r>
            <w:r w:rsidRPr="00DD0D10">
              <w:rPr>
                <w:rFonts w:ascii="Verdana" w:eastAsia="Calibri" w:hAnsi="Verdana" w:cs="Arial"/>
                <w:kern w:val="2"/>
                <w:lang w:eastAsia="es-ES_tradnl"/>
                <w14:ligatures w14:val="standardContextual"/>
              </w:rPr>
              <w:t xml:space="preserve">las Cajas de Compensación Familiar, por regla general, ostentan la calidad de </w:t>
            </w:r>
            <w:r w:rsidRPr="00DD0D10">
              <w:rPr>
                <w:rFonts w:ascii="Verdana" w:eastAsia="Calibri" w:hAnsi="Verdana" w:cs="Arial"/>
                <w:bCs/>
                <w:kern w:val="2"/>
                <w:lang w:eastAsia="es-ES_tradnl"/>
                <w14:ligatures w14:val="standardContextual"/>
              </w:rPr>
              <w:t>personas jurídicas de derecho privado</w:t>
            </w:r>
            <w:r>
              <w:rPr>
                <w:rFonts w:ascii="Verdana" w:eastAsia="Calibri" w:hAnsi="Verdana" w:cs="Arial"/>
                <w:kern w:val="2"/>
                <w:lang w:eastAsia="es-ES_tradnl"/>
                <w14:ligatures w14:val="standardContextual"/>
              </w:rPr>
              <w:t xml:space="preserve">, aun cuando ejercen </w:t>
            </w:r>
            <w:r w:rsidRPr="00DD0D10">
              <w:rPr>
                <w:rFonts w:ascii="Verdana" w:eastAsia="Calibri" w:hAnsi="Verdana" w:cs="Arial"/>
                <w:bCs/>
                <w:kern w:val="2"/>
                <w:lang w:eastAsia="es-ES_tradnl"/>
                <w14:ligatures w14:val="standardContextual"/>
              </w:rPr>
              <w:t>funciones administrativas</w:t>
            </w:r>
            <w:r w:rsidRPr="00DD0D10">
              <w:rPr>
                <w:rFonts w:ascii="Verdana" w:eastAsia="Calibri" w:hAnsi="Verdana" w:cs="Arial"/>
                <w:kern w:val="2"/>
                <w:lang w:eastAsia="es-ES_tradnl"/>
                <w14:ligatures w14:val="standardContextual"/>
              </w:rPr>
              <w:t xml:space="preserve"> por expresa habilitación legal. Esta condición se explica en razón de su origen, régimen asociativo y estructura organizacional, así como por el hecho de que no integran orgánicamente la Rama Ejecutiva ni forman parte del sector descentralizado por servicios. La circunstancia de que administren recursos parafiscales y ejecuten actividades de interés público no transforma</w:t>
            </w:r>
            <w:r>
              <w:rPr>
                <w:rFonts w:ascii="Verdana" w:eastAsia="Calibri" w:hAnsi="Verdana" w:cs="Arial"/>
                <w:kern w:val="2"/>
                <w:lang w:eastAsia="es-ES_tradnl"/>
                <w14:ligatures w14:val="standardContextual"/>
              </w:rPr>
              <w:t>,</w:t>
            </w:r>
            <w:r w:rsidRPr="00DD0D10">
              <w:rPr>
                <w:rFonts w:ascii="Verdana" w:eastAsia="Calibri" w:hAnsi="Verdana" w:cs="Arial"/>
                <w:kern w:val="2"/>
                <w:lang w:eastAsia="es-ES_tradnl"/>
                <w14:ligatures w14:val="standardContextual"/>
              </w:rPr>
              <w:t xml:space="preserve"> per se</w:t>
            </w:r>
            <w:r>
              <w:rPr>
                <w:rFonts w:ascii="Verdana" w:eastAsia="Calibri" w:hAnsi="Verdana" w:cs="Arial"/>
                <w:kern w:val="2"/>
                <w:lang w:eastAsia="es-ES_tradnl"/>
                <w14:ligatures w14:val="standardContextual"/>
              </w:rPr>
              <w:t>,</w:t>
            </w:r>
            <w:r w:rsidRPr="00DD0D10">
              <w:rPr>
                <w:rFonts w:ascii="Verdana" w:eastAsia="Calibri" w:hAnsi="Verdana" w:cs="Arial"/>
                <w:kern w:val="2"/>
                <w:lang w:eastAsia="es-ES_tradnl"/>
                <w14:ligatures w14:val="standardContextual"/>
              </w:rPr>
              <w:t xml:space="preserve"> su naturaleza jurídica, pues el ejercicio de funciones administrativas es un fenómeno compatible con la condición de particular, en los términos previstos por el </w:t>
            </w:r>
            <w:r>
              <w:rPr>
                <w:rFonts w:ascii="Verdana" w:eastAsia="Calibri" w:hAnsi="Verdana" w:cs="Arial"/>
                <w:kern w:val="2"/>
                <w:lang w:eastAsia="es-ES_tradnl"/>
                <w14:ligatures w14:val="standardContextual"/>
              </w:rPr>
              <w:t xml:space="preserve">inciso segundo del </w:t>
            </w:r>
            <w:r w:rsidRPr="00DD0D10">
              <w:rPr>
                <w:rFonts w:ascii="Verdana" w:eastAsia="Calibri" w:hAnsi="Verdana" w:cs="Arial"/>
                <w:kern w:val="2"/>
                <w:lang w:eastAsia="es-ES_tradnl"/>
                <w14:ligatures w14:val="standardContextual"/>
              </w:rPr>
              <w:t xml:space="preserve">artículo </w:t>
            </w:r>
            <w:r>
              <w:rPr>
                <w:rFonts w:ascii="Verdana" w:eastAsia="Calibri" w:hAnsi="Verdana" w:cs="Arial"/>
                <w:kern w:val="2"/>
                <w:lang w:eastAsia="es-ES_tradnl"/>
                <w14:ligatures w14:val="standardContextual"/>
              </w:rPr>
              <w:t>210 de la Constitución Política, que dispone: “</w:t>
            </w:r>
            <w:r w:rsidRPr="00426826">
              <w:rPr>
                <w:rFonts w:ascii="Verdana" w:eastAsia="Calibri" w:hAnsi="Verdana" w:cs="Arial"/>
                <w:kern w:val="2"/>
                <w:lang w:eastAsia="es-ES_tradnl"/>
                <w14:ligatures w14:val="standardContextual"/>
              </w:rPr>
              <w:t>Los particulares pueden cumplir funciones administrativas en las condiciones que señale la ley</w:t>
            </w:r>
            <w:r>
              <w:rPr>
                <w:rFonts w:ascii="Verdana" w:eastAsia="Calibri" w:hAnsi="Verdana" w:cs="Arial"/>
                <w:kern w:val="2"/>
                <w:lang w:eastAsia="es-ES_tradnl"/>
                <w14:ligatures w14:val="standardContextual"/>
              </w:rPr>
              <w:t xml:space="preserve">”. </w:t>
            </w:r>
          </w:p>
          <w:p w14:paraId="6BB8B995" w14:textId="77777777" w:rsidR="00AC73F2" w:rsidRPr="0076547C" w:rsidRDefault="00AC73F2" w:rsidP="004B22BF">
            <w:pPr>
              <w:spacing w:after="120" w:line="276" w:lineRule="auto"/>
              <w:ind w:firstLine="708"/>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t xml:space="preserve">En ese sentido, el </w:t>
            </w:r>
            <w:r w:rsidRPr="00DD0D10">
              <w:rPr>
                <w:rFonts w:ascii="Verdana" w:eastAsia="Calibri" w:hAnsi="Verdana" w:cs="Arial"/>
                <w:kern w:val="2"/>
                <w:lang w:eastAsia="es-ES_tradnl"/>
                <w14:ligatures w14:val="standardContextual"/>
              </w:rPr>
              <w:t>cumplimiento de funciones administrativas no resulta suficiente</w:t>
            </w:r>
            <w:r>
              <w:rPr>
                <w:rFonts w:ascii="Verdana" w:eastAsia="Calibri" w:hAnsi="Verdana" w:cs="Arial"/>
                <w:kern w:val="2"/>
                <w:lang w:eastAsia="es-ES_tradnl"/>
                <w14:ligatures w14:val="standardContextual"/>
              </w:rPr>
              <w:t xml:space="preserve"> para predicar de las Cajas de Compensación F</w:t>
            </w:r>
            <w:r w:rsidRPr="00DD0D10">
              <w:rPr>
                <w:rFonts w:ascii="Verdana" w:eastAsia="Calibri" w:hAnsi="Verdana" w:cs="Arial"/>
                <w:kern w:val="2"/>
                <w:lang w:eastAsia="es-ES_tradnl"/>
                <w14:ligatures w14:val="standardContextual"/>
              </w:rPr>
              <w:t xml:space="preserve">amiliar la calidad de </w:t>
            </w:r>
            <w:r w:rsidRPr="00DD0D10">
              <w:rPr>
                <w:rFonts w:ascii="Verdana" w:eastAsia="Calibri" w:hAnsi="Verdana" w:cs="Arial"/>
                <w:bCs/>
                <w:kern w:val="2"/>
                <w:lang w:eastAsia="es-ES_tradnl"/>
                <w14:ligatures w14:val="standardContextual"/>
              </w:rPr>
              <w:t>entidades estatales</w:t>
            </w:r>
            <w:r>
              <w:rPr>
                <w:rFonts w:ascii="Verdana" w:eastAsia="Calibri" w:hAnsi="Verdana" w:cs="Arial"/>
                <w:bCs/>
                <w:kern w:val="2"/>
                <w:lang w:eastAsia="es-ES_tradnl"/>
                <w14:ligatures w14:val="standardContextual"/>
              </w:rPr>
              <w:t>,</w:t>
            </w:r>
            <w:r w:rsidRPr="00DD0D10">
              <w:rPr>
                <w:rFonts w:ascii="Verdana" w:eastAsia="Calibri" w:hAnsi="Verdana" w:cs="Arial"/>
                <w:kern w:val="2"/>
                <w:lang w:eastAsia="es-ES_tradnl"/>
                <w14:ligatures w14:val="standardContextual"/>
              </w:rPr>
              <w:t xml:space="preserve"> en los </w:t>
            </w:r>
            <w:r>
              <w:rPr>
                <w:rFonts w:ascii="Verdana" w:eastAsia="Calibri" w:hAnsi="Verdana" w:cs="Arial"/>
                <w:kern w:val="2"/>
                <w:lang w:eastAsia="es-ES_tradnl"/>
                <w14:ligatures w14:val="standardContextual"/>
              </w:rPr>
              <w:t>términos d</w:t>
            </w:r>
            <w:r w:rsidRPr="00DD0D10">
              <w:rPr>
                <w:rFonts w:ascii="Verdana" w:eastAsia="Calibri" w:hAnsi="Verdana" w:cs="Arial"/>
                <w:kern w:val="2"/>
                <w:lang w:eastAsia="es-ES_tradnl"/>
                <w14:ligatures w14:val="standardContextual"/>
              </w:rPr>
              <w:t xml:space="preserve">el artículo 2 de la Ley 80 de 1993. Dicha disposición condiciona la aplicación subjetiva del Estatuto General de Contratación de la Administración Pública </w:t>
            </w:r>
            <w:r>
              <w:rPr>
                <w:rFonts w:ascii="Verdana" w:eastAsia="Calibri" w:hAnsi="Verdana" w:cs="Arial"/>
                <w:kern w:val="2"/>
                <w:lang w:eastAsia="es-ES_tradnl"/>
                <w14:ligatures w14:val="standardContextual"/>
              </w:rPr>
              <w:t xml:space="preserve">– en adelante EGCAP – </w:t>
            </w:r>
            <w:r w:rsidRPr="00DD0D10">
              <w:rPr>
                <w:rFonts w:ascii="Verdana" w:eastAsia="Calibri" w:hAnsi="Verdana" w:cs="Arial"/>
                <w:kern w:val="2"/>
                <w:lang w:eastAsia="es-ES_tradnl"/>
                <w14:ligatures w14:val="standardContextual"/>
              </w:rPr>
              <w:t xml:space="preserve">a la pertenencia formal de la entidad a </w:t>
            </w:r>
            <w:r>
              <w:rPr>
                <w:rFonts w:ascii="Verdana" w:eastAsia="Calibri" w:hAnsi="Verdana" w:cs="Arial"/>
                <w:kern w:val="2"/>
                <w:lang w:eastAsia="es-ES_tradnl"/>
                <w14:ligatures w14:val="standardContextual"/>
              </w:rPr>
              <w:t>la estructura del Estado, y no de forma exclusiva</w:t>
            </w:r>
            <w:r w:rsidRPr="00DD0D10">
              <w:rPr>
                <w:rFonts w:ascii="Verdana" w:eastAsia="Calibri" w:hAnsi="Verdana" w:cs="Arial"/>
                <w:kern w:val="2"/>
                <w:lang w:eastAsia="es-ES_tradnl"/>
                <w14:ligatures w14:val="standardContextual"/>
              </w:rPr>
              <w:t xml:space="preserve"> </w:t>
            </w:r>
            <w:r>
              <w:rPr>
                <w:rFonts w:ascii="Verdana" w:eastAsia="Calibri" w:hAnsi="Verdana" w:cs="Arial"/>
                <w:kern w:val="2"/>
                <w:lang w:eastAsia="es-ES_tradnl"/>
                <w14:ligatures w14:val="standardContextual"/>
              </w:rPr>
              <w:t xml:space="preserve">a las </w:t>
            </w:r>
            <w:r w:rsidRPr="00DD0D10">
              <w:rPr>
                <w:rFonts w:ascii="Verdana" w:eastAsia="Calibri" w:hAnsi="Verdana" w:cs="Arial"/>
                <w:kern w:val="2"/>
                <w:lang w:eastAsia="es-ES_tradnl"/>
                <w14:ligatures w14:val="standardContextual"/>
              </w:rPr>
              <w:t>funciones que desempeña</w:t>
            </w:r>
            <w:r>
              <w:rPr>
                <w:rFonts w:ascii="Verdana" w:eastAsia="Calibri" w:hAnsi="Verdana" w:cs="Arial"/>
                <w:kern w:val="2"/>
                <w:lang w:eastAsia="es-ES_tradnl"/>
                <w14:ligatures w14:val="standardContextual"/>
              </w:rPr>
              <w:t xml:space="preserve">. En tal sentido, como </w:t>
            </w:r>
            <w:r>
              <w:rPr>
                <w:rFonts w:ascii="Verdana" w:eastAsia="Arial" w:hAnsi="Verdana" w:cs="Arial"/>
                <w:color w:val="000000"/>
              </w:rPr>
              <w:t xml:space="preserve">particulares que desarrollan actividades administrativas, las Cajas de Compensación Familiar no son entidades estatales sometidas o exceptuadas de la Ley 80 de 1993, pues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pese a ejercer determinadas funciones públicas</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siguen siendo sujetos de derecho privado. Lo anterior, no obsta para que a los particulares que reciban el ejercicio de funciones administrativas conforme a los artículos 110 y siguientes de la Ley 489 de 1998 se les extienda la aplicación del EGCAP. </w:t>
            </w:r>
          </w:p>
          <w:p w14:paraId="28B477BA" w14:textId="77777777" w:rsidR="00AC73F2" w:rsidRPr="00AE485E" w:rsidRDefault="00AC73F2" w:rsidP="004B22B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kern w:val="2"/>
                <w:lang w:eastAsia="es-ES_tradnl"/>
                <w14:ligatures w14:val="standardContextual"/>
              </w:rPr>
              <w:t xml:space="preserve">De este modo, puede afirmarse., que, como regla, es improcedente la </w:t>
            </w:r>
            <w:r w:rsidRPr="00B40730">
              <w:rPr>
                <w:rFonts w:ascii="Verdana" w:eastAsia="Calibri" w:hAnsi="Verdana" w:cs="Arial"/>
                <w:kern w:val="2"/>
                <w:lang w:eastAsia="es-ES_tradnl"/>
                <w14:ligatures w14:val="standardContextual"/>
              </w:rPr>
              <w:t xml:space="preserve">celebración de convenios interadministrativos entre una entidad estatal y una </w:t>
            </w:r>
            <w:r>
              <w:rPr>
                <w:rFonts w:ascii="Verdana" w:eastAsia="Calibri" w:hAnsi="Verdana" w:cs="Arial"/>
                <w:kern w:val="2"/>
                <w:lang w:eastAsia="es-ES_tradnl"/>
                <w14:ligatures w14:val="standardContextual"/>
              </w:rPr>
              <w:t>C</w:t>
            </w:r>
            <w:r w:rsidRPr="00B40730">
              <w:rPr>
                <w:rFonts w:ascii="Verdana" w:eastAsia="Calibri" w:hAnsi="Verdana" w:cs="Arial"/>
                <w:kern w:val="2"/>
                <w:lang w:eastAsia="es-ES_tradnl"/>
                <w14:ligatures w14:val="standardContextual"/>
              </w:rPr>
              <w:t>aja</w:t>
            </w:r>
            <w:r>
              <w:rPr>
                <w:rFonts w:ascii="Verdana" w:eastAsia="Calibri" w:hAnsi="Verdana" w:cs="Arial"/>
                <w:kern w:val="2"/>
                <w:lang w:eastAsia="es-ES_tradnl"/>
                <w14:ligatures w14:val="standardContextual"/>
              </w:rPr>
              <w:t xml:space="preserve"> de Compensación Familiar. Esto se sustenta en que</w:t>
            </w:r>
            <w:r w:rsidRPr="00B40730">
              <w:rPr>
                <w:rFonts w:ascii="Verdana" w:eastAsia="Calibri" w:hAnsi="Verdana" w:cs="Arial"/>
                <w:kern w:val="2"/>
                <w:lang w:eastAsia="es-ES_tradnl"/>
                <w14:ligatures w14:val="standardContextual"/>
              </w:rPr>
              <w:t xml:space="preserve"> estas últimas, si bien cumplen funciones</w:t>
            </w:r>
            <w:r>
              <w:rPr>
                <w:rFonts w:ascii="Verdana" w:eastAsia="Calibri" w:hAnsi="Verdana" w:cs="Arial"/>
                <w:kern w:val="2"/>
                <w:lang w:eastAsia="es-ES_tradnl"/>
                <w14:ligatures w14:val="standardContextual"/>
              </w:rPr>
              <w:t xml:space="preserve"> administrativas – actividades de interés social y administran recursos parafiscales-</w:t>
            </w:r>
            <w:r w:rsidRPr="00B40730">
              <w:rPr>
                <w:rFonts w:ascii="Verdana" w:eastAsia="Calibri" w:hAnsi="Verdana" w:cs="Arial"/>
                <w:kern w:val="2"/>
                <w:lang w:eastAsia="es-ES_tradnl"/>
                <w14:ligatures w14:val="standardContextual"/>
              </w:rPr>
              <w:t xml:space="preserve">, no tienen la naturaleza de entidad estatal, </w:t>
            </w:r>
            <w:r>
              <w:rPr>
                <w:rFonts w:ascii="Verdana" w:eastAsia="Calibri" w:hAnsi="Verdana" w:cs="Arial"/>
                <w:kern w:val="2"/>
                <w:lang w:eastAsia="es-ES_tradnl"/>
                <w14:ligatures w14:val="standardContextual"/>
              </w:rPr>
              <w:t xml:space="preserve">condición sine qua non para la celebración de convenios interadministrativos. </w:t>
            </w:r>
            <w:r w:rsidRPr="00B40730">
              <w:rPr>
                <w:rFonts w:ascii="Verdana" w:eastAsia="Calibri" w:hAnsi="Verdana" w:cs="Arial"/>
                <w:kern w:val="2"/>
                <w:lang w:eastAsia="es-ES_tradnl"/>
                <w14:ligatures w14:val="standardContextual"/>
              </w:rPr>
              <w:lastRenderedPageBreak/>
              <w:t xml:space="preserve">No obstante, dicha prohibición admite una excepción cuando la </w:t>
            </w:r>
            <w:r>
              <w:rPr>
                <w:rFonts w:ascii="Verdana" w:eastAsia="Calibri" w:hAnsi="Verdana" w:cs="Arial"/>
                <w:kern w:val="2"/>
                <w:lang w:eastAsia="es-ES_tradnl"/>
                <w14:ligatures w14:val="standardContextual"/>
              </w:rPr>
              <w:t>C</w:t>
            </w:r>
            <w:r w:rsidRPr="00B40730">
              <w:rPr>
                <w:rFonts w:ascii="Verdana" w:eastAsia="Calibri" w:hAnsi="Verdana" w:cs="Arial"/>
                <w:kern w:val="2"/>
                <w:lang w:eastAsia="es-ES_tradnl"/>
                <w14:ligatures w14:val="standardContextual"/>
              </w:rPr>
              <w:t xml:space="preserve">aja de </w:t>
            </w:r>
            <w:r>
              <w:rPr>
                <w:rFonts w:ascii="Verdana" w:eastAsia="Calibri" w:hAnsi="Verdana" w:cs="Arial"/>
                <w:kern w:val="2"/>
                <w:lang w:eastAsia="es-ES_tradnl"/>
                <w14:ligatures w14:val="standardContextual"/>
              </w:rPr>
              <w:t>C</w:t>
            </w:r>
            <w:r w:rsidRPr="00B40730">
              <w:rPr>
                <w:rFonts w:ascii="Verdana" w:eastAsia="Calibri" w:hAnsi="Verdana" w:cs="Arial"/>
                <w:kern w:val="2"/>
                <w:lang w:eastAsia="es-ES_tradnl"/>
                <w14:ligatures w14:val="standardContextual"/>
              </w:rPr>
              <w:t xml:space="preserve">ompensación </w:t>
            </w:r>
            <w:r>
              <w:rPr>
                <w:rFonts w:ascii="Verdana" w:eastAsia="Calibri" w:hAnsi="Verdana" w:cs="Arial"/>
                <w:kern w:val="2"/>
                <w:lang w:eastAsia="es-ES_tradnl"/>
                <w14:ligatures w14:val="standardContextual"/>
              </w:rPr>
              <w:t>F</w:t>
            </w:r>
            <w:r w:rsidRPr="00B40730">
              <w:rPr>
                <w:rFonts w:ascii="Verdana" w:eastAsia="Calibri" w:hAnsi="Verdana" w:cs="Arial"/>
                <w:kern w:val="2"/>
                <w:lang w:eastAsia="es-ES_tradnl"/>
                <w14:ligatures w14:val="standardContextual"/>
              </w:rPr>
              <w:t xml:space="preserve">amiliar tenga la condición de entidad sin ánimo de lucro creada por entidades estatales. En este evento, la celebración del convenio interadministrativo resulta procedente, siempre que se ajuste a lo previsto en el artículo 96 de la Ley 489 de 1998 y en el </w:t>
            </w:r>
            <w:r>
              <w:rPr>
                <w:rFonts w:ascii="Verdana" w:eastAsia="Calibri" w:hAnsi="Verdana" w:cs="Arial"/>
                <w:kern w:val="2"/>
                <w:lang w:eastAsia="es-ES_tradnl"/>
                <w14:ligatures w14:val="standardContextual"/>
              </w:rPr>
              <w:t>artículo 2 de la Ley 80 de 1993</w:t>
            </w:r>
            <w:r w:rsidRPr="00B40730">
              <w:rPr>
                <w:rFonts w:ascii="Verdana" w:eastAsia="Calibri" w:hAnsi="Verdana" w:cs="Arial"/>
                <w:kern w:val="2"/>
                <w:lang w:eastAsia="es-ES_tradnl"/>
                <w14:ligatures w14:val="standardContextual"/>
              </w:rPr>
              <w:t>.</w:t>
            </w:r>
          </w:p>
          <w:p w14:paraId="2E61D1F2" w14:textId="77777777" w:rsidR="00AC73F2" w:rsidRPr="00A06941" w:rsidRDefault="00AC73F2" w:rsidP="004B22BF">
            <w:pPr>
              <w:spacing w:after="120" w:line="276" w:lineRule="auto"/>
              <w:ind w:firstLine="708"/>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t>Así pues, las C</w:t>
            </w:r>
            <w:r w:rsidRPr="00A06941">
              <w:rPr>
                <w:rFonts w:ascii="Verdana" w:eastAsia="Calibri" w:hAnsi="Verdana" w:cs="Arial"/>
                <w:kern w:val="2"/>
                <w:lang w:eastAsia="es-ES_tradnl"/>
                <w14:ligatures w14:val="standardContextual"/>
              </w:rPr>
              <w:t xml:space="preserve">ajas de </w:t>
            </w:r>
            <w:r>
              <w:rPr>
                <w:rFonts w:ascii="Verdana" w:eastAsia="Calibri" w:hAnsi="Verdana" w:cs="Arial"/>
                <w:kern w:val="2"/>
                <w:lang w:eastAsia="es-ES_tradnl"/>
                <w14:ligatures w14:val="standardContextual"/>
              </w:rPr>
              <w:t>C</w:t>
            </w:r>
            <w:r w:rsidRPr="00A06941">
              <w:rPr>
                <w:rFonts w:ascii="Verdana" w:eastAsia="Calibri" w:hAnsi="Verdana" w:cs="Arial"/>
                <w:kern w:val="2"/>
                <w:lang w:eastAsia="es-ES_tradnl"/>
                <w14:ligatures w14:val="standardContextual"/>
              </w:rPr>
              <w:t xml:space="preserve">ompensación </w:t>
            </w:r>
            <w:r>
              <w:rPr>
                <w:rFonts w:ascii="Verdana" w:eastAsia="Calibri" w:hAnsi="Verdana" w:cs="Arial"/>
                <w:kern w:val="2"/>
                <w:lang w:eastAsia="es-ES_tradnl"/>
                <w14:ligatures w14:val="standardContextual"/>
              </w:rPr>
              <w:t>F</w:t>
            </w:r>
            <w:r w:rsidRPr="00A06941">
              <w:rPr>
                <w:rFonts w:ascii="Verdana" w:eastAsia="Calibri" w:hAnsi="Verdana" w:cs="Arial"/>
                <w:kern w:val="2"/>
                <w:lang w:eastAsia="es-ES_tradnl"/>
                <w14:ligatures w14:val="standardContextual"/>
              </w:rPr>
              <w:t xml:space="preserve">amiliar no </w:t>
            </w:r>
            <w:r>
              <w:rPr>
                <w:rFonts w:ascii="Verdana" w:eastAsia="Calibri" w:hAnsi="Verdana" w:cs="Arial"/>
                <w:kern w:val="2"/>
                <w:lang w:eastAsia="es-ES_tradnl"/>
                <w14:ligatures w14:val="standardContextual"/>
              </w:rPr>
              <w:t xml:space="preserve">son </w:t>
            </w:r>
            <w:r w:rsidRPr="00A06941">
              <w:rPr>
                <w:rFonts w:ascii="Verdana" w:eastAsia="Calibri" w:hAnsi="Verdana" w:cs="Arial"/>
                <w:kern w:val="2"/>
                <w:lang w:eastAsia="es-ES_tradnl"/>
                <w14:ligatures w14:val="standardContextual"/>
              </w:rPr>
              <w:t>entidades estatales, esta circunstancia no las excluye de participar en procesos de con</w:t>
            </w:r>
            <w:r>
              <w:rPr>
                <w:rFonts w:ascii="Verdana" w:eastAsia="Calibri" w:hAnsi="Verdana" w:cs="Arial"/>
                <w:kern w:val="2"/>
                <w:lang w:eastAsia="es-ES_tradnl"/>
                <w14:ligatures w14:val="standardContextual"/>
              </w:rPr>
              <w:t>tratación pública. En tales eventos</w:t>
            </w:r>
            <w:r w:rsidRPr="00A06941">
              <w:rPr>
                <w:rFonts w:ascii="Verdana" w:eastAsia="Calibri" w:hAnsi="Verdana" w:cs="Arial"/>
                <w:kern w:val="2"/>
                <w:lang w:eastAsia="es-ES_tradnl"/>
                <w14:ligatures w14:val="standardContextual"/>
              </w:rPr>
              <w:t xml:space="preserve">, actúan como organizaciones de naturaleza privada que prestan servicios y concurren al mercado en igualdad de condiciones frente a otros oferentes, sin prerrogativas derivadas del régimen público. En consecuencia, pueden presentarse como proponentes u oferentes en los distintos procedimientos de selección previstos en el </w:t>
            </w:r>
            <w:r>
              <w:rPr>
                <w:rFonts w:ascii="Verdana" w:eastAsia="Calibri" w:hAnsi="Verdana" w:cs="Arial"/>
                <w:kern w:val="2"/>
                <w:lang w:eastAsia="es-ES_tradnl"/>
                <w14:ligatures w14:val="standardContextual"/>
              </w:rPr>
              <w:t>EGCAP</w:t>
            </w:r>
            <w:r w:rsidRPr="00A06941">
              <w:rPr>
                <w:rFonts w:ascii="Verdana" w:eastAsia="Calibri" w:hAnsi="Verdana" w:cs="Arial"/>
                <w:kern w:val="2"/>
                <w:lang w:eastAsia="es-ES_tradnl"/>
                <w14:ligatures w14:val="standardContextual"/>
              </w:rPr>
              <w:t xml:space="preserve">, tales como la licitación pública, la selección abreviada, la mínima cuantía, entre otros, </w:t>
            </w:r>
            <w:r>
              <w:rPr>
                <w:rFonts w:ascii="Verdana" w:eastAsia="Calibri" w:hAnsi="Verdana" w:cs="Arial"/>
                <w:kern w:val="2"/>
                <w:lang w:eastAsia="es-ES_tradnl"/>
                <w14:ligatures w14:val="standardContextual"/>
              </w:rPr>
              <w:t xml:space="preserve">con la condición de que </w:t>
            </w:r>
            <w:r w:rsidRPr="00A06941">
              <w:rPr>
                <w:rFonts w:ascii="Verdana" w:eastAsia="Calibri" w:hAnsi="Verdana" w:cs="Arial"/>
                <w:kern w:val="2"/>
                <w:lang w:eastAsia="es-ES_tradnl"/>
                <w14:ligatures w14:val="standardContextual"/>
              </w:rPr>
              <w:t>su objeto social guarde relación directa con el objeto contractual y cumplan los requisitos legales y técnicos exigidos en cada proceso.</w:t>
            </w:r>
          </w:p>
          <w:p w14:paraId="79BFED4E" w14:textId="77777777" w:rsidR="00AC73F2" w:rsidRDefault="00AC73F2" w:rsidP="004B22BF">
            <w:pPr>
              <w:spacing w:after="120" w:line="276" w:lineRule="auto"/>
              <w:ind w:firstLine="708"/>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t>Así mismo, las C</w:t>
            </w:r>
            <w:r w:rsidRPr="00A06941">
              <w:rPr>
                <w:rFonts w:ascii="Verdana" w:eastAsia="Calibri" w:hAnsi="Verdana" w:cs="Arial"/>
                <w:kern w:val="2"/>
                <w:lang w:eastAsia="es-ES_tradnl"/>
                <w14:ligatures w14:val="standardContextual"/>
              </w:rPr>
              <w:t xml:space="preserve">ajas de </w:t>
            </w:r>
            <w:r>
              <w:rPr>
                <w:rFonts w:ascii="Verdana" w:eastAsia="Calibri" w:hAnsi="Verdana" w:cs="Arial"/>
                <w:kern w:val="2"/>
                <w:lang w:eastAsia="es-ES_tradnl"/>
                <w14:ligatures w14:val="standardContextual"/>
              </w:rPr>
              <w:t>C</w:t>
            </w:r>
            <w:r w:rsidRPr="00A06941">
              <w:rPr>
                <w:rFonts w:ascii="Verdana" w:eastAsia="Calibri" w:hAnsi="Verdana" w:cs="Arial"/>
                <w:kern w:val="2"/>
                <w:lang w:eastAsia="es-ES_tradnl"/>
                <w14:ligatures w14:val="standardContextual"/>
              </w:rPr>
              <w:t xml:space="preserve">ompensación </w:t>
            </w:r>
            <w:r>
              <w:rPr>
                <w:rFonts w:ascii="Verdana" w:eastAsia="Calibri" w:hAnsi="Verdana" w:cs="Arial"/>
                <w:kern w:val="2"/>
                <w:lang w:eastAsia="es-ES_tradnl"/>
                <w14:ligatures w14:val="standardContextual"/>
              </w:rPr>
              <w:t>F</w:t>
            </w:r>
            <w:r w:rsidRPr="00A06941">
              <w:rPr>
                <w:rFonts w:ascii="Verdana" w:eastAsia="Calibri" w:hAnsi="Verdana" w:cs="Arial"/>
                <w:kern w:val="2"/>
                <w:lang w:eastAsia="es-ES_tradnl"/>
                <w14:ligatures w14:val="standardContextual"/>
              </w:rPr>
              <w:t xml:space="preserve">amiliar pueden participar en esquemas de contratación especial previstos para entidades sin ánimo de </w:t>
            </w:r>
            <w:r>
              <w:rPr>
                <w:rFonts w:ascii="Verdana" w:eastAsia="Calibri" w:hAnsi="Verdana" w:cs="Arial"/>
                <w:kern w:val="2"/>
                <w:lang w:eastAsia="es-ES_tradnl"/>
                <w14:ligatures w14:val="standardContextual"/>
              </w:rPr>
              <w:t>lucro, en especial,</w:t>
            </w:r>
            <w:r w:rsidRPr="00A06941">
              <w:rPr>
                <w:rFonts w:ascii="Verdana" w:eastAsia="Calibri" w:hAnsi="Verdana" w:cs="Arial"/>
                <w:kern w:val="2"/>
                <w:lang w:eastAsia="es-ES_tradnl"/>
                <w14:ligatures w14:val="standardContextual"/>
              </w:rPr>
              <w:t xml:space="preserve"> aquellos regulados por el artículo 355 de la Constitución Política y el Decreto 092 de 2017. En este contexto, su vinculación resulta viable en la medida en que se demuestre que cumplen las condiciones sustanciales y fo</w:t>
            </w:r>
            <w:r>
              <w:rPr>
                <w:rFonts w:ascii="Verdana" w:eastAsia="Calibri" w:hAnsi="Verdana" w:cs="Arial"/>
                <w:kern w:val="2"/>
                <w:lang w:eastAsia="es-ES_tradnl"/>
                <w14:ligatures w14:val="standardContextual"/>
              </w:rPr>
              <w:t>rmales exigidas por el régimen dispuesto en el Decreto 092 de 2017</w:t>
            </w:r>
            <w:r w:rsidRPr="00A06941">
              <w:rPr>
                <w:rFonts w:ascii="Verdana" w:eastAsia="Calibri" w:hAnsi="Verdana" w:cs="Arial"/>
                <w:kern w:val="2"/>
                <w:lang w:eastAsia="es-ES_tradnl"/>
                <w14:ligatures w14:val="standardContextual"/>
              </w:rPr>
              <w:t xml:space="preserve">. </w:t>
            </w:r>
          </w:p>
          <w:p w14:paraId="52FFB29C" w14:textId="77777777" w:rsidR="00AC73F2" w:rsidRPr="008A2883" w:rsidRDefault="00AC73F2" w:rsidP="004B22BF">
            <w:pPr>
              <w:spacing w:line="276" w:lineRule="auto"/>
              <w:ind w:firstLine="708"/>
              <w:jc w:val="both"/>
              <w:rPr>
                <w:rFonts w:ascii="Verdana" w:hAnsi="Verdana" w:cs="Arial"/>
                <w:color w:val="000000" w:themeColor="text1"/>
              </w:rPr>
            </w:pPr>
            <w:r w:rsidRPr="00983DCD">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983DCD">
              <w:rPr>
                <w:rFonts w:ascii="Verdana" w:eastAsia="Calibri" w:hAnsi="Verdana" w:cs="Arial"/>
                <w:bCs/>
                <w:color w:val="000000" w:themeColor="text1"/>
              </w:rPr>
              <w:t>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842F98E" w14:textId="77777777" w:rsidR="00AC73F2" w:rsidRPr="00983DCD" w:rsidRDefault="00AC73F2" w:rsidP="00AC73F2">
      <w:pPr>
        <w:tabs>
          <w:tab w:val="left" w:pos="142"/>
          <w:tab w:val="left" w:pos="284"/>
        </w:tabs>
        <w:spacing w:after="0" w:line="240" w:lineRule="auto"/>
        <w:jc w:val="both"/>
        <w:rPr>
          <w:rFonts w:ascii="Verdana" w:eastAsia="Century Gothic" w:hAnsi="Verdana" w:cs="Century Gothic"/>
          <w:b/>
          <w:bCs/>
          <w:lang w:val="es-ES"/>
        </w:rPr>
      </w:pPr>
    </w:p>
    <w:p w14:paraId="5C6C8723" w14:textId="77777777" w:rsidR="00AC73F2" w:rsidRPr="00983DCD" w:rsidRDefault="00AC73F2" w:rsidP="00AC73F2">
      <w:pPr>
        <w:tabs>
          <w:tab w:val="left" w:pos="142"/>
          <w:tab w:val="left" w:pos="284"/>
        </w:tabs>
        <w:spacing w:after="0" w:line="240" w:lineRule="auto"/>
        <w:jc w:val="both"/>
        <w:rPr>
          <w:rFonts w:ascii="Verdana" w:eastAsia="Century Gothic" w:hAnsi="Verdana" w:cs="Century Gothic"/>
          <w:b/>
          <w:bCs/>
          <w:lang w:val="es-ES"/>
        </w:rPr>
      </w:pPr>
      <w:r w:rsidRPr="00983DCD">
        <w:rPr>
          <w:rFonts w:ascii="Verdana" w:eastAsia="Century Gothic" w:hAnsi="Verdana" w:cs="Century Gothic"/>
          <w:b/>
          <w:bCs/>
          <w:lang w:val="es-ES"/>
        </w:rPr>
        <w:t>III. Razones de la respuesta:</w:t>
      </w:r>
    </w:p>
    <w:p w14:paraId="4A893FA7" w14:textId="77777777" w:rsidR="00AC73F2" w:rsidRPr="00983DCD" w:rsidRDefault="00AC73F2" w:rsidP="00AC73F2">
      <w:pPr>
        <w:spacing w:after="0" w:line="240" w:lineRule="auto"/>
        <w:jc w:val="both"/>
        <w:rPr>
          <w:rFonts w:ascii="Verdana" w:eastAsia="Calibri" w:hAnsi="Verdana" w:cs="Arial"/>
          <w:color w:val="7030A0"/>
          <w:lang w:val="es-ES" w:eastAsia="es-ES_tradnl"/>
        </w:rPr>
      </w:pPr>
    </w:p>
    <w:p w14:paraId="0E5BBFC4" w14:textId="77777777" w:rsidR="00AC73F2" w:rsidRPr="00983DCD" w:rsidRDefault="00AC73F2" w:rsidP="00AC73F2">
      <w:pPr>
        <w:spacing w:after="0" w:line="240" w:lineRule="auto"/>
        <w:jc w:val="both"/>
        <w:rPr>
          <w:rFonts w:ascii="Verdana" w:eastAsia="Calibri" w:hAnsi="Verdana" w:cs="Arial"/>
          <w:lang w:val="es-ES" w:eastAsia="es-ES_tradnl"/>
        </w:rPr>
      </w:pPr>
      <w:r w:rsidRPr="00983DCD">
        <w:rPr>
          <w:rFonts w:ascii="Verdana" w:eastAsia="Calibri" w:hAnsi="Verdana" w:cs="Arial"/>
          <w:lang w:val="es-ES" w:eastAsia="es-ES_tradnl"/>
        </w:rPr>
        <w:lastRenderedPageBreak/>
        <w:t xml:space="preserve">Lo anterior se sustenta en las siguientes consideraciones: </w:t>
      </w:r>
    </w:p>
    <w:p w14:paraId="70D86A5D" w14:textId="77777777" w:rsidR="00AC73F2" w:rsidRDefault="00AC73F2" w:rsidP="00AC73F2">
      <w:pPr>
        <w:spacing w:after="0" w:line="240" w:lineRule="auto"/>
        <w:jc w:val="both"/>
        <w:rPr>
          <w:rFonts w:ascii="Verdana" w:eastAsia="Calibri" w:hAnsi="Verdana" w:cs="Arial"/>
          <w:lang w:val="es-ES"/>
        </w:rPr>
      </w:pPr>
    </w:p>
    <w:p w14:paraId="39755969" w14:textId="77777777" w:rsidR="00AC73F2" w:rsidRPr="003C1E50" w:rsidRDefault="00AC73F2" w:rsidP="00AC73F2">
      <w:pPr>
        <w:spacing w:after="120" w:line="276" w:lineRule="auto"/>
        <w:jc w:val="both"/>
        <w:rPr>
          <w:rFonts w:ascii="Verdana" w:hAnsi="Verdana" w:cs="Arial"/>
          <w:lang w:val="es-ES"/>
        </w:rPr>
      </w:pPr>
      <w:r w:rsidRPr="003C1E50">
        <w:rPr>
          <w:rFonts w:ascii="Verdana" w:hAnsi="Verdana" w:cs="Arial"/>
          <w:lang w:val="es-ES"/>
        </w:rPr>
        <w:t xml:space="preserve">i. De acuerdo con el inciso final del artículo 150 superior, corresponde al Congreso de la República expedir el </w:t>
      </w:r>
      <w:r>
        <w:rPr>
          <w:rFonts w:ascii="Verdana" w:hAnsi="Verdana" w:cs="Arial"/>
          <w:lang w:val="es-ES"/>
        </w:rPr>
        <w:t>EGCAP</w:t>
      </w:r>
      <w:r w:rsidRPr="003C1E50">
        <w:rPr>
          <w:rFonts w:ascii="Verdana" w:hAnsi="Verdana" w:cs="Arial"/>
          <w:lang w:val="es-ES"/>
        </w:rPr>
        <w:t xml:space="preserve"> y, en especial, de la Administración Nacional. Esta competencia fue ejercida con la expedición de la Ley 80 de 1993, la cual rige para las </w:t>
      </w:r>
      <w:r w:rsidRPr="003C1E50">
        <w:rPr>
          <w:rFonts w:ascii="Verdana" w:hAnsi="Verdana" w:cs="Arial"/>
          <w:i/>
          <w:iCs/>
          <w:lang w:val="es-ES"/>
        </w:rPr>
        <w:t>entidades estatales</w:t>
      </w:r>
      <w:r w:rsidRPr="003C1E50">
        <w:rPr>
          <w:rFonts w:ascii="Verdana" w:hAnsi="Verdana" w:cs="Arial"/>
          <w:lang w:val="es-ES"/>
        </w:rPr>
        <w:t xml:space="preserve">, esto es, aquellas previstas en los literales a) y b) del numeral 1 del artículo 2 </w:t>
      </w:r>
      <w:r w:rsidRPr="003C1E50">
        <w:rPr>
          <w:rFonts w:ascii="Verdana" w:hAnsi="Verdana" w:cs="Arial"/>
          <w:i/>
          <w:iCs/>
          <w:lang w:val="es-ES"/>
        </w:rPr>
        <w:t>ibidem</w:t>
      </w:r>
      <w:r w:rsidRPr="003C1E50">
        <w:rPr>
          <w:rFonts w:ascii="Verdana" w:hAnsi="Verdana" w:cs="Arial"/>
          <w:lang w:val="es-ES"/>
        </w:rPr>
        <w:t xml:space="preserve">. La norma citada define la competencia contractual en los siguientes términos: </w:t>
      </w:r>
    </w:p>
    <w:p w14:paraId="65F3F313" w14:textId="77777777" w:rsidR="00AC73F2" w:rsidRPr="003C1E50" w:rsidRDefault="00AC73F2" w:rsidP="00AC73F2">
      <w:pPr>
        <w:spacing w:after="120" w:line="276" w:lineRule="auto"/>
        <w:ind w:firstLine="708"/>
        <w:jc w:val="both"/>
        <w:rPr>
          <w:rFonts w:ascii="Verdana" w:hAnsi="Verdana" w:cs="Arial"/>
          <w:lang w:val="es-ES"/>
        </w:rPr>
      </w:pPr>
      <w:r w:rsidRPr="003C1E50">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AC10940" w14:textId="77777777" w:rsidR="00AC73F2" w:rsidRPr="003C1E50" w:rsidRDefault="00AC73F2" w:rsidP="00AC73F2">
      <w:pPr>
        <w:spacing w:after="0" w:line="276" w:lineRule="auto"/>
        <w:ind w:firstLine="708"/>
        <w:jc w:val="both"/>
        <w:rPr>
          <w:rFonts w:ascii="Verdana" w:hAnsi="Verdana" w:cs="Arial"/>
          <w:lang w:val="es-ES"/>
        </w:rPr>
      </w:pPr>
      <w:r w:rsidRPr="003C1E50">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C1E50">
        <w:rPr>
          <w:rStyle w:val="Refdenotaalpie"/>
          <w:rFonts w:ascii="Verdana" w:hAnsi="Verdana" w:cs="Arial"/>
          <w:lang w:val="es-ES"/>
        </w:rPr>
        <w:footnoteReference w:id="1"/>
      </w:r>
      <w:r w:rsidRPr="003C1E50">
        <w:rPr>
          <w:rFonts w:ascii="Verdana" w:hAnsi="Verdana" w:cs="Arial"/>
          <w:lang w:val="es-ES"/>
        </w:rPr>
        <w:t xml:space="preserve">. </w:t>
      </w:r>
    </w:p>
    <w:p w14:paraId="3A8CC4ED" w14:textId="77777777" w:rsidR="00AC73F2" w:rsidRPr="003C1E50" w:rsidRDefault="00AC73F2" w:rsidP="00AC73F2">
      <w:pPr>
        <w:spacing w:after="0" w:line="276" w:lineRule="auto"/>
        <w:ind w:firstLine="708"/>
        <w:jc w:val="both"/>
        <w:rPr>
          <w:rFonts w:ascii="Verdana" w:hAnsi="Verdana" w:cs="Arial"/>
          <w:bCs/>
        </w:rPr>
      </w:pPr>
    </w:p>
    <w:p w14:paraId="456B886C" w14:textId="77777777" w:rsidR="00AC73F2" w:rsidRPr="003C1E50" w:rsidRDefault="00AC73F2" w:rsidP="00AC73F2">
      <w:pPr>
        <w:spacing w:after="120" w:line="276" w:lineRule="auto"/>
        <w:jc w:val="both"/>
        <w:rPr>
          <w:rFonts w:ascii="Verdana" w:eastAsia="Arial" w:hAnsi="Verdana" w:cs="Arial"/>
          <w:color w:val="000000"/>
          <w:lang w:val="es-ES"/>
        </w:rPr>
      </w:pPr>
      <w:r>
        <w:rPr>
          <w:rFonts w:ascii="Verdana" w:hAnsi="Verdana" w:cs="Arial"/>
          <w:bCs/>
        </w:rPr>
        <w:t>ii</w:t>
      </w:r>
      <w:r w:rsidRPr="003C1E50">
        <w:rPr>
          <w:rFonts w:ascii="Verdana" w:hAnsi="Verdana" w:cs="Arial"/>
          <w:bCs/>
        </w:rPr>
        <w:t xml:space="preserve">. Sea que se trate de un negocio jurídico sometido o excluido de la Ley 80 de 1993, lo importante es que el contrato estatal se identifica por el criterio orgánico o subjetivo, lo que excluye a los sujetos de derecho privado. Por ello, el Consejo de Estado explica que el “[…] </w:t>
      </w:r>
      <w:r w:rsidRPr="003C1E50">
        <w:rPr>
          <w:rFonts w:ascii="Verdana" w:eastAsia="Arial" w:hAnsi="Verdana" w:cs="Arial"/>
          <w:i/>
          <w:iCs/>
          <w:color w:val="000000"/>
          <w:lang w:val="es-ES"/>
        </w:rPr>
        <w:t>elemento esencial para calificar de estatal un contrato, es que haya sido celebrado por una entidad estatal, es decir, una entidad pública con capacidad legal para celebrarlo</w:t>
      </w:r>
      <w:r w:rsidRPr="003C1E50">
        <w:rPr>
          <w:rFonts w:ascii="Verdana" w:eastAsia="Arial" w:hAnsi="Verdana" w:cs="Arial"/>
          <w:color w:val="000000"/>
          <w:lang w:val="es-ES"/>
        </w:rPr>
        <w:t>. Dicho de otro modo,</w:t>
      </w:r>
      <w:r w:rsidRPr="003C1E50">
        <w:rPr>
          <w:rFonts w:ascii="Verdana" w:eastAsia="Arial" w:hAnsi="Verdana" w:cs="Arial"/>
          <w:i/>
          <w:iCs/>
          <w:color w:val="000000"/>
          <w:lang w:val="es-ES"/>
        </w:rPr>
        <w:t xml:space="preserve"> </w:t>
      </w:r>
      <w:r w:rsidRPr="003C1E50">
        <w:rPr>
          <w:rFonts w:ascii="Verdana" w:eastAsia="Arial" w:hAnsi="Verdana" w:cs="Arial"/>
          <w:color w:val="000000"/>
          <w:lang w:val="es-ES"/>
        </w:rPr>
        <w:t>no existen contratos estatales celebrados entre particulares, ni siquiera cuando éstos han sido habilitados legalmente para el ejercicio de funciones</w:t>
      </w:r>
      <w:r w:rsidRPr="003C1E50">
        <w:rPr>
          <w:rFonts w:ascii="Verdana" w:eastAsia="Arial" w:hAnsi="Verdana" w:cs="Arial"/>
          <w:color w:val="000000"/>
          <w:spacing w:val="-4"/>
          <w:lang w:val="es-ES"/>
        </w:rPr>
        <w:t xml:space="preserve"> </w:t>
      </w:r>
      <w:r w:rsidRPr="003C1E50">
        <w:rPr>
          <w:rFonts w:ascii="Verdana" w:eastAsia="Arial" w:hAnsi="Verdana" w:cs="Arial"/>
          <w:color w:val="000000"/>
          <w:lang w:val="es-ES"/>
        </w:rPr>
        <w:t>públicas”</w:t>
      </w:r>
      <w:r w:rsidRPr="003C1E50">
        <w:rPr>
          <w:rFonts w:ascii="Verdana" w:eastAsia="Arial" w:hAnsi="Verdana" w:cs="Arial"/>
          <w:color w:val="000000"/>
          <w:vertAlign w:val="superscript"/>
          <w:lang w:val="es-ES"/>
        </w:rPr>
        <w:footnoteReference w:id="2"/>
      </w:r>
      <w:r w:rsidRPr="003C1E50">
        <w:rPr>
          <w:rFonts w:ascii="Verdana" w:eastAsia="Arial" w:hAnsi="Verdana" w:cs="Arial"/>
          <w:color w:val="000000"/>
          <w:lang w:val="es-ES"/>
        </w:rPr>
        <w:t xml:space="preserve"> (Énfasis fuera de texto).</w:t>
      </w:r>
    </w:p>
    <w:p w14:paraId="495D6649" w14:textId="77777777" w:rsidR="00AC73F2" w:rsidRDefault="00AC73F2" w:rsidP="00AC73F2">
      <w:pPr>
        <w:spacing w:after="0" w:line="276" w:lineRule="auto"/>
        <w:jc w:val="both"/>
        <w:rPr>
          <w:rFonts w:ascii="Verdana" w:eastAsia="Arial" w:hAnsi="Verdana" w:cs="Arial"/>
          <w:color w:val="000000"/>
          <w:lang w:val="es-ES"/>
        </w:rPr>
      </w:pPr>
      <w:r w:rsidRPr="003C1E50">
        <w:rPr>
          <w:rFonts w:ascii="Verdana" w:eastAsia="Arial" w:hAnsi="Verdana" w:cs="Arial"/>
          <w:color w:val="000000"/>
          <w:lang w:val="es-ES"/>
        </w:rPr>
        <w:tab/>
        <w:t>De esta manera, el contrato estatal es el acto jurídico creador de obligaciones a cuya celebración concurra una de las entidades estatales, independientemente de que se trate de contratos previstos o tipificados en el derecho privado, en disposiciones especiales o que resulten del ejercicio de la autonomía de la voluntad, como sucede con los que se clasifican como atípicos e innominados</w:t>
      </w:r>
      <w:r w:rsidRPr="003C1E50">
        <w:rPr>
          <w:rFonts w:ascii="Verdana" w:eastAsia="Arial" w:hAnsi="Verdana" w:cs="Arial"/>
          <w:color w:val="000000"/>
          <w:vertAlign w:val="superscript"/>
          <w:lang w:val="es-ES"/>
        </w:rPr>
        <w:footnoteReference w:id="3"/>
      </w:r>
      <w:r w:rsidRPr="003C1E50">
        <w:rPr>
          <w:rFonts w:ascii="Verdana" w:eastAsia="Arial" w:hAnsi="Verdana" w:cs="Arial"/>
          <w:color w:val="000000"/>
          <w:lang w:val="es-ES"/>
        </w:rPr>
        <w:t xml:space="preserve">.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w:t>
      </w:r>
      <w:r w:rsidRPr="003C1E50">
        <w:rPr>
          <w:rFonts w:ascii="Verdana" w:eastAsia="Arial" w:hAnsi="Verdana" w:cs="Arial"/>
          <w:color w:val="000000"/>
          <w:lang w:val="es-ES"/>
        </w:rPr>
        <w:lastRenderedPageBreak/>
        <w:t>contratación, caso en el cual se tratará de un contrato estatal de régimen exceptuado</w:t>
      </w:r>
      <w:r w:rsidRPr="003C1E50">
        <w:rPr>
          <w:rStyle w:val="Refdenotaalpie"/>
          <w:rFonts w:ascii="Verdana" w:eastAsia="Arial" w:hAnsi="Verdana" w:cs="Arial"/>
          <w:color w:val="000000"/>
          <w:lang w:val="es-ES"/>
        </w:rPr>
        <w:footnoteReference w:id="4"/>
      </w:r>
      <w:r w:rsidRPr="003C1E50">
        <w:rPr>
          <w:rFonts w:ascii="Verdana" w:eastAsia="Arial" w:hAnsi="Verdana" w:cs="Arial"/>
          <w:color w:val="000000"/>
          <w:lang w:val="es-ES"/>
        </w:rPr>
        <w:t xml:space="preserve">. </w:t>
      </w:r>
    </w:p>
    <w:p w14:paraId="1F29CA33" w14:textId="77777777" w:rsidR="00AC73F2" w:rsidRPr="00983DCD" w:rsidRDefault="00AC73F2" w:rsidP="00AC73F2">
      <w:pPr>
        <w:spacing w:after="0" w:line="276" w:lineRule="auto"/>
        <w:jc w:val="both"/>
        <w:rPr>
          <w:rFonts w:ascii="Verdana" w:eastAsia="Calibri" w:hAnsi="Verdana" w:cs="Arial"/>
          <w:color w:val="7030A0"/>
          <w:lang w:val="es-ES" w:eastAsia="es-ES_tradnl"/>
        </w:rPr>
      </w:pPr>
    </w:p>
    <w:p w14:paraId="213ECB8A" w14:textId="77777777" w:rsidR="00AC73F2" w:rsidRPr="00983DCD" w:rsidRDefault="00AC73F2" w:rsidP="00AC73F2">
      <w:pPr>
        <w:spacing w:after="120" w:line="276" w:lineRule="auto"/>
        <w:jc w:val="both"/>
        <w:rPr>
          <w:rFonts w:ascii="Verdana" w:eastAsia="Calibri" w:hAnsi="Verdana" w:cs="Arial"/>
          <w:color w:val="000000"/>
          <w:kern w:val="2"/>
          <w:lang w:eastAsia="es-ES_tradnl"/>
          <w14:ligatures w14:val="standardContextual"/>
        </w:rPr>
      </w:pPr>
      <w:r>
        <w:rPr>
          <w:rFonts w:ascii="Verdana" w:eastAsia="Calibri" w:hAnsi="Verdana" w:cs="Arial"/>
          <w:kern w:val="2"/>
          <w:lang w:eastAsia="es-ES_tradnl"/>
          <w14:ligatures w14:val="standardContextual"/>
        </w:rPr>
        <w:t>ii</w:t>
      </w:r>
      <w:r w:rsidRPr="00983DCD">
        <w:rPr>
          <w:rFonts w:ascii="Verdana" w:eastAsia="Calibri" w:hAnsi="Verdana" w:cs="Arial"/>
          <w:kern w:val="2"/>
          <w:lang w:eastAsia="es-ES_tradnl"/>
          <w14:ligatures w14:val="standardContextual"/>
        </w:rPr>
        <w:t>i. Es pertinente mencionar que el Libro Segundo del Código de Comercio no incluye dentro de la enumeración de las sociedades comerciales a las corporaciones, asociaciones o fundaciones, es decir, a las entidades sin ánimo de lucro – en adelante ESAL–. La razón de esta exclusión, a juicio de esta Agencia, es evidente: dichas organizaciones no tienen fines comerciales, es decir, carecen de ánimo de lucro, razón por la cual no pueden considerarse un tipo o clase de sociedad comercial</w:t>
      </w:r>
      <w:r w:rsidRPr="00983DCD">
        <w:rPr>
          <w:rFonts w:ascii="Verdana" w:eastAsia="Calibri" w:hAnsi="Verdana" w:cs="Arial"/>
          <w:color w:val="000000"/>
          <w:kern w:val="2"/>
          <w:vertAlign w:val="superscript"/>
          <w:lang w:eastAsia="es-ES_tradnl"/>
          <w14:ligatures w14:val="standardContextual"/>
        </w:rPr>
        <w:footnoteReference w:id="5"/>
      </w:r>
      <w:r w:rsidRPr="00983DCD">
        <w:rPr>
          <w:rFonts w:ascii="Verdana" w:eastAsia="Calibri" w:hAnsi="Verdana" w:cs="Arial"/>
          <w:color w:val="000000"/>
          <w:kern w:val="2"/>
          <w:lang w:eastAsia="es-ES_tradnl"/>
          <w14:ligatures w14:val="standardContextual"/>
        </w:rPr>
        <w:t>. La norma que regula este tipo de corporaciones o asociaciones es el Código Civil –entre otras normas que se armonizan con este – de lo que se sigue que no constituyen formas de sociedad comercial, sino formas de organización civil con fines esencialmente altruistas o de interés general, creadas por personas que buscan contribuir, con su esfuerzo y hasta con sus bienes, al bienestar de la comunidad</w:t>
      </w:r>
      <w:r w:rsidRPr="00983DCD">
        <w:rPr>
          <w:rFonts w:ascii="Verdana" w:eastAsia="Calibri" w:hAnsi="Verdana" w:cs="Arial"/>
          <w:color w:val="000000"/>
          <w:kern w:val="2"/>
          <w:vertAlign w:val="superscript"/>
          <w:lang w:eastAsia="es-ES_tradnl"/>
          <w14:ligatures w14:val="standardContextual"/>
        </w:rPr>
        <w:footnoteReference w:id="6"/>
      </w:r>
      <w:r w:rsidRPr="00983DCD">
        <w:rPr>
          <w:rFonts w:ascii="Verdana" w:eastAsia="Calibri" w:hAnsi="Verdana" w:cs="Arial"/>
          <w:color w:val="000000"/>
          <w:kern w:val="2"/>
          <w:lang w:eastAsia="es-ES_tradnl"/>
          <w14:ligatures w14:val="standardContextual"/>
        </w:rPr>
        <w:t>. La ausencia de ánimo de lucro es, entonces, la característica determinante de estas corporaciones u organizaciones, lo que explica su nombre y la diferencia fundamental con las sociedades comerciales.</w:t>
      </w:r>
    </w:p>
    <w:p w14:paraId="01132BC7" w14:textId="77777777" w:rsidR="00AC73F2" w:rsidRPr="00983DCD" w:rsidRDefault="00AC73F2" w:rsidP="00AC73F2">
      <w:pPr>
        <w:spacing w:after="12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ab/>
        <w:t xml:space="preserve">En efecto, el inciso primero del artículo 98 del Código de Comercio dispone que mediante el contrato de sociedad “dos o más personas se obligan a hacer </w:t>
      </w:r>
      <w:r w:rsidRPr="00983DCD">
        <w:rPr>
          <w:rFonts w:ascii="Verdana" w:eastAsia="Calibri" w:hAnsi="Verdana" w:cs="Arial"/>
          <w:color w:val="000000"/>
          <w:kern w:val="2"/>
          <w:lang w:eastAsia="es-ES_tradnl"/>
          <w14:ligatures w14:val="standardContextual"/>
        </w:rPr>
        <w:lastRenderedPageBreak/>
        <w:t xml:space="preserve">un aporte en dinero, en trabajo o en otros bienes apreciables en dinero, </w:t>
      </w:r>
      <w:r w:rsidRPr="00983DCD">
        <w:rPr>
          <w:rFonts w:ascii="Verdana" w:eastAsia="Calibri" w:hAnsi="Verdana" w:cs="Arial"/>
          <w:i/>
          <w:iCs/>
          <w:color w:val="000000"/>
          <w:kern w:val="2"/>
          <w:lang w:eastAsia="es-ES_tradnl"/>
          <w14:ligatures w14:val="standardContextual"/>
        </w:rPr>
        <w:t>con el fin de repartirse entre sí las utilidades obtenidas en la empresa o actividad social”</w:t>
      </w:r>
      <w:r w:rsidRPr="00983DCD">
        <w:rPr>
          <w:rFonts w:ascii="Verdana" w:eastAsia="Calibri" w:hAnsi="Verdana" w:cs="Arial"/>
          <w:color w:val="000000"/>
          <w:kern w:val="2"/>
          <w:lang w:eastAsia="es-ES_tradnl"/>
          <w14:ligatures w14:val="standardContextual"/>
        </w:rPr>
        <w:t xml:space="preserve"> [Énfasis fuera de texto]. Ello pone de presente que el reparto de utilidades es un elemento esencial del contrato de sociedad, lo cual no es admisible en el caso de las ESAL, ni durante su existencia ni cuando se extinga. Este es, quizá, el elemento distintivo más relevante entre unas y otras organizaciones, aun cuando ambas se crean en ejercicio del derecho fundamental de asociación, previsto en el artículo 38 de la Constitución Política y otras normas contenidas en tratados internacionales suscritos por Colombia.</w:t>
      </w:r>
    </w:p>
    <w:p w14:paraId="57831F13" w14:textId="77777777" w:rsidR="00AC73F2" w:rsidRPr="00983DCD" w:rsidRDefault="00AC73F2" w:rsidP="00AC73F2">
      <w:pPr>
        <w:spacing w:after="12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ab/>
        <w:t>Dentro del conjunto de asociaciones que conforman las ESAL están incluidas las Cajas de Compensación Familiar, a las que se refiere en su consulta. Esto en razón a que, el artículo 39 de la Ley 21 de 1982 las define como “</w:t>
      </w:r>
      <w:r w:rsidRPr="00983DCD">
        <w:rPr>
          <w:rFonts w:ascii="Verdana" w:eastAsia="Calibri" w:hAnsi="Verdana" w:cs="Arial"/>
          <w:i/>
          <w:iCs/>
          <w:color w:val="000000"/>
          <w:kern w:val="2"/>
          <w:lang w:eastAsia="es-ES_tradnl"/>
          <w14:ligatures w14:val="standardContextual"/>
        </w:rPr>
        <w:t>personas jurídicas de derecho privado sin ánimo de lucro, organizadas como corporaciones en la forma prevista en el Código Civil,</w:t>
      </w:r>
      <w:r w:rsidRPr="00983DCD">
        <w:rPr>
          <w:rFonts w:ascii="Verdana" w:eastAsia="Calibri" w:hAnsi="Verdana" w:cs="Arial"/>
          <w:color w:val="000000"/>
          <w:kern w:val="2"/>
          <w:lang w:eastAsia="es-ES_tradnl"/>
          <w14:ligatures w14:val="standardContextual"/>
        </w:rPr>
        <w:t xml:space="preserve"> cumplen funciones de seguridad social y se hallan sometidas al control y vigilancia del Estado en la forma establecida por la ley”. [Énfasis fuera de texto]</w:t>
      </w:r>
    </w:p>
    <w:p w14:paraId="5C4BF511" w14:textId="77777777" w:rsidR="00AC73F2" w:rsidRPr="00983DCD" w:rsidRDefault="00AC73F2" w:rsidP="00AC73F2">
      <w:pPr>
        <w:spacing w:after="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ab/>
        <w:t>En concordancia con lo anterior, el artículo 41 de la Ley 21 de 1982</w:t>
      </w:r>
      <w:r w:rsidRPr="00FA5A6F">
        <w:rPr>
          <w:rFonts w:ascii="Verdana" w:eastAsia="Calibri" w:hAnsi="Verdana" w:cs="Arial"/>
          <w:color w:val="000000"/>
          <w:kern w:val="2"/>
          <w:vertAlign w:val="superscript"/>
          <w:lang w:eastAsia="es-ES_tradnl"/>
          <w14:ligatures w14:val="standardContextual"/>
        </w:rPr>
        <w:footnoteReference w:id="7"/>
      </w:r>
      <w:r w:rsidRPr="00983DCD">
        <w:rPr>
          <w:rFonts w:ascii="Verdana" w:eastAsia="Calibri" w:hAnsi="Verdana" w:cs="Arial"/>
          <w:color w:val="000000"/>
          <w:kern w:val="2"/>
          <w:lang w:eastAsia="es-ES_tradnl"/>
          <w14:ligatures w14:val="standardContextual"/>
        </w:rPr>
        <w:t xml:space="preserve"> establece que unas de las funciones principales de las Cajas de Compensación Familiar es el de recaudar y gestionar la aplicación de los aportes al </w:t>
      </w:r>
      <w:r w:rsidRPr="00983DCD">
        <w:rPr>
          <w:rFonts w:ascii="Verdana" w:eastAsia="Calibri" w:hAnsi="Verdana" w:cs="Arial"/>
          <w:i/>
          <w:iCs/>
          <w:color w:val="000000"/>
          <w:kern w:val="2"/>
          <w:lang w:eastAsia="es-ES_tradnl"/>
          <w14:ligatures w14:val="standardContextual"/>
        </w:rPr>
        <w:t xml:space="preserve">subsidio </w:t>
      </w:r>
      <w:r w:rsidRPr="00983DCD">
        <w:rPr>
          <w:rFonts w:ascii="Verdana" w:eastAsia="Calibri" w:hAnsi="Verdana" w:cs="Arial"/>
          <w:i/>
          <w:iCs/>
          <w:color w:val="000000"/>
          <w:kern w:val="2"/>
          <w:lang w:eastAsia="es-ES_tradnl"/>
          <w14:ligatures w14:val="standardContextual"/>
        </w:rPr>
        <w:lastRenderedPageBreak/>
        <w:t>familiar</w:t>
      </w:r>
      <w:r w:rsidRPr="00983DCD">
        <w:rPr>
          <w:rFonts w:ascii="Verdana" w:eastAsia="Calibri" w:hAnsi="Verdana" w:cs="Arial"/>
          <w:color w:val="000000"/>
          <w:kern w:val="2"/>
          <w:lang w:eastAsia="es-ES_tradnl"/>
          <w14:ligatures w14:val="standardContextual"/>
        </w:rPr>
        <w:t xml:space="preserve"> que debe pagar todo empleador. Esta función reafirma su carácter de instituciones privadas sin ánimo de lucro que cumplen una función social dentro del Sistema de Seguridad Social, sin que ello las convierta en entidades estatales ni les atribuya el ejercicio de potestades públicas. Al respecto, la Corte Constitucional en la Sentencia C-508 de 1997</w:t>
      </w:r>
      <w:r w:rsidRPr="00FA5A6F">
        <w:rPr>
          <w:rFonts w:ascii="Verdana" w:eastAsia="Calibri" w:hAnsi="Verdana" w:cs="Arial"/>
          <w:color w:val="000000"/>
          <w:kern w:val="2"/>
          <w:vertAlign w:val="superscript"/>
          <w:lang w:eastAsia="es-ES_tradnl"/>
          <w14:ligatures w14:val="standardContextual"/>
        </w:rPr>
        <w:footnoteReference w:id="8"/>
      </w:r>
      <w:r w:rsidRPr="00983DCD">
        <w:rPr>
          <w:rFonts w:ascii="Verdana" w:eastAsia="Calibri" w:hAnsi="Verdana" w:cs="Arial"/>
          <w:color w:val="000000"/>
          <w:kern w:val="2"/>
          <w:lang w:eastAsia="es-ES_tradnl"/>
          <w14:ligatures w14:val="standardContextual"/>
        </w:rPr>
        <w:t xml:space="preserve"> expresa:</w:t>
      </w:r>
    </w:p>
    <w:p w14:paraId="69057852" w14:textId="77777777" w:rsidR="00AC73F2" w:rsidRPr="00983DCD" w:rsidRDefault="00AC73F2" w:rsidP="00AC73F2">
      <w:pPr>
        <w:spacing w:after="0" w:line="276" w:lineRule="auto"/>
        <w:jc w:val="both"/>
        <w:rPr>
          <w:rFonts w:ascii="Verdana" w:eastAsia="Calibri" w:hAnsi="Verdana" w:cs="Arial"/>
          <w:color w:val="000000"/>
          <w:kern w:val="2"/>
          <w:lang w:eastAsia="es-ES_tradnl"/>
          <w14:ligatures w14:val="standardContextual"/>
        </w:rPr>
      </w:pPr>
    </w:p>
    <w:p w14:paraId="11E5D841"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Es incuestionable entonces que en las actividades que se relacionan con el subsidio familiar - recaudo, administración de los recursos y pago a beneficiarios -, existe un interés público, por lo cual su regulación y orientación compete al Estado.  De aquí se desprenden significativas consecuencias : teniendo en cuenta que el subsidio familiar es administrado por entidades intermediarias entre los empleadores y los trabajadores,  cuya gestión compromete el interés general  por lo cual requiere no sólo ser objeto de inspección, vigilancia y control, sino de armonización de políticas generales, dicho régimen jurídico contempla expresamente normas que se refieren a la organización administración y funcionamiento de las Cajas de Compensación Familiar.</w:t>
      </w:r>
    </w:p>
    <w:p w14:paraId="39A5EFC2"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p>
    <w:p w14:paraId="2DEBBD85"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Actualmente, la normatividad jurídica que contempla el régimen de las cajas de compensación familiar está señalado, de manera general para todas ellas, en la ley 21 de 1982.</w:t>
      </w:r>
    </w:p>
    <w:p w14:paraId="47D25B34" w14:textId="77777777" w:rsidR="00AC73F2" w:rsidRPr="00983DCD" w:rsidRDefault="00AC73F2" w:rsidP="00AC73F2">
      <w:pPr>
        <w:spacing w:after="0" w:line="240" w:lineRule="auto"/>
        <w:ind w:right="709"/>
        <w:jc w:val="both"/>
        <w:rPr>
          <w:rFonts w:ascii="Verdana" w:eastAsia="Calibri" w:hAnsi="Verdana" w:cs="Arial"/>
          <w:color w:val="000000"/>
          <w:kern w:val="2"/>
          <w:sz w:val="20"/>
          <w:szCs w:val="20"/>
          <w:lang w:eastAsia="es-ES_tradnl"/>
          <w14:ligatures w14:val="standardContextual"/>
        </w:rPr>
      </w:pPr>
    </w:p>
    <w:p w14:paraId="6C01A318"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En cuanto a la naturaleza jurídica de las entidades llamadas a la prestación de la actividad que se viene comentando, esta ley define que “las Cajas de Compensación Familiar son personas jurídicas de derecho privado sin ánimo de lucro, organizadas como corporaciones en la forma prevista en el Código Civil, cumplen funciones de seguridad social y se hallan sometidas al control y vigilancia del Estado en la forma establecida por la Ley.”</w:t>
      </w:r>
      <w:bookmarkStart w:id="1" w:name="_ftnref1"/>
      <w:r w:rsidRPr="00983DCD">
        <w:rPr>
          <w:rFonts w:ascii="Verdana" w:eastAsia="Calibri" w:hAnsi="Verdana" w:cs="Arial"/>
          <w:color w:val="000000"/>
          <w:kern w:val="2"/>
          <w:sz w:val="20"/>
          <w:szCs w:val="20"/>
          <w:u w:val="single"/>
          <w:vertAlign w:val="superscript"/>
          <w:lang w:eastAsia="es-ES_tradnl"/>
          <w14:ligatures w14:val="standardContextual"/>
        </w:rPr>
        <w:t>[1]</w:t>
      </w:r>
      <w:bookmarkEnd w:id="1"/>
    </w:p>
    <w:p w14:paraId="15DABB52"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 </w:t>
      </w:r>
    </w:p>
    <w:p w14:paraId="0350E5FA"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Las cajas de compensación familiar obtienen su personería jurídica de la Superintendencia de Subsidio Familiar y están sometidas a su inspección y vigilancia, mas no se adscriben ni vinculan a ningún organismo de la Administración Pública.</w:t>
      </w:r>
    </w:p>
    <w:p w14:paraId="5193493D" w14:textId="77777777" w:rsidR="00AC73F2" w:rsidRPr="00983DCD" w:rsidRDefault="00AC73F2" w:rsidP="00AC73F2">
      <w:pPr>
        <w:spacing w:after="0" w:line="276" w:lineRule="auto"/>
        <w:jc w:val="both"/>
        <w:rPr>
          <w:rFonts w:ascii="Verdana" w:eastAsia="Calibri" w:hAnsi="Verdana" w:cs="Arial"/>
          <w:color w:val="000000"/>
          <w:kern w:val="2"/>
          <w:lang w:eastAsia="es-ES_tradnl"/>
          <w14:ligatures w14:val="standardContextual"/>
        </w:rPr>
      </w:pPr>
    </w:p>
    <w:p w14:paraId="1A6D8374" w14:textId="77777777" w:rsidR="00AC73F2" w:rsidRPr="00983DCD" w:rsidRDefault="00AC73F2" w:rsidP="00AC73F2">
      <w:pPr>
        <w:spacing w:after="0" w:line="276" w:lineRule="auto"/>
        <w:ind w:firstLine="709"/>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lastRenderedPageBreak/>
        <w:t>De igual manera, la Sala de Consulta y Servicio Civil del Consejo de Estado, mediante Concepto 1763 del 15 de agosto de 2006</w:t>
      </w:r>
      <w:r w:rsidRPr="00FA5A6F">
        <w:rPr>
          <w:rFonts w:ascii="Verdana" w:eastAsia="Calibri" w:hAnsi="Verdana" w:cs="Arial"/>
          <w:color w:val="000000"/>
          <w:kern w:val="2"/>
          <w:vertAlign w:val="superscript"/>
          <w:lang w:eastAsia="es-ES_tradnl"/>
          <w14:ligatures w14:val="standardContextual"/>
        </w:rPr>
        <w:footnoteReference w:id="9"/>
      </w:r>
      <w:r w:rsidRPr="00983DCD">
        <w:rPr>
          <w:rFonts w:ascii="Verdana" w:eastAsia="Calibri" w:hAnsi="Verdana" w:cs="Arial"/>
          <w:color w:val="000000"/>
          <w:kern w:val="2"/>
          <w:lang w:eastAsia="es-ES_tradnl"/>
          <w14:ligatures w14:val="standardContextual"/>
        </w:rPr>
        <w:t xml:space="preserve">, realizó las siguientes precisiones sobre las Cajas de Compensación Familiar: </w:t>
      </w:r>
    </w:p>
    <w:p w14:paraId="7658BEE5" w14:textId="77777777" w:rsidR="00AC73F2" w:rsidRPr="00983DCD" w:rsidRDefault="00AC73F2" w:rsidP="00AC73F2">
      <w:pPr>
        <w:spacing w:after="0" w:line="276" w:lineRule="auto"/>
        <w:jc w:val="both"/>
        <w:rPr>
          <w:rFonts w:ascii="Verdana" w:eastAsia="Calibri" w:hAnsi="Verdana" w:cs="Arial"/>
          <w:color w:val="000000"/>
          <w:kern w:val="2"/>
          <w:lang w:eastAsia="es-ES_tradnl"/>
          <w14:ligatures w14:val="standardContextual"/>
        </w:rPr>
      </w:pPr>
    </w:p>
    <w:p w14:paraId="45A05B84"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“Las Cajas de Compensación Familiar nacen paralelamente con el sistema de subsidio familiar, que en un principio se concibió como fruto de la libertad de los patronos o del acuerdo entre éstos y sus trabajadores.</w:t>
      </w:r>
    </w:p>
    <w:p w14:paraId="33E3A867"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w:t>
      </w:r>
    </w:p>
    <w:p w14:paraId="3FC03BE7"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 a partir del decreto 118 de 1957, las Cajas de Compensación Familiar se conformaron como corporaciones de acuerdo con lo dispuesto en el Código Civil, con personería jurídica, cuya creación dependía de la voluntad de asociación de los empleadores.</w:t>
      </w:r>
    </w:p>
    <w:p w14:paraId="4CC6E781"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p>
    <w:p w14:paraId="05AC30DC"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Sin embargo, fue mediante la ley 21 de 1982, por la cual se modificó el régimen del subsidio familiar, que el legislador definió el subsidio familiar como una prestación social de obligatorio pago a través de las Cajas de Compensación Familiar, por parte de todos los empleadores del sector público o privado que tuvieran uno o más trabajadores de carácter permanente […].</w:t>
      </w:r>
    </w:p>
    <w:p w14:paraId="39DB181A" w14:textId="77777777" w:rsidR="00AC73F2" w:rsidRPr="00983DCD" w:rsidRDefault="00AC73F2" w:rsidP="00AC73F2">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w:t>
      </w:r>
    </w:p>
    <w:p w14:paraId="25386F6B" w14:textId="77777777" w:rsidR="00AC73F2" w:rsidRPr="00983DCD" w:rsidRDefault="00AC73F2" w:rsidP="00AC73F2">
      <w:pPr>
        <w:spacing w:after="0" w:line="240" w:lineRule="auto"/>
        <w:ind w:left="709" w:right="709"/>
        <w:jc w:val="both"/>
        <w:rPr>
          <w:rFonts w:ascii="Verdana" w:eastAsia="Calibri" w:hAnsi="Verdana" w:cs="Arial"/>
          <w:b/>
          <w:bCs/>
          <w:kern w:val="2"/>
          <w:sz w:val="20"/>
          <w:szCs w:val="20"/>
          <w:lang w:eastAsia="es-ES_tradnl"/>
          <w14:ligatures w14:val="standardContextual"/>
        </w:rPr>
      </w:pPr>
      <w:r w:rsidRPr="00983DCD">
        <w:rPr>
          <w:rFonts w:ascii="Verdana" w:eastAsia="Calibri" w:hAnsi="Verdana" w:cs="Arial"/>
          <w:kern w:val="2"/>
          <w:sz w:val="20"/>
          <w:szCs w:val="20"/>
          <w:lang w:eastAsia="es-ES_tradnl"/>
          <w14:ligatures w14:val="standardContextual"/>
        </w:rPr>
        <w:t xml:space="preserve">En cuanto al ámbito funcional de las Cajas, es importante señalar que el artículo 41 de la ley 21, les asignó atribuciones relativas al </w:t>
      </w:r>
      <w:r w:rsidRPr="00983DCD">
        <w:rPr>
          <w:rFonts w:ascii="Verdana" w:eastAsia="Calibri" w:hAnsi="Verdana" w:cs="Arial"/>
          <w:b/>
          <w:bCs/>
          <w:kern w:val="2"/>
          <w:sz w:val="20"/>
          <w:szCs w:val="20"/>
          <w:lang w:eastAsia="es-ES_tradnl"/>
          <w14:ligatures w14:val="standardContextual"/>
        </w:rPr>
        <w:t xml:space="preserve">recaudo, distribución y pago </w:t>
      </w:r>
      <w:r w:rsidRPr="00983DCD">
        <w:rPr>
          <w:rFonts w:ascii="Verdana" w:eastAsia="Calibri" w:hAnsi="Verdana" w:cs="Arial"/>
          <w:kern w:val="2"/>
          <w:sz w:val="20"/>
          <w:szCs w:val="20"/>
          <w:lang w:eastAsia="es-ES_tradnl"/>
          <w14:ligatures w14:val="standardContextual"/>
        </w:rPr>
        <w:t xml:space="preserve">de los aportes destinados al </w:t>
      </w:r>
      <w:r w:rsidRPr="00983DCD">
        <w:rPr>
          <w:rFonts w:ascii="Verdana" w:eastAsia="Calibri" w:hAnsi="Verdana" w:cs="Arial"/>
          <w:b/>
          <w:bCs/>
          <w:kern w:val="2"/>
          <w:sz w:val="20"/>
          <w:szCs w:val="20"/>
          <w:lang w:eastAsia="es-ES_tradnl"/>
          <w14:ligatures w14:val="standardContextual"/>
        </w:rPr>
        <w:t xml:space="preserve">subsidio familiar, </w:t>
      </w:r>
      <w:r w:rsidRPr="00983DCD">
        <w:rPr>
          <w:rFonts w:ascii="Verdana" w:eastAsia="Calibri" w:hAnsi="Verdana" w:cs="Arial"/>
          <w:kern w:val="2"/>
          <w:sz w:val="20"/>
          <w:szCs w:val="20"/>
          <w:lang w:eastAsia="es-ES_tradnl"/>
          <w14:ligatures w14:val="standardContextual"/>
        </w:rPr>
        <w:t xml:space="preserve">Servicio Nacional de Aprendizaje (SENA), Escuela Superior de Administración Pública (ESAP), escuelas industriales etc, lo que significa que desde aquel entonces y actualmente en los términos del artículo 3° de la ley 610 de 2000, estos entes realizan </w:t>
      </w:r>
      <w:r w:rsidRPr="00983DCD">
        <w:rPr>
          <w:rFonts w:ascii="Verdana" w:eastAsia="Calibri" w:hAnsi="Verdana" w:cs="Arial"/>
          <w:b/>
          <w:bCs/>
          <w:i/>
          <w:iCs/>
          <w:kern w:val="2"/>
          <w:sz w:val="20"/>
          <w:szCs w:val="20"/>
          <w:u w:val="single"/>
          <w:lang w:eastAsia="es-ES_tradnl"/>
          <w14:ligatures w14:val="standardContextual"/>
        </w:rPr>
        <w:t>gestión fiscal</w:t>
      </w:r>
      <w:r w:rsidRPr="00983DCD">
        <w:rPr>
          <w:rFonts w:ascii="Verdana" w:eastAsia="Calibri" w:hAnsi="Verdana" w:cs="Arial"/>
          <w:i/>
          <w:iCs/>
          <w:kern w:val="2"/>
          <w:sz w:val="20"/>
          <w:szCs w:val="20"/>
          <w:lang w:eastAsia="es-ES_tradnl"/>
          <w14:ligatures w14:val="standardContextual"/>
        </w:rPr>
        <w:t xml:space="preserve"> </w:t>
      </w:r>
      <w:r w:rsidRPr="00983DCD">
        <w:rPr>
          <w:rFonts w:ascii="Verdana" w:eastAsia="Calibri" w:hAnsi="Verdana" w:cs="Arial"/>
          <w:kern w:val="2"/>
          <w:sz w:val="20"/>
          <w:szCs w:val="20"/>
          <w:lang w:eastAsia="es-ES_tradnl"/>
          <w14:ligatures w14:val="standardContextual"/>
        </w:rPr>
        <w:t xml:space="preserve">sobre los recursos del </w:t>
      </w:r>
      <w:r w:rsidRPr="00983DCD">
        <w:rPr>
          <w:rFonts w:ascii="Verdana" w:eastAsia="Calibri" w:hAnsi="Verdana" w:cs="Arial"/>
          <w:b/>
          <w:bCs/>
          <w:kern w:val="2"/>
          <w:sz w:val="20"/>
          <w:szCs w:val="20"/>
          <w:lang w:eastAsia="es-ES_tradnl"/>
          <w14:ligatures w14:val="standardContextual"/>
        </w:rPr>
        <w:t>subsidio familiar</w:t>
      </w:r>
      <w:r w:rsidRPr="00983DCD">
        <w:rPr>
          <w:rFonts w:ascii="Verdana" w:eastAsia="Calibri" w:hAnsi="Verdana" w:cs="Arial"/>
          <w:kern w:val="2"/>
          <w:sz w:val="20"/>
          <w:szCs w:val="20"/>
          <w:lang w:eastAsia="es-ES_tradnl"/>
          <w14:ligatures w14:val="standardContextual"/>
        </w:rPr>
        <w:t>.” [Negrillas propias, cursiva y subraya fuera de texto]</w:t>
      </w:r>
    </w:p>
    <w:p w14:paraId="01172AC6" w14:textId="77777777" w:rsidR="00AC73F2" w:rsidRPr="00983DCD" w:rsidRDefault="00AC73F2" w:rsidP="00AC73F2">
      <w:pPr>
        <w:spacing w:after="0" w:line="276" w:lineRule="auto"/>
        <w:jc w:val="both"/>
        <w:rPr>
          <w:rFonts w:ascii="Verdana" w:eastAsia="Calibri" w:hAnsi="Verdana" w:cs="Arial"/>
          <w:color w:val="000000"/>
          <w:kern w:val="2"/>
          <w:lang w:eastAsia="es-ES_tradnl"/>
          <w14:ligatures w14:val="standardContextual"/>
        </w:rPr>
      </w:pPr>
    </w:p>
    <w:p w14:paraId="70D0ABAB" w14:textId="77777777" w:rsidR="00AC73F2" w:rsidRPr="00983DCD" w:rsidRDefault="00AC73F2" w:rsidP="00AC73F2">
      <w:pPr>
        <w:spacing w:after="120" w:line="276" w:lineRule="auto"/>
        <w:ind w:firstLine="709"/>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 xml:space="preserve">Estas entidades, pese a ser privadas y sin ánimo de lucro, forman parte del sistema de seguridad social y actúan bajo un régimen de vigilancia, inspección y control estatal. Su naturaleza jurídica se ha configurado alrededor de la idea de que cumplen funciones de interés público, en especial, en la administración de recursos parafiscales y en la prestación de servicios sociales complementarios. Esto implica que, aunque no integran la estructura orgánica del Estado, sí están sometidas a un marco regulatorio estricto que garantiza </w:t>
      </w:r>
      <w:r w:rsidRPr="00983DCD">
        <w:rPr>
          <w:rFonts w:ascii="Verdana" w:eastAsia="Calibri" w:hAnsi="Verdana" w:cs="Arial"/>
          <w:color w:val="000000"/>
          <w:kern w:val="2"/>
          <w:lang w:eastAsia="es-ES_tradnl"/>
          <w14:ligatures w14:val="standardContextual"/>
        </w:rPr>
        <w:lastRenderedPageBreak/>
        <w:t>transparencia, destinación específica de los recursos y sujeción a los fines constitucionales de la seguridad social.</w:t>
      </w:r>
    </w:p>
    <w:p w14:paraId="1056B2BD" w14:textId="77777777" w:rsidR="00AC73F2" w:rsidRPr="00983DCD" w:rsidRDefault="00AC73F2" w:rsidP="00AC73F2">
      <w:pPr>
        <w:spacing w:after="0" w:line="276" w:lineRule="auto"/>
        <w:ind w:firstLine="709"/>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 xml:space="preserve">Con el tiempo, su papel se ha ampliado hacia la colaboración funcional con el Estado, convirtiéndose en instituciones que coadyuvan en la gestión del servicio público de seguridad social. Esta colaboración no las transforma en entidades estatales, pero sí justifica una intervención más intensa del Estado en su operación, en virtud de la protección del interés general, la adecuada administración de los aportes parafiscales y la garantía de acceso equitativo a los beneficios sociales que administran. Al respecto, la doctrina ha expresado las características de estas instituciones: </w:t>
      </w:r>
    </w:p>
    <w:p w14:paraId="6913C62A" w14:textId="77777777" w:rsidR="00AC73F2" w:rsidRPr="00983DCD" w:rsidRDefault="00AC73F2" w:rsidP="00AC73F2">
      <w:pPr>
        <w:spacing w:after="0" w:line="276" w:lineRule="auto"/>
        <w:ind w:firstLine="709"/>
        <w:jc w:val="both"/>
        <w:rPr>
          <w:rFonts w:ascii="Verdana" w:eastAsia="Calibri" w:hAnsi="Verdana" w:cs="Arial"/>
          <w:color w:val="000000"/>
          <w:kern w:val="2"/>
          <w:lang w:eastAsia="es-ES_tradnl"/>
          <w14:ligatures w14:val="standardContextual"/>
        </w:rPr>
      </w:pPr>
    </w:p>
    <w:p w14:paraId="36A61A5E" w14:textId="77777777" w:rsidR="00AC73F2" w:rsidRPr="00983DCD" w:rsidRDefault="00AC73F2" w:rsidP="00AC73F2">
      <w:pPr>
        <w:autoSpaceDE w:val="0"/>
        <w:autoSpaceDN w:val="0"/>
        <w:adjustRightInd w:val="0"/>
        <w:spacing w:after="0" w:line="240" w:lineRule="auto"/>
        <w:ind w:left="709" w:right="709"/>
        <w:jc w:val="both"/>
        <w:rPr>
          <w:rFonts w:ascii="Verdana" w:hAnsi="Verdana" w:cs="Palatino-Roman"/>
          <w:sz w:val="20"/>
          <w:szCs w:val="20"/>
        </w:rPr>
      </w:pPr>
      <w:r w:rsidRPr="00983DCD">
        <w:rPr>
          <w:rFonts w:ascii="Verdana" w:hAnsi="Verdana" w:cs="Palatino-Roman"/>
          <w:sz w:val="20"/>
          <w:szCs w:val="20"/>
        </w:rPr>
        <w:t>Las cajas de compensación familiar se caracterizan porque tienen un régimen jurídico de derecho privado de tipo corporativo; son instituciones sin ánimo de lucro que colaboran con el Estado en la administración del servicio público de la seguridad social; fueron creadas voluntariamente por</w:t>
      </w:r>
    </w:p>
    <w:p w14:paraId="1D4E4B36" w14:textId="77777777" w:rsidR="00AC73F2" w:rsidRPr="00983DCD" w:rsidRDefault="00AC73F2" w:rsidP="00AC73F2">
      <w:pPr>
        <w:autoSpaceDE w:val="0"/>
        <w:autoSpaceDN w:val="0"/>
        <w:adjustRightInd w:val="0"/>
        <w:spacing w:after="0" w:line="240" w:lineRule="auto"/>
        <w:ind w:left="709" w:right="709"/>
        <w:jc w:val="both"/>
        <w:rPr>
          <w:rFonts w:ascii="Verdana" w:hAnsi="Verdana" w:cs="Palatino-Roman"/>
          <w:sz w:val="20"/>
          <w:szCs w:val="20"/>
        </w:rPr>
      </w:pPr>
      <w:r w:rsidRPr="00983DCD">
        <w:rPr>
          <w:rFonts w:ascii="Verdana" w:hAnsi="Verdana" w:cs="Palatino-Roman"/>
          <w:sz w:val="20"/>
          <w:szCs w:val="20"/>
        </w:rPr>
        <w:t xml:space="preserve">particulares, pero tienen buena parte de su actividad regulada por el Estado; son entidades de participación obrero patronal en cuanto a su administración; son organismos de solidaridad y compensación, reguladas por sus estatutos y por las normas que reglamentan la prestación social del subsidio familiar, el servicio público de la seguridad social y otros servicios en cuya administración también participan; forman parte de los sistemas de seguridad social y de la protección social; tienen una administración paritaria, en cuyos consejos directivos participan igual número de representantes de los empleadores y de los trabajadores; están reguladas, inspeccionadas, vigiladas y controladas por el Estado, y participan en la ejecución de las políticas sociales establecidas por el Estado, no solo en lo relacionado con el subsidio familiar, el trabajo y la seguridad social, sino también con los servicios de salud, educación, la vivienda, la recreación, el crédito, la capacitación para el trabajo y la </w:t>
      </w:r>
      <w:r w:rsidRPr="00983DCD">
        <w:rPr>
          <w:rFonts w:ascii="Verdana" w:eastAsia="Calibri" w:hAnsi="Verdana" w:cs="Arial"/>
          <w:color w:val="000000"/>
          <w:kern w:val="2"/>
          <w:sz w:val="20"/>
          <w:szCs w:val="20"/>
          <w:lang w:eastAsia="es-ES_tradnl"/>
          <w14:ligatures w14:val="standardContextual"/>
        </w:rPr>
        <w:t>protección a los desempleados</w:t>
      </w:r>
      <w:r w:rsidRPr="00FA5A6F">
        <w:rPr>
          <w:rFonts w:ascii="Verdana" w:eastAsia="Calibri" w:hAnsi="Verdana" w:cs="Arial"/>
          <w:color w:val="000000"/>
          <w:kern w:val="2"/>
          <w:sz w:val="20"/>
          <w:szCs w:val="20"/>
          <w:vertAlign w:val="superscript"/>
          <w:lang w:eastAsia="es-ES_tradnl"/>
          <w14:ligatures w14:val="standardContextual"/>
        </w:rPr>
        <w:footnoteReference w:id="10"/>
      </w:r>
      <w:r w:rsidRPr="00983DCD">
        <w:rPr>
          <w:rFonts w:ascii="Verdana" w:eastAsia="Calibri" w:hAnsi="Verdana" w:cs="Arial"/>
          <w:color w:val="000000"/>
          <w:kern w:val="2"/>
          <w:sz w:val="20"/>
          <w:szCs w:val="20"/>
          <w:lang w:eastAsia="es-ES_tradnl"/>
          <w14:ligatures w14:val="standardContextual"/>
        </w:rPr>
        <w:t>.</w:t>
      </w:r>
    </w:p>
    <w:p w14:paraId="5FA81FE5" w14:textId="77777777" w:rsidR="00AC73F2" w:rsidRPr="00983DCD" w:rsidRDefault="00AC73F2" w:rsidP="00AC73F2">
      <w:pPr>
        <w:spacing w:after="0" w:line="276" w:lineRule="auto"/>
        <w:jc w:val="both"/>
        <w:rPr>
          <w:rFonts w:ascii="Verdana" w:eastAsia="Calibri" w:hAnsi="Verdana" w:cs="Arial"/>
          <w:color w:val="000000"/>
          <w:kern w:val="2"/>
          <w:lang w:eastAsia="es-ES_tradnl"/>
          <w14:ligatures w14:val="standardContextual"/>
        </w:rPr>
      </w:pPr>
    </w:p>
    <w:p w14:paraId="4FDC86C2" w14:textId="77777777" w:rsidR="00AC73F2" w:rsidRPr="00983DCD" w:rsidRDefault="00AC73F2" w:rsidP="00AC73F2">
      <w:pPr>
        <w:spacing w:after="0" w:line="276" w:lineRule="auto"/>
        <w:ind w:firstLine="708"/>
        <w:jc w:val="both"/>
        <w:rPr>
          <w:rFonts w:ascii="Verdana" w:eastAsia="Calibri" w:hAnsi="Verdana" w:cs="Arial"/>
          <w:kern w:val="2"/>
          <w:lang w:eastAsia="es-ES_tradnl"/>
          <w14:ligatures w14:val="standardContextual"/>
        </w:rPr>
      </w:pPr>
      <w:r w:rsidRPr="00983DCD">
        <w:rPr>
          <w:rFonts w:ascii="Verdana" w:eastAsia="Calibri" w:hAnsi="Verdana" w:cs="Arial"/>
          <w:color w:val="000000"/>
          <w:kern w:val="2"/>
          <w:lang w:eastAsia="es-ES_tradnl"/>
          <w14:ligatures w14:val="standardContextual"/>
        </w:rPr>
        <w:t xml:space="preserve">Ahora bien, el Consejo de Estado sobre la naturaleza de los aportes que reciben dichas Cajas, en su calidad de administradoras del subsidio familiar, enfatizó que la legislación y la jurisprudencia le han otorgado la </w:t>
      </w:r>
      <w:r w:rsidRPr="00983DCD">
        <w:rPr>
          <w:rFonts w:ascii="Verdana" w:eastAsia="Calibri" w:hAnsi="Verdana" w:cs="Arial"/>
          <w:kern w:val="2"/>
          <w:lang w:eastAsia="es-ES_tradnl"/>
          <w14:ligatures w14:val="standardContextual"/>
        </w:rPr>
        <w:t>calidad de recursos parafiscales</w:t>
      </w:r>
      <w:r w:rsidRPr="00983DCD">
        <w:rPr>
          <w:rFonts w:ascii="Verdana" w:eastAsia="Calibri" w:hAnsi="Verdana" w:cs="Arial"/>
          <w:kern w:val="2"/>
          <w:vertAlign w:val="superscript"/>
          <w:lang w:eastAsia="es-ES_tradnl"/>
          <w14:ligatures w14:val="standardContextual"/>
        </w:rPr>
        <w:footnoteReference w:id="11"/>
      </w:r>
      <w:r w:rsidRPr="00983DCD">
        <w:rPr>
          <w:rFonts w:ascii="Verdana" w:eastAsia="Calibri" w:hAnsi="Verdana" w:cs="Arial"/>
          <w:kern w:val="2"/>
          <w:lang w:eastAsia="es-ES_tradnl"/>
          <w14:ligatures w14:val="standardContextual"/>
        </w:rPr>
        <w:t xml:space="preserve">. Apreciación, que se confirma con lo dispuesto en el </w:t>
      </w:r>
      <w:r w:rsidRPr="00983DCD">
        <w:rPr>
          <w:rFonts w:ascii="Verdana" w:eastAsia="Calibri" w:hAnsi="Verdana" w:cs="Arial"/>
          <w:kern w:val="2"/>
          <w:lang w:eastAsia="es-ES_tradnl"/>
          <w14:ligatures w14:val="standardContextual"/>
        </w:rPr>
        <w:lastRenderedPageBreak/>
        <w:t>artículo 2.2.7.5.3.2 del Decreto 1072 de 2015 –Decreto Único Reglamentario del Sector Trabajo– que señaló:</w:t>
      </w:r>
    </w:p>
    <w:p w14:paraId="5A2A8FE6" w14:textId="77777777" w:rsidR="00AC73F2" w:rsidRPr="00983DCD" w:rsidRDefault="00AC73F2" w:rsidP="00AC73F2">
      <w:pPr>
        <w:spacing w:after="0" w:line="276" w:lineRule="auto"/>
        <w:jc w:val="both"/>
        <w:rPr>
          <w:rFonts w:ascii="Verdana" w:eastAsia="Calibri" w:hAnsi="Verdana" w:cs="Arial"/>
          <w:kern w:val="2"/>
          <w:lang w:eastAsia="es-ES_tradnl"/>
          <w14:ligatures w14:val="standardContextual"/>
        </w:rPr>
      </w:pPr>
    </w:p>
    <w:p w14:paraId="2DDF5913" w14:textId="77777777" w:rsidR="00AC73F2" w:rsidRPr="00983DCD" w:rsidRDefault="00AC73F2" w:rsidP="00AC73F2">
      <w:pPr>
        <w:spacing w:after="0" w:line="240" w:lineRule="auto"/>
        <w:ind w:left="709" w:right="709"/>
        <w:jc w:val="both"/>
        <w:rPr>
          <w:rFonts w:ascii="Verdana" w:eastAsia="Calibri" w:hAnsi="Verdana" w:cs="Arial"/>
          <w:kern w:val="2"/>
          <w:sz w:val="20"/>
          <w:szCs w:val="20"/>
          <w:lang w:eastAsia="es-ES_tradnl"/>
          <w14:ligatures w14:val="standardContextual"/>
        </w:rPr>
      </w:pPr>
      <w:r w:rsidRPr="00983DCD">
        <w:rPr>
          <w:rFonts w:ascii="Verdana" w:eastAsia="Calibri" w:hAnsi="Verdana" w:cs="Arial"/>
          <w:kern w:val="2"/>
          <w:sz w:val="20"/>
          <w:szCs w:val="20"/>
          <w:lang w:eastAsia="es-ES_tradnl"/>
          <w14:ligatures w14:val="standardContextual"/>
        </w:rPr>
        <w:t>“Artículo 2.2.7.5.3.2. Afectación de los recursos administrados por las cajas de compensación familiar. Los recursos que administran las Cajas de Compensación Familiar están destinados a la atención de las prestaciones y servicios de la seguridad social y demás finalidades que prevea la ley y no podrán comprometerse para fines diferentes.</w:t>
      </w:r>
    </w:p>
    <w:p w14:paraId="6C6904AB" w14:textId="77777777" w:rsidR="00AC73F2" w:rsidRPr="00983DCD" w:rsidRDefault="00AC73F2" w:rsidP="00AC73F2">
      <w:pPr>
        <w:spacing w:after="0" w:line="240" w:lineRule="auto"/>
        <w:ind w:left="709" w:right="709"/>
        <w:jc w:val="both"/>
        <w:rPr>
          <w:rFonts w:ascii="Verdana" w:eastAsia="Calibri" w:hAnsi="Verdana" w:cs="Arial"/>
          <w:kern w:val="2"/>
          <w:sz w:val="20"/>
          <w:szCs w:val="20"/>
          <w:lang w:eastAsia="es-ES_tradnl"/>
          <w14:ligatures w14:val="standardContextual"/>
        </w:rPr>
      </w:pPr>
    </w:p>
    <w:p w14:paraId="13E4FB00" w14:textId="77777777" w:rsidR="00AC73F2" w:rsidRPr="00983DCD" w:rsidRDefault="00AC73F2" w:rsidP="00AC73F2">
      <w:pPr>
        <w:spacing w:after="0" w:line="240" w:lineRule="auto"/>
        <w:ind w:left="709" w:right="709"/>
        <w:jc w:val="both"/>
        <w:rPr>
          <w:rFonts w:ascii="Verdana" w:eastAsia="Calibri" w:hAnsi="Verdana" w:cs="Arial"/>
          <w:kern w:val="2"/>
          <w:sz w:val="20"/>
          <w:szCs w:val="20"/>
          <w:lang w:eastAsia="es-ES_tradnl"/>
          <w14:ligatures w14:val="standardContextual"/>
        </w:rPr>
      </w:pPr>
      <w:r w:rsidRPr="00983DCD">
        <w:rPr>
          <w:rFonts w:ascii="Verdana" w:eastAsia="Calibri" w:hAnsi="Verdana" w:cs="Arial"/>
          <w:i/>
          <w:iCs/>
          <w:kern w:val="2"/>
          <w:sz w:val="20"/>
          <w:szCs w:val="20"/>
          <w:lang w:eastAsia="es-ES_tradnl"/>
          <w14:ligatures w14:val="standardContextual"/>
        </w:rPr>
        <w:t xml:space="preserve">Los que provengan de los aportes obligatorios pagados por los empleadores y por las cooperativas de trabajo asociado tienen la condición de </w:t>
      </w:r>
      <w:r w:rsidRPr="00983DCD">
        <w:rPr>
          <w:rFonts w:ascii="Verdana" w:eastAsia="Calibri" w:hAnsi="Verdana" w:cs="Arial"/>
          <w:i/>
          <w:iCs/>
          <w:kern w:val="2"/>
          <w:sz w:val="20"/>
          <w:szCs w:val="20"/>
          <w:u w:val="single"/>
          <w:lang w:eastAsia="es-ES_tradnl"/>
          <w14:ligatures w14:val="standardContextual"/>
        </w:rPr>
        <w:t>recursos parafiscales</w:t>
      </w:r>
      <w:r w:rsidRPr="00983DCD">
        <w:rPr>
          <w:rFonts w:ascii="Verdana" w:eastAsia="Calibri" w:hAnsi="Verdana" w:cs="Arial"/>
          <w:i/>
          <w:iCs/>
          <w:kern w:val="2"/>
          <w:sz w:val="20"/>
          <w:szCs w:val="20"/>
          <w:lang w:eastAsia="es-ES_tradnl"/>
          <w14:ligatures w14:val="standardContextual"/>
        </w:rPr>
        <w:t xml:space="preserve"> y como tales, su administración se rige por las disposiciones legales correspondientes.</w:t>
      </w:r>
      <w:r w:rsidRPr="00983DCD">
        <w:rPr>
          <w:rFonts w:ascii="Verdana" w:eastAsia="Calibri" w:hAnsi="Verdana" w:cs="Arial"/>
          <w:b/>
          <w:bCs/>
          <w:i/>
          <w:iCs/>
          <w:kern w:val="2"/>
          <w:sz w:val="20"/>
          <w:szCs w:val="20"/>
          <w:lang w:eastAsia="es-ES_tradnl"/>
          <w14:ligatures w14:val="standardContextual"/>
        </w:rPr>
        <w:t xml:space="preserve"> </w:t>
      </w:r>
      <w:r w:rsidRPr="00983DCD">
        <w:rPr>
          <w:rFonts w:ascii="Verdana" w:eastAsia="Calibri" w:hAnsi="Verdana" w:cs="Arial"/>
          <w:kern w:val="2"/>
          <w:sz w:val="20"/>
          <w:szCs w:val="20"/>
          <w:lang w:eastAsia="es-ES_tradnl"/>
          <w14:ligatures w14:val="standardContextual"/>
        </w:rPr>
        <w:t>[…]” [Énfasis fuera de texto]</w:t>
      </w:r>
    </w:p>
    <w:p w14:paraId="527DF19C" w14:textId="77777777" w:rsidR="00AC73F2" w:rsidRPr="00983DCD" w:rsidRDefault="00AC73F2" w:rsidP="00AC73F2">
      <w:pPr>
        <w:spacing w:after="0" w:line="276" w:lineRule="auto"/>
        <w:jc w:val="both"/>
        <w:rPr>
          <w:rFonts w:ascii="Verdana" w:eastAsia="Calibri" w:hAnsi="Verdana" w:cs="Arial"/>
          <w:kern w:val="2"/>
          <w:lang w:eastAsia="es-ES_tradnl"/>
          <w14:ligatures w14:val="standardContextual"/>
        </w:rPr>
      </w:pPr>
    </w:p>
    <w:p w14:paraId="44AAD9DE" w14:textId="77777777" w:rsidR="00AC73F2" w:rsidRDefault="00AC73F2" w:rsidP="00AC73F2">
      <w:pPr>
        <w:spacing w:after="0" w:line="276" w:lineRule="auto"/>
        <w:jc w:val="both"/>
        <w:rPr>
          <w:rFonts w:ascii="Verdana" w:eastAsia="Calibri" w:hAnsi="Verdana" w:cs="Arial"/>
          <w:kern w:val="2"/>
          <w:lang w:eastAsia="es-ES_tradnl"/>
          <w14:ligatures w14:val="standardContextual"/>
        </w:rPr>
      </w:pPr>
      <w:r w:rsidRPr="00983DCD">
        <w:rPr>
          <w:rFonts w:ascii="Verdana" w:eastAsia="Calibri" w:hAnsi="Verdana" w:cs="Arial"/>
          <w:kern w:val="2"/>
          <w:lang w:eastAsia="es-ES_tradnl"/>
          <w14:ligatures w14:val="standardContextual"/>
        </w:rPr>
        <w:tab/>
        <w:t>En ese orden, para el Consejo de Estado, los recursos de carácter parafiscal que administran las Cajas de Compensación Familiar son de naturaleza pública, en tanto constituyen una fuente de financiación que el Estado consagra en beneficio de un sector, aunque desde la perspectiva presupuestal no integran el Presupuesto General de la Nación</w:t>
      </w:r>
      <w:r w:rsidRPr="00983DCD">
        <w:rPr>
          <w:rFonts w:ascii="Verdana" w:eastAsia="Times New Roman" w:hAnsi="Verdana" w:cs="Arial"/>
          <w:i/>
          <w:vertAlign w:val="superscript"/>
          <w:lang w:val="es-ES" w:eastAsia="es-ES"/>
        </w:rPr>
        <w:footnoteReference w:id="12"/>
      </w:r>
      <w:r w:rsidRPr="00983DCD">
        <w:rPr>
          <w:rFonts w:ascii="Verdana" w:eastAsia="Times New Roman" w:hAnsi="Verdana" w:cs="Arial"/>
          <w:i/>
          <w:lang w:val="es-ES" w:eastAsia="es-ES"/>
        </w:rPr>
        <w:t>.</w:t>
      </w:r>
      <w:r w:rsidRPr="00983DCD">
        <w:rPr>
          <w:rFonts w:ascii="Verdana" w:eastAsia="Calibri" w:hAnsi="Verdana" w:cs="Arial"/>
          <w:kern w:val="2"/>
          <w:lang w:eastAsia="es-ES_tradnl"/>
          <w14:ligatures w14:val="standardContextual"/>
        </w:rPr>
        <w:t>Teniendo en cuenta tanto la función principal que desempeñan las Cajas de Compensación Familiar como la naturaleza pública de los recursos parafiscales que administran, a continuación, se analizará la forma de cómo se seleccionan dichas entidades.</w:t>
      </w:r>
    </w:p>
    <w:p w14:paraId="6974FE93" w14:textId="77777777" w:rsidR="00AC73F2" w:rsidRDefault="00AC73F2" w:rsidP="00AC73F2">
      <w:pPr>
        <w:spacing w:after="0" w:line="240" w:lineRule="auto"/>
        <w:jc w:val="both"/>
        <w:rPr>
          <w:rFonts w:ascii="Verdana" w:eastAsia="Calibri" w:hAnsi="Verdana" w:cs="Arial"/>
          <w:kern w:val="2"/>
          <w:lang w:eastAsia="es-ES_tradnl"/>
          <w14:ligatures w14:val="standardContextual"/>
        </w:rPr>
      </w:pPr>
    </w:p>
    <w:p w14:paraId="485740F1" w14:textId="77777777" w:rsidR="00AC73F2" w:rsidRPr="00DD0D10" w:rsidRDefault="00AC73F2" w:rsidP="00AC73F2">
      <w:pPr>
        <w:spacing w:after="120" w:line="276" w:lineRule="auto"/>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t xml:space="preserve">iv. </w:t>
      </w:r>
      <w:r w:rsidRPr="00DD0D10">
        <w:rPr>
          <w:rFonts w:ascii="Verdana" w:eastAsia="Calibri" w:hAnsi="Verdana" w:cs="Arial"/>
          <w:kern w:val="2"/>
          <w:lang w:eastAsia="es-ES_tradnl"/>
          <w14:ligatures w14:val="standardContextual"/>
        </w:rPr>
        <w:t>De acuerdo con</w:t>
      </w:r>
      <w:r>
        <w:rPr>
          <w:rFonts w:ascii="Verdana" w:eastAsia="Calibri" w:hAnsi="Verdana" w:cs="Arial"/>
          <w:kern w:val="2"/>
          <w:lang w:eastAsia="es-ES_tradnl"/>
          <w14:ligatures w14:val="standardContextual"/>
        </w:rPr>
        <w:t xml:space="preserve"> lo expuesto</w:t>
      </w:r>
      <w:r w:rsidRPr="00DD0D10">
        <w:rPr>
          <w:rFonts w:ascii="Verdana" w:eastAsia="Calibri" w:hAnsi="Verdana" w:cs="Arial"/>
          <w:kern w:val="2"/>
          <w:lang w:eastAsia="es-ES_tradnl"/>
          <w14:ligatures w14:val="standardContextual"/>
        </w:rPr>
        <w:t xml:space="preserve">, las Cajas de Compensación Familiar, por regla general, ostentan la calidad de </w:t>
      </w:r>
      <w:r w:rsidRPr="00DD0D10">
        <w:rPr>
          <w:rFonts w:ascii="Verdana" w:eastAsia="Calibri" w:hAnsi="Verdana" w:cs="Arial"/>
          <w:bCs/>
          <w:kern w:val="2"/>
          <w:lang w:eastAsia="es-ES_tradnl"/>
          <w14:ligatures w14:val="standardContextual"/>
        </w:rPr>
        <w:t>personas jurídicas de derecho privado</w:t>
      </w:r>
      <w:r>
        <w:rPr>
          <w:rFonts w:ascii="Verdana" w:eastAsia="Calibri" w:hAnsi="Verdana" w:cs="Arial"/>
          <w:kern w:val="2"/>
          <w:lang w:eastAsia="es-ES_tradnl"/>
          <w14:ligatures w14:val="standardContextual"/>
        </w:rPr>
        <w:t xml:space="preserve">, aun cuando ejercen </w:t>
      </w:r>
      <w:r w:rsidRPr="00DD0D10">
        <w:rPr>
          <w:rFonts w:ascii="Verdana" w:eastAsia="Calibri" w:hAnsi="Verdana" w:cs="Arial"/>
          <w:bCs/>
          <w:kern w:val="2"/>
          <w:lang w:eastAsia="es-ES_tradnl"/>
          <w14:ligatures w14:val="standardContextual"/>
        </w:rPr>
        <w:t>funciones administrativas</w:t>
      </w:r>
      <w:r w:rsidRPr="00DD0D10">
        <w:rPr>
          <w:rFonts w:ascii="Verdana" w:eastAsia="Calibri" w:hAnsi="Verdana" w:cs="Arial"/>
          <w:kern w:val="2"/>
          <w:lang w:eastAsia="es-ES_tradnl"/>
          <w14:ligatures w14:val="standardContextual"/>
        </w:rPr>
        <w:t xml:space="preserve"> por expresa habilitación legal. Esta condición se explica en razón de su origen, régimen asociativo y estructura organizacional, así como por el hecho de que no integran orgánicamente la Rama Ejecutiva ni forman parte del sector descentralizado por servicios. La circunstancia de que administren recursos parafiscales y ejecuten actividades de interés público no transforma per se su naturaleza jurídica, pues el ejercicio de funciones administrativas es un fenómeno compatible con la condición de particular, en los términos previstos por el </w:t>
      </w:r>
      <w:r>
        <w:rPr>
          <w:rFonts w:ascii="Verdana" w:eastAsia="Calibri" w:hAnsi="Verdana" w:cs="Arial"/>
          <w:kern w:val="2"/>
          <w:lang w:eastAsia="es-ES_tradnl"/>
          <w14:ligatures w14:val="standardContextual"/>
        </w:rPr>
        <w:t xml:space="preserve">inciso segundo del </w:t>
      </w:r>
      <w:r w:rsidRPr="00DD0D10">
        <w:rPr>
          <w:rFonts w:ascii="Verdana" w:eastAsia="Calibri" w:hAnsi="Verdana" w:cs="Arial"/>
          <w:kern w:val="2"/>
          <w:lang w:eastAsia="es-ES_tradnl"/>
          <w14:ligatures w14:val="standardContextual"/>
        </w:rPr>
        <w:t xml:space="preserve">artículo </w:t>
      </w:r>
      <w:r>
        <w:rPr>
          <w:rFonts w:ascii="Verdana" w:eastAsia="Calibri" w:hAnsi="Verdana" w:cs="Arial"/>
          <w:kern w:val="2"/>
          <w:lang w:eastAsia="es-ES_tradnl"/>
          <w14:ligatures w14:val="standardContextual"/>
        </w:rPr>
        <w:t>210 de la Constitución Política, que dispone: “</w:t>
      </w:r>
      <w:r w:rsidRPr="00426826">
        <w:rPr>
          <w:rFonts w:ascii="Verdana" w:eastAsia="Calibri" w:hAnsi="Verdana" w:cs="Arial"/>
          <w:kern w:val="2"/>
          <w:lang w:eastAsia="es-ES_tradnl"/>
          <w14:ligatures w14:val="standardContextual"/>
        </w:rPr>
        <w:t>Los particulares pueden cumplir funciones administrativas en las condiciones que señale la ley</w:t>
      </w:r>
      <w:r>
        <w:rPr>
          <w:rFonts w:ascii="Verdana" w:eastAsia="Calibri" w:hAnsi="Verdana" w:cs="Arial"/>
          <w:kern w:val="2"/>
          <w:lang w:eastAsia="es-ES_tradnl"/>
          <w14:ligatures w14:val="standardContextual"/>
        </w:rPr>
        <w:t xml:space="preserve">”. </w:t>
      </w:r>
    </w:p>
    <w:p w14:paraId="56633AD6" w14:textId="77777777" w:rsidR="00AC73F2" w:rsidRPr="0076547C" w:rsidRDefault="00AC73F2" w:rsidP="00AC73F2">
      <w:pPr>
        <w:spacing w:after="120" w:line="276" w:lineRule="auto"/>
        <w:ind w:firstLine="708"/>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lastRenderedPageBreak/>
        <w:t xml:space="preserve">En ese sentido, el </w:t>
      </w:r>
      <w:r w:rsidRPr="00DD0D10">
        <w:rPr>
          <w:rFonts w:ascii="Verdana" w:eastAsia="Calibri" w:hAnsi="Verdana" w:cs="Arial"/>
          <w:kern w:val="2"/>
          <w:lang w:eastAsia="es-ES_tradnl"/>
          <w14:ligatures w14:val="standardContextual"/>
        </w:rPr>
        <w:t>cumplimiento de funciones administrativas no resulta suficiente</w:t>
      </w:r>
      <w:r>
        <w:rPr>
          <w:rFonts w:ascii="Verdana" w:eastAsia="Calibri" w:hAnsi="Verdana" w:cs="Arial"/>
          <w:kern w:val="2"/>
          <w:lang w:eastAsia="es-ES_tradnl"/>
          <w14:ligatures w14:val="standardContextual"/>
        </w:rPr>
        <w:t xml:space="preserve"> para predicar de las Cajas de Compensación F</w:t>
      </w:r>
      <w:r w:rsidRPr="00DD0D10">
        <w:rPr>
          <w:rFonts w:ascii="Verdana" w:eastAsia="Calibri" w:hAnsi="Verdana" w:cs="Arial"/>
          <w:kern w:val="2"/>
          <w:lang w:eastAsia="es-ES_tradnl"/>
          <w14:ligatures w14:val="standardContextual"/>
        </w:rPr>
        <w:t xml:space="preserve">amiliar la calidad de </w:t>
      </w:r>
      <w:r w:rsidRPr="00DD0D10">
        <w:rPr>
          <w:rFonts w:ascii="Verdana" w:eastAsia="Calibri" w:hAnsi="Verdana" w:cs="Arial"/>
          <w:bCs/>
          <w:kern w:val="2"/>
          <w:lang w:eastAsia="es-ES_tradnl"/>
          <w14:ligatures w14:val="standardContextual"/>
        </w:rPr>
        <w:t>entidades estatales</w:t>
      </w:r>
      <w:r w:rsidRPr="00DD0D10">
        <w:rPr>
          <w:rFonts w:ascii="Verdana" w:eastAsia="Calibri" w:hAnsi="Verdana" w:cs="Arial"/>
          <w:kern w:val="2"/>
          <w:lang w:eastAsia="es-ES_tradnl"/>
          <w14:ligatures w14:val="standardContextual"/>
        </w:rPr>
        <w:t xml:space="preserve"> en los términos del artículo 2 de la Ley 80 de 1993. Dicha disposición condiciona la aplicación subjetiva del </w:t>
      </w:r>
      <w:r>
        <w:rPr>
          <w:rFonts w:ascii="Verdana" w:eastAsia="Calibri" w:hAnsi="Verdana" w:cs="Arial"/>
          <w:kern w:val="2"/>
          <w:lang w:eastAsia="es-ES_tradnl"/>
          <w14:ligatures w14:val="standardContextual"/>
        </w:rPr>
        <w:t>EGCAP</w:t>
      </w:r>
      <w:r w:rsidRPr="00DD0D10">
        <w:rPr>
          <w:rFonts w:ascii="Verdana" w:eastAsia="Calibri" w:hAnsi="Verdana" w:cs="Arial"/>
          <w:kern w:val="2"/>
          <w:lang w:eastAsia="es-ES_tradnl"/>
          <w14:ligatures w14:val="standardContextual"/>
        </w:rPr>
        <w:t xml:space="preserve"> a la pertenencia formal de la entidad a la estructura del Estado, y no exclusivamente </w:t>
      </w:r>
      <w:r>
        <w:rPr>
          <w:rFonts w:ascii="Verdana" w:eastAsia="Calibri" w:hAnsi="Verdana" w:cs="Arial"/>
          <w:kern w:val="2"/>
          <w:lang w:eastAsia="es-ES_tradnl"/>
          <w14:ligatures w14:val="standardContextual"/>
        </w:rPr>
        <w:t xml:space="preserve">a las </w:t>
      </w:r>
      <w:r w:rsidRPr="00DD0D10">
        <w:rPr>
          <w:rFonts w:ascii="Verdana" w:eastAsia="Calibri" w:hAnsi="Verdana" w:cs="Arial"/>
          <w:kern w:val="2"/>
          <w:lang w:eastAsia="es-ES_tradnl"/>
          <w14:ligatures w14:val="standardContextual"/>
        </w:rPr>
        <w:t>funciones que desempeña</w:t>
      </w:r>
      <w:r>
        <w:rPr>
          <w:rFonts w:ascii="Verdana" w:eastAsia="Calibri" w:hAnsi="Verdana" w:cs="Arial"/>
          <w:kern w:val="2"/>
          <w:lang w:eastAsia="es-ES_tradnl"/>
          <w14:ligatures w14:val="standardContextual"/>
        </w:rPr>
        <w:t xml:space="preserve">. En tal sentido, como </w:t>
      </w:r>
      <w:r>
        <w:rPr>
          <w:rFonts w:ascii="Verdana" w:eastAsia="Arial" w:hAnsi="Verdana" w:cs="Arial"/>
          <w:color w:val="000000"/>
        </w:rPr>
        <w:t xml:space="preserve">particulares que desarrollan actividades administrativas, las cajas de compensación familiar no son entidades estatales sometidas o exceptuadas de la Ley 80 de 1993, pues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pese a ejercer determinadas funciones públicas</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siguen siendo sujetos de derecho privado. Lo anterior, no obsta para que a los particulares que reciban el ejercicio de funciones administrativas conforme a los artículos 110 y siguientes de la Ley 489 de 1998 se les extienda la aplicación del EGCAP. </w:t>
      </w:r>
    </w:p>
    <w:p w14:paraId="37D5030D" w14:textId="77777777" w:rsidR="00AC73F2" w:rsidRDefault="00AC73F2" w:rsidP="00AC73F2">
      <w:pPr>
        <w:spacing w:line="276" w:lineRule="auto"/>
        <w:ind w:firstLine="709"/>
        <w:jc w:val="both"/>
        <w:rPr>
          <w:rFonts w:ascii="Verdana" w:eastAsia="Calibri" w:hAnsi="Verdana" w:cs="Arial"/>
          <w:color w:val="000000" w:themeColor="text1"/>
          <w:lang w:eastAsia="es-ES"/>
        </w:rPr>
      </w:pPr>
      <w:r>
        <w:rPr>
          <w:rFonts w:ascii="Verdana" w:eastAsia="Calibri" w:hAnsi="Verdana" w:cs="Arial"/>
          <w:color w:val="000000" w:themeColor="text1"/>
          <w:lang w:val="es-ES" w:eastAsia="es-ES"/>
        </w:rPr>
        <w:t>En este caso, el inciso final del artículo 110 de la Ley 489 de 1998 dispone que “</w:t>
      </w:r>
      <w:r w:rsidRPr="00563673">
        <w:rPr>
          <w:rFonts w:ascii="Verdana" w:eastAsia="Calibri" w:hAnsi="Verdana" w:cs="Arial"/>
          <w:color w:val="000000" w:themeColor="text1"/>
          <w:lang w:eastAsia="es-ES"/>
        </w:rPr>
        <w:t>La atribución de las funciones administrativas deberá estar precedida de acto administrativo y acompañada de convenio</w:t>
      </w:r>
      <w:r>
        <w:rPr>
          <w:rFonts w:ascii="Verdana" w:eastAsia="Calibri" w:hAnsi="Verdana" w:cs="Arial"/>
          <w:color w:val="000000" w:themeColor="text1"/>
          <w:lang w:eastAsia="es-ES"/>
        </w:rPr>
        <w:t xml:space="preserve">”. Por medio de estos dos actos, sin merma de las prerrogativas de dirección y control, una entidad de la rama ejecutiva se desprende de parte de sus actividades para que las mismas sean gestionadas por un particular. Por un lado, conforme al numeral 1 del artículo 111 </w:t>
      </w:r>
      <w:r w:rsidRPr="00641388">
        <w:rPr>
          <w:rFonts w:ascii="Verdana" w:eastAsia="Calibri" w:hAnsi="Verdana" w:cs="Arial"/>
          <w:i/>
          <w:iCs/>
          <w:color w:val="000000" w:themeColor="text1"/>
          <w:lang w:eastAsia="es-ES"/>
        </w:rPr>
        <w:t>ibidem</w:t>
      </w:r>
      <w:r>
        <w:rPr>
          <w:rFonts w:ascii="Verdana" w:eastAsia="Calibri" w:hAnsi="Verdana" w:cs="Arial"/>
          <w:color w:val="000000" w:themeColor="text1"/>
          <w:lang w:eastAsia="es-ES"/>
        </w:rPr>
        <w:t xml:space="preserve">, el </w:t>
      </w:r>
      <w:r w:rsidRPr="00641388">
        <w:rPr>
          <w:rFonts w:ascii="Verdana" w:eastAsia="Calibri" w:hAnsi="Verdana" w:cs="Arial"/>
          <w:i/>
          <w:iCs/>
          <w:color w:val="000000" w:themeColor="text1"/>
          <w:lang w:eastAsia="es-ES"/>
        </w:rPr>
        <w:t>acto administrativo</w:t>
      </w:r>
      <w:r>
        <w:rPr>
          <w:rFonts w:ascii="Verdana" w:eastAsia="Calibri" w:hAnsi="Verdana" w:cs="Arial"/>
          <w:color w:val="000000" w:themeColor="text1"/>
          <w:lang w:eastAsia="es-ES"/>
        </w:rPr>
        <w:t xml:space="preserve"> debe indicar: l</w:t>
      </w:r>
      <w:r w:rsidRPr="00641388">
        <w:rPr>
          <w:rFonts w:ascii="Verdana" w:eastAsia="Calibri" w:hAnsi="Verdana" w:cs="Arial"/>
          <w:color w:val="000000" w:themeColor="text1"/>
          <w:lang w:eastAsia="es-ES"/>
        </w:rPr>
        <w:t>as funciones específicas que encomendará a los particulares</w:t>
      </w:r>
      <w:r>
        <w:rPr>
          <w:rFonts w:ascii="Verdana" w:eastAsia="Calibri" w:hAnsi="Verdana" w:cs="Arial"/>
          <w:color w:val="000000" w:themeColor="text1"/>
          <w:lang w:eastAsia="es-ES"/>
        </w:rPr>
        <w:t>; l</w:t>
      </w:r>
      <w:r w:rsidRPr="00641388">
        <w:rPr>
          <w:rFonts w:ascii="Verdana" w:eastAsia="Calibri" w:hAnsi="Verdana" w:cs="Arial"/>
          <w:color w:val="000000" w:themeColor="text1"/>
          <w:lang w:eastAsia="es-ES"/>
        </w:rPr>
        <w:t>as calidades y requisitos que deben reunir las entidades o personas privadas</w:t>
      </w:r>
      <w:r>
        <w:rPr>
          <w:rFonts w:ascii="Verdana" w:eastAsia="Calibri" w:hAnsi="Verdana" w:cs="Arial"/>
          <w:color w:val="000000" w:themeColor="text1"/>
          <w:lang w:eastAsia="es-ES"/>
        </w:rPr>
        <w:t>; l</w:t>
      </w:r>
      <w:r w:rsidRPr="00641388">
        <w:rPr>
          <w:rFonts w:ascii="Verdana" w:eastAsia="Calibri" w:hAnsi="Verdana" w:cs="Arial"/>
          <w:color w:val="000000" w:themeColor="text1"/>
          <w:lang w:eastAsia="es-ES"/>
        </w:rPr>
        <w:t>as condiciones del ejercicio de las funciones;</w:t>
      </w:r>
      <w:r>
        <w:rPr>
          <w:rFonts w:ascii="Verdana" w:eastAsia="Calibri" w:hAnsi="Verdana" w:cs="Arial"/>
          <w:color w:val="000000" w:themeColor="text1"/>
          <w:lang w:eastAsia="es-ES"/>
        </w:rPr>
        <w:t xml:space="preserve"> l</w:t>
      </w:r>
      <w:r w:rsidRPr="00641388">
        <w:rPr>
          <w:rFonts w:ascii="Verdana" w:eastAsia="Calibri" w:hAnsi="Verdana" w:cs="Arial"/>
          <w:color w:val="000000" w:themeColor="text1"/>
          <w:lang w:eastAsia="es-ES"/>
        </w:rPr>
        <w:t>a forma de remuneración, si fuera el caso; </w:t>
      </w:r>
      <w:r>
        <w:rPr>
          <w:rFonts w:ascii="Verdana" w:eastAsia="Calibri" w:hAnsi="Verdana" w:cs="Arial"/>
          <w:color w:val="000000" w:themeColor="text1"/>
          <w:lang w:eastAsia="es-ES"/>
        </w:rPr>
        <w:t>así como l</w:t>
      </w:r>
      <w:r w:rsidRPr="00641388">
        <w:rPr>
          <w:rFonts w:ascii="Verdana" w:eastAsia="Calibri" w:hAnsi="Verdana" w:cs="Arial"/>
          <w:color w:val="000000" w:themeColor="text1"/>
          <w:lang w:eastAsia="es-ES"/>
        </w:rPr>
        <w:t>a duración del encargo y las garantías que deben prestar los particulares</w:t>
      </w:r>
      <w:r>
        <w:rPr>
          <w:rFonts w:ascii="Verdana" w:eastAsia="Calibri" w:hAnsi="Verdana" w:cs="Arial"/>
          <w:color w:val="000000" w:themeColor="text1"/>
          <w:lang w:eastAsia="es-ES"/>
        </w:rPr>
        <w:t xml:space="preserve">. </w:t>
      </w:r>
    </w:p>
    <w:p w14:paraId="01E2E55D" w14:textId="77777777" w:rsidR="00AC73F2" w:rsidRDefault="00AC73F2" w:rsidP="00AC73F2">
      <w:pPr>
        <w:spacing w:after="0" w:line="276" w:lineRule="auto"/>
        <w:ind w:firstLine="709"/>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Por su parte, el </w:t>
      </w:r>
      <w:r w:rsidRPr="00D61B8D">
        <w:rPr>
          <w:rFonts w:ascii="Verdana" w:eastAsia="Calibri" w:hAnsi="Verdana" w:cs="Arial"/>
          <w:i/>
          <w:iCs/>
          <w:color w:val="000000" w:themeColor="text1"/>
          <w:lang w:eastAsia="es-ES"/>
        </w:rPr>
        <w:t>convenio</w:t>
      </w:r>
      <w:r>
        <w:rPr>
          <w:rFonts w:ascii="Verdana" w:eastAsia="Calibri" w:hAnsi="Verdana" w:cs="Arial"/>
          <w:color w:val="000000" w:themeColor="text1"/>
          <w:lang w:eastAsia="es-ES"/>
        </w:rPr>
        <w:t xml:space="preserve"> requiere “</w:t>
      </w:r>
      <w:r w:rsidRPr="00641388">
        <w:rPr>
          <w:rFonts w:ascii="Verdana" w:eastAsia="Calibri" w:hAnsi="Verdana" w:cs="Arial"/>
          <w:color w:val="000000" w:themeColor="text1"/>
          <w:lang w:eastAsia="es-ES"/>
        </w:rPr>
        <w:t>Elaborar un pliego o términos de referencia, con fundamento en el acto administrativo expedido y formular convocatoria pública para el efecto teniendo en cuenta los principios establecidos en la Ley 80 de 1993 para la contratación por parte de entidades estatales</w:t>
      </w:r>
      <w:r>
        <w:rPr>
          <w:rFonts w:ascii="Verdana" w:eastAsia="Calibri" w:hAnsi="Verdana" w:cs="Arial"/>
          <w:color w:val="000000" w:themeColor="text1"/>
          <w:lang w:eastAsia="es-ES"/>
        </w:rPr>
        <w:t>”</w:t>
      </w:r>
      <w:r w:rsidRPr="00641388">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De acuerdo con el numeral 2 de la norma precitada, el plazo de ejecución será de 5 años y es necesario pactar las cláusulas exorbitantes previstas en el EGCAP. Bajo el cumplimiento de estos supuestos, el artículo 112 de la Ley 489 de 1998 dispone: </w:t>
      </w:r>
    </w:p>
    <w:p w14:paraId="7885D9E1" w14:textId="77777777" w:rsidR="00AC73F2" w:rsidRPr="00D61B8D" w:rsidRDefault="00AC73F2" w:rsidP="00AC73F2">
      <w:pPr>
        <w:spacing w:after="0" w:line="276" w:lineRule="auto"/>
        <w:ind w:firstLine="709"/>
        <w:jc w:val="both"/>
        <w:rPr>
          <w:rFonts w:ascii="Verdana" w:eastAsia="Calibri" w:hAnsi="Verdana" w:cs="Arial"/>
          <w:color w:val="000000" w:themeColor="text1"/>
          <w:lang w:val="es-ES" w:eastAsia="es-ES"/>
        </w:rPr>
      </w:pPr>
    </w:p>
    <w:p w14:paraId="42047651" w14:textId="77777777" w:rsidR="00AC73F2" w:rsidRPr="007C4291" w:rsidRDefault="00AC73F2" w:rsidP="00AC73F2">
      <w:pPr>
        <w:spacing w:after="0" w:line="240" w:lineRule="auto"/>
        <w:ind w:left="709" w:right="709"/>
        <w:jc w:val="both"/>
        <w:rPr>
          <w:rFonts w:ascii="Verdana" w:eastAsia="Calibri" w:hAnsi="Verdana" w:cs="Arial"/>
          <w:color w:val="000000" w:themeColor="text1"/>
          <w:sz w:val="21"/>
          <w:szCs w:val="21"/>
          <w:lang w:eastAsia="es-ES"/>
        </w:rPr>
      </w:pPr>
      <w:r w:rsidRPr="007C4291">
        <w:rPr>
          <w:rFonts w:ascii="Verdana" w:eastAsia="Calibri" w:hAnsi="Verdana" w:cs="Arial"/>
          <w:color w:val="000000" w:themeColor="text1"/>
          <w:sz w:val="21"/>
          <w:szCs w:val="21"/>
          <w:lang w:eastAsia="es-ES"/>
        </w:rPr>
        <w:t xml:space="preserve">“La celebración del convenio y el consiguiente ejercicio de funciones administrativas no modifica la naturaleza ni el régimen aplicable a la entidad o persona privada que recibe el encargo de ejercer funciones </w:t>
      </w:r>
      <w:r w:rsidRPr="007C4291">
        <w:rPr>
          <w:rFonts w:ascii="Verdana" w:eastAsia="Calibri" w:hAnsi="Verdana" w:cs="Arial"/>
          <w:color w:val="000000" w:themeColor="text1"/>
          <w:sz w:val="21"/>
          <w:szCs w:val="21"/>
          <w:lang w:eastAsia="es-ES"/>
        </w:rPr>
        <w:lastRenderedPageBreak/>
        <w:t xml:space="preserve">administrativas. No obstante, los actos unilaterales están sujetos en cuanto a su expedición, y requisitos externos e internos, a los procedimientos de comunicación e impugnación a las disposiciones propias de los actos administrativos. </w:t>
      </w:r>
      <w:r w:rsidRPr="007C4291">
        <w:rPr>
          <w:rFonts w:ascii="Verdana" w:eastAsia="Calibri" w:hAnsi="Verdana" w:cs="Arial"/>
          <w:i/>
          <w:iCs/>
          <w:color w:val="000000" w:themeColor="text1"/>
          <w:sz w:val="21"/>
          <w:szCs w:val="21"/>
          <w:lang w:eastAsia="es-ES"/>
        </w:rPr>
        <w:t>Igualmente si se celebran contratos por cuenta de las entidades privadas, los mismos se sujetarán a las normas de contratación de las entidades estatales</w:t>
      </w:r>
      <w:r w:rsidRPr="007C4291">
        <w:rPr>
          <w:rFonts w:ascii="Verdana" w:eastAsia="Calibri" w:hAnsi="Verdana" w:cs="Arial"/>
          <w:color w:val="000000" w:themeColor="text1"/>
          <w:sz w:val="21"/>
          <w:szCs w:val="21"/>
          <w:lang w:eastAsia="es-ES"/>
        </w:rPr>
        <w:t>” (Énfasis fuera de texto). </w:t>
      </w:r>
    </w:p>
    <w:p w14:paraId="403BC948" w14:textId="77777777" w:rsidR="00AC73F2" w:rsidRDefault="00AC73F2" w:rsidP="00AC73F2">
      <w:pPr>
        <w:spacing w:after="0" w:line="276" w:lineRule="auto"/>
        <w:jc w:val="both"/>
        <w:rPr>
          <w:rFonts w:ascii="Verdana" w:eastAsia="Calibri" w:hAnsi="Verdana" w:cs="Arial"/>
          <w:color w:val="000000" w:themeColor="text1"/>
          <w:lang w:eastAsia="es-ES"/>
        </w:rPr>
      </w:pPr>
      <w:r w:rsidRPr="00641388">
        <w:rPr>
          <w:rFonts w:ascii="Verdana" w:eastAsia="Calibri" w:hAnsi="Verdana" w:cs="Arial"/>
          <w:color w:val="000000" w:themeColor="text1"/>
          <w:lang w:eastAsia="es-ES"/>
        </w:rPr>
        <w:t> </w:t>
      </w:r>
    </w:p>
    <w:p w14:paraId="50A5B06A" w14:textId="77777777" w:rsidR="00AC73F2" w:rsidRDefault="00AC73F2" w:rsidP="00AC73F2">
      <w:pPr>
        <w:spacing w:after="120" w:line="276" w:lineRule="auto"/>
        <w:jc w:val="both"/>
        <w:rPr>
          <w:rFonts w:ascii="Verdana" w:eastAsia="Calibri" w:hAnsi="Verdana" w:cs="Arial"/>
          <w:kern w:val="2"/>
          <w:lang w:eastAsia="es-ES_tradnl"/>
          <w14:ligatures w14:val="standardContextual"/>
        </w:rPr>
      </w:pPr>
      <w:r>
        <w:rPr>
          <w:rFonts w:ascii="Verdana" w:eastAsia="Calibri" w:hAnsi="Verdana" w:cs="Arial"/>
          <w:color w:val="000000" w:themeColor="text1"/>
          <w:lang w:eastAsia="es-ES"/>
        </w:rPr>
        <w:tab/>
        <w:t>Esta norma implica una extensión del EGCAP a sujetos que no tienen la naturaleza de entidad estatal. Sin embargo, para la Agencia esta norma no es aplicable a las funciones administrativas que desarrollan las Cajas de Compensación Familiar con fundamento en atribución legal previa, pues en éstas no media la expedición de actos administrativos y la suscripción de convenios como se explicó en los párrafos precedentes</w:t>
      </w:r>
      <w:r>
        <w:rPr>
          <w:rStyle w:val="Refdenotaalpie"/>
          <w:rFonts w:ascii="Verdana" w:eastAsia="Calibri" w:hAnsi="Verdana" w:cs="Arial"/>
          <w:color w:val="000000" w:themeColor="text1"/>
          <w:lang w:eastAsia="es-ES"/>
        </w:rPr>
        <w:footnoteReference w:id="13"/>
      </w:r>
      <w:r>
        <w:rPr>
          <w:rFonts w:ascii="Verdana" w:eastAsia="Calibri" w:hAnsi="Verdana" w:cs="Arial"/>
          <w:color w:val="000000" w:themeColor="text1"/>
          <w:lang w:eastAsia="es-ES"/>
        </w:rPr>
        <w:t xml:space="preserve">. Por tanto, su gestión contractual no está sujeta a la Ley 80 de 1993 ni a los procedimientos de licitación pública, selección abreviada, concurso de méritos, mínima cuantía y contratación directa del artículo 2 de la Ley 1150 de 2007, salvo que </w:t>
      </w:r>
      <w:r w:rsidRPr="00003B9B">
        <w:rPr>
          <w:rFonts w:ascii="Verdana" w:eastAsia="Calibri" w:hAnsi="Verdana" w:cs="Arial"/>
          <w:color w:val="000000" w:themeColor="text1"/>
          <w:lang w:eastAsia="es-ES"/>
        </w:rPr>
        <w:t xml:space="preserve">deban celebrar contratos en ejercicio de funciones administrativas que eventualmente les confiera </w:t>
      </w:r>
      <w:r>
        <w:rPr>
          <w:rFonts w:ascii="Verdana" w:eastAsia="Calibri" w:hAnsi="Verdana" w:cs="Arial"/>
          <w:color w:val="000000" w:themeColor="text1"/>
          <w:lang w:eastAsia="es-ES"/>
        </w:rPr>
        <w:t>una autoridad de igual naturaleza conforme a los</w:t>
      </w:r>
      <w:r w:rsidRPr="00003B9B">
        <w:rPr>
          <w:rFonts w:ascii="Verdana" w:eastAsia="Calibri" w:hAnsi="Verdana" w:cs="Arial"/>
          <w:color w:val="000000" w:themeColor="text1"/>
          <w:lang w:eastAsia="es-ES"/>
        </w:rPr>
        <w:t xml:space="preserve"> artículos 110</w:t>
      </w:r>
      <w:r>
        <w:rPr>
          <w:rFonts w:ascii="Verdana" w:eastAsia="Calibri" w:hAnsi="Verdana" w:cs="Arial"/>
          <w:color w:val="000000" w:themeColor="text1"/>
          <w:lang w:eastAsia="es-ES"/>
        </w:rPr>
        <w:t xml:space="preserve"> y siguientes</w:t>
      </w:r>
      <w:r w:rsidRPr="00003B9B">
        <w:rPr>
          <w:rFonts w:ascii="Verdana" w:eastAsia="Calibri" w:hAnsi="Verdana" w:cs="Arial"/>
          <w:color w:val="000000" w:themeColor="text1"/>
          <w:lang w:eastAsia="es-ES"/>
        </w:rPr>
        <w:t xml:space="preserve"> de la </w:t>
      </w:r>
      <w:r>
        <w:rPr>
          <w:rFonts w:ascii="Verdana" w:eastAsia="Calibri" w:hAnsi="Verdana" w:cs="Arial"/>
          <w:color w:val="000000" w:themeColor="text1"/>
          <w:lang w:eastAsia="es-ES"/>
        </w:rPr>
        <w:t>L</w:t>
      </w:r>
      <w:r w:rsidRPr="00003B9B">
        <w:rPr>
          <w:rFonts w:ascii="Verdana" w:eastAsia="Calibri" w:hAnsi="Verdana" w:cs="Arial"/>
          <w:color w:val="000000" w:themeColor="text1"/>
          <w:lang w:eastAsia="es-ES"/>
        </w:rPr>
        <w:t>ey 489 de 1998</w:t>
      </w:r>
      <w:r>
        <w:rPr>
          <w:rFonts w:ascii="Verdana" w:eastAsia="Calibri" w:hAnsi="Verdana" w:cs="Arial"/>
          <w:color w:val="000000" w:themeColor="text1"/>
          <w:lang w:eastAsia="es-ES"/>
        </w:rPr>
        <w:t xml:space="preserve">. Fuera de esta última hipótesis, como sujetos de derecho privado, los contratos de estas instituciones se rigen por el derecho civil y comercial, sin perjuicio de acatar los principios del artículo 209 superior en las actividades administrativas que desempeñen. </w:t>
      </w:r>
      <w:r w:rsidRPr="00DD0D10">
        <w:rPr>
          <w:rFonts w:ascii="Verdana" w:eastAsia="Calibri" w:hAnsi="Verdana" w:cs="Arial"/>
          <w:kern w:val="2"/>
          <w:lang w:eastAsia="es-ES_tradnl"/>
          <w14:ligatures w14:val="standardContextual"/>
        </w:rPr>
        <w:t>Por tanto, reconocerles naturaleza estatal por el ejercicio de funciones administrativas implicaría desdibujar la distinción constitucional y legal entre entidades públicas y particulares</w:t>
      </w:r>
      <w:r>
        <w:rPr>
          <w:rFonts w:ascii="Verdana" w:eastAsia="Calibri" w:hAnsi="Verdana" w:cs="Arial"/>
          <w:kern w:val="2"/>
          <w:lang w:eastAsia="es-ES_tradnl"/>
          <w14:ligatures w14:val="standardContextual"/>
        </w:rPr>
        <w:t xml:space="preserve"> que cumplen funciones administrativas en el marco de la descentralización por colaboración.</w:t>
      </w:r>
    </w:p>
    <w:p w14:paraId="7F6DA380" w14:textId="77777777" w:rsidR="00AC73F2" w:rsidRPr="00AE485E" w:rsidRDefault="00AC73F2" w:rsidP="00AC73F2">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kern w:val="2"/>
          <w:lang w:eastAsia="es-ES_tradnl"/>
          <w14:ligatures w14:val="standardContextual"/>
        </w:rPr>
        <w:t xml:space="preserve">De este modo, puede afirmarse., que, como regla, es improcedente la </w:t>
      </w:r>
      <w:r w:rsidRPr="00B40730">
        <w:rPr>
          <w:rFonts w:ascii="Verdana" w:eastAsia="Calibri" w:hAnsi="Verdana" w:cs="Arial"/>
          <w:kern w:val="2"/>
          <w:lang w:eastAsia="es-ES_tradnl"/>
          <w14:ligatures w14:val="standardContextual"/>
        </w:rPr>
        <w:t>celebración de convenios interadministrativos entre una entidad estatal y una caja</w:t>
      </w:r>
      <w:r>
        <w:rPr>
          <w:rFonts w:ascii="Verdana" w:eastAsia="Calibri" w:hAnsi="Verdana" w:cs="Arial"/>
          <w:kern w:val="2"/>
          <w:lang w:eastAsia="es-ES_tradnl"/>
          <w14:ligatures w14:val="standardContextual"/>
        </w:rPr>
        <w:t xml:space="preserve"> de compensación familiar. Esto se sustenta en que</w:t>
      </w:r>
      <w:r w:rsidRPr="00B40730">
        <w:rPr>
          <w:rFonts w:ascii="Verdana" w:eastAsia="Calibri" w:hAnsi="Verdana" w:cs="Arial"/>
          <w:kern w:val="2"/>
          <w:lang w:eastAsia="es-ES_tradnl"/>
          <w14:ligatures w14:val="standardContextual"/>
        </w:rPr>
        <w:t xml:space="preserve"> estas últimas, si bien cumplen funciones</w:t>
      </w:r>
      <w:r>
        <w:rPr>
          <w:rFonts w:ascii="Verdana" w:eastAsia="Calibri" w:hAnsi="Verdana" w:cs="Arial"/>
          <w:kern w:val="2"/>
          <w:lang w:eastAsia="es-ES_tradnl"/>
          <w14:ligatures w14:val="standardContextual"/>
        </w:rPr>
        <w:t xml:space="preserve"> administrativas – actividades de interés social y administran recursos parafiscales-</w:t>
      </w:r>
      <w:r w:rsidRPr="00B40730">
        <w:rPr>
          <w:rFonts w:ascii="Verdana" w:eastAsia="Calibri" w:hAnsi="Verdana" w:cs="Arial"/>
          <w:kern w:val="2"/>
          <w:lang w:eastAsia="es-ES_tradnl"/>
          <w14:ligatures w14:val="standardContextual"/>
        </w:rPr>
        <w:t xml:space="preserve">, no tienen la naturaleza de entidad estatal, </w:t>
      </w:r>
      <w:r>
        <w:rPr>
          <w:rFonts w:ascii="Verdana" w:eastAsia="Calibri" w:hAnsi="Verdana" w:cs="Arial"/>
          <w:kern w:val="2"/>
          <w:lang w:eastAsia="es-ES_tradnl"/>
          <w14:ligatures w14:val="standardContextual"/>
        </w:rPr>
        <w:t xml:space="preserve">condición sine qua non para la celebración de convenios interadministrativos. </w:t>
      </w:r>
      <w:r w:rsidRPr="00B40730">
        <w:rPr>
          <w:rFonts w:ascii="Verdana" w:eastAsia="Calibri" w:hAnsi="Verdana" w:cs="Arial"/>
          <w:kern w:val="2"/>
          <w:lang w:eastAsia="es-ES_tradnl"/>
          <w14:ligatures w14:val="standardContextual"/>
        </w:rPr>
        <w:t xml:space="preserve">No obstante, dicha prohibición admite una excepción cuando la caja de compensación familiar tenga la condición de entidad sin ánimo de lucro creada por entidades estatales. </w:t>
      </w:r>
      <w:r w:rsidRPr="00B40730">
        <w:rPr>
          <w:rFonts w:ascii="Verdana" w:eastAsia="Calibri" w:hAnsi="Verdana" w:cs="Arial"/>
          <w:kern w:val="2"/>
          <w:lang w:eastAsia="es-ES_tradnl"/>
          <w14:ligatures w14:val="standardContextual"/>
        </w:rPr>
        <w:lastRenderedPageBreak/>
        <w:t xml:space="preserve">En este evento, la celebración del convenio interadministrativo resulta procedente, siempre que se ajuste a lo previsto en el artículo 96 de la Ley 489 de 1998 y en el </w:t>
      </w:r>
      <w:r>
        <w:rPr>
          <w:rFonts w:ascii="Verdana" w:eastAsia="Calibri" w:hAnsi="Verdana" w:cs="Arial"/>
          <w:kern w:val="2"/>
          <w:lang w:eastAsia="es-ES_tradnl"/>
          <w14:ligatures w14:val="standardContextual"/>
        </w:rPr>
        <w:t>artículo 2 de la Ley 80 de 1993</w:t>
      </w:r>
      <w:r w:rsidRPr="00B40730">
        <w:rPr>
          <w:rFonts w:ascii="Verdana" w:eastAsia="Calibri" w:hAnsi="Verdana" w:cs="Arial"/>
          <w:kern w:val="2"/>
          <w:lang w:eastAsia="es-ES_tradnl"/>
          <w14:ligatures w14:val="standardContextual"/>
        </w:rPr>
        <w:t>.</w:t>
      </w:r>
    </w:p>
    <w:p w14:paraId="2C267344" w14:textId="77777777" w:rsidR="00AC73F2" w:rsidRPr="00A06941" w:rsidRDefault="00AC73F2" w:rsidP="00AC73F2">
      <w:pPr>
        <w:spacing w:after="120" w:line="276" w:lineRule="auto"/>
        <w:ind w:firstLine="708"/>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t>E</w:t>
      </w:r>
      <w:r w:rsidRPr="00A06941">
        <w:rPr>
          <w:rFonts w:ascii="Verdana" w:eastAsia="Calibri" w:hAnsi="Verdana" w:cs="Arial"/>
          <w:kern w:val="2"/>
          <w:lang w:eastAsia="es-ES_tradnl"/>
          <w14:ligatures w14:val="standardContextual"/>
        </w:rPr>
        <w:t xml:space="preserve">n principio, las </w:t>
      </w:r>
      <w:r>
        <w:rPr>
          <w:rFonts w:ascii="Verdana" w:eastAsia="Calibri" w:hAnsi="Verdana" w:cs="Arial"/>
          <w:kern w:val="2"/>
          <w:lang w:eastAsia="es-ES_tradnl"/>
          <w14:ligatures w14:val="standardContextual"/>
        </w:rPr>
        <w:t>C</w:t>
      </w:r>
      <w:r w:rsidRPr="00A06941">
        <w:rPr>
          <w:rFonts w:ascii="Verdana" w:eastAsia="Calibri" w:hAnsi="Verdana" w:cs="Arial"/>
          <w:kern w:val="2"/>
          <w:lang w:eastAsia="es-ES_tradnl"/>
          <w14:ligatures w14:val="standardContextual"/>
        </w:rPr>
        <w:t xml:space="preserve">ajas de </w:t>
      </w:r>
      <w:r>
        <w:rPr>
          <w:rFonts w:ascii="Verdana" w:eastAsia="Calibri" w:hAnsi="Verdana" w:cs="Arial"/>
          <w:kern w:val="2"/>
          <w:lang w:eastAsia="es-ES_tradnl"/>
          <w14:ligatures w14:val="standardContextual"/>
        </w:rPr>
        <w:t>C</w:t>
      </w:r>
      <w:r w:rsidRPr="00A06941">
        <w:rPr>
          <w:rFonts w:ascii="Verdana" w:eastAsia="Calibri" w:hAnsi="Verdana" w:cs="Arial"/>
          <w:kern w:val="2"/>
          <w:lang w:eastAsia="es-ES_tradnl"/>
          <w14:ligatures w14:val="standardContextual"/>
        </w:rPr>
        <w:t xml:space="preserve">ompensación </w:t>
      </w:r>
      <w:r>
        <w:rPr>
          <w:rFonts w:ascii="Verdana" w:eastAsia="Calibri" w:hAnsi="Verdana" w:cs="Arial"/>
          <w:kern w:val="2"/>
          <w:lang w:eastAsia="es-ES_tradnl"/>
          <w14:ligatures w14:val="standardContextual"/>
        </w:rPr>
        <w:t>F</w:t>
      </w:r>
      <w:r w:rsidRPr="00A06941">
        <w:rPr>
          <w:rFonts w:ascii="Verdana" w:eastAsia="Calibri" w:hAnsi="Verdana" w:cs="Arial"/>
          <w:kern w:val="2"/>
          <w:lang w:eastAsia="es-ES_tradnl"/>
          <w14:ligatures w14:val="standardContextual"/>
        </w:rPr>
        <w:t xml:space="preserve">amiliar no </w:t>
      </w:r>
      <w:r>
        <w:rPr>
          <w:rFonts w:ascii="Verdana" w:eastAsia="Calibri" w:hAnsi="Verdana" w:cs="Arial"/>
          <w:kern w:val="2"/>
          <w:lang w:eastAsia="es-ES_tradnl"/>
          <w14:ligatures w14:val="standardContextual"/>
        </w:rPr>
        <w:t xml:space="preserve">son </w:t>
      </w:r>
      <w:r w:rsidRPr="00A06941">
        <w:rPr>
          <w:rFonts w:ascii="Verdana" w:eastAsia="Calibri" w:hAnsi="Verdana" w:cs="Arial"/>
          <w:kern w:val="2"/>
          <w:lang w:eastAsia="es-ES_tradnl"/>
          <w14:ligatures w14:val="standardContextual"/>
        </w:rPr>
        <w:t>entidades estatales, esta circunstancia no las excluye de participar en procesos de con</w:t>
      </w:r>
      <w:r>
        <w:rPr>
          <w:rFonts w:ascii="Verdana" w:eastAsia="Calibri" w:hAnsi="Verdana" w:cs="Arial"/>
          <w:kern w:val="2"/>
          <w:lang w:eastAsia="es-ES_tradnl"/>
          <w14:ligatures w14:val="standardContextual"/>
        </w:rPr>
        <w:t>tratación pública. En tales eventos</w:t>
      </w:r>
      <w:r w:rsidRPr="00A06941">
        <w:rPr>
          <w:rFonts w:ascii="Verdana" w:eastAsia="Calibri" w:hAnsi="Verdana" w:cs="Arial"/>
          <w:kern w:val="2"/>
          <w:lang w:eastAsia="es-ES_tradnl"/>
          <w14:ligatures w14:val="standardContextual"/>
        </w:rPr>
        <w:t xml:space="preserve">, actúan como organizaciones de naturaleza privada que prestan servicios y concurren al mercado en igualdad de condiciones frente a otros oferentes, sin prerrogativas derivadas del régimen público. En consecuencia, pueden presentarse como proponentes u oferentes en los distintos procedimientos de selección previstos en el Estatuto General de Contratación de la Administración Pública, tales como la licitación pública, la selección abreviada, la mínima cuantía, entre otros, </w:t>
      </w:r>
      <w:r>
        <w:rPr>
          <w:rFonts w:ascii="Verdana" w:eastAsia="Calibri" w:hAnsi="Verdana" w:cs="Arial"/>
          <w:kern w:val="2"/>
          <w:lang w:eastAsia="es-ES_tradnl"/>
          <w14:ligatures w14:val="standardContextual"/>
        </w:rPr>
        <w:t xml:space="preserve">con la condición de que </w:t>
      </w:r>
      <w:r w:rsidRPr="00A06941">
        <w:rPr>
          <w:rFonts w:ascii="Verdana" w:eastAsia="Calibri" w:hAnsi="Verdana" w:cs="Arial"/>
          <w:kern w:val="2"/>
          <w:lang w:eastAsia="es-ES_tradnl"/>
          <w14:ligatures w14:val="standardContextual"/>
        </w:rPr>
        <w:t>su objeto social guarde relación directa con el objeto contractual y cumplan los requisitos legales y técnicos exigidos en cada proceso.</w:t>
      </w:r>
    </w:p>
    <w:p w14:paraId="5A20C4A7" w14:textId="77777777" w:rsidR="00AC73F2" w:rsidRPr="00A06941" w:rsidRDefault="00AC73F2" w:rsidP="00AC73F2">
      <w:pPr>
        <w:spacing w:after="0" w:line="276" w:lineRule="auto"/>
        <w:ind w:firstLine="709"/>
        <w:jc w:val="both"/>
        <w:rPr>
          <w:rFonts w:ascii="Verdana" w:eastAsia="Calibri" w:hAnsi="Verdana" w:cs="Arial"/>
          <w:kern w:val="2"/>
          <w:lang w:eastAsia="es-ES_tradnl"/>
          <w14:ligatures w14:val="standardContextual"/>
        </w:rPr>
      </w:pPr>
      <w:r>
        <w:rPr>
          <w:rFonts w:ascii="Verdana" w:eastAsia="Calibri" w:hAnsi="Verdana" w:cs="Arial"/>
          <w:kern w:val="2"/>
          <w:lang w:eastAsia="es-ES_tradnl"/>
          <w14:ligatures w14:val="standardContextual"/>
        </w:rPr>
        <w:t xml:space="preserve">Así mismo, las </w:t>
      </w:r>
      <w:r w:rsidRPr="00A06941">
        <w:rPr>
          <w:rFonts w:ascii="Verdana" w:eastAsia="Calibri" w:hAnsi="Verdana" w:cs="Arial"/>
          <w:kern w:val="2"/>
          <w:lang w:eastAsia="es-ES_tradnl"/>
          <w14:ligatures w14:val="standardContextual"/>
        </w:rPr>
        <w:t xml:space="preserve">cajas de compensación familiar pueden participar en esquemas de contratación especial previstos para entidades sin ánimo de </w:t>
      </w:r>
      <w:r>
        <w:rPr>
          <w:rFonts w:ascii="Verdana" w:eastAsia="Calibri" w:hAnsi="Verdana" w:cs="Arial"/>
          <w:kern w:val="2"/>
          <w:lang w:eastAsia="es-ES_tradnl"/>
          <w14:ligatures w14:val="standardContextual"/>
        </w:rPr>
        <w:t>lucro, en especial,</w:t>
      </w:r>
      <w:r w:rsidRPr="00A06941">
        <w:rPr>
          <w:rFonts w:ascii="Verdana" w:eastAsia="Calibri" w:hAnsi="Verdana" w:cs="Arial"/>
          <w:kern w:val="2"/>
          <w:lang w:eastAsia="es-ES_tradnl"/>
          <w14:ligatures w14:val="standardContextual"/>
        </w:rPr>
        <w:t xml:space="preserve"> aquellos regulados por el artículo 355 de la Constitución Política y el Decreto 092 de 2017. En este contexto, su vinculación resulta viable en la medida en que se demuestre que cumplen las condiciones sustanciales y fo</w:t>
      </w:r>
      <w:r>
        <w:rPr>
          <w:rFonts w:ascii="Verdana" w:eastAsia="Calibri" w:hAnsi="Verdana" w:cs="Arial"/>
          <w:kern w:val="2"/>
          <w:lang w:eastAsia="es-ES_tradnl"/>
          <w14:ligatures w14:val="standardContextual"/>
        </w:rPr>
        <w:t>rmales exigidas por el régimen dispuesto en el Decreto 092 de 2017</w:t>
      </w:r>
      <w:r w:rsidRPr="00A06941">
        <w:rPr>
          <w:rFonts w:ascii="Verdana" w:eastAsia="Calibri" w:hAnsi="Verdana" w:cs="Arial"/>
          <w:kern w:val="2"/>
          <w:lang w:eastAsia="es-ES_tradnl"/>
          <w14:ligatures w14:val="standardContextual"/>
        </w:rPr>
        <w:t>.</w:t>
      </w:r>
    </w:p>
    <w:p w14:paraId="3625296A" w14:textId="77777777" w:rsidR="00AC73F2" w:rsidRPr="00695B4F" w:rsidRDefault="00AC73F2" w:rsidP="00AC73F2">
      <w:pPr>
        <w:spacing w:after="0" w:line="276" w:lineRule="auto"/>
        <w:jc w:val="both"/>
        <w:rPr>
          <w:rFonts w:ascii="Verdana" w:eastAsia="Calibri" w:hAnsi="Verdana" w:cs="Arial"/>
          <w:kern w:val="2"/>
          <w:lang w:eastAsia="es-ES_tradnl"/>
          <w14:ligatures w14:val="standardContextual"/>
        </w:rPr>
      </w:pPr>
    </w:p>
    <w:p w14:paraId="4AB28CD1" w14:textId="77777777" w:rsidR="00AC73F2" w:rsidRPr="00983DCD" w:rsidRDefault="00AC73F2" w:rsidP="00AC73F2">
      <w:pPr>
        <w:spacing w:after="120" w:line="276" w:lineRule="auto"/>
        <w:jc w:val="both"/>
        <w:rPr>
          <w:rFonts w:ascii="Verdana" w:eastAsia="Arial" w:hAnsi="Verdana" w:cs="Arial"/>
          <w:bCs/>
          <w:color w:val="000000" w:themeColor="text1"/>
        </w:rPr>
      </w:pPr>
      <w:r>
        <w:rPr>
          <w:rFonts w:ascii="Verdana" w:eastAsia="Calibri" w:hAnsi="Verdana" w:cs="Arial"/>
          <w:bCs/>
          <w:color w:val="000000" w:themeColor="text1"/>
        </w:rPr>
        <w:t>v</w:t>
      </w:r>
      <w:r w:rsidRPr="00983DCD">
        <w:rPr>
          <w:rFonts w:ascii="Verdana" w:eastAsia="Calibri" w:hAnsi="Verdana" w:cs="Arial"/>
          <w:bCs/>
          <w:color w:val="000000" w:themeColor="text1"/>
        </w:rPr>
        <w:t>. 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ED10871" w14:textId="77777777" w:rsidR="00AC73F2" w:rsidRPr="00983DCD" w:rsidRDefault="00AC73F2" w:rsidP="00AC73F2">
      <w:pPr>
        <w:spacing w:after="0" w:line="276" w:lineRule="auto"/>
        <w:ind w:firstLine="708"/>
        <w:jc w:val="both"/>
        <w:rPr>
          <w:rFonts w:ascii="Verdana" w:hAnsi="Verdana" w:cs="Arial"/>
          <w:color w:val="000000" w:themeColor="text1"/>
        </w:rPr>
      </w:pPr>
      <w:r w:rsidRPr="00983DC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w:t>
      </w:r>
      <w:r w:rsidRPr="00983DCD">
        <w:rPr>
          <w:rFonts w:ascii="Verdana" w:eastAsia="Calibri" w:hAnsi="Verdana" w:cs="Arial"/>
          <w:bCs/>
          <w:color w:val="000000" w:themeColor="text1"/>
        </w:rPr>
        <w:lastRenderedPageBreak/>
        <w:t>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43D9AB5" w14:textId="77777777" w:rsidR="00AC73F2" w:rsidRPr="00983DCD" w:rsidRDefault="00AC73F2" w:rsidP="00AC73F2">
      <w:pPr>
        <w:tabs>
          <w:tab w:val="left" w:pos="142"/>
          <w:tab w:val="left" w:pos="284"/>
        </w:tabs>
        <w:spacing w:after="0" w:line="240" w:lineRule="auto"/>
        <w:jc w:val="both"/>
        <w:rPr>
          <w:rFonts w:ascii="Verdana" w:eastAsia="Century Gothic" w:hAnsi="Verdana" w:cs="Century Gothic"/>
          <w:b/>
          <w:bCs/>
          <w:lang w:val="es-ES"/>
        </w:rPr>
      </w:pPr>
    </w:p>
    <w:p w14:paraId="7A6512C7" w14:textId="77777777" w:rsidR="00AC73F2" w:rsidRPr="00983DCD" w:rsidRDefault="00AC73F2" w:rsidP="00AC73F2">
      <w:pPr>
        <w:tabs>
          <w:tab w:val="left" w:pos="142"/>
          <w:tab w:val="left" w:pos="284"/>
        </w:tabs>
        <w:spacing w:after="0" w:line="240" w:lineRule="auto"/>
        <w:jc w:val="both"/>
        <w:rPr>
          <w:rFonts w:ascii="Verdana" w:eastAsia="Century Gothic" w:hAnsi="Verdana" w:cs="Century Gothic"/>
          <w:b/>
          <w:bCs/>
          <w:lang w:val="es-ES"/>
        </w:rPr>
      </w:pPr>
      <w:r>
        <w:rPr>
          <w:rFonts w:ascii="Verdana" w:eastAsia="Century Gothic" w:hAnsi="Verdana" w:cs="Century Gothic"/>
          <w:b/>
          <w:bCs/>
          <w:lang w:val="es-ES"/>
        </w:rPr>
        <w:t>IV. Referencias normativas</w:t>
      </w:r>
      <w:r w:rsidRPr="00983DCD">
        <w:rPr>
          <w:rFonts w:ascii="Verdana" w:eastAsia="Century Gothic" w:hAnsi="Verdana" w:cs="Century Gothic"/>
          <w:b/>
          <w:bCs/>
          <w:lang w:val="es-ES"/>
        </w:rPr>
        <w:t>:</w:t>
      </w:r>
    </w:p>
    <w:p w14:paraId="128E5468" w14:textId="77777777" w:rsidR="00AC73F2" w:rsidRPr="00983DCD" w:rsidRDefault="00AC73F2" w:rsidP="00AC73F2">
      <w:pPr>
        <w:widowControl w:val="0"/>
        <w:autoSpaceDE w:val="0"/>
        <w:autoSpaceDN w:val="0"/>
        <w:spacing w:after="0" w:line="240" w:lineRule="auto"/>
        <w:jc w:val="both"/>
        <w:rPr>
          <w:rFonts w:ascii="Verdana" w:eastAsia="Times New Roman" w:hAnsi="Verdana" w:cs="Arial"/>
          <w:lang w:eastAsia="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73F2" w:rsidRPr="00983DCD" w14:paraId="210CECC4" w14:textId="77777777" w:rsidTr="004B22BF">
        <w:trPr>
          <w:trHeight w:val="870"/>
        </w:trPr>
        <w:tc>
          <w:tcPr>
            <w:tcW w:w="8647" w:type="dxa"/>
          </w:tcPr>
          <w:p w14:paraId="7948D3D9" w14:textId="77777777" w:rsidR="00AC73F2" w:rsidRPr="005F0988" w:rsidRDefault="00AC73F2" w:rsidP="00AC73F2">
            <w:pPr>
              <w:numPr>
                <w:ilvl w:val="0"/>
                <w:numId w:val="33"/>
              </w:numPr>
              <w:spacing w:before="120" w:after="120" w:line="276" w:lineRule="auto"/>
              <w:jc w:val="both"/>
              <w:rPr>
                <w:rFonts w:ascii="Verdana" w:hAnsi="Verdana" w:cs="Arial"/>
                <w:color w:val="000000"/>
              </w:rPr>
            </w:pPr>
            <w:r w:rsidRPr="005F0988">
              <w:rPr>
                <w:rFonts w:ascii="Verdana" w:hAnsi="Verdana" w:cs="Arial"/>
                <w:color w:val="000000"/>
              </w:rPr>
              <w:t>Constitución Política de 199</w:t>
            </w:r>
            <w:r>
              <w:rPr>
                <w:rFonts w:ascii="Verdana" w:hAnsi="Verdana" w:cs="Arial"/>
                <w:color w:val="000000"/>
              </w:rPr>
              <w:t>1, artículos 209, 210 y 355</w:t>
            </w:r>
            <w:r w:rsidRPr="005F0988">
              <w:rPr>
                <w:rFonts w:ascii="Verdana" w:hAnsi="Verdana" w:cs="Arial"/>
                <w:color w:val="000000"/>
              </w:rPr>
              <w:t>.</w:t>
            </w:r>
          </w:p>
          <w:p w14:paraId="79F42344" w14:textId="77777777" w:rsidR="00AC73F2" w:rsidRPr="001F08F8" w:rsidRDefault="00AC73F2" w:rsidP="00AC73F2">
            <w:pPr>
              <w:numPr>
                <w:ilvl w:val="0"/>
                <w:numId w:val="33"/>
              </w:numPr>
              <w:spacing w:before="120" w:after="120" w:line="276" w:lineRule="auto"/>
              <w:jc w:val="both"/>
              <w:rPr>
                <w:rFonts w:ascii="Verdana" w:hAnsi="Verdana" w:cs="Arial"/>
                <w:color w:val="000000"/>
                <w:lang w:val="es-MX"/>
              </w:rPr>
            </w:pPr>
            <w:r>
              <w:rPr>
                <w:rFonts w:ascii="Verdana" w:hAnsi="Verdana" w:cs="Arial"/>
                <w:color w:val="000000"/>
                <w:lang w:val="es-MX"/>
              </w:rPr>
              <w:t>Código de Comercio, artículo 98.</w:t>
            </w:r>
          </w:p>
          <w:p w14:paraId="25F9D639" w14:textId="77777777" w:rsidR="00AC73F2" w:rsidRPr="001F08F8" w:rsidRDefault="00AC73F2" w:rsidP="00AC73F2">
            <w:pPr>
              <w:numPr>
                <w:ilvl w:val="0"/>
                <w:numId w:val="33"/>
              </w:numPr>
              <w:spacing w:before="120" w:after="120" w:line="276" w:lineRule="auto"/>
              <w:jc w:val="both"/>
              <w:rPr>
                <w:rFonts w:ascii="Verdana" w:hAnsi="Verdana" w:cs="Arial"/>
                <w:color w:val="000000"/>
                <w:lang w:val="es-MX"/>
              </w:rPr>
            </w:pPr>
            <w:r w:rsidRPr="001F08F8">
              <w:rPr>
                <w:rFonts w:ascii="Verdana" w:hAnsi="Verdana" w:cs="Arial"/>
                <w:color w:val="000000"/>
                <w:lang w:val="es-MX"/>
              </w:rPr>
              <w:t xml:space="preserve">Ley 21 de 1982, artículos 7, 11, 12, 15, 41 y 57. </w:t>
            </w:r>
          </w:p>
          <w:p w14:paraId="7C9C1F8C" w14:textId="77777777" w:rsidR="00AC73F2" w:rsidRPr="005F0988" w:rsidRDefault="00AC73F2" w:rsidP="00AC73F2">
            <w:pPr>
              <w:numPr>
                <w:ilvl w:val="0"/>
                <w:numId w:val="33"/>
              </w:numPr>
              <w:spacing w:before="120" w:after="120" w:line="276" w:lineRule="auto"/>
              <w:jc w:val="both"/>
              <w:rPr>
                <w:rFonts w:ascii="Verdana" w:hAnsi="Verdana" w:cs="Arial"/>
                <w:color w:val="000000"/>
              </w:rPr>
            </w:pPr>
            <w:r w:rsidRPr="005F0988">
              <w:rPr>
                <w:rFonts w:ascii="Verdana" w:hAnsi="Verdana" w:cs="Arial"/>
                <w:color w:val="000000"/>
              </w:rPr>
              <w:t xml:space="preserve">Ley 80 de 1993, artículos 2, 13, 32 y 40. </w:t>
            </w:r>
          </w:p>
          <w:p w14:paraId="0C732BB5" w14:textId="77777777" w:rsidR="00AC73F2" w:rsidRPr="001F08F8" w:rsidRDefault="00AC73F2" w:rsidP="00AC73F2">
            <w:pPr>
              <w:numPr>
                <w:ilvl w:val="0"/>
                <w:numId w:val="33"/>
              </w:numPr>
              <w:spacing w:before="120" w:after="120" w:line="276" w:lineRule="auto"/>
              <w:jc w:val="both"/>
              <w:rPr>
                <w:rFonts w:ascii="Verdana" w:hAnsi="Verdana" w:cs="Arial"/>
                <w:color w:val="000000"/>
              </w:rPr>
            </w:pPr>
            <w:r w:rsidRPr="001F08F8">
              <w:rPr>
                <w:rFonts w:ascii="Verdana" w:hAnsi="Verdana" w:cs="Arial"/>
                <w:color w:val="000000"/>
              </w:rPr>
              <w:t>Decreto 111 de 1996, artículo 110.</w:t>
            </w:r>
          </w:p>
          <w:p w14:paraId="39607D52" w14:textId="77777777" w:rsidR="00AC73F2" w:rsidRPr="005F0988" w:rsidRDefault="00AC73F2" w:rsidP="00AC73F2">
            <w:pPr>
              <w:numPr>
                <w:ilvl w:val="0"/>
                <w:numId w:val="33"/>
              </w:numPr>
              <w:spacing w:before="120" w:after="120" w:line="276" w:lineRule="auto"/>
              <w:jc w:val="both"/>
              <w:rPr>
                <w:rFonts w:ascii="Verdana" w:hAnsi="Verdana" w:cs="Arial"/>
                <w:color w:val="000000"/>
              </w:rPr>
            </w:pPr>
            <w:r w:rsidRPr="005F0988">
              <w:rPr>
                <w:rFonts w:ascii="Verdana" w:hAnsi="Verdana" w:cs="Arial"/>
                <w:color w:val="000000"/>
              </w:rPr>
              <w:t>Ley 489 de 1998, artículos</w:t>
            </w:r>
            <w:r>
              <w:rPr>
                <w:rFonts w:ascii="Verdana" w:hAnsi="Verdana" w:cs="Arial"/>
                <w:color w:val="000000"/>
              </w:rPr>
              <w:t xml:space="preserve"> 96,</w:t>
            </w:r>
            <w:r w:rsidRPr="005F0988">
              <w:rPr>
                <w:rFonts w:ascii="Verdana" w:hAnsi="Verdana" w:cs="Arial"/>
                <w:color w:val="000000"/>
              </w:rPr>
              <w:t xml:space="preserve"> 110 a 114.</w:t>
            </w:r>
          </w:p>
          <w:p w14:paraId="45B47FF7" w14:textId="77777777" w:rsidR="00AC73F2" w:rsidRPr="001F08F8" w:rsidRDefault="00AC73F2" w:rsidP="00AC73F2">
            <w:pPr>
              <w:numPr>
                <w:ilvl w:val="0"/>
                <w:numId w:val="33"/>
              </w:numPr>
              <w:spacing w:before="120" w:after="120" w:line="276" w:lineRule="auto"/>
              <w:ind w:left="799" w:hanging="357"/>
              <w:jc w:val="both"/>
              <w:rPr>
                <w:rFonts w:ascii="Verdana" w:hAnsi="Verdana" w:cs="Arial"/>
                <w:color w:val="000000"/>
                <w:lang w:val="es-MX"/>
              </w:rPr>
            </w:pPr>
            <w:r>
              <w:rPr>
                <w:rFonts w:ascii="Verdana" w:hAnsi="Verdana" w:cs="Arial"/>
                <w:color w:val="000000"/>
                <w:lang w:val="es-MX"/>
              </w:rPr>
              <w:t xml:space="preserve">Ley 1150 de 2007, artículo 2. </w:t>
            </w:r>
          </w:p>
          <w:p w14:paraId="389E0404" w14:textId="77777777" w:rsidR="00AC73F2" w:rsidRPr="001F08F8" w:rsidRDefault="00AC73F2" w:rsidP="00AC73F2">
            <w:pPr>
              <w:numPr>
                <w:ilvl w:val="0"/>
                <w:numId w:val="33"/>
              </w:numPr>
              <w:spacing w:before="120" w:after="120" w:line="276" w:lineRule="auto"/>
              <w:ind w:left="799" w:hanging="357"/>
              <w:jc w:val="both"/>
              <w:rPr>
                <w:rFonts w:ascii="Verdana" w:hAnsi="Verdana" w:cs="Arial"/>
                <w:color w:val="000000"/>
                <w:lang w:val="es-MX"/>
              </w:rPr>
            </w:pPr>
            <w:r w:rsidRPr="00983DCD">
              <w:rPr>
                <w:rFonts w:ascii="Verdana" w:hAnsi="Verdana" w:cs="Arial"/>
                <w:color w:val="000000"/>
              </w:rPr>
              <w:t>Decreto 1072 de 2015, artículos 2.2.7.5.3.2, 2.2.7.2.1.7 y 2.2.7.2.1.8.</w:t>
            </w:r>
          </w:p>
        </w:tc>
      </w:tr>
    </w:tbl>
    <w:p w14:paraId="07E3D07B" w14:textId="77777777" w:rsidR="00AC73F2" w:rsidRPr="001F08F8" w:rsidRDefault="00AC73F2" w:rsidP="00AC73F2">
      <w:pPr>
        <w:widowControl w:val="0"/>
        <w:autoSpaceDE w:val="0"/>
        <w:autoSpaceDN w:val="0"/>
        <w:spacing w:after="0" w:line="240" w:lineRule="auto"/>
        <w:jc w:val="both"/>
        <w:rPr>
          <w:rFonts w:ascii="Verdana" w:eastAsia="Times New Roman" w:hAnsi="Verdana" w:cs="Arial"/>
          <w:lang w:eastAsia="es-ES_tradnl"/>
        </w:rPr>
      </w:pPr>
    </w:p>
    <w:p w14:paraId="49C1B7C7" w14:textId="77777777" w:rsidR="00AC73F2" w:rsidRPr="001F08F8" w:rsidRDefault="00AC73F2" w:rsidP="00AC73F2">
      <w:pPr>
        <w:tabs>
          <w:tab w:val="left" w:pos="142"/>
          <w:tab w:val="left" w:pos="284"/>
        </w:tabs>
        <w:spacing w:after="0" w:line="240" w:lineRule="auto"/>
        <w:jc w:val="both"/>
        <w:rPr>
          <w:rFonts w:ascii="Verdana" w:eastAsia="Century Gothic" w:hAnsi="Verdana" w:cs="Century Gothic"/>
          <w:b/>
          <w:bCs/>
          <w:lang w:eastAsia="es-ES_tradnl"/>
        </w:rPr>
      </w:pPr>
      <w:r w:rsidRPr="001F08F8">
        <w:rPr>
          <w:rFonts w:ascii="Verdana" w:eastAsia="Century Gothic" w:hAnsi="Verdana" w:cs="Century Gothic"/>
          <w:b/>
          <w:bCs/>
          <w:lang w:eastAsia="es-ES_tradnl"/>
        </w:rPr>
        <w:t>V. Doctrina de la Agencia Nacional de Contratación Pública:</w:t>
      </w:r>
    </w:p>
    <w:p w14:paraId="27B436DE" w14:textId="77777777" w:rsidR="00AC73F2" w:rsidRPr="001F08F8" w:rsidRDefault="00AC73F2" w:rsidP="00AC73F2">
      <w:pPr>
        <w:widowControl w:val="0"/>
        <w:autoSpaceDE w:val="0"/>
        <w:autoSpaceDN w:val="0"/>
        <w:spacing w:after="0" w:line="240" w:lineRule="auto"/>
        <w:jc w:val="both"/>
        <w:rPr>
          <w:rFonts w:ascii="Verdana" w:eastAsia="Times New Roman" w:hAnsi="Verdana" w:cs="Arial"/>
          <w:color w:val="FF0000"/>
          <w:shd w:val="clear" w:color="auto" w:fill="FFFFFF"/>
          <w:lang w:val="es-ES" w:eastAsia="es-ES_tradnl"/>
        </w:rPr>
      </w:pPr>
    </w:p>
    <w:p w14:paraId="47A9B9DD" w14:textId="77777777" w:rsidR="00AC73F2" w:rsidRPr="00983DCD" w:rsidRDefault="00AC73F2" w:rsidP="00AC73F2">
      <w:pPr>
        <w:widowControl w:val="0"/>
        <w:autoSpaceDE w:val="0"/>
        <w:autoSpaceDN w:val="0"/>
        <w:spacing w:after="0" w:line="276" w:lineRule="auto"/>
        <w:jc w:val="both"/>
        <w:rPr>
          <w:rFonts w:ascii="Verdana" w:hAnsi="Verdana" w:cs="Arial"/>
          <w:shd w:val="clear" w:color="auto" w:fill="FFFFFF"/>
        </w:rPr>
      </w:pPr>
      <w:r w:rsidRPr="00983DCD">
        <w:rPr>
          <w:rFonts w:ascii="Verdana" w:eastAsia="Calibri" w:hAnsi="Verdana" w:cs="Times New Roman"/>
          <w:lang w:val="es-ES"/>
        </w:rPr>
        <w:t xml:space="preserve">En torno a las Cajas de Compensación Familiar se han expedido los conceptos C-294 de 2025, C-778 de 2025, C-866 de 2025 y C-908 de 2025, </w:t>
      </w:r>
      <w:r>
        <w:rPr>
          <w:rFonts w:ascii="Verdana" w:eastAsia="Calibri" w:hAnsi="Verdana" w:cs="Times New Roman"/>
          <w:lang w:val="es-ES"/>
        </w:rPr>
        <w:t>C-029 del 13 de febrero de 2026, entre otros</w:t>
      </w:r>
      <w:r w:rsidRPr="00983DCD">
        <w:rPr>
          <w:rFonts w:ascii="Verdana" w:eastAsia="Calibri" w:hAnsi="Verdana" w:cs="Times New Roman"/>
          <w:lang w:val="es-ES"/>
        </w:rPr>
        <w:t xml:space="preserve">. </w:t>
      </w:r>
      <w:r w:rsidRPr="00983DC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54C3D9C" w14:textId="77777777" w:rsidR="00AC73F2" w:rsidRPr="00983DCD" w:rsidRDefault="00AC73F2" w:rsidP="00AC73F2">
      <w:pPr>
        <w:spacing w:after="0" w:line="256" w:lineRule="auto"/>
        <w:jc w:val="both"/>
        <w:rPr>
          <w:rFonts w:ascii="Verdana" w:eastAsia="Calibri" w:hAnsi="Verdana" w:cs="Times New Roman"/>
        </w:rPr>
      </w:pPr>
      <w:hyperlink r:id="rId13" w:history="1">
        <w:r w:rsidRPr="00983DCD">
          <w:rPr>
            <w:rFonts w:ascii="Verdana" w:eastAsia="Calibri" w:hAnsi="Verdana" w:cs="Times New Roman"/>
            <w:color w:val="0000FF"/>
            <w:u w:val="single"/>
            <w:lang w:val="es-ES"/>
          </w:rPr>
          <w:t>https://relatoria.colombiacompra.gov.co/busqueda/conceptos</w:t>
        </w:r>
      </w:hyperlink>
      <w:r w:rsidRPr="00983DCD">
        <w:rPr>
          <w:rFonts w:ascii="Verdana" w:eastAsia="Calibri" w:hAnsi="Verdana" w:cs="Times New Roman"/>
        </w:rPr>
        <w:t xml:space="preserve">. </w:t>
      </w:r>
    </w:p>
    <w:p w14:paraId="68E459D8" w14:textId="77777777" w:rsidR="00AC73F2" w:rsidRPr="00983DCD" w:rsidRDefault="00AC73F2" w:rsidP="00AC73F2">
      <w:pPr>
        <w:widowControl w:val="0"/>
        <w:autoSpaceDE w:val="0"/>
        <w:autoSpaceDN w:val="0"/>
        <w:spacing w:after="0" w:line="276" w:lineRule="auto"/>
        <w:jc w:val="both"/>
        <w:rPr>
          <w:rFonts w:ascii="Verdana" w:hAnsi="Verdana" w:cs="Arial"/>
          <w:color w:val="000000" w:themeColor="text1"/>
          <w:shd w:val="clear" w:color="auto" w:fill="FFFFFF"/>
        </w:rPr>
      </w:pPr>
    </w:p>
    <w:p w14:paraId="1B579AF3" w14:textId="77777777" w:rsidR="00AC73F2" w:rsidRPr="000F79AD" w:rsidRDefault="00AC73F2" w:rsidP="00AC73F2">
      <w:pPr>
        <w:spacing w:after="0" w:line="276" w:lineRule="auto"/>
        <w:jc w:val="both"/>
        <w:rPr>
          <w:rFonts w:ascii="Verdana" w:eastAsia="Calibri" w:hAnsi="Verdana" w:cs="Times New Roman"/>
        </w:rPr>
      </w:pPr>
      <w:r w:rsidRPr="000F79AD">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0F79AD">
        <w:rPr>
          <w:rFonts w:ascii="Verdana" w:eastAsia="Calibri" w:hAnsi="Verdana" w:cs="Times New Roman"/>
          <w:b/>
          <w:bCs/>
        </w:rPr>
        <w:t xml:space="preserve">Curso de Contratación Pública Sostenible y Socialmente </w:t>
      </w:r>
      <w:r w:rsidRPr="000F79AD">
        <w:rPr>
          <w:rFonts w:ascii="Verdana" w:eastAsia="Calibri" w:hAnsi="Verdana" w:cs="Times New Roman"/>
          <w:b/>
          <w:bCs/>
        </w:rPr>
        <w:lastRenderedPageBreak/>
        <w:t>Responsable</w:t>
      </w:r>
      <w:r w:rsidRPr="000F79AD">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F79AD">
        <w:rPr>
          <w:rFonts w:ascii="Verdana" w:eastAsia="Calibri" w:hAnsi="Verdana" w:cs="Times New Roman"/>
        </w:rPr>
        <w:br/>
      </w:r>
      <w:hyperlink r:id="rId14" w:tgtFrame="_new" w:history="1">
        <w:r w:rsidRPr="000F79AD">
          <w:rPr>
            <w:rStyle w:val="Hipervnculo"/>
            <w:rFonts w:ascii="Verdana" w:eastAsia="Calibri" w:hAnsi="Verdana" w:cs="Times New Roman"/>
          </w:rPr>
          <w:t>https://formacionvirtual.colombiacompra.gov.co/mod/page/view.php?id=3718</w:t>
        </w:r>
      </w:hyperlink>
    </w:p>
    <w:p w14:paraId="0AE009D6" w14:textId="77777777" w:rsidR="00AC73F2" w:rsidRPr="000F79AD" w:rsidRDefault="00AC73F2" w:rsidP="00AC73F2">
      <w:pPr>
        <w:spacing w:after="0" w:line="276" w:lineRule="auto"/>
        <w:jc w:val="both"/>
        <w:rPr>
          <w:rFonts w:ascii="Verdana" w:eastAsia="Calibri" w:hAnsi="Verdana" w:cs="Times New Roman"/>
        </w:rPr>
      </w:pPr>
    </w:p>
    <w:p w14:paraId="4FE61B00" w14:textId="77777777" w:rsidR="00AC73F2" w:rsidRPr="000F79AD" w:rsidRDefault="00AC73F2" w:rsidP="00AC73F2">
      <w:pPr>
        <w:spacing w:after="0" w:line="276" w:lineRule="auto"/>
        <w:jc w:val="both"/>
        <w:rPr>
          <w:rFonts w:ascii="Verdana" w:eastAsia="Calibri" w:hAnsi="Verdana" w:cs="Times New Roman"/>
        </w:rPr>
      </w:pPr>
      <w:r w:rsidRPr="000F79AD">
        <w:rPr>
          <w:rFonts w:ascii="Verdana" w:eastAsia="Calibri" w:hAnsi="Verdana" w:cs="Times New Roman"/>
        </w:rPr>
        <w:t xml:space="preserve">De otro lado, te contamos que esta Agencia ha da un paso decisivo en la estandarización y modernización del </w:t>
      </w:r>
      <w:r w:rsidRPr="000F79AD">
        <w:rPr>
          <w:rFonts w:ascii="Verdana" w:eastAsia="Calibri" w:hAnsi="Verdana" w:cs="Times New Roman"/>
          <w:b/>
          <w:bCs/>
        </w:rPr>
        <w:t>sector  social</w:t>
      </w:r>
      <w:r w:rsidRPr="000F79AD">
        <w:rPr>
          <w:rFonts w:ascii="Verdana" w:eastAsia="Calibri" w:hAnsi="Verdana" w:cs="Times New Roman"/>
        </w:rPr>
        <w:t xml:space="preserve"> con la expedición de las </w:t>
      </w:r>
      <w:r w:rsidRPr="000F79AD">
        <w:rPr>
          <w:rFonts w:ascii="Verdana" w:eastAsia="Calibri" w:hAnsi="Verdana" w:cs="Times New Roman"/>
          <w:b/>
          <w:bCs/>
        </w:rPr>
        <w:t>Resoluciones 539, 540, 541, 952 y 953 de 2025</w:t>
      </w:r>
      <w:r w:rsidRPr="000F79AD">
        <w:rPr>
          <w:rFonts w:ascii="Verdana" w:eastAsia="Calibri" w:hAnsi="Verdana" w:cs="Times New Roman"/>
        </w:rPr>
        <w:t xml:space="preserve">, </w:t>
      </w:r>
      <w:r w:rsidRPr="000F79AD">
        <w:rPr>
          <w:rFonts w:ascii="Verdana" w:eastAsia="Calibri" w:hAnsi="Verdana" w:cs="Times New Roman"/>
          <w:b/>
          <w:bCs/>
        </w:rPr>
        <w:t>mediante las cuales adoptó Documentos Tipo</w:t>
      </w:r>
      <w:r w:rsidRPr="000F79AD">
        <w:rPr>
          <w:rFonts w:ascii="Verdana" w:eastAsia="Calibri" w:hAnsi="Verdana" w:cs="Times New Roman"/>
        </w:rPr>
        <w:t xml:space="preserve"> para las modalidades de selección de</w:t>
      </w:r>
      <w:r w:rsidRPr="000F79AD">
        <w:rPr>
          <w:rFonts w:ascii="Verdana" w:eastAsia="Calibri" w:hAnsi="Verdana" w:cs="Times New Roman"/>
          <w:b/>
          <w:bCs/>
        </w:rPr>
        <w:t xml:space="preserve"> licitación pública (versión 2), selección abreviada de menor cuantía, mínima cuantía, consultoría e interventoría</w:t>
      </w:r>
      <w:r w:rsidRPr="000F79AD">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F79AD">
          <w:rPr>
            <w:rStyle w:val="Hipervnculo"/>
            <w:rFonts w:ascii="Verdana" w:eastAsia="Calibri" w:hAnsi="Verdana" w:cs="Times New Roman"/>
          </w:rPr>
          <w:t>https://www.colombiacompra.gov.co/normativa-y-relatoria/documentos-tipo</w:t>
        </w:r>
      </w:hyperlink>
    </w:p>
    <w:p w14:paraId="49A6BB0C" w14:textId="77777777" w:rsidR="00AC73F2" w:rsidRPr="000F79AD" w:rsidRDefault="00AC73F2" w:rsidP="00AC73F2">
      <w:pPr>
        <w:spacing w:after="0" w:line="276" w:lineRule="auto"/>
        <w:jc w:val="both"/>
        <w:rPr>
          <w:rFonts w:ascii="Verdana" w:eastAsia="Calibri" w:hAnsi="Verdana" w:cs="Times New Roman"/>
        </w:rPr>
      </w:pPr>
    </w:p>
    <w:p w14:paraId="1C62925B" w14:textId="77777777" w:rsidR="00AC73F2" w:rsidRPr="000F79AD" w:rsidRDefault="00AC73F2" w:rsidP="00AC73F2">
      <w:pPr>
        <w:spacing w:after="0" w:line="276" w:lineRule="auto"/>
        <w:jc w:val="both"/>
        <w:rPr>
          <w:rFonts w:ascii="Verdana" w:eastAsia="Calibri" w:hAnsi="Verdana" w:cs="Times New Roman"/>
        </w:rPr>
      </w:pPr>
      <w:r w:rsidRPr="000F79AD">
        <w:rPr>
          <w:rFonts w:ascii="Verdana" w:eastAsia="Calibri" w:hAnsi="Verdana" w:cs="Times New Roman"/>
        </w:rPr>
        <w:t xml:space="preserve">Si quieres conocer más sobre la aplicación de Documentos Tipo puedes consultar la última versión de la </w:t>
      </w:r>
      <w:r w:rsidRPr="000F79AD">
        <w:rPr>
          <w:rFonts w:ascii="Verdana" w:eastAsia="Calibri" w:hAnsi="Verdana" w:cs="Times New Roman"/>
          <w:b/>
          <w:bCs/>
        </w:rPr>
        <w:t>Guía para la comprensión e implementación de los Documentos Tipo de obra pública de infraestructura de transporte</w:t>
      </w:r>
      <w:r w:rsidRPr="000F79AD">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F79AD">
        <w:rPr>
          <w:rFonts w:ascii="Verdana" w:eastAsia="Calibri" w:hAnsi="Verdana" w:cs="Times New Roman"/>
        </w:rPr>
        <w:br/>
      </w:r>
      <w:hyperlink r:id="rId16" w:tgtFrame="_new" w:history="1">
        <w:r w:rsidRPr="000F79AD">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0C955C1E" w14:textId="77777777" w:rsidR="00AC73F2" w:rsidRPr="000F79AD" w:rsidRDefault="00AC73F2" w:rsidP="00AC73F2">
      <w:pPr>
        <w:spacing w:after="0" w:line="276" w:lineRule="auto"/>
        <w:jc w:val="both"/>
        <w:rPr>
          <w:rFonts w:ascii="Verdana" w:hAnsi="Verdana"/>
        </w:rPr>
      </w:pPr>
    </w:p>
    <w:p w14:paraId="58FBA112" w14:textId="77777777" w:rsidR="00AC73F2" w:rsidRPr="000F79AD" w:rsidRDefault="00AC73F2" w:rsidP="00AC73F2">
      <w:pPr>
        <w:spacing w:after="0" w:line="276" w:lineRule="auto"/>
        <w:jc w:val="both"/>
        <w:rPr>
          <w:rFonts w:ascii="Verdana" w:hAnsi="Verdana"/>
        </w:rPr>
      </w:pPr>
      <w:r w:rsidRPr="000F79A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85F15E4" w14:textId="77777777" w:rsidR="00AC73F2" w:rsidRPr="000F79AD" w:rsidRDefault="00AC73F2" w:rsidP="00AC73F2">
      <w:pPr>
        <w:spacing w:after="0" w:line="276" w:lineRule="auto"/>
        <w:jc w:val="both"/>
        <w:rPr>
          <w:rFonts w:ascii="Verdana" w:hAnsi="Verdana"/>
        </w:rPr>
      </w:pPr>
    </w:p>
    <w:p w14:paraId="02D7AA51" w14:textId="77777777" w:rsidR="00AC73F2" w:rsidRPr="000F79AD" w:rsidRDefault="00AC73F2" w:rsidP="00AC73F2">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0F79AD">
        <w:rPr>
          <w:rFonts w:ascii="Verdana" w:eastAsia="Verdana" w:hAnsi="Verdana" w:cs="Verdana"/>
          <w:lang w:val="es-MX"/>
        </w:rPr>
        <w:t xml:space="preserve">Línea nacional gratuita o servicio a la ciudadanía (Mesa de servicio): </w:t>
      </w:r>
      <w:r w:rsidRPr="000F79AD">
        <w:rPr>
          <w:rStyle w:val="Hipervnculo"/>
          <w:rFonts w:ascii="Verdana" w:hAnsi="Verdana"/>
        </w:rPr>
        <w:t>01800 0520808</w:t>
      </w:r>
    </w:p>
    <w:p w14:paraId="26AD9AC7" w14:textId="77777777" w:rsidR="00AC73F2" w:rsidRPr="000F79AD" w:rsidRDefault="00AC73F2" w:rsidP="00AC73F2">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0F79AD">
        <w:rPr>
          <w:rFonts w:ascii="Verdana" w:eastAsia="Verdana" w:hAnsi="Verdana" w:cs="Verdana"/>
          <w:lang w:val="es-MX"/>
        </w:rPr>
        <w:t>Línea en Bogotá (Mesa de servicio):</w:t>
      </w:r>
      <w:r w:rsidRPr="000F79AD">
        <w:rPr>
          <w:rStyle w:val="Hipervnculo"/>
          <w:rFonts w:ascii="Verdana" w:hAnsi="Verdana"/>
        </w:rPr>
        <w:t>+57 601 7456788</w:t>
      </w:r>
    </w:p>
    <w:p w14:paraId="6D17845B" w14:textId="77777777" w:rsidR="00AC73F2" w:rsidRPr="000F79AD" w:rsidRDefault="00AC73F2" w:rsidP="00AC73F2">
      <w:pPr>
        <w:pStyle w:val="Prrafodelista"/>
        <w:numPr>
          <w:ilvl w:val="0"/>
          <w:numId w:val="15"/>
        </w:numPr>
        <w:spacing w:after="0" w:line="276" w:lineRule="auto"/>
        <w:contextualSpacing w:val="0"/>
        <w:rPr>
          <w:rFonts w:ascii="Verdana" w:eastAsia="Verdana" w:hAnsi="Verdana" w:cs="Verdana"/>
          <w:color w:val="0000FF"/>
          <w:u w:val="single"/>
          <w:lang w:val="es-MX"/>
        </w:rPr>
      </w:pPr>
      <w:r w:rsidRPr="000F79AD">
        <w:rPr>
          <w:rFonts w:ascii="Verdana" w:eastAsia="Verdana" w:hAnsi="Verdana" w:cs="Verdana"/>
          <w:lang w:val="es-MX"/>
        </w:rPr>
        <w:t xml:space="preserve">Correo de radicación de correspondencia: </w:t>
      </w:r>
      <w:hyperlink r:id="rId17">
        <w:r w:rsidRPr="000F79AD">
          <w:rPr>
            <w:rStyle w:val="Hipervnculo"/>
            <w:rFonts w:ascii="Verdana" w:eastAsia="Verdana" w:hAnsi="Verdana" w:cs="Verdana"/>
            <w:lang w:val="es-MX"/>
          </w:rPr>
          <w:t>ventanilladeradicacion@colombiacompra.gov.co</w:t>
        </w:r>
      </w:hyperlink>
    </w:p>
    <w:p w14:paraId="3A3D9384" w14:textId="77777777" w:rsidR="00AC73F2" w:rsidRPr="000F79AD" w:rsidRDefault="00AC73F2" w:rsidP="00AC73F2">
      <w:pPr>
        <w:pStyle w:val="Prrafodelista"/>
        <w:numPr>
          <w:ilvl w:val="0"/>
          <w:numId w:val="15"/>
        </w:numPr>
        <w:spacing w:after="0" w:line="276" w:lineRule="auto"/>
        <w:contextualSpacing w:val="0"/>
        <w:rPr>
          <w:rFonts w:ascii="Verdana" w:eastAsia="Verdana" w:hAnsi="Verdana" w:cs="Verdana"/>
          <w:color w:val="0000FF"/>
          <w:u w:val="single"/>
          <w:lang w:val="es-MX"/>
        </w:rPr>
      </w:pPr>
      <w:r w:rsidRPr="000F79AD">
        <w:rPr>
          <w:rFonts w:ascii="Verdana" w:eastAsia="Verdana" w:hAnsi="Verdana" w:cs="Verdana"/>
        </w:rPr>
        <w:t>Formulario web para</w:t>
      </w:r>
      <w:r w:rsidRPr="000F79AD">
        <w:rPr>
          <w:rFonts w:ascii="Verdana" w:eastAsia="Verdana" w:hAnsi="Verdana" w:cs="Verdana"/>
          <w:lang w:val="es"/>
        </w:rPr>
        <w:t xml:space="preserve"> PQRSD: </w:t>
      </w:r>
      <w:hyperlink r:id="rId18">
        <w:r w:rsidRPr="000F79AD">
          <w:rPr>
            <w:rStyle w:val="Hipervnculo"/>
            <w:rFonts w:ascii="Verdana" w:eastAsia="Verdana" w:hAnsi="Verdana" w:cs="Verdana"/>
            <w:lang w:val="es-MX"/>
          </w:rPr>
          <w:t>https://www.colombiacompra.gov.co/pqrsd/informacion-importante-antes-de-formular-una-pqrsd</w:t>
        </w:r>
      </w:hyperlink>
    </w:p>
    <w:p w14:paraId="6750FD8D" w14:textId="77777777" w:rsidR="00AC73F2" w:rsidRPr="000F79AD" w:rsidRDefault="00AC73F2" w:rsidP="00AC73F2">
      <w:pPr>
        <w:spacing w:after="0" w:line="276" w:lineRule="auto"/>
        <w:ind w:left="720"/>
        <w:jc w:val="both"/>
        <w:rPr>
          <w:rFonts w:ascii="Verdana" w:hAnsi="Verdana"/>
        </w:rPr>
      </w:pPr>
    </w:p>
    <w:p w14:paraId="291BF8D2" w14:textId="77777777" w:rsidR="00AC73F2" w:rsidRPr="000F79AD" w:rsidRDefault="00AC73F2" w:rsidP="00AC73F2">
      <w:pPr>
        <w:spacing w:after="0" w:line="276" w:lineRule="auto"/>
        <w:jc w:val="both"/>
        <w:rPr>
          <w:rFonts w:ascii="Verdana" w:hAnsi="Verdana"/>
        </w:rPr>
      </w:pPr>
      <w:r w:rsidRPr="000F79AD">
        <w:rPr>
          <w:rFonts w:ascii="Verdana" w:hAnsi="Verdana"/>
        </w:rPr>
        <w:t>Evalúa el servicio que ofrece la Agencia por el canal de atención de PQRSD en el siguiente enlace:</w:t>
      </w:r>
      <w:r>
        <w:rPr>
          <w:rFonts w:ascii="Verdana" w:hAnsi="Verdana"/>
        </w:rPr>
        <w:t xml:space="preserve"> </w:t>
      </w:r>
      <w:hyperlink r:id="rId19" w:history="1">
        <w:r w:rsidRPr="000F79AD">
          <w:rPr>
            <w:rStyle w:val="Hipervnculo"/>
            <w:rFonts w:ascii="Verdana" w:hAnsi="Verdana"/>
          </w:rPr>
          <w:t>https://forms.office.com/r/pPHyWVs2SZ</w:t>
        </w:r>
      </w:hyperlink>
      <w:r w:rsidRPr="000F79AD">
        <w:rPr>
          <w:rFonts w:ascii="Verdana" w:hAnsi="Verdana"/>
        </w:rPr>
        <w:t xml:space="preserve"> .¡Ayúdanos a mejorar porque el compromiso es de todos!</w:t>
      </w:r>
    </w:p>
    <w:p w14:paraId="312547AA" w14:textId="77777777" w:rsidR="00AC73F2" w:rsidRPr="000F79AD" w:rsidRDefault="00AC73F2" w:rsidP="00AC73F2">
      <w:pPr>
        <w:spacing w:after="0" w:line="276" w:lineRule="auto"/>
        <w:rPr>
          <w:rFonts w:ascii="Verdana" w:hAnsi="Verdana"/>
        </w:rPr>
      </w:pPr>
    </w:p>
    <w:p w14:paraId="7E3B0126" w14:textId="77777777" w:rsidR="00AC73F2" w:rsidRPr="000F79AD" w:rsidRDefault="00AC73F2" w:rsidP="00AC73F2">
      <w:pPr>
        <w:spacing w:after="0" w:line="276" w:lineRule="auto"/>
        <w:jc w:val="both"/>
        <w:rPr>
          <w:rFonts w:ascii="Verdana" w:hAnsi="Verdana"/>
        </w:rPr>
      </w:pPr>
      <w:r w:rsidRPr="000F79AD">
        <w:rPr>
          <w:rFonts w:ascii="Verdana" w:hAnsi="Verdana"/>
        </w:rPr>
        <w:t xml:space="preserve">Por último, lo invitamos a seguirnos en las redes sociales en las cuales se difunde información institucional: </w:t>
      </w:r>
    </w:p>
    <w:p w14:paraId="38A7F814" w14:textId="77777777" w:rsidR="00AC73F2" w:rsidRPr="000F79AD" w:rsidRDefault="00AC73F2" w:rsidP="00AC73F2">
      <w:pPr>
        <w:spacing w:after="0" w:line="276" w:lineRule="auto"/>
        <w:jc w:val="both"/>
        <w:rPr>
          <w:rFonts w:ascii="Verdana" w:hAnsi="Verdana"/>
        </w:rPr>
      </w:pPr>
    </w:p>
    <w:p w14:paraId="1EE4F90D" w14:textId="77777777" w:rsidR="00AC73F2" w:rsidRPr="000F79AD" w:rsidRDefault="00AC73F2" w:rsidP="00AC73F2">
      <w:pPr>
        <w:spacing w:after="0" w:line="276" w:lineRule="auto"/>
        <w:jc w:val="both"/>
        <w:rPr>
          <w:rFonts w:ascii="Verdana" w:hAnsi="Verdana"/>
        </w:rPr>
      </w:pPr>
      <w:r w:rsidRPr="000F79AD">
        <w:rPr>
          <w:rFonts w:ascii="Verdana" w:hAnsi="Verdana"/>
        </w:rPr>
        <w:t xml:space="preserve">Twitter: </w:t>
      </w:r>
      <w:r w:rsidRPr="000F79AD">
        <w:rPr>
          <w:rStyle w:val="Hipervnculo"/>
          <w:rFonts w:ascii="Verdana" w:hAnsi="Verdana"/>
        </w:rPr>
        <w:t>@colombiacompra</w:t>
      </w:r>
      <w:r w:rsidRPr="000F79AD">
        <w:rPr>
          <w:rFonts w:ascii="Verdana" w:hAnsi="Verdana"/>
        </w:rPr>
        <w:t xml:space="preserve"> </w:t>
      </w:r>
    </w:p>
    <w:p w14:paraId="51331CC5" w14:textId="77777777" w:rsidR="00AC73F2" w:rsidRPr="000F79AD" w:rsidRDefault="00AC73F2" w:rsidP="00AC73F2">
      <w:pPr>
        <w:spacing w:after="0" w:line="276" w:lineRule="auto"/>
        <w:jc w:val="both"/>
        <w:rPr>
          <w:rFonts w:ascii="Verdana" w:hAnsi="Verdana"/>
        </w:rPr>
      </w:pPr>
      <w:r w:rsidRPr="000F79AD">
        <w:rPr>
          <w:rFonts w:ascii="Verdana" w:hAnsi="Verdana"/>
        </w:rPr>
        <w:t xml:space="preserve">Facebook: </w:t>
      </w:r>
      <w:r w:rsidRPr="000F79AD">
        <w:rPr>
          <w:rStyle w:val="Hipervnculo"/>
          <w:rFonts w:ascii="Verdana" w:hAnsi="Verdana"/>
        </w:rPr>
        <w:t>ColombiaCompraEficiente</w:t>
      </w:r>
    </w:p>
    <w:p w14:paraId="30E3A27C" w14:textId="77777777" w:rsidR="00AC73F2" w:rsidRPr="000F79AD" w:rsidRDefault="00AC73F2" w:rsidP="00AC73F2">
      <w:pPr>
        <w:spacing w:after="0" w:line="276" w:lineRule="auto"/>
        <w:jc w:val="both"/>
        <w:rPr>
          <w:rFonts w:ascii="Verdana" w:hAnsi="Verdana"/>
        </w:rPr>
      </w:pPr>
      <w:r w:rsidRPr="000F79AD">
        <w:rPr>
          <w:rFonts w:ascii="Verdana" w:hAnsi="Verdana"/>
        </w:rPr>
        <w:t xml:space="preserve">LinkedIn: </w:t>
      </w:r>
      <w:r w:rsidRPr="000F79AD">
        <w:rPr>
          <w:rStyle w:val="Hipervnculo"/>
          <w:rFonts w:ascii="Verdana" w:hAnsi="Verdana"/>
        </w:rPr>
        <w:t>Agencia Nacional de Contratación Pública - Colombia Compra Eficiente</w:t>
      </w:r>
      <w:r w:rsidRPr="000F79AD">
        <w:rPr>
          <w:rFonts w:ascii="Verdana" w:hAnsi="Verdana"/>
        </w:rPr>
        <w:t xml:space="preserve"> Instagram: </w:t>
      </w:r>
      <w:r w:rsidRPr="000F79AD">
        <w:rPr>
          <w:rStyle w:val="Hipervnculo"/>
          <w:rFonts w:ascii="Verdana" w:hAnsi="Verdana"/>
        </w:rPr>
        <w:t>@colombiacompraeficiente_cce</w:t>
      </w:r>
    </w:p>
    <w:p w14:paraId="27DD3E9F" w14:textId="77777777" w:rsidR="00AC73F2" w:rsidRPr="000F79AD" w:rsidRDefault="00AC73F2" w:rsidP="00AC73F2">
      <w:pPr>
        <w:spacing w:after="0" w:line="276" w:lineRule="auto"/>
        <w:jc w:val="both"/>
        <w:rPr>
          <w:rFonts w:ascii="Verdana" w:hAnsi="Verdana"/>
        </w:rPr>
      </w:pPr>
    </w:p>
    <w:p w14:paraId="6DB82FDA" w14:textId="77777777" w:rsidR="00AC73F2" w:rsidRPr="000F79AD" w:rsidRDefault="00AC73F2" w:rsidP="00AC73F2">
      <w:pPr>
        <w:spacing w:after="0" w:line="276" w:lineRule="auto"/>
        <w:jc w:val="both"/>
        <w:rPr>
          <w:rFonts w:ascii="Verdana" w:eastAsia="Calibri" w:hAnsi="Verdana" w:cs="Times New Roman"/>
          <w:bCs/>
          <w:lang w:val="es-ES_tradnl"/>
        </w:rPr>
      </w:pPr>
      <w:r w:rsidRPr="000F79A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E10B315" w14:textId="77777777" w:rsidR="00AC73F2" w:rsidRPr="000F79AD" w:rsidRDefault="00AC73F2" w:rsidP="00AC73F2">
      <w:pPr>
        <w:spacing w:after="0" w:line="276" w:lineRule="auto"/>
        <w:jc w:val="both"/>
        <w:rPr>
          <w:rFonts w:ascii="Verdana" w:eastAsia="Calibri" w:hAnsi="Verdana" w:cs="Times New Roman"/>
          <w:lang w:val="es-ES_tradnl"/>
        </w:rPr>
      </w:pPr>
    </w:p>
    <w:p w14:paraId="71B31441" w14:textId="77777777" w:rsidR="00AC73F2" w:rsidRDefault="00AC73F2" w:rsidP="00AC73F2">
      <w:pPr>
        <w:spacing w:after="0" w:line="276" w:lineRule="auto"/>
        <w:jc w:val="both"/>
        <w:rPr>
          <w:rFonts w:ascii="Verdana" w:eastAsia="Calibri" w:hAnsi="Verdana" w:cs="Times New Roman"/>
        </w:rPr>
      </w:pPr>
      <w:r w:rsidRPr="000F79AD">
        <w:rPr>
          <w:rFonts w:ascii="Verdana" w:eastAsia="Calibri" w:hAnsi="Verdana" w:cs="Times New Roman"/>
        </w:rPr>
        <w:t>Atentamente,</w:t>
      </w:r>
    </w:p>
    <w:p w14:paraId="7E1CE377" w14:textId="77777777" w:rsidR="00AC73F2" w:rsidRPr="000F79AD" w:rsidRDefault="00AC73F2" w:rsidP="00AC73F2">
      <w:pPr>
        <w:spacing w:after="0" w:line="276" w:lineRule="auto"/>
        <w:jc w:val="both"/>
        <w:rPr>
          <w:rFonts w:ascii="Verdana" w:eastAsia="Calibri" w:hAnsi="Verdana" w:cs="Times New Roman"/>
        </w:rPr>
      </w:pPr>
    </w:p>
    <w:p w14:paraId="354F5520" w14:textId="75748299" w:rsidR="00AC73F2" w:rsidRPr="0060360B" w:rsidRDefault="004F0F13" w:rsidP="00AC73F2">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11C3259D" wp14:editId="36BFFD7D">
            <wp:extent cx="3081591" cy="1143923"/>
            <wp:effectExtent l="0" t="0" r="5080" b="0"/>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142138" cy="1166399"/>
                    </a:xfrm>
                    <a:prstGeom prst="rect">
                      <a:avLst/>
                    </a:prstGeom>
                  </pic:spPr>
                </pic:pic>
              </a:graphicData>
            </a:graphic>
          </wp:inline>
        </w:drawing>
      </w:r>
    </w:p>
    <w:p w14:paraId="3F818112" w14:textId="77777777" w:rsidR="00AC73F2" w:rsidRPr="0060360B" w:rsidRDefault="00AC73F2" w:rsidP="00AC73F2">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C73F2" w:rsidRPr="0060360B" w14:paraId="6B506448" w14:textId="77777777" w:rsidTr="004B22BF">
        <w:trPr>
          <w:trHeight w:val="409"/>
        </w:trPr>
        <w:tc>
          <w:tcPr>
            <w:tcW w:w="817" w:type="dxa"/>
            <w:tcBorders>
              <w:top w:val="nil"/>
              <w:left w:val="nil"/>
              <w:bottom w:val="nil"/>
              <w:right w:val="nil"/>
            </w:tcBorders>
            <w:vAlign w:val="center"/>
            <w:hideMark/>
          </w:tcPr>
          <w:p w14:paraId="66415E36"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lastRenderedPageBreak/>
              <w:t>Elaboró: </w:t>
            </w:r>
          </w:p>
        </w:tc>
        <w:tc>
          <w:tcPr>
            <w:tcW w:w="4937" w:type="dxa"/>
            <w:tcBorders>
              <w:top w:val="nil"/>
              <w:left w:val="nil"/>
              <w:bottom w:val="dotted" w:sz="6" w:space="0" w:color="7F7F7F" w:themeColor="text1" w:themeTint="80"/>
              <w:right w:val="nil"/>
            </w:tcBorders>
            <w:vAlign w:val="center"/>
            <w:hideMark/>
          </w:tcPr>
          <w:p w14:paraId="74C8332D"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José Luis Sánchez Cardona</w:t>
            </w:r>
          </w:p>
          <w:p w14:paraId="3F604553"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w:t>
            </w:r>
          </w:p>
        </w:tc>
      </w:tr>
      <w:tr w:rsidR="00AC73F2" w:rsidRPr="0060360B" w14:paraId="52BFEF9A" w14:textId="77777777" w:rsidTr="004B22BF">
        <w:trPr>
          <w:trHeight w:val="409"/>
        </w:trPr>
        <w:tc>
          <w:tcPr>
            <w:tcW w:w="817" w:type="dxa"/>
            <w:tcBorders>
              <w:top w:val="nil"/>
              <w:left w:val="nil"/>
              <w:bottom w:val="nil"/>
              <w:right w:val="nil"/>
            </w:tcBorders>
            <w:vAlign w:val="center"/>
            <w:hideMark/>
          </w:tcPr>
          <w:p w14:paraId="062403EA"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EB6CEE6"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Diana Lucía Saavedra Castañeda</w:t>
            </w:r>
          </w:p>
          <w:p w14:paraId="362C0B72"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 </w:t>
            </w:r>
          </w:p>
        </w:tc>
      </w:tr>
      <w:tr w:rsidR="00AC73F2" w:rsidRPr="0060360B" w14:paraId="5FD11D68" w14:textId="77777777" w:rsidTr="004B22BF">
        <w:trPr>
          <w:trHeight w:val="389"/>
        </w:trPr>
        <w:tc>
          <w:tcPr>
            <w:tcW w:w="817" w:type="dxa"/>
            <w:tcBorders>
              <w:top w:val="nil"/>
              <w:left w:val="nil"/>
              <w:bottom w:val="nil"/>
              <w:right w:val="nil"/>
            </w:tcBorders>
            <w:vAlign w:val="center"/>
            <w:hideMark/>
          </w:tcPr>
          <w:p w14:paraId="2857C2F6"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9DF0CF1"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Carolina Quintero Gacharná</w:t>
            </w:r>
          </w:p>
          <w:p w14:paraId="0D004E86" w14:textId="77777777" w:rsidR="00AC73F2" w:rsidRPr="0060360B" w:rsidRDefault="00AC73F2" w:rsidP="004B22BF">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Subdirectora de Gestión Contractual ANCP – CCE</w:t>
            </w:r>
          </w:p>
        </w:tc>
      </w:tr>
    </w:tbl>
    <w:p w14:paraId="7461F77E" w14:textId="1CB3F1FE" w:rsidR="00AC73F2" w:rsidRPr="008A2883" w:rsidRDefault="00AC73F2" w:rsidP="00AC73F2"/>
    <w:p w14:paraId="6D609F5F" w14:textId="77777777" w:rsidR="00AC73F2" w:rsidRPr="000E2B93" w:rsidRDefault="00AC73F2" w:rsidP="00AC73F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3C61EC8" w14:textId="6A1B3BE9" w:rsidR="00EB224C" w:rsidRPr="00AC73F2" w:rsidRDefault="00EB224C" w:rsidP="00AC73F2"/>
    <w:sectPr w:rsidR="00EB224C" w:rsidRPr="00AC73F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10D80" w14:textId="77777777" w:rsidR="00314123" w:rsidRDefault="00314123" w:rsidP="004A1847">
      <w:pPr>
        <w:spacing w:after="0" w:line="240" w:lineRule="auto"/>
      </w:pPr>
      <w:r>
        <w:separator/>
      </w:r>
    </w:p>
  </w:endnote>
  <w:endnote w:type="continuationSeparator" w:id="0">
    <w:p w14:paraId="3FD2B602" w14:textId="77777777" w:rsidR="00314123" w:rsidRDefault="003141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IDFont+F1">
    <w:altName w:val="Calibri"/>
    <w:charset w:val="00"/>
    <w:family w:val="auto"/>
    <w:pitch w:val="default"/>
    <w:sig w:usb0="00000003" w:usb1="00000000" w:usb2="00000000" w:usb3="00000000" w:csb0="00000001" w:csb1="00000000"/>
  </w:font>
  <w:font w:name="Palatino-Roman">
    <w:altName w:val="Palatino Linotype"/>
    <w:panose1 w:val="00000000000000000000"/>
    <w:charset w:val="00"/>
    <w:family w:val="roman"/>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9B3C20" w:rsidRDefault="009B3C20">
    <w:pPr>
      <w:pStyle w:val="Piedepgina"/>
    </w:pPr>
  </w:p>
  <w:p w14:paraId="594D6D9F" w14:textId="4115D2AD" w:rsidR="009B3C20" w:rsidRPr="00174B77" w:rsidRDefault="009B3C2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F65E0" w:rsidRPr="005F65E0">
      <w:rPr>
        <w:rFonts w:ascii="Verdana" w:eastAsiaTheme="minorEastAsia" w:hAnsi="Verdana"/>
        <w:b/>
        <w:bCs/>
        <w:noProof/>
        <w:sz w:val="16"/>
        <w:szCs w:val="16"/>
      </w:rPr>
      <w:t>22</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9B3C20" w:rsidRDefault="009B3C2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9B3C20" w:rsidRPr="00E41027" w:rsidRDefault="009B3C2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B3C20" w:rsidRDefault="009B3C20">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C2BB7" w14:textId="77777777" w:rsidR="00314123" w:rsidRDefault="00314123" w:rsidP="004A1847">
      <w:pPr>
        <w:spacing w:after="0" w:line="240" w:lineRule="auto"/>
      </w:pPr>
      <w:r>
        <w:separator/>
      </w:r>
    </w:p>
  </w:footnote>
  <w:footnote w:type="continuationSeparator" w:id="0">
    <w:p w14:paraId="798670AB" w14:textId="77777777" w:rsidR="00314123" w:rsidRDefault="00314123" w:rsidP="004A1847">
      <w:pPr>
        <w:spacing w:after="0" w:line="240" w:lineRule="auto"/>
      </w:pPr>
      <w:r>
        <w:continuationSeparator/>
      </w:r>
    </w:p>
  </w:footnote>
  <w:footnote w:id="1">
    <w:p w14:paraId="55B66507" w14:textId="77777777" w:rsidR="00AC73F2" w:rsidRPr="00211300" w:rsidRDefault="00AC73F2" w:rsidP="00AC73F2">
      <w:pPr>
        <w:pStyle w:val="Textonotapie"/>
        <w:ind w:firstLine="708"/>
        <w:jc w:val="both"/>
        <w:rPr>
          <w:rFonts w:ascii="Verdana" w:hAnsi="Verdana"/>
          <w:sz w:val="16"/>
          <w:szCs w:val="16"/>
        </w:rPr>
      </w:pPr>
      <w:r w:rsidRPr="00211300">
        <w:rPr>
          <w:rStyle w:val="Refdenotaalpie"/>
          <w:rFonts w:ascii="Verdana" w:hAnsi="Verdana"/>
          <w:sz w:val="16"/>
          <w:szCs w:val="16"/>
        </w:rPr>
        <w:footnoteRef/>
      </w:r>
      <w:r w:rsidRPr="00211300">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514E9BE1" w14:textId="77777777" w:rsidR="00AC73F2" w:rsidRPr="00211300" w:rsidRDefault="00AC73F2" w:rsidP="00AC73F2">
      <w:pPr>
        <w:pStyle w:val="Textonotapie"/>
        <w:ind w:firstLine="708"/>
        <w:jc w:val="both"/>
        <w:rPr>
          <w:rFonts w:ascii="Verdana" w:hAnsi="Verdana"/>
          <w:sz w:val="16"/>
          <w:szCs w:val="16"/>
        </w:rPr>
      </w:pPr>
      <w:r w:rsidRPr="00211300">
        <w:rPr>
          <w:rFonts w:ascii="Verdana" w:hAnsi="Verdana"/>
          <w:sz w:val="16"/>
          <w:szCs w:val="16"/>
        </w:rPr>
        <w:t>[…]</w:t>
      </w:r>
    </w:p>
    <w:p w14:paraId="4FBED483" w14:textId="77777777" w:rsidR="00AC73F2" w:rsidRPr="00211300" w:rsidRDefault="00AC73F2" w:rsidP="00AC73F2">
      <w:pPr>
        <w:pStyle w:val="Textonotapie"/>
        <w:ind w:firstLine="708"/>
        <w:jc w:val="both"/>
        <w:rPr>
          <w:rFonts w:ascii="Verdana" w:hAnsi="Verdana"/>
          <w:sz w:val="16"/>
          <w:szCs w:val="16"/>
        </w:rPr>
      </w:pPr>
      <w:r w:rsidRPr="00211300">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66EB9442" w14:textId="77777777" w:rsidR="00AC73F2" w:rsidRPr="00211300" w:rsidRDefault="00AC73F2" w:rsidP="00AC73F2">
      <w:pPr>
        <w:pStyle w:val="Textonotapie"/>
        <w:ind w:firstLine="708"/>
        <w:jc w:val="both"/>
        <w:rPr>
          <w:rFonts w:ascii="Verdana" w:hAnsi="Verdana"/>
          <w:sz w:val="16"/>
          <w:szCs w:val="16"/>
        </w:rPr>
      </w:pPr>
      <w:r w:rsidRPr="00211300">
        <w:rPr>
          <w:rFonts w:ascii="Verdana" w:hAnsi="Verdana"/>
          <w:sz w:val="16"/>
          <w:szCs w:val="16"/>
        </w:rPr>
        <w:t>En todo caso, el Presidente de la República podrá celebrar contratos a nombre de la Nación”.</w:t>
      </w:r>
    </w:p>
  </w:footnote>
  <w:footnote w:id="2">
    <w:p w14:paraId="76A38CAD" w14:textId="77777777" w:rsidR="00AC73F2" w:rsidRPr="00211300" w:rsidRDefault="00AC73F2" w:rsidP="00AC73F2">
      <w:pPr>
        <w:pStyle w:val="Textonotapie"/>
        <w:ind w:right="108" w:firstLine="709"/>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Consejo de Estado. Sección Tercera. Sentencia del 4 de abril de 2002, C.P. Alier E. Hernández Enríquez, Rad. 1999-0290-01 (17.244).</w:t>
      </w:r>
    </w:p>
  </w:footnote>
  <w:footnote w:id="3">
    <w:p w14:paraId="7B58CDD8" w14:textId="77777777" w:rsidR="00AC73F2" w:rsidRPr="00211300" w:rsidRDefault="00AC73F2" w:rsidP="00AC73F2">
      <w:pPr>
        <w:spacing w:line="242" w:lineRule="auto"/>
        <w:ind w:right="108" w:firstLine="709"/>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211300">
        <w:rPr>
          <w:rFonts w:ascii="Verdana" w:hAnsi="Verdana" w:cs="Arial"/>
          <w:spacing w:val="-2"/>
          <w:sz w:val="16"/>
          <w:szCs w:val="16"/>
        </w:rPr>
        <w:t xml:space="preserve"> </w:t>
      </w:r>
      <w:r w:rsidRPr="00211300">
        <w:rPr>
          <w:rFonts w:ascii="Verdana" w:hAnsi="Verdana" w:cs="Arial"/>
          <w:sz w:val="16"/>
          <w:szCs w:val="16"/>
        </w:rPr>
        <w:t xml:space="preserve">estatal”. </w:t>
      </w:r>
    </w:p>
  </w:footnote>
  <w:footnote w:id="4">
    <w:p w14:paraId="18DDC132" w14:textId="77777777" w:rsidR="00AC73F2" w:rsidRPr="00211300" w:rsidRDefault="00AC73F2" w:rsidP="00AC73F2">
      <w:pPr>
        <w:pStyle w:val="Textonotapie"/>
        <w:ind w:firstLine="708"/>
        <w:jc w:val="both"/>
        <w:rPr>
          <w:rFonts w:ascii="Verdana" w:hAnsi="Verdana"/>
          <w:sz w:val="16"/>
          <w:szCs w:val="16"/>
          <w:lang w:val="es-CO"/>
        </w:rPr>
      </w:pPr>
      <w:r w:rsidRPr="00211300">
        <w:rPr>
          <w:rStyle w:val="Refdenotaalpie"/>
          <w:rFonts w:ascii="Verdana" w:hAnsi="Verdana"/>
          <w:sz w:val="16"/>
          <w:szCs w:val="16"/>
        </w:rPr>
        <w:footnoteRef/>
      </w:r>
      <w:r w:rsidRPr="00211300">
        <w:rPr>
          <w:rFonts w:ascii="Verdana" w:hAnsi="Verdana"/>
          <w:sz w:val="16"/>
          <w:szCs w:val="16"/>
        </w:rPr>
        <w:t xml:space="preserve"> </w:t>
      </w:r>
      <w:r w:rsidRPr="00211300">
        <w:rPr>
          <w:rFonts w:ascii="Verdana" w:hAnsi="Verdana" w:cs="Arial"/>
          <w:sz w:val="16"/>
          <w:szCs w:val="16"/>
          <w:lang w:val="es-ES"/>
        </w:rPr>
        <w:t xml:space="preserve">Por ello, “[…] </w:t>
      </w:r>
      <w:r w:rsidRPr="00211300">
        <w:rPr>
          <w:rFonts w:ascii="Verdana" w:hAnsi="Verdana" w:cs="Arial"/>
          <w:sz w:val="16"/>
          <w:szCs w:val="16"/>
        </w:rPr>
        <w:t xml:space="preserve">la clasificación de estatal, respecto de un determinado contrato, no determina, </w:t>
      </w:r>
      <w:r w:rsidRPr="00211300">
        <w:rPr>
          <w:rFonts w:ascii="Verdana" w:hAnsi="Verdana" w:cs="Arial"/>
          <w:i/>
          <w:iCs/>
          <w:sz w:val="16"/>
          <w:szCs w:val="16"/>
        </w:rPr>
        <w:t>per se</w:t>
      </w:r>
      <w:r w:rsidRPr="00211300">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211300">
        <w:rPr>
          <w:rFonts w:ascii="Verdana" w:hAnsi="Verdana" w:cs="Arial"/>
          <w:i/>
          <w:iCs/>
          <w:sz w:val="16"/>
          <w:szCs w:val="16"/>
        </w:rPr>
        <w:t>Ibidem</w:t>
      </w:r>
      <w:r w:rsidRPr="00211300">
        <w:rPr>
          <w:rFonts w:ascii="Verdana" w:hAnsi="Verdana" w:cs="Arial"/>
          <w:sz w:val="16"/>
          <w:szCs w:val="16"/>
        </w:rPr>
        <w:t>).</w:t>
      </w:r>
    </w:p>
  </w:footnote>
  <w:footnote w:id="5">
    <w:p w14:paraId="0E495A08" w14:textId="77777777" w:rsidR="00AC73F2" w:rsidRPr="00C57A00" w:rsidRDefault="00AC73F2" w:rsidP="00AC73F2">
      <w:pPr>
        <w:pStyle w:val="Textonotapie"/>
        <w:ind w:firstLine="709"/>
        <w:jc w:val="both"/>
        <w:rPr>
          <w:rFonts w:ascii="Verdana" w:hAnsi="Verdana" w:cs="Arial"/>
          <w:color w:val="000000"/>
          <w:sz w:val="16"/>
          <w:szCs w:val="16"/>
        </w:rPr>
      </w:pPr>
      <w:r w:rsidRPr="00C57A00">
        <w:rPr>
          <w:rStyle w:val="Refdenotaalpie"/>
          <w:rFonts w:ascii="Verdana" w:hAnsi="Verdana" w:cs="Arial"/>
          <w:color w:val="000000"/>
          <w:sz w:val="16"/>
          <w:szCs w:val="16"/>
        </w:rPr>
        <w:footnoteRef/>
      </w:r>
      <w:r w:rsidRPr="00C57A00">
        <w:rPr>
          <w:rFonts w:ascii="Verdana" w:hAnsi="Verdana" w:cs="Arial"/>
          <w:color w:val="000000"/>
          <w:sz w:val="16"/>
          <w:szCs w:val="16"/>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footnote>
  <w:footnote w:id="6">
    <w:p w14:paraId="2F0FA798" w14:textId="77777777" w:rsidR="00AC73F2" w:rsidRPr="00C57A00" w:rsidRDefault="00AC73F2" w:rsidP="00AC73F2">
      <w:pPr>
        <w:pStyle w:val="Textonotapie"/>
        <w:ind w:firstLine="709"/>
        <w:jc w:val="both"/>
        <w:rPr>
          <w:rFonts w:ascii="Verdana" w:hAnsi="Verdana" w:cs="Arial"/>
          <w:color w:val="000000"/>
          <w:sz w:val="16"/>
          <w:szCs w:val="16"/>
        </w:rPr>
      </w:pPr>
      <w:r w:rsidRPr="00C57A00">
        <w:rPr>
          <w:rStyle w:val="Refdenotaalpie"/>
          <w:rFonts w:ascii="Verdana" w:hAnsi="Verdana" w:cs="Arial"/>
          <w:color w:val="000000"/>
          <w:sz w:val="16"/>
          <w:szCs w:val="16"/>
        </w:rPr>
        <w:footnoteRef/>
      </w:r>
      <w:r w:rsidRPr="00C57A00">
        <w:rPr>
          <w:rFonts w:ascii="Verdana" w:hAnsi="Verdana" w:cs="Arial"/>
          <w:color w:val="000000"/>
          <w:sz w:val="16"/>
          <w:szCs w:val="16"/>
        </w:rPr>
        <w:t xml:space="preserve"> TORRENTE BAYONA, César y BUSTAMANTE, Luis Eduardo. Las entidades sin ánimo de lucro (3ª Ed.). Bogotá: Cámara de Comercio de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069D3F06" w14:textId="77777777" w:rsidR="00AC73F2" w:rsidRPr="00C57A00" w:rsidRDefault="00AC73F2" w:rsidP="00AC73F2">
      <w:pPr>
        <w:pStyle w:val="Textonotapie"/>
        <w:ind w:firstLine="709"/>
        <w:jc w:val="both"/>
        <w:rPr>
          <w:rFonts w:ascii="Verdana" w:hAnsi="Verdana" w:cs="Arial"/>
          <w:color w:val="000000"/>
          <w:sz w:val="16"/>
          <w:szCs w:val="16"/>
        </w:rPr>
      </w:pPr>
      <w:r w:rsidRPr="00C57A00">
        <w:rPr>
          <w:rFonts w:ascii="Verdana" w:hAnsi="Verdana" w:cs="Arial"/>
          <w:color w:val="000000"/>
          <w:sz w:val="16"/>
          <w:szCs w:val="16"/>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7">
    <w:p w14:paraId="5987839F"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Style w:val="Refdenotaalpie"/>
          <w:rFonts w:ascii="Verdana" w:hAnsi="Verdana"/>
          <w:sz w:val="16"/>
          <w:szCs w:val="16"/>
        </w:rPr>
        <w:footnoteRef/>
      </w:r>
      <w:r w:rsidRPr="00C57A00">
        <w:rPr>
          <w:rFonts w:ascii="Verdana" w:hAnsi="Verdana"/>
          <w:sz w:val="16"/>
          <w:szCs w:val="16"/>
        </w:rPr>
        <w:t xml:space="preserve"> </w:t>
      </w:r>
      <w:r w:rsidRPr="001F08F8">
        <w:rPr>
          <w:rStyle w:val="Fuerte"/>
          <w:rFonts w:ascii="Verdana" w:hAnsi="Verdana" w:cs="Arial"/>
          <w:color w:val="000000"/>
          <w:sz w:val="16"/>
          <w:szCs w:val="16"/>
        </w:rPr>
        <w:t>Artículo 41.</w:t>
      </w:r>
      <w:r w:rsidRPr="00C57A00">
        <w:rPr>
          <w:rFonts w:ascii="Verdana" w:hAnsi="Verdana" w:cs="Arial"/>
          <w:b/>
          <w:color w:val="000000"/>
          <w:sz w:val="16"/>
          <w:szCs w:val="16"/>
        </w:rPr>
        <w:t> </w:t>
      </w:r>
      <w:r w:rsidRPr="00C57A00">
        <w:rPr>
          <w:rFonts w:ascii="Verdana" w:hAnsi="Verdana" w:cs="Arial"/>
          <w:color w:val="000000"/>
          <w:sz w:val="16"/>
          <w:szCs w:val="16"/>
        </w:rPr>
        <w:t>Las Cajas de Compensación Familiar tendrán entre otras, las siguientes funciones: </w:t>
      </w:r>
    </w:p>
    <w:p w14:paraId="3ED15EAD"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1º. Recaudar, distribuir y pagar los aportes destinados al subsidio familiar, Servicio Nacional de Aprendizaje (SENA), Escuela Superior de Administración Pública (ESAP), las escuelas industriales y los Institutos Técnicos en los términos y con las modalidades de la ley. </w:t>
      </w:r>
    </w:p>
    <w:p w14:paraId="0129EC9E"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2º. Organizar y administrar las obras y programas que se establezcan para el pago del subsidio familiar en especie o servicios, de acuerdo con lo prescrito en el artículo 62 de la presente Ley. </w:t>
      </w:r>
    </w:p>
    <w:p w14:paraId="40670DBD"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3º. Ejecutar, con otras Cajas, o mediante vinculación con organismos y entidades públicas o privadas que desarrollen actividades de seguridad social, programas de servicios, dentro del orden de prioridades señalado por la ley. </w:t>
      </w:r>
    </w:p>
    <w:p w14:paraId="4C86E92C"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4º. Cumplir con las demás funciones que señale la ley. </w:t>
      </w:r>
    </w:p>
    <w:p w14:paraId="6EAC164C"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1. Ejecutar actividades relacionadas con sus servicios, la protección y la seguridad social directamente, o mediante alianzas estratégicas con otras Cajas de Compensación o a través de entidades especializadas públicas o privadas, conforme las disposiciones que regulen la materia.  </w:t>
      </w:r>
    </w:p>
    <w:p w14:paraId="5AE04F3A"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2. Invertir en los regímenes de salud, riesgos profesionales y pensiones, conforme las reglas y términos del Estatuto Orgánico del Sector Financiero y demás disposiciones que regulen las materias.  </w:t>
      </w:r>
    </w:p>
    <w:p w14:paraId="6A4C5A61"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Las Cajas de Compensación que estén habilitadas para realizar aseguramiento y prestación de servicios de salud y, en general para desarrollar actividades relacionadas con este campo conforme las disposiciones legales vigentes, individual o conjuntamente, continuarán facultadas para el efecto, en forma individual y/o conjunta, de manera opcional para la Caja.  </w:t>
      </w:r>
    </w:p>
    <w:p w14:paraId="0E34342D" w14:textId="77777777" w:rsidR="00AC73F2" w:rsidRPr="00C57A00" w:rsidRDefault="00AC73F2" w:rsidP="00AC73F2">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Las Cajas de Compensación Familiar que no administren directamente los recursos del régimen subsidiado de que trata el artículo 217 de la Ley 100 de 1993 o a través de terceras entidades en que participen como asociados, deberán girarlos, de conformidad con la reglamentación que para tal efecto expida el Gobierno Nacional, teniendo en cuenta las siguientes prioridades: […]</w:t>
      </w:r>
    </w:p>
  </w:footnote>
  <w:footnote w:id="8">
    <w:p w14:paraId="03C25C45" w14:textId="77777777" w:rsidR="00AC73F2" w:rsidRPr="00C57A00" w:rsidRDefault="00AC73F2" w:rsidP="00AC73F2">
      <w:pPr>
        <w:pStyle w:val="Textonotapie"/>
        <w:ind w:firstLine="708"/>
        <w:jc w:val="both"/>
        <w:rPr>
          <w:rFonts w:ascii="Verdana" w:hAnsi="Verdana"/>
          <w:sz w:val="16"/>
          <w:szCs w:val="16"/>
          <w:lang w:val="es-CO"/>
        </w:rPr>
      </w:pPr>
      <w:r w:rsidRPr="00C57A00">
        <w:rPr>
          <w:rStyle w:val="Refdenotaalpie"/>
          <w:rFonts w:ascii="Verdana" w:hAnsi="Verdana"/>
          <w:sz w:val="16"/>
          <w:szCs w:val="16"/>
        </w:rPr>
        <w:footnoteRef/>
      </w:r>
      <w:r w:rsidRPr="00D4350E">
        <w:rPr>
          <w:rFonts w:ascii="Verdana" w:hAnsi="Verdana"/>
          <w:sz w:val="16"/>
          <w:szCs w:val="16"/>
          <w:lang w:val="pt-BR"/>
        </w:rPr>
        <w:t xml:space="preserve"> Corte Constitucional. Sentencia C-508 de 1997. M.P. Vladimiro Naranjo Mesa. </w:t>
      </w:r>
      <w:r w:rsidRPr="00C57A00">
        <w:rPr>
          <w:rFonts w:ascii="Verdana" w:hAnsi="Verdana"/>
          <w:sz w:val="16"/>
          <w:szCs w:val="16"/>
        </w:rPr>
        <w:t xml:space="preserve">En dicha Sentencia se hace un control de constitucionalidad a los artículos </w:t>
      </w:r>
      <w:r w:rsidRPr="00C57A00">
        <w:rPr>
          <w:rFonts w:ascii="Verdana" w:hAnsi="Verdana"/>
          <w:sz w:val="16"/>
          <w:szCs w:val="16"/>
          <w:lang w:val="es-CO"/>
        </w:rPr>
        <w:t xml:space="preserve">73, 74 y 76 (todos parciales) de la Ley 101 de 1993. En torno a las Cajas de Compensación Familiar, se destacan las Sentencias C-1173 de 2001, C-665 de 2003, C-306 de 2022, entre otros. </w:t>
      </w:r>
    </w:p>
  </w:footnote>
  <w:footnote w:id="9">
    <w:p w14:paraId="525A8634" w14:textId="77777777" w:rsidR="00AC73F2" w:rsidRPr="00C57A00" w:rsidRDefault="00AC73F2" w:rsidP="00AC73F2">
      <w:pPr>
        <w:pStyle w:val="Textonotapie"/>
        <w:ind w:firstLine="708"/>
        <w:rPr>
          <w:rFonts w:ascii="Verdana" w:hAnsi="Verdana"/>
          <w:sz w:val="16"/>
          <w:szCs w:val="16"/>
          <w:lang w:val="es-CO"/>
        </w:rPr>
      </w:pPr>
      <w:r w:rsidRPr="00C57A00">
        <w:rPr>
          <w:rStyle w:val="Refdenotaalpie"/>
          <w:rFonts w:ascii="Verdana" w:hAnsi="Verdana"/>
          <w:sz w:val="16"/>
          <w:szCs w:val="16"/>
        </w:rPr>
        <w:footnoteRef/>
      </w:r>
      <w:r w:rsidRPr="00C57A00">
        <w:rPr>
          <w:rFonts w:ascii="Verdana" w:hAnsi="Verdana"/>
          <w:sz w:val="16"/>
          <w:szCs w:val="16"/>
        </w:rPr>
        <w:t xml:space="preserve"> Consejo de Estado, Sala de Consulta y Servicio Civil. Concepto del 15 de agosto de 2006. C.P. Luis Fernando Álvarez Jaramillo. Rad. 1763. </w:t>
      </w:r>
    </w:p>
  </w:footnote>
  <w:footnote w:id="10">
    <w:p w14:paraId="75DB4923" w14:textId="77777777" w:rsidR="00AC73F2" w:rsidRPr="00C57A00" w:rsidRDefault="00AC73F2" w:rsidP="00AC73F2">
      <w:pPr>
        <w:pStyle w:val="Textonotapie"/>
        <w:ind w:firstLine="708"/>
        <w:jc w:val="both"/>
        <w:rPr>
          <w:rFonts w:ascii="Verdana" w:hAnsi="Verdana"/>
          <w:sz w:val="16"/>
          <w:szCs w:val="16"/>
        </w:rPr>
      </w:pPr>
      <w:r w:rsidRPr="00C57A00">
        <w:rPr>
          <w:rStyle w:val="Refdenotaalpie"/>
          <w:rFonts w:ascii="Verdana" w:hAnsi="Verdana"/>
          <w:sz w:val="16"/>
          <w:szCs w:val="16"/>
        </w:rPr>
        <w:footnoteRef/>
      </w:r>
      <w:r w:rsidRPr="00C57A00">
        <w:rPr>
          <w:rFonts w:ascii="Verdana" w:hAnsi="Verdana"/>
          <w:sz w:val="16"/>
          <w:szCs w:val="16"/>
        </w:rPr>
        <w:t xml:space="preserve"> CAÑÓN ORTEGÓN, Leonardo. El Subsidio Familiar y las Cajas de Compensación Familiar en las Políticas Sociales de Colombia. Bogotá: Universidad Externado de Colombia, 2022. p. 190.</w:t>
      </w:r>
    </w:p>
  </w:footnote>
  <w:footnote w:id="11">
    <w:p w14:paraId="7891B228" w14:textId="77777777" w:rsidR="00AC73F2" w:rsidRPr="00C57A00" w:rsidRDefault="00AC73F2" w:rsidP="00AC73F2">
      <w:pPr>
        <w:pStyle w:val="Textonotapie"/>
        <w:ind w:firstLine="709"/>
        <w:jc w:val="both"/>
        <w:rPr>
          <w:rFonts w:ascii="Verdana" w:hAnsi="Verdana" w:cs="Arial"/>
          <w:sz w:val="16"/>
          <w:szCs w:val="16"/>
        </w:rPr>
      </w:pPr>
      <w:r w:rsidRPr="00C57A00">
        <w:rPr>
          <w:rStyle w:val="Refdenotaalpie"/>
          <w:rFonts w:ascii="Verdana" w:hAnsi="Verdana" w:cs="Arial"/>
          <w:sz w:val="16"/>
          <w:szCs w:val="16"/>
        </w:rPr>
        <w:footnoteRef/>
      </w:r>
      <w:r w:rsidRPr="00C57A00">
        <w:rPr>
          <w:rFonts w:ascii="Verdana" w:hAnsi="Verdana" w:cs="Arial"/>
          <w:sz w:val="16"/>
          <w:szCs w:val="16"/>
        </w:rPr>
        <w:t xml:space="preserve"> Consejo de Estado, Sala de Consulta y Servicio Civil. Concepto del 2 de diciembre de 2015. C.P. William Zambrano Centina. Rad. 2267. </w:t>
      </w:r>
    </w:p>
  </w:footnote>
  <w:footnote w:id="12">
    <w:p w14:paraId="086C9ED9" w14:textId="77777777" w:rsidR="00AC73F2" w:rsidRPr="00C57A00" w:rsidRDefault="00AC73F2" w:rsidP="00AC73F2">
      <w:pPr>
        <w:pStyle w:val="Textonotapie"/>
        <w:ind w:firstLine="709"/>
        <w:jc w:val="both"/>
        <w:rPr>
          <w:rFonts w:ascii="Verdana" w:hAnsi="Verdana" w:cs="Arial"/>
          <w:sz w:val="16"/>
          <w:szCs w:val="16"/>
        </w:rPr>
      </w:pPr>
      <w:r w:rsidRPr="00C57A00">
        <w:rPr>
          <w:rStyle w:val="Refdenotaalpie"/>
          <w:rFonts w:ascii="Verdana" w:hAnsi="Verdana" w:cs="Arial"/>
          <w:sz w:val="16"/>
          <w:szCs w:val="16"/>
        </w:rPr>
        <w:footnoteRef/>
      </w:r>
      <w:r w:rsidRPr="00C57A00">
        <w:rPr>
          <w:rFonts w:ascii="Verdana" w:hAnsi="Verdana" w:cs="Arial"/>
          <w:sz w:val="16"/>
          <w:szCs w:val="16"/>
        </w:rPr>
        <w:t xml:space="preserve"> </w:t>
      </w:r>
      <w:r w:rsidRPr="00C57A00">
        <w:rPr>
          <w:rFonts w:ascii="Verdana" w:hAnsi="Verdana" w:cs="Arial"/>
          <w:sz w:val="16"/>
          <w:szCs w:val="16"/>
          <w:lang w:val="es-CO"/>
        </w:rPr>
        <w:t xml:space="preserve">Consejo de Estado, Sala de Consulta y Servicio Civil. Concepto del 15 de agosto de 2006. C.P. Luis Fernando Álvarez Jaramillo. Rad. 1763. </w:t>
      </w:r>
    </w:p>
  </w:footnote>
  <w:footnote w:id="13">
    <w:p w14:paraId="4A16971D" w14:textId="77777777" w:rsidR="00AC73F2" w:rsidRPr="008D462B" w:rsidRDefault="00AC73F2" w:rsidP="00AC73F2">
      <w:pPr>
        <w:pStyle w:val="Textonotapie"/>
        <w:ind w:firstLine="709"/>
        <w:jc w:val="both"/>
        <w:rPr>
          <w:rFonts w:ascii="Verdana" w:hAnsi="Verdana"/>
          <w:sz w:val="16"/>
          <w:szCs w:val="16"/>
          <w:lang w:val="es-CO"/>
        </w:rPr>
      </w:pPr>
      <w:r w:rsidRPr="008D462B">
        <w:rPr>
          <w:rStyle w:val="Refdenotaalpie"/>
          <w:rFonts w:ascii="Verdana" w:hAnsi="Verdana"/>
          <w:sz w:val="16"/>
          <w:szCs w:val="16"/>
        </w:rPr>
        <w:footnoteRef/>
      </w:r>
      <w:r>
        <w:rPr>
          <w:rFonts w:ascii="Verdana" w:hAnsi="Verdana"/>
          <w:sz w:val="16"/>
          <w:szCs w:val="16"/>
        </w:rPr>
        <w:t xml:space="preserve">Consejo de Estado. Sala de Consulta y Servicio Civil. Concepto del 1º de diciembre de 2000. Rad. 1308. C.P. César Hoyos Salazar.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9B3C20" w:rsidRDefault="009B3C20"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9B3C20" w:rsidRDefault="009B3C20">
    <w:pPr>
      <w:pStyle w:val="Encabezado"/>
    </w:pPr>
  </w:p>
  <w:p w14:paraId="5E18350A" w14:textId="705F7B76" w:rsidR="009B3C20" w:rsidRPr="004A305D" w:rsidRDefault="009B3C20" w:rsidP="00B01B1A">
    <w:pPr>
      <w:spacing w:after="0" w:line="120" w:lineRule="auto"/>
      <w:rPr>
        <w:rFonts w:ascii="Century Gothic" w:eastAsia="Geo" w:hAnsi="Century Gothic" w:cs="Geo"/>
        <w:sz w:val="16"/>
        <w:szCs w:val="16"/>
        <w:lang w:eastAsia="es-CO"/>
      </w:rPr>
    </w:pPr>
  </w:p>
  <w:p w14:paraId="211B7F5D" w14:textId="77777777" w:rsidR="009B3C20" w:rsidRDefault="009B3C20" w:rsidP="00844AE9">
    <w:pPr>
      <w:spacing w:after="0" w:line="240" w:lineRule="auto"/>
      <w:rPr>
        <w:rFonts w:ascii="Verdana" w:hAnsi="Verdana"/>
        <w:sz w:val="24"/>
        <w:szCs w:val="24"/>
      </w:rPr>
    </w:pPr>
  </w:p>
  <w:p w14:paraId="5A0054B1" w14:textId="77777777" w:rsidR="009B3C20" w:rsidRPr="00C925AC" w:rsidRDefault="009B3C20" w:rsidP="00844AE9">
    <w:pPr>
      <w:spacing w:after="0" w:line="240" w:lineRule="auto"/>
      <w:rPr>
        <w:rFonts w:ascii="Verdana" w:hAnsi="Verdana"/>
        <w:sz w:val="24"/>
        <w:szCs w:val="24"/>
      </w:rPr>
    </w:pPr>
  </w:p>
  <w:p w14:paraId="1FD1C243" w14:textId="37C5500A" w:rsidR="009B3C20" w:rsidRPr="00C925AC" w:rsidRDefault="009B3C2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874E1E31"/>
    <w:multiLevelType w:val="hybridMultilevel"/>
    <w:tmpl w:val="15B440B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FF1201"/>
    <w:multiLevelType w:val="hybridMultilevel"/>
    <w:tmpl w:val="03B258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8F5138A"/>
    <w:multiLevelType w:val="hybridMultilevel"/>
    <w:tmpl w:val="EA27AD3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8" w15:restartNumberingAfterBreak="0">
    <w:nsid w:val="21BD4E30"/>
    <w:multiLevelType w:val="hybridMultilevel"/>
    <w:tmpl w:val="3A0F72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0" w15:restartNumberingAfterBreak="0">
    <w:nsid w:val="59E0344E"/>
    <w:multiLevelType w:val="hybridMultilevel"/>
    <w:tmpl w:val="C66EF1EA"/>
    <w:lvl w:ilvl="0" w:tplc="240A0001">
      <w:start w:val="1"/>
      <w:numFmt w:val="bullet"/>
      <w:lvlText w:val=""/>
      <w:lvlJc w:val="left"/>
      <w:pPr>
        <w:ind w:left="800" w:hanging="360"/>
      </w:pPr>
      <w:rPr>
        <w:rFonts w:ascii="Symbol" w:hAnsi="Symbol" w:hint="default"/>
      </w:rPr>
    </w:lvl>
    <w:lvl w:ilvl="1" w:tplc="240A0003" w:tentative="1">
      <w:start w:val="1"/>
      <w:numFmt w:val="bullet"/>
      <w:lvlText w:val="o"/>
      <w:lvlJc w:val="left"/>
      <w:pPr>
        <w:ind w:left="1520" w:hanging="360"/>
      </w:pPr>
      <w:rPr>
        <w:rFonts w:ascii="Courier New" w:hAnsi="Courier New" w:cs="Courier New" w:hint="default"/>
      </w:rPr>
    </w:lvl>
    <w:lvl w:ilvl="2" w:tplc="240A0005" w:tentative="1">
      <w:start w:val="1"/>
      <w:numFmt w:val="bullet"/>
      <w:lvlText w:val=""/>
      <w:lvlJc w:val="left"/>
      <w:pPr>
        <w:ind w:left="2240" w:hanging="360"/>
      </w:pPr>
      <w:rPr>
        <w:rFonts w:ascii="Wingdings" w:hAnsi="Wingdings" w:hint="default"/>
      </w:rPr>
    </w:lvl>
    <w:lvl w:ilvl="3" w:tplc="240A0001" w:tentative="1">
      <w:start w:val="1"/>
      <w:numFmt w:val="bullet"/>
      <w:lvlText w:val=""/>
      <w:lvlJc w:val="left"/>
      <w:pPr>
        <w:ind w:left="2960" w:hanging="360"/>
      </w:pPr>
      <w:rPr>
        <w:rFonts w:ascii="Symbol" w:hAnsi="Symbol" w:hint="default"/>
      </w:rPr>
    </w:lvl>
    <w:lvl w:ilvl="4" w:tplc="240A0003" w:tentative="1">
      <w:start w:val="1"/>
      <w:numFmt w:val="bullet"/>
      <w:lvlText w:val="o"/>
      <w:lvlJc w:val="left"/>
      <w:pPr>
        <w:ind w:left="3680" w:hanging="360"/>
      </w:pPr>
      <w:rPr>
        <w:rFonts w:ascii="Courier New" w:hAnsi="Courier New" w:cs="Courier New" w:hint="default"/>
      </w:rPr>
    </w:lvl>
    <w:lvl w:ilvl="5" w:tplc="240A0005" w:tentative="1">
      <w:start w:val="1"/>
      <w:numFmt w:val="bullet"/>
      <w:lvlText w:val=""/>
      <w:lvlJc w:val="left"/>
      <w:pPr>
        <w:ind w:left="4400" w:hanging="360"/>
      </w:pPr>
      <w:rPr>
        <w:rFonts w:ascii="Wingdings" w:hAnsi="Wingdings" w:hint="default"/>
      </w:rPr>
    </w:lvl>
    <w:lvl w:ilvl="6" w:tplc="240A0001" w:tentative="1">
      <w:start w:val="1"/>
      <w:numFmt w:val="bullet"/>
      <w:lvlText w:val=""/>
      <w:lvlJc w:val="left"/>
      <w:pPr>
        <w:ind w:left="5120" w:hanging="360"/>
      </w:pPr>
      <w:rPr>
        <w:rFonts w:ascii="Symbol" w:hAnsi="Symbol" w:hint="default"/>
      </w:rPr>
    </w:lvl>
    <w:lvl w:ilvl="7" w:tplc="240A0003" w:tentative="1">
      <w:start w:val="1"/>
      <w:numFmt w:val="bullet"/>
      <w:lvlText w:val="o"/>
      <w:lvlJc w:val="left"/>
      <w:pPr>
        <w:ind w:left="5840" w:hanging="360"/>
      </w:pPr>
      <w:rPr>
        <w:rFonts w:ascii="Courier New" w:hAnsi="Courier New" w:cs="Courier New" w:hint="default"/>
      </w:rPr>
    </w:lvl>
    <w:lvl w:ilvl="8" w:tplc="240A0005" w:tentative="1">
      <w:start w:val="1"/>
      <w:numFmt w:val="bullet"/>
      <w:lvlText w:val=""/>
      <w:lvlJc w:val="left"/>
      <w:pPr>
        <w:ind w:left="6560" w:hanging="360"/>
      </w:pPr>
      <w:rPr>
        <w:rFonts w:ascii="Wingdings" w:hAnsi="Wingdings" w:hint="default"/>
      </w:rPr>
    </w:lvl>
  </w:abstractNum>
  <w:abstractNum w:abstractNumId="21"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BBE2BF1"/>
    <w:multiLevelType w:val="hybridMultilevel"/>
    <w:tmpl w:val="FBA670D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063483156">
    <w:abstractNumId w:val="15"/>
  </w:num>
  <w:num w:numId="2" w16cid:durableId="153886528">
    <w:abstractNumId w:val="4"/>
  </w:num>
  <w:num w:numId="3" w16cid:durableId="1667126449">
    <w:abstractNumId w:val="12"/>
  </w:num>
  <w:num w:numId="4" w16cid:durableId="337698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38494242">
    <w:abstractNumId w:val="4"/>
  </w:num>
  <w:num w:numId="6" w16cid:durableId="1999919310">
    <w:abstractNumId w:val="25"/>
  </w:num>
  <w:num w:numId="7" w16cid:durableId="13042590">
    <w:abstractNumId w:val="13"/>
  </w:num>
  <w:num w:numId="8" w16cid:durableId="1035811826">
    <w:abstractNumId w:val="24"/>
  </w:num>
  <w:num w:numId="9" w16cid:durableId="1782411581">
    <w:abstractNumId w:val="16"/>
  </w:num>
  <w:num w:numId="10" w16cid:durableId="715356274">
    <w:abstractNumId w:val="23"/>
  </w:num>
  <w:num w:numId="11" w16cid:durableId="1876842218">
    <w:abstractNumId w:val="17"/>
  </w:num>
  <w:num w:numId="12" w16cid:durableId="1606957448">
    <w:abstractNumId w:val="2"/>
  </w:num>
  <w:num w:numId="13" w16cid:durableId="2104494659">
    <w:abstractNumId w:val="9"/>
  </w:num>
  <w:num w:numId="14" w16cid:durableId="595553696">
    <w:abstractNumId w:val="26"/>
  </w:num>
  <w:num w:numId="15" w16cid:durableId="1203591040">
    <w:abstractNumId w:val="22"/>
  </w:num>
  <w:num w:numId="16" w16cid:durableId="926764045">
    <w:abstractNumId w:val="10"/>
  </w:num>
  <w:num w:numId="17" w16cid:durableId="354500954">
    <w:abstractNumId w:val="18"/>
  </w:num>
  <w:num w:numId="18" w16cid:durableId="1741320414">
    <w:abstractNumId w:val="30"/>
  </w:num>
  <w:num w:numId="19" w16cid:durableId="396443063">
    <w:abstractNumId w:val="28"/>
  </w:num>
  <w:num w:numId="20" w16cid:durableId="387848070">
    <w:abstractNumId w:val="3"/>
  </w:num>
  <w:num w:numId="21" w16cid:durableId="1203784883">
    <w:abstractNumId w:val="7"/>
  </w:num>
  <w:num w:numId="22" w16cid:durableId="52775152">
    <w:abstractNumId w:val="11"/>
  </w:num>
  <w:num w:numId="23" w16cid:durableId="1394962884">
    <w:abstractNumId w:val="6"/>
  </w:num>
  <w:num w:numId="24" w16cid:durableId="1103308282">
    <w:abstractNumId w:val="27"/>
  </w:num>
  <w:num w:numId="25" w16cid:durableId="929923000">
    <w:abstractNumId w:val="1"/>
  </w:num>
  <w:num w:numId="26" w16cid:durableId="1657105244">
    <w:abstractNumId w:val="0"/>
  </w:num>
  <w:num w:numId="27" w16cid:durableId="1917863945">
    <w:abstractNumId w:val="8"/>
  </w:num>
  <w:num w:numId="28" w16cid:durableId="1066955848">
    <w:abstractNumId w:val="14"/>
  </w:num>
  <w:num w:numId="29" w16cid:durableId="1741363908">
    <w:abstractNumId w:val="31"/>
  </w:num>
  <w:num w:numId="30" w16cid:durableId="308218564">
    <w:abstractNumId w:val="19"/>
  </w:num>
  <w:num w:numId="31" w16cid:durableId="1309675453">
    <w:abstractNumId w:val="21"/>
  </w:num>
  <w:num w:numId="32" w16cid:durableId="1483035526">
    <w:abstractNumId w:val="5"/>
  </w:num>
  <w:num w:numId="33" w16cid:durableId="1673484646">
    <w:abstractNumId w:val="20"/>
  </w:num>
  <w:num w:numId="34" w16cid:durableId="14422616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1A8F"/>
    <w:rsid w:val="00033B58"/>
    <w:rsid w:val="000351B8"/>
    <w:rsid w:val="000353BD"/>
    <w:rsid w:val="00046945"/>
    <w:rsid w:val="000520BE"/>
    <w:rsid w:val="00055901"/>
    <w:rsid w:val="00061B2A"/>
    <w:rsid w:val="00062688"/>
    <w:rsid w:val="000711CF"/>
    <w:rsid w:val="0007149E"/>
    <w:rsid w:val="00076D52"/>
    <w:rsid w:val="00080B1D"/>
    <w:rsid w:val="00082362"/>
    <w:rsid w:val="0009079C"/>
    <w:rsid w:val="000A0F1E"/>
    <w:rsid w:val="000A66E5"/>
    <w:rsid w:val="000A683E"/>
    <w:rsid w:val="000B19B9"/>
    <w:rsid w:val="000B27F0"/>
    <w:rsid w:val="000B70B5"/>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44A14"/>
    <w:rsid w:val="0015699B"/>
    <w:rsid w:val="00171640"/>
    <w:rsid w:val="00174D6E"/>
    <w:rsid w:val="00180534"/>
    <w:rsid w:val="00186A6A"/>
    <w:rsid w:val="001A10B6"/>
    <w:rsid w:val="001A2E76"/>
    <w:rsid w:val="001A33BF"/>
    <w:rsid w:val="001A3A16"/>
    <w:rsid w:val="001C5AE4"/>
    <w:rsid w:val="001C61B3"/>
    <w:rsid w:val="001D02CC"/>
    <w:rsid w:val="001D1FE7"/>
    <w:rsid w:val="001E2E05"/>
    <w:rsid w:val="001E4177"/>
    <w:rsid w:val="001F08F8"/>
    <w:rsid w:val="001F0B24"/>
    <w:rsid w:val="001F7DC6"/>
    <w:rsid w:val="00207466"/>
    <w:rsid w:val="00212AD1"/>
    <w:rsid w:val="00216522"/>
    <w:rsid w:val="002209DE"/>
    <w:rsid w:val="0022400B"/>
    <w:rsid w:val="00232850"/>
    <w:rsid w:val="002421BB"/>
    <w:rsid w:val="00251528"/>
    <w:rsid w:val="00253436"/>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E73A6"/>
    <w:rsid w:val="002F0847"/>
    <w:rsid w:val="002F43E6"/>
    <w:rsid w:val="002F7AD4"/>
    <w:rsid w:val="0030657A"/>
    <w:rsid w:val="003136DC"/>
    <w:rsid w:val="00314123"/>
    <w:rsid w:val="00316053"/>
    <w:rsid w:val="00322A85"/>
    <w:rsid w:val="00322C00"/>
    <w:rsid w:val="00322D77"/>
    <w:rsid w:val="00324168"/>
    <w:rsid w:val="00327F61"/>
    <w:rsid w:val="00330834"/>
    <w:rsid w:val="003332A8"/>
    <w:rsid w:val="003448F4"/>
    <w:rsid w:val="00351032"/>
    <w:rsid w:val="00374F5E"/>
    <w:rsid w:val="003769E1"/>
    <w:rsid w:val="00377E3E"/>
    <w:rsid w:val="00381BAB"/>
    <w:rsid w:val="00384EC6"/>
    <w:rsid w:val="003A779E"/>
    <w:rsid w:val="003B0DFC"/>
    <w:rsid w:val="003C0ED7"/>
    <w:rsid w:val="003D0F4D"/>
    <w:rsid w:val="003D5B0D"/>
    <w:rsid w:val="003E0499"/>
    <w:rsid w:val="003E4F80"/>
    <w:rsid w:val="003E6439"/>
    <w:rsid w:val="003F1FD8"/>
    <w:rsid w:val="003F3941"/>
    <w:rsid w:val="00403EFA"/>
    <w:rsid w:val="00406575"/>
    <w:rsid w:val="004140B3"/>
    <w:rsid w:val="00414C74"/>
    <w:rsid w:val="00426826"/>
    <w:rsid w:val="0042722E"/>
    <w:rsid w:val="0044528D"/>
    <w:rsid w:val="00447AD5"/>
    <w:rsid w:val="00450B8A"/>
    <w:rsid w:val="00451137"/>
    <w:rsid w:val="004555EA"/>
    <w:rsid w:val="0045785F"/>
    <w:rsid w:val="00466E39"/>
    <w:rsid w:val="00476D7D"/>
    <w:rsid w:val="00484E40"/>
    <w:rsid w:val="00486E52"/>
    <w:rsid w:val="0048787A"/>
    <w:rsid w:val="00494F04"/>
    <w:rsid w:val="0049642B"/>
    <w:rsid w:val="004A0A0B"/>
    <w:rsid w:val="004A0E5C"/>
    <w:rsid w:val="004A1847"/>
    <w:rsid w:val="004A305D"/>
    <w:rsid w:val="004A6649"/>
    <w:rsid w:val="004B3DAC"/>
    <w:rsid w:val="004B73B9"/>
    <w:rsid w:val="004C0DBB"/>
    <w:rsid w:val="004E2B92"/>
    <w:rsid w:val="004F0F13"/>
    <w:rsid w:val="004F21C4"/>
    <w:rsid w:val="004F685F"/>
    <w:rsid w:val="00513BF7"/>
    <w:rsid w:val="00517955"/>
    <w:rsid w:val="005229DB"/>
    <w:rsid w:val="00534886"/>
    <w:rsid w:val="00536A0E"/>
    <w:rsid w:val="00553040"/>
    <w:rsid w:val="005566E8"/>
    <w:rsid w:val="00560892"/>
    <w:rsid w:val="00566E6F"/>
    <w:rsid w:val="00570B00"/>
    <w:rsid w:val="00572622"/>
    <w:rsid w:val="00573280"/>
    <w:rsid w:val="00574867"/>
    <w:rsid w:val="00591460"/>
    <w:rsid w:val="00592C94"/>
    <w:rsid w:val="005A2CAB"/>
    <w:rsid w:val="005A52A7"/>
    <w:rsid w:val="005A65E0"/>
    <w:rsid w:val="005B2A46"/>
    <w:rsid w:val="005C0881"/>
    <w:rsid w:val="005C3777"/>
    <w:rsid w:val="005C5CDC"/>
    <w:rsid w:val="005C674F"/>
    <w:rsid w:val="005D2566"/>
    <w:rsid w:val="005D476C"/>
    <w:rsid w:val="005F0988"/>
    <w:rsid w:val="005F20A4"/>
    <w:rsid w:val="005F65E0"/>
    <w:rsid w:val="00600D92"/>
    <w:rsid w:val="00603C5B"/>
    <w:rsid w:val="00611CE6"/>
    <w:rsid w:val="006137E1"/>
    <w:rsid w:val="00617E91"/>
    <w:rsid w:val="006200BF"/>
    <w:rsid w:val="0062143E"/>
    <w:rsid w:val="006219F8"/>
    <w:rsid w:val="00624A89"/>
    <w:rsid w:val="00624EEC"/>
    <w:rsid w:val="006302F7"/>
    <w:rsid w:val="006443FE"/>
    <w:rsid w:val="00646B9F"/>
    <w:rsid w:val="00646F24"/>
    <w:rsid w:val="006547C3"/>
    <w:rsid w:val="006556B1"/>
    <w:rsid w:val="00663A04"/>
    <w:rsid w:val="00665D70"/>
    <w:rsid w:val="00684F67"/>
    <w:rsid w:val="006900D9"/>
    <w:rsid w:val="00695B4F"/>
    <w:rsid w:val="0069741A"/>
    <w:rsid w:val="006A2BE4"/>
    <w:rsid w:val="006B4707"/>
    <w:rsid w:val="006D13BA"/>
    <w:rsid w:val="006D591D"/>
    <w:rsid w:val="006F2238"/>
    <w:rsid w:val="006F4199"/>
    <w:rsid w:val="007009D7"/>
    <w:rsid w:val="007025D7"/>
    <w:rsid w:val="00706C16"/>
    <w:rsid w:val="00714355"/>
    <w:rsid w:val="00715444"/>
    <w:rsid w:val="0071557C"/>
    <w:rsid w:val="00731F30"/>
    <w:rsid w:val="007340C3"/>
    <w:rsid w:val="0073510E"/>
    <w:rsid w:val="007458D3"/>
    <w:rsid w:val="0075235A"/>
    <w:rsid w:val="00752CDB"/>
    <w:rsid w:val="0075557D"/>
    <w:rsid w:val="00756841"/>
    <w:rsid w:val="007576BA"/>
    <w:rsid w:val="007649AB"/>
    <w:rsid w:val="0076547C"/>
    <w:rsid w:val="00771AEF"/>
    <w:rsid w:val="00771D0C"/>
    <w:rsid w:val="00782ED2"/>
    <w:rsid w:val="007833AC"/>
    <w:rsid w:val="00795086"/>
    <w:rsid w:val="007A037B"/>
    <w:rsid w:val="007A1830"/>
    <w:rsid w:val="007B268C"/>
    <w:rsid w:val="007B7171"/>
    <w:rsid w:val="007C0C0F"/>
    <w:rsid w:val="007C3DC2"/>
    <w:rsid w:val="007C4353"/>
    <w:rsid w:val="007C6A9F"/>
    <w:rsid w:val="007D2809"/>
    <w:rsid w:val="007D3058"/>
    <w:rsid w:val="007D4B12"/>
    <w:rsid w:val="007E43AC"/>
    <w:rsid w:val="007E5497"/>
    <w:rsid w:val="00806F5F"/>
    <w:rsid w:val="00820278"/>
    <w:rsid w:val="00822A37"/>
    <w:rsid w:val="008236EF"/>
    <w:rsid w:val="008258C9"/>
    <w:rsid w:val="00830893"/>
    <w:rsid w:val="00833286"/>
    <w:rsid w:val="00836232"/>
    <w:rsid w:val="00841E29"/>
    <w:rsid w:val="00844AE9"/>
    <w:rsid w:val="0085545E"/>
    <w:rsid w:val="00865120"/>
    <w:rsid w:val="00867F95"/>
    <w:rsid w:val="00871AAC"/>
    <w:rsid w:val="008843B6"/>
    <w:rsid w:val="00886410"/>
    <w:rsid w:val="00891928"/>
    <w:rsid w:val="008A446D"/>
    <w:rsid w:val="008B0D0F"/>
    <w:rsid w:val="008B25F1"/>
    <w:rsid w:val="008B3DF1"/>
    <w:rsid w:val="008C11FD"/>
    <w:rsid w:val="008C4DD5"/>
    <w:rsid w:val="008C517A"/>
    <w:rsid w:val="008C6AE5"/>
    <w:rsid w:val="008D1660"/>
    <w:rsid w:val="008D180B"/>
    <w:rsid w:val="008F0EA7"/>
    <w:rsid w:val="008F17DC"/>
    <w:rsid w:val="008F207E"/>
    <w:rsid w:val="008F4334"/>
    <w:rsid w:val="008F6705"/>
    <w:rsid w:val="009037F6"/>
    <w:rsid w:val="0091143C"/>
    <w:rsid w:val="00915A51"/>
    <w:rsid w:val="00917FBF"/>
    <w:rsid w:val="0092018D"/>
    <w:rsid w:val="00920817"/>
    <w:rsid w:val="00923EEF"/>
    <w:rsid w:val="009419F9"/>
    <w:rsid w:val="0095685E"/>
    <w:rsid w:val="00961B09"/>
    <w:rsid w:val="00963E12"/>
    <w:rsid w:val="00964321"/>
    <w:rsid w:val="00965334"/>
    <w:rsid w:val="00970742"/>
    <w:rsid w:val="0097093E"/>
    <w:rsid w:val="009722DE"/>
    <w:rsid w:val="009736BF"/>
    <w:rsid w:val="00982DD4"/>
    <w:rsid w:val="00984DB3"/>
    <w:rsid w:val="00992E19"/>
    <w:rsid w:val="009A0486"/>
    <w:rsid w:val="009A0DFA"/>
    <w:rsid w:val="009A4368"/>
    <w:rsid w:val="009B28B9"/>
    <w:rsid w:val="009B2D26"/>
    <w:rsid w:val="009B3C20"/>
    <w:rsid w:val="009C71FA"/>
    <w:rsid w:val="009C72E7"/>
    <w:rsid w:val="009C7F7E"/>
    <w:rsid w:val="009D23F2"/>
    <w:rsid w:val="009D3058"/>
    <w:rsid w:val="009E1F28"/>
    <w:rsid w:val="009E6924"/>
    <w:rsid w:val="009E7AED"/>
    <w:rsid w:val="009F3A13"/>
    <w:rsid w:val="009F5BD5"/>
    <w:rsid w:val="009F7A6E"/>
    <w:rsid w:val="00A0334B"/>
    <w:rsid w:val="00A0526C"/>
    <w:rsid w:val="00A06941"/>
    <w:rsid w:val="00A122D3"/>
    <w:rsid w:val="00A13FAB"/>
    <w:rsid w:val="00A14468"/>
    <w:rsid w:val="00A160DC"/>
    <w:rsid w:val="00A17F13"/>
    <w:rsid w:val="00A2014A"/>
    <w:rsid w:val="00A20739"/>
    <w:rsid w:val="00A23AF9"/>
    <w:rsid w:val="00A31A76"/>
    <w:rsid w:val="00A33C78"/>
    <w:rsid w:val="00A53338"/>
    <w:rsid w:val="00A73C39"/>
    <w:rsid w:val="00A73F45"/>
    <w:rsid w:val="00AA1E47"/>
    <w:rsid w:val="00AB0ADB"/>
    <w:rsid w:val="00AB3961"/>
    <w:rsid w:val="00AB436E"/>
    <w:rsid w:val="00AB5BE5"/>
    <w:rsid w:val="00AC694F"/>
    <w:rsid w:val="00AC73F2"/>
    <w:rsid w:val="00AD173A"/>
    <w:rsid w:val="00AD7D5F"/>
    <w:rsid w:val="00AE3513"/>
    <w:rsid w:val="00AE485E"/>
    <w:rsid w:val="00AF5A10"/>
    <w:rsid w:val="00B00C0E"/>
    <w:rsid w:val="00B010BC"/>
    <w:rsid w:val="00B01B1A"/>
    <w:rsid w:val="00B0459C"/>
    <w:rsid w:val="00B04DA1"/>
    <w:rsid w:val="00B11075"/>
    <w:rsid w:val="00B12E7E"/>
    <w:rsid w:val="00B30A05"/>
    <w:rsid w:val="00B3633C"/>
    <w:rsid w:val="00B37EB5"/>
    <w:rsid w:val="00B40730"/>
    <w:rsid w:val="00B44A47"/>
    <w:rsid w:val="00B51CEB"/>
    <w:rsid w:val="00B54271"/>
    <w:rsid w:val="00B5550F"/>
    <w:rsid w:val="00B6149C"/>
    <w:rsid w:val="00B64484"/>
    <w:rsid w:val="00B71FD5"/>
    <w:rsid w:val="00B72CD3"/>
    <w:rsid w:val="00B72FFF"/>
    <w:rsid w:val="00B74092"/>
    <w:rsid w:val="00B77EBF"/>
    <w:rsid w:val="00B95DAC"/>
    <w:rsid w:val="00BA2EB9"/>
    <w:rsid w:val="00BA703D"/>
    <w:rsid w:val="00BC3D36"/>
    <w:rsid w:val="00BC70CB"/>
    <w:rsid w:val="00BD125A"/>
    <w:rsid w:val="00BD13AC"/>
    <w:rsid w:val="00BD54A6"/>
    <w:rsid w:val="00BD7F72"/>
    <w:rsid w:val="00BF056C"/>
    <w:rsid w:val="00BF3B66"/>
    <w:rsid w:val="00BF5C08"/>
    <w:rsid w:val="00BF7425"/>
    <w:rsid w:val="00C04FB3"/>
    <w:rsid w:val="00C11D8B"/>
    <w:rsid w:val="00C1537A"/>
    <w:rsid w:val="00C251B0"/>
    <w:rsid w:val="00C3284D"/>
    <w:rsid w:val="00C330EB"/>
    <w:rsid w:val="00C419DF"/>
    <w:rsid w:val="00C50D69"/>
    <w:rsid w:val="00C5365C"/>
    <w:rsid w:val="00C619D4"/>
    <w:rsid w:val="00C61D93"/>
    <w:rsid w:val="00C661E0"/>
    <w:rsid w:val="00C754BE"/>
    <w:rsid w:val="00C76B1C"/>
    <w:rsid w:val="00C82667"/>
    <w:rsid w:val="00C90C96"/>
    <w:rsid w:val="00C925AC"/>
    <w:rsid w:val="00C94828"/>
    <w:rsid w:val="00C963BE"/>
    <w:rsid w:val="00C96B64"/>
    <w:rsid w:val="00CA2858"/>
    <w:rsid w:val="00CA710C"/>
    <w:rsid w:val="00CB02F1"/>
    <w:rsid w:val="00CB6357"/>
    <w:rsid w:val="00CC1B26"/>
    <w:rsid w:val="00CD4C85"/>
    <w:rsid w:val="00CE3C1C"/>
    <w:rsid w:val="00CE4026"/>
    <w:rsid w:val="00D06146"/>
    <w:rsid w:val="00D0699E"/>
    <w:rsid w:val="00D1210B"/>
    <w:rsid w:val="00D1532C"/>
    <w:rsid w:val="00D22D2B"/>
    <w:rsid w:val="00D334DD"/>
    <w:rsid w:val="00D34EA3"/>
    <w:rsid w:val="00D361FD"/>
    <w:rsid w:val="00D4214E"/>
    <w:rsid w:val="00D423A2"/>
    <w:rsid w:val="00D44E26"/>
    <w:rsid w:val="00D51A5D"/>
    <w:rsid w:val="00D520D8"/>
    <w:rsid w:val="00D532D4"/>
    <w:rsid w:val="00D62B9C"/>
    <w:rsid w:val="00D63AC2"/>
    <w:rsid w:val="00D7383B"/>
    <w:rsid w:val="00D73DBD"/>
    <w:rsid w:val="00D7788A"/>
    <w:rsid w:val="00D85F06"/>
    <w:rsid w:val="00D936A2"/>
    <w:rsid w:val="00DA231B"/>
    <w:rsid w:val="00DA6CAC"/>
    <w:rsid w:val="00DB13F4"/>
    <w:rsid w:val="00DB3340"/>
    <w:rsid w:val="00DB55DA"/>
    <w:rsid w:val="00DC39FC"/>
    <w:rsid w:val="00DC7CCB"/>
    <w:rsid w:val="00DD0D10"/>
    <w:rsid w:val="00DD5F4E"/>
    <w:rsid w:val="00DE6EC3"/>
    <w:rsid w:val="00DF27FE"/>
    <w:rsid w:val="00DF5254"/>
    <w:rsid w:val="00E01518"/>
    <w:rsid w:val="00E02087"/>
    <w:rsid w:val="00E02524"/>
    <w:rsid w:val="00E1159D"/>
    <w:rsid w:val="00E1451E"/>
    <w:rsid w:val="00E16408"/>
    <w:rsid w:val="00E20894"/>
    <w:rsid w:val="00E245AB"/>
    <w:rsid w:val="00E24891"/>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3B9"/>
    <w:rsid w:val="00EC38A7"/>
    <w:rsid w:val="00ED4980"/>
    <w:rsid w:val="00EE1AA8"/>
    <w:rsid w:val="00EE265D"/>
    <w:rsid w:val="00EE3D99"/>
    <w:rsid w:val="00EF0C91"/>
    <w:rsid w:val="00EF1D4F"/>
    <w:rsid w:val="00EF5E13"/>
    <w:rsid w:val="00EF647F"/>
    <w:rsid w:val="00F03314"/>
    <w:rsid w:val="00F0580C"/>
    <w:rsid w:val="00F17049"/>
    <w:rsid w:val="00F23FEA"/>
    <w:rsid w:val="00F27B7B"/>
    <w:rsid w:val="00F31EDC"/>
    <w:rsid w:val="00F34294"/>
    <w:rsid w:val="00F449F4"/>
    <w:rsid w:val="00F45A82"/>
    <w:rsid w:val="00F462B3"/>
    <w:rsid w:val="00F515B7"/>
    <w:rsid w:val="00F5664F"/>
    <w:rsid w:val="00F60F65"/>
    <w:rsid w:val="00F666C4"/>
    <w:rsid w:val="00F7218F"/>
    <w:rsid w:val="00F76AFC"/>
    <w:rsid w:val="00F81BF0"/>
    <w:rsid w:val="00F82E88"/>
    <w:rsid w:val="00F86E11"/>
    <w:rsid w:val="00F86E3E"/>
    <w:rsid w:val="00F95C74"/>
    <w:rsid w:val="00F9721B"/>
    <w:rsid w:val="00FA31C3"/>
    <w:rsid w:val="00FA47C0"/>
    <w:rsid w:val="00FA5FFD"/>
    <w:rsid w:val="00FA69A3"/>
    <w:rsid w:val="00FB5DD1"/>
    <w:rsid w:val="00FC2B5D"/>
    <w:rsid w:val="00FD1DDC"/>
    <w:rsid w:val="00FD3AD2"/>
    <w:rsid w:val="00FD5BCD"/>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3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table" w:customStyle="1" w:styleId="TableNormal1">
    <w:name w:val="Table Normal1"/>
    <w:uiPriority w:val="2"/>
    <w:semiHidden/>
    <w:unhideWhenUsed/>
    <w:qFormat/>
    <w:rsid w:val="009B3C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8236E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714355"/>
    <w:pPr>
      <w:spacing w:after="120"/>
    </w:pPr>
  </w:style>
  <w:style w:type="character" w:customStyle="1" w:styleId="TextoindependienteCar">
    <w:name w:val="Texto independiente Car"/>
    <w:basedOn w:val="Fuentedeprrafopredeter"/>
    <w:link w:val="Textoindependiente"/>
    <w:uiPriority w:val="99"/>
    <w:semiHidden/>
    <w:rsid w:val="00714355"/>
  </w:style>
  <w:style w:type="character" w:styleId="Fuerte">
    <w:name w:val="Strong"/>
    <w:basedOn w:val="Fuentedeprrafopredeter"/>
    <w:uiPriority w:val="22"/>
    <w:qFormat/>
    <w:rsid w:val="00384E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231963799">
      <w:bodyDiv w:val="1"/>
      <w:marLeft w:val="0"/>
      <w:marRight w:val="0"/>
      <w:marTop w:val="0"/>
      <w:marBottom w:val="0"/>
      <w:divBdr>
        <w:top w:val="none" w:sz="0" w:space="0" w:color="auto"/>
        <w:left w:val="none" w:sz="0" w:space="0" w:color="auto"/>
        <w:bottom w:val="none" w:sz="0" w:space="0" w:color="auto"/>
        <w:right w:val="none" w:sz="0" w:space="0" w:color="auto"/>
      </w:divBdr>
      <w:divsChild>
        <w:div w:id="1967085044">
          <w:marLeft w:val="0"/>
          <w:marRight w:val="0"/>
          <w:marTop w:val="0"/>
          <w:marBottom w:val="0"/>
          <w:divBdr>
            <w:top w:val="none" w:sz="0" w:space="0" w:color="auto"/>
            <w:left w:val="none" w:sz="0" w:space="0" w:color="auto"/>
            <w:bottom w:val="none" w:sz="0" w:space="0" w:color="auto"/>
            <w:right w:val="none" w:sz="0" w:space="0" w:color="auto"/>
          </w:divBdr>
        </w:div>
      </w:divsChild>
    </w:div>
    <w:div w:id="395514011">
      <w:bodyDiv w:val="1"/>
      <w:marLeft w:val="0"/>
      <w:marRight w:val="0"/>
      <w:marTop w:val="0"/>
      <w:marBottom w:val="0"/>
      <w:divBdr>
        <w:top w:val="none" w:sz="0" w:space="0" w:color="auto"/>
        <w:left w:val="none" w:sz="0" w:space="0" w:color="auto"/>
        <w:bottom w:val="none" w:sz="0" w:space="0" w:color="auto"/>
        <w:right w:val="none" w:sz="0" w:space="0" w:color="auto"/>
      </w:divBdr>
      <w:divsChild>
        <w:div w:id="1117141357">
          <w:marLeft w:val="0"/>
          <w:marRight w:val="0"/>
          <w:marTop w:val="0"/>
          <w:marBottom w:val="0"/>
          <w:divBdr>
            <w:top w:val="none" w:sz="0" w:space="0" w:color="auto"/>
            <w:left w:val="none" w:sz="0" w:space="0" w:color="auto"/>
            <w:bottom w:val="none" w:sz="0" w:space="0" w:color="auto"/>
            <w:right w:val="none" w:sz="0" w:space="0" w:color="auto"/>
          </w:divBdr>
        </w:div>
      </w:divsChild>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551694321">
      <w:bodyDiv w:val="1"/>
      <w:marLeft w:val="0"/>
      <w:marRight w:val="0"/>
      <w:marTop w:val="0"/>
      <w:marBottom w:val="0"/>
      <w:divBdr>
        <w:top w:val="none" w:sz="0" w:space="0" w:color="auto"/>
        <w:left w:val="none" w:sz="0" w:space="0" w:color="auto"/>
        <w:bottom w:val="none" w:sz="0" w:space="0" w:color="auto"/>
        <w:right w:val="none" w:sz="0" w:space="0" w:color="auto"/>
      </w:divBdr>
      <w:divsChild>
        <w:div w:id="1386568614">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2535293">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86180906">
      <w:bodyDiv w:val="1"/>
      <w:marLeft w:val="0"/>
      <w:marRight w:val="0"/>
      <w:marTop w:val="0"/>
      <w:marBottom w:val="0"/>
      <w:divBdr>
        <w:top w:val="none" w:sz="0" w:space="0" w:color="auto"/>
        <w:left w:val="none" w:sz="0" w:space="0" w:color="auto"/>
        <w:bottom w:val="none" w:sz="0" w:space="0" w:color="auto"/>
        <w:right w:val="none" w:sz="0" w:space="0" w:color="auto"/>
      </w:divBdr>
      <w:divsChild>
        <w:div w:id="1065682156">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22526568">
      <w:bodyDiv w:val="1"/>
      <w:marLeft w:val="0"/>
      <w:marRight w:val="0"/>
      <w:marTop w:val="0"/>
      <w:marBottom w:val="0"/>
      <w:divBdr>
        <w:top w:val="none" w:sz="0" w:space="0" w:color="auto"/>
        <w:left w:val="none" w:sz="0" w:space="0" w:color="auto"/>
        <w:bottom w:val="none" w:sz="0" w:space="0" w:color="auto"/>
        <w:right w:val="none" w:sz="0" w:space="0" w:color="auto"/>
      </w:divBdr>
      <w:divsChild>
        <w:div w:id="1475639888">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uliandmonsalve@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4EA86BD-4F0C-440C-9CF3-F394843E951E}">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BC0C358-35EF-47F4-B443-97CC1AAC5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22</Pages>
  <Words>6987</Words>
  <Characters>38433</Characters>
  <Application>Microsoft Office Word</Application>
  <DocSecurity>0</DocSecurity>
  <Lines>320</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2026-05-19T11:45:00Z</dcterms:created>
  <dcterms:modified xsi:type="dcterms:W3CDTF">2026-05-20T15:59:00Z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