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9F595" w14:textId="7A94C2CD" w:rsidR="008737B6" w:rsidRDefault="008737B6" w:rsidP="008737B6">
      <w:pPr>
        <w:jc w:val="both"/>
        <w:rPr>
          <w:rFonts w:ascii="Verdana" w:hAnsi="Verdana" w:cs="Arial"/>
          <w:b/>
          <w:bCs/>
          <w:color w:val="000000" w:themeColor="text1"/>
        </w:rPr>
      </w:pPr>
      <w:bookmarkStart w:id="0" w:name="_Hlk143780582"/>
      <w:r w:rsidRPr="008737B6">
        <w:rPr>
          <w:rFonts w:ascii="Verdana" w:hAnsi="Verdana" w:cs="Arial"/>
          <w:b/>
          <w:bCs/>
          <w:color w:val="000000" w:themeColor="text1"/>
        </w:rPr>
        <w:t>LEY DE GARANTÍAS ELECTORALES – Propósito</w:t>
      </w:r>
    </w:p>
    <w:p w14:paraId="08B16A12" w14:textId="77777777" w:rsidR="008737B6" w:rsidRDefault="008737B6" w:rsidP="008737B6">
      <w:pPr>
        <w:tabs>
          <w:tab w:val="left" w:pos="426"/>
        </w:tabs>
        <w:spacing w:after="0" w:line="240" w:lineRule="auto"/>
        <w:jc w:val="both"/>
        <w:rPr>
          <w:rFonts w:ascii="Verdana" w:eastAsia="Calibri" w:hAnsi="Verdana" w:cs="Arial"/>
          <w:noProof/>
          <w:sz w:val="20"/>
          <w:szCs w:val="20"/>
          <w:lang w:val="es-ES_tradnl"/>
        </w:rPr>
      </w:pPr>
      <w:r w:rsidRPr="008737B6">
        <w:rPr>
          <w:rFonts w:ascii="Verdana" w:hAnsi="Verdana" w:cs="Arial"/>
          <w:color w:val="000000" w:themeColor="text1"/>
          <w:sz w:val="20"/>
          <w:szCs w:val="20"/>
        </w:rPr>
        <w:t>[…</w:t>
      </w:r>
      <w:r>
        <w:rPr>
          <w:rFonts w:ascii="Verdana" w:hAnsi="Verdana" w:cs="Arial"/>
          <w:color w:val="000000" w:themeColor="text1"/>
          <w:sz w:val="20"/>
          <w:szCs w:val="20"/>
        </w:rPr>
        <w:t>] la</w:t>
      </w:r>
      <w:r w:rsidRPr="008737B6">
        <w:rPr>
          <w:rFonts w:ascii="Verdana" w:hAnsi="Verdana" w:cs="Arial"/>
          <w:color w:val="000000" w:themeColor="text1"/>
          <w:sz w:val="20"/>
          <w:szCs w:val="20"/>
        </w:rPr>
        <w:t xml:space="preserve"> </w:t>
      </w:r>
      <w:r w:rsidRPr="008737B6">
        <w:rPr>
          <w:rFonts w:ascii="Verdana" w:eastAsia="Times New Roman" w:hAnsi="Verdana" w:cs="Arial"/>
          <w:sz w:val="20"/>
          <w:szCs w:val="20"/>
          <w:lang w:eastAsia="es-CO"/>
        </w:rPr>
        <w:t>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8737B6">
        <w:rPr>
          <w:rFonts w:ascii="Verdana" w:eastAsia="Times New Roman" w:hAnsi="Verdana" w:cs="Arial"/>
          <w:sz w:val="20"/>
          <w:szCs w:val="20"/>
          <w:lang w:eastAsia="es-CO"/>
        </w:rPr>
        <w:t xml:space="preserve">. </w:t>
      </w:r>
      <w:r w:rsidRPr="008737B6">
        <w:rPr>
          <w:rFonts w:ascii="Verdana" w:eastAsia="Times New Roman" w:hAnsi="Verdana" w:cs="Arial"/>
          <w:sz w:val="20"/>
          <w:szCs w:val="20"/>
          <w:lang w:eastAsia="es-CO"/>
        </w:rPr>
        <w:t>En esta medida, introduce limitaciones para realizar nombramientos, postulaciones, contrataciones o cualquier otro tipo de actividad que implique destinación de recursos públicos bajo el devenir propio de las entidades estatales.</w:t>
      </w:r>
      <w:r w:rsidRPr="008737B6">
        <w:rPr>
          <w:rFonts w:ascii="Verdana" w:eastAsia="Calibri" w:hAnsi="Verdana" w:cs="Arial"/>
          <w:noProof/>
          <w:sz w:val="20"/>
          <w:szCs w:val="20"/>
          <w:lang w:val="es-ES_tradnl"/>
        </w:rPr>
        <w:t xml:space="preserve"> </w:t>
      </w:r>
    </w:p>
    <w:p w14:paraId="20431181" w14:textId="77777777" w:rsidR="008737B6" w:rsidRDefault="008737B6" w:rsidP="008737B6">
      <w:pPr>
        <w:tabs>
          <w:tab w:val="left" w:pos="426"/>
        </w:tabs>
        <w:spacing w:after="0" w:line="240" w:lineRule="auto"/>
        <w:jc w:val="both"/>
        <w:rPr>
          <w:rFonts w:ascii="Verdana" w:eastAsia="Calibri" w:hAnsi="Verdana" w:cs="Arial"/>
          <w:noProof/>
          <w:sz w:val="20"/>
          <w:szCs w:val="20"/>
          <w:lang w:val="es-ES_tradnl"/>
        </w:rPr>
      </w:pPr>
    </w:p>
    <w:p w14:paraId="6DF59556" w14:textId="193EFB80" w:rsidR="008737B6" w:rsidRDefault="008737B6" w:rsidP="008737B6">
      <w:pPr>
        <w:tabs>
          <w:tab w:val="left" w:pos="426"/>
        </w:tabs>
        <w:spacing w:after="0" w:line="240" w:lineRule="auto"/>
        <w:jc w:val="both"/>
        <w:rPr>
          <w:rFonts w:ascii="Verdana" w:hAnsi="Verdana" w:cs="Arial"/>
          <w:b/>
          <w:bCs/>
          <w:color w:val="000000" w:themeColor="text1"/>
        </w:rPr>
      </w:pPr>
      <w:r w:rsidRPr="008737B6">
        <w:rPr>
          <w:rFonts w:ascii="Verdana" w:hAnsi="Verdana" w:cs="Arial"/>
          <w:b/>
          <w:bCs/>
          <w:color w:val="000000" w:themeColor="text1"/>
        </w:rPr>
        <w:t xml:space="preserve">LEY DE GARANTÍAS ELECTORALES – Prohibiciones – Restricciones </w:t>
      </w:r>
    </w:p>
    <w:p w14:paraId="3E785866" w14:textId="77777777" w:rsidR="008737B6" w:rsidRPr="008737B6" w:rsidRDefault="008737B6" w:rsidP="008737B6">
      <w:pPr>
        <w:tabs>
          <w:tab w:val="left" w:pos="426"/>
        </w:tabs>
        <w:spacing w:after="0" w:line="240" w:lineRule="auto"/>
        <w:jc w:val="both"/>
        <w:rPr>
          <w:rFonts w:ascii="Verdana" w:hAnsi="Verdana" w:cs="Arial"/>
          <w:b/>
          <w:bCs/>
          <w:color w:val="000000" w:themeColor="text1"/>
          <w:sz w:val="20"/>
          <w:szCs w:val="20"/>
        </w:rPr>
      </w:pPr>
    </w:p>
    <w:p w14:paraId="3DCCB7D3" w14:textId="188B5195" w:rsidR="008737B6" w:rsidRPr="008737B6" w:rsidRDefault="008737B6" w:rsidP="008737B6">
      <w:pPr>
        <w:spacing w:after="120" w:line="240" w:lineRule="auto"/>
        <w:jc w:val="both"/>
        <w:rPr>
          <w:rFonts w:ascii="Verdana" w:eastAsia="Arial" w:hAnsi="Verdana" w:cs="Arial"/>
          <w:sz w:val="20"/>
          <w:szCs w:val="20"/>
          <w:lang w:val="es-ES" w:eastAsia="es-ES" w:bidi="es-ES"/>
        </w:rPr>
      </w:pPr>
      <w:r w:rsidRPr="008737B6">
        <w:rPr>
          <w:rFonts w:ascii="Verdana" w:eastAsia="Arial" w:hAnsi="Verdana" w:cs="Arial"/>
          <w:sz w:val="20"/>
          <w:szCs w:val="20"/>
          <w:lang w:val="es-ES" w:eastAsia="es-ES" w:bidi="es-ES"/>
        </w:rPr>
        <w:t xml:space="preserve">[…] </w:t>
      </w:r>
      <w:r w:rsidRPr="008737B6">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1B4DCEF" w14:textId="77777777" w:rsidR="008737B6" w:rsidRPr="008737B6" w:rsidRDefault="008737B6" w:rsidP="008737B6">
      <w:pPr>
        <w:spacing w:after="120" w:line="240" w:lineRule="auto"/>
        <w:jc w:val="both"/>
        <w:rPr>
          <w:rFonts w:ascii="Verdana" w:eastAsia="Arial" w:hAnsi="Verdana" w:cs="Arial"/>
          <w:sz w:val="20"/>
          <w:szCs w:val="20"/>
          <w:lang w:val="es-ES" w:eastAsia="es-ES" w:bidi="es-ES"/>
        </w:rPr>
      </w:pPr>
      <w:r w:rsidRPr="008737B6">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428CC15F" w14:textId="39760BB7" w:rsidR="008737B6" w:rsidRPr="008737B6" w:rsidRDefault="008737B6" w:rsidP="008737B6">
      <w:pPr>
        <w:spacing w:after="120" w:line="240" w:lineRule="auto"/>
        <w:jc w:val="both"/>
        <w:rPr>
          <w:rFonts w:ascii="Verdana" w:eastAsia="Calibri" w:hAnsi="Verdana" w:cs="Arial"/>
          <w:sz w:val="20"/>
          <w:szCs w:val="20"/>
        </w:rPr>
      </w:pPr>
      <w:r w:rsidRPr="008737B6">
        <w:rPr>
          <w:rFonts w:ascii="Verdana" w:eastAsia="Calibri" w:hAnsi="Verdana" w:cs="Arial"/>
          <w:sz w:val="20"/>
          <w:szCs w:val="20"/>
        </w:rPr>
        <w:t>Por un lado, el artículo 33 de la Ley 996 de 2005 prohíbe “</w:t>
      </w:r>
      <w:r w:rsidRPr="008737B6">
        <w:rPr>
          <w:rFonts w:ascii="Verdana" w:eastAsia="Calibri" w:hAnsi="Verdana" w:cs="Arial"/>
          <w:bCs/>
          <w:sz w:val="20"/>
          <w:szCs w:val="20"/>
        </w:rPr>
        <w:t xml:space="preserve">(…) </w:t>
      </w:r>
      <w:r w:rsidRPr="008737B6">
        <w:rPr>
          <w:rFonts w:ascii="Verdana" w:eastAsia="Calibri" w:hAnsi="Verdana" w:cs="Arial"/>
          <w:sz w:val="20"/>
          <w:szCs w:val="20"/>
        </w:rPr>
        <w:t>la contratación directa por parte de todos los entes del Estado</w:t>
      </w:r>
      <w:r w:rsidRPr="008737B6">
        <w:rPr>
          <w:rFonts w:ascii="Verdana" w:eastAsia="Calibri" w:hAnsi="Verdana" w:cs="Arial"/>
          <w:bCs/>
          <w:sz w:val="20"/>
          <w:szCs w:val="20"/>
        </w:rPr>
        <w:t>”</w:t>
      </w:r>
      <w:r w:rsidRPr="008737B6">
        <w:rPr>
          <w:rFonts w:ascii="Verdana" w:eastAsia="Calibri" w:hAnsi="Verdana" w:cs="Arial"/>
          <w:sz w:val="20"/>
          <w:szCs w:val="20"/>
        </w:rPr>
        <w:t xml:space="preserve"> durante los cuatro (4) meses anteriores a las elecciones presidenciales, salvo </w:t>
      </w:r>
      <w:r w:rsidRPr="008737B6">
        <w:rPr>
          <w:rFonts w:ascii="Verdana" w:eastAsia="Calibri" w:hAnsi="Verdana" w:cs="Arial"/>
          <w:bCs/>
          <w:sz w:val="20"/>
          <w:szCs w:val="20"/>
        </w:rPr>
        <w:t xml:space="preserve">“(…) </w:t>
      </w:r>
      <w:r w:rsidRPr="008737B6">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737B6">
        <w:rPr>
          <w:rFonts w:ascii="Verdana" w:eastAsia="Calibri" w:hAnsi="Verdana" w:cs="Arial"/>
          <w:bCs/>
          <w:sz w:val="20"/>
          <w:szCs w:val="20"/>
        </w:rPr>
        <w:t>”</w:t>
      </w:r>
      <w:r w:rsidRPr="008737B6">
        <w:rPr>
          <w:rFonts w:ascii="Verdana" w:eastAsia="Calibri" w:hAnsi="Verdana" w:cs="Arial"/>
          <w:sz w:val="20"/>
          <w:szCs w:val="20"/>
        </w:rPr>
        <w:t>.</w:t>
      </w:r>
    </w:p>
    <w:p w14:paraId="089CB237" w14:textId="77777777" w:rsidR="008737B6" w:rsidRDefault="008737B6" w:rsidP="008737B6">
      <w:pPr>
        <w:widowControl w:val="0"/>
        <w:autoSpaceDE w:val="0"/>
        <w:autoSpaceDN w:val="0"/>
        <w:spacing w:after="120" w:line="240" w:lineRule="auto"/>
        <w:jc w:val="both"/>
        <w:rPr>
          <w:rFonts w:ascii="Verdana" w:eastAsia="Arial" w:hAnsi="Verdana" w:cs="Arial"/>
          <w:sz w:val="20"/>
          <w:szCs w:val="20"/>
          <w:lang w:val="es-ES" w:eastAsia="es-ES" w:bidi="es-ES"/>
        </w:rPr>
      </w:pPr>
      <w:r w:rsidRPr="008737B6">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8737B6">
        <w:rPr>
          <w:rFonts w:ascii="Verdana" w:eastAsia="Calibri" w:hAnsi="Verdana" w:cs="Arial"/>
          <w:bCs/>
          <w:sz w:val="20"/>
          <w:szCs w:val="20"/>
        </w:rPr>
        <w:t xml:space="preserve">“(…) </w:t>
      </w:r>
      <w:r w:rsidRPr="008737B6">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737B6">
        <w:rPr>
          <w:rFonts w:ascii="Verdana" w:eastAsia="Calibri" w:hAnsi="Verdana" w:cs="Arial"/>
          <w:bCs/>
          <w:sz w:val="20"/>
          <w:szCs w:val="20"/>
        </w:rPr>
        <w:t>”</w:t>
      </w:r>
      <w:r w:rsidRPr="008737B6">
        <w:rPr>
          <w:rFonts w:ascii="Verdana" w:eastAsia="Calibri" w:hAnsi="Verdana" w:cs="Arial"/>
          <w:sz w:val="20"/>
          <w:szCs w:val="20"/>
        </w:rPr>
        <w:t>.</w:t>
      </w:r>
      <w:r w:rsidRPr="008737B6">
        <w:rPr>
          <w:rFonts w:ascii="Verdana" w:eastAsia="Arial" w:hAnsi="Verdana" w:cs="Arial"/>
          <w:sz w:val="20"/>
          <w:szCs w:val="20"/>
          <w:lang w:val="es-ES" w:eastAsia="es-ES" w:bidi="es-ES"/>
        </w:rPr>
        <w:t xml:space="preserve"> </w:t>
      </w:r>
    </w:p>
    <w:p w14:paraId="4215D3E7" w14:textId="4CF9075F" w:rsidR="008737B6" w:rsidRDefault="008737B6" w:rsidP="008737B6">
      <w:pPr>
        <w:widowControl w:val="0"/>
        <w:autoSpaceDE w:val="0"/>
        <w:autoSpaceDN w:val="0"/>
        <w:spacing w:after="120" w:line="240" w:lineRule="auto"/>
        <w:jc w:val="both"/>
        <w:rPr>
          <w:rFonts w:ascii="Verdana" w:hAnsi="Verdana" w:cs="Arial"/>
          <w:b/>
          <w:bCs/>
          <w:color w:val="000000" w:themeColor="text1"/>
        </w:rPr>
      </w:pPr>
      <w:r w:rsidRPr="008737B6">
        <w:rPr>
          <w:rFonts w:ascii="Verdana" w:hAnsi="Verdana" w:cs="Arial"/>
          <w:b/>
          <w:bCs/>
          <w:color w:val="000000" w:themeColor="text1"/>
        </w:rPr>
        <w:t xml:space="preserve">LEY DE GARANTÍAS ELECTORALES – Artículo 33 – Ámbito material </w:t>
      </w:r>
    </w:p>
    <w:p w14:paraId="7A8B3021" w14:textId="31AFD930" w:rsidR="008737B6" w:rsidRDefault="008737B6" w:rsidP="008737B6">
      <w:pPr>
        <w:widowControl w:val="0"/>
        <w:autoSpaceDE w:val="0"/>
        <w:autoSpaceDN w:val="0"/>
        <w:spacing w:after="120" w:line="240" w:lineRule="auto"/>
        <w:jc w:val="both"/>
        <w:rPr>
          <w:rFonts w:ascii="Verdana" w:hAnsi="Verdana" w:cs="Arial"/>
          <w:sz w:val="20"/>
          <w:szCs w:val="20"/>
          <w:lang w:eastAsia="x-none"/>
        </w:rPr>
      </w:pPr>
      <w:r w:rsidRPr="008737B6">
        <w:rPr>
          <w:rFonts w:ascii="Verdana" w:hAnsi="Verdana" w:cs="Arial"/>
          <w:bCs/>
          <w:sz w:val="20"/>
          <w:szCs w:val="20"/>
          <w:lang w:eastAsia="x-none"/>
        </w:rPr>
        <w:t xml:space="preserve">El ámbito material de la prohibición contenida en el artículo 33 de la Ley 996 de 2005 está delimitado por la expresión </w:t>
      </w:r>
      <w:r w:rsidRPr="008737B6">
        <w:rPr>
          <w:rFonts w:ascii="Verdana" w:eastAsia="Calibri" w:hAnsi="Verdana" w:cs="Arial"/>
          <w:bCs/>
          <w:i/>
          <w:iCs/>
          <w:sz w:val="20"/>
          <w:szCs w:val="20"/>
        </w:rPr>
        <w:t>“</w:t>
      </w:r>
      <w:r w:rsidRPr="008737B6">
        <w:rPr>
          <w:rFonts w:ascii="Verdana" w:hAnsi="Verdana" w:cs="Arial"/>
          <w:bCs/>
          <w:i/>
          <w:iCs/>
          <w:sz w:val="20"/>
          <w:szCs w:val="20"/>
          <w:lang w:eastAsia="x-none"/>
        </w:rPr>
        <w:t>queda prohibida la contratación directa</w:t>
      </w:r>
      <w:r w:rsidRPr="008737B6">
        <w:rPr>
          <w:rFonts w:ascii="Verdana" w:hAnsi="Verdana" w:cs="Arial"/>
          <w:sz w:val="20"/>
          <w:szCs w:val="20"/>
        </w:rPr>
        <w:t>”</w:t>
      </w:r>
      <w:r w:rsidRPr="008737B6">
        <w:rPr>
          <w:rFonts w:ascii="Verdana" w:hAnsi="Verdana" w:cs="Arial"/>
          <w:bCs/>
          <w:sz w:val="20"/>
          <w:szCs w:val="20"/>
          <w:lang w:eastAsia="x-none"/>
        </w:rPr>
        <w:t>.</w:t>
      </w:r>
      <w:r w:rsidRPr="008737B6">
        <w:rPr>
          <w:rFonts w:ascii="Verdana" w:hAnsi="Verdana" w:cs="Arial"/>
          <w:bCs/>
          <w:sz w:val="20"/>
          <w:szCs w:val="20"/>
          <w:lang w:eastAsia="x-none"/>
        </w:rPr>
        <w:t xml:space="preserve"> […] </w:t>
      </w:r>
      <w:r w:rsidRPr="008737B6">
        <w:rPr>
          <w:rFonts w:ascii="Verdana" w:hAnsi="Verdana" w:cs="Arial"/>
          <w:sz w:val="20"/>
          <w:szCs w:val="20"/>
          <w:lang w:eastAsia="x-none"/>
        </w:rPr>
        <w:t xml:space="preserve">De acuerdo con el citado concepto, la prohibición del artículo 33 de la Ley de Garantías Electorales se refiere a </w:t>
      </w:r>
      <w:r w:rsidRPr="008737B6">
        <w:rPr>
          <w:rFonts w:ascii="Verdana" w:hAnsi="Verdana" w:cs="Arial"/>
          <w:sz w:val="20"/>
          <w:szCs w:val="20"/>
          <w:lang w:eastAsia="en-GB"/>
        </w:rPr>
        <w:t>“</w:t>
      </w:r>
      <w:r w:rsidRPr="008737B6">
        <w:rPr>
          <w:rFonts w:ascii="Verdana" w:hAnsi="Verdana" w:cs="Arial"/>
          <w:sz w:val="20"/>
          <w:szCs w:val="20"/>
          <w:lang w:eastAsia="x-none"/>
        </w:rPr>
        <w:t xml:space="preserve">cualquier sistema que no implique convocatoria pública y </w:t>
      </w:r>
      <w:r w:rsidRPr="008737B6">
        <w:rPr>
          <w:rFonts w:ascii="Verdana" w:hAnsi="Verdana" w:cs="Arial"/>
          <w:sz w:val="20"/>
          <w:szCs w:val="20"/>
          <w:lang w:eastAsia="x-none"/>
        </w:rPr>
        <w:lastRenderedPageBreak/>
        <w:t>posibilidad de pluralidad de oferentes</w:t>
      </w:r>
      <w:r w:rsidRPr="008737B6">
        <w:rPr>
          <w:rFonts w:ascii="Verdana" w:hAnsi="Verdana" w:cs="Arial"/>
          <w:sz w:val="20"/>
          <w:szCs w:val="20"/>
          <w:lang w:eastAsia="en-GB"/>
        </w:rPr>
        <w:t>”</w:t>
      </w:r>
      <w:r w:rsidRPr="008737B6">
        <w:rPr>
          <w:rFonts w:ascii="Verdana" w:hAnsi="Verdana" w:cs="Arial"/>
          <w:sz w:val="20"/>
          <w:szCs w:val="20"/>
          <w:lang w:eastAsia="x-none"/>
        </w:rPr>
        <w:t>, por lo que excluye las demás modalidades de contratación previstas en la Ley 1150 de 2007</w:t>
      </w:r>
      <w:r w:rsidRPr="008737B6">
        <w:rPr>
          <w:rFonts w:ascii="Verdana" w:hAnsi="Verdana" w:cs="Arial"/>
          <w:sz w:val="20"/>
          <w:szCs w:val="20"/>
          <w:lang w:eastAsia="x-none"/>
        </w:rPr>
        <w:t>.</w:t>
      </w:r>
    </w:p>
    <w:p w14:paraId="1FCCFF6D" w14:textId="1A696A8E" w:rsidR="008737B6" w:rsidRDefault="008737B6" w:rsidP="008737B6">
      <w:pPr>
        <w:widowControl w:val="0"/>
        <w:autoSpaceDE w:val="0"/>
        <w:autoSpaceDN w:val="0"/>
        <w:spacing w:after="120" w:line="240" w:lineRule="auto"/>
        <w:jc w:val="both"/>
        <w:rPr>
          <w:rFonts w:ascii="Verdana" w:hAnsi="Verdana" w:cs="Arial"/>
          <w:sz w:val="20"/>
          <w:szCs w:val="20"/>
          <w:lang w:eastAsia="x-none"/>
        </w:rPr>
      </w:pPr>
      <w:r>
        <w:rPr>
          <w:rFonts w:ascii="Verdana" w:hAnsi="Verdana" w:cs="Arial"/>
          <w:sz w:val="20"/>
          <w:szCs w:val="20"/>
          <w:lang w:eastAsia="x-none"/>
        </w:rPr>
        <w:t>[…]</w:t>
      </w:r>
    </w:p>
    <w:p w14:paraId="2B338791" w14:textId="51478486" w:rsidR="008737B6" w:rsidRDefault="008737B6" w:rsidP="008737B6">
      <w:pPr>
        <w:spacing w:after="0" w:line="240" w:lineRule="auto"/>
        <w:jc w:val="both"/>
        <w:rPr>
          <w:rFonts w:ascii="Verdana" w:hAnsi="Verdana" w:cs="Arial"/>
          <w:sz w:val="20"/>
          <w:szCs w:val="20"/>
          <w:vertAlign w:val="superscript"/>
          <w:lang w:eastAsia="x-none"/>
        </w:rPr>
      </w:pPr>
      <w:r w:rsidRPr="008737B6">
        <w:rPr>
          <w:rFonts w:ascii="Verdana" w:hAnsi="Verdana" w:cs="Arial"/>
          <w:bCs/>
          <w:sz w:val="20"/>
          <w:szCs w:val="20"/>
          <w:lang w:eastAsia="x-none"/>
        </w:rPr>
        <w:t>[</w:t>
      </w:r>
      <w:r w:rsidR="00E45817">
        <w:rPr>
          <w:rFonts w:ascii="Verdana" w:hAnsi="Verdana" w:cs="Arial"/>
          <w:bCs/>
          <w:sz w:val="20"/>
          <w:szCs w:val="20"/>
          <w:lang w:eastAsia="x-none"/>
        </w:rPr>
        <w:t>…</w:t>
      </w:r>
      <w:r w:rsidRPr="008737B6">
        <w:rPr>
          <w:rFonts w:ascii="Verdana" w:hAnsi="Verdana" w:cs="Arial"/>
          <w:bCs/>
          <w:sz w:val="20"/>
          <w:szCs w:val="20"/>
          <w:lang w:eastAsia="x-none"/>
        </w:rPr>
        <w:t xml:space="preserve">] </w:t>
      </w:r>
      <w:r w:rsidRPr="008737B6">
        <w:rPr>
          <w:rFonts w:ascii="Verdana" w:hAnsi="Verdana" w:cs="Arial"/>
          <w:bCs/>
          <w:sz w:val="20"/>
          <w:szCs w:val="20"/>
          <w:lang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8737B6">
        <w:rPr>
          <w:rFonts w:ascii="Verdana" w:hAnsi="Verdana" w:cs="Arial"/>
          <w:sz w:val="20"/>
          <w:szCs w:val="20"/>
          <w:lang w:eastAsia="x-none"/>
        </w:rPr>
        <w:t>.</w:t>
      </w:r>
      <w:r w:rsidRPr="008737B6">
        <w:rPr>
          <w:rFonts w:ascii="Verdana" w:hAnsi="Verdana" w:cs="Arial"/>
          <w:sz w:val="20"/>
          <w:szCs w:val="20"/>
          <w:vertAlign w:val="superscript"/>
          <w:lang w:eastAsia="x-none"/>
        </w:rPr>
        <w:t xml:space="preserve"> </w:t>
      </w:r>
    </w:p>
    <w:p w14:paraId="4583B6C0" w14:textId="77777777" w:rsidR="008737B6" w:rsidRDefault="008737B6" w:rsidP="008737B6">
      <w:pPr>
        <w:spacing w:after="0" w:line="240" w:lineRule="auto"/>
        <w:jc w:val="both"/>
        <w:rPr>
          <w:rFonts w:ascii="Verdana" w:hAnsi="Verdana" w:cs="Arial"/>
          <w:sz w:val="20"/>
          <w:szCs w:val="20"/>
          <w:vertAlign w:val="superscript"/>
          <w:lang w:eastAsia="x-none"/>
        </w:rPr>
      </w:pPr>
    </w:p>
    <w:p w14:paraId="40B3B8A0" w14:textId="77777777" w:rsidR="00E45817" w:rsidRDefault="008737B6" w:rsidP="008737B6">
      <w:pPr>
        <w:spacing w:after="0" w:line="240" w:lineRule="auto"/>
        <w:jc w:val="both"/>
        <w:rPr>
          <w:rFonts w:ascii="Verdana" w:hAnsi="Verdana" w:cs="Arial"/>
          <w:sz w:val="20"/>
          <w:szCs w:val="20"/>
          <w:vertAlign w:val="superscript"/>
          <w:lang w:eastAsia="x-none"/>
        </w:rPr>
      </w:pPr>
      <w:r w:rsidRPr="008737B6">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30261371" w14:textId="77777777" w:rsidR="00E45817" w:rsidRDefault="00E45817" w:rsidP="008737B6">
      <w:pPr>
        <w:spacing w:after="0" w:line="240" w:lineRule="auto"/>
        <w:jc w:val="both"/>
        <w:rPr>
          <w:rFonts w:ascii="Verdana" w:hAnsi="Verdana" w:cs="Arial"/>
          <w:sz w:val="20"/>
          <w:szCs w:val="20"/>
          <w:vertAlign w:val="superscript"/>
          <w:lang w:eastAsia="x-none"/>
        </w:rPr>
      </w:pPr>
    </w:p>
    <w:p w14:paraId="168ED1F7" w14:textId="49BE99FB" w:rsidR="008737B6" w:rsidRDefault="008737B6" w:rsidP="008737B6">
      <w:pPr>
        <w:spacing w:after="0" w:line="240" w:lineRule="auto"/>
        <w:jc w:val="both"/>
        <w:rPr>
          <w:rFonts w:ascii="Verdana" w:hAnsi="Verdana" w:cs="Arial"/>
          <w:b/>
          <w:bCs/>
          <w:color w:val="000000" w:themeColor="text1"/>
        </w:rPr>
      </w:pPr>
      <w:r w:rsidRPr="008737B6">
        <w:rPr>
          <w:rFonts w:ascii="Verdana" w:hAnsi="Verdana" w:cs="Arial"/>
          <w:b/>
          <w:bCs/>
          <w:color w:val="000000" w:themeColor="text1"/>
        </w:rPr>
        <w:t xml:space="preserve">LEY DE GARANTÍAS ELECTORALES – Destinatarios </w:t>
      </w:r>
    </w:p>
    <w:p w14:paraId="76495EC2" w14:textId="77777777" w:rsidR="00E45817" w:rsidRDefault="00E45817" w:rsidP="008737B6">
      <w:pPr>
        <w:spacing w:after="0" w:line="240" w:lineRule="auto"/>
        <w:jc w:val="both"/>
        <w:rPr>
          <w:rFonts w:ascii="Verdana" w:hAnsi="Verdana" w:cs="Arial"/>
          <w:b/>
          <w:bCs/>
          <w:color w:val="000000" w:themeColor="text1"/>
        </w:rPr>
      </w:pPr>
    </w:p>
    <w:p w14:paraId="130C3E3F" w14:textId="7B5B4318" w:rsidR="00E45817" w:rsidRPr="00E45817" w:rsidRDefault="00E45817" w:rsidP="00E45817">
      <w:pPr>
        <w:spacing w:after="0" w:line="240" w:lineRule="auto"/>
        <w:jc w:val="both"/>
        <w:rPr>
          <w:rFonts w:ascii="Verdana" w:hAnsi="Verdana" w:cs="Arial"/>
          <w:color w:val="000000" w:themeColor="text1"/>
          <w:sz w:val="20"/>
          <w:szCs w:val="20"/>
          <w:lang w:val="es-MX"/>
        </w:rPr>
      </w:pPr>
      <w:r w:rsidRPr="00E45817">
        <w:rPr>
          <w:rFonts w:ascii="Verdana" w:hAnsi="Verdana" w:cs="Arial"/>
          <w:color w:val="000000" w:themeColor="text1"/>
          <w:sz w:val="20"/>
          <w:szCs w:val="20"/>
          <w:lang w:val="es-MX"/>
        </w:rPr>
        <w:t xml:space="preserve">[…] </w:t>
      </w:r>
      <w:r w:rsidRPr="00E45817">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E45817">
        <w:rPr>
          <w:rFonts w:ascii="Verdana" w:hAnsi="Verdana" w:cs="Arial"/>
          <w:i/>
          <w:color w:val="000000" w:themeColor="text1"/>
          <w:sz w:val="20"/>
          <w:szCs w:val="20"/>
          <w:lang w:val="es-MX"/>
        </w:rPr>
        <w:t>todos los entes del Estado</w:t>
      </w:r>
      <w:r w:rsidRPr="00E45817">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22DD333" w14:textId="77777777" w:rsidR="00E45817" w:rsidRPr="00E45817" w:rsidRDefault="00E45817" w:rsidP="008737B6">
      <w:pPr>
        <w:spacing w:after="0" w:line="240" w:lineRule="auto"/>
        <w:jc w:val="both"/>
        <w:rPr>
          <w:rFonts w:ascii="Verdana" w:hAnsi="Verdana" w:cs="Arial"/>
          <w:sz w:val="20"/>
          <w:szCs w:val="20"/>
          <w:vertAlign w:val="superscript"/>
          <w:lang w:val="es-MX" w:eastAsia="x-none"/>
        </w:rPr>
      </w:pPr>
    </w:p>
    <w:p w14:paraId="0F9EE403" w14:textId="7885B568" w:rsidR="008737B6" w:rsidRDefault="008737B6" w:rsidP="008737B6">
      <w:pPr>
        <w:jc w:val="both"/>
        <w:rPr>
          <w:rFonts w:ascii="Verdana" w:hAnsi="Verdana" w:cs="Arial"/>
          <w:b/>
          <w:bCs/>
          <w:color w:val="000000" w:themeColor="text1"/>
        </w:rPr>
      </w:pPr>
      <w:r w:rsidRPr="008737B6">
        <w:rPr>
          <w:rFonts w:ascii="Verdana" w:hAnsi="Verdana" w:cs="Arial"/>
          <w:b/>
          <w:bCs/>
          <w:color w:val="000000" w:themeColor="text1"/>
        </w:rPr>
        <w:t xml:space="preserve">LEY DE GARANTÍAS ELECTORALES – Excepciones </w:t>
      </w:r>
    </w:p>
    <w:p w14:paraId="3F1A3CCE" w14:textId="77777777" w:rsidR="00E45817" w:rsidRDefault="00E45817" w:rsidP="008737B6">
      <w:pPr>
        <w:spacing w:after="0" w:line="240" w:lineRule="auto"/>
        <w:jc w:val="both"/>
        <w:rPr>
          <w:rFonts w:ascii="Verdana" w:hAnsi="Verdana" w:cs="Arial"/>
          <w:bCs/>
          <w:sz w:val="20"/>
          <w:szCs w:val="20"/>
          <w:lang w:eastAsia="x-none"/>
        </w:rPr>
      </w:pPr>
      <w:r w:rsidRPr="00E45817">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45817">
        <w:rPr>
          <w:rFonts w:ascii="Verdana" w:eastAsia="Times New Roman" w:hAnsi="Verdana" w:cs="Arial"/>
          <w:bCs/>
          <w:sz w:val="20"/>
          <w:szCs w:val="20"/>
          <w:lang w:val="es-ES" w:eastAsia="es-CO" w:bidi="es-ES"/>
        </w:rPr>
        <w:t>ii</w:t>
      </w:r>
      <w:proofErr w:type="spellEnd"/>
      <w:r w:rsidRPr="00E45817">
        <w:rPr>
          <w:rFonts w:ascii="Verdana" w:eastAsia="Times New Roman" w:hAnsi="Verdana" w:cs="Arial"/>
          <w:bCs/>
          <w:sz w:val="20"/>
          <w:szCs w:val="20"/>
          <w:lang w:val="es-ES" w:eastAsia="es-CO" w:bidi="es-ES"/>
        </w:rPr>
        <w:t xml:space="preserve">) los contratos de crédito público; </w:t>
      </w:r>
      <w:proofErr w:type="spellStart"/>
      <w:r w:rsidRPr="00E45817">
        <w:rPr>
          <w:rFonts w:ascii="Verdana" w:eastAsia="Times New Roman" w:hAnsi="Verdana" w:cs="Arial"/>
          <w:bCs/>
          <w:sz w:val="20"/>
          <w:szCs w:val="20"/>
          <w:lang w:val="es-ES" w:eastAsia="es-CO" w:bidi="es-ES"/>
        </w:rPr>
        <w:t>iii</w:t>
      </w:r>
      <w:proofErr w:type="spellEnd"/>
      <w:r w:rsidRPr="00E45817">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E45817">
        <w:rPr>
          <w:rFonts w:ascii="Verdana" w:eastAsia="Times New Roman" w:hAnsi="Verdana" w:cs="Arial"/>
          <w:bCs/>
          <w:sz w:val="20"/>
          <w:szCs w:val="20"/>
          <w:lang w:val="es-ES" w:eastAsia="es-CO" w:bidi="es-ES"/>
        </w:rPr>
        <w:t>iv</w:t>
      </w:r>
      <w:proofErr w:type="spellEnd"/>
      <w:r w:rsidRPr="00E45817">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45817">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26E71F62" w14:textId="77777777" w:rsidR="00E45817" w:rsidRDefault="00E45817" w:rsidP="008737B6">
      <w:pPr>
        <w:spacing w:after="0" w:line="240" w:lineRule="auto"/>
        <w:jc w:val="both"/>
        <w:rPr>
          <w:rFonts w:ascii="Verdana" w:hAnsi="Verdana" w:cs="Arial"/>
          <w:bCs/>
          <w:sz w:val="20"/>
          <w:szCs w:val="20"/>
          <w:lang w:eastAsia="x-none"/>
        </w:rPr>
      </w:pPr>
    </w:p>
    <w:p w14:paraId="45EC0E7F" w14:textId="6C9B8FC3" w:rsidR="008737B6" w:rsidRDefault="008737B6" w:rsidP="008737B6">
      <w:pPr>
        <w:spacing w:after="0" w:line="240" w:lineRule="auto"/>
        <w:jc w:val="both"/>
        <w:rPr>
          <w:rFonts w:ascii="Verdana" w:hAnsi="Verdana" w:cs="Arial"/>
          <w:b/>
          <w:bCs/>
          <w:color w:val="000000" w:themeColor="text1"/>
        </w:rPr>
      </w:pPr>
      <w:r w:rsidRPr="008737B6">
        <w:rPr>
          <w:rFonts w:ascii="Verdana" w:hAnsi="Verdana" w:cs="Arial"/>
          <w:b/>
          <w:bCs/>
          <w:color w:val="000000" w:themeColor="text1"/>
        </w:rPr>
        <w:t xml:space="preserve">LEY DE GARANTÍAS ELECTORALES – Parágrafo del artículo 38 </w:t>
      </w:r>
    </w:p>
    <w:p w14:paraId="539918BB" w14:textId="77777777" w:rsidR="00E45817" w:rsidRDefault="00E45817" w:rsidP="008737B6">
      <w:pPr>
        <w:spacing w:after="0" w:line="240" w:lineRule="auto"/>
        <w:jc w:val="both"/>
        <w:rPr>
          <w:rFonts w:ascii="Verdana" w:hAnsi="Verdana" w:cs="Arial"/>
          <w:b/>
          <w:bCs/>
          <w:color w:val="000000" w:themeColor="text1"/>
        </w:rPr>
      </w:pPr>
    </w:p>
    <w:p w14:paraId="7397BD13" w14:textId="77777777" w:rsidR="00E45817" w:rsidRDefault="00E45817" w:rsidP="008737B6">
      <w:pPr>
        <w:spacing w:after="0" w:line="240" w:lineRule="auto"/>
        <w:jc w:val="both"/>
        <w:rPr>
          <w:rFonts w:ascii="Verdana" w:hAnsi="Verdana" w:cs="Arial"/>
          <w:bCs/>
          <w:sz w:val="20"/>
          <w:szCs w:val="20"/>
          <w:lang w:eastAsia="x-none"/>
        </w:rPr>
      </w:pPr>
      <w:r w:rsidRPr="00E45817">
        <w:rPr>
          <w:rFonts w:ascii="Verdana" w:hAnsi="Verdana" w:cs="Arial"/>
          <w:bCs/>
          <w:sz w:val="20"/>
          <w:szCs w:val="20"/>
          <w:lang w:eastAsia="x-none"/>
        </w:rPr>
        <w:t xml:space="preserve">[…] </w:t>
      </w:r>
      <w:r w:rsidRPr="00E45817">
        <w:rPr>
          <w:rFonts w:ascii="Verdana" w:hAnsi="Verdana" w:cs="Arial"/>
          <w:sz w:val="20"/>
          <w:szCs w:val="20"/>
          <w:lang w:val="es-ES"/>
        </w:rPr>
        <w:t xml:space="preserve">respecto del alcance del parágrafo </w:t>
      </w:r>
      <w:r w:rsidRPr="00E45817">
        <w:rPr>
          <w:rFonts w:ascii="Verdana" w:hAnsi="Verdana" w:cs="Arial"/>
          <w:sz w:val="20"/>
          <w:szCs w:val="20"/>
        </w:rPr>
        <w:t xml:space="preserve">del artículo 38 de la Ley 996 de 2005, esta prohibición dispone en primera medida que: “[l]os Gobernadores, </w:t>
      </w:r>
      <w:proofErr w:type="gramStart"/>
      <w:r w:rsidRPr="00E45817">
        <w:rPr>
          <w:rFonts w:ascii="Verdana" w:hAnsi="Verdana" w:cs="Arial"/>
          <w:sz w:val="20"/>
          <w:szCs w:val="20"/>
        </w:rPr>
        <w:t>Alcaldes</w:t>
      </w:r>
      <w:proofErr w:type="gramEnd"/>
      <w:r w:rsidRPr="00E45817">
        <w:rPr>
          <w:rFonts w:ascii="Verdana" w:hAnsi="Verdana" w:cs="Arial"/>
          <w:sz w:val="20"/>
          <w:szCs w:val="20"/>
        </w:rPr>
        <w:t xml:space="preserve"> Municipales y/o Distritales, </w:t>
      </w:r>
      <w:proofErr w:type="gramStart"/>
      <w:r w:rsidRPr="00E45817">
        <w:rPr>
          <w:rFonts w:ascii="Verdana" w:hAnsi="Verdana" w:cs="Arial"/>
          <w:sz w:val="20"/>
          <w:szCs w:val="20"/>
        </w:rPr>
        <w:t>Secretarios</w:t>
      </w:r>
      <w:proofErr w:type="gramEnd"/>
      <w:r w:rsidRPr="00E45817">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E45817">
        <w:rPr>
          <w:rFonts w:ascii="Verdana" w:hAnsi="Verdana" w:cs="Arial"/>
          <w:i/>
          <w:iCs/>
          <w:sz w:val="20"/>
          <w:szCs w:val="20"/>
        </w:rPr>
        <w:t>convenios interadministrativos</w:t>
      </w:r>
      <w:r w:rsidRPr="00E45817">
        <w:rPr>
          <w:rFonts w:ascii="Verdana" w:hAnsi="Verdana" w:cs="Arial"/>
          <w:sz w:val="20"/>
          <w:szCs w:val="20"/>
        </w:rPr>
        <w:t xml:space="preserve"> </w:t>
      </w:r>
      <w:r w:rsidRPr="00E45817">
        <w:rPr>
          <w:rFonts w:ascii="Verdana" w:hAnsi="Verdana" w:cs="Arial"/>
          <w:i/>
          <w:iCs/>
          <w:sz w:val="20"/>
          <w:szCs w:val="20"/>
        </w:rPr>
        <w:t>para la ejecución de recursos públicos</w:t>
      </w:r>
      <w:r w:rsidRPr="00E45817">
        <w:rPr>
          <w:rFonts w:ascii="Verdana" w:hAnsi="Verdana" w:cs="Arial"/>
          <w:sz w:val="20"/>
          <w:szCs w:val="20"/>
        </w:rPr>
        <w:t>”.</w:t>
      </w:r>
    </w:p>
    <w:p w14:paraId="14538764" w14:textId="77777777" w:rsidR="00E45817" w:rsidRDefault="00E45817" w:rsidP="008737B6">
      <w:pPr>
        <w:spacing w:after="0" w:line="240" w:lineRule="auto"/>
        <w:jc w:val="both"/>
        <w:rPr>
          <w:rFonts w:ascii="Verdana" w:hAnsi="Verdana" w:cs="Arial"/>
          <w:bCs/>
          <w:sz w:val="20"/>
          <w:szCs w:val="20"/>
          <w:lang w:eastAsia="x-none"/>
        </w:rPr>
      </w:pPr>
    </w:p>
    <w:p w14:paraId="6BB86111" w14:textId="1F3D78E4" w:rsidR="008737B6" w:rsidRDefault="008737B6" w:rsidP="008737B6">
      <w:pPr>
        <w:spacing w:after="0" w:line="240" w:lineRule="auto"/>
        <w:jc w:val="both"/>
        <w:rPr>
          <w:rFonts w:ascii="Verdana" w:hAnsi="Verdana" w:cs="Arial"/>
          <w:b/>
          <w:bCs/>
          <w:color w:val="000000" w:themeColor="text1"/>
        </w:rPr>
      </w:pPr>
      <w:r w:rsidRPr="008737B6">
        <w:rPr>
          <w:rFonts w:ascii="Verdana" w:hAnsi="Verdana" w:cs="Arial"/>
          <w:b/>
          <w:bCs/>
          <w:color w:val="000000" w:themeColor="text1"/>
        </w:rPr>
        <w:t xml:space="preserve">LEY DE GARANTÍAS ELECTORALES – Convenios y contratos interadministrativos  </w:t>
      </w:r>
    </w:p>
    <w:p w14:paraId="064BC8C7" w14:textId="77777777" w:rsidR="00E45817" w:rsidRDefault="00E45817" w:rsidP="008737B6">
      <w:pPr>
        <w:spacing w:after="0" w:line="240" w:lineRule="auto"/>
        <w:jc w:val="both"/>
        <w:rPr>
          <w:rFonts w:ascii="Verdana" w:hAnsi="Verdana" w:cs="Arial"/>
          <w:b/>
          <w:bCs/>
          <w:color w:val="000000" w:themeColor="text1"/>
        </w:rPr>
      </w:pPr>
    </w:p>
    <w:p w14:paraId="669C6390" w14:textId="5001F94C" w:rsidR="00E45817" w:rsidRDefault="00E45817" w:rsidP="00A17474">
      <w:pPr>
        <w:spacing w:after="0" w:line="240" w:lineRule="auto"/>
        <w:jc w:val="both"/>
        <w:rPr>
          <w:rFonts w:ascii="Verdana" w:hAnsi="Verdana" w:cs="Arial"/>
          <w:sz w:val="20"/>
          <w:szCs w:val="20"/>
          <w:lang w:eastAsia="es-ES"/>
        </w:rPr>
      </w:pPr>
      <w:r w:rsidRPr="00E45817">
        <w:rPr>
          <w:rFonts w:ascii="Verdana" w:eastAsia="Times New Roman" w:hAnsi="Verdana" w:cs="Arial"/>
          <w:color w:val="000000" w:themeColor="text1"/>
          <w:sz w:val="20"/>
          <w:szCs w:val="20"/>
          <w:lang w:val="es-ES" w:eastAsia="es-CO"/>
        </w:rPr>
        <w:t xml:space="preserve">[…] </w:t>
      </w:r>
      <w:r w:rsidRPr="00E45817">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E45817">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00F6495D">
        <w:rPr>
          <w:rFonts w:ascii="Verdana" w:hAnsi="Verdana" w:cs="Arial"/>
          <w:sz w:val="20"/>
          <w:szCs w:val="20"/>
          <w:lang w:eastAsia="es-ES"/>
        </w:rPr>
        <w:t>.</w:t>
      </w:r>
    </w:p>
    <w:p w14:paraId="1A86AA00" w14:textId="77777777" w:rsidR="00F6495D" w:rsidRDefault="00F6495D" w:rsidP="00A17474">
      <w:pPr>
        <w:spacing w:after="0" w:line="240" w:lineRule="auto"/>
        <w:jc w:val="both"/>
        <w:rPr>
          <w:rFonts w:ascii="Verdana" w:hAnsi="Verdana" w:cs="Arial"/>
          <w:sz w:val="20"/>
          <w:szCs w:val="20"/>
          <w:lang w:eastAsia="es-ES"/>
        </w:rPr>
      </w:pPr>
    </w:p>
    <w:p w14:paraId="6B42E4AC" w14:textId="449D0314" w:rsidR="00F6495D" w:rsidRDefault="00F6495D" w:rsidP="00A17474">
      <w:pPr>
        <w:spacing w:after="0" w:line="240" w:lineRule="auto"/>
        <w:jc w:val="both"/>
        <w:rPr>
          <w:rFonts w:ascii="Verdana" w:hAnsi="Verdana" w:cs="Arial"/>
          <w:sz w:val="20"/>
          <w:szCs w:val="20"/>
          <w:lang w:eastAsia="es-ES"/>
        </w:rPr>
      </w:pPr>
      <w:r>
        <w:rPr>
          <w:rFonts w:ascii="Verdana" w:hAnsi="Verdana" w:cs="Arial"/>
          <w:sz w:val="20"/>
          <w:szCs w:val="20"/>
          <w:lang w:eastAsia="es-ES"/>
        </w:rPr>
        <w:t>[…]</w:t>
      </w:r>
    </w:p>
    <w:p w14:paraId="4F1A296A" w14:textId="77777777" w:rsidR="00F6495D" w:rsidRDefault="00F6495D" w:rsidP="00A17474">
      <w:pPr>
        <w:spacing w:after="0" w:line="240" w:lineRule="auto"/>
        <w:jc w:val="both"/>
        <w:rPr>
          <w:rFonts w:ascii="Verdana" w:hAnsi="Verdana" w:cs="Arial"/>
          <w:sz w:val="20"/>
          <w:szCs w:val="20"/>
          <w:lang w:eastAsia="es-ES"/>
        </w:rPr>
      </w:pPr>
    </w:p>
    <w:p w14:paraId="64B46A0C" w14:textId="77777777" w:rsidR="00F6495D" w:rsidRDefault="00F6495D" w:rsidP="00A17474">
      <w:pPr>
        <w:spacing w:after="0" w:line="240" w:lineRule="auto"/>
        <w:jc w:val="both"/>
        <w:rPr>
          <w:rFonts w:ascii="Verdana" w:hAnsi="Verdana" w:cs="Arial"/>
          <w:sz w:val="20"/>
          <w:szCs w:val="20"/>
          <w:lang w:val="es-ES_tradnl"/>
        </w:rPr>
      </w:pPr>
      <w:r w:rsidRPr="00F6495D">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5D532DEE" w14:textId="77777777" w:rsidR="00A17474" w:rsidRDefault="00A17474" w:rsidP="00A17474">
      <w:pPr>
        <w:spacing w:after="0" w:line="240" w:lineRule="auto"/>
        <w:jc w:val="both"/>
        <w:rPr>
          <w:rFonts w:ascii="Verdana" w:hAnsi="Verdana" w:cs="Arial"/>
          <w:b/>
          <w:bCs/>
          <w:color w:val="000000" w:themeColor="text1"/>
        </w:rPr>
      </w:pPr>
    </w:p>
    <w:p w14:paraId="7635C08A" w14:textId="6CF3BAD3" w:rsidR="008737B6" w:rsidRDefault="008737B6" w:rsidP="00F6495D">
      <w:pPr>
        <w:spacing w:after="120" w:line="240" w:lineRule="auto"/>
        <w:jc w:val="both"/>
        <w:rPr>
          <w:rFonts w:ascii="Verdana" w:hAnsi="Verdana" w:cs="Arial"/>
          <w:b/>
          <w:bCs/>
          <w:color w:val="000000" w:themeColor="text1"/>
        </w:rPr>
      </w:pPr>
      <w:r w:rsidRPr="008737B6">
        <w:rPr>
          <w:rFonts w:ascii="Verdana" w:hAnsi="Verdana" w:cs="Arial"/>
          <w:b/>
          <w:bCs/>
          <w:color w:val="000000" w:themeColor="text1"/>
        </w:rPr>
        <w:t xml:space="preserve">LEY DE GARANTÁS ELECTORALES – Posición jurisprudencial </w:t>
      </w:r>
    </w:p>
    <w:p w14:paraId="0FC231CD" w14:textId="77777777" w:rsidR="00F6495D" w:rsidRDefault="00F6495D" w:rsidP="00F6495D">
      <w:pPr>
        <w:spacing w:after="0" w:line="240" w:lineRule="auto"/>
        <w:jc w:val="both"/>
        <w:rPr>
          <w:rFonts w:ascii="Verdana" w:eastAsia="Times New Roman" w:hAnsi="Verdana" w:cs="Arial"/>
          <w:sz w:val="20"/>
          <w:szCs w:val="20"/>
          <w:lang w:eastAsia="es-CO"/>
        </w:rPr>
      </w:pPr>
      <w:r w:rsidRPr="00F6495D">
        <w:rPr>
          <w:rFonts w:ascii="Verdana" w:eastAsia="Times New Roman" w:hAnsi="Verdana" w:cs="Arial"/>
          <w:sz w:val="20"/>
          <w:szCs w:val="20"/>
          <w:lang w:eastAsia="es-CO"/>
        </w:rPr>
        <w:t xml:space="preserve">[…] </w:t>
      </w:r>
      <w:r w:rsidRPr="00F6495D">
        <w:rPr>
          <w:rFonts w:ascii="Verdana" w:eastAsia="Times New Roman" w:hAnsi="Verdana" w:cs="Arial"/>
          <w:sz w:val="20"/>
          <w:szCs w:val="20"/>
          <w:lang w:eastAsia="es-CO"/>
        </w:rPr>
        <w:t xml:space="preserve">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F6495D">
        <w:rPr>
          <w:rFonts w:ascii="Verdana" w:eastAsia="Times New Roman" w:hAnsi="Verdana" w:cs="Arial"/>
          <w:i/>
          <w:iCs/>
          <w:sz w:val="20"/>
          <w:szCs w:val="20"/>
          <w:lang w:eastAsia="es-CO"/>
        </w:rPr>
        <w:t>contratos interadministrativos</w:t>
      </w:r>
      <w:r w:rsidRPr="00F6495D">
        <w:rPr>
          <w:rFonts w:ascii="Verdana" w:eastAsia="Times New Roman" w:hAnsi="Verdana" w:cs="Arial"/>
          <w:sz w:val="20"/>
          <w:szCs w:val="20"/>
          <w:lang w:eastAsia="es-CO"/>
        </w:rPr>
        <w:t xml:space="preserve">, esta prohibición solo aplicaría a los convenios interadministrativos que impliquen la ejecución de recursos públicos. </w:t>
      </w:r>
    </w:p>
    <w:p w14:paraId="3B1F35B0" w14:textId="77777777" w:rsidR="00F6495D" w:rsidRDefault="00F6495D" w:rsidP="00F6495D">
      <w:pPr>
        <w:spacing w:after="0" w:line="240" w:lineRule="auto"/>
        <w:jc w:val="both"/>
        <w:rPr>
          <w:rFonts w:ascii="Verdana" w:eastAsia="Times New Roman" w:hAnsi="Verdana" w:cs="Arial"/>
          <w:sz w:val="20"/>
          <w:szCs w:val="20"/>
          <w:lang w:eastAsia="es-CO"/>
        </w:rPr>
      </w:pPr>
    </w:p>
    <w:p w14:paraId="318F67FD" w14:textId="27FD4A7C" w:rsidR="00F6495D" w:rsidRPr="00F6495D" w:rsidRDefault="00F6495D" w:rsidP="00F6495D">
      <w:pPr>
        <w:spacing w:after="0" w:line="240" w:lineRule="auto"/>
        <w:jc w:val="both"/>
        <w:rPr>
          <w:rFonts w:ascii="Verdana" w:eastAsia="Times New Roman" w:hAnsi="Verdana" w:cs="Arial"/>
          <w:sz w:val="20"/>
          <w:szCs w:val="20"/>
          <w:lang w:eastAsia="es-CO"/>
        </w:rPr>
      </w:pPr>
      <w:r w:rsidRPr="00F6495D">
        <w:rPr>
          <w:rFonts w:ascii="Verdana" w:eastAsia="Times New Roman" w:hAnsi="Verdana" w:cs="Arial"/>
          <w:sz w:val="20"/>
          <w:szCs w:val="20"/>
          <w:lang w:eastAsia="es-CO"/>
        </w:rPr>
        <w:t xml:space="preserve">Conforme a lo señalado por el Consejo de Estado, cuando dos entidades públicas celebren un </w:t>
      </w:r>
      <w:r w:rsidRPr="00F6495D">
        <w:rPr>
          <w:rFonts w:ascii="Verdana" w:eastAsia="Times New Roman" w:hAnsi="Verdana" w:cs="Arial"/>
          <w:i/>
          <w:iCs/>
          <w:sz w:val="20"/>
          <w:szCs w:val="20"/>
          <w:lang w:eastAsia="es-CO"/>
        </w:rPr>
        <w:t>contrato interadministrativo,</w:t>
      </w:r>
      <w:r w:rsidRPr="00F6495D">
        <w:rPr>
          <w:rFonts w:ascii="Verdana" w:eastAsia="Times New Roman" w:hAnsi="Verdana" w:cs="Arial"/>
          <w:sz w:val="20"/>
          <w:szCs w:val="20"/>
          <w:lang w:eastAsia="es-CO"/>
        </w:rPr>
        <w:t xml:space="preserve"> independientemente del objeto, dicho contrato puede suscribirse durante el periodo preelectoral.</w:t>
      </w:r>
    </w:p>
    <w:p w14:paraId="16DE6E6F" w14:textId="77777777" w:rsidR="00F6495D" w:rsidRDefault="00F6495D" w:rsidP="008737B6">
      <w:pPr>
        <w:spacing w:after="0" w:line="240" w:lineRule="auto"/>
        <w:jc w:val="both"/>
        <w:rPr>
          <w:rFonts w:ascii="Verdana" w:eastAsia="Times New Roman" w:hAnsi="Verdana" w:cs="Arial"/>
          <w:sz w:val="20"/>
          <w:szCs w:val="20"/>
          <w:lang w:eastAsia="es-CO"/>
        </w:rPr>
      </w:pPr>
      <w:r w:rsidRPr="00F6495D">
        <w:rPr>
          <w:rFonts w:ascii="Verdana" w:eastAsia="Times New Roman" w:hAnsi="Verdana" w:cs="Arial"/>
          <w:sz w:val="20"/>
          <w:szCs w:val="20"/>
          <w:lang w:eastAsia="es-CO"/>
        </w:rPr>
        <w:t xml:space="preserve">En este aspecto, se encuentra que la restricción para la celebración de convenios interadministrativos para la ejecución de recursos públicos no puede aludirse a contratantes o contratistas, sino de partes cooperantes o colaboradoras. </w:t>
      </w:r>
    </w:p>
    <w:p w14:paraId="0D09AC1F" w14:textId="77777777" w:rsidR="00F6495D" w:rsidRDefault="00F6495D" w:rsidP="008737B6">
      <w:pPr>
        <w:spacing w:after="0" w:line="240" w:lineRule="auto"/>
        <w:jc w:val="both"/>
        <w:rPr>
          <w:rFonts w:ascii="Verdana" w:eastAsia="Times New Roman" w:hAnsi="Verdana" w:cs="Arial"/>
          <w:sz w:val="20"/>
          <w:szCs w:val="20"/>
          <w:lang w:eastAsia="es-CO"/>
        </w:rPr>
      </w:pPr>
    </w:p>
    <w:p w14:paraId="64C5210C" w14:textId="6E3F4A13" w:rsidR="008737B6" w:rsidRDefault="008737B6" w:rsidP="008737B6">
      <w:pPr>
        <w:spacing w:after="0" w:line="240" w:lineRule="auto"/>
        <w:jc w:val="both"/>
        <w:rPr>
          <w:rFonts w:ascii="Verdana" w:hAnsi="Verdana" w:cs="Arial"/>
          <w:b/>
          <w:bCs/>
          <w:color w:val="000000" w:themeColor="text1"/>
        </w:rPr>
      </w:pPr>
      <w:r w:rsidRPr="008737B6">
        <w:rPr>
          <w:rFonts w:ascii="Verdana" w:hAnsi="Verdana" w:cs="Arial"/>
          <w:b/>
          <w:bCs/>
          <w:color w:val="000000" w:themeColor="text1"/>
        </w:rPr>
        <w:t xml:space="preserve">INSTITUCIONES EDUCATIVAS OFICIALES – Naturaleza jurídica – Capacidad para contratar </w:t>
      </w:r>
    </w:p>
    <w:p w14:paraId="3C5A43B6" w14:textId="77777777" w:rsidR="00F6495D" w:rsidRDefault="00F6495D" w:rsidP="008737B6">
      <w:pPr>
        <w:spacing w:after="0" w:line="240" w:lineRule="auto"/>
        <w:jc w:val="both"/>
        <w:rPr>
          <w:rFonts w:ascii="Verdana" w:hAnsi="Verdana" w:cs="Arial"/>
          <w:b/>
          <w:bCs/>
          <w:color w:val="000000" w:themeColor="text1"/>
        </w:rPr>
      </w:pPr>
    </w:p>
    <w:p w14:paraId="6CD9460A" w14:textId="62DDECD3" w:rsidR="00D714BC" w:rsidRPr="00D714BC" w:rsidRDefault="00D714BC" w:rsidP="00D714BC">
      <w:pPr>
        <w:spacing w:after="0" w:line="240" w:lineRule="auto"/>
        <w:jc w:val="both"/>
        <w:rPr>
          <w:rFonts w:ascii="Verdana" w:eastAsia="Arial" w:hAnsi="Verdana" w:cs="Arial"/>
          <w:sz w:val="20"/>
          <w:szCs w:val="20"/>
          <w:lang w:eastAsia="es-MX"/>
        </w:rPr>
      </w:pPr>
      <w:r w:rsidRPr="00D714BC">
        <w:rPr>
          <w:rFonts w:ascii="Verdana" w:eastAsia="Arial" w:hAnsi="Verdana" w:cs="Arial"/>
          <w:sz w:val="20"/>
          <w:szCs w:val="20"/>
          <w:lang w:eastAsia="es-MX"/>
        </w:rPr>
        <w:t xml:space="preserve">[…] </w:t>
      </w:r>
      <w:r w:rsidRPr="00D714BC">
        <w:rPr>
          <w:rFonts w:ascii="Verdana" w:eastAsia="Arial" w:hAnsi="Verdana" w:cs="Arial"/>
          <w:sz w:val="20"/>
          <w:szCs w:val="20"/>
          <w:lang w:eastAsia="es-MX"/>
        </w:rPr>
        <w:t>las instituciones educativas pertenecen a la entidad territorial que haya efectuado su reconocimiento de carácter oficial. Es decir, el sistema educativo es descentralizado por las competencias propias que se les ha otorgado a las entidades territoriales (Departamentos, Municipios, Distritos) para administrar las instituciones educativas, que pueden ser de los diferentes niveles, pero estas no son entidades descentralizadas.</w:t>
      </w:r>
    </w:p>
    <w:p w14:paraId="522BF856" w14:textId="77777777" w:rsidR="00D714BC" w:rsidRDefault="00D714BC" w:rsidP="00D714BC">
      <w:pPr>
        <w:spacing w:after="0" w:line="240" w:lineRule="auto"/>
        <w:jc w:val="both"/>
        <w:rPr>
          <w:rFonts w:ascii="Verdana" w:eastAsia="Arial" w:hAnsi="Verdana" w:cs="Arial"/>
          <w:sz w:val="20"/>
          <w:szCs w:val="20"/>
          <w:lang w:eastAsia="es-MX"/>
        </w:rPr>
      </w:pPr>
    </w:p>
    <w:p w14:paraId="6660E032" w14:textId="7846E0D3" w:rsidR="00D714BC" w:rsidRDefault="00D714BC" w:rsidP="00D714BC">
      <w:pPr>
        <w:spacing w:after="0" w:line="240" w:lineRule="auto"/>
        <w:jc w:val="both"/>
        <w:rPr>
          <w:rFonts w:ascii="Verdana" w:eastAsia="Arial" w:hAnsi="Verdana" w:cs="Arial"/>
          <w:sz w:val="20"/>
          <w:szCs w:val="20"/>
          <w:lang w:eastAsia="es-MX"/>
        </w:rPr>
      </w:pPr>
      <w:r w:rsidRPr="00D714BC">
        <w:rPr>
          <w:rFonts w:ascii="Verdana" w:eastAsia="Arial" w:hAnsi="Verdana" w:cs="Arial"/>
          <w:sz w:val="20"/>
          <w:szCs w:val="20"/>
          <w:lang w:eastAsia="es-MX"/>
        </w:rPr>
        <w:t>Así, las instituciones educativas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p>
    <w:p w14:paraId="00C3FA0D" w14:textId="77777777" w:rsidR="00D714BC" w:rsidRDefault="00D714BC" w:rsidP="00D714BC">
      <w:pPr>
        <w:spacing w:after="0" w:line="240" w:lineRule="auto"/>
        <w:jc w:val="both"/>
        <w:rPr>
          <w:rFonts w:ascii="Verdana" w:eastAsia="Arial" w:hAnsi="Verdana" w:cs="Arial"/>
          <w:sz w:val="20"/>
          <w:szCs w:val="20"/>
          <w:lang w:eastAsia="es-MX"/>
        </w:rPr>
      </w:pPr>
    </w:p>
    <w:p w14:paraId="71CEBF7E" w14:textId="77777777" w:rsidR="00D714BC" w:rsidRDefault="00D714BC" w:rsidP="00D714BC">
      <w:pPr>
        <w:spacing w:after="0" w:line="240" w:lineRule="auto"/>
        <w:jc w:val="both"/>
        <w:rPr>
          <w:rFonts w:ascii="Verdana" w:eastAsia="Arial" w:hAnsi="Verdana" w:cs="Arial"/>
          <w:sz w:val="20"/>
          <w:szCs w:val="20"/>
          <w:lang w:eastAsia="es-MX"/>
        </w:rPr>
      </w:pPr>
      <w:r w:rsidRPr="00D714BC">
        <w:rPr>
          <w:rFonts w:ascii="Verdana" w:eastAsia="Arial" w:hAnsi="Verdana" w:cs="Arial"/>
          <w:sz w:val="20"/>
          <w:szCs w:val="20"/>
          <w:lang w:eastAsia="es-MX"/>
        </w:rPr>
        <w:t>Los fondos de servicios educativos tampoco cuentan con personería jurídica según lo previsto en el artículo 2.3.1.6.3.4 del Decreto 1075 de 2015, Decreto Único Reglamentario del Sector Educación</w:t>
      </w:r>
      <w:r>
        <w:rPr>
          <w:rFonts w:ascii="Verdana" w:eastAsia="Arial" w:hAnsi="Verdana" w:cs="Arial"/>
          <w:sz w:val="20"/>
          <w:szCs w:val="20"/>
          <w:lang w:eastAsia="es-MX"/>
        </w:rPr>
        <w:t>.</w:t>
      </w:r>
    </w:p>
    <w:p w14:paraId="3113B61A" w14:textId="77777777" w:rsidR="00D714BC" w:rsidRDefault="00D714BC" w:rsidP="00D714BC">
      <w:pPr>
        <w:spacing w:after="0" w:line="240" w:lineRule="auto"/>
        <w:jc w:val="both"/>
        <w:rPr>
          <w:rFonts w:ascii="Verdana" w:eastAsia="Arial" w:hAnsi="Verdana" w:cs="Arial"/>
          <w:sz w:val="20"/>
          <w:szCs w:val="20"/>
          <w:lang w:eastAsia="es-MX"/>
        </w:rPr>
      </w:pPr>
    </w:p>
    <w:p w14:paraId="2295CFC2" w14:textId="5C3DD591" w:rsidR="00D714BC" w:rsidRDefault="00D714BC" w:rsidP="00D714BC">
      <w:pPr>
        <w:spacing w:after="0" w:line="240" w:lineRule="auto"/>
        <w:jc w:val="both"/>
        <w:rPr>
          <w:rFonts w:ascii="Verdana" w:eastAsia="Arial" w:hAnsi="Verdana" w:cs="Arial"/>
          <w:sz w:val="20"/>
          <w:szCs w:val="20"/>
          <w:lang w:eastAsia="es-MX"/>
        </w:rPr>
      </w:pPr>
      <w:r w:rsidRPr="00D714BC">
        <w:rPr>
          <w:rFonts w:ascii="Verdana" w:eastAsia="Arial" w:hAnsi="Verdana" w:cs="Arial"/>
          <w:sz w:val="20"/>
          <w:szCs w:val="20"/>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Pr>
          <w:rFonts w:ascii="Verdana" w:eastAsia="Arial" w:hAnsi="Verdana" w:cs="Arial"/>
          <w:sz w:val="20"/>
          <w:szCs w:val="20"/>
          <w:lang w:eastAsia="es-MX"/>
        </w:rPr>
        <w:t>.</w:t>
      </w:r>
    </w:p>
    <w:p w14:paraId="16E89574" w14:textId="77777777" w:rsidR="00D714BC" w:rsidRDefault="00D714BC" w:rsidP="00D714BC">
      <w:pPr>
        <w:spacing w:after="0" w:line="240" w:lineRule="auto"/>
        <w:jc w:val="both"/>
        <w:rPr>
          <w:rFonts w:ascii="Verdana" w:eastAsia="Arial" w:hAnsi="Verdana" w:cs="Arial"/>
          <w:sz w:val="20"/>
          <w:szCs w:val="20"/>
          <w:lang w:eastAsia="es-MX"/>
        </w:rPr>
      </w:pPr>
    </w:p>
    <w:p w14:paraId="4DC7AF4A" w14:textId="5CDAA902" w:rsidR="00D714BC" w:rsidRDefault="00D714BC" w:rsidP="00D714BC">
      <w:pPr>
        <w:spacing w:after="0" w:line="240" w:lineRule="auto"/>
        <w:jc w:val="both"/>
        <w:rPr>
          <w:rFonts w:ascii="Verdana" w:eastAsia="Arial" w:hAnsi="Verdana" w:cs="Arial"/>
          <w:sz w:val="20"/>
          <w:szCs w:val="20"/>
          <w:lang w:eastAsia="es-MX"/>
        </w:rPr>
      </w:pPr>
      <w:r>
        <w:rPr>
          <w:rFonts w:ascii="Verdana" w:eastAsia="Arial" w:hAnsi="Verdana" w:cs="Arial"/>
          <w:sz w:val="20"/>
          <w:szCs w:val="20"/>
          <w:lang w:eastAsia="es-MX"/>
        </w:rPr>
        <w:t>[…]</w:t>
      </w:r>
    </w:p>
    <w:p w14:paraId="5148BC9B" w14:textId="77777777" w:rsidR="00D714BC" w:rsidRDefault="00D714BC" w:rsidP="00D714BC">
      <w:pPr>
        <w:spacing w:after="0" w:line="240" w:lineRule="auto"/>
        <w:jc w:val="both"/>
        <w:rPr>
          <w:rFonts w:ascii="Verdana" w:eastAsia="Arial" w:hAnsi="Verdana" w:cs="Arial"/>
          <w:sz w:val="20"/>
          <w:szCs w:val="20"/>
          <w:lang w:eastAsia="es-MX"/>
        </w:rPr>
      </w:pPr>
    </w:p>
    <w:p w14:paraId="1991F48D" w14:textId="0F5F7F4C" w:rsidR="00D714BC" w:rsidRPr="00D714BC" w:rsidRDefault="00D714BC" w:rsidP="00D714BC">
      <w:pPr>
        <w:spacing w:after="0" w:line="240" w:lineRule="auto"/>
        <w:jc w:val="both"/>
        <w:rPr>
          <w:rFonts w:ascii="Verdana" w:eastAsia="Arial" w:hAnsi="Verdana" w:cs="Arial"/>
          <w:sz w:val="20"/>
          <w:szCs w:val="20"/>
          <w:lang w:eastAsia="es-MX"/>
        </w:rPr>
      </w:pPr>
      <w:r w:rsidRPr="00D714BC">
        <w:rPr>
          <w:rFonts w:ascii="Verdana" w:eastAsia="Arial" w:hAnsi="Verdana" w:cs="Arial"/>
          <w:sz w:val="20"/>
          <w:szCs w:val="20"/>
          <w:lang w:eastAsia="es-MX"/>
        </w:rPr>
        <w:t>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w:t>
      </w:r>
    </w:p>
    <w:p w14:paraId="722A15DC" w14:textId="77777777" w:rsidR="00F6495D" w:rsidRPr="00F6495D" w:rsidRDefault="00F6495D" w:rsidP="008737B6">
      <w:pPr>
        <w:spacing w:after="0" w:line="240" w:lineRule="auto"/>
        <w:jc w:val="both"/>
        <w:rPr>
          <w:rFonts w:ascii="Verdana" w:eastAsia="Times New Roman" w:hAnsi="Verdana" w:cs="Arial"/>
          <w:sz w:val="20"/>
          <w:szCs w:val="20"/>
          <w:lang w:eastAsia="es-CO"/>
        </w:rPr>
      </w:pPr>
    </w:p>
    <w:p w14:paraId="46380133" w14:textId="17757535" w:rsidR="008737B6" w:rsidRPr="008737B6" w:rsidRDefault="008737B6" w:rsidP="008737B6">
      <w:pPr>
        <w:spacing w:after="0" w:line="240" w:lineRule="auto"/>
        <w:jc w:val="both"/>
        <w:rPr>
          <w:rFonts w:ascii="Verdana" w:hAnsi="Verdana" w:cs="Arial"/>
          <w:b/>
          <w:bCs/>
          <w:color w:val="000000" w:themeColor="text1"/>
        </w:rPr>
      </w:pPr>
      <w:r w:rsidRPr="008737B6">
        <w:rPr>
          <w:rFonts w:ascii="Verdana" w:hAnsi="Verdana" w:cs="Arial"/>
          <w:b/>
          <w:bCs/>
          <w:color w:val="000000" w:themeColor="text1"/>
        </w:rPr>
        <w:t xml:space="preserve">INSTITUCIONES EDUCATIVAS OFICIALES – Ley de Garantías Electorales – Aplicación  </w:t>
      </w:r>
    </w:p>
    <w:p w14:paraId="6C443602" w14:textId="77777777" w:rsidR="008737B6" w:rsidRPr="00D714BC" w:rsidRDefault="008737B6" w:rsidP="00A17474">
      <w:pPr>
        <w:spacing w:after="0" w:line="240" w:lineRule="auto"/>
        <w:rPr>
          <w:rFonts w:ascii="Verdana" w:eastAsia="Verdana" w:hAnsi="Verdana" w:cs="Verdana"/>
          <w:sz w:val="20"/>
          <w:szCs w:val="20"/>
        </w:rPr>
      </w:pPr>
    </w:p>
    <w:p w14:paraId="2100F52D" w14:textId="77777777" w:rsidR="00D714BC" w:rsidRPr="00D714BC" w:rsidRDefault="00D714BC" w:rsidP="00A17474">
      <w:pPr>
        <w:spacing w:after="0" w:line="240" w:lineRule="auto"/>
        <w:jc w:val="both"/>
        <w:rPr>
          <w:rFonts w:ascii="Verdana" w:eastAsia="Arial" w:hAnsi="Verdana" w:cs="Arial"/>
          <w:color w:val="000000"/>
          <w:sz w:val="20"/>
          <w:szCs w:val="20"/>
          <w:lang w:eastAsia="es-CO"/>
        </w:rPr>
      </w:pPr>
      <w:r w:rsidRPr="00D714BC">
        <w:rPr>
          <w:rFonts w:ascii="Verdana" w:eastAsia="Arial" w:hAnsi="Verdana" w:cs="Arial"/>
          <w:color w:val="000000" w:themeColor="text1"/>
          <w:sz w:val="20"/>
          <w:szCs w:val="20"/>
          <w:lang w:eastAsia="es-MX"/>
        </w:rPr>
        <w:t xml:space="preserve">[…] </w:t>
      </w:r>
      <w:r w:rsidRPr="00D714BC">
        <w:rPr>
          <w:rFonts w:ascii="Verdana" w:eastAsia="Arial" w:hAnsi="Verdana" w:cs="Arial"/>
          <w:color w:val="000000" w:themeColor="text1"/>
          <w:sz w:val="20"/>
          <w:szCs w:val="20"/>
          <w:lang w:eastAsia="es-MX"/>
        </w:rPr>
        <w:t xml:space="preserve">respecto del análisis sobre la aplicación a la restricción del artículo 33 de la </w:t>
      </w:r>
      <w:r w:rsidRPr="00D714BC">
        <w:rPr>
          <w:rFonts w:ascii="Verdana" w:eastAsia="Arial" w:hAnsi="Verdana" w:cs="Arial"/>
          <w:color w:val="000000" w:themeColor="text1"/>
          <w:sz w:val="20"/>
          <w:szCs w:val="20"/>
          <w:lang w:eastAsia="es-CO"/>
        </w:rPr>
        <w:t xml:space="preserve">Ley 996 de 2005 es necesario considerar que, si bien </w:t>
      </w:r>
      <w:r w:rsidRPr="00D714BC">
        <w:rPr>
          <w:rFonts w:ascii="Verdana" w:eastAsia="Arial" w:hAnsi="Verdana" w:cs="Arial"/>
          <w:sz w:val="20"/>
          <w:szCs w:val="20"/>
          <w:lang w:val="es-ES" w:eastAsia="es-MX"/>
        </w:rPr>
        <w:t xml:space="preserve">el artículo </w:t>
      </w:r>
      <w:r w:rsidRPr="00D714BC">
        <w:rPr>
          <w:rFonts w:ascii="Verdana" w:eastAsia="Arial" w:hAnsi="Verdana" w:cs="Arial"/>
          <w:sz w:val="20"/>
          <w:szCs w:val="20"/>
          <w:lang w:eastAsia="es-MX"/>
        </w:rPr>
        <w:t>13 de la Ley 715 de 2001</w:t>
      </w:r>
      <w:r w:rsidRPr="00D714BC">
        <w:rPr>
          <w:rFonts w:ascii="Verdana" w:eastAsia="Arial" w:hAnsi="Verdana" w:cs="Arial"/>
          <w:color w:val="000000" w:themeColor="text1"/>
          <w:sz w:val="20"/>
          <w:szCs w:val="20"/>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lo cierto es que la prohibición de contratación directa de la Ley de Garantías Electorales aplica independientemente del régimen contractual, por lo que se extiende a los contratos celebrados con cargo a los fondos de servicios educativos, por ser Entes del Estado.</w:t>
      </w:r>
    </w:p>
    <w:p w14:paraId="638C3C70" w14:textId="77777777" w:rsidR="00A17474" w:rsidRDefault="00A17474" w:rsidP="00A17474">
      <w:pPr>
        <w:spacing w:after="0" w:line="240" w:lineRule="auto"/>
        <w:jc w:val="both"/>
        <w:rPr>
          <w:rFonts w:ascii="Verdana" w:eastAsia="Arial" w:hAnsi="Verdana" w:cs="Arial"/>
          <w:color w:val="000000"/>
          <w:sz w:val="20"/>
          <w:szCs w:val="20"/>
          <w:lang w:eastAsia="es-CO"/>
        </w:rPr>
      </w:pPr>
    </w:p>
    <w:p w14:paraId="6EA4A1E1" w14:textId="5F7D4350" w:rsidR="00D714BC" w:rsidRPr="00D714BC" w:rsidRDefault="00D714BC" w:rsidP="00A17474">
      <w:pPr>
        <w:spacing w:after="0" w:line="240" w:lineRule="auto"/>
        <w:jc w:val="both"/>
        <w:rPr>
          <w:rFonts w:ascii="Verdana" w:eastAsia="Arial" w:hAnsi="Verdana" w:cs="Arial"/>
          <w:color w:val="000000"/>
          <w:sz w:val="20"/>
          <w:szCs w:val="20"/>
          <w:lang w:eastAsia="es-CO"/>
        </w:rPr>
      </w:pPr>
      <w:r w:rsidRPr="00D714BC">
        <w:rPr>
          <w:rFonts w:ascii="Verdana" w:eastAsia="Arial" w:hAnsi="Verdana" w:cs="Arial"/>
          <w:color w:val="000000"/>
          <w:sz w:val="20"/>
          <w:szCs w:val="20"/>
          <w:lang w:eastAsia="es-CO"/>
        </w:rPr>
        <w:t xml:space="preserve">[…] </w:t>
      </w:r>
      <w:r w:rsidRPr="00D714BC">
        <w:rPr>
          <w:rFonts w:ascii="Verdana" w:eastAsia="Arial" w:hAnsi="Verdana" w:cs="Arial"/>
          <w:color w:val="000000"/>
          <w:sz w:val="20"/>
          <w:szCs w:val="20"/>
          <w:lang w:eastAsia="es-CO"/>
        </w:rPr>
        <w:t xml:space="preserve">Por tanto, durante la vigencia de la prohibición del artículo 33 de la Ley 996 de 2005 está restringida </w:t>
      </w:r>
      <w:r w:rsidRPr="00D714BC">
        <w:rPr>
          <w:rFonts w:ascii="Verdana" w:eastAsia="Arial" w:hAnsi="Verdana" w:cs="Arial"/>
          <w:i/>
          <w:iCs/>
          <w:color w:val="000000"/>
          <w:sz w:val="20"/>
          <w:szCs w:val="20"/>
          <w:lang w:eastAsia="es-CO"/>
        </w:rPr>
        <w:t>cualquier modalidad de selección que excluya la pluralidad de oferentes</w:t>
      </w:r>
      <w:r w:rsidRPr="00D714BC">
        <w:rPr>
          <w:rFonts w:ascii="Verdana" w:eastAsia="Arial" w:hAnsi="Verdana" w:cs="Arial"/>
          <w:color w:val="000000"/>
          <w:sz w:val="20"/>
          <w:szCs w:val="20"/>
          <w:lang w:eastAsia="es-CO"/>
        </w:rPr>
        <w:t xml:space="preserve">, incluso aunque se realice con fundamento en el régimen especial de contratación realizado con recursos de los fondos de servicios educativos por valor inferior a veinte (20) SMLMV, por implicar una forma de contratación directa. Ahora bien, en vigencia de la Ley de será posible realizar procesos contractuales, siempre que estos incluyan la posibilidad de participación de una pluralidad de oferentes, ya que estos no implicarían una contratación </w:t>
      </w:r>
      <w:r w:rsidRPr="00D714BC">
        <w:rPr>
          <w:rFonts w:ascii="Verdana" w:eastAsia="Arial" w:hAnsi="Verdana" w:cs="Arial"/>
          <w:i/>
          <w:iCs/>
          <w:color w:val="000000"/>
          <w:sz w:val="20"/>
          <w:szCs w:val="20"/>
          <w:lang w:eastAsia="es-CO"/>
        </w:rPr>
        <w:t>directa.</w:t>
      </w:r>
      <w:r w:rsidRPr="00D714BC">
        <w:rPr>
          <w:rFonts w:ascii="Verdana" w:eastAsia="Arial" w:hAnsi="Verdana" w:cs="Arial"/>
          <w:color w:val="000000"/>
          <w:sz w:val="20"/>
          <w:szCs w:val="20"/>
          <w:lang w:eastAsia="es-CO"/>
        </w:rPr>
        <w:t xml:space="preserve">  </w:t>
      </w:r>
    </w:p>
    <w:p w14:paraId="507D6108" w14:textId="77777777" w:rsidR="00A17474" w:rsidRDefault="00A17474" w:rsidP="00A17474">
      <w:pPr>
        <w:spacing w:after="0" w:line="240" w:lineRule="auto"/>
        <w:jc w:val="both"/>
        <w:rPr>
          <w:rFonts w:ascii="Verdana" w:eastAsia="Arial" w:hAnsi="Verdana" w:cs="Arial"/>
          <w:color w:val="000000"/>
          <w:sz w:val="20"/>
          <w:szCs w:val="20"/>
          <w:lang w:eastAsia="es-CO"/>
        </w:rPr>
      </w:pPr>
    </w:p>
    <w:p w14:paraId="7B22B07F" w14:textId="15F76F81" w:rsidR="00D714BC" w:rsidRPr="00D714BC" w:rsidRDefault="00D714BC" w:rsidP="00A17474">
      <w:pPr>
        <w:spacing w:after="0" w:line="240" w:lineRule="auto"/>
        <w:jc w:val="both"/>
        <w:rPr>
          <w:rFonts w:ascii="Verdana" w:eastAsia="Arial" w:hAnsi="Verdana" w:cs="Arial"/>
          <w:color w:val="000000"/>
          <w:sz w:val="20"/>
          <w:szCs w:val="20"/>
          <w:lang w:eastAsia="es-CO"/>
        </w:rPr>
      </w:pPr>
      <w:r w:rsidRPr="00D714BC">
        <w:rPr>
          <w:rFonts w:ascii="Verdana" w:eastAsia="Arial" w:hAnsi="Verdana" w:cs="Arial"/>
          <w:color w:val="000000"/>
          <w:sz w:val="20"/>
          <w:szCs w:val="20"/>
          <w:lang w:eastAsia="es-CO"/>
        </w:rPr>
        <w:t xml:space="preserve">[…] </w:t>
      </w:r>
    </w:p>
    <w:p w14:paraId="2A80EEE0" w14:textId="77777777" w:rsidR="00A17474" w:rsidRDefault="00A17474" w:rsidP="00A17474">
      <w:pPr>
        <w:spacing w:after="0" w:line="240" w:lineRule="auto"/>
        <w:jc w:val="both"/>
        <w:rPr>
          <w:rFonts w:ascii="Verdana" w:eastAsia="Arial" w:hAnsi="Verdana" w:cs="Arial"/>
          <w:color w:val="000000"/>
          <w:sz w:val="20"/>
          <w:szCs w:val="20"/>
          <w:lang w:eastAsia="es-CO"/>
        </w:rPr>
      </w:pPr>
    </w:p>
    <w:p w14:paraId="3CE32582" w14:textId="75006072" w:rsidR="00D714BC" w:rsidRPr="00D714BC" w:rsidRDefault="00D714BC" w:rsidP="00A17474">
      <w:pPr>
        <w:spacing w:after="0" w:line="240" w:lineRule="auto"/>
        <w:jc w:val="both"/>
        <w:rPr>
          <w:rFonts w:ascii="Verdana" w:eastAsia="Arial" w:hAnsi="Verdana" w:cs="Arial"/>
          <w:color w:val="000000"/>
          <w:sz w:val="20"/>
          <w:szCs w:val="20"/>
          <w:lang w:val="es-MX" w:eastAsia="es-CO"/>
        </w:rPr>
      </w:pPr>
      <w:r w:rsidRPr="00D714BC">
        <w:rPr>
          <w:rFonts w:ascii="Verdana" w:eastAsia="Arial" w:hAnsi="Verdana" w:cs="Arial"/>
          <w:color w:val="000000"/>
          <w:sz w:val="20"/>
          <w:szCs w:val="20"/>
          <w:lang w:eastAsia="es-CO"/>
        </w:rPr>
        <w:t xml:space="preserve">En relación </w:t>
      </w:r>
      <w:r w:rsidRPr="00D714BC">
        <w:rPr>
          <w:rFonts w:ascii="Verdana" w:eastAsia="Arial" w:hAnsi="Verdana" w:cs="Arial"/>
          <w:sz w:val="20"/>
          <w:szCs w:val="20"/>
          <w:lang w:val="es-MX" w:eastAsia="es-ES" w:bidi="es-ES"/>
        </w:rPr>
        <w:t>a la prohibición prevista en</w:t>
      </w:r>
      <w:r w:rsidRPr="00D714BC">
        <w:rPr>
          <w:rFonts w:ascii="Verdana" w:eastAsia="Times New Roman" w:hAnsi="Verdana" w:cs="Arial"/>
          <w:sz w:val="20"/>
          <w:szCs w:val="20"/>
          <w:lang w:eastAsia="es-CO"/>
        </w:rPr>
        <w:t xml:space="preserve"> </w:t>
      </w:r>
      <w:r w:rsidRPr="00D714BC">
        <w:rPr>
          <w:rFonts w:ascii="Verdana" w:eastAsia="Times New Roman" w:hAnsi="Verdana" w:cs="Arial"/>
          <w:sz w:val="20"/>
          <w:szCs w:val="20"/>
          <w:lang w:val="es-MX" w:eastAsia="es-CO"/>
        </w:rPr>
        <w:t xml:space="preserve">el parágrafo del artículo 38 de la Ley 996 de 2005 para los Alcaldes, Gobernadores, Secretarios, Gerentes y Directores de las entidades descentralizadas del orden municipal, departamental o distrital en celebrar </w:t>
      </w:r>
      <w:r w:rsidRPr="00D714BC">
        <w:rPr>
          <w:rFonts w:ascii="Verdana" w:eastAsia="Times New Roman" w:hAnsi="Verdana" w:cs="Arial"/>
          <w:i/>
          <w:iCs/>
          <w:sz w:val="20"/>
          <w:szCs w:val="20"/>
          <w:lang w:val="es-MX" w:eastAsia="es-CO"/>
        </w:rPr>
        <w:t>convenios interadministrativos</w:t>
      </w:r>
      <w:r w:rsidRPr="00D714BC">
        <w:rPr>
          <w:rFonts w:ascii="Verdana" w:eastAsia="Times New Roman" w:hAnsi="Verdana" w:cs="Arial"/>
          <w:sz w:val="20"/>
          <w:szCs w:val="20"/>
          <w:lang w:val="es-MX" w:eastAsia="es-CO"/>
        </w:rPr>
        <w:t xml:space="preserve"> para la ejecución de recursos públicos, si una o ambas partes de la relación contractual es una entidad de aquellas descritas en el parágrafo </w:t>
      </w:r>
      <w:r w:rsidRPr="00D714BC">
        <w:rPr>
          <w:rFonts w:ascii="Verdana" w:eastAsia="Times New Roman" w:hAnsi="Verdana" w:cs="Arial"/>
          <w:i/>
          <w:sz w:val="20"/>
          <w:szCs w:val="20"/>
          <w:lang w:val="es-MX" w:eastAsia="es-CO"/>
        </w:rPr>
        <w:t>ibidem</w:t>
      </w:r>
      <w:r w:rsidRPr="00D714BC">
        <w:rPr>
          <w:rFonts w:ascii="Verdana" w:eastAsia="Times New Roman" w:hAnsi="Verdana" w:cs="Arial"/>
          <w:sz w:val="20"/>
          <w:szCs w:val="20"/>
          <w:lang w:val="es-MX" w:eastAsia="es-CO"/>
        </w:rPr>
        <w:t xml:space="preserve">, no podrá celebrar tales </w:t>
      </w:r>
      <w:r w:rsidRPr="00D714BC">
        <w:rPr>
          <w:rFonts w:ascii="Verdana" w:eastAsia="Times New Roman" w:hAnsi="Verdana" w:cs="Arial"/>
          <w:i/>
          <w:iCs/>
          <w:sz w:val="20"/>
          <w:szCs w:val="20"/>
          <w:lang w:val="es-MX" w:eastAsia="es-CO"/>
        </w:rPr>
        <w:t>convenios</w:t>
      </w:r>
      <w:r w:rsidRPr="00D714BC">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C8EB1A3" w14:textId="77777777" w:rsidR="00A17474" w:rsidRDefault="00A17474" w:rsidP="00A17474">
      <w:pPr>
        <w:spacing w:after="0" w:line="240" w:lineRule="auto"/>
        <w:jc w:val="both"/>
        <w:rPr>
          <w:rFonts w:ascii="Verdana" w:eastAsia="Arial" w:hAnsi="Verdana" w:cs="Arial"/>
          <w:bCs/>
          <w:color w:val="000000" w:themeColor="text1"/>
          <w:sz w:val="20"/>
          <w:szCs w:val="20"/>
        </w:rPr>
      </w:pPr>
    </w:p>
    <w:p w14:paraId="7122ADF0" w14:textId="2F58CBC9" w:rsidR="00D714BC" w:rsidRPr="00D714BC" w:rsidRDefault="00D714BC" w:rsidP="00A17474">
      <w:pPr>
        <w:spacing w:after="0" w:line="240" w:lineRule="auto"/>
        <w:jc w:val="both"/>
        <w:rPr>
          <w:rFonts w:ascii="Verdana" w:eastAsia="Arial" w:hAnsi="Verdana" w:cs="Arial"/>
          <w:color w:val="000000"/>
          <w:sz w:val="20"/>
          <w:szCs w:val="20"/>
          <w:lang w:eastAsia="es-CO"/>
        </w:rPr>
      </w:pPr>
      <w:r w:rsidRPr="00D714BC">
        <w:rPr>
          <w:rFonts w:ascii="Verdana" w:eastAsia="Arial" w:hAnsi="Verdana" w:cs="Arial"/>
          <w:bCs/>
          <w:color w:val="000000" w:themeColor="text1"/>
          <w:sz w:val="20"/>
          <w:szCs w:val="20"/>
        </w:rPr>
        <w:t xml:space="preserve">Conforme con lo expuesto, las entidades que requieran adelantar procesos de contratación directa durante el periodo de garantías electorales deberán analizar, primero, si se configuran los supuestos establecidos en </w:t>
      </w:r>
      <w:r w:rsidRPr="00D714BC">
        <w:rPr>
          <w:rFonts w:ascii="Verdana" w:eastAsia="Arial" w:hAnsi="Verdana" w:cs="Arial"/>
          <w:bCs/>
          <w:i/>
          <w:iCs/>
          <w:color w:val="000000" w:themeColor="text1"/>
          <w:sz w:val="20"/>
          <w:szCs w:val="20"/>
        </w:rPr>
        <w:t>el artículo 33</w:t>
      </w:r>
      <w:r w:rsidRPr="00D714BC">
        <w:rPr>
          <w:rFonts w:ascii="Verdana" w:eastAsia="Arial" w:hAnsi="Verdana" w:cs="Arial"/>
          <w:bCs/>
          <w:color w:val="000000" w:themeColor="text1"/>
          <w:sz w:val="20"/>
          <w:szCs w:val="20"/>
        </w:rPr>
        <w:t xml:space="preserve"> de la Ley 996 de 2005, es decir, si se trata de cualquier entidad pública que pretenda adelantar un proceso no competitivo. Adicionalmente, será pertinente analizar si se configura alguna de las excepciones previstas en la norma. </w:t>
      </w:r>
    </w:p>
    <w:p w14:paraId="37EFFFC2" w14:textId="77777777" w:rsidR="00A17474" w:rsidRDefault="00A17474" w:rsidP="00A17474">
      <w:pPr>
        <w:spacing w:after="0" w:line="240" w:lineRule="auto"/>
        <w:jc w:val="both"/>
        <w:rPr>
          <w:rFonts w:ascii="Verdana" w:eastAsia="Calibri" w:hAnsi="Verdana" w:cs="Arial"/>
          <w:sz w:val="20"/>
          <w:szCs w:val="20"/>
        </w:rPr>
      </w:pPr>
    </w:p>
    <w:p w14:paraId="5A77B57D" w14:textId="0941AF55" w:rsidR="00D714BC" w:rsidRPr="00D714BC" w:rsidRDefault="00D714BC" w:rsidP="00A17474">
      <w:pPr>
        <w:spacing w:after="0" w:line="240" w:lineRule="auto"/>
        <w:jc w:val="both"/>
        <w:rPr>
          <w:rFonts w:ascii="Verdana" w:eastAsia="Arial" w:hAnsi="Verdana" w:cs="Arial"/>
          <w:color w:val="000000"/>
          <w:sz w:val="20"/>
          <w:szCs w:val="20"/>
          <w:lang w:eastAsia="es-CO"/>
        </w:rPr>
      </w:pPr>
      <w:r w:rsidRPr="00D714BC">
        <w:rPr>
          <w:rFonts w:ascii="Verdana" w:eastAsia="Calibri" w:hAnsi="Verdana" w:cs="Arial"/>
          <w:sz w:val="20"/>
          <w:szCs w:val="20"/>
        </w:rPr>
        <w:t>En particular, cada Entidad Estatal deberá realizar el correspondiente análisis para definir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D714BC">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0CB44113" w14:textId="77777777" w:rsidR="008737B6" w:rsidRDefault="008737B6" w:rsidP="30821638">
      <w:pPr>
        <w:spacing w:after="0"/>
        <w:rPr>
          <w:rFonts w:ascii="Verdana" w:eastAsia="Verdana" w:hAnsi="Verdana" w:cs="Verdana"/>
        </w:rPr>
      </w:pPr>
    </w:p>
    <w:p w14:paraId="4C7A4F7C" w14:textId="77777777" w:rsidR="008737B6" w:rsidRDefault="008737B6" w:rsidP="30821638">
      <w:pPr>
        <w:spacing w:after="0"/>
        <w:rPr>
          <w:rFonts w:ascii="Verdana" w:eastAsia="Verdana" w:hAnsi="Verdana" w:cs="Verdana"/>
        </w:rPr>
      </w:pPr>
    </w:p>
    <w:p w14:paraId="6B487C1D" w14:textId="77777777" w:rsidR="008737B6" w:rsidRDefault="008737B6" w:rsidP="30821638">
      <w:pPr>
        <w:spacing w:after="0"/>
        <w:rPr>
          <w:rFonts w:ascii="Verdana" w:eastAsia="Verdana" w:hAnsi="Verdana" w:cs="Verdana"/>
        </w:rPr>
      </w:pPr>
    </w:p>
    <w:p w14:paraId="69B61CFC" w14:textId="0B482F3A" w:rsidR="00E55B1C" w:rsidRDefault="00C15139" w:rsidP="30821638">
      <w:pPr>
        <w:spacing w:after="0"/>
        <w:rPr>
          <w:rFonts w:ascii="Verdana" w:eastAsia="Verdana" w:hAnsi="Verdana" w:cs="Verdana"/>
        </w:rPr>
      </w:pPr>
      <w:r w:rsidRPr="30821638">
        <w:rPr>
          <w:rFonts w:ascii="Verdana" w:eastAsia="Verdana" w:hAnsi="Verdana" w:cs="Verdana"/>
        </w:rPr>
        <w:t xml:space="preserve">Bogotá D.C., </w:t>
      </w:r>
      <w:r w:rsidR="00E55B1C">
        <w:rPr>
          <w:rFonts w:ascii="Verdana" w:eastAsia="Verdana" w:hAnsi="Verdana" w:cs="Verdana"/>
        </w:rPr>
        <w:t xml:space="preserve">22 </w:t>
      </w:r>
      <w:proofErr w:type="gramStart"/>
      <w:r w:rsidR="00E55B1C">
        <w:rPr>
          <w:rFonts w:ascii="Verdana" w:eastAsia="Verdana" w:hAnsi="Verdana" w:cs="Verdana"/>
        </w:rPr>
        <w:t>Mayo</w:t>
      </w:r>
      <w:proofErr w:type="gramEnd"/>
      <w:r w:rsidR="00E55B1C">
        <w:rPr>
          <w:rFonts w:ascii="Verdana" w:eastAsia="Verdana" w:hAnsi="Verdana" w:cs="Verdana"/>
        </w:rPr>
        <w:t xml:space="preserve"> 2026</w:t>
      </w:r>
    </w:p>
    <w:p w14:paraId="06E79E8B" w14:textId="454D419B" w:rsidR="00E55B1C" w:rsidRDefault="00E55B1C" w:rsidP="00E55B1C">
      <w:pPr>
        <w:spacing w:after="0"/>
        <w:jc w:val="right"/>
      </w:pPr>
      <w:bookmarkStart w:id="1" w:name="_Hlk214366482"/>
      <w:r w:rsidRPr="00E55B1C">
        <w:drawing>
          <wp:inline distT="0" distB="0" distL="0" distR="0" wp14:anchorId="3FDAA815" wp14:editId="7B30D8BA">
            <wp:extent cx="2081530" cy="445273"/>
            <wp:effectExtent l="0" t="0" r="0" b="0"/>
            <wp:docPr id="8128033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03307" name=""/>
                    <pic:cNvPicPr/>
                  </pic:nvPicPr>
                  <pic:blipFill>
                    <a:blip r:embed="rId10"/>
                    <a:stretch>
                      <a:fillRect/>
                    </a:stretch>
                  </pic:blipFill>
                  <pic:spPr>
                    <a:xfrm>
                      <a:off x="0" y="0"/>
                      <a:ext cx="2114731" cy="452375"/>
                    </a:xfrm>
                    <a:prstGeom prst="rect">
                      <a:avLst/>
                    </a:prstGeom>
                  </pic:spPr>
                </pic:pic>
              </a:graphicData>
            </a:graphic>
          </wp:inline>
        </w:drawing>
      </w:r>
    </w:p>
    <w:p w14:paraId="59FD9F01" w14:textId="00998F70" w:rsidR="002811B3" w:rsidRPr="00E55B1C" w:rsidRDefault="002811B3" w:rsidP="00E55B1C">
      <w:pPr>
        <w:spacing w:after="0"/>
        <w:rPr>
          <w:rFonts w:ascii="Verdana" w:eastAsia="Verdana" w:hAnsi="Verdana" w:cs="Verdana"/>
        </w:rPr>
      </w:pPr>
      <w:r>
        <w:rPr>
          <w:rFonts w:ascii="Verdana" w:eastAsia="Calibri" w:hAnsi="Verdana" w:cs="Arial"/>
          <w:b/>
          <w:bCs/>
          <w:lang w:eastAsia="es-ES"/>
        </w:rPr>
        <w:t>Señor (a)</w:t>
      </w:r>
    </w:p>
    <w:p w14:paraId="71C9C5BF" w14:textId="77777777" w:rsidR="002811B3" w:rsidRPr="00EC5EC3" w:rsidRDefault="002811B3" w:rsidP="002811B3">
      <w:pPr>
        <w:spacing w:after="0" w:line="240" w:lineRule="auto"/>
        <w:jc w:val="both"/>
        <w:rPr>
          <w:rFonts w:ascii="Verdana" w:eastAsia="Calibri" w:hAnsi="Verdana" w:cs="Arial"/>
          <w:b/>
          <w:bCs/>
          <w:lang w:eastAsia="es-ES"/>
        </w:rPr>
      </w:pPr>
      <w:r>
        <w:rPr>
          <w:rFonts w:ascii="Verdana" w:eastAsia="Calibri" w:hAnsi="Verdana" w:cs="Arial"/>
          <w:b/>
          <w:bCs/>
          <w:lang w:eastAsia="es-ES"/>
        </w:rPr>
        <w:t>Ciudadano (a)</w:t>
      </w:r>
    </w:p>
    <w:p w14:paraId="64B42F2A" w14:textId="77777777" w:rsidR="002811B3" w:rsidRPr="002D339E" w:rsidRDefault="002811B3" w:rsidP="002811B3">
      <w:pPr>
        <w:spacing w:after="0" w:line="240" w:lineRule="auto"/>
        <w:jc w:val="both"/>
        <w:rPr>
          <w:rFonts w:ascii="Verdana" w:hAnsi="Verdana"/>
          <w:b/>
          <w:bCs/>
        </w:rPr>
      </w:pPr>
      <w:hyperlink r:id="rId11" w:history="1">
        <w:r w:rsidRPr="002D339E">
          <w:rPr>
            <w:rStyle w:val="Hipervnculo"/>
            <w:rFonts w:ascii="Verdana" w:hAnsi="Verdana"/>
            <w:b/>
            <w:bCs/>
          </w:rPr>
          <w:t>tonobulabitar@gmail.com</w:t>
        </w:r>
      </w:hyperlink>
    </w:p>
    <w:p w14:paraId="6F8244FB" w14:textId="77777777" w:rsidR="002811B3" w:rsidRPr="007F2AEC" w:rsidRDefault="002811B3" w:rsidP="002811B3">
      <w:pPr>
        <w:spacing w:after="0" w:line="240" w:lineRule="auto"/>
        <w:jc w:val="both"/>
        <w:rPr>
          <w:rFonts w:ascii="Verdana" w:hAnsi="Verdana"/>
        </w:rPr>
      </w:pPr>
      <w:r>
        <w:rPr>
          <w:rFonts w:ascii="Verdana" w:hAnsi="Verdana"/>
        </w:rPr>
        <w:t xml:space="preserve">Ciudad </w:t>
      </w:r>
    </w:p>
    <w:p w14:paraId="739D5282" w14:textId="77777777" w:rsidR="002811B3" w:rsidRPr="007F2AEC" w:rsidRDefault="002811B3" w:rsidP="002811B3">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811B3" w:rsidRPr="005644FE" w14:paraId="4DB11E39" w14:textId="77777777" w:rsidTr="005C707D">
        <w:trPr>
          <w:trHeight w:val="162"/>
        </w:trPr>
        <w:tc>
          <w:tcPr>
            <w:tcW w:w="3119" w:type="dxa"/>
          </w:tcPr>
          <w:p w14:paraId="757332D8" w14:textId="77777777" w:rsidR="002811B3" w:rsidRPr="007F2AEC" w:rsidRDefault="002811B3" w:rsidP="005C707D">
            <w:pPr>
              <w:jc w:val="both"/>
              <w:rPr>
                <w:rFonts w:ascii="Verdana" w:eastAsia="Calibri" w:hAnsi="Verdana" w:cs="Arial"/>
                <w:b/>
                <w:bCs/>
                <w:color w:val="7030A0"/>
                <w:lang w:eastAsia="es-ES_tradnl"/>
              </w:rPr>
            </w:pPr>
          </w:p>
        </w:tc>
        <w:tc>
          <w:tcPr>
            <w:tcW w:w="5670" w:type="dxa"/>
          </w:tcPr>
          <w:p w14:paraId="5F727EC7" w14:textId="77777777" w:rsidR="002811B3" w:rsidRPr="005644FE" w:rsidRDefault="002811B3" w:rsidP="005C707D">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580 de 2026</w:t>
            </w:r>
          </w:p>
          <w:p w14:paraId="4676914D" w14:textId="77777777" w:rsidR="002811B3" w:rsidRPr="005644FE" w:rsidRDefault="002811B3" w:rsidP="005C707D">
            <w:pPr>
              <w:jc w:val="both"/>
              <w:rPr>
                <w:rFonts w:ascii="Verdana" w:eastAsia="Calibri" w:hAnsi="Verdana" w:cs="Arial"/>
                <w:b/>
                <w:bCs/>
                <w:color w:val="7030A0"/>
                <w:lang w:eastAsia="es-ES"/>
              </w:rPr>
            </w:pPr>
          </w:p>
        </w:tc>
      </w:tr>
      <w:tr w:rsidR="002811B3" w:rsidRPr="005644FE" w14:paraId="701D4F8F" w14:textId="77777777" w:rsidTr="005C707D">
        <w:trPr>
          <w:trHeight w:val="884"/>
        </w:trPr>
        <w:tc>
          <w:tcPr>
            <w:tcW w:w="3119" w:type="dxa"/>
          </w:tcPr>
          <w:p w14:paraId="1EE15616" w14:textId="77777777" w:rsidR="002811B3" w:rsidRPr="005644FE" w:rsidRDefault="002811B3" w:rsidP="005C707D">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45B05A9D" w14:textId="77777777" w:rsidR="002811B3" w:rsidRPr="00DD0073" w:rsidRDefault="002811B3" w:rsidP="005C707D">
            <w:pPr>
              <w:spacing w:line="276" w:lineRule="auto"/>
              <w:jc w:val="both"/>
              <w:rPr>
                <w:rFonts w:ascii="Verdana" w:hAnsi="Verdana" w:cs="Arial"/>
                <w:color w:val="000000" w:themeColor="text1"/>
              </w:rPr>
            </w:pPr>
            <w:r w:rsidRPr="00DD0073">
              <w:rPr>
                <w:rFonts w:ascii="Verdana" w:hAnsi="Verdana" w:cs="Arial"/>
                <w:color w:val="000000" w:themeColor="text1"/>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LEY DE GARANTÍAS ELECTORALES – Parágrafo del artículo 38 </w:t>
            </w:r>
            <w:r>
              <w:rPr>
                <w:rFonts w:ascii="Verdana" w:hAnsi="Verdana" w:cs="Arial"/>
                <w:color w:val="000000" w:themeColor="text1"/>
              </w:rPr>
              <w:t xml:space="preserve">– LEY DE GARANTÍAS ELECTORALES – Convenios y contratos interadministrativos  / LEY DE GARANTÁS ELECTORALES – Posición jurisprudencial / </w:t>
            </w:r>
            <w:r w:rsidRPr="00DD0073">
              <w:rPr>
                <w:rFonts w:ascii="Verdana" w:hAnsi="Verdana" w:cs="Arial"/>
                <w:color w:val="000000" w:themeColor="text1"/>
              </w:rPr>
              <w:t xml:space="preserve">INSTITUCIONES EDUCATIVAS OFICIALES – Naturaleza jurídica – Capacidad para contratar / INSTITUCIONES EDUCATIVAS OFICIALES – Ley de Garantías Electorales – Aplicación  </w:t>
            </w:r>
          </w:p>
          <w:p w14:paraId="199123F6" w14:textId="77777777" w:rsidR="002811B3" w:rsidRPr="00DD0073" w:rsidRDefault="002811B3" w:rsidP="005C707D">
            <w:pPr>
              <w:spacing w:line="276" w:lineRule="auto"/>
              <w:jc w:val="both"/>
              <w:rPr>
                <w:rFonts w:ascii="Verdana" w:eastAsia="Calibri" w:hAnsi="Verdana" w:cs="Arial"/>
                <w:lang w:eastAsia="es-ES"/>
              </w:rPr>
            </w:pPr>
          </w:p>
        </w:tc>
      </w:tr>
      <w:tr w:rsidR="002811B3" w:rsidRPr="005644FE" w14:paraId="119F8794" w14:textId="77777777" w:rsidTr="005C707D">
        <w:tc>
          <w:tcPr>
            <w:tcW w:w="3119" w:type="dxa"/>
          </w:tcPr>
          <w:p w14:paraId="2F820DD2" w14:textId="77777777" w:rsidR="002811B3" w:rsidRPr="005644FE" w:rsidRDefault="002811B3" w:rsidP="005C707D">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2B590848" w14:textId="77777777" w:rsidR="002811B3" w:rsidRPr="00F04657" w:rsidRDefault="002811B3" w:rsidP="005C707D">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2D339E">
              <w:rPr>
                <w:rFonts w:ascii="Verdana" w:eastAsia="Calibri" w:hAnsi="Verdana" w:cs="Arial"/>
                <w:lang w:eastAsia="es-ES"/>
              </w:rPr>
              <w:t>1_2026_04_10_004856</w:t>
            </w:r>
          </w:p>
        </w:tc>
      </w:tr>
    </w:tbl>
    <w:p w14:paraId="3020EEF1" w14:textId="77777777" w:rsidR="002811B3" w:rsidRPr="005644FE" w:rsidRDefault="002811B3" w:rsidP="002811B3">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7A7B5389" w14:textId="77777777" w:rsidR="002811B3" w:rsidRPr="005644FE" w:rsidRDefault="002811B3" w:rsidP="002811B3">
      <w:pPr>
        <w:spacing w:after="0" w:line="276" w:lineRule="auto"/>
        <w:jc w:val="both"/>
        <w:rPr>
          <w:rFonts w:ascii="Verdana" w:eastAsia="Calibri" w:hAnsi="Verdana" w:cs="Arial"/>
          <w:lang w:eastAsia="es-ES"/>
        </w:rPr>
      </w:pPr>
      <w:r>
        <w:rPr>
          <w:rFonts w:ascii="Verdana" w:eastAsia="Calibri" w:hAnsi="Verdana" w:cs="Arial"/>
          <w:lang w:eastAsia="es-ES"/>
        </w:rPr>
        <w:t xml:space="preserve">Estimado (a) ciudadano (a): </w:t>
      </w:r>
    </w:p>
    <w:p w14:paraId="6840B39E" w14:textId="77777777" w:rsidR="002811B3" w:rsidRPr="00E02524" w:rsidRDefault="002811B3" w:rsidP="002811B3">
      <w:pPr>
        <w:spacing w:after="0" w:line="276" w:lineRule="auto"/>
        <w:jc w:val="both"/>
        <w:rPr>
          <w:rFonts w:ascii="Verdana" w:hAnsi="Verdana"/>
          <w:lang w:val="es-MX"/>
        </w:rPr>
      </w:pPr>
    </w:p>
    <w:p w14:paraId="15379030" w14:textId="77777777" w:rsidR="002811B3" w:rsidRDefault="002811B3" w:rsidP="002811B3">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 xml:space="preserve">10 de abril de 2026, </w:t>
      </w:r>
      <w:r w:rsidRPr="005644FE">
        <w:rPr>
          <w:rFonts w:ascii="Verdana" w:eastAsia="Calibri" w:hAnsi="Verdana" w:cs="Arial"/>
          <w:lang w:eastAsia="es-ES"/>
        </w:rPr>
        <w:t>en la cual manifiesta lo siguiente:</w:t>
      </w:r>
    </w:p>
    <w:p w14:paraId="0FA34879" w14:textId="77777777" w:rsidR="002811B3" w:rsidRPr="002D339E" w:rsidRDefault="002811B3" w:rsidP="002811B3">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062004EE" w14:textId="77777777" w:rsidR="002811B3" w:rsidRDefault="002811B3" w:rsidP="002811B3">
      <w:pPr>
        <w:spacing w:after="0" w:line="240" w:lineRule="auto"/>
        <w:ind w:left="709" w:right="709"/>
        <w:jc w:val="both"/>
        <w:rPr>
          <w:rFonts w:ascii="Verdana" w:hAnsi="Verdana"/>
          <w:sz w:val="20"/>
          <w:szCs w:val="20"/>
        </w:rPr>
      </w:pPr>
      <w:r>
        <w:rPr>
          <w:rFonts w:ascii="Verdana" w:hAnsi="Verdana"/>
          <w:sz w:val="20"/>
          <w:szCs w:val="20"/>
        </w:rPr>
        <w:t xml:space="preserve">“(…) </w:t>
      </w:r>
      <w:r w:rsidRPr="002D339E">
        <w:rPr>
          <w:rFonts w:ascii="Verdana" w:hAnsi="Verdana"/>
          <w:sz w:val="20"/>
          <w:szCs w:val="20"/>
        </w:rPr>
        <w:t xml:space="preserve">¿Pueden las instituciones educativas realizar contratos en ley de garantías? </w:t>
      </w:r>
      <w:r>
        <w:rPr>
          <w:rFonts w:ascii="Verdana" w:hAnsi="Verdana"/>
          <w:sz w:val="20"/>
          <w:szCs w:val="20"/>
        </w:rPr>
        <w:t>(…)</w:t>
      </w:r>
    </w:p>
    <w:p w14:paraId="1569D011" w14:textId="77777777" w:rsidR="002811B3" w:rsidRPr="00647D77" w:rsidRDefault="002811B3" w:rsidP="002811B3">
      <w:pPr>
        <w:spacing w:after="0" w:line="240" w:lineRule="auto"/>
        <w:ind w:right="709"/>
        <w:jc w:val="both"/>
        <w:rPr>
          <w:rFonts w:ascii="Verdana" w:hAnsi="Verdana"/>
        </w:rPr>
      </w:pPr>
    </w:p>
    <w:p w14:paraId="175FD918" w14:textId="77777777" w:rsidR="002811B3" w:rsidRPr="00F64722" w:rsidRDefault="002811B3" w:rsidP="002811B3">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3183B0B" w14:textId="77777777" w:rsidR="002811B3" w:rsidRPr="00C52681" w:rsidRDefault="002811B3" w:rsidP="002811B3">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petición, pero señalando algunas consideraciones sobre las normas generales relacionadas al problema jurídico de su consulta.</w:t>
      </w:r>
      <w:r w:rsidRPr="00C52681">
        <w:rPr>
          <w:rFonts w:ascii="Verdana" w:eastAsia="Calibri" w:hAnsi="Verdana" w:cs="Arial"/>
          <w:lang w:eastAsia="es-ES"/>
        </w:rPr>
        <w:t xml:space="preserve">  </w:t>
      </w:r>
    </w:p>
    <w:p w14:paraId="639E0037" w14:textId="77777777" w:rsidR="002811B3" w:rsidRPr="00C52681" w:rsidRDefault="002811B3" w:rsidP="002811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52681">
        <w:rPr>
          <w:rFonts w:ascii="Verdana" w:eastAsia="Century Gothic" w:hAnsi="Verdana" w:cs="Century Gothic"/>
          <w:b/>
          <w:bCs/>
        </w:rPr>
        <w:t>Problema planteado:</w:t>
      </w:r>
    </w:p>
    <w:p w14:paraId="3F7B3B69" w14:textId="77777777" w:rsidR="002811B3" w:rsidRDefault="002811B3" w:rsidP="002811B3">
      <w:pPr>
        <w:spacing w:after="0" w:line="240" w:lineRule="auto"/>
        <w:jc w:val="both"/>
        <w:rPr>
          <w:rFonts w:ascii="Verdana" w:eastAsia="Calibri" w:hAnsi="Verdana" w:cs="Arial"/>
          <w:color w:val="000000"/>
          <w:lang w:eastAsia="es-ES"/>
        </w:rPr>
      </w:pPr>
    </w:p>
    <w:p w14:paraId="75A30787" w14:textId="77777777" w:rsidR="002811B3" w:rsidRDefault="002811B3" w:rsidP="002811B3">
      <w:pPr>
        <w:spacing w:after="0" w:line="276" w:lineRule="auto"/>
        <w:jc w:val="both"/>
        <w:rPr>
          <w:rFonts w:ascii="Verdana" w:eastAsia="Century Gothic" w:hAnsi="Verdana" w:cs="Century Gothic"/>
        </w:rPr>
      </w:pPr>
      <w:r w:rsidRPr="00C52681">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w:t>
      </w:r>
      <w:r w:rsidRPr="005649AA">
        <w:rPr>
          <w:rFonts w:ascii="Verdana" w:eastAsia="Century Gothic" w:hAnsi="Verdana" w:cs="Century Gothic"/>
        </w:rPr>
        <w:t xml:space="preserve">¿Las restricciones contenidas en la Ley de Garantías Electorales en materia de contratación estatal son aplicables a </w:t>
      </w:r>
      <w:r w:rsidRPr="0088710E">
        <w:rPr>
          <w:rFonts w:ascii="Verdana" w:eastAsia="Century Gothic" w:hAnsi="Verdana" w:cs="Century Gothic"/>
        </w:rPr>
        <w:t>las Instituciones Educativas Oficiales - Régimen Especial</w:t>
      </w:r>
      <w:r w:rsidRPr="005649AA">
        <w:rPr>
          <w:rFonts w:ascii="Verdana" w:eastAsia="Century Gothic" w:hAnsi="Verdana" w:cs="Century Gothic"/>
        </w:rPr>
        <w:t>?</w:t>
      </w:r>
    </w:p>
    <w:p w14:paraId="0A64C4D3" w14:textId="77777777" w:rsidR="002811B3" w:rsidRDefault="002811B3" w:rsidP="002811B3">
      <w:pPr>
        <w:spacing w:after="0" w:line="240" w:lineRule="auto"/>
        <w:jc w:val="both"/>
        <w:rPr>
          <w:rFonts w:ascii="Verdana" w:eastAsia="Century Gothic" w:hAnsi="Verdana" w:cs="Century Gothic"/>
          <w:b/>
          <w:bCs/>
        </w:rPr>
      </w:pPr>
    </w:p>
    <w:p w14:paraId="56DF9304" w14:textId="77777777" w:rsidR="002811B3" w:rsidRPr="00C97CA6" w:rsidRDefault="002811B3" w:rsidP="002811B3">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5A17DB6A" w14:textId="77777777" w:rsidR="002811B3" w:rsidRPr="005644FE" w:rsidRDefault="002811B3" w:rsidP="002811B3">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811B3" w:rsidRPr="005644FE" w14:paraId="788C4C0B" w14:textId="77777777" w:rsidTr="005C707D">
        <w:tc>
          <w:tcPr>
            <w:tcW w:w="8828" w:type="dxa"/>
          </w:tcPr>
          <w:p w14:paraId="60495EFA" w14:textId="77777777" w:rsidR="002811B3" w:rsidRDefault="002811B3" w:rsidP="005C707D">
            <w:pPr>
              <w:spacing w:after="120" w:line="276" w:lineRule="auto"/>
              <w:jc w:val="both"/>
              <w:rPr>
                <w:rFonts w:ascii="Verdana" w:eastAsia="Calibri" w:hAnsi="Verdana" w:cs="Arial"/>
                <w:lang w:eastAsia="es-ES"/>
              </w:rPr>
            </w:pPr>
            <w:r w:rsidRPr="006A09E3">
              <w:rPr>
                <w:rFonts w:ascii="Verdana" w:eastAsia="Calibri" w:hAnsi="Verdana" w:cs="Arial"/>
                <w:lang w:eastAsia="es-ES"/>
              </w:rPr>
              <w:t xml:space="preserve">Las restricciones contenidas en el artículo 33 de la Ley 996 de 2005 aplica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79CD851E" w14:textId="77777777" w:rsidR="002811B3" w:rsidRDefault="002811B3" w:rsidP="005C707D">
            <w:pPr>
              <w:spacing w:after="120" w:line="276" w:lineRule="auto"/>
              <w:ind w:firstLine="709"/>
              <w:jc w:val="both"/>
              <w:rPr>
                <w:rFonts w:ascii="Verdana" w:eastAsia="Calibri" w:hAnsi="Verdana" w:cs="Arial"/>
                <w:lang w:eastAsia="es-ES"/>
              </w:rPr>
            </w:pPr>
            <w:r w:rsidRPr="00671AB3">
              <w:rPr>
                <w:rFonts w:ascii="Verdana" w:eastAsia="Calibri" w:hAnsi="Verdana" w:cs="Arial"/>
                <w:lang w:eastAsia="es-ES"/>
              </w:rPr>
              <w:t>La restricción contemplada en el parágrafo del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parágrafo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5C78CA1B" w14:textId="77777777" w:rsidR="002811B3" w:rsidRPr="00671AB3" w:rsidRDefault="002811B3" w:rsidP="005C707D">
            <w:pPr>
              <w:spacing w:after="120" w:line="276" w:lineRule="auto"/>
              <w:ind w:firstLine="709"/>
              <w:jc w:val="both"/>
              <w:rPr>
                <w:rFonts w:ascii="Verdana" w:eastAsia="Calibri" w:hAnsi="Verdana" w:cs="Arial"/>
                <w:lang w:eastAsia="es-ES"/>
              </w:rPr>
            </w:pPr>
            <w:r>
              <w:rPr>
                <w:rFonts w:ascii="Verdana" w:eastAsia="Calibri" w:hAnsi="Verdana" w:cs="Arial"/>
              </w:rPr>
              <w:t>E</w:t>
            </w:r>
            <w:r w:rsidRPr="009C10B7">
              <w:rPr>
                <w:rFonts w:ascii="Verdana" w:eastAsia="Calibri" w:hAnsi="Verdana" w:cs="Arial"/>
              </w:rPr>
              <w:t xml:space="preserve">n relación con el problema jurídico planteado, se resalta que </w:t>
            </w:r>
            <w:r w:rsidRPr="009C10B7">
              <w:rPr>
                <w:rFonts w:ascii="Verdana" w:eastAsia="Arial" w:hAnsi="Verdana" w:cs="Arial"/>
                <w:lang w:eastAsia="es-MX"/>
              </w:rPr>
              <w:t>las instituciones educativas pertenecen a la entidad territorial que haya efectuado su reconocimiento de carácter oficial. Es decir, el sistema educativo es descentralizado por las competencias propias que se les ha otorgado a las entidades territoriales (Departamentos, Municipios, Distritos) para administrar las instituciones educativas, que pueden ser de los diferentes niveles, pero estas no son entidades descentralizadas.</w:t>
            </w:r>
          </w:p>
          <w:p w14:paraId="20EE518A" w14:textId="77777777" w:rsidR="002811B3" w:rsidRPr="00072C23" w:rsidRDefault="002811B3" w:rsidP="005C707D">
            <w:pPr>
              <w:spacing w:after="120" w:line="276" w:lineRule="auto"/>
              <w:ind w:firstLine="709"/>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p>
          <w:p w14:paraId="71BAEBE7" w14:textId="77777777" w:rsidR="002811B3" w:rsidRPr="00B96E97" w:rsidRDefault="002811B3" w:rsidP="005C707D">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r>
              <w:rPr>
                <w:rFonts w:ascii="Verdana" w:eastAsia="Arial" w:hAnsi="Verdana" w:cs="Arial"/>
                <w:lang w:eastAsia="es-MX"/>
              </w:rPr>
              <w:t>, de tal manera que el rector o director rural es el ordenador del gasto del Fondo de Servicios educativos.</w:t>
            </w:r>
          </w:p>
          <w:p w14:paraId="2AF8F5C7" w14:textId="77777777" w:rsidR="002811B3" w:rsidRDefault="002811B3" w:rsidP="005C707D">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 </w:t>
            </w:r>
          </w:p>
          <w:p w14:paraId="2BF9ACAF" w14:textId="77777777" w:rsidR="002811B3" w:rsidRDefault="002811B3" w:rsidP="005C707D">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246283CD" w14:textId="77777777" w:rsidR="002811B3" w:rsidRPr="00072C23" w:rsidRDefault="002811B3" w:rsidP="005C707D">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w:t>
            </w:r>
            <w:r>
              <w:rPr>
                <w:rFonts w:ascii="Verdana" w:eastAsia="Arial" w:hAnsi="Verdana" w:cs="Arial"/>
                <w:color w:val="000000" w:themeColor="text1"/>
                <w:lang w:eastAsia="es-MX"/>
              </w:rPr>
              <w:t>respecto del análisis sobre la aplicación a</w:t>
            </w:r>
            <w:r w:rsidRPr="00072C23">
              <w:rPr>
                <w:rFonts w:ascii="Verdana" w:eastAsia="Arial" w:hAnsi="Verdana" w:cs="Arial"/>
                <w:color w:val="000000" w:themeColor="text1"/>
                <w:lang w:eastAsia="es-MX"/>
              </w:rPr>
              <w:t xml:space="preserve"> la restricción del artículo 33 de la </w:t>
            </w:r>
            <w:r w:rsidRPr="00072C23">
              <w:rPr>
                <w:rFonts w:ascii="Verdana" w:eastAsia="Arial" w:hAnsi="Verdana" w:cs="Arial"/>
                <w:color w:val="000000" w:themeColor="text1"/>
                <w:lang w:eastAsia="es-CO"/>
              </w:rPr>
              <w:t>Ley 996 de 2005 es necesario considerar que</w:t>
            </w:r>
            <w:r>
              <w:rPr>
                <w:rFonts w:ascii="Verdana" w:eastAsia="Arial" w:hAnsi="Verdana" w:cs="Arial"/>
                <w:color w:val="000000" w:themeColor="text1"/>
                <w:lang w:eastAsia="es-CO"/>
              </w:rPr>
              <w:t>, si bien</w:t>
            </w:r>
            <w:r w:rsidRPr="00072C23">
              <w:rPr>
                <w:rFonts w:ascii="Verdana" w:eastAsia="Arial" w:hAnsi="Verdana" w:cs="Arial"/>
                <w:color w:val="000000" w:themeColor="text1"/>
                <w:lang w:eastAsia="es-CO"/>
              </w:rPr>
              <w:t xml:space="preserv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w:t>
            </w:r>
            <w:r>
              <w:rPr>
                <w:rFonts w:ascii="Verdana" w:eastAsia="Arial" w:hAnsi="Verdana" w:cs="Arial"/>
                <w:color w:val="000000" w:themeColor="text1"/>
                <w:lang w:eastAsia="es-CO"/>
              </w:rPr>
              <w:t xml:space="preserve">, lo cierto es que </w:t>
            </w:r>
            <w:r w:rsidRPr="00072C23">
              <w:rPr>
                <w:rFonts w:ascii="Verdana" w:eastAsia="Arial" w:hAnsi="Verdana" w:cs="Arial"/>
                <w:color w:val="000000" w:themeColor="text1"/>
                <w:lang w:eastAsia="es-CO"/>
              </w:rPr>
              <w:t>la prohibición de contratación directa de la Ley de Garantías</w:t>
            </w:r>
            <w:r>
              <w:rPr>
                <w:rFonts w:ascii="Verdana" w:eastAsia="Arial" w:hAnsi="Verdana" w:cs="Arial"/>
                <w:color w:val="000000" w:themeColor="text1"/>
                <w:lang w:eastAsia="es-CO"/>
              </w:rPr>
              <w:t xml:space="preserve"> Electorales aplica</w:t>
            </w:r>
            <w:r w:rsidRPr="00072C23">
              <w:rPr>
                <w:rFonts w:ascii="Verdana" w:eastAsia="Arial" w:hAnsi="Verdana" w:cs="Arial"/>
                <w:color w:val="000000" w:themeColor="text1"/>
                <w:lang w:eastAsia="es-CO"/>
              </w:rPr>
              <w:t xml:space="preserve"> independiente</w:t>
            </w:r>
            <w:r>
              <w:rPr>
                <w:rFonts w:ascii="Verdana" w:eastAsia="Arial" w:hAnsi="Verdana" w:cs="Arial"/>
                <w:color w:val="000000" w:themeColor="text1"/>
                <w:lang w:eastAsia="es-CO"/>
              </w:rPr>
              <w:t>mente</w:t>
            </w:r>
            <w:r w:rsidRPr="00072C23">
              <w:rPr>
                <w:rFonts w:ascii="Verdana" w:eastAsia="Arial" w:hAnsi="Verdana" w:cs="Arial"/>
                <w:color w:val="000000" w:themeColor="text1"/>
                <w:lang w:eastAsia="es-CO"/>
              </w:rPr>
              <w:t xml:space="preserve"> del régimen contractual, por lo que se extiende a los contratos celebrados con cargo a los fondos de servicios educativos</w:t>
            </w:r>
            <w:r>
              <w:rPr>
                <w:rFonts w:ascii="Verdana" w:eastAsia="Arial" w:hAnsi="Verdana" w:cs="Arial"/>
                <w:color w:val="000000" w:themeColor="text1"/>
                <w:lang w:eastAsia="es-CO"/>
              </w:rPr>
              <w:t>, por ser Entes del Estado</w:t>
            </w:r>
            <w:r w:rsidRPr="00072C23">
              <w:rPr>
                <w:rFonts w:ascii="Verdana" w:eastAsia="Arial" w:hAnsi="Verdana" w:cs="Arial"/>
                <w:color w:val="000000" w:themeColor="text1"/>
                <w:lang w:eastAsia="es-CO"/>
              </w:rPr>
              <w:t>.</w:t>
            </w:r>
          </w:p>
          <w:p w14:paraId="13C24E19" w14:textId="77777777" w:rsidR="003E4633" w:rsidRDefault="002811B3" w:rsidP="003E4633">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w:t>
            </w:r>
            <w:r>
              <w:rPr>
                <w:rFonts w:ascii="Verdana" w:eastAsia="Arial" w:hAnsi="Verdana" w:cs="Arial"/>
                <w:color w:val="000000"/>
                <w:lang w:eastAsia="es-CO"/>
              </w:rPr>
              <w:t>Ahora bien</w:t>
            </w:r>
            <w:r w:rsidRPr="00072C23">
              <w:rPr>
                <w:rFonts w:ascii="Verdana" w:eastAsia="Arial" w:hAnsi="Verdana" w:cs="Arial"/>
                <w:color w:val="000000"/>
                <w:lang w:eastAsia="es-CO"/>
              </w:rPr>
              <w:t>,</w:t>
            </w:r>
            <w:r>
              <w:rPr>
                <w:rFonts w:ascii="Verdana" w:eastAsia="Arial" w:hAnsi="Verdana" w:cs="Arial"/>
                <w:color w:val="000000"/>
                <w:lang w:eastAsia="es-CO"/>
              </w:rPr>
              <w:t xml:space="preserve"> en vigencia de la Ley de</w:t>
            </w:r>
            <w:r w:rsidRPr="00072C23">
              <w:rPr>
                <w:rFonts w:ascii="Verdana" w:eastAsia="Arial" w:hAnsi="Verdana" w:cs="Arial"/>
                <w:color w:val="000000"/>
                <w:lang w:eastAsia="es-CO"/>
              </w:rPr>
              <w:t xml:space="preserve">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w:t>
            </w:r>
            <w:r>
              <w:rPr>
                <w:rFonts w:ascii="Verdana" w:eastAsia="Arial" w:hAnsi="Verdana" w:cs="Arial"/>
                <w:color w:val="000000"/>
                <w:lang w:eastAsia="es-CO"/>
              </w:rPr>
              <w:t>veinte (</w:t>
            </w:r>
            <w:r w:rsidRPr="00072C23">
              <w:rPr>
                <w:rFonts w:ascii="Verdana" w:eastAsia="Arial" w:hAnsi="Verdana" w:cs="Arial"/>
                <w:color w:val="000000"/>
                <w:lang w:eastAsia="es-CO"/>
              </w:rPr>
              <w:t>20</w:t>
            </w:r>
            <w:r>
              <w:rPr>
                <w:rFonts w:ascii="Verdana" w:eastAsia="Arial" w:hAnsi="Verdana" w:cs="Arial"/>
                <w:color w:val="000000"/>
                <w:lang w:eastAsia="es-CO"/>
              </w:rPr>
              <w:t>)</w:t>
            </w:r>
            <w:r w:rsidRPr="00072C23">
              <w:rPr>
                <w:rFonts w:ascii="Verdana" w:eastAsia="Arial" w:hAnsi="Verdana" w:cs="Arial"/>
                <w:color w:val="000000"/>
                <w:lang w:eastAsia="es-CO"/>
              </w:rPr>
              <w:t xml:space="preserve">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31657236" w14:textId="65734F9E" w:rsidR="003E4633" w:rsidRPr="000305E5" w:rsidRDefault="003E4633" w:rsidP="003E4633">
            <w:pPr>
              <w:spacing w:after="120" w:line="276" w:lineRule="auto"/>
              <w:ind w:firstLine="709"/>
              <w:jc w:val="both"/>
              <w:rPr>
                <w:rFonts w:ascii="Verdana" w:eastAsia="Arial" w:hAnsi="Verdana" w:cs="Arial"/>
                <w:color w:val="000000"/>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2671B39" w14:textId="3DF2B1BE" w:rsidR="002811B3" w:rsidRPr="006A437E" w:rsidRDefault="003E4633" w:rsidP="006A437E">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394E4964" w14:textId="77777777" w:rsidR="002811B3" w:rsidRDefault="002811B3" w:rsidP="002811B3">
      <w:pPr>
        <w:tabs>
          <w:tab w:val="left" w:pos="142"/>
          <w:tab w:val="left" w:pos="284"/>
        </w:tabs>
        <w:spacing w:after="0" w:line="276" w:lineRule="auto"/>
        <w:jc w:val="both"/>
        <w:rPr>
          <w:rFonts w:ascii="Verdana" w:eastAsia="Century Gothic" w:hAnsi="Verdana" w:cs="Century Gothic"/>
          <w:b/>
          <w:bCs/>
        </w:rPr>
      </w:pPr>
    </w:p>
    <w:p w14:paraId="0B6263DD" w14:textId="77777777" w:rsidR="002811B3" w:rsidRPr="005644FE" w:rsidRDefault="002811B3" w:rsidP="002811B3">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589DC34A" w14:textId="77777777" w:rsidR="002811B3" w:rsidRPr="005644FE" w:rsidRDefault="002811B3" w:rsidP="002811B3">
      <w:pPr>
        <w:pStyle w:val="Prrafodelista"/>
        <w:tabs>
          <w:tab w:val="left" w:pos="142"/>
          <w:tab w:val="left" w:pos="284"/>
        </w:tabs>
        <w:spacing w:after="0" w:line="240" w:lineRule="auto"/>
        <w:ind w:left="0"/>
        <w:contextualSpacing w:val="0"/>
        <w:jc w:val="both"/>
        <w:rPr>
          <w:rFonts w:ascii="Verdana" w:eastAsia="Calibri" w:hAnsi="Verdana" w:cs="Arial"/>
        </w:rPr>
      </w:pPr>
    </w:p>
    <w:p w14:paraId="3759DBF4" w14:textId="77777777" w:rsidR="002811B3" w:rsidRDefault="002811B3" w:rsidP="002811B3">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0D57F2F7" w14:textId="77777777" w:rsidR="002811B3" w:rsidRDefault="002811B3" w:rsidP="002811B3">
      <w:pPr>
        <w:tabs>
          <w:tab w:val="left" w:pos="142"/>
          <w:tab w:val="left" w:pos="284"/>
          <w:tab w:val="left" w:pos="6975"/>
        </w:tabs>
        <w:spacing w:after="0" w:line="276" w:lineRule="auto"/>
        <w:jc w:val="both"/>
        <w:rPr>
          <w:rFonts w:ascii="Verdana" w:eastAsia="Calibri" w:hAnsi="Verdana" w:cs="Arial"/>
        </w:rPr>
      </w:pPr>
    </w:p>
    <w:p w14:paraId="0210A09C" w14:textId="77777777" w:rsidR="002811B3" w:rsidRPr="009D221F" w:rsidRDefault="002811B3" w:rsidP="002811B3">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E</w:t>
      </w:r>
      <w:r w:rsidRPr="002D6B92">
        <w:rPr>
          <w:rFonts w:ascii="Verdana" w:eastAsia="Times New Roman" w:hAnsi="Verdana" w:cs="Arial"/>
          <w:bCs/>
          <w:lang w:eastAsia="es-CO"/>
        </w:rPr>
        <w:t>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52EE40F6" w14:textId="77777777" w:rsidR="002811B3" w:rsidRDefault="002811B3" w:rsidP="002811B3">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193EF15E" w14:textId="77777777" w:rsidR="002811B3" w:rsidRPr="00F10E52" w:rsidRDefault="002811B3" w:rsidP="002811B3">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1EBE5F05" w14:textId="77777777" w:rsidR="002811B3" w:rsidRPr="007777F3" w:rsidRDefault="002811B3" w:rsidP="002811B3">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084FFB51" w14:textId="77777777" w:rsidR="002811B3" w:rsidRPr="009E6EDF" w:rsidRDefault="002811B3" w:rsidP="002811B3">
      <w:pPr>
        <w:spacing w:after="0" w:line="240" w:lineRule="auto"/>
        <w:ind w:left="709" w:right="709"/>
        <w:jc w:val="both"/>
        <w:rPr>
          <w:rFonts w:ascii="Verdana" w:eastAsia="Times New Roman" w:hAnsi="Verdana" w:cs="Arial"/>
          <w:bCs/>
          <w:sz w:val="20"/>
          <w:szCs w:val="20"/>
          <w:lang w:eastAsia="es-CO"/>
        </w:rPr>
      </w:pPr>
    </w:p>
    <w:p w14:paraId="7AD5036F" w14:textId="1BF74E7C" w:rsidR="002811B3" w:rsidRPr="00E55B1C" w:rsidRDefault="002811B3" w:rsidP="00E55B1C">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48A8624A" w14:textId="77777777" w:rsidR="004500D4" w:rsidRDefault="004500D4" w:rsidP="002811B3">
      <w:pPr>
        <w:spacing w:after="120" w:line="276" w:lineRule="auto"/>
        <w:ind w:firstLine="709"/>
        <w:jc w:val="both"/>
        <w:rPr>
          <w:rFonts w:ascii="Verdana" w:eastAsia="Times New Roman" w:hAnsi="Verdana" w:cs="Arial"/>
          <w:bCs/>
          <w:lang w:eastAsia="es-CO"/>
        </w:rPr>
      </w:pPr>
    </w:p>
    <w:p w14:paraId="58F1A0A6" w14:textId="1DBBCCB1" w:rsidR="002811B3" w:rsidRDefault="002811B3" w:rsidP="002811B3">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8ACECBA" w14:textId="77777777" w:rsidR="002811B3" w:rsidRPr="002D6B92" w:rsidRDefault="002811B3" w:rsidP="002811B3">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2D026F0B" w14:textId="77777777" w:rsidR="002811B3" w:rsidRPr="009B20C5" w:rsidRDefault="002811B3" w:rsidP="002811B3">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16AB9CF" w14:textId="77777777" w:rsidR="002811B3" w:rsidRDefault="002811B3" w:rsidP="002811B3">
      <w:pPr>
        <w:spacing w:after="0" w:line="240" w:lineRule="auto"/>
        <w:ind w:left="709" w:right="709"/>
        <w:jc w:val="both"/>
        <w:rPr>
          <w:rFonts w:ascii="Verdana" w:eastAsia="Times New Roman" w:hAnsi="Verdana" w:cs="Arial"/>
          <w:bCs/>
          <w:sz w:val="20"/>
          <w:szCs w:val="20"/>
          <w:lang w:eastAsia="es-CO"/>
        </w:rPr>
      </w:pPr>
    </w:p>
    <w:p w14:paraId="3C27ED6B" w14:textId="57773AC3" w:rsidR="002811B3" w:rsidRDefault="002811B3" w:rsidP="00E55B1C">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7BBBE4DB" w14:textId="77777777" w:rsidR="004500D4" w:rsidRPr="00E55B1C" w:rsidRDefault="004500D4" w:rsidP="00E55B1C">
      <w:pPr>
        <w:spacing w:after="0" w:line="240" w:lineRule="auto"/>
        <w:ind w:left="709" w:right="709"/>
        <w:jc w:val="both"/>
        <w:rPr>
          <w:rFonts w:ascii="Verdana" w:eastAsia="Times New Roman" w:hAnsi="Verdana" w:cs="Arial"/>
          <w:bCs/>
          <w:sz w:val="20"/>
          <w:szCs w:val="20"/>
          <w:lang w:eastAsia="es-CO"/>
        </w:rPr>
      </w:pPr>
    </w:p>
    <w:p w14:paraId="62CBE60E" w14:textId="77777777" w:rsidR="002811B3" w:rsidRDefault="002811B3" w:rsidP="002811B3">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3458C2A" w14:textId="77777777" w:rsidR="002811B3" w:rsidRPr="00F10E52" w:rsidRDefault="002811B3" w:rsidP="002811B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5E1F025E" w14:textId="77777777" w:rsidR="002811B3" w:rsidRPr="00F10E52" w:rsidRDefault="002811B3" w:rsidP="002811B3">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66AACB8E" w14:textId="77777777" w:rsidR="002811B3" w:rsidRDefault="002811B3" w:rsidP="002811B3">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414FE6A5" w14:textId="77777777" w:rsidR="002811B3" w:rsidRPr="006A51F6" w:rsidRDefault="002811B3" w:rsidP="002811B3">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1501C89" w14:textId="77777777" w:rsidR="002811B3" w:rsidRDefault="002811B3" w:rsidP="002811B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69639061" w14:textId="77777777" w:rsidR="002811B3" w:rsidRPr="00647D77" w:rsidRDefault="002811B3" w:rsidP="002811B3">
      <w:pPr>
        <w:widowControl w:val="0"/>
        <w:autoSpaceDE w:val="0"/>
        <w:autoSpaceDN w:val="0"/>
        <w:spacing w:after="0" w:line="240" w:lineRule="auto"/>
        <w:ind w:left="709" w:right="709"/>
        <w:jc w:val="both"/>
        <w:rPr>
          <w:rFonts w:ascii="Verdana" w:eastAsia="Arial" w:hAnsi="Verdana" w:cs="Arial"/>
          <w:lang w:val="es-ES" w:eastAsia="es-ES" w:bidi="es-ES"/>
        </w:rPr>
      </w:pPr>
    </w:p>
    <w:p w14:paraId="2BA6C68F" w14:textId="77777777" w:rsidR="002811B3" w:rsidRPr="00F10E52" w:rsidRDefault="002811B3" w:rsidP="002811B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381C3650" w14:textId="77777777" w:rsidR="002811B3" w:rsidRPr="00F10E52" w:rsidRDefault="002811B3" w:rsidP="002811B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2D5C7727" w14:textId="77777777" w:rsidR="002811B3" w:rsidRDefault="002811B3" w:rsidP="002811B3">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Pr>
          <w:rFonts w:ascii="Verdana" w:eastAsia="Arial" w:hAnsi="Verdana" w:cs="Arial"/>
          <w:lang w:val="es-ES" w:eastAsia="es-ES" w:bidi="es-ES"/>
        </w:rPr>
        <w:t xml:space="preserve">(6) </w:t>
      </w:r>
      <w:r w:rsidRPr="00F10E52">
        <w:rPr>
          <w:rFonts w:ascii="Verdana" w:eastAsia="Arial" w:hAnsi="Verdana" w:cs="Arial"/>
          <w:lang w:val="es-ES" w:eastAsia="es-ES" w:bidi="es-ES"/>
        </w:rPr>
        <w:t xml:space="preserve">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F53CFB6" w14:textId="77777777" w:rsidR="002811B3" w:rsidRDefault="002811B3" w:rsidP="002811B3">
      <w:pPr>
        <w:spacing w:after="120" w:line="276" w:lineRule="auto"/>
        <w:ind w:firstLine="709"/>
        <w:jc w:val="both"/>
        <w:rPr>
          <w:rFonts w:ascii="Verdana" w:eastAsia="Times New Roman" w:hAnsi="Verdana" w:cs="Arial"/>
          <w:lang w:val="es-ES" w:eastAsia="es-CO"/>
        </w:rPr>
      </w:pPr>
      <w:r w:rsidRPr="00647D77">
        <w:rPr>
          <w:rFonts w:ascii="Verdana" w:eastAsia="Times New Roman" w:hAnsi="Verdana" w:cs="Arial"/>
          <w:lang w:val="es-ES" w:eastAsia="es-CO"/>
        </w:rPr>
        <w:t xml:space="preserve">Teniendo en cuenta lo anterior, a continuación, se hará un análisis sobre la aplicación de la prohibición contenida en el artículo 33 </w:t>
      </w:r>
      <w:r w:rsidRPr="00647D77">
        <w:rPr>
          <w:rFonts w:ascii="Verdana" w:eastAsia="Times New Roman" w:hAnsi="Verdana" w:cs="Arial"/>
          <w:bCs/>
          <w:lang w:val="es-ES" w:eastAsia="es-CO"/>
        </w:rPr>
        <w:t>de la Ley de Garantías Electorales</w:t>
      </w:r>
      <w:r w:rsidRPr="00647D77">
        <w:rPr>
          <w:rFonts w:ascii="Verdana" w:eastAsia="Times New Roman" w:hAnsi="Verdana" w:cs="Arial"/>
          <w:lang w:val="es-ES" w:eastAsia="es-CO"/>
        </w:rPr>
        <w:t>, relacionada con su ámbito de aplicación</w:t>
      </w:r>
      <w:r w:rsidRPr="00647D77">
        <w:rPr>
          <w:rFonts w:ascii="Verdana" w:eastAsia="Times New Roman" w:hAnsi="Verdana" w:cs="Arial"/>
          <w:bCs/>
          <w:lang w:val="es-ES" w:eastAsia="es-CO"/>
        </w:rPr>
        <w:t xml:space="preserve">, </w:t>
      </w:r>
      <w:r w:rsidRPr="00647D77">
        <w:rPr>
          <w:rFonts w:ascii="Verdana" w:eastAsia="Times New Roman" w:hAnsi="Verdana" w:cs="Arial"/>
          <w:lang w:val="es-ES" w:eastAsia="es-CO"/>
        </w:rPr>
        <w:t>sus destinatarios</w:t>
      </w:r>
      <w:r w:rsidRPr="00647D77">
        <w:rPr>
          <w:rFonts w:ascii="Verdana" w:eastAsia="Times New Roman" w:hAnsi="Verdana" w:cs="Arial"/>
          <w:bCs/>
          <w:lang w:val="es-ES" w:eastAsia="es-CO"/>
        </w:rPr>
        <w:t xml:space="preserve"> y sus excepciones</w:t>
      </w:r>
      <w:r w:rsidRPr="00647D77">
        <w:rPr>
          <w:rFonts w:ascii="Verdana" w:eastAsia="Times New Roman" w:hAnsi="Verdana" w:cs="Arial"/>
          <w:lang w:val="es-ES" w:eastAsia="es-CO"/>
        </w:rPr>
        <w:t>.</w:t>
      </w:r>
      <w:r>
        <w:rPr>
          <w:rFonts w:ascii="Verdana" w:eastAsia="Times New Roman" w:hAnsi="Verdana" w:cs="Arial"/>
          <w:bCs/>
          <w:lang w:val="es-ES" w:eastAsia="es-CO"/>
        </w:rPr>
        <w:t xml:space="preserve"> </w:t>
      </w:r>
    </w:p>
    <w:p w14:paraId="5D5449F7" w14:textId="77777777" w:rsidR="002811B3" w:rsidRPr="00C16480" w:rsidRDefault="002811B3" w:rsidP="002811B3">
      <w:pPr>
        <w:spacing w:after="120" w:line="276" w:lineRule="auto"/>
        <w:ind w:firstLine="709"/>
        <w:jc w:val="both"/>
        <w:rPr>
          <w:rFonts w:ascii="Verdana" w:eastAsia="Times New Roman" w:hAnsi="Verdana" w:cs="Arial"/>
          <w:lang w:val="es-ES" w:eastAsia="es-CO"/>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w:t>
      </w:r>
      <w:r>
        <w:rPr>
          <w:rFonts w:ascii="Verdana" w:hAnsi="Verdana" w:cs="Arial"/>
          <w:bCs/>
          <w:lang w:eastAsia="x-none"/>
        </w:rPr>
        <w:t>L</w:t>
      </w:r>
      <w:r w:rsidRPr="00195E24">
        <w:rPr>
          <w:rFonts w:ascii="Verdana" w:hAnsi="Verdana" w:cs="Arial"/>
          <w:bCs/>
          <w:lang w:eastAsia="x-none"/>
        </w:rPr>
        <w:t xml:space="preserve">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05A66233" w14:textId="77777777" w:rsidR="002811B3" w:rsidRPr="005800D0" w:rsidRDefault="002811B3" w:rsidP="002811B3">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5B11ED5B" w14:textId="77777777" w:rsidR="002811B3" w:rsidRDefault="002811B3" w:rsidP="002811B3">
      <w:pPr>
        <w:spacing w:after="0" w:line="240" w:lineRule="auto"/>
        <w:ind w:left="709" w:right="709"/>
        <w:jc w:val="both"/>
        <w:rPr>
          <w:rFonts w:ascii="Verdana" w:hAnsi="Verdana" w:cs="Arial"/>
          <w:sz w:val="20"/>
          <w:szCs w:val="20"/>
        </w:rPr>
      </w:pPr>
    </w:p>
    <w:p w14:paraId="59CBAA0D" w14:textId="77777777" w:rsidR="002811B3" w:rsidRPr="005703BF" w:rsidRDefault="002811B3" w:rsidP="002811B3">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7547A76F" w14:textId="77777777" w:rsidR="002811B3" w:rsidRDefault="002811B3" w:rsidP="002811B3">
      <w:pPr>
        <w:spacing w:after="0" w:line="240" w:lineRule="auto"/>
        <w:ind w:firstLine="709"/>
        <w:jc w:val="both"/>
        <w:rPr>
          <w:rFonts w:ascii="Verdana" w:hAnsi="Verdana" w:cs="Arial"/>
          <w:lang w:eastAsia="x-none"/>
        </w:rPr>
      </w:pPr>
      <w:bookmarkStart w:id="14" w:name="_Hlk94521748"/>
    </w:p>
    <w:p w14:paraId="58EF510C" w14:textId="77777777" w:rsidR="002811B3" w:rsidRPr="00195E24" w:rsidRDefault="002811B3" w:rsidP="002811B3">
      <w:pPr>
        <w:spacing w:after="120" w:line="276" w:lineRule="auto"/>
        <w:ind w:firstLine="709"/>
        <w:jc w:val="both"/>
        <w:rPr>
          <w:rFonts w:ascii="Verdana" w:hAnsi="Verdana" w:cs="Arial"/>
          <w:bCs/>
          <w:lang w:eastAsia="x-none"/>
        </w:rPr>
      </w:pPr>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previstos </w:t>
      </w:r>
      <w:r w:rsidRPr="00130C72">
        <w:rPr>
          <w:rFonts w:ascii="Verdana" w:hAnsi="Verdana" w:cs="Arial"/>
          <w:lang w:eastAsia="x-none"/>
        </w:rPr>
        <w:t>sistemas abiertos y competitivos dispuestos en normas especiales.</w:t>
      </w:r>
      <w:r w:rsidRPr="00195E24">
        <w:rPr>
          <w:rFonts w:ascii="Verdana" w:hAnsi="Verdana" w:cs="Arial"/>
          <w:lang w:eastAsia="x-none"/>
        </w:rPr>
        <w:t xml:space="preserve">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70051FC9" w14:textId="77777777" w:rsidR="002811B3" w:rsidRPr="00195E24" w:rsidRDefault="002811B3" w:rsidP="002811B3">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FA1477A" w14:textId="77777777" w:rsidR="002811B3" w:rsidRPr="00195E24" w:rsidRDefault="002811B3" w:rsidP="002811B3">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393FC4B3" w14:textId="77777777" w:rsidR="002811B3" w:rsidRPr="00CE0712" w:rsidRDefault="002811B3" w:rsidP="002811B3">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5E69D567" w14:textId="77777777" w:rsidR="002811B3" w:rsidRDefault="002811B3" w:rsidP="002811B3">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1D2CAA1C" w14:textId="77777777" w:rsidR="002811B3" w:rsidRDefault="002811B3" w:rsidP="002811B3">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p w14:paraId="5586B7E8" w14:textId="77777777" w:rsidR="002811B3" w:rsidRDefault="002811B3" w:rsidP="002811B3">
      <w:pPr>
        <w:spacing w:after="120" w:line="276" w:lineRule="auto"/>
        <w:ind w:firstLine="709"/>
        <w:jc w:val="both"/>
        <w:rPr>
          <w:rFonts w:ascii="Verdana" w:hAnsi="Verdana" w:cs="Arial"/>
          <w:lang w:eastAsia="x-none"/>
        </w:rPr>
      </w:pPr>
      <w:r>
        <w:rPr>
          <w:rFonts w:ascii="Verdana" w:hAnsi="Verdana" w:cs="Arial"/>
          <w:lang w:eastAsia="x-none"/>
        </w:rPr>
        <w:t xml:space="preserve">En este sentido la Agencia Nacional de Contratación Pública </w:t>
      </w:r>
      <w:r w:rsidRPr="00066B32">
        <w:rPr>
          <w:rFonts w:ascii="Verdana" w:hAnsi="Verdana" w:cs="Arial"/>
          <w:lang w:eastAsia="x-none"/>
        </w:rPr>
        <w:t xml:space="preserve">– Colombia </w:t>
      </w:r>
      <w:r w:rsidRPr="00360AB5">
        <w:rPr>
          <w:rFonts w:ascii="Verdana" w:hAnsi="Verdana" w:cs="Arial"/>
          <w:lang w:eastAsia="x-none"/>
        </w:rPr>
        <w:t>Compra Eficiente,</w:t>
      </w:r>
      <w:r w:rsidRPr="001D6D08">
        <w:rPr>
          <w:rFonts w:ascii="Verdana" w:hAnsi="Verdana" w:cs="Arial"/>
          <w:lang w:eastAsia="x-none"/>
        </w:rPr>
        <w:t xml:space="preserve"> en </w:t>
      </w:r>
      <w:r w:rsidRPr="00A53A1E">
        <w:rPr>
          <w:rFonts w:ascii="Verdana" w:hAnsi="Verdana" w:cs="Arial"/>
          <w:lang w:eastAsia="x-none"/>
        </w:rPr>
        <w:t>el</w:t>
      </w:r>
      <w:r>
        <w:rPr>
          <w:rFonts w:ascii="Verdana" w:hAnsi="Verdana" w:cs="Arial"/>
          <w:lang w:eastAsia="x-none"/>
        </w:rPr>
        <w:t xml:space="preserve"> concepto </w:t>
      </w:r>
      <w:r w:rsidRPr="004A2E70">
        <w:rPr>
          <w:rFonts w:ascii="Verdana" w:eastAsia="Verdana" w:hAnsi="Verdana" w:cs="Verdana"/>
          <w:bCs/>
        </w:rPr>
        <w:t>C-048 de 2026</w:t>
      </w:r>
      <w:r w:rsidRPr="004A2E70">
        <w:rPr>
          <w:rStyle w:val="Refdenotaalpie"/>
          <w:rFonts w:ascii="Verdana" w:eastAsia="Verdana" w:hAnsi="Verdana" w:cs="Verdana"/>
          <w:bCs/>
        </w:rPr>
        <w:footnoteReference w:id="19"/>
      </w:r>
      <w:r w:rsidRPr="00130C72">
        <w:rPr>
          <w:rFonts w:ascii="Verdana" w:eastAsia="Verdana" w:hAnsi="Verdana" w:cs="Verdana"/>
          <w:bCs/>
        </w:rPr>
        <w:t>,</w:t>
      </w:r>
      <w:r>
        <w:rPr>
          <w:rFonts w:ascii="Verdana" w:eastAsia="Verdana" w:hAnsi="Verdana" w:cs="Verdana"/>
          <w:bCs/>
        </w:rPr>
        <w:t xml:space="preserve"> reitera la anterior postura al sostener que</w:t>
      </w:r>
      <w:r w:rsidRPr="004A2E70">
        <w:rPr>
          <w:rFonts w:ascii="Verdana" w:eastAsia="Verdana" w:hAnsi="Verdana" w:cs="Verdana"/>
          <w:bCs/>
        </w:rPr>
        <w:t xml:space="preserve"> </w:t>
      </w:r>
      <w:r w:rsidRPr="00647D77">
        <w:rPr>
          <w:rFonts w:ascii="Verdana" w:eastAsia="Verdana" w:hAnsi="Verdana" w:cs="Verdana"/>
          <w:i/>
        </w:rPr>
        <w:t>“</w:t>
      </w:r>
      <w:r w:rsidRPr="00095A89">
        <w:rPr>
          <w:rFonts w:ascii="Verdana" w:eastAsia="Times New Roman" w:hAnsi="Verdana" w:cs="Arial"/>
          <w:bCs/>
          <w:lang w:eastAsia="x-none"/>
        </w:rPr>
        <w:t xml:space="preserve">para determinar la aplicación de la restricción prevista en el artículo 33 de la Ley de Garantías Electorales en aquellos sistemas de contratación en los cuales se invita a presentar propuesta […]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2C4A20EA" w14:textId="77777777" w:rsidR="002811B3" w:rsidRPr="00095A89" w:rsidRDefault="002811B3" w:rsidP="002811B3">
      <w:pPr>
        <w:spacing w:after="120" w:line="276" w:lineRule="auto"/>
        <w:ind w:firstLine="709"/>
        <w:jc w:val="both"/>
        <w:rPr>
          <w:rFonts w:ascii="Verdana" w:hAnsi="Verdana" w:cs="Arial"/>
          <w:lang w:eastAsia="x-none"/>
        </w:rPr>
      </w:pPr>
      <w:r w:rsidRPr="00095A89">
        <w:rPr>
          <w:rFonts w:ascii="Verdana" w:eastAsia="Verdana" w:hAnsi="Verdana" w:cs="Verdana"/>
          <w:bCs/>
        </w:rPr>
        <w:t>“</w:t>
      </w:r>
      <w:r w:rsidRPr="00095A8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bookmarkEnd w:id="16"/>
    <w:p w14:paraId="32DD7E7C" w14:textId="77777777" w:rsidR="002811B3" w:rsidRDefault="002811B3" w:rsidP="002811B3">
      <w:pPr>
        <w:spacing w:after="120" w:line="276" w:lineRule="auto"/>
        <w:ind w:firstLine="709"/>
        <w:jc w:val="both"/>
        <w:rPr>
          <w:rFonts w:ascii="Verdana" w:hAnsi="Verdana" w:cs="Arial"/>
          <w:lang w:eastAsia="x-none"/>
        </w:rPr>
      </w:pPr>
      <w:r w:rsidRPr="00195E24">
        <w:rPr>
          <w:rFonts w:ascii="Verdana" w:hAnsi="Verdana" w:cs="Arial"/>
          <w:bCs/>
          <w:lang w:eastAsia="x-none"/>
        </w:rPr>
        <w:t xml:space="preserve">De lo anterior se desprende que la restricción aplica, sin perjuicio de las excepciones establecidas en la misma </w:t>
      </w:r>
      <w:r w:rsidRPr="00130C72">
        <w:rPr>
          <w:rFonts w:ascii="Verdana" w:hAnsi="Verdana" w:cs="Arial"/>
          <w:bCs/>
          <w:lang w:eastAsia="x-none"/>
        </w:rPr>
        <w:t>L</w:t>
      </w:r>
      <w:r w:rsidRPr="00195E24">
        <w:rPr>
          <w:rFonts w:ascii="Verdana" w:hAnsi="Verdana" w:cs="Arial"/>
          <w:bCs/>
          <w:lang w:eastAsia="x-none"/>
        </w:rPr>
        <w:t>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r>
        <w:rPr>
          <w:rFonts w:ascii="Verdana" w:hAnsi="Verdana" w:cs="Arial"/>
          <w:lang w:eastAsia="x-none"/>
        </w:rPr>
        <w:t xml:space="preserve"> </w:t>
      </w:r>
    </w:p>
    <w:p w14:paraId="764A2DD7" w14:textId="77777777" w:rsidR="002811B3" w:rsidRDefault="002811B3" w:rsidP="002811B3">
      <w:pPr>
        <w:spacing w:after="120" w:line="276" w:lineRule="auto"/>
        <w:ind w:firstLine="709"/>
        <w:jc w:val="both"/>
        <w:rPr>
          <w:rFonts w:ascii="Verdana" w:eastAsia="Arial" w:hAnsi="Verdana" w:cs="Arial"/>
          <w:color w:val="1A1A1A" w:themeColor="background1" w:themeShade="1A"/>
          <w:lang w:val="es-ES_tradnl"/>
        </w:rPr>
      </w:pPr>
      <w:r>
        <w:rPr>
          <w:rFonts w:ascii="Verdana" w:hAnsi="Verdana" w:cs="Arial"/>
          <w:lang w:eastAsia="x-none"/>
        </w:rPr>
        <w:t xml:space="preserve">De acuerdo con lo anterior, la celebración del contrato entre una entidad pública y una persona jurídica de naturaleza privada podrá realizarse en el periodo de restricciones electorales de que trata el artículo 33 de la Ley 996 de 2005 siempre que dicha contratación se derive de un proceso de selección distinto a la contratación directa. </w:t>
      </w:r>
      <w:r>
        <w:rPr>
          <w:rFonts w:ascii="Verdana" w:hAnsi="Verdana" w:cs="Arial"/>
          <w:color w:val="1A1A1A" w:themeColor="background1" w:themeShade="1A"/>
          <w:shd w:val="clear" w:color="auto" w:fill="FFFFFF"/>
          <w:lang w:val="es-ES_tradnl"/>
        </w:rPr>
        <w:t>Por lo tanto,</w:t>
      </w:r>
      <w:r w:rsidRPr="008363F8">
        <w:rPr>
          <w:rFonts w:ascii="Verdana" w:hAnsi="Verdana" w:cs="Arial"/>
          <w:color w:val="1A1A1A" w:themeColor="background1" w:themeShade="1A"/>
          <w:shd w:val="clear" w:color="auto" w:fill="FFFFFF"/>
          <w:lang w:val="es-ES_tradnl"/>
        </w:rPr>
        <w:t xml:space="preserve"> en principio </w:t>
      </w:r>
      <w:r>
        <w:rPr>
          <w:rFonts w:ascii="Verdana" w:hAnsi="Verdana" w:cs="Arial"/>
          <w:color w:val="1A1A1A" w:themeColor="background1" w:themeShade="1A"/>
          <w:shd w:val="clear" w:color="auto" w:fill="FFFFFF"/>
          <w:lang w:val="es-ES_tradnl"/>
        </w:rPr>
        <w:t>lo que</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color w:val="1A1A1A" w:themeColor="background1" w:themeShade="1A"/>
          <w:shd w:val="clear" w:color="auto" w:fill="FFFFFF"/>
          <w:lang w:val="es-ES_tradnl"/>
        </w:rPr>
        <w:t xml:space="preserve">está prohibida </w:t>
      </w:r>
      <w:r>
        <w:rPr>
          <w:rFonts w:ascii="Verdana" w:hAnsi="Verdana" w:cs="Arial"/>
          <w:color w:val="1A1A1A" w:themeColor="background1" w:themeShade="1A"/>
          <w:shd w:val="clear" w:color="auto" w:fill="FFFFFF"/>
          <w:lang w:val="es-ES_tradnl"/>
        </w:rPr>
        <w:t>es</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i/>
          <w:iCs/>
          <w:color w:val="1A1A1A" w:themeColor="background1" w:themeShade="1A"/>
          <w:shd w:val="clear" w:color="auto" w:fill="FFFFFF"/>
          <w:lang w:val="es-ES_tradnl"/>
        </w:rPr>
        <w:t>la contratación directa</w:t>
      </w:r>
      <w:r w:rsidRPr="008363F8">
        <w:rPr>
          <w:rFonts w:ascii="Verdana" w:hAnsi="Verdana" w:cs="Arial"/>
          <w:color w:val="1A1A1A" w:themeColor="background1" w:themeShade="1A"/>
          <w:shd w:val="clear" w:color="auto" w:fill="FFFFFF"/>
          <w:lang w:val="es-ES_tradnl"/>
        </w:rPr>
        <w:t xml:space="preserve">, salvo que </w:t>
      </w:r>
      <w:r>
        <w:rPr>
          <w:rFonts w:ascii="Verdana" w:hAnsi="Verdana" w:cs="Arial"/>
          <w:color w:val="1A1A1A" w:themeColor="background1" w:themeShade="1A"/>
          <w:shd w:val="clear" w:color="auto" w:fill="FFFFFF"/>
          <w:lang w:val="es-ES_tradnl"/>
        </w:rPr>
        <w:t>la contratación que se va a realizar se encuadre en alguna de las excepciones consagradas en el mismo artículo. Lo que está permitido en dicha época son los contratos que se</w:t>
      </w:r>
      <w:r w:rsidRPr="00AD294A">
        <w:rPr>
          <w:rFonts w:ascii="Verdana" w:hAnsi="Verdana" w:cs="Arial"/>
          <w:color w:val="1A1A1A" w:themeColor="background1" w:themeShade="1A"/>
          <w:shd w:val="clear" w:color="auto" w:fill="FFFFFF"/>
          <w:lang w:val="es-ES_tradnl"/>
        </w:rPr>
        <w:t xml:space="preserve"> celebr</w:t>
      </w:r>
      <w:r>
        <w:rPr>
          <w:rFonts w:ascii="Verdana" w:hAnsi="Verdana" w:cs="Arial"/>
          <w:color w:val="1A1A1A" w:themeColor="background1" w:themeShade="1A"/>
          <w:shd w:val="clear" w:color="auto" w:fill="FFFFFF"/>
          <w:lang w:val="es-ES_tradnl"/>
        </w:rPr>
        <w:t xml:space="preserve">en </w:t>
      </w:r>
      <w:r w:rsidRPr="008363F8">
        <w:rPr>
          <w:rFonts w:ascii="Verdana" w:hAnsi="Verdana" w:cs="Arial"/>
          <w:i/>
          <w:iCs/>
          <w:color w:val="1A1A1A" w:themeColor="background1" w:themeShade="1A"/>
          <w:shd w:val="clear" w:color="auto" w:fill="FFFFFF"/>
          <w:lang w:val="es-ES_tradnl"/>
        </w:rPr>
        <w:t>de manera competitiva</w:t>
      </w:r>
      <w:r>
        <w:rPr>
          <w:rFonts w:ascii="Verdana" w:hAnsi="Verdana" w:cs="Arial"/>
          <w:i/>
          <w:iCs/>
          <w:color w:val="1A1A1A" w:themeColor="background1" w:themeShade="1A"/>
          <w:shd w:val="clear" w:color="auto" w:fill="FFFFFF"/>
          <w:lang w:val="es-ES_tradnl"/>
        </w:rPr>
        <w:t xml:space="preserve">. </w:t>
      </w:r>
    </w:p>
    <w:p w14:paraId="16CD864C" w14:textId="77777777" w:rsidR="002811B3" w:rsidRPr="00012D64" w:rsidRDefault="002811B3" w:rsidP="002811B3">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5A5C861" w14:textId="77777777" w:rsidR="002811B3" w:rsidRDefault="002811B3" w:rsidP="002811B3">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240528FA" w14:textId="77777777" w:rsidR="002811B3" w:rsidRPr="002D6B92" w:rsidRDefault="002811B3" w:rsidP="002811B3">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7501BC55" w14:textId="77777777" w:rsidR="002811B3" w:rsidRDefault="002811B3" w:rsidP="002811B3">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EA30DF3" w14:textId="77777777" w:rsidR="002811B3" w:rsidRPr="00435A6A" w:rsidRDefault="002811B3" w:rsidP="002811B3">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305B13E5" w14:textId="77777777" w:rsidR="002811B3" w:rsidRDefault="002811B3" w:rsidP="002811B3">
      <w:pPr>
        <w:spacing w:after="0" w:line="240" w:lineRule="auto"/>
        <w:jc w:val="both"/>
        <w:rPr>
          <w:rFonts w:ascii="Verdana" w:hAnsi="Verdana" w:cs="Arial"/>
          <w:color w:val="000000" w:themeColor="text1"/>
          <w:lang w:val="es-MX"/>
        </w:rPr>
      </w:pPr>
    </w:p>
    <w:p w14:paraId="31171242" w14:textId="77777777" w:rsidR="002811B3" w:rsidRDefault="002811B3" w:rsidP="002811B3">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5D242E30" w14:textId="77777777" w:rsidR="002811B3" w:rsidRPr="00195E24" w:rsidRDefault="002811B3" w:rsidP="002811B3">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500CDAD4" w14:textId="77777777" w:rsidR="002811B3" w:rsidRPr="00CE0712" w:rsidRDefault="002811B3" w:rsidP="002811B3">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1833C65E" w14:textId="77777777" w:rsidR="002811B3" w:rsidRDefault="002811B3" w:rsidP="002811B3">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54DC557" w14:textId="77777777" w:rsidR="002811B3" w:rsidRDefault="002811B3" w:rsidP="002811B3">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63984F21" w14:textId="77777777" w:rsidR="002811B3" w:rsidRPr="0004207F" w:rsidRDefault="002811B3" w:rsidP="002811B3">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65208B7D" w14:textId="77777777" w:rsidR="002811B3" w:rsidRPr="0004207F" w:rsidRDefault="002811B3" w:rsidP="002811B3">
      <w:pPr>
        <w:spacing w:after="120" w:line="276" w:lineRule="auto"/>
        <w:ind w:firstLine="709"/>
        <w:jc w:val="both"/>
        <w:rPr>
          <w:rFonts w:ascii="Verdana" w:hAnsi="Verdana" w:cs="Arial"/>
          <w:lang w:val="es-ES" w:eastAsia="es-CO"/>
        </w:rPr>
      </w:pPr>
      <w:r>
        <w:rPr>
          <w:rFonts w:ascii="Verdana" w:hAnsi="Verdana" w:cs="Arial"/>
          <w:bCs/>
          <w:lang w:val="es-MX" w:eastAsia="x-none"/>
        </w:rPr>
        <w:t>Igualmente,</w:t>
      </w:r>
      <w:r w:rsidRPr="0004207F">
        <w:rPr>
          <w:rFonts w:ascii="Verdana" w:hAnsi="Verdana" w:cs="Arial"/>
          <w:bCs/>
          <w:lang w:val="es-MX" w:eastAsia="x-none"/>
        </w:rPr>
        <w:t xml:space="preserve"> </w:t>
      </w:r>
      <w:r>
        <w:rPr>
          <w:rFonts w:ascii="Verdana" w:hAnsi="Verdana" w:cs="Arial"/>
          <w:bCs/>
          <w:lang w:val="es-MX" w:eastAsia="x-none"/>
        </w:rPr>
        <w:t>l</w:t>
      </w:r>
      <w:r w:rsidRPr="0004207F">
        <w:rPr>
          <w:rFonts w:ascii="Verdana" w:hAnsi="Verdana" w:cs="Arial"/>
          <w:bCs/>
          <w:lang w:val="es-MX" w:eastAsia="x-none"/>
        </w:rPr>
        <w:t>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6"/>
      </w:r>
      <w:r w:rsidRPr="0004207F">
        <w:rPr>
          <w:rFonts w:ascii="Verdana" w:hAnsi="Verdana" w:cs="Arial"/>
          <w:bCs/>
          <w:lang w:val="es-MX" w:eastAsia="x-none"/>
        </w:rPr>
        <w:t>.</w:t>
      </w:r>
    </w:p>
    <w:p w14:paraId="2C9426D5" w14:textId="77777777" w:rsidR="002811B3" w:rsidRDefault="002811B3" w:rsidP="002811B3">
      <w:pPr>
        <w:shd w:val="clear" w:color="auto" w:fill="FFFFFF"/>
        <w:spacing w:after="120" w:line="276" w:lineRule="auto"/>
        <w:ind w:firstLine="709"/>
        <w:jc w:val="both"/>
        <w:rPr>
          <w:rFonts w:ascii="Verdana" w:hAnsi="Verdana" w:cs="Arial"/>
          <w:bCs/>
          <w:lang w:val="es-ES_tradnl"/>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4AA28CD9" w14:textId="77777777" w:rsidR="002811B3" w:rsidRDefault="002811B3" w:rsidP="002811B3">
      <w:pPr>
        <w:spacing w:after="120" w:line="276" w:lineRule="auto"/>
        <w:ind w:firstLine="709"/>
        <w:jc w:val="both"/>
        <w:rPr>
          <w:rFonts w:ascii="Verdana" w:eastAsia="Calibri" w:hAnsi="Verdana" w:cs="Arial"/>
          <w:lang w:val="es-ES"/>
        </w:rPr>
      </w:pPr>
      <w:r>
        <w:rPr>
          <w:rFonts w:ascii="Verdana" w:hAnsi="Verdana" w:cs="Arial"/>
          <w:lang w:val="es-ES"/>
        </w:rPr>
        <w:t>En segundo lugar</w:t>
      </w:r>
      <w:r w:rsidRPr="00B91291">
        <w:rPr>
          <w:rFonts w:ascii="Verdana" w:hAnsi="Verdana" w:cs="Arial"/>
          <w:lang w:val="es-ES"/>
        </w:rPr>
        <w:t xml:space="preserve">,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59024802" w14:textId="77777777" w:rsidR="002811B3" w:rsidRDefault="002811B3" w:rsidP="002811B3">
      <w:pPr>
        <w:spacing w:after="12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47915323" w14:textId="77777777" w:rsidR="002811B3" w:rsidRPr="00AD17FF" w:rsidRDefault="002811B3" w:rsidP="002811B3">
      <w:pPr>
        <w:spacing w:after="12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D2F3A76" w14:textId="77777777" w:rsidR="002811B3" w:rsidRPr="00667CD6" w:rsidRDefault="002811B3" w:rsidP="002811B3">
      <w:pPr>
        <w:spacing w:after="12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07E2850E" w14:textId="77777777" w:rsidR="002811B3" w:rsidRPr="00667CD6" w:rsidRDefault="002811B3" w:rsidP="002811B3">
      <w:pPr>
        <w:spacing w:after="120" w:line="276" w:lineRule="auto"/>
        <w:ind w:firstLine="709"/>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81728CE" w14:textId="77777777" w:rsidR="002811B3" w:rsidRPr="00B8078E" w:rsidRDefault="002811B3" w:rsidP="002811B3">
      <w:pPr>
        <w:spacing w:after="120" w:line="276" w:lineRule="auto"/>
        <w:ind w:firstLine="709"/>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4B851B96" w14:textId="77777777" w:rsidR="002811B3" w:rsidRDefault="002811B3" w:rsidP="002811B3">
      <w:pPr>
        <w:spacing w:after="120" w:line="276" w:lineRule="auto"/>
        <w:ind w:firstLine="709"/>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4C801E89" w14:textId="77777777" w:rsidR="002811B3" w:rsidRDefault="002811B3" w:rsidP="002811B3">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6A204DD3" w14:textId="77777777" w:rsidR="002811B3" w:rsidRPr="00667CD6" w:rsidRDefault="002811B3" w:rsidP="002811B3">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7456929B" w14:textId="77777777" w:rsidR="002811B3" w:rsidRPr="00667CD6" w:rsidRDefault="002811B3" w:rsidP="002811B3">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Pr>
          <w:rFonts w:ascii="Verdana" w:eastAsia="Times New Roman" w:hAnsi="Verdana" w:cs="Arial"/>
          <w:lang w:eastAsia="es-CO"/>
        </w:rPr>
        <w:t xml:space="preserve">Es decir, las excepciones contempladas en el artículo 33 no son aplicables a la restricción del artículo 38. </w:t>
      </w:r>
    </w:p>
    <w:p w14:paraId="38434749" w14:textId="77777777" w:rsidR="002811B3" w:rsidRPr="00AB4B99" w:rsidRDefault="002811B3" w:rsidP="002811B3">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0812827B" w14:textId="77777777" w:rsidR="002811B3" w:rsidRDefault="002811B3" w:rsidP="002811B3">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49245CAF" w14:textId="77777777" w:rsidR="002811B3" w:rsidRPr="00667CD6" w:rsidRDefault="002811B3" w:rsidP="002811B3">
      <w:pPr>
        <w:spacing w:after="0" w:line="240" w:lineRule="auto"/>
        <w:ind w:left="709" w:right="709"/>
        <w:jc w:val="both"/>
        <w:rPr>
          <w:rFonts w:ascii="Verdana" w:hAnsi="Verdana" w:cs="Arial"/>
          <w:sz w:val="20"/>
          <w:szCs w:val="20"/>
        </w:rPr>
      </w:pPr>
    </w:p>
    <w:p w14:paraId="130481AA" w14:textId="77777777" w:rsidR="002811B3" w:rsidRPr="00667CD6" w:rsidRDefault="002811B3" w:rsidP="002811B3">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2EEF134D" w14:textId="77777777" w:rsidR="002811B3" w:rsidRPr="00667CD6" w:rsidRDefault="002811B3" w:rsidP="002811B3">
      <w:pPr>
        <w:spacing w:after="0" w:line="276" w:lineRule="auto"/>
        <w:ind w:left="709" w:right="709"/>
        <w:jc w:val="both"/>
        <w:rPr>
          <w:rFonts w:ascii="Verdana" w:hAnsi="Verdana" w:cs="Arial"/>
        </w:rPr>
      </w:pPr>
    </w:p>
    <w:p w14:paraId="24C441D3" w14:textId="77777777" w:rsidR="002811B3" w:rsidRPr="00667CD6" w:rsidRDefault="002811B3" w:rsidP="002811B3">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181DEEC2" w14:textId="77777777" w:rsidR="002811B3" w:rsidRPr="00667CD6" w:rsidRDefault="002811B3" w:rsidP="002811B3">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4F5D374E" w14:textId="77777777" w:rsidR="002811B3" w:rsidRDefault="002811B3" w:rsidP="002811B3">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461F9955" w14:textId="77777777" w:rsidR="002811B3" w:rsidRDefault="002811B3" w:rsidP="002811B3">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454A1E3B" w14:textId="77777777" w:rsidR="002811B3" w:rsidRDefault="002811B3" w:rsidP="002811B3">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47769ACB" w14:textId="77777777" w:rsidR="002811B3" w:rsidRDefault="002811B3" w:rsidP="002811B3">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celebraron el 8 de marzo de 2026. Esta restricción se extiende a las elecciones presidenciales que se celebrarán el 31 de mayo de 2026, así como una posible segunda vuelta tres semanas después, es decir, el 21 de junio de 2026. </w:t>
      </w:r>
    </w:p>
    <w:p w14:paraId="2C1D4406" w14:textId="77777777" w:rsidR="002811B3" w:rsidRDefault="002811B3" w:rsidP="002811B3">
      <w:pPr>
        <w:spacing w:after="120" w:line="276" w:lineRule="auto"/>
        <w:ind w:firstLine="709"/>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79C771B1" w14:textId="77777777" w:rsidR="002811B3" w:rsidRDefault="002811B3" w:rsidP="002811B3">
      <w:pPr>
        <w:spacing w:after="0" w:line="276" w:lineRule="auto"/>
        <w:ind w:firstLine="708"/>
        <w:jc w:val="both"/>
        <w:rPr>
          <w:rFonts w:ascii="Verdana" w:eastAsia="Calibri" w:hAnsi="Verdana" w:cs="Arial"/>
          <w:lang w:val="es-ES" w:eastAsia="es-ES"/>
        </w:rPr>
      </w:pPr>
      <w:r>
        <w:rPr>
          <w:rFonts w:ascii="Verdana" w:eastAsia="Calibri" w:hAnsi="Verdana" w:cs="Arial"/>
          <w:lang w:val="es-ES" w:eastAsia="es-ES"/>
        </w:rPr>
        <w:t xml:space="preserve">De acuerdo con lo anterior se presentan las siguientes conclusiones: </w:t>
      </w:r>
    </w:p>
    <w:p w14:paraId="7361997F" w14:textId="77777777" w:rsidR="002811B3" w:rsidRDefault="002811B3" w:rsidP="002811B3">
      <w:pPr>
        <w:spacing w:after="0" w:line="240" w:lineRule="auto"/>
        <w:jc w:val="both"/>
        <w:rPr>
          <w:rFonts w:ascii="Verdana" w:eastAsia="Calibri" w:hAnsi="Verdana" w:cs="Arial"/>
          <w:lang w:val="es-ES" w:eastAsia="es-ES"/>
        </w:rPr>
      </w:pPr>
    </w:p>
    <w:p w14:paraId="024A8345" w14:textId="77777777" w:rsidR="002811B3" w:rsidRPr="00E64C1B" w:rsidRDefault="002811B3" w:rsidP="002811B3">
      <w:pPr>
        <w:pStyle w:val="Prrafodelista"/>
        <w:numPr>
          <w:ilvl w:val="0"/>
          <w:numId w:val="18"/>
        </w:numPr>
        <w:spacing w:after="120" w:line="276" w:lineRule="auto"/>
        <w:ind w:left="357" w:hanging="357"/>
        <w:jc w:val="both"/>
        <w:rPr>
          <w:rFonts w:ascii="Verdana" w:hAnsi="Verdana" w:cs="Arial"/>
          <w:bCs/>
          <w:color w:val="000000" w:themeColor="text1"/>
          <w:lang w:val="es-MX" w:eastAsia="x-none"/>
        </w:rPr>
      </w:pPr>
      <w:r w:rsidRPr="00954F55">
        <w:rPr>
          <w:rFonts w:ascii="Verdana" w:eastAsia="Calibri" w:hAnsi="Verdana" w:cs="Arial"/>
          <w:lang w:eastAsia="es-ES"/>
        </w:rPr>
        <w:t xml:space="preserve">Las restricciones contenidas en el artículo 33 de la Ley 996 de 2005 aplica para “la contratación directa” de todos los entes del Estado, </w:t>
      </w:r>
      <w:r w:rsidRPr="00954F5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954F55">
        <w:rPr>
          <w:rFonts w:ascii="Verdana" w:eastAsia="Calibri" w:hAnsi="Verdana" w:cs="Arial"/>
          <w:lang w:eastAsia="es-ES"/>
        </w:rPr>
        <w:t xml:space="preserve">Se trata de la prohibición de </w:t>
      </w:r>
      <w:r w:rsidRPr="00954F55">
        <w:rPr>
          <w:rFonts w:ascii="Verdana" w:hAnsi="Verdana" w:cs="Arial"/>
          <w:bCs/>
          <w:lang w:eastAsia="x-none"/>
        </w:rPr>
        <w:t>aquellos contratos en los que no exista un proceso abierto y competitivo.</w:t>
      </w:r>
      <w:r w:rsidRPr="00954F5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w:t>
      </w:r>
      <w:r>
        <w:rPr>
          <w:rFonts w:ascii="Verdana" w:hAnsi="Verdana" w:cs="Arial"/>
          <w:lang w:eastAsia="x-none"/>
        </w:rPr>
        <w:t xml:space="preserve"> o los procesos competitivos establecidos en los manuales de contratación de las entidades con regímenes exceptuados</w:t>
      </w:r>
      <w:r w:rsidRPr="00954F55">
        <w:rPr>
          <w:rFonts w:ascii="Verdana" w:hAnsi="Verdana" w:cs="Arial"/>
          <w:lang w:eastAsia="x-none"/>
        </w:rPr>
        <w:t xml:space="preserve">. Adicionalmente, la celebración de la contratación directa </w:t>
      </w:r>
      <w:r w:rsidRPr="00954F55">
        <w:rPr>
          <w:rFonts w:ascii="Verdana" w:eastAsia="Calibri" w:hAnsi="Verdana" w:cs="Arial"/>
          <w:lang w:val="es-CO"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954F55">
        <w:rPr>
          <w:rStyle w:val="Refdenotaalpie"/>
          <w:rFonts w:ascii="Verdana" w:eastAsia="Calibri" w:hAnsi="Verdana" w:cs="Arial"/>
          <w:lang w:val="es-CO" w:eastAsia="es-ES"/>
        </w:rPr>
        <w:footnoteReference w:id="36"/>
      </w:r>
      <w:r w:rsidRPr="00954F55">
        <w:rPr>
          <w:rFonts w:ascii="Verdana" w:eastAsia="Calibri" w:hAnsi="Verdana" w:cs="Arial"/>
          <w:lang w:val="es-CO" w:eastAsia="es-ES"/>
        </w:rPr>
        <w:t xml:space="preserve">. </w:t>
      </w:r>
    </w:p>
    <w:p w14:paraId="7F9A915B" w14:textId="77777777" w:rsidR="002811B3" w:rsidRPr="00E64C1B" w:rsidRDefault="002811B3" w:rsidP="002811B3">
      <w:pPr>
        <w:pStyle w:val="Prrafodelista"/>
        <w:spacing w:after="0" w:line="240" w:lineRule="auto"/>
        <w:ind w:left="0"/>
        <w:jc w:val="both"/>
        <w:rPr>
          <w:rFonts w:ascii="Verdana" w:hAnsi="Verdana" w:cs="Arial"/>
          <w:bCs/>
          <w:color w:val="000000" w:themeColor="text1"/>
          <w:lang w:val="es-MX" w:eastAsia="x-none"/>
        </w:rPr>
      </w:pPr>
    </w:p>
    <w:p w14:paraId="67C73F1A" w14:textId="77777777" w:rsidR="002811B3" w:rsidRDefault="002811B3" w:rsidP="002811B3">
      <w:pPr>
        <w:pStyle w:val="Prrafodelista"/>
        <w:numPr>
          <w:ilvl w:val="0"/>
          <w:numId w:val="18"/>
        </w:numPr>
        <w:spacing w:after="120" w:line="276" w:lineRule="auto"/>
        <w:ind w:left="357" w:hanging="357"/>
        <w:jc w:val="both"/>
        <w:rPr>
          <w:rFonts w:ascii="Verdana" w:eastAsia="Calibri" w:hAnsi="Verdana" w:cs="Arial"/>
          <w:lang w:eastAsia="es-ES"/>
        </w:rPr>
      </w:pPr>
      <w:r w:rsidRPr="00E64C1B">
        <w:rPr>
          <w:rFonts w:ascii="Verdana" w:eastAsia="Calibri" w:hAnsi="Verdana" w:cs="Arial"/>
          <w:lang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61CCC0B4" w14:textId="77777777" w:rsidR="002811B3" w:rsidRPr="00E80F85" w:rsidRDefault="002811B3" w:rsidP="002811B3">
      <w:pPr>
        <w:pStyle w:val="Prrafodelista"/>
        <w:spacing w:after="0" w:line="240" w:lineRule="auto"/>
        <w:ind w:left="0"/>
        <w:rPr>
          <w:rFonts w:ascii="Verdana" w:eastAsia="Calibri" w:hAnsi="Verdana" w:cs="Arial"/>
          <w:lang w:eastAsia="es-ES"/>
        </w:rPr>
      </w:pPr>
    </w:p>
    <w:p w14:paraId="0709A7B0" w14:textId="77777777" w:rsidR="002811B3" w:rsidRDefault="002811B3" w:rsidP="002811B3">
      <w:pPr>
        <w:pStyle w:val="Prrafodelista"/>
        <w:numPr>
          <w:ilvl w:val="0"/>
          <w:numId w:val="18"/>
        </w:numPr>
        <w:spacing w:after="120" w:line="276" w:lineRule="auto"/>
        <w:ind w:left="360"/>
        <w:jc w:val="both"/>
        <w:rPr>
          <w:rFonts w:ascii="Verdana" w:eastAsia="Calibri" w:hAnsi="Verdana" w:cs="Arial"/>
          <w:lang w:eastAsia="es-ES"/>
        </w:rPr>
      </w:pPr>
      <w:r w:rsidRPr="00E80F85">
        <w:rPr>
          <w:rFonts w:ascii="Verdana" w:eastAsia="Calibri" w:hAnsi="Verdana" w:cs="Arial"/>
          <w:lang w:eastAsia="es-ES"/>
        </w:rPr>
        <w:t xml:space="preserve">La restricción </w:t>
      </w:r>
      <w:r>
        <w:rPr>
          <w:rFonts w:ascii="Verdana" w:eastAsia="Calibri" w:hAnsi="Verdana" w:cs="Arial"/>
          <w:lang w:eastAsia="es-ES"/>
        </w:rPr>
        <w:t>contemplada</w:t>
      </w:r>
      <w:r w:rsidRPr="00E80F85">
        <w:rPr>
          <w:rFonts w:ascii="Verdana" w:eastAsia="Calibri" w:hAnsi="Verdana" w:cs="Arial"/>
          <w:lang w:eastAsia="es-ES"/>
        </w:rPr>
        <w:t xml:space="preserve"> en el </w:t>
      </w:r>
      <w:r>
        <w:rPr>
          <w:rFonts w:ascii="Verdana" w:eastAsia="Calibri" w:hAnsi="Verdana" w:cs="Arial"/>
          <w:lang w:eastAsia="es-ES"/>
        </w:rPr>
        <w:t xml:space="preserve">parágrafo del </w:t>
      </w:r>
      <w:r w:rsidRPr="00E80F85">
        <w:rPr>
          <w:rFonts w:ascii="Verdana" w:eastAsia="Calibri" w:hAnsi="Verdana" w:cs="Arial"/>
          <w:lang w:eastAsia="es-ES"/>
        </w:rPr>
        <w:t>artículo 38 de la Ley 996 de 2005 se refiere a la celebración de convenios interadministrativos para la ejecución de recursos públicos, independientemente de que se configuren los supuestos de excepción que señala en artículo 33 de la misma ley.</w:t>
      </w:r>
      <w:r>
        <w:rPr>
          <w:rFonts w:ascii="Verdana" w:eastAsia="Calibri" w:hAnsi="Verdana" w:cs="Arial"/>
          <w:lang w:eastAsia="es-ES"/>
        </w:rPr>
        <w:t xml:space="preserve"> </w:t>
      </w:r>
      <w:r w:rsidRPr="00E80F85">
        <w:rPr>
          <w:rFonts w:ascii="Verdana" w:eastAsia="Calibri" w:hAnsi="Verdana" w:cs="Arial"/>
          <w:lang w:eastAsia="es-ES"/>
        </w:rPr>
        <w:t xml:space="preserve"> </w:t>
      </w:r>
    </w:p>
    <w:p w14:paraId="1872CCCD" w14:textId="77777777" w:rsidR="002811B3" w:rsidRPr="00DD5A6D" w:rsidRDefault="002811B3" w:rsidP="002811B3">
      <w:pPr>
        <w:pStyle w:val="Prrafodelista"/>
        <w:spacing w:after="0" w:line="240" w:lineRule="auto"/>
        <w:rPr>
          <w:rFonts w:ascii="Verdana" w:eastAsia="Calibri" w:hAnsi="Verdana" w:cs="Arial"/>
          <w:lang w:eastAsia="es-ES"/>
        </w:rPr>
      </w:pPr>
    </w:p>
    <w:p w14:paraId="0727A15A" w14:textId="77777777" w:rsidR="002811B3" w:rsidRDefault="002811B3" w:rsidP="002811B3">
      <w:pPr>
        <w:pStyle w:val="Prrafodelista"/>
        <w:numPr>
          <w:ilvl w:val="0"/>
          <w:numId w:val="18"/>
        </w:numPr>
        <w:spacing w:after="120" w:line="276" w:lineRule="auto"/>
        <w:ind w:left="357" w:hanging="357"/>
        <w:jc w:val="both"/>
        <w:rPr>
          <w:rFonts w:ascii="Verdana" w:eastAsia="Calibri" w:hAnsi="Verdana" w:cs="Arial"/>
          <w:lang w:eastAsia="es-ES"/>
        </w:rPr>
      </w:pPr>
      <w:r>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w:t>
      </w:r>
      <w:r w:rsidRPr="00F35E92">
        <w:rPr>
          <w:rFonts w:ascii="Verdana" w:eastAsia="Calibri" w:hAnsi="Verdana" w:cs="Arial"/>
          <w:lang w:eastAsia="es-ES"/>
        </w:rPr>
        <w:t xml:space="preserve">parcial del numeral 16.2 de la Circular Externa Única de 2022, por lo tanto, cuando dos entidades públicas celebran un contrato interadministrativo, independientemente del objeto, dicho contrato puede suscribirse durante el periodo preelectoral. </w:t>
      </w:r>
    </w:p>
    <w:p w14:paraId="1665BB1C" w14:textId="77777777" w:rsidR="002811B3" w:rsidRPr="00A97278" w:rsidRDefault="002811B3" w:rsidP="002811B3">
      <w:pPr>
        <w:pStyle w:val="Prrafodelista"/>
        <w:spacing w:after="0" w:line="240" w:lineRule="auto"/>
        <w:rPr>
          <w:rFonts w:ascii="Verdana" w:eastAsia="Calibri" w:hAnsi="Verdana" w:cs="Arial"/>
          <w:lang w:eastAsia="es-ES"/>
        </w:rPr>
      </w:pPr>
    </w:p>
    <w:p w14:paraId="57C7EA9A" w14:textId="77777777" w:rsidR="002811B3" w:rsidRPr="00C57B8D" w:rsidRDefault="002811B3" w:rsidP="002811B3">
      <w:pPr>
        <w:pStyle w:val="Prrafodelista"/>
        <w:numPr>
          <w:ilvl w:val="0"/>
          <w:numId w:val="18"/>
        </w:numPr>
        <w:spacing w:after="120" w:line="276" w:lineRule="auto"/>
        <w:ind w:left="357" w:hanging="357"/>
        <w:jc w:val="both"/>
        <w:rPr>
          <w:rFonts w:ascii="Verdana" w:eastAsia="Calibri" w:hAnsi="Verdana" w:cs="Arial"/>
          <w:lang w:eastAsia="es-ES"/>
        </w:rPr>
      </w:pPr>
      <w:r w:rsidRPr="00A97278">
        <w:rPr>
          <w:rFonts w:ascii="Verdana" w:eastAsia="Calibri" w:hAnsi="Verdana" w:cs="Arial"/>
          <w:lang w:eastAsia="es-ES"/>
        </w:rPr>
        <w:t>Actualmente, las restricciones del artículo 33 y del parágrafo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2B7FF016" w14:textId="77777777" w:rsidR="002811B3" w:rsidRDefault="002811B3" w:rsidP="002811B3">
      <w:pPr>
        <w:spacing w:after="120" w:line="276" w:lineRule="auto"/>
        <w:ind w:firstLine="709"/>
        <w:jc w:val="both"/>
        <w:rPr>
          <w:rFonts w:ascii="Verdana" w:eastAsia="Arial" w:hAnsi="Verdana" w:cs="Arial"/>
          <w:lang w:eastAsia="es-MX"/>
        </w:rPr>
      </w:pPr>
      <w:r w:rsidRPr="009C10B7">
        <w:rPr>
          <w:rFonts w:ascii="Verdana" w:eastAsia="Calibri" w:hAnsi="Verdana" w:cs="Arial"/>
        </w:rPr>
        <w:t xml:space="preserve">Precisado lo anterior, en relación con el problema jurídico planteado, se resalta que </w:t>
      </w:r>
      <w:bookmarkStart w:id="20" w:name="_Hlk100224224"/>
      <w:r w:rsidRPr="009C10B7">
        <w:rPr>
          <w:rFonts w:ascii="Verdana" w:eastAsia="Arial" w:hAnsi="Verdana" w:cs="Arial"/>
          <w:lang w:eastAsia="es-MX"/>
        </w:rPr>
        <w:t>las instituciones educativas pertenecen a la entidad territorial que haya efectuado su reconocimiento de carácter oficial. Es decir, el sistema educativo es descentralizado</w:t>
      </w:r>
      <w:r w:rsidRPr="009C10B7">
        <w:rPr>
          <w:rStyle w:val="Refdenotaalpie"/>
          <w:rFonts w:ascii="Verdana" w:eastAsia="Arial" w:hAnsi="Verdana" w:cs="Arial"/>
          <w:lang w:eastAsia="es-MX"/>
        </w:rPr>
        <w:footnoteReference w:id="37"/>
      </w:r>
      <w:r w:rsidRPr="009C10B7">
        <w:rPr>
          <w:rFonts w:ascii="Verdana" w:eastAsia="Arial" w:hAnsi="Verdana" w:cs="Arial"/>
          <w:lang w:eastAsia="es-MX"/>
        </w:rPr>
        <w:t xml:space="preserve"> por las competencias propias que se les ha otorgado a las entidades territoriales (Departamentos, Municipios, Distritos) para administrar las instituciones educativas, que pueden ser de los diferentes niveles, pero estas no son entidades descentralizadas.</w:t>
      </w:r>
    </w:p>
    <w:p w14:paraId="662A432C" w14:textId="77777777" w:rsidR="002811B3" w:rsidRPr="00072C23" w:rsidRDefault="002811B3" w:rsidP="002811B3">
      <w:pPr>
        <w:spacing w:after="120" w:line="276" w:lineRule="auto"/>
        <w:ind w:firstLine="709"/>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20"/>
      <w:r w:rsidRPr="00072C23">
        <w:rPr>
          <w:rFonts w:ascii="Verdana" w:eastAsia="Arial" w:hAnsi="Verdana" w:cs="Arial"/>
          <w:vertAlign w:val="superscript"/>
          <w:lang w:eastAsia="es-MX"/>
        </w:rPr>
        <w:footnoteReference w:id="38"/>
      </w:r>
      <w:r w:rsidRPr="00072C23">
        <w:rPr>
          <w:rFonts w:ascii="Verdana" w:eastAsia="Arial" w:hAnsi="Verdana" w:cs="Arial"/>
          <w:lang w:eastAsia="es-MX"/>
        </w:rPr>
        <w:t xml:space="preserve"> </w:t>
      </w:r>
      <w:r w:rsidRPr="00072C23">
        <w:rPr>
          <w:rFonts w:ascii="Verdana" w:eastAsia="Arial" w:hAnsi="Verdana" w:cs="Arial"/>
          <w:vertAlign w:val="superscript"/>
          <w:lang w:eastAsia="es-MX"/>
        </w:rPr>
        <w:footnoteReference w:id="39"/>
      </w:r>
      <w:r w:rsidRPr="00072C23">
        <w:rPr>
          <w:rFonts w:ascii="Verdana" w:eastAsia="Arial" w:hAnsi="Verdana" w:cs="Arial"/>
          <w:lang w:eastAsia="es-MX"/>
        </w:rPr>
        <w:t>.</w:t>
      </w:r>
    </w:p>
    <w:p w14:paraId="7E5FDE40" w14:textId="77777777" w:rsidR="002811B3" w:rsidRPr="00072C23" w:rsidRDefault="002811B3" w:rsidP="002811B3">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3EDE3356" w14:textId="77777777" w:rsidR="002811B3" w:rsidRDefault="002811B3" w:rsidP="002811B3">
      <w:pPr>
        <w:spacing w:after="0" w:line="240" w:lineRule="auto"/>
        <w:ind w:left="709" w:right="709"/>
        <w:jc w:val="both"/>
        <w:rPr>
          <w:rFonts w:ascii="Verdana" w:eastAsia="Arial" w:hAnsi="Verdana" w:cs="Arial"/>
          <w:sz w:val="20"/>
          <w:szCs w:val="20"/>
          <w:lang w:eastAsia="es-MX"/>
        </w:rPr>
      </w:pPr>
      <w:r>
        <w:rPr>
          <w:rFonts w:ascii="Verdana" w:eastAsia="Arial" w:hAnsi="Verdana" w:cs="Arial"/>
          <w:sz w:val="20"/>
          <w:szCs w:val="20"/>
          <w:lang w:eastAsia="es-MX"/>
        </w:rPr>
        <w:t>“</w:t>
      </w:r>
      <w:r w:rsidRPr="00072C23">
        <w:rPr>
          <w:rFonts w:ascii="Verdana" w:eastAsia="Arial" w:hAnsi="Verdana" w:cs="Arial"/>
          <w:sz w:val="20"/>
          <w:szCs w:val="20"/>
          <w:lang w:eastAsia="es-MX"/>
        </w:rPr>
        <w:t>Artículo 2.3.1.6.3.4. Ordenación del gasto. Los fondos de servicios educativos carecen de personería jurídica. El rector o director rural es el ordenador del gasto del Fondo de Servicios Educativos y su ejercicio no implica representación legal</w:t>
      </w:r>
      <w:r>
        <w:rPr>
          <w:rFonts w:ascii="Verdana" w:eastAsia="Arial" w:hAnsi="Verdana" w:cs="Arial"/>
          <w:sz w:val="20"/>
          <w:szCs w:val="20"/>
          <w:lang w:eastAsia="es-MX"/>
        </w:rPr>
        <w:t>”</w:t>
      </w:r>
      <w:r w:rsidRPr="00072C23">
        <w:rPr>
          <w:rFonts w:ascii="Verdana" w:eastAsia="Arial" w:hAnsi="Verdana" w:cs="Arial"/>
          <w:sz w:val="20"/>
          <w:szCs w:val="20"/>
          <w:lang w:eastAsia="es-MX"/>
        </w:rPr>
        <w:t>.</w:t>
      </w:r>
    </w:p>
    <w:p w14:paraId="6D644E45" w14:textId="77777777" w:rsidR="002811B3" w:rsidRPr="00B96E97" w:rsidRDefault="002811B3" w:rsidP="002811B3">
      <w:pPr>
        <w:spacing w:after="0" w:line="276" w:lineRule="auto"/>
        <w:ind w:left="709" w:right="709"/>
        <w:jc w:val="both"/>
        <w:rPr>
          <w:rFonts w:ascii="Verdana" w:eastAsia="Arial" w:hAnsi="Verdana" w:cs="Arial"/>
          <w:lang w:eastAsia="es-MX"/>
        </w:rPr>
      </w:pPr>
    </w:p>
    <w:p w14:paraId="3C1B99B7" w14:textId="77777777" w:rsidR="002811B3" w:rsidRPr="00AB4B99" w:rsidRDefault="002811B3" w:rsidP="002811B3">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40"/>
      </w:r>
      <w:r w:rsidRPr="00072C23">
        <w:rPr>
          <w:rFonts w:ascii="Verdana" w:eastAsia="Arial" w:hAnsi="Verdana" w:cs="Arial"/>
          <w:lang w:eastAsia="es-MX"/>
        </w:rPr>
        <w:t>. Para estos efectos, el artículo 2.3.1.6.3.17. del Decreto 1075 de 2015 dispone lo siguiente:</w:t>
      </w:r>
    </w:p>
    <w:p w14:paraId="09E4C3A5" w14:textId="77777777" w:rsidR="002811B3" w:rsidRPr="003A37DA" w:rsidRDefault="002811B3" w:rsidP="002811B3">
      <w:pPr>
        <w:spacing w:after="0" w:line="240" w:lineRule="auto"/>
        <w:ind w:left="709" w:right="709"/>
        <w:jc w:val="both"/>
        <w:textAlignment w:val="baseline"/>
        <w:rPr>
          <w:rFonts w:ascii="Verdana" w:eastAsia="Arial" w:hAnsi="Verdana" w:cs="Arial"/>
          <w:sz w:val="20"/>
          <w:szCs w:val="20"/>
          <w:lang w:val="es-ES" w:eastAsia="es-ES"/>
        </w:rPr>
      </w:pPr>
      <w:r>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28325354" w14:textId="77777777" w:rsidR="002811B3" w:rsidRDefault="002811B3" w:rsidP="002811B3">
      <w:pPr>
        <w:spacing w:after="0" w:line="240" w:lineRule="auto"/>
        <w:ind w:left="709" w:right="709"/>
        <w:jc w:val="both"/>
        <w:textAlignment w:val="baseline"/>
        <w:rPr>
          <w:rFonts w:ascii="Verdana" w:eastAsia="Arial" w:hAnsi="Verdana" w:cs="Arial"/>
          <w:color w:val="000000" w:themeColor="text1"/>
          <w:sz w:val="20"/>
          <w:szCs w:val="20"/>
          <w:lang w:val="es-ES" w:eastAsia="es-ES"/>
        </w:rPr>
      </w:pPr>
    </w:p>
    <w:p w14:paraId="2DB394CF" w14:textId="77777777" w:rsidR="002811B3" w:rsidRDefault="002811B3" w:rsidP="002811B3">
      <w:pPr>
        <w:spacing w:after="0" w:line="240" w:lineRule="auto"/>
        <w:ind w:left="709" w:right="709"/>
        <w:jc w:val="both"/>
        <w:textAlignment w:val="baseline"/>
        <w:rPr>
          <w:rFonts w:ascii="Verdana" w:eastAsia="Arial" w:hAnsi="Verdana" w:cs="Arial"/>
          <w:color w:val="000000" w:themeColor="text1"/>
          <w:sz w:val="20"/>
          <w:szCs w:val="20"/>
          <w:lang w:val="es-ES" w:eastAsia="es-ES"/>
        </w:rPr>
      </w:pPr>
      <w:r w:rsidRPr="003A37DA">
        <w:rPr>
          <w:rFonts w:ascii="Verdana" w:eastAsia="Arial" w:hAnsi="Verdana" w:cs="Arial"/>
          <w:color w:val="000000" w:themeColor="text1"/>
          <w:sz w:val="20"/>
          <w:szCs w:val="20"/>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r>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  </w:t>
      </w:r>
    </w:p>
    <w:p w14:paraId="5D609420" w14:textId="77777777" w:rsidR="002811B3" w:rsidRPr="003A37DA" w:rsidRDefault="002811B3" w:rsidP="002811B3">
      <w:pPr>
        <w:spacing w:after="0" w:line="240" w:lineRule="auto"/>
        <w:ind w:left="709" w:right="709"/>
        <w:jc w:val="both"/>
        <w:textAlignment w:val="baseline"/>
        <w:rPr>
          <w:rFonts w:ascii="Verdana" w:eastAsia="Arial" w:hAnsi="Verdana" w:cs="Arial"/>
          <w:sz w:val="20"/>
          <w:szCs w:val="20"/>
          <w:lang w:val="es-ES" w:eastAsia="es-ES"/>
        </w:rPr>
      </w:pPr>
    </w:p>
    <w:p w14:paraId="5D1F820A" w14:textId="77777777" w:rsidR="002811B3" w:rsidRPr="00072C23" w:rsidRDefault="002811B3" w:rsidP="002811B3">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w:t>
      </w:r>
      <w:bookmarkStart w:id="22" w:name="_Hlk61284209"/>
      <w:r w:rsidRPr="00072C23">
        <w:rPr>
          <w:rFonts w:ascii="Verdana" w:eastAsia="Arial" w:hAnsi="Verdana" w:cs="Arial"/>
          <w:lang w:eastAsia="es-MX"/>
        </w:rPr>
        <w:t>artículo 13 de la Ley 715 de 2001</w:t>
      </w:r>
      <w:bookmarkEnd w:id="22"/>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1CCCA17C" w14:textId="77777777" w:rsidR="002811B3" w:rsidRPr="00072C23" w:rsidRDefault="002811B3" w:rsidP="002811B3">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w:t>
      </w:r>
      <w:r>
        <w:rPr>
          <w:rFonts w:ascii="Verdana" w:eastAsia="Arial" w:hAnsi="Verdana" w:cs="Arial"/>
          <w:color w:val="000000" w:themeColor="text1"/>
          <w:lang w:eastAsia="es-MX"/>
        </w:rPr>
        <w:t>respecto del análisis sobre la aplicación a</w:t>
      </w:r>
      <w:r w:rsidRPr="00072C23">
        <w:rPr>
          <w:rFonts w:ascii="Verdana" w:eastAsia="Arial" w:hAnsi="Verdana" w:cs="Arial"/>
          <w:color w:val="000000" w:themeColor="text1"/>
          <w:lang w:eastAsia="es-MX"/>
        </w:rPr>
        <w:t xml:space="preserve"> la restricción del artículo 33 de la </w:t>
      </w:r>
      <w:r w:rsidRPr="00072C23">
        <w:rPr>
          <w:rFonts w:ascii="Verdana" w:eastAsia="Arial" w:hAnsi="Verdana" w:cs="Arial"/>
          <w:color w:val="000000" w:themeColor="text1"/>
          <w:lang w:eastAsia="es-CO"/>
        </w:rPr>
        <w:t>Ley 996 de 2005 es necesario considerar que</w:t>
      </w:r>
      <w:r>
        <w:rPr>
          <w:rFonts w:ascii="Verdana" w:eastAsia="Arial" w:hAnsi="Verdana" w:cs="Arial"/>
          <w:color w:val="000000" w:themeColor="text1"/>
          <w:lang w:eastAsia="es-CO"/>
        </w:rPr>
        <w:t>, si bien</w:t>
      </w:r>
      <w:r w:rsidRPr="00072C23">
        <w:rPr>
          <w:rFonts w:ascii="Verdana" w:eastAsia="Arial" w:hAnsi="Verdana" w:cs="Arial"/>
          <w:color w:val="000000" w:themeColor="text1"/>
          <w:lang w:eastAsia="es-CO"/>
        </w:rPr>
        <w:t xml:space="preserv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w:t>
      </w:r>
      <w:r>
        <w:rPr>
          <w:rFonts w:ascii="Verdana" w:eastAsia="Arial" w:hAnsi="Verdana" w:cs="Arial"/>
          <w:color w:val="000000" w:themeColor="text1"/>
          <w:lang w:eastAsia="es-CO"/>
        </w:rPr>
        <w:t xml:space="preserve">, lo cierto es que </w:t>
      </w:r>
      <w:r w:rsidRPr="00072C23">
        <w:rPr>
          <w:rFonts w:ascii="Verdana" w:eastAsia="Arial" w:hAnsi="Verdana" w:cs="Arial"/>
          <w:color w:val="000000" w:themeColor="text1"/>
          <w:lang w:eastAsia="es-CO"/>
        </w:rPr>
        <w:t>la prohibición de contratación directa de la Ley de Garantías</w:t>
      </w:r>
      <w:r>
        <w:rPr>
          <w:rFonts w:ascii="Verdana" w:eastAsia="Arial" w:hAnsi="Verdana" w:cs="Arial"/>
          <w:color w:val="000000" w:themeColor="text1"/>
          <w:lang w:eastAsia="es-CO"/>
        </w:rPr>
        <w:t xml:space="preserve"> Electorales aplica</w:t>
      </w:r>
      <w:r w:rsidRPr="00072C23">
        <w:rPr>
          <w:rFonts w:ascii="Verdana" w:eastAsia="Arial" w:hAnsi="Verdana" w:cs="Arial"/>
          <w:color w:val="000000" w:themeColor="text1"/>
          <w:lang w:eastAsia="es-CO"/>
        </w:rPr>
        <w:t xml:space="preserve"> independiente</w:t>
      </w:r>
      <w:r>
        <w:rPr>
          <w:rFonts w:ascii="Verdana" w:eastAsia="Arial" w:hAnsi="Verdana" w:cs="Arial"/>
          <w:color w:val="000000" w:themeColor="text1"/>
          <w:lang w:eastAsia="es-CO"/>
        </w:rPr>
        <w:t>mente</w:t>
      </w:r>
      <w:r w:rsidRPr="00072C23">
        <w:rPr>
          <w:rFonts w:ascii="Verdana" w:eastAsia="Arial" w:hAnsi="Verdana" w:cs="Arial"/>
          <w:color w:val="000000" w:themeColor="text1"/>
          <w:lang w:eastAsia="es-CO"/>
        </w:rPr>
        <w:t xml:space="preserve"> del régimen contractual, por lo que se extiende a los contratos celebrados con cargo a los fondos de servicios educativos</w:t>
      </w:r>
      <w:r>
        <w:rPr>
          <w:rFonts w:ascii="Verdana" w:eastAsia="Arial" w:hAnsi="Verdana" w:cs="Arial"/>
          <w:color w:val="000000" w:themeColor="text1"/>
          <w:lang w:eastAsia="es-CO"/>
        </w:rPr>
        <w:t>, por ser Entes del Estado</w:t>
      </w:r>
      <w:r w:rsidRPr="00072C23">
        <w:rPr>
          <w:rFonts w:ascii="Verdana" w:eastAsia="Arial" w:hAnsi="Verdana" w:cs="Arial"/>
          <w:color w:val="000000" w:themeColor="text1"/>
          <w:lang w:eastAsia="es-CO"/>
        </w:rPr>
        <w:t>.</w:t>
      </w:r>
    </w:p>
    <w:p w14:paraId="715BE271" w14:textId="77777777" w:rsidR="002811B3" w:rsidRDefault="002811B3" w:rsidP="002811B3">
      <w:pPr>
        <w:spacing w:after="120" w:line="276" w:lineRule="auto"/>
        <w:ind w:firstLine="709"/>
        <w:jc w:val="both"/>
        <w:rPr>
          <w:rFonts w:ascii="Verdana" w:eastAsia="Arial" w:hAnsi="Verdana" w:cs="Arial"/>
          <w:color w:val="000000"/>
          <w:lang w:eastAsia="es-CO"/>
        </w:rPr>
      </w:pPr>
      <w:r>
        <w:rPr>
          <w:rFonts w:ascii="Verdana" w:eastAsia="Arial" w:hAnsi="Verdana" w:cs="Arial"/>
          <w:color w:val="000000"/>
          <w:lang w:eastAsia="es-CO"/>
        </w:rPr>
        <w:t>Por su parte, respecto del alcance de la prohibición</w:t>
      </w:r>
      <w:r w:rsidRPr="00072C23">
        <w:rPr>
          <w:rFonts w:ascii="Verdana" w:eastAsia="Arial" w:hAnsi="Verdana" w:cs="Arial"/>
          <w:color w:val="000000"/>
          <w:lang w:eastAsia="es-CO"/>
        </w:rPr>
        <w:t>,</w:t>
      </w:r>
      <w:r>
        <w:rPr>
          <w:rFonts w:ascii="Verdana" w:eastAsia="Arial" w:hAnsi="Verdana" w:cs="Arial"/>
          <w:color w:val="000000"/>
          <w:lang w:eastAsia="es-CO"/>
        </w:rPr>
        <w:t xml:space="preserve"> debe tenerse en cuenta que</w:t>
      </w:r>
      <w:r w:rsidRPr="00072C23">
        <w:rPr>
          <w:rFonts w:ascii="Verdana" w:eastAsia="Arial" w:hAnsi="Verdana" w:cs="Arial"/>
          <w:color w:val="000000"/>
          <w:lang w:eastAsia="es-CO"/>
        </w:rPr>
        <w:t xml:space="preserve">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072C23">
        <w:rPr>
          <w:rFonts w:ascii="Verdana" w:eastAsia="Arial" w:hAnsi="Verdana" w:cs="Arial"/>
          <w:color w:val="000000"/>
          <w:lang w:eastAsia="es-CO"/>
        </w:rPr>
        <w:t>”</w:t>
      </w:r>
      <w:r w:rsidRPr="00072C23">
        <w:rPr>
          <w:rFonts w:ascii="Verdana" w:eastAsia="Arial" w:hAnsi="Verdana" w:cs="Arial"/>
          <w:color w:val="000000"/>
          <w:vertAlign w:val="superscript"/>
          <w:lang w:eastAsia="es-CO"/>
        </w:rPr>
        <w:footnoteReference w:id="41"/>
      </w:r>
      <w:r w:rsidRPr="00072C23">
        <w:rPr>
          <w:rFonts w:ascii="Verdana" w:eastAsia="Arial" w:hAnsi="Verdana" w:cs="Arial"/>
          <w:color w:val="000000"/>
          <w:lang w:eastAsia="es-CO"/>
        </w:rPr>
        <w:t xml:space="preserve"> (Énfasis fuera de texto). </w:t>
      </w:r>
    </w:p>
    <w:p w14:paraId="6D0B056E" w14:textId="77777777" w:rsidR="002811B3" w:rsidRDefault="002811B3" w:rsidP="002811B3">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w:t>
      </w:r>
      <w:r>
        <w:rPr>
          <w:rFonts w:ascii="Verdana" w:eastAsia="Arial" w:hAnsi="Verdana" w:cs="Arial"/>
          <w:color w:val="000000"/>
          <w:lang w:eastAsia="es-CO"/>
        </w:rPr>
        <w:t>Ahora bien</w:t>
      </w:r>
      <w:r w:rsidRPr="00072C23">
        <w:rPr>
          <w:rFonts w:ascii="Verdana" w:eastAsia="Arial" w:hAnsi="Verdana" w:cs="Arial"/>
          <w:color w:val="000000"/>
          <w:lang w:eastAsia="es-CO"/>
        </w:rPr>
        <w:t>,</w:t>
      </w:r>
      <w:r>
        <w:rPr>
          <w:rFonts w:ascii="Verdana" w:eastAsia="Arial" w:hAnsi="Verdana" w:cs="Arial"/>
          <w:color w:val="000000"/>
          <w:lang w:eastAsia="es-CO"/>
        </w:rPr>
        <w:t xml:space="preserve"> en vigencia de la Ley de</w:t>
      </w:r>
      <w:r w:rsidRPr="00072C23">
        <w:rPr>
          <w:rFonts w:ascii="Verdana" w:eastAsia="Arial" w:hAnsi="Verdana" w:cs="Arial"/>
          <w:color w:val="000000"/>
          <w:lang w:eastAsia="es-CO"/>
        </w:rPr>
        <w:t xml:space="preserve">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w:t>
      </w:r>
      <w:r>
        <w:rPr>
          <w:rFonts w:ascii="Verdana" w:eastAsia="Arial" w:hAnsi="Verdana" w:cs="Arial"/>
          <w:color w:val="000000"/>
          <w:lang w:eastAsia="es-CO"/>
        </w:rPr>
        <w:t>veinte (</w:t>
      </w:r>
      <w:r w:rsidRPr="00072C23">
        <w:rPr>
          <w:rFonts w:ascii="Verdana" w:eastAsia="Arial" w:hAnsi="Verdana" w:cs="Arial"/>
          <w:color w:val="000000"/>
          <w:lang w:eastAsia="es-CO"/>
        </w:rPr>
        <w:t>20</w:t>
      </w:r>
      <w:r>
        <w:rPr>
          <w:rFonts w:ascii="Verdana" w:eastAsia="Arial" w:hAnsi="Verdana" w:cs="Arial"/>
          <w:color w:val="000000"/>
          <w:lang w:eastAsia="es-CO"/>
        </w:rPr>
        <w:t>)</w:t>
      </w:r>
      <w:r w:rsidRPr="00072C23">
        <w:rPr>
          <w:rFonts w:ascii="Verdana" w:eastAsia="Arial" w:hAnsi="Verdana" w:cs="Arial"/>
          <w:color w:val="000000"/>
          <w:lang w:eastAsia="es-CO"/>
        </w:rPr>
        <w:t xml:space="preserve">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5ADC3AE1" w14:textId="77777777" w:rsidR="002811B3" w:rsidRDefault="002811B3" w:rsidP="002811B3">
      <w:pPr>
        <w:spacing w:after="120" w:line="276" w:lineRule="auto"/>
        <w:ind w:firstLine="709"/>
        <w:jc w:val="both"/>
        <w:rPr>
          <w:rFonts w:ascii="Verdana" w:eastAsia="Arial" w:hAnsi="Verdana" w:cs="Arial"/>
          <w:color w:val="000000"/>
          <w:lang w:val="es-MX" w:eastAsia="es-CO"/>
        </w:rPr>
      </w:pPr>
      <w:r>
        <w:rPr>
          <w:rFonts w:ascii="Verdana" w:eastAsia="Arial" w:hAnsi="Verdana" w:cs="Arial"/>
          <w:color w:val="000000"/>
          <w:lang w:eastAsia="es-CO"/>
        </w:rPr>
        <w:t xml:space="preserve">En relación </w:t>
      </w:r>
      <w:bookmarkStart w:id="23" w:name="_Hlk207205098"/>
      <w:r>
        <w:rPr>
          <w:rFonts w:ascii="Verdana" w:eastAsia="Arial" w:hAnsi="Verdana" w:cs="Arial"/>
          <w:lang w:val="es-MX" w:eastAsia="es-ES" w:bidi="es-ES"/>
        </w:rPr>
        <w:t>a la prohibición prevista en</w:t>
      </w:r>
      <w:r w:rsidRPr="00E2397D">
        <w:rPr>
          <w:rFonts w:ascii="Verdana" w:eastAsia="Times New Roman" w:hAnsi="Verdana" w:cs="Arial"/>
          <w:lang w:eastAsia="es-CO"/>
        </w:rPr>
        <w:t xml:space="preserve"> </w:t>
      </w:r>
      <w:r w:rsidRPr="00E2397D">
        <w:rPr>
          <w:rFonts w:ascii="Verdana" w:eastAsia="Times New Roman" w:hAnsi="Verdana" w:cs="Arial"/>
          <w:lang w:val="es-MX" w:eastAsia="es-CO"/>
        </w:rPr>
        <w:t xml:space="preserve">el parágrafo del artículo 38 de la Ley 996 de 2005 </w:t>
      </w:r>
      <w:r>
        <w:rPr>
          <w:rFonts w:ascii="Verdana" w:eastAsia="Times New Roman" w:hAnsi="Verdana" w:cs="Arial"/>
          <w:lang w:val="es-MX" w:eastAsia="es-CO"/>
        </w:rPr>
        <w:t xml:space="preserve">para </w:t>
      </w:r>
      <w:r w:rsidRPr="00E2397D">
        <w:rPr>
          <w:rFonts w:ascii="Verdana" w:eastAsia="Times New Roman" w:hAnsi="Verdana" w:cs="Arial"/>
          <w:lang w:val="es-MX" w:eastAsia="es-CO"/>
        </w:rPr>
        <w:t xml:space="preserve">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w:t>
      </w:r>
      <w:r>
        <w:rPr>
          <w:rFonts w:ascii="Verdana" w:eastAsia="Times New Roman" w:hAnsi="Verdana" w:cs="Arial"/>
          <w:lang w:val="es-MX" w:eastAsia="es-CO"/>
        </w:rPr>
        <w:t xml:space="preserve">en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3"/>
    </w:p>
    <w:p w14:paraId="4DCBB58F" w14:textId="77777777" w:rsidR="002811B3" w:rsidRDefault="002811B3" w:rsidP="002811B3">
      <w:pPr>
        <w:spacing w:after="120" w:line="276" w:lineRule="auto"/>
        <w:ind w:firstLine="709"/>
        <w:jc w:val="both"/>
        <w:rPr>
          <w:rFonts w:ascii="Verdana" w:eastAsia="Arial" w:hAnsi="Verdana" w:cs="Arial"/>
          <w:color w:val="000000"/>
          <w:lang w:eastAsia="es-CO"/>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1B011767" w14:textId="77777777" w:rsidR="002811B3" w:rsidRDefault="002811B3" w:rsidP="002811B3">
      <w:pPr>
        <w:spacing w:after="120" w:line="276" w:lineRule="auto"/>
        <w:ind w:firstLine="709"/>
        <w:jc w:val="both"/>
        <w:rPr>
          <w:rFonts w:ascii="Verdana" w:eastAsia="Arial" w:hAnsi="Verdana" w:cs="Arial"/>
          <w:color w:val="000000"/>
          <w:lang w:eastAsia="es-CO"/>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w:t>
      </w:r>
      <w:r>
        <w:rPr>
          <w:rFonts w:ascii="Verdana" w:eastAsia="Calibri" w:hAnsi="Verdana" w:cs="Arial"/>
        </w:rPr>
        <w:t xml:space="preserve">definir </w:t>
      </w:r>
      <w:r w:rsidRPr="00FF007A">
        <w:rPr>
          <w:rFonts w:ascii="Verdana" w:eastAsia="Calibri" w:hAnsi="Verdana" w:cs="Arial"/>
        </w:rPr>
        <w:t>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13EB85D7" w14:textId="77777777" w:rsidR="002811B3" w:rsidRPr="000305E5" w:rsidRDefault="002811B3" w:rsidP="002811B3">
      <w:pPr>
        <w:spacing w:after="120" w:line="276" w:lineRule="auto"/>
        <w:ind w:firstLine="709"/>
        <w:jc w:val="both"/>
        <w:rPr>
          <w:rFonts w:ascii="Verdana" w:eastAsia="Arial" w:hAnsi="Verdana" w:cs="Arial"/>
          <w:color w:val="000000"/>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7A3E27" w14:textId="77777777" w:rsidR="002811B3" w:rsidRPr="001450CA" w:rsidRDefault="002811B3" w:rsidP="002811B3">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179CE92" w14:textId="5C917A4A" w:rsidR="002811B3" w:rsidRDefault="002811B3" w:rsidP="002811B3">
      <w:pPr>
        <w:spacing w:after="0" w:line="276" w:lineRule="auto"/>
        <w:jc w:val="both"/>
        <w:rPr>
          <w:rFonts w:ascii="Verdana" w:eastAsia="Century Gothic" w:hAnsi="Verdana" w:cs="Century Gothic"/>
          <w:b/>
          <w:bCs/>
        </w:rPr>
      </w:pPr>
      <w:bookmarkStart w:id="24"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4"/>
    </w:p>
    <w:p w14:paraId="32BD5F89" w14:textId="77777777" w:rsidR="00E55B1C" w:rsidRPr="00E55B1C" w:rsidRDefault="00E55B1C" w:rsidP="002811B3">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811B3" w:rsidRPr="002D2C18" w14:paraId="76A6754F" w14:textId="77777777" w:rsidTr="005C707D">
        <w:trPr>
          <w:trHeight w:val="56"/>
          <w:jc w:val="center"/>
        </w:trPr>
        <w:tc>
          <w:tcPr>
            <w:tcW w:w="8647" w:type="dxa"/>
          </w:tcPr>
          <w:p w14:paraId="08F666C6" w14:textId="77777777" w:rsidR="002811B3" w:rsidRPr="00B51E0F" w:rsidRDefault="002811B3" w:rsidP="005C707D">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Constitución Política. Artículo</w:t>
            </w:r>
            <w:r>
              <w:rPr>
                <w:rFonts w:ascii="Verdana" w:hAnsi="Verdana" w:cs="Arial"/>
                <w:lang w:eastAsia="es-ES"/>
              </w:rPr>
              <w:t>s 69,</w:t>
            </w:r>
            <w:r w:rsidRPr="00071DB3">
              <w:rPr>
                <w:rFonts w:ascii="Verdana" w:hAnsi="Verdana" w:cs="Arial"/>
                <w:lang w:eastAsia="es-ES"/>
              </w:rPr>
              <w:t xml:space="preserve"> 127.</w:t>
            </w:r>
            <w:r w:rsidRPr="00B51E0F">
              <w:rPr>
                <w:rFonts w:ascii="Verdana" w:hAnsi="Verdana" w:cs="Arial"/>
                <w:lang w:eastAsia="es-ES"/>
              </w:rPr>
              <w:t xml:space="preserve"> </w:t>
            </w:r>
          </w:p>
          <w:p w14:paraId="6FD16217"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38.</w:t>
            </w:r>
          </w:p>
          <w:p w14:paraId="4EACF3FB"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B51E0F">
              <w:rPr>
                <w:rFonts w:ascii="Verdana" w:hAnsi="Verdana" w:cs="Arial"/>
                <w:lang w:eastAsia="es-ES"/>
              </w:rPr>
              <w:t xml:space="preserve">Ley 60 de 1993 </w:t>
            </w:r>
          </w:p>
          <w:p w14:paraId="5C18C61D"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B51E0F">
              <w:rPr>
                <w:rFonts w:ascii="Verdana" w:hAnsi="Verdana" w:cs="Arial"/>
                <w:lang w:eastAsia="es-ES"/>
              </w:rPr>
              <w:t xml:space="preserve">Ley 715 de 2001. </w:t>
            </w:r>
            <w:r>
              <w:rPr>
                <w:rFonts w:ascii="Verdana" w:hAnsi="Verdana" w:cs="Arial"/>
                <w:lang w:eastAsia="es-ES"/>
              </w:rPr>
              <w:t>Artículos 11, 13.</w:t>
            </w:r>
          </w:p>
          <w:p w14:paraId="3D752FE3"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72C23">
              <w:rPr>
                <w:rFonts w:ascii="Verdana" w:eastAsia="Arial" w:hAnsi="Verdana" w:cs="Arial"/>
                <w:lang w:eastAsia="es-MX"/>
              </w:rPr>
              <w:t>Decreto 1075 de 2015</w:t>
            </w:r>
            <w:r>
              <w:rPr>
                <w:rFonts w:ascii="Verdana" w:eastAsia="Arial" w:hAnsi="Verdana" w:cs="Arial"/>
                <w:lang w:eastAsia="es-MX"/>
              </w:rPr>
              <w:t xml:space="preserve">. Artículo </w:t>
            </w:r>
            <w:r w:rsidRPr="00072C23">
              <w:rPr>
                <w:rFonts w:ascii="Verdana" w:eastAsia="Arial" w:hAnsi="Verdana" w:cs="Arial"/>
                <w:lang w:eastAsia="es-MX"/>
              </w:rPr>
              <w:t>2.3.1.6.3.4</w:t>
            </w:r>
            <w:r>
              <w:rPr>
                <w:rFonts w:ascii="Verdana" w:eastAsia="Arial" w:hAnsi="Verdana" w:cs="Arial"/>
                <w:lang w:eastAsia="es-MX"/>
              </w:rPr>
              <w:t xml:space="preserve">, </w:t>
            </w:r>
            <w:r w:rsidRPr="00B51E0F">
              <w:rPr>
                <w:rFonts w:ascii="Verdana" w:eastAsia="Arial" w:hAnsi="Verdana" w:cs="Arial"/>
                <w:lang w:eastAsia="es-MX"/>
              </w:rPr>
              <w:t>2.3.1.6.3.5</w:t>
            </w:r>
            <w:r>
              <w:rPr>
                <w:rFonts w:ascii="Verdana" w:eastAsia="Arial" w:hAnsi="Verdana" w:cs="Arial"/>
                <w:lang w:eastAsia="es-MX"/>
              </w:rPr>
              <w:t xml:space="preserve">, </w:t>
            </w:r>
            <w:r w:rsidRPr="00072C23">
              <w:rPr>
                <w:rFonts w:ascii="Verdana" w:eastAsia="Arial" w:hAnsi="Verdana" w:cs="Arial"/>
                <w:lang w:eastAsia="es-MX"/>
              </w:rPr>
              <w:t>2.3.1.6.3.17</w:t>
            </w:r>
            <w:r>
              <w:rPr>
                <w:rFonts w:ascii="Verdana" w:eastAsia="Arial" w:hAnsi="Verdana" w:cs="Arial"/>
                <w:lang w:eastAsia="es-MX"/>
              </w:rPr>
              <w:t>.</w:t>
            </w:r>
          </w:p>
          <w:p w14:paraId="53BAD9C7"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4241779E"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Consejo de Estado. Sala de lo Contencioso Administrativo Sección Tercera. Sentencia de 22 de enero de 2002, expediente número 2001-0148-01</w:t>
            </w:r>
            <w:r>
              <w:rPr>
                <w:rFonts w:ascii="Verdana" w:hAnsi="Verdana" w:cs="Arial"/>
                <w:lang w:eastAsia="es-ES"/>
              </w:rPr>
              <w:t>.</w:t>
            </w:r>
          </w:p>
          <w:p w14:paraId="6496B772"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Consejo de Estado. Sala de lo Contencioso Administrativo</w:t>
            </w:r>
            <w:r>
              <w:rPr>
                <w:rFonts w:ascii="Verdana" w:hAnsi="Verdana" w:cs="Arial"/>
                <w:lang w:eastAsia="es-ES"/>
              </w:rPr>
              <w:t>.</w:t>
            </w:r>
            <w:r w:rsidRPr="00071DB3">
              <w:rPr>
                <w:rFonts w:ascii="Verdana" w:hAnsi="Verdana" w:cs="Arial"/>
                <w:lang w:eastAsia="es-ES"/>
              </w:rPr>
              <w:t xml:space="preserve"> Sección Tercera. Sentencia de 20 de noviembre de 2001, expediente número 2001-0130-01(PI)</w:t>
            </w:r>
            <w:r>
              <w:rPr>
                <w:rFonts w:ascii="Verdana" w:hAnsi="Verdana" w:cs="Arial"/>
                <w:lang w:eastAsia="es-ES"/>
              </w:rPr>
              <w:t>.</w:t>
            </w:r>
          </w:p>
          <w:p w14:paraId="05088275"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 xml:space="preserve">Consejo de Estado, Sala de Consulta y Servicio Civil. 24 de julio de 2013. Radicado: 11001-03-06-000-2013-00407-00 (2166). C.P. Álvaro Namén Vargas.  </w:t>
            </w:r>
          </w:p>
          <w:p w14:paraId="32818784"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17 de febrero de 2015. Radicado: 11001-03-06-000-2015-00164-00 (2269). C.P. William Zambrano Cetina.</w:t>
            </w:r>
          </w:p>
          <w:p w14:paraId="2E389198"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2 de septiembre de 2013. Radicación número: 11001-03-06-000-2013-00412-00 (2168). C.P: Álvaro Namén Vargas.</w:t>
            </w:r>
          </w:p>
          <w:p w14:paraId="4B36485D"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8 de mayo de 2018. Radicación Número: 11001-03-06-000-2018-00095-00 (2382). C.P: Álvaro Namén Vargas.</w:t>
            </w:r>
          </w:p>
          <w:p w14:paraId="7C82F0F2"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20 de febrero de 2006. Radicación Número: 11001-03-06-000-2006-00026-00 (1727). C.P: Enrique José Arboleda Perdomo</w:t>
            </w:r>
            <w:r>
              <w:rPr>
                <w:rFonts w:ascii="Verdana" w:hAnsi="Verdana" w:cs="Arial"/>
                <w:lang w:eastAsia="es-ES"/>
              </w:rPr>
              <w:t>.</w:t>
            </w:r>
          </w:p>
          <w:p w14:paraId="466279F6"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4AEDAA8F"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18 de febrero 2010. Rad. 11001-03-06-000-2010-00006-00 (1985). C.P. Enrique José Arboleda Perdomo.</w:t>
            </w:r>
          </w:p>
          <w:p w14:paraId="1AB501C6" w14:textId="77777777" w:rsidR="002811B3" w:rsidRPr="00B51E0F" w:rsidRDefault="002811B3" w:rsidP="005C707D">
            <w:pPr>
              <w:pStyle w:val="Prrafodelista"/>
              <w:numPr>
                <w:ilvl w:val="0"/>
                <w:numId w:val="17"/>
              </w:numPr>
              <w:spacing w:after="120" w:line="276" w:lineRule="auto"/>
              <w:jc w:val="both"/>
              <w:rPr>
                <w:rFonts w:ascii="Verdana" w:hAnsi="Verdana" w:cs="Arial"/>
                <w:lang w:eastAsia="es-ES"/>
              </w:rPr>
            </w:pPr>
            <w:r w:rsidRPr="00B51E0F">
              <w:rPr>
                <w:rFonts w:ascii="Verdana" w:hAnsi="Verdana" w:cs="Arial"/>
                <w:lang w:eastAsia="es-ES"/>
              </w:rPr>
              <w:t>Consejo de Estado. Sección Tercera Subsección A. Sentencia del 12 de octubre de 2017. Radicación número: 68001-23-31-000-2005-03845-01(51.634). C.P: Marta Nubia Velásquez Rico.</w:t>
            </w:r>
          </w:p>
          <w:p w14:paraId="2D11C9E5" w14:textId="77777777" w:rsidR="002811B3" w:rsidRPr="00071DB3" w:rsidRDefault="002811B3" w:rsidP="005C707D">
            <w:pPr>
              <w:pStyle w:val="Prrafodelista"/>
              <w:numPr>
                <w:ilvl w:val="0"/>
                <w:numId w:val="17"/>
              </w:numPr>
              <w:spacing w:line="276" w:lineRule="auto"/>
              <w:ind w:left="714" w:hanging="357"/>
              <w:jc w:val="both"/>
              <w:rPr>
                <w:rFonts w:ascii="Verdana" w:hAnsi="Verdana" w:cs="Arial"/>
                <w:lang w:eastAsia="es-ES"/>
              </w:rPr>
            </w:pPr>
            <w:r w:rsidRPr="00071DB3">
              <w:rPr>
                <w:rFonts w:ascii="Verdana" w:hAnsi="Verdana" w:cs="Arial"/>
                <w:lang w:eastAsia="es-ES"/>
              </w:rPr>
              <w:t>Corte Constitucional. Sentencia C- 1153 de 2005, M.P: Marco Gerardo Monroy Cabra.</w:t>
            </w:r>
            <w:r w:rsidRPr="00071DB3">
              <w:rPr>
                <w:rFonts w:ascii="Verdana" w:hAnsi="Verdana" w:cs="Arial"/>
                <w:lang w:eastAsia="es-ES"/>
              </w:rPr>
              <w:tab/>
            </w:r>
          </w:p>
          <w:p w14:paraId="1E7B1C2D"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Corte Constitucional. Sentencia C-233 de 4 de abril de 2002. M.P: Álvaro Tafur Galvis</w:t>
            </w:r>
            <w:r>
              <w:rPr>
                <w:rFonts w:ascii="Verdana" w:hAnsi="Verdana" w:cs="Arial"/>
                <w:lang w:eastAsia="es-ES"/>
              </w:rPr>
              <w:t>.</w:t>
            </w:r>
          </w:p>
          <w:p w14:paraId="73F4B6D9"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C-551 de 9 de julio de 2003. M.P: Eduardo Montealegre Lynnet</w:t>
            </w:r>
            <w:r>
              <w:rPr>
                <w:rFonts w:ascii="Verdana" w:hAnsi="Verdana" w:cs="Arial"/>
                <w:lang w:eastAsia="es-ES"/>
              </w:rPr>
              <w:t>.</w:t>
            </w:r>
          </w:p>
          <w:p w14:paraId="0E178E22"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C-353 de 20 de mayo de 2009. M.P: Jorge Iván Palacio </w:t>
            </w:r>
            <w:proofErr w:type="spellStart"/>
            <w:r w:rsidRPr="00071DB3">
              <w:rPr>
                <w:rFonts w:ascii="Verdana" w:hAnsi="Verdana" w:cs="Arial"/>
                <w:lang w:eastAsia="es-ES"/>
              </w:rPr>
              <w:t>Palacio</w:t>
            </w:r>
            <w:proofErr w:type="spellEnd"/>
            <w:r>
              <w:rPr>
                <w:rFonts w:ascii="Verdana" w:hAnsi="Verdana" w:cs="Arial"/>
                <w:lang w:eastAsia="es-ES"/>
              </w:rPr>
              <w:t>.</w:t>
            </w:r>
          </w:p>
          <w:p w14:paraId="38B46606"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C-541 de 30 de junio de 2010. M.P: Gabriel Eduardo Mendoza Martelo</w:t>
            </w:r>
            <w:r>
              <w:rPr>
                <w:rFonts w:ascii="Verdana" w:hAnsi="Verdana" w:cs="Arial"/>
                <w:lang w:eastAsia="es-ES"/>
              </w:rPr>
              <w:t>.</w:t>
            </w:r>
          </w:p>
          <w:p w14:paraId="7BBACC71"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Corte Constitucional. Sentencia C-121 de 2003. M.P. Clara Inés Vargas Hernández.</w:t>
            </w:r>
          </w:p>
          <w:p w14:paraId="48420A34" w14:textId="77777777" w:rsidR="002811B3"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Corte Constitucional. Sentencia C-1019 del 28 de noviembre de 2012. M.P. Mauricio González.</w:t>
            </w:r>
          </w:p>
          <w:p w14:paraId="288E502C" w14:textId="77777777" w:rsidR="002811B3" w:rsidRPr="00051C50" w:rsidRDefault="002811B3" w:rsidP="005C707D">
            <w:pPr>
              <w:pStyle w:val="Prrafodelista"/>
              <w:numPr>
                <w:ilvl w:val="0"/>
                <w:numId w:val="17"/>
              </w:numPr>
              <w:spacing w:after="120" w:line="276" w:lineRule="auto"/>
              <w:jc w:val="both"/>
              <w:rPr>
                <w:rFonts w:ascii="Verdana" w:hAnsi="Verdana" w:cs="Arial"/>
                <w:lang w:eastAsia="es-ES"/>
              </w:rPr>
            </w:pPr>
            <w:r w:rsidRPr="00051C50">
              <w:rPr>
                <w:rFonts w:ascii="Verdana" w:hAnsi="Verdana"/>
              </w:rPr>
              <w:t xml:space="preserve">Agencia Nacional de Contratación Pública – Colombia Compra Eficiente. Circular Externa 006 del 25 de septiembre de 2025. Disponible en </w:t>
            </w:r>
            <w:hyperlink r:id="rId12" w:history="1">
              <w:r w:rsidRPr="00051C50">
                <w:rPr>
                  <w:rStyle w:val="Hipervnculo"/>
                  <w:rFonts w:ascii="Verdana" w:hAnsi="Verdana"/>
                  <w:lang w:val="es-CO"/>
                </w:rPr>
                <w:t>006-de-2025-Circular-Externa-L996-ajustado-comentarios-BM-BID-Rev-ARSC-V3.d-1.pdf</w:t>
              </w:r>
            </w:hyperlink>
          </w:p>
        </w:tc>
      </w:tr>
    </w:tbl>
    <w:p w14:paraId="6AEF42EB" w14:textId="0D45F9CD" w:rsidR="002811B3" w:rsidRPr="0091091D" w:rsidRDefault="002811B3" w:rsidP="002811B3">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77E72EDF" w14:textId="77777777" w:rsidR="002811B3" w:rsidRPr="007A3DD4" w:rsidRDefault="002811B3" w:rsidP="002811B3">
      <w:pPr>
        <w:widowControl w:val="0"/>
        <w:autoSpaceDE w:val="0"/>
        <w:autoSpaceDN w:val="0"/>
        <w:spacing w:after="0" w:line="240" w:lineRule="auto"/>
        <w:jc w:val="both"/>
        <w:rPr>
          <w:rStyle w:val="normaltextrun"/>
          <w:rFonts w:ascii="Verdana" w:hAnsi="Verdana" w:cs="Arial"/>
          <w:shd w:val="clear" w:color="auto" w:fill="FFFFFF"/>
        </w:rPr>
      </w:pPr>
    </w:p>
    <w:p w14:paraId="7AFE2ACD" w14:textId="77777777" w:rsidR="002811B3" w:rsidRDefault="002811B3" w:rsidP="002811B3">
      <w:pPr>
        <w:widowControl w:val="0"/>
        <w:autoSpaceDE w:val="0"/>
        <w:autoSpaceDN w:val="0"/>
        <w:spacing w:after="120" w:line="276" w:lineRule="auto"/>
        <w:jc w:val="both"/>
        <w:rPr>
          <w:rFonts w:ascii="Verdana" w:hAnsi="Verdana" w:cs="Arial"/>
          <w:color w:val="000000" w:themeColor="text1"/>
          <w:shd w:val="clear" w:color="auto" w:fill="FFFFFF"/>
        </w:rPr>
      </w:pPr>
      <w:r w:rsidRPr="00147D6A">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de agosto de 2025, C-1124 del 18 de septiembre de 2025, C-1174 del 29 de septiembre de 2025, C-1491 del 20 de noviembre de 2025, C- 1492 del </w:t>
      </w:r>
      <w:r w:rsidRPr="00147D6A">
        <w:rPr>
          <w:rFonts w:ascii="Verdana" w:hAnsi="Verdana"/>
        </w:rPr>
        <w:t>21 de noviembre del 2025, C-1629, C-1646 del 17 de diciembre de 2025, C-1662 del 22 de diciembre de 2025</w:t>
      </w:r>
      <w:r w:rsidRPr="00147D6A">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C- 102 del 16 de abril de 2026, </w:t>
      </w:r>
      <w:r w:rsidRPr="00147D6A">
        <w:rPr>
          <w:rStyle w:val="normaltextrun"/>
          <w:rFonts w:ascii="Verdana" w:hAnsi="Verdana" w:cs="Arial"/>
          <w:shd w:val="clear" w:color="auto" w:fill="FFFFFF"/>
          <w:lang w:val="es-ES"/>
        </w:rPr>
        <w:t>C-063 del 23 de febrero de 2026, C-160 del 24 de febrero de 2026, C-108 del 4 de marzo de 2026, C-177 del 16 de marzo de 2026, entre otros.</w:t>
      </w:r>
      <w:r w:rsidRPr="00147D6A">
        <w:rPr>
          <w:rFonts w:ascii="Verdana" w:hAnsi="Verdana" w:cs="Arial"/>
          <w:shd w:val="clear" w:color="auto" w:fill="FFFFFF"/>
          <w:lang w:val="es-ES"/>
        </w:rPr>
        <w:t xml:space="preserve"> </w:t>
      </w:r>
      <w:r w:rsidRPr="00147D6A">
        <w:rPr>
          <w:rFonts w:ascii="Verdana" w:hAnsi="Verdana" w:cs="Arial"/>
        </w:rPr>
        <w:t xml:space="preserve">Estos y otros </w:t>
      </w:r>
      <w:r w:rsidRPr="00147D6A">
        <w:rPr>
          <w:rFonts w:ascii="Verdana" w:hAnsi="Verdana"/>
        </w:rPr>
        <w:t>conceptos se encuentran disponibles para consulta en el Sistema de relatoría de la Agencia, al cual se puede acceder a través del siguiente enlace:</w:t>
      </w:r>
      <w:r w:rsidRPr="00147D6A">
        <w:rPr>
          <w:rFonts w:ascii="Verdana" w:hAnsi="Verdana" w:cs="Arial"/>
          <w:shd w:val="clear" w:color="auto" w:fill="FFFFFF"/>
        </w:rPr>
        <w:t xml:space="preserve"> </w:t>
      </w:r>
      <w:hyperlink r:id="rId13" w:history="1">
        <w:r w:rsidRPr="00147D6A">
          <w:rPr>
            <w:rFonts w:ascii="Verdana" w:hAnsi="Verdana" w:cs="Arial"/>
            <w:color w:val="0563C1" w:themeColor="hyperlink"/>
            <w:u w:val="single"/>
            <w:shd w:val="clear" w:color="auto" w:fill="FFFFFF"/>
          </w:rPr>
          <w:t>https://relatoria.colombiacompra.gov.co/busqueda/conceptos</w:t>
        </w:r>
      </w:hyperlink>
      <w:r w:rsidRPr="00147D6A">
        <w:rPr>
          <w:rFonts w:ascii="Verdana" w:hAnsi="Verdana" w:cs="Arial"/>
          <w:shd w:val="clear" w:color="auto" w:fill="FFFFFF"/>
        </w:rPr>
        <w:t>.</w:t>
      </w:r>
      <w:r w:rsidRPr="00147D6A">
        <w:rPr>
          <w:rFonts w:ascii="Verdana" w:hAnsi="Verdana" w:cs="Arial"/>
          <w:color w:val="FF0000"/>
          <w:shd w:val="clear" w:color="auto" w:fill="FFFFFF"/>
        </w:rPr>
        <w:t xml:space="preserve"> </w:t>
      </w:r>
    </w:p>
    <w:p w14:paraId="03BCFC2D" w14:textId="77777777" w:rsidR="002811B3" w:rsidRPr="00AB4B99" w:rsidRDefault="002811B3" w:rsidP="002811B3">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04230E03" w14:textId="77777777" w:rsidR="002811B3" w:rsidRDefault="002811B3" w:rsidP="002811B3">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5" w:tgtFrame="_new" w:history="1">
        <w:r w:rsidRPr="008746BD">
          <w:rPr>
            <w:rStyle w:val="Hipervnculo"/>
            <w:rFonts w:ascii="Verdana" w:hAnsi="Verdana"/>
          </w:rPr>
          <w:t>https://www.colombiacompra.gov.co/normativa-y-relatoria/documentos-tipo</w:t>
        </w:r>
      </w:hyperlink>
    </w:p>
    <w:p w14:paraId="4FDD3D64" w14:textId="77777777" w:rsidR="002811B3" w:rsidRDefault="002811B3" w:rsidP="002811B3">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588F6EC" w14:textId="77777777" w:rsidR="002811B3" w:rsidRPr="007A3DD4" w:rsidRDefault="002811B3" w:rsidP="002811B3">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2275B485" w14:textId="77777777" w:rsidR="002811B3" w:rsidRPr="00116940" w:rsidRDefault="002811B3" w:rsidP="002811B3">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89B24AA" w14:textId="77777777" w:rsidR="002811B3" w:rsidRPr="00116940" w:rsidRDefault="002811B3" w:rsidP="002811B3">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2DA5924" w14:textId="77777777" w:rsidR="002811B3" w:rsidRPr="00116940" w:rsidRDefault="002811B3" w:rsidP="002811B3">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D9A6336" w14:textId="77777777" w:rsidR="002811B3" w:rsidRPr="00116940" w:rsidRDefault="002811B3" w:rsidP="002811B3">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06DD041C" w14:textId="77777777" w:rsidR="002811B3" w:rsidRPr="00116940" w:rsidRDefault="002811B3" w:rsidP="002811B3">
      <w:pPr>
        <w:spacing w:after="0" w:line="276" w:lineRule="auto"/>
        <w:ind w:left="720"/>
        <w:jc w:val="both"/>
        <w:rPr>
          <w:rFonts w:ascii="Verdana" w:hAnsi="Verdana"/>
        </w:rPr>
      </w:pPr>
    </w:p>
    <w:p w14:paraId="0469E560" w14:textId="77777777" w:rsidR="003E4633" w:rsidRPr="00284526" w:rsidRDefault="003E4633" w:rsidP="003E4633">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6BD515E" w14:textId="77777777" w:rsidR="003E4633" w:rsidRDefault="003E4633" w:rsidP="002811B3">
      <w:pPr>
        <w:spacing w:after="0" w:line="276" w:lineRule="auto"/>
        <w:jc w:val="both"/>
        <w:rPr>
          <w:rFonts w:ascii="Verdana" w:hAnsi="Verdana"/>
        </w:rPr>
      </w:pPr>
    </w:p>
    <w:p w14:paraId="67F35274" w14:textId="67E74D53" w:rsidR="002811B3" w:rsidRDefault="002811B3" w:rsidP="002811B3">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CAF1363" w14:textId="77777777" w:rsidR="002811B3" w:rsidRDefault="002811B3" w:rsidP="002811B3">
      <w:pPr>
        <w:spacing w:after="0" w:line="276" w:lineRule="auto"/>
        <w:jc w:val="both"/>
        <w:rPr>
          <w:rFonts w:ascii="Verdana" w:hAnsi="Verdana"/>
        </w:rPr>
      </w:pPr>
    </w:p>
    <w:p w14:paraId="6387C8B4" w14:textId="77777777" w:rsidR="002811B3" w:rsidRPr="00116940" w:rsidRDefault="002811B3" w:rsidP="002811B3">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B2B9873" w14:textId="77777777" w:rsidR="002811B3" w:rsidRPr="008746BD" w:rsidRDefault="002811B3" w:rsidP="00E55B1C">
      <w:pPr>
        <w:spacing w:after="0" w:line="240" w:lineRule="auto"/>
        <w:jc w:val="both"/>
        <w:rPr>
          <w:rFonts w:ascii="Verdana" w:hAnsi="Verdana"/>
        </w:rPr>
      </w:pPr>
    </w:p>
    <w:p w14:paraId="028465AC" w14:textId="77777777" w:rsidR="002811B3" w:rsidRPr="00116940" w:rsidRDefault="002811B3" w:rsidP="002811B3">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C3D2E8F" w14:textId="77777777" w:rsidR="002811B3" w:rsidRPr="00116940" w:rsidRDefault="002811B3" w:rsidP="002811B3">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22FEAD5" w14:textId="77777777" w:rsidR="002811B3" w:rsidRPr="00116940" w:rsidRDefault="002811B3" w:rsidP="002811B3">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350D7C7" w14:textId="77777777" w:rsidR="002811B3" w:rsidRDefault="002811B3" w:rsidP="002811B3">
      <w:pPr>
        <w:spacing w:after="0" w:line="276" w:lineRule="auto"/>
        <w:jc w:val="both"/>
        <w:rPr>
          <w:rFonts w:ascii="Verdana" w:hAnsi="Verdana"/>
          <w:lang w:val="es-MX"/>
        </w:rPr>
      </w:pPr>
    </w:p>
    <w:p w14:paraId="6E6E1C81" w14:textId="540D5C0C" w:rsidR="002811B3" w:rsidRPr="00E55B1C" w:rsidRDefault="002811B3" w:rsidP="00E55B1C">
      <w:pPr>
        <w:spacing w:after="0" w:line="276" w:lineRule="auto"/>
        <w:jc w:val="both"/>
        <w:rPr>
          <w:rFonts w:ascii="Verdana" w:hAnsi="Verdana"/>
          <w:lang w:val="es-MX"/>
        </w:rPr>
      </w:pPr>
      <w:r w:rsidRPr="00E02524">
        <w:rPr>
          <w:rFonts w:ascii="Verdana" w:hAnsi="Verdana"/>
          <w:lang w:val="es-MX"/>
        </w:rPr>
        <w:t>Cordialmente,</w:t>
      </w:r>
    </w:p>
    <w:p w14:paraId="756165DD" w14:textId="77777777" w:rsidR="00E55B1C" w:rsidRDefault="00E55B1C" w:rsidP="00C92588">
      <w:pPr>
        <w:spacing w:after="0" w:line="256" w:lineRule="auto"/>
        <w:jc w:val="center"/>
        <w:rPr>
          <w:rFonts w:ascii="Verdana" w:eastAsia="Calibri" w:hAnsi="Verdana" w:cs="Times New Roman"/>
        </w:rPr>
      </w:pPr>
    </w:p>
    <w:p w14:paraId="4391E5DC" w14:textId="77777777" w:rsidR="004500D4" w:rsidRDefault="004500D4" w:rsidP="00C92588">
      <w:pPr>
        <w:spacing w:after="0" w:line="256" w:lineRule="auto"/>
        <w:jc w:val="center"/>
        <w:rPr>
          <w:rFonts w:ascii="Verdana" w:eastAsia="Calibri" w:hAnsi="Verdana" w:cs="Times New Roman"/>
        </w:rPr>
      </w:pPr>
    </w:p>
    <w:p w14:paraId="21C9462D" w14:textId="7247B259" w:rsidR="002811B3" w:rsidRDefault="00E55B1C" w:rsidP="00C92588">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D357FC9" wp14:editId="1E9B855A">
            <wp:extent cx="3218906" cy="1516601"/>
            <wp:effectExtent l="0" t="0" r="635" b="762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294841" cy="1552378"/>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811B3" w:rsidRPr="005644FE" w14:paraId="69006015" w14:textId="77777777" w:rsidTr="005C707D">
        <w:trPr>
          <w:trHeight w:val="288"/>
        </w:trPr>
        <w:tc>
          <w:tcPr>
            <w:tcW w:w="893" w:type="dxa"/>
            <w:vAlign w:val="center"/>
            <w:hideMark/>
          </w:tcPr>
          <w:p w14:paraId="4195DED9" w14:textId="77777777" w:rsidR="002811B3" w:rsidRPr="005644FE" w:rsidRDefault="002811B3" w:rsidP="005C707D">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2D931502" w14:textId="77777777" w:rsidR="002811B3" w:rsidRPr="005644FE" w:rsidRDefault="002811B3" w:rsidP="005C707D">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E99AFF6" w14:textId="77777777" w:rsidR="002811B3" w:rsidRPr="005644FE" w:rsidRDefault="002811B3" w:rsidP="005C707D">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811B3" w:rsidRPr="005644FE" w14:paraId="634E2EEA" w14:textId="77777777" w:rsidTr="005C707D">
        <w:trPr>
          <w:trHeight w:val="330"/>
        </w:trPr>
        <w:tc>
          <w:tcPr>
            <w:tcW w:w="893" w:type="dxa"/>
            <w:vAlign w:val="center"/>
            <w:hideMark/>
          </w:tcPr>
          <w:p w14:paraId="4E72FF3D" w14:textId="77777777" w:rsidR="002811B3" w:rsidRPr="005644FE" w:rsidRDefault="002811B3" w:rsidP="005C707D">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2CB6996F" w14:textId="77777777" w:rsidR="002811B3" w:rsidRPr="00147D6A" w:rsidRDefault="002811B3" w:rsidP="005C707D">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7428FBBB" w14:textId="77777777" w:rsidR="002811B3" w:rsidRPr="00147D6A" w:rsidRDefault="002811B3" w:rsidP="005C707D">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2811B3" w:rsidRPr="005644FE" w14:paraId="0248F1A6" w14:textId="77777777" w:rsidTr="005C707D">
        <w:trPr>
          <w:trHeight w:val="300"/>
        </w:trPr>
        <w:tc>
          <w:tcPr>
            <w:tcW w:w="893" w:type="dxa"/>
            <w:vAlign w:val="center"/>
          </w:tcPr>
          <w:p w14:paraId="496ABC1F" w14:textId="77777777" w:rsidR="002811B3" w:rsidRPr="005644FE" w:rsidRDefault="002811B3" w:rsidP="005C707D">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EBFC76E" w14:textId="77777777" w:rsidR="002811B3" w:rsidRPr="00147D6A" w:rsidRDefault="002811B3" w:rsidP="005C707D">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3E529C74" w14:textId="77777777" w:rsidR="002811B3" w:rsidRPr="00147D6A" w:rsidRDefault="002811B3" w:rsidP="005C707D">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0"/>
      <w:bookmarkEnd w:id="1"/>
    </w:tbl>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9AAAF" w14:textId="77777777" w:rsidR="0077240D" w:rsidRDefault="0077240D" w:rsidP="004A1847">
      <w:pPr>
        <w:spacing w:after="0" w:line="240" w:lineRule="auto"/>
      </w:pPr>
      <w:r>
        <w:separator/>
      </w:r>
    </w:p>
  </w:endnote>
  <w:endnote w:type="continuationSeparator" w:id="0">
    <w:p w14:paraId="6D4D3A6C" w14:textId="77777777" w:rsidR="0077240D" w:rsidRDefault="007724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12C66" w14:textId="77777777" w:rsidR="0077240D" w:rsidRDefault="0077240D" w:rsidP="004A1847">
      <w:pPr>
        <w:spacing w:after="0" w:line="240" w:lineRule="auto"/>
      </w:pPr>
      <w:r>
        <w:separator/>
      </w:r>
    </w:p>
  </w:footnote>
  <w:footnote w:type="continuationSeparator" w:id="0">
    <w:p w14:paraId="49336C69" w14:textId="77777777" w:rsidR="0077240D" w:rsidRDefault="0077240D" w:rsidP="004A1847">
      <w:pPr>
        <w:spacing w:after="0" w:line="240" w:lineRule="auto"/>
      </w:pPr>
      <w:r>
        <w:continuationSeparator/>
      </w:r>
    </w:p>
  </w:footnote>
  <w:footnote w:id="1">
    <w:p w14:paraId="058A08E9" w14:textId="77777777" w:rsidR="002811B3" w:rsidRPr="00C32EC0" w:rsidRDefault="002811B3" w:rsidP="002811B3">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B84812D" w14:textId="77777777" w:rsidR="002811B3" w:rsidRPr="00C32EC0" w:rsidRDefault="002811B3" w:rsidP="002811B3">
      <w:pPr>
        <w:pStyle w:val="Textonotapie"/>
        <w:ind w:firstLine="709"/>
        <w:jc w:val="both"/>
        <w:rPr>
          <w:rFonts w:ascii="Verdana" w:hAnsi="Verdana" w:cs="Arial"/>
          <w:sz w:val="16"/>
          <w:szCs w:val="16"/>
        </w:rPr>
      </w:pPr>
      <w:r w:rsidRPr="00C32EC0">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55C6D78" w14:textId="77777777" w:rsidR="002811B3" w:rsidRPr="00C32EC0" w:rsidRDefault="002811B3" w:rsidP="002811B3">
      <w:pPr>
        <w:pStyle w:val="Textonotapie"/>
        <w:ind w:firstLine="709"/>
        <w:jc w:val="both"/>
        <w:rPr>
          <w:rFonts w:ascii="Verdana" w:hAnsi="Verdana" w:cs="Arial"/>
          <w:sz w:val="16"/>
          <w:szCs w:val="16"/>
        </w:rPr>
      </w:pPr>
    </w:p>
  </w:footnote>
  <w:footnote w:id="2">
    <w:p w14:paraId="05E0716F" w14:textId="77777777" w:rsidR="002811B3" w:rsidRPr="00C32EC0" w:rsidRDefault="002811B3" w:rsidP="002811B3">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Gaceta del Congreso de la República No. 71 del 2005.</w:t>
      </w:r>
    </w:p>
    <w:p w14:paraId="0E6C64D4" w14:textId="77777777" w:rsidR="002811B3" w:rsidRPr="00C32EC0" w:rsidRDefault="002811B3" w:rsidP="002811B3">
      <w:pPr>
        <w:pStyle w:val="Textonotapie"/>
        <w:ind w:firstLine="709"/>
        <w:jc w:val="both"/>
        <w:rPr>
          <w:rFonts w:ascii="Verdana" w:hAnsi="Verdana" w:cs="Arial"/>
          <w:sz w:val="16"/>
          <w:szCs w:val="16"/>
        </w:rPr>
      </w:pPr>
    </w:p>
  </w:footnote>
  <w:footnote w:id="3">
    <w:p w14:paraId="6F64C0A6" w14:textId="77777777" w:rsidR="002811B3" w:rsidRPr="00C32EC0" w:rsidRDefault="002811B3" w:rsidP="002811B3">
      <w:pPr>
        <w:pStyle w:val="Textonotapie"/>
        <w:tabs>
          <w:tab w:val="left" w:pos="8145"/>
        </w:tabs>
        <w:ind w:firstLine="709"/>
        <w:jc w:val="both"/>
        <w:rPr>
          <w:rFonts w:ascii="Verdana" w:hAnsi="Verdana" w:cs="Arial"/>
          <w:sz w:val="16"/>
          <w:szCs w:val="16"/>
          <w:lang w:val="pt-PT"/>
        </w:rPr>
      </w:pPr>
      <w:r w:rsidRPr="00C32EC0">
        <w:rPr>
          <w:rStyle w:val="Refdenotaalpie"/>
          <w:rFonts w:ascii="Verdana" w:hAnsi="Verdana" w:cs="Arial"/>
          <w:sz w:val="16"/>
          <w:szCs w:val="16"/>
        </w:rPr>
        <w:footnoteRef/>
      </w:r>
      <w:r w:rsidRPr="00C32EC0">
        <w:rPr>
          <w:rFonts w:ascii="Verdana" w:hAnsi="Verdana" w:cs="Arial"/>
          <w:sz w:val="16"/>
          <w:szCs w:val="16"/>
          <w:lang w:val="pt-PT"/>
        </w:rPr>
        <w:t xml:space="preserve"> Corte Constitucional. Sentencia C- 1153 de 2005, M.P: Marco Gerardo Monroy Cabra.</w:t>
      </w:r>
      <w:r w:rsidRPr="00C32EC0">
        <w:rPr>
          <w:rFonts w:ascii="Verdana" w:hAnsi="Verdana" w:cs="Arial"/>
          <w:sz w:val="16"/>
          <w:szCs w:val="16"/>
          <w:lang w:val="pt-PT"/>
        </w:rPr>
        <w:tab/>
      </w:r>
    </w:p>
    <w:p w14:paraId="073FA3E2" w14:textId="77777777" w:rsidR="002811B3" w:rsidRPr="00C32EC0" w:rsidRDefault="002811B3" w:rsidP="002811B3">
      <w:pPr>
        <w:pStyle w:val="Textonotapie"/>
        <w:tabs>
          <w:tab w:val="left" w:pos="8145"/>
        </w:tabs>
        <w:ind w:firstLine="709"/>
        <w:jc w:val="both"/>
        <w:rPr>
          <w:rFonts w:ascii="Verdana" w:hAnsi="Verdana" w:cs="Arial"/>
          <w:sz w:val="16"/>
          <w:szCs w:val="16"/>
          <w:lang w:val="pt-PT"/>
        </w:rPr>
      </w:pPr>
    </w:p>
  </w:footnote>
  <w:footnote w:id="4">
    <w:p w14:paraId="2F7EC714" w14:textId="77777777" w:rsidR="002811B3" w:rsidRPr="0032596E" w:rsidRDefault="002811B3" w:rsidP="002811B3">
      <w:pPr>
        <w:pStyle w:val="Textonotapie"/>
        <w:ind w:firstLine="709"/>
        <w:jc w:val="both"/>
        <w:rPr>
          <w:rFonts w:ascii="Verdana" w:hAnsi="Verdana" w:cs="Arial"/>
          <w:sz w:val="16"/>
          <w:szCs w:val="16"/>
          <w:lang w:val="pt-PT"/>
        </w:rPr>
      </w:pPr>
      <w:r w:rsidRPr="0032596E">
        <w:rPr>
          <w:rStyle w:val="Refdenotaalpie"/>
          <w:rFonts w:ascii="Verdana" w:hAnsi="Verdana" w:cs="Arial"/>
          <w:sz w:val="16"/>
          <w:szCs w:val="16"/>
        </w:rPr>
        <w:footnoteRef/>
      </w:r>
      <w:r w:rsidRPr="0032596E">
        <w:rPr>
          <w:rFonts w:ascii="Verdana" w:hAnsi="Verdana" w:cs="Arial"/>
          <w:sz w:val="16"/>
          <w:szCs w:val="16"/>
          <w:lang w:val="pt-PT"/>
        </w:rPr>
        <w:t xml:space="preserve"> </w:t>
      </w:r>
      <w:r w:rsidRPr="0032596E">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DA82A07" w14:textId="77777777" w:rsidR="002811B3" w:rsidRPr="0032596E" w:rsidRDefault="002811B3" w:rsidP="002811B3">
      <w:pPr>
        <w:pStyle w:val="Textonotapie"/>
        <w:ind w:firstLine="709"/>
        <w:jc w:val="both"/>
        <w:rPr>
          <w:rFonts w:ascii="Verdana" w:hAnsi="Verdana" w:cs="Arial"/>
          <w:sz w:val="16"/>
          <w:szCs w:val="16"/>
          <w:lang w:val="pt-PT"/>
        </w:rPr>
      </w:pPr>
    </w:p>
  </w:footnote>
  <w:footnote w:id="5">
    <w:p w14:paraId="27610744" w14:textId="77777777" w:rsidR="002811B3" w:rsidRPr="0032596E" w:rsidRDefault="002811B3" w:rsidP="002811B3">
      <w:pPr>
        <w:pStyle w:val="Textonotapie"/>
        <w:ind w:firstLine="709"/>
        <w:jc w:val="both"/>
        <w:rPr>
          <w:rFonts w:ascii="Verdana" w:hAnsi="Verdana" w:cs="Arial"/>
          <w:sz w:val="16"/>
          <w:szCs w:val="16"/>
          <w:lang w:val="es-CO"/>
        </w:rPr>
      </w:pPr>
      <w:r w:rsidRPr="0032596E">
        <w:rPr>
          <w:rStyle w:val="Refdenotaalpie"/>
          <w:rFonts w:ascii="Verdana" w:hAnsi="Verdana" w:cs="Arial"/>
          <w:sz w:val="16"/>
          <w:szCs w:val="16"/>
        </w:rPr>
        <w:footnoteRef/>
      </w:r>
      <w:r w:rsidRPr="0032596E">
        <w:rPr>
          <w:rFonts w:ascii="Verdana" w:hAnsi="Verdana" w:cs="Arial"/>
          <w:sz w:val="16"/>
          <w:szCs w:val="16"/>
          <w:lang w:val="es-CO"/>
        </w:rPr>
        <w:t xml:space="preserve"> Consejo de Estado. Sala de lo Contencioso Administrativo. Sección Primera. Sentencia de 3 de marzo de 2005. Radicado: </w:t>
      </w:r>
      <w:r w:rsidRPr="0032596E">
        <w:rPr>
          <w:rFonts w:ascii="Verdana" w:hAnsi="Verdana" w:cs="Arial"/>
          <w:sz w:val="16"/>
          <w:szCs w:val="16"/>
          <w:lang w:val="es-ES"/>
        </w:rPr>
        <w:t xml:space="preserve">25001-23-15-000-2004-00823-01 (PI). </w:t>
      </w:r>
      <w:r w:rsidRPr="0032596E">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5060826F" w14:textId="77777777" w:rsidR="002811B3" w:rsidRPr="0032596E" w:rsidRDefault="002811B3" w:rsidP="002811B3">
      <w:pPr>
        <w:pStyle w:val="Textonotapie"/>
        <w:ind w:firstLine="709"/>
        <w:jc w:val="both"/>
        <w:rPr>
          <w:rFonts w:ascii="Verdana" w:hAnsi="Verdana" w:cs="Arial"/>
          <w:sz w:val="16"/>
          <w:szCs w:val="16"/>
          <w:lang w:val="es-CO"/>
        </w:rPr>
      </w:pPr>
    </w:p>
  </w:footnote>
  <w:footnote w:id="6">
    <w:p w14:paraId="2178C826" w14:textId="77777777" w:rsidR="002811B3" w:rsidRPr="0032596E" w:rsidRDefault="002811B3" w:rsidP="002811B3">
      <w:pPr>
        <w:pStyle w:val="Textonotapie"/>
        <w:ind w:firstLine="709"/>
        <w:jc w:val="both"/>
        <w:rPr>
          <w:rFonts w:ascii="Verdana" w:hAnsi="Verdana" w:cs="Arial"/>
          <w:sz w:val="16"/>
          <w:szCs w:val="16"/>
        </w:rPr>
      </w:pPr>
      <w:r w:rsidRPr="0032596E">
        <w:rPr>
          <w:rStyle w:val="Refdenotaalpie"/>
          <w:rFonts w:ascii="Verdana" w:hAnsi="Verdana" w:cs="Arial"/>
          <w:sz w:val="16"/>
          <w:szCs w:val="16"/>
        </w:rPr>
        <w:footnoteRef/>
      </w:r>
      <w:r w:rsidRPr="0032596E">
        <w:rPr>
          <w:rFonts w:ascii="Verdana" w:hAnsi="Verdana" w:cs="Arial"/>
          <w:sz w:val="16"/>
          <w:szCs w:val="16"/>
        </w:rPr>
        <w:t xml:space="preserve"> Consejo de Estado, Sala de Consulta y Servicio Civil. 24 de julio de 2013. Radicado: </w:t>
      </w:r>
      <w:r w:rsidRPr="0032596E">
        <w:rPr>
          <w:rFonts w:ascii="Verdana" w:hAnsi="Verdana" w:cs="Arial"/>
          <w:sz w:val="16"/>
          <w:szCs w:val="16"/>
          <w:lang w:val="es-CO"/>
        </w:rPr>
        <w:t xml:space="preserve">11001-03-06-000-2013-00407-00 </w:t>
      </w:r>
      <w:r w:rsidRPr="0032596E">
        <w:rPr>
          <w:rFonts w:ascii="Verdana" w:hAnsi="Verdana" w:cs="Arial"/>
          <w:sz w:val="16"/>
          <w:szCs w:val="16"/>
        </w:rPr>
        <w:t xml:space="preserve">(2166). C.P. Álvaro Namén Vargas.  </w:t>
      </w:r>
    </w:p>
    <w:p w14:paraId="31A31BE5" w14:textId="77777777" w:rsidR="002811B3" w:rsidRPr="003E253F" w:rsidRDefault="002811B3" w:rsidP="002811B3">
      <w:pPr>
        <w:pStyle w:val="Textonotapie"/>
        <w:ind w:firstLine="709"/>
        <w:jc w:val="both"/>
        <w:rPr>
          <w:rFonts w:ascii="Verdana" w:hAnsi="Verdana" w:cs="Arial"/>
          <w:sz w:val="14"/>
          <w:szCs w:val="14"/>
        </w:rPr>
      </w:pPr>
    </w:p>
  </w:footnote>
  <w:footnote w:id="7">
    <w:p w14:paraId="5971DB9C" w14:textId="77777777" w:rsidR="002811B3" w:rsidRPr="0032596E" w:rsidRDefault="002811B3" w:rsidP="002811B3">
      <w:pPr>
        <w:spacing w:after="0" w:line="240" w:lineRule="auto"/>
        <w:ind w:firstLine="709"/>
        <w:jc w:val="both"/>
        <w:rPr>
          <w:rFonts w:ascii="Verdana" w:eastAsia="Times New Roman" w:hAnsi="Verdana" w:cs="Arial"/>
          <w:sz w:val="16"/>
          <w:szCs w:val="16"/>
        </w:rPr>
      </w:pPr>
      <w:r w:rsidRPr="0032596E">
        <w:rPr>
          <w:rStyle w:val="Refdenotaalpie"/>
          <w:rFonts w:ascii="Verdana" w:hAnsi="Verdana" w:cs="Arial"/>
          <w:sz w:val="16"/>
          <w:szCs w:val="16"/>
        </w:rPr>
        <w:footnoteRef/>
      </w:r>
      <w:r w:rsidRPr="0032596E">
        <w:rPr>
          <w:rFonts w:ascii="Verdana" w:hAnsi="Verdana" w:cs="Arial"/>
          <w:sz w:val="16"/>
          <w:szCs w:val="16"/>
        </w:rPr>
        <w:t xml:space="preserve"> </w:t>
      </w:r>
      <w:bookmarkStart w:id="4" w:name="33"/>
      <w:r w:rsidRPr="0032596E">
        <w:rPr>
          <w:rFonts w:ascii="Verdana" w:eastAsia="Calibri" w:hAnsi="Verdana" w:cs="Arial"/>
          <w:color w:val="000000"/>
          <w:sz w:val="16"/>
          <w:szCs w:val="16"/>
        </w:rPr>
        <w:t>“</w:t>
      </w:r>
      <w:r w:rsidRPr="0032596E">
        <w:rPr>
          <w:rFonts w:ascii="Verdana" w:eastAsia="Times New Roman" w:hAnsi="Verdana" w:cs="Arial"/>
          <w:sz w:val="16"/>
          <w:szCs w:val="16"/>
        </w:rPr>
        <w:t>Artículo 33. Restricciones a la contratación pública.</w:t>
      </w:r>
      <w:bookmarkEnd w:id="4"/>
      <w:r w:rsidRPr="0032596E">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002CB17" w14:textId="77777777" w:rsidR="002811B3" w:rsidRPr="0032596E" w:rsidRDefault="002811B3" w:rsidP="002811B3">
      <w:pPr>
        <w:spacing w:after="0" w:line="240" w:lineRule="auto"/>
        <w:ind w:firstLine="709"/>
        <w:jc w:val="both"/>
        <w:rPr>
          <w:rFonts w:ascii="Verdana" w:eastAsia="Times New Roman" w:hAnsi="Verdana" w:cs="Arial"/>
          <w:sz w:val="16"/>
          <w:szCs w:val="16"/>
        </w:rPr>
      </w:pPr>
      <w:r w:rsidRPr="0032596E">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635D58D" w14:textId="77777777" w:rsidR="002811B3" w:rsidRPr="0032596E" w:rsidRDefault="002811B3" w:rsidP="002811B3">
      <w:pPr>
        <w:spacing w:after="0" w:line="240" w:lineRule="auto"/>
        <w:ind w:firstLine="709"/>
        <w:jc w:val="both"/>
        <w:rPr>
          <w:rFonts w:ascii="Verdana" w:eastAsia="Times New Roman" w:hAnsi="Verdana" w:cs="Arial"/>
          <w:sz w:val="16"/>
          <w:szCs w:val="16"/>
        </w:rPr>
      </w:pPr>
    </w:p>
  </w:footnote>
  <w:footnote w:id="8">
    <w:p w14:paraId="5A4E2B6F" w14:textId="77777777" w:rsidR="002811B3" w:rsidRPr="0032596E" w:rsidRDefault="002811B3" w:rsidP="002811B3">
      <w:pPr>
        <w:pStyle w:val="NormalWeb"/>
        <w:spacing w:before="0" w:beforeAutospacing="0" w:after="0" w:afterAutospacing="0"/>
        <w:ind w:firstLine="709"/>
        <w:jc w:val="both"/>
        <w:rPr>
          <w:rFonts w:ascii="Verdana" w:hAnsi="Verdana" w:cs="Arial"/>
          <w:sz w:val="16"/>
          <w:szCs w:val="16"/>
          <w:lang w:val="es-MX"/>
        </w:rPr>
      </w:pPr>
      <w:r w:rsidRPr="0032596E">
        <w:rPr>
          <w:rStyle w:val="Refdenotaalpie"/>
          <w:rFonts w:ascii="Verdana" w:eastAsiaTheme="majorEastAsia" w:hAnsi="Verdana" w:cs="Arial"/>
          <w:sz w:val="16"/>
          <w:szCs w:val="16"/>
        </w:rPr>
        <w:footnoteRef/>
      </w:r>
      <w:r w:rsidRPr="0032596E">
        <w:rPr>
          <w:rFonts w:ascii="Verdana" w:hAnsi="Verdana" w:cs="Arial"/>
          <w:sz w:val="16"/>
          <w:szCs w:val="16"/>
        </w:rPr>
        <w:t xml:space="preserve"> </w:t>
      </w:r>
      <w:bookmarkStart w:id="5" w:name="38"/>
      <w:r w:rsidRPr="0032596E">
        <w:rPr>
          <w:rFonts w:ascii="Verdana" w:eastAsia="Calibri" w:hAnsi="Verdana" w:cs="Arial"/>
          <w:color w:val="000000"/>
          <w:sz w:val="16"/>
          <w:szCs w:val="16"/>
        </w:rPr>
        <w:t>“</w:t>
      </w:r>
      <w:r w:rsidRPr="0032596E">
        <w:rPr>
          <w:rFonts w:ascii="Verdana" w:hAnsi="Verdana" w:cs="Arial"/>
          <w:sz w:val="16"/>
          <w:szCs w:val="16"/>
          <w:lang w:val="es-MX"/>
        </w:rPr>
        <w:t>Artículo 38. Prohibiciones para los servidores públicos. A los empleados del Estado les está prohibido:</w:t>
      </w:r>
      <w:bookmarkEnd w:id="5"/>
    </w:p>
    <w:p w14:paraId="03E52541" w14:textId="77777777" w:rsidR="002811B3" w:rsidRPr="0032596E" w:rsidRDefault="002811B3" w:rsidP="002811B3">
      <w:pPr>
        <w:pStyle w:val="NormalWeb"/>
        <w:spacing w:before="0" w:beforeAutospacing="0" w:after="0" w:afterAutospacing="0"/>
        <w:ind w:firstLine="709"/>
        <w:jc w:val="both"/>
        <w:rPr>
          <w:rFonts w:ascii="Verdana" w:hAnsi="Verdana" w:cs="Arial"/>
          <w:sz w:val="16"/>
          <w:szCs w:val="16"/>
          <w:lang w:val="es-MX"/>
        </w:rPr>
      </w:pPr>
      <w:r w:rsidRPr="0032596E">
        <w:rPr>
          <w:rFonts w:ascii="Verdana" w:hAnsi="Verdana" w:cs="Arial"/>
          <w:sz w:val="16"/>
          <w:szCs w:val="16"/>
          <w:lang w:val="es-MX"/>
        </w:rPr>
        <w:t>(…)</w:t>
      </w:r>
    </w:p>
    <w:p w14:paraId="08D2E683" w14:textId="77777777" w:rsidR="002811B3" w:rsidRPr="0032596E" w:rsidRDefault="002811B3" w:rsidP="002811B3">
      <w:pPr>
        <w:pStyle w:val="NormalWeb"/>
        <w:spacing w:before="0" w:beforeAutospacing="0" w:after="0" w:afterAutospacing="0"/>
        <w:ind w:firstLine="709"/>
        <w:jc w:val="both"/>
        <w:rPr>
          <w:rFonts w:ascii="Verdana" w:eastAsia="Calibri" w:hAnsi="Verdana" w:cs="Arial"/>
          <w:color w:val="000000"/>
          <w:sz w:val="16"/>
          <w:szCs w:val="16"/>
        </w:rPr>
      </w:pPr>
      <w:r w:rsidRPr="0032596E">
        <w:rPr>
          <w:rStyle w:val="baj"/>
          <w:rFonts w:ascii="Verdana" w:hAnsi="Verdana" w:cs="Arial"/>
          <w:sz w:val="16"/>
          <w:szCs w:val="16"/>
          <w:lang w:val="es-MX"/>
        </w:rPr>
        <w:t>Parágrafo.</w:t>
      </w:r>
      <w:r w:rsidRPr="0032596E">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2596E">
        <w:rPr>
          <w:rFonts w:ascii="Verdana" w:eastAsia="Calibri" w:hAnsi="Verdana" w:cs="Arial"/>
          <w:color w:val="000000"/>
          <w:sz w:val="16"/>
          <w:szCs w:val="16"/>
        </w:rPr>
        <w:t>”.</w:t>
      </w:r>
    </w:p>
    <w:p w14:paraId="1DE1F666" w14:textId="77777777" w:rsidR="002811B3" w:rsidRPr="0032596E" w:rsidRDefault="002811B3" w:rsidP="002811B3">
      <w:pPr>
        <w:pStyle w:val="NormalWeb"/>
        <w:spacing w:before="0" w:beforeAutospacing="0" w:after="0" w:afterAutospacing="0"/>
        <w:ind w:firstLine="709"/>
        <w:jc w:val="both"/>
        <w:rPr>
          <w:rFonts w:ascii="Verdana" w:eastAsia="Calibri" w:hAnsi="Verdana" w:cs="Arial"/>
          <w:color w:val="000000"/>
          <w:sz w:val="16"/>
          <w:szCs w:val="16"/>
        </w:rPr>
      </w:pPr>
    </w:p>
  </w:footnote>
  <w:footnote w:id="9">
    <w:p w14:paraId="00B6737C" w14:textId="77777777" w:rsidR="002811B3" w:rsidRPr="005703BF" w:rsidRDefault="002811B3" w:rsidP="002811B3">
      <w:pPr>
        <w:tabs>
          <w:tab w:val="left" w:pos="2127"/>
        </w:tabs>
        <w:spacing w:after="0" w:line="240" w:lineRule="auto"/>
        <w:ind w:left="100" w:right="244"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17 de febrero de 2015. Radicado: 11001-03-06-000-2015-00164-00 (2269). C.P. William Zambrano Cetina.</w:t>
      </w:r>
    </w:p>
    <w:p w14:paraId="72791A03" w14:textId="77777777" w:rsidR="002811B3" w:rsidRPr="005703BF" w:rsidRDefault="002811B3" w:rsidP="002811B3">
      <w:pPr>
        <w:spacing w:after="0" w:line="240" w:lineRule="auto"/>
        <w:ind w:left="100" w:right="244" w:firstLine="709"/>
        <w:jc w:val="both"/>
        <w:rPr>
          <w:rFonts w:ascii="Verdana" w:hAnsi="Verdana" w:cs="Arial"/>
          <w:sz w:val="16"/>
          <w:szCs w:val="16"/>
          <w:lang w:val="es-ES"/>
        </w:rPr>
      </w:pPr>
    </w:p>
  </w:footnote>
  <w:footnote w:id="10">
    <w:p w14:paraId="2AE7C740" w14:textId="77777777" w:rsidR="002811B3" w:rsidRPr="005703BF" w:rsidRDefault="002811B3" w:rsidP="002811B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[25] </w:t>
      </w:r>
      <w:r w:rsidRPr="005703BF">
        <w:rPr>
          <w:rFonts w:ascii="Verdana" w:hAnsi="Verdana" w:cs="Arial"/>
          <w:sz w:val="16"/>
          <w:szCs w:val="16"/>
        </w:rPr>
        <w:t>Cfr. Consejo de Estado. Sección Tercera. Sentencia de 3 de diciembre de 2007. Radicados: 24.715, 25.206, 25.409, 24.524, 27.834, 25.410, 26.105, 28.244, 31.447 -acumulados-“.</w:t>
      </w:r>
    </w:p>
    <w:p w14:paraId="18D39F52" w14:textId="77777777" w:rsidR="002811B3" w:rsidRPr="005703BF" w:rsidRDefault="002811B3" w:rsidP="002811B3">
      <w:pPr>
        <w:pStyle w:val="Textonotapie"/>
        <w:ind w:firstLine="709"/>
        <w:jc w:val="both"/>
        <w:rPr>
          <w:rFonts w:ascii="Verdana" w:hAnsi="Verdana" w:cs="Arial"/>
          <w:sz w:val="16"/>
          <w:szCs w:val="16"/>
        </w:rPr>
      </w:pPr>
    </w:p>
  </w:footnote>
  <w:footnote w:id="11">
    <w:p w14:paraId="0993C1B1" w14:textId="77777777" w:rsidR="002811B3" w:rsidRPr="005703BF" w:rsidRDefault="002811B3" w:rsidP="002811B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bookmarkStart w:id="13" w:name="_Hlk74294506"/>
      <w:r w:rsidRPr="005703BF">
        <w:rPr>
          <w:rFonts w:ascii="Verdana" w:hAnsi="Verdana" w:cs="Arial"/>
          <w:sz w:val="16"/>
          <w:szCs w:val="16"/>
        </w:rPr>
        <w:t>“</w:t>
      </w:r>
      <w:r w:rsidRPr="005703BF">
        <w:rPr>
          <w:rFonts w:ascii="Verdana" w:hAnsi="Verdana" w:cs="Arial"/>
          <w:sz w:val="16"/>
          <w:szCs w:val="16"/>
          <w:lang w:val="es-ES"/>
        </w:rPr>
        <w:t xml:space="preserve">[26] </w:t>
      </w:r>
      <w:bookmarkEnd w:id="13"/>
      <w:r w:rsidRPr="005703BF">
        <w:rPr>
          <w:rFonts w:ascii="Verdana" w:hAnsi="Verdana" w:cs="Arial"/>
          <w:sz w:val="16"/>
          <w:szCs w:val="16"/>
        </w:rPr>
        <w:t>Al respecto ver el concepto 1712 de 2 de febrero de 2006. Consejo de Estado Sala de Consulta y Servicio Civil”.</w:t>
      </w:r>
    </w:p>
    <w:p w14:paraId="047A5FEC" w14:textId="77777777" w:rsidR="002811B3" w:rsidRPr="005703BF" w:rsidRDefault="002811B3" w:rsidP="002811B3">
      <w:pPr>
        <w:pStyle w:val="Textonotapie"/>
        <w:ind w:firstLine="709"/>
        <w:jc w:val="both"/>
        <w:rPr>
          <w:rFonts w:ascii="Verdana" w:hAnsi="Verdana" w:cs="Arial"/>
          <w:sz w:val="16"/>
          <w:szCs w:val="16"/>
        </w:rPr>
      </w:pPr>
    </w:p>
  </w:footnote>
  <w:footnote w:id="12">
    <w:p w14:paraId="65BE922F" w14:textId="77777777" w:rsidR="002811B3" w:rsidRPr="005703BF" w:rsidRDefault="002811B3" w:rsidP="002811B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2 de septiembre de 2013. Radicación número: 11001-03-06-000-2013-00412-00 (2168). C.P: Álvaro Namén Vargas.</w:t>
      </w:r>
    </w:p>
  </w:footnote>
  <w:footnote w:id="13">
    <w:p w14:paraId="5AFB10C8" w14:textId="77777777" w:rsidR="002811B3" w:rsidRPr="005703BF" w:rsidRDefault="002811B3" w:rsidP="002811B3">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Artículo 2. </w:t>
      </w:r>
    </w:p>
    <w:p w14:paraId="6CBF9E39" w14:textId="77777777" w:rsidR="002811B3" w:rsidRPr="005703BF" w:rsidRDefault="002811B3" w:rsidP="002811B3">
      <w:pPr>
        <w:pStyle w:val="Textonotapie"/>
        <w:ind w:firstLine="709"/>
        <w:jc w:val="both"/>
        <w:rPr>
          <w:rFonts w:ascii="Verdana" w:hAnsi="Verdana" w:cs="Arial"/>
          <w:sz w:val="16"/>
          <w:szCs w:val="16"/>
          <w:lang w:val="es-ES"/>
        </w:rPr>
      </w:pPr>
    </w:p>
  </w:footnote>
  <w:footnote w:id="14">
    <w:p w14:paraId="0E25DB2F" w14:textId="77777777" w:rsidR="002811B3" w:rsidRPr="005703BF" w:rsidRDefault="002811B3" w:rsidP="002811B3">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i/>
          <w:sz w:val="16"/>
          <w:szCs w:val="16"/>
          <w:lang w:val="es-ES"/>
        </w:rPr>
        <w:t>Ídem</w:t>
      </w:r>
      <w:r w:rsidRPr="005703BF">
        <w:rPr>
          <w:rFonts w:ascii="Verdana" w:hAnsi="Verdana" w:cs="Arial"/>
          <w:sz w:val="16"/>
          <w:szCs w:val="16"/>
          <w:lang w:val="es-ES"/>
        </w:rPr>
        <w:t>.</w:t>
      </w:r>
    </w:p>
    <w:p w14:paraId="5D5651E5" w14:textId="77777777" w:rsidR="002811B3" w:rsidRPr="005703BF" w:rsidRDefault="002811B3" w:rsidP="002811B3">
      <w:pPr>
        <w:pStyle w:val="Textonotapie"/>
        <w:ind w:firstLine="709"/>
        <w:jc w:val="both"/>
        <w:rPr>
          <w:rFonts w:ascii="Verdana" w:hAnsi="Verdana" w:cs="Arial"/>
          <w:sz w:val="16"/>
          <w:szCs w:val="16"/>
          <w:lang w:val="es-ES"/>
        </w:rPr>
      </w:pPr>
    </w:p>
  </w:footnote>
  <w:footnote w:id="15">
    <w:p w14:paraId="5390A465" w14:textId="77777777" w:rsidR="002811B3" w:rsidRPr="005703BF" w:rsidRDefault="002811B3" w:rsidP="002811B3">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 xml:space="preserve">[…] A este respecto, cabe recordar que el artículo 860 del Código de Comercio regula la licitación en el derecho privado. </w:t>
      </w:r>
    </w:p>
    <w:p w14:paraId="6EFF873D" w14:textId="77777777" w:rsidR="002811B3" w:rsidRPr="005703BF" w:rsidRDefault="002811B3" w:rsidP="002811B3">
      <w:pPr>
        <w:pStyle w:val="Textonotapie"/>
        <w:ind w:firstLine="709"/>
        <w:jc w:val="both"/>
        <w:rPr>
          <w:rFonts w:ascii="Verdana" w:hAnsi="Verdana" w:cs="Arial"/>
          <w:sz w:val="16"/>
          <w:szCs w:val="16"/>
          <w:lang w:val="es-ES"/>
        </w:rPr>
      </w:pPr>
    </w:p>
  </w:footnote>
  <w:footnote w:id="16">
    <w:p w14:paraId="5BF4131D" w14:textId="77777777" w:rsidR="002811B3" w:rsidRPr="005703BF" w:rsidRDefault="002811B3" w:rsidP="002811B3">
      <w:pPr>
        <w:shd w:val="clear" w:color="auto" w:fill="FFFFFF"/>
        <w:spacing w:after="0" w:line="240" w:lineRule="auto"/>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Consejo de Estado. Sala de Consulta y Servicio Civil, Concepto de 8 de mayo de 2018. Radicación Número: 11001-03-06-000-2018-00095-00 (2382). C.P: Álvaro Namén Vargas.</w:t>
      </w:r>
    </w:p>
    <w:p w14:paraId="3D8E255D" w14:textId="77777777" w:rsidR="002811B3" w:rsidRPr="005703BF" w:rsidRDefault="002811B3" w:rsidP="002811B3">
      <w:pPr>
        <w:shd w:val="clear" w:color="auto" w:fill="FFFFFF"/>
        <w:spacing w:after="0" w:line="240" w:lineRule="auto"/>
        <w:ind w:firstLine="709"/>
        <w:jc w:val="both"/>
        <w:rPr>
          <w:rFonts w:ascii="Verdana" w:hAnsi="Verdana" w:cs="Arial"/>
          <w:sz w:val="16"/>
          <w:szCs w:val="16"/>
          <w:lang w:val="es-ES"/>
        </w:rPr>
      </w:pPr>
    </w:p>
  </w:footnote>
  <w:footnote w:id="17">
    <w:p w14:paraId="113C34DC" w14:textId="77777777" w:rsidR="002811B3" w:rsidRPr="005703BF" w:rsidRDefault="002811B3" w:rsidP="002811B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08 de mayo de 2018. Exp. 2.382. C.P. Álvaro Namén Vargas.</w:t>
      </w:r>
    </w:p>
    <w:p w14:paraId="4DC487C1" w14:textId="77777777" w:rsidR="002811B3" w:rsidRPr="005703BF" w:rsidRDefault="002811B3" w:rsidP="002811B3">
      <w:pPr>
        <w:pStyle w:val="Textonotapie"/>
        <w:ind w:firstLine="709"/>
        <w:jc w:val="both"/>
        <w:rPr>
          <w:rFonts w:ascii="Verdana" w:hAnsi="Verdana" w:cs="Arial"/>
          <w:sz w:val="16"/>
          <w:szCs w:val="16"/>
        </w:rPr>
      </w:pPr>
    </w:p>
  </w:footnote>
  <w:footnote w:id="18">
    <w:p w14:paraId="0798DAEC" w14:textId="77777777" w:rsidR="002811B3" w:rsidRPr="005703BF" w:rsidRDefault="002811B3" w:rsidP="002811B3">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Circular Externa 006 del 25 de septiembre de 2025. Disponible en </w:t>
      </w:r>
      <w:hyperlink r:id="rId1" w:history="1">
        <w:r w:rsidRPr="005703BF">
          <w:rPr>
            <w:rStyle w:val="Hipervnculo"/>
            <w:rFonts w:ascii="Verdana" w:hAnsi="Verdana"/>
            <w:sz w:val="16"/>
            <w:szCs w:val="16"/>
            <w:lang w:val="es-CO"/>
          </w:rPr>
          <w:t>006-de-2025-Circular-Externa-L996-ajustado-comentarios-BM-BID-Rev-ARSC-V3.d-1.pdf</w:t>
        </w:r>
      </w:hyperlink>
    </w:p>
    <w:p w14:paraId="0E13411E" w14:textId="77777777" w:rsidR="002811B3" w:rsidRPr="005703BF" w:rsidRDefault="002811B3" w:rsidP="002811B3">
      <w:pPr>
        <w:pStyle w:val="Textonotapie"/>
        <w:ind w:firstLine="709"/>
        <w:jc w:val="both"/>
        <w:rPr>
          <w:rFonts w:ascii="Verdana" w:hAnsi="Verdana"/>
          <w:sz w:val="16"/>
          <w:szCs w:val="16"/>
          <w:lang w:val="es-ES"/>
        </w:rPr>
      </w:pPr>
    </w:p>
  </w:footnote>
  <w:footnote w:id="19">
    <w:p w14:paraId="13B5C3EA" w14:textId="77777777" w:rsidR="002811B3" w:rsidRPr="005703BF" w:rsidRDefault="002811B3" w:rsidP="002811B3">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Concepto </w:t>
      </w:r>
      <w:hyperlink r:id="rId2" w:history="1">
        <w:r w:rsidRPr="005703BF">
          <w:rPr>
            <w:rStyle w:val="Hipervnculo"/>
            <w:rFonts w:ascii="Verdana" w:hAnsi="Verdana"/>
            <w:sz w:val="16"/>
            <w:szCs w:val="16"/>
          </w:rPr>
          <w:t>C-048 de 2026 – Relatoria ANCP-CCE</w:t>
        </w:r>
      </w:hyperlink>
      <w:r w:rsidRPr="005703BF">
        <w:rPr>
          <w:rFonts w:ascii="Verdana" w:hAnsi="Verdana"/>
          <w:sz w:val="16"/>
          <w:szCs w:val="16"/>
          <w:lang w:val="es-ES"/>
        </w:rPr>
        <w:t>.</w:t>
      </w:r>
    </w:p>
  </w:footnote>
  <w:footnote w:id="20">
    <w:p w14:paraId="3F299B56" w14:textId="77777777" w:rsidR="002811B3" w:rsidRPr="007269D0" w:rsidRDefault="002811B3" w:rsidP="002811B3">
      <w:pPr>
        <w:spacing w:after="0" w:line="240" w:lineRule="auto"/>
        <w:ind w:firstLine="709"/>
        <w:jc w:val="both"/>
        <w:rPr>
          <w:rFonts w:ascii="Verdana" w:hAnsi="Verdana" w:cs="Arial"/>
          <w:color w:val="000000" w:themeColor="text1"/>
          <w:sz w:val="16"/>
          <w:szCs w:val="16"/>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A38F5FA" w14:textId="77777777" w:rsidR="002811B3" w:rsidRPr="007269D0" w:rsidRDefault="002811B3" w:rsidP="002811B3">
      <w:pPr>
        <w:spacing w:after="0" w:line="240" w:lineRule="auto"/>
        <w:ind w:firstLine="709"/>
        <w:jc w:val="both"/>
        <w:rPr>
          <w:rFonts w:ascii="Verdana" w:hAnsi="Verdana" w:cs="Arial"/>
          <w:color w:val="000000" w:themeColor="text1"/>
          <w:sz w:val="16"/>
          <w:szCs w:val="16"/>
        </w:rPr>
      </w:pPr>
    </w:p>
  </w:footnote>
  <w:footnote w:id="21">
    <w:p w14:paraId="36415974" w14:textId="77777777" w:rsidR="002811B3" w:rsidRPr="007269D0" w:rsidRDefault="002811B3" w:rsidP="002811B3">
      <w:pPr>
        <w:pStyle w:val="Textonotapie"/>
        <w:ind w:firstLine="709"/>
        <w:jc w:val="both"/>
        <w:rPr>
          <w:rFonts w:ascii="Verdana" w:eastAsia="Times New Roman" w:hAnsi="Verdana" w:cs="Arial"/>
          <w:color w:val="000000" w:themeColor="text1"/>
          <w:sz w:val="16"/>
          <w:szCs w:val="16"/>
          <w:lang w:eastAsia="x-none"/>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7269D0">
        <w:rPr>
          <w:rFonts w:ascii="Verdana" w:eastAsia="Times New Roman" w:hAnsi="Verdana" w:cs="Arial"/>
          <w:color w:val="000000" w:themeColor="text1"/>
          <w:sz w:val="16"/>
          <w:szCs w:val="16"/>
          <w:lang w:eastAsia="x-none"/>
        </w:rPr>
        <w:t xml:space="preserve"> </w:t>
      </w:r>
      <w:bookmarkStart w:id="17" w:name="_Hlk97890572"/>
      <w:r w:rsidRPr="007269D0">
        <w:rPr>
          <w:rFonts w:ascii="Verdana" w:eastAsia="Times New Roman" w:hAnsi="Verdana" w:cs="Arial"/>
          <w:color w:val="000000" w:themeColor="text1"/>
          <w:sz w:val="16"/>
          <w:szCs w:val="16"/>
          <w:lang w:eastAsia="x-none"/>
        </w:rPr>
        <w:t>“</w:t>
      </w:r>
      <w:r w:rsidRPr="007269D0">
        <w:rPr>
          <w:rFonts w:ascii="Verdana" w:hAnsi="Verdana" w:cs="Arial"/>
          <w:color w:val="000000" w:themeColor="text1"/>
          <w:sz w:val="16"/>
          <w:szCs w:val="16"/>
        </w:rPr>
        <w:t xml:space="preserve">Si bien en el tema del concepto del que se extractaron </w:t>
      </w:r>
      <w:bookmarkEnd w:id="17"/>
      <w:r w:rsidRPr="007269D0">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269D0">
        <w:rPr>
          <w:rFonts w:ascii="Verdana" w:eastAsia="Times New Roman" w:hAnsi="Verdana" w:cs="Arial"/>
          <w:color w:val="000000" w:themeColor="text1"/>
          <w:sz w:val="16"/>
          <w:szCs w:val="16"/>
          <w:lang w:eastAsia="x-none"/>
        </w:rPr>
        <w:t>”.</w:t>
      </w:r>
    </w:p>
    <w:p w14:paraId="0411849F" w14:textId="77777777" w:rsidR="002811B3" w:rsidRPr="007269D0" w:rsidRDefault="002811B3" w:rsidP="002811B3">
      <w:pPr>
        <w:pStyle w:val="Textonotapie"/>
        <w:ind w:firstLine="709"/>
        <w:jc w:val="both"/>
        <w:rPr>
          <w:rFonts w:ascii="Verdana" w:hAnsi="Verdana" w:cs="Arial"/>
          <w:color w:val="000000" w:themeColor="text1"/>
          <w:sz w:val="16"/>
          <w:szCs w:val="16"/>
        </w:rPr>
      </w:pPr>
    </w:p>
  </w:footnote>
  <w:footnote w:id="22">
    <w:p w14:paraId="2F197432" w14:textId="77777777" w:rsidR="002811B3" w:rsidRPr="0032596E" w:rsidRDefault="002811B3" w:rsidP="002811B3">
      <w:pPr>
        <w:spacing w:after="0" w:line="240" w:lineRule="auto"/>
        <w:ind w:firstLine="709"/>
        <w:jc w:val="both"/>
        <w:rPr>
          <w:rFonts w:ascii="Verdana" w:hAnsi="Verdana" w:cs="Arial"/>
          <w:color w:val="000000" w:themeColor="text1"/>
          <w:sz w:val="16"/>
          <w:szCs w:val="16"/>
        </w:rPr>
      </w:pPr>
      <w:r w:rsidRPr="0032596E">
        <w:rPr>
          <w:rStyle w:val="Refdenotaalpie"/>
          <w:rFonts w:ascii="Verdana" w:hAnsi="Verdana" w:cs="Arial"/>
          <w:color w:val="000000" w:themeColor="text1"/>
          <w:sz w:val="16"/>
          <w:szCs w:val="16"/>
        </w:rPr>
        <w:footnoteRef/>
      </w:r>
      <w:r w:rsidRPr="0032596E">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7E8B70FC" w14:textId="77777777" w:rsidR="002811B3" w:rsidRPr="0032596E" w:rsidRDefault="002811B3" w:rsidP="002811B3">
      <w:pPr>
        <w:spacing w:after="0" w:line="240" w:lineRule="auto"/>
        <w:ind w:firstLine="709"/>
        <w:jc w:val="both"/>
        <w:rPr>
          <w:rFonts w:ascii="Verdana" w:hAnsi="Verdana" w:cs="Arial"/>
          <w:color w:val="000000" w:themeColor="text1"/>
          <w:sz w:val="16"/>
          <w:szCs w:val="16"/>
        </w:rPr>
      </w:pPr>
    </w:p>
  </w:footnote>
  <w:footnote w:id="23">
    <w:p w14:paraId="467A770C" w14:textId="77777777" w:rsidR="002811B3" w:rsidRPr="0032596E" w:rsidRDefault="002811B3" w:rsidP="002811B3">
      <w:pPr>
        <w:pStyle w:val="Textonotapie"/>
        <w:ind w:firstLine="709"/>
        <w:jc w:val="both"/>
        <w:rPr>
          <w:rFonts w:ascii="Verdana" w:hAnsi="Verdana" w:cs="Arial"/>
          <w:color w:val="000000" w:themeColor="text1"/>
          <w:sz w:val="16"/>
          <w:szCs w:val="16"/>
        </w:rPr>
      </w:pPr>
      <w:r w:rsidRPr="0032596E">
        <w:rPr>
          <w:rStyle w:val="Refdenotaalpie"/>
          <w:rFonts w:ascii="Verdana" w:hAnsi="Verdana" w:cs="Arial"/>
          <w:color w:val="000000" w:themeColor="text1"/>
          <w:sz w:val="16"/>
          <w:szCs w:val="16"/>
        </w:rPr>
        <w:footnoteRef/>
      </w:r>
      <w:r w:rsidRPr="0032596E">
        <w:rPr>
          <w:rFonts w:ascii="Verdana" w:hAnsi="Verdana" w:cs="Arial"/>
          <w:color w:val="000000" w:themeColor="text1"/>
          <w:sz w:val="16"/>
          <w:szCs w:val="16"/>
        </w:rPr>
        <w:t xml:space="preserve"> Consejo de Estado. Sala de Consulta y Servicio Civil, ídem.</w:t>
      </w:r>
    </w:p>
    <w:p w14:paraId="6335D8CE" w14:textId="77777777" w:rsidR="002811B3" w:rsidRPr="003E253F" w:rsidRDefault="002811B3" w:rsidP="002811B3">
      <w:pPr>
        <w:pStyle w:val="Textonotapie"/>
        <w:ind w:firstLine="709"/>
        <w:jc w:val="both"/>
        <w:rPr>
          <w:rFonts w:ascii="Verdana" w:hAnsi="Verdana" w:cs="Arial"/>
          <w:color w:val="000000" w:themeColor="text1"/>
          <w:sz w:val="14"/>
          <w:szCs w:val="14"/>
        </w:rPr>
      </w:pPr>
    </w:p>
  </w:footnote>
  <w:footnote w:id="24">
    <w:p w14:paraId="23CB41B0" w14:textId="77777777" w:rsidR="002811B3" w:rsidRPr="006E3E52" w:rsidRDefault="002811B3" w:rsidP="002811B3">
      <w:pPr>
        <w:pStyle w:val="Textonotapie"/>
        <w:ind w:firstLine="709"/>
        <w:jc w:val="both"/>
        <w:rPr>
          <w:rFonts w:ascii="Verdana" w:hAnsi="Verdana" w:cs="Arial"/>
          <w:sz w:val="16"/>
          <w:szCs w:val="16"/>
        </w:rPr>
      </w:pPr>
      <w:r w:rsidRPr="006E3E52">
        <w:rPr>
          <w:rStyle w:val="Refdenotaalpie"/>
          <w:rFonts w:ascii="Verdana" w:hAnsi="Verdana" w:cs="Arial"/>
          <w:sz w:val="16"/>
          <w:szCs w:val="16"/>
        </w:rPr>
        <w:footnoteRef/>
      </w:r>
      <w:r w:rsidRPr="006E3E52">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47A3B12A" w14:textId="77777777" w:rsidR="002811B3" w:rsidRPr="006E3E52" w:rsidRDefault="002811B3" w:rsidP="002811B3">
      <w:pPr>
        <w:pStyle w:val="Textonotapie"/>
        <w:ind w:firstLine="709"/>
        <w:jc w:val="both"/>
        <w:rPr>
          <w:rFonts w:ascii="Verdana" w:hAnsi="Verdana" w:cs="Arial"/>
          <w:sz w:val="16"/>
          <w:szCs w:val="16"/>
        </w:rPr>
      </w:pPr>
    </w:p>
  </w:footnote>
  <w:footnote w:id="25">
    <w:p w14:paraId="6DD062E2" w14:textId="77777777" w:rsidR="002811B3" w:rsidRPr="004824B3" w:rsidRDefault="002811B3" w:rsidP="002811B3">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Corte Constitucional. Sentencia C-1153 de 2005 M.P. Marco Gerardo Monroy Cabra. </w:t>
      </w:r>
    </w:p>
    <w:p w14:paraId="6E6E7501" w14:textId="77777777" w:rsidR="002811B3" w:rsidRPr="004824B3" w:rsidRDefault="002811B3" w:rsidP="002811B3">
      <w:pPr>
        <w:pStyle w:val="Textonotapie"/>
        <w:ind w:firstLine="709"/>
        <w:jc w:val="both"/>
        <w:rPr>
          <w:rFonts w:ascii="Verdana" w:hAnsi="Verdana" w:cs="Arial"/>
          <w:sz w:val="16"/>
          <w:szCs w:val="16"/>
        </w:rPr>
      </w:pPr>
    </w:p>
  </w:footnote>
  <w:footnote w:id="26">
    <w:p w14:paraId="1E8B9FC7" w14:textId="77777777" w:rsidR="002811B3" w:rsidRPr="004824B3" w:rsidRDefault="002811B3" w:rsidP="002811B3">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Consejo de Estado. Sala de Consulta y Servicio Civil. Concepto del 18 de febrero 2010. Rad. 11001-03-06-000-2010-00006-00 (1985). C.P. Enrique José Arboleda Perdomo.</w:t>
      </w:r>
    </w:p>
    <w:p w14:paraId="6D7D44DF" w14:textId="77777777" w:rsidR="002811B3" w:rsidRPr="004824B3" w:rsidRDefault="002811B3" w:rsidP="002811B3">
      <w:pPr>
        <w:pStyle w:val="Textonotapie"/>
        <w:ind w:firstLine="709"/>
        <w:jc w:val="both"/>
        <w:rPr>
          <w:rFonts w:ascii="Verdana" w:hAnsi="Verdana" w:cs="Arial"/>
          <w:sz w:val="16"/>
          <w:szCs w:val="16"/>
        </w:rPr>
      </w:pPr>
    </w:p>
  </w:footnote>
  <w:footnote w:id="27">
    <w:p w14:paraId="79C805F6" w14:textId="77777777" w:rsidR="002811B3" w:rsidRPr="009D0D83" w:rsidRDefault="002811B3" w:rsidP="002811B3">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footnote>
  <w:footnote w:id="28">
    <w:p w14:paraId="09999E63" w14:textId="77777777" w:rsidR="002811B3" w:rsidRDefault="002811B3" w:rsidP="006A437E">
      <w:pPr>
        <w:pStyle w:val="Textonotapie"/>
        <w:contextualSpacing/>
        <w:jc w:val="both"/>
        <w:rPr>
          <w:rFonts w:ascii="Verdana" w:hAnsi="Verdana"/>
          <w:sz w:val="16"/>
          <w:szCs w:val="16"/>
          <w:vertAlign w:val="superscript"/>
        </w:rPr>
      </w:pPr>
    </w:p>
    <w:p w14:paraId="655E04B8" w14:textId="77777777" w:rsidR="002811B3" w:rsidRPr="00B8078E" w:rsidRDefault="002811B3" w:rsidP="002811B3">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2E7EEFE" w14:textId="77777777" w:rsidR="002811B3" w:rsidRPr="00B8078E" w:rsidRDefault="002811B3" w:rsidP="002811B3">
      <w:pPr>
        <w:pStyle w:val="Textonotapie"/>
        <w:ind w:firstLine="709"/>
        <w:contextualSpacing/>
        <w:jc w:val="both"/>
        <w:rPr>
          <w:rFonts w:ascii="Verdana" w:hAnsi="Verdana" w:cs="Arial"/>
          <w:sz w:val="16"/>
          <w:szCs w:val="16"/>
        </w:rPr>
      </w:pPr>
    </w:p>
  </w:footnote>
  <w:footnote w:id="29">
    <w:p w14:paraId="76C8728B" w14:textId="77777777" w:rsidR="002811B3" w:rsidRPr="00B8078E" w:rsidRDefault="002811B3" w:rsidP="002811B3">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2DF2A66" w14:textId="77777777" w:rsidR="002811B3" w:rsidRPr="00B8078E" w:rsidRDefault="002811B3" w:rsidP="002811B3">
      <w:pPr>
        <w:pStyle w:val="Textonotapie"/>
        <w:ind w:firstLine="709"/>
        <w:contextualSpacing/>
        <w:jc w:val="both"/>
        <w:rPr>
          <w:rFonts w:ascii="Verdana" w:hAnsi="Verdana" w:cs="Arial"/>
          <w:sz w:val="16"/>
          <w:szCs w:val="16"/>
        </w:rPr>
      </w:pPr>
    </w:p>
  </w:footnote>
  <w:footnote w:id="30">
    <w:p w14:paraId="466A2DBF" w14:textId="77777777" w:rsidR="002811B3" w:rsidRDefault="002811B3" w:rsidP="002811B3">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7269D60C" w14:textId="77777777" w:rsidR="002811B3" w:rsidRPr="00852048" w:rsidRDefault="002811B3" w:rsidP="002811B3">
      <w:pPr>
        <w:pStyle w:val="Textonotapie"/>
        <w:ind w:firstLine="709"/>
        <w:contextualSpacing/>
        <w:jc w:val="both"/>
        <w:rPr>
          <w:rFonts w:ascii="Verdana" w:hAnsi="Verdana" w:cs="Arial"/>
          <w:sz w:val="16"/>
          <w:szCs w:val="16"/>
        </w:rPr>
      </w:pPr>
    </w:p>
  </w:footnote>
  <w:footnote w:id="31">
    <w:p w14:paraId="61457D26" w14:textId="77777777" w:rsidR="002811B3" w:rsidRPr="00B8078E" w:rsidRDefault="002811B3" w:rsidP="002811B3">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1DEFF22" w14:textId="77777777" w:rsidR="002811B3" w:rsidRPr="00B8078E" w:rsidRDefault="002811B3" w:rsidP="002811B3">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22EE9D82" w14:textId="77777777" w:rsidR="002811B3" w:rsidRPr="00B8078E" w:rsidRDefault="002811B3" w:rsidP="002811B3">
      <w:pPr>
        <w:pStyle w:val="Textonotapie"/>
        <w:ind w:firstLine="708"/>
        <w:jc w:val="both"/>
        <w:rPr>
          <w:rFonts w:ascii="Verdana" w:hAnsi="Verdana"/>
          <w:sz w:val="16"/>
          <w:szCs w:val="16"/>
          <w:lang w:val="es-CO"/>
        </w:rPr>
      </w:pPr>
    </w:p>
  </w:footnote>
  <w:footnote w:id="32">
    <w:p w14:paraId="371D5C1E" w14:textId="77777777" w:rsidR="002811B3" w:rsidRPr="00B8078E" w:rsidRDefault="002811B3" w:rsidP="002811B3">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Exp. 70.313. C.P: Fredy Ibarra Martínez.</w:t>
      </w:r>
    </w:p>
    <w:p w14:paraId="7C63C735" w14:textId="77777777" w:rsidR="002811B3" w:rsidRPr="00B8078E" w:rsidRDefault="002811B3" w:rsidP="002811B3">
      <w:pPr>
        <w:pStyle w:val="Textonotapie"/>
        <w:ind w:firstLine="709"/>
        <w:contextualSpacing/>
        <w:jc w:val="both"/>
        <w:rPr>
          <w:rFonts w:ascii="Verdana" w:hAnsi="Verdana"/>
          <w:sz w:val="16"/>
          <w:szCs w:val="16"/>
          <w:lang w:val="es-CO"/>
        </w:rPr>
      </w:pPr>
    </w:p>
  </w:footnote>
  <w:footnote w:id="33">
    <w:p w14:paraId="1ADE3411" w14:textId="77777777" w:rsidR="002811B3" w:rsidRPr="00B8078E" w:rsidRDefault="002811B3" w:rsidP="002811B3">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598034BC" w14:textId="77777777" w:rsidR="002811B3" w:rsidRDefault="002811B3" w:rsidP="002811B3">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2673F1DB" w14:textId="77777777" w:rsidR="002811B3" w:rsidRPr="009D0D83" w:rsidRDefault="002811B3" w:rsidP="002811B3">
      <w:pPr>
        <w:pStyle w:val="Textonotapie"/>
        <w:ind w:firstLine="709"/>
        <w:contextualSpacing/>
        <w:jc w:val="both"/>
        <w:rPr>
          <w:rFonts w:ascii="Verdana" w:hAnsi="Verdana"/>
          <w:sz w:val="16"/>
          <w:szCs w:val="16"/>
          <w:lang w:val="es-CO"/>
        </w:rPr>
      </w:pPr>
    </w:p>
  </w:footnote>
  <w:footnote w:id="34">
    <w:p w14:paraId="49122511" w14:textId="77777777" w:rsidR="002811B3" w:rsidRDefault="002811B3" w:rsidP="002811B3">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5824D417" w14:textId="77777777" w:rsidR="002811B3" w:rsidRPr="00852048" w:rsidRDefault="002811B3" w:rsidP="002811B3">
      <w:pPr>
        <w:spacing w:after="0" w:line="240" w:lineRule="auto"/>
        <w:ind w:firstLine="709"/>
        <w:contextualSpacing/>
        <w:jc w:val="both"/>
        <w:rPr>
          <w:rFonts w:ascii="Verdana" w:eastAsia="Times New Roman" w:hAnsi="Verdana" w:cs="Times New Roman"/>
          <w:sz w:val="16"/>
          <w:szCs w:val="16"/>
          <w:lang w:eastAsia="es-ES"/>
        </w:rPr>
      </w:pPr>
    </w:p>
  </w:footnote>
  <w:footnote w:id="35">
    <w:p w14:paraId="17E96B2C" w14:textId="77777777" w:rsidR="002811B3" w:rsidRDefault="002811B3" w:rsidP="002811B3">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70C13147" w14:textId="77777777" w:rsidR="002811B3" w:rsidRPr="00B8078E" w:rsidRDefault="002811B3" w:rsidP="002811B3">
      <w:pPr>
        <w:pStyle w:val="Textonotapie"/>
        <w:ind w:firstLine="709"/>
        <w:jc w:val="both"/>
        <w:rPr>
          <w:rFonts w:ascii="Verdana" w:hAnsi="Verdana"/>
          <w:sz w:val="16"/>
          <w:szCs w:val="16"/>
          <w:lang w:val="es-CO"/>
        </w:rPr>
      </w:pPr>
    </w:p>
  </w:footnote>
  <w:footnote w:id="36">
    <w:p w14:paraId="3E8C56C5" w14:textId="77777777" w:rsidR="002811B3" w:rsidRPr="00DD5A6D" w:rsidRDefault="002811B3" w:rsidP="002811B3">
      <w:pPr>
        <w:pStyle w:val="Textonotapie"/>
        <w:ind w:firstLine="709"/>
        <w:rPr>
          <w:rFonts w:ascii="Verdana" w:hAnsi="Verdana"/>
          <w:sz w:val="16"/>
          <w:szCs w:val="16"/>
          <w:lang w:val="es-ES"/>
        </w:rPr>
      </w:pPr>
      <w:r w:rsidRPr="00DD5A6D">
        <w:rPr>
          <w:rStyle w:val="Refdenotaalpie"/>
          <w:rFonts w:ascii="Verdana" w:hAnsi="Verdana"/>
          <w:sz w:val="16"/>
          <w:szCs w:val="16"/>
        </w:rPr>
        <w:footnoteRef/>
      </w:r>
      <w:r w:rsidRPr="00DD5A6D">
        <w:rPr>
          <w:rFonts w:ascii="Verdana" w:hAnsi="Verdana"/>
          <w:sz w:val="16"/>
          <w:szCs w:val="16"/>
        </w:rPr>
        <w:t xml:space="preserve"> </w:t>
      </w:r>
      <w:r w:rsidRPr="00DD5A6D">
        <w:rPr>
          <w:rFonts w:ascii="Verdana" w:hAnsi="Verdana"/>
          <w:sz w:val="16"/>
          <w:szCs w:val="16"/>
          <w:lang w:val="es-ES"/>
        </w:rPr>
        <w:t xml:space="preserve">Agencia Nacional de Contratación Pública – Colombia Compra Eficiente. Circular Externa No. 006 del 25 de septiembre de 2025. Disponible en </w:t>
      </w:r>
      <w:hyperlink r:id="rId3" w:history="1">
        <w:r w:rsidRPr="00DD5A6D">
          <w:rPr>
            <w:rStyle w:val="Hipervnculo"/>
            <w:rFonts w:ascii="Verdana" w:hAnsi="Verdana"/>
            <w:sz w:val="16"/>
            <w:szCs w:val="16"/>
            <w:lang w:val="es-CO"/>
          </w:rPr>
          <w:t>006-de-2025-Circular-Externa-L996-ajustado-comentarios-BM-BID-Rev-ARSC-V3.d-1.pdf</w:t>
        </w:r>
      </w:hyperlink>
    </w:p>
  </w:footnote>
  <w:footnote w:id="37">
    <w:p w14:paraId="28E9A5A6" w14:textId="77777777" w:rsidR="002811B3" w:rsidRPr="00B96E97" w:rsidRDefault="002811B3" w:rsidP="002811B3">
      <w:pPr>
        <w:pStyle w:val="Textonotapie"/>
        <w:ind w:firstLine="708"/>
        <w:jc w:val="both"/>
        <w:rPr>
          <w:rFonts w:ascii="Verdana" w:hAnsi="Verdana"/>
          <w:sz w:val="16"/>
          <w:szCs w:val="16"/>
          <w:lang w:val="es-ES"/>
        </w:rPr>
      </w:pPr>
      <w:r w:rsidRPr="00B96E97">
        <w:rPr>
          <w:rStyle w:val="Refdenotaalpie"/>
          <w:rFonts w:ascii="Verdana" w:hAnsi="Verdana"/>
          <w:sz w:val="16"/>
          <w:szCs w:val="16"/>
        </w:rPr>
        <w:footnoteRef/>
      </w:r>
      <w:r w:rsidRPr="00B96E97">
        <w:rPr>
          <w:rFonts w:ascii="Verdana" w:hAnsi="Verdana"/>
          <w:sz w:val="16"/>
          <w:szCs w:val="16"/>
        </w:rPr>
        <w:t xml:space="preserve"> </w:t>
      </w:r>
      <w:r w:rsidRPr="00B96E97">
        <w:rPr>
          <w:rFonts w:ascii="Verdana" w:hAnsi="Verdana"/>
          <w:sz w:val="16"/>
          <w:szCs w:val="16"/>
          <w:lang w:val="es-ES"/>
        </w:rPr>
        <w:t xml:space="preserve">Ley 60 de 1993 y Ley 715 de 2001. </w:t>
      </w:r>
    </w:p>
    <w:p w14:paraId="2684A23B" w14:textId="77777777" w:rsidR="002811B3" w:rsidRPr="00B96E97" w:rsidRDefault="002811B3" w:rsidP="002811B3">
      <w:pPr>
        <w:pStyle w:val="Textonotapie"/>
        <w:jc w:val="both"/>
        <w:rPr>
          <w:rFonts w:ascii="Verdana" w:hAnsi="Verdana"/>
          <w:sz w:val="16"/>
          <w:szCs w:val="16"/>
          <w:lang w:val="es-ES"/>
        </w:rPr>
      </w:pPr>
    </w:p>
  </w:footnote>
  <w:footnote w:id="38">
    <w:p w14:paraId="49506B81" w14:textId="77777777" w:rsidR="002811B3" w:rsidRPr="00104FCB" w:rsidRDefault="002811B3" w:rsidP="002811B3">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39">
    <w:p w14:paraId="2D3904F0" w14:textId="77777777" w:rsidR="002811B3" w:rsidRPr="00104FCB" w:rsidRDefault="002811B3" w:rsidP="002811B3">
      <w:pPr>
        <w:pStyle w:val="Textonotapie"/>
        <w:ind w:firstLine="708"/>
        <w:jc w:val="both"/>
        <w:rPr>
          <w:rFonts w:ascii="Verdana" w:hAnsi="Verdana" w:cs="Arial"/>
          <w:color w:val="000000" w:themeColor="text1"/>
          <w:sz w:val="16"/>
          <w:szCs w:val="16"/>
        </w:rPr>
      </w:pPr>
    </w:p>
    <w:p w14:paraId="7F7F3331" w14:textId="77777777" w:rsidR="002811B3" w:rsidRPr="00104FCB" w:rsidRDefault="002811B3" w:rsidP="002811B3">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Style w:val="Refdenotaalpie"/>
          <w:rFonts w:ascii="Verdana" w:hAnsi="Verdana" w:cs="Arial"/>
          <w:color w:val="000000" w:themeColor="text1"/>
          <w:sz w:val="16"/>
          <w:szCs w:val="16"/>
        </w:rPr>
        <w:t xml:space="preserve"> </w:t>
      </w:r>
      <w:r w:rsidRPr="00104FCB">
        <w:rPr>
          <w:rFonts w:ascii="Verdana" w:hAnsi="Verdana" w:cs="Arial"/>
          <w:color w:val="000000" w:themeColor="text1"/>
          <w:sz w:val="16"/>
          <w:szCs w:val="16"/>
        </w:rPr>
        <w:t>Consejo de Estado. Sección Tercera Subsección A. Sentencia del 12 de octubre de 2017. Radicación número: 68001-23-31-000-2005-03845-01(51.634).</w:t>
      </w:r>
      <w:r>
        <w:rPr>
          <w:rFonts w:ascii="Verdana" w:hAnsi="Verdana" w:cs="Arial"/>
          <w:color w:val="000000" w:themeColor="text1"/>
          <w:sz w:val="16"/>
          <w:szCs w:val="16"/>
        </w:rPr>
        <w:t xml:space="preserve"> </w:t>
      </w:r>
      <w:r w:rsidRPr="00104FCB">
        <w:rPr>
          <w:rFonts w:ascii="Verdana" w:hAnsi="Verdana" w:cs="Arial"/>
          <w:color w:val="000000" w:themeColor="text1"/>
          <w:sz w:val="16"/>
          <w:szCs w:val="16"/>
        </w:rPr>
        <w:t>C</w:t>
      </w:r>
      <w:r>
        <w:rPr>
          <w:rFonts w:ascii="Verdana" w:hAnsi="Verdana" w:cs="Arial"/>
          <w:color w:val="000000" w:themeColor="text1"/>
          <w:sz w:val="16"/>
          <w:szCs w:val="16"/>
        </w:rPr>
        <w:t>.</w:t>
      </w:r>
      <w:r w:rsidRPr="00104FCB">
        <w:rPr>
          <w:rFonts w:ascii="Verdana" w:hAnsi="Verdana" w:cs="Arial"/>
          <w:color w:val="000000" w:themeColor="text1"/>
          <w:sz w:val="16"/>
          <w:szCs w:val="16"/>
        </w:rPr>
        <w:t>P: Marta Nubia Velásquez Rico</w:t>
      </w:r>
      <w:r>
        <w:rPr>
          <w:rFonts w:ascii="Verdana" w:hAnsi="Verdana" w:cs="Arial"/>
          <w:color w:val="000000" w:themeColor="text1"/>
          <w:sz w:val="16"/>
          <w:szCs w:val="16"/>
        </w:rPr>
        <w:t>.</w:t>
      </w:r>
    </w:p>
    <w:p w14:paraId="4DDBCDFE" w14:textId="77777777" w:rsidR="002811B3" w:rsidRPr="00104FCB" w:rsidRDefault="002811B3" w:rsidP="002811B3">
      <w:pPr>
        <w:pStyle w:val="Textonotapie"/>
        <w:ind w:firstLine="708"/>
        <w:jc w:val="both"/>
        <w:rPr>
          <w:rFonts w:ascii="Verdana" w:hAnsi="Verdana" w:cs="Arial"/>
          <w:color w:val="000000" w:themeColor="text1"/>
          <w:sz w:val="16"/>
          <w:szCs w:val="16"/>
        </w:rPr>
      </w:pPr>
    </w:p>
  </w:footnote>
  <w:footnote w:id="40">
    <w:p w14:paraId="047A7865" w14:textId="77777777" w:rsidR="002811B3" w:rsidRPr="00104FCB" w:rsidRDefault="002811B3" w:rsidP="002811B3">
      <w:pPr>
        <w:pStyle w:val="NormalWeb"/>
        <w:spacing w:before="0" w:beforeAutospacing="0" w:after="0" w:afterAutospacing="0"/>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Style w:val="Refdenotaalpie"/>
          <w:rFonts w:ascii="Verdana" w:hAnsi="Verdana" w:cs="Arial"/>
          <w:sz w:val="16"/>
          <w:szCs w:val="16"/>
        </w:rPr>
        <w:t xml:space="preserve"> </w:t>
      </w:r>
      <w:r w:rsidRPr="00104FCB">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69697C7A" w14:textId="77777777" w:rsidR="002811B3" w:rsidRPr="00104FCB" w:rsidRDefault="002811B3" w:rsidP="002811B3">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0ED94098" w14:textId="77777777" w:rsidR="002811B3" w:rsidRPr="00104FCB" w:rsidRDefault="002811B3" w:rsidP="002811B3">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3F8FCCC1" w14:textId="77777777" w:rsidR="002811B3" w:rsidRPr="00104FCB" w:rsidRDefault="002811B3" w:rsidP="002811B3">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w:t>
      </w:r>
      <w:r w:rsidRPr="00104FCB">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21" w:name="_Hlk61284561"/>
      <w:r w:rsidRPr="00104FCB">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21"/>
      <w:r w:rsidRPr="00104FCB">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104FCB">
        <w:rPr>
          <w:rFonts w:ascii="Verdana" w:hAnsi="Verdana" w:cs="Arial"/>
          <w:sz w:val="16"/>
          <w:szCs w:val="16"/>
          <w:lang w:eastAsia="es-CO"/>
        </w:rPr>
        <w:t>.</w:t>
      </w:r>
    </w:p>
    <w:p w14:paraId="0AAED12C" w14:textId="77777777" w:rsidR="002811B3" w:rsidRPr="00104FCB" w:rsidRDefault="002811B3" w:rsidP="002811B3">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(Énfasis fuera de texto).</w:t>
      </w:r>
    </w:p>
    <w:p w14:paraId="6F9B3C47" w14:textId="77777777" w:rsidR="002811B3" w:rsidRPr="00104FCB" w:rsidRDefault="002811B3" w:rsidP="002811B3">
      <w:pPr>
        <w:spacing w:after="0" w:line="240" w:lineRule="auto"/>
        <w:ind w:firstLine="708"/>
        <w:jc w:val="both"/>
        <w:rPr>
          <w:rFonts w:ascii="Verdana" w:hAnsi="Verdana" w:cs="Arial"/>
          <w:sz w:val="16"/>
          <w:szCs w:val="16"/>
          <w:lang w:eastAsia="es-CO"/>
        </w:rPr>
      </w:pPr>
    </w:p>
    <w:p w14:paraId="316471F2" w14:textId="77777777" w:rsidR="002811B3" w:rsidRPr="00104FCB" w:rsidRDefault="002811B3" w:rsidP="002811B3">
      <w:pPr>
        <w:pStyle w:val="Textonotapie"/>
        <w:ind w:firstLine="708"/>
        <w:jc w:val="both"/>
        <w:rPr>
          <w:rFonts w:ascii="Verdana" w:hAnsi="Verdana" w:cs="Arial"/>
          <w:color w:val="000000" w:themeColor="text1"/>
          <w:sz w:val="16"/>
          <w:szCs w:val="16"/>
        </w:rPr>
      </w:pPr>
      <w:r w:rsidRPr="00104FCB">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41">
    <w:p w14:paraId="75741805" w14:textId="77777777" w:rsidR="002811B3" w:rsidRPr="00104FCB" w:rsidRDefault="002811B3" w:rsidP="002811B3">
      <w:pPr>
        <w:pStyle w:val="Textonotapie"/>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w:t>
      </w:r>
      <w:r>
        <w:rPr>
          <w:rFonts w:ascii="Verdana" w:hAnsi="Verdana" w:cs="Arial"/>
          <w:sz w:val="16"/>
          <w:szCs w:val="16"/>
        </w:rPr>
        <w:t>d</w:t>
      </w:r>
      <w:r w:rsidRPr="00104FCB">
        <w:rPr>
          <w:rFonts w:ascii="Verdana" w:hAnsi="Verdana" w:cs="Arial"/>
          <w:sz w:val="16"/>
          <w:szCs w:val="16"/>
        </w:rPr>
        <w:t>e Estado. Sala de Consulta y Servicio Civil. Concepto del 27 de abril de 2006. Rad:1712. C.P. Enrique José Arboleda Perdomo.</w:t>
      </w:r>
    </w:p>
    <w:p w14:paraId="01CA601F" w14:textId="77777777" w:rsidR="002811B3" w:rsidRPr="00104FCB" w:rsidRDefault="002811B3" w:rsidP="002811B3">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5216673">
    <w:abstractNumId w:val="7"/>
  </w:num>
  <w:num w:numId="2" w16cid:durableId="589894709">
    <w:abstractNumId w:val="2"/>
  </w:num>
  <w:num w:numId="3" w16cid:durableId="2032342677">
    <w:abstractNumId w:val="5"/>
  </w:num>
  <w:num w:numId="4" w16cid:durableId="90171435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63365559">
    <w:abstractNumId w:val="2"/>
  </w:num>
  <w:num w:numId="6" w16cid:durableId="155460606">
    <w:abstractNumId w:val="14"/>
  </w:num>
  <w:num w:numId="7" w16cid:durableId="1031077903">
    <w:abstractNumId w:val="6"/>
  </w:num>
  <w:num w:numId="8" w16cid:durableId="1311711525">
    <w:abstractNumId w:val="13"/>
  </w:num>
  <w:num w:numId="9" w16cid:durableId="229854228">
    <w:abstractNumId w:val="8"/>
  </w:num>
  <w:num w:numId="10" w16cid:durableId="1766807516">
    <w:abstractNumId w:val="12"/>
  </w:num>
  <w:num w:numId="11" w16cid:durableId="1715305656">
    <w:abstractNumId w:val="9"/>
  </w:num>
  <w:num w:numId="12" w16cid:durableId="183128538">
    <w:abstractNumId w:val="1"/>
  </w:num>
  <w:num w:numId="13" w16cid:durableId="1148597930">
    <w:abstractNumId w:val="4"/>
  </w:num>
  <w:num w:numId="14" w16cid:durableId="1354304104">
    <w:abstractNumId w:val="15"/>
  </w:num>
  <w:num w:numId="15" w16cid:durableId="238177971">
    <w:abstractNumId w:val="11"/>
  </w:num>
  <w:num w:numId="16" w16cid:durableId="1203976921">
    <w:abstractNumId w:val="0"/>
  </w:num>
  <w:num w:numId="17" w16cid:durableId="878661902">
    <w:abstractNumId w:val="3"/>
  </w:num>
  <w:num w:numId="18" w16cid:durableId="19997722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1548"/>
    <w:rsid w:val="000D0334"/>
    <w:rsid w:val="000D5DA7"/>
    <w:rsid w:val="000F6486"/>
    <w:rsid w:val="00116940"/>
    <w:rsid w:val="00125105"/>
    <w:rsid w:val="00127233"/>
    <w:rsid w:val="0015699B"/>
    <w:rsid w:val="00174EAC"/>
    <w:rsid w:val="001A33BF"/>
    <w:rsid w:val="001B5DA5"/>
    <w:rsid w:val="001E4177"/>
    <w:rsid w:val="001F0B24"/>
    <w:rsid w:val="001F7DC6"/>
    <w:rsid w:val="0022400B"/>
    <w:rsid w:val="002421BB"/>
    <w:rsid w:val="0025796E"/>
    <w:rsid w:val="002707A2"/>
    <w:rsid w:val="002811B3"/>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633"/>
    <w:rsid w:val="003E4F80"/>
    <w:rsid w:val="003E6439"/>
    <w:rsid w:val="003F3941"/>
    <w:rsid w:val="00406575"/>
    <w:rsid w:val="00414C74"/>
    <w:rsid w:val="0042722E"/>
    <w:rsid w:val="0044528D"/>
    <w:rsid w:val="004500D4"/>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437E"/>
    <w:rsid w:val="00706C16"/>
    <w:rsid w:val="007340C3"/>
    <w:rsid w:val="0075235A"/>
    <w:rsid w:val="00756841"/>
    <w:rsid w:val="007649AB"/>
    <w:rsid w:val="00771D0C"/>
    <w:rsid w:val="0077240D"/>
    <w:rsid w:val="007833AC"/>
    <w:rsid w:val="007B268C"/>
    <w:rsid w:val="007B7171"/>
    <w:rsid w:val="007C0C0F"/>
    <w:rsid w:val="007C3DC2"/>
    <w:rsid w:val="007E5497"/>
    <w:rsid w:val="00806F5F"/>
    <w:rsid w:val="00820278"/>
    <w:rsid w:val="008258C9"/>
    <w:rsid w:val="00844AE9"/>
    <w:rsid w:val="00867F95"/>
    <w:rsid w:val="008737B6"/>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474"/>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88"/>
    <w:rsid w:val="00C925AC"/>
    <w:rsid w:val="00CB6357"/>
    <w:rsid w:val="00CC1B26"/>
    <w:rsid w:val="00D17495"/>
    <w:rsid w:val="00D361FD"/>
    <w:rsid w:val="00D423A2"/>
    <w:rsid w:val="00D44E26"/>
    <w:rsid w:val="00D520D8"/>
    <w:rsid w:val="00D63AC2"/>
    <w:rsid w:val="00D714BC"/>
    <w:rsid w:val="00D7383B"/>
    <w:rsid w:val="00D7788A"/>
    <w:rsid w:val="00D81AE4"/>
    <w:rsid w:val="00DA231B"/>
    <w:rsid w:val="00DC39FC"/>
    <w:rsid w:val="00DF5254"/>
    <w:rsid w:val="00E02524"/>
    <w:rsid w:val="00E16408"/>
    <w:rsid w:val="00E20894"/>
    <w:rsid w:val="00E245AB"/>
    <w:rsid w:val="00E2764C"/>
    <w:rsid w:val="00E27F2E"/>
    <w:rsid w:val="00E45817"/>
    <w:rsid w:val="00E468A6"/>
    <w:rsid w:val="00E50AFE"/>
    <w:rsid w:val="00E55B1C"/>
    <w:rsid w:val="00E75C92"/>
    <w:rsid w:val="00E771DC"/>
    <w:rsid w:val="00E8772A"/>
    <w:rsid w:val="00E90F6B"/>
    <w:rsid w:val="00E92C27"/>
    <w:rsid w:val="00EA0E3D"/>
    <w:rsid w:val="00EB69E8"/>
    <w:rsid w:val="00EC38A7"/>
    <w:rsid w:val="00EE1AA8"/>
    <w:rsid w:val="00F23FEA"/>
    <w:rsid w:val="00F31EDC"/>
    <w:rsid w:val="00F462B3"/>
    <w:rsid w:val="00F5664F"/>
    <w:rsid w:val="00F6495D"/>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811B3"/>
    <w:rPr>
      <w:rFonts w:ascii="Geomanist Light" w:hAnsi="Geomanist Light"/>
      <w:lang w:val="es-ES"/>
    </w:rPr>
  </w:style>
  <w:style w:type="paragraph" w:customStyle="1" w:styleId="Appelnotedebasde">
    <w:name w:val="Appel note de bas de..."/>
    <w:basedOn w:val="Normal"/>
    <w:link w:val="Refdenotaalpie"/>
    <w:uiPriority w:val="99"/>
    <w:rsid w:val="002811B3"/>
    <w:pPr>
      <w:spacing w:line="240" w:lineRule="exact"/>
    </w:pPr>
    <w:rPr>
      <w:vertAlign w:val="superscript"/>
    </w:rPr>
  </w:style>
  <w:style w:type="character" w:customStyle="1" w:styleId="NormalWebCar">
    <w:name w:val="Normal (Web) Car"/>
    <w:link w:val="NormalWeb"/>
    <w:uiPriority w:val="99"/>
    <w:locked/>
    <w:rsid w:val="002811B3"/>
    <w:rPr>
      <w:rFonts w:ascii="Times New Roman" w:eastAsia="Times New Roman" w:hAnsi="Times New Roman" w:cs="Times New Roman"/>
      <w:sz w:val="24"/>
      <w:szCs w:val="24"/>
      <w:lang w:eastAsia="es-CO"/>
    </w:rPr>
  </w:style>
  <w:style w:type="character" w:customStyle="1" w:styleId="baj">
    <w:name w:val="b_aj"/>
    <w:basedOn w:val="Fuentedeprrafopredeter"/>
    <w:rsid w:val="002811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onobulabitar@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5/09/006-de-2025-Circular-Externa-L996-ajustado-comentarios-BM-BID-Rev-ARSC-V3.d-1.pdf" TargetMode="External"/><Relationship Id="rId2" Type="http://schemas.openxmlformats.org/officeDocument/2006/relationships/hyperlink" Target="https://relatoria.colombiacompra.gov.co/conceptos/c-048-de-2026/"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4E0254-6E39-4002-95A6-CD505B28CAC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41</Pages>
  <Words>13720</Words>
  <Characters>75464</Characters>
  <Application>Microsoft Office Word</Application>
  <DocSecurity>0</DocSecurity>
  <Lines>628</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2026-05-22T16:13:00Z</dcterms:created>
  <dcterms:modified xsi:type="dcterms:W3CDTF">2026-05-23T14:14:00Z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