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594233" w14:textId="77777777" w:rsidR="004453A9" w:rsidRPr="001B3C5D" w:rsidRDefault="004453A9" w:rsidP="004453A9">
      <w:pPr>
        <w:spacing w:after="0" w:line="240" w:lineRule="auto"/>
        <w:jc w:val="both"/>
        <w:rPr>
          <w:rFonts w:ascii="Verdana" w:eastAsia="Calibri" w:hAnsi="Verdana" w:cs="Arial"/>
          <w:b/>
          <w:bCs/>
          <w:lang w:val="es-ES_tradnl"/>
        </w:rPr>
      </w:pPr>
      <w:bookmarkStart w:id="0" w:name="_Hlk143780582"/>
      <w:r w:rsidRPr="001B3C5D">
        <w:rPr>
          <w:rFonts w:ascii="Verdana" w:eastAsia="Calibri" w:hAnsi="Verdana" w:cs="Arial"/>
          <w:b/>
          <w:bCs/>
          <w:lang w:val="es-ES_tradnl"/>
        </w:rPr>
        <w:t xml:space="preserve">DOCUMENTOS TIPO – Fundamento normativo – Obligatoriedad </w:t>
      </w:r>
    </w:p>
    <w:p w14:paraId="4D4DA64C" w14:textId="77777777" w:rsidR="004453A9" w:rsidRPr="001B3C5D" w:rsidRDefault="004453A9" w:rsidP="004453A9">
      <w:pPr>
        <w:spacing w:after="0" w:line="240" w:lineRule="auto"/>
        <w:jc w:val="both"/>
        <w:rPr>
          <w:rFonts w:ascii="Verdana" w:eastAsia="Calibri" w:hAnsi="Verdana" w:cs="Arial"/>
          <w:b/>
          <w:bCs/>
          <w:sz w:val="20"/>
          <w:szCs w:val="20"/>
          <w:lang w:val="es-ES_tradnl"/>
        </w:rPr>
      </w:pPr>
    </w:p>
    <w:p w14:paraId="36F1908B" w14:textId="77777777" w:rsidR="004453A9" w:rsidRPr="001B3C5D" w:rsidRDefault="004453A9" w:rsidP="004453A9">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El 22 de julio de 2020 se sancionó la Ley 2022, por medio de la cual se modificó el artículo 4 de la Ley 1882 de 2018.</w:t>
      </w:r>
    </w:p>
    <w:p w14:paraId="6C4303A7" w14:textId="77777777" w:rsidR="004453A9" w:rsidRPr="001B3C5D" w:rsidRDefault="004453A9" w:rsidP="004453A9">
      <w:pPr>
        <w:spacing w:after="0" w:line="240" w:lineRule="auto"/>
        <w:jc w:val="both"/>
        <w:rPr>
          <w:rFonts w:ascii="Verdana" w:eastAsia="Aptos" w:hAnsi="Verdana" w:cs="Times New Roman"/>
          <w:kern w:val="2"/>
          <w:sz w:val="20"/>
          <w:szCs w:val="20"/>
          <w:lang w:val="es-MX"/>
          <w14:ligatures w14:val="standardContextual"/>
        </w:rPr>
      </w:pPr>
    </w:p>
    <w:p w14:paraId="61F011BB" w14:textId="77777777" w:rsidR="004453A9" w:rsidRPr="001B3C5D" w:rsidRDefault="004453A9" w:rsidP="004453A9">
      <w:pPr>
        <w:spacing w:after="0" w:line="240" w:lineRule="auto"/>
        <w:jc w:val="both"/>
        <w:rPr>
          <w:rFonts w:ascii="Verdana" w:eastAsia="Aptos" w:hAnsi="Verdana" w:cs="Times New Roman"/>
          <w:kern w:val="2"/>
          <w:sz w:val="20"/>
          <w:szCs w:val="20"/>
          <w:lang w:val="es-MX"/>
          <w14:ligatures w14:val="standardContextual"/>
        </w:rPr>
      </w:pPr>
      <w:r w:rsidRPr="001B3C5D">
        <w:rPr>
          <w:rFonts w:ascii="Verdana" w:eastAsia="Aptos" w:hAnsi="Verdana" w:cs="Times New Roman"/>
          <w:kern w:val="2"/>
          <w:sz w:val="20"/>
          <w:szCs w:val="20"/>
          <w:lang w:val="es-MX"/>
          <w14:ligatures w14:val="standardContextual"/>
        </w:rPr>
        <w:t>(…)</w:t>
      </w:r>
    </w:p>
    <w:p w14:paraId="51E51AB5" w14:textId="77777777" w:rsidR="004453A9" w:rsidRPr="001B3C5D" w:rsidRDefault="004453A9" w:rsidP="004453A9">
      <w:pPr>
        <w:spacing w:after="0" w:line="240" w:lineRule="auto"/>
        <w:jc w:val="both"/>
        <w:rPr>
          <w:rFonts w:ascii="Verdana" w:eastAsia="Calibri" w:hAnsi="Verdana" w:cs="Arial"/>
          <w:b/>
          <w:bCs/>
          <w:sz w:val="20"/>
          <w:szCs w:val="20"/>
          <w:lang w:val="es-ES_tradnl"/>
        </w:rPr>
      </w:pPr>
    </w:p>
    <w:p w14:paraId="5D3E818C" w14:textId="77777777" w:rsidR="004453A9" w:rsidRPr="001B3C5D" w:rsidRDefault="004453A9" w:rsidP="004453A9">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Aptos" w:hAnsi="Verdana" w:cs="Times New Roman"/>
          <w:kern w:val="2"/>
          <w:sz w:val="20"/>
          <w:szCs w:val="20"/>
          <w:lang w:val="es-ES"/>
          <w14:ligatures w14:val="standardContextual"/>
        </w:rPr>
        <w:t xml:space="preserve">La norma </w:t>
      </w:r>
      <w:r w:rsidRPr="001B3C5D">
        <w:rPr>
          <w:rFonts w:ascii="Verdana" w:eastAsia="Calibri" w:hAnsi="Verdana" w:cs="Arial"/>
          <w:color w:val="000000"/>
          <w:sz w:val="20"/>
          <w:szCs w:val="2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1FCB200" w14:textId="77777777" w:rsidR="004453A9" w:rsidRPr="001B3C5D" w:rsidRDefault="004453A9" w:rsidP="004453A9">
      <w:pPr>
        <w:spacing w:after="0" w:line="240" w:lineRule="auto"/>
        <w:jc w:val="both"/>
        <w:rPr>
          <w:rFonts w:ascii="Aptos" w:eastAsia="Aptos" w:hAnsi="Aptos" w:cs="Times New Roman"/>
          <w:sz w:val="20"/>
          <w:szCs w:val="20"/>
          <w:lang w:val="es-MX"/>
        </w:rPr>
      </w:pPr>
    </w:p>
    <w:p w14:paraId="1645712F" w14:textId="77777777" w:rsidR="004453A9" w:rsidRPr="001B3C5D" w:rsidRDefault="004453A9" w:rsidP="004453A9">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DOCUMENTOS TIPO – Adopción – Implementación</w:t>
      </w:r>
    </w:p>
    <w:p w14:paraId="0113E0FC" w14:textId="77777777" w:rsidR="004453A9" w:rsidRPr="001B3C5D" w:rsidRDefault="004453A9" w:rsidP="004453A9">
      <w:pPr>
        <w:spacing w:after="0" w:line="240" w:lineRule="auto"/>
        <w:jc w:val="both"/>
        <w:rPr>
          <w:rFonts w:ascii="Verdana" w:eastAsia="Calibri" w:hAnsi="Verdana" w:cs="Arial"/>
          <w:color w:val="000000"/>
          <w:kern w:val="2"/>
          <w:sz w:val="20"/>
          <w:szCs w:val="20"/>
          <w:lang w:val="es-MX"/>
          <w14:ligatures w14:val="standardContextual"/>
        </w:rPr>
      </w:pPr>
    </w:p>
    <w:p w14:paraId="72AACCE8" w14:textId="77777777" w:rsidR="004453A9" w:rsidRPr="001B3C5D" w:rsidRDefault="004453A9" w:rsidP="004453A9">
      <w:pPr>
        <w:spacing w:after="0" w:line="240" w:lineRule="auto"/>
        <w:jc w:val="both"/>
        <w:rPr>
          <w:rFonts w:ascii="Verdana" w:eastAsia="Calibri" w:hAnsi="Verdana" w:cs="Arial"/>
          <w:color w:val="000000"/>
          <w:kern w:val="2"/>
          <w:sz w:val="20"/>
          <w:szCs w:val="20"/>
          <w:lang w:val="es-MX"/>
          <w14:ligatures w14:val="standardContextual"/>
        </w:rPr>
      </w:pPr>
      <w:r w:rsidRPr="001B3C5D">
        <w:rPr>
          <w:rFonts w:ascii="Verdana" w:eastAsia="Calibri" w:hAnsi="Verdana" w:cs="Arial"/>
          <w:color w:val="000000"/>
          <w:sz w:val="20"/>
          <w:szCs w:val="20"/>
          <w:lang w:val="es-MX"/>
        </w:rPr>
        <w:t xml:space="preserve">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1D83C450" w14:textId="77777777" w:rsidR="004453A9" w:rsidRPr="001B3C5D" w:rsidRDefault="004453A9" w:rsidP="004453A9">
      <w:pPr>
        <w:spacing w:after="0" w:line="240" w:lineRule="auto"/>
        <w:jc w:val="both"/>
        <w:rPr>
          <w:rFonts w:ascii="Verdana" w:eastAsia="Calibri" w:hAnsi="Verdana" w:cs="Arial"/>
          <w:color w:val="000000"/>
          <w:sz w:val="20"/>
          <w:szCs w:val="20"/>
          <w:lang w:val="es-MX"/>
        </w:rPr>
      </w:pPr>
    </w:p>
    <w:p w14:paraId="630F02F5" w14:textId="77777777" w:rsidR="004453A9" w:rsidRPr="001B3C5D" w:rsidRDefault="004453A9" w:rsidP="004453A9">
      <w:pPr>
        <w:spacing w:after="0" w:line="240" w:lineRule="auto"/>
        <w:jc w:val="both"/>
        <w:rPr>
          <w:rFonts w:ascii="Verdana" w:eastAsia="Calibri" w:hAnsi="Verdana" w:cs="Arial"/>
          <w:b/>
          <w:bCs/>
          <w:kern w:val="2"/>
          <w:lang w:val="es-ES_tradnl"/>
          <w14:ligatures w14:val="standardContextual"/>
        </w:rPr>
      </w:pPr>
      <w:r w:rsidRPr="001B3C5D">
        <w:rPr>
          <w:rFonts w:ascii="Verdana" w:eastAsia="Calibri" w:hAnsi="Verdana" w:cs="Arial"/>
          <w:b/>
          <w:bCs/>
          <w:lang w:val="es-ES_tradnl"/>
        </w:rPr>
        <w:t>DOCUMENTOS TIPO – Sectores – Vigentes</w:t>
      </w:r>
    </w:p>
    <w:p w14:paraId="51F15F4C" w14:textId="77777777" w:rsidR="004453A9" w:rsidRPr="001B3C5D" w:rsidRDefault="004453A9" w:rsidP="004453A9">
      <w:pPr>
        <w:spacing w:after="0" w:line="276" w:lineRule="auto"/>
        <w:jc w:val="both"/>
        <w:rPr>
          <w:rFonts w:ascii="Verdana" w:eastAsia="Calibri" w:hAnsi="Verdana" w:cs="Arial"/>
          <w:b/>
          <w:bCs/>
          <w:color w:val="000000"/>
          <w:lang w:eastAsia="es-ES_tradnl"/>
        </w:rPr>
      </w:pPr>
    </w:p>
    <w:p w14:paraId="33E1CED6" w14:textId="77777777" w:rsidR="004453A9" w:rsidRPr="001B3C5D" w:rsidRDefault="004453A9" w:rsidP="004453A9">
      <w:pPr>
        <w:tabs>
          <w:tab w:val="left" w:pos="709"/>
        </w:tabs>
        <w:spacing w:after="0" w:line="240" w:lineRule="auto"/>
        <w:jc w:val="both"/>
        <w:rPr>
          <w:rFonts w:ascii="Verdana" w:eastAsia="Calibri" w:hAnsi="Verdana" w:cs="Arial"/>
          <w:sz w:val="20"/>
          <w:szCs w:val="20"/>
          <w:lang w:val="es-ES"/>
        </w:rPr>
      </w:pPr>
      <w:r w:rsidRPr="001B3C5D">
        <w:rPr>
          <w:rFonts w:ascii="Verdana" w:eastAsia="Calibri" w:hAnsi="Verdana" w:cs="Arial"/>
          <w:sz w:val="20"/>
          <w:szCs w:val="20"/>
          <w:lang w:val="es-ES"/>
        </w:rPr>
        <w:t>(…) esta Agencia 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8C8B49E" w14:textId="77777777" w:rsidR="004453A9" w:rsidRPr="001B3C5D" w:rsidRDefault="004453A9" w:rsidP="004453A9">
      <w:pPr>
        <w:spacing w:after="0" w:line="276" w:lineRule="auto"/>
        <w:jc w:val="both"/>
        <w:rPr>
          <w:rFonts w:ascii="Verdana" w:eastAsia="Calibri" w:hAnsi="Verdana" w:cs="Arial"/>
          <w:color w:val="000000"/>
          <w:kern w:val="2"/>
          <w:sz w:val="20"/>
          <w:szCs w:val="20"/>
          <w:lang w:val="es-MX"/>
          <w14:ligatures w14:val="standardContextual"/>
        </w:rPr>
      </w:pPr>
    </w:p>
    <w:p w14:paraId="46C5F92D" w14:textId="77777777" w:rsidR="004453A9" w:rsidRPr="001B3C5D" w:rsidRDefault="004453A9" w:rsidP="004453A9">
      <w:pPr>
        <w:spacing w:after="0" w:line="240" w:lineRule="auto"/>
        <w:jc w:val="both"/>
        <w:rPr>
          <w:rFonts w:ascii="Verdana" w:eastAsia="Calibri" w:hAnsi="Verdana" w:cs="Arial"/>
          <w:b/>
          <w:bCs/>
          <w:kern w:val="2"/>
          <w:sz w:val="24"/>
          <w:szCs w:val="24"/>
          <w:lang w:val="es-ES_tradnl"/>
          <w14:ligatures w14:val="standardContextual"/>
        </w:rPr>
      </w:pPr>
      <w:r w:rsidRPr="001B3C5D">
        <w:rPr>
          <w:rFonts w:ascii="Verdana" w:eastAsia="Calibri" w:hAnsi="Verdana" w:cs="Arial"/>
          <w:b/>
          <w:bCs/>
          <w:lang w:val="es-ES_tradnl"/>
        </w:rPr>
        <w:t xml:space="preserve">DOCUMENTOS TIPO – Colombia Compra Eficiente – Facultad de estandarización </w:t>
      </w:r>
    </w:p>
    <w:p w14:paraId="33F4FCDA" w14:textId="77777777" w:rsidR="004453A9" w:rsidRPr="001B3C5D" w:rsidRDefault="004453A9" w:rsidP="004453A9">
      <w:pPr>
        <w:spacing w:after="0" w:line="276" w:lineRule="auto"/>
        <w:jc w:val="both"/>
        <w:rPr>
          <w:rFonts w:ascii="Verdana" w:eastAsia="Calibri" w:hAnsi="Verdana" w:cs="Arial"/>
          <w:b/>
          <w:bCs/>
          <w:kern w:val="2"/>
          <w:sz w:val="24"/>
          <w:szCs w:val="24"/>
          <w:lang w:val="es-ES_tradnl"/>
          <w14:ligatures w14:val="standardContextual"/>
        </w:rPr>
      </w:pPr>
    </w:p>
    <w:p w14:paraId="5895184D" w14:textId="77777777" w:rsidR="004453A9" w:rsidRPr="001B3C5D" w:rsidRDefault="004453A9" w:rsidP="004453A9">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Times New Roman" w:hAnsi="Verdana" w:cs="Arial"/>
          <w:kern w:val="2"/>
          <w:sz w:val="20"/>
          <w:szCs w:val="20"/>
          <w:lang w:eastAsia="es-ES"/>
          <w14:ligatures w14:val="standardContextual"/>
        </w:rPr>
        <w:t>Conforme con lo anterior, m</w:t>
      </w:r>
      <w:r w:rsidRPr="001B3C5D">
        <w:rPr>
          <w:rFonts w:ascii="Verdana" w:eastAsia="Times New Roman" w:hAnsi="Verdana" w:cs="Arial"/>
          <w:sz w:val="20"/>
          <w:szCs w:val="20"/>
          <w:lang w:eastAsia="es-ES"/>
        </w:rPr>
        <w:t xml:space="preserve">ediante una interpretación sistemática de la normativa y jurisprudencia citada es posible concluir que </w:t>
      </w:r>
      <w:r w:rsidRPr="001B3C5D">
        <w:rPr>
          <w:rFonts w:ascii="Verdana" w:eastAsia="Times New Roman" w:hAnsi="Verdana" w:cs="Arial"/>
          <w:kern w:val="2"/>
          <w:sz w:val="20"/>
          <w:szCs w:val="20"/>
          <w:lang w:eastAsia="es-ES"/>
          <w14:ligatures w14:val="standardContextual"/>
        </w:rPr>
        <w:t>la</w:t>
      </w:r>
      <w:r w:rsidRPr="001B3C5D">
        <w:rPr>
          <w:rFonts w:ascii="Verdana" w:eastAsia="Times New Roman" w:hAnsi="Verdana" w:cs="Arial"/>
          <w:sz w:val="20"/>
          <w:szCs w:val="20"/>
          <w:lang w:eastAsia="es-ES"/>
        </w:rPr>
        <w:t xml:space="preserve"> Agencia</w:t>
      </w:r>
      <w:r w:rsidRPr="001B3C5D">
        <w:rPr>
          <w:rFonts w:ascii="Verdana" w:eastAsia="Times New Roman" w:hAnsi="Verdana" w:cs="Arial"/>
          <w:kern w:val="2"/>
          <w:sz w:val="20"/>
          <w:szCs w:val="20"/>
          <w:lang w:eastAsia="es-ES"/>
          <w14:ligatures w14:val="standardContextual"/>
        </w:rPr>
        <w:t xml:space="preserve"> Nacional de Contratación Pública – Colombia Compra Eficiente</w:t>
      </w:r>
      <w:r w:rsidRPr="001B3C5D">
        <w:rPr>
          <w:rFonts w:ascii="Verdana" w:eastAsia="Times New Roman" w:hAnsi="Verdana" w:cs="Arial"/>
          <w:sz w:val="20"/>
          <w:szCs w:val="20"/>
          <w:lang w:eastAsia="es-ES"/>
        </w:rPr>
        <w:t xml:space="preserve"> tiene facultad de regulación de la actividad contractual pública, lo que implica la potestad para expedir normas de carácter técnico subordinadas </w:t>
      </w:r>
      <w:r w:rsidRPr="001B3C5D">
        <w:rPr>
          <w:rFonts w:ascii="Verdana" w:eastAsia="Times New Roman" w:hAnsi="Verdana" w:cs="Arial"/>
          <w:sz w:val="20"/>
          <w:szCs w:val="20"/>
          <w:lang w:eastAsia="es-ES"/>
        </w:rPr>
        <w:lastRenderedPageBreak/>
        <w:t xml:space="preserve">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6AD22B65" w14:textId="77777777" w:rsidR="004453A9" w:rsidRPr="001B3C5D" w:rsidRDefault="004453A9" w:rsidP="004453A9">
      <w:pPr>
        <w:tabs>
          <w:tab w:val="center" w:pos="4419"/>
          <w:tab w:val="right" w:pos="8838"/>
        </w:tabs>
        <w:spacing w:after="0" w:line="240" w:lineRule="auto"/>
        <w:jc w:val="both"/>
        <w:rPr>
          <w:rFonts w:ascii="Verdana" w:eastAsia="MS Mincho" w:hAnsi="Verdana" w:cs="Arial"/>
          <w:sz w:val="20"/>
          <w:szCs w:val="20"/>
          <w:lang w:eastAsia="es-CO"/>
        </w:rPr>
      </w:pPr>
    </w:p>
    <w:p w14:paraId="1BD7B156" w14:textId="77777777" w:rsidR="004453A9" w:rsidRPr="001B3C5D" w:rsidRDefault="004453A9" w:rsidP="004453A9">
      <w:pPr>
        <w:tabs>
          <w:tab w:val="center" w:pos="4419"/>
          <w:tab w:val="right" w:pos="8838"/>
        </w:tabs>
        <w:spacing w:after="0" w:line="240" w:lineRule="auto"/>
        <w:jc w:val="both"/>
        <w:rPr>
          <w:rFonts w:ascii="Verdana" w:eastAsia="Times New Roman" w:hAnsi="Verdana" w:cs="Arial"/>
          <w:kern w:val="2"/>
          <w:sz w:val="20"/>
          <w:szCs w:val="20"/>
          <w:lang w:eastAsia="es-ES"/>
          <w14:ligatures w14:val="standardContextual"/>
        </w:rPr>
      </w:pPr>
      <w:r w:rsidRPr="001B3C5D">
        <w:rPr>
          <w:rFonts w:ascii="Verdana" w:eastAsia="MS Mincho" w:hAnsi="Verdana" w:cs="Arial"/>
          <w:sz w:val="20"/>
          <w:szCs w:val="20"/>
          <w:lang w:eastAsia="es-CO"/>
        </w:rPr>
        <w:t>I</w:t>
      </w:r>
      <w:r w:rsidRPr="001B3C5D">
        <w:rPr>
          <w:rFonts w:ascii="Verdana" w:eastAsia="Times New Roman" w:hAnsi="Verdana" w:cs="Arial"/>
          <w:sz w:val="20"/>
          <w:szCs w:val="20"/>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3CBAFC98" w14:textId="77777777" w:rsidR="004453A9" w:rsidRPr="001B3C5D" w:rsidRDefault="004453A9" w:rsidP="004453A9">
      <w:pPr>
        <w:spacing w:after="0" w:line="276" w:lineRule="auto"/>
        <w:jc w:val="both"/>
        <w:rPr>
          <w:rFonts w:ascii="Verdana" w:eastAsia="Calibri" w:hAnsi="Verdana" w:cs="Arial"/>
          <w:b/>
          <w:bCs/>
          <w:highlight w:val="yellow"/>
          <w:lang w:val="es-ES_tradnl"/>
        </w:rPr>
      </w:pPr>
    </w:p>
    <w:p w14:paraId="6C793094" w14:textId="77777777" w:rsidR="004453A9" w:rsidRPr="001B3C5D" w:rsidRDefault="004453A9" w:rsidP="004453A9">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DOCUMENTOS TIPO – Inalterabilidad – Alcance</w:t>
      </w:r>
    </w:p>
    <w:p w14:paraId="0049840C" w14:textId="77777777" w:rsidR="004453A9" w:rsidRPr="001B3C5D" w:rsidRDefault="004453A9" w:rsidP="004453A9">
      <w:pPr>
        <w:spacing w:after="0" w:line="240" w:lineRule="auto"/>
        <w:rPr>
          <w:rFonts w:ascii="Verdana" w:eastAsia="Calibri" w:hAnsi="Verdana" w:cs="Times New Roman"/>
          <w:b/>
          <w:bCs/>
          <w:lang w:val="es-ES"/>
        </w:rPr>
      </w:pPr>
    </w:p>
    <w:p w14:paraId="1F5B7197" w14:textId="77777777" w:rsidR="004453A9" w:rsidRPr="001B3C5D" w:rsidRDefault="004453A9" w:rsidP="004453A9">
      <w:pPr>
        <w:tabs>
          <w:tab w:val="center" w:pos="4419"/>
          <w:tab w:val="right" w:pos="8838"/>
        </w:tabs>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sz w:val="20"/>
          <w:szCs w:val="20"/>
          <w:lang w:val="es-ES"/>
        </w:rPr>
        <w:t>Documentos del Proceso</w:t>
      </w:r>
      <w:r w:rsidRPr="001B3C5D">
        <w:rPr>
          <w:rFonts w:ascii="Verdana" w:eastAsia="Calibri" w:hAnsi="Verdana" w:cs="Arial"/>
          <w:color w:val="000000"/>
          <w:sz w:val="20"/>
          <w:szCs w:val="2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2216E4C" w14:textId="77777777" w:rsidR="004453A9" w:rsidRPr="001B3C5D" w:rsidRDefault="004453A9" w:rsidP="004453A9">
      <w:pPr>
        <w:tabs>
          <w:tab w:val="center" w:pos="4419"/>
          <w:tab w:val="right" w:pos="8838"/>
        </w:tabs>
        <w:spacing w:after="0" w:line="240" w:lineRule="auto"/>
        <w:jc w:val="both"/>
        <w:rPr>
          <w:rFonts w:ascii="Verdana" w:eastAsia="Calibri" w:hAnsi="Verdana" w:cs="Arial"/>
          <w:color w:val="000000"/>
          <w:sz w:val="20"/>
          <w:szCs w:val="20"/>
          <w:lang w:val="es-ES"/>
        </w:rPr>
      </w:pPr>
    </w:p>
    <w:p w14:paraId="27912391" w14:textId="77777777" w:rsidR="004453A9" w:rsidRPr="001B3C5D" w:rsidRDefault="004453A9" w:rsidP="004453A9">
      <w:pPr>
        <w:spacing w:after="0" w:line="240" w:lineRule="auto"/>
        <w:jc w:val="both"/>
        <w:rPr>
          <w:rFonts w:ascii="Verdana" w:eastAsia="Calibri" w:hAnsi="Verdana" w:cs="Arial"/>
          <w:sz w:val="20"/>
          <w:szCs w:val="20"/>
          <w:lang w:val="es-ES_tradnl"/>
        </w:rPr>
      </w:pPr>
      <w:r w:rsidRPr="001B3C5D">
        <w:rPr>
          <w:rFonts w:ascii="Verdana" w:eastAsia="Calibri" w:hAnsi="Verdana" w:cs="Arial"/>
          <w:sz w:val="20"/>
          <w:szCs w:val="20"/>
          <w:lang w:val="es-ES_tradnl"/>
        </w:rPr>
        <w:t>(…)</w:t>
      </w:r>
    </w:p>
    <w:p w14:paraId="060E2FDF" w14:textId="77777777" w:rsidR="004453A9" w:rsidRPr="001B3C5D" w:rsidRDefault="004453A9" w:rsidP="004453A9">
      <w:pPr>
        <w:spacing w:after="0" w:line="240" w:lineRule="auto"/>
        <w:jc w:val="both"/>
        <w:rPr>
          <w:rFonts w:ascii="Verdana" w:eastAsia="Calibri" w:hAnsi="Verdana" w:cs="Arial"/>
          <w:sz w:val="20"/>
          <w:szCs w:val="20"/>
          <w:lang w:val="es-ES_tradnl"/>
        </w:rPr>
      </w:pPr>
    </w:p>
    <w:p w14:paraId="694F2858" w14:textId="77777777" w:rsidR="004453A9" w:rsidRPr="001B3C5D" w:rsidRDefault="004453A9" w:rsidP="004453A9">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 Si las autoridades pudiesen agregar, eliminar o modificar todos y cada uno de los aspectos contenidos en los pliegos tipo, estos documentos, llanamente, no podrían ser llamados pliegos tipo. </w:t>
      </w:r>
    </w:p>
    <w:p w14:paraId="1CCBA9DD" w14:textId="77777777" w:rsidR="004453A9" w:rsidRPr="001B3C5D" w:rsidRDefault="004453A9" w:rsidP="004453A9">
      <w:pPr>
        <w:spacing w:after="0" w:line="240" w:lineRule="auto"/>
        <w:jc w:val="both"/>
        <w:rPr>
          <w:rFonts w:ascii="Verdana" w:eastAsia="Calibri" w:hAnsi="Verdana" w:cs="Arial"/>
          <w:color w:val="000000"/>
          <w:sz w:val="20"/>
          <w:szCs w:val="20"/>
          <w:lang w:val="es-ES"/>
        </w:rPr>
      </w:pPr>
    </w:p>
    <w:p w14:paraId="4C403A5B" w14:textId="77777777" w:rsidR="004453A9" w:rsidRPr="001B3C5D" w:rsidRDefault="004453A9" w:rsidP="004453A9">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w:t>
      </w:r>
      <w:r w:rsidRPr="001B3C5D">
        <w:rPr>
          <w:rFonts w:ascii="Verdana" w:eastAsia="Calibri" w:hAnsi="Verdana" w:cs="Arial"/>
          <w:color w:val="000000"/>
          <w:sz w:val="20"/>
          <w:szCs w:val="20"/>
          <w:lang w:val="es-ES"/>
        </w:rPr>
        <w:lastRenderedPageBreak/>
        <w:t xml:space="preserve">interpretativos incorrectos que se buscó erradicar con la introducción de la herramienta analizada. </w:t>
      </w:r>
    </w:p>
    <w:p w14:paraId="570BA24E" w14:textId="77777777" w:rsidR="004453A9" w:rsidRPr="001B3C5D" w:rsidRDefault="004453A9" w:rsidP="004453A9">
      <w:pPr>
        <w:spacing w:after="0" w:line="240" w:lineRule="auto"/>
        <w:jc w:val="both"/>
        <w:rPr>
          <w:rFonts w:ascii="Verdana" w:eastAsia="Calibri" w:hAnsi="Verdana" w:cs="Arial"/>
          <w:color w:val="000000"/>
          <w:sz w:val="20"/>
          <w:szCs w:val="20"/>
          <w:lang w:val="es-ES"/>
        </w:rPr>
      </w:pPr>
    </w:p>
    <w:p w14:paraId="745E5DBA" w14:textId="77777777" w:rsidR="004453A9" w:rsidRPr="001B3C5D" w:rsidRDefault="004453A9" w:rsidP="004453A9">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color w:val="000000"/>
          <w:sz w:val="20"/>
          <w:szCs w:val="20"/>
          <w:lang w:val="es-ES"/>
        </w:rPr>
        <w:t>(…)</w:t>
      </w:r>
    </w:p>
    <w:p w14:paraId="633EAF24" w14:textId="77777777" w:rsidR="004453A9" w:rsidRPr="001B3C5D" w:rsidRDefault="004453A9" w:rsidP="004453A9">
      <w:pPr>
        <w:spacing w:after="0" w:line="240" w:lineRule="auto"/>
        <w:jc w:val="both"/>
        <w:rPr>
          <w:rFonts w:ascii="Verdana" w:eastAsia="Calibri" w:hAnsi="Verdana" w:cs="Arial"/>
          <w:color w:val="000000"/>
          <w:sz w:val="20"/>
          <w:szCs w:val="20"/>
          <w:lang w:val="es-ES"/>
        </w:rPr>
      </w:pPr>
    </w:p>
    <w:p w14:paraId="76D1DA9B" w14:textId="77777777" w:rsidR="004453A9" w:rsidRPr="001B3C5D" w:rsidRDefault="004453A9" w:rsidP="004453A9">
      <w:pPr>
        <w:spacing w:after="0" w:line="240" w:lineRule="auto"/>
        <w:jc w:val="both"/>
        <w:rPr>
          <w:rFonts w:ascii="Verdana" w:eastAsia="Calibri" w:hAnsi="Verdana" w:cs="Arial"/>
          <w:color w:val="000000"/>
          <w:sz w:val="20"/>
          <w:szCs w:val="20"/>
          <w:lang w:val="es-ES"/>
        </w:rPr>
      </w:pPr>
      <w:r w:rsidRPr="001B3C5D">
        <w:rPr>
          <w:rFonts w:ascii="Verdana" w:eastAsia="Calibri" w:hAnsi="Verdana" w:cs="Arial"/>
          <w:sz w:val="20"/>
          <w:szCs w:val="20"/>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sz w:val="20"/>
          <w:szCs w:val="20"/>
        </w:rPr>
        <w:t>–[</w:t>
      </w:r>
      <w:r w:rsidRPr="001B3C5D">
        <w:rPr>
          <w:rFonts w:ascii="Verdana" w:eastAsia="Aptos" w:hAnsi="Verdana" w:cs="Arial"/>
          <w:sz w:val="20"/>
          <w:szCs w:val="20"/>
          <w:highlight w:val="lightGray"/>
        </w:rPr>
        <w:t>texto de ejemplo</w:t>
      </w:r>
      <w:r w:rsidRPr="001B3C5D">
        <w:rPr>
          <w:rFonts w:ascii="Verdana" w:eastAsia="Aptos" w:hAnsi="Verdana" w:cs="Arial"/>
          <w:sz w:val="20"/>
          <w:szCs w:val="20"/>
        </w:rPr>
        <w:t xml:space="preserve">]– </w:t>
      </w:r>
      <w:r w:rsidRPr="001B3C5D">
        <w:rPr>
          <w:rFonts w:ascii="Verdana" w:eastAsia="Calibri" w:hAnsi="Verdana" w:cs="Arial"/>
          <w:sz w:val="20"/>
          <w:szCs w:val="20"/>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BBC670A" w14:textId="77777777" w:rsidR="004453A9" w:rsidRPr="001B3C5D" w:rsidRDefault="004453A9" w:rsidP="004453A9">
      <w:pPr>
        <w:spacing w:after="0" w:line="240" w:lineRule="auto"/>
        <w:rPr>
          <w:rFonts w:ascii="Verdana" w:eastAsia="Calibri" w:hAnsi="Verdana" w:cs="Times New Roman"/>
          <w:b/>
          <w:bCs/>
          <w:lang w:val="es-ES"/>
        </w:rPr>
      </w:pPr>
    </w:p>
    <w:p w14:paraId="35C9D8DA" w14:textId="77777777" w:rsidR="004453A9" w:rsidRPr="001B3C5D" w:rsidRDefault="004453A9" w:rsidP="004453A9">
      <w:pPr>
        <w:spacing w:after="0" w:line="240" w:lineRule="auto"/>
        <w:rPr>
          <w:rFonts w:ascii="Verdana" w:eastAsia="Calibri" w:hAnsi="Verdana" w:cs="Times New Roman"/>
          <w:b/>
          <w:bCs/>
          <w:lang w:val="es-ES"/>
        </w:rPr>
      </w:pPr>
      <w:r w:rsidRPr="001B3C5D">
        <w:rPr>
          <w:rFonts w:ascii="Verdana" w:eastAsia="Calibri" w:hAnsi="Verdana" w:cs="Times New Roman"/>
          <w:b/>
          <w:bCs/>
          <w:lang w:val="es-ES"/>
        </w:rPr>
        <w:t>DECRETO 287 DE 2026 – Incidencia – Documentos tipo</w:t>
      </w:r>
    </w:p>
    <w:p w14:paraId="1B910488" w14:textId="77777777" w:rsidR="004453A9" w:rsidRPr="001B3C5D" w:rsidRDefault="004453A9" w:rsidP="004453A9">
      <w:pPr>
        <w:spacing w:after="0" w:line="240" w:lineRule="auto"/>
        <w:rPr>
          <w:rFonts w:ascii="Verdana" w:eastAsia="Calibri" w:hAnsi="Verdana" w:cs="Times New Roman"/>
          <w:b/>
          <w:bCs/>
          <w:lang w:val="es-ES"/>
        </w:rPr>
      </w:pPr>
    </w:p>
    <w:p w14:paraId="25678703"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0FB33B03"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9EB890D" w14:textId="77777777" w:rsidR="004453A9" w:rsidRPr="001B3C5D" w:rsidRDefault="004453A9" w:rsidP="004453A9">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Selección abreviada de menor cuantía – Concurso de méritos – Requisitos habilitantes</w:t>
      </w:r>
    </w:p>
    <w:p w14:paraId="0BF5A2F3"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978F4FB"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de tal manera que se eliminen barreras de entrada injustificadas sin comprometer la idoneidad del contratista, en aplicación del principio de igualdad material.</w:t>
      </w:r>
    </w:p>
    <w:p w14:paraId="605B1D92"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28A4275" w14:textId="77777777" w:rsidR="004453A9" w:rsidRPr="001B3C5D" w:rsidRDefault="004453A9" w:rsidP="004453A9">
      <w:pPr>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DECRETO 287 DE 2026 – Documentos tipo – Licitación Pública – Concurso de méritos – Factores de evaluación</w:t>
      </w:r>
    </w:p>
    <w:p w14:paraId="2D2442DE"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lang w:val="es-ES"/>
          <w14:ligatures w14:val="standardContextual"/>
        </w:rPr>
      </w:pPr>
    </w:p>
    <w:p w14:paraId="6326199C"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47B16324"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B354460" w14:textId="77777777" w:rsidR="004453A9" w:rsidRPr="001B3C5D" w:rsidRDefault="004453A9" w:rsidP="004453A9">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DECRETO 287 DE 2026 – Documentos tipo – Ejecución contractual </w:t>
      </w:r>
    </w:p>
    <w:p w14:paraId="458D1115"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FD5365C"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41933832"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7DFA8A9"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6A5634B5"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830F161" w14:textId="77777777" w:rsidR="004453A9" w:rsidRPr="001B3C5D" w:rsidRDefault="004453A9" w:rsidP="004453A9">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w:t>
      </w:r>
    </w:p>
    <w:p w14:paraId="58A8BFBF"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CD0F45A"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573B0519"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0E3F7936"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Permitir que cada entidad introduzca ajustes a los documentos tipo para dar aplicación </w:t>
      </w:r>
      <w:r w:rsidRPr="001B3C5D">
        <w:rPr>
          <w:rFonts w:ascii="Verdana" w:eastAsia="Aptos" w:hAnsi="Verdana" w:cs="Times New Roman"/>
          <w:kern w:val="2"/>
          <w:sz w:val="20"/>
          <w:szCs w:val="20"/>
          <w14:ligatures w14:val="standardContextual"/>
        </w:rPr>
        <w:lastRenderedPageBreak/>
        <w:t>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3419BA06"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5A0254DD"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w:t>
      </w:r>
    </w:p>
    <w:p w14:paraId="267E9693"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61635BA5"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Adicionalmente, el propio Decreto 287 de 2026 en el artículo 1 que modifica el artículo 2.2.1.2.4.2.7.8 al Decreto 1082 de 2015,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 lo cual confirma que la operatividad de dichas disposiciones en el ámbito de los documentos tipo depende de su desarrollo por parte de esta entidad. </w:t>
      </w:r>
    </w:p>
    <w:p w14:paraId="3BBFA567"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42393FCD"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29517E14"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65EA09B" w14:textId="77777777" w:rsidR="004453A9" w:rsidRPr="001B3C5D" w:rsidRDefault="004453A9" w:rsidP="004453A9">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 xml:space="preserve">DOCUMENTOS TIPO – Decreto 287 de 2026 – Aplicación – Necesidad de modificación – Agencia Nacional de Contratación Pública </w:t>
      </w:r>
    </w:p>
    <w:p w14:paraId="67441DE4"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3B3BADE3"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7B8AB32E"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308E420"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w:t>
      </w:r>
      <w:r w:rsidRPr="001B3C5D">
        <w:rPr>
          <w:rFonts w:ascii="Verdana" w:eastAsia="Aptos" w:hAnsi="Verdana" w:cs="Times New Roman"/>
          <w:kern w:val="2"/>
          <w:sz w:val="20"/>
          <w:szCs w:val="20"/>
          <w14:ligatures w14:val="standardContextual"/>
        </w:rPr>
        <w:lastRenderedPageBreak/>
        <w:t xml:space="preserve">normativa y la efectividad de las medidas orientadas a la inclusión de las personas con discapacidad en el sistema de compras y contratación pública. </w:t>
      </w:r>
    </w:p>
    <w:p w14:paraId="57244F34"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26FF64D8" w14:textId="77777777" w:rsidR="004453A9" w:rsidRPr="001B3C5D" w:rsidRDefault="004453A9" w:rsidP="004453A9">
      <w:pPr>
        <w:widowControl w:val="0"/>
        <w:autoSpaceDE w:val="0"/>
        <w:autoSpaceDN w:val="0"/>
        <w:spacing w:after="0" w:line="240" w:lineRule="auto"/>
        <w:jc w:val="both"/>
        <w:rPr>
          <w:rFonts w:ascii="Verdana" w:eastAsia="Calibri" w:hAnsi="Verdana" w:cs="Times New Roman"/>
          <w:b/>
          <w:bCs/>
          <w:lang w:val="es-ES"/>
        </w:rPr>
      </w:pPr>
      <w:r w:rsidRPr="001B3C5D">
        <w:rPr>
          <w:rFonts w:ascii="Verdana" w:eastAsia="Calibri" w:hAnsi="Verdana" w:cs="Times New Roman"/>
          <w:b/>
          <w:bCs/>
          <w:lang w:val="es-ES"/>
        </w:rPr>
        <w:t>DOCUMENTOS TIPO – Decreto 287 de 2026 – Modificación – Colombia Compra Eficiente</w:t>
      </w:r>
    </w:p>
    <w:p w14:paraId="2ECC7BFA"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75BCE090"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69FFDDBC"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p>
    <w:p w14:paraId="17EA6505" w14:textId="77777777" w:rsidR="004453A9" w:rsidRPr="001B3C5D" w:rsidRDefault="004453A9" w:rsidP="004453A9">
      <w:pPr>
        <w:widowControl w:val="0"/>
        <w:autoSpaceDE w:val="0"/>
        <w:autoSpaceDN w:val="0"/>
        <w:spacing w:after="0" w:line="240" w:lineRule="auto"/>
        <w:jc w:val="both"/>
        <w:rPr>
          <w:rFonts w:ascii="Verdana" w:eastAsia="Aptos" w:hAnsi="Verdana" w:cs="Times New Roman"/>
          <w:kern w:val="2"/>
          <w:sz w:val="20"/>
          <w:szCs w:val="20"/>
          <w14:ligatures w14:val="standardContextual"/>
        </w:rPr>
      </w:pPr>
      <w:r w:rsidRPr="001B3C5D">
        <w:rPr>
          <w:rFonts w:ascii="Verdana" w:eastAsia="Aptos" w:hAnsi="Verdana" w:cs="Times New Roman"/>
          <w:kern w:val="2"/>
          <w:sz w:val="20"/>
          <w:szCs w:val="20"/>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p w14:paraId="16321DA0" w14:textId="77777777" w:rsidR="004453A9" w:rsidRPr="001B3C5D" w:rsidRDefault="004453A9" w:rsidP="004453A9">
      <w:pPr>
        <w:spacing w:after="0" w:line="240" w:lineRule="auto"/>
        <w:rPr>
          <w:rFonts w:ascii="Verdana" w:eastAsia="Calibri" w:hAnsi="Verdana" w:cs="Times New Roman"/>
          <w:b/>
          <w:bCs/>
          <w:lang w:val="es-ES"/>
        </w:rPr>
      </w:pPr>
    </w:p>
    <w:p w14:paraId="1BA74E6E" w14:textId="77777777" w:rsidR="004453A9" w:rsidRPr="001B3C5D" w:rsidRDefault="004453A9" w:rsidP="004453A9">
      <w:pPr>
        <w:spacing w:after="0" w:line="240" w:lineRule="auto"/>
        <w:rPr>
          <w:rFonts w:ascii="Verdana" w:eastAsia="Calibri" w:hAnsi="Verdana" w:cs="Times New Roman"/>
          <w:b/>
          <w:bCs/>
          <w:lang w:val="es-ES"/>
        </w:rPr>
      </w:pPr>
    </w:p>
    <w:p w14:paraId="7C789A7D" w14:textId="77777777" w:rsidR="004453A9" w:rsidRPr="001B3C5D" w:rsidRDefault="004453A9" w:rsidP="004453A9">
      <w:pPr>
        <w:spacing w:after="0" w:line="240" w:lineRule="auto"/>
        <w:rPr>
          <w:rFonts w:ascii="Verdana" w:eastAsia="Calibri" w:hAnsi="Verdana" w:cs="Times New Roman"/>
          <w:b/>
          <w:bCs/>
          <w:lang w:val="es-ES"/>
        </w:rPr>
      </w:pPr>
    </w:p>
    <w:p w14:paraId="39CBA705" w14:textId="77777777" w:rsidR="004453A9" w:rsidRPr="001B3C5D" w:rsidRDefault="004453A9" w:rsidP="004453A9">
      <w:pPr>
        <w:spacing w:after="0" w:line="240" w:lineRule="auto"/>
        <w:rPr>
          <w:rFonts w:ascii="Verdana" w:eastAsia="Calibri" w:hAnsi="Verdana" w:cs="Times New Roman"/>
          <w:b/>
          <w:bCs/>
          <w:lang w:val="es-ES"/>
        </w:rPr>
      </w:pPr>
    </w:p>
    <w:p w14:paraId="54D33D29" w14:textId="77777777" w:rsidR="004453A9" w:rsidRPr="001B3C5D" w:rsidRDefault="004453A9" w:rsidP="004453A9">
      <w:pPr>
        <w:spacing w:after="0" w:line="240" w:lineRule="auto"/>
        <w:rPr>
          <w:rFonts w:ascii="Verdana" w:eastAsia="Calibri" w:hAnsi="Verdana" w:cs="Times New Roman"/>
          <w:b/>
          <w:bCs/>
          <w:lang w:val="es-ES"/>
        </w:rPr>
      </w:pPr>
    </w:p>
    <w:p w14:paraId="46DE3FA3" w14:textId="77777777" w:rsidR="004453A9" w:rsidRPr="001B3C5D" w:rsidRDefault="004453A9" w:rsidP="004453A9">
      <w:pPr>
        <w:spacing w:after="0" w:line="240" w:lineRule="auto"/>
        <w:rPr>
          <w:rFonts w:ascii="Verdana" w:eastAsia="Calibri" w:hAnsi="Verdana" w:cs="Times New Roman"/>
          <w:b/>
          <w:bCs/>
          <w:lang w:val="es-ES"/>
        </w:rPr>
      </w:pPr>
    </w:p>
    <w:p w14:paraId="573C1FB6" w14:textId="77777777" w:rsidR="004453A9" w:rsidRPr="001B3C5D" w:rsidRDefault="004453A9" w:rsidP="004453A9">
      <w:pPr>
        <w:spacing w:after="0" w:line="240" w:lineRule="auto"/>
        <w:rPr>
          <w:rFonts w:ascii="Verdana" w:eastAsia="Calibri" w:hAnsi="Verdana" w:cs="Times New Roman"/>
          <w:b/>
          <w:bCs/>
          <w:lang w:val="es-ES"/>
        </w:rPr>
      </w:pPr>
    </w:p>
    <w:p w14:paraId="38997E9B" w14:textId="77777777" w:rsidR="004453A9" w:rsidRPr="001B3C5D" w:rsidRDefault="004453A9" w:rsidP="004453A9">
      <w:pPr>
        <w:spacing w:after="0" w:line="240" w:lineRule="auto"/>
        <w:rPr>
          <w:rFonts w:ascii="Verdana" w:eastAsia="Calibri" w:hAnsi="Verdana" w:cs="Times New Roman"/>
          <w:b/>
          <w:bCs/>
          <w:lang w:val="es-ES"/>
        </w:rPr>
      </w:pPr>
    </w:p>
    <w:p w14:paraId="739AD2F4" w14:textId="77777777" w:rsidR="004453A9" w:rsidRPr="001B3C5D" w:rsidRDefault="004453A9" w:rsidP="004453A9">
      <w:pPr>
        <w:spacing w:after="0" w:line="240" w:lineRule="auto"/>
        <w:rPr>
          <w:rFonts w:ascii="Verdana" w:eastAsia="Calibri" w:hAnsi="Verdana" w:cs="Times New Roman"/>
          <w:b/>
          <w:bCs/>
          <w:lang w:val="es-ES"/>
        </w:rPr>
      </w:pPr>
    </w:p>
    <w:p w14:paraId="159BC1E5" w14:textId="77777777" w:rsidR="004453A9" w:rsidRDefault="004453A9" w:rsidP="004453A9">
      <w:pPr>
        <w:rPr>
          <w:rFonts w:ascii="Verdana" w:eastAsia="Calibri" w:hAnsi="Verdana" w:cs="Times New Roman"/>
          <w:b/>
          <w:bCs/>
          <w:lang w:val="es-ES"/>
        </w:rPr>
      </w:pPr>
      <w:r>
        <w:rPr>
          <w:rFonts w:ascii="Verdana" w:eastAsia="Calibri" w:hAnsi="Verdana" w:cs="Times New Roman"/>
          <w:b/>
          <w:bCs/>
          <w:lang w:val="es-ES"/>
        </w:rPr>
        <w:br w:type="page"/>
      </w:r>
    </w:p>
    <w:p w14:paraId="136A2D5C" w14:textId="1BCF8EF8" w:rsidR="004453A9" w:rsidRPr="0041216B" w:rsidRDefault="004453A9" w:rsidP="004453A9">
      <w:pPr>
        <w:tabs>
          <w:tab w:val="left" w:pos="1916"/>
        </w:tabs>
        <w:spacing w:after="0" w:line="278" w:lineRule="auto"/>
        <w:rPr>
          <w:rFonts w:ascii="Verdana" w:eastAsia="Aptos" w:hAnsi="Verdana" w:cs="Times New Roman"/>
          <w:kern w:val="2"/>
          <w14:ligatures w14:val="standardContextual"/>
        </w:rPr>
      </w:pPr>
      <w:r w:rsidRPr="0041216B">
        <w:rPr>
          <w:rFonts w:ascii="Verdana" w:eastAsia="Aptos" w:hAnsi="Verdana" w:cs="Times New Roman"/>
          <w:kern w:val="2"/>
          <w14:ligatures w14:val="standardContextual"/>
        </w:rPr>
        <w:lastRenderedPageBreak/>
        <w:t xml:space="preserve">Bogotá D.C., </w:t>
      </w:r>
      <w:r w:rsidR="00E9631E">
        <w:rPr>
          <w:rFonts w:ascii="Verdana" w:eastAsia="Aptos" w:hAnsi="Verdana" w:cs="Times New Roman"/>
          <w:kern w:val="2"/>
          <w14:ligatures w14:val="standardContextual"/>
        </w:rPr>
        <w:t>25 mayo 2026</w:t>
      </w:r>
    </w:p>
    <w:p w14:paraId="6B5ADA9E" w14:textId="46E97490" w:rsidR="004453A9" w:rsidRDefault="00CE7E07" w:rsidP="004453A9">
      <w:pPr>
        <w:spacing w:after="0" w:line="278" w:lineRule="auto"/>
        <w:rPr>
          <w:rFonts w:ascii="Verdana" w:eastAsia="Aptos" w:hAnsi="Verdana" w:cs="Times New Roman"/>
          <w:kern w:val="2"/>
          <w:sz w:val="24"/>
          <w:szCs w:val="24"/>
          <w14:ligatures w14:val="standardContextual"/>
        </w:rPr>
      </w:pPr>
      <w:r w:rsidRPr="00CE7E07">
        <w:rPr>
          <w:rFonts w:ascii="Verdana" w:eastAsia="Aptos" w:hAnsi="Verdana" w:cs="Times New Roman"/>
          <w:noProof/>
          <w:kern w:val="2"/>
          <w:sz w:val="24"/>
          <w:szCs w:val="24"/>
          <w14:ligatures w14:val="standardContextual"/>
        </w:rPr>
        <w:drawing>
          <wp:anchor distT="0" distB="0" distL="114300" distR="114300" simplePos="0" relativeHeight="251658240" behindDoc="1" locked="0" layoutInCell="1" allowOverlap="1" wp14:anchorId="7FE723D6" wp14:editId="50E76BDD">
            <wp:simplePos x="0" y="0"/>
            <wp:positionH relativeFrom="column">
              <wp:posOffset>2959072</wp:posOffset>
            </wp:positionH>
            <wp:positionV relativeFrom="paragraph">
              <wp:posOffset>202537</wp:posOffset>
            </wp:positionV>
            <wp:extent cx="2464435" cy="681355"/>
            <wp:effectExtent l="0" t="0" r="0" b="4445"/>
            <wp:wrapTight wrapText="bothSides">
              <wp:wrapPolygon edited="0">
                <wp:start x="0" y="0"/>
                <wp:lineTo x="0" y="21137"/>
                <wp:lineTo x="21372" y="21137"/>
                <wp:lineTo x="21372" y="0"/>
                <wp:lineTo x="0" y="0"/>
              </wp:wrapPolygon>
            </wp:wrapTight>
            <wp:docPr id="64021591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4435" cy="6813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81C215" w14:textId="23BDE43B" w:rsidR="004453A9" w:rsidRPr="001B3C5D" w:rsidRDefault="004453A9" w:rsidP="004453A9">
      <w:pPr>
        <w:spacing w:after="0" w:line="278" w:lineRule="auto"/>
        <w:jc w:val="right"/>
        <w:rPr>
          <w:rFonts w:ascii="Verdana" w:eastAsia="Aptos" w:hAnsi="Verdana" w:cs="Times New Roman"/>
          <w:kern w:val="2"/>
          <w:sz w:val="24"/>
          <w:szCs w:val="24"/>
          <w14:ligatures w14:val="standardContextual"/>
        </w:rPr>
      </w:pPr>
    </w:p>
    <w:p w14:paraId="67FF5BA5" w14:textId="77777777" w:rsidR="004453A9" w:rsidRPr="001B3C5D" w:rsidRDefault="004453A9" w:rsidP="004453A9">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p>
    <w:p w14:paraId="4A6BB5BD" w14:textId="77777777" w:rsidR="004453A9" w:rsidRDefault="004453A9" w:rsidP="004453A9">
      <w:pPr>
        <w:spacing w:after="0" w:line="240" w:lineRule="auto"/>
        <w:rPr>
          <w:rFonts w:ascii="Verdana" w:eastAsia="Calibri" w:hAnsi="Verdana" w:cs="Arial"/>
          <w:b/>
          <w:bCs/>
          <w:kern w:val="2"/>
          <w:lang w:val="es-ES" w:eastAsia="es-ES"/>
          <w14:ligatures w14:val="standardContextual"/>
        </w:rPr>
      </w:pPr>
      <w:r>
        <w:rPr>
          <w:rFonts w:ascii="Verdana" w:eastAsia="Calibri" w:hAnsi="Verdana" w:cs="Arial"/>
          <w:b/>
          <w:bCs/>
          <w:kern w:val="2"/>
          <w:lang w:val="es-ES" w:eastAsia="es-ES"/>
          <w14:ligatures w14:val="standardContextual"/>
        </w:rPr>
        <w:t>Robinson Cerquera Manchola</w:t>
      </w:r>
    </w:p>
    <w:p w14:paraId="2127E39C" w14:textId="77777777" w:rsidR="004453A9" w:rsidRDefault="004453A9" w:rsidP="004453A9">
      <w:pPr>
        <w:spacing w:after="0" w:line="240" w:lineRule="auto"/>
        <w:rPr>
          <w:rFonts w:ascii="Verdana" w:eastAsia="Calibri" w:hAnsi="Verdana" w:cs="Arial"/>
          <w:b/>
          <w:bCs/>
          <w:kern w:val="2"/>
          <w:lang w:val="es-ES" w:eastAsia="es-ES"/>
          <w14:ligatures w14:val="standardContextual"/>
        </w:rPr>
      </w:pPr>
      <w:hyperlink r:id="rId8" w:history="1">
        <w:r w:rsidRPr="008D70B9">
          <w:rPr>
            <w:rStyle w:val="Hipervnculo"/>
            <w:rFonts w:ascii="Verdana" w:eastAsia="Calibri" w:hAnsi="Verdana" w:cs="Arial"/>
            <w:b/>
            <w:bCs/>
            <w:kern w:val="2"/>
            <w:lang w:val="es-ES" w:eastAsia="es-ES"/>
            <w14:ligatures w14:val="standardContextual"/>
          </w:rPr>
          <w:t>Ing_rocer@hotmail.com</w:t>
        </w:r>
      </w:hyperlink>
    </w:p>
    <w:p w14:paraId="1253AA3F" w14:textId="77777777" w:rsidR="004453A9" w:rsidRPr="001B3C5D" w:rsidRDefault="004453A9" w:rsidP="004453A9">
      <w:pPr>
        <w:spacing w:after="0" w:line="240" w:lineRule="auto"/>
        <w:rPr>
          <w:rFonts w:ascii="Verdana" w:eastAsia="Calibri" w:hAnsi="Verdana" w:cs="Arial"/>
          <w:lang w:val="es-ES_tradnl" w:eastAsia="es-ES_tradnl"/>
        </w:rPr>
      </w:pPr>
      <w:r w:rsidRPr="001B3C5D">
        <w:rPr>
          <w:rFonts w:ascii="Verdana" w:eastAsia="Calibri" w:hAnsi="Verdana" w:cs="Arial"/>
          <w:kern w:val="2"/>
          <w:lang w:val="es-ES" w:eastAsia="es-ES"/>
          <w14:ligatures w14:val="standardContextual"/>
        </w:rPr>
        <w:t>B</w:t>
      </w:r>
      <w:r>
        <w:rPr>
          <w:rFonts w:ascii="Verdana" w:eastAsia="Calibri" w:hAnsi="Verdana" w:cs="Arial"/>
          <w:kern w:val="2"/>
          <w:lang w:val="es-ES" w:eastAsia="es-ES"/>
          <w14:ligatures w14:val="standardContextual"/>
        </w:rPr>
        <w:t>ogotá D.C.</w:t>
      </w:r>
    </w:p>
    <w:p w14:paraId="2EB6ECCF" w14:textId="77777777" w:rsidR="004453A9" w:rsidRPr="001B3C5D" w:rsidRDefault="004453A9" w:rsidP="004453A9">
      <w:pPr>
        <w:spacing w:after="0" w:line="240" w:lineRule="auto"/>
        <w:rPr>
          <w:rFonts w:ascii="Verdana" w:eastAsia="Calibri" w:hAnsi="Verdana" w:cs="Arial"/>
          <w:b/>
          <w:bCs/>
          <w:lang w:val="es-ES_tradnl" w:eastAsia="es-ES_tradnl"/>
        </w:rPr>
      </w:pPr>
    </w:p>
    <w:tbl>
      <w:tblPr>
        <w:tblStyle w:val="Tablaconcuadrcula1"/>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4453A9" w:rsidRPr="001B3C5D" w14:paraId="467E255B" w14:textId="77777777" w:rsidTr="006F6B37">
        <w:trPr>
          <w:trHeight w:val="229"/>
        </w:trPr>
        <w:tc>
          <w:tcPr>
            <w:tcW w:w="1985" w:type="dxa"/>
          </w:tcPr>
          <w:p w14:paraId="3AA78456" w14:textId="77777777" w:rsidR="004453A9" w:rsidRPr="001B3C5D" w:rsidRDefault="004453A9" w:rsidP="006F6B37">
            <w:pPr>
              <w:jc w:val="both"/>
              <w:rPr>
                <w:rFonts w:ascii="Verdana" w:eastAsia="Calibri" w:hAnsi="Verdana" w:cs="Arial"/>
                <w:b/>
                <w:bCs/>
                <w:lang w:val="es-ES_tradnl" w:eastAsia="es-ES_tradnl"/>
              </w:rPr>
            </w:pPr>
          </w:p>
        </w:tc>
        <w:tc>
          <w:tcPr>
            <w:tcW w:w="6383" w:type="dxa"/>
          </w:tcPr>
          <w:p w14:paraId="478CA77E" w14:textId="77777777" w:rsidR="004453A9" w:rsidRPr="001B3C5D" w:rsidRDefault="004453A9" w:rsidP="006F6B37">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Pr>
                <w:rFonts w:ascii="Verdana" w:eastAsia="Calibri" w:hAnsi="Verdana" w:cs="Arial"/>
                <w:b/>
                <w:bCs/>
                <w:lang w:val="es-ES" w:eastAsia="es-ES"/>
              </w:rPr>
              <w:t>581</w:t>
            </w:r>
            <w:r w:rsidRPr="001B3C5D">
              <w:rPr>
                <w:rFonts w:ascii="Verdana" w:eastAsia="Calibri" w:hAnsi="Verdana" w:cs="Arial"/>
                <w:b/>
                <w:bCs/>
                <w:lang w:val="es-ES" w:eastAsia="es-ES"/>
              </w:rPr>
              <w:t xml:space="preserve"> de 2026</w:t>
            </w:r>
          </w:p>
          <w:p w14:paraId="7A0254DA" w14:textId="77777777" w:rsidR="004453A9" w:rsidRPr="001B3C5D" w:rsidRDefault="004453A9" w:rsidP="006F6B37">
            <w:pPr>
              <w:jc w:val="both"/>
              <w:rPr>
                <w:rFonts w:ascii="Verdana" w:eastAsia="Calibri" w:hAnsi="Verdana" w:cs="Arial"/>
                <w:b/>
                <w:bCs/>
                <w:lang w:val="es-ES" w:eastAsia="es-ES"/>
              </w:rPr>
            </w:pPr>
          </w:p>
        </w:tc>
      </w:tr>
      <w:tr w:rsidR="004453A9" w:rsidRPr="001B3C5D" w14:paraId="2D469FCE" w14:textId="77777777" w:rsidTr="006F6B37">
        <w:trPr>
          <w:trHeight w:val="884"/>
        </w:trPr>
        <w:tc>
          <w:tcPr>
            <w:tcW w:w="1985" w:type="dxa"/>
          </w:tcPr>
          <w:p w14:paraId="706BFF21" w14:textId="77777777" w:rsidR="004453A9" w:rsidRPr="001B3C5D" w:rsidRDefault="004453A9" w:rsidP="006F6B37">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383" w:type="dxa"/>
          </w:tcPr>
          <w:p w14:paraId="7A27847A" w14:textId="77777777" w:rsidR="004453A9" w:rsidRPr="001B3C5D" w:rsidRDefault="004453A9" w:rsidP="006F6B37">
            <w:pPr>
              <w:widowControl w:val="0"/>
              <w:autoSpaceDE w:val="0"/>
              <w:autoSpaceDN w:val="0"/>
              <w:jc w:val="both"/>
              <w:rPr>
                <w:rFonts w:ascii="Verdana" w:eastAsia="Calibri" w:hAnsi="Verdana" w:cs="Times New Roman"/>
                <w:lang w:val="es-ES"/>
              </w:rPr>
            </w:pPr>
            <w:r w:rsidRPr="001B3C5D">
              <w:rPr>
                <w:rFonts w:ascii="Verdana" w:eastAsia="Calibri" w:hAnsi="Verdana" w:cs="Arial"/>
                <w:lang w:val="es-ES_tradnl"/>
              </w:rPr>
              <w:t xml:space="preserve">DOCUMENTOS TIPO – Fundamento normativo – Obligatoriedad / DOCUMENTOS TIPO – Adopción – Implementación / DOCUMENTOS TIPO – Sectores – Vigentes / DOCUMENTOS TIPO – Colombia Compra Eficiente – Facultad de estandarización / </w:t>
            </w:r>
            <w:r w:rsidRPr="001B3C5D">
              <w:rPr>
                <w:rFonts w:ascii="Verdana" w:eastAsia="Calibri" w:hAnsi="Verdana" w:cs="Times New Roman"/>
                <w:lang w:val="es-ES"/>
              </w:rPr>
              <w:t>DOCUMENTOS TIPO – Inalterabilidad – Alcance / DECRETO 287 DE 2026 – Incidencia – Documentos tipo / DECRETO 287 DE 2026 – Documentos tipo – Licitación Pública – Selección abreviada de menor cuantía – Concurso de méritos – Requisitos habilitantes / DECRETO 287 DE 2026 – Documentos tipo – Licitación Pública – Concurso de méritos – Factores de evaluación / DECRETO 287 DE 2026 – Documentos tipo – Ejecución contractual / DOCUMENTOS TIPO – Decreto 287 de 2026 – Aplicación / DOCUMENTOS TIPO – Decreto 287 de 2026 – Aplicación – Necesidad de modificación – Agencia Nacional de Contratación Pública / DOCUMENTOS TIPO – Decreto 287 de 2026 – Modificación – Colombia Compra Eficiente</w:t>
            </w:r>
          </w:p>
          <w:p w14:paraId="59124750" w14:textId="77777777" w:rsidR="004453A9" w:rsidRPr="001B3C5D" w:rsidRDefault="004453A9" w:rsidP="006F6B37">
            <w:pPr>
              <w:widowControl w:val="0"/>
              <w:autoSpaceDE w:val="0"/>
              <w:autoSpaceDN w:val="0"/>
              <w:jc w:val="both"/>
              <w:rPr>
                <w:rFonts w:ascii="Verdana" w:eastAsia="Calibri" w:hAnsi="Verdana" w:cs="Times New Roman"/>
                <w:highlight w:val="yellow"/>
                <w:lang w:val="es-ES"/>
              </w:rPr>
            </w:pPr>
          </w:p>
        </w:tc>
      </w:tr>
      <w:tr w:rsidR="004453A9" w:rsidRPr="001B3C5D" w14:paraId="5017176F" w14:textId="77777777" w:rsidTr="006F6B37">
        <w:tc>
          <w:tcPr>
            <w:tcW w:w="1985" w:type="dxa"/>
          </w:tcPr>
          <w:p w14:paraId="096D7037" w14:textId="77777777" w:rsidR="004453A9" w:rsidRPr="001B3C5D" w:rsidRDefault="004453A9" w:rsidP="006F6B37">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383" w:type="dxa"/>
          </w:tcPr>
          <w:p w14:paraId="4676A14E" w14:textId="77777777" w:rsidR="004453A9" w:rsidRPr="001B3C5D" w:rsidRDefault="004453A9" w:rsidP="006F6B37">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 xml:space="preserve">Respuesta a consulta con radicado No. </w:t>
            </w:r>
            <w:r w:rsidRPr="004A2A58">
              <w:rPr>
                <w:rFonts w:ascii="Verdana" w:eastAsia="Calibri" w:hAnsi="Verdana" w:cs="Arial"/>
                <w:lang w:val="es-ES_tradnl" w:eastAsia="es-ES_tradnl"/>
              </w:rPr>
              <w:t>1_2026_04_10_004859</w:t>
            </w:r>
          </w:p>
        </w:tc>
      </w:tr>
    </w:tbl>
    <w:p w14:paraId="20EADEF5" w14:textId="77777777" w:rsidR="004453A9" w:rsidRPr="001B3C5D" w:rsidRDefault="004453A9" w:rsidP="004453A9">
      <w:pPr>
        <w:spacing w:after="0" w:line="240" w:lineRule="auto"/>
        <w:jc w:val="both"/>
        <w:rPr>
          <w:rFonts w:ascii="Verdana" w:eastAsia="Calibri" w:hAnsi="Verdana" w:cs="Arial"/>
          <w:lang w:val="es-ES_tradnl" w:eastAsia="es-ES_tradnl"/>
        </w:rPr>
      </w:pPr>
    </w:p>
    <w:p w14:paraId="6D782A7A" w14:textId="77777777" w:rsidR="004453A9" w:rsidRPr="001B3C5D" w:rsidRDefault="004453A9" w:rsidP="004453A9">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Estimado señor </w:t>
      </w:r>
      <w:r>
        <w:rPr>
          <w:rFonts w:ascii="Verdana" w:eastAsia="Calibri" w:hAnsi="Verdana" w:cs="Arial"/>
          <w:kern w:val="2"/>
          <w:lang w:val="es-ES" w:eastAsia="es-ES"/>
          <w14:ligatures w14:val="standardContextual"/>
        </w:rPr>
        <w:t>Cerquera</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3602837B" w14:textId="77777777" w:rsidR="004453A9" w:rsidRPr="001B3C5D" w:rsidRDefault="004453A9" w:rsidP="004453A9">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197AD496" w14:textId="77777777" w:rsidR="004453A9" w:rsidRPr="001B3C5D" w:rsidRDefault="004453A9" w:rsidP="004453A9">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 xml:space="preserve">la Agencia Nacional de </w:t>
      </w:r>
      <w:r w:rsidRPr="001B3C5D">
        <w:rPr>
          <w:rFonts w:ascii="Verdana" w:eastAsia="Calibri" w:hAnsi="Verdana" w:cs="Arial"/>
          <w:lang w:val="es-ES" w:eastAsia="es-ES"/>
        </w:rPr>
        <w:lastRenderedPageBreak/>
        <w:t>Contratación Pública – Colombia Compra Eficiente– responde su solicitud de consulta del 20 de marzo de 2026, en la cuales manifiesta lo siguiente:</w:t>
      </w:r>
    </w:p>
    <w:p w14:paraId="183A3C3C" w14:textId="77777777" w:rsidR="004453A9" w:rsidRPr="001B3C5D" w:rsidRDefault="004453A9" w:rsidP="004453A9">
      <w:pPr>
        <w:spacing w:after="0" w:line="276" w:lineRule="auto"/>
        <w:jc w:val="both"/>
        <w:rPr>
          <w:rFonts w:ascii="Verdana" w:eastAsia="Calibri" w:hAnsi="Verdana" w:cs="Arial"/>
          <w:lang w:val="es-ES" w:eastAsia="es-ES"/>
        </w:rPr>
      </w:pPr>
    </w:p>
    <w:p w14:paraId="0D25970D" w14:textId="77777777" w:rsidR="004453A9" w:rsidRPr="001B3C5D" w:rsidRDefault="004453A9" w:rsidP="004453A9">
      <w:pPr>
        <w:spacing w:after="0" w:line="240" w:lineRule="auto"/>
        <w:ind w:left="709" w:right="709"/>
        <w:jc w:val="both"/>
        <w:rPr>
          <w:rFonts w:ascii="Verdana" w:eastAsia="Aptos" w:hAnsi="Verdana" w:cs="Times New Roman"/>
          <w:kern w:val="2"/>
          <w:sz w:val="20"/>
          <w:szCs w:val="20"/>
          <w14:ligatures w14:val="standardContextual"/>
        </w:rPr>
      </w:pPr>
      <w:r w:rsidRPr="001B3C5D">
        <w:rPr>
          <w:rFonts w:ascii="Verdana" w:eastAsia="Aptos" w:hAnsi="Verdana" w:cs="Helvetica"/>
          <w:color w:val="000000"/>
          <w:sz w:val="20"/>
          <w:szCs w:val="20"/>
          <w14:ligatures w14:val="standardContextual"/>
        </w:rPr>
        <w:t>“</w:t>
      </w:r>
      <w:r w:rsidRPr="005122C2">
        <w:rPr>
          <w:rFonts w:ascii="Verdana" w:eastAsia="Aptos" w:hAnsi="Verdana" w:cs="Times New Roman"/>
          <w:kern w:val="2"/>
          <w:sz w:val="20"/>
          <w:szCs w:val="20"/>
          <w14:ligatures w14:val="standardContextual"/>
        </w:rPr>
        <w:t xml:space="preserve">Con respecto a la </w:t>
      </w:r>
      <w:proofErr w:type="spellStart"/>
      <w:r w:rsidRPr="005122C2">
        <w:rPr>
          <w:rFonts w:ascii="Verdana" w:eastAsia="Aptos" w:hAnsi="Verdana" w:cs="Times New Roman"/>
          <w:kern w:val="2"/>
          <w:sz w:val="20"/>
          <w:szCs w:val="20"/>
          <w14:ligatures w14:val="standardContextual"/>
        </w:rPr>
        <w:t>aplicacion</w:t>
      </w:r>
      <w:proofErr w:type="spellEnd"/>
      <w:r w:rsidRPr="005122C2">
        <w:rPr>
          <w:rFonts w:ascii="Verdana" w:eastAsia="Aptos" w:hAnsi="Verdana" w:cs="Times New Roman"/>
          <w:kern w:val="2"/>
          <w:sz w:val="20"/>
          <w:szCs w:val="20"/>
          <w14:ligatures w14:val="standardContextual"/>
        </w:rPr>
        <w:t xml:space="preserve"> del decreto 287 del 2026, deben las</w:t>
      </w:r>
      <w:r>
        <w:rPr>
          <w:rFonts w:ascii="Verdana" w:eastAsia="Aptos" w:hAnsi="Verdana" w:cs="Times New Roman"/>
          <w:kern w:val="2"/>
          <w:sz w:val="20"/>
          <w:szCs w:val="20"/>
          <w14:ligatures w14:val="standardContextual"/>
        </w:rPr>
        <w:t xml:space="preserve"> </w:t>
      </w:r>
      <w:r w:rsidRPr="005122C2">
        <w:rPr>
          <w:rFonts w:ascii="Verdana" w:eastAsia="Aptos" w:hAnsi="Verdana" w:cs="Times New Roman"/>
          <w:kern w:val="2"/>
          <w:sz w:val="20"/>
          <w:szCs w:val="20"/>
          <w14:ligatures w14:val="standardContextual"/>
        </w:rPr>
        <w:t xml:space="preserve">entidades </w:t>
      </w:r>
      <w:proofErr w:type="spellStart"/>
      <w:r w:rsidRPr="005122C2">
        <w:rPr>
          <w:rFonts w:ascii="Verdana" w:eastAsia="Aptos" w:hAnsi="Verdana" w:cs="Times New Roman"/>
          <w:kern w:val="2"/>
          <w:sz w:val="20"/>
          <w:szCs w:val="20"/>
          <w14:ligatures w14:val="standardContextual"/>
        </w:rPr>
        <w:t>publicas</w:t>
      </w:r>
      <w:proofErr w:type="spellEnd"/>
      <w:r w:rsidRPr="005122C2">
        <w:rPr>
          <w:rFonts w:ascii="Verdana" w:eastAsia="Aptos" w:hAnsi="Verdana" w:cs="Times New Roman"/>
          <w:kern w:val="2"/>
          <w:sz w:val="20"/>
          <w:szCs w:val="20"/>
          <w14:ligatures w14:val="standardContextual"/>
        </w:rPr>
        <w:t xml:space="preserve"> esperar la </w:t>
      </w:r>
      <w:proofErr w:type="spellStart"/>
      <w:r w:rsidRPr="005122C2">
        <w:rPr>
          <w:rFonts w:ascii="Verdana" w:eastAsia="Aptos" w:hAnsi="Verdana" w:cs="Times New Roman"/>
          <w:kern w:val="2"/>
          <w:sz w:val="20"/>
          <w:szCs w:val="20"/>
          <w14:ligatures w14:val="standardContextual"/>
        </w:rPr>
        <w:t>confeccion</w:t>
      </w:r>
      <w:proofErr w:type="spellEnd"/>
      <w:r w:rsidRPr="005122C2">
        <w:rPr>
          <w:rFonts w:ascii="Verdana" w:eastAsia="Aptos" w:hAnsi="Verdana" w:cs="Times New Roman"/>
          <w:kern w:val="2"/>
          <w:sz w:val="20"/>
          <w:szCs w:val="20"/>
          <w14:ligatures w14:val="standardContextual"/>
        </w:rPr>
        <w:t xml:space="preserve"> del pliego Tipo por CCE para</w:t>
      </w:r>
      <w:r>
        <w:rPr>
          <w:rFonts w:ascii="Verdana" w:eastAsia="Aptos" w:hAnsi="Verdana" w:cs="Times New Roman"/>
          <w:kern w:val="2"/>
          <w:sz w:val="20"/>
          <w:szCs w:val="20"/>
          <w14:ligatures w14:val="standardContextual"/>
        </w:rPr>
        <w:t xml:space="preserve"> </w:t>
      </w:r>
      <w:r w:rsidRPr="005122C2">
        <w:rPr>
          <w:rFonts w:ascii="Verdana" w:eastAsia="Aptos" w:hAnsi="Verdana" w:cs="Times New Roman"/>
          <w:kern w:val="2"/>
          <w:sz w:val="20"/>
          <w:szCs w:val="20"/>
          <w14:ligatures w14:val="standardContextual"/>
        </w:rPr>
        <w:t xml:space="preserve">que </w:t>
      </w:r>
      <w:proofErr w:type="spellStart"/>
      <w:r w:rsidRPr="005122C2">
        <w:rPr>
          <w:rFonts w:ascii="Verdana" w:eastAsia="Aptos" w:hAnsi="Verdana" w:cs="Times New Roman"/>
          <w:kern w:val="2"/>
          <w:sz w:val="20"/>
          <w:szCs w:val="20"/>
          <w14:ligatures w14:val="standardContextual"/>
        </w:rPr>
        <w:t>estructur</w:t>
      </w:r>
      <w:proofErr w:type="spellEnd"/>
      <w:r w:rsidRPr="005122C2">
        <w:rPr>
          <w:rFonts w:ascii="Verdana" w:eastAsia="Aptos" w:hAnsi="Verdana" w:cs="Times New Roman"/>
          <w:kern w:val="2"/>
          <w:sz w:val="20"/>
          <w:szCs w:val="20"/>
          <w14:ligatures w14:val="standardContextual"/>
        </w:rPr>
        <w:t xml:space="preserve"> estas </w:t>
      </w:r>
      <w:proofErr w:type="spellStart"/>
      <w:r w:rsidRPr="005122C2">
        <w:rPr>
          <w:rFonts w:ascii="Verdana" w:eastAsia="Aptos" w:hAnsi="Verdana" w:cs="Times New Roman"/>
          <w:kern w:val="2"/>
          <w:sz w:val="20"/>
          <w:szCs w:val="20"/>
          <w14:ligatures w14:val="standardContextual"/>
        </w:rPr>
        <w:t>dispocicones</w:t>
      </w:r>
      <w:proofErr w:type="spellEnd"/>
      <w:r w:rsidRPr="005122C2">
        <w:rPr>
          <w:rFonts w:ascii="Verdana" w:eastAsia="Aptos" w:hAnsi="Verdana" w:cs="Times New Roman"/>
          <w:kern w:val="2"/>
          <w:sz w:val="20"/>
          <w:szCs w:val="20"/>
          <w14:ligatures w14:val="standardContextual"/>
        </w:rPr>
        <w:t xml:space="preserve"> normativas o pueden las entidades</w:t>
      </w:r>
      <w:r>
        <w:rPr>
          <w:rFonts w:ascii="Verdana" w:eastAsia="Aptos" w:hAnsi="Verdana" w:cs="Times New Roman"/>
          <w:kern w:val="2"/>
          <w:sz w:val="20"/>
          <w:szCs w:val="20"/>
          <w14:ligatures w14:val="standardContextual"/>
        </w:rPr>
        <w:t xml:space="preserve"> </w:t>
      </w:r>
      <w:r w:rsidRPr="005122C2">
        <w:rPr>
          <w:rFonts w:ascii="Verdana" w:eastAsia="Aptos" w:hAnsi="Verdana" w:cs="Times New Roman"/>
          <w:kern w:val="2"/>
          <w:sz w:val="20"/>
          <w:szCs w:val="20"/>
          <w14:ligatures w14:val="standardContextual"/>
        </w:rPr>
        <w:t xml:space="preserve">estatales modificar los pliegos tipos e incorporar su </w:t>
      </w:r>
      <w:proofErr w:type="spellStart"/>
      <w:r w:rsidRPr="005122C2">
        <w:rPr>
          <w:rFonts w:ascii="Verdana" w:eastAsia="Aptos" w:hAnsi="Verdana" w:cs="Times New Roman"/>
          <w:kern w:val="2"/>
          <w:sz w:val="20"/>
          <w:szCs w:val="20"/>
          <w14:ligatures w14:val="standardContextual"/>
        </w:rPr>
        <w:t>implementacion</w:t>
      </w:r>
      <w:proofErr w:type="spellEnd"/>
      <w:r w:rsidRPr="005122C2">
        <w:rPr>
          <w:rFonts w:ascii="Verdana" w:eastAsia="Aptos" w:hAnsi="Verdana" w:cs="Times New Roman"/>
          <w:kern w:val="2"/>
          <w:sz w:val="20"/>
          <w:szCs w:val="20"/>
          <w14:ligatures w14:val="standardContextual"/>
        </w:rPr>
        <w:t xml:space="preserve"> de</w:t>
      </w:r>
      <w:r>
        <w:rPr>
          <w:rFonts w:ascii="Verdana" w:eastAsia="Aptos" w:hAnsi="Verdana" w:cs="Times New Roman"/>
          <w:kern w:val="2"/>
          <w:sz w:val="20"/>
          <w:szCs w:val="20"/>
          <w14:ligatures w14:val="standardContextual"/>
        </w:rPr>
        <w:t xml:space="preserve"> </w:t>
      </w:r>
      <w:r w:rsidRPr="005122C2">
        <w:rPr>
          <w:rFonts w:ascii="Verdana" w:eastAsia="Aptos" w:hAnsi="Verdana" w:cs="Times New Roman"/>
          <w:kern w:val="2"/>
          <w:sz w:val="20"/>
          <w:szCs w:val="20"/>
          <w14:ligatures w14:val="standardContextual"/>
        </w:rPr>
        <w:t xml:space="preserve">forma </w:t>
      </w:r>
      <w:proofErr w:type="spellStart"/>
      <w:r w:rsidRPr="005122C2">
        <w:rPr>
          <w:rFonts w:ascii="Verdana" w:eastAsia="Aptos" w:hAnsi="Verdana" w:cs="Times New Roman"/>
          <w:kern w:val="2"/>
          <w:sz w:val="20"/>
          <w:szCs w:val="20"/>
          <w14:ligatures w14:val="standardContextual"/>
        </w:rPr>
        <w:t>autonoma</w:t>
      </w:r>
      <w:proofErr w:type="spellEnd"/>
      <w:r w:rsidRPr="005122C2">
        <w:rPr>
          <w:rFonts w:ascii="Verdana" w:eastAsia="Aptos" w:hAnsi="Verdana" w:cs="Times New Roman"/>
          <w:kern w:val="2"/>
          <w:sz w:val="20"/>
          <w:szCs w:val="20"/>
          <w14:ligatures w14:val="standardContextual"/>
        </w:rPr>
        <w:t>?:</w:t>
      </w:r>
      <w:r w:rsidRPr="001B3C5D">
        <w:rPr>
          <w:rFonts w:ascii="Verdana" w:eastAsia="Aptos" w:hAnsi="Verdana" w:cs="Times New Roman"/>
          <w:kern w:val="2"/>
          <w:sz w:val="20"/>
          <w:szCs w:val="20"/>
          <w14:ligatures w14:val="standardContextual"/>
        </w:rPr>
        <w:t>”</w:t>
      </w:r>
    </w:p>
    <w:p w14:paraId="76208B9C" w14:textId="77777777" w:rsidR="004453A9" w:rsidRPr="001B3C5D" w:rsidRDefault="004453A9" w:rsidP="004453A9">
      <w:pPr>
        <w:spacing w:after="0" w:line="276" w:lineRule="auto"/>
        <w:jc w:val="both"/>
        <w:rPr>
          <w:rFonts w:ascii="Verdana" w:eastAsia="Calibri" w:hAnsi="Verdana" w:cs="Arial"/>
          <w:lang w:val="es-ES" w:eastAsia="es-ES"/>
        </w:rPr>
      </w:pPr>
    </w:p>
    <w:p w14:paraId="5998E139" w14:textId="77777777" w:rsidR="004453A9" w:rsidRPr="001B3C5D" w:rsidRDefault="004453A9" w:rsidP="004453A9">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90523CB" w14:textId="77777777" w:rsidR="004453A9" w:rsidRPr="001B3C5D" w:rsidRDefault="004453A9" w:rsidP="004453A9">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353B05A7" w14:textId="77777777" w:rsidR="004453A9" w:rsidRPr="001B3C5D" w:rsidRDefault="004453A9" w:rsidP="004453A9">
      <w:pPr>
        <w:tabs>
          <w:tab w:val="left" w:pos="142"/>
          <w:tab w:val="left" w:pos="284"/>
        </w:tabs>
        <w:spacing w:after="0" w:line="276" w:lineRule="auto"/>
        <w:contextualSpacing/>
        <w:jc w:val="both"/>
        <w:rPr>
          <w:rFonts w:ascii="Verdana" w:eastAsia="Century Gothic" w:hAnsi="Verdana" w:cs="Century Gothic"/>
          <w:b/>
          <w:bCs/>
          <w:lang w:val="es-ES"/>
        </w:rPr>
      </w:pPr>
    </w:p>
    <w:p w14:paraId="3454A884" w14:textId="77777777" w:rsidR="004453A9" w:rsidRPr="001B3C5D" w:rsidRDefault="004453A9" w:rsidP="004453A9">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2ED1A96B" w14:textId="77777777" w:rsidR="004453A9" w:rsidRPr="001B3C5D" w:rsidRDefault="004453A9" w:rsidP="004453A9">
      <w:pPr>
        <w:tabs>
          <w:tab w:val="left" w:pos="426"/>
        </w:tabs>
        <w:spacing w:after="0" w:line="276" w:lineRule="auto"/>
        <w:jc w:val="both"/>
        <w:rPr>
          <w:rFonts w:ascii="Verdana" w:eastAsia="Century Gothic" w:hAnsi="Verdana" w:cs="Century Gothic"/>
          <w:lang w:val="es-ES"/>
        </w:rPr>
      </w:pPr>
    </w:p>
    <w:p w14:paraId="3C5D4311" w14:textId="77777777" w:rsidR="004453A9" w:rsidRPr="001B3C5D" w:rsidRDefault="004453A9" w:rsidP="004453A9">
      <w:pPr>
        <w:spacing w:after="0" w:line="276" w:lineRule="auto"/>
        <w:jc w:val="both"/>
        <w:rPr>
          <w:rFonts w:ascii="Verdana" w:eastAsia="Calibri" w:hAnsi="Verdana" w:cs="Arial"/>
          <w:bCs/>
          <w:lang w:val="es-ES_tradnl" w:eastAsia="es-ES_tradnl"/>
        </w:rPr>
      </w:pPr>
      <w:r w:rsidRPr="001B3C5D">
        <w:rPr>
          <w:rFonts w:ascii="Verdana" w:eastAsia="Century Gothic" w:hAnsi="Verdana" w:cs="Century Gothic"/>
        </w:rPr>
        <w:t xml:space="preserve">De acuerdo con el contenido de su solicitud, esta Agencia resolverá los siguientes problemas jurídicos: </w:t>
      </w:r>
      <w:r w:rsidRPr="001B3C5D">
        <w:rPr>
          <w:rFonts w:ascii="Verdana" w:eastAsia="Calibri" w:hAnsi="Verdana" w:cs="Arial"/>
          <w:bCs/>
          <w:lang w:val="es-ES_tradnl" w:eastAsia="es-ES_tradnl"/>
        </w:rPr>
        <w:t xml:space="preserve">¿Pueden las entidades estatales que adelantan procedimientos de selección con los documentos tipo expedidos por la Agencia Nacional de Contratación Pública – Colombia Compra Eficiente incorporar las previsiones contenidas en el Decreto 287 de 2026 en estos documentos o deben esperar a que la Agencia realice su incorporación? </w:t>
      </w:r>
    </w:p>
    <w:p w14:paraId="60E2AACE" w14:textId="77777777" w:rsidR="004453A9" w:rsidRPr="001B3C5D" w:rsidRDefault="004453A9" w:rsidP="004453A9">
      <w:pPr>
        <w:spacing w:after="0" w:line="276" w:lineRule="auto"/>
        <w:jc w:val="both"/>
        <w:rPr>
          <w:rFonts w:ascii="Verdana" w:eastAsia="Century Gothic" w:hAnsi="Verdana" w:cs="Century Gothic"/>
          <w:lang w:val="es-ES_tradnl"/>
        </w:rPr>
      </w:pPr>
    </w:p>
    <w:p w14:paraId="72BF938C" w14:textId="77777777" w:rsidR="004453A9" w:rsidRPr="001B3C5D" w:rsidRDefault="004453A9" w:rsidP="004453A9">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lastRenderedPageBreak/>
        <w:t>2. Respuestas:</w:t>
      </w:r>
    </w:p>
    <w:p w14:paraId="3A8C6595" w14:textId="77777777" w:rsidR="004453A9" w:rsidRPr="001B3C5D" w:rsidRDefault="004453A9" w:rsidP="004453A9">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53A9" w:rsidRPr="001B3C5D" w14:paraId="7F501E84" w14:textId="77777777" w:rsidTr="006F6B37">
        <w:trPr>
          <w:trHeight w:val="40"/>
        </w:trPr>
        <w:tc>
          <w:tcPr>
            <w:tcW w:w="8828" w:type="dxa"/>
            <w:tcBorders>
              <w:top w:val="dotted" w:sz="4" w:space="0" w:color="auto"/>
              <w:left w:val="dotted" w:sz="4" w:space="0" w:color="auto"/>
              <w:bottom w:val="dotted" w:sz="4" w:space="0" w:color="auto"/>
              <w:right w:val="dotted" w:sz="4" w:space="0" w:color="auto"/>
            </w:tcBorders>
          </w:tcPr>
          <w:p w14:paraId="3721EB8F" w14:textId="77777777" w:rsidR="004453A9" w:rsidRPr="001B3C5D" w:rsidRDefault="004453A9" w:rsidP="006F6B37">
            <w:pPr>
              <w:spacing w:line="276" w:lineRule="auto"/>
              <w:jc w:val="both"/>
              <w:rPr>
                <w:rFonts w:ascii="Aptos" w:eastAsia="Aptos" w:hAnsi="Aptos" w:cs="Times New Roman"/>
                <w:lang w:val="es-MX"/>
              </w:rPr>
            </w:pPr>
            <w:r w:rsidRPr="001B3C5D">
              <w:rPr>
                <w:rFonts w:ascii="Verdana" w:eastAsia="Times New Roman" w:hAnsi="Verdana" w:cs="Arial"/>
                <w:color w:val="000000"/>
                <w:lang w:val="es-ES_tradnl" w:eastAsia="es-ES_tradnl"/>
              </w:rPr>
              <w:t xml:space="preserve">i. </w:t>
            </w:r>
            <w:r w:rsidRPr="001B3C5D">
              <w:rPr>
                <w:rFonts w:ascii="Verdana" w:eastAsia="Aptos" w:hAnsi="Verdana" w:cs="Times New Roman"/>
                <w:lang w:val="es-ES"/>
              </w:rPr>
              <w:t>El artículo 1 de la Ley 2022 de 20202,</w:t>
            </w:r>
            <w:r w:rsidRPr="001B3C5D">
              <w:rPr>
                <w:rFonts w:ascii="Aptos" w:eastAsia="Aptos" w:hAnsi="Aptos" w:cs="Times New Roman"/>
                <w:lang w:val="es-ES"/>
              </w:rPr>
              <w:t xml:space="preserve"> </w:t>
            </w:r>
            <w:r w:rsidRPr="001B3C5D">
              <w:rPr>
                <w:rFonts w:ascii="Verdana" w:eastAsia="Calibri" w:hAnsi="Verdana" w:cs="Arial"/>
                <w:color w:val="000000"/>
                <w:lang w:val="es-MX"/>
              </w:rPr>
              <w:t>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2B568C0A" w14:textId="77777777" w:rsidR="004453A9" w:rsidRPr="001B3C5D" w:rsidRDefault="004453A9" w:rsidP="006F6B37">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3247333A" w14:textId="77777777" w:rsidR="004453A9" w:rsidRPr="001B3C5D" w:rsidRDefault="004453A9" w:rsidP="006F6B37">
            <w:pPr>
              <w:spacing w:before="120" w:after="120" w:line="276" w:lineRule="auto"/>
              <w:ind w:firstLine="642"/>
              <w:jc w:val="both"/>
              <w:rPr>
                <w:rFonts w:ascii="Verdana" w:eastAsia="Aptos" w:hAnsi="Verdana" w:cs="Arial"/>
                <w:lang w:val="es-ES"/>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lang w:val="es-ES"/>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7084F882" w14:textId="77777777" w:rsidR="004453A9" w:rsidRPr="001B3C5D" w:rsidRDefault="004453A9" w:rsidP="006F6B37">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 xml:space="preserve">Ahora bien, como se explicó, la Ley 2022 de 2020 facultó a la Agencia Nacional de Contratación Pública – Colombia Compra Eficiente para adoptar </w:t>
            </w:r>
            <w:r w:rsidRPr="001B3C5D">
              <w:rPr>
                <w:rFonts w:ascii="Verdana" w:eastAsia="Times New Roman" w:hAnsi="Verdana" w:cs="Arial"/>
                <w:lang w:eastAsia="es-MX"/>
              </w:rPr>
              <w:lastRenderedPageBreak/>
              <w:t xml:space="preserve">documentos tipo. De este modo, la intención del legislador fue otorgarle esta facultad al ente rector del Sistema de Compra Pública. </w:t>
            </w:r>
          </w:p>
          <w:p w14:paraId="383E7529" w14:textId="77777777" w:rsidR="004453A9" w:rsidRPr="001B3C5D" w:rsidRDefault="004453A9" w:rsidP="006F6B37">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vertAlign w:val="superscript"/>
                <w:lang w:eastAsia="es-MX"/>
              </w:rPr>
              <w:footnoteReference w:id="1"/>
            </w:r>
            <w:r w:rsidRPr="001B3C5D">
              <w:rPr>
                <w:rFonts w:ascii="Verdana" w:eastAsia="Times New Roman" w:hAnsi="Verdana" w:cs="Arial"/>
                <w:lang w:eastAsia="es-MX"/>
              </w:rPr>
              <w:t>”</w:t>
            </w:r>
            <w:r w:rsidRPr="001B3C5D">
              <w:rPr>
                <w:rFonts w:ascii="Verdana" w:eastAsia="Times New Roman" w:hAnsi="Verdana" w:cs="Arial"/>
                <w:i/>
                <w:iCs/>
                <w:lang w:eastAsia="es-MX"/>
              </w:rPr>
              <w:t>.</w:t>
            </w:r>
            <w:r w:rsidRPr="001B3C5D">
              <w:rPr>
                <w:rFonts w:ascii="Verdana" w:eastAsia="Times New Roman" w:hAnsi="Verdana" w:cs="Arial"/>
                <w:lang w:eastAsia="es-MX"/>
              </w:rPr>
              <w:t xml:space="preserve"> Además, el Consejo de Estado, Sección Primera, en la Sentencia del 29 de abril 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2"/>
            </w:r>
            <w:r w:rsidRPr="001B3C5D">
              <w:rPr>
                <w:rFonts w:ascii="Verdana" w:eastAsia="Times New Roman" w:hAnsi="Verdana" w:cs="Arial"/>
                <w:lang w:eastAsia="es-MX"/>
              </w:rPr>
              <w:t xml:space="preserve">. </w:t>
            </w:r>
          </w:p>
          <w:p w14:paraId="4F2168F4" w14:textId="77777777" w:rsidR="004453A9" w:rsidRPr="001B3C5D" w:rsidRDefault="004453A9" w:rsidP="006F6B37">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3"/>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4"/>
            </w:r>
            <w:r w:rsidRPr="001B3C5D">
              <w:rPr>
                <w:rFonts w:ascii="Verdana" w:eastAsia="Times New Roman" w:hAnsi="Verdana" w:cs="Arial"/>
                <w:lang w:eastAsia="es-MX"/>
              </w:rPr>
              <w:t>.</w:t>
            </w:r>
          </w:p>
          <w:p w14:paraId="4FC44848" w14:textId="77777777" w:rsidR="004453A9" w:rsidRPr="001B3C5D" w:rsidRDefault="004453A9" w:rsidP="006F6B37">
            <w:pPr>
              <w:spacing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 xml:space="preserve">debe señalarse que la Agencia Nacional de Contratación Pública – Colombia Compra Eficiente, es una Unidad Administrativa Especial, descentralizada de la Rama Ejecutiva del orden nacional, con personería jurídica, patrimonio propio y autonomía administrativa y financiera, adscrita </w:t>
            </w:r>
            <w:r w:rsidRPr="001B3C5D">
              <w:rPr>
                <w:rFonts w:ascii="Verdana" w:eastAsia="Times New Roman" w:hAnsi="Verdana" w:cs="Arial"/>
                <w:lang w:eastAsia="es-ES"/>
              </w:rPr>
              <w:lastRenderedPageBreak/>
              <w:t>al Departamento Nacional de Planeación</w:t>
            </w:r>
            <w:r w:rsidRPr="001B3C5D">
              <w:rPr>
                <w:rFonts w:ascii="Verdana" w:eastAsia="Calibri" w:hAnsi="Verdana" w:cs="Arial"/>
                <w:vertAlign w:val="superscript"/>
                <w:lang w:eastAsia="es-CO"/>
              </w:rPr>
              <w:footnoteReference w:id="5"/>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3815E4B9" w14:textId="77777777" w:rsidR="004453A9" w:rsidRPr="001B3C5D" w:rsidRDefault="004453A9" w:rsidP="006F6B37">
            <w:pPr>
              <w:jc w:val="both"/>
              <w:rPr>
                <w:rFonts w:ascii="Verdana" w:eastAsia="Times New Roman" w:hAnsi="Verdana" w:cs="Arial"/>
                <w:lang w:eastAsia="es-CO"/>
              </w:rPr>
            </w:pPr>
          </w:p>
          <w:p w14:paraId="3AF45CA2" w14:textId="77777777" w:rsidR="004453A9" w:rsidRPr="001B3C5D" w:rsidRDefault="004453A9" w:rsidP="006F6B37">
            <w:pPr>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4B927B02" w14:textId="77777777" w:rsidR="004453A9" w:rsidRPr="001B3C5D" w:rsidRDefault="004453A9" w:rsidP="006F6B37">
            <w:pPr>
              <w:ind w:left="709" w:right="709"/>
              <w:jc w:val="both"/>
              <w:rPr>
                <w:rFonts w:ascii="Verdana" w:eastAsia="Times New Roman" w:hAnsi="Verdana" w:cs="Arial"/>
                <w:lang w:eastAsia="es-CO"/>
              </w:rPr>
            </w:pPr>
          </w:p>
          <w:p w14:paraId="4D85D27E" w14:textId="77777777" w:rsidR="004453A9" w:rsidRPr="001B3C5D" w:rsidRDefault="004453A9" w:rsidP="006F6B37">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6"/>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21E912A7" w14:textId="77777777" w:rsidR="004453A9" w:rsidRPr="001B3C5D" w:rsidRDefault="004453A9" w:rsidP="006F6B37">
            <w:pPr>
              <w:jc w:val="both"/>
              <w:rPr>
                <w:rFonts w:ascii="Verdana" w:eastAsia="Times New Roman" w:hAnsi="Verdana" w:cs="Arial"/>
                <w:lang w:eastAsia="es-ES"/>
              </w:rPr>
            </w:pPr>
          </w:p>
          <w:p w14:paraId="057D5335" w14:textId="77777777" w:rsidR="004453A9" w:rsidRPr="001B3C5D" w:rsidRDefault="004453A9" w:rsidP="006F6B37">
            <w:pPr>
              <w:ind w:left="709" w:right="709"/>
              <w:jc w:val="both"/>
              <w:rPr>
                <w:rFonts w:ascii="Verdana" w:eastAsia="Times New Roman" w:hAnsi="Verdana" w:cs="Arial"/>
                <w:i/>
                <w:iCs/>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w:t>
            </w:r>
            <w:r w:rsidRPr="001B3C5D">
              <w:rPr>
                <w:rFonts w:ascii="Verdana" w:eastAsia="Times New Roman" w:hAnsi="Verdana" w:cs="Arial"/>
                <w:sz w:val="21"/>
                <w:szCs w:val="21"/>
                <w:lang w:eastAsia="es-ES"/>
              </w:rPr>
              <w:lastRenderedPageBreak/>
              <w:t>todo caso, debe ejercerse 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7"/>
            </w:r>
            <w:r w:rsidRPr="001B3C5D">
              <w:rPr>
                <w:rFonts w:ascii="Verdana" w:eastAsia="Times New Roman" w:hAnsi="Verdana" w:cs="Arial"/>
                <w:i/>
                <w:iCs/>
                <w:sz w:val="21"/>
                <w:szCs w:val="21"/>
                <w:lang w:eastAsia="es-ES"/>
              </w:rPr>
              <w:t xml:space="preserve">. </w:t>
            </w:r>
          </w:p>
          <w:p w14:paraId="33EDD71F" w14:textId="77777777" w:rsidR="004453A9" w:rsidRPr="001B3C5D" w:rsidRDefault="004453A9" w:rsidP="006F6B37">
            <w:pPr>
              <w:ind w:left="709" w:right="709"/>
              <w:jc w:val="both"/>
              <w:rPr>
                <w:rFonts w:ascii="Verdana" w:eastAsia="Times New Roman" w:hAnsi="Verdana" w:cs="Arial"/>
                <w:i/>
                <w:sz w:val="21"/>
                <w:szCs w:val="21"/>
                <w:lang w:eastAsia="es-ES"/>
              </w:rPr>
            </w:pPr>
          </w:p>
          <w:p w14:paraId="466282F3" w14:textId="77777777" w:rsidR="004453A9" w:rsidRPr="001B3C5D" w:rsidRDefault="004453A9" w:rsidP="006F6B37">
            <w:pPr>
              <w:spacing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4C467114" w14:textId="77777777" w:rsidR="004453A9" w:rsidRPr="001B3C5D" w:rsidRDefault="004453A9" w:rsidP="006F6B37">
            <w:pPr>
              <w:jc w:val="both"/>
              <w:rPr>
                <w:rFonts w:ascii="Verdana" w:eastAsia="Times New Roman" w:hAnsi="Verdana" w:cs="Arial"/>
                <w:lang w:eastAsia="es-ES"/>
              </w:rPr>
            </w:pPr>
          </w:p>
          <w:p w14:paraId="456CED13" w14:textId="77777777" w:rsidR="004453A9" w:rsidRPr="001B3C5D" w:rsidRDefault="004453A9" w:rsidP="006F6B37">
            <w:pPr>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8"/>
            </w:r>
            <w:r w:rsidRPr="001B3C5D">
              <w:rPr>
                <w:rFonts w:ascii="Verdana" w:eastAsia="Times New Roman" w:hAnsi="Verdana" w:cs="Arial"/>
                <w:sz w:val="21"/>
                <w:szCs w:val="21"/>
                <w:lang w:eastAsia="es-ES"/>
              </w:rPr>
              <w:t>.</w:t>
            </w:r>
          </w:p>
          <w:p w14:paraId="7ECFBF73" w14:textId="77777777" w:rsidR="004453A9" w:rsidRPr="001B3C5D" w:rsidRDefault="004453A9" w:rsidP="006F6B37">
            <w:pPr>
              <w:ind w:left="709" w:right="709"/>
              <w:jc w:val="both"/>
              <w:rPr>
                <w:rFonts w:ascii="Verdana" w:eastAsia="Times New Roman" w:hAnsi="Verdana" w:cs="Arial"/>
                <w:lang w:eastAsia="es-ES"/>
              </w:rPr>
            </w:pPr>
          </w:p>
          <w:p w14:paraId="02F09EE9" w14:textId="77777777" w:rsidR="004453A9" w:rsidRPr="001B3C5D" w:rsidRDefault="004453A9" w:rsidP="006F6B37">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9"/>
            </w:r>
            <w:r w:rsidRPr="001B3C5D">
              <w:rPr>
                <w:rFonts w:ascii="Verdana" w:eastAsia="Times New Roman" w:hAnsi="Verdana" w:cs="Arial"/>
                <w:lang w:eastAsia="es-ES"/>
              </w:rPr>
              <w:t>.</w:t>
            </w:r>
          </w:p>
          <w:p w14:paraId="640CF522" w14:textId="77777777" w:rsidR="004453A9" w:rsidRPr="001B3C5D" w:rsidRDefault="004453A9" w:rsidP="006F6B37">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Conforme con lo anterior, mediante una interpretación sistemática de la normativa y jurisprudencia citada es posible concluir que la Agencia Nacional de Contratación Pública – Colombia Compra Eficiente tiene facultad de regulación de la actividad contractual pública, lo que implica la potestad para expedir normas de carácter técnico subordinadas a la Constitución y a la ley y </w:t>
            </w:r>
            <w:r w:rsidRPr="001B3C5D">
              <w:rPr>
                <w:rFonts w:ascii="Verdana" w:eastAsia="Times New Roman" w:hAnsi="Verdana" w:cs="Arial"/>
                <w:lang w:eastAsia="es-ES"/>
              </w:rPr>
              <w:lastRenderedPageBreak/>
              <w:t xml:space="preserve">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602504CD" w14:textId="77777777" w:rsidR="004453A9" w:rsidRDefault="004453A9" w:rsidP="006F6B37">
            <w:pPr>
              <w:tabs>
                <w:tab w:val="center" w:pos="4419"/>
                <w:tab w:val="right" w:pos="8838"/>
              </w:tabs>
              <w:spacing w:line="276" w:lineRule="auto"/>
              <w:ind w:firstLine="709"/>
              <w:jc w:val="both"/>
              <w:rPr>
                <w:rFonts w:ascii="Verdana" w:eastAsia="Times New Roman" w:hAnsi="Verdana" w:cs="Arial"/>
                <w:lang w:eastAsia="es-ES"/>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07360916" w14:textId="77777777" w:rsidR="004453A9" w:rsidRDefault="004453A9" w:rsidP="006F6B37">
            <w:pPr>
              <w:tabs>
                <w:tab w:val="center" w:pos="4419"/>
                <w:tab w:val="right" w:pos="8838"/>
              </w:tabs>
              <w:spacing w:line="276" w:lineRule="auto"/>
              <w:ind w:firstLine="709"/>
              <w:jc w:val="both"/>
              <w:rPr>
                <w:rFonts w:ascii="Verdana" w:eastAsia="Times New Roman" w:hAnsi="Verdana" w:cs="Arial"/>
                <w:lang w:eastAsia="es-ES"/>
              </w:rPr>
            </w:pPr>
          </w:p>
          <w:p w14:paraId="3F0757F3" w14:textId="77777777" w:rsidR="004453A9" w:rsidRPr="001B3C5D" w:rsidRDefault="004453A9" w:rsidP="006F6B37">
            <w:pPr>
              <w:tabs>
                <w:tab w:val="center" w:pos="4419"/>
                <w:tab w:val="right" w:pos="8838"/>
              </w:tabs>
              <w:spacing w:line="276" w:lineRule="auto"/>
              <w:ind w:firstLine="709"/>
              <w:jc w:val="both"/>
              <w:rPr>
                <w:rFonts w:ascii="Verdana" w:eastAsia="Times New Roman" w:hAnsi="Verdana" w:cs="Arial"/>
                <w:lang w:eastAsia="es-ES"/>
              </w:rPr>
            </w:pPr>
            <w:r w:rsidRPr="007B31F5">
              <w:rPr>
                <w:rFonts w:ascii="Verdana" w:eastAsia="Times New Roman" w:hAnsi="Verdana" w:cs="Arial"/>
                <w:lang w:eastAsia="es-ES"/>
              </w:rPr>
              <w:t>En este contexto, la Agencia Nacional de Contratación Pública – Colombia Compra Eficiente, una vez conoció el decreto desde su expedición, inició las labores de análisis y planeación orientadas a la modificación de los documentos tipo vigentes en los diferentes sectores y subsectores. Este proceso implica una importante carga administrativa y presupuestal para lograr su adecuada actualización, por lo cual se tomará un tiempo prudencial que permita dar cumplimiento integral a lo dispuesto en el referido decreto. No obstante, la Agencia dispondrá todos sus esfuerzos para adelantar este trabajo en el menor tiempo posible y garantizará la divulgación oportuna de cada etapa del proceso de modificación, tanto a las entidades estatales como a la ciudadanía en general.</w:t>
            </w:r>
          </w:p>
          <w:p w14:paraId="17C5DFA5" w14:textId="77777777" w:rsidR="004453A9" w:rsidRPr="001B3C5D" w:rsidRDefault="004453A9" w:rsidP="006F6B37">
            <w:pPr>
              <w:tabs>
                <w:tab w:val="center" w:pos="4419"/>
                <w:tab w:val="right" w:pos="8838"/>
              </w:tabs>
              <w:spacing w:line="276" w:lineRule="auto"/>
              <w:jc w:val="both"/>
              <w:rPr>
                <w:rFonts w:ascii="Verdana" w:eastAsia="Times New Roman" w:hAnsi="Verdana" w:cs="Arial"/>
                <w:lang w:eastAsia="es-ES"/>
              </w:rPr>
            </w:pPr>
          </w:p>
          <w:p w14:paraId="1D2172AB" w14:textId="77777777" w:rsidR="004453A9" w:rsidRPr="001B3C5D" w:rsidRDefault="004453A9" w:rsidP="006F6B37">
            <w:pPr>
              <w:tabs>
                <w:tab w:val="center" w:pos="4419"/>
                <w:tab w:val="right" w:pos="8838"/>
              </w:tabs>
              <w:spacing w:line="276" w:lineRule="auto"/>
              <w:jc w:val="both"/>
              <w:rPr>
                <w:rFonts w:ascii="Verdana" w:eastAsia="Calibri" w:hAnsi="Verdana" w:cs="Arial"/>
                <w:color w:val="000000"/>
                <w:lang w:val="es-ES"/>
              </w:rPr>
            </w:pPr>
            <w:proofErr w:type="spellStart"/>
            <w:r w:rsidRPr="001B3C5D">
              <w:rPr>
                <w:rFonts w:ascii="Verdana" w:eastAsia="Times New Roman" w:hAnsi="Verdana" w:cs="Arial"/>
                <w:lang w:eastAsia="es-ES"/>
              </w:rPr>
              <w:t>ii</w:t>
            </w:r>
            <w:proofErr w:type="spellEnd"/>
            <w:r w:rsidRPr="001B3C5D">
              <w:rPr>
                <w:rFonts w:ascii="Verdana" w:eastAsia="Times New Roman" w:hAnsi="Verdana" w:cs="Arial"/>
                <w:lang w:eastAsia="es-ES"/>
              </w:rPr>
              <w:t xml:space="preserve">. </w:t>
            </w:r>
            <w:r w:rsidRPr="001B3C5D">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738C6AA" w14:textId="77777777" w:rsidR="004453A9" w:rsidRPr="001B3C5D" w:rsidRDefault="004453A9" w:rsidP="006F6B37">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lastRenderedPageBreak/>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482A389B" w14:textId="77777777" w:rsidR="004453A9" w:rsidRPr="001B3C5D" w:rsidRDefault="004453A9" w:rsidP="006F6B37">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el proceso de contratación. Cada entidad pública sujeta a los documentos tipo deberá hacer una aplicación o constatación irrestricta de las reglas y condiciones dispuestas en estos, salvo que las mismas posibilitan la discrecionalidad en determinados aspectos. </w:t>
            </w:r>
          </w:p>
          <w:p w14:paraId="16CA6BC7" w14:textId="77777777" w:rsidR="004453A9" w:rsidRPr="001B3C5D" w:rsidRDefault="004453A9" w:rsidP="006F6B37">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xml:space="preserve">, del cual se desprende que no pueden exigir documentos o requisitos más allá de los que permitan la Constitución, la ley y los reglamentos. Este postulado ha sido recogido no solo en la contratación estatal sino además en 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6E95601F" w14:textId="77777777" w:rsidR="004453A9" w:rsidRPr="001B3C5D" w:rsidRDefault="004453A9" w:rsidP="006F6B37">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10"/>
            </w:r>
            <w:r w:rsidRPr="001B3C5D">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73957341" w14:textId="77777777" w:rsidR="004453A9" w:rsidRPr="001B3C5D" w:rsidRDefault="004453A9" w:rsidP="006F6B37">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lastRenderedPageBreak/>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47737754" w14:textId="77777777" w:rsidR="004453A9" w:rsidRPr="001B3C5D" w:rsidRDefault="004453A9" w:rsidP="006F6B37">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33B5AEF4" w14:textId="77777777" w:rsidR="004453A9" w:rsidRPr="001B3C5D" w:rsidRDefault="004453A9" w:rsidP="006F6B37">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5C058D85" w14:textId="77777777" w:rsidR="004453A9" w:rsidRDefault="004453A9" w:rsidP="006F6B37">
            <w:pPr>
              <w:spacing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C132113" w14:textId="77777777" w:rsidR="004453A9" w:rsidRDefault="004453A9" w:rsidP="006F6B37">
            <w:pPr>
              <w:spacing w:line="276" w:lineRule="auto"/>
              <w:ind w:firstLine="709"/>
              <w:jc w:val="both"/>
              <w:rPr>
                <w:rFonts w:ascii="Verdana" w:eastAsia="Calibri" w:hAnsi="Verdana" w:cs="Arial"/>
                <w:bCs/>
                <w:lang w:val="es-MX"/>
              </w:rPr>
            </w:pPr>
          </w:p>
          <w:p w14:paraId="64E8B61C" w14:textId="77777777" w:rsidR="004453A9" w:rsidRPr="001B3C5D" w:rsidRDefault="004453A9" w:rsidP="006F6B37">
            <w:pPr>
              <w:widowControl w:val="0"/>
              <w:autoSpaceDE w:val="0"/>
              <w:autoSpaceDN w:val="0"/>
              <w:spacing w:after="120" w:line="276" w:lineRule="auto"/>
              <w:jc w:val="both"/>
              <w:rPr>
                <w:rFonts w:ascii="Verdana" w:eastAsia="Aptos" w:hAnsi="Verdana" w:cs="Times New Roman"/>
              </w:rPr>
            </w:pPr>
            <w:proofErr w:type="spellStart"/>
            <w:r>
              <w:rPr>
                <w:rFonts w:ascii="Verdana" w:eastAsia="Aptos" w:hAnsi="Verdana" w:cs="Times New Roman"/>
              </w:rPr>
              <w:t>iii</w:t>
            </w:r>
            <w:proofErr w:type="spellEnd"/>
            <w:r w:rsidRPr="001B3C5D">
              <w:rPr>
                <w:rFonts w:ascii="Verdana" w:eastAsia="Aptos" w:hAnsi="Verdana" w:cs="Times New Roman"/>
              </w:rPr>
              <w:t>. L</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Ley 2022 de 2020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atribuye</w:t>
            </w:r>
            <w:r w:rsidRPr="001B3C5D">
              <w:rPr>
                <w:rFonts w:ascii="Verdana" w:eastAsia="Aptos" w:hAnsi="Verdana" w:cs="Times New Roman"/>
              </w:rPr>
              <w:t xml:space="preserve"> la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Nacional de Contratación Pública – Colombia Compra Eficiente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adoptar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expresamente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contenido,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stos </w:t>
            </w:r>
            <w:r w:rsidRPr="001B3C5D">
              <w:rPr>
                <w:rFonts w:ascii="Verdana" w:eastAsia="Aptos" w:hAnsi="Verdana" w:cs="Times New Roman"/>
                <w:i/>
                <w:iCs/>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i/>
                <w:iCs/>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concentró</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la Agencia Nacional de Contratación Pública – Colombia Compra Eficiente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elementos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propósito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recursos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públicos.</w:t>
            </w:r>
            <w:r w:rsidRPr="001B3C5D">
              <w:rPr>
                <w:rFonts w:ascii="Verdana" w:eastAsia="Aptos" w:hAnsi="Verdana" w:cs="Times New Roman"/>
              </w:rPr>
              <w:t xml:space="preserve"> </w:t>
            </w:r>
          </w:p>
          <w:p w14:paraId="4E9F32B4"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Concretamente, la competencia prevista en el artículo 1 de la Ley 2022 de 2020, se ejerció mediante la expedición de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160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del 15 de septiembre de 2020 “Por la cual se adopta el procedimiento para implementar los documentos tipo y se define el sistema para su revisión”</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con la expedición de </w:t>
            </w:r>
            <w:r w:rsidRPr="001B3C5D">
              <w:rPr>
                <w:rFonts w:ascii="Verdana" w:eastAsia="Aptos" w:hAnsi="Verdana" w:cs="Times New Roman"/>
                <w:kern w:val="2"/>
                <w14:ligatures w14:val="standardContextual"/>
              </w:rPr>
              <w:t>múltiples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resoluciones</w:t>
            </w:r>
            <w:r w:rsidRPr="001B3C5D">
              <w:rPr>
                <w:rFonts w:ascii="Verdana" w:eastAsia="Aptos" w:hAnsi="Verdana" w:cs="Times New Roman"/>
              </w:rPr>
              <w:t xml:space="preserve"> –señaladas en el numeral i de este concepto– mediante las cuales se adoptaron documentos tipo por parte de la Agencia Nacional de Contratación Pública – Colombia Compra Eficiente en diferentes modalidades de selección y sectores, en las cuales, además, se </w:t>
            </w:r>
            <w:r w:rsidRPr="001B3C5D">
              <w:rPr>
                <w:rFonts w:ascii="Verdana" w:eastAsia="Aptos" w:hAnsi="Verdana" w:cs="Times New Roman"/>
                <w:kern w:val="2"/>
                <w14:ligatures w14:val="standardContextual"/>
              </w:rPr>
              <w:t>reitera</w:t>
            </w:r>
            <w:r w:rsidRPr="001B3C5D">
              <w:rPr>
                <w:rFonts w:ascii="Verdana" w:eastAsia="Aptos" w:hAnsi="Verdana" w:cs="Times New Roman"/>
              </w:rPr>
              <w:t xml:space="preserve"> el </w:t>
            </w:r>
            <w:r w:rsidRPr="001B3C5D">
              <w:rPr>
                <w:rFonts w:ascii="Verdana" w:eastAsia="Aptos" w:hAnsi="Verdana" w:cs="Times New Roman"/>
                <w:kern w:val="2"/>
                <w14:ligatures w14:val="standardContextual"/>
              </w:rPr>
              <w:t>carácter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obligatorio</w:t>
            </w:r>
            <w:r w:rsidRPr="001B3C5D">
              <w:rPr>
                <w:rFonts w:ascii="Verdana" w:eastAsia="Aptos" w:hAnsi="Verdana" w:cs="Times New Roman"/>
              </w:rPr>
              <w:t xml:space="preserve"> de estos documentos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se </w:t>
            </w:r>
            <w:r w:rsidRPr="001B3C5D">
              <w:rPr>
                <w:rFonts w:ascii="Verdana" w:eastAsia="Aptos" w:hAnsi="Verdana" w:cs="Times New Roman"/>
                <w:kern w:val="2"/>
                <w14:ligatures w14:val="standardContextual"/>
              </w:rPr>
              <w:t>establecen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específicas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p>
          <w:p w14:paraId="4C68F7C2"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En este sentido, las resoluciones mediante las cuales la Agencia Nacional de Contratación Pública – Colombia Compra Eficiente adoptó documentos tipo, </w:t>
            </w:r>
            <w:r w:rsidRPr="001B3C5D">
              <w:rPr>
                <w:rFonts w:ascii="Verdana" w:eastAsia="Aptos" w:hAnsi="Verdana" w:cs="Times New Roman"/>
                <w:kern w:val="2"/>
                <w14:ligatures w14:val="standardContextual"/>
              </w:rPr>
              <w:t>consolida</w:t>
            </w:r>
            <w:r w:rsidRPr="001B3C5D">
              <w:rPr>
                <w:rFonts w:ascii="Verdana" w:eastAsia="Aptos" w:hAnsi="Verdana" w:cs="Times New Roman"/>
              </w:rPr>
              <w:t xml:space="preserve">n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estandarizado</w:t>
            </w:r>
            <w:r w:rsidRPr="001B3C5D">
              <w:rPr>
                <w:rFonts w:ascii="Verdana" w:eastAsia="Aptos" w:hAnsi="Verdana" w:cs="Times New Roman"/>
              </w:rPr>
              <w:t xml:space="preserve"> –en las modalidades y sectores adoptados–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obligadas a la aplicación </w:t>
            </w:r>
            <w:r w:rsidRPr="001B3C5D">
              <w:rPr>
                <w:rFonts w:ascii="Verdana" w:eastAsia="Aptos" w:hAnsi="Verdana" w:cs="Times New Roman"/>
                <w:kern w:val="2"/>
                <w14:ligatures w14:val="standardContextual"/>
              </w:rPr>
              <w:t>deben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sujetarse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estricta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definidas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particularmente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relacionado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ponderación.</w:t>
            </w:r>
          </w:p>
          <w:p w14:paraId="71F5BB8B"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Lo dispuesto en el párrafo precedente, es consecuente con lo desarrollado en el punto tres (</w:t>
            </w:r>
            <w:proofErr w:type="spellStart"/>
            <w:r w:rsidRPr="001B3C5D">
              <w:rPr>
                <w:rFonts w:ascii="Verdana" w:eastAsia="Aptos" w:hAnsi="Verdana" w:cs="Times New Roman"/>
              </w:rPr>
              <w:t>iii</w:t>
            </w:r>
            <w:proofErr w:type="spellEnd"/>
            <w:r w:rsidRPr="001B3C5D">
              <w:rPr>
                <w:rFonts w:ascii="Verdana" w:eastAsia="Aptos" w:hAnsi="Verdana" w:cs="Times New Roman"/>
              </w:rPr>
              <w:t xml:space="preserve">) de la parte considerativa de este concepto. En este se indicó que, sobre los documentos tipo expedidos por la Agencia Nacional de Contratación Pública – Colombia Compra Eficiente, recae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w:t>
            </w:r>
          </w:p>
          <w:p w14:paraId="7B28BD2D"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Considerando lo anterior, s</w:t>
            </w:r>
            <w:r w:rsidRPr="001B3C5D">
              <w:rPr>
                <w:rFonts w:ascii="Verdana" w:eastAsia="Aptos" w:hAnsi="Verdana" w:cs="Times New Roman"/>
                <w:kern w:val="2"/>
                <w14:ligatures w14:val="standardContextual"/>
              </w:rPr>
              <w:t>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bien</w:t>
            </w:r>
            <w:r w:rsidRPr="001B3C5D">
              <w:rPr>
                <w:rFonts w:ascii="Verdana" w:eastAsia="Aptos" w:hAnsi="Verdana" w:cs="Times New Roman"/>
              </w:rPr>
              <w:t xml:space="preserve"> es cierto que,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siguiente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publicación,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determina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vigencia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sometidos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debe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interpretarse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sistemática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armónica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régimen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regula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esto es, lo señalado en el artículo 1 de la Ley 2022 de 2020 y su desarrollo reglamentario a través de cada una de las Resoluciones expedidas por la Agencia Nacional de Contratación Pública – Colombia Compra Eficiente mediante las cuales, se han implementados documentos tipo</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contienen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obligatoria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criterios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escogencia,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complementarlos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autónoma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D</w:t>
            </w:r>
            <w:r w:rsidRPr="001B3C5D">
              <w:rPr>
                <w:rFonts w:ascii="Verdana" w:eastAsia="Aptos" w:hAnsi="Verdana" w:cs="Times New Roman"/>
                <w:kern w:val="2"/>
                <w14:ligatures w14:val="standardContextual"/>
              </w:rPr>
              <w:t>ecreto</w:t>
            </w:r>
            <w:r w:rsidRPr="001B3C5D">
              <w:rPr>
                <w:rFonts w:ascii="Verdana" w:eastAsia="Aptos" w:hAnsi="Verdana" w:cs="Times New Roman"/>
              </w:rPr>
              <w:t xml:space="preserve"> en mención</w:t>
            </w:r>
            <w:r w:rsidRPr="001B3C5D">
              <w:rPr>
                <w:rFonts w:ascii="Verdana" w:eastAsia="Aptos" w:hAnsi="Verdana" w:cs="Times New Roman"/>
                <w:kern w:val="2"/>
                <w14:ligatures w14:val="standardContextual"/>
              </w:rPr>
              <w:t>.</w:t>
            </w:r>
          </w:p>
          <w:p w14:paraId="64EE66F3"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P</w:t>
            </w:r>
            <w:r w:rsidRPr="001B3C5D">
              <w:rPr>
                <w:rFonts w:ascii="Verdana" w:eastAsia="Aptos" w:hAnsi="Verdana" w:cs="Times New Roman"/>
                <w:kern w:val="2"/>
                <w14:ligatures w14:val="standardContextual"/>
              </w:rPr>
              <w:t>ermitir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introduzca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inmediata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implicaría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exclusiva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mediante la expedición de la Ley 2022 de 2020</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inalterabilidad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rige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estos</w:t>
            </w:r>
            <w:r w:rsidRPr="001B3C5D">
              <w:rPr>
                <w:rFonts w:ascii="Verdana" w:eastAsia="Aptos" w:hAnsi="Verdana" w:cs="Times New Roman"/>
              </w:rPr>
              <w:t xml:space="preserve"> documentos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Además,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fragmentación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principios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igualdad,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transparencia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selección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objetiva,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similares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regirse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distintas,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dependiendo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adelante</w:t>
            </w:r>
            <w:r w:rsidRPr="001B3C5D">
              <w:rPr>
                <w:rFonts w:ascii="Verdana" w:eastAsia="Aptos" w:hAnsi="Verdana" w:cs="Times New Roman"/>
              </w:rPr>
              <w:t xml:space="preserve"> y la forma como incorporó las previsiones contenidas en el Decreto 287 de 2026 a los procesos de selección regidos por documentos tipo</w:t>
            </w:r>
            <w:r w:rsidRPr="001B3C5D">
              <w:rPr>
                <w:rFonts w:ascii="Verdana" w:eastAsia="Aptos" w:hAnsi="Verdana" w:cs="Times New Roman"/>
                <w:kern w:val="2"/>
                <w14:ligatures w14:val="standardContextual"/>
              </w:rPr>
              <w:t>.</w:t>
            </w:r>
          </w:p>
          <w:p w14:paraId="28F05F01"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Desde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perspectiva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constituyen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articulado,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requisitos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habilitantes,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factores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evaluación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interrelacionados.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aislada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modificaciones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podría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generar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inconsistencias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desajustes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afectando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contractual.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razón,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prevé</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adopción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actualización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mediante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procedimientos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coordinados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participativos,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cargo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w:t>
            </w:r>
            <w:r w:rsidRPr="001B3C5D">
              <w:rPr>
                <w:rFonts w:ascii="Verdana" w:eastAsia="Aptos" w:hAnsi="Verdana" w:cs="Times New Roman"/>
              </w:rPr>
              <w:t>ncia Nacional de Contratación Pública – Colombia Compra Eficiente</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quien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cuenta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técnica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adecuada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integración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nuevas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como por ejemplo el Decreto 287 de 2026. </w:t>
            </w:r>
          </w:p>
          <w:p w14:paraId="28798454"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Adicionalmente,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propio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en el artículo 1 que modifica el artículo 2.2.1.2.4.2.7.8 al Decreto 1082 de 2015, </w:t>
            </w:r>
            <w:r w:rsidRPr="001B3C5D">
              <w:rPr>
                <w:rFonts w:ascii="Verdana" w:eastAsia="Aptos" w:hAnsi="Verdana" w:cs="Times New Roman"/>
                <w:kern w:val="2"/>
                <w14:ligatures w14:val="standardContextual"/>
              </w:rPr>
              <w:t>reconoce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disponer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 garantizará la adopción permanente de las </w:t>
            </w:r>
            <w:r w:rsidRPr="001B3C5D">
              <w:rPr>
                <w:rFonts w:ascii="Verdana" w:eastAsia="Aptos" w:hAnsi="Verdana" w:cs="Times New Roman"/>
              </w:rPr>
              <w:lastRenderedPageBreak/>
              <w:t>acciones necesarias para que las medidas señaladas en esta subsección se incorporen a los documentos e instrumentos que genera</w:t>
            </w:r>
            <w:r w:rsidRPr="001B3C5D">
              <w:rPr>
                <w:rFonts w:ascii="Aptos" w:eastAsia="Aptos" w:hAnsi="Aptos" w:cs="Times New Roman"/>
              </w:rPr>
              <w:t>”</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cual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confirma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operatividad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ámbito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depende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w:t>
            </w:r>
            <w:r w:rsidRPr="001B3C5D">
              <w:rPr>
                <w:rFonts w:ascii="Verdana" w:eastAsia="Aptos" w:hAnsi="Verdana" w:cs="Times New Roman"/>
              </w:rPr>
              <w:t xml:space="preserve"> </w:t>
            </w:r>
          </w:p>
          <w:p w14:paraId="58D6519F" w14:textId="77777777" w:rsidR="004453A9" w:rsidRDefault="004453A9" w:rsidP="006F6B37">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 xml:space="preserve">Lo anterior es consecuente con lo dispuesto en el ABC del Decreto 0287 de 2026 “Contratación pública inclusiva para personas con discapacidad”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31062910"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kern w:val="2"/>
                <w14:ligatures w14:val="standardContextual"/>
              </w:rPr>
            </w:pPr>
            <w:r>
              <w:rPr>
                <w:rFonts w:ascii="Verdana" w:eastAsia="Aptos" w:hAnsi="Verdana" w:cs="Times New Roman"/>
              </w:rPr>
              <w:t xml:space="preserve">Sumado a lo anterior, la Circular Externa No. 003 de 2026 expedida por esta Agencia y dirigida a </w:t>
            </w:r>
            <w:r w:rsidRPr="00592BC0">
              <w:rPr>
                <w:rFonts w:ascii="Verdana" w:eastAsia="Aptos" w:hAnsi="Verdana" w:cs="Times New Roman"/>
              </w:rPr>
              <w:t>Entidades Estatales indistintamente de su régimen de contratación, los patrimonios autónomos constituidos por Entidades Estatales y los particulares que ejecuten recursos públicos</w:t>
            </w:r>
            <w:r>
              <w:rPr>
                <w:rFonts w:ascii="Verdana" w:eastAsia="Aptos" w:hAnsi="Verdana" w:cs="Times New Roman"/>
              </w:rPr>
              <w:t xml:space="preserve">, manifiesta que mientras </w:t>
            </w:r>
            <w:proofErr w:type="spellStart"/>
            <w:r>
              <w:rPr>
                <w:rFonts w:ascii="Verdana" w:eastAsia="Aptos" w:hAnsi="Verdana" w:cs="Times New Roman"/>
              </w:rPr>
              <w:t>lo</w:t>
            </w:r>
            <w:proofErr w:type="spellEnd"/>
            <w:r>
              <w:rPr>
                <w:rFonts w:ascii="Verdana" w:eastAsia="Aptos" w:hAnsi="Verdana" w:cs="Times New Roman"/>
              </w:rPr>
              <w:t xml:space="preserve"> ajustes incorporados por el Decreto 287 de 2026 no sean incorporados a los Documentos Tipo mediante una resolución que los modifique, se deberá seguir aplicando por parte de las entidades las versiones vigentes del instrumento contractual.</w:t>
            </w:r>
            <w:r>
              <w:rPr>
                <w:rStyle w:val="Refdenotaalpie"/>
                <w:rFonts w:ascii="Verdana" w:eastAsia="Aptos" w:hAnsi="Verdana" w:cs="Times New Roman"/>
              </w:rPr>
              <w:footnoteReference w:id="11"/>
            </w:r>
          </w:p>
          <w:p w14:paraId="54621EA8"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consecuencia,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aunque</w:t>
            </w:r>
            <w:r w:rsidRPr="001B3C5D">
              <w:rPr>
                <w:rFonts w:ascii="Verdana" w:eastAsia="Aptos" w:hAnsi="Verdana" w:cs="Times New Roman"/>
              </w:rPr>
              <w:t xml:space="preserve"> de acuerdo con el artículo 2 del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este “(…) rige a partir del día siguiente a su publicación (…)”</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procesos</w:t>
            </w:r>
            <w:r w:rsidRPr="001B3C5D">
              <w:rPr>
                <w:rFonts w:ascii="Verdana" w:eastAsia="Aptos" w:hAnsi="Verdana" w:cs="Times New Roman"/>
              </w:rPr>
              <w:t xml:space="preserve"> contracción </w:t>
            </w:r>
            <w:r w:rsidRPr="001B3C5D">
              <w:rPr>
                <w:rFonts w:ascii="Verdana" w:eastAsia="Aptos" w:hAnsi="Verdana" w:cs="Times New Roman"/>
                <w:kern w:val="2"/>
                <w14:ligatures w14:val="standardContextual"/>
              </w:rPr>
              <w:t>regidos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encuentra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condicionada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formal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instrumentos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Así, s</w:t>
            </w:r>
            <w:r w:rsidRPr="001B3C5D">
              <w:rPr>
                <w:rFonts w:ascii="Verdana" w:eastAsia="Aptos" w:hAnsi="Verdana" w:cs="Times New Roman"/>
                <w:kern w:val="2"/>
                <w14:ligatures w14:val="standardContextual"/>
              </w:rPr>
              <w:t>olo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partir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dicha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mediante la modificación a los documentos tipo, </w:t>
            </w:r>
            <w:r w:rsidRPr="001B3C5D">
              <w:rPr>
                <w:rFonts w:ascii="Verdana" w:eastAsia="Aptos" w:hAnsi="Verdana" w:cs="Times New Roman"/>
                <w:kern w:val="2"/>
                <w14:ligatures w14:val="standardContextual"/>
              </w:rPr>
              <w:t>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posible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aplicación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uniforme,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jurídicamente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válida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afirmativas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previstas,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desconocer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distribución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establecida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legislador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ni</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estructura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compras y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p>
          <w:p w14:paraId="533EF6AF"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implementación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disposiciones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Decreto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287</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2026</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relación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documentos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tipo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puede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realizarse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manera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directa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entidades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estatales</w:t>
            </w:r>
            <w:r w:rsidRPr="001B3C5D">
              <w:rPr>
                <w:rFonts w:ascii="Verdana" w:eastAsia="Aptos" w:hAnsi="Verdana" w:cs="Times New Roman"/>
              </w:rPr>
              <w:t xml:space="preserve"> que obligatoriamente deben aplicarlos</w:t>
            </w:r>
            <w:r w:rsidRPr="001B3C5D">
              <w:rPr>
                <w:rFonts w:ascii="Verdana" w:eastAsia="Aptos" w:hAnsi="Verdana" w:cs="Times New Roman"/>
                <w:kern w:val="2"/>
                <w14:ligatures w14:val="standardContextual"/>
              </w:rPr>
              <w:t>,</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sino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lastRenderedPageBreak/>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requiere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necesariamente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su</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desarrollo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incorporación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parte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Agencia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Nacional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Contratación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Pública</w:t>
            </w:r>
            <w:r w:rsidRPr="001B3C5D">
              <w:rPr>
                <w:rFonts w:ascii="Verdana" w:eastAsia="Aptos" w:hAnsi="Verdana" w:cs="Times New Roman"/>
              </w:rPr>
              <w:t xml:space="preserve"> – </w:t>
            </w:r>
            <w:r w:rsidRPr="001B3C5D">
              <w:rPr>
                <w:rFonts w:ascii="Verdana" w:eastAsia="Aptos" w:hAnsi="Verdana" w:cs="Times New Roman"/>
                <w:kern w:val="2"/>
                <w14:ligatures w14:val="standardContextual"/>
              </w:rPr>
              <w:t>Colombia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Compra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Eficiente,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ejercicio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competencia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que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fue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atribuida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Ley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2022</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2020,</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garantizando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así</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coherencia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sistema,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el</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respeto</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por</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jerarquía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normativa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y</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efectividad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medidas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orientadas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inclusión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de</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las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personas</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con</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discapacidad</w:t>
            </w:r>
            <w:r w:rsidRPr="001B3C5D">
              <w:rPr>
                <w:rFonts w:ascii="Verdana" w:eastAsia="Aptos" w:hAnsi="Verdana" w:cs="Times New Roman"/>
              </w:rPr>
              <w:t xml:space="preserve"> </w:t>
            </w:r>
            <w:r w:rsidRPr="001B3C5D">
              <w:rPr>
                <w:rFonts w:ascii="Verdana" w:eastAsia="Aptos" w:hAnsi="Verdana" w:cs="Times New Roman"/>
                <w:kern w:val="2"/>
                <w14:ligatures w14:val="standardContextual"/>
              </w:rPr>
              <w:t>en</w:t>
            </w:r>
            <w:r w:rsidRPr="001B3C5D">
              <w:rPr>
                <w:rFonts w:ascii="Verdana" w:eastAsia="Aptos" w:hAnsi="Verdana" w:cs="Times New Roman"/>
              </w:rPr>
              <w:t xml:space="preserve"> el sistema de compras y contratación pública. </w:t>
            </w:r>
          </w:p>
          <w:p w14:paraId="318A87BE" w14:textId="77777777" w:rsidR="004453A9" w:rsidRPr="001B3C5D" w:rsidRDefault="004453A9" w:rsidP="006F6B37">
            <w:pPr>
              <w:widowControl w:val="0"/>
              <w:autoSpaceDE w:val="0"/>
              <w:autoSpaceDN w:val="0"/>
              <w:spacing w:after="120" w:line="276" w:lineRule="auto"/>
              <w:ind w:firstLine="708"/>
              <w:jc w:val="both"/>
              <w:rPr>
                <w:rFonts w:ascii="Verdana" w:eastAsia="Aptos" w:hAnsi="Verdana" w:cs="Times New Roman"/>
              </w:rPr>
            </w:pPr>
            <w:r w:rsidRPr="001B3C5D">
              <w:rPr>
                <w:rFonts w:ascii="Verdana" w:eastAsia="Aptos" w:hAnsi="Verdana" w:cs="Times New Roman"/>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2A865AA4" w14:textId="77777777" w:rsidR="004453A9" w:rsidRPr="001B3C5D" w:rsidRDefault="004453A9" w:rsidP="006F6B37">
            <w:pPr>
              <w:widowControl w:val="0"/>
              <w:autoSpaceDE w:val="0"/>
              <w:autoSpaceDN w:val="0"/>
              <w:spacing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Pública – Colombia Compra Eficiente y finalizará con la adopción del acto administrativo que modifica los documentos tipo luego de surtir el procedimiento señalado. </w:t>
            </w:r>
          </w:p>
        </w:tc>
      </w:tr>
    </w:tbl>
    <w:p w14:paraId="3FAF9F18" w14:textId="77777777" w:rsidR="004453A9" w:rsidRPr="001B3C5D" w:rsidRDefault="004453A9" w:rsidP="004453A9">
      <w:pPr>
        <w:tabs>
          <w:tab w:val="left" w:pos="142"/>
          <w:tab w:val="left" w:pos="284"/>
        </w:tabs>
        <w:spacing w:after="0" w:line="276" w:lineRule="auto"/>
        <w:jc w:val="both"/>
        <w:rPr>
          <w:rFonts w:ascii="Verdana" w:eastAsia="Century Gothic" w:hAnsi="Verdana" w:cs="Century Gothic"/>
          <w:b/>
          <w:bCs/>
          <w:lang w:val="es-ES"/>
        </w:rPr>
      </w:pPr>
    </w:p>
    <w:p w14:paraId="4F774059" w14:textId="77777777" w:rsidR="004453A9" w:rsidRPr="001B3C5D" w:rsidRDefault="004453A9" w:rsidP="004453A9">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2CEC6E00" w14:textId="77777777" w:rsidR="004453A9" w:rsidRPr="001B3C5D" w:rsidRDefault="004453A9" w:rsidP="004453A9">
      <w:pPr>
        <w:spacing w:after="0" w:line="276" w:lineRule="auto"/>
        <w:jc w:val="both"/>
        <w:rPr>
          <w:rFonts w:ascii="Verdana" w:eastAsia="Calibri" w:hAnsi="Verdana" w:cs="Arial"/>
          <w:lang w:val="es-ES"/>
        </w:rPr>
      </w:pPr>
    </w:p>
    <w:p w14:paraId="0544BD69" w14:textId="77777777" w:rsidR="004453A9" w:rsidRPr="001B3C5D" w:rsidRDefault="004453A9" w:rsidP="004453A9">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39231C98" w14:textId="77777777" w:rsidR="004453A9" w:rsidRPr="001B3C5D" w:rsidRDefault="004453A9" w:rsidP="004453A9">
      <w:pPr>
        <w:widowControl w:val="0"/>
        <w:autoSpaceDE w:val="0"/>
        <w:autoSpaceDN w:val="0"/>
        <w:spacing w:after="0" w:line="276" w:lineRule="auto"/>
        <w:jc w:val="both"/>
        <w:rPr>
          <w:rFonts w:ascii="Verdana" w:eastAsia="Calibri" w:hAnsi="Verdana" w:cs="Times New Roman"/>
          <w:lang w:val="es-ES"/>
        </w:rPr>
      </w:pPr>
      <w:bookmarkStart w:id="1" w:name="_Hlk113022941"/>
    </w:p>
    <w:p w14:paraId="130CB695" w14:textId="77777777" w:rsidR="004453A9" w:rsidRPr="001B3C5D" w:rsidRDefault="004453A9" w:rsidP="004453A9">
      <w:pPr>
        <w:spacing w:after="0" w:line="240" w:lineRule="auto"/>
        <w:jc w:val="both"/>
        <w:rPr>
          <w:rFonts w:ascii="Aptos" w:eastAsia="Aptos" w:hAnsi="Aptos" w:cs="Times New Roman"/>
          <w:kern w:val="2"/>
          <w:sz w:val="24"/>
          <w:szCs w:val="24"/>
          <w:lang w:val="es-MX"/>
          <w14:ligatures w14:val="standardContextual"/>
        </w:rPr>
      </w:pPr>
      <w:r w:rsidRPr="001B3C5D">
        <w:rPr>
          <w:rFonts w:ascii="Aptos" w:eastAsia="Aptos" w:hAnsi="Aptos" w:cs="Times New Roman"/>
          <w:kern w:val="2"/>
          <w:sz w:val="24"/>
          <w:szCs w:val="24"/>
          <w:lang w:val="es-ES"/>
          <w14:ligatures w14:val="standardContextual"/>
        </w:rPr>
        <w:t xml:space="preserve">i. </w:t>
      </w:r>
      <w:r w:rsidRPr="001B3C5D">
        <w:rPr>
          <w:rFonts w:ascii="Verdana" w:eastAsia="Aptos" w:hAnsi="Verdana" w:cs="Times New Roman"/>
          <w:kern w:val="2"/>
          <w:lang w:val="es-MX"/>
          <w14:ligatures w14:val="standardContextual"/>
        </w:rPr>
        <w:t xml:space="preserve">El 22 de julio de 2020 se sancionó la Ley 2022, por medio de la cual se modificó el artículo 4 de la Ley 1882 de 2018. El objetivo de la modificación consiste en que los documentos tipo sean un referente obligatorio en la elaboración de cualquier pliego de condiciones y no solo en los relacionados con procesos de obra pública. De igual manera, busca que el contrato estatal pueda ser utilizado racionalmente como instrumento de ejecución de los recursos públicos, para </w:t>
      </w:r>
      <w:r w:rsidRPr="001B3C5D">
        <w:rPr>
          <w:rFonts w:ascii="Verdana" w:eastAsia="Aptos" w:hAnsi="Verdana" w:cs="Times New Roman"/>
          <w:kern w:val="2"/>
          <w:lang w:val="es-MX"/>
          <w14:ligatures w14:val="standardContextual"/>
        </w:rPr>
        <w:lastRenderedPageBreak/>
        <w:t>garantizar el cumplimiento de los fines del Estado y la satisfacción de las necesidades de la comunidad</w:t>
      </w:r>
      <w:r w:rsidRPr="001B3C5D">
        <w:rPr>
          <w:rFonts w:ascii="Verdana" w:eastAsia="Aptos" w:hAnsi="Verdana" w:cs="Times New Roman"/>
          <w:kern w:val="2"/>
          <w:vertAlign w:val="superscript"/>
          <w:lang w:val="es-MX"/>
          <w14:ligatures w14:val="standardContextual"/>
        </w:rPr>
        <w:footnoteReference w:id="12"/>
      </w:r>
      <w:r w:rsidRPr="001B3C5D">
        <w:rPr>
          <w:rFonts w:ascii="Verdana" w:eastAsia="Aptos" w:hAnsi="Verdana" w:cs="Times New Roman"/>
          <w:kern w:val="2"/>
          <w:lang w:val="es-MX"/>
          <w14:ligatures w14:val="standardContextual"/>
        </w:rPr>
        <w:t>.</w:t>
      </w:r>
      <w:r w:rsidRPr="001B3C5D">
        <w:rPr>
          <w:rFonts w:ascii="Aptos" w:eastAsia="Aptos" w:hAnsi="Aptos" w:cs="Times New Roman"/>
          <w:kern w:val="2"/>
          <w:sz w:val="24"/>
          <w:szCs w:val="24"/>
          <w:lang w:val="es-MX"/>
          <w14:ligatures w14:val="standardContextual"/>
        </w:rPr>
        <w:t xml:space="preserve"> </w:t>
      </w:r>
    </w:p>
    <w:p w14:paraId="69C530EB" w14:textId="77777777" w:rsidR="004453A9" w:rsidRPr="001B3C5D" w:rsidRDefault="004453A9" w:rsidP="004453A9">
      <w:pPr>
        <w:tabs>
          <w:tab w:val="left" w:pos="709"/>
        </w:tabs>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establece que la Agencia Nacional de Contratación Pública – Colombia Compra Eficiente o quien haga sus veces, adoptará documentos tipo que serán de obligatorio cumplimiento en la actividad contractual de todas las entidades sometidas al Estatuto General de Contratación de la Administración Pública</w:t>
      </w:r>
      <w:r w:rsidRPr="001B3C5D">
        <w:rPr>
          <w:rFonts w:ascii="Verdana" w:eastAsia="Calibri" w:hAnsi="Verdana" w:cs="Arial"/>
          <w:color w:val="000000"/>
          <w:vertAlign w:val="superscript"/>
          <w:lang w:val="es-MX"/>
        </w:rPr>
        <w:footnoteReference w:id="13"/>
      </w:r>
      <w:r w:rsidRPr="001B3C5D">
        <w:rPr>
          <w:rFonts w:ascii="Verdana" w:eastAsia="Calibri" w:hAnsi="Verdana" w:cs="Arial"/>
          <w:color w:val="000000"/>
          <w:lang w:val="es-MX"/>
        </w:rPr>
        <w:t>. Así mismo, señala que, 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CF28974" w14:textId="77777777" w:rsidR="004453A9" w:rsidRPr="001B3C5D" w:rsidRDefault="004453A9" w:rsidP="004453A9">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 xml:space="preserve">Por su parte, indica que, con el ánimo de promover la descentralización, el empleo local, el desarrollo, los servicios e industria local, en la adopción de los documentos tipo, se tendrán en cuenta las características propias de las </w:t>
      </w:r>
      <w:r w:rsidRPr="001B3C5D">
        <w:rPr>
          <w:rFonts w:ascii="Verdana" w:eastAsia="Calibri" w:hAnsi="Verdana" w:cs="Arial"/>
          <w:color w:val="000000"/>
          <w:lang w:val="es-MX"/>
        </w:rPr>
        <w:lastRenderedPageBreak/>
        <w:t xml:space="preserve">regiones, la cuantía, el fomento de la economía local y la naturaleza y especialidad de la contratación. Para tal efecto se deberá llevar a cabo un proceso de capacitación para los municipios. </w:t>
      </w:r>
    </w:p>
    <w:p w14:paraId="0F8FF811" w14:textId="77777777" w:rsidR="004453A9" w:rsidRPr="001B3C5D" w:rsidRDefault="004453A9" w:rsidP="004453A9">
      <w:pPr>
        <w:spacing w:before="120" w:after="120" w:line="276" w:lineRule="auto"/>
        <w:ind w:firstLine="360"/>
        <w:jc w:val="both"/>
        <w:rPr>
          <w:rFonts w:ascii="Verdana" w:eastAsia="Calibri" w:hAnsi="Verdana" w:cs="Arial"/>
          <w:color w:val="000000"/>
          <w:lang w:val="es-MX"/>
        </w:rPr>
      </w:pPr>
      <w:r w:rsidRPr="001B3C5D">
        <w:rPr>
          <w:rFonts w:ascii="Verdana" w:eastAsia="Calibri" w:hAnsi="Verdana" w:cs="Arial"/>
          <w:color w:val="000000"/>
          <w:lang w:val="es-MX"/>
        </w:rPr>
        <w:t xml:space="preserve"> Además obliga a la Agencia Nacional de Contratación Pública Colombia Compra Eficiente a fijar un cronograma y definir, en coordinación con las entidades técnicas o especializadas correspondientes, el procedimiento para implementar gradualmente los documentos tipo, con el propósito de facilitar su incorporación en el sistema de compra pública, debiendo establecer un procedimiento para recibir y revisar comentarios de los interesados, así como un sistema para la revisión constante de los documentos tipo que expida. </w:t>
      </w:r>
    </w:p>
    <w:p w14:paraId="212C5E3F" w14:textId="77777777" w:rsidR="004453A9" w:rsidRPr="001B3C5D" w:rsidRDefault="004453A9" w:rsidP="004453A9">
      <w:pPr>
        <w:spacing w:before="120" w:after="120" w:line="276" w:lineRule="auto"/>
        <w:ind w:firstLine="642"/>
        <w:jc w:val="both"/>
        <w:rPr>
          <w:rFonts w:ascii="Verdana" w:eastAsia="Calibri" w:hAnsi="Verdana" w:cs="Arial"/>
          <w:color w:val="000000"/>
          <w:lang w:val="es-MX"/>
        </w:rPr>
      </w:pPr>
      <w:r w:rsidRPr="001B3C5D">
        <w:rPr>
          <w:rFonts w:ascii="Verdana" w:eastAsia="Calibri" w:hAnsi="Verdana" w:cs="Arial"/>
          <w:color w:val="000000"/>
          <w:lang w:val="es-MX"/>
        </w:rPr>
        <w:t>La norma señala que, en todo caso, serán de uso obligatorio los documentos tipo para los pliegos de condiciones de los procesos de selección de obras públicas, interventoría para las obras públicas, interventoría para consultoría de estudios y diseños para obras públicas, consultoría e ingeniería para obras, que llevan a cabo todas las entidades sometidas al Estatuto General de Contratación de la Administración Pública, es decir, aquellas entidades estatales mencionadas en el artículo 2º de la Ley 80 de 1993</w:t>
      </w:r>
      <w:r w:rsidRPr="001B3C5D">
        <w:rPr>
          <w:rFonts w:ascii="Verdana" w:eastAsia="Calibri" w:hAnsi="Verdana" w:cs="Arial"/>
          <w:color w:val="000000"/>
          <w:vertAlign w:val="superscript"/>
          <w:lang w:val="es-MX"/>
        </w:rPr>
        <w:footnoteReference w:id="14"/>
      </w:r>
      <w:r w:rsidRPr="001B3C5D">
        <w:rPr>
          <w:rFonts w:ascii="Verdana" w:eastAsia="Calibri" w:hAnsi="Verdana" w:cs="Arial"/>
          <w:color w:val="000000"/>
          <w:lang w:val="es-MX"/>
        </w:rPr>
        <w:t>. Esto significa, de una parte, que dichos documentos tipo tienen como fin servir como fuente obligatoria para la elaboración de los pliegos de condiciones y, de otra, que los documentos tipo adoptados por la Agencia son obligatorios por expreso mandato del legislador para las entidades sometidas a la Ley 80 de 1993.</w:t>
      </w:r>
    </w:p>
    <w:p w14:paraId="3E2867F6" w14:textId="77777777" w:rsidR="004453A9" w:rsidRPr="001B3C5D" w:rsidRDefault="004453A9" w:rsidP="004453A9">
      <w:pPr>
        <w:spacing w:before="120" w:after="120" w:line="276" w:lineRule="auto"/>
        <w:ind w:firstLine="642"/>
        <w:jc w:val="both"/>
        <w:rPr>
          <w:rFonts w:ascii="Verdana" w:eastAsia="Aptos" w:hAnsi="Verdana" w:cs="Arial"/>
          <w:kern w:val="2"/>
          <w:lang w:val="es-ES"/>
          <w14:ligatures w14:val="standardContextual"/>
        </w:rPr>
      </w:pPr>
      <w:r w:rsidRPr="001B3C5D">
        <w:rPr>
          <w:rFonts w:ascii="Verdana" w:eastAsia="Calibri" w:hAnsi="Verdana" w:cs="Arial"/>
          <w:color w:val="000000"/>
          <w:lang w:val="es-MX"/>
        </w:rPr>
        <w:t xml:space="preserve">Con la finalidad de realizar un desarrollo armónico y ajustado a la ley que otorga esta competencia, la Agencia Nacional de Contratación Pública expidió la </w:t>
      </w:r>
      <w:r w:rsidRPr="001B3C5D">
        <w:rPr>
          <w:rFonts w:ascii="Verdana" w:eastAsia="Calibri" w:hAnsi="Verdana" w:cs="Arial"/>
          <w:color w:val="000000"/>
          <w:lang w:val="es-MX"/>
        </w:rPr>
        <w:lastRenderedPageBreak/>
        <w:t xml:space="preserve">Resolución 160 del 15 de septiembre de 2020 “Por la cual se adopta el procedimiento para implementar los documentos tipo y se define el sistema para su revisión”. Asimismo, con fundamento en dicha Ley, se </w:t>
      </w:r>
      <w:r w:rsidRPr="001B3C5D">
        <w:rPr>
          <w:rFonts w:ascii="Verdana" w:eastAsia="Aptos" w:hAnsi="Verdana" w:cs="Arial"/>
          <w:kern w:val="2"/>
          <w:lang w:val="es-ES"/>
          <w14:ligatures w14:val="standardContextual"/>
        </w:rPr>
        <w:t>expidió diversos grupos de documentos tipo aplicables principalmente a la contratación de obras públicas de infraestructura de transporte,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2F291060" w14:textId="77777777" w:rsidR="004453A9" w:rsidRPr="001B3C5D" w:rsidRDefault="004453A9" w:rsidP="004453A9">
      <w:pPr>
        <w:spacing w:after="120" w:line="276" w:lineRule="auto"/>
        <w:ind w:firstLine="708"/>
        <w:jc w:val="both"/>
        <w:rPr>
          <w:rFonts w:ascii="Verdana" w:eastAsia="Calibri" w:hAnsi="Verdana" w:cs="Arial"/>
          <w:kern w:val="2"/>
          <w14:ligatures w14:val="standardContextual"/>
        </w:rPr>
      </w:pPr>
      <w:r w:rsidRPr="001B3C5D">
        <w:rPr>
          <w:rFonts w:ascii="Verdana" w:eastAsia="Aptos" w:hAnsi="Verdana" w:cs="Arial"/>
          <w:kern w:val="2"/>
          <w14:ligatures w14:val="standardContextual"/>
        </w:rPr>
        <w:t xml:space="preserve">Concretamente, con fundamento en el artículo 1 de la Ley 2022 de 2020, </w:t>
      </w:r>
      <w:r w:rsidRPr="001B3C5D">
        <w:rPr>
          <w:rFonts w:ascii="Verdana" w:eastAsia="Calibri" w:hAnsi="Verdana" w:cs="Arial"/>
          <w:kern w:val="2"/>
          <w:lang w:val="es-MX"/>
          <w14:ligatures w14:val="standardContextual"/>
        </w:rPr>
        <w:t xml:space="preserve">la Agencia Nacional de Contratación Pública – Colombia Compra </w:t>
      </w:r>
      <w:r w:rsidRPr="001B3C5D">
        <w:rPr>
          <w:rFonts w:ascii="Verdana" w:eastAsia="Calibri" w:hAnsi="Verdana" w:cs="Arial"/>
          <w:kern w:val="2"/>
          <w14:ligatures w14:val="standardContextual"/>
        </w:rPr>
        <w:t>Eficiente expidió los siguientes documentos tipo que se encuentran vigentes:</w:t>
      </w:r>
    </w:p>
    <w:p w14:paraId="5565FBB4"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Sector de Infraestructura de Transporte:</w:t>
      </w:r>
    </w:p>
    <w:p w14:paraId="44761782"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456 del 10 de septiembre de 2024: “Por la cual se adopta la versión 4 de los documentos tipo para los procesos de selección de licitación de obra pública de infraestructura de transporte y se deroga la Resolución 240 de 2020”.</w:t>
      </w:r>
    </w:p>
    <w:p w14:paraId="0170BE62"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5D445525"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464 del 10 de septiembre de 2024: “Por la cual se actualizan los documentos tipo para los procesos de obra pública de infraestructura de transporte adelantados bajo la modalidad de mínima cuantía”. </w:t>
      </w:r>
    </w:p>
    <w:p w14:paraId="21835857"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46E0D620"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726 del 19 de diciembre de 2024: “Por la cual se adopta la versión 2 de los documentos tipo para los procesos de selección de concurso de </w:t>
      </w:r>
      <w:r w:rsidRPr="001B3C5D">
        <w:rPr>
          <w:rFonts w:ascii="Verdana" w:eastAsia="Aptos" w:hAnsi="Verdana" w:cs="Arial"/>
          <w:kern w:val="2"/>
          <w14:ligatures w14:val="standardContextual"/>
        </w:rPr>
        <w:lastRenderedPageBreak/>
        <w:t>méritos para contratar la consultoría de ingeniería de infraestructura de transporte y se deroga la Resolución 193 de 2021”.</w:t>
      </w:r>
    </w:p>
    <w:p w14:paraId="3A835F45"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Sector de Infraestructura de Agua Potable y Saneamiento Básico:</w:t>
      </w:r>
    </w:p>
    <w:p w14:paraId="5CEAA525"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Resolución 248 del 1 de diciembre de 2020: "Por la cual se adoptan los documentos tipo para los procesos de licitación pública para obras de infraestructura de agua potable y saneamiento básico"</w:t>
      </w:r>
    </w:p>
    <w:p w14:paraId="30CE566E"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Resolución 249 del 1 de diciembre de 2020: “"Por la cual se adoptan los documentos tipo para los procesos de licitación pública para obras de infraestructura de agua potable y saneamiento básico en la modalidad de llave en mano".</w:t>
      </w:r>
    </w:p>
    <w:p w14:paraId="76D69991"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333 del 27 de julio de 2022: “Por la cual se adoptan los documentos tipo para los procesos de selección de concurso de méritos para contratar la interventoría de obras públicas de infraestructura de agua potable y saneamiento básico”.  </w:t>
      </w:r>
    </w:p>
    <w:p w14:paraId="21CE4730"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Sector de Infraestructura Social: </w:t>
      </w:r>
    </w:p>
    <w:p w14:paraId="018DCB7E"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37C44617"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 </w:t>
      </w:r>
      <w:proofErr w:type="spellStart"/>
      <w:r w:rsidRPr="001B3C5D">
        <w:rPr>
          <w:rFonts w:ascii="Verdana" w:eastAsia="Aptos" w:hAnsi="Verdana" w:cs="Arial"/>
          <w:kern w:val="2"/>
          <w14:ligatures w14:val="standardContextual"/>
        </w:rPr>
        <w:t>ii</w:t>
      </w:r>
      <w:proofErr w:type="spellEnd"/>
      <w:r w:rsidRPr="001B3C5D">
        <w:rPr>
          <w:rFonts w:ascii="Verdana" w:eastAsia="Aptos" w:hAnsi="Verdana" w:cs="Arial"/>
          <w:kern w:val="2"/>
          <w14:ligatures w14:val="standardContextual"/>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7FC1A55D"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iii</w:t>
      </w:r>
      <w:proofErr w:type="spellEnd"/>
      <w:r w:rsidRPr="001B3C5D">
        <w:rPr>
          <w:rFonts w:ascii="Verdana" w:eastAsia="Aptos" w:hAnsi="Verdana" w:cs="Arial"/>
          <w:kern w:val="2"/>
          <w14:ligatures w14:val="standardContextual"/>
        </w:rPr>
        <w:t xml:space="preserve">) Resolución 541 del 21 de agosto de 2025 “Por la cual se adoptan los documentos tipo para los procesos de mínima cuantía de obra pública de infraestructura social; y los documentos tipo complementarios para los procesos </w:t>
      </w:r>
      <w:r w:rsidRPr="001B3C5D">
        <w:rPr>
          <w:rFonts w:ascii="Verdana" w:eastAsia="Aptos" w:hAnsi="Verdana" w:cs="Arial"/>
          <w:kern w:val="2"/>
          <w14:ligatures w14:val="standardContextual"/>
        </w:rPr>
        <w:lastRenderedPageBreak/>
        <w:t xml:space="preserve">de mínima cuantía de obra pública de infraestructura social relacionados con los sectores educación, salud, cultura, recreación y deporte, institucional y vivienda”. </w:t>
      </w:r>
    </w:p>
    <w:p w14:paraId="42F1D141"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51F576D1"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50DBFF59"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proofErr w:type="spellStart"/>
      <w:r w:rsidRPr="001B3C5D">
        <w:rPr>
          <w:rFonts w:ascii="Verdana" w:eastAsia="Aptos" w:hAnsi="Verdana" w:cs="Arial"/>
          <w:kern w:val="2"/>
          <w14:ligatures w14:val="standardContextual"/>
        </w:rPr>
        <w:t>iv</w:t>
      </w:r>
      <w:proofErr w:type="spellEnd"/>
      <w:r w:rsidRPr="001B3C5D">
        <w:rPr>
          <w:rFonts w:ascii="Verdana" w:eastAsia="Aptos" w:hAnsi="Verdana" w:cs="Arial"/>
          <w:kern w:val="2"/>
          <w14:ligatures w14:val="standardContextual"/>
        </w:rPr>
        <w:t>. Documentos tipo para la contratación directa de convenios solidarios:</w:t>
      </w:r>
    </w:p>
    <w:p w14:paraId="22DFE7DA" w14:textId="77777777" w:rsidR="004453A9" w:rsidRPr="001B3C5D" w:rsidRDefault="004453A9" w:rsidP="004453A9">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Arial"/>
          <w:kern w:val="2"/>
          <w14:ligatures w14:val="standardContextual"/>
        </w:rPr>
        <w:t>Resolución 358 del 30 de junio de 2023 “</w:t>
      </w:r>
      <w:r w:rsidRPr="001B3C5D">
        <w:rPr>
          <w:rFonts w:ascii="Verdana" w:eastAsia="Aptos" w:hAnsi="Verdana" w:cs="Times New Roman"/>
          <w:kern w:val="2"/>
          <w14:ligatures w14:val="standardContextual"/>
        </w:rPr>
        <w:t xml:space="preserve">Por la cual se adopta el documento tipo para la contratación directa de convenios solidarios para la ejecución de obras hasta la menor cuantía con organismos de acción comunal”. </w:t>
      </w:r>
    </w:p>
    <w:p w14:paraId="02CE6CF7" w14:textId="77777777" w:rsidR="004453A9" w:rsidRPr="001B3C5D" w:rsidRDefault="004453A9" w:rsidP="004453A9">
      <w:pPr>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Documentos tipo de gestión catastral: </w:t>
      </w:r>
    </w:p>
    <w:p w14:paraId="4437003E" w14:textId="77777777" w:rsidR="004453A9" w:rsidRPr="001B3C5D" w:rsidRDefault="004453A9" w:rsidP="004453A9">
      <w:pPr>
        <w:spacing w:after="12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 xml:space="preserve">Resolución 269 del 16 de diciembre de 2020 “Por la cual se adopta el documento tipo para los procesos de gestión catastral con enfoque multipropósito que se celebren a través de contratos interadministrativos”. </w:t>
      </w:r>
    </w:p>
    <w:p w14:paraId="0D11336E" w14:textId="77777777" w:rsidR="004453A9" w:rsidRPr="001B3C5D" w:rsidRDefault="004453A9" w:rsidP="004453A9">
      <w:pPr>
        <w:spacing w:after="0" w:line="276" w:lineRule="auto"/>
        <w:ind w:firstLine="708"/>
        <w:jc w:val="both"/>
        <w:rPr>
          <w:rFonts w:ascii="Verdana" w:eastAsia="Aptos" w:hAnsi="Verdana" w:cs="Arial"/>
          <w:kern w:val="2"/>
          <w14:ligatures w14:val="standardContextual"/>
        </w:rPr>
      </w:pPr>
      <w:r w:rsidRPr="001B3C5D">
        <w:rPr>
          <w:rFonts w:ascii="Verdana" w:eastAsia="Aptos" w:hAnsi="Verdana" w:cs="Arial"/>
          <w:kern w:val="2"/>
          <w14:ligatures w14:val="standardContextual"/>
        </w:rPr>
        <w:t>Las resoluciones señaladas reiteran el alcance de la obligatoriedad de los documentos tipo en la materia y establecen parámetros obligatorios para las entidades estatales obligadas a su aplicación, siempre que las actividades que se contraten estén incluidas en la “Matriz – Experiencia”, de acuerdo con el documento tipo a aplicar. Así, para determinar el ámbito de aplicación de los documentos tipo debe acudirse a la “Matriz – Experiencia”, en la que se contemplan las clases de obra aplicables al sector, sean de infraestructura de transporte, agua potable y saneamiento básico o infraestructura social.</w:t>
      </w:r>
    </w:p>
    <w:p w14:paraId="67EEB277" w14:textId="77777777" w:rsidR="004453A9" w:rsidRPr="001B3C5D" w:rsidRDefault="004453A9" w:rsidP="004453A9">
      <w:pPr>
        <w:spacing w:after="0" w:line="276" w:lineRule="auto"/>
        <w:ind w:firstLine="708"/>
        <w:jc w:val="both"/>
        <w:rPr>
          <w:rFonts w:ascii="Verdana" w:eastAsia="Aptos" w:hAnsi="Verdana" w:cs="Arial"/>
          <w:kern w:val="2"/>
          <w14:ligatures w14:val="standardContextual"/>
        </w:rPr>
      </w:pPr>
    </w:p>
    <w:p w14:paraId="4B415F37" w14:textId="77777777" w:rsidR="004453A9" w:rsidRPr="001B3C5D" w:rsidRDefault="004453A9" w:rsidP="004453A9">
      <w:pPr>
        <w:spacing w:after="120" w:line="276" w:lineRule="auto"/>
        <w:ind w:firstLine="708"/>
        <w:jc w:val="both"/>
        <w:rPr>
          <w:rFonts w:ascii="Verdana" w:eastAsia="Times New Roman" w:hAnsi="Verdana" w:cs="Arial"/>
          <w:szCs w:val="24"/>
          <w:lang w:eastAsia="es-MX"/>
        </w:rPr>
      </w:pPr>
      <w:r w:rsidRPr="001B3C5D">
        <w:rPr>
          <w:rFonts w:ascii="Verdana" w:eastAsia="Times New Roman" w:hAnsi="Verdana" w:cs="Arial"/>
          <w:szCs w:val="24"/>
          <w:lang w:eastAsia="es-MX"/>
        </w:rPr>
        <w:lastRenderedPageBreak/>
        <w:t xml:space="preserve">Como se explicó en acápites anteriores, la Ley 2022 de 2020 facultó a la Agencia Nacional de Contratación Pública – Colombia Compra Eficiente para adoptar documentos tipo que serán de obligatorio cumplimiento en la actividad contractual de las entidades sometidas al Estatuto General de Contratación de la Administración Pública. De este modo, la intención del legislador fue otorgarle esta facultad al ente rector del Sistema de Compra Pública. </w:t>
      </w:r>
    </w:p>
    <w:p w14:paraId="25EE8E9C" w14:textId="77777777" w:rsidR="004453A9" w:rsidRPr="001B3C5D" w:rsidRDefault="004453A9" w:rsidP="004453A9">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szCs w:val="24"/>
          <w:lang w:eastAsia="es-MX"/>
        </w:rPr>
        <w:t>Al respecto, la jurisprudencia constitucional ha reconocido a los organismos y a las autoridades que “en la jerarquía administrativa lo suceden al presidente de la República, una cierta competencia regulativa, de carácter residual, accesoria o auxiliar, que los habilita para insertar la voluntad del legislador en las últimas posibilidades de aplicación de la norma general</w:t>
      </w:r>
      <w:r w:rsidRPr="001B3C5D">
        <w:rPr>
          <w:rFonts w:ascii="Verdana" w:eastAsia="Times New Roman" w:hAnsi="Verdana" w:cs="Arial"/>
          <w:i/>
          <w:iCs/>
          <w:szCs w:val="24"/>
          <w:vertAlign w:val="superscript"/>
          <w:lang w:eastAsia="es-MX"/>
        </w:rPr>
        <w:footnoteReference w:id="15"/>
      </w:r>
      <w:r w:rsidRPr="001B3C5D">
        <w:rPr>
          <w:rFonts w:ascii="Verdana" w:eastAsia="Times New Roman" w:hAnsi="Verdana" w:cs="Arial"/>
          <w:szCs w:val="24"/>
          <w:lang w:eastAsia="es-MX"/>
        </w:rPr>
        <w:t>”</w:t>
      </w:r>
      <w:r w:rsidRPr="001B3C5D">
        <w:rPr>
          <w:rFonts w:ascii="Verdana" w:eastAsia="Times New Roman" w:hAnsi="Verdana" w:cs="Arial"/>
          <w:i/>
          <w:iCs/>
          <w:szCs w:val="24"/>
          <w:lang w:eastAsia="es-MX"/>
        </w:rPr>
        <w:t>.</w:t>
      </w:r>
      <w:r w:rsidRPr="001B3C5D">
        <w:rPr>
          <w:rFonts w:ascii="Verdana" w:eastAsia="Times New Roman" w:hAnsi="Verdana" w:cs="Arial"/>
          <w:szCs w:val="24"/>
          <w:lang w:eastAsia="es-MX"/>
        </w:rPr>
        <w:t xml:space="preserve"> Además, el Consejo de Estado, Sección Primera, en la Sentencia del 29 de abril </w:t>
      </w:r>
      <w:r w:rsidRPr="001B3C5D">
        <w:rPr>
          <w:rFonts w:ascii="Verdana" w:eastAsia="Times New Roman" w:hAnsi="Verdana" w:cs="Arial"/>
          <w:lang w:eastAsia="es-MX"/>
        </w:rPr>
        <w:t>de 2015, expediente 6.096, indicó que es posible que ley atribuya facultades reglamentarias a otras autoridades administrativas, particularmente a los ministerios, sin que se entienda disminuida la potestad reglamentaria del presidente de la República</w:t>
      </w:r>
      <w:r w:rsidRPr="001B3C5D">
        <w:rPr>
          <w:rFonts w:ascii="Verdana" w:eastAsia="Times New Roman" w:hAnsi="Verdana" w:cs="Arial"/>
          <w:vertAlign w:val="superscript"/>
          <w:lang w:eastAsia="es-MX"/>
        </w:rPr>
        <w:footnoteReference w:id="16"/>
      </w:r>
      <w:r w:rsidRPr="001B3C5D">
        <w:rPr>
          <w:rFonts w:ascii="Verdana" w:eastAsia="Times New Roman" w:hAnsi="Verdana" w:cs="Arial"/>
          <w:lang w:eastAsia="es-MX"/>
        </w:rPr>
        <w:t xml:space="preserve">. </w:t>
      </w:r>
    </w:p>
    <w:p w14:paraId="4BE1B10A" w14:textId="77777777" w:rsidR="004453A9" w:rsidRPr="001B3C5D" w:rsidRDefault="004453A9" w:rsidP="004453A9">
      <w:pPr>
        <w:spacing w:after="120" w:line="276" w:lineRule="auto"/>
        <w:ind w:firstLine="708"/>
        <w:jc w:val="both"/>
        <w:rPr>
          <w:rFonts w:ascii="Verdana" w:eastAsia="Times New Roman" w:hAnsi="Verdana" w:cs="Arial"/>
          <w:lang w:eastAsia="es-MX"/>
        </w:rPr>
      </w:pPr>
      <w:r w:rsidRPr="001B3C5D">
        <w:rPr>
          <w:rFonts w:ascii="Verdana" w:eastAsia="Times New Roman" w:hAnsi="Verdana" w:cs="Arial"/>
          <w:lang w:eastAsia="es-MX"/>
        </w:rPr>
        <w:t>En efecto, la Corte Constitucional, en Sentencia C-1005 de 2008, expresó que “la justificación de esta asignación de regulación gradual consiste en que precisamente son los organismos administrativos los depositarios de información relacionada de manera directa e inmediata con el funcionamiento práctico de las herramientas de creación legislativa”</w:t>
      </w:r>
      <w:r w:rsidRPr="001B3C5D">
        <w:rPr>
          <w:rFonts w:ascii="Verdana" w:eastAsia="Times New Roman" w:hAnsi="Verdana" w:cs="Arial"/>
          <w:vertAlign w:val="superscript"/>
          <w:lang w:eastAsia="es-MX"/>
        </w:rPr>
        <w:footnoteReference w:id="17"/>
      </w:r>
      <w:r w:rsidRPr="001B3C5D">
        <w:rPr>
          <w:rFonts w:ascii="Verdana" w:eastAsia="Times New Roman" w:hAnsi="Verdana" w:cs="Arial"/>
          <w:lang w:eastAsia="es-MX"/>
        </w:rPr>
        <w:t>, lo que implica que sean estos organismos quienes deban encargarse de aquello que la Corte ha denominado como “micro regulación de la ley”. Así mismo, en la Sentencia C-917 de 2002, señaló que “la imposibilidad de previsión total por parte del órgano legislativo es -para muchos- suficiente sustento de la necesidad de que sea una entidad técnica la que produzca el reglamento correspondiente”</w:t>
      </w:r>
      <w:r w:rsidRPr="001B3C5D">
        <w:rPr>
          <w:rFonts w:ascii="Verdana" w:eastAsia="Times New Roman" w:hAnsi="Verdana" w:cs="Arial"/>
          <w:vertAlign w:val="superscript"/>
          <w:lang w:eastAsia="es-MX"/>
        </w:rPr>
        <w:footnoteReference w:id="18"/>
      </w:r>
      <w:r w:rsidRPr="001B3C5D">
        <w:rPr>
          <w:rFonts w:ascii="Verdana" w:eastAsia="Times New Roman" w:hAnsi="Verdana" w:cs="Arial"/>
          <w:lang w:eastAsia="es-MX"/>
        </w:rPr>
        <w:t>.</w:t>
      </w:r>
    </w:p>
    <w:p w14:paraId="2C51B994" w14:textId="77777777" w:rsidR="004453A9" w:rsidRPr="001B3C5D" w:rsidRDefault="004453A9" w:rsidP="004453A9">
      <w:pPr>
        <w:spacing w:after="0" w:line="276" w:lineRule="auto"/>
        <w:ind w:firstLine="708"/>
        <w:jc w:val="both"/>
        <w:rPr>
          <w:rFonts w:ascii="Verdana" w:eastAsia="Times New Roman" w:hAnsi="Verdana" w:cs="Arial"/>
          <w:lang w:eastAsia="es-CO"/>
        </w:rPr>
      </w:pPr>
      <w:r w:rsidRPr="001B3C5D">
        <w:rPr>
          <w:rFonts w:ascii="Verdana" w:eastAsia="Times New Roman" w:hAnsi="Verdana" w:cs="Arial"/>
          <w:lang w:eastAsia="es-CO"/>
        </w:rPr>
        <w:t xml:space="preserve">En este sentido, atendiendo lo previsto en el artículo 1 la Ley 2022 de 2020, </w:t>
      </w:r>
      <w:r w:rsidRPr="001B3C5D">
        <w:rPr>
          <w:rFonts w:ascii="Verdana" w:eastAsia="Times New Roman" w:hAnsi="Verdana" w:cs="Arial"/>
          <w:lang w:eastAsia="es-ES"/>
        </w:rPr>
        <w:t xml:space="preserve">debe señalarse que la Agencia Nacional de Contratación Pública – </w:t>
      </w:r>
      <w:r w:rsidRPr="001B3C5D">
        <w:rPr>
          <w:rFonts w:ascii="Verdana" w:eastAsia="Times New Roman" w:hAnsi="Verdana" w:cs="Arial"/>
          <w:lang w:eastAsia="es-ES"/>
        </w:rPr>
        <w:lastRenderedPageBreak/>
        <w:t>Colombia Compra Eficiente, es una Unidad Administrativa Especial, descentralizada de la Rama Ejecutiva del orden nacional, con personería jurídica, patrimonio propio y autonomía administrativa y financiera, adscrita al Departamento Nacional de Planeación</w:t>
      </w:r>
      <w:r w:rsidRPr="001B3C5D">
        <w:rPr>
          <w:rFonts w:ascii="Verdana" w:eastAsia="Calibri" w:hAnsi="Verdana" w:cs="Arial"/>
          <w:vertAlign w:val="superscript"/>
          <w:lang w:eastAsia="es-CO"/>
        </w:rPr>
        <w:footnoteReference w:id="19"/>
      </w:r>
      <w:r w:rsidRPr="001B3C5D">
        <w:rPr>
          <w:rFonts w:ascii="Verdana" w:eastAsia="Times New Roman" w:hAnsi="Verdana" w:cs="Arial"/>
          <w:lang w:eastAsia="es-ES"/>
        </w:rPr>
        <w:t>, que se erige como ente rector en materia de contratación pública en virtud de las funciones atribuidas por el ordenamiento jurídico, en particular en el numeral 2 del artículo 3 del</w:t>
      </w:r>
      <w:r w:rsidRPr="001B3C5D">
        <w:rPr>
          <w:rFonts w:ascii="Verdana" w:eastAsia="Times New Roman" w:hAnsi="Verdana" w:cs="Arial"/>
          <w:lang w:eastAsia="es-CO"/>
        </w:rPr>
        <w:t xml:space="preserve"> Decreto Ley 4170 de 2011, en el que se otorgó la función de:</w:t>
      </w:r>
    </w:p>
    <w:p w14:paraId="564940A6" w14:textId="77777777" w:rsidR="004453A9" w:rsidRPr="001B3C5D" w:rsidRDefault="004453A9" w:rsidP="004453A9">
      <w:pPr>
        <w:spacing w:after="0" w:line="240" w:lineRule="auto"/>
        <w:jc w:val="both"/>
        <w:rPr>
          <w:rFonts w:ascii="Verdana" w:eastAsia="Times New Roman" w:hAnsi="Verdana" w:cs="Arial"/>
          <w:lang w:eastAsia="es-CO"/>
        </w:rPr>
      </w:pPr>
    </w:p>
    <w:p w14:paraId="534210FF" w14:textId="77777777" w:rsidR="004453A9" w:rsidRPr="001B3C5D" w:rsidRDefault="004453A9" w:rsidP="004453A9">
      <w:pPr>
        <w:spacing w:after="0" w:line="240" w:lineRule="auto"/>
        <w:ind w:left="709" w:right="709"/>
        <w:jc w:val="both"/>
        <w:rPr>
          <w:rFonts w:ascii="Verdana" w:eastAsia="Times New Roman" w:hAnsi="Verdana" w:cs="Arial"/>
          <w:sz w:val="21"/>
          <w:szCs w:val="21"/>
          <w:lang w:eastAsia="es-CO"/>
        </w:rPr>
      </w:pPr>
      <w:r w:rsidRPr="001B3C5D">
        <w:rPr>
          <w:rFonts w:ascii="Verdana" w:eastAsia="Times New Roman" w:hAnsi="Verdana" w:cs="Arial"/>
          <w:sz w:val="21"/>
          <w:szCs w:val="21"/>
          <w:u w:val="single"/>
          <w:lang w:eastAsia="es-CO"/>
        </w:rPr>
        <w:t>“Desarrollar,</w:t>
      </w:r>
      <w:r w:rsidRPr="001B3C5D">
        <w:rPr>
          <w:rFonts w:ascii="Verdana" w:eastAsia="Times New Roman" w:hAnsi="Verdana" w:cs="Arial"/>
          <w:sz w:val="21"/>
          <w:szCs w:val="21"/>
          <w:lang w:eastAsia="es-CO"/>
        </w:rPr>
        <w:t xml:space="preserve"> </w:t>
      </w:r>
      <w:r w:rsidRPr="001B3C5D">
        <w:rPr>
          <w:rFonts w:ascii="Verdana" w:eastAsia="Times New Roman" w:hAnsi="Verdana" w:cs="Arial"/>
          <w:sz w:val="21"/>
          <w:szCs w:val="21"/>
          <w:u w:val="single"/>
          <w:lang w:eastAsia="es-CO"/>
        </w:rPr>
        <w:t>implementar y difundir</w:t>
      </w:r>
      <w:r w:rsidRPr="001B3C5D">
        <w:rPr>
          <w:rFonts w:ascii="Verdana" w:eastAsia="Times New Roman" w:hAnsi="Verdana" w:cs="Arial"/>
          <w:sz w:val="21"/>
          <w:szCs w:val="21"/>
          <w:lang w:eastAsia="es-CO"/>
        </w:rPr>
        <w:t xml:space="preserve"> las políticas públicas, planes, programas, </w:t>
      </w:r>
      <w:r w:rsidRPr="001B3C5D">
        <w:rPr>
          <w:rFonts w:ascii="Verdana" w:eastAsia="Times New Roman" w:hAnsi="Verdana" w:cs="Arial"/>
          <w:sz w:val="21"/>
          <w:szCs w:val="21"/>
          <w:u w:val="single"/>
          <w:lang w:eastAsia="es-CO"/>
        </w:rPr>
        <w:t>normas, instrumentos y herramientas</w:t>
      </w:r>
      <w:r w:rsidRPr="001B3C5D">
        <w:rPr>
          <w:rFonts w:ascii="Verdana" w:eastAsia="Times New Roman" w:hAnsi="Verdana" w:cs="Arial"/>
          <w:sz w:val="21"/>
          <w:szCs w:val="21"/>
          <w:lang w:eastAsia="es-CO"/>
        </w:rPr>
        <w:t xml:space="preserve"> que faciliten las compras y contratación pública del Estado y promuevan las mejores prácticas, la eficiencia, transparencia y competitividad </w:t>
      </w:r>
      <w:proofErr w:type="gramStart"/>
      <w:r w:rsidRPr="001B3C5D">
        <w:rPr>
          <w:rFonts w:ascii="Verdana" w:eastAsia="Times New Roman" w:hAnsi="Verdana" w:cs="Arial"/>
          <w:sz w:val="21"/>
          <w:szCs w:val="21"/>
          <w:lang w:eastAsia="es-CO"/>
        </w:rPr>
        <w:t>del mismo</w:t>
      </w:r>
      <w:proofErr w:type="gramEnd"/>
      <w:r w:rsidRPr="001B3C5D">
        <w:rPr>
          <w:rFonts w:ascii="Verdana" w:eastAsia="Times New Roman" w:hAnsi="Verdana" w:cs="Arial"/>
          <w:sz w:val="21"/>
          <w:szCs w:val="21"/>
          <w:lang w:eastAsia="es-CO"/>
        </w:rPr>
        <w:t>, a fin de que se cumplan los principios y procesos generales que deben gobernar la actividad contractual de las entidades públicas” (Subrayado fuera del texto).</w:t>
      </w:r>
    </w:p>
    <w:p w14:paraId="2892E7AC" w14:textId="77777777" w:rsidR="004453A9" w:rsidRPr="001B3C5D" w:rsidRDefault="004453A9" w:rsidP="004453A9">
      <w:pPr>
        <w:spacing w:after="0" w:line="240" w:lineRule="auto"/>
        <w:ind w:left="709" w:right="709"/>
        <w:jc w:val="both"/>
        <w:rPr>
          <w:rFonts w:ascii="Verdana" w:eastAsia="Times New Roman" w:hAnsi="Verdana" w:cs="Arial"/>
          <w:lang w:eastAsia="es-CO"/>
        </w:rPr>
      </w:pPr>
    </w:p>
    <w:p w14:paraId="26CE6D94" w14:textId="77777777" w:rsidR="004453A9" w:rsidRPr="001B3C5D" w:rsidRDefault="004453A9" w:rsidP="004453A9">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MX"/>
        </w:rPr>
        <w:t>Así mismo, el Decreto Ley le otorgó a la Subdirección de Gestión Contractual la función de: “</w:t>
      </w:r>
      <w:r w:rsidRPr="001B3C5D">
        <w:rPr>
          <w:rFonts w:ascii="Verdana" w:eastAsia="Times New Roman" w:hAnsi="Verdana" w:cs="Arial"/>
          <w:u w:val="single"/>
          <w:lang w:eastAsia="es-MX"/>
        </w:rPr>
        <w:t>Desarrollar e implementar</w:t>
      </w:r>
      <w:r w:rsidRPr="001B3C5D">
        <w:rPr>
          <w:rFonts w:ascii="Verdana" w:eastAsia="Times New Roman" w:hAnsi="Verdana" w:cs="Arial"/>
          <w:lang w:eastAsia="es-MX"/>
        </w:rPr>
        <w:t xml:space="preserve"> </w:t>
      </w:r>
      <w:r w:rsidRPr="001B3C5D">
        <w:rPr>
          <w:rFonts w:ascii="Verdana" w:eastAsia="Times New Roman" w:hAnsi="Verdana" w:cs="Arial"/>
          <w:u w:val="single"/>
          <w:lang w:eastAsia="es-MX"/>
        </w:rPr>
        <w:t>estándares y documentos tipo</w:t>
      </w:r>
      <w:r w:rsidRPr="001B3C5D">
        <w:rPr>
          <w:rFonts w:ascii="Verdana" w:eastAsia="Times New Roman" w:hAnsi="Verdana" w:cs="Arial"/>
          <w:lang w:eastAsia="es-MX"/>
        </w:rPr>
        <w:t xml:space="preserve"> para las diferentes etapas de la gestión contractual </w:t>
      </w:r>
      <w:r w:rsidRPr="001B3C5D">
        <w:rPr>
          <w:rFonts w:ascii="Verdana" w:eastAsia="Times New Roman" w:hAnsi="Verdana" w:cs="Times New Roman"/>
          <w:lang w:eastAsia="es-MX"/>
        </w:rPr>
        <w:t>pública”</w:t>
      </w:r>
      <w:r w:rsidRPr="001B3C5D">
        <w:rPr>
          <w:rFonts w:ascii="Verdana" w:eastAsia="Times New Roman" w:hAnsi="Verdana" w:cs="Times New Roman"/>
          <w:vertAlign w:val="superscript"/>
          <w:lang w:eastAsia="es-MX"/>
        </w:rPr>
        <w:footnoteReference w:id="20"/>
      </w:r>
      <w:r w:rsidRPr="001B3C5D">
        <w:rPr>
          <w:rFonts w:ascii="Verdana" w:eastAsia="Times New Roman" w:hAnsi="Verdana" w:cs="Arial"/>
          <w:i/>
          <w:iCs/>
          <w:lang w:eastAsia="es-ES"/>
        </w:rPr>
        <w:t>.</w:t>
      </w:r>
      <w:r w:rsidRPr="001B3C5D">
        <w:rPr>
          <w:rFonts w:ascii="Verdana" w:eastAsia="Times New Roman" w:hAnsi="Verdana" w:cs="Arial"/>
          <w:lang w:eastAsia="es-ES"/>
        </w:rPr>
        <w:t>De conformidad con lo anterior, la Agencia Nacional de Contratación Pública – Colombia Compra Eficiente es un ente rector, técnico y especializado en materia de contratación pública. De ahí que el Consejo de Estado le haya reconocido potestad regulatoria, en los siguientes términos:</w:t>
      </w:r>
    </w:p>
    <w:p w14:paraId="584E942A" w14:textId="77777777" w:rsidR="004453A9" w:rsidRPr="001B3C5D" w:rsidRDefault="004453A9" w:rsidP="004453A9">
      <w:pPr>
        <w:spacing w:after="0" w:line="240" w:lineRule="auto"/>
        <w:jc w:val="both"/>
        <w:rPr>
          <w:rFonts w:ascii="Verdana" w:eastAsia="Times New Roman" w:hAnsi="Verdana" w:cs="Arial"/>
          <w:lang w:eastAsia="es-ES"/>
        </w:rPr>
      </w:pPr>
    </w:p>
    <w:p w14:paraId="59970173" w14:textId="77777777" w:rsidR="004453A9" w:rsidRPr="001B3C5D" w:rsidRDefault="004453A9" w:rsidP="004453A9">
      <w:pPr>
        <w:spacing w:after="240" w:line="240" w:lineRule="auto"/>
        <w:ind w:left="709" w:right="709"/>
        <w:jc w:val="both"/>
        <w:rPr>
          <w:rFonts w:ascii="Verdana" w:eastAsia="Times New Roman" w:hAnsi="Verdana" w:cs="Arial"/>
          <w:i/>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Se cuenta con una base jurídica mínima que apoya la competencia de [Colombia Compra Eficiente] para [la expedición de la Circular] pues se sabe que esa Agencia […] se ubica dentro del sector descentralizado del orden nacional y cuenta dentro de su ámbito funcional con competencias atinentes a la materia de la contratación estatal, esto es, a la actividad administrativa vinculada a la provisión de bienes y/o servicios por cuenta del Estado […] y ejerce una competencia de orientación y coordinación toda vez que tiene a su cargo la formulación de políticas públicas […] y, concretamente, se le ha atribuido la competencia de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difundir las normas, reglas, procedimientos, medios tecnológicos y mejores prácticas para las compras y la contratación pública […]</w:t>
      </w: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potestad reguladora que, en todo caso, debe ejercerse </w:t>
      </w:r>
      <w:r w:rsidRPr="001B3C5D">
        <w:rPr>
          <w:rFonts w:ascii="Verdana" w:eastAsia="Times New Roman" w:hAnsi="Verdana" w:cs="Arial"/>
          <w:sz w:val="21"/>
          <w:szCs w:val="21"/>
          <w:lang w:eastAsia="es-ES"/>
        </w:rPr>
        <w:lastRenderedPageBreak/>
        <w:t>conforme a la Ley y ajustada a la potestad reglamentaria del Gobierno Nacional</w:t>
      </w:r>
      <w:r w:rsidRPr="001B3C5D">
        <w:rPr>
          <w:rFonts w:ascii="Verdana" w:eastAsia="Times New Roman" w:hAnsi="Verdana" w:cs="Arial"/>
          <w:sz w:val="21"/>
          <w:szCs w:val="21"/>
          <w:lang w:eastAsia="es-MX"/>
        </w:rPr>
        <w:t>”</w:t>
      </w:r>
      <w:r w:rsidRPr="001B3C5D">
        <w:rPr>
          <w:rFonts w:ascii="Verdana" w:eastAsia="Times New Roman" w:hAnsi="Verdana" w:cs="Arial"/>
          <w:i/>
          <w:iCs/>
          <w:sz w:val="21"/>
          <w:szCs w:val="21"/>
          <w:vertAlign w:val="superscript"/>
          <w:lang w:eastAsia="es-MX"/>
        </w:rPr>
        <w:footnoteReference w:id="21"/>
      </w:r>
      <w:r w:rsidRPr="001B3C5D">
        <w:rPr>
          <w:rFonts w:ascii="Verdana" w:eastAsia="Times New Roman" w:hAnsi="Verdana" w:cs="Arial"/>
          <w:i/>
          <w:iCs/>
          <w:sz w:val="21"/>
          <w:szCs w:val="21"/>
          <w:lang w:eastAsia="es-ES"/>
        </w:rPr>
        <w:t xml:space="preserve">. </w:t>
      </w:r>
    </w:p>
    <w:p w14:paraId="111F6BBA" w14:textId="77777777" w:rsidR="004453A9" w:rsidRPr="001B3C5D" w:rsidRDefault="004453A9" w:rsidP="004453A9">
      <w:pPr>
        <w:spacing w:after="0" w:line="276" w:lineRule="auto"/>
        <w:ind w:firstLine="708"/>
        <w:jc w:val="both"/>
        <w:rPr>
          <w:rFonts w:ascii="Verdana" w:eastAsia="Times New Roman" w:hAnsi="Verdana" w:cs="Arial"/>
          <w:lang w:eastAsia="es-ES"/>
        </w:rPr>
      </w:pPr>
      <w:r w:rsidRPr="001B3C5D">
        <w:rPr>
          <w:rFonts w:ascii="Verdana" w:eastAsia="Times New Roman" w:hAnsi="Verdana" w:cs="Arial"/>
          <w:lang w:eastAsia="es-ES"/>
        </w:rPr>
        <w:t>Lo anterior fue reiterado por el Consejo de Estado, en la sentencia del 16 de agosto de 2017, en el expediente 56.166, en los siguientes términos:</w:t>
      </w:r>
    </w:p>
    <w:p w14:paraId="7D7474F7" w14:textId="77777777" w:rsidR="004453A9" w:rsidRPr="001B3C5D" w:rsidRDefault="004453A9" w:rsidP="004453A9">
      <w:pPr>
        <w:spacing w:after="0" w:line="240" w:lineRule="auto"/>
        <w:jc w:val="both"/>
        <w:rPr>
          <w:rFonts w:ascii="Verdana" w:eastAsia="Times New Roman" w:hAnsi="Verdana" w:cs="Arial"/>
          <w:lang w:eastAsia="es-ES"/>
        </w:rPr>
      </w:pPr>
    </w:p>
    <w:p w14:paraId="77B822FC" w14:textId="77777777" w:rsidR="004453A9" w:rsidRPr="001B3C5D" w:rsidRDefault="004453A9" w:rsidP="004453A9">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Dígase que ese poder de regulación normativa en cabeza de CCE se ejerce </w:t>
      </w:r>
      <w:proofErr w:type="spellStart"/>
      <w:r w:rsidRPr="001B3C5D">
        <w:rPr>
          <w:rFonts w:ascii="Verdana" w:eastAsia="Times New Roman" w:hAnsi="Verdana" w:cs="Arial"/>
          <w:i/>
          <w:iCs/>
          <w:sz w:val="21"/>
          <w:szCs w:val="21"/>
          <w:lang w:eastAsia="es-ES"/>
        </w:rPr>
        <w:t>secundum</w:t>
      </w:r>
      <w:proofErr w:type="spellEnd"/>
      <w:r w:rsidRPr="001B3C5D">
        <w:rPr>
          <w:rFonts w:ascii="Verdana" w:eastAsia="Times New Roman" w:hAnsi="Verdana" w:cs="Arial"/>
          <w:i/>
          <w:iCs/>
          <w:sz w:val="21"/>
          <w:szCs w:val="21"/>
          <w:lang w:eastAsia="es-ES"/>
        </w:rPr>
        <w:t xml:space="preserve"> </w:t>
      </w:r>
      <w:proofErr w:type="spellStart"/>
      <w:r w:rsidRPr="001B3C5D">
        <w:rPr>
          <w:rFonts w:ascii="Verdana" w:eastAsia="Times New Roman" w:hAnsi="Verdana" w:cs="Arial"/>
          <w:i/>
          <w:iCs/>
          <w:sz w:val="21"/>
          <w:szCs w:val="21"/>
          <w:lang w:eastAsia="es-ES"/>
        </w:rPr>
        <w:t>legem</w:t>
      </w:r>
      <w:proofErr w:type="spellEnd"/>
      <w:r w:rsidRPr="001B3C5D">
        <w:rPr>
          <w:rFonts w:ascii="Verdana" w:eastAsia="Times New Roman" w:hAnsi="Verdana" w:cs="Arial"/>
          <w:sz w:val="21"/>
          <w:szCs w:val="21"/>
          <w:lang w:eastAsia="es-ES"/>
        </w:rPr>
        <w:t xml:space="preserve"> como también subordinado a la potestad reglamentaria del Gobierno Nacional, de suerte que no rivaliza con ésta o aquella, sino que constituye, en puridad, expresión del ejercicio de autoridad administrativa bajo habilitación legal expresa sujeta, entre otras cuestiones, a la concreción de aquellos principios y valores que subyacen a la función administrativa, de una parte, y los propios de la Constitución Económica, de otro tanto, como recién ha sido reiterado por esta Sección en asunto de similar naturaleza al aquí tratado. Con otras palabras, la Sala tiene averiguado que el poder de regulación otorgado a Colombia Compra Eficiente no es ejercicio de potestad reglamentaria constitucional, en los términos expuestos”</w:t>
      </w:r>
      <w:r w:rsidRPr="001B3C5D">
        <w:rPr>
          <w:rFonts w:ascii="Verdana" w:eastAsia="Times New Roman" w:hAnsi="Verdana" w:cs="Arial"/>
          <w:sz w:val="21"/>
          <w:szCs w:val="21"/>
          <w:vertAlign w:val="superscript"/>
          <w:lang w:eastAsia="es-ES"/>
        </w:rPr>
        <w:footnoteReference w:id="22"/>
      </w:r>
      <w:r w:rsidRPr="001B3C5D">
        <w:rPr>
          <w:rFonts w:ascii="Verdana" w:eastAsia="Times New Roman" w:hAnsi="Verdana" w:cs="Arial"/>
          <w:sz w:val="21"/>
          <w:szCs w:val="21"/>
          <w:lang w:eastAsia="es-ES"/>
        </w:rPr>
        <w:t>.</w:t>
      </w:r>
    </w:p>
    <w:p w14:paraId="6E23161B" w14:textId="77777777" w:rsidR="004453A9" w:rsidRPr="001B3C5D" w:rsidRDefault="004453A9" w:rsidP="004453A9">
      <w:pPr>
        <w:spacing w:after="0" w:line="240" w:lineRule="auto"/>
        <w:ind w:left="709" w:right="709"/>
        <w:jc w:val="both"/>
        <w:rPr>
          <w:rFonts w:ascii="Verdana" w:eastAsia="Times New Roman" w:hAnsi="Verdana" w:cs="Arial"/>
          <w:lang w:eastAsia="es-ES"/>
        </w:rPr>
      </w:pPr>
    </w:p>
    <w:p w14:paraId="5313EDB0" w14:textId="77777777" w:rsidR="004453A9" w:rsidRPr="001B3C5D" w:rsidRDefault="004453A9" w:rsidP="004453A9">
      <w:pPr>
        <w:tabs>
          <w:tab w:val="center" w:pos="4419"/>
          <w:tab w:val="right" w:pos="8838"/>
        </w:tabs>
        <w:spacing w:after="12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 xml:space="preserve"> </w:t>
      </w:r>
      <w:r w:rsidRPr="001B3C5D">
        <w:rPr>
          <w:rFonts w:ascii="Verdana" w:eastAsia="Times New Roman" w:hAnsi="Verdana" w:cs="Arial"/>
          <w:lang w:eastAsia="es-MX"/>
        </w:rPr>
        <w:t>En la misma sentencia, el Consejo de Estado señaló la existencia de límites en el ejercicio de la facultad de regulación de las autoridades administrativas, las cuales se encaminan a concretar aspectos residuales y complementarios de la legislación general, sujeta en todo caso, a lo que dispongan los órdenes normativos de más alto rango, es decir, la Constitución y la ley. Esto en la medida que el ejercicio de esta facultad de regulación “en ningún caso implica el reconocimiento de una potestad autónoma y desligada de cualquier límite</w:t>
      </w:r>
      <w:r w:rsidRPr="001B3C5D">
        <w:rPr>
          <w:rFonts w:ascii="Verdana" w:eastAsia="MS Mincho" w:hAnsi="Verdana" w:cs="Arial"/>
          <w:vertAlign w:val="superscript"/>
          <w:lang w:eastAsia="es-ES"/>
        </w:rPr>
        <w:footnoteReference w:id="23"/>
      </w:r>
      <w:r w:rsidRPr="001B3C5D">
        <w:rPr>
          <w:rFonts w:ascii="Verdana" w:eastAsia="Times New Roman" w:hAnsi="Verdana" w:cs="Arial"/>
          <w:lang w:eastAsia="es-ES"/>
        </w:rPr>
        <w:t>.</w:t>
      </w:r>
    </w:p>
    <w:p w14:paraId="3E9257B9" w14:textId="77777777" w:rsidR="004453A9" w:rsidRPr="001B3C5D" w:rsidRDefault="004453A9" w:rsidP="004453A9">
      <w:pPr>
        <w:tabs>
          <w:tab w:val="center" w:pos="4419"/>
          <w:tab w:val="right" w:pos="8838"/>
        </w:tabs>
        <w:spacing w:after="0" w:line="276" w:lineRule="auto"/>
        <w:ind w:firstLine="709"/>
        <w:jc w:val="both"/>
        <w:rPr>
          <w:rFonts w:ascii="Verdana" w:eastAsia="Times New Roman" w:hAnsi="Verdana" w:cs="Arial"/>
          <w:lang w:eastAsia="es-ES"/>
        </w:rPr>
      </w:pPr>
      <w:r w:rsidRPr="001B3C5D">
        <w:rPr>
          <w:rFonts w:ascii="Verdana" w:eastAsia="Times New Roman" w:hAnsi="Verdana" w:cs="Arial"/>
          <w:lang w:eastAsia="es-ES"/>
        </w:rPr>
        <w:t>Conviene reiterar que, conforme con lo manifestado por el Consejo de Estado</w:t>
      </w:r>
      <w:r w:rsidRPr="001B3C5D">
        <w:rPr>
          <w:rFonts w:ascii="Verdana" w:eastAsia="Times New Roman" w:hAnsi="Verdana" w:cs="Arial"/>
          <w:vertAlign w:val="superscript"/>
          <w:lang w:eastAsia="es-ES"/>
        </w:rPr>
        <w:footnoteReference w:id="24"/>
      </w:r>
      <w:r w:rsidRPr="001B3C5D">
        <w:rPr>
          <w:rFonts w:ascii="Verdana" w:eastAsia="Times New Roman" w:hAnsi="Verdana" w:cs="Arial"/>
          <w:lang w:eastAsia="es-ES"/>
        </w:rPr>
        <w:t xml:space="preserve">, la facultad que recae en la Agencia Nacional de Contratación Pública – Colombia Compra Eficiente para regular aspectos técnicos en el marco de las competencias que le fueron otorgadas por el Decreto Ley 4170 de 2011, como es el caso del desarrollo e implementación de documentos tipo, no implica </w:t>
      </w:r>
      <w:r w:rsidRPr="001B3C5D">
        <w:rPr>
          <w:rFonts w:ascii="Verdana" w:eastAsia="Times New Roman" w:hAnsi="Verdana" w:cs="Arial"/>
          <w:lang w:eastAsia="es-ES"/>
        </w:rPr>
        <w:lastRenderedPageBreak/>
        <w:t>modificar el esquema constitucional establecido para el ejercicio de la potestad reglamentaria en cabeza del Gobierno Nacional:</w:t>
      </w:r>
    </w:p>
    <w:p w14:paraId="0F3C256F" w14:textId="77777777" w:rsidR="004453A9" w:rsidRPr="001B3C5D" w:rsidRDefault="004453A9" w:rsidP="004453A9">
      <w:pPr>
        <w:tabs>
          <w:tab w:val="center" w:pos="4419"/>
          <w:tab w:val="right" w:pos="8838"/>
        </w:tabs>
        <w:spacing w:after="0" w:line="240" w:lineRule="auto"/>
        <w:jc w:val="both"/>
        <w:rPr>
          <w:rFonts w:ascii="Verdana" w:eastAsia="Times New Roman" w:hAnsi="Verdana" w:cs="Arial"/>
          <w:lang w:eastAsia="es-ES"/>
        </w:rPr>
      </w:pPr>
    </w:p>
    <w:p w14:paraId="1174C2E8" w14:textId="77777777" w:rsidR="004453A9" w:rsidRPr="001B3C5D" w:rsidRDefault="004453A9" w:rsidP="004453A9">
      <w:pPr>
        <w:spacing w:after="0" w:line="240" w:lineRule="auto"/>
        <w:ind w:left="709" w:right="709"/>
        <w:jc w:val="both"/>
        <w:rPr>
          <w:rFonts w:ascii="Verdana" w:eastAsia="Times New Roman" w:hAnsi="Verdana" w:cs="Arial"/>
          <w:sz w:val="21"/>
          <w:szCs w:val="21"/>
          <w:lang w:eastAsia="es-ES"/>
        </w:rPr>
      </w:pPr>
      <w:r w:rsidRPr="001B3C5D">
        <w:rPr>
          <w:rFonts w:ascii="Verdana" w:eastAsia="Times New Roman" w:hAnsi="Verdana" w:cs="Arial"/>
          <w:sz w:val="21"/>
          <w:szCs w:val="21"/>
          <w:lang w:eastAsia="es-MX"/>
        </w:rPr>
        <w:t>“</w:t>
      </w:r>
      <w:r w:rsidRPr="001B3C5D">
        <w:rPr>
          <w:rFonts w:ascii="Verdana" w:eastAsia="Times New Roman" w:hAnsi="Verdana" w:cs="Arial"/>
          <w:sz w:val="21"/>
          <w:szCs w:val="21"/>
          <w:lang w:eastAsia="es-ES"/>
        </w:rPr>
        <w:t xml:space="preserve">(…) para la Sala resulta claro que con el Decreto-Ley 4170 de 2011 el legislador extraordinario no quiso modificar –como en efecto no lo hizo– el esquema de producción normativa establecido en la Constitución Política y, por lo mismo, las funciones asignadas a Colombia Compra Eficiente guardan una estricta lógica de jerarquía normativa respecto de las facultades reglamentarias reservadas al presidente de la República y, por supuesto, respecto de los lineamientos legislativos. No podría considerarse que con el Decreto-Ley mencionado se distribuyeron las competencias reglamentarias entre el presidente de la República y la nueva agencia, asignando a esta última todo aquello relativo a la contratación del Estado. Por el contrario, lo que resulta evidente es que </w:t>
      </w:r>
      <w:r w:rsidRPr="001B3C5D">
        <w:rPr>
          <w:rFonts w:ascii="Verdana" w:eastAsia="Times New Roman" w:hAnsi="Verdana" w:cs="Arial"/>
          <w:sz w:val="21"/>
          <w:szCs w:val="21"/>
          <w:u w:val="single"/>
          <w:lang w:eastAsia="es-ES"/>
        </w:rPr>
        <w:t>el presidente de la República cuenta ahora con una entidad especializada que lo apoya técnicamente</w:t>
      </w:r>
      <w:r w:rsidRPr="001B3C5D">
        <w:rPr>
          <w:rFonts w:ascii="Verdana" w:eastAsia="Times New Roman" w:hAnsi="Verdana" w:cs="Arial"/>
          <w:sz w:val="21"/>
          <w:szCs w:val="21"/>
          <w:lang w:eastAsia="es-ES"/>
        </w:rPr>
        <w:t xml:space="preserve"> tanto en la formulación de una política pública en materia de compras y contratación pública, </w:t>
      </w:r>
      <w:r w:rsidRPr="001B3C5D">
        <w:rPr>
          <w:rFonts w:ascii="Verdana" w:eastAsia="Times New Roman" w:hAnsi="Verdana" w:cs="Arial"/>
          <w:sz w:val="21"/>
          <w:szCs w:val="21"/>
          <w:u w:val="single"/>
          <w:lang w:eastAsia="es-ES"/>
        </w:rPr>
        <w:t>como en su labor de producción normativa, sin que por ello se desprenda de las normas pertinentes alguna suerte de escisión de las facultades</w:t>
      </w:r>
      <w:r w:rsidRPr="001B3C5D">
        <w:rPr>
          <w:rFonts w:ascii="Verdana" w:eastAsia="Times New Roman" w:hAnsi="Verdana" w:cs="Arial"/>
          <w:b/>
          <w:bCs/>
          <w:sz w:val="21"/>
          <w:szCs w:val="21"/>
          <w:lang w:eastAsia="es-ES"/>
        </w:rPr>
        <w:t>.</w:t>
      </w:r>
      <w:r w:rsidRPr="001B3C5D">
        <w:rPr>
          <w:rFonts w:ascii="Verdana" w:eastAsia="Times New Roman" w:hAnsi="Verdana" w:cs="Arial"/>
          <w:sz w:val="21"/>
          <w:szCs w:val="21"/>
          <w:lang w:eastAsia="es-ES"/>
        </w:rPr>
        <w:t xml:space="preserve"> Adicionalmente, las funciones asignadas a la Agencia, si bien pueden comportar una facultad de regulación de la actividad contractual pública, ella debe ser ejercida con sometimiento al esquema jerárquico normativo del sistema jurídico, por lo que deberá sujetarse, como consecuencia, a los dictados constitucionales, legales y a la reglamentación expedida por el presidente de la República”</w:t>
      </w:r>
      <w:r w:rsidRPr="001B3C5D">
        <w:rPr>
          <w:rFonts w:ascii="Verdana" w:eastAsia="Times New Roman" w:hAnsi="Verdana" w:cs="Arial"/>
          <w:sz w:val="21"/>
          <w:szCs w:val="21"/>
          <w:vertAlign w:val="superscript"/>
          <w:lang w:eastAsia="es-ES"/>
        </w:rPr>
        <w:footnoteReference w:id="25"/>
      </w:r>
      <w:r w:rsidRPr="001B3C5D">
        <w:rPr>
          <w:rFonts w:ascii="Verdana" w:eastAsia="Times New Roman" w:hAnsi="Verdana" w:cs="Arial"/>
          <w:i/>
          <w:iCs/>
          <w:sz w:val="21"/>
          <w:szCs w:val="21"/>
          <w:lang w:eastAsia="es-ES"/>
        </w:rPr>
        <w:t>.</w:t>
      </w:r>
      <w:r w:rsidRPr="001B3C5D">
        <w:rPr>
          <w:rFonts w:ascii="Verdana" w:eastAsia="Times New Roman" w:hAnsi="Verdana" w:cs="Arial"/>
          <w:sz w:val="21"/>
          <w:szCs w:val="21"/>
          <w:lang w:eastAsia="es-ES"/>
        </w:rPr>
        <w:t xml:space="preserve"> (Subrayado fuera del texto) </w:t>
      </w:r>
    </w:p>
    <w:p w14:paraId="4765FEDF" w14:textId="77777777" w:rsidR="004453A9" w:rsidRPr="001B3C5D" w:rsidRDefault="004453A9" w:rsidP="004453A9">
      <w:pPr>
        <w:tabs>
          <w:tab w:val="center" w:pos="4419"/>
          <w:tab w:val="right" w:pos="8838"/>
        </w:tabs>
        <w:spacing w:after="0" w:line="240" w:lineRule="auto"/>
        <w:jc w:val="both"/>
        <w:rPr>
          <w:rFonts w:ascii="Verdana" w:eastAsia="Times New Roman" w:hAnsi="Verdana" w:cs="Arial"/>
          <w:lang w:eastAsia="es-ES"/>
        </w:rPr>
      </w:pPr>
    </w:p>
    <w:p w14:paraId="2EEF7A85" w14:textId="77777777" w:rsidR="004453A9" w:rsidRPr="001B3C5D" w:rsidRDefault="004453A9" w:rsidP="004453A9">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 El anterior pronunciamiento fue proferido por parte del Consejo de Estado al estudiar la legalidad del artículo 159 del Decreto 1510 de 2013, respecto de la competencia de la Agencia Nacional de Contratación Pública - Colombia Compra Eficiente para el diseño e implementación de documentos estandarizados y especializados, dentro de los cuales se encuentran, entre otros, los documentos tipo. Al respecto, el Alto Tribunal consideró que esta competencia carecía de sustento normativo desde el punto de vista reglamentario por cuanto el artículo 2 de la Ley 1150 de 2007 confirió al Gobierno Nacional la facultad de fijar con fuerza vinculante, </w:t>
      </w:r>
      <w:r w:rsidRPr="001B3C5D">
        <w:rPr>
          <w:rFonts w:ascii="Verdana" w:eastAsia="MS Mincho" w:hAnsi="Verdana" w:cs="Arial"/>
          <w:lang w:eastAsia="es-CO"/>
        </w:rPr>
        <w:t>“</w:t>
      </w:r>
      <w:r w:rsidRPr="001B3C5D">
        <w:rPr>
          <w:rFonts w:ascii="Verdana" w:eastAsia="Times New Roman" w:hAnsi="Verdana" w:cs="Arial"/>
          <w:iCs/>
          <w:lang w:eastAsia="es-ES"/>
        </w:rPr>
        <w:t>las condiciones generales de los pliegos de condiciones y los contratos de las entidades estatales</w:t>
      </w:r>
      <w:r w:rsidRPr="001B3C5D">
        <w:rPr>
          <w:rFonts w:ascii="Verdana" w:eastAsia="MS Mincho" w:hAnsi="Verdana" w:cs="Arial"/>
          <w:lang w:eastAsia="es-CO"/>
        </w:rPr>
        <w:t>”</w:t>
      </w:r>
      <w:r w:rsidRPr="001B3C5D">
        <w:rPr>
          <w:rFonts w:ascii="Verdana" w:eastAsia="Times New Roman" w:hAnsi="Verdana" w:cs="Arial"/>
          <w:lang w:eastAsia="es-ES"/>
        </w:rPr>
        <w:t xml:space="preserve"> para la adquisición de bienes y servicios de características técnicas </w:t>
      </w:r>
      <w:r w:rsidRPr="001B3C5D">
        <w:rPr>
          <w:rFonts w:ascii="Verdana" w:eastAsia="Times New Roman" w:hAnsi="Verdana" w:cs="Arial"/>
          <w:lang w:eastAsia="es-ES"/>
        </w:rPr>
        <w:lastRenderedPageBreak/>
        <w:t xml:space="preserve">uniformes y de común utilización, sin hacer referencia a la adopción de otro tipo de contratos o modalidades. </w:t>
      </w:r>
    </w:p>
    <w:p w14:paraId="343BFB10" w14:textId="77777777" w:rsidR="004453A9" w:rsidRPr="001B3C5D" w:rsidRDefault="004453A9" w:rsidP="004453A9">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De igual manera, aclaró que en el marco normativo en el cual fue expedido el Decreto 1510 de 2013 no se contaba con la facultad legal por parte de la Agencia Nacional de Contratación Pública - Colombia Compra Eficiente para el diseño e implementación de documentos estandarizados para ninguna modalidad de contratación con efectos obligatorios para las entidades públicas, salvo el evento señalado en el parágrafo 3 del artículo 2 de la Ley 1150 de 2007.  No obstante, la expedición de la presente resolución se fundamenta en el artículo 1 de la Ley 2022 de 2020 que brinda el sustento normativo para la adopción de los documentos tipo. Esto con el fin de que la Agencia, como entidad administrativa especializada, los desarrolle e implemente dentro de los límites establecidos en la ley citada acorde con las funciones, objeto y misión de la entidad.</w:t>
      </w:r>
    </w:p>
    <w:p w14:paraId="7C1B57DF" w14:textId="77777777" w:rsidR="004453A9" w:rsidRPr="001B3C5D" w:rsidRDefault="004453A9" w:rsidP="004453A9">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Por lo tanto, a diferencia de lo establecido en el numeral 3 del artículo 159 del Decreto 1510 de 2013, esta reglamentación cuenta con un sustento jurídico suficiente, dado en el artículo 1 de la Ley 2022 de 2020 y permite a la Agencia Nacional de Contratación Pública – Colombia Compra Eficiente concretar y aterrizar la voluntad del legislador mediante el ejercicio de la potestad reglamentaria.</w:t>
      </w:r>
      <w:r w:rsidRPr="001B3C5D">
        <w:rPr>
          <w:rFonts w:ascii="Verdana" w:eastAsia="MS Mincho" w:hAnsi="Verdana" w:cs="Arial"/>
          <w:lang w:eastAsia="es-CO"/>
        </w:rPr>
        <w:t xml:space="preserve"> </w:t>
      </w:r>
    </w:p>
    <w:p w14:paraId="4006F5A8" w14:textId="77777777" w:rsidR="004453A9" w:rsidRPr="001B3C5D" w:rsidRDefault="004453A9" w:rsidP="004453A9">
      <w:pPr>
        <w:tabs>
          <w:tab w:val="center" w:pos="4419"/>
          <w:tab w:val="right" w:pos="8838"/>
        </w:tabs>
        <w:spacing w:after="120" w:line="276" w:lineRule="auto"/>
        <w:ind w:firstLine="709"/>
        <w:jc w:val="both"/>
        <w:rPr>
          <w:rFonts w:ascii="Verdana" w:eastAsia="MS Mincho" w:hAnsi="Verdana" w:cs="Arial"/>
          <w:lang w:eastAsia="es-CO"/>
        </w:rPr>
      </w:pPr>
      <w:r w:rsidRPr="001B3C5D">
        <w:rPr>
          <w:rFonts w:ascii="Verdana" w:eastAsia="Times New Roman" w:hAnsi="Verdana" w:cs="Arial"/>
          <w:lang w:eastAsia="es-ES"/>
        </w:rPr>
        <w:t xml:space="preserve">Mediante una interpretación sistemática de la normativa y jurisprudencia citada es posible concluir que esta Agencia tiene facultad de regulación de la actividad contractual pública, lo que implica la potestad para expedir normas de carácter técnico subordinadas a la Constitución y a la ley y que los documentos tipo son una manifestación de dicha potestad. En consecuencia, la Agencia Nacional de Contratación Pública – Colombia Compra Eficiente tiene la facultad de adoptar los documentos tipo, con fundamento en la potestad reglamentaria que le asignó el artículo 1º de la Ley 2022 de 2020. </w:t>
      </w:r>
    </w:p>
    <w:p w14:paraId="660AFA62" w14:textId="77777777" w:rsidR="004453A9" w:rsidRPr="001B3C5D" w:rsidRDefault="004453A9" w:rsidP="004453A9">
      <w:pPr>
        <w:tabs>
          <w:tab w:val="center" w:pos="4419"/>
          <w:tab w:val="right" w:pos="8838"/>
        </w:tabs>
        <w:spacing w:after="0" w:line="276" w:lineRule="auto"/>
        <w:ind w:firstLine="709"/>
        <w:jc w:val="both"/>
        <w:rPr>
          <w:rFonts w:ascii="Verdana" w:eastAsia="Aptos" w:hAnsi="Verdana" w:cs="Times New Roman"/>
          <w:kern w:val="2"/>
          <w:sz w:val="24"/>
          <w:szCs w:val="24"/>
          <w14:ligatures w14:val="standardContextual"/>
        </w:rPr>
      </w:pPr>
      <w:r w:rsidRPr="001B3C5D">
        <w:rPr>
          <w:rFonts w:ascii="Verdana" w:eastAsia="MS Mincho" w:hAnsi="Verdana" w:cs="Arial"/>
          <w:lang w:eastAsia="es-CO"/>
        </w:rPr>
        <w:t>I</w:t>
      </w:r>
      <w:r w:rsidRPr="001B3C5D">
        <w:rPr>
          <w:rFonts w:ascii="Verdana" w:eastAsia="Times New Roman" w:hAnsi="Verdana" w:cs="Arial"/>
          <w:lang w:eastAsia="es-ES"/>
        </w:rPr>
        <w:t>gualmente, en desarrollo de la función que recae en la Agencia Nacional de Contratación Pública – Colombia Compra Eficiente conforme al artículo 2º del Decreto Ley 4170 de 2011, la Agencia concretará la voluntad del legislador con la implementación, desarrollo, publicación, revisión y actualización de los documentos tipo, según el avance y aplicación que éstos vayan teniendo en los sectores en los cuales vienen siendo adoptados.</w:t>
      </w:r>
    </w:p>
    <w:p w14:paraId="4E345EF6" w14:textId="77777777" w:rsidR="004453A9" w:rsidRPr="001B3C5D" w:rsidRDefault="004453A9" w:rsidP="004453A9">
      <w:pPr>
        <w:tabs>
          <w:tab w:val="center" w:pos="4419"/>
          <w:tab w:val="right" w:pos="8838"/>
        </w:tabs>
        <w:spacing w:after="0" w:line="240" w:lineRule="auto"/>
        <w:ind w:firstLine="709"/>
        <w:jc w:val="both"/>
        <w:rPr>
          <w:rFonts w:ascii="Verdana" w:eastAsia="Aptos" w:hAnsi="Verdana" w:cs="Times New Roman"/>
          <w:kern w:val="2"/>
          <w:sz w:val="24"/>
          <w:szCs w:val="24"/>
          <w14:ligatures w14:val="standardContextual"/>
        </w:rPr>
      </w:pPr>
    </w:p>
    <w:p w14:paraId="4A2BE9A5" w14:textId="77777777" w:rsidR="004453A9" w:rsidRPr="001B3C5D" w:rsidRDefault="004453A9" w:rsidP="004453A9">
      <w:pPr>
        <w:tabs>
          <w:tab w:val="center" w:pos="4419"/>
          <w:tab w:val="right" w:pos="8838"/>
        </w:tabs>
        <w:spacing w:after="0" w:line="276" w:lineRule="auto"/>
        <w:jc w:val="both"/>
        <w:rPr>
          <w:rFonts w:ascii="Verdana" w:eastAsia="Calibri" w:hAnsi="Verdana" w:cs="Arial"/>
          <w:color w:val="000000"/>
          <w:lang w:val="es-ES"/>
        </w:rPr>
      </w:pPr>
      <w:proofErr w:type="spellStart"/>
      <w:r w:rsidRPr="001B3C5D">
        <w:rPr>
          <w:rFonts w:ascii="Verdana" w:eastAsia="Aptos" w:hAnsi="Verdana" w:cs="Times New Roman"/>
          <w:kern w:val="2"/>
          <w:sz w:val="24"/>
          <w:szCs w:val="24"/>
          <w14:ligatures w14:val="standardContextual"/>
        </w:rPr>
        <w:lastRenderedPageBreak/>
        <w:t>iii</w:t>
      </w:r>
      <w:proofErr w:type="spellEnd"/>
      <w:r w:rsidRPr="001B3C5D">
        <w:rPr>
          <w:rFonts w:ascii="Verdana" w:eastAsia="Aptos" w:hAnsi="Verdana" w:cs="Times New Roman"/>
          <w:kern w:val="2"/>
          <w:sz w:val="24"/>
          <w:szCs w:val="24"/>
          <w14:ligatures w14:val="standardContextual"/>
        </w:rPr>
        <w:t xml:space="preserve">. </w:t>
      </w:r>
      <w:r w:rsidRPr="001B3C5D">
        <w:rPr>
          <w:rFonts w:ascii="Verdana" w:eastAsia="Calibri" w:hAnsi="Verdana" w:cs="Arial"/>
          <w:color w:val="000000"/>
          <w:lang w:val="es-ES"/>
        </w:rPr>
        <w:t>Todas las resoluciones</w:t>
      </w:r>
      <w:r w:rsidRPr="001B3C5D">
        <w:rPr>
          <w:rFonts w:ascii="Verdana" w:eastAsia="Calibri" w:hAnsi="Verdana" w:cs="Arial"/>
          <w:color w:val="000000"/>
          <w:vertAlign w:val="superscript"/>
          <w:lang w:val="es-ES"/>
        </w:rPr>
        <w:footnoteReference w:id="26"/>
      </w:r>
      <w:r w:rsidRPr="001B3C5D">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3C5D">
        <w:rPr>
          <w:rFonts w:ascii="Verdana" w:eastAsia="Calibri" w:hAnsi="Verdana" w:cs="Arial"/>
          <w:i/>
          <w:iCs/>
          <w:color w:val="000000"/>
          <w:lang w:val="es-ES"/>
        </w:rPr>
        <w:t>Documentos del Proceso</w:t>
      </w:r>
      <w:r w:rsidRPr="001B3C5D">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1AF3676" w14:textId="77777777" w:rsidR="004453A9" w:rsidRPr="001B3C5D" w:rsidRDefault="004453A9" w:rsidP="004453A9">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09C90657" w14:textId="77777777" w:rsidR="004453A9" w:rsidRPr="001B3C5D" w:rsidRDefault="004453A9" w:rsidP="004453A9">
      <w:pPr>
        <w:spacing w:before="120" w:after="120" w:line="276" w:lineRule="auto"/>
        <w:ind w:firstLine="709"/>
        <w:jc w:val="both"/>
        <w:rPr>
          <w:rFonts w:ascii="Verdana" w:eastAsia="Calibri" w:hAnsi="Verdana" w:cs="Arial"/>
          <w:lang w:val="es-ES_tradnl"/>
        </w:rPr>
      </w:pPr>
      <w:r w:rsidRPr="001B3C5D">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w:t>
      </w:r>
      <w:r w:rsidRPr="001B3C5D">
        <w:rPr>
          <w:rFonts w:ascii="Verdana" w:eastAsia="Calibri" w:hAnsi="Verdana" w:cs="Arial"/>
          <w:lang w:val="es-ES_tradnl"/>
        </w:rPr>
        <w:lastRenderedPageBreak/>
        <w:t>el proceso de contratación</w:t>
      </w:r>
      <w:r w:rsidRPr="001B3C5D">
        <w:rPr>
          <w:rFonts w:ascii="Verdana" w:eastAsia="Calibri" w:hAnsi="Verdana" w:cs="Arial"/>
          <w:vertAlign w:val="superscript"/>
          <w:lang w:val="es-ES_tradnl"/>
        </w:rPr>
        <w:footnoteReference w:id="27"/>
      </w:r>
      <w:r w:rsidRPr="001B3C5D">
        <w:rPr>
          <w:rFonts w:ascii="Verdana" w:eastAsia="Calibri" w:hAnsi="Verdana" w:cs="Arial"/>
          <w:lang w:val="es-ES_tradnl"/>
        </w:rPr>
        <w:t xml:space="preserve">. Cada entidad pública sujeta a los documentos tipo deberá hacer una aplicación o constatación irrestricta de las reglas y condiciones dispuestas en estos, salvo que las mismas posibilitan la discrecionalidad en determinados aspectos. </w:t>
      </w:r>
    </w:p>
    <w:p w14:paraId="0004F74C" w14:textId="77777777" w:rsidR="004453A9" w:rsidRPr="001B3C5D" w:rsidRDefault="004453A9" w:rsidP="004453A9">
      <w:pPr>
        <w:spacing w:before="120" w:after="120" w:line="276" w:lineRule="auto"/>
        <w:ind w:firstLine="709"/>
        <w:jc w:val="both"/>
        <w:rPr>
          <w:rFonts w:ascii="Verdana" w:eastAsia="Calibri" w:hAnsi="Verdana" w:cs="Arial"/>
          <w:lang w:val="es-ES"/>
        </w:rPr>
      </w:pPr>
      <w:r w:rsidRPr="001B3C5D">
        <w:rPr>
          <w:rFonts w:ascii="Verdana" w:eastAsia="Calibri" w:hAnsi="Verdana" w:cs="Arial"/>
          <w:lang w:val="es-ES"/>
        </w:rPr>
        <w:t xml:space="preserve">Además, las entidades estatales deben garantizar el </w:t>
      </w:r>
      <w:r w:rsidRPr="001B3C5D">
        <w:rPr>
          <w:rFonts w:ascii="Verdana" w:eastAsia="Calibri" w:hAnsi="Verdana" w:cs="Arial"/>
          <w:i/>
          <w:iCs/>
          <w:lang w:val="es-ES"/>
        </w:rPr>
        <w:t>principio de economía</w:t>
      </w:r>
      <w:r w:rsidRPr="001B3C5D">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1B3C5D">
        <w:rPr>
          <w:rFonts w:ascii="Verdana" w:eastAsia="Calibri" w:hAnsi="Verdana" w:cs="Arial"/>
          <w:vertAlign w:val="superscript"/>
          <w:lang w:val="es-ES"/>
        </w:rPr>
        <w:footnoteReference w:id="28"/>
      </w:r>
      <w:r w:rsidRPr="001B3C5D">
        <w:rPr>
          <w:rFonts w:ascii="Verdana" w:eastAsia="Calibri" w:hAnsi="Verdana" w:cs="Arial"/>
          <w:lang w:val="es-ES"/>
        </w:rPr>
        <w:t xml:space="preserve"> sino además en la normativa </w:t>
      </w:r>
      <w:proofErr w:type="spellStart"/>
      <w:r w:rsidRPr="001B3C5D">
        <w:rPr>
          <w:rFonts w:ascii="Verdana" w:eastAsia="Calibri" w:hAnsi="Verdana" w:cs="Arial"/>
          <w:lang w:val="es-ES"/>
        </w:rPr>
        <w:t>antitrámites</w:t>
      </w:r>
      <w:proofErr w:type="spellEnd"/>
      <w:r w:rsidRPr="001B3C5D">
        <w:rPr>
          <w:rFonts w:ascii="Verdana" w:eastAsia="Calibri" w:hAnsi="Verdana" w:cs="Arial"/>
          <w:vertAlign w:val="superscript"/>
          <w:lang w:val="es-ES"/>
        </w:rPr>
        <w:footnoteReference w:id="29"/>
      </w:r>
      <w:r w:rsidRPr="001B3C5D">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598FE138" w14:textId="77777777" w:rsidR="004453A9" w:rsidRPr="001B3C5D" w:rsidRDefault="004453A9" w:rsidP="004453A9">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como tipo, modelo, norma, patrón o referencia”</w:t>
      </w:r>
      <w:r w:rsidRPr="001B3C5D">
        <w:rPr>
          <w:rFonts w:ascii="Verdana" w:eastAsia="Calibri" w:hAnsi="Verdana" w:cs="Arial"/>
          <w:color w:val="000000"/>
          <w:vertAlign w:val="superscript"/>
          <w:lang w:val="es-ES"/>
        </w:rPr>
        <w:footnoteReference w:id="30"/>
      </w:r>
      <w:r w:rsidRPr="001B3C5D">
        <w:rPr>
          <w:rFonts w:ascii="Verdana" w:eastAsia="Calibri" w:hAnsi="Verdana" w:cs="Arial"/>
          <w:color w:val="000000"/>
          <w:lang w:val="es-ES"/>
        </w:rPr>
        <w:t xml:space="preserve">. Si las autoridades pudiesen agregar, eliminar o modificar todos y cada uno de los aspectos contenidos en los </w:t>
      </w:r>
      <w:r w:rsidRPr="001B3C5D">
        <w:rPr>
          <w:rFonts w:ascii="Verdana" w:eastAsia="Calibri" w:hAnsi="Verdana" w:cs="Arial"/>
          <w:color w:val="000000"/>
          <w:lang w:val="es-ES"/>
        </w:rPr>
        <w:lastRenderedPageBreak/>
        <w:t xml:space="preserve">pliegos tipo, estos documentos, llanamente, no podrían ser llamados pliegos tipo. </w:t>
      </w:r>
    </w:p>
    <w:p w14:paraId="7FC00D8A" w14:textId="77777777" w:rsidR="004453A9" w:rsidRPr="001B3C5D" w:rsidRDefault="004453A9" w:rsidP="004453A9">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buscó erradicar con la introducción de la herramienta analizada. </w:t>
      </w:r>
    </w:p>
    <w:p w14:paraId="05D459ED" w14:textId="77777777" w:rsidR="004453A9" w:rsidRPr="001B3C5D" w:rsidRDefault="004453A9" w:rsidP="004453A9">
      <w:pPr>
        <w:spacing w:after="120" w:line="276" w:lineRule="auto"/>
        <w:ind w:firstLine="708"/>
        <w:jc w:val="both"/>
        <w:rPr>
          <w:rFonts w:ascii="Verdana" w:eastAsia="Calibri" w:hAnsi="Verdana" w:cs="Arial"/>
          <w:color w:val="000000"/>
          <w:lang w:val="es-ES"/>
        </w:rPr>
      </w:pPr>
      <w:r w:rsidRPr="001B3C5D">
        <w:rPr>
          <w:rFonts w:ascii="Verdana" w:eastAsia="Calibri" w:hAnsi="Verdana" w:cs="Arial"/>
          <w:color w:val="000000"/>
          <w:lang w:val="es-ES"/>
        </w:rPr>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3E8A9710" w14:textId="77777777" w:rsidR="004453A9" w:rsidRPr="001B3C5D" w:rsidRDefault="004453A9" w:rsidP="004453A9">
      <w:pPr>
        <w:spacing w:after="120" w:line="276" w:lineRule="auto"/>
        <w:ind w:firstLine="708"/>
        <w:jc w:val="both"/>
        <w:rPr>
          <w:rFonts w:ascii="Verdana" w:eastAsia="Calibri" w:hAnsi="Verdana" w:cs="Arial"/>
          <w:color w:val="000000"/>
          <w:lang w:val="es-ES"/>
        </w:rPr>
      </w:pPr>
      <w:r w:rsidRPr="001B3C5D">
        <w:rPr>
          <w:rFonts w:ascii="Verdana" w:eastAsia="Calibri" w:hAnsi="Verdana" w:cs="Arial"/>
          <w:lang w:val="es-MX"/>
        </w:rPr>
        <w:t xml:space="preserve">No obstante, la parte introductoria de los documentos base de los documentos tipo disponen que los aspectos incluidos en corchetes y resaltados en gris </w:t>
      </w:r>
      <w:r w:rsidRPr="001B3C5D">
        <w:rPr>
          <w:rFonts w:ascii="Verdana" w:eastAsia="Aptos" w:hAnsi="Verdana" w:cs="Arial"/>
        </w:rPr>
        <w:t>–[</w:t>
      </w:r>
      <w:r w:rsidRPr="001B3C5D">
        <w:rPr>
          <w:rFonts w:ascii="Verdana" w:eastAsia="Aptos" w:hAnsi="Verdana" w:cs="Arial"/>
          <w:highlight w:val="lightGray"/>
        </w:rPr>
        <w:t>texto de ejemplo</w:t>
      </w:r>
      <w:r w:rsidRPr="001B3C5D">
        <w:rPr>
          <w:rFonts w:ascii="Verdana" w:eastAsia="Aptos" w:hAnsi="Verdana" w:cs="Arial"/>
        </w:rPr>
        <w:t xml:space="preserve">]– </w:t>
      </w:r>
      <w:r w:rsidRPr="001B3C5D">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65D222F7" w14:textId="77777777" w:rsidR="004453A9" w:rsidRPr="001B3C5D" w:rsidRDefault="004453A9" w:rsidP="004453A9">
      <w:pPr>
        <w:spacing w:line="276" w:lineRule="auto"/>
        <w:ind w:firstLine="708"/>
        <w:jc w:val="both"/>
        <w:rPr>
          <w:rFonts w:ascii="Aptos" w:eastAsia="Aptos" w:hAnsi="Aptos" w:cs="Times New Roman"/>
          <w:kern w:val="2"/>
          <w:sz w:val="24"/>
          <w:szCs w:val="24"/>
          <w:lang w:val="es-MX"/>
          <w14:ligatures w14:val="standardContextual"/>
        </w:rPr>
      </w:pPr>
      <w:r w:rsidRPr="001B3C5D">
        <w:rPr>
          <w:rFonts w:ascii="Verdana" w:eastAsia="Calibri" w:hAnsi="Verdana" w:cs="Arial"/>
          <w:lang w:val="es-MX"/>
        </w:rPr>
        <w:t xml:space="preserve">Debe indicarse que, la regla de inalterabilidad que recae sobre los documentos tipo, también se encuentra consagrada de forma expresa en el documento base. Así, en el aparte sobre las normas de interpretación del pliego de condiciones, el literal I del numeral 1.17 del pliego tipo de los documentos tipo de licitación de obra pública de infraestructura de transporte dispone lo siguiente: </w:t>
      </w:r>
      <w:r w:rsidRPr="001B3C5D">
        <w:rPr>
          <w:rFonts w:ascii="Verdana" w:eastAsia="Calibri" w:hAnsi="Verdana" w:cs="Arial"/>
          <w:i/>
          <w:iCs/>
          <w:lang w:val="es-MX"/>
        </w:rPr>
        <w:t>“</w:t>
      </w:r>
      <w:r w:rsidRPr="001B3C5D">
        <w:rPr>
          <w:rFonts w:ascii="Verdana" w:eastAsia="Aptos" w:hAnsi="Verdana" w:cs="Times New Roman"/>
          <w:i/>
          <w:iCs/>
          <w:kern w:val="2"/>
          <w:lang w:val="es-MX"/>
          <w14:ligatures w14:val="standardContextual"/>
        </w:rPr>
        <w:t xml:space="preserve">Los Documentos Tipo son inalterables y no se podrán incluir o modificar los Anexos, Formatos y Formularios, ni exigir soportes o requisitos </w:t>
      </w:r>
      <w:r w:rsidRPr="001B3C5D">
        <w:rPr>
          <w:rFonts w:ascii="Verdana" w:eastAsia="Aptos" w:hAnsi="Verdana" w:cs="Times New Roman"/>
          <w:i/>
          <w:iCs/>
          <w:kern w:val="2"/>
          <w:lang w:val="es-MX"/>
          <w14:ligatures w14:val="standardContextual"/>
        </w:rPr>
        <w:lastRenderedPageBreak/>
        <w:t>adicionales; salvo cuando se permita en forma expresa, es decir, en los aspectos incluidos en corchetes y resaltados en gris”.</w:t>
      </w:r>
      <w:r w:rsidRPr="001B3C5D">
        <w:rPr>
          <w:rFonts w:ascii="Aptos" w:eastAsia="Aptos" w:hAnsi="Aptos" w:cs="Times New Roman"/>
          <w:kern w:val="2"/>
          <w:sz w:val="24"/>
          <w:szCs w:val="24"/>
          <w:lang w:val="es-MX"/>
          <w14:ligatures w14:val="standardContextual"/>
        </w:rPr>
        <w:t xml:space="preserve"> </w:t>
      </w:r>
    </w:p>
    <w:p w14:paraId="49945BFC" w14:textId="77777777" w:rsidR="004453A9" w:rsidRPr="001B3C5D" w:rsidRDefault="004453A9" w:rsidP="004453A9">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5B99AEDB" w14:textId="77777777" w:rsidR="004453A9" w:rsidRPr="001B3C5D" w:rsidRDefault="004453A9" w:rsidP="004453A9">
      <w:pPr>
        <w:spacing w:before="120" w:after="120" w:line="276" w:lineRule="auto"/>
        <w:ind w:firstLine="709"/>
        <w:jc w:val="both"/>
        <w:rPr>
          <w:rFonts w:ascii="Verdana" w:eastAsia="Calibri" w:hAnsi="Verdana" w:cs="Arial"/>
          <w:bCs/>
          <w:lang w:val="es-MX"/>
        </w:rPr>
      </w:pPr>
      <w:r w:rsidRPr="001B3C5D">
        <w:rPr>
          <w:rFonts w:ascii="Verdana" w:eastAsia="Calibri" w:hAnsi="Verdana" w:cs="Arial"/>
          <w:bCs/>
          <w:lang w:val="es-MX"/>
        </w:rPr>
        <w:t xml:space="preserve">Esta regla de inalterabilidad </w:t>
      </w:r>
      <w:r w:rsidRPr="001B3C5D">
        <w:rPr>
          <w:rFonts w:ascii="Verdana" w:eastAsia="Calibri" w:hAnsi="Verdana" w:cs="Arial"/>
          <w:bCs/>
          <w:i/>
          <w:iCs/>
          <w:lang w:val="es-MX"/>
        </w:rPr>
        <w:t>también aplica a los formatos, formularios, anexos y matrices</w:t>
      </w:r>
      <w:r w:rsidRPr="001B3C5D">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31D5FF5F" w14:textId="77777777" w:rsidR="004453A9" w:rsidRPr="001B3C5D" w:rsidRDefault="004453A9" w:rsidP="004453A9">
      <w:pPr>
        <w:spacing w:after="0" w:line="276" w:lineRule="auto"/>
        <w:ind w:firstLine="709"/>
        <w:jc w:val="both"/>
        <w:rPr>
          <w:rFonts w:ascii="Verdana" w:eastAsia="Calibri" w:hAnsi="Verdana" w:cs="Arial"/>
          <w:lang w:val="es-MX"/>
        </w:rPr>
      </w:pPr>
      <w:r w:rsidRPr="001B3C5D">
        <w:rPr>
          <w:rFonts w:ascii="Verdana" w:eastAsia="Calibri" w:hAnsi="Verdana" w:cs="Arial"/>
          <w:lang w:val="es-MX"/>
        </w:rPr>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79B2A3FE" w14:textId="77777777" w:rsidR="004453A9" w:rsidRPr="001B3C5D" w:rsidRDefault="004453A9" w:rsidP="004453A9">
      <w:pPr>
        <w:widowControl w:val="0"/>
        <w:autoSpaceDE w:val="0"/>
        <w:autoSpaceDN w:val="0"/>
        <w:spacing w:after="0" w:line="276" w:lineRule="auto"/>
        <w:jc w:val="both"/>
        <w:rPr>
          <w:rFonts w:ascii="Verdana" w:eastAsia="Aptos" w:hAnsi="Verdana" w:cs="Times New Roman"/>
          <w:kern w:val="2"/>
          <w:sz w:val="24"/>
          <w:szCs w:val="24"/>
          <w14:ligatures w14:val="standardContextual"/>
        </w:rPr>
      </w:pPr>
    </w:p>
    <w:p w14:paraId="554A4839" w14:textId="77777777" w:rsidR="004453A9" w:rsidRPr="001B3C5D" w:rsidRDefault="004453A9" w:rsidP="004453A9">
      <w:pPr>
        <w:widowControl w:val="0"/>
        <w:autoSpaceDE w:val="0"/>
        <w:autoSpaceDN w:val="0"/>
        <w:spacing w:after="120" w:line="276" w:lineRule="auto"/>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iv</w:t>
      </w:r>
      <w:proofErr w:type="spellEnd"/>
      <w:r w:rsidRPr="001B3C5D">
        <w:rPr>
          <w:rFonts w:ascii="Verdana" w:eastAsia="Aptos" w:hAnsi="Verdana" w:cs="Times New Roman"/>
          <w:kern w:val="2"/>
          <w14:ligatures w14:val="standardContextual"/>
        </w:rPr>
        <w:t>. De acuerdo con la memoria justificativa del Decreto 287 del 19 de marzo de 2026</w:t>
      </w:r>
      <w:r w:rsidRPr="001B3C5D">
        <w:rPr>
          <w:rFonts w:ascii="Verdana" w:eastAsia="Aptos" w:hAnsi="Verdana" w:cs="Times New Roman"/>
          <w:kern w:val="2"/>
          <w:vertAlign w:val="superscript"/>
          <w14:ligatures w14:val="standardContextual"/>
        </w:rPr>
        <w:footnoteReference w:id="31"/>
      </w:r>
      <w:r w:rsidRPr="001B3C5D">
        <w:rPr>
          <w:rFonts w:ascii="Verdana" w:eastAsia="Aptos" w:hAnsi="Verdana" w:cs="Times New Roman"/>
          <w:kern w:val="2"/>
          <w14:ligatures w14:val="standardContextual"/>
        </w:rPr>
        <w:t>, históricamente las Personas con Discapacidad han enfrentado mayores tasas de desempleo y barreras de acceso al mercado. Aunque leyes previas como la Ley 1618 de 2013, ordenaban un sistema de preferencias para estas personas, la regulación anterior –el Decreto 392 de 2018–, se limitaba a medidas aisladas de puntaje que no garantizaban una participación equitativa desde el inicio de los procesos contractuales. Esto fue ratificado por el Consejo de Estado</w:t>
      </w:r>
      <w:r w:rsidRPr="001B3C5D">
        <w:rPr>
          <w:rFonts w:ascii="Verdana" w:eastAsia="Aptos" w:hAnsi="Verdana" w:cs="Times New Roman"/>
          <w:kern w:val="2"/>
          <w:vertAlign w:val="superscript"/>
          <w14:ligatures w14:val="standardContextual"/>
        </w:rPr>
        <w:footnoteReference w:id="32"/>
      </w:r>
      <w:r w:rsidRPr="001B3C5D">
        <w:rPr>
          <w:rFonts w:ascii="Verdana" w:eastAsia="Aptos" w:hAnsi="Verdana" w:cs="Times New Roman"/>
          <w:kern w:val="2"/>
          <w14:ligatures w14:val="standardContextual"/>
        </w:rPr>
        <w:t xml:space="preserve"> que </w:t>
      </w:r>
      <w:r w:rsidRPr="001B3C5D">
        <w:rPr>
          <w:rFonts w:ascii="Verdana" w:eastAsia="Aptos" w:hAnsi="Verdana" w:cs="Times New Roman"/>
          <w:kern w:val="2"/>
          <w14:ligatures w14:val="standardContextual"/>
        </w:rPr>
        <w:lastRenderedPageBreak/>
        <w:t>mediante una acción de cumplimiento declaró el incumplimiento del deber de reglamentar integralmente el artículo 13 de la Ley 1618 de 2013 y ordenó al Gobierno Nacional expedir la regulación necesaria para hacer efectivo el sistema de preferencias en favor de las personas con discapacidad, sus emprendimientos y empresas que las contratan.</w:t>
      </w:r>
    </w:p>
    <w:p w14:paraId="1DC1A3C7"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parte considerativa del Decreto 287 de 2026, indica que la Ley Estatutaria 1618 del 2013 establece un conjunto de medidas en favor de las personas con discapacidad, “(…) dentro de las que se destacan las contenidas en el numeral 1, que establece el deber del Gobierno Nacional de reglamentar una puntuación adicional en procesos de licitación pública, concurso de méritos y contratación directa para i) las empresas que tengan personas con discapacidad y para </w:t>
      </w: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las empresas de personas con discapacidad, familiares y tutores, así como también la contenida en el numeral 7, que demanda del Gobierno Nacional reglamentar la implementación de un sistema de preferencias en favor de empleadores de personas con discapacidad aplicable a procesos de selección y celebración de contratos; y la consagrada en el numeral 8, que demanda de los gobiernos nacional, departamentales, distritales y municipales fijar mediante decreto reglamentario la implementación de un sistema de preferencias en favor de las personas con discapacidad aplicable a procesos de selección de contratistas (…)”. </w:t>
      </w:r>
    </w:p>
    <w:p w14:paraId="28B4C071"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virtud de lo exigido por los numerales uno (1), siete (7) y ocho (8) del artículo 13 de la Ley Estatutaria 1618 del 2013, fue expedido el Decreto 392 del 26 de febrero de 2018</w:t>
      </w:r>
      <w:r w:rsidRPr="001B3C5D">
        <w:rPr>
          <w:rFonts w:ascii="Verdana" w:eastAsia="Aptos" w:hAnsi="Verdana" w:cs="Times New Roman"/>
          <w:kern w:val="2"/>
          <w:vertAlign w:val="superscript"/>
          <w14:ligatures w14:val="standardContextual"/>
        </w:rPr>
        <w:footnoteReference w:id="33"/>
      </w:r>
      <w:r w:rsidRPr="001B3C5D">
        <w:rPr>
          <w:rFonts w:ascii="Verdana" w:eastAsia="Aptos" w:hAnsi="Verdana" w:cs="Times New Roman"/>
          <w:kern w:val="2"/>
          <w14:ligatures w14:val="standardContextual"/>
        </w:rPr>
        <w:t xml:space="preserve">, mediante el cual se adicionan los artículos 2.2.1.2.4.2.6., 2.2.1.2.4.2.7. y 2.2.1.2.4.2.8. al Decreto 1082 de 2015. El primero de estos artículos, reglamenta parcialmente el numeral 1 del artículo 13 de la Ley Estatutaria 1618 del 2013, estableciendo que, las entidades estatales deberán otorgar el uno por ciento (1 %) del total de los puntos establecidos en el pliego de condiciones en los procesos de licitación pública y concurso de méritos, a los proponentes que acrediten la vinculación de trabajadores con discapacidad en su planta de personal. Sin embargo, de acuerdo con la parte considerativa del Decreto 287 de 2026 esta regulación favorece “(…) única y exclusivamente a las empresas que vinculan personas con discapacidad en su planta de personal, omitiendo el favorecimiento que debía reglamentarse en </w:t>
      </w:r>
      <w:r w:rsidRPr="001B3C5D">
        <w:rPr>
          <w:rFonts w:ascii="Verdana" w:eastAsia="Aptos" w:hAnsi="Verdana" w:cs="Times New Roman"/>
          <w:kern w:val="2"/>
          <w14:ligatures w14:val="standardContextual"/>
        </w:rPr>
        <w:lastRenderedPageBreak/>
        <w:t>favor de las empresas de personas con discapacidad, familiares y tutores, tal y como lo dispuso el numeral 1 de la norma referida”.</w:t>
      </w:r>
    </w:p>
    <w:p w14:paraId="39477CE7"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Por su parte, el artículo 2.2.1.2.4.2.8. del Decreto 1082 de 2015, de acuerdo con su literalidad, reglamenta los numerales 7 y 8 del artículo 13 de la Ley Estatutaria 1618 del 2013, en la medida en que establece los sistemas de preferencias a los que hacen referencia dichos numerales, pero los reduce a la aplicación de la metodología de desempate consagrada en el artículo 2.2.1.2.4.2.8. de ese mismo Decreto. No obstante, de acuerdo con la parte motiva del Decreto 287 de 2026 “(…) se omite el favorecimiento de las propuestas presentadas por los oferentes que sean personas con discapacidad, como lo exige el numeral 8 del artículo 13 de la Ley Estatutaria 1618 del 2013.</w:t>
      </w:r>
    </w:p>
    <w:p w14:paraId="068F7932"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de acuerdo con las consideraciones desarrolladas en el Decreto 287 de 2026, la Ley 1618 de 2013 carece de reglamentación concreta sobre los aspectos señalados, que no fueron cubiertos por las disposiciones que para el efecto desarrolló el Decreto 392 del 26 de febrero de 2018. Por lo tanto, mediante la expedición del mencionado decreto, en aplicación directa de la Constitución Política y para que exista una igualdad material para las personas con discapacidad, este pretende subsanar la falta de acciones afirmativas del Decreto 392 de 2018, modificando los artículos 2.2.1.2.4.2.6, 2.2.1.2.4.2.7. y 2.2.1.2.4.2.8. del Decreto 1082 de 2015. Entre otros, para efectos de este concepto, resulta pertinente referirse a las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modificaciones: </w:t>
      </w:r>
    </w:p>
    <w:p w14:paraId="49292D62"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 i). El artículo 1, modifica el artículo 2.2.1.2.4.2.6. Del Decreto 1082 de 2015, incorporando la definición de emprendimientos y empresas de personas con discapacidad, con el propósito de adoptar medidas afirmativas que incentiven las personas en condición de discapacidad en el sistema de compras y contratación pública.</w:t>
      </w:r>
    </w:p>
    <w:p w14:paraId="4BBEE79C"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w:t>
      </w:r>
      <w:proofErr w:type="spellEnd"/>
      <w:r w:rsidRPr="001B3C5D">
        <w:rPr>
          <w:rFonts w:ascii="Verdana" w:eastAsia="Aptos" w:hAnsi="Verdana" w:cs="Times New Roman"/>
          <w:kern w:val="2"/>
          <w14:ligatures w14:val="standardContextual"/>
        </w:rPr>
        <w:t xml:space="preserve">). El artículo 1, modifica el artículo 2.2.1.2.4.2.7. del Decreto 1082 de 2015, estableciendo un Sistema de Preferencias en Favor de las Personas con Discapacidad en el Sistema de Compras y Contratación Pública, mediante medidas afirmativas, que deben adoptar las Entidades Estatales en sus Procesos de Contratación, para promover condiciones efectivas de igualdad para estas personas, corregir barreras estructurales de acceso y fomentar su participación como proponentes, contratistas o integrantes de la cadena de valor. </w:t>
      </w:r>
    </w:p>
    <w:p w14:paraId="75C831CC"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El artículo 1, modifica el artículo 2.2.1.2.4.2.7.1. del Decreto 1082 de </w:t>
      </w:r>
      <w:r w:rsidRPr="001B3C5D">
        <w:rPr>
          <w:rFonts w:ascii="Verdana" w:eastAsia="Aptos" w:hAnsi="Verdana" w:cs="Times New Roman"/>
          <w:kern w:val="2"/>
          <w14:ligatures w14:val="standardContextual"/>
        </w:rPr>
        <w:lastRenderedPageBreak/>
        <w:t xml:space="preserve">2015, disponiendo que todas las entidades que manejen recursos públicos están obligadas a garantizar la accesibilidad para personas con discapacidad en sus procesos de contratación. </w:t>
      </w:r>
    </w:p>
    <w:p w14:paraId="1C2B4F0E"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Aptos" w:eastAsia="Aptos" w:hAnsi="Aptos" w:cs="Times New Roman"/>
          <w:kern w:val="2"/>
          <w:sz w:val="24"/>
          <w:szCs w:val="24"/>
          <w14:ligatures w14:val="standardContextual"/>
        </w:rPr>
        <w:t>iv</w:t>
      </w:r>
      <w:proofErr w:type="spellEnd"/>
      <w:r w:rsidRPr="001B3C5D">
        <w:rPr>
          <w:rFonts w:ascii="Aptos" w:eastAsia="Aptos" w:hAnsi="Aptos" w:cs="Times New Roman"/>
          <w:kern w:val="2"/>
          <w:sz w:val="24"/>
          <w:szCs w:val="24"/>
          <w14:ligatures w14:val="standardContextual"/>
        </w:rPr>
        <w:t xml:space="preserve">). </w:t>
      </w:r>
      <w:r w:rsidRPr="001B3C5D">
        <w:rPr>
          <w:rFonts w:ascii="Verdana" w:eastAsia="Aptos" w:hAnsi="Verdana" w:cs="Times New Roman"/>
          <w:kern w:val="2"/>
          <w14:ligatures w14:val="standardContextual"/>
        </w:rPr>
        <w:t>El artículo 1, modifica el 2.2.1.2.4.2.7.2. del Decreto 1082 de 2015. De esta forma, se consagra que, en la planeación contractual, las Entidades Estatales deben implementar acciones concretas para promover la participación de emprendimientos y empresas de personas con discapacidad, asegurando igualdad de oportunidades en los procesos de contratación pública. Esto implica diseñar mecanismos que eliminen barreras de acceso y fomenten una participación más inclusiva desde las etapas iniciales del proceso.</w:t>
      </w:r>
    </w:p>
    <w:p w14:paraId="44848DF3"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 El artículo 1, modifica el artículo 2.2.1.2.4.2.7.3. del Decreto 1082 de 2015, incorporando criterios diferenciales en favor de los emprendimientos y empresas de personas con discapacidad en la habilitación, como parte del sistema de preferencias para esta población en la contratación pública que impone reglamentar la Ley 1618 de 2013. Este aspecto considerando que “(…) es necesario flexibilizar los requisitos habilitantes de los procesos de contratación para facilitar la participación de las personas con discapacidad, debido a que sin esto el puntaje que también regula el presente Decreto (287 de 2026) se vuelve inocuo porque no se podría aplicar si las personas con discapacidad no superan el primer filtro, que resulta de la aplicación de los requisitos habilitantes que pueden resultar un impedimento para la posterior evaluación de su oferta y que pueda tener efectividad el puntaje”</w:t>
      </w:r>
      <w:r w:rsidRPr="001B3C5D">
        <w:rPr>
          <w:rFonts w:ascii="Verdana" w:eastAsia="Aptos" w:hAnsi="Verdana" w:cs="Times New Roman"/>
          <w:kern w:val="2"/>
          <w:vertAlign w:val="superscript"/>
          <w14:ligatures w14:val="standardContextual"/>
        </w:rPr>
        <w:footnoteReference w:id="34"/>
      </w:r>
      <w:r w:rsidRPr="001B3C5D">
        <w:rPr>
          <w:rFonts w:ascii="Verdana" w:eastAsia="Aptos" w:hAnsi="Verdana" w:cs="Times New Roman"/>
          <w:kern w:val="2"/>
          <w14:ligatures w14:val="standardContextual"/>
        </w:rPr>
        <w:t xml:space="preserve">. </w:t>
      </w:r>
    </w:p>
    <w:p w14:paraId="2C467028"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vi) El artículo 1, modifica el artículo 2.1.2.4.2.7.4 del Decreto 1082 de 2015. Así, se establece un puntaje adicional en favor de los empleadores de personas con discapacidad y de los emprendimientos y empresas de personas con discapacidad del dos por ciento (2%) del valor total de los puntos establecidos en el pliego de condiciones o documentos equivalentes, para promover la inclusión laboral de personas con discapacidad en los procedimientos de licitación pública y concurso de méritos que adelanten las entidades estatales, cuando se configuren las situaciones previstas en ese artículo. </w:t>
      </w:r>
    </w:p>
    <w:p w14:paraId="25496FF2"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w:t>
      </w:r>
      <w:proofErr w:type="spellEnd"/>
      <w:r w:rsidRPr="001B3C5D">
        <w:rPr>
          <w:rFonts w:ascii="Verdana" w:eastAsia="Aptos" w:hAnsi="Verdana" w:cs="Times New Roman"/>
          <w:kern w:val="2"/>
          <w14:ligatures w14:val="standardContextual"/>
        </w:rPr>
        <w:t xml:space="preserve">)El artículo 1, modifica el artículo 2.2.1.2.4.2.7.5. del Decreto 1082 de 2015, indicando condiciones especiales de sujeción en favor de personas con </w:t>
      </w:r>
      <w:r w:rsidRPr="001B3C5D">
        <w:rPr>
          <w:rFonts w:ascii="Verdana" w:eastAsia="Aptos" w:hAnsi="Verdana" w:cs="Times New Roman"/>
          <w:kern w:val="2"/>
          <w14:ligatures w14:val="standardContextual"/>
        </w:rPr>
        <w:lastRenderedPageBreak/>
        <w:t xml:space="preserve">discapacidad, que deberán incluir las entidades estatales como obligación contractual en los documentos del proceso, previo análisis de oportunidad y conveniencia. </w:t>
      </w:r>
    </w:p>
    <w:p w14:paraId="0D586059"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viii</w:t>
      </w:r>
      <w:proofErr w:type="spellEnd"/>
      <w:r w:rsidRPr="001B3C5D">
        <w:rPr>
          <w:rFonts w:ascii="Verdana" w:eastAsia="Aptos" w:hAnsi="Verdana" w:cs="Times New Roman"/>
          <w:kern w:val="2"/>
          <w14:ligatures w14:val="standardContextual"/>
        </w:rPr>
        <w:t>) El artículo 1, modifica el artículo 2.2.1.2.4.2.7.6. del Decreto 1082 de 2015, incluyendo que, las Entidades Estatales propenderán por la contratación de personas con discapacidad mediante la celebración de contratos de prestación de servicios profesionales y/o de apoyo a la gestión, de acuerdo con su planeación contractual, disponibilidad presupuestal y las necesidades del servicio.</w:t>
      </w:r>
    </w:p>
    <w:p w14:paraId="1274EA1C"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proofErr w:type="spellStart"/>
      <w:r w:rsidRPr="001B3C5D">
        <w:rPr>
          <w:rFonts w:ascii="Verdana" w:eastAsia="Aptos" w:hAnsi="Verdana" w:cs="Times New Roman"/>
          <w:kern w:val="2"/>
          <w14:ligatures w14:val="standardContextual"/>
        </w:rPr>
        <w:t>ix</w:t>
      </w:r>
      <w:proofErr w:type="spellEnd"/>
      <w:r w:rsidRPr="001B3C5D">
        <w:rPr>
          <w:rFonts w:ascii="Verdana" w:eastAsia="Aptos" w:hAnsi="Verdana" w:cs="Times New Roman"/>
          <w:kern w:val="2"/>
          <w14:ligatures w14:val="standardContextual"/>
        </w:rPr>
        <w:t xml:space="preserve">). El artículo 1, modifica el artículo 2.2.1.2.4.2.7.8 del Decreto 1082 de 2015. La modificación dispone que, la Agencia Nacional de Contratación Pública –Colombia Compra Eficiente garantizará la adopción permanente de las acciones necesarias para que las medidas señaladas en favor de las Personas con Discapacidad se incorporen a los documentos e instrumentos que genera. </w:t>
      </w:r>
    </w:p>
    <w:p w14:paraId="2A45FB5B" w14:textId="77777777" w:rsidR="004453A9" w:rsidRPr="001B3C5D" w:rsidRDefault="004453A9" w:rsidP="004453A9">
      <w:pPr>
        <w:widowControl w:val="0"/>
        <w:autoSpaceDE w:val="0"/>
        <w:autoSpaceDN w:val="0"/>
        <w:spacing w:after="12"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el artículo 2 del Decreto 287 de 2026 establece las vigencias y derogatorias, en los siguiente</w:t>
      </w:r>
      <w:r>
        <w:rPr>
          <w:rFonts w:ascii="Verdana" w:eastAsia="Aptos" w:hAnsi="Verdana" w:cs="Times New Roman"/>
          <w:kern w:val="2"/>
          <w14:ligatures w14:val="standardContextual"/>
        </w:rPr>
        <w:t>s</w:t>
      </w:r>
      <w:r w:rsidRPr="001B3C5D">
        <w:rPr>
          <w:rFonts w:ascii="Verdana" w:eastAsia="Aptos" w:hAnsi="Verdana" w:cs="Times New Roman"/>
          <w:kern w:val="2"/>
          <w14:ligatures w14:val="standardContextual"/>
        </w:rPr>
        <w:t xml:space="preserve"> términos: “El presente Decreto rige a partir del día siguiente a su publicación, modifica los artículos 2.2.1.2.4.2.6., 2.2.1 .2.4.2.7. Y 2.2.1.2.4.2.8. de la Subsección 2 de la Sección 4 del Capítulo 2 del Título 1 de la Parte 2 del Libro 2 del Decreto 1082 de 2015, Único Reglamentario del Sector Administrativo de Planeación, y deroga todas las disposiciones que le sean contrarias”.</w:t>
      </w:r>
    </w:p>
    <w:p w14:paraId="59C89AF6" w14:textId="77777777" w:rsidR="004453A9" w:rsidRPr="001B3C5D" w:rsidRDefault="004453A9" w:rsidP="004453A9">
      <w:pPr>
        <w:widowControl w:val="0"/>
        <w:autoSpaceDE w:val="0"/>
        <w:autoSpaceDN w:val="0"/>
        <w:spacing w:after="12" w:line="276" w:lineRule="auto"/>
        <w:ind w:firstLine="708"/>
        <w:jc w:val="both"/>
        <w:rPr>
          <w:rFonts w:ascii="Verdana" w:eastAsia="Aptos" w:hAnsi="Verdana" w:cs="Times New Roman"/>
          <w:kern w:val="2"/>
          <w14:ligatures w14:val="standardContextual"/>
        </w:rPr>
      </w:pPr>
    </w:p>
    <w:p w14:paraId="7FEDC573" w14:textId="77777777" w:rsidR="004453A9" w:rsidRPr="001B3C5D" w:rsidRDefault="004453A9" w:rsidP="004453A9">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v. De acuerdo con el desarrollo del numeral precedente, </w:t>
      </w:r>
      <w:r w:rsidRPr="001B3C5D">
        <w:rPr>
          <w:rFonts w:ascii="Verdana" w:eastAsia="Aptos" w:hAnsi="Verdana" w:cs="AppleSystemUIFont"/>
          <w:lang w:val="es-MX"/>
          <w14:ligatures w14:val="standardContextual"/>
        </w:rPr>
        <w:t xml:space="preserve">la expedición del Decreto 287 de 2026 introduce un conjunto de prerrogativas dirigidas a garantizar la igualdad material de las personas con discapacidad, en desarrollo de la Ley 1618 de 2013 y del mandato constitucional de no discriminación, lo que impone la necesidad de una adecuación de los documentos tipo expedidos por la Agencia Nacional </w:t>
      </w:r>
      <w:r w:rsidRPr="001B3C5D">
        <w:rPr>
          <w:rFonts w:ascii="Verdana" w:eastAsia="Aptos" w:hAnsi="Verdana" w:cs="Times New Roman"/>
          <w:kern w:val="2"/>
          <w14:ligatures w14:val="standardContextual"/>
        </w:rPr>
        <w:t>de Contratación Pública – Colombia Compra Eficiente.</w:t>
      </w:r>
    </w:p>
    <w:p w14:paraId="5FBCD72B"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situación resulta particularmente relevante teniendo en cuenta que, los documentos tipo, al fijar reglas uniformes para las entidades estatales sometidas al estatuto general de contratación de la administración pública y otros sujetos obligados a su aplicación, pueden convertirse en barreras estructurales de acceso cuando no incorporan enfoques diferenciales, afectando la participación de poblaciones históricamente excluidas. </w:t>
      </w:r>
    </w:p>
    <w:p w14:paraId="6A977957"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lastRenderedPageBreak/>
        <w:t>Desde el punto de vista jurídico, uno de los aspectos que exige la modificación de los documentos tipo de licitación pública, selección abreviada de menor cuantía y concurso de méritos en los sectores en los que estos han sido adoptados, corresponde a los requisitos habilitantes, los cuales han sido tradicionalmente diseñados bajo parámetros homogéneos que no consideran las condiciones particulares de los emprendimientos y empresas de personas con discapacidad. Tal como se señaló, el Decreto 287 de 2026 reconoce que la rigidez de estos requisitos puede impedir su participación efectiva, al punto de tornar inocuas otras medidas como el otorgamiento de puntajes adicionales. En consecuencia, los documentos tipo en las modalidades señaladas y en los sectores implementados, deben incorporar “(…)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w:t>
      </w:r>
      <w:r w:rsidRPr="001B3C5D">
        <w:rPr>
          <w:rFonts w:ascii="Verdana" w:eastAsia="Aptos" w:hAnsi="Verdana" w:cs="Times New Roman"/>
          <w:kern w:val="2"/>
          <w:vertAlign w:val="superscript"/>
          <w14:ligatures w14:val="standardContextual"/>
        </w:rPr>
        <w:footnoteReference w:id="35"/>
      </w:r>
      <w:r w:rsidRPr="001B3C5D">
        <w:rPr>
          <w:rFonts w:ascii="Verdana" w:eastAsia="Aptos" w:hAnsi="Verdana" w:cs="Times New Roman"/>
          <w:kern w:val="2"/>
          <w14:ligatures w14:val="standardContextual"/>
        </w:rPr>
        <w:t>, de tal manera que se eliminen barreras de entrada injustificadas sin comprometer la idoneidad del contratista, en aplicación del principio de igualdad material.</w:t>
      </w:r>
    </w:p>
    <w:p w14:paraId="5016EDF3"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Así, los documentos tipo de licitación pública, selección abreviada de menor cuantía y concurso de méritos deben ser modificados por la Agencia Nacional de Contratación Pública – Colombia Compra Eficiente para incluir la reciente modificación al artículo 2.2.1.2.4.2.7.3 del Decreto 1082 de 2015. Lo anterior implica que, además de los requisitos habilitantes diferenciales previstos para Mipymes y emprendimientos y empresas de mujeres, se incluyan los dispuestos en el Decreto 287 de 2026 en favor de los emprendimientos y empresas de personas con discapacidad.</w:t>
      </w:r>
    </w:p>
    <w:p w14:paraId="1AB359F9"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lastRenderedPageBreak/>
        <w:t xml:space="preserve">De igual forma, resulta necesario ajustar los factores de evaluación para incluir el puntaje adicional previsto en el Decreto 287 de 2026, en favor de los empleadores de personas con discapacidad y de los emprendimientos y empresas conformados por esta población. Esto, considerando que el artículo 2.2.1.2.4.2.7.4 del Decreto 1082 de 2015, modificado por el artículo 1 del Decreto 287 de 2026 establece que “(…) en los procedimientos de licitación pública y concurso de méritos, las Entidades Estatales otorgaran un puntaje adicional máximo del dos por cuento (2%) del valor total de los puntos establecidos en los Pliegos de condiciones o documentos equivalentes” cuando se configuren las situaciones que allí se establecen, pero que “(…) en todo caso el puntaje adicional total y único a otorgar por este criterio será del dos por ciento (2%), sin que sean acumulables a afecto de la evaluación de la oferta (…)”. </w:t>
      </w:r>
    </w:p>
    <w:p w14:paraId="6D8F5F00"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Esta incorporación debe realizarse de manera estandarizada en los documentos tipo de licitación pública y concurso de méritos en los sectores en los que estos han sido adoptados por parte de la Agencia Nacional de Contratación Pública – Colombia Compra Eficiente, considerando que, actualmente en estos se señala como factor de ponderación un puntaje máximo de un (1) punto por la vinculación de personas con discapacidad, evento este que, con la modificación realizada por el Decreto 287 de 2026 debe ajustarse. </w:t>
      </w:r>
    </w:p>
    <w:p w14:paraId="303C7006"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 esta forma, la modificación del artículo 1 del Decreto 287 de 2026 al artículo 2.2.1.2.4.2.7.4 del Decreto 1082 de 2015, incide en el ajuste del puntaje que se otorga en los documentos tipo de licitación pública y concurso de méritos por la incorporación de personas con discapacidad, en </w:t>
      </w:r>
      <w:proofErr w:type="gramStart"/>
      <w:r w:rsidRPr="001B3C5D">
        <w:rPr>
          <w:rFonts w:ascii="Verdana" w:eastAsia="Aptos" w:hAnsi="Verdana" w:cs="Times New Roman"/>
          <w:kern w:val="2"/>
          <w14:ligatures w14:val="standardContextual"/>
        </w:rPr>
        <w:t>donde</w:t>
      </w:r>
      <w:proofErr w:type="gramEnd"/>
      <w:r w:rsidRPr="001B3C5D">
        <w:rPr>
          <w:rFonts w:ascii="Verdana" w:eastAsia="Aptos" w:hAnsi="Verdana" w:cs="Times New Roman"/>
          <w:kern w:val="2"/>
          <w14:ligatures w14:val="standardContextual"/>
        </w:rPr>
        <w:t xml:space="preserve"> además, se amplía el ámbito de aplicación a emprendimientos y empresas de personas con discapacidad. Además, la modificación señalada incide en el formato que actualmente se encuentra previsto en los documentos tipo para acreditar esta condición, por lo que se debe definir con claridad los mecanismos de acreditación y verificación, con el fin de evitar discrecionalidades y garantizar la transparencia del proceso. </w:t>
      </w:r>
    </w:p>
    <w:p w14:paraId="19A254BF"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Adicionalmente, en cuanto a la ejecución contractual, el artículo 2.2.1.2.4.2.7.5 del Decreto 1082 de 2015, modificado por el artículo 1 del Decreto 287 de 2026, prevé la incorporación de condiciones especiales de sujeción orientadas a promover la inclusión laboral y la participación de personas con discapacidad y/o emprendimientos y empresas de estas personas. En </w:t>
      </w:r>
      <w:r w:rsidRPr="001B3C5D">
        <w:rPr>
          <w:rFonts w:ascii="Verdana" w:eastAsia="Aptos" w:hAnsi="Verdana" w:cs="Times New Roman"/>
          <w:kern w:val="2"/>
          <w14:ligatures w14:val="standardContextual"/>
        </w:rPr>
        <w:lastRenderedPageBreak/>
        <w:t>consecuencia, los documentos tipo deben contemplar cláusulas contractuales específicas que desarrollen estas obligaciones, previa evaluación de oportunidad y conveniencia, permitiendo que la política pública de inclusión se materialice durante la ejecución del contrato.</w:t>
      </w:r>
    </w:p>
    <w:p w14:paraId="0399F091" w14:textId="77777777" w:rsidR="004453A9" w:rsidRPr="001B3C5D" w:rsidRDefault="004453A9" w:rsidP="004453A9">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Conforme con lo anterior, la implementación efectiva del Decreto 287 de 2026 depende de la incorporación integral y coherente de sus disposiciones en los documentos tipo por parte de la Agencia Nacional de Contratación Pública – Colombia Compra Eficiente, de manera que las acciones afirmativas previstas se traduzcan en transformaciones reales en el sistema de contratación pública y en la garantía del derecho a la igualdad material de las personas con discapacidad.</w:t>
      </w:r>
    </w:p>
    <w:p w14:paraId="43AEA199" w14:textId="77777777" w:rsidR="004453A9" w:rsidRPr="001B3C5D" w:rsidRDefault="004453A9" w:rsidP="004453A9">
      <w:pPr>
        <w:widowControl w:val="0"/>
        <w:autoSpaceDE w:val="0"/>
        <w:autoSpaceDN w:val="0"/>
        <w:spacing w:after="0" w:line="276" w:lineRule="auto"/>
        <w:ind w:firstLine="708"/>
        <w:jc w:val="both"/>
        <w:rPr>
          <w:rFonts w:ascii="Verdana" w:eastAsia="Aptos" w:hAnsi="Verdana" w:cs="Times New Roman"/>
          <w:kern w:val="2"/>
          <w14:ligatures w14:val="standardContextual"/>
        </w:rPr>
      </w:pPr>
    </w:p>
    <w:p w14:paraId="1D7A49E5" w14:textId="77777777" w:rsidR="004453A9" w:rsidRPr="001B3C5D" w:rsidRDefault="004453A9" w:rsidP="004453A9">
      <w:pPr>
        <w:widowControl w:val="0"/>
        <w:autoSpaceDE w:val="0"/>
        <w:autoSpaceDN w:val="0"/>
        <w:spacing w:after="120" w:line="276" w:lineRule="auto"/>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vi. Los documentos tipo expedidos por la Agencia Nacional de Contratación Pública – Colombia Compra Eficiente constituyen instrumentos de obligatorio cumplimiento que estructuran de manera integral los procesos de selección contractual. Tal como se estableció en el punto i. de este concepto, esta naturaleza vinculante tiene fundamento directo en el artículo 1 de la Ley 2022 de 2020, en la que se establece que, los documentos tipo serán obligatorios para las entidades estatales sometidas al Estatuto General de Contratación de la Administración Pública – EGCAP.</w:t>
      </w:r>
    </w:p>
    <w:p w14:paraId="77718B76"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este sentido, la Ley 2022 de 2020 no solo atribuye la competencia a la Agencia Nacional de Contratación Pública – Colombia Compra Eficiente para adoptar documentos tipo, sino que define expresamente su contenido, al disponer que en estos </w:t>
      </w:r>
      <w:r w:rsidRPr="001B3C5D">
        <w:rPr>
          <w:rFonts w:ascii="Verdana" w:eastAsia="Aptos" w:hAnsi="Verdana" w:cs="Times New Roman"/>
          <w:i/>
          <w:iCs/>
          <w:kern w:val="2"/>
          <w14:ligatures w14:val="standardContextual"/>
        </w:rPr>
        <w:t>“(…) se establecerán los requisitos habilitantes, factores técnicos, económicos y otros factores de escogencia, así como aquellos requisitos que, previa justificación, representen buenas prácticas contractuales”.</w:t>
      </w:r>
      <w:r w:rsidRPr="001B3C5D">
        <w:rPr>
          <w:rFonts w:ascii="Verdana" w:eastAsia="Aptos" w:hAnsi="Verdana" w:cs="Times New Roman"/>
          <w:kern w:val="2"/>
          <w14:ligatures w14:val="standardContextual"/>
        </w:rPr>
        <w:t xml:space="preserve"> De esta manera, el legislador concentró en la Agencia Nacional de Contratación Pública – Colombia Compra Eficiente la definición de los elementos estructurales de los procesos de selección, con el propósito de garantizar la estandarización, la transparencia, la selección objetiva y la eficiencia en el uso de los recursos públicos. Esta competencia se ejerce mediante la expedición de actos administrativos de carácter general –resoluciones– a través de las cuales, la Agencia Nacional de Contratación Pública – Colombia Compra Eficiente adopta los documentos tipo.</w:t>
      </w:r>
    </w:p>
    <w:p w14:paraId="5A0033B0"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Conforme con el contenido de la Ley 2022 de 202, la jurisprudencia ha determinado que, la Agencia Nacional de Contratación Pública – Colombia </w:t>
      </w:r>
      <w:r w:rsidRPr="001B3C5D">
        <w:rPr>
          <w:rFonts w:ascii="Verdana" w:eastAsia="Aptos" w:hAnsi="Verdana" w:cs="Times New Roman"/>
          <w:kern w:val="2"/>
          <w14:ligatures w14:val="standardContextual"/>
        </w:rPr>
        <w:lastRenderedPageBreak/>
        <w:t>Compra Eficiente ejerce una potestad regulatoria de naturaleza subordinada (</w:t>
      </w:r>
      <w:proofErr w:type="spellStart"/>
      <w:r w:rsidRPr="001B3C5D">
        <w:rPr>
          <w:rFonts w:ascii="Verdana" w:eastAsia="Aptos" w:hAnsi="Verdana" w:cs="Times New Roman"/>
          <w:kern w:val="2"/>
          <w14:ligatures w14:val="standardContextual"/>
        </w:rPr>
        <w:t>secundum</w:t>
      </w:r>
      <w:proofErr w:type="spellEnd"/>
      <w:r w:rsidRPr="001B3C5D">
        <w:rPr>
          <w:rFonts w:ascii="Verdana" w:eastAsia="Aptos" w:hAnsi="Verdana" w:cs="Times New Roman"/>
          <w:kern w:val="2"/>
          <w14:ligatures w14:val="standardContextual"/>
        </w:rPr>
        <w:t xml:space="preserve"> </w:t>
      </w:r>
      <w:proofErr w:type="spellStart"/>
      <w:r w:rsidRPr="001B3C5D">
        <w:rPr>
          <w:rFonts w:ascii="Verdana" w:eastAsia="Aptos" w:hAnsi="Verdana" w:cs="Times New Roman"/>
          <w:kern w:val="2"/>
          <w14:ligatures w14:val="standardContextual"/>
        </w:rPr>
        <w:t>legem</w:t>
      </w:r>
      <w:proofErr w:type="spellEnd"/>
      <w:r w:rsidRPr="001B3C5D">
        <w:rPr>
          <w:rFonts w:ascii="Verdana" w:eastAsia="Aptos" w:hAnsi="Verdana" w:cs="Times New Roman"/>
          <w:kern w:val="2"/>
          <w14:ligatures w14:val="standardContextual"/>
        </w:rPr>
        <w:t>) de carácter técnico especializado, que le permite desarrollar, implementar y actualizar instrumentos como los documentos tipo, con el fin de concretar la voluntad del legislador en aspectos técnicos de la contratación pública. No obstante, dicha potestad debe ejercerse en armonía con la Constitución, la ley y los decretos reglamentarios, sin invadir competencias superiores ni desbordar los límites de la regulación técnica.</w:t>
      </w:r>
    </w:p>
    <w:p w14:paraId="54CBD0A9"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Concretamente, la competencia prevista en el artículo 1 de la Ley 2022 de 2020, se ejerció mediante la expedición de la Resolución 160 de 2020 del 15 de septiembre de 2020 “Por la cual se adopta el procedimiento para implementar los documentos tipo y se define el sistema para su revisión”, así como con la expedición de múltiples resoluciones –señaladas en el numeral i de este concepto– mediante las cuales se adoptaron documentos tipo por parte de la Agencia Nacional de Contratación Pública – Colombia Compra Eficiente en diferentes modalidades de selección y sectores, en las cuales, además, se reitera el carácter obligatorio de estos documentos y se establecen reglas específicas para su aplicación. </w:t>
      </w:r>
    </w:p>
    <w:p w14:paraId="2A10C88D"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este sentido, las resoluciones mediante las cuales la Agencia Nacional de Contratación Pública – Colombia Compra Eficiente adoptó documentos tipo, consolidan un sistema de contratación estandarizado –en las modalidades y sectores adoptados– en el que las entidades estatales obligadas a la aplicación deben sujetarse de manera estricta a las condiciones definidas en dichos instrumentos, particularmente en lo relacionado con requisitos habilitantes, factores de evaluación y sistemas de ponderación.</w:t>
      </w:r>
    </w:p>
    <w:p w14:paraId="60EA84F0"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dispuesto en el párrafo precedente, es consecuente con lo desarrollado en el punto tres (</w:t>
      </w:r>
      <w:proofErr w:type="spellStart"/>
      <w:r w:rsidRPr="001B3C5D">
        <w:rPr>
          <w:rFonts w:ascii="Verdana" w:eastAsia="Aptos" w:hAnsi="Verdana" w:cs="Times New Roman"/>
          <w:kern w:val="2"/>
          <w14:ligatures w14:val="standardContextual"/>
        </w:rPr>
        <w:t>iii</w:t>
      </w:r>
      <w:proofErr w:type="spellEnd"/>
      <w:r w:rsidRPr="001B3C5D">
        <w:rPr>
          <w:rFonts w:ascii="Verdana" w:eastAsia="Aptos" w:hAnsi="Verdana" w:cs="Times New Roman"/>
          <w:kern w:val="2"/>
          <w14:ligatures w14:val="standardContextual"/>
        </w:rPr>
        <w:t xml:space="preserve">) de este concepto. En este se indicó que, sobre los documentos tipo expedidos por la Agencia Nacional de Contratación Pública – Colombia Compra Eficiente, recae la regla de inalterabilidad, en virtud de la cual, las entidades estatales obligadas a su aplicación no pueden modificar ni adicionar los requisitos habilitantes, los factores técnicos y económicos de escogencia ni los criterios de evaluación previstos en ellos, salvo en aquellos aspectos expresamente habilitados entre corchetes y resaltados en gris. Esta regla encuentra sustento tanto en el mandato legal de obligatoriedad contenido en la Ley 2022 de 2020, como en su desarrollo reglamentario y en las disposiciones contenidas en los propios documentos tipo, y constituye una manifestación del </w:t>
      </w:r>
      <w:r w:rsidRPr="001B3C5D">
        <w:rPr>
          <w:rFonts w:ascii="Verdana" w:eastAsia="Aptos" w:hAnsi="Verdana" w:cs="Times New Roman"/>
          <w:kern w:val="2"/>
          <w14:ligatures w14:val="standardContextual"/>
        </w:rPr>
        <w:lastRenderedPageBreak/>
        <w:t>carácter reglado de la actividad contractual, limitando la discrecionalidad de las entidades con el fin de evitar prácticas restrictivas de la competencia, como los denominados “pliegos sastre”, y garantizar la uniformidad del sistema.</w:t>
      </w:r>
    </w:p>
    <w:p w14:paraId="1FFAE27A"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Considerando lo anterior, si bien es cierto que, el Decreto 287 de 2026 establece que rige a partir del día siguiente a su publicación, lo que determina su vigencia inmediata, su aplicación en el ámbito de los procesos sometidos a documentos tipo debe interpretarse de manera sistemática y armónica con el régimen legal que regula dichos instrumentos, esto es, lo señalado en el artículo 1 de la Ley 2022 de 2020 y su desarrollo reglamentario a través de cada una de las Resoluciones expedidas por la Agencia Nacional de Contratación Pública – Colombia Compra Eficiente mediante las cuales, se han implementados documentos tipo. En efecto, dado que los documentos tipo contienen de manera obligatoria los requisitos habilitantes, los factores de evaluación y los criterios de escogencia, las entidades estatales no cuentan con competencia para modificarlos o complementarlos de manera autónoma con el fin de incorporar directamente las disposiciones del Decreto en mención.</w:t>
      </w:r>
    </w:p>
    <w:p w14:paraId="76CF1C63"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Permitir que cada entidad introduzca ajustes a los documentos tipo para dar aplicación inmediata al Decreto 287 de 2026 implicaría desconocer la competencia exclusiva atribuida por el legislador a la Agencia Nacional de Contratación Pública – Colombia Compra Eficiente mediante la expedición de la Ley 2022 de 2020, así como la regla de inalterabilidad que rige estos documentos. Además, generaría una fragmentación del sistema de compra pública, afectando los principios de igualdad, transparencia y selección objetiva, en la medida en que procesos contractuales similares podrían regirse por condiciones distintas, dependiendo de la entidad que los adelante y la forma como incorporó las previsiones contenidas en el Decreto 287 de 2026 a los procesos de selección regidos por documentos tipo.</w:t>
      </w:r>
    </w:p>
    <w:p w14:paraId="0280F968"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Desde una perspectiva técnica, los documentos tipo constituyen un sistema integral y articulado, en el cual los requisitos habilitantes, los factores de evaluación y las condiciones contractuales se encuentran interrelacionados. En consecuencia, la incorporación aislada de modificaciones podría generar inconsistencias o desajustes en su aplicación, afectando la coherencia del proceso contractual. Por esta razón, la Ley 2022 de 2020 prevé que su adopción y actualización se realice mediante procedimientos estructurados, coordinados y participativos, a cargo de la Agencia Nacional de Contratación Pública – Colombia </w:t>
      </w:r>
      <w:r w:rsidRPr="001B3C5D">
        <w:rPr>
          <w:rFonts w:ascii="Verdana" w:eastAsia="Aptos" w:hAnsi="Verdana" w:cs="Times New Roman"/>
          <w:kern w:val="2"/>
          <w14:ligatures w14:val="standardContextual"/>
        </w:rPr>
        <w:lastRenderedPageBreak/>
        <w:t>Compra Eficiente</w:t>
      </w:r>
      <w:r w:rsidRPr="001B3C5D">
        <w:rPr>
          <w:rFonts w:ascii="Verdana" w:eastAsia="Aptos" w:hAnsi="Verdana" w:cs="Times New Roman"/>
          <w:kern w:val="2"/>
          <w:vertAlign w:val="superscript"/>
          <w14:ligatures w14:val="standardContextual"/>
        </w:rPr>
        <w:footnoteReference w:id="36"/>
      </w:r>
      <w:r w:rsidRPr="001B3C5D">
        <w:rPr>
          <w:rFonts w:ascii="Verdana" w:eastAsia="Aptos" w:hAnsi="Verdana" w:cs="Times New Roman"/>
          <w:kern w:val="2"/>
          <w14:ligatures w14:val="standardContextual"/>
        </w:rPr>
        <w:t xml:space="preserve">, quien cuenta con la capacidad técnica para garantizar la adecuada integración de las nuevas disposiciones, como por ejemplo el Decreto 287 de 2026. </w:t>
      </w:r>
    </w:p>
    <w:p w14:paraId="28ECAC93"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Adicionalmente, el propio Decreto 287 de 2026 en el artículo 1 que modifica el artículo 2.2.1.2.4.2.7.8 al Decreto 1082 de 2015</w:t>
      </w:r>
      <w:r w:rsidRPr="001B3C5D">
        <w:rPr>
          <w:rFonts w:ascii="Verdana" w:eastAsia="Aptos" w:hAnsi="Verdana" w:cs="Times New Roman"/>
          <w:kern w:val="2"/>
          <w:vertAlign w:val="superscript"/>
          <w14:ligatures w14:val="standardContextual"/>
        </w:rPr>
        <w:footnoteReference w:id="37"/>
      </w:r>
      <w:r w:rsidRPr="001B3C5D">
        <w:rPr>
          <w:rFonts w:ascii="Verdana" w:eastAsia="Aptos" w:hAnsi="Verdana" w:cs="Times New Roman"/>
          <w:kern w:val="2"/>
          <w14:ligatures w14:val="standardContextual"/>
        </w:rPr>
        <w:t>, reconoce esta necesidad al disponer que la Agencia Nacional de Contratación Pública – Colombia Compra Eficiente “(…) garantizará la adopción permanente de las acciones necesarias para que las medidas señaladas en esta subsección se incorporen a los documentos e instrumentos que genera</w:t>
      </w:r>
      <w:r w:rsidRPr="001B3C5D">
        <w:rPr>
          <w:rFonts w:ascii="Aptos" w:eastAsia="Aptos" w:hAnsi="Aptos" w:cs="Times New Roman"/>
          <w:kern w:val="2"/>
          <w:sz w:val="24"/>
          <w:szCs w:val="24"/>
          <w14:ligatures w14:val="standardContextual"/>
        </w:rPr>
        <w:t>”</w:t>
      </w:r>
      <w:r w:rsidRPr="001B3C5D">
        <w:rPr>
          <w:rFonts w:ascii="Aptos" w:eastAsia="Aptos" w:hAnsi="Aptos" w:cs="Times New Roman"/>
          <w:kern w:val="2"/>
          <w:sz w:val="24"/>
          <w:szCs w:val="24"/>
          <w:vertAlign w:val="superscript"/>
          <w14:ligatures w14:val="standardContextual"/>
        </w:rPr>
        <w:footnoteReference w:id="38"/>
      </w:r>
      <w:r w:rsidRPr="001B3C5D">
        <w:rPr>
          <w:rFonts w:ascii="Verdana" w:eastAsia="Aptos" w:hAnsi="Verdana" w:cs="Times New Roman"/>
          <w:kern w:val="2"/>
          <w14:ligatures w14:val="standardContextual"/>
        </w:rPr>
        <w:t xml:space="preserve">, lo cual confirma que la operatividad de dichas disposiciones en el ámbito de los documentos tipo depende de su desarrollo por parte de esta entidad. </w:t>
      </w:r>
    </w:p>
    <w:p w14:paraId="1AA55A2D" w14:textId="77777777" w:rsidR="004453A9"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Lo anterior es consecuente con lo dispuesto en el ABC del Decreto 0287 de 2026 “Contratación pública inclusiva para personas con discapacidad”</w:t>
      </w:r>
      <w:r w:rsidRPr="001B3C5D">
        <w:rPr>
          <w:rFonts w:ascii="Verdana" w:eastAsia="Aptos" w:hAnsi="Verdana" w:cs="Times New Roman"/>
          <w:kern w:val="2"/>
          <w:vertAlign w:val="superscript"/>
          <w14:ligatures w14:val="standardContextual"/>
        </w:rPr>
        <w:footnoteReference w:id="39"/>
      </w:r>
      <w:r w:rsidRPr="001B3C5D">
        <w:rPr>
          <w:rFonts w:ascii="Verdana" w:eastAsia="Aptos" w:hAnsi="Verdana" w:cs="Times New Roman"/>
          <w:kern w:val="2"/>
          <w14:ligatures w14:val="standardContextual"/>
        </w:rPr>
        <w:t xml:space="preserve"> en donde se establece que “La aplicación del Decreto 0287 de 2026 en los documentos tipo está sujeta a que Colombia Compra Eficiente realice los ajustes correspondientes en estos instrumentos”, esto considerando que “(…) los documentos tipo requieren una adecuación técnica y normativa previa para incorporar las medidas del sistema de preferencias”. </w:t>
      </w:r>
    </w:p>
    <w:p w14:paraId="54812180"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Pr>
          <w:rFonts w:ascii="Verdana" w:eastAsia="Aptos" w:hAnsi="Verdana" w:cs="Times New Roman"/>
        </w:rPr>
        <w:t xml:space="preserve">Sumado a lo anterior, la Circular Externa No. 003 de 2026 expedida por esta Agencia y dirigida a </w:t>
      </w:r>
      <w:r w:rsidRPr="00592BC0">
        <w:rPr>
          <w:rFonts w:ascii="Verdana" w:eastAsia="Aptos" w:hAnsi="Verdana" w:cs="Times New Roman"/>
        </w:rPr>
        <w:t>Entidades Estatales indistintamente de su régimen de contratación, los patrimonios autónomos constituidos por Entidades Estatales y los particulares que ejecuten recursos públicos</w:t>
      </w:r>
      <w:r>
        <w:rPr>
          <w:rFonts w:ascii="Verdana" w:eastAsia="Aptos" w:hAnsi="Verdana" w:cs="Times New Roman"/>
        </w:rPr>
        <w:t xml:space="preserve">, manifiesta que mientras los ajustes incorporados por el Decreto 287 de 2026 no sean incorporados a los </w:t>
      </w:r>
      <w:r>
        <w:rPr>
          <w:rFonts w:ascii="Verdana" w:eastAsia="Aptos" w:hAnsi="Verdana" w:cs="Times New Roman"/>
        </w:rPr>
        <w:lastRenderedPageBreak/>
        <w:t>Documentos Tipo mediante una resolución que los modifique, se deberá seguir aplicando por parte de las entidades las versiones vigentes del instrumento contractual.</w:t>
      </w:r>
    </w:p>
    <w:p w14:paraId="78EF0B55"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En consecuencia, aunque de acuerdo con el artículo 2 del Decreto 287 de 2026, este “(…) rige a partir del día siguiente a su publicación (…)”, su aplicación en los procesos contracción regidos por documentos tipo se encuentra condicionada a su incorporación formal en dichos instrumentos por parte de la Agencia Nacional de Contratación Pública – Colombia Compra Eficiente. Así, solo a partir de dicha incorporación mediante la modificación a los documentos tipo, es posible garantizar una aplicación uniforme, coherente y jurídicamente válida de las medidas afirmativas previstas, sin desconocer la distribución de competencias establecida por el legislador ni la estructura normativa del sistema de compras y contratación pública.</w:t>
      </w:r>
    </w:p>
    <w:p w14:paraId="0592A1EF"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En conclusión, la implementación de las disposiciones del Decreto 287 de 2026 en relación con los documentos tipo no puede realizarse de manera directa por las entidades estatales que obligatoriamente deben aplicarlos, sino que, requiere necesariamente su desarrollo e incorporación por parte de la Agencia Nacional de Contratación Pública – Colombia Compra Eficiente, en ejercicio de la competencia que le fue atribuida por la Ley 2022 de 2020, garantizando así la coherencia del sistema, el respeto por la jerarquía normativa y la efectividad de las medidas orientadas a la inclusión de las personas con discapacidad en el sistema de compras y contratación pública. </w:t>
      </w:r>
    </w:p>
    <w:p w14:paraId="655B1095" w14:textId="77777777" w:rsidR="004453A9" w:rsidRPr="001B3C5D" w:rsidRDefault="004453A9" w:rsidP="004453A9">
      <w:pPr>
        <w:widowControl w:val="0"/>
        <w:autoSpaceDE w:val="0"/>
        <w:autoSpaceDN w:val="0"/>
        <w:spacing w:after="12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Finalmente, debe indicarse que, la Agencia Nacional de Contratación Pública – Colombia Compra Eficiente se encuentra trabajando en la incorporación de los criterios establecidos en el Decreto 287 de 2026 en los documentos tipo, lo que implica agotar el procedimiento previsto en la Resolución 160 de 2020 que establece el sistema para su revisión de estos documentos y la adopción de las modificaciones a que haya lugar mediante acto administrativo motivado.</w:t>
      </w:r>
    </w:p>
    <w:p w14:paraId="71981E42" w14:textId="77777777" w:rsidR="004453A9" w:rsidRPr="001B3C5D" w:rsidRDefault="004453A9" w:rsidP="004453A9">
      <w:pPr>
        <w:widowControl w:val="0"/>
        <w:autoSpaceDE w:val="0"/>
        <w:autoSpaceDN w:val="0"/>
        <w:spacing w:after="0" w:line="276" w:lineRule="auto"/>
        <w:ind w:firstLine="708"/>
        <w:jc w:val="both"/>
        <w:rPr>
          <w:rFonts w:ascii="Verdana" w:eastAsia="Aptos" w:hAnsi="Verdana" w:cs="Times New Roman"/>
          <w:kern w:val="2"/>
          <w14:ligatures w14:val="standardContextual"/>
        </w:rPr>
      </w:pPr>
      <w:r w:rsidRPr="001B3C5D">
        <w:rPr>
          <w:rFonts w:ascii="Verdana" w:eastAsia="Aptos" w:hAnsi="Verdana" w:cs="Times New Roman"/>
          <w:kern w:val="2"/>
          <w14:ligatures w14:val="standardContextual"/>
        </w:rPr>
        <w:t xml:space="preserve">Mediante el agotamiento de una serie de actuaciones que implican, el análisis del Decreto en comento desde un perspectiva técnica, financiera y jurídica, generar versiones previas para comentarios de ciudadanos, entidades y grupos de interés, respuesta a las observaciones y un informe global, entre otras etapas, esta Agencia adoptará las modificaciones a los documentos tipo para adecuarlos al contenido del Decreto 287 de 2026 que modifica el 1082 de 2015. Este trabajo ya fue iniciado por la Agencia Nacional de Contratación </w:t>
      </w:r>
      <w:r w:rsidRPr="001B3C5D">
        <w:rPr>
          <w:rFonts w:ascii="Verdana" w:eastAsia="Aptos" w:hAnsi="Verdana" w:cs="Times New Roman"/>
          <w:kern w:val="2"/>
          <w14:ligatures w14:val="standardContextual"/>
        </w:rPr>
        <w:lastRenderedPageBreak/>
        <w:t xml:space="preserve">Pública – Colombia Compra Eficiente y finalizará con la adopción del acto administrativo que modifica los documentos tipo luego de surtir el procedimiento señalado. </w:t>
      </w:r>
    </w:p>
    <w:bookmarkEnd w:id="1"/>
    <w:p w14:paraId="73CDCD06" w14:textId="77777777" w:rsidR="004453A9" w:rsidRPr="001B3C5D" w:rsidRDefault="004453A9" w:rsidP="004453A9">
      <w:pPr>
        <w:tabs>
          <w:tab w:val="left" w:pos="142"/>
          <w:tab w:val="left" w:pos="284"/>
        </w:tabs>
        <w:spacing w:after="0" w:line="276" w:lineRule="auto"/>
        <w:jc w:val="both"/>
        <w:rPr>
          <w:rFonts w:ascii="Verdana" w:eastAsia="Century Gothic" w:hAnsi="Verdana" w:cs="Century Gothic"/>
          <w:lang w:val="es-ES_tradnl"/>
        </w:rPr>
      </w:pPr>
    </w:p>
    <w:p w14:paraId="393F538B" w14:textId="77777777" w:rsidR="004453A9" w:rsidRPr="001B3C5D" w:rsidRDefault="004453A9" w:rsidP="004453A9">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4D74D8C8" w14:textId="77777777" w:rsidR="004453A9" w:rsidRPr="001B3C5D" w:rsidRDefault="004453A9" w:rsidP="004453A9">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453A9" w:rsidRPr="001B3C5D" w14:paraId="3221F278" w14:textId="77777777" w:rsidTr="006F6B37">
        <w:trPr>
          <w:trHeight w:val="870"/>
        </w:trPr>
        <w:tc>
          <w:tcPr>
            <w:tcW w:w="8647" w:type="dxa"/>
            <w:tcBorders>
              <w:top w:val="dotted" w:sz="4" w:space="0" w:color="auto"/>
              <w:left w:val="dotted" w:sz="4" w:space="0" w:color="auto"/>
              <w:bottom w:val="dotted" w:sz="4" w:space="0" w:color="auto"/>
              <w:right w:val="dotted" w:sz="4" w:space="0" w:color="auto"/>
            </w:tcBorders>
          </w:tcPr>
          <w:p w14:paraId="16AD4FF8" w14:textId="77777777" w:rsidR="004453A9" w:rsidRPr="001B3C5D" w:rsidRDefault="004453A9" w:rsidP="006F6B37">
            <w:pPr>
              <w:widowControl w:val="0"/>
              <w:autoSpaceDE w:val="0"/>
              <w:autoSpaceDN w:val="0"/>
              <w:spacing w:line="276" w:lineRule="auto"/>
              <w:contextualSpacing/>
              <w:jc w:val="both"/>
              <w:rPr>
                <w:rFonts w:ascii="Verdana" w:eastAsia="Aptos" w:hAnsi="Verdana" w:cs="Arial"/>
              </w:rPr>
            </w:pPr>
          </w:p>
          <w:p w14:paraId="11E1925F" w14:textId="77777777" w:rsidR="004453A9" w:rsidRPr="0055082D" w:rsidRDefault="004453A9" w:rsidP="004453A9">
            <w:pPr>
              <w:widowControl w:val="0"/>
              <w:numPr>
                <w:ilvl w:val="0"/>
                <w:numId w:val="16"/>
              </w:numPr>
              <w:autoSpaceDE w:val="0"/>
              <w:autoSpaceDN w:val="0"/>
              <w:spacing w:line="276" w:lineRule="auto"/>
              <w:contextualSpacing/>
              <w:jc w:val="both"/>
              <w:rPr>
                <w:rFonts w:ascii="Verdana" w:eastAsia="Aptos" w:hAnsi="Verdana" w:cs="Arial"/>
                <w:lang w:val="it-IT"/>
              </w:rPr>
            </w:pPr>
            <w:r w:rsidRPr="00F16D67">
              <w:rPr>
                <w:rFonts w:ascii="Verdana" w:eastAsia="Aptos" w:hAnsi="Verdana" w:cs="Arial"/>
                <w:lang w:val="pt-BR"/>
              </w:rPr>
              <w:t xml:space="preserve">Corte Constitucional, Sentencia C–1005 de 2008. </w:t>
            </w:r>
            <w:r w:rsidRPr="0055082D">
              <w:rPr>
                <w:rFonts w:ascii="Verdana" w:eastAsia="Aptos" w:hAnsi="Verdana" w:cs="Arial"/>
                <w:lang w:val="it-IT"/>
              </w:rPr>
              <w:t>M.P.: Humberto Antonio Sierra Porto.</w:t>
            </w:r>
          </w:p>
          <w:p w14:paraId="15B8FF9C" w14:textId="77777777" w:rsidR="004453A9" w:rsidRPr="001B3C5D" w:rsidRDefault="004453A9" w:rsidP="004453A9">
            <w:pPr>
              <w:widowControl w:val="0"/>
              <w:numPr>
                <w:ilvl w:val="0"/>
                <w:numId w:val="16"/>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it-IT"/>
              </w:rPr>
              <w:t xml:space="preserve">Consejo de Estado, Sala de lo Contencioso Administrativo, Sección Primera. Consejero ponente: Juan Alberto Polo Figueroa. Bogotá D.C., 24 de agosto de 2000. </w:t>
            </w:r>
            <w:r w:rsidRPr="001B3C5D">
              <w:rPr>
                <w:rFonts w:ascii="Verdana" w:eastAsia="Aptos" w:hAnsi="Verdana" w:cs="Arial"/>
              </w:rPr>
              <w:t>Radicación número 6096.</w:t>
            </w:r>
          </w:p>
          <w:p w14:paraId="7532C6E1" w14:textId="77777777" w:rsidR="004453A9" w:rsidRPr="001B3C5D" w:rsidRDefault="004453A9" w:rsidP="004453A9">
            <w:pPr>
              <w:widowControl w:val="0"/>
              <w:numPr>
                <w:ilvl w:val="0"/>
                <w:numId w:val="16"/>
              </w:numPr>
              <w:autoSpaceDE w:val="0"/>
              <w:autoSpaceDN w:val="0"/>
              <w:spacing w:line="276" w:lineRule="auto"/>
              <w:contextualSpacing/>
              <w:jc w:val="both"/>
              <w:rPr>
                <w:rFonts w:ascii="Verdana" w:eastAsia="Aptos" w:hAnsi="Verdana" w:cs="Arial"/>
              </w:rPr>
            </w:pPr>
            <w:r w:rsidRPr="00F16D67">
              <w:rPr>
                <w:rFonts w:ascii="Verdana" w:eastAsia="Aptos" w:hAnsi="Verdana" w:cs="Arial"/>
                <w:lang w:val="pt-BR"/>
              </w:rPr>
              <w:t xml:space="preserve">Corte Constitucional, Sentencia C-917 de 2002. </w:t>
            </w:r>
            <w:r w:rsidRPr="001B3C5D">
              <w:rPr>
                <w:rFonts w:ascii="Verdana" w:eastAsia="Aptos" w:hAnsi="Verdana" w:cs="Arial"/>
              </w:rPr>
              <w:t xml:space="preserve">M.P.: Marco Gerardo Monroy Cabra. </w:t>
            </w:r>
          </w:p>
          <w:p w14:paraId="3804A352" w14:textId="77777777" w:rsidR="004453A9" w:rsidRPr="001B3C5D" w:rsidRDefault="004453A9" w:rsidP="004453A9">
            <w:pPr>
              <w:widowControl w:val="0"/>
              <w:numPr>
                <w:ilvl w:val="0"/>
                <w:numId w:val="16"/>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Auto del 14 de agosto de 2017. Rad. 58820.</w:t>
            </w:r>
          </w:p>
          <w:p w14:paraId="24FA44C0" w14:textId="77777777" w:rsidR="004453A9" w:rsidRPr="001B3C5D" w:rsidRDefault="004453A9" w:rsidP="004453A9">
            <w:pPr>
              <w:widowControl w:val="0"/>
              <w:numPr>
                <w:ilvl w:val="0"/>
                <w:numId w:val="16"/>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del 16 de agosto de 2017. Rad.56166.</w:t>
            </w:r>
          </w:p>
          <w:p w14:paraId="302C49ED" w14:textId="77777777" w:rsidR="004453A9" w:rsidRPr="001B3C5D" w:rsidRDefault="004453A9" w:rsidP="004453A9">
            <w:pPr>
              <w:widowControl w:val="0"/>
              <w:numPr>
                <w:ilvl w:val="0"/>
                <w:numId w:val="16"/>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Tercera. Sentencia de 11 de abril de 2019. Rad. 52.055.</w:t>
            </w:r>
          </w:p>
          <w:p w14:paraId="2E1CCA36" w14:textId="77777777" w:rsidR="004453A9" w:rsidRPr="001B3C5D" w:rsidRDefault="004453A9" w:rsidP="004453A9">
            <w:pPr>
              <w:widowControl w:val="0"/>
              <w:numPr>
                <w:ilvl w:val="0"/>
                <w:numId w:val="16"/>
              </w:numPr>
              <w:autoSpaceDE w:val="0"/>
              <w:autoSpaceDN w:val="0"/>
              <w:spacing w:line="276" w:lineRule="auto"/>
              <w:contextualSpacing/>
              <w:jc w:val="both"/>
              <w:rPr>
                <w:rFonts w:ascii="Verdana" w:eastAsia="Aptos" w:hAnsi="Verdana" w:cs="Arial"/>
              </w:rPr>
            </w:pPr>
            <w:r w:rsidRPr="001B3C5D">
              <w:rPr>
                <w:rFonts w:ascii="Verdana" w:eastAsia="Aptos" w:hAnsi="Verdana" w:cs="Arial"/>
              </w:rPr>
              <w:t>Consejo de Estado, Sección Quinta, del 12 de diciembre de 2024 (Rad. 05001-23-33-000-2024-00847-01, M.P. Omar Joaquín Barreto Suárez)</w:t>
            </w:r>
          </w:p>
          <w:p w14:paraId="21864D8A" w14:textId="77777777" w:rsidR="004453A9" w:rsidRPr="001B3C5D" w:rsidRDefault="004453A9" w:rsidP="004453A9">
            <w:pPr>
              <w:widowControl w:val="0"/>
              <w:numPr>
                <w:ilvl w:val="0"/>
                <w:numId w:val="16"/>
              </w:numPr>
              <w:autoSpaceDE w:val="0"/>
              <w:autoSpaceDN w:val="0"/>
              <w:spacing w:line="276" w:lineRule="auto"/>
              <w:contextualSpacing/>
              <w:jc w:val="both"/>
              <w:rPr>
                <w:rFonts w:ascii="Verdana" w:eastAsia="Aptos" w:hAnsi="Verdana" w:cs="Arial"/>
              </w:rPr>
            </w:pPr>
            <w:r w:rsidRPr="001B3C5D">
              <w:rPr>
                <w:rFonts w:ascii="Verdana" w:eastAsia="Aptos" w:hAnsi="Verdana" w:cs="Arial"/>
              </w:rPr>
              <w:t>Ley 80 de 1993: artículo 2.</w:t>
            </w:r>
          </w:p>
          <w:p w14:paraId="38596B65" w14:textId="77777777" w:rsidR="004453A9" w:rsidRPr="001B3C5D" w:rsidRDefault="004453A9" w:rsidP="004453A9">
            <w:pPr>
              <w:widowControl w:val="0"/>
              <w:numPr>
                <w:ilvl w:val="0"/>
                <w:numId w:val="15"/>
              </w:numPr>
              <w:autoSpaceDE w:val="0"/>
              <w:autoSpaceDN w:val="0"/>
              <w:spacing w:line="276" w:lineRule="auto"/>
              <w:ind w:left="714" w:hanging="357"/>
              <w:jc w:val="both"/>
              <w:rPr>
                <w:rFonts w:ascii="Verdana" w:eastAsia="Calibri" w:hAnsi="Verdana" w:cs="Arial"/>
                <w:lang w:val="es-ES_tradnl"/>
              </w:rPr>
            </w:pPr>
            <w:r w:rsidRPr="001B3C5D">
              <w:rPr>
                <w:rFonts w:ascii="Verdana" w:eastAsia="Calibri" w:hAnsi="Verdana" w:cs="Arial"/>
                <w:lang w:val="es-ES_tradnl"/>
              </w:rPr>
              <w:t xml:space="preserve">Ley 2022 de 2020, artículo 1. </w:t>
            </w:r>
          </w:p>
          <w:p w14:paraId="5979C760" w14:textId="77777777" w:rsidR="004453A9" w:rsidRPr="001B3C5D" w:rsidRDefault="004453A9" w:rsidP="004453A9">
            <w:pPr>
              <w:widowControl w:val="0"/>
              <w:numPr>
                <w:ilvl w:val="0"/>
                <w:numId w:val="15"/>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 xml:space="preserve">Documentos Tipo. Disponibles en: </w:t>
            </w:r>
            <w:hyperlink r:id="rId9" w:history="1">
              <w:r w:rsidRPr="001B3C5D">
                <w:rPr>
                  <w:rFonts w:ascii="Verdana" w:eastAsia="Calibri" w:hAnsi="Verdana" w:cs="Arial"/>
                  <w:color w:val="0000FF"/>
                  <w:u w:val="single"/>
                  <w:lang w:val="es-ES_tradnl"/>
                </w:rPr>
                <w:t>https://www.colombiacompra.gov.co/documentos-tipo/documentos-tipo</w:t>
              </w:r>
            </w:hyperlink>
            <w:r w:rsidRPr="001B3C5D">
              <w:rPr>
                <w:rFonts w:ascii="Verdana" w:eastAsia="Calibri" w:hAnsi="Verdana" w:cs="Arial"/>
                <w:lang w:val="es-ES_tradnl"/>
              </w:rPr>
              <w:t>.</w:t>
            </w:r>
          </w:p>
          <w:p w14:paraId="2FE284DE" w14:textId="77777777" w:rsidR="004453A9" w:rsidRPr="001B3C5D" w:rsidRDefault="004453A9" w:rsidP="004453A9">
            <w:pPr>
              <w:widowControl w:val="0"/>
              <w:numPr>
                <w:ilvl w:val="0"/>
                <w:numId w:val="15"/>
              </w:numPr>
              <w:autoSpaceDE w:val="0"/>
              <w:autoSpaceDN w:val="0"/>
              <w:spacing w:line="276" w:lineRule="auto"/>
              <w:contextualSpacing/>
              <w:jc w:val="both"/>
              <w:rPr>
                <w:rFonts w:ascii="Verdana" w:eastAsia="Calibri" w:hAnsi="Verdana" w:cs="Arial"/>
              </w:rPr>
            </w:pPr>
            <w:r w:rsidRPr="001B3C5D">
              <w:rPr>
                <w:rFonts w:ascii="Verdana" w:eastAsia="Aptos" w:hAnsi="Verdana" w:cs="Arial"/>
              </w:rPr>
              <w:t>Decreto Ley 4170 de 2011: artículo 1, artículo 11</w:t>
            </w:r>
          </w:p>
          <w:p w14:paraId="20100E12" w14:textId="77777777" w:rsidR="004453A9" w:rsidRPr="00907D31" w:rsidRDefault="004453A9" w:rsidP="004453A9">
            <w:pPr>
              <w:widowControl w:val="0"/>
              <w:numPr>
                <w:ilvl w:val="0"/>
                <w:numId w:val="15"/>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 287 de 2026: Artículo 1 y artículo 2.</w:t>
            </w:r>
          </w:p>
          <w:p w14:paraId="22F87EB7" w14:textId="77777777" w:rsidR="004453A9" w:rsidRPr="001B3C5D" w:rsidRDefault="004453A9" w:rsidP="004453A9">
            <w:pPr>
              <w:widowControl w:val="0"/>
              <w:numPr>
                <w:ilvl w:val="0"/>
                <w:numId w:val="15"/>
              </w:numPr>
              <w:autoSpaceDE w:val="0"/>
              <w:autoSpaceDN w:val="0"/>
              <w:spacing w:line="276" w:lineRule="auto"/>
              <w:contextualSpacing/>
              <w:jc w:val="both"/>
              <w:rPr>
                <w:rFonts w:ascii="Verdana" w:eastAsia="Calibri" w:hAnsi="Verdana" w:cs="Arial"/>
              </w:rPr>
            </w:pPr>
            <w:r>
              <w:rPr>
                <w:rFonts w:ascii="Verdana" w:eastAsia="Calibri" w:hAnsi="Verdana" w:cs="Arial"/>
                <w:lang w:val="es-ES_tradnl"/>
              </w:rPr>
              <w:t xml:space="preserve">Circular Externa No. 03 de 2026. Agencia Nacional de Contratación Pública – Colombia Compra Eficiente. </w:t>
            </w:r>
          </w:p>
        </w:tc>
      </w:tr>
    </w:tbl>
    <w:p w14:paraId="5B5FC414" w14:textId="77777777" w:rsidR="004453A9" w:rsidRPr="001B3C5D" w:rsidRDefault="004453A9" w:rsidP="004453A9">
      <w:pPr>
        <w:tabs>
          <w:tab w:val="left" w:pos="142"/>
          <w:tab w:val="left" w:pos="284"/>
        </w:tabs>
        <w:spacing w:after="0" w:line="276" w:lineRule="auto"/>
        <w:jc w:val="both"/>
        <w:rPr>
          <w:rFonts w:ascii="Verdana" w:eastAsia="Calibri" w:hAnsi="Verdana" w:cs="Arial"/>
        </w:rPr>
      </w:pPr>
    </w:p>
    <w:p w14:paraId="03F20EFB" w14:textId="77777777" w:rsidR="004453A9" w:rsidRPr="001B3C5D" w:rsidRDefault="004453A9" w:rsidP="004453A9">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7835733F" w14:textId="77777777" w:rsidR="004453A9" w:rsidRPr="001B3C5D" w:rsidRDefault="004453A9" w:rsidP="004453A9">
      <w:pPr>
        <w:widowControl w:val="0"/>
        <w:autoSpaceDE w:val="0"/>
        <w:autoSpaceDN w:val="0"/>
        <w:spacing w:after="0" w:line="276" w:lineRule="auto"/>
        <w:jc w:val="both"/>
        <w:rPr>
          <w:rFonts w:ascii="Verdana" w:eastAsia="Calibri" w:hAnsi="Verdana" w:cs="Arial"/>
        </w:rPr>
      </w:pPr>
    </w:p>
    <w:p w14:paraId="35931D57" w14:textId="77777777" w:rsidR="004453A9" w:rsidRPr="001B3C5D" w:rsidRDefault="004453A9" w:rsidP="004453A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B3C5D">
        <w:rPr>
          <w:rFonts w:ascii="Verdana" w:eastAsia="Calibri" w:hAnsi="Verdana" w:cs="Arial"/>
          <w:kern w:val="2"/>
          <w:shd w:val="clear" w:color="auto" w:fill="FFFFFF"/>
          <w14:ligatures w14:val="standardContextual"/>
        </w:rPr>
        <w:t>L</w:t>
      </w:r>
      <w:r w:rsidRPr="001B3C5D">
        <w:rPr>
          <w:rFonts w:ascii="Verdana" w:eastAsia="Calibri" w:hAnsi="Verdana" w:cs="Arial"/>
          <w:kern w:val="2"/>
          <w:shd w:val="clear" w:color="auto" w:fill="FFFFFF"/>
          <w:lang w:val="es-ES"/>
          <w14:ligatures w14:val="standardContextual"/>
        </w:rPr>
        <w:t xml:space="preserve">a Agencia Nacional de Contratación Pública – Colombia Compra Eficiente, se ha </w:t>
      </w:r>
      <w:r w:rsidRPr="001B3C5D">
        <w:rPr>
          <w:rFonts w:ascii="Verdana" w:eastAsia="Calibri" w:hAnsi="Verdana" w:cs="Arial"/>
          <w:kern w:val="2"/>
          <w:shd w:val="clear" w:color="auto" w:fill="FFFFFF"/>
          <w:lang w:val="es-ES"/>
          <w14:ligatures w14:val="standardContextual"/>
        </w:rPr>
        <w:lastRenderedPageBreak/>
        <w:t>pronunciado sobre la regla de la inalterabilidad de los documentos tipo en los siguiente conceptos:C-058 del 8 de marzo de 2022, C-657 del 11 de octubre de 2022, C-051 del 28 de abril de 2023</w:t>
      </w:r>
      <w:r w:rsidRPr="001B3C5D">
        <w:rPr>
          <w:rFonts w:ascii="Verdana" w:eastAsia="Times New Roman" w:hAnsi="Verdana" w:cs="Arial"/>
          <w:kern w:val="2"/>
          <w:shd w:val="clear" w:color="auto" w:fill="FFFFFF"/>
          <w:lang w:val="es-ES"/>
          <w14:ligatures w14:val="standardContextual"/>
        </w:rPr>
        <w:t xml:space="preserve">, </w:t>
      </w:r>
      <w:r w:rsidRPr="001B3C5D">
        <w:rPr>
          <w:rFonts w:ascii="Verdana" w:eastAsia="Calibri" w:hAnsi="Verdana" w:cs="Arial"/>
          <w:kern w:val="2"/>
          <w:shd w:val="clear" w:color="auto" w:fill="FFFFFF"/>
          <w:lang w:val="es-ES"/>
          <w14:ligatures w14:val="standardContextual"/>
        </w:rPr>
        <w:t>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C-582 del 25 de junio de 2025</w:t>
      </w:r>
      <w:r w:rsidRPr="001B3C5D">
        <w:rPr>
          <w:rFonts w:ascii="Verdana" w:eastAsia="Calibri" w:hAnsi="Verdana" w:cs="Arial"/>
          <w:shd w:val="clear" w:color="auto" w:fill="FFFFFF"/>
          <w:lang w:val="es-ES"/>
        </w:rPr>
        <w:t>, C-043 del 13 de febrero de 2026</w:t>
      </w:r>
      <w:r>
        <w:rPr>
          <w:rFonts w:ascii="Verdana" w:eastAsia="Calibri" w:hAnsi="Verdana" w:cs="Arial"/>
          <w:shd w:val="clear" w:color="auto" w:fill="FFFFFF"/>
          <w:lang w:val="es-ES"/>
        </w:rPr>
        <w:t>,</w:t>
      </w:r>
      <w:r w:rsidRPr="001B3C5D">
        <w:rPr>
          <w:rFonts w:ascii="Verdana" w:eastAsia="Calibri" w:hAnsi="Verdana" w:cs="Arial"/>
          <w:shd w:val="clear" w:color="auto" w:fill="FFFFFF"/>
          <w:lang w:val="es-ES"/>
        </w:rPr>
        <w:t xml:space="preserve"> C-246 del 12 de marzo de 2026</w:t>
      </w:r>
      <w:r>
        <w:rPr>
          <w:rFonts w:ascii="Verdana" w:eastAsia="Calibri" w:hAnsi="Verdana" w:cs="Arial"/>
          <w:shd w:val="clear" w:color="auto" w:fill="FFFFFF"/>
          <w:lang w:val="es-ES"/>
        </w:rPr>
        <w:t xml:space="preserve"> y C-467 del 21 de abril de 2026</w:t>
      </w:r>
      <w:r w:rsidRPr="001B3C5D">
        <w:rPr>
          <w:rFonts w:ascii="Verdana" w:eastAsia="Calibri" w:hAnsi="Verdana" w:cs="Arial"/>
          <w:shd w:val="clear" w:color="auto" w:fill="FFFFFF"/>
          <w:lang w:val="es-ES"/>
        </w:rPr>
        <w:t xml:space="preserve">, entre otros. </w:t>
      </w:r>
    </w:p>
    <w:p w14:paraId="67D96A58" w14:textId="77777777" w:rsidR="004453A9" w:rsidRPr="001B3C5D" w:rsidRDefault="004453A9" w:rsidP="004453A9">
      <w:pPr>
        <w:widowControl w:val="0"/>
        <w:autoSpaceDE w:val="0"/>
        <w:autoSpaceDN w:val="0"/>
        <w:spacing w:after="0" w:line="276" w:lineRule="auto"/>
        <w:jc w:val="both"/>
        <w:rPr>
          <w:rFonts w:ascii="Verdana" w:eastAsia="Times New Roman" w:hAnsi="Verdana" w:cs="Arial"/>
          <w:shd w:val="clear" w:color="auto" w:fill="FFFFFF"/>
          <w:lang w:val="es-ES"/>
        </w:rPr>
      </w:pPr>
    </w:p>
    <w:p w14:paraId="1AD1A6B6" w14:textId="77777777" w:rsidR="004453A9" w:rsidRPr="001B3C5D" w:rsidRDefault="004453A9" w:rsidP="004453A9">
      <w:pPr>
        <w:widowControl w:val="0"/>
        <w:autoSpaceDE w:val="0"/>
        <w:autoSpaceDN w:val="0"/>
        <w:spacing w:after="0" w:line="276" w:lineRule="auto"/>
        <w:jc w:val="both"/>
        <w:rPr>
          <w:rFonts w:ascii="Verdana" w:eastAsia="Times New Roman" w:hAnsi="Verdana" w:cs="Arial"/>
          <w:shd w:val="clear" w:color="auto" w:fill="FFFFFF"/>
          <w:lang w:val="es-ES"/>
        </w:rPr>
      </w:pPr>
      <w:r w:rsidRPr="001B3C5D">
        <w:rPr>
          <w:rFonts w:ascii="Verdana" w:eastAsia="Calibri" w:hAnsi="Verdana" w:cs="Arial"/>
          <w:color w:val="000000"/>
          <w:shd w:val="clear" w:color="auto" w:fill="FFFFFF"/>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0"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77F54771" w14:textId="77777777" w:rsidR="004453A9" w:rsidRPr="001B3C5D" w:rsidRDefault="004453A9" w:rsidP="004453A9">
      <w:pPr>
        <w:spacing w:after="0" w:line="240" w:lineRule="auto"/>
        <w:jc w:val="both"/>
        <w:rPr>
          <w:rFonts w:ascii="Verdana" w:eastAsia="Calibri" w:hAnsi="Verdana" w:cs="Arial"/>
          <w:color w:val="000000"/>
          <w:shd w:val="clear" w:color="auto" w:fill="FFFFFF"/>
        </w:rPr>
      </w:pPr>
    </w:p>
    <w:p w14:paraId="17C2A427" w14:textId="77777777" w:rsidR="004453A9" w:rsidRPr="001B3C5D" w:rsidRDefault="004453A9" w:rsidP="004453A9">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1" w:tgtFrame="_new" w:history="1">
        <w:r w:rsidRPr="001B3C5D">
          <w:rPr>
            <w:rFonts w:ascii="Verdana" w:eastAsia="Times New Roman" w:hAnsi="Verdana" w:cs="Arial"/>
            <w:color w:val="0000FF"/>
            <w:u w:val="single"/>
            <w:lang w:eastAsia="es-MX"/>
          </w:rPr>
          <w:t>https://formacionvirtual.colombiacompra.gov.co/mod/page/view.php?id=3718</w:t>
        </w:r>
      </w:hyperlink>
    </w:p>
    <w:p w14:paraId="21202770" w14:textId="77777777" w:rsidR="004453A9" w:rsidRPr="001B3C5D" w:rsidRDefault="004453A9" w:rsidP="004453A9">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w:t>
      </w:r>
      <w:r w:rsidRPr="001B3C5D">
        <w:rPr>
          <w:rFonts w:ascii="Verdana" w:eastAsia="Times New Roman" w:hAnsi="Verdana" w:cs="Arial"/>
          <w:lang w:eastAsia="es-MX"/>
        </w:rPr>
        <w:lastRenderedPageBreak/>
        <w:t xml:space="preserve">Consulta y descarga los documentos aquí: </w:t>
      </w:r>
      <w:hyperlink r:id="rId12" w:tgtFrame="_new" w:history="1">
        <w:r w:rsidRPr="001B3C5D">
          <w:rPr>
            <w:rFonts w:ascii="Verdana" w:eastAsia="Times New Roman" w:hAnsi="Verdana" w:cs="Arial"/>
            <w:color w:val="0000FF"/>
            <w:u w:val="single"/>
            <w:lang w:eastAsia="es-MX"/>
          </w:rPr>
          <w:t>https://www.colombiacompra.gov.co/normativa-y-relatoria/documentos-tipo</w:t>
        </w:r>
      </w:hyperlink>
    </w:p>
    <w:p w14:paraId="6995C129" w14:textId="77777777" w:rsidR="004453A9" w:rsidRPr="001B3C5D" w:rsidRDefault="004453A9" w:rsidP="004453A9">
      <w:pPr>
        <w:spacing w:after="0" w:line="276" w:lineRule="auto"/>
        <w:jc w:val="both"/>
        <w:rPr>
          <w:rFonts w:ascii="Verdana" w:eastAsia="Times New Roman" w:hAnsi="Verdana" w:cs="Arial"/>
          <w:lang w:eastAsia="es-MX"/>
        </w:rPr>
      </w:pPr>
    </w:p>
    <w:p w14:paraId="31203B0E" w14:textId="77777777" w:rsidR="004453A9" w:rsidRPr="001B3C5D" w:rsidRDefault="004453A9" w:rsidP="004453A9">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3"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C8656E9" w14:textId="77777777" w:rsidR="004453A9" w:rsidRPr="001B3C5D" w:rsidRDefault="004453A9" w:rsidP="004453A9">
      <w:pPr>
        <w:spacing w:after="0"/>
        <w:jc w:val="both"/>
        <w:rPr>
          <w:rFonts w:ascii="Verdana" w:eastAsia="Aptos" w:hAnsi="Verdana" w:cs="Times New Roman"/>
          <w:color w:val="212121"/>
          <w:lang w:eastAsia="es-MX"/>
        </w:rPr>
      </w:pPr>
    </w:p>
    <w:p w14:paraId="08C105C9" w14:textId="77777777" w:rsidR="004453A9" w:rsidRPr="001B3C5D" w:rsidRDefault="004453A9" w:rsidP="004453A9">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70079B07" w14:textId="77777777" w:rsidR="004453A9" w:rsidRPr="001B3C5D" w:rsidRDefault="004453A9" w:rsidP="004453A9">
      <w:pPr>
        <w:spacing w:after="0" w:line="240" w:lineRule="auto"/>
        <w:jc w:val="both"/>
        <w:rPr>
          <w:rFonts w:ascii="Verdana" w:eastAsia="Aptos" w:hAnsi="Verdana" w:cs="Times New Roman"/>
          <w:lang w:eastAsia="es-MX"/>
        </w:rPr>
      </w:pPr>
    </w:p>
    <w:p w14:paraId="6ED33F6B" w14:textId="77777777" w:rsidR="004453A9" w:rsidRPr="001B3C5D" w:rsidRDefault="004453A9" w:rsidP="004453A9">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3934F105" w14:textId="77777777" w:rsidR="004453A9" w:rsidRPr="001B3C5D" w:rsidRDefault="004453A9" w:rsidP="004453A9">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proofErr w:type="spellStart"/>
      <w:r w:rsidRPr="001B3C5D">
        <w:rPr>
          <w:rFonts w:ascii="Verdana" w:eastAsia="Calibri" w:hAnsi="Verdana" w:cs="Times New Roman"/>
          <w:color w:val="156082"/>
          <w:u w:val="single"/>
          <w:lang w:eastAsia="es-MX"/>
        </w:rPr>
        <w:t>ColombiaCompraEficiente</w:t>
      </w:r>
      <w:proofErr w:type="spellEnd"/>
    </w:p>
    <w:p w14:paraId="3F0F1E1D" w14:textId="77777777" w:rsidR="004453A9" w:rsidRPr="001B3C5D" w:rsidRDefault="004453A9" w:rsidP="004453A9">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42031B72" w14:textId="77777777" w:rsidR="004453A9" w:rsidRPr="001B3C5D" w:rsidRDefault="004453A9" w:rsidP="004453A9">
      <w:pPr>
        <w:spacing w:after="0" w:line="276" w:lineRule="auto"/>
        <w:jc w:val="both"/>
        <w:rPr>
          <w:rFonts w:ascii="Verdana" w:eastAsia="Aptos" w:hAnsi="Verdana" w:cs="Times New Roman"/>
          <w:lang w:eastAsia="es-MX"/>
        </w:rPr>
      </w:pPr>
    </w:p>
    <w:p w14:paraId="0C40C73F" w14:textId="77777777" w:rsidR="004453A9" w:rsidRPr="001B3C5D" w:rsidRDefault="004453A9" w:rsidP="004453A9">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C2885C4" w14:textId="77777777" w:rsidR="004453A9" w:rsidRPr="001B3C5D" w:rsidRDefault="004453A9" w:rsidP="004453A9">
      <w:pPr>
        <w:spacing w:after="0" w:line="276" w:lineRule="auto"/>
        <w:jc w:val="both"/>
        <w:rPr>
          <w:rFonts w:ascii="Verdana" w:eastAsia="Calibri" w:hAnsi="Verdana" w:cs="Times New Roman"/>
          <w:lang w:eastAsia="es-MX"/>
        </w:rPr>
      </w:pPr>
    </w:p>
    <w:p w14:paraId="29A08DCA" w14:textId="77777777" w:rsidR="004453A9" w:rsidRPr="001B3C5D" w:rsidRDefault="004453A9" w:rsidP="004453A9">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0F6C5334" w14:textId="77777777" w:rsidR="004453A9" w:rsidRPr="001B3C5D" w:rsidRDefault="004453A9" w:rsidP="004453A9">
      <w:pPr>
        <w:tabs>
          <w:tab w:val="left" w:pos="1320"/>
        </w:tabs>
        <w:spacing w:after="0"/>
        <w:jc w:val="center"/>
        <w:rPr>
          <w:rFonts w:ascii="Verdana" w:eastAsia="Calibri" w:hAnsi="Verdana" w:cs="Times New Roman"/>
          <w:lang w:eastAsia="es-MX"/>
        </w:rPr>
      </w:pPr>
    </w:p>
    <w:p w14:paraId="5B204CD2" w14:textId="2DC80A58" w:rsidR="00322B13" w:rsidRPr="00322B13" w:rsidRDefault="00322B13" w:rsidP="00322B13">
      <w:pPr>
        <w:tabs>
          <w:tab w:val="left" w:pos="1320"/>
        </w:tabs>
        <w:spacing w:after="0"/>
        <w:jc w:val="center"/>
        <w:rPr>
          <w:rFonts w:ascii="Verdana" w:eastAsia="Calibri" w:hAnsi="Verdana" w:cs="Times New Roman"/>
          <w:lang w:eastAsia="es-MX"/>
        </w:rPr>
      </w:pPr>
      <w:r w:rsidRPr="00322B13">
        <w:rPr>
          <w:rFonts w:ascii="Verdana" w:eastAsia="Calibri" w:hAnsi="Verdana" w:cs="Times New Roman"/>
          <w:lang w:eastAsia="es-MX"/>
        </w:rPr>
        <w:drawing>
          <wp:inline distT="0" distB="0" distL="0" distR="0" wp14:anchorId="71B8D716" wp14:editId="144C7A50">
            <wp:extent cx="2857500" cy="1063144"/>
            <wp:effectExtent l="0" t="0" r="0" b="3810"/>
            <wp:docPr id="188323621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74718" cy="1069550"/>
                    </a:xfrm>
                    <a:prstGeom prst="rect">
                      <a:avLst/>
                    </a:prstGeom>
                    <a:noFill/>
                    <a:ln>
                      <a:noFill/>
                    </a:ln>
                  </pic:spPr>
                </pic:pic>
              </a:graphicData>
            </a:graphic>
          </wp:inline>
        </w:drawing>
      </w:r>
    </w:p>
    <w:p w14:paraId="49C0BD0B" w14:textId="05D5EF4E" w:rsidR="004453A9" w:rsidRPr="00927D69" w:rsidRDefault="004453A9" w:rsidP="004453A9">
      <w:pPr>
        <w:tabs>
          <w:tab w:val="left" w:pos="1320"/>
        </w:tabs>
        <w:spacing w:after="0"/>
        <w:jc w:val="center"/>
        <w:rPr>
          <w:rFonts w:ascii="Verdana" w:eastAsia="Calibri" w:hAnsi="Verdana" w:cs="Times New Roman"/>
          <w:lang w:eastAsia="es-MX"/>
        </w:rPr>
      </w:pPr>
    </w:p>
    <w:p w14:paraId="02212FF5" w14:textId="77777777" w:rsidR="004453A9" w:rsidRPr="001B3C5D" w:rsidRDefault="004453A9" w:rsidP="004453A9">
      <w:pPr>
        <w:tabs>
          <w:tab w:val="left" w:pos="1320"/>
        </w:tabs>
        <w:spacing w:after="0"/>
        <w:jc w:val="center"/>
        <w:rPr>
          <w:rFonts w:ascii="Verdana" w:eastAsia="Calibri" w:hAnsi="Verdana" w:cs="Times New Roman"/>
          <w:lang w:eastAsia="es-MX"/>
        </w:rPr>
      </w:pP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4453A9" w:rsidRPr="001B3C5D" w14:paraId="63E3BBAA" w14:textId="77777777" w:rsidTr="006F6B37">
        <w:trPr>
          <w:trHeight w:val="323"/>
        </w:trPr>
        <w:tc>
          <w:tcPr>
            <w:tcW w:w="1041" w:type="dxa"/>
            <w:vAlign w:val="center"/>
            <w:hideMark/>
          </w:tcPr>
          <w:p w14:paraId="4E397F21" w14:textId="77777777" w:rsidR="004453A9" w:rsidRPr="001B3C5D" w:rsidRDefault="004453A9" w:rsidP="006F6B37">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0ECEE684" w14:textId="77777777" w:rsidR="004453A9" w:rsidRPr="001B3C5D" w:rsidRDefault="004453A9" w:rsidP="006F6B37">
            <w:pPr>
              <w:rPr>
                <w:rFonts w:ascii="Verdana" w:eastAsia="Arial" w:hAnsi="Verdana" w:cs="Arial"/>
                <w:sz w:val="16"/>
                <w:szCs w:val="16"/>
                <w:lang w:val="es-ES" w:eastAsia="es-MX"/>
              </w:rPr>
            </w:pPr>
            <w:r>
              <w:rPr>
                <w:rFonts w:ascii="Verdana" w:eastAsia="Arial" w:hAnsi="Verdana" w:cs="Arial"/>
                <w:sz w:val="16"/>
                <w:szCs w:val="16"/>
                <w:lang w:val="es-ES" w:eastAsia="es-MX"/>
              </w:rPr>
              <w:t>Natalia Montoya Jiménez</w:t>
            </w:r>
          </w:p>
          <w:p w14:paraId="326E120C" w14:textId="77777777" w:rsidR="004453A9" w:rsidRPr="001B3C5D" w:rsidRDefault="004453A9" w:rsidP="006F6B37">
            <w:pPr>
              <w:rPr>
                <w:rFonts w:ascii="Verdana" w:eastAsia="Arial" w:hAnsi="Verdana" w:cs="Arial"/>
                <w:sz w:val="16"/>
                <w:szCs w:val="16"/>
                <w:lang w:val="es-ES_tradnl" w:eastAsia="es-MX"/>
              </w:rPr>
            </w:pPr>
            <w:r w:rsidRPr="001B3C5D">
              <w:rPr>
                <w:rFonts w:ascii="Verdana" w:eastAsia="Arial" w:hAnsi="Verdana" w:cs="Arial"/>
                <w:sz w:val="16"/>
                <w:szCs w:val="16"/>
                <w:lang w:val="es-ES_tradnl" w:eastAsia="es-MX"/>
              </w:rPr>
              <w:t>Gestor T1-15 de la Subdirección de Gestión Contractual</w:t>
            </w:r>
          </w:p>
          <w:p w14:paraId="43B723C3" w14:textId="77777777" w:rsidR="004453A9" w:rsidRPr="001B3C5D" w:rsidRDefault="004453A9" w:rsidP="006F6B37">
            <w:pPr>
              <w:rPr>
                <w:rFonts w:ascii="Verdana" w:eastAsia="Arial" w:hAnsi="Verdana" w:cs="Arial"/>
                <w:sz w:val="16"/>
                <w:szCs w:val="16"/>
                <w:lang w:val="es-ES_tradnl" w:eastAsia="es-MX"/>
              </w:rPr>
            </w:pPr>
          </w:p>
        </w:tc>
      </w:tr>
      <w:tr w:rsidR="004453A9" w:rsidRPr="001B3C5D" w14:paraId="58B3A5C0" w14:textId="77777777" w:rsidTr="006F6B37">
        <w:trPr>
          <w:trHeight w:val="338"/>
        </w:trPr>
        <w:tc>
          <w:tcPr>
            <w:tcW w:w="1041" w:type="dxa"/>
            <w:vAlign w:val="center"/>
            <w:hideMark/>
          </w:tcPr>
          <w:p w14:paraId="32A36211" w14:textId="77777777" w:rsidR="004453A9" w:rsidRPr="001B3C5D" w:rsidRDefault="004453A9" w:rsidP="006F6B37">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40F602F0" w14:textId="77777777" w:rsidR="004453A9" w:rsidRPr="001B3C5D" w:rsidRDefault="004453A9" w:rsidP="006F6B37">
            <w:pPr>
              <w:rPr>
                <w:rFonts w:ascii="Verdana" w:eastAsia="Arial" w:hAnsi="Verdana" w:cs="Arial"/>
                <w:sz w:val="16"/>
                <w:szCs w:val="16"/>
                <w:lang w:val="es-ES" w:eastAsia="es-MX"/>
              </w:rPr>
            </w:pPr>
            <w:r>
              <w:rPr>
                <w:rFonts w:ascii="Verdana" w:eastAsia="Arial" w:hAnsi="Verdana" w:cs="Arial"/>
                <w:sz w:val="16"/>
                <w:szCs w:val="16"/>
                <w:lang w:val="es-ES" w:eastAsia="es-MX"/>
              </w:rPr>
              <w:t>Juan David Cárdenas Cabeza</w:t>
            </w:r>
          </w:p>
          <w:p w14:paraId="38DB8615" w14:textId="77777777" w:rsidR="004453A9" w:rsidRPr="001B3C5D" w:rsidRDefault="004453A9" w:rsidP="006F6B37">
            <w:pPr>
              <w:rPr>
                <w:rFonts w:ascii="Verdana" w:eastAsia="Arial" w:hAnsi="Verdana" w:cs="Arial"/>
                <w:sz w:val="16"/>
                <w:szCs w:val="16"/>
                <w:lang w:val="es-ES_tradnl" w:eastAsia="es-MX"/>
              </w:rPr>
            </w:pPr>
            <w:r w:rsidRPr="001B3C5D">
              <w:rPr>
                <w:rFonts w:ascii="Verdana" w:eastAsia="Arial" w:hAnsi="Verdana" w:cs="Arial"/>
                <w:sz w:val="16"/>
                <w:szCs w:val="16"/>
                <w:lang w:val="es-ES_tradnl" w:eastAsia="es-MX"/>
              </w:rPr>
              <w:t>Contratista de la Subdirección de Gestión Contractual</w:t>
            </w:r>
          </w:p>
        </w:tc>
      </w:tr>
      <w:tr w:rsidR="004453A9" w:rsidRPr="001B3C5D" w14:paraId="561F4E66" w14:textId="77777777" w:rsidTr="006F6B37">
        <w:trPr>
          <w:trHeight w:val="308"/>
        </w:trPr>
        <w:tc>
          <w:tcPr>
            <w:tcW w:w="1041" w:type="dxa"/>
            <w:vAlign w:val="center"/>
          </w:tcPr>
          <w:p w14:paraId="7EEA9395" w14:textId="77777777" w:rsidR="004453A9" w:rsidRPr="001B3C5D" w:rsidRDefault="004453A9" w:rsidP="006F6B37">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082CBD5C" w14:textId="77777777" w:rsidR="004453A9" w:rsidRPr="001B3C5D" w:rsidRDefault="004453A9" w:rsidP="006F6B37">
            <w:pPr>
              <w:rPr>
                <w:rFonts w:ascii="Verdana" w:eastAsia="Calibri" w:hAnsi="Verdana" w:cs="Arial"/>
                <w:sz w:val="16"/>
                <w:szCs w:val="16"/>
                <w:lang w:val="es-ES" w:eastAsia="es-ES"/>
              </w:rPr>
            </w:pPr>
            <w:r w:rsidRPr="001B3C5D">
              <w:rPr>
                <w:rFonts w:ascii="Verdana" w:eastAsia="Calibri" w:hAnsi="Verdana" w:cs="Arial"/>
                <w:sz w:val="16"/>
                <w:szCs w:val="16"/>
                <w:lang w:val="es-ES" w:eastAsia="es-ES"/>
              </w:rPr>
              <w:t>Carolina Quintero Gacharná</w:t>
            </w:r>
          </w:p>
          <w:p w14:paraId="37691A36" w14:textId="77777777" w:rsidR="004453A9" w:rsidRPr="001B3C5D" w:rsidRDefault="004453A9" w:rsidP="006F6B37">
            <w:pPr>
              <w:rPr>
                <w:rFonts w:ascii="Verdana" w:eastAsia="Calibri" w:hAnsi="Verdana" w:cs="Arial"/>
                <w:sz w:val="16"/>
                <w:szCs w:val="16"/>
                <w:lang w:val="es-ES_tradnl" w:eastAsia="es-ES"/>
              </w:rPr>
            </w:pPr>
            <w:r w:rsidRPr="001B3C5D">
              <w:rPr>
                <w:rFonts w:ascii="Verdana" w:eastAsia="Calibri" w:hAnsi="Verdana" w:cs="Arial"/>
                <w:sz w:val="16"/>
                <w:szCs w:val="16"/>
                <w:lang w:val="es-ES_tradnl" w:eastAsia="es-ES"/>
              </w:rPr>
              <w:t>Subdirectora de Gestión Contractual ANCP – CCE</w:t>
            </w:r>
          </w:p>
        </w:tc>
      </w:tr>
    </w:tbl>
    <w:p w14:paraId="0A0F9585" w14:textId="77777777" w:rsidR="004453A9" w:rsidRPr="001B3C5D" w:rsidRDefault="004453A9" w:rsidP="004453A9">
      <w:pPr>
        <w:spacing w:after="0" w:line="240" w:lineRule="auto"/>
        <w:jc w:val="both"/>
        <w:textAlignment w:val="baseline"/>
        <w:rPr>
          <w:rFonts w:ascii="Verdana" w:eastAsia="Verdana" w:hAnsi="Verdana" w:cs="Verdana"/>
          <w:lang w:eastAsia="es-CO"/>
        </w:rPr>
      </w:pPr>
    </w:p>
    <w:bookmarkEnd w:id="0"/>
    <w:p w14:paraId="12E7C977" w14:textId="5921EEE0" w:rsidR="004453A9" w:rsidRPr="00F16D67" w:rsidRDefault="004453A9" w:rsidP="004453A9">
      <w:pPr>
        <w:spacing w:after="0" w:line="240" w:lineRule="auto"/>
        <w:textAlignment w:val="baseline"/>
        <w:rPr>
          <w:rFonts w:ascii="Verdana" w:eastAsia="Verdana" w:hAnsi="Verdana" w:cs="Verdana"/>
          <w:lang w:eastAsia="es-CO"/>
        </w:rPr>
      </w:pPr>
    </w:p>
    <w:p w14:paraId="61288BE8" w14:textId="77777777" w:rsidR="004453A9" w:rsidRDefault="004453A9" w:rsidP="004453A9"/>
    <w:p w14:paraId="6B8C2D87" w14:textId="77777777" w:rsidR="004453A9" w:rsidRPr="005C3339" w:rsidRDefault="004453A9" w:rsidP="004453A9"/>
    <w:p w14:paraId="4366D962" w14:textId="77777777" w:rsidR="002D6822" w:rsidRDefault="002D6822"/>
    <w:sectPr w:rsidR="002D6822" w:rsidSect="004453A9">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803AE" w14:textId="77777777" w:rsidR="005800F8" w:rsidRDefault="005800F8" w:rsidP="004453A9">
      <w:pPr>
        <w:spacing w:after="0" w:line="240" w:lineRule="auto"/>
      </w:pPr>
      <w:r>
        <w:separator/>
      </w:r>
    </w:p>
  </w:endnote>
  <w:endnote w:type="continuationSeparator" w:id="0">
    <w:p w14:paraId="7268177E" w14:textId="77777777" w:rsidR="005800F8" w:rsidRDefault="005800F8" w:rsidP="004453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Helvetica">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pleSystemUIFont">
    <w:altName w:val="Calibri"/>
    <w:panose1 w:val="00000000000000000000"/>
    <w:charset w:val="00"/>
    <w:family w:val="auto"/>
    <w:notTrueType/>
    <w:pitch w:val="default"/>
    <w:sig w:usb0="00000003" w:usb1="00000000" w:usb2="00000000" w:usb3="00000000" w:csb0="00000001"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9D0C8" w14:textId="77777777" w:rsidR="004453A9" w:rsidRDefault="004453A9">
    <w:pPr>
      <w:pStyle w:val="Piedepgina"/>
    </w:pPr>
  </w:p>
  <w:p w14:paraId="21AB74DB" w14:textId="77777777" w:rsidR="004453A9" w:rsidRPr="00174B77" w:rsidRDefault="004453A9"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49AEB420" w14:textId="77777777" w:rsidR="004453A9" w:rsidRDefault="004453A9"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4E40FCCD" w14:textId="77777777" w:rsidR="004453A9" w:rsidRPr="00E41027" w:rsidRDefault="004453A9"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2E2F21C3" w14:textId="77777777" w:rsidR="004453A9" w:rsidRDefault="004453A9"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C58551" w14:textId="77777777" w:rsidR="005800F8" w:rsidRDefault="005800F8" w:rsidP="004453A9">
      <w:pPr>
        <w:spacing w:after="0" w:line="240" w:lineRule="auto"/>
      </w:pPr>
      <w:r>
        <w:separator/>
      </w:r>
    </w:p>
  </w:footnote>
  <w:footnote w:type="continuationSeparator" w:id="0">
    <w:p w14:paraId="2086A946" w14:textId="77777777" w:rsidR="005800F8" w:rsidRDefault="005800F8" w:rsidP="004453A9">
      <w:pPr>
        <w:spacing w:after="0" w:line="240" w:lineRule="auto"/>
      </w:pPr>
      <w:r>
        <w:continuationSeparator/>
      </w:r>
    </w:p>
  </w:footnote>
  <w:footnote w:id="1">
    <w:p w14:paraId="5E95A54E" w14:textId="77777777" w:rsidR="004453A9" w:rsidRPr="00FB049A" w:rsidRDefault="004453A9" w:rsidP="004453A9">
      <w:pPr>
        <w:pStyle w:val="Textonotapie"/>
        <w:ind w:firstLine="708"/>
        <w:jc w:val="both"/>
        <w:rPr>
          <w:rFonts w:ascii="Verdana" w:hAnsi="Verdana" w:cs="Arial"/>
          <w:sz w:val="16"/>
          <w:szCs w:val="16"/>
          <w:lang w:val="it-IT"/>
        </w:rPr>
      </w:pPr>
      <w:r w:rsidRPr="00FB049A">
        <w:rPr>
          <w:rStyle w:val="Refdenotaalpie"/>
          <w:rFonts w:ascii="Verdana" w:hAnsi="Verdana" w:cs="Arial"/>
          <w:sz w:val="16"/>
          <w:szCs w:val="16"/>
        </w:rPr>
        <w:footnoteRef/>
      </w:r>
      <w:r w:rsidRPr="00FB049A">
        <w:rPr>
          <w:rFonts w:ascii="Verdana" w:hAnsi="Verdana" w:cs="Arial"/>
          <w:sz w:val="16"/>
          <w:szCs w:val="16"/>
          <w:lang w:val="pt-BR"/>
        </w:rPr>
        <w:t xml:space="preserve"> Corte Constitucional, Sentencia C–1005 de 2008. </w:t>
      </w:r>
      <w:r w:rsidRPr="00FB049A">
        <w:rPr>
          <w:rFonts w:ascii="Verdana" w:hAnsi="Verdana" w:cs="Arial"/>
          <w:sz w:val="16"/>
          <w:szCs w:val="16"/>
          <w:lang w:val="it-IT"/>
        </w:rPr>
        <w:t xml:space="preserve">M.P.: Humberto Antonio Sierra Porto. </w:t>
      </w:r>
    </w:p>
    <w:p w14:paraId="2DF399AD" w14:textId="77777777" w:rsidR="004453A9" w:rsidRPr="00FB049A" w:rsidRDefault="004453A9" w:rsidP="004453A9">
      <w:pPr>
        <w:pStyle w:val="Textonotapie"/>
        <w:ind w:firstLine="708"/>
        <w:jc w:val="both"/>
        <w:rPr>
          <w:rFonts w:ascii="Verdana" w:hAnsi="Verdana" w:cs="Arial"/>
          <w:sz w:val="16"/>
          <w:szCs w:val="16"/>
          <w:lang w:val="it-IT"/>
        </w:rPr>
      </w:pPr>
    </w:p>
  </w:footnote>
  <w:footnote w:id="2">
    <w:p w14:paraId="755B4162" w14:textId="77777777" w:rsidR="004453A9" w:rsidRPr="00FB049A" w:rsidRDefault="004453A9" w:rsidP="004453A9">
      <w:pPr>
        <w:pStyle w:val="Textonotapie"/>
        <w:ind w:firstLine="708"/>
        <w:jc w:val="both"/>
        <w:rPr>
          <w:rFonts w:ascii="Verdana" w:hAnsi="Verdana" w:cs="Arial"/>
          <w:sz w:val="16"/>
          <w:szCs w:val="16"/>
          <w:lang w:val="pt-BR"/>
        </w:rPr>
      </w:pPr>
      <w:r w:rsidRPr="00FB049A">
        <w:rPr>
          <w:rStyle w:val="Refdenotaalpie"/>
          <w:rFonts w:ascii="Verdana" w:hAnsi="Verdana" w:cs="Arial"/>
          <w:sz w:val="16"/>
          <w:szCs w:val="16"/>
        </w:rPr>
        <w:footnoteRef/>
      </w:r>
      <w:r w:rsidRPr="00FB049A">
        <w:rPr>
          <w:rFonts w:ascii="Verdana" w:hAnsi="Verdana" w:cs="Arial"/>
          <w:sz w:val="16"/>
          <w:szCs w:val="16"/>
          <w:lang w:val="pt-BR"/>
        </w:rPr>
        <w:t xml:space="preserve"> Consejo de Estado, Sala de lo Contencioso Administrativo, Sección Primera. Consejero ponente: Juan Alberto Polo Figueroa. Bogotá D.C., 24 de agosto de 2000. Radicación número 6096.</w:t>
      </w:r>
    </w:p>
    <w:p w14:paraId="48E84E01" w14:textId="77777777" w:rsidR="004453A9" w:rsidRPr="00FB049A" w:rsidRDefault="004453A9" w:rsidP="004453A9">
      <w:pPr>
        <w:pStyle w:val="Textonotapie"/>
        <w:ind w:firstLine="708"/>
        <w:jc w:val="both"/>
        <w:rPr>
          <w:rFonts w:ascii="Verdana" w:hAnsi="Verdana" w:cs="Arial"/>
          <w:sz w:val="16"/>
          <w:szCs w:val="16"/>
          <w:lang w:val="pt-BR"/>
        </w:rPr>
      </w:pPr>
    </w:p>
  </w:footnote>
  <w:footnote w:id="3">
    <w:p w14:paraId="13054A84" w14:textId="77777777" w:rsidR="004453A9" w:rsidRPr="00FB049A" w:rsidRDefault="004453A9" w:rsidP="004453A9">
      <w:pPr>
        <w:pStyle w:val="Textonotapie"/>
        <w:ind w:firstLine="708"/>
        <w:jc w:val="both"/>
        <w:rPr>
          <w:rFonts w:ascii="Verdana" w:hAnsi="Verdana"/>
          <w:sz w:val="16"/>
          <w:szCs w:val="16"/>
          <w:lang w:val="pt-BR"/>
        </w:rPr>
      </w:pPr>
      <w:r w:rsidRPr="00FB049A">
        <w:rPr>
          <w:rStyle w:val="Refdenotaalpie"/>
          <w:rFonts w:ascii="Verdana" w:hAnsi="Verdana"/>
          <w:sz w:val="16"/>
          <w:szCs w:val="16"/>
        </w:rPr>
        <w:footnoteRef/>
      </w:r>
      <w:r w:rsidRPr="00FB049A">
        <w:rPr>
          <w:rFonts w:ascii="Verdana" w:hAnsi="Verdana"/>
          <w:sz w:val="16"/>
          <w:szCs w:val="16"/>
          <w:lang w:val="pt-BR"/>
        </w:rPr>
        <w:t xml:space="preserve"> Ibidem </w:t>
      </w:r>
    </w:p>
    <w:p w14:paraId="4D086EBD" w14:textId="77777777" w:rsidR="004453A9" w:rsidRPr="00FB049A" w:rsidRDefault="004453A9" w:rsidP="004453A9">
      <w:pPr>
        <w:pStyle w:val="Textonotapie"/>
        <w:ind w:firstLine="708"/>
        <w:jc w:val="both"/>
        <w:rPr>
          <w:rFonts w:ascii="Verdana" w:hAnsi="Verdana"/>
          <w:sz w:val="16"/>
          <w:szCs w:val="16"/>
          <w:lang w:val="pt-BR"/>
        </w:rPr>
      </w:pPr>
    </w:p>
  </w:footnote>
  <w:footnote w:id="4">
    <w:p w14:paraId="578D18C2" w14:textId="77777777" w:rsidR="004453A9" w:rsidRPr="00FB049A" w:rsidRDefault="004453A9" w:rsidP="004453A9">
      <w:pPr>
        <w:pStyle w:val="Textonotapie"/>
        <w:ind w:firstLine="708"/>
        <w:jc w:val="both"/>
        <w:rPr>
          <w:rFonts w:ascii="Verdana" w:hAnsi="Verdana"/>
          <w:color w:val="333333"/>
          <w:sz w:val="16"/>
          <w:szCs w:val="16"/>
          <w:shd w:val="clear" w:color="auto" w:fill="FFFFFF"/>
          <w:lang w:val="pt-BR"/>
        </w:rPr>
      </w:pPr>
      <w:r w:rsidRPr="00FB049A">
        <w:rPr>
          <w:rStyle w:val="Refdenotaalpie"/>
          <w:rFonts w:ascii="Verdana" w:hAnsi="Verdana"/>
          <w:sz w:val="16"/>
          <w:szCs w:val="16"/>
        </w:rPr>
        <w:footnoteRef/>
      </w:r>
      <w:r w:rsidRPr="00FB049A">
        <w:rPr>
          <w:rFonts w:ascii="Verdana" w:hAnsi="Verdana"/>
          <w:sz w:val="16"/>
          <w:szCs w:val="16"/>
          <w:lang w:val="pt-BR"/>
        </w:rPr>
        <w:t xml:space="preserve"> </w:t>
      </w:r>
      <w:r w:rsidRPr="00FB049A">
        <w:rPr>
          <w:rFonts w:ascii="Verdana" w:hAnsi="Verdana" w:cs="Arial"/>
          <w:sz w:val="16"/>
          <w:szCs w:val="16"/>
          <w:lang w:val="pt-BR"/>
        </w:rPr>
        <w:t xml:space="preserve">Corte Constitucional, Sentencia </w:t>
      </w:r>
      <w:r w:rsidRPr="00FB049A">
        <w:rPr>
          <w:rFonts w:ascii="Verdana" w:eastAsia="Times New Roman" w:hAnsi="Verdana" w:cs="Arial"/>
          <w:sz w:val="16"/>
          <w:szCs w:val="16"/>
          <w:lang w:val="pt-BR" w:eastAsia="es-MX"/>
        </w:rPr>
        <w:t>C-917 de 2002</w:t>
      </w:r>
      <w:r w:rsidRPr="00FB049A">
        <w:rPr>
          <w:rFonts w:ascii="Verdana" w:hAnsi="Verdana" w:cs="Arial"/>
          <w:sz w:val="16"/>
          <w:szCs w:val="16"/>
          <w:lang w:val="pt-BR"/>
        </w:rPr>
        <w:t xml:space="preserve">. M.P.: </w:t>
      </w:r>
      <w:r w:rsidRPr="00FB049A">
        <w:rPr>
          <w:rFonts w:ascii="Verdana" w:hAnsi="Verdana"/>
          <w:color w:val="333333"/>
          <w:sz w:val="16"/>
          <w:szCs w:val="16"/>
          <w:shd w:val="clear" w:color="auto" w:fill="FFFFFF"/>
          <w:lang w:val="pt-BR"/>
        </w:rPr>
        <w:t>Marco Gerardo Monroy Cabra.</w:t>
      </w:r>
    </w:p>
    <w:p w14:paraId="5AFBAAFC" w14:textId="77777777" w:rsidR="004453A9" w:rsidRPr="00F16D67" w:rsidRDefault="004453A9" w:rsidP="004453A9">
      <w:pPr>
        <w:pStyle w:val="Textonotapie"/>
        <w:ind w:firstLine="708"/>
        <w:jc w:val="both"/>
        <w:rPr>
          <w:rFonts w:ascii="Verdana" w:hAnsi="Verdana"/>
          <w:sz w:val="19"/>
          <w:szCs w:val="19"/>
          <w:lang w:val="pt-BR"/>
        </w:rPr>
      </w:pPr>
    </w:p>
  </w:footnote>
  <w:footnote w:id="5">
    <w:p w14:paraId="03DB5D97" w14:textId="77777777" w:rsidR="004453A9" w:rsidRDefault="004453A9" w:rsidP="004453A9">
      <w:pPr>
        <w:pStyle w:val="Textonotapie"/>
        <w:ind w:firstLine="708"/>
        <w:jc w:val="both"/>
        <w:rPr>
          <w:rFonts w:ascii="Verdana" w:hAnsi="Verdana" w:cs="Arial"/>
          <w:sz w:val="19"/>
          <w:szCs w:val="19"/>
        </w:rPr>
      </w:pPr>
      <w:r w:rsidRPr="00C80FF3">
        <w:rPr>
          <w:rStyle w:val="Refdenotaalpie"/>
          <w:rFonts w:ascii="Verdana" w:hAnsi="Verdana" w:cs="Arial"/>
          <w:sz w:val="19"/>
          <w:szCs w:val="19"/>
        </w:rPr>
        <w:footnoteRef/>
      </w:r>
      <w:r w:rsidRPr="00C80FF3">
        <w:rPr>
          <w:rFonts w:ascii="Verdana" w:hAnsi="Verdana" w:cs="Arial"/>
          <w:sz w:val="19"/>
          <w:szCs w:val="19"/>
        </w:rPr>
        <w:t xml:space="preserve"> Artículo 1º del Decreto Ley 4170 de 2011.</w:t>
      </w:r>
    </w:p>
    <w:p w14:paraId="11A22DBE" w14:textId="77777777" w:rsidR="004453A9" w:rsidRPr="00C80FF3" w:rsidRDefault="004453A9" w:rsidP="004453A9">
      <w:pPr>
        <w:pStyle w:val="Textonotapie"/>
        <w:ind w:firstLine="708"/>
        <w:jc w:val="both"/>
        <w:rPr>
          <w:rFonts w:ascii="Verdana" w:hAnsi="Verdana" w:cs="Arial"/>
          <w:sz w:val="19"/>
          <w:szCs w:val="19"/>
        </w:rPr>
      </w:pPr>
    </w:p>
  </w:footnote>
  <w:footnote w:id="6">
    <w:p w14:paraId="15C19B3B" w14:textId="77777777" w:rsidR="004453A9" w:rsidRPr="00C80FF3" w:rsidRDefault="004453A9" w:rsidP="004453A9">
      <w:pPr>
        <w:pStyle w:val="Textonotapie"/>
        <w:ind w:firstLine="708"/>
        <w:jc w:val="both"/>
        <w:rPr>
          <w:rFonts w:ascii="Verdana" w:hAnsi="Verdana" w:cs="Arial"/>
          <w:sz w:val="19"/>
          <w:szCs w:val="19"/>
        </w:rPr>
      </w:pPr>
      <w:r w:rsidRPr="00C80FF3">
        <w:rPr>
          <w:rStyle w:val="Refdenotaalpie"/>
          <w:rFonts w:ascii="Verdana" w:hAnsi="Verdana"/>
          <w:sz w:val="19"/>
          <w:szCs w:val="19"/>
        </w:rPr>
        <w:footnoteRef/>
      </w:r>
      <w:r w:rsidRPr="00C80FF3">
        <w:rPr>
          <w:rFonts w:ascii="Verdana" w:hAnsi="Verdana"/>
          <w:sz w:val="19"/>
          <w:szCs w:val="19"/>
        </w:rPr>
        <w:t xml:space="preserve"> </w:t>
      </w:r>
      <w:r w:rsidRPr="00C80FF3">
        <w:rPr>
          <w:rFonts w:ascii="Verdana" w:hAnsi="Verdana" w:cs="Arial"/>
          <w:sz w:val="19"/>
          <w:szCs w:val="19"/>
        </w:rPr>
        <w:t>Ver el Artículo 11 numeral 12 del Decreto Ley 4170 de 2011.</w:t>
      </w:r>
    </w:p>
    <w:p w14:paraId="3F6CEBAB" w14:textId="77777777" w:rsidR="004453A9" w:rsidRPr="00C80FF3" w:rsidRDefault="004453A9" w:rsidP="004453A9">
      <w:pPr>
        <w:pStyle w:val="Textonotapie"/>
        <w:ind w:firstLine="708"/>
        <w:jc w:val="both"/>
        <w:rPr>
          <w:rFonts w:ascii="Verdana" w:hAnsi="Verdana"/>
          <w:sz w:val="19"/>
          <w:szCs w:val="19"/>
        </w:rPr>
      </w:pPr>
    </w:p>
  </w:footnote>
  <w:footnote w:id="7">
    <w:p w14:paraId="5099D2AA"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cs="Arial"/>
          <w:sz w:val="16"/>
          <w:szCs w:val="16"/>
        </w:rPr>
        <w:footnoteRef/>
      </w:r>
      <w:r w:rsidRPr="002F36CA">
        <w:rPr>
          <w:rStyle w:val="Refdenotaalpie"/>
          <w:rFonts w:ascii="Verdana" w:hAnsi="Verdana" w:cs="Arial"/>
          <w:sz w:val="16"/>
          <w:szCs w:val="16"/>
        </w:rPr>
        <w:t xml:space="preserve"> </w:t>
      </w:r>
      <w:r w:rsidRPr="002F36CA">
        <w:rPr>
          <w:rFonts w:ascii="Verdana" w:hAnsi="Verdana" w:cs="Arial"/>
          <w:sz w:val="16"/>
          <w:szCs w:val="16"/>
        </w:rPr>
        <w:t>Consejo de Estado. Sección Tercera. Auto del 14 de agosto de 2017. Rad. 58820.</w:t>
      </w:r>
    </w:p>
    <w:p w14:paraId="3833B1E7" w14:textId="77777777" w:rsidR="004453A9" w:rsidRPr="002F36CA" w:rsidRDefault="004453A9" w:rsidP="004453A9">
      <w:pPr>
        <w:pStyle w:val="Textonotapie"/>
        <w:ind w:firstLine="708"/>
        <w:jc w:val="both"/>
        <w:rPr>
          <w:rFonts w:ascii="Verdana" w:hAnsi="Verdana" w:cs="Arial"/>
          <w:sz w:val="16"/>
          <w:szCs w:val="16"/>
        </w:rPr>
      </w:pPr>
    </w:p>
  </w:footnote>
  <w:footnote w:id="8">
    <w:p w14:paraId="323CC535"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Consejo de Estado. Sección Tercera. Sentencia del 16 de agosto de 2017. Rad. 56166.</w:t>
      </w:r>
    </w:p>
    <w:p w14:paraId="6066575F" w14:textId="77777777" w:rsidR="004453A9" w:rsidRPr="002F36CA" w:rsidRDefault="004453A9" w:rsidP="004453A9">
      <w:pPr>
        <w:pStyle w:val="Textonotapie"/>
        <w:ind w:firstLine="708"/>
        <w:jc w:val="both"/>
        <w:rPr>
          <w:rFonts w:ascii="Verdana" w:hAnsi="Verdana"/>
          <w:sz w:val="16"/>
          <w:szCs w:val="16"/>
        </w:rPr>
      </w:pPr>
    </w:p>
  </w:footnote>
  <w:footnote w:id="9">
    <w:p w14:paraId="5132BE8A"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cs="Arial"/>
          <w:sz w:val="16"/>
          <w:szCs w:val="16"/>
        </w:rPr>
        <w:footnoteRef/>
      </w:r>
      <w:r w:rsidRPr="002F36CA">
        <w:rPr>
          <w:rFonts w:ascii="Verdana" w:hAnsi="Verdana" w:cs="Arial"/>
          <w:sz w:val="16"/>
          <w:szCs w:val="16"/>
        </w:rPr>
        <w:t xml:space="preserve">Ibídem. </w:t>
      </w:r>
    </w:p>
    <w:p w14:paraId="22C4849C" w14:textId="77777777" w:rsidR="004453A9" w:rsidRPr="002F36CA" w:rsidRDefault="004453A9" w:rsidP="004453A9">
      <w:pPr>
        <w:pStyle w:val="Textonotapie"/>
        <w:ind w:firstLine="708"/>
        <w:jc w:val="both"/>
        <w:rPr>
          <w:rFonts w:ascii="Verdana" w:hAnsi="Verdana" w:cs="Arial"/>
          <w:sz w:val="16"/>
          <w:szCs w:val="16"/>
        </w:rPr>
      </w:pPr>
    </w:p>
  </w:footnote>
  <w:footnote w:id="10">
    <w:p w14:paraId="68200B4B" w14:textId="77777777" w:rsidR="004453A9" w:rsidRPr="002F36CA" w:rsidRDefault="004453A9" w:rsidP="004453A9">
      <w:pPr>
        <w:pStyle w:val="Textonotapie"/>
        <w:ind w:firstLine="708"/>
        <w:jc w:val="both"/>
        <w:rPr>
          <w:rFonts w:ascii="Verdana" w:hAnsi="Verdana" w:cs="Arial"/>
          <w:sz w:val="16"/>
          <w:szCs w:val="16"/>
          <w:lang w:val="es-ES"/>
        </w:rPr>
      </w:pPr>
      <w:r w:rsidRPr="002F36CA">
        <w:rPr>
          <w:rStyle w:val="Refdenotaalpie"/>
          <w:rFonts w:ascii="Verdana" w:hAnsi="Verdana" w:cs="Arial"/>
          <w:sz w:val="16"/>
          <w:szCs w:val="16"/>
        </w:rPr>
        <w:footnoteRef/>
      </w:r>
      <w:r w:rsidRPr="002F36CA">
        <w:rPr>
          <w:rFonts w:ascii="Verdana" w:hAnsi="Verdana" w:cs="Arial"/>
          <w:sz w:val="16"/>
          <w:szCs w:val="16"/>
        </w:rPr>
        <w:t xml:space="preserve"> Diccionario de la Real Academia Española, versión online disponible en: </w:t>
      </w:r>
      <w:hyperlink r:id="rId1" w:history="1">
        <w:r w:rsidRPr="002F36CA">
          <w:rPr>
            <w:rStyle w:val="Hipervnculo"/>
            <w:rFonts w:ascii="Verdana" w:hAnsi="Verdana" w:cs="Arial"/>
            <w:sz w:val="16"/>
            <w:szCs w:val="16"/>
          </w:rPr>
          <w:t>https://dle.rae.es/est%C3%A1ndar</w:t>
        </w:r>
      </w:hyperlink>
      <w:r w:rsidRPr="002F36CA">
        <w:rPr>
          <w:rFonts w:ascii="Verdana" w:hAnsi="Verdana" w:cs="Arial"/>
          <w:sz w:val="16"/>
          <w:szCs w:val="16"/>
        </w:rPr>
        <w:t xml:space="preserve">, consultado el 2 de junio de 2020. </w:t>
      </w:r>
    </w:p>
  </w:footnote>
  <w:footnote w:id="11">
    <w:p w14:paraId="305E260C" w14:textId="77777777" w:rsidR="004453A9" w:rsidRPr="000D0284" w:rsidRDefault="004453A9" w:rsidP="004453A9">
      <w:pPr>
        <w:pStyle w:val="Textonotapie"/>
        <w:rPr>
          <w:lang w:val="es-CO"/>
        </w:rPr>
      </w:pPr>
      <w:r>
        <w:rPr>
          <w:rStyle w:val="Refdenotaalpie"/>
        </w:rPr>
        <w:footnoteRef/>
      </w:r>
      <w:r>
        <w:t xml:space="preserve"> </w:t>
      </w:r>
      <w:r w:rsidRPr="00E9637E">
        <w:rPr>
          <w:rFonts w:ascii="Verdana" w:hAnsi="Verdana"/>
          <w:sz w:val="16"/>
          <w:szCs w:val="16"/>
          <w:lang w:val="es-CO"/>
        </w:rPr>
        <w:t>Circular Externa No. 03 del 12 de mayo de 2026. Agencia Nacional de Contratación Pública – Colombia Compra Eficiente</w:t>
      </w:r>
    </w:p>
  </w:footnote>
  <w:footnote w:id="12">
    <w:p w14:paraId="26E6601F"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w:t>
      </w:r>
      <w:r w:rsidRPr="002F36CA">
        <w:rPr>
          <w:rFonts w:ascii="Verdana" w:hAnsi="Verdana" w:cs="Arial"/>
          <w:sz w:val="16"/>
          <w:szCs w:val="16"/>
        </w:rPr>
        <w:t>Gaceta del Congreso No. 733 del 2018. Pág. 19</w:t>
      </w:r>
    </w:p>
    <w:p w14:paraId="6F023CDB" w14:textId="77777777" w:rsidR="004453A9" w:rsidRPr="002F36CA" w:rsidRDefault="004453A9" w:rsidP="004453A9">
      <w:pPr>
        <w:pStyle w:val="Textonotapie"/>
        <w:jc w:val="both"/>
        <w:rPr>
          <w:rFonts w:ascii="Verdana" w:hAnsi="Verdana"/>
          <w:sz w:val="16"/>
          <w:szCs w:val="16"/>
          <w:lang w:val="es-CO"/>
        </w:rPr>
      </w:pPr>
    </w:p>
  </w:footnote>
  <w:footnote w:id="13">
    <w:p w14:paraId="43E59538"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sz w:val="16"/>
          <w:szCs w:val="16"/>
        </w:rPr>
        <w:footnoteRef/>
      </w:r>
      <w:r w:rsidRPr="002F36CA">
        <w:rPr>
          <w:rFonts w:ascii="Verdana" w:hAnsi="Verdana"/>
          <w:sz w:val="16"/>
          <w:szCs w:val="16"/>
        </w:rPr>
        <w:t xml:space="preserve"> </w:t>
      </w:r>
      <w:r w:rsidRPr="002F36CA">
        <w:rPr>
          <w:rFonts w:ascii="Verdana" w:hAnsi="Verdana" w:cs="Arial"/>
          <w:sz w:val="16"/>
          <w:szCs w:val="16"/>
        </w:rPr>
        <w:t xml:space="preserve">Ley 2022 de 2020: “Artículo 1. Modifíquese el artículo </w:t>
      </w:r>
      <w:hyperlink r:id="rId2" w:anchor="4" w:history="1">
        <w:r w:rsidRPr="002F36CA">
          <w:rPr>
            <w:rFonts w:ascii="Verdana" w:hAnsi="Verdana" w:cs="Arial"/>
            <w:sz w:val="16"/>
            <w:szCs w:val="16"/>
          </w:rPr>
          <w:t>4</w:t>
        </w:r>
      </w:hyperlink>
      <w:r w:rsidRPr="002F36CA">
        <w:rPr>
          <w:rFonts w:ascii="Verdana" w:hAnsi="Verdana" w:cs="Arial"/>
          <w:sz w:val="16"/>
          <w:szCs w:val="16"/>
        </w:rPr>
        <w:t xml:space="preserve">º de la Ley 1882 de 2018, el cual quedará así: </w:t>
      </w:r>
    </w:p>
    <w:p w14:paraId="599A6254" w14:textId="77777777" w:rsidR="004453A9" w:rsidRPr="002F36CA" w:rsidRDefault="004453A9" w:rsidP="004453A9">
      <w:pPr>
        <w:pStyle w:val="Textonotapie"/>
        <w:ind w:firstLine="708"/>
        <w:jc w:val="both"/>
        <w:rPr>
          <w:rFonts w:ascii="Verdana" w:hAnsi="Verdana" w:cs="Arial"/>
          <w:sz w:val="16"/>
          <w:szCs w:val="16"/>
        </w:rPr>
      </w:pPr>
    </w:p>
    <w:p w14:paraId="12BB1A51"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 xml:space="preserve">“Artículo 4º. Adiciónese el siguiente </w:t>
      </w:r>
      <w:r w:rsidRPr="002F36CA">
        <w:rPr>
          <w:rFonts w:ascii="Verdana" w:hAnsi="Verdana"/>
          <w:sz w:val="16"/>
          <w:szCs w:val="16"/>
        </w:rPr>
        <w:t xml:space="preserve"> </w:t>
      </w:r>
      <w:r w:rsidRPr="002F36CA">
        <w:rPr>
          <w:rFonts w:ascii="Verdana" w:hAnsi="Verdana" w:cs="Arial"/>
          <w:sz w:val="16"/>
          <w:szCs w:val="16"/>
        </w:rPr>
        <w:t>al artículo 2º de la Ley 1150 de 2007.</w:t>
      </w:r>
    </w:p>
    <w:p w14:paraId="2EED5B2F" w14:textId="77777777" w:rsidR="004453A9" w:rsidRPr="002F36CA" w:rsidRDefault="004453A9" w:rsidP="004453A9">
      <w:pPr>
        <w:pStyle w:val="Textonotapie"/>
        <w:ind w:firstLine="708"/>
        <w:jc w:val="both"/>
        <w:rPr>
          <w:rFonts w:ascii="Verdana" w:hAnsi="Verdana" w:cs="Arial"/>
          <w:sz w:val="16"/>
          <w:szCs w:val="16"/>
        </w:rPr>
      </w:pPr>
    </w:p>
    <w:p w14:paraId="62CFF808"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Parágrafo 7º.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F6B4291" w14:textId="77777777" w:rsidR="004453A9" w:rsidRPr="002F36CA" w:rsidRDefault="004453A9" w:rsidP="004453A9">
      <w:pPr>
        <w:pStyle w:val="Textonotapie"/>
        <w:ind w:firstLine="708"/>
        <w:jc w:val="both"/>
        <w:rPr>
          <w:rFonts w:ascii="Verdana" w:hAnsi="Verdana" w:cs="Arial"/>
          <w:sz w:val="16"/>
          <w:szCs w:val="16"/>
        </w:rPr>
      </w:pPr>
    </w:p>
    <w:p w14:paraId="30E59197"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720F0A52" w14:textId="77777777" w:rsidR="004453A9" w:rsidRPr="002F36CA" w:rsidRDefault="004453A9" w:rsidP="004453A9">
      <w:pPr>
        <w:pStyle w:val="Textonotapie"/>
        <w:ind w:firstLine="708"/>
        <w:jc w:val="both"/>
        <w:rPr>
          <w:rFonts w:ascii="Verdana" w:hAnsi="Verdana" w:cs="Arial"/>
          <w:sz w:val="16"/>
          <w:szCs w:val="16"/>
        </w:rPr>
      </w:pPr>
    </w:p>
    <w:p w14:paraId="460BDC08"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5004FCA4" w14:textId="77777777" w:rsidR="004453A9" w:rsidRPr="002F36CA" w:rsidRDefault="004453A9" w:rsidP="004453A9">
      <w:pPr>
        <w:pStyle w:val="Textonotapie"/>
        <w:ind w:firstLine="708"/>
        <w:jc w:val="both"/>
        <w:rPr>
          <w:rFonts w:ascii="Verdana" w:hAnsi="Verdana" w:cs="Arial"/>
          <w:sz w:val="16"/>
          <w:szCs w:val="16"/>
        </w:rPr>
      </w:pPr>
    </w:p>
    <w:p w14:paraId="6A5D0255"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0D2F6028" w14:textId="77777777" w:rsidR="004453A9" w:rsidRPr="002F36CA" w:rsidRDefault="004453A9" w:rsidP="004453A9">
      <w:pPr>
        <w:pStyle w:val="Textonotapie"/>
        <w:ind w:firstLine="708"/>
        <w:jc w:val="both"/>
        <w:rPr>
          <w:rFonts w:ascii="Verdana" w:hAnsi="Verdana" w:cs="Arial"/>
          <w:sz w:val="16"/>
          <w:szCs w:val="16"/>
        </w:rPr>
      </w:pPr>
    </w:p>
    <w:p w14:paraId="6D8899DF"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p w14:paraId="2C83FAD2"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 xml:space="preserve"> </w:t>
      </w:r>
    </w:p>
  </w:footnote>
  <w:footnote w:id="14">
    <w:p w14:paraId="5E3A190A"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cs="Arial"/>
          <w:sz w:val="16"/>
          <w:szCs w:val="16"/>
        </w:rPr>
        <w:footnoteRef/>
      </w:r>
      <w:r w:rsidRPr="002F36CA">
        <w:rPr>
          <w:rFonts w:ascii="Verdana" w:hAnsi="Verdana" w:cs="Arial"/>
          <w:sz w:val="16"/>
          <w:szCs w:val="16"/>
        </w:rPr>
        <w:t xml:space="preserve"> Ley 80 de 1993. “Artículo 2. De la definición de entidades, servidores y servicios públicos. Para los solos efectos de esta ley:</w:t>
      </w:r>
    </w:p>
    <w:p w14:paraId="75DF6ACC" w14:textId="77777777" w:rsidR="004453A9" w:rsidRPr="002F36CA" w:rsidRDefault="004453A9" w:rsidP="004453A9">
      <w:pPr>
        <w:pStyle w:val="Textonotapie"/>
        <w:ind w:firstLine="708"/>
        <w:jc w:val="both"/>
        <w:rPr>
          <w:rFonts w:ascii="Verdana" w:hAnsi="Verdana" w:cs="Arial"/>
          <w:sz w:val="16"/>
          <w:szCs w:val="16"/>
        </w:rPr>
      </w:pPr>
    </w:p>
    <w:p w14:paraId="17110FF8"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1o. Se denominan entidades estatales:</w:t>
      </w:r>
    </w:p>
    <w:p w14:paraId="049E5A50" w14:textId="77777777" w:rsidR="004453A9" w:rsidRPr="002F36CA" w:rsidRDefault="004453A9" w:rsidP="004453A9">
      <w:pPr>
        <w:pStyle w:val="Textonotapie"/>
        <w:ind w:firstLine="708"/>
        <w:jc w:val="both"/>
        <w:rPr>
          <w:rFonts w:ascii="Verdana" w:hAnsi="Verdana" w:cs="Arial"/>
          <w:sz w:val="16"/>
          <w:szCs w:val="16"/>
        </w:rPr>
      </w:pPr>
    </w:p>
    <w:p w14:paraId="49FB71E6" w14:textId="77777777" w:rsidR="004453A9" w:rsidRPr="002F36CA" w:rsidRDefault="004453A9" w:rsidP="004453A9">
      <w:pPr>
        <w:pStyle w:val="Textonotapie"/>
        <w:ind w:firstLine="708"/>
        <w:jc w:val="both"/>
        <w:rPr>
          <w:rFonts w:ascii="Verdana" w:hAnsi="Verdana" w:cs="Arial"/>
          <w:sz w:val="16"/>
          <w:szCs w:val="16"/>
        </w:rPr>
      </w:pPr>
      <w:r w:rsidRPr="002F36CA">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4E4D5F4B" w14:textId="77777777" w:rsidR="004453A9" w:rsidRPr="002F36CA" w:rsidRDefault="004453A9" w:rsidP="004453A9">
      <w:pPr>
        <w:pStyle w:val="Textonotapie"/>
        <w:ind w:firstLine="708"/>
        <w:jc w:val="both"/>
        <w:rPr>
          <w:rFonts w:ascii="Verdana" w:hAnsi="Verdana" w:cs="Arial"/>
          <w:sz w:val="16"/>
          <w:szCs w:val="16"/>
        </w:rPr>
      </w:pPr>
    </w:p>
    <w:p w14:paraId="094D98D1" w14:textId="77777777" w:rsidR="004453A9" w:rsidRPr="002F36CA" w:rsidRDefault="004453A9" w:rsidP="004453A9">
      <w:pPr>
        <w:pStyle w:val="Textonotapie"/>
        <w:ind w:firstLine="708"/>
        <w:jc w:val="both"/>
        <w:rPr>
          <w:rFonts w:ascii="Verdana" w:hAnsi="Verdana" w:cs="Arial"/>
          <w:i/>
          <w:sz w:val="16"/>
          <w:szCs w:val="16"/>
        </w:rPr>
      </w:pPr>
      <w:r w:rsidRPr="002F36CA">
        <w:rPr>
          <w:rFonts w:ascii="Verdana" w:hAnsi="Verdana" w:cs="Arial"/>
          <w:sz w:val="16"/>
          <w:szCs w:val="16"/>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w:t>
      </w:r>
    </w:p>
  </w:footnote>
  <w:footnote w:id="15">
    <w:p w14:paraId="00EC31DE" w14:textId="77777777" w:rsidR="004453A9" w:rsidRPr="002F36CA" w:rsidRDefault="004453A9" w:rsidP="004453A9">
      <w:pPr>
        <w:pStyle w:val="Textonotapie"/>
        <w:ind w:firstLine="708"/>
        <w:jc w:val="both"/>
        <w:rPr>
          <w:rFonts w:ascii="Verdana" w:hAnsi="Verdana" w:cs="Arial"/>
          <w:sz w:val="16"/>
          <w:szCs w:val="16"/>
          <w:lang w:val="it-IT"/>
        </w:rPr>
      </w:pPr>
      <w:r w:rsidRPr="002F36CA">
        <w:rPr>
          <w:rStyle w:val="Refdenotaalpie"/>
          <w:rFonts w:ascii="Verdana" w:hAnsi="Verdana" w:cs="Arial"/>
          <w:sz w:val="16"/>
          <w:szCs w:val="16"/>
        </w:rPr>
        <w:footnoteRef/>
      </w:r>
      <w:r w:rsidRPr="002F36CA">
        <w:rPr>
          <w:rFonts w:ascii="Verdana" w:hAnsi="Verdana" w:cs="Arial"/>
          <w:sz w:val="16"/>
          <w:szCs w:val="16"/>
          <w:lang w:val="pt-BR"/>
        </w:rPr>
        <w:t xml:space="preserve"> Corte Constitucional, Sentencia C–1005 de 2008. </w:t>
      </w:r>
      <w:r w:rsidRPr="002F36CA">
        <w:rPr>
          <w:rFonts w:ascii="Verdana" w:hAnsi="Verdana" w:cs="Arial"/>
          <w:sz w:val="16"/>
          <w:szCs w:val="16"/>
          <w:lang w:val="it-IT"/>
        </w:rPr>
        <w:t xml:space="preserve">M.P.: Humberto Antonio Sierra Porto. </w:t>
      </w:r>
    </w:p>
    <w:p w14:paraId="0041BE03" w14:textId="77777777" w:rsidR="004453A9" w:rsidRPr="002F36CA" w:rsidRDefault="004453A9" w:rsidP="004453A9">
      <w:pPr>
        <w:pStyle w:val="Textonotapie"/>
        <w:ind w:firstLine="708"/>
        <w:jc w:val="both"/>
        <w:rPr>
          <w:rFonts w:ascii="Verdana" w:hAnsi="Verdana" w:cs="Arial"/>
          <w:sz w:val="16"/>
          <w:szCs w:val="16"/>
          <w:lang w:val="it-IT"/>
        </w:rPr>
      </w:pPr>
    </w:p>
  </w:footnote>
  <w:footnote w:id="16">
    <w:p w14:paraId="75231A95" w14:textId="77777777" w:rsidR="004453A9" w:rsidRPr="002F36CA" w:rsidRDefault="004453A9" w:rsidP="004453A9">
      <w:pPr>
        <w:pStyle w:val="Textonotapie"/>
        <w:ind w:firstLine="708"/>
        <w:jc w:val="both"/>
        <w:rPr>
          <w:rFonts w:ascii="Verdana" w:hAnsi="Verdana" w:cs="Arial"/>
          <w:sz w:val="16"/>
          <w:szCs w:val="16"/>
          <w:lang w:val="pt-BR"/>
        </w:rPr>
      </w:pPr>
      <w:r w:rsidRPr="002F36CA">
        <w:rPr>
          <w:rStyle w:val="Refdenotaalpie"/>
          <w:rFonts w:ascii="Verdana" w:hAnsi="Verdana" w:cs="Arial"/>
          <w:sz w:val="16"/>
          <w:szCs w:val="16"/>
        </w:rPr>
        <w:footnoteRef/>
      </w:r>
      <w:r w:rsidRPr="002F36CA">
        <w:rPr>
          <w:rFonts w:ascii="Verdana" w:hAnsi="Verdana" w:cs="Arial"/>
          <w:sz w:val="16"/>
          <w:szCs w:val="16"/>
          <w:lang w:val="pt-BR"/>
        </w:rPr>
        <w:t xml:space="preserve"> Consejo de Estado, Sala de lo Contencioso Administrativo, Sección Primera. Consejero ponente: Juan Alberto Polo Figueroa. Bogotá D.C., 24 de agosto de 2000. Radicación número 6096.</w:t>
      </w:r>
    </w:p>
    <w:p w14:paraId="5EBFB2E2" w14:textId="77777777" w:rsidR="004453A9" w:rsidRPr="002F36CA" w:rsidRDefault="004453A9" w:rsidP="004453A9">
      <w:pPr>
        <w:pStyle w:val="Textonotapie"/>
        <w:ind w:firstLine="708"/>
        <w:jc w:val="both"/>
        <w:rPr>
          <w:rFonts w:ascii="Verdana" w:hAnsi="Verdana" w:cs="Arial"/>
          <w:sz w:val="16"/>
          <w:szCs w:val="16"/>
          <w:lang w:val="pt-BR"/>
        </w:rPr>
      </w:pPr>
    </w:p>
  </w:footnote>
  <w:footnote w:id="17">
    <w:p w14:paraId="7B3E7A10" w14:textId="77777777" w:rsidR="004453A9" w:rsidRPr="002F36CA" w:rsidRDefault="004453A9" w:rsidP="004453A9">
      <w:pPr>
        <w:pStyle w:val="Textonotapie"/>
        <w:ind w:firstLine="708"/>
        <w:jc w:val="both"/>
        <w:rPr>
          <w:rFonts w:ascii="Verdana" w:hAnsi="Verdana"/>
          <w:sz w:val="16"/>
          <w:szCs w:val="16"/>
          <w:lang w:val="pt-BR"/>
        </w:rPr>
      </w:pPr>
      <w:r w:rsidRPr="002F36CA">
        <w:rPr>
          <w:rStyle w:val="Refdenotaalpie"/>
          <w:rFonts w:ascii="Verdana" w:hAnsi="Verdana"/>
          <w:sz w:val="16"/>
          <w:szCs w:val="16"/>
        </w:rPr>
        <w:footnoteRef/>
      </w:r>
      <w:r w:rsidRPr="002F36CA">
        <w:rPr>
          <w:rFonts w:ascii="Verdana" w:hAnsi="Verdana"/>
          <w:sz w:val="16"/>
          <w:szCs w:val="16"/>
          <w:lang w:val="pt-BR"/>
        </w:rPr>
        <w:t xml:space="preserve"> Ibidem </w:t>
      </w:r>
    </w:p>
    <w:p w14:paraId="26DDC295" w14:textId="77777777" w:rsidR="004453A9" w:rsidRPr="002F36CA" w:rsidRDefault="004453A9" w:rsidP="004453A9">
      <w:pPr>
        <w:pStyle w:val="Textonotapie"/>
        <w:ind w:firstLine="708"/>
        <w:jc w:val="both"/>
        <w:rPr>
          <w:rFonts w:ascii="Verdana" w:hAnsi="Verdana"/>
          <w:sz w:val="16"/>
          <w:szCs w:val="16"/>
          <w:lang w:val="pt-BR"/>
        </w:rPr>
      </w:pPr>
    </w:p>
  </w:footnote>
  <w:footnote w:id="18">
    <w:p w14:paraId="247E90E4" w14:textId="77777777" w:rsidR="004453A9" w:rsidRPr="002F36CA" w:rsidRDefault="004453A9" w:rsidP="004453A9">
      <w:pPr>
        <w:pStyle w:val="Textonotapie"/>
        <w:ind w:firstLine="708"/>
        <w:jc w:val="both"/>
        <w:rPr>
          <w:rFonts w:ascii="Verdana" w:hAnsi="Verdana"/>
          <w:color w:val="333333"/>
          <w:sz w:val="16"/>
          <w:szCs w:val="16"/>
          <w:shd w:val="clear" w:color="auto" w:fill="FFFFFF"/>
          <w:lang w:val="pt-BR"/>
        </w:rPr>
      </w:pPr>
      <w:r w:rsidRPr="002F36CA">
        <w:rPr>
          <w:rStyle w:val="Refdenotaalpie"/>
          <w:rFonts w:ascii="Verdana" w:hAnsi="Verdana"/>
          <w:sz w:val="16"/>
          <w:szCs w:val="16"/>
        </w:rPr>
        <w:footnoteRef/>
      </w:r>
      <w:r w:rsidRPr="002F36CA">
        <w:rPr>
          <w:rFonts w:ascii="Verdana" w:hAnsi="Verdana"/>
          <w:sz w:val="16"/>
          <w:szCs w:val="16"/>
          <w:lang w:val="pt-BR"/>
        </w:rPr>
        <w:t xml:space="preserve"> </w:t>
      </w:r>
      <w:r w:rsidRPr="002F36CA">
        <w:rPr>
          <w:rFonts w:ascii="Verdana" w:hAnsi="Verdana" w:cs="Arial"/>
          <w:sz w:val="16"/>
          <w:szCs w:val="16"/>
          <w:lang w:val="pt-BR"/>
        </w:rPr>
        <w:t xml:space="preserve">Corte Constitucional, Sentencia </w:t>
      </w:r>
      <w:r w:rsidRPr="002F36CA">
        <w:rPr>
          <w:rFonts w:ascii="Verdana" w:eastAsia="Times New Roman" w:hAnsi="Verdana" w:cs="Arial"/>
          <w:sz w:val="16"/>
          <w:szCs w:val="16"/>
          <w:lang w:val="pt-BR" w:eastAsia="es-MX"/>
        </w:rPr>
        <w:t>C-917 de 2002</w:t>
      </w:r>
      <w:r w:rsidRPr="002F36CA">
        <w:rPr>
          <w:rFonts w:ascii="Verdana" w:hAnsi="Verdana" w:cs="Arial"/>
          <w:sz w:val="16"/>
          <w:szCs w:val="16"/>
          <w:lang w:val="pt-BR"/>
        </w:rPr>
        <w:t xml:space="preserve">. M.P.: </w:t>
      </w:r>
      <w:r w:rsidRPr="002F36CA">
        <w:rPr>
          <w:rFonts w:ascii="Verdana" w:hAnsi="Verdana"/>
          <w:color w:val="333333"/>
          <w:sz w:val="16"/>
          <w:szCs w:val="16"/>
          <w:shd w:val="clear" w:color="auto" w:fill="FFFFFF"/>
          <w:lang w:val="pt-BR"/>
        </w:rPr>
        <w:t>Marco Gerardo Monroy Cabra.</w:t>
      </w:r>
    </w:p>
    <w:p w14:paraId="26894E9A" w14:textId="77777777" w:rsidR="004453A9" w:rsidRPr="002F36CA" w:rsidRDefault="004453A9" w:rsidP="004453A9">
      <w:pPr>
        <w:pStyle w:val="Textonotapie"/>
        <w:ind w:firstLine="708"/>
        <w:jc w:val="both"/>
        <w:rPr>
          <w:rFonts w:ascii="Verdana" w:hAnsi="Verdana"/>
          <w:sz w:val="16"/>
          <w:szCs w:val="16"/>
          <w:lang w:val="pt-BR"/>
        </w:rPr>
      </w:pPr>
    </w:p>
  </w:footnote>
  <w:footnote w:id="19">
    <w:p w14:paraId="7C992044"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cs="Arial"/>
          <w:sz w:val="16"/>
          <w:szCs w:val="16"/>
        </w:rPr>
        <w:footnoteRef/>
      </w:r>
      <w:r w:rsidRPr="002F36CA">
        <w:rPr>
          <w:rFonts w:ascii="Verdana" w:hAnsi="Verdana" w:cs="Arial"/>
          <w:sz w:val="16"/>
          <w:szCs w:val="16"/>
        </w:rPr>
        <w:t xml:space="preserve"> Artículo 1º del Decreto Ley 4170 de 2011.</w:t>
      </w:r>
    </w:p>
    <w:p w14:paraId="1977C4FF" w14:textId="77777777" w:rsidR="004453A9" w:rsidRPr="002F36CA" w:rsidRDefault="004453A9" w:rsidP="004453A9">
      <w:pPr>
        <w:pStyle w:val="Textonotapie"/>
        <w:ind w:firstLine="708"/>
        <w:jc w:val="both"/>
        <w:rPr>
          <w:rFonts w:ascii="Verdana" w:hAnsi="Verdana" w:cs="Arial"/>
          <w:sz w:val="16"/>
          <w:szCs w:val="16"/>
        </w:rPr>
      </w:pPr>
    </w:p>
  </w:footnote>
  <w:footnote w:id="20">
    <w:p w14:paraId="22CD1A85"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sz w:val="16"/>
          <w:szCs w:val="16"/>
        </w:rPr>
        <w:footnoteRef/>
      </w:r>
      <w:r w:rsidRPr="002F36CA">
        <w:rPr>
          <w:rFonts w:ascii="Verdana" w:hAnsi="Verdana"/>
          <w:sz w:val="16"/>
          <w:szCs w:val="16"/>
        </w:rPr>
        <w:t xml:space="preserve"> </w:t>
      </w:r>
      <w:r w:rsidRPr="002F36CA">
        <w:rPr>
          <w:rFonts w:ascii="Verdana" w:hAnsi="Verdana" w:cs="Arial"/>
          <w:sz w:val="16"/>
          <w:szCs w:val="16"/>
        </w:rPr>
        <w:t>Ver el Artículo 11 numeral 12 del Decreto Ley 4170 de 2011.</w:t>
      </w:r>
    </w:p>
    <w:p w14:paraId="317F166A" w14:textId="77777777" w:rsidR="004453A9" w:rsidRPr="002F36CA" w:rsidRDefault="004453A9" w:rsidP="004453A9">
      <w:pPr>
        <w:pStyle w:val="Textonotapie"/>
        <w:ind w:firstLine="708"/>
        <w:jc w:val="both"/>
        <w:rPr>
          <w:rFonts w:ascii="Verdana" w:hAnsi="Verdana"/>
          <w:sz w:val="16"/>
          <w:szCs w:val="16"/>
        </w:rPr>
      </w:pPr>
    </w:p>
  </w:footnote>
  <w:footnote w:id="21">
    <w:p w14:paraId="738BBFE4"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cs="Arial"/>
          <w:sz w:val="16"/>
          <w:szCs w:val="16"/>
        </w:rPr>
        <w:footnoteRef/>
      </w:r>
      <w:r w:rsidRPr="002F36CA">
        <w:rPr>
          <w:rStyle w:val="Refdenotaalpie"/>
          <w:rFonts w:ascii="Verdana" w:hAnsi="Verdana" w:cs="Arial"/>
          <w:sz w:val="16"/>
          <w:szCs w:val="16"/>
        </w:rPr>
        <w:t xml:space="preserve"> </w:t>
      </w:r>
      <w:r w:rsidRPr="002F36CA">
        <w:rPr>
          <w:rFonts w:ascii="Verdana" w:hAnsi="Verdana" w:cs="Arial"/>
          <w:sz w:val="16"/>
          <w:szCs w:val="16"/>
        </w:rPr>
        <w:t>Consejo de Estado. Sección Tercera. Auto del 14 de agosto de 2017. Rad. 58820.</w:t>
      </w:r>
    </w:p>
    <w:p w14:paraId="534D706F" w14:textId="77777777" w:rsidR="004453A9" w:rsidRPr="002F36CA" w:rsidRDefault="004453A9" w:rsidP="004453A9">
      <w:pPr>
        <w:pStyle w:val="Textonotapie"/>
        <w:ind w:firstLine="708"/>
        <w:jc w:val="both"/>
        <w:rPr>
          <w:rFonts w:ascii="Verdana" w:hAnsi="Verdana" w:cs="Arial"/>
          <w:sz w:val="16"/>
          <w:szCs w:val="16"/>
        </w:rPr>
      </w:pPr>
    </w:p>
  </w:footnote>
  <w:footnote w:id="22">
    <w:p w14:paraId="5CDF2DA9"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Consejo de Estado. Sección Tercera. Sentencia del 16 de agosto de 2017. Rad. 56166.</w:t>
      </w:r>
    </w:p>
    <w:p w14:paraId="78E79657" w14:textId="77777777" w:rsidR="004453A9" w:rsidRPr="002F36CA" w:rsidRDefault="004453A9" w:rsidP="004453A9">
      <w:pPr>
        <w:pStyle w:val="Textonotapie"/>
        <w:ind w:firstLine="708"/>
        <w:jc w:val="both"/>
        <w:rPr>
          <w:rFonts w:ascii="Verdana" w:hAnsi="Verdana"/>
          <w:sz w:val="16"/>
          <w:szCs w:val="16"/>
        </w:rPr>
      </w:pPr>
    </w:p>
  </w:footnote>
  <w:footnote w:id="23">
    <w:p w14:paraId="677F81A9"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cs="Arial"/>
          <w:sz w:val="16"/>
          <w:szCs w:val="16"/>
        </w:rPr>
        <w:footnoteRef/>
      </w:r>
      <w:r w:rsidRPr="002F36CA">
        <w:rPr>
          <w:rFonts w:ascii="Verdana" w:hAnsi="Verdana" w:cs="Arial"/>
          <w:sz w:val="16"/>
          <w:szCs w:val="16"/>
        </w:rPr>
        <w:t xml:space="preserve">Ibídem. </w:t>
      </w:r>
    </w:p>
    <w:p w14:paraId="219E2C8E" w14:textId="77777777" w:rsidR="004453A9" w:rsidRPr="002F36CA" w:rsidRDefault="004453A9" w:rsidP="004453A9">
      <w:pPr>
        <w:pStyle w:val="Textonotapie"/>
        <w:ind w:firstLine="708"/>
        <w:jc w:val="both"/>
        <w:rPr>
          <w:rFonts w:ascii="Verdana" w:hAnsi="Verdana" w:cs="Arial"/>
          <w:sz w:val="16"/>
          <w:szCs w:val="16"/>
        </w:rPr>
      </w:pPr>
    </w:p>
  </w:footnote>
  <w:footnote w:id="24">
    <w:p w14:paraId="4C1FF63D" w14:textId="77777777" w:rsidR="004453A9" w:rsidRPr="002F36CA" w:rsidRDefault="004453A9" w:rsidP="004453A9">
      <w:pPr>
        <w:pStyle w:val="Textonotapie"/>
        <w:ind w:firstLine="708"/>
        <w:jc w:val="both"/>
        <w:rPr>
          <w:rFonts w:ascii="Verdana" w:hAnsi="Verdana" w:cs="Arial"/>
          <w:sz w:val="16"/>
          <w:szCs w:val="16"/>
        </w:rPr>
      </w:pPr>
      <w:r w:rsidRPr="002F36CA">
        <w:rPr>
          <w:rStyle w:val="Refdenotaalpie"/>
          <w:rFonts w:ascii="Verdana" w:hAnsi="Verdana" w:cs="Arial"/>
          <w:sz w:val="16"/>
          <w:szCs w:val="16"/>
        </w:rPr>
        <w:footnoteRef/>
      </w:r>
      <w:r w:rsidRPr="002F36CA">
        <w:rPr>
          <w:rStyle w:val="Refdenotaalpie"/>
          <w:rFonts w:ascii="Verdana" w:hAnsi="Verdana" w:cs="Arial"/>
          <w:sz w:val="16"/>
          <w:szCs w:val="16"/>
        </w:rPr>
        <w:t xml:space="preserve"> </w:t>
      </w:r>
      <w:r w:rsidRPr="002F36CA">
        <w:rPr>
          <w:rFonts w:ascii="Verdana" w:hAnsi="Verdana" w:cs="Arial"/>
          <w:sz w:val="16"/>
          <w:szCs w:val="16"/>
        </w:rPr>
        <w:t>Consejo de Estado. Sección Tercera. Sentencia de 11 de abril de 2019. Rad. 52.055.</w:t>
      </w:r>
    </w:p>
  </w:footnote>
  <w:footnote w:id="25">
    <w:p w14:paraId="013653E9"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Ibidem.</w:t>
      </w:r>
    </w:p>
  </w:footnote>
  <w:footnote w:id="26">
    <w:p w14:paraId="1C3DCBA4" w14:textId="77777777" w:rsidR="004453A9" w:rsidRPr="002F36CA" w:rsidRDefault="004453A9" w:rsidP="004453A9">
      <w:pPr>
        <w:pStyle w:val="Textonotapie"/>
        <w:ind w:firstLine="709"/>
        <w:jc w:val="both"/>
        <w:rPr>
          <w:rFonts w:ascii="Verdana" w:hAnsi="Verdana" w:cs="Arial"/>
          <w:color w:val="000000"/>
          <w:sz w:val="16"/>
          <w:szCs w:val="16"/>
        </w:rPr>
      </w:pPr>
    </w:p>
    <w:p w14:paraId="09BA1CB0" w14:textId="77777777" w:rsidR="004453A9" w:rsidRPr="002F36CA" w:rsidRDefault="004453A9" w:rsidP="004453A9">
      <w:pPr>
        <w:pStyle w:val="Textonotapie"/>
        <w:ind w:firstLine="709"/>
        <w:jc w:val="both"/>
        <w:rPr>
          <w:rFonts w:ascii="Verdana" w:hAnsi="Verdana" w:cs="Arial"/>
          <w:color w:val="000000"/>
          <w:sz w:val="16"/>
          <w:szCs w:val="16"/>
          <w:lang w:val="es-ES"/>
        </w:rPr>
      </w:pPr>
      <w:r w:rsidRPr="002F36CA">
        <w:rPr>
          <w:rStyle w:val="Refdenotaalpie"/>
          <w:rFonts w:ascii="Verdana" w:hAnsi="Verdana" w:cs="Arial"/>
          <w:color w:val="000000"/>
          <w:sz w:val="16"/>
          <w:szCs w:val="16"/>
        </w:rPr>
        <w:footnoteRef/>
      </w:r>
      <w:r w:rsidRPr="002F36CA">
        <w:rPr>
          <w:rFonts w:ascii="Verdana" w:hAnsi="Verdana" w:cs="Arial"/>
          <w:color w:val="000000"/>
          <w:sz w:val="16"/>
          <w:szCs w:val="16"/>
        </w:rPr>
        <w:t xml:space="preserve"> </w:t>
      </w:r>
      <w:r w:rsidRPr="002F36CA">
        <w:rPr>
          <w:rFonts w:ascii="Verdana" w:hAnsi="Verdana" w:cs="Arial"/>
          <w:color w:val="000000"/>
          <w:sz w:val="16"/>
          <w:szCs w:val="16"/>
          <w:lang w:val="es-ES"/>
        </w:rPr>
        <w:t>En cuanto a las resoluciones vigentes, dicha regla se observa en el artículo 3 de las Resoluciones</w:t>
      </w:r>
      <w:bookmarkStart w:id="2" w:name="_Hlk82363077"/>
      <w:r w:rsidRPr="002F36CA">
        <w:rPr>
          <w:rFonts w:ascii="Verdana" w:hAnsi="Verdana" w:cs="Arial"/>
          <w:color w:val="000000"/>
          <w:sz w:val="16"/>
          <w:szCs w:val="16"/>
          <w:lang w:val="es-ES"/>
        </w:rPr>
        <w:t xml:space="preserve"> 248 de 2020, 249 de 2020, 269 de 2020, 219 de 2021, 220 de 2021, 392 de 2021, 454 de 2021, 333 de 2022, 358 de 2023, 798 de 2023, 456 de 2024, 463 de 2024, 464 de 2024, 725 de 2024, 726 de 2024, entre otras</w:t>
      </w:r>
      <w:bookmarkEnd w:id="2"/>
      <w:r w:rsidRPr="002F36CA">
        <w:rPr>
          <w:rFonts w:ascii="Verdana" w:hAnsi="Verdana" w:cs="Arial"/>
          <w:color w:val="000000"/>
          <w:sz w:val="16"/>
          <w:szCs w:val="16"/>
          <w:lang w:val="es-ES"/>
        </w:rPr>
        <w:t xml:space="preserve">. </w:t>
      </w:r>
    </w:p>
    <w:p w14:paraId="43EB3D34" w14:textId="77777777" w:rsidR="004453A9" w:rsidRPr="002F36CA" w:rsidRDefault="004453A9" w:rsidP="004453A9">
      <w:pPr>
        <w:pStyle w:val="Textonotapie"/>
        <w:ind w:firstLine="709"/>
        <w:jc w:val="both"/>
        <w:rPr>
          <w:rFonts w:ascii="Verdana" w:hAnsi="Verdana" w:cs="Arial"/>
          <w:color w:val="000000"/>
          <w:sz w:val="16"/>
          <w:szCs w:val="16"/>
          <w:lang w:val="es-ES"/>
        </w:rPr>
      </w:pPr>
    </w:p>
  </w:footnote>
  <w:footnote w:id="27">
    <w:p w14:paraId="3297CAFF" w14:textId="77777777" w:rsidR="004453A9" w:rsidRPr="002F36CA" w:rsidRDefault="004453A9" w:rsidP="004453A9">
      <w:pPr>
        <w:pStyle w:val="Textonotapie"/>
        <w:ind w:firstLine="708"/>
        <w:jc w:val="both"/>
        <w:rPr>
          <w:rFonts w:ascii="Verdana" w:hAnsi="Verdana" w:cs="Arial"/>
          <w:color w:val="000000"/>
          <w:sz w:val="16"/>
          <w:szCs w:val="16"/>
        </w:rPr>
      </w:pPr>
      <w:r w:rsidRPr="002F36CA">
        <w:rPr>
          <w:rStyle w:val="Refdenotaalpie"/>
          <w:rFonts w:ascii="Verdana" w:hAnsi="Verdana" w:cs="Arial"/>
          <w:color w:val="000000"/>
          <w:sz w:val="16"/>
          <w:szCs w:val="16"/>
        </w:rPr>
        <w:footnoteRef/>
      </w:r>
      <w:r w:rsidRPr="002F36CA">
        <w:rPr>
          <w:rFonts w:ascii="Verdana" w:hAnsi="Verdana" w:cs="Arial"/>
          <w:color w:val="000000"/>
          <w:sz w:val="16"/>
          <w:szCs w:val="16"/>
        </w:rPr>
        <w:t xml:space="preserve"> En torno a las potestades regladas, García de Enterría y Ramón Fernández manifiestan: “El ejercicio de las potestades regladas reduce a la Administración a la constatación (accertamento,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p>
    <w:p w14:paraId="0453655E" w14:textId="77777777" w:rsidR="004453A9" w:rsidRPr="002F36CA" w:rsidRDefault="004453A9" w:rsidP="004453A9">
      <w:pPr>
        <w:pStyle w:val="Textonotapie"/>
        <w:ind w:firstLine="708"/>
        <w:jc w:val="both"/>
        <w:rPr>
          <w:rFonts w:ascii="Verdana" w:hAnsi="Verdana" w:cs="Arial"/>
          <w:color w:val="000000"/>
          <w:sz w:val="16"/>
          <w:szCs w:val="16"/>
        </w:rPr>
      </w:pPr>
    </w:p>
  </w:footnote>
  <w:footnote w:id="28">
    <w:p w14:paraId="0E647AA1" w14:textId="77777777" w:rsidR="004453A9" w:rsidRPr="002F36CA" w:rsidRDefault="004453A9" w:rsidP="004453A9">
      <w:pPr>
        <w:pStyle w:val="Textonotapie"/>
        <w:ind w:firstLine="709"/>
        <w:jc w:val="both"/>
        <w:rPr>
          <w:rFonts w:ascii="Verdana" w:hAnsi="Verdana" w:cs="Arial"/>
          <w:color w:val="000000"/>
          <w:sz w:val="16"/>
          <w:szCs w:val="16"/>
        </w:rPr>
      </w:pPr>
      <w:r w:rsidRPr="002F36CA">
        <w:rPr>
          <w:rStyle w:val="Refdenotaalpie"/>
          <w:rFonts w:ascii="Verdana" w:hAnsi="Verdana" w:cs="Arial"/>
          <w:color w:val="000000"/>
          <w:sz w:val="16"/>
          <w:szCs w:val="16"/>
        </w:rPr>
        <w:footnoteRef/>
      </w:r>
      <w:r w:rsidRPr="002F36CA">
        <w:rPr>
          <w:rFonts w:ascii="Verdana" w:hAnsi="Verdana" w:cs="Arial"/>
          <w:color w:val="000000"/>
          <w:sz w:val="16"/>
          <w:szCs w:val="16"/>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3FC11DCC" w14:textId="77777777" w:rsidR="004453A9" w:rsidRPr="002F36CA" w:rsidRDefault="004453A9" w:rsidP="004453A9">
      <w:pPr>
        <w:pStyle w:val="Textonotapie"/>
        <w:ind w:firstLine="709"/>
        <w:jc w:val="both"/>
        <w:rPr>
          <w:rFonts w:ascii="Verdana" w:hAnsi="Verdana" w:cs="Arial"/>
          <w:color w:val="000000"/>
          <w:sz w:val="16"/>
          <w:szCs w:val="16"/>
        </w:rPr>
      </w:pPr>
    </w:p>
  </w:footnote>
  <w:footnote w:id="29">
    <w:p w14:paraId="6EA0F47F" w14:textId="77777777" w:rsidR="004453A9" w:rsidRPr="002F36CA" w:rsidRDefault="004453A9" w:rsidP="004453A9">
      <w:pPr>
        <w:spacing w:after="0" w:line="240" w:lineRule="auto"/>
        <w:ind w:firstLine="709"/>
        <w:jc w:val="both"/>
        <w:rPr>
          <w:rFonts w:ascii="Verdana" w:hAnsi="Verdana" w:cs="Arial"/>
          <w:color w:val="000000"/>
          <w:sz w:val="16"/>
          <w:szCs w:val="16"/>
          <w:lang w:val="es-ES"/>
        </w:rPr>
      </w:pPr>
      <w:r w:rsidRPr="002F36CA">
        <w:rPr>
          <w:rStyle w:val="Refdenotaalpie"/>
          <w:rFonts w:ascii="Verdana" w:hAnsi="Verdana" w:cs="Arial"/>
          <w:color w:val="000000"/>
          <w:sz w:val="16"/>
          <w:szCs w:val="16"/>
        </w:rPr>
        <w:footnoteRef/>
      </w:r>
      <w:r w:rsidRPr="002F36CA">
        <w:rPr>
          <w:rFonts w:ascii="Verdana" w:hAnsi="Verdana" w:cs="Arial"/>
          <w:color w:val="000000"/>
          <w:sz w:val="16"/>
          <w:szCs w:val="16"/>
        </w:rPr>
        <w:t xml:space="preserve"> </w:t>
      </w:r>
      <w:r w:rsidRPr="002F36CA">
        <w:rPr>
          <w:rFonts w:ascii="Verdana" w:hAnsi="Verdana" w:cs="Arial"/>
          <w:color w:val="000000"/>
          <w:sz w:val="16"/>
          <w:szCs w:val="16"/>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2FD0A0BA" w14:textId="77777777" w:rsidR="004453A9" w:rsidRPr="002F36CA" w:rsidRDefault="004453A9" w:rsidP="004453A9">
      <w:pPr>
        <w:spacing w:after="0" w:line="240" w:lineRule="auto"/>
        <w:ind w:firstLine="709"/>
        <w:jc w:val="both"/>
        <w:rPr>
          <w:rFonts w:ascii="Verdana" w:hAnsi="Verdana" w:cs="Arial"/>
          <w:color w:val="000000"/>
          <w:sz w:val="16"/>
          <w:szCs w:val="16"/>
          <w:lang w:val="es-ES"/>
        </w:rPr>
      </w:pPr>
    </w:p>
  </w:footnote>
  <w:footnote w:id="30">
    <w:p w14:paraId="71B2CB52" w14:textId="77777777" w:rsidR="004453A9" w:rsidRPr="002F36CA" w:rsidRDefault="004453A9" w:rsidP="004453A9">
      <w:pPr>
        <w:pStyle w:val="Textonotapie"/>
        <w:ind w:firstLine="708"/>
        <w:jc w:val="both"/>
        <w:rPr>
          <w:rFonts w:ascii="Verdana" w:hAnsi="Verdana" w:cs="Arial"/>
          <w:sz w:val="16"/>
          <w:szCs w:val="16"/>
          <w:lang w:val="es-ES"/>
        </w:rPr>
      </w:pPr>
      <w:r w:rsidRPr="002F36CA">
        <w:rPr>
          <w:rStyle w:val="Refdenotaalpie"/>
          <w:rFonts w:ascii="Verdana" w:hAnsi="Verdana" w:cs="Arial"/>
          <w:sz w:val="16"/>
          <w:szCs w:val="16"/>
        </w:rPr>
        <w:footnoteRef/>
      </w:r>
      <w:r w:rsidRPr="002F36CA">
        <w:rPr>
          <w:rFonts w:ascii="Verdana" w:hAnsi="Verdana" w:cs="Arial"/>
          <w:sz w:val="16"/>
          <w:szCs w:val="16"/>
        </w:rPr>
        <w:t xml:space="preserve"> Diccionario de la Real Academia Española, versión online disponible en: </w:t>
      </w:r>
      <w:hyperlink r:id="rId3" w:history="1">
        <w:r w:rsidRPr="002F36CA">
          <w:rPr>
            <w:rStyle w:val="Hipervnculo"/>
            <w:rFonts w:ascii="Verdana" w:hAnsi="Verdana" w:cs="Arial"/>
            <w:sz w:val="16"/>
            <w:szCs w:val="16"/>
          </w:rPr>
          <w:t>https://dle.rae.es/est%C3%A1ndar</w:t>
        </w:r>
      </w:hyperlink>
      <w:r w:rsidRPr="002F36CA">
        <w:rPr>
          <w:rFonts w:ascii="Verdana" w:hAnsi="Verdana" w:cs="Arial"/>
          <w:sz w:val="16"/>
          <w:szCs w:val="16"/>
        </w:rPr>
        <w:t xml:space="preserve">, consultado el 2 de junio de 2020. </w:t>
      </w:r>
    </w:p>
  </w:footnote>
  <w:footnote w:id="31">
    <w:p w14:paraId="732EFB20"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Por el cual se modifican los artículos 2.2.1.2.4.2.6.,2.2.1.2.4.2.7. Y 2.2.1.2.4.2.8. del Decreto 1082 de 2015, Único Reglamentario del Sector Administrativo de Planeación".</w:t>
      </w:r>
    </w:p>
    <w:p w14:paraId="6C650205" w14:textId="77777777" w:rsidR="004453A9" w:rsidRPr="002F36CA" w:rsidRDefault="004453A9" w:rsidP="004453A9">
      <w:pPr>
        <w:pStyle w:val="Textonotapie"/>
        <w:ind w:firstLine="708"/>
        <w:jc w:val="both"/>
        <w:rPr>
          <w:rFonts w:ascii="Verdana" w:hAnsi="Verdana"/>
          <w:sz w:val="16"/>
          <w:szCs w:val="16"/>
          <w:lang w:val="es-ES_tradnl"/>
        </w:rPr>
      </w:pPr>
    </w:p>
  </w:footnote>
  <w:footnote w:id="32">
    <w:p w14:paraId="7A0B5C58"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Consejo de Estado, Sección Quinta, del 12 de diciembre de 2024 (Rad. 05001-23-33-000-2024-00847-01, M.P. Omar Joaquín Barreto Suárez)</w:t>
      </w:r>
    </w:p>
    <w:p w14:paraId="20E296C7" w14:textId="77777777" w:rsidR="004453A9" w:rsidRPr="002F36CA" w:rsidRDefault="004453A9" w:rsidP="004453A9">
      <w:pPr>
        <w:pStyle w:val="Textonotapie"/>
        <w:ind w:firstLine="708"/>
        <w:jc w:val="both"/>
        <w:rPr>
          <w:rFonts w:ascii="Verdana" w:hAnsi="Verdana"/>
          <w:sz w:val="16"/>
          <w:szCs w:val="16"/>
          <w:lang w:val="es-ES_tradnl"/>
        </w:rPr>
      </w:pPr>
    </w:p>
  </w:footnote>
  <w:footnote w:id="33">
    <w:p w14:paraId="2FBF1F0B" w14:textId="77777777" w:rsidR="004453A9" w:rsidRPr="002F36CA" w:rsidRDefault="004453A9" w:rsidP="004453A9">
      <w:pPr>
        <w:pStyle w:val="Textonotapie"/>
        <w:ind w:firstLine="708"/>
        <w:jc w:val="both"/>
        <w:rPr>
          <w:rFonts w:ascii="Verdana" w:hAnsi="Verdana"/>
          <w:sz w:val="16"/>
          <w:szCs w:val="16"/>
          <w:lang w:val="es-ES_tradnl"/>
        </w:rPr>
      </w:pPr>
      <w:r w:rsidRPr="002F36CA">
        <w:rPr>
          <w:rStyle w:val="Refdenotaalpie"/>
          <w:rFonts w:ascii="Verdana" w:hAnsi="Verdana"/>
          <w:sz w:val="16"/>
          <w:szCs w:val="16"/>
        </w:rPr>
        <w:footnoteRef/>
      </w:r>
      <w:r w:rsidRPr="002F36CA">
        <w:rPr>
          <w:rFonts w:ascii="Verdana" w:hAnsi="Verdana"/>
          <w:sz w:val="16"/>
          <w:szCs w:val="16"/>
        </w:rPr>
        <w:t xml:space="preserve"> "Por el cual se reglamentan los numerales 1 y 8 del artículo 13 de la Ley 1618 de 2013, sobre incentivos en Procesos de Contratación en favor de personas con discapacidad”. </w:t>
      </w:r>
    </w:p>
  </w:footnote>
  <w:footnote w:id="34">
    <w:p w14:paraId="5216BF2A" w14:textId="77777777" w:rsidR="004453A9" w:rsidRPr="002F36CA" w:rsidRDefault="004453A9" w:rsidP="004453A9">
      <w:pPr>
        <w:pStyle w:val="Textonotapie"/>
        <w:ind w:firstLine="708"/>
        <w:jc w:val="both"/>
        <w:rPr>
          <w:rFonts w:ascii="Verdana" w:hAnsi="Verdana"/>
          <w:sz w:val="16"/>
          <w:szCs w:val="16"/>
          <w:lang w:val="es-ES_tradnl"/>
        </w:rPr>
      </w:pPr>
      <w:r w:rsidRPr="002F36CA">
        <w:rPr>
          <w:rStyle w:val="Refdenotaalpie"/>
          <w:rFonts w:ascii="Verdana" w:hAnsi="Verdana"/>
          <w:sz w:val="16"/>
          <w:szCs w:val="16"/>
        </w:rPr>
        <w:footnoteRef/>
      </w:r>
      <w:r w:rsidRPr="002F36CA">
        <w:rPr>
          <w:rFonts w:ascii="Verdana" w:hAnsi="Verdana"/>
          <w:sz w:val="16"/>
          <w:szCs w:val="16"/>
        </w:rPr>
        <w:t xml:space="preserve"> Parte considerativa del Decreto 287 de 2026.</w:t>
      </w:r>
    </w:p>
  </w:footnote>
  <w:footnote w:id="35">
    <w:p w14:paraId="4DB083C0"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Artículo 2.2.1.2.4.2.7.3. del Decreto 1082 de 2015, modificado por el artículo 1 del Decreto 287 de 2026: “Incorporación de criterios habilitantes diferenciales en favor de los emprendimientos y empresas de personas con discapacidad. En los procesos de licitación pública, selección abreviada y concurso de méritos, así como en los procesos competitivos adelantados por entidades no sometidas al Estatuto General de Contratación de la Administración Pública, deberán establecer requisitos habilitantes diferenciales o ajustados en materia de experiencia, capacidad financiera u organizacional, o el valor de la garantía de seriedad de la oferta, con el fin de promover la participación de emprendimientos y empresas de personas con discapacidad con domicilio en el territorio nacional. </w:t>
      </w:r>
    </w:p>
    <w:p w14:paraId="07BB4042" w14:textId="77777777" w:rsidR="004453A9" w:rsidRPr="002F36CA" w:rsidRDefault="004453A9" w:rsidP="004453A9">
      <w:pPr>
        <w:pStyle w:val="Textonotapie"/>
        <w:ind w:firstLine="708"/>
        <w:jc w:val="both"/>
        <w:rPr>
          <w:rFonts w:ascii="Verdana" w:hAnsi="Verdana"/>
          <w:sz w:val="16"/>
          <w:szCs w:val="16"/>
        </w:rPr>
      </w:pPr>
    </w:p>
    <w:p w14:paraId="359CDFD8" w14:textId="77777777" w:rsidR="004453A9" w:rsidRPr="002F36CA" w:rsidRDefault="004453A9" w:rsidP="004453A9">
      <w:pPr>
        <w:pStyle w:val="Textonotapie"/>
        <w:ind w:firstLine="708"/>
        <w:jc w:val="both"/>
        <w:rPr>
          <w:rFonts w:ascii="Verdana" w:hAnsi="Verdana"/>
          <w:sz w:val="16"/>
          <w:szCs w:val="16"/>
        </w:rPr>
      </w:pPr>
      <w:r w:rsidRPr="002F36CA">
        <w:rPr>
          <w:rFonts w:ascii="Verdana" w:hAnsi="Verdana"/>
          <w:sz w:val="16"/>
          <w:szCs w:val="16"/>
        </w:rPr>
        <w:t>Estos requisitos deberán estructurarse garantizando el cumplimiento adecuado del objeto contractual, teniendo en cuenta el alcance de las obligaciones y el principio de proporcionalidad. En desarrollo de lo anterior, se deberán establecer condiciones habilitantes diferenciadas o ajustadas que, sin comprometer los fines del contrato, faciliten el acceso de los emprendimientos y empresas de personas con discapacidad.</w:t>
      </w:r>
    </w:p>
    <w:p w14:paraId="5E444054" w14:textId="77777777" w:rsidR="004453A9" w:rsidRPr="002F36CA" w:rsidRDefault="004453A9" w:rsidP="004453A9">
      <w:pPr>
        <w:pStyle w:val="Textonotapie"/>
        <w:ind w:firstLine="708"/>
        <w:jc w:val="both"/>
        <w:rPr>
          <w:rFonts w:ascii="Verdana" w:hAnsi="Verdana"/>
          <w:sz w:val="16"/>
          <w:szCs w:val="16"/>
        </w:rPr>
      </w:pPr>
    </w:p>
    <w:p w14:paraId="7B64AEB4" w14:textId="77777777" w:rsidR="004453A9" w:rsidRPr="002F36CA" w:rsidRDefault="004453A9" w:rsidP="004453A9">
      <w:pPr>
        <w:pStyle w:val="Textonotapie"/>
        <w:ind w:firstLine="708"/>
        <w:jc w:val="both"/>
        <w:rPr>
          <w:rFonts w:ascii="Verdana" w:hAnsi="Verdana"/>
          <w:sz w:val="16"/>
          <w:szCs w:val="16"/>
          <w:lang w:val="es-ES_tradnl"/>
        </w:rPr>
      </w:pPr>
      <w:r w:rsidRPr="002F36CA">
        <w:rPr>
          <w:rFonts w:ascii="Verdana" w:hAnsi="Verdana"/>
          <w:sz w:val="16"/>
          <w:szCs w:val="16"/>
        </w:rPr>
        <w:t xml:space="preserve">(…)”. </w:t>
      </w:r>
    </w:p>
  </w:footnote>
  <w:footnote w:id="36">
    <w:p w14:paraId="608F2793" w14:textId="77777777" w:rsidR="004453A9" w:rsidRPr="002F36CA" w:rsidRDefault="004453A9" w:rsidP="004453A9">
      <w:pPr>
        <w:shd w:val="clear" w:color="auto" w:fill="FFFFFF"/>
        <w:spacing w:after="0" w:line="240" w:lineRule="auto"/>
        <w:ind w:firstLine="708"/>
        <w:jc w:val="both"/>
        <w:rPr>
          <w:rFonts w:ascii="Verdana" w:eastAsia="Times New Roman" w:hAnsi="Verdana" w:cs="Times New Roman"/>
          <w:color w:val="333333"/>
          <w:sz w:val="16"/>
          <w:szCs w:val="16"/>
          <w:lang w:eastAsia="es-MX"/>
        </w:rPr>
      </w:pPr>
      <w:r w:rsidRPr="002F36CA">
        <w:rPr>
          <w:rStyle w:val="Refdenotaalpie"/>
          <w:rFonts w:ascii="Verdana" w:hAnsi="Verdana"/>
          <w:sz w:val="16"/>
          <w:szCs w:val="16"/>
        </w:rPr>
        <w:footnoteRef/>
      </w:r>
      <w:r w:rsidRPr="002F36CA">
        <w:rPr>
          <w:rFonts w:ascii="Verdana" w:hAnsi="Verdana"/>
          <w:sz w:val="16"/>
          <w:szCs w:val="16"/>
        </w:rPr>
        <w:t xml:space="preserve"> Al respecto el artículo 1 de la Ley 2022 de 2020 señala: “(…) </w:t>
      </w:r>
      <w:r w:rsidRPr="002F36CA">
        <w:rPr>
          <w:rFonts w:ascii="Verdana" w:eastAsia="Times New Roman" w:hAnsi="Verdana" w:cs="Times New Roman"/>
          <w:color w:val="333333"/>
          <w:sz w:val="16"/>
          <w:szCs w:val="16"/>
          <w:lang w:eastAsia="es-MX"/>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6EEE19BA" w14:textId="77777777" w:rsidR="004453A9" w:rsidRPr="002F36CA" w:rsidRDefault="004453A9" w:rsidP="004453A9">
      <w:pPr>
        <w:pStyle w:val="Textonotapie"/>
        <w:jc w:val="both"/>
        <w:rPr>
          <w:rFonts w:ascii="Verdana" w:hAnsi="Verdana"/>
          <w:sz w:val="16"/>
          <w:szCs w:val="16"/>
          <w:lang w:val="es-CO"/>
        </w:rPr>
      </w:pPr>
    </w:p>
  </w:footnote>
  <w:footnote w:id="37">
    <w:p w14:paraId="3F5DE0EB"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Artículo 1 Decreto 287 de 2026: “Artículo 2.2.1.2.4.2.7.8. Pliegos tipo, instrumentos de agregación de demanda y acuerdos marco de precios. La Agencia Nacional de Contratación Pública - Colombia Compra Eficiente garantizará la adopción permanente de las acciones necesarias para que las medidas señaladas en esta subsección se incorporen a los documentos e instrumentos que genera”. </w:t>
      </w:r>
    </w:p>
    <w:p w14:paraId="0F8A6407" w14:textId="77777777" w:rsidR="004453A9" w:rsidRPr="002F36CA" w:rsidRDefault="004453A9" w:rsidP="004453A9">
      <w:pPr>
        <w:pStyle w:val="Textonotapie"/>
        <w:ind w:firstLine="708"/>
        <w:jc w:val="both"/>
        <w:rPr>
          <w:rFonts w:ascii="Verdana" w:hAnsi="Verdana"/>
          <w:sz w:val="16"/>
          <w:szCs w:val="16"/>
          <w:lang w:val="es-ES_tradnl"/>
        </w:rPr>
      </w:pPr>
    </w:p>
  </w:footnote>
  <w:footnote w:id="38">
    <w:p w14:paraId="4B2C0D0D" w14:textId="77777777" w:rsidR="004453A9" w:rsidRPr="002F36CA" w:rsidRDefault="004453A9" w:rsidP="004453A9">
      <w:pPr>
        <w:pStyle w:val="Textonotapie"/>
        <w:ind w:firstLine="708"/>
        <w:jc w:val="both"/>
        <w:rPr>
          <w:rFonts w:ascii="Verdana" w:hAnsi="Verdana"/>
          <w:sz w:val="16"/>
          <w:szCs w:val="16"/>
        </w:rPr>
      </w:pPr>
      <w:r w:rsidRPr="002F36CA">
        <w:rPr>
          <w:rStyle w:val="Refdenotaalpie"/>
          <w:rFonts w:ascii="Verdana" w:hAnsi="Verdana"/>
          <w:sz w:val="16"/>
          <w:szCs w:val="16"/>
        </w:rPr>
        <w:footnoteRef/>
      </w:r>
      <w:r w:rsidRPr="002F36CA">
        <w:rPr>
          <w:rFonts w:ascii="Verdana" w:hAnsi="Verdana"/>
          <w:sz w:val="16"/>
          <w:szCs w:val="16"/>
        </w:rPr>
        <w:t xml:space="preserve"> Artículo 2.2.1.2.4.2.7.8. del Decreto 1082 de 2015, modificado por el artículo 1 del Decreto 287 de 2026.</w:t>
      </w:r>
    </w:p>
    <w:p w14:paraId="73FD8183" w14:textId="77777777" w:rsidR="004453A9" w:rsidRPr="002F36CA" w:rsidRDefault="004453A9" w:rsidP="004453A9">
      <w:pPr>
        <w:pStyle w:val="Textonotapie"/>
        <w:ind w:firstLine="708"/>
        <w:jc w:val="both"/>
        <w:rPr>
          <w:rFonts w:ascii="Verdana" w:hAnsi="Verdana"/>
          <w:sz w:val="16"/>
          <w:szCs w:val="16"/>
          <w:lang w:val="es-ES_tradnl"/>
        </w:rPr>
      </w:pPr>
    </w:p>
  </w:footnote>
  <w:footnote w:id="39">
    <w:p w14:paraId="5F5E7DF7" w14:textId="77777777" w:rsidR="004453A9" w:rsidRPr="00861BF3" w:rsidRDefault="004453A9" w:rsidP="004453A9">
      <w:pPr>
        <w:pStyle w:val="Textonotapie"/>
        <w:ind w:firstLine="708"/>
        <w:jc w:val="both"/>
        <w:rPr>
          <w:rFonts w:ascii="Verdana" w:hAnsi="Verdana"/>
          <w:sz w:val="19"/>
          <w:szCs w:val="19"/>
          <w:lang w:val="es-ES_tradnl"/>
        </w:rPr>
      </w:pPr>
      <w:r w:rsidRPr="002F36CA">
        <w:rPr>
          <w:rStyle w:val="Refdenotaalpie"/>
          <w:rFonts w:ascii="Verdana" w:hAnsi="Verdana"/>
          <w:sz w:val="16"/>
          <w:szCs w:val="16"/>
        </w:rPr>
        <w:footnoteRef/>
      </w:r>
      <w:r w:rsidRPr="002F36CA">
        <w:rPr>
          <w:rFonts w:ascii="Verdana" w:hAnsi="Verdana"/>
          <w:sz w:val="16"/>
          <w:szCs w:val="16"/>
        </w:rPr>
        <w:t xml:space="preserve"> Documento disponible en el siguiente enlace</w:t>
      </w:r>
      <w:r w:rsidRPr="00861BF3">
        <w:rPr>
          <w:rFonts w:ascii="Verdana" w:hAnsi="Verdana"/>
          <w:sz w:val="19"/>
          <w:szCs w:val="19"/>
        </w:rPr>
        <w:t xml:space="preserve">: </w:t>
      </w:r>
      <w:hyperlink r:id="rId4" w:history="1">
        <w:r w:rsidRPr="00861BF3">
          <w:rPr>
            <w:rStyle w:val="Hipervnculo"/>
            <w:rFonts w:ascii="Verdana" w:hAnsi="Verdana"/>
            <w:sz w:val="19"/>
            <w:szCs w:val="19"/>
          </w:rPr>
          <w:t>https://www.colombiacompra.gov.co/wp-content/uploads/2026/04/ABC-Decreto-0287-de-2026-1.pdf</w:t>
        </w:r>
      </w:hyperlink>
      <w:r w:rsidRPr="00861BF3">
        <w:rPr>
          <w:rFonts w:ascii="Verdana" w:hAnsi="Verdana"/>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364D7" w14:textId="77777777" w:rsidR="004453A9" w:rsidRDefault="004453A9"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F4F5435" wp14:editId="115E4CC6">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69B40166" wp14:editId="39A68C1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E106C76" w14:textId="77777777" w:rsidR="004453A9" w:rsidRDefault="004453A9">
    <w:pPr>
      <w:pStyle w:val="Encabezado"/>
    </w:pPr>
  </w:p>
  <w:p w14:paraId="671DDB55" w14:textId="77777777" w:rsidR="004453A9" w:rsidRPr="004A305D" w:rsidRDefault="004453A9" w:rsidP="00B01B1A">
    <w:pPr>
      <w:spacing w:after="0" w:line="120" w:lineRule="auto"/>
      <w:rPr>
        <w:rFonts w:ascii="Century Gothic" w:eastAsia="Geo" w:hAnsi="Century Gothic" w:cs="Geo"/>
        <w:sz w:val="16"/>
        <w:szCs w:val="16"/>
        <w:lang w:eastAsia="es-CO"/>
      </w:rPr>
    </w:pPr>
  </w:p>
  <w:p w14:paraId="7F743E5E" w14:textId="77777777" w:rsidR="004453A9" w:rsidRDefault="004453A9" w:rsidP="00844AE9">
    <w:pPr>
      <w:spacing w:after="0" w:line="240" w:lineRule="auto"/>
      <w:rPr>
        <w:rFonts w:ascii="Verdana" w:hAnsi="Verdana"/>
        <w:sz w:val="24"/>
        <w:szCs w:val="24"/>
      </w:rPr>
    </w:pPr>
  </w:p>
  <w:p w14:paraId="29898AF8" w14:textId="77777777" w:rsidR="004453A9" w:rsidRPr="00C925AC" w:rsidRDefault="004453A9" w:rsidP="00844AE9">
    <w:pPr>
      <w:spacing w:after="0" w:line="240" w:lineRule="auto"/>
      <w:rPr>
        <w:rFonts w:ascii="Verdana" w:hAnsi="Verdana"/>
        <w:sz w:val="24"/>
        <w:szCs w:val="24"/>
      </w:rPr>
    </w:pPr>
  </w:p>
  <w:p w14:paraId="1CA51873" w14:textId="77777777" w:rsidR="004453A9" w:rsidRPr="00C925AC" w:rsidRDefault="004453A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16692925">
    <w:abstractNumId w:val="16"/>
  </w:num>
  <w:num w:numId="6" w16cid:durableId="1946422806">
    <w:abstractNumId w:val="5"/>
  </w:num>
  <w:num w:numId="7" w16cid:durableId="152644682">
    <w:abstractNumId w:val="15"/>
  </w:num>
  <w:num w:numId="8" w16cid:durableId="1317221377">
    <w:abstractNumId w:val="7"/>
  </w:num>
  <w:num w:numId="9" w16cid:durableId="1471245386">
    <w:abstractNumId w:val="14"/>
  </w:num>
  <w:num w:numId="10" w16cid:durableId="289172385">
    <w:abstractNumId w:val="8"/>
  </w:num>
  <w:num w:numId="11" w16cid:durableId="1470781324">
    <w:abstractNumId w:val="0"/>
  </w:num>
  <w:num w:numId="12" w16cid:durableId="1512908409">
    <w:abstractNumId w:val="3"/>
  </w:num>
  <w:num w:numId="13" w16cid:durableId="895897244">
    <w:abstractNumId w:val="17"/>
  </w:num>
  <w:num w:numId="14" w16cid:durableId="390349800">
    <w:abstractNumId w:val="13"/>
  </w:num>
  <w:num w:numId="15" w16cid:durableId="679089576">
    <w:abstractNumId w:val="9"/>
  </w:num>
  <w:num w:numId="16" w16cid:durableId="1300108123">
    <w:abstractNumId w:val="11"/>
  </w:num>
  <w:num w:numId="17" w16cid:durableId="1069183687">
    <w:abstractNumId w:val="12"/>
  </w:num>
  <w:num w:numId="18" w16cid:durableId="992828691">
    <w:abstractNumId w:val="10"/>
  </w:num>
  <w:num w:numId="19" w16cid:durableId="18659045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3A9"/>
    <w:rsid w:val="002D6822"/>
    <w:rsid w:val="00322B13"/>
    <w:rsid w:val="004453A9"/>
    <w:rsid w:val="005800F8"/>
    <w:rsid w:val="006E49AE"/>
    <w:rsid w:val="007A436C"/>
    <w:rsid w:val="0082796A"/>
    <w:rsid w:val="009B4EF6"/>
    <w:rsid w:val="009C3F95"/>
    <w:rsid w:val="00CE7E07"/>
    <w:rsid w:val="00D169E4"/>
    <w:rsid w:val="00E9631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FFAA0"/>
  <w15:chartTrackingRefBased/>
  <w15:docId w15:val="{F7D7A2BA-DE76-4EC1-8064-404D425E2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3A9"/>
    <w:pPr>
      <w:spacing w:line="259" w:lineRule="auto"/>
    </w:pPr>
    <w:rPr>
      <w:kern w:val="0"/>
      <w:sz w:val="22"/>
      <w:szCs w:val="22"/>
      <w14:ligatures w14:val="none"/>
    </w:rPr>
  </w:style>
  <w:style w:type="paragraph" w:styleId="Ttulo1">
    <w:name w:val="heading 1"/>
    <w:basedOn w:val="Normal"/>
    <w:next w:val="Normal"/>
    <w:link w:val="Ttulo1Car"/>
    <w:uiPriority w:val="9"/>
    <w:qFormat/>
    <w:rsid w:val="004453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453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453A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453A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453A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453A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453A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453A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453A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453A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453A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453A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453A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453A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453A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453A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453A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453A9"/>
    <w:rPr>
      <w:rFonts w:eastAsiaTheme="majorEastAsia" w:cstheme="majorBidi"/>
      <w:color w:val="272727" w:themeColor="text1" w:themeTint="D8"/>
    </w:rPr>
  </w:style>
  <w:style w:type="paragraph" w:styleId="Ttulo">
    <w:name w:val="Title"/>
    <w:basedOn w:val="Normal"/>
    <w:next w:val="Normal"/>
    <w:link w:val="TtuloCar"/>
    <w:uiPriority w:val="10"/>
    <w:qFormat/>
    <w:rsid w:val="004453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453A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453A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453A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453A9"/>
    <w:pPr>
      <w:spacing w:before="160"/>
      <w:jc w:val="center"/>
    </w:pPr>
    <w:rPr>
      <w:i/>
      <w:iCs/>
      <w:color w:val="404040" w:themeColor="text1" w:themeTint="BF"/>
    </w:rPr>
  </w:style>
  <w:style w:type="character" w:customStyle="1" w:styleId="CitaCar">
    <w:name w:val="Cita Car"/>
    <w:basedOn w:val="Fuentedeprrafopredeter"/>
    <w:link w:val="Cita"/>
    <w:uiPriority w:val="29"/>
    <w:rsid w:val="004453A9"/>
    <w:rPr>
      <w:i/>
      <w:iCs/>
      <w:color w:val="404040" w:themeColor="text1" w:themeTint="BF"/>
    </w:rPr>
  </w:style>
  <w:style w:type="paragraph" w:styleId="Prrafodelista">
    <w:name w:val="List Paragraph"/>
    <w:basedOn w:val="Normal"/>
    <w:uiPriority w:val="34"/>
    <w:qFormat/>
    <w:rsid w:val="004453A9"/>
    <w:pPr>
      <w:ind w:left="720"/>
      <w:contextualSpacing/>
    </w:pPr>
  </w:style>
  <w:style w:type="character" w:styleId="nfasisintenso">
    <w:name w:val="Intense Emphasis"/>
    <w:basedOn w:val="Fuentedeprrafopredeter"/>
    <w:uiPriority w:val="21"/>
    <w:qFormat/>
    <w:rsid w:val="004453A9"/>
    <w:rPr>
      <w:i/>
      <w:iCs/>
      <w:color w:val="0F4761" w:themeColor="accent1" w:themeShade="BF"/>
    </w:rPr>
  </w:style>
  <w:style w:type="paragraph" w:styleId="Citadestacada">
    <w:name w:val="Intense Quote"/>
    <w:basedOn w:val="Normal"/>
    <w:next w:val="Normal"/>
    <w:link w:val="CitadestacadaCar"/>
    <w:uiPriority w:val="30"/>
    <w:qFormat/>
    <w:rsid w:val="004453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453A9"/>
    <w:rPr>
      <w:i/>
      <w:iCs/>
      <w:color w:val="0F4761" w:themeColor="accent1" w:themeShade="BF"/>
    </w:rPr>
  </w:style>
  <w:style w:type="character" w:styleId="Referenciaintensa">
    <w:name w:val="Intense Reference"/>
    <w:basedOn w:val="Fuentedeprrafopredeter"/>
    <w:uiPriority w:val="32"/>
    <w:qFormat/>
    <w:rsid w:val="004453A9"/>
    <w:rPr>
      <w:b/>
      <w:bCs/>
      <w:smallCaps/>
      <w:color w:val="0F4761" w:themeColor="accent1" w:themeShade="BF"/>
      <w:spacing w:val="5"/>
    </w:rPr>
  </w:style>
  <w:style w:type="paragraph" w:styleId="Encabezado">
    <w:name w:val="header"/>
    <w:basedOn w:val="Normal"/>
    <w:link w:val="EncabezadoCar"/>
    <w:uiPriority w:val="99"/>
    <w:unhideWhenUsed/>
    <w:rsid w:val="004453A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453A9"/>
    <w:rPr>
      <w:kern w:val="0"/>
      <w:sz w:val="22"/>
      <w:szCs w:val="22"/>
      <w14:ligatures w14:val="none"/>
    </w:rPr>
  </w:style>
  <w:style w:type="paragraph" w:styleId="Piedepgina">
    <w:name w:val="footer"/>
    <w:basedOn w:val="Normal"/>
    <w:link w:val="PiedepginaCar"/>
    <w:uiPriority w:val="99"/>
    <w:unhideWhenUsed/>
    <w:rsid w:val="004453A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453A9"/>
    <w:rPr>
      <w:kern w:val="0"/>
      <w:sz w:val="22"/>
      <w:szCs w:val="22"/>
      <w14:ligatures w14:val="none"/>
    </w:rPr>
  </w:style>
  <w:style w:type="paragraph" w:customStyle="1" w:styleId="Default">
    <w:name w:val="Default"/>
    <w:rsid w:val="004453A9"/>
    <w:pPr>
      <w:autoSpaceDE w:val="0"/>
      <w:autoSpaceDN w:val="0"/>
      <w:adjustRightInd w:val="0"/>
      <w:spacing w:after="0" w:line="240" w:lineRule="auto"/>
    </w:pPr>
    <w:rPr>
      <w:rFonts w:ascii="Arial" w:hAnsi="Arial" w:cs="Arial"/>
      <w:color w:val="000000"/>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453A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4453A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453A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4453A9"/>
    <w:rPr>
      <w:vertAlign w:val="superscript"/>
    </w:rPr>
  </w:style>
  <w:style w:type="character" w:customStyle="1" w:styleId="normaltextrun">
    <w:name w:val="normaltextrun"/>
    <w:basedOn w:val="Fuentedeprrafopredeter"/>
    <w:rsid w:val="004453A9"/>
  </w:style>
  <w:style w:type="table" w:styleId="Tablaconcuadrcula">
    <w:name w:val="Table Grid"/>
    <w:basedOn w:val="Tablanormal"/>
    <w:uiPriority w:val="39"/>
    <w:rsid w:val="004453A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Fuentedeprrafopredeter"/>
    <w:rsid w:val="004453A9"/>
  </w:style>
  <w:style w:type="character" w:styleId="Hipervnculo">
    <w:name w:val="Hyperlink"/>
    <w:basedOn w:val="Fuentedeprrafopredeter"/>
    <w:uiPriority w:val="99"/>
    <w:unhideWhenUsed/>
    <w:rsid w:val="004453A9"/>
    <w:rPr>
      <w:color w:val="0000FF"/>
      <w:u w:val="single"/>
    </w:rPr>
  </w:style>
  <w:style w:type="character" w:styleId="Hipervnculovisitado">
    <w:name w:val="FollowedHyperlink"/>
    <w:basedOn w:val="Fuentedeprrafopredeter"/>
    <w:uiPriority w:val="99"/>
    <w:semiHidden/>
    <w:unhideWhenUsed/>
    <w:rsid w:val="004453A9"/>
    <w:rPr>
      <w:color w:val="96607D" w:themeColor="followedHyperlink"/>
      <w:u w:val="single"/>
    </w:rPr>
  </w:style>
  <w:style w:type="paragraph" w:customStyle="1" w:styleId="paragraph">
    <w:name w:val="paragraph"/>
    <w:basedOn w:val="Normal"/>
    <w:rsid w:val="004453A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4453A9"/>
  </w:style>
  <w:style w:type="character" w:customStyle="1" w:styleId="eop">
    <w:name w:val="eop"/>
    <w:basedOn w:val="Fuentedeprrafopredeter"/>
    <w:rsid w:val="004453A9"/>
  </w:style>
  <w:style w:type="character" w:styleId="Mencinsinresolver">
    <w:name w:val="Unresolved Mention"/>
    <w:basedOn w:val="Fuentedeprrafopredeter"/>
    <w:uiPriority w:val="99"/>
    <w:semiHidden/>
    <w:unhideWhenUsed/>
    <w:rsid w:val="004453A9"/>
    <w:rPr>
      <w:color w:val="605E5C"/>
      <w:shd w:val="clear" w:color="auto" w:fill="E1DFDD"/>
    </w:rPr>
  </w:style>
  <w:style w:type="paragraph" w:styleId="NormalWeb">
    <w:name w:val="Normal (Web)"/>
    <w:basedOn w:val="Normal"/>
    <w:uiPriority w:val="99"/>
    <w:unhideWhenUsed/>
    <w:rsid w:val="004453A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4453A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4453A9"/>
    <w:pPr>
      <w:spacing w:after="0" w:line="240" w:lineRule="auto"/>
    </w:pPr>
    <w:rPr>
      <w:kern w:val="0"/>
      <w:sz w:val="22"/>
      <w:szCs w:val="22"/>
      <w14:ligatures w14:val="none"/>
    </w:rPr>
  </w:style>
  <w:style w:type="paragraph" w:customStyle="1" w:styleId="Ttulo11">
    <w:name w:val="Título 11"/>
    <w:basedOn w:val="Normal"/>
    <w:next w:val="Normal"/>
    <w:uiPriority w:val="9"/>
    <w:qFormat/>
    <w:rsid w:val="004453A9"/>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4453A9"/>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4453A9"/>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4453A9"/>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4453A9"/>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4453A9"/>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4453A9"/>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4453A9"/>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4453A9"/>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4453A9"/>
  </w:style>
  <w:style w:type="paragraph" w:customStyle="1" w:styleId="Subttulo1">
    <w:name w:val="Subtítulo1"/>
    <w:basedOn w:val="Normal"/>
    <w:next w:val="Normal"/>
    <w:uiPriority w:val="11"/>
    <w:qFormat/>
    <w:rsid w:val="004453A9"/>
    <w:pPr>
      <w:numPr>
        <w:ilvl w:val="1"/>
      </w:numPr>
      <w:spacing w:line="278" w:lineRule="auto"/>
    </w:pPr>
    <w:rPr>
      <w:rFonts w:eastAsia="Times New Roman" w:cs="Times New Roman"/>
      <w:color w:val="595959"/>
      <w:spacing w:val="15"/>
      <w:kern w:val="2"/>
      <w:sz w:val="28"/>
      <w:szCs w:val="28"/>
      <w14:ligatures w14:val="standardContextual"/>
    </w:rPr>
  </w:style>
  <w:style w:type="paragraph" w:customStyle="1" w:styleId="Cita1">
    <w:name w:val="Cita1"/>
    <w:basedOn w:val="Normal"/>
    <w:next w:val="Normal"/>
    <w:uiPriority w:val="29"/>
    <w:qFormat/>
    <w:rsid w:val="004453A9"/>
    <w:pPr>
      <w:spacing w:before="160" w:line="278" w:lineRule="auto"/>
      <w:jc w:val="center"/>
    </w:pPr>
    <w:rPr>
      <w:i/>
      <w:iCs/>
      <w:color w:val="404040"/>
      <w:kern w:val="2"/>
      <w:sz w:val="24"/>
      <w:szCs w:val="24"/>
      <w14:ligatures w14:val="standardContextual"/>
    </w:rPr>
  </w:style>
  <w:style w:type="character" w:customStyle="1" w:styleId="nfasisintenso1">
    <w:name w:val="Énfasis intenso1"/>
    <w:basedOn w:val="Fuentedeprrafopredeter"/>
    <w:uiPriority w:val="21"/>
    <w:qFormat/>
    <w:rsid w:val="004453A9"/>
    <w:rPr>
      <w:i/>
      <w:iCs/>
      <w:color w:val="0F4761"/>
    </w:rPr>
  </w:style>
  <w:style w:type="paragraph" w:customStyle="1" w:styleId="Citadestacada1">
    <w:name w:val="Cita destacada1"/>
    <w:basedOn w:val="Normal"/>
    <w:next w:val="Normal"/>
    <w:uiPriority w:val="30"/>
    <w:qFormat/>
    <w:rsid w:val="004453A9"/>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Referenciaintensa1">
    <w:name w:val="Referencia intensa1"/>
    <w:basedOn w:val="Fuentedeprrafopredeter"/>
    <w:uiPriority w:val="32"/>
    <w:qFormat/>
    <w:rsid w:val="004453A9"/>
    <w:rPr>
      <w:b/>
      <w:bCs/>
      <w:smallCaps/>
      <w:color w:val="0F4761"/>
      <w:spacing w:val="5"/>
    </w:rPr>
  </w:style>
  <w:style w:type="paragraph" w:customStyle="1" w:styleId="Encabezado1">
    <w:name w:val="Encabezado1"/>
    <w:basedOn w:val="Normal"/>
    <w:next w:val="Encabezado"/>
    <w:uiPriority w:val="99"/>
    <w:unhideWhenUsed/>
    <w:rsid w:val="004453A9"/>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4453A9"/>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4453A9"/>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4453A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4453A9"/>
    <w:pPr>
      <w:spacing w:line="240" w:lineRule="exact"/>
    </w:pPr>
    <w:rPr>
      <w:kern w:val="2"/>
      <w:sz w:val="24"/>
      <w:szCs w:val="24"/>
      <w:vertAlign w:val="superscript"/>
      <w14:ligatures w14:val="standardContextual"/>
    </w:rPr>
  </w:style>
  <w:style w:type="table" w:customStyle="1" w:styleId="Tablaconcuadrcula2">
    <w:name w:val="Tabla con cuadrícula2"/>
    <w:basedOn w:val="Tablanormal"/>
    <w:next w:val="Tablaconcuadrcula"/>
    <w:uiPriority w:val="39"/>
    <w:qFormat/>
    <w:rsid w:val="004453A9"/>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4453A9"/>
  </w:style>
  <w:style w:type="character" w:customStyle="1" w:styleId="PiedepginaCar1">
    <w:name w:val="Pie de página Car1"/>
    <w:basedOn w:val="Fuentedeprrafopredeter"/>
    <w:uiPriority w:val="99"/>
    <w:semiHidden/>
    <w:rsid w:val="004453A9"/>
  </w:style>
  <w:style w:type="table" w:customStyle="1" w:styleId="Tablaconcuadrcula3">
    <w:name w:val="Tabla con cuadrícula3"/>
    <w:basedOn w:val="Tablanormal"/>
    <w:next w:val="Tablaconcuadrcula"/>
    <w:uiPriority w:val="39"/>
    <w:rsid w:val="004453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4453A9"/>
    <w:pPr>
      <w:spacing w:line="259" w:lineRule="auto"/>
    </w:pPr>
    <w:rPr>
      <w:rFonts w:ascii="Geomanist Bold" w:eastAsia="Yu Mincho" w:hAnsi="Geomanist Bold" w:cs="Calibri"/>
      <w:color w:val="002060"/>
      <w:kern w:val="0"/>
      <w:szCs w:val="22"/>
      <w:lang w:val="es-ES" w:eastAsia="es-CO"/>
      <w14:ligatures w14:val="none"/>
    </w:rPr>
  </w:style>
  <w:style w:type="character" w:styleId="Fuerte">
    <w:name w:val="Strong"/>
    <w:basedOn w:val="Fuentedeprrafopredeter"/>
    <w:uiPriority w:val="22"/>
    <w:qFormat/>
    <w:rsid w:val="004453A9"/>
    <w:rPr>
      <w:b/>
      <w:bCs/>
    </w:rPr>
  </w:style>
  <w:style w:type="character" w:styleId="Textodelmarcadordeposicin">
    <w:name w:val="Placeholder Text"/>
    <w:basedOn w:val="Fuentedeprrafopredeter"/>
    <w:uiPriority w:val="99"/>
    <w:semiHidden/>
    <w:rsid w:val="004453A9"/>
    <w:rPr>
      <w:color w:val="666666"/>
    </w:rPr>
  </w:style>
  <w:style w:type="paragraph" w:customStyle="1" w:styleId="Sinespaciado1">
    <w:name w:val="Sin espaciado1"/>
    <w:next w:val="Sinespaciado"/>
    <w:uiPriority w:val="1"/>
    <w:qFormat/>
    <w:rsid w:val="004453A9"/>
    <w:pPr>
      <w:spacing w:after="0" w:line="240" w:lineRule="auto"/>
    </w:pPr>
  </w:style>
  <w:style w:type="character" w:customStyle="1" w:styleId="Ttulo1Car1">
    <w:name w:val="Título 1 Car1"/>
    <w:basedOn w:val="Fuentedeprrafopredeter"/>
    <w:uiPriority w:val="9"/>
    <w:rsid w:val="004453A9"/>
    <w:rPr>
      <w:rFonts w:asciiTheme="majorHAnsi" w:eastAsiaTheme="majorEastAsia" w:hAnsiTheme="majorHAnsi" w:cstheme="majorBidi"/>
      <w:color w:val="0F4761" w:themeColor="accent1" w:themeShade="BF"/>
      <w:sz w:val="32"/>
      <w:szCs w:val="32"/>
    </w:rPr>
  </w:style>
  <w:style w:type="character" w:customStyle="1" w:styleId="Ttulo2Car1">
    <w:name w:val="Título 2 Car1"/>
    <w:basedOn w:val="Fuentedeprrafopredeter"/>
    <w:uiPriority w:val="9"/>
    <w:semiHidden/>
    <w:rsid w:val="004453A9"/>
    <w:rPr>
      <w:rFonts w:asciiTheme="majorHAnsi" w:eastAsiaTheme="majorEastAsia" w:hAnsiTheme="majorHAnsi" w:cstheme="majorBidi"/>
      <w:color w:val="0F4761" w:themeColor="accent1" w:themeShade="BF"/>
      <w:sz w:val="26"/>
      <w:szCs w:val="26"/>
    </w:rPr>
  </w:style>
  <w:style w:type="character" w:customStyle="1" w:styleId="Ttulo3Car1">
    <w:name w:val="Título 3 Car1"/>
    <w:basedOn w:val="Fuentedeprrafopredeter"/>
    <w:uiPriority w:val="9"/>
    <w:semiHidden/>
    <w:rsid w:val="004453A9"/>
    <w:rPr>
      <w:rFonts w:asciiTheme="majorHAnsi" w:eastAsiaTheme="majorEastAsia" w:hAnsiTheme="majorHAnsi" w:cstheme="majorBidi"/>
      <w:color w:val="0A2F40" w:themeColor="accent1" w:themeShade="7F"/>
      <w:sz w:val="24"/>
      <w:szCs w:val="24"/>
    </w:rPr>
  </w:style>
  <w:style w:type="character" w:customStyle="1" w:styleId="Ttulo4Car1">
    <w:name w:val="Título 4 Car1"/>
    <w:basedOn w:val="Fuentedeprrafopredeter"/>
    <w:uiPriority w:val="9"/>
    <w:semiHidden/>
    <w:rsid w:val="004453A9"/>
    <w:rPr>
      <w:rFonts w:asciiTheme="majorHAnsi" w:eastAsiaTheme="majorEastAsia" w:hAnsiTheme="majorHAnsi" w:cstheme="majorBidi"/>
      <w:i/>
      <w:iCs/>
      <w:color w:val="0F4761" w:themeColor="accent1" w:themeShade="BF"/>
    </w:rPr>
  </w:style>
  <w:style w:type="character" w:customStyle="1" w:styleId="Ttulo5Car1">
    <w:name w:val="Título 5 Car1"/>
    <w:basedOn w:val="Fuentedeprrafopredeter"/>
    <w:uiPriority w:val="9"/>
    <w:semiHidden/>
    <w:rsid w:val="004453A9"/>
    <w:rPr>
      <w:rFonts w:asciiTheme="majorHAnsi" w:eastAsiaTheme="majorEastAsia" w:hAnsiTheme="majorHAnsi" w:cstheme="majorBidi"/>
      <w:color w:val="0F4761" w:themeColor="accent1" w:themeShade="BF"/>
    </w:rPr>
  </w:style>
  <w:style w:type="character" w:customStyle="1" w:styleId="Ttulo6Car1">
    <w:name w:val="Título 6 Car1"/>
    <w:basedOn w:val="Fuentedeprrafopredeter"/>
    <w:uiPriority w:val="9"/>
    <w:semiHidden/>
    <w:rsid w:val="004453A9"/>
    <w:rPr>
      <w:rFonts w:asciiTheme="majorHAnsi" w:eastAsiaTheme="majorEastAsia" w:hAnsiTheme="majorHAnsi" w:cstheme="majorBidi"/>
      <w:color w:val="0A2F40" w:themeColor="accent1" w:themeShade="7F"/>
    </w:rPr>
  </w:style>
  <w:style w:type="character" w:customStyle="1" w:styleId="Ttulo7Car1">
    <w:name w:val="Título 7 Car1"/>
    <w:basedOn w:val="Fuentedeprrafopredeter"/>
    <w:uiPriority w:val="9"/>
    <w:semiHidden/>
    <w:rsid w:val="004453A9"/>
    <w:rPr>
      <w:rFonts w:asciiTheme="majorHAnsi" w:eastAsiaTheme="majorEastAsia" w:hAnsiTheme="majorHAnsi" w:cstheme="majorBidi"/>
      <w:i/>
      <w:iCs/>
      <w:color w:val="0A2F40" w:themeColor="accent1" w:themeShade="7F"/>
    </w:rPr>
  </w:style>
  <w:style w:type="character" w:customStyle="1" w:styleId="Ttulo8Car1">
    <w:name w:val="Título 8 Car1"/>
    <w:basedOn w:val="Fuentedeprrafopredeter"/>
    <w:uiPriority w:val="9"/>
    <w:semiHidden/>
    <w:rsid w:val="004453A9"/>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4453A9"/>
    <w:rPr>
      <w:rFonts w:asciiTheme="majorHAnsi" w:eastAsiaTheme="majorEastAsia" w:hAnsiTheme="majorHAnsi" w:cstheme="majorBidi"/>
      <w:i/>
      <w:iCs/>
      <w:color w:val="272727" w:themeColor="text1" w:themeTint="D8"/>
      <w:sz w:val="21"/>
      <w:szCs w:val="21"/>
    </w:rPr>
  </w:style>
  <w:style w:type="character" w:customStyle="1" w:styleId="SubttuloCar1">
    <w:name w:val="Subtítulo Car1"/>
    <w:basedOn w:val="Fuentedeprrafopredeter"/>
    <w:uiPriority w:val="11"/>
    <w:rsid w:val="004453A9"/>
    <w:rPr>
      <w:rFonts w:eastAsiaTheme="minorEastAsia"/>
      <w:color w:val="5A5A5A" w:themeColor="text1" w:themeTint="A5"/>
      <w:spacing w:val="15"/>
    </w:rPr>
  </w:style>
  <w:style w:type="character" w:customStyle="1" w:styleId="CitaCar1">
    <w:name w:val="Cita Car1"/>
    <w:basedOn w:val="Fuentedeprrafopredeter"/>
    <w:uiPriority w:val="29"/>
    <w:rsid w:val="004453A9"/>
    <w:rPr>
      <w:i/>
      <w:iCs/>
      <w:color w:val="404040" w:themeColor="text1" w:themeTint="BF"/>
    </w:rPr>
  </w:style>
  <w:style w:type="character" w:customStyle="1" w:styleId="CitadestacadaCar1">
    <w:name w:val="Cita destacada Car1"/>
    <w:basedOn w:val="Fuentedeprrafopredeter"/>
    <w:uiPriority w:val="30"/>
    <w:rsid w:val="004453A9"/>
    <w:rPr>
      <w:i/>
      <w:iCs/>
      <w:color w:val="156082" w:themeColor="accent1"/>
    </w:rPr>
  </w:style>
  <w:style w:type="paragraph" w:styleId="Sinespaciado">
    <w:name w:val="No Spacing"/>
    <w:uiPriority w:val="1"/>
    <w:qFormat/>
    <w:rsid w:val="004453A9"/>
    <w:pPr>
      <w:spacing w:after="0" w:line="240" w:lineRule="auto"/>
    </w:pPr>
    <w:rPr>
      <w:kern w:val="0"/>
      <w:sz w:val="22"/>
      <w:szCs w:val="22"/>
      <w14:ligatures w14:val="none"/>
    </w:rPr>
  </w:style>
  <w:style w:type="character" w:styleId="Refdecomentario">
    <w:name w:val="annotation reference"/>
    <w:basedOn w:val="Fuentedeprrafopredeter"/>
    <w:uiPriority w:val="99"/>
    <w:semiHidden/>
    <w:unhideWhenUsed/>
    <w:rsid w:val="004453A9"/>
    <w:rPr>
      <w:sz w:val="16"/>
      <w:szCs w:val="16"/>
    </w:rPr>
  </w:style>
  <w:style w:type="paragraph" w:styleId="Textocomentario">
    <w:name w:val="annotation text"/>
    <w:basedOn w:val="Normal"/>
    <w:link w:val="TextocomentarioCar"/>
    <w:uiPriority w:val="99"/>
    <w:unhideWhenUsed/>
    <w:rsid w:val="004453A9"/>
    <w:pPr>
      <w:spacing w:line="240" w:lineRule="auto"/>
    </w:pPr>
    <w:rPr>
      <w:sz w:val="20"/>
      <w:szCs w:val="20"/>
    </w:rPr>
  </w:style>
  <w:style w:type="character" w:customStyle="1" w:styleId="TextocomentarioCar">
    <w:name w:val="Texto comentario Car"/>
    <w:basedOn w:val="Fuentedeprrafopredeter"/>
    <w:link w:val="Textocomentario"/>
    <w:uiPriority w:val="99"/>
    <w:rsid w:val="004453A9"/>
    <w:rPr>
      <w:kern w:val="0"/>
      <w:sz w:val="20"/>
      <w:szCs w:val="20"/>
      <w14:ligatures w14:val="none"/>
    </w:rPr>
  </w:style>
  <w:style w:type="paragraph" w:styleId="Asuntodelcomentario">
    <w:name w:val="annotation subject"/>
    <w:basedOn w:val="Textocomentario"/>
    <w:next w:val="Textocomentario"/>
    <w:link w:val="AsuntodelcomentarioCar"/>
    <w:uiPriority w:val="99"/>
    <w:semiHidden/>
    <w:unhideWhenUsed/>
    <w:rsid w:val="004453A9"/>
    <w:rPr>
      <w:b/>
      <w:bCs/>
    </w:rPr>
  </w:style>
  <w:style w:type="character" w:customStyle="1" w:styleId="AsuntodelcomentarioCar">
    <w:name w:val="Asunto del comentario Car"/>
    <w:basedOn w:val="TextocomentarioCar"/>
    <w:link w:val="Asuntodelcomentario"/>
    <w:uiPriority w:val="99"/>
    <w:semiHidden/>
    <w:rsid w:val="004453A9"/>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g_rocer@hotmail.com" TargetMode="External"/><Relationship Id="rId13"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emf"/><Relationship Id="rId12" Type="http://schemas.openxmlformats.org/officeDocument/2006/relationships/hyperlink" Target="https://www.colombiacompra.gov.co/normativa-y-relatoria/documentos-tipo"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formacionvirtual.colombiacompra.gov.co/mod/page/view.php?id=3718"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relatoria.colombiacompra.gov.co/busqueda/conceptos"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www.colombiacompra.gov.co/documentos-tipo/documentos-tipo" TargetMode="Externa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3" Type="http://schemas.openxmlformats.org/officeDocument/2006/relationships/hyperlink" Target="https://dle.rae.es/est%C3%A1ndar" TargetMode="External"/><Relationship Id="rId2" Type="http://schemas.openxmlformats.org/officeDocument/2006/relationships/hyperlink" Target="https://www.funcionpublica.gov.co/eva/gestornormativo/norma.php?i=84899" TargetMode="External"/><Relationship Id="rId1" Type="http://schemas.openxmlformats.org/officeDocument/2006/relationships/hyperlink" Target="https://dle.rae.es/est%C3%A1ndar" TargetMode="External"/><Relationship Id="rId4" Type="http://schemas.openxmlformats.org/officeDocument/2006/relationships/hyperlink" Target="https://www.colombiacompra.gov.co/wp-content/uploads/2026/04/ABC-Decreto-0287-de-2026-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D573466-1F77-4EA6-886C-4E1B968F5750}"/>
</file>

<file path=customXml/itemProps2.xml><?xml version="1.0" encoding="utf-8"?>
<ds:datastoreItem xmlns:ds="http://schemas.openxmlformats.org/officeDocument/2006/customXml" ds:itemID="{2AFE4D9E-72FA-4657-94AF-B418A3BD3E64}"/>
</file>

<file path=customXml/itemProps3.xml><?xml version="1.0" encoding="utf-8"?>
<ds:datastoreItem xmlns:ds="http://schemas.openxmlformats.org/officeDocument/2006/customXml" ds:itemID="{A619A85E-1AF5-477C-A9D0-DF4F3E0C6F02}"/>
</file>

<file path=docProps/app.xml><?xml version="1.0" encoding="utf-8"?>
<Properties xmlns="http://schemas.openxmlformats.org/officeDocument/2006/extended-properties" xmlns:vt="http://schemas.openxmlformats.org/officeDocument/2006/docPropsVTypes">
  <Template>Normal</Template>
  <TotalTime>7</TotalTime>
  <Pages>48</Pages>
  <Words>16267</Words>
  <Characters>89474</Characters>
  <Application>Microsoft Office Word</Application>
  <DocSecurity>0</DocSecurity>
  <Lines>745</Lines>
  <Paragraphs>211</Paragraphs>
  <ScaleCrop>false</ScaleCrop>
  <Company/>
  <LinksUpToDate>false</LinksUpToDate>
  <CharactersWithSpaces>105530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5</cp:revision>
  <dcterms:created xsi:type="dcterms:W3CDTF">2026-05-25T21:03:00Z</dcterms:created>
  <dcterms:modified xsi:type="dcterms:W3CDTF">2026-05-26T21:48:00Z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