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E3967C" w14:textId="77777777" w:rsidR="006B5A6A" w:rsidRPr="006B5A6A" w:rsidRDefault="006B5A6A" w:rsidP="006B5A6A">
      <w:pPr>
        <w:jc w:val="both"/>
        <w:rPr>
          <w:rFonts w:ascii="Verdana" w:eastAsia="Calibri" w:hAnsi="Verdana" w:cs="Arial"/>
          <w:b/>
          <w:bCs/>
          <w:color w:val="000000" w:themeColor="text1"/>
          <w:lang w:eastAsia="es-ES"/>
        </w:rPr>
      </w:pPr>
      <w:r w:rsidRPr="006B5A6A">
        <w:rPr>
          <w:rFonts w:ascii="Verdana" w:eastAsia="Calibri" w:hAnsi="Verdana" w:cs="Arial"/>
          <w:b/>
          <w:bCs/>
          <w:color w:val="000000" w:themeColor="text1"/>
          <w:lang w:eastAsia="es-ES"/>
        </w:rPr>
        <w:t xml:space="preserve">EMPRESA UNIPERSONAL – Ley 222 de 1995 – Prohibición Artículo 75 </w:t>
      </w:r>
    </w:p>
    <w:p w14:paraId="5BC0D164" w14:textId="77777777" w:rsidR="006B5A6A" w:rsidRPr="006F5095" w:rsidRDefault="006B5A6A" w:rsidP="006B5A6A">
      <w:pPr>
        <w:snapToGrid w:val="0"/>
        <w:spacing w:line="240" w:lineRule="auto"/>
        <w:contextualSpacing/>
        <w:jc w:val="both"/>
        <w:rPr>
          <w:rFonts w:ascii="Verdana" w:hAnsi="Verdana" w:cs="Arial"/>
          <w:sz w:val="20"/>
          <w:szCs w:val="20"/>
        </w:rPr>
      </w:pPr>
      <w:r w:rsidRPr="006F5095">
        <w:rPr>
          <w:rFonts w:ascii="Verdana" w:hAnsi="Verdana" w:cs="Arial"/>
          <w:sz w:val="20"/>
          <w:szCs w:val="20"/>
        </w:rPr>
        <w:t>Frente a este tipo de empresas, el artículo 75 de la Ley 222 de 1995, mencionado en su consulta, dispuso lo siguiente: “El titular de la empresa unipersonal no puede contratar con ésta, ni tampoco podrán hacerlo entre sí empresas unipersonales constituidas por el mismo titular. Tales actos serán ineficaces de pleno derecho”. En efecto, dicha norma estableció una prohibición específica en cabeza del empresario unipersonal que tiene como finalidad evitar posibles abusos dado que la responsabilidad de la empresa se encuentra limitada al monto del aporte realizado por él.</w:t>
      </w:r>
    </w:p>
    <w:p w14:paraId="198D45F0" w14:textId="77777777" w:rsidR="006B5A6A" w:rsidRDefault="006B5A6A" w:rsidP="006B5A6A">
      <w:pPr>
        <w:jc w:val="both"/>
        <w:rPr>
          <w:rFonts w:ascii="Verdana" w:eastAsia="Calibri" w:hAnsi="Verdana" w:cs="Arial"/>
          <w:b/>
          <w:bCs/>
          <w:color w:val="000000" w:themeColor="text1"/>
          <w:lang w:eastAsia="es-ES"/>
        </w:rPr>
      </w:pPr>
    </w:p>
    <w:p w14:paraId="33898D24" w14:textId="05AEAF71" w:rsidR="006B5A6A" w:rsidRDefault="006B5A6A" w:rsidP="006B5A6A">
      <w:pPr>
        <w:jc w:val="both"/>
        <w:rPr>
          <w:rFonts w:ascii="Verdana" w:eastAsia="Calibri" w:hAnsi="Verdana" w:cs="Arial"/>
          <w:b/>
          <w:bCs/>
          <w:color w:val="000000" w:themeColor="text1"/>
          <w:lang w:eastAsia="es-ES"/>
        </w:rPr>
      </w:pPr>
      <w:r w:rsidRPr="006B5A6A">
        <w:rPr>
          <w:rFonts w:ascii="Verdana" w:eastAsia="Calibri" w:hAnsi="Verdana" w:cs="Arial"/>
          <w:b/>
          <w:bCs/>
          <w:color w:val="000000" w:themeColor="text1"/>
          <w:lang w:eastAsia="es-ES"/>
        </w:rPr>
        <w:t>PROHIBICIÓN ARTÍCULO 75 – Otras sociedades – No aplica</w:t>
      </w:r>
    </w:p>
    <w:p w14:paraId="46D26B79" w14:textId="623314BA" w:rsidR="00567B6A" w:rsidRPr="00567B6A" w:rsidRDefault="00567B6A" w:rsidP="00567B6A">
      <w:pPr>
        <w:spacing w:after="120" w:line="240" w:lineRule="auto"/>
        <w:jc w:val="both"/>
        <w:rPr>
          <w:rFonts w:ascii="Verdana" w:hAnsi="Verdana" w:cs="Arial"/>
          <w:sz w:val="20"/>
          <w:szCs w:val="20"/>
        </w:rPr>
      </w:pPr>
      <w:r w:rsidRPr="00567B6A">
        <w:rPr>
          <w:rFonts w:ascii="Verdana" w:hAnsi="Verdana" w:cs="Arial"/>
          <w:sz w:val="20"/>
          <w:szCs w:val="20"/>
        </w:rPr>
        <w:t>Ahora bien, esta prohibición no fue replicada para otro tipo de sociedades. Por ejemplo, las Sociedades por Acciones Simplificadas, fueron definidas por la doctrina como una de las innovaciones más relevantes del derecho societario colombiano, por la posibilidad de conformación a través de un acto unipersonal, la limitación de responsabilidad por obligaciones sociales, la viabilidad de poder contar con un objeto indeterminado para desarrollar actividades lícitas, el término de duración indefinido, la posibilidad de renunciar al derecho de ser convocado a reuniones de la asamblea, entre otras tantas que hicieron de ellas uno de los modelos societarios más atractivos para la conformación empresarial</w:t>
      </w:r>
      <w:r w:rsidRPr="00567B6A">
        <w:rPr>
          <w:rFonts w:ascii="Verdana" w:hAnsi="Verdana" w:cs="Arial"/>
          <w:sz w:val="20"/>
          <w:szCs w:val="20"/>
        </w:rPr>
        <w:t xml:space="preserve"> […]</w:t>
      </w:r>
    </w:p>
    <w:p w14:paraId="6229FC5B" w14:textId="77777777" w:rsidR="00567B6A" w:rsidRPr="00567B6A" w:rsidRDefault="00567B6A" w:rsidP="00567B6A">
      <w:pPr>
        <w:spacing w:after="0" w:line="240" w:lineRule="auto"/>
        <w:jc w:val="both"/>
        <w:rPr>
          <w:rFonts w:ascii="Verdana" w:hAnsi="Verdana" w:cs="Arial"/>
          <w:sz w:val="20"/>
          <w:szCs w:val="20"/>
          <w:lang w:val="en-CO"/>
        </w:rPr>
      </w:pPr>
      <w:r w:rsidRPr="00567B6A">
        <w:rPr>
          <w:rFonts w:ascii="Verdana" w:hAnsi="Verdana" w:cs="Arial"/>
          <w:sz w:val="20"/>
          <w:szCs w:val="20"/>
          <w:lang w:val="en-CO"/>
        </w:rPr>
        <w:t>De esta manera, la normativa no establece para sociedades distintas a las unipersonales la prohibición de celebrar contratos o negocios juridicos con su único socio o representante. Aunque su consulta no especifica el tipo de sociedad del cual se trata, es importante resaltar que las normas que establecen prohibiciones o limitaciones, como es el caso del artículo 75 de la Ley 222 de 1995, no pueden ser aplicadas por vía analógica. De esta forma, la prohibición que dispuso la normativa para las empresas unipersonales no puede ser aplicada de manera analógica al supuesto de los negocios jurídicos que celebren otro tipo de sociedades. En este sentido, el acuerdo consorcial que celebre una persona natural con una sociedad distinta a la unipersonal, de la cual es único socio o representante legal, no pueden considerarse per se ineficaz de pleno derecho, pues no existe norma que disponga esta consecuencia jurídica y dado que no es posible una aplicación extensiva del artículo 75 de la Ley 222 de 1995.</w:t>
      </w:r>
    </w:p>
    <w:p w14:paraId="7CD0B0BE" w14:textId="77777777" w:rsidR="00567B6A" w:rsidRPr="006B5A6A" w:rsidRDefault="00567B6A" w:rsidP="006B5A6A">
      <w:pPr>
        <w:jc w:val="both"/>
        <w:rPr>
          <w:rFonts w:ascii="Verdana" w:eastAsia="Calibri" w:hAnsi="Verdana" w:cs="Arial"/>
          <w:b/>
          <w:bCs/>
          <w:color w:val="000000" w:themeColor="text1"/>
          <w:lang w:eastAsia="es-ES"/>
        </w:rPr>
      </w:pPr>
    </w:p>
    <w:p w14:paraId="06543E13" w14:textId="3E6140AC" w:rsidR="006B5A6A" w:rsidRPr="00567B6A" w:rsidRDefault="006B5A6A" w:rsidP="00567B6A">
      <w:pPr>
        <w:jc w:val="both"/>
        <w:rPr>
          <w:rFonts w:ascii="Verdana" w:eastAsia="Calibri" w:hAnsi="Verdana" w:cs="Arial"/>
          <w:b/>
          <w:bCs/>
          <w:color w:val="000000" w:themeColor="text1"/>
          <w:lang w:eastAsia="es-ES"/>
        </w:rPr>
      </w:pPr>
      <w:r w:rsidRPr="006B5A6A">
        <w:rPr>
          <w:rFonts w:ascii="Verdana" w:eastAsia="Calibri" w:hAnsi="Verdana" w:cs="Arial"/>
          <w:b/>
          <w:bCs/>
          <w:color w:val="000000" w:themeColor="text1"/>
          <w:lang w:eastAsia="es-ES"/>
        </w:rPr>
        <w:t>INHABILIDADES E INCOMPATIBILIDADES – Concepto – Principio de legalidad – Interpretación restrictiva</w:t>
      </w:r>
    </w:p>
    <w:p w14:paraId="68DE14A0" w14:textId="77777777" w:rsidR="006B5A6A" w:rsidRPr="006F5095" w:rsidRDefault="006B5A6A" w:rsidP="006B5A6A">
      <w:pPr>
        <w:widowControl w:val="0"/>
        <w:autoSpaceDE w:val="0"/>
        <w:autoSpaceDN w:val="0"/>
        <w:snapToGrid w:val="0"/>
        <w:spacing w:after="0" w:line="240" w:lineRule="auto"/>
        <w:contextualSpacing/>
        <w:jc w:val="both"/>
        <w:rPr>
          <w:rFonts w:ascii="Verdana" w:eastAsia="Calibri" w:hAnsi="Verdana" w:cs="Arial"/>
          <w:color w:val="000000" w:themeColor="text1"/>
          <w:sz w:val="20"/>
          <w:szCs w:val="20"/>
          <w:lang w:val="es-ES_tradnl"/>
        </w:rPr>
      </w:pPr>
      <w:r w:rsidRPr="006F5095">
        <w:rPr>
          <w:rFonts w:ascii="Verdana" w:eastAsia="Arial" w:hAnsi="Verdana" w:cs="Arial"/>
          <w:sz w:val="20"/>
          <w:szCs w:val="20"/>
        </w:rPr>
        <w:t xml:space="preserve">Con respecto a la aplicación de las inhabilidades o incompatibilidades, es importante resaltar que </w:t>
      </w:r>
      <w:r w:rsidRPr="006F5095">
        <w:rPr>
          <w:rFonts w:ascii="Verdana" w:eastAsia="Arial MT" w:hAnsi="Verdana" w:cs="Arial"/>
          <w:sz w:val="20"/>
          <w:szCs w:val="20"/>
          <w:lang w:eastAsia="es-ES" w:bidi="es-ES"/>
        </w:rPr>
        <w:t>su aplicación siempre debe estar ajustada a los presupuestos que para cada causal señale el constituyente o el legislador. De este modo, no es posible que las entidades realicen una aplicación extensiva o analógica.</w:t>
      </w:r>
      <w:r w:rsidRPr="006F5095">
        <w:rPr>
          <w:rFonts w:ascii="Verdana" w:eastAsia="Calibri" w:hAnsi="Verdana" w:cs="Arial"/>
          <w:color w:val="000000" w:themeColor="text1"/>
          <w:sz w:val="20"/>
          <w:szCs w:val="20"/>
          <w:lang w:val="es-ES_tradnl"/>
        </w:rPr>
        <w:t xml:space="preserve"> Las inhabilidades e incompatibilidades son restricciones o límites especiales a la capacidad para presentar ofertas y celebrar contratos estatales, en consecuencia, solo pueden tipificarse en la ley y su interpretación debe ser </w:t>
      </w:r>
      <w:r w:rsidRPr="006F5095">
        <w:rPr>
          <w:rFonts w:ascii="Verdana" w:eastAsia="Calibri" w:hAnsi="Verdana" w:cs="Arial"/>
          <w:i/>
          <w:iCs/>
          <w:color w:val="000000" w:themeColor="text1"/>
          <w:sz w:val="20"/>
          <w:szCs w:val="20"/>
          <w:lang w:val="es-ES_tradnl"/>
        </w:rPr>
        <w:t>restrictiva</w:t>
      </w:r>
      <w:r w:rsidRPr="006F5095">
        <w:rPr>
          <w:rFonts w:ascii="Verdana" w:eastAsia="Calibri" w:hAnsi="Verdana" w:cs="Arial"/>
          <w:color w:val="000000" w:themeColor="text1"/>
          <w:sz w:val="20"/>
          <w:szCs w:val="20"/>
          <w:lang w:val="es-ES_tradnl"/>
        </w:rPr>
        <w:t xml:space="preserve">, pues si se admitiera una interpretación amplia, </w:t>
      </w:r>
      <w:r w:rsidRPr="006F5095">
        <w:rPr>
          <w:rFonts w:ascii="Verdana" w:eastAsia="Calibri" w:hAnsi="Verdana" w:cs="Arial"/>
          <w:color w:val="000000" w:themeColor="text1"/>
          <w:sz w:val="20"/>
          <w:szCs w:val="20"/>
          <w:lang w:val="es-ES_tradnl"/>
        </w:rPr>
        <w:lastRenderedPageBreak/>
        <w:t>extensiva o finalista de las mismas, los enunciados normativos podrían contemplar múltiples supuestos indeterminados, según el parecer o el sentido común de los operadores jurídicos, poniendo en riesgo principios como la igualdad, el debido proceso, la libre concurrencia y el ejercicio de la profesión u oficio.</w:t>
      </w:r>
    </w:p>
    <w:p w14:paraId="2ACA2108" w14:textId="77777777" w:rsidR="006B5A6A" w:rsidRPr="006F5095" w:rsidRDefault="006B5A6A" w:rsidP="006B5A6A">
      <w:pPr>
        <w:snapToGrid w:val="0"/>
        <w:spacing w:line="240" w:lineRule="auto"/>
        <w:contextualSpacing/>
        <w:jc w:val="both"/>
        <w:rPr>
          <w:rFonts w:ascii="Verdana" w:eastAsia="Calibri" w:hAnsi="Verdana" w:cs="Arial"/>
          <w:color w:val="000000" w:themeColor="text1"/>
          <w:sz w:val="20"/>
          <w:szCs w:val="20"/>
          <w:lang w:val="es-ES"/>
        </w:rPr>
      </w:pPr>
    </w:p>
    <w:p w14:paraId="1D7AAD3A" w14:textId="7E39B88C" w:rsidR="006B5A6A" w:rsidRDefault="006B5A6A" w:rsidP="00567B6A">
      <w:pPr>
        <w:snapToGrid w:val="0"/>
        <w:spacing w:line="240" w:lineRule="auto"/>
        <w:contextualSpacing/>
        <w:jc w:val="both"/>
        <w:rPr>
          <w:rFonts w:ascii="Verdana" w:eastAsia="Calibri" w:hAnsi="Verdana" w:cs="Arial"/>
          <w:color w:val="000000" w:themeColor="text1"/>
          <w:sz w:val="20"/>
          <w:szCs w:val="20"/>
          <w:lang w:val="es-ES"/>
        </w:rPr>
      </w:pPr>
      <w:r w:rsidRPr="006F5095">
        <w:rPr>
          <w:rFonts w:ascii="Verdana" w:eastAsia="Calibri" w:hAnsi="Verdana" w:cs="Arial"/>
          <w:color w:val="000000" w:themeColor="text1"/>
          <w:sz w:val="20"/>
          <w:szCs w:val="20"/>
          <w:lang w:val="es-ES"/>
        </w:rPr>
        <w:t xml:space="preserve">Como se aprecia, el principio </w:t>
      </w:r>
      <w:r w:rsidRPr="006F5095">
        <w:rPr>
          <w:rFonts w:ascii="Verdana" w:eastAsia="Calibri" w:hAnsi="Verdana" w:cs="Arial"/>
          <w:i/>
          <w:color w:val="000000" w:themeColor="text1"/>
          <w:sz w:val="20"/>
          <w:szCs w:val="20"/>
          <w:lang w:val="es-ES"/>
        </w:rPr>
        <w:t xml:space="preserve">pro </w:t>
      </w:r>
      <w:proofErr w:type="spellStart"/>
      <w:r w:rsidRPr="006F5095">
        <w:rPr>
          <w:rFonts w:ascii="Verdana" w:eastAsia="Calibri" w:hAnsi="Verdana" w:cs="Arial"/>
          <w:i/>
          <w:color w:val="000000" w:themeColor="text1"/>
          <w:sz w:val="20"/>
          <w:szCs w:val="20"/>
          <w:lang w:val="es-ES"/>
        </w:rPr>
        <w:t>libertate</w:t>
      </w:r>
      <w:proofErr w:type="spellEnd"/>
      <w:r w:rsidRPr="006F5095">
        <w:rPr>
          <w:rFonts w:ascii="Verdana" w:eastAsia="Calibri" w:hAnsi="Verdana" w:cs="Arial"/>
          <w:color w:val="000000" w:themeColor="text1"/>
          <w:sz w:val="20"/>
          <w:szCs w:val="20"/>
          <w:lang w:val="es-ES"/>
        </w:rPr>
        <w:t xml:space="preserve"> debe dirigir la interpretación de las disposiciones normativas que consagran restricciones de derechos, como sucede con las causales de inhabilidad e incompatibilidad en la contratación estatal. De esta forma, dado que el régimen de inhabilidades e incompatibilidades no se refirió al supuesto objeto de consulta, no será posible que las entidades interpreten la existencia de una inhabilidad que impida participar en un proceso de contratación al consorcio compuesto por una persona natural y por una SAS cuyo único socio y representante legal sea esa misma persona. </w:t>
      </w:r>
    </w:p>
    <w:p w14:paraId="039EC9DF" w14:textId="77777777" w:rsidR="00567B6A" w:rsidRPr="00567B6A" w:rsidRDefault="00567B6A" w:rsidP="00567B6A">
      <w:pPr>
        <w:snapToGrid w:val="0"/>
        <w:spacing w:line="240" w:lineRule="auto"/>
        <w:contextualSpacing/>
        <w:jc w:val="both"/>
        <w:rPr>
          <w:rFonts w:ascii="Verdana" w:eastAsia="Calibri" w:hAnsi="Verdana" w:cs="Arial"/>
          <w:color w:val="000000" w:themeColor="text1"/>
          <w:sz w:val="20"/>
          <w:szCs w:val="20"/>
          <w:lang w:val="es-ES"/>
        </w:rPr>
      </w:pPr>
    </w:p>
    <w:p w14:paraId="58A0635D" w14:textId="4B52B96F" w:rsidR="006B5A6A" w:rsidRDefault="006B5A6A" w:rsidP="006B5A6A">
      <w:pPr>
        <w:jc w:val="both"/>
        <w:rPr>
          <w:rFonts w:ascii="Verdana" w:eastAsia="Calibri" w:hAnsi="Verdana" w:cs="Arial"/>
          <w:b/>
          <w:bCs/>
          <w:color w:val="000000" w:themeColor="text1"/>
          <w:lang w:eastAsia="es-ES"/>
        </w:rPr>
      </w:pPr>
      <w:r w:rsidRPr="006B5A6A">
        <w:rPr>
          <w:rFonts w:ascii="Verdana" w:eastAsia="Calibri" w:hAnsi="Verdana" w:cs="Arial"/>
          <w:b/>
          <w:bCs/>
          <w:color w:val="000000" w:themeColor="text1"/>
          <w:lang w:eastAsia="es-ES"/>
        </w:rPr>
        <w:t>CONFLICTOS DE INTERES – Verificación de cada caso en concreto</w:t>
      </w:r>
    </w:p>
    <w:p w14:paraId="58B967B8" w14:textId="77777777" w:rsidR="006B5A6A" w:rsidRPr="006F5095" w:rsidRDefault="006B5A6A" w:rsidP="006B5A6A">
      <w:pPr>
        <w:snapToGrid w:val="0"/>
        <w:spacing w:after="0" w:line="240" w:lineRule="auto"/>
        <w:contextualSpacing/>
        <w:jc w:val="both"/>
        <w:rPr>
          <w:rFonts w:ascii="Verdana" w:eastAsia="Arial" w:hAnsi="Verdana" w:cs="Arial"/>
          <w:sz w:val="20"/>
          <w:szCs w:val="20"/>
        </w:rPr>
      </w:pPr>
      <w:r w:rsidRPr="006F5095">
        <w:rPr>
          <w:rFonts w:ascii="Verdana" w:eastAsia="Arial" w:hAnsi="Verdana" w:cs="Arial"/>
          <w:sz w:val="20"/>
          <w:szCs w:val="20"/>
        </w:rPr>
        <w:t xml:space="preserve">Por otra parte, aunque la ley no establezca una inhabilidad explícita, la entidad deberá evaluar el supuesto de hecho desde la figura del conflicto de intereses cada caso en particular. Esto se debe a que la ley de contratación estatal en Colombia se basa en principios fundamentales como la transparencia, moralidad y objetividad. Un conflicto de intereses surge cuando los intereses personales o familiares de un servidor público pueden influir en sus decisiones profesionales, comprometiendo así la imparcialidad que se espera de su cargo, lo cual, en principio, no sería aplicable al caso objeto de consulta. </w:t>
      </w:r>
    </w:p>
    <w:p w14:paraId="5BCCE5D8" w14:textId="77777777" w:rsidR="006B5A6A" w:rsidRDefault="006B5A6A" w:rsidP="006B5A6A">
      <w:pPr>
        <w:snapToGrid w:val="0"/>
        <w:contextualSpacing/>
        <w:jc w:val="both"/>
        <w:rPr>
          <w:rFonts w:ascii="Verdana" w:eastAsia="Arial" w:hAnsi="Verdana" w:cs="Arial"/>
          <w:sz w:val="20"/>
          <w:szCs w:val="20"/>
        </w:rPr>
      </w:pPr>
    </w:p>
    <w:p w14:paraId="5E9A6DCD" w14:textId="77777777" w:rsidR="006B5A6A" w:rsidRPr="006F5095" w:rsidRDefault="006B5A6A" w:rsidP="006B5A6A">
      <w:pPr>
        <w:snapToGrid w:val="0"/>
        <w:spacing w:after="0" w:line="240" w:lineRule="auto"/>
        <w:contextualSpacing/>
        <w:jc w:val="both"/>
        <w:rPr>
          <w:rFonts w:ascii="Verdana" w:eastAsia="Arial" w:hAnsi="Verdana" w:cs="Arial"/>
          <w:sz w:val="20"/>
          <w:szCs w:val="20"/>
        </w:rPr>
      </w:pPr>
      <w:r w:rsidRPr="006F5095">
        <w:rPr>
          <w:rFonts w:ascii="Verdana" w:eastAsia="Arial" w:hAnsi="Verdana" w:cs="Arial"/>
          <w:sz w:val="20"/>
          <w:szCs w:val="20"/>
        </w:rPr>
        <w:t>En cualquier caso, corresponde a los equipos jurídicos de cada entidad contratante realizar la verificación previa y concreta de las eventuales inhabilidades e incompatibilidades y el eventual conflicto de intereses en cada proceso, a fin de garantizar el cumplimiento del principio de legalidad y la protección de los principios de transparencia, moralidad e imparcialidad en la contratación estatal.</w:t>
      </w:r>
    </w:p>
    <w:p w14:paraId="6573459C" w14:textId="77777777" w:rsidR="006B5A6A" w:rsidRDefault="006B5A6A" w:rsidP="006B5A6A">
      <w:pPr>
        <w:spacing w:after="0"/>
        <w:rPr>
          <w:rFonts w:ascii="Verdana" w:hAnsi="Verdana"/>
          <w:lang w:val="es-ES"/>
        </w:rPr>
      </w:pPr>
    </w:p>
    <w:p w14:paraId="12426058" w14:textId="77777777" w:rsidR="006B5A6A" w:rsidRDefault="006B5A6A" w:rsidP="006B5A6A">
      <w:pPr>
        <w:spacing w:after="0"/>
        <w:rPr>
          <w:rFonts w:ascii="Verdana" w:hAnsi="Verdana"/>
          <w:lang w:val="es-ES"/>
        </w:rPr>
      </w:pPr>
    </w:p>
    <w:p w14:paraId="11327B85" w14:textId="77777777" w:rsidR="006B5A6A" w:rsidRPr="006B5A6A" w:rsidRDefault="006B5A6A" w:rsidP="006B5A6A">
      <w:pPr>
        <w:jc w:val="both"/>
        <w:rPr>
          <w:rFonts w:ascii="Verdana" w:eastAsia="Calibri" w:hAnsi="Verdana" w:cs="Arial"/>
          <w:b/>
          <w:bCs/>
          <w:color w:val="000000" w:themeColor="text1"/>
          <w:lang w:eastAsia="es-ES"/>
        </w:rPr>
      </w:pPr>
    </w:p>
    <w:p w14:paraId="7CDC2A68" w14:textId="77777777" w:rsidR="006B5A6A" w:rsidRDefault="006B5A6A" w:rsidP="0080789C">
      <w:pPr>
        <w:spacing w:after="0"/>
        <w:rPr>
          <w:rFonts w:ascii="Verdana" w:hAnsi="Verdana"/>
          <w:lang w:val="es-ES"/>
        </w:rPr>
      </w:pPr>
    </w:p>
    <w:p w14:paraId="5C4B653F" w14:textId="77777777" w:rsidR="00567B6A" w:rsidRDefault="00567B6A" w:rsidP="0080789C">
      <w:pPr>
        <w:spacing w:after="0"/>
        <w:rPr>
          <w:rFonts w:ascii="Verdana" w:hAnsi="Verdana"/>
          <w:lang w:val="es-ES"/>
        </w:rPr>
      </w:pPr>
    </w:p>
    <w:p w14:paraId="3CC1A316" w14:textId="77777777" w:rsidR="00567B6A" w:rsidRDefault="00567B6A" w:rsidP="0080789C">
      <w:pPr>
        <w:spacing w:after="0"/>
        <w:rPr>
          <w:rFonts w:ascii="Verdana" w:hAnsi="Verdana"/>
          <w:lang w:val="es-ES"/>
        </w:rPr>
      </w:pPr>
    </w:p>
    <w:p w14:paraId="1DED91C6" w14:textId="77777777" w:rsidR="00567B6A" w:rsidRDefault="00567B6A" w:rsidP="0080789C">
      <w:pPr>
        <w:spacing w:after="0"/>
        <w:rPr>
          <w:rFonts w:ascii="Verdana" w:hAnsi="Verdana"/>
          <w:lang w:val="es-ES"/>
        </w:rPr>
      </w:pPr>
    </w:p>
    <w:p w14:paraId="59F49800" w14:textId="77777777" w:rsidR="00567B6A" w:rsidRDefault="00567B6A" w:rsidP="0080789C">
      <w:pPr>
        <w:spacing w:after="0"/>
        <w:rPr>
          <w:rFonts w:ascii="Verdana" w:hAnsi="Verdana"/>
          <w:lang w:val="es-ES"/>
        </w:rPr>
      </w:pPr>
    </w:p>
    <w:p w14:paraId="73B5FDC2" w14:textId="77777777" w:rsidR="00567B6A" w:rsidRDefault="00567B6A" w:rsidP="0080789C">
      <w:pPr>
        <w:spacing w:after="0"/>
        <w:rPr>
          <w:rFonts w:ascii="Verdana" w:hAnsi="Verdana"/>
          <w:lang w:val="es-ES"/>
        </w:rPr>
      </w:pPr>
    </w:p>
    <w:p w14:paraId="2F91A1ED" w14:textId="77777777" w:rsidR="00567B6A" w:rsidRDefault="00567B6A" w:rsidP="0080789C">
      <w:pPr>
        <w:spacing w:after="0"/>
        <w:rPr>
          <w:rFonts w:ascii="Verdana" w:hAnsi="Verdana"/>
          <w:lang w:val="es-ES"/>
        </w:rPr>
      </w:pPr>
    </w:p>
    <w:p w14:paraId="2474A9FE" w14:textId="77777777" w:rsidR="00567B6A" w:rsidRDefault="00567B6A" w:rsidP="0080789C">
      <w:pPr>
        <w:spacing w:after="0"/>
        <w:rPr>
          <w:rFonts w:ascii="Verdana" w:hAnsi="Verdana"/>
          <w:lang w:val="es-ES"/>
        </w:rPr>
      </w:pPr>
    </w:p>
    <w:p w14:paraId="601D6610" w14:textId="77777777" w:rsidR="00567B6A" w:rsidRDefault="00567B6A" w:rsidP="0080789C">
      <w:pPr>
        <w:spacing w:after="0"/>
        <w:rPr>
          <w:rFonts w:ascii="Verdana" w:hAnsi="Verdana"/>
          <w:lang w:val="es-ES"/>
        </w:rPr>
      </w:pPr>
    </w:p>
    <w:p w14:paraId="7CC3CF51" w14:textId="77777777" w:rsidR="00567B6A" w:rsidRDefault="00567B6A" w:rsidP="0080789C">
      <w:pPr>
        <w:spacing w:after="0"/>
        <w:rPr>
          <w:rFonts w:ascii="Verdana" w:hAnsi="Verdana"/>
          <w:lang w:val="es-ES"/>
        </w:rPr>
      </w:pPr>
    </w:p>
    <w:p w14:paraId="2177195D" w14:textId="77777777" w:rsidR="00567B6A" w:rsidRDefault="00567B6A" w:rsidP="0080789C">
      <w:pPr>
        <w:spacing w:after="0"/>
        <w:rPr>
          <w:rFonts w:ascii="Verdana" w:hAnsi="Verdana"/>
          <w:lang w:val="es-ES"/>
        </w:rPr>
      </w:pPr>
    </w:p>
    <w:p w14:paraId="523129FA" w14:textId="5933C2CD" w:rsidR="0080789C" w:rsidRPr="00E10433" w:rsidRDefault="0080789C" w:rsidP="0080789C">
      <w:pPr>
        <w:spacing w:after="0"/>
        <w:rPr>
          <w:rFonts w:ascii="Verdana" w:hAnsi="Verdana"/>
          <w:lang w:val="es-ES"/>
        </w:rPr>
      </w:pPr>
      <w:r w:rsidRPr="00E10433">
        <w:rPr>
          <w:rFonts w:ascii="Verdana" w:hAnsi="Verdana"/>
          <w:lang w:val="es-ES"/>
        </w:rPr>
        <w:lastRenderedPageBreak/>
        <w:t xml:space="preserve">Bogotá D.C., </w:t>
      </w:r>
      <w:r w:rsidR="00A35D1C">
        <w:rPr>
          <w:rFonts w:ascii="Verdana" w:hAnsi="Verdana"/>
          <w:lang w:val="es-ES"/>
        </w:rPr>
        <w:t>22 de mayo de 2026</w:t>
      </w:r>
    </w:p>
    <w:p w14:paraId="43242EEB" w14:textId="5AAF35DE" w:rsidR="0080789C" w:rsidRPr="00E10433" w:rsidRDefault="006320EF" w:rsidP="0080789C">
      <w:pPr>
        <w:spacing w:after="0"/>
        <w:rPr>
          <w:rFonts w:ascii="Verdana" w:hAnsi="Verdana"/>
          <w:lang w:val="es-ES"/>
        </w:rPr>
      </w:pPr>
      <w:r>
        <w:rPr>
          <w:rFonts w:ascii="Verdana" w:hAnsi="Verdana"/>
          <w:noProof/>
          <w:lang w:val="es-ES"/>
        </w:rPr>
        <w:drawing>
          <wp:anchor distT="0" distB="0" distL="114300" distR="114300" simplePos="0" relativeHeight="251660288" behindDoc="0" locked="0" layoutInCell="1" allowOverlap="1" wp14:anchorId="7EC0B752" wp14:editId="7C05E4B3">
            <wp:simplePos x="0" y="0"/>
            <wp:positionH relativeFrom="column">
              <wp:posOffset>3115012</wp:posOffset>
            </wp:positionH>
            <wp:positionV relativeFrom="paragraph">
              <wp:posOffset>183515</wp:posOffset>
            </wp:positionV>
            <wp:extent cx="2258695" cy="635000"/>
            <wp:effectExtent l="0" t="0" r="1905" b="0"/>
            <wp:wrapSquare wrapText="bothSides"/>
            <wp:docPr id="584408073" name="Picture 1" descr="A close-up of a white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408073" name="Picture 1" descr="A close-up of a white card&#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258695" cy="635000"/>
                    </a:xfrm>
                    <a:prstGeom prst="rect">
                      <a:avLst/>
                    </a:prstGeom>
                  </pic:spPr>
                </pic:pic>
              </a:graphicData>
            </a:graphic>
            <wp14:sizeRelH relativeFrom="page">
              <wp14:pctWidth>0</wp14:pctWidth>
            </wp14:sizeRelH>
            <wp14:sizeRelV relativeFrom="page">
              <wp14:pctHeight>0</wp14:pctHeight>
            </wp14:sizeRelV>
          </wp:anchor>
        </w:drawing>
      </w:r>
    </w:p>
    <w:p w14:paraId="5E28C8B5" w14:textId="5CDB0DD9" w:rsidR="0080789C" w:rsidRPr="00E10433" w:rsidRDefault="0080789C" w:rsidP="0080789C">
      <w:pPr>
        <w:spacing w:after="0" w:line="240" w:lineRule="auto"/>
        <w:rPr>
          <w:rFonts w:ascii="Verdana" w:hAnsi="Verdana"/>
          <w:lang w:val="es-ES"/>
        </w:rPr>
      </w:pPr>
      <w:bookmarkStart w:id="0" w:name="_Hlk143780582"/>
      <w:r w:rsidRPr="00E10433">
        <w:rPr>
          <w:rFonts w:ascii="Verdana" w:eastAsia="Calibri" w:hAnsi="Verdana" w:cs="Arial"/>
          <w:color w:val="000000" w:themeColor="text1"/>
          <w:lang w:val="es-ES" w:eastAsia="es-ES"/>
        </w:rPr>
        <w:t>Señor</w:t>
      </w:r>
    </w:p>
    <w:p w14:paraId="513CF449" w14:textId="0528AB03" w:rsidR="004E2DF2" w:rsidRDefault="00BA066D" w:rsidP="004E2DF2">
      <w:pPr>
        <w:spacing w:after="0"/>
        <w:rPr>
          <w:rFonts w:ascii="Verdana" w:eastAsia="Calibri" w:hAnsi="Verdana" w:cs="Arial"/>
          <w:b/>
          <w:bCs/>
          <w:color w:val="000000" w:themeColor="text1"/>
          <w:lang w:val="en-CO" w:eastAsia="es-ES"/>
        </w:rPr>
      </w:pPr>
      <w:r>
        <w:rPr>
          <w:rFonts w:ascii="Verdana" w:eastAsia="Calibri" w:hAnsi="Verdana" w:cs="Arial"/>
          <w:b/>
          <w:bCs/>
          <w:color w:val="000000" w:themeColor="text1"/>
          <w:lang w:val="en-CO" w:eastAsia="es-ES"/>
        </w:rPr>
        <w:t>Jose Luis Zambrano Montenegro</w:t>
      </w:r>
    </w:p>
    <w:p w14:paraId="5B174D48" w14:textId="27D39437" w:rsidR="00BA066D" w:rsidRPr="00A35D1C" w:rsidRDefault="00BA066D" w:rsidP="004E2DF2">
      <w:pPr>
        <w:spacing w:after="0"/>
        <w:rPr>
          <w:rFonts w:ascii="Verdana" w:eastAsia="Calibri" w:hAnsi="Verdana" w:cs="Arial"/>
          <w:color w:val="000000" w:themeColor="text1"/>
          <w:lang w:val="en-CO" w:eastAsia="es-ES"/>
        </w:rPr>
      </w:pPr>
      <w:hyperlink r:id="rId12" w:history="1">
        <w:r w:rsidRPr="00A35D1C">
          <w:rPr>
            <w:rStyle w:val="Hyperlink"/>
            <w:rFonts w:ascii="Verdana" w:eastAsia="Calibri" w:hAnsi="Verdana" w:cs="Arial"/>
            <w:lang w:val="en-CO" w:eastAsia="es-ES"/>
          </w:rPr>
          <w:t>jlzmontenegro@gmail.com</w:t>
        </w:r>
      </w:hyperlink>
    </w:p>
    <w:p w14:paraId="041393B7" w14:textId="34BCA438" w:rsidR="0080789C" w:rsidRPr="00E10433" w:rsidRDefault="004E2DF2" w:rsidP="0080789C">
      <w:pPr>
        <w:spacing w:after="0" w:line="240" w:lineRule="auto"/>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Bogotá D.C.</w:t>
      </w: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80789C" w:rsidRPr="00E10433" w14:paraId="1D5A6520" w14:textId="77777777" w:rsidTr="007B0886">
        <w:trPr>
          <w:trHeight w:val="300"/>
        </w:trPr>
        <w:tc>
          <w:tcPr>
            <w:tcW w:w="2410" w:type="dxa"/>
          </w:tcPr>
          <w:p w14:paraId="7E167F29" w14:textId="77777777" w:rsidR="0080789C" w:rsidRPr="00E10433" w:rsidRDefault="0080789C" w:rsidP="007B0886">
            <w:pPr>
              <w:ind w:left="-142"/>
              <w:jc w:val="both"/>
              <w:rPr>
                <w:rFonts w:ascii="Verdana" w:eastAsia="Calibri" w:hAnsi="Verdana" w:cs="Arial"/>
                <w:b/>
                <w:bCs/>
                <w:color w:val="000000" w:themeColor="text1"/>
                <w:lang w:val="es-ES" w:eastAsia="es-ES_tradnl"/>
              </w:rPr>
            </w:pPr>
          </w:p>
        </w:tc>
        <w:tc>
          <w:tcPr>
            <w:tcW w:w="6100" w:type="dxa"/>
          </w:tcPr>
          <w:p w14:paraId="40194420" w14:textId="77777777" w:rsidR="0080789C" w:rsidRPr="00E10433" w:rsidRDefault="0080789C" w:rsidP="007B0886">
            <w:pPr>
              <w:ind w:left="3"/>
              <w:jc w:val="both"/>
              <w:rPr>
                <w:rFonts w:ascii="Verdana" w:eastAsia="Calibri" w:hAnsi="Verdana" w:cs="Arial"/>
                <w:b/>
                <w:bCs/>
                <w:color w:val="000000" w:themeColor="text1"/>
                <w:lang w:val="es-ES" w:eastAsia="es-ES"/>
              </w:rPr>
            </w:pPr>
          </w:p>
          <w:p w14:paraId="24575FC3" w14:textId="256AD1D7" w:rsidR="0080789C" w:rsidRPr="00E10433" w:rsidRDefault="0080789C" w:rsidP="00B5572A">
            <w:pPr>
              <w:ind w:left="3"/>
              <w:jc w:val="both"/>
              <w:rPr>
                <w:rFonts w:ascii="Verdana" w:eastAsia="Calibri" w:hAnsi="Verdana" w:cs="Arial"/>
                <w:b/>
                <w:bCs/>
                <w:color w:val="000000" w:themeColor="text1"/>
                <w:lang w:val="es-ES" w:eastAsia="es-ES"/>
              </w:rPr>
            </w:pPr>
            <w:r w:rsidRPr="00E10433">
              <w:rPr>
                <w:rFonts w:ascii="Verdana" w:eastAsia="Calibri" w:hAnsi="Verdana" w:cs="Arial"/>
                <w:b/>
                <w:bCs/>
                <w:color w:val="000000" w:themeColor="text1"/>
                <w:lang w:val="es-ES" w:eastAsia="es-ES"/>
              </w:rPr>
              <w:t>Concepto C</w:t>
            </w:r>
            <w:r w:rsidR="004E2DF2">
              <w:rPr>
                <w:rFonts w:ascii="Verdana" w:eastAsia="Calibri" w:hAnsi="Verdana" w:cs="Arial"/>
                <w:b/>
                <w:bCs/>
                <w:color w:val="000000" w:themeColor="text1"/>
                <w:lang w:val="es-ES" w:eastAsia="es-ES"/>
              </w:rPr>
              <w:t>-</w:t>
            </w:r>
            <w:r w:rsidR="00B5572A">
              <w:rPr>
                <w:rFonts w:ascii="Verdana" w:eastAsia="Calibri" w:hAnsi="Verdana" w:cs="Arial"/>
                <w:b/>
                <w:bCs/>
                <w:color w:val="000000" w:themeColor="text1"/>
                <w:lang w:val="es-ES" w:eastAsia="es-ES"/>
              </w:rPr>
              <w:t>584</w:t>
            </w:r>
            <w:r w:rsidRPr="00E10433">
              <w:rPr>
                <w:rFonts w:ascii="Verdana" w:eastAsia="Calibri" w:hAnsi="Verdana" w:cs="Arial"/>
                <w:b/>
                <w:bCs/>
                <w:color w:val="000000" w:themeColor="text1"/>
                <w:lang w:val="es-ES" w:eastAsia="es-ES"/>
              </w:rPr>
              <w:t xml:space="preserve"> de 2026</w:t>
            </w:r>
          </w:p>
          <w:p w14:paraId="4701710A" w14:textId="77777777" w:rsidR="0080789C" w:rsidRPr="00E10433" w:rsidRDefault="0080789C" w:rsidP="007B0886">
            <w:pPr>
              <w:ind w:left="3"/>
              <w:jc w:val="both"/>
              <w:rPr>
                <w:rFonts w:ascii="Verdana" w:eastAsia="Calibri" w:hAnsi="Verdana" w:cs="Arial"/>
                <w:b/>
                <w:bCs/>
                <w:color w:val="000000" w:themeColor="text1"/>
                <w:lang w:val="es-ES" w:eastAsia="es-ES"/>
              </w:rPr>
            </w:pPr>
          </w:p>
        </w:tc>
      </w:tr>
      <w:tr w:rsidR="0080789C" w:rsidRPr="00E10433" w14:paraId="62AD81D7" w14:textId="77777777" w:rsidTr="007B0886">
        <w:trPr>
          <w:trHeight w:val="300"/>
        </w:trPr>
        <w:tc>
          <w:tcPr>
            <w:tcW w:w="2410" w:type="dxa"/>
          </w:tcPr>
          <w:p w14:paraId="2FE643F5" w14:textId="77777777" w:rsidR="0080789C" w:rsidRPr="00E10433" w:rsidRDefault="0080789C" w:rsidP="007B0886">
            <w:pPr>
              <w:ind w:left="424" w:firstLine="142"/>
              <w:jc w:val="both"/>
              <w:rPr>
                <w:rFonts w:ascii="Verdana" w:eastAsia="Calibri" w:hAnsi="Verdana" w:cs="Arial"/>
                <w:color w:val="000000" w:themeColor="text1"/>
                <w:lang w:val="es-ES" w:eastAsia="es-ES_tradnl"/>
              </w:rPr>
            </w:pPr>
            <w:r w:rsidRPr="00E10433">
              <w:rPr>
                <w:rFonts w:ascii="Verdana" w:eastAsia="Calibri" w:hAnsi="Verdana" w:cs="Arial"/>
                <w:b/>
                <w:color w:val="000000" w:themeColor="text1"/>
                <w:lang w:val="es-ES" w:eastAsia="es-ES_tradnl"/>
              </w:rPr>
              <w:t>Temas:</w:t>
            </w:r>
            <w:r w:rsidRPr="00E10433">
              <w:rPr>
                <w:rFonts w:ascii="Verdana" w:eastAsia="Calibri" w:hAnsi="Verdana" w:cs="Arial"/>
                <w:color w:val="000000" w:themeColor="text1"/>
                <w:lang w:val="es-ES" w:eastAsia="es-ES_tradnl"/>
              </w:rPr>
              <w:t xml:space="preserve">                  </w:t>
            </w:r>
          </w:p>
        </w:tc>
        <w:tc>
          <w:tcPr>
            <w:tcW w:w="6100" w:type="dxa"/>
          </w:tcPr>
          <w:p w14:paraId="49EC1CED" w14:textId="77777777" w:rsidR="004E2DF2" w:rsidRDefault="007C7276" w:rsidP="007C7276">
            <w:pPr>
              <w:jc w:val="both"/>
              <w:rPr>
                <w:rFonts w:ascii="Verdana" w:eastAsia="Calibri" w:hAnsi="Verdana" w:cs="Arial"/>
                <w:color w:val="000000" w:themeColor="text1"/>
                <w:lang w:eastAsia="es-ES"/>
              </w:rPr>
            </w:pPr>
            <w:r w:rsidRPr="007C7276">
              <w:rPr>
                <w:rFonts w:ascii="Verdana" w:eastAsia="Calibri" w:hAnsi="Verdana" w:cs="Arial"/>
                <w:color w:val="000000" w:themeColor="text1"/>
                <w:lang w:eastAsia="es-ES"/>
              </w:rPr>
              <w:t>EMPRESA UNIPERSONAL – Ley 222 de 1995 – Prohibición Artículo 75 / PROHIBICIÓN ARTÍCULO 75 – Otras sociedades – No aplica / INHABILIDADES E INCOMPATIBILIDADES – Concepto – Principio de legalidad – Interpretación restrictiva / CONFLICTOS DE INTERES – Verificación de cada caso en concreto</w:t>
            </w:r>
          </w:p>
          <w:p w14:paraId="6F5D2050" w14:textId="561E3AFF" w:rsidR="007C7276" w:rsidRPr="00E10433" w:rsidRDefault="007C7276" w:rsidP="007C7276">
            <w:pPr>
              <w:jc w:val="both"/>
              <w:rPr>
                <w:rFonts w:ascii="Verdana" w:eastAsia="Calibri" w:hAnsi="Verdana" w:cs="Arial"/>
                <w:color w:val="000000" w:themeColor="text1"/>
                <w:lang w:val="es-ES" w:eastAsia="es-ES"/>
              </w:rPr>
            </w:pPr>
          </w:p>
        </w:tc>
      </w:tr>
      <w:tr w:rsidR="0080789C" w:rsidRPr="00E10433" w14:paraId="6CA62D9B" w14:textId="77777777" w:rsidTr="007B0886">
        <w:tc>
          <w:tcPr>
            <w:tcW w:w="2410" w:type="dxa"/>
          </w:tcPr>
          <w:p w14:paraId="355AFAC9" w14:textId="77777777" w:rsidR="0080789C" w:rsidRPr="00E10433" w:rsidRDefault="0080789C" w:rsidP="007B0886">
            <w:pPr>
              <w:ind w:left="561"/>
              <w:jc w:val="both"/>
              <w:rPr>
                <w:rFonts w:ascii="Verdana" w:eastAsia="Calibri" w:hAnsi="Verdana" w:cs="Arial"/>
                <w:b/>
                <w:color w:val="000000" w:themeColor="text1"/>
                <w:lang w:val="es-ES" w:eastAsia="es-ES_tradnl"/>
              </w:rPr>
            </w:pPr>
            <w:r w:rsidRPr="00E10433">
              <w:rPr>
                <w:rFonts w:ascii="Verdana" w:eastAsia="Calibri" w:hAnsi="Verdana" w:cs="Arial"/>
                <w:b/>
                <w:color w:val="000000" w:themeColor="text1"/>
                <w:lang w:val="es-ES" w:eastAsia="es-ES_tradnl"/>
              </w:rPr>
              <w:t>Radicación:</w:t>
            </w:r>
            <w:r w:rsidRPr="00E10433">
              <w:rPr>
                <w:rFonts w:ascii="Verdana" w:eastAsia="Calibri" w:hAnsi="Verdana" w:cs="Arial"/>
                <w:color w:val="000000" w:themeColor="text1"/>
                <w:lang w:val="es-ES" w:eastAsia="es-ES_tradnl"/>
              </w:rPr>
              <w:t xml:space="preserve">              </w:t>
            </w:r>
          </w:p>
        </w:tc>
        <w:tc>
          <w:tcPr>
            <w:tcW w:w="6100" w:type="dxa"/>
          </w:tcPr>
          <w:p w14:paraId="7E53B726" w14:textId="798270BB" w:rsidR="0080789C" w:rsidRPr="00E10433" w:rsidRDefault="0080789C" w:rsidP="007B0886">
            <w:pPr>
              <w:ind w:left="3"/>
              <w:jc w:val="both"/>
              <w:rPr>
                <w:rFonts w:ascii="Verdana" w:hAnsi="Verdana"/>
                <w:color w:val="000000"/>
                <w:lang w:val="es-ES"/>
              </w:rPr>
            </w:pPr>
            <w:r w:rsidRPr="00E10433">
              <w:rPr>
                <w:rFonts w:ascii="Verdana" w:eastAsia="Calibri" w:hAnsi="Verdana" w:cs="Arial"/>
                <w:color w:val="000000" w:themeColor="text1"/>
                <w:lang w:val="es-ES" w:eastAsia="es-ES"/>
              </w:rPr>
              <w:t>Respuesta a consulta con radicado No.</w:t>
            </w:r>
            <w:r w:rsidR="004E2DF2">
              <w:rPr>
                <w:rFonts w:ascii="Verdana" w:eastAsia="Calibri" w:hAnsi="Verdana" w:cs="Arial"/>
                <w:color w:val="000000" w:themeColor="text1"/>
                <w:lang w:val="es-ES" w:eastAsia="es-ES"/>
              </w:rPr>
              <w:t xml:space="preserve"> </w:t>
            </w:r>
            <w:r w:rsidR="00BA066D" w:rsidRPr="00BA066D">
              <w:rPr>
                <w:rFonts w:ascii="Verdana" w:eastAsia="Calibri" w:hAnsi="Verdana" w:cs="Arial"/>
                <w:color w:val="000000" w:themeColor="text1"/>
                <w:lang w:val="es-ES" w:eastAsia="es-ES"/>
              </w:rPr>
              <w:t>1_2026_04_10_004897</w:t>
            </w:r>
            <w:r w:rsidRPr="00E10433">
              <w:rPr>
                <w:rFonts w:ascii="Verdana" w:eastAsia="Calibri" w:hAnsi="Verdana" w:cs="Arial"/>
                <w:color w:val="000000" w:themeColor="text1"/>
                <w:lang w:val="es-ES" w:eastAsia="es-ES"/>
              </w:rPr>
              <w:t xml:space="preserve"> </w:t>
            </w:r>
          </w:p>
        </w:tc>
      </w:tr>
    </w:tbl>
    <w:p w14:paraId="3E307670" w14:textId="77777777" w:rsidR="0080789C" w:rsidRPr="00E10433" w:rsidRDefault="0080789C" w:rsidP="0080789C">
      <w:pPr>
        <w:spacing w:after="0" w:line="276" w:lineRule="auto"/>
        <w:jc w:val="both"/>
        <w:rPr>
          <w:rFonts w:ascii="Verdana" w:eastAsia="Calibri" w:hAnsi="Verdana" w:cs="Arial"/>
          <w:color w:val="000000" w:themeColor="text1"/>
          <w:lang w:val="es-ES" w:eastAsia="es-ES"/>
        </w:rPr>
      </w:pPr>
    </w:p>
    <w:p w14:paraId="25F17B06" w14:textId="77777777" w:rsidR="00C4195C" w:rsidRPr="00E10433" w:rsidRDefault="00C4195C" w:rsidP="00124BE6">
      <w:pPr>
        <w:spacing w:after="0" w:line="276" w:lineRule="auto"/>
        <w:jc w:val="both"/>
        <w:rPr>
          <w:rFonts w:ascii="Verdana" w:eastAsia="Calibri" w:hAnsi="Verdana" w:cs="Arial"/>
          <w:color w:val="000000" w:themeColor="text1"/>
          <w:lang w:val="es-ES" w:eastAsia="es-ES"/>
        </w:rPr>
      </w:pPr>
    </w:p>
    <w:p w14:paraId="643C8C83" w14:textId="28879094" w:rsidR="0080789C" w:rsidRPr="00E10433" w:rsidRDefault="0080789C" w:rsidP="0080789C">
      <w:pPr>
        <w:spacing w:after="0" w:line="276" w:lineRule="auto"/>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Estimad</w:t>
      </w:r>
      <w:r w:rsidR="00DB3426">
        <w:rPr>
          <w:rFonts w:ascii="Verdana" w:eastAsia="Calibri" w:hAnsi="Verdana" w:cs="Arial"/>
          <w:color w:val="000000" w:themeColor="text1"/>
          <w:lang w:val="es-ES" w:eastAsia="es-ES"/>
        </w:rPr>
        <w:t>o</w:t>
      </w:r>
      <w:r w:rsidRPr="00E10433">
        <w:rPr>
          <w:rFonts w:ascii="Verdana" w:eastAsia="Calibri" w:hAnsi="Verdana" w:cs="Arial"/>
          <w:color w:val="000000" w:themeColor="text1"/>
          <w:lang w:val="es-ES" w:eastAsia="es-ES"/>
        </w:rPr>
        <w:t xml:space="preserve"> señor </w:t>
      </w:r>
      <w:r w:rsidR="00DB3426">
        <w:rPr>
          <w:rFonts w:ascii="Verdana" w:eastAsia="Calibri" w:hAnsi="Verdana" w:cs="Arial"/>
          <w:color w:val="000000" w:themeColor="text1"/>
          <w:lang w:val="es-ES" w:eastAsia="es-ES"/>
        </w:rPr>
        <w:t>Zambrano</w:t>
      </w:r>
      <w:r w:rsidRPr="00E10433">
        <w:rPr>
          <w:rFonts w:ascii="Verdana" w:eastAsia="Calibri" w:hAnsi="Verdana" w:cs="Arial"/>
          <w:color w:val="000000" w:themeColor="text1"/>
          <w:lang w:val="es-ES" w:eastAsia="es-ES"/>
        </w:rPr>
        <w:t xml:space="preserve">: </w:t>
      </w:r>
    </w:p>
    <w:p w14:paraId="01E77807" w14:textId="77777777" w:rsidR="0080789C" w:rsidRPr="00E10433" w:rsidRDefault="0080789C" w:rsidP="0080789C">
      <w:pPr>
        <w:tabs>
          <w:tab w:val="left" w:pos="3768"/>
        </w:tabs>
        <w:spacing w:after="0" w:line="276" w:lineRule="auto"/>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ab/>
      </w:r>
    </w:p>
    <w:p w14:paraId="27F45061" w14:textId="143123FB" w:rsidR="0080789C" w:rsidRPr="00E10433" w:rsidRDefault="0080789C" w:rsidP="0080789C">
      <w:pPr>
        <w:spacing w:after="0" w:line="276" w:lineRule="auto"/>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En ejercicio de la competencia otorgada por los artículos 3, numeral 5º, y 11, numeral 8º, del Decreto Ley 4170 de 2011,</w:t>
      </w:r>
      <w:r w:rsidRPr="00E10433">
        <w:rPr>
          <w:rFonts w:ascii="Verdana" w:eastAsia="Arial MT" w:hAnsi="Verdana" w:cs="Arial MT"/>
          <w:color w:val="000000" w:themeColor="text1"/>
          <w:lang w:val="es-ES" w:eastAsia="es-ES"/>
        </w:rPr>
        <w:t xml:space="preserve"> </w:t>
      </w:r>
      <w:r w:rsidRPr="00E10433">
        <w:rPr>
          <w:rFonts w:ascii="Verdana" w:hAnsi="Verdana" w:cs="Arial"/>
          <w:color w:val="000000" w:themeColor="text1"/>
          <w:lang w:val="es-ES"/>
        </w:rPr>
        <w:t xml:space="preserve">así como lo establecido en el artículo 4 de la Resolución 1707 de 2018 expedida por esta Entidad, </w:t>
      </w:r>
      <w:r w:rsidRPr="00E10433">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DB3426">
        <w:rPr>
          <w:rFonts w:ascii="Verdana" w:eastAsia="Calibri" w:hAnsi="Verdana" w:cs="Arial"/>
          <w:color w:val="000000" w:themeColor="text1"/>
          <w:lang w:val="es-ES" w:eastAsia="es-ES"/>
        </w:rPr>
        <w:t>10</w:t>
      </w:r>
      <w:r w:rsidRPr="00E10433">
        <w:rPr>
          <w:rFonts w:ascii="Verdana" w:eastAsia="Calibri" w:hAnsi="Verdana" w:cs="Arial"/>
          <w:color w:val="000000" w:themeColor="text1"/>
          <w:lang w:val="es-ES" w:eastAsia="es-ES"/>
        </w:rPr>
        <w:t xml:space="preserve"> de </w:t>
      </w:r>
      <w:r w:rsidR="00DB3426">
        <w:rPr>
          <w:rFonts w:ascii="Verdana" w:eastAsia="Calibri" w:hAnsi="Verdana" w:cs="Arial"/>
          <w:color w:val="000000" w:themeColor="text1"/>
          <w:lang w:val="es-ES" w:eastAsia="es-ES"/>
        </w:rPr>
        <w:t>abril</w:t>
      </w:r>
      <w:r w:rsidRPr="00E10433">
        <w:rPr>
          <w:rFonts w:ascii="Verdana" w:eastAsia="Calibri" w:hAnsi="Verdana" w:cs="Arial"/>
          <w:color w:val="000000" w:themeColor="text1"/>
          <w:lang w:val="es-ES" w:eastAsia="es-ES"/>
        </w:rPr>
        <w:t xml:space="preserve"> de 2026, en la cual manifiesta lo siguiente: </w:t>
      </w:r>
    </w:p>
    <w:p w14:paraId="62BC56AE" w14:textId="77777777" w:rsidR="0080789C" w:rsidRPr="00E10433" w:rsidRDefault="0080789C" w:rsidP="0080789C">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0D20BE99" w14:textId="0CAA0DB1" w:rsidR="00F4647E" w:rsidRPr="00F4647E" w:rsidRDefault="0080789C" w:rsidP="00F4647E">
      <w:pPr>
        <w:spacing w:after="0"/>
        <w:ind w:left="709" w:right="709"/>
        <w:jc w:val="both"/>
        <w:rPr>
          <w:rFonts w:ascii="Verdana" w:eastAsia="Century Gothic" w:hAnsi="Verdana" w:cs="Century Gothic"/>
          <w:i/>
          <w:color w:val="000000" w:themeColor="text1"/>
          <w:sz w:val="20"/>
          <w:szCs w:val="20"/>
          <w:lang w:val="en-CO"/>
        </w:rPr>
      </w:pPr>
      <w:r w:rsidRPr="00E10433">
        <w:rPr>
          <w:rFonts w:ascii="Verdana" w:eastAsia="Century Gothic" w:hAnsi="Verdana" w:cs="Century Gothic"/>
          <w:i/>
          <w:color w:val="000000" w:themeColor="text1"/>
          <w:sz w:val="20"/>
          <w:szCs w:val="20"/>
          <w:lang w:val="es-ES"/>
        </w:rPr>
        <w:t>“</w:t>
      </w:r>
      <w:r w:rsidR="00DB3426">
        <w:rPr>
          <w:rFonts w:ascii="Verdana" w:eastAsia="Century Gothic" w:hAnsi="Verdana" w:cs="Century Gothic"/>
          <w:i/>
          <w:color w:val="000000" w:themeColor="text1"/>
          <w:sz w:val="20"/>
          <w:szCs w:val="20"/>
          <w:lang w:val="es-ES"/>
        </w:rPr>
        <w:t xml:space="preserve">[…] </w:t>
      </w:r>
      <w:r w:rsidR="00F4647E" w:rsidRPr="00F4647E">
        <w:rPr>
          <w:rFonts w:ascii="Verdana" w:eastAsia="Century Gothic" w:hAnsi="Verdana" w:cs="Century Gothic"/>
          <w:i/>
          <w:color w:val="000000" w:themeColor="text1"/>
          <w:sz w:val="20"/>
          <w:szCs w:val="20"/>
          <w:lang w:val="en-CO"/>
        </w:rPr>
        <w:t xml:space="preserve">En el marco de un proceso de licitación pública cuyo valor asciende a aproximadamente diez mil millones de pesos ($10.000.000.000), fue adjudicado un contrato estatal a un consorcio conformado de la siguiente manera: </w:t>
      </w:r>
    </w:p>
    <w:p w14:paraId="07F9A921" w14:textId="77777777" w:rsidR="00F4647E" w:rsidRDefault="00F4647E" w:rsidP="00F4647E">
      <w:pPr>
        <w:spacing w:after="0"/>
        <w:ind w:left="709" w:right="709"/>
        <w:jc w:val="both"/>
        <w:rPr>
          <w:rFonts w:ascii="Verdana" w:eastAsia="Century Gothic" w:hAnsi="Verdana" w:cs="Century Gothic"/>
          <w:i/>
          <w:color w:val="000000" w:themeColor="text1"/>
          <w:sz w:val="20"/>
          <w:szCs w:val="20"/>
          <w:lang w:val="en-CO"/>
        </w:rPr>
      </w:pPr>
      <w:r w:rsidRPr="00F4647E">
        <w:rPr>
          <w:rFonts w:ascii="Verdana" w:eastAsia="Century Gothic" w:hAnsi="Verdana" w:cs="Century Gothic"/>
          <w:i/>
          <w:color w:val="000000" w:themeColor="text1"/>
          <w:sz w:val="20"/>
          <w:szCs w:val="20"/>
          <w:lang w:val="en-CO"/>
        </w:rPr>
        <w:t>• Miembro 1: una persona jurídica (sociedad), con una participación del noventa por ciento (90%).</w:t>
      </w:r>
    </w:p>
    <w:p w14:paraId="3C3CAE07" w14:textId="0FDA06F2" w:rsidR="00F4647E" w:rsidRPr="00F4647E" w:rsidRDefault="00F4647E" w:rsidP="00F4647E">
      <w:pPr>
        <w:spacing w:after="0"/>
        <w:ind w:left="709" w:right="709"/>
        <w:jc w:val="both"/>
        <w:rPr>
          <w:rFonts w:ascii="Verdana" w:eastAsia="Century Gothic" w:hAnsi="Verdana" w:cs="Century Gothic"/>
          <w:i/>
          <w:color w:val="000000" w:themeColor="text1"/>
          <w:sz w:val="20"/>
          <w:szCs w:val="20"/>
          <w:lang w:val="en-CO"/>
        </w:rPr>
      </w:pPr>
      <w:r w:rsidRPr="00F4647E">
        <w:rPr>
          <w:rFonts w:ascii="Verdana" w:eastAsia="Century Gothic" w:hAnsi="Verdana" w:cs="Century Gothic"/>
          <w:i/>
          <w:color w:val="000000" w:themeColor="text1"/>
          <w:sz w:val="20"/>
          <w:szCs w:val="20"/>
          <w:lang w:val="en-CO"/>
        </w:rPr>
        <w:t xml:space="preserve">• Miembro 2: una persona natural, con una participación del diez por ciento (10%). </w:t>
      </w:r>
    </w:p>
    <w:p w14:paraId="7EED1017" w14:textId="77777777" w:rsidR="00F4647E" w:rsidRDefault="00F4647E" w:rsidP="00F4647E">
      <w:pPr>
        <w:spacing w:after="0"/>
        <w:ind w:left="709" w:right="709"/>
        <w:jc w:val="both"/>
        <w:rPr>
          <w:rFonts w:ascii="Verdana" w:eastAsia="Century Gothic" w:hAnsi="Verdana" w:cs="Century Gothic"/>
          <w:i/>
          <w:color w:val="000000" w:themeColor="text1"/>
          <w:sz w:val="20"/>
          <w:szCs w:val="20"/>
          <w:lang w:val="en-CO"/>
        </w:rPr>
      </w:pPr>
      <w:r w:rsidRPr="00F4647E">
        <w:rPr>
          <w:rFonts w:ascii="Verdana" w:eastAsia="Century Gothic" w:hAnsi="Verdana" w:cs="Century Gothic"/>
          <w:i/>
          <w:color w:val="000000" w:themeColor="text1"/>
          <w:sz w:val="20"/>
          <w:szCs w:val="20"/>
          <w:lang w:val="en-CO"/>
        </w:rPr>
        <w:t xml:space="preserve">La situación que genera la presente petición radica en que la persona natural integrante del consorcio es, simultáneamente, el representante legal de la persona jurídica que conforma el mismo consorcio. </w:t>
      </w:r>
    </w:p>
    <w:p w14:paraId="0E3E046E" w14:textId="77777777" w:rsidR="00F4647E" w:rsidRPr="00F4647E" w:rsidRDefault="00F4647E" w:rsidP="00F4647E">
      <w:pPr>
        <w:spacing w:after="0"/>
        <w:ind w:left="709" w:right="709"/>
        <w:jc w:val="both"/>
        <w:rPr>
          <w:rFonts w:ascii="Verdana" w:eastAsia="Century Gothic" w:hAnsi="Verdana" w:cs="Century Gothic"/>
          <w:i/>
          <w:color w:val="000000" w:themeColor="text1"/>
          <w:sz w:val="20"/>
          <w:szCs w:val="20"/>
          <w:lang w:val="en-CO"/>
        </w:rPr>
      </w:pPr>
      <w:r w:rsidRPr="00F4647E">
        <w:rPr>
          <w:rFonts w:ascii="Verdana" w:eastAsia="Century Gothic" w:hAnsi="Verdana" w:cs="Century Gothic"/>
          <w:b/>
          <w:bCs/>
          <w:i/>
          <w:color w:val="000000" w:themeColor="text1"/>
          <w:sz w:val="20"/>
          <w:szCs w:val="20"/>
          <w:lang w:val="en-CO"/>
        </w:rPr>
        <w:t xml:space="preserve">II. PREGUNTAS OBJETO DE LA PETICIÓN </w:t>
      </w:r>
    </w:p>
    <w:p w14:paraId="7C3CAAC7" w14:textId="77777777" w:rsidR="00F4647E" w:rsidRPr="00F4647E" w:rsidRDefault="00F4647E" w:rsidP="00F4647E">
      <w:pPr>
        <w:spacing w:after="0"/>
        <w:ind w:left="709" w:right="709"/>
        <w:jc w:val="both"/>
        <w:rPr>
          <w:rFonts w:ascii="Verdana" w:eastAsia="Century Gothic" w:hAnsi="Verdana" w:cs="Century Gothic"/>
          <w:i/>
          <w:color w:val="000000" w:themeColor="text1"/>
          <w:sz w:val="20"/>
          <w:szCs w:val="20"/>
          <w:lang w:val="en-CO"/>
        </w:rPr>
      </w:pPr>
      <w:r w:rsidRPr="00F4647E">
        <w:rPr>
          <w:rFonts w:ascii="Verdana" w:eastAsia="Century Gothic" w:hAnsi="Verdana" w:cs="Century Gothic"/>
          <w:i/>
          <w:color w:val="000000" w:themeColor="text1"/>
          <w:sz w:val="20"/>
          <w:szCs w:val="20"/>
          <w:lang w:val="en-CO"/>
        </w:rPr>
        <w:lastRenderedPageBreak/>
        <w:t xml:space="preserve">En atención a los hechos descritos, y con base en la Ley 80 de 1993, la Ley 1150 de 2007, el Decreto 1082 de 2015 y demás normas concordantes, solicito respetuosamente a esa Agencia emitir concepto jurídico sobre los siguientes interrogantes: </w:t>
      </w:r>
    </w:p>
    <w:p w14:paraId="5B92A0A8" w14:textId="77777777" w:rsidR="00F4647E" w:rsidRPr="00F4647E" w:rsidRDefault="00F4647E" w:rsidP="00F4647E">
      <w:pPr>
        <w:spacing w:after="0"/>
        <w:ind w:left="709" w:right="709"/>
        <w:jc w:val="both"/>
        <w:rPr>
          <w:rFonts w:ascii="Verdana" w:eastAsia="Century Gothic" w:hAnsi="Verdana" w:cs="Century Gothic"/>
          <w:i/>
          <w:color w:val="000000" w:themeColor="text1"/>
          <w:sz w:val="20"/>
          <w:szCs w:val="20"/>
          <w:lang w:val="en-CO"/>
        </w:rPr>
      </w:pPr>
      <w:r w:rsidRPr="00F4647E">
        <w:rPr>
          <w:rFonts w:ascii="Verdana" w:eastAsia="Century Gothic" w:hAnsi="Verdana" w:cs="Century Gothic"/>
          <w:i/>
          <w:color w:val="000000" w:themeColor="text1"/>
          <w:sz w:val="20"/>
          <w:szCs w:val="20"/>
          <w:lang w:val="en-CO"/>
        </w:rPr>
        <w:t xml:space="preserve">1. ¿Es legal que un consorcio </w:t>
      </w:r>
      <w:r w:rsidRPr="00F4647E">
        <w:rPr>
          <w:rFonts w:ascii="Verdana" w:eastAsia="Century Gothic" w:hAnsi="Verdana" w:cs="Century Gothic"/>
          <w:b/>
          <w:bCs/>
          <w:i/>
          <w:color w:val="000000" w:themeColor="text1"/>
          <w:sz w:val="20"/>
          <w:szCs w:val="20"/>
          <w:lang w:val="en-CO"/>
        </w:rPr>
        <w:t xml:space="preserve">adjudicatario </w:t>
      </w:r>
      <w:r w:rsidRPr="00F4647E">
        <w:rPr>
          <w:rFonts w:ascii="Verdana" w:eastAsia="Century Gothic" w:hAnsi="Verdana" w:cs="Century Gothic"/>
          <w:i/>
          <w:color w:val="000000" w:themeColor="text1"/>
          <w:sz w:val="20"/>
          <w:szCs w:val="20"/>
          <w:lang w:val="en-CO"/>
        </w:rPr>
        <w:t xml:space="preserve">de un contrato estatal esté conformado por una persona jurídica (90%) y una persona natural (10%), cuando esta última es al mismo tiempo el representante legal de la persona jurídica integrante del mismo consorcio? </w:t>
      </w:r>
    </w:p>
    <w:p w14:paraId="232A3F73" w14:textId="77777777" w:rsidR="00F4647E" w:rsidRPr="00F4647E" w:rsidRDefault="00F4647E" w:rsidP="00F4647E">
      <w:pPr>
        <w:spacing w:after="0"/>
        <w:ind w:left="709" w:right="709"/>
        <w:jc w:val="both"/>
        <w:rPr>
          <w:rFonts w:ascii="Verdana" w:eastAsia="Century Gothic" w:hAnsi="Verdana" w:cs="Century Gothic"/>
          <w:i/>
          <w:color w:val="000000" w:themeColor="text1"/>
          <w:sz w:val="20"/>
          <w:szCs w:val="20"/>
          <w:lang w:val="en-CO"/>
        </w:rPr>
      </w:pPr>
      <w:r w:rsidRPr="00F4647E">
        <w:rPr>
          <w:rFonts w:ascii="Verdana" w:eastAsia="Century Gothic" w:hAnsi="Verdana" w:cs="Century Gothic"/>
          <w:i/>
          <w:color w:val="000000" w:themeColor="text1"/>
          <w:sz w:val="20"/>
          <w:szCs w:val="20"/>
          <w:lang w:val="en-CO"/>
        </w:rPr>
        <w:t xml:space="preserve">2. ¿Qué implicaciones jurídicas tiene esta situación sobre la validez del proceso de selección y del contrato adjudicado? </w:t>
      </w:r>
    </w:p>
    <w:p w14:paraId="26D0E044" w14:textId="77777777" w:rsidR="00F4647E" w:rsidRPr="00F4647E" w:rsidRDefault="00F4647E" w:rsidP="00F4647E">
      <w:pPr>
        <w:spacing w:after="0"/>
        <w:ind w:left="709" w:right="709"/>
        <w:jc w:val="both"/>
        <w:rPr>
          <w:rFonts w:ascii="Verdana" w:eastAsia="Century Gothic" w:hAnsi="Verdana" w:cs="Century Gothic"/>
          <w:i/>
          <w:color w:val="000000" w:themeColor="text1"/>
          <w:sz w:val="20"/>
          <w:szCs w:val="20"/>
          <w:lang w:val="en-CO"/>
        </w:rPr>
      </w:pPr>
      <w:r w:rsidRPr="00F4647E">
        <w:rPr>
          <w:rFonts w:ascii="Verdana" w:eastAsia="Century Gothic" w:hAnsi="Verdana" w:cs="Century Gothic"/>
          <w:i/>
          <w:color w:val="000000" w:themeColor="text1"/>
          <w:sz w:val="20"/>
          <w:szCs w:val="20"/>
          <w:lang w:val="en-CO"/>
        </w:rPr>
        <w:t xml:space="preserve">3. ¿Qué acciones legales o administrativas deberían adelantarse frente a esta situación, tanto por parte de la entidad contratante como por los organismos de control competentes? </w:t>
      </w:r>
    </w:p>
    <w:p w14:paraId="3638611A" w14:textId="77777777" w:rsidR="00F4647E" w:rsidRPr="00F4647E" w:rsidRDefault="00F4647E" w:rsidP="00F4647E">
      <w:pPr>
        <w:spacing w:after="0"/>
        <w:ind w:left="709" w:right="709"/>
        <w:jc w:val="both"/>
        <w:rPr>
          <w:rFonts w:ascii="Verdana" w:eastAsia="Century Gothic" w:hAnsi="Verdana" w:cs="Century Gothic"/>
          <w:i/>
          <w:color w:val="000000" w:themeColor="text1"/>
          <w:sz w:val="20"/>
          <w:szCs w:val="20"/>
          <w:lang w:val="en-CO"/>
        </w:rPr>
      </w:pPr>
      <w:r w:rsidRPr="00F4647E">
        <w:rPr>
          <w:rFonts w:ascii="Verdana" w:eastAsia="Century Gothic" w:hAnsi="Verdana" w:cs="Century Gothic"/>
          <w:i/>
          <w:color w:val="000000" w:themeColor="text1"/>
          <w:sz w:val="20"/>
          <w:szCs w:val="20"/>
          <w:lang w:val="en-CO"/>
        </w:rPr>
        <w:t xml:space="preserve">4. ¿Qué normas y medidas debieron haber sido aplicadas por la entidad estatal durante el proceso de evaluación y selección de este proponente plural, con el fin de prevenir o advertir esta situación? </w:t>
      </w:r>
    </w:p>
    <w:p w14:paraId="2BF1F877" w14:textId="77777777" w:rsidR="00F4647E" w:rsidRPr="00F4647E" w:rsidRDefault="00F4647E" w:rsidP="00F4647E">
      <w:pPr>
        <w:spacing w:after="0"/>
        <w:ind w:left="709" w:right="709"/>
        <w:jc w:val="both"/>
        <w:rPr>
          <w:rFonts w:ascii="Verdana" w:eastAsia="Century Gothic" w:hAnsi="Verdana" w:cs="Century Gothic"/>
          <w:i/>
          <w:color w:val="000000" w:themeColor="text1"/>
          <w:sz w:val="20"/>
          <w:szCs w:val="20"/>
          <w:lang w:val="en-CO"/>
        </w:rPr>
      </w:pPr>
      <w:r w:rsidRPr="00F4647E">
        <w:rPr>
          <w:rFonts w:ascii="Verdana" w:eastAsia="Century Gothic" w:hAnsi="Verdana" w:cs="Century Gothic"/>
          <w:i/>
          <w:color w:val="000000" w:themeColor="text1"/>
          <w:sz w:val="20"/>
          <w:szCs w:val="20"/>
          <w:lang w:val="en-CO"/>
        </w:rPr>
        <w:t xml:space="preserve">5. ¿Esta conformación del consorcio puede vulnerar los principios que rigen la contratación estatal, en particular los principios de transparencia, selección objetiva, libre concurrencia, moralidad e igualdad, consagrados en los artículos 23 y 24 de la Ley 80 de 1993 y el artículo 3 de la Ley 1150 de 2007? </w:t>
      </w:r>
    </w:p>
    <w:p w14:paraId="27B3B106" w14:textId="668365B2" w:rsidR="0080789C" w:rsidRPr="004E2DF2" w:rsidRDefault="00F4647E" w:rsidP="00F4647E">
      <w:pPr>
        <w:spacing w:after="0"/>
        <w:ind w:left="709" w:right="709"/>
        <w:jc w:val="both"/>
        <w:rPr>
          <w:rFonts w:ascii="Verdana" w:eastAsia="Century Gothic" w:hAnsi="Verdana" w:cs="Century Gothic"/>
          <w:i/>
          <w:color w:val="000000" w:themeColor="text1"/>
          <w:sz w:val="20"/>
          <w:szCs w:val="20"/>
          <w:lang w:val="en-CO"/>
        </w:rPr>
      </w:pPr>
      <w:r w:rsidRPr="00F4647E">
        <w:rPr>
          <w:rFonts w:ascii="Verdana" w:eastAsia="Century Gothic" w:hAnsi="Verdana" w:cs="Century Gothic"/>
          <w:i/>
          <w:color w:val="000000" w:themeColor="text1"/>
          <w:sz w:val="20"/>
          <w:szCs w:val="20"/>
          <w:lang w:val="en-CO"/>
        </w:rPr>
        <w:t>6. ¿La selección de este tipo de proponente plural desconoce o vulnera el régimen de inhabilidades e incompatibilidades de orden constitucional y legal —en particular el artículo 8 de la Ley 80 de 1993 y las normas concordantes— y, de ser así, de qué manera se configura dicha vulneración?</w:t>
      </w:r>
      <w:r w:rsidR="0080789C" w:rsidRPr="00E10433">
        <w:rPr>
          <w:rFonts w:ascii="Verdana" w:hAnsi="Verdana"/>
          <w:sz w:val="20"/>
          <w:szCs w:val="20"/>
          <w:lang w:val="es-ES"/>
        </w:rPr>
        <w:t>”</w:t>
      </w:r>
    </w:p>
    <w:p w14:paraId="339B0108" w14:textId="77777777" w:rsidR="0080789C" w:rsidRPr="00E10433" w:rsidRDefault="0080789C" w:rsidP="0080789C">
      <w:pPr>
        <w:spacing w:after="0" w:line="276" w:lineRule="auto"/>
        <w:ind w:right="709"/>
        <w:jc w:val="both"/>
        <w:rPr>
          <w:rFonts w:ascii="Verdana" w:eastAsia="Calibri" w:hAnsi="Verdana" w:cs="Arial"/>
          <w:lang w:val="es-ES"/>
        </w:rPr>
      </w:pPr>
    </w:p>
    <w:p w14:paraId="5C835F2E" w14:textId="1FD38B81" w:rsidR="0080789C" w:rsidRPr="00E10433" w:rsidRDefault="0080789C" w:rsidP="0080789C">
      <w:pPr>
        <w:spacing w:after="120" w:line="276" w:lineRule="auto"/>
        <w:ind w:firstLine="708"/>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241741">
        <w:rPr>
          <w:rFonts w:ascii="Verdana" w:eastAsia="Calibri" w:hAnsi="Verdana" w:cs="Arial"/>
          <w:color w:val="000000" w:themeColor="text1"/>
          <w:lang w:val="es-ES" w:eastAsia="es-ES"/>
        </w:rPr>
        <w:t xml:space="preserve">la Agencia Nacional de Contratación </w:t>
      </w:r>
      <w:r w:rsidR="00CD6ABF">
        <w:rPr>
          <w:rFonts w:ascii="Verdana" w:eastAsia="Calibri" w:hAnsi="Verdana" w:cs="Arial"/>
          <w:color w:val="000000" w:themeColor="text1"/>
          <w:lang w:val="es-ES" w:eastAsia="es-ES"/>
        </w:rPr>
        <w:t xml:space="preserve">Pública – </w:t>
      </w:r>
      <w:r w:rsidRPr="00E10433">
        <w:rPr>
          <w:rFonts w:ascii="Verdana" w:eastAsia="Calibri" w:hAnsi="Verdana" w:cs="Arial"/>
          <w:color w:val="000000" w:themeColor="text1"/>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10433">
        <w:rPr>
          <w:lang w:val="es-ES"/>
        </w:rPr>
        <w:tab/>
      </w:r>
    </w:p>
    <w:p w14:paraId="36E7484B" w14:textId="77777777" w:rsidR="0080789C" w:rsidRPr="00E10433" w:rsidRDefault="0080789C" w:rsidP="0080789C">
      <w:pPr>
        <w:spacing w:after="0" w:line="276" w:lineRule="auto"/>
        <w:ind w:firstLine="709"/>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1CD4441" w14:textId="77777777" w:rsidR="0080789C" w:rsidRPr="00E10433" w:rsidRDefault="0080789C" w:rsidP="0080789C">
      <w:pPr>
        <w:spacing w:after="0" w:line="276" w:lineRule="auto"/>
        <w:jc w:val="both"/>
        <w:rPr>
          <w:rFonts w:ascii="Verdana" w:eastAsia="Calibri" w:hAnsi="Verdana" w:cs="Arial"/>
          <w:color w:val="000000" w:themeColor="text1"/>
          <w:lang w:val="es-ES" w:eastAsia="es-ES"/>
        </w:rPr>
      </w:pPr>
    </w:p>
    <w:p w14:paraId="1AC057BE" w14:textId="77777777" w:rsidR="0080789C" w:rsidRPr="00E10433" w:rsidRDefault="0080789C" w:rsidP="0080789C">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10433">
        <w:rPr>
          <w:rFonts w:ascii="Verdana" w:eastAsia="Century Gothic" w:hAnsi="Verdana" w:cs="Century Gothic"/>
          <w:b/>
          <w:color w:val="000000" w:themeColor="text1"/>
        </w:rPr>
        <w:t>Problema planteado:</w:t>
      </w:r>
    </w:p>
    <w:p w14:paraId="5FF2DD9A" w14:textId="77777777" w:rsidR="0080789C" w:rsidRPr="00E10433" w:rsidRDefault="0080789C" w:rsidP="0080789C">
      <w:pPr>
        <w:tabs>
          <w:tab w:val="left" w:pos="426"/>
        </w:tabs>
        <w:spacing w:after="0" w:line="276" w:lineRule="auto"/>
        <w:jc w:val="both"/>
        <w:rPr>
          <w:rFonts w:ascii="Verdana" w:eastAsia="Century Gothic" w:hAnsi="Verdana" w:cs="Century Gothic"/>
          <w:color w:val="000000" w:themeColor="text1"/>
          <w:lang w:val="es-ES"/>
        </w:rPr>
      </w:pPr>
    </w:p>
    <w:p w14:paraId="032C4506" w14:textId="03553A07" w:rsidR="0080789C" w:rsidRPr="00E10433" w:rsidRDefault="0080789C" w:rsidP="0080789C">
      <w:pPr>
        <w:spacing w:after="0" w:line="276" w:lineRule="auto"/>
        <w:jc w:val="both"/>
        <w:rPr>
          <w:rFonts w:ascii="Verdana" w:eastAsia="Century Gothic" w:hAnsi="Verdana" w:cs="Century Gothic"/>
          <w:color w:val="000000" w:themeColor="text1"/>
          <w:lang w:val="es-ES"/>
        </w:rPr>
      </w:pPr>
      <w:r w:rsidRPr="00E10433">
        <w:rPr>
          <w:rFonts w:ascii="Verdana" w:eastAsia="Century Gothic" w:hAnsi="Verdana" w:cs="Century Gothic"/>
          <w:color w:val="000000" w:themeColor="text1"/>
          <w:lang w:val="es-ES"/>
        </w:rPr>
        <w:t>De acuerdo con el contenido de su solicitud, esta Agencia resolverá el siguiente problema jurídico: ¿</w:t>
      </w:r>
      <w:r w:rsidR="00794A90" w:rsidRPr="006A59B0">
        <w:rPr>
          <w:rFonts w:ascii="Verdana" w:eastAsia="Century Gothic" w:hAnsi="Verdana" w:cs="Century Gothic"/>
          <w:color w:val="000000" w:themeColor="text1"/>
          <w:lang w:val="es-ES"/>
        </w:rPr>
        <w:t xml:space="preserve">Se configura inhabilidad, incompatibilidad o conflicto de interés </w:t>
      </w:r>
      <w:r w:rsidR="00FA4A71">
        <w:rPr>
          <w:rFonts w:ascii="Verdana" w:eastAsia="Century Gothic" w:hAnsi="Verdana" w:cs="Century Gothic"/>
          <w:color w:val="000000" w:themeColor="text1"/>
          <w:lang w:val="es-ES"/>
        </w:rPr>
        <w:t>que afecte la capacidad jurídica</w:t>
      </w:r>
      <w:r w:rsidR="00794A90" w:rsidRPr="006A59B0">
        <w:rPr>
          <w:rFonts w:ascii="Verdana" w:eastAsia="Century Gothic" w:hAnsi="Verdana" w:cs="Century Gothic"/>
          <w:color w:val="000000" w:themeColor="text1"/>
          <w:lang w:val="es-ES"/>
        </w:rPr>
        <w:t xml:space="preserve"> de un consorcio conformado por una persona natural y una </w:t>
      </w:r>
      <w:r w:rsidR="00794A90">
        <w:rPr>
          <w:rFonts w:ascii="Verdana" w:eastAsia="Century Gothic" w:hAnsi="Verdana" w:cs="Century Gothic"/>
          <w:color w:val="000000" w:themeColor="text1"/>
          <w:lang w:val="es-ES"/>
        </w:rPr>
        <w:t xml:space="preserve">persona jurídica </w:t>
      </w:r>
      <w:r w:rsidR="00794A90" w:rsidRPr="006A59B0">
        <w:rPr>
          <w:rFonts w:ascii="Verdana" w:eastAsia="Century Gothic" w:hAnsi="Verdana" w:cs="Century Gothic"/>
          <w:color w:val="000000" w:themeColor="text1"/>
          <w:lang w:val="es-ES"/>
        </w:rPr>
        <w:t>de la cual esa misma persona es el representante legal?</w:t>
      </w:r>
    </w:p>
    <w:p w14:paraId="5460B61E" w14:textId="77777777" w:rsidR="0080789C" w:rsidRPr="00E10433" w:rsidRDefault="0080789C" w:rsidP="0080789C">
      <w:pPr>
        <w:spacing w:after="0" w:line="276" w:lineRule="auto"/>
        <w:jc w:val="both"/>
        <w:rPr>
          <w:rFonts w:ascii="Verdana" w:eastAsia="Calibri" w:hAnsi="Verdana" w:cs="Arial"/>
          <w:color w:val="000000" w:themeColor="text1"/>
          <w:lang w:val="es-ES"/>
        </w:rPr>
      </w:pPr>
    </w:p>
    <w:p w14:paraId="1D378CEC" w14:textId="77777777" w:rsidR="0080789C" w:rsidRPr="00E10433" w:rsidRDefault="0080789C" w:rsidP="0080789C">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10433">
        <w:rPr>
          <w:rFonts w:ascii="Verdana" w:eastAsia="Century Gothic" w:hAnsi="Verdana" w:cs="Century Gothic"/>
          <w:b/>
          <w:color w:val="000000" w:themeColor="text1"/>
        </w:rPr>
        <w:t>Respuesta:</w:t>
      </w:r>
    </w:p>
    <w:p w14:paraId="7725F30D" w14:textId="77777777" w:rsidR="0080789C" w:rsidRPr="00E10433" w:rsidRDefault="0080789C" w:rsidP="0080789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0789C" w:rsidRPr="00E10433" w14:paraId="64A39E91" w14:textId="77777777" w:rsidTr="007B0886">
        <w:tc>
          <w:tcPr>
            <w:tcW w:w="8828" w:type="dxa"/>
          </w:tcPr>
          <w:p w14:paraId="61ACC0DF" w14:textId="793E36D6" w:rsidR="00530B38" w:rsidRDefault="00FA4A71" w:rsidP="00FA4A71">
            <w:pPr>
              <w:widowControl w:val="0"/>
              <w:autoSpaceDE w:val="0"/>
              <w:autoSpaceDN w:val="0"/>
              <w:spacing w:before="120" w:after="120" w:line="276" w:lineRule="auto"/>
              <w:jc w:val="both"/>
              <w:rPr>
                <w:rFonts w:ascii="Verdana" w:eastAsia="Calibri" w:hAnsi="Verdana" w:cs="Arial"/>
                <w:color w:val="000000" w:themeColor="text1"/>
                <w:lang w:val="es-ES_tradnl"/>
              </w:rPr>
            </w:pPr>
            <w:r>
              <w:rPr>
                <w:rFonts w:ascii="Verdana" w:eastAsia="Arial" w:hAnsi="Verdana" w:cs="Arial"/>
              </w:rPr>
              <w:t>L</w:t>
            </w:r>
            <w:r w:rsidR="00530B38">
              <w:rPr>
                <w:rFonts w:ascii="Verdana" w:eastAsia="Arial" w:hAnsi="Verdana" w:cs="Arial"/>
              </w:rPr>
              <w:t>a aplicación de las inhabilidades o incompatibilidades</w:t>
            </w:r>
            <w:r>
              <w:rPr>
                <w:rFonts w:ascii="Verdana" w:eastAsia="Arial" w:hAnsi="Verdana" w:cs="Arial"/>
              </w:rPr>
              <w:t xml:space="preserve"> </w:t>
            </w:r>
            <w:r w:rsidR="00530B38" w:rsidRPr="00C23CEB">
              <w:rPr>
                <w:rFonts w:ascii="Verdana" w:eastAsia="Arial MT" w:hAnsi="Verdana" w:cs="Arial"/>
                <w:lang w:eastAsia="es-ES" w:bidi="es-ES"/>
              </w:rPr>
              <w:t xml:space="preserve">siempre debe estar ajustada a los presupuestos que para cada causal </w:t>
            </w:r>
            <w:r w:rsidR="00530B38">
              <w:rPr>
                <w:rFonts w:ascii="Verdana" w:eastAsia="Arial MT" w:hAnsi="Verdana" w:cs="Arial"/>
                <w:lang w:eastAsia="es-ES" w:bidi="es-ES"/>
              </w:rPr>
              <w:t xml:space="preserve">señale </w:t>
            </w:r>
            <w:r w:rsidR="00530B38" w:rsidRPr="00C23CEB">
              <w:rPr>
                <w:rFonts w:ascii="Verdana" w:eastAsia="Arial MT" w:hAnsi="Verdana" w:cs="Arial"/>
                <w:lang w:eastAsia="es-ES" w:bidi="es-ES"/>
              </w:rPr>
              <w:t>el constituyente o el legislador</w:t>
            </w:r>
            <w:r w:rsidR="00530B38">
              <w:rPr>
                <w:rFonts w:ascii="Verdana" w:eastAsia="Arial MT" w:hAnsi="Verdana" w:cs="Arial"/>
                <w:lang w:eastAsia="es-ES" w:bidi="es-ES"/>
              </w:rPr>
              <w:t xml:space="preserve">. De este modo, no es </w:t>
            </w:r>
            <w:r w:rsidR="00530B38" w:rsidRPr="00C23CEB">
              <w:rPr>
                <w:rFonts w:ascii="Verdana" w:eastAsia="Arial MT" w:hAnsi="Verdana" w:cs="Arial"/>
                <w:lang w:eastAsia="es-ES" w:bidi="es-ES"/>
              </w:rPr>
              <w:t xml:space="preserve">posible </w:t>
            </w:r>
            <w:r w:rsidR="00530B38">
              <w:rPr>
                <w:rFonts w:ascii="Verdana" w:eastAsia="Arial MT" w:hAnsi="Verdana" w:cs="Arial"/>
                <w:lang w:eastAsia="es-ES" w:bidi="es-ES"/>
              </w:rPr>
              <w:t xml:space="preserve">que las entidades realicen una </w:t>
            </w:r>
            <w:r w:rsidR="00530B38" w:rsidRPr="00C23CEB">
              <w:rPr>
                <w:rFonts w:ascii="Verdana" w:eastAsia="Arial MT" w:hAnsi="Verdana" w:cs="Arial"/>
                <w:lang w:eastAsia="es-ES" w:bidi="es-ES"/>
              </w:rPr>
              <w:t>aplicación extensiva o analógica.</w:t>
            </w:r>
            <w:r w:rsidR="00530B38" w:rsidRPr="00C23CEB">
              <w:rPr>
                <w:rFonts w:ascii="Verdana" w:eastAsia="Calibri" w:hAnsi="Verdana" w:cs="Arial"/>
                <w:color w:val="000000" w:themeColor="text1"/>
                <w:lang w:val="es-ES_tradnl"/>
              </w:rPr>
              <w:t xml:space="preserve"> </w:t>
            </w:r>
            <w:r w:rsidR="00530B38">
              <w:rPr>
                <w:rFonts w:ascii="Verdana" w:eastAsia="Calibri" w:hAnsi="Verdana" w:cs="Arial"/>
                <w:color w:val="000000" w:themeColor="text1"/>
                <w:lang w:val="es-ES_tradnl"/>
              </w:rPr>
              <w:t>L</w:t>
            </w:r>
            <w:r w:rsidR="00530B38" w:rsidRPr="00C23CEB">
              <w:rPr>
                <w:rFonts w:ascii="Verdana" w:eastAsia="Calibri" w:hAnsi="Verdana" w:cs="Arial"/>
                <w:color w:val="000000" w:themeColor="text1"/>
                <w:lang w:val="es-ES_tradnl"/>
              </w:rPr>
              <w:t>as inhabilidades e incompatibilidades</w:t>
            </w:r>
            <w:r w:rsidR="00530B38">
              <w:rPr>
                <w:rFonts w:ascii="Verdana" w:eastAsia="Calibri" w:hAnsi="Verdana" w:cs="Arial"/>
                <w:color w:val="000000" w:themeColor="text1"/>
                <w:lang w:val="es-ES_tradnl"/>
              </w:rPr>
              <w:t xml:space="preserve"> son </w:t>
            </w:r>
            <w:r w:rsidR="00530B38" w:rsidRPr="00C23CEB">
              <w:rPr>
                <w:rFonts w:ascii="Verdana" w:eastAsia="Calibri" w:hAnsi="Verdana" w:cs="Arial"/>
                <w:color w:val="000000" w:themeColor="text1"/>
                <w:lang w:val="es-ES_tradnl"/>
              </w:rPr>
              <w:t>restricciones o límites especiales a la capacidad para presentar ofertas y celebrar contratos estatales</w:t>
            </w:r>
            <w:r w:rsidR="00530B38">
              <w:rPr>
                <w:rFonts w:ascii="Verdana" w:eastAsia="Calibri" w:hAnsi="Verdana" w:cs="Arial"/>
                <w:color w:val="000000" w:themeColor="text1"/>
                <w:lang w:val="es-ES_tradnl"/>
              </w:rPr>
              <w:t>, en consecuencia,</w:t>
            </w:r>
            <w:r w:rsidR="00530B38" w:rsidRPr="00C23CEB">
              <w:rPr>
                <w:rFonts w:ascii="Verdana" w:eastAsia="Calibri" w:hAnsi="Verdana" w:cs="Arial"/>
                <w:color w:val="000000" w:themeColor="text1"/>
                <w:lang w:val="es-ES_tradnl"/>
              </w:rPr>
              <w:t xml:space="preserve"> solo pueden tipificarse en la ley y su interpretación debe ser </w:t>
            </w:r>
            <w:r w:rsidR="00530B38" w:rsidRPr="00C23CEB">
              <w:rPr>
                <w:rFonts w:ascii="Verdana" w:eastAsia="Calibri" w:hAnsi="Verdana" w:cs="Arial"/>
                <w:i/>
                <w:iCs/>
                <w:color w:val="000000" w:themeColor="text1"/>
                <w:lang w:val="es-ES_tradnl"/>
              </w:rPr>
              <w:t>restrictiva</w:t>
            </w:r>
            <w:r w:rsidR="00530B38" w:rsidRPr="00C23CEB">
              <w:rPr>
                <w:rFonts w:ascii="Verdana" w:eastAsia="Calibri" w:hAnsi="Verdana" w:cs="Arial"/>
                <w:color w:val="000000" w:themeColor="text1"/>
                <w:lang w:val="es-ES_tradnl"/>
              </w:rPr>
              <w:t xml:space="preserve">, pues si se admitiera una interpretación amplia, extensiva o finalista de las mismas, </w:t>
            </w:r>
            <w:r w:rsidR="00530B38">
              <w:rPr>
                <w:rFonts w:ascii="Verdana" w:eastAsia="Calibri" w:hAnsi="Verdana" w:cs="Arial"/>
                <w:color w:val="000000" w:themeColor="text1"/>
                <w:lang w:val="es-ES_tradnl"/>
              </w:rPr>
              <w:t xml:space="preserve">los </w:t>
            </w:r>
            <w:r w:rsidR="00530B38" w:rsidRPr="00C23CEB">
              <w:rPr>
                <w:rFonts w:ascii="Verdana" w:eastAsia="Calibri" w:hAnsi="Verdana" w:cs="Arial"/>
                <w:color w:val="000000" w:themeColor="text1"/>
                <w:lang w:val="es-ES_tradnl"/>
              </w:rPr>
              <w:t>enunciados normativos podrían contemplar múltiples supuestos indeterminados, según el parecer o el sentido común de los operadores jurídicos, poniendo en riesgo principios como la igualdad, el debido proceso, la libre concurrencia y el ejercicio de la profesión u oficio.</w:t>
            </w:r>
          </w:p>
          <w:p w14:paraId="3B701B41" w14:textId="3B53F76B" w:rsidR="00530B38" w:rsidRDefault="00530B38" w:rsidP="00530B38">
            <w:pPr>
              <w:spacing w:line="276" w:lineRule="auto"/>
              <w:ind w:firstLine="709"/>
              <w:jc w:val="both"/>
              <w:rPr>
                <w:rFonts w:ascii="Verdana" w:eastAsia="Calibri" w:hAnsi="Verdana" w:cs="Arial"/>
                <w:color w:val="000000" w:themeColor="text1"/>
                <w:lang w:val="es-ES"/>
              </w:rPr>
            </w:pPr>
            <w:r w:rsidRPr="0C384551">
              <w:rPr>
                <w:rFonts w:ascii="Verdana" w:eastAsia="Calibri" w:hAnsi="Verdana" w:cs="Arial"/>
                <w:color w:val="000000" w:themeColor="text1"/>
                <w:lang w:val="es-ES"/>
              </w:rPr>
              <w:t xml:space="preserve">Como se aprecia, el principio </w:t>
            </w:r>
            <w:r w:rsidRPr="0C384551">
              <w:rPr>
                <w:rFonts w:ascii="Verdana" w:eastAsia="Calibri" w:hAnsi="Verdana" w:cs="Arial"/>
                <w:i/>
                <w:color w:val="000000" w:themeColor="text1"/>
                <w:lang w:val="es-ES"/>
              </w:rPr>
              <w:t xml:space="preserve">pro </w:t>
            </w:r>
            <w:proofErr w:type="spellStart"/>
            <w:r w:rsidRPr="0C384551">
              <w:rPr>
                <w:rFonts w:ascii="Verdana" w:eastAsia="Calibri" w:hAnsi="Verdana" w:cs="Arial"/>
                <w:i/>
                <w:color w:val="000000" w:themeColor="text1"/>
                <w:lang w:val="es-ES"/>
              </w:rPr>
              <w:t>libertate</w:t>
            </w:r>
            <w:proofErr w:type="spellEnd"/>
            <w:r w:rsidRPr="0C384551">
              <w:rPr>
                <w:rFonts w:ascii="Verdana" w:eastAsia="Calibri" w:hAnsi="Verdana" w:cs="Arial"/>
                <w:color w:val="000000" w:themeColor="text1"/>
                <w:lang w:val="es-ES"/>
              </w:rPr>
              <w:t xml:space="preserve"> debe dirigir la interpretación de las disposiciones normativas que consagran restricciones de derechos, como sucede con las causales de inhabilidad e incompatibilidad en la contratación estatal.</w:t>
            </w:r>
            <w:r>
              <w:rPr>
                <w:rFonts w:ascii="Verdana" w:eastAsia="Calibri" w:hAnsi="Verdana" w:cs="Arial"/>
                <w:color w:val="000000" w:themeColor="text1"/>
                <w:lang w:val="es-ES"/>
              </w:rPr>
              <w:t xml:space="preserve"> De esta forma, dado que el régimen de inhabilidades e incompatibilidades no se refirió al supuesto objeto de consulta, no será posible que las entidades interpreten la existencia de una inhabilidad que </w:t>
            </w:r>
            <w:r w:rsidR="00FA4A71">
              <w:rPr>
                <w:rFonts w:ascii="Verdana" w:eastAsia="Calibri" w:hAnsi="Verdana" w:cs="Arial"/>
                <w:color w:val="000000" w:themeColor="text1"/>
                <w:lang w:val="es-ES"/>
              </w:rPr>
              <w:t xml:space="preserve">afecte la </w:t>
            </w:r>
            <w:r w:rsidR="00FA4A71">
              <w:rPr>
                <w:rFonts w:ascii="Verdana" w:eastAsia="Calibri" w:hAnsi="Verdana" w:cs="Arial"/>
                <w:color w:val="000000" w:themeColor="text1"/>
                <w:lang w:val="es-ES"/>
              </w:rPr>
              <w:lastRenderedPageBreak/>
              <w:t xml:space="preserve">capacidad jurídica del </w:t>
            </w:r>
            <w:r>
              <w:rPr>
                <w:rFonts w:ascii="Verdana" w:eastAsia="Calibri" w:hAnsi="Verdana" w:cs="Arial"/>
                <w:color w:val="000000" w:themeColor="text1"/>
                <w:lang w:val="es-ES"/>
              </w:rPr>
              <w:t xml:space="preserve">consorcio compuesto por una persona natural y por una </w:t>
            </w:r>
            <w:r w:rsidR="00FA4A71">
              <w:rPr>
                <w:rFonts w:ascii="Verdana" w:eastAsia="Calibri" w:hAnsi="Verdana" w:cs="Arial"/>
                <w:color w:val="000000" w:themeColor="text1"/>
                <w:lang w:val="es-ES"/>
              </w:rPr>
              <w:t xml:space="preserve">sociedad </w:t>
            </w:r>
            <w:r>
              <w:rPr>
                <w:rFonts w:ascii="Verdana" w:eastAsia="Calibri" w:hAnsi="Verdana" w:cs="Arial"/>
                <w:color w:val="000000" w:themeColor="text1"/>
                <w:lang w:val="es-ES"/>
              </w:rPr>
              <w:t xml:space="preserve">cuyo representante legal sea esa misma persona. </w:t>
            </w:r>
          </w:p>
          <w:p w14:paraId="17DC336A" w14:textId="12A7AD06" w:rsidR="00FA4A71" w:rsidRDefault="00FA4A71" w:rsidP="00A35D83">
            <w:pPr>
              <w:spacing w:before="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Sin embargo, es importante considerar que</w:t>
            </w:r>
            <w:r w:rsidR="00A65077">
              <w:rPr>
                <w:rFonts w:ascii="Verdana" w:eastAsia="Calibri" w:hAnsi="Verdana" w:cs="Arial"/>
                <w:color w:val="000000" w:themeColor="text1"/>
                <w:lang w:val="es-ES"/>
              </w:rPr>
              <w:t xml:space="preserve">, </w:t>
            </w:r>
            <w:r>
              <w:rPr>
                <w:rFonts w:ascii="Verdana" w:eastAsia="Calibri" w:hAnsi="Verdana" w:cs="Arial"/>
                <w:color w:val="000000" w:themeColor="text1"/>
                <w:lang w:val="es-ES"/>
              </w:rPr>
              <w:t>en el caso de las sociedades</w:t>
            </w:r>
            <w:r w:rsidR="00953383">
              <w:rPr>
                <w:rFonts w:ascii="Verdana" w:eastAsia="Calibri" w:hAnsi="Verdana" w:cs="Arial"/>
                <w:color w:val="000000" w:themeColor="text1"/>
                <w:lang w:val="es-ES"/>
              </w:rPr>
              <w:t xml:space="preserve"> o empresas</w:t>
            </w:r>
            <w:r>
              <w:rPr>
                <w:rFonts w:ascii="Verdana" w:eastAsia="Calibri" w:hAnsi="Verdana" w:cs="Arial"/>
                <w:color w:val="000000" w:themeColor="text1"/>
                <w:lang w:val="es-ES"/>
              </w:rPr>
              <w:t xml:space="preserve"> unipersonales</w:t>
            </w:r>
            <w:r w:rsidR="00A65077">
              <w:rPr>
                <w:rFonts w:ascii="Verdana" w:eastAsia="Calibri" w:hAnsi="Verdana" w:cs="Arial"/>
                <w:color w:val="000000" w:themeColor="text1"/>
                <w:lang w:val="es-ES"/>
              </w:rPr>
              <w:t>, será aplicable la prohibición d</w:t>
            </w:r>
            <w:r w:rsidR="00A65077">
              <w:rPr>
                <w:rFonts w:ascii="Verdana" w:hAnsi="Verdana" w:cs="Arial"/>
              </w:rPr>
              <w:t xml:space="preserve">el artículo </w:t>
            </w:r>
            <w:r w:rsidR="00A65077" w:rsidRPr="007F73FF">
              <w:rPr>
                <w:rFonts w:ascii="Verdana" w:hAnsi="Verdana" w:cs="Arial"/>
              </w:rPr>
              <w:t>75 de la Ley 222 de 1995</w:t>
            </w:r>
            <w:r w:rsidR="00EF036E">
              <w:rPr>
                <w:rFonts w:ascii="Verdana" w:hAnsi="Verdana" w:cs="Arial"/>
              </w:rPr>
              <w:t xml:space="preserve"> </w:t>
            </w:r>
            <w:r w:rsidR="00A65077">
              <w:rPr>
                <w:rFonts w:ascii="Verdana" w:hAnsi="Verdana" w:cs="Arial"/>
              </w:rPr>
              <w:t>el cual dispone que</w:t>
            </w:r>
            <w:r w:rsidR="00A65077" w:rsidRPr="007F73FF">
              <w:rPr>
                <w:rFonts w:ascii="Verdana" w:hAnsi="Verdana" w:cs="Arial"/>
              </w:rPr>
              <w:t>:</w:t>
            </w:r>
            <w:r w:rsidR="00A65077">
              <w:rPr>
                <w:rFonts w:ascii="Verdana" w:hAnsi="Verdana" w:cs="Arial"/>
              </w:rPr>
              <w:t xml:space="preserve"> </w:t>
            </w:r>
            <w:r w:rsidR="00A65077" w:rsidRPr="007F73FF">
              <w:rPr>
                <w:rFonts w:ascii="Verdana" w:hAnsi="Verdana" w:cs="Arial"/>
              </w:rPr>
              <w:t>“El titular de la empresa unipersonal no puede contratar con ésta, ni tampoco podrán hacerlo entre sí empresas unipersonales constituidas por el mismo titular. Tales actos serán ineficaces de pleno derecho”</w:t>
            </w:r>
            <w:r w:rsidR="00A65077">
              <w:rPr>
                <w:rFonts w:ascii="Verdana" w:hAnsi="Verdana" w:cs="Arial"/>
              </w:rPr>
              <w:t xml:space="preserve">. En efecto, </w:t>
            </w:r>
            <w:r w:rsidR="00EF036E">
              <w:rPr>
                <w:rFonts w:ascii="Verdana" w:hAnsi="Verdana" w:cs="Arial"/>
              </w:rPr>
              <w:t xml:space="preserve">esta </w:t>
            </w:r>
            <w:r w:rsidR="00A65077">
              <w:rPr>
                <w:rFonts w:ascii="Verdana" w:hAnsi="Verdana" w:cs="Arial"/>
              </w:rPr>
              <w:t>norma establec</w:t>
            </w:r>
            <w:r w:rsidR="00EF036E">
              <w:rPr>
                <w:rFonts w:ascii="Verdana" w:hAnsi="Verdana" w:cs="Arial"/>
              </w:rPr>
              <w:t>e</w:t>
            </w:r>
            <w:r w:rsidR="00A65077">
              <w:rPr>
                <w:rFonts w:ascii="Verdana" w:hAnsi="Verdana" w:cs="Arial"/>
              </w:rPr>
              <w:t xml:space="preserve"> una prohibición específica en cabeza del empresario unipersonal que tiene como finalidad evitar posibles abusos, dado que la responsabilidad de la empresa se encuentra limitada al monto del aporte realizado por él.</w:t>
            </w:r>
            <w:r w:rsidR="00EF036E">
              <w:rPr>
                <w:rFonts w:ascii="Verdana" w:hAnsi="Verdana" w:cs="Arial"/>
              </w:rPr>
              <w:t xml:space="preserve"> En cualquier caso, </w:t>
            </w:r>
            <w:r w:rsidR="005062A7">
              <w:rPr>
                <w:rFonts w:ascii="Verdana" w:hAnsi="Verdana" w:cs="Arial"/>
              </w:rPr>
              <w:t xml:space="preserve">se trata de una disposición de </w:t>
            </w:r>
            <w:r w:rsidR="00EF036E">
              <w:rPr>
                <w:rFonts w:ascii="Verdana" w:hAnsi="Verdana" w:cs="Arial"/>
              </w:rPr>
              <w:t xml:space="preserve">aplicación restrictiva </w:t>
            </w:r>
            <w:r w:rsidR="005062A7">
              <w:rPr>
                <w:rFonts w:ascii="Verdana" w:hAnsi="Verdana" w:cs="Arial"/>
              </w:rPr>
              <w:t xml:space="preserve">que </w:t>
            </w:r>
            <w:r w:rsidR="00EF036E">
              <w:rPr>
                <w:rFonts w:ascii="Verdana" w:hAnsi="Verdana" w:cs="Arial"/>
              </w:rPr>
              <w:t xml:space="preserve">no puede extenderse a otro tipo de sociedades para las cuales el ordenamiento jurídico no previo tal </w:t>
            </w:r>
            <w:r w:rsidR="005062A7">
              <w:rPr>
                <w:rFonts w:ascii="Verdana" w:hAnsi="Verdana" w:cs="Arial"/>
              </w:rPr>
              <w:t>límite</w:t>
            </w:r>
            <w:r w:rsidR="00EF036E">
              <w:rPr>
                <w:rFonts w:ascii="Verdana" w:hAnsi="Verdana" w:cs="Arial"/>
              </w:rPr>
              <w:t xml:space="preserve">. </w:t>
            </w:r>
          </w:p>
          <w:p w14:paraId="56D26A33" w14:textId="644EE434" w:rsidR="00530B38" w:rsidRDefault="00530B38" w:rsidP="00530B38">
            <w:pPr>
              <w:spacing w:before="120" w:line="276" w:lineRule="auto"/>
              <w:ind w:firstLine="709"/>
              <w:jc w:val="both"/>
              <w:rPr>
                <w:rFonts w:ascii="Verdana" w:eastAsia="Arial" w:hAnsi="Verdana" w:cs="Arial"/>
              </w:rPr>
            </w:pPr>
            <w:r>
              <w:rPr>
                <w:rFonts w:ascii="Verdana" w:eastAsia="Arial" w:hAnsi="Verdana" w:cs="Arial"/>
              </w:rPr>
              <w:t xml:space="preserve">Por otra parte, </w:t>
            </w:r>
            <w:r w:rsidRPr="002D2CC6">
              <w:rPr>
                <w:rFonts w:ascii="Verdana" w:eastAsia="Arial" w:hAnsi="Verdana" w:cs="Arial"/>
              </w:rPr>
              <w:t>aunque la ley no estable</w:t>
            </w:r>
            <w:r>
              <w:rPr>
                <w:rFonts w:ascii="Verdana" w:eastAsia="Arial" w:hAnsi="Verdana" w:cs="Arial"/>
              </w:rPr>
              <w:t>zca</w:t>
            </w:r>
            <w:r w:rsidRPr="002D2CC6">
              <w:rPr>
                <w:rFonts w:ascii="Verdana" w:eastAsia="Arial" w:hAnsi="Verdana" w:cs="Arial"/>
              </w:rPr>
              <w:t xml:space="preserve"> una inhabilidad explícita</w:t>
            </w:r>
            <w:r>
              <w:rPr>
                <w:rFonts w:ascii="Verdana" w:eastAsia="Arial" w:hAnsi="Verdana" w:cs="Arial"/>
              </w:rPr>
              <w:t>, la entidad</w:t>
            </w:r>
            <w:r w:rsidRPr="002D2CC6">
              <w:rPr>
                <w:rFonts w:ascii="Verdana" w:eastAsia="Arial" w:hAnsi="Verdana" w:cs="Arial"/>
              </w:rPr>
              <w:t xml:space="preserve"> </w:t>
            </w:r>
            <w:r>
              <w:rPr>
                <w:rFonts w:ascii="Verdana" w:eastAsia="Arial" w:hAnsi="Verdana" w:cs="Arial"/>
              </w:rPr>
              <w:t xml:space="preserve">debe evaluar el supuesto de hecho desde la figura del conflicto de intereses </w:t>
            </w:r>
            <w:r w:rsidR="00FA4A71">
              <w:rPr>
                <w:rFonts w:ascii="Verdana" w:eastAsia="Arial" w:hAnsi="Verdana" w:cs="Arial"/>
              </w:rPr>
              <w:t xml:space="preserve">en </w:t>
            </w:r>
            <w:r>
              <w:rPr>
                <w:rFonts w:ascii="Verdana" w:eastAsia="Arial" w:hAnsi="Verdana" w:cs="Arial"/>
              </w:rPr>
              <w:t>cada caso en particular</w:t>
            </w:r>
            <w:r w:rsidRPr="60F4F7EF">
              <w:rPr>
                <w:rFonts w:ascii="Verdana" w:eastAsia="Arial" w:hAnsi="Verdana" w:cs="Arial"/>
              </w:rPr>
              <w:t>. Esto se debe a que la ley de contratación estatal en Colombia</w:t>
            </w:r>
            <w:r>
              <w:rPr>
                <w:rFonts w:ascii="Verdana" w:eastAsia="Arial" w:hAnsi="Verdana" w:cs="Arial"/>
              </w:rPr>
              <w:t xml:space="preserve"> </w:t>
            </w:r>
            <w:r w:rsidRPr="60F4F7EF">
              <w:rPr>
                <w:rFonts w:ascii="Verdana" w:eastAsia="Arial" w:hAnsi="Verdana" w:cs="Arial"/>
              </w:rPr>
              <w:t>se basa en principios fundamentales como la transparencia, moralidad y objetividad. Un conflicto de intereses surge cuando los intereses personales o familiares de un servidor público pueden influir en sus decisiones profesionales, comprometiendo así la imparcialidad que se espera de su cargo</w:t>
            </w:r>
            <w:r>
              <w:rPr>
                <w:rFonts w:ascii="Verdana" w:eastAsia="Arial" w:hAnsi="Verdana" w:cs="Arial"/>
              </w:rPr>
              <w:t xml:space="preserve">, lo cual, en principio, no sería aplicable al caso objeto de consulta. </w:t>
            </w:r>
          </w:p>
          <w:p w14:paraId="6140FB58" w14:textId="53192F7F" w:rsidR="00530B38" w:rsidRDefault="005062A7" w:rsidP="00530B38">
            <w:pPr>
              <w:spacing w:before="120" w:line="276" w:lineRule="auto"/>
              <w:ind w:firstLine="709"/>
              <w:jc w:val="both"/>
              <w:rPr>
                <w:rFonts w:ascii="Verdana" w:eastAsia="Arial" w:hAnsi="Verdana" w:cs="Arial"/>
              </w:rPr>
            </w:pPr>
            <w:r>
              <w:rPr>
                <w:rFonts w:ascii="Verdana" w:eastAsia="Arial" w:hAnsi="Verdana" w:cs="Arial"/>
              </w:rPr>
              <w:t>De cualquier forma</w:t>
            </w:r>
            <w:r w:rsidR="00530B38">
              <w:rPr>
                <w:rFonts w:ascii="Verdana" w:eastAsia="Arial" w:hAnsi="Verdana" w:cs="Arial"/>
              </w:rPr>
              <w:t xml:space="preserve">, </w:t>
            </w:r>
            <w:r w:rsidR="00530B38" w:rsidRPr="00C17B09">
              <w:rPr>
                <w:rFonts w:ascii="Verdana" w:eastAsia="Arial" w:hAnsi="Verdana" w:cs="Arial"/>
              </w:rPr>
              <w:t>corresponde a los equipos jurídicos de cada entidad contratante realizar la verificación previa y concreta de las eventuales inhabilidades e incompatibilidades</w:t>
            </w:r>
            <w:r w:rsidR="00530B38">
              <w:rPr>
                <w:rFonts w:ascii="Verdana" w:eastAsia="Arial" w:hAnsi="Verdana" w:cs="Arial"/>
              </w:rPr>
              <w:t xml:space="preserve"> y el eventual conflicto de intereses en cada proceso</w:t>
            </w:r>
            <w:r w:rsidR="00530B38" w:rsidRPr="00C17B09">
              <w:rPr>
                <w:rFonts w:ascii="Verdana" w:eastAsia="Arial" w:hAnsi="Verdana" w:cs="Arial"/>
              </w:rPr>
              <w:t>, a fin de garantizar el cumplimiento del principio de legalidad y la protección de los principios de transparencia, moralidad e imparcialidad en la contratación estatal.</w:t>
            </w:r>
          </w:p>
          <w:p w14:paraId="14F7507D" w14:textId="1990D585" w:rsidR="00530B38" w:rsidRDefault="00530B38" w:rsidP="00530B38">
            <w:pPr>
              <w:spacing w:before="120" w:line="276" w:lineRule="auto"/>
              <w:ind w:firstLine="709"/>
              <w:jc w:val="both"/>
              <w:rPr>
                <w:rFonts w:ascii="Verdana" w:eastAsia="Calibri" w:hAnsi="Verdana" w:cs="Arial"/>
                <w:bCs/>
              </w:rPr>
            </w:pPr>
            <w:r>
              <w:rPr>
                <w:rFonts w:ascii="Verdana" w:eastAsia="Arial" w:hAnsi="Verdana" w:cs="Arial"/>
              </w:rPr>
              <w:t xml:space="preserve">Finalmente, </w:t>
            </w:r>
            <w:r>
              <w:rPr>
                <w:rFonts w:ascii="Verdana" w:eastAsia="Calibri" w:hAnsi="Verdana" w:cs="Arial"/>
                <w:bCs/>
              </w:rPr>
              <w:t xml:space="preserve">es importante resaltar que, aunque no exista un supuesto normativo que por sí mismo limite la capacidad jurídica del consorcio en el supuesto objeto de consulta, existen otros elementos y requisitos habilitantes frente a los cuales será necesario que la entidad evalúe el cumplimiento por parte de dicho oferente. </w:t>
            </w:r>
            <w:r w:rsidRPr="00372D18">
              <w:rPr>
                <w:rFonts w:ascii="Verdana" w:eastAsia="Calibri" w:hAnsi="Verdana" w:cs="Arial"/>
                <w:bCs/>
              </w:rPr>
              <w:t xml:space="preserve">Con esto se hace referencia, entre otras cosas, a la experiencia, la cual, según como lo </w:t>
            </w:r>
            <w:r w:rsidR="00FA4A71">
              <w:rPr>
                <w:rFonts w:ascii="Verdana" w:eastAsia="Calibri" w:hAnsi="Verdana" w:cs="Arial"/>
                <w:bCs/>
              </w:rPr>
              <w:t xml:space="preserve">haya </w:t>
            </w:r>
            <w:r w:rsidRPr="00372D18">
              <w:rPr>
                <w:rFonts w:ascii="Verdana" w:eastAsia="Calibri" w:hAnsi="Verdana" w:cs="Arial"/>
                <w:bCs/>
              </w:rPr>
              <w:t>determin</w:t>
            </w:r>
            <w:r w:rsidR="00FA4A71">
              <w:rPr>
                <w:rFonts w:ascii="Verdana" w:eastAsia="Calibri" w:hAnsi="Verdana" w:cs="Arial"/>
                <w:bCs/>
              </w:rPr>
              <w:t>ado</w:t>
            </w:r>
            <w:r w:rsidRPr="00372D18">
              <w:rPr>
                <w:rFonts w:ascii="Verdana" w:eastAsia="Calibri" w:hAnsi="Verdana" w:cs="Arial"/>
                <w:bCs/>
              </w:rPr>
              <w:t xml:space="preserve"> la entidad contratante en los pliegos de condiciones, debe relacionarse con el objeto a contratar</w:t>
            </w:r>
            <w:r>
              <w:rPr>
                <w:rFonts w:ascii="Verdana" w:eastAsia="Calibri" w:hAnsi="Verdana" w:cs="Arial"/>
                <w:bCs/>
              </w:rPr>
              <w:t xml:space="preserve"> y </w:t>
            </w:r>
            <w:r>
              <w:rPr>
                <w:rFonts w:ascii="Verdana" w:eastAsia="Calibri" w:hAnsi="Verdana" w:cs="Arial"/>
                <w:bCs/>
              </w:rPr>
              <w:lastRenderedPageBreak/>
              <w:t xml:space="preserve">deberá ser acreditada de manera adecuada por el consorcio y sus miembros de modo que el proponente no haga valer dos veces la misma experiencia, es decir, la que ha ejecutado como persona natural y aquella que acredite por conducto de </w:t>
            </w:r>
            <w:r w:rsidR="00FA4A71">
              <w:rPr>
                <w:rFonts w:ascii="Verdana" w:eastAsia="Calibri" w:hAnsi="Verdana" w:cs="Arial"/>
                <w:bCs/>
              </w:rPr>
              <w:t xml:space="preserve">la sociedad </w:t>
            </w:r>
            <w:r>
              <w:rPr>
                <w:rFonts w:ascii="Verdana" w:eastAsia="Calibri" w:hAnsi="Verdana" w:cs="Arial"/>
                <w:bCs/>
              </w:rPr>
              <w:t>de la cual es el representante legal</w:t>
            </w:r>
            <w:r w:rsidRPr="00372D18">
              <w:rPr>
                <w:rFonts w:ascii="Verdana" w:eastAsia="Calibri" w:hAnsi="Verdana" w:cs="Arial"/>
                <w:bCs/>
              </w:rPr>
              <w:t xml:space="preserve">. </w:t>
            </w:r>
          </w:p>
          <w:p w14:paraId="73501F0B" w14:textId="0AE016B6" w:rsidR="00530B38" w:rsidRDefault="00C05D41" w:rsidP="00530B38">
            <w:pPr>
              <w:widowControl w:val="0"/>
              <w:autoSpaceDE w:val="0"/>
              <w:autoSpaceDN w:val="0"/>
              <w:spacing w:before="120" w:after="120" w:line="276" w:lineRule="auto"/>
              <w:ind w:firstLine="708"/>
              <w:jc w:val="both"/>
              <w:rPr>
                <w:rFonts w:ascii="Verdana" w:eastAsia="Calibri" w:hAnsi="Verdana" w:cs="Arial"/>
                <w:bCs/>
              </w:rPr>
            </w:pPr>
            <w:r>
              <w:rPr>
                <w:rFonts w:ascii="Verdana" w:eastAsia="Calibri" w:hAnsi="Verdana" w:cs="Arial"/>
                <w:bCs/>
              </w:rPr>
              <w:t xml:space="preserve">Según lo expuesto, </w:t>
            </w:r>
            <w:r w:rsidR="00530B38">
              <w:rPr>
                <w:rFonts w:ascii="Verdana" w:eastAsia="Calibri" w:hAnsi="Verdana" w:cs="Arial"/>
                <w:bCs/>
              </w:rPr>
              <w:t xml:space="preserve">la ausencia de una inhabilidad, incompatibilidad o conflicto de interés que afecte la capacidad </w:t>
            </w:r>
            <w:r w:rsidR="00FA4A71">
              <w:rPr>
                <w:rFonts w:ascii="Verdana" w:eastAsia="Calibri" w:hAnsi="Verdana" w:cs="Arial"/>
                <w:bCs/>
              </w:rPr>
              <w:t xml:space="preserve">jurídica </w:t>
            </w:r>
            <w:r w:rsidR="00530B38" w:rsidRPr="00372D18">
              <w:rPr>
                <w:rFonts w:ascii="Verdana" w:eastAsia="Calibri" w:hAnsi="Verdana" w:cs="Arial"/>
                <w:bCs/>
              </w:rPr>
              <w:t xml:space="preserve">no </w:t>
            </w:r>
            <w:r>
              <w:rPr>
                <w:rFonts w:ascii="Verdana" w:eastAsia="Calibri" w:hAnsi="Verdana" w:cs="Arial"/>
                <w:bCs/>
              </w:rPr>
              <w:t xml:space="preserve">implica </w:t>
            </w:r>
            <w:r w:rsidR="00530B38">
              <w:rPr>
                <w:rFonts w:ascii="Verdana" w:eastAsia="Calibri" w:hAnsi="Verdana" w:cs="Arial"/>
                <w:bCs/>
              </w:rPr>
              <w:t xml:space="preserve">que el proponente pueda utilizar el consorcio para omitir el cumplimiento de los requisitos de experiencia o capacidad financiera que sean necesarios para ejecutar de manera idónea el objeto contractual. Con el fin de </w:t>
            </w:r>
            <w:r w:rsidR="00530B38" w:rsidRPr="00372D18">
              <w:rPr>
                <w:rFonts w:ascii="Verdana" w:eastAsia="Calibri" w:hAnsi="Verdana" w:cs="Arial"/>
                <w:bCs/>
              </w:rPr>
              <w:t>prever esta situación</w:t>
            </w:r>
            <w:r w:rsidR="00530B38">
              <w:rPr>
                <w:rFonts w:ascii="Verdana" w:eastAsia="Calibri" w:hAnsi="Verdana" w:cs="Arial"/>
                <w:bCs/>
              </w:rPr>
              <w:t xml:space="preserve">, se recomienda que la entidad contratante establezca las reglas precisas en los documentos del proceso que deberán seguir los proponentes para acreditar y determinar de forma objetiva la experiencia y capacidad </w:t>
            </w:r>
            <w:r w:rsidR="00530B38" w:rsidRPr="00372D18">
              <w:rPr>
                <w:rFonts w:ascii="Verdana" w:eastAsia="Calibri" w:hAnsi="Verdana" w:cs="Arial"/>
                <w:bCs/>
              </w:rPr>
              <w:t>mínima con la que deben contar para desarrollar el objeto a contratar de forma satisfactoria.</w:t>
            </w:r>
          </w:p>
          <w:p w14:paraId="05889AB4" w14:textId="5C9FA37F" w:rsidR="0042565D" w:rsidRPr="0042565D" w:rsidRDefault="00A97348" w:rsidP="00530B38">
            <w:pPr>
              <w:widowControl w:val="0"/>
              <w:autoSpaceDE w:val="0"/>
              <w:autoSpaceDN w:val="0"/>
              <w:spacing w:before="120" w:after="120" w:line="276" w:lineRule="auto"/>
              <w:ind w:firstLine="708"/>
              <w:jc w:val="both"/>
              <w:rPr>
                <w:rFonts w:ascii="Verdana" w:hAnsi="Verdana" w:cs="Arial"/>
                <w:lang w:val="es-ES"/>
              </w:rPr>
            </w:pPr>
            <w:r w:rsidRPr="00E10433">
              <w:rPr>
                <w:rFonts w:ascii="Verdana" w:eastAsia="Calibri" w:hAnsi="Verdana" w:cs="Arial"/>
                <w:bCs/>
                <w:color w:val="000000" w:themeColor="text1"/>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E10433">
              <w:rPr>
                <w:rFonts w:ascii="Verdana" w:hAnsi="Verdana" w:cs="Arial"/>
                <w:lang w:val="es-ES"/>
              </w:rPr>
              <w:t xml:space="preserve">  </w:t>
            </w:r>
          </w:p>
        </w:tc>
      </w:tr>
    </w:tbl>
    <w:p w14:paraId="7406FCD6" w14:textId="77777777" w:rsidR="0080789C" w:rsidRPr="00E10433" w:rsidRDefault="0080789C" w:rsidP="0080789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B1E879E" w14:textId="77777777" w:rsidR="0080789C" w:rsidRPr="00E10433" w:rsidRDefault="0080789C" w:rsidP="0080789C">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10433">
        <w:rPr>
          <w:rFonts w:ascii="Verdana" w:eastAsia="Century Gothic" w:hAnsi="Verdana" w:cs="Century Gothic"/>
          <w:b/>
          <w:color w:val="000000" w:themeColor="text1"/>
        </w:rPr>
        <w:t>Razones de la respuesta:</w:t>
      </w:r>
    </w:p>
    <w:p w14:paraId="6D458533" w14:textId="77777777" w:rsidR="0080789C" w:rsidRDefault="0080789C" w:rsidP="0080789C">
      <w:pPr>
        <w:spacing w:after="0" w:line="276" w:lineRule="auto"/>
        <w:jc w:val="both"/>
        <w:rPr>
          <w:rFonts w:ascii="Verdana" w:eastAsia="Calibri" w:hAnsi="Verdana" w:cs="Arial"/>
          <w:color w:val="000000" w:themeColor="text1"/>
          <w:lang w:val="es-ES"/>
        </w:rPr>
      </w:pPr>
    </w:p>
    <w:p w14:paraId="0A609F15" w14:textId="77777777" w:rsidR="0097643F" w:rsidRDefault="0097643F" w:rsidP="0097643F">
      <w:pPr>
        <w:spacing w:after="0" w:line="276" w:lineRule="auto"/>
        <w:jc w:val="both"/>
        <w:rPr>
          <w:rFonts w:ascii="Verdana" w:eastAsia="Calibri" w:hAnsi="Verdana" w:cs="Arial"/>
          <w:color w:val="000000" w:themeColor="text1"/>
          <w:lang w:val="es-ES"/>
        </w:rPr>
      </w:pPr>
      <w:r w:rsidRPr="00FE5A24">
        <w:rPr>
          <w:rFonts w:ascii="Verdana" w:eastAsia="Calibri" w:hAnsi="Verdana" w:cs="Arial"/>
          <w:color w:val="000000" w:themeColor="text1"/>
          <w:lang w:val="es-ES"/>
        </w:rPr>
        <w:t xml:space="preserve">Lo anterior se sustenta en las siguientes consideraciones: </w:t>
      </w:r>
    </w:p>
    <w:p w14:paraId="6D5F4711" w14:textId="77777777" w:rsidR="000E5392" w:rsidRDefault="000E5392" w:rsidP="0097643F">
      <w:pPr>
        <w:spacing w:after="0" w:line="276" w:lineRule="auto"/>
        <w:jc w:val="both"/>
        <w:rPr>
          <w:rFonts w:ascii="Verdana" w:eastAsia="Calibri" w:hAnsi="Verdana" w:cs="Arial"/>
          <w:color w:val="000000" w:themeColor="text1"/>
          <w:lang w:val="es-ES"/>
        </w:rPr>
      </w:pPr>
    </w:p>
    <w:p w14:paraId="774C9AC0" w14:textId="7E125E59" w:rsidR="003C2794" w:rsidRPr="00422B6A" w:rsidRDefault="009A1D5D" w:rsidP="003C2794">
      <w:pPr>
        <w:pStyle w:val="BodyText"/>
        <w:ind w:right="51"/>
        <w:jc w:val="both"/>
        <w:rPr>
          <w:rFonts w:ascii="Verdana" w:hAnsi="Verdana" w:cs="Arial"/>
        </w:rPr>
      </w:pPr>
      <w:r>
        <w:rPr>
          <w:rFonts w:ascii="Verdana" w:hAnsi="Verdana" w:cs="Arial"/>
        </w:rPr>
        <w:t xml:space="preserve">i) </w:t>
      </w:r>
      <w:r w:rsidR="003C2794">
        <w:rPr>
          <w:rFonts w:ascii="Verdana" w:hAnsi="Verdana" w:cs="Arial"/>
        </w:rPr>
        <w:t>E</w:t>
      </w:r>
      <w:r w:rsidR="003C2794" w:rsidRPr="00422B6A">
        <w:rPr>
          <w:rFonts w:ascii="Verdana" w:hAnsi="Verdana" w:cs="Arial"/>
        </w:rPr>
        <w:t>l Código de Comercio</w:t>
      </w:r>
      <w:r w:rsidR="003C2794" w:rsidRPr="00422B6A">
        <w:rPr>
          <w:rFonts w:ascii="Verdana" w:hAnsi="Verdana" w:cs="Arial"/>
          <w:spacing w:val="61"/>
        </w:rPr>
        <w:t xml:space="preserve"> </w:t>
      </w:r>
      <w:r w:rsidR="003C2794" w:rsidRPr="00422B6A">
        <w:rPr>
          <w:rFonts w:ascii="Verdana" w:hAnsi="Verdana" w:cs="Arial"/>
        </w:rPr>
        <w:t>identifica varios tipos</w:t>
      </w:r>
      <w:r w:rsidR="003C2794" w:rsidRPr="00422B6A">
        <w:rPr>
          <w:rFonts w:ascii="Verdana" w:hAnsi="Verdana" w:cs="Arial"/>
          <w:spacing w:val="1"/>
        </w:rPr>
        <w:t xml:space="preserve"> </w:t>
      </w:r>
      <w:r w:rsidR="003C2794" w:rsidRPr="00422B6A">
        <w:rPr>
          <w:rFonts w:ascii="Verdana" w:hAnsi="Verdana" w:cs="Arial"/>
          <w:spacing w:val="-1"/>
        </w:rPr>
        <w:t xml:space="preserve">de </w:t>
      </w:r>
      <w:r w:rsidR="003C2794" w:rsidRPr="00422B6A">
        <w:rPr>
          <w:rFonts w:ascii="Verdana" w:hAnsi="Verdana" w:cs="Arial"/>
          <w:i/>
          <w:spacing w:val="-1"/>
        </w:rPr>
        <w:t xml:space="preserve">sociedades comerciales </w:t>
      </w:r>
      <w:r w:rsidR="003C2794" w:rsidRPr="00422B6A">
        <w:rPr>
          <w:rFonts w:ascii="Verdana" w:hAnsi="Verdana" w:cs="Arial"/>
          <w:spacing w:val="-1"/>
        </w:rPr>
        <w:t xml:space="preserve">que pueden constituirse </w:t>
      </w:r>
      <w:r w:rsidR="003C2794" w:rsidRPr="00422B6A">
        <w:rPr>
          <w:rFonts w:ascii="Verdana" w:hAnsi="Verdana" w:cs="Arial"/>
        </w:rPr>
        <w:t>para desarrollar actividades de esta índole, estableciendo el régimen general de las personas jurídicas, delimitando sus</w:t>
      </w:r>
      <w:r w:rsidR="003C2794" w:rsidRPr="00422B6A">
        <w:rPr>
          <w:rFonts w:ascii="Verdana" w:hAnsi="Verdana" w:cs="Arial"/>
          <w:spacing w:val="1"/>
        </w:rPr>
        <w:t xml:space="preserve"> </w:t>
      </w:r>
      <w:r w:rsidR="003C2794" w:rsidRPr="00422B6A">
        <w:rPr>
          <w:rFonts w:ascii="Verdana" w:hAnsi="Verdana" w:cs="Arial"/>
        </w:rPr>
        <w:t>particularidades</w:t>
      </w:r>
      <w:r w:rsidR="003C2794" w:rsidRPr="00422B6A">
        <w:rPr>
          <w:rFonts w:ascii="Verdana" w:hAnsi="Verdana" w:cs="Arial"/>
          <w:spacing w:val="-2"/>
        </w:rPr>
        <w:t xml:space="preserve"> </w:t>
      </w:r>
      <w:r w:rsidR="003C2794" w:rsidRPr="00422B6A">
        <w:rPr>
          <w:rFonts w:ascii="Verdana" w:hAnsi="Verdana" w:cs="Arial"/>
        </w:rPr>
        <w:t>y</w:t>
      </w:r>
      <w:r w:rsidR="003C2794" w:rsidRPr="00422B6A">
        <w:rPr>
          <w:rFonts w:ascii="Verdana" w:hAnsi="Verdana" w:cs="Arial"/>
          <w:spacing w:val="2"/>
        </w:rPr>
        <w:t xml:space="preserve"> los </w:t>
      </w:r>
      <w:r w:rsidR="003C2794" w:rsidRPr="00422B6A">
        <w:rPr>
          <w:rFonts w:ascii="Verdana" w:hAnsi="Verdana" w:cs="Arial"/>
        </w:rPr>
        <w:t>principios que</w:t>
      </w:r>
      <w:r w:rsidR="003C2794" w:rsidRPr="00422B6A">
        <w:rPr>
          <w:rFonts w:ascii="Verdana" w:hAnsi="Verdana" w:cs="Arial"/>
          <w:spacing w:val="9"/>
        </w:rPr>
        <w:t xml:space="preserve"> </w:t>
      </w:r>
      <w:r w:rsidR="003C2794" w:rsidRPr="00422B6A">
        <w:rPr>
          <w:rFonts w:ascii="Verdana" w:hAnsi="Verdana" w:cs="Arial"/>
        </w:rPr>
        <w:t>rigen</w:t>
      </w:r>
      <w:r w:rsidR="003C2794" w:rsidRPr="00422B6A">
        <w:rPr>
          <w:rFonts w:ascii="Verdana" w:hAnsi="Verdana" w:cs="Arial"/>
          <w:spacing w:val="3"/>
        </w:rPr>
        <w:t xml:space="preserve"> </w:t>
      </w:r>
      <w:r w:rsidR="003C2794" w:rsidRPr="00422B6A">
        <w:rPr>
          <w:rFonts w:ascii="Verdana" w:hAnsi="Verdana" w:cs="Arial"/>
        </w:rPr>
        <w:t>el</w:t>
      </w:r>
      <w:r w:rsidR="003C2794" w:rsidRPr="00422B6A">
        <w:rPr>
          <w:rFonts w:ascii="Verdana" w:hAnsi="Verdana" w:cs="Arial"/>
          <w:spacing w:val="-4"/>
        </w:rPr>
        <w:t xml:space="preserve"> </w:t>
      </w:r>
      <w:r w:rsidR="003C2794" w:rsidRPr="00422B6A">
        <w:rPr>
          <w:rFonts w:ascii="Verdana" w:hAnsi="Verdana" w:cs="Arial"/>
        </w:rPr>
        <w:t>contrato</w:t>
      </w:r>
      <w:r w:rsidR="003C2794" w:rsidRPr="00422B6A">
        <w:rPr>
          <w:rFonts w:ascii="Verdana" w:hAnsi="Verdana" w:cs="Arial"/>
          <w:spacing w:val="7"/>
        </w:rPr>
        <w:t xml:space="preserve"> </w:t>
      </w:r>
      <w:r w:rsidR="003C2794" w:rsidRPr="00422B6A">
        <w:rPr>
          <w:rFonts w:ascii="Verdana" w:hAnsi="Verdana" w:cs="Arial"/>
        </w:rPr>
        <w:t>de</w:t>
      </w:r>
      <w:r w:rsidR="003C2794" w:rsidRPr="00422B6A">
        <w:rPr>
          <w:rFonts w:ascii="Verdana" w:hAnsi="Verdana" w:cs="Arial"/>
          <w:spacing w:val="-4"/>
        </w:rPr>
        <w:t xml:space="preserve"> </w:t>
      </w:r>
      <w:r w:rsidR="003C2794" w:rsidRPr="00422B6A">
        <w:rPr>
          <w:rFonts w:ascii="Verdana" w:hAnsi="Verdana" w:cs="Arial"/>
        </w:rPr>
        <w:t>sociedad. Al respecto,</w:t>
      </w:r>
      <w:r w:rsidR="003C2794" w:rsidRPr="00422B6A">
        <w:rPr>
          <w:rFonts w:ascii="Verdana" w:hAnsi="Verdana" w:cs="Arial"/>
          <w:spacing w:val="-6"/>
        </w:rPr>
        <w:t xml:space="preserve"> </w:t>
      </w:r>
      <w:r w:rsidR="003C2794" w:rsidRPr="00422B6A">
        <w:rPr>
          <w:rFonts w:ascii="Verdana" w:hAnsi="Verdana" w:cs="Arial"/>
        </w:rPr>
        <w:t>resultan</w:t>
      </w:r>
      <w:r w:rsidR="003C2794" w:rsidRPr="00422B6A">
        <w:rPr>
          <w:rFonts w:ascii="Verdana" w:hAnsi="Verdana" w:cs="Arial"/>
          <w:spacing w:val="-6"/>
        </w:rPr>
        <w:t xml:space="preserve"> </w:t>
      </w:r>
      <w:r w:rsidR="003C2794" w:rsidRPr="00422B6A">
        <w:rPr>
          <w:rFonts w:ascii="Verdana" w:hAnsi="Verdana" w:cs="Arial"/>
        </w:rPr>
        <w:t>relevantes</w:t>
      </w:r>
      <w:r w:rsidR="003C2794" w:rsidRPr="00422B6A">
        <w:rPr>
          <w:rFonts w:ascii="Verdana" w:hAnsi="Verdana" w:cs="Arial"/>
          <w:spacing w:val="-6"/>
        </w:rPr>
        <w:t xml:space="preserve"> </w:t>
      </w:r>
      <w:r w:rsidR="003C2794" w:rsidRPr="00422B6A">
        <w:rPr>
          <w:rFonts w:ascii="Verdana" w:hAnsi="Verdana" w:cs="Arial"/>
        </w:rPr>
        <w:t>los</w:t>
      </w:r>
      <w:r w:rsidR="003C2794" w:rsidRPr="00422B6A">
        <w:rPr>
          <w:rFonts w:ascii="Verdana" w:hAnsi="Verdana" w:cs="Arial"/>
          <w:spacing w:val="-6"/>
        </w:rPr>
        <w:t xml:space="preserve"> </w:t>
      </w:r>
      <w:r w:rsidR="003C2794" w:rsidRPr="00422B6A">
        <w:rPr>
          <w:rFonts w:ascii="Verdana" w:hAnsi="Verdana" w:cs="Arial"/>
        </w:rPr>
        <w:t>artículos</w:t>
      </w:r>
      <w:r w:rsidR="003C2794" w:rsidRPr="00422B6A">
        <w:rPr>
          <w:rFonts w:ascii="Verdana" w:hAnsi="Verdana" w:cs="Arial"/>
          <w:spacing w:val="-6"/>
        </w:rPr>
        <w:t xml:space="preserve"> </w:t>
      </w:r>
      <w:r w:rsidR="003C2794" w:rsidRPr="00422B6A">
        <w:rPr>
          <w:rFonts w:ascii="Verdana" w:hAnsi="Verdana" w:cs="Arial"/>
        </w:rPr>
        <w:t>98</w:t>
      </w:r>
      <w:r w:rsidR="003C2794" w:rsidRPr="00422B6A">
        <w:rPr>
          <w:rFonts w:ascii="Verdana" w:hAnsi="Verdana" w:cs="Arial"/>
          <w:spacing w:val="-6"/>
        </w:rPr>
        <w:t xml:space="preserve"> </w:t>
      </w:r>
      <w:r w:rsidR="003C2794" w:rsidRPr="00422B6A">
        <w:rPr>
          <w:rFonts w:ascii="Verdana" w:hAnsi="Verdana" w:cs="Arial"/>
        </w:rPr>
        <w:t>y</w:t>
      </w:r>
      <w:r w:rsidR="003C2794" w:rsidRPr="00422B6A">
        <w:rPr>
          <w:rFonts w:ascii="Verdana" w:hAnsi="Verdana" w:cs="Arial"/>
          <w:spacing w:val="-7"/>
        </w:rPr>
        <w:t xml:space="preserve"> </w:t>
      </w:r>
      <w:r w:rsidR="003C2794" w:rsidRPr="00422B6A">
        <w:rPr>
          <w:rFonts w:ascii="Verdana" w:hAnsi="Verdana" w:cs="Arial"/>
        </w:rPr>
        <w:t>100,</w:t>
      </w:r>
      <w:r w:rsidR="003C2794" w:rsidRPr="00422B6A">
        <w:rPr>
          <w:rFonts w:ascii="Verdana" w:hAnsi="Verdana" w:cs="Arial"/>
          <w:spacing w:val="-6"/>
        </w:rPr>
        <w:t xml:space="preserve"> </w:t>
      </w:r>
      <w:r w:rsidR="003C2794" w:rsidRPr="00422B6A">
        <w:rPr>
          <w:rFonts w:ascii="Verdana" w:hAnsi="Verdana" w:cs="Arial"/>
        </w:rPr>
        <w:t>de</w:t>
      </w:r>
      <w:r w:rsidR="003C2794" w:rsidRPr="00422B6A">
        <w:rPr>
          <w:rFonts w:ascii="Verdana" w:hAnsi="Verdana" w:cs="Arial"/>
          <w:spacing w:val="-6"/>
        </w:rPr>
        <w:t xml:space="preserve"> </w:t>
      </w:r>
      <w:r w:rsidR="003C2794" w:rsidRPr="00422B6A">
        <w:rPr>
          <w:rFonts w:ascii="Verdana" w:hAnsi="Verdana" w:cs="Arial"/>
        </w:rPr>
        <w:t>conformidad</w:t>
      </w:r>
      <w:r w:rsidR="003C2794" w:rsidRPr="00422B6A">
        <w:rPr>
          <w:rFonts w:ascii="Verdana" w:hAnsi="Verdana" w:cs="Arial"/>
          <w:spacing w:val="-6"/>
        </w:rPr>
        <w:t xml:space="preserve"> </w:t>
      </w:r>
      <w:r w:rsidR="003C2794" w:rsidRPr="00422B6A">
        <w:rPr>
          <w:rFonts w:ascii="Verdana" w:hAnsi="Verdana" w:cs="Arial"/>
        </w:rPr>
        <w:t>con</w:t>
      </w:r>
      <w:r w:rsidR="003C2794" w:rsidRPr="00422B6A">
        <w:rPr>
          <w:rFonts w:ascii="Verdana" w:hAnsi="Verdana" w:cs="Arial"/>
          <w:spacing w:val="-6"/>
        </w:rPr>
        <w:t xml:space="preserve"> </w:t>
      </w:r>
      <w:r w:rsidR="003C2794" w:rsidRPr="00422B6A">
        <w:rPr>
          <w:rFonts w:ascii="Verdana" w:hAnsi="Verdana" w:cs="Arial"/>
        </w:rPr>
        <w:t xml:space="preserve">los cuales: i) existe contrato de </w:t>
      </w:r>
      <w:r w:rsidR="003C2794" w:rsidRPr="00422B6A">
        <w:rPr>
          <w:rFonts w:ascii="Verdana" w:hAnsi="Verdana" w:cs="Arial"/>
          <w:i/>
        </w:rPr>
        <w:t xml:space="preserve">sociedad comercial </w:t>
      </w:r>
      <w:r w:rsidR="003C2794" w:rsidRPr="00422B6A">
        <w:rPr>
          <w:rFonts w:ascii="Verdana" w:hAnsi="Verdana" w:cs="Arial"/>
        </w:rPr>
        <w:t>cuando dos o más</w:t>
      </w:r>
      <w:r w:rsidR="003C2794" w:rsidRPr="00422B6A">
        <w:rPr>
          <w:rFonts w:ascii="Verdana" w:hAnsi="Verdana" w:cs="Arial"/>
          <w:spacing w:val="1"/>
        </w:rPr>
        <w:t xml:space="preserve"> </w:t>
      </w:r>
      <w:r w:rsidR="003C2794" w:rsidRPr="00422B6A">
        <w:rPr>
          <w:rFonts w:ascii="Verdana" w:hAnsi="Verdana" w:cs="Arial"/>
        </w:rPr>
        <w:t xml:space="preserve">personas aportan dinero, trabajo u otro </w:t>
      </w:r>
      <w:r w:rsidR="003C2794" w:rsidRPr="00422B6A">
        <w:rPr>
          <w:rFonts w:ascii="Verdana" w:hAnsi="Verdana" w:cs="Arial"/>
        </w:rPr>
        <w:lastRenderedPageBreak/>
        <w:t>bien, con el fin de repartirse las utilidades</w:t>
      </w:r>
      <w:r w:rsidR="003C2794" w:rsidRPr="00422B6A">
        <w:rPr>
          <w:rStyle w:val="FootnoteReference"/>
          <w:rFonts w:ascii="Verdana" w:hAnsi="Verdana" w:cs="Arial"/>
        </w:rPr>
        <w:footnoteReference w:id="2"/>
      </w:r>
      <w:r w:rsidR="003C2794" w:rsidRPr="00422B6A">
        <w:rPr>
          <w:rFonts w:ascii="Verdana" w:hAnsi="Verdana" w:cs="Arial"/>
        </w:rPr>
        <w:t xml:space="preserve">; y </w:t>
      </w:r>
      <w:proofErr w:type="spellStart"/>
      <w:r w:rsidR="003C2794" w:rsidRPr="00422B6A">
        <w:rPr>
          <w:rFonts w:ascii="Verdana" w:hAnsi="Verdana" w:cs="Arial"/>
        </w:rPr>
        <w:t>ii</w:t>
      </w:r>
      <w:proofErr w:type="spellEnd"/>
      <w:r w:rsidR="003C2794" w:rsidRPr="00422B6A">
        <w:rPr>
          <w:rFonts w:ascii="Verdana" w:hAnsi="Verdana" w:cs="Arial"/>
        </w:rPr>
        <w:t>) se entiende</w:t>
      </w:r>
      <w:r w:rsidR="003C2794" w:rsidRPr="00422B6A">
        <w:rPr>
          <w:rFonts w:ascii="Verdana" w:hAnsi="Verdana" w:cs="Arial"/>
          <w:spacing w:val="1"/>
        </w:rPr>
        <w:t xml:space="preserve"> </w:t>
      </w:r>
      <w:r w:rsidR="003C2794" w:rsidRPr="00422B6A">
        <w:rPr>
          <w:rFonts w:ascii="Verdana" w:hAnsi="Verdana" w:cs="Arial"/>
        </w:rPr>
        <w:t>que</w:t>
      </w:r>
      <w:r w:rsidR="003C2794" w:rsidRPr="00422B6A">
        <w:rPr>
          <w:rFonts w:ascii="Verdana" w:hAnsi="Verdana" w:cs="Arial"/>
          <w:spacing w:val="1"/>
        </w:rPr>
        <w:t xml:space="preserve"> </w:t>
      </w:r>
      <w:r w:rsidR="003C2794" w:rsidRPr="00422B6A">
        <w:rPr>
          <w:rFonts w:ascii="Verdana" w:hAnsi="Verdana" w:cs="Arial"/>
        </w:rPr>
        <w:t>son</w:t>
      </w:r>
      <w:r w:rsidR="003C2794" w:rsidRPr="00422B6A">
        <w:rPr>
          <w:rFonts w:ascii="Verdana" w:hAnsi="Verdana" w:cs="Arial"/>
          <w:spacing w:val="1"/>
        </w:rPr>
        <w:t xml:space="preserve"> </w:t>
      </w:r>
      <w:r w:rsidR="003C2794" w:rsidRPr="00422B6A">
        <w:rPr>
          <w:rFonts w:ascii="Verdana" w:hAnsi="Verdana" w:cs="Arial"/>
        </w:rPr>
        <w:t>comerciales</w:t>
      </w:r>
      <w:r w:rsidR="003C2794" w:rsidRPr="00422B6A">
        <w:rPr>
          <w:rFonts w:ascii="Verdana" w:hAnsi="Verdana" w:cs="Arial"/>
          <w:spacing w:val="1"/>
        </w:rPr>
        <w:t xml:space="preserve"> </w:t>
      </w:r>
      <w:r w:rsidR="003C2794" w:rsidRPr="00422B6A">
        <w:rPr>
          <w:rFonts w:ascii="Verdana" w:hAnsi="Verdana" w:cs="Arial"/>
        </w:rPr>
        <w:t>las</w:t>
      </w:r>
      <w:r w:rsidR="003C2794" w:rsidRPr="00422B6A">
        <w:rPr>
          <w:rFonts w:ascii="Verdana" w:hAnsi="Verdana" w:cs="Arial"/>
          <w:spacing w:val="1"/>
        </w:rPr>
        <w:t xml:space="preserve"> </w:t>
      </w:r>
      <w:r w:rsidR="003C2794" w:rsidRPr="00422B6A">
        <w:rPr>
          <w:rFonts w:ascii="Verdana" w:hAnsi="Verdana" w:cs="Arial"/>
        </w:rPr>
        <w:t>sociedades</w:t>
      </w:r>
      <w:r w:rsidR="003C2794" w:rsidRPr="00422B6A">
        <w:rPr>
          <w:rFonts w:ascii="Verdana" w:hAnsi="Verdana" w:cs="Arial"/>
          <w:spacing w:val="1"/>
        </w:rPr>
        <w:t xml:space="preserve"> </w:t>
      </w:r>
      <w:r w:rsidR="003C2794" w:rsidRPr="00422B6A">
        <w:rPr>
          <w:rFonts w:ascii="Verdana" w:hAnsi="Verdana" w:cs="Arial"/>
        </w:rPr>
        <w:t>creadas</w:t>
      </w:r>
      <w:r w:rsidR="003C2794" w:rsidRPr="00422B6A">
        <w:rPr>
          <w:rFonts w:ascii="Verdana" w:hAnsi="Verdana" w:cs="Arial"/>
          <w:spacing w:val="1"/>
        </w:rPr>
        <w:t xml:space="preserve"> </w:t>
      </w:r>
      <w:r w:rsidR="003C2794" w:rsidRPr="00422B6A">
        <w:rPr>
          <w:rFonts w:ascii="Verdana" w:hAnsi="Verdana" w:cs="Arial"/>
        </w:rPr>
        <w:t>para</w:t>
      </w:r>
      <w:r w:rsidR="003C2794" w:rsidRPr="00422B6A">
        <w:rPr>
          <w:rFonts w:ascii="Verdana" w:hAnsi="Verdana" w:cs="Arial"/>
          <w:spacing w:val="1"/>
        </w:rPr>
        <w:t xml:space="preserve"> </w:t>
      </w:r>
      <w:r w:rsidR="003C2794" w:rsidRPr="00422B6A">
        <w:rPr>
          <w:rFonts w:ascii="Verdana" w:hAnsi="Verdana" w:cs="Arial"/>
        </w:rPr>
        <w:t>ejecutar</w:t>
      </w:r>
      <w:r w:rsidR="003C2794" w:rsidRPr="00422B6A">
        <w:rPr>
          <w:rFonts w:ascii="Verdana" w:hAnsi="Verdana" w:cs="Arial"/>
          <w:spacing w:val="1"/>
        </w:rPr>
        <w:t xml:space="preserve"> </w:t>
      </w:r>
      <w:r w:rsidR="003C2794" w:rsidRPr="00422B6A">
        <w:rPr>
          <w:rFonts w:ascii="Verdana" w:hAnsi="Verdana" w:cs="Arial"/>
        </w:rPr>
        <w:t>actos</w:t>
      </w:r>
      <w:r w:rsidR="003C2794" w:rsidRPr="00422B6A">
        <w:rPr>
          <w:rFonts w:ascii="Verdana" w:hAnsi="Verdana" w:cs="Arial"/>
          <w:spacing w:val="1"/>
        </w:rPr>
        <w:t xml:space="preserve"> </w:t>
      </w:r>
      <w:r w:rsidR="003C2794" w:rsidRPr="00422B6A">
        <w:rPr>
          <w:rFonts w:ascii="Verdana" w:hAnsi="Verdana" w:cs="Arial"/>
        </w:rPr>
        <w:t>o</w:t>
      </w:r>
      <w:r w:rsidR="003C2794" w:rsidRPr="00422B6A">
        <w:rPr>
          <w:rFonts w:ascii="Verdana" w:hAnsi="Verdana" w:cs="Arial"/>
          <w:spacing w:val="1"/>
        </w:rPr>
        <w:t xml:space="preserve"> </w:t>
      </w:r>
      <w:r w:rsidR="003C2794" w:rsidRPr="00422B6A">
        <w:rPr>
          <w:rFonts w:ascii="Verdana" w:hAnsi="Verdana" w:cs="Arial"/>
        </w:rPr>
        <w:t>empresas</w:t>
      </w:r>
      <w:r w:rsidR="003C2794" w:rsidRPr="00422B6A">
        <w:rPr>
          <w:rFonts w:ascii="Verdana" w:hAnsi="Verdana" w:cs="Arial"/>
          <w:spacing w:val="-1"/>
        </w:rPr>
        <w:t xml:space="preserve"> </w:t>
      </w:r>
      <w:r w:rsidR="003C2794" w:rsidRPr="00422B6A">
        <w:rPr>
          <w:rFonts w:ascii="Verdana" w:hAnsi="Verdana" w:cs="Arial"/>
        </w:rPr>
        <w:t>mercantiles</w:t>
      </w:r>
      <w:r w:rsidR="003C2794" w:rsidRPr="00422B6A">
        <w:rPr>
          <w:rStyle w:val="FootnoteReference"/>
          <w:rFonts w:ascii="Verdana" w:hAnsi="Verdana" w:cs="Arial"/>
        </w:rPr>
        <w:footnoteReference w:id="3"/>
      </w:r>
      <w:r w:rsidR="003C2794" w:rsidRPr="00422B6A">
        <w:rPr>
          <w:rFonts w:ascii="Verdana" w:hAnsi="Verdana" w:cs="Arial"/>
        </w:rPr>
        <w:t>.</w:t>
      </w:r>
    </w:p>
    <w:p w14:paraId="50D9BD0C" w14:textId="77777777" w:rsidR="003C2794" w:rsidRPr="00422B6A" w:rsidRDefault="003C2794" w:rsidP="003C2794">
      <w:pPr>
        <w:pStyle w:val="BodyText"/>
        <w:ind w:right="49" w:firstLine="708"/>
        <w:jc w:val="both"/>
        <w:rPr>
          <w:rFonts w:ascii="Verdana" w:hAnsi="Verdana" w:cs="Arial"/>
        </w:rPr>
      </w:pPr>
      <w:r w:rsidRPr="00422B6A">
        <w:rPr>
          <w:rFonts w:ascii="Verdana" w:hAnsi="Verdana" w:cs="Arial"/>
          <w:spacing w:val="-2"/>
        </w:rPr>
        <w:t>Sobre</w:t>
      </w:r>
      <w:r w:rsidRPr="00422B6A">
        <w:rPr>
          <w:rFonts w:ascii="Verdana" w:hAnsi="Verdana" w:cs="Arial"/>
          <w:spacing w:val="-14"/>
        </w:rPr>
        <w:t xml:space="preserve"> </w:t>
      </w:r>
      <w:r w:rsidRPr="00422B6A">
        <w:rPr>
          <w:rFonts w:ascii="Verdana" w:hAnsi="Verdana" w:cs="Arial"/>
          <w:spacing w:val="-2"/>
        </w:rPr>
        <w:t>el</w:t>
      </w:r>
      <w:r w:rsidRPr="00422B6A">
        <w:rPr>
          <w:rFonts w:ascii="Verdana" w:hAnsi="Verdana" w:cs="Arial"/>
          <w:spacing w:val="-13"/>
        </w:rPr>
        <w:t xml:space="preserve"> </w:t>
      </w:r>
      <w:r w:rsidRPr="00422B6A">
        <w:rPr>
          <w:rFonts w:ascii="Verdana" w:hAnsi="Verdana" w:cs="Arial"/>
          <w:spacing w:val="-2"/>
        </w:rPr>
        <w:t>primer</w:t>
      </w:r>
      <w:r w:rsidRPr="00422B6A">
        <w:rPr>
          <w:rFonts w:ascii="Verdana" w:hAnsi="Verdana" w:cs="Arial"/>
          <w:spacing w:val="-13"/>
        </w:rPr>
        <w:t xml:space="preserve"> </w:t>
      </w:r>
      <w:r w:rsidRPr="00422B6A">
        <w:rPr>
          <w:rFonts w:ascii="Verdana" w:hAnsi="Verdana" w:cs="Arial"/>
          <w:spacing w:val="-2"/>
        </w:rPr>
        <w:t>aspecto,</w:t>
      </w:r>
      <w:r w:rsidRPr="00422B6A">
        <w:rPr>
          <w:rFonts w:ascii="Verdana" w:hAnsi="Verdana" w:cs="Arial"/>
          <w:spacing w:val="-14"/>
        </w:rPr>
        <w:t xml:space="preserve"> </w:t>
      </w:r>
      <w:r w:rsidRPr="00422B6A">
        <w:rPr>
          <w:rFonts w:ascii="Verdana" w:hAnsi="Verdana" w:cs="Arial"/>
          <w:spacing w:val="-2"/>
        </w:rPr>
        <w:t>es necesario tener en cuenta</w:t>
      </w:r>
      <w:r w:rsidRPr="00422B6A">
        <w:rPr>
          <w:rFonts w:ascii="Verdana" w:hAnsi="Verdana" w:cs="Arial"/>
          <w:spacing w:val="-13"/>
        </w:rPr>
        <w:t xml:space="preserve"> </w:t>
      </w:r>
      <w:r w:rsidRPr="00422B6A">
        <w:rPr>
          <w:rFonts w:ascii="Verdana" w:hAnsi="Verdana" w:cs="Arial"/>
          <w:spacing w:val="-1"/>
        </w:rPr>
        <w:t>que,</w:t>
      </w:r>
      <w:r w:rsidRPr="00422B6A">
        <w:rPr>
          <w:rFonts w:ascii="Verdana" w:hAnsi="Verdana" w:cs="Arial"/>
          <w:spacing w:val="-14"/>
        </w:rPr>
        <w:t xml:space="preserve"> </w:t>
      </w:r>
      <w:r w:rsidRPr="00422B6A">
        <w:rPr>
          <w:rFonts w:ascii="Verdana" w:hAnsi="Verdana" w:cs="Arial"/>
          <w:spacing w:val="-1"/>
        </w:rPr>
        <w:t>como</w:t>
      </w:r>
      <w:r w:rsidRPr="00422B6A">
        <w:rPr>
          <w:rFonts w:ascii="Verdana" w:hAnsi="Verdana" w:cs="Arial"/>
          <w:spacing w:val="-13"/>
        </w:rPr>
        <w:t xml:space="preserve"> </w:t>
      </w:r>
      <w:r w:rsidRPr="00422B6A">
        <w:rPr>
          <w:rFonts w:ascii="Verdana" w:hAnsi="Verdana" w:cs="Arial"/>
          <w:spacing w:val="-1"/>
        </w:rPr>
        <w:t>regla</w:t>
      </w:r>
      <w:r w:rsidRPr="00422B6A">
        <w:rPr>
          <w:rFonts w:ascii="Verdana" w:hAnsi="Verdana" w:cs="Arial"/>
          <w:spacing w:val="-13"/>
        </w:rPr>
        <w:t xml:space="preserve"> </w:t>
      </w:r>
      <w:r w:rsidRPr="00422B6A">
        <w:rPr>
          <w:rFonts w:ascii="Verdana" w:hAnsi="Verdana" w:cs="Arial"/>
          <w:spacing w:val="-1"/>
        </w:rPr>
        <w:t>general,</w:t>
      </w:r>
      <w:r w:rsidRPr="00422B6A">
        <w:rPr>
          <w:rFonts w:ascii="Verdana" w:hAnsi="Verdana" w:cs="Arial"/>
          <w:spacing w:val="-13"/>
        </w:rPr>
        <w:t xml:space="preserve"> </w:t>
      </w:r>
      <w:r w:rsidRPr="00422B6A">
        <w:rPr>
          <w:rFonts w:ascii="Verdana" w:hAnsi="Verdana" w:cs="Arial"/>
          <w:spacing w:val="-1"/>
        </w:rPr>
        <w:t>las</w:t>
      </w:r>
      <w:r w:rsidRPr="00422B6A">
        <w:rPr>
          <w:rFonts w:ascii="Verdana" w:hAnsi="Verdana" w:cs="Arial"/>
          <w:spacing w:val="-14"/>
        </w:rPr>
        <w:t xml:space="preserve"> </w:t>
      </w:r>
      <w:r w:rsidRPr="00422B6A">
        <w:rPr>
          <w:rFonts w:ascii="Verdana" w:hAnsi="Verdana" w:cs="Arial"/>
          <w:spacing w:val="-2"/>
        </w:rPr>
        <w:t>sociedades requieren un</w:t>
      </w:r>
      <w:r w:rsidRPr="00422B6A">
        <w:rPr>
          <w:rFonts w:ascii="Verdana" w:hAnsi="Verdana" w:cs="Arial"/>
          <w:spacing w:val="-13"/>
        </w:rPr>
        <w:t xml:space="preserve"> </w:t>
      </w:r>
      <w:r w:rsidRPr="00422B6A">
        <w:rPr>
          <w:rFonts w:ascii="Verdana" w:hAnsi="Verdana" w:cs="Arial"/>
          <w:spacing w:val="-2"/>
        </w:rPr>
        <w:t>número</w:t>
      </w:r>
      <w:r w:rsidRPr="00422B6A">
        <w:rPr>
          <w:rFonts w:ascii="Verdana" w:hAnsi="Verdana" w:cs="Arial"/>
          <w:spacing w:val="-13"/>
        </w:rPr>
        <w:t xml:space="preserve"> </w:t>
      </w:r>
      <w:r w:rsidRPr="00422B6A">
        <w:rPr>
          <w:rFonts w:ascii="Verdana" w:hAnsi="Verdana" w:cs="Arial"/>
          <w:spacing w:val="-1"/>
        </w:rPr>
        <w:t>plural</w:t>
      </w:r>
      <w:r w:rsidRPr="00422B6A">
        <w:rPr>
          <w:rFonts w:ascii="Verdana" w:hAnsi="Verdana" w:cs="Arial"/>
          <w:spacing w:val="-13"/>
        </w:rPr>
        <w:t xml:space="preserve"> </w:t>
      </w:r>
      <w:r w:rsidRPr="00422B6A">
        <w:rPr>
          <w:rFonts w:ascii="Verdana" w:hAnsi="Verdana" w:cs="Arial"/>
          <w:spacing w:val="-1"/>
        </w:rPr>
        <w:t>de</w:t>
      </w:r>
      <w:r w:rsidRPr="00422B6A">
        <w:rPr>
          <w:rFonts w:ascii="Verdana" w:hAnsi="Verdana" w:cs="Arial"/>
          <w:spacing w:val="-14"/>
        </w:rPr>
        <w:t xml:space="preserve"> </w:t>
      </w:r>
      <w:r w:rsidRPr="00422B6A">
        <w:rPr>
          <w:rFonts w:ascii="Verdana" w:hAnsi="Verdana" w:cs="Arial"/>
          <w:spacing w:val="-1"/>
        </w:rPr>
        <w:t>socios</w:t>
      </w:r>
      <w:r w:rsidRPr="00422B6A">
        <w:rPr>
          <w:rFonts w:ascii="Verdana" w:hAnsi="Verdana" w:cs="Arial"/>
          <w:spacing w:val="-13"/>
        </w:rPr>
        <w:t xml:space="preserve"> </w:t>
      </w:r>
      <w:r w:rsidRPr="00422B6A">
        <w:rPr>
          <w:rFonts w:ascii="Verdana" w:hAnsi="Verdana" w:cs="Arial"/>
          <w:spacing w:val="-1"/>
        </w:rPr>
        <w:t>–regla</w:t>
      </w:r>
      <w:r w:rsidRPr="00422B6A">
        <w:rPr>
          <w:rFonts w:ascii="Verdana" w:hAnsi="Verdana" w:cs="Arial"/>
          <w:spacing w:val="-13"/>
        </w:rPr>
        <w:t xml:space="preserve"> </w:t>
      </w:r>
      <w:r w:rsidRPr="00422B6A">
        <w:rPr>
          <w:rFonts w:ascii="Verdana" w:hAnsi="Verdana" w:cs="Arial"/>
          <w:spacing w:val="-1"/>
        </w:rPr>
        <w:t>que</w:t>
      </w:r>
      <w:r w:rsidRPr="00422B6A">
        <w:rPr>
          <w:rFonts w:ascii="Verdana" w:hAnsi="Verdana" w:cs="Arial"/>
          <w:spacing w:val="-13"/>
        </w:rPr>
        <w:t xml:space="preserve"> </w:t>
      </w:r>
      <w:r w:rsidRPr="00422B6A">
        <w:rPr>
          <w:rFonts w:ascii="Verdana" w:hAnsi="Verdana" w:cs="Arial"/>
          <w:spacing w:val="-1"/>
        </w:rPr>
        <w:t>perdió</w:t>
      </w:r>
      <w:r w:rsidRPr="00422B6A">
        <w:rPr>
          <w:rFonts w:ascii="Verdana" w:hAnsi="Verdana" w:cs="Arial"/>
          <w:spacing w:val="-13"/>
        </w:rPr>
        <w:t xml:space="preserve"> </w:t>
      </w:r>
      <w:r w:rsidRPr="00422B6A">
        <w:rPr>
          <w:rFonts w:ascii="Verdana" w:hAnsi="Verdana" w:cs="Arial"/>
          <w:spacing w:val="-1"/>
        </w:rPr>
        <w:t>carácter</w:t>
      </w:r>
      <w:r w:rsidRPr="00422B6A">
        <w:rPr>
          <w:rFonts w:ascii="Verdana" w:hAnsi="Verdana" w:cs="Arial"/>
          <w:spacing w:val="-14"/>
        </w:rPr>
        <w:t xml:space="preserve"> </w:t>
      </w:r>
      <w:r w:rsidRPr="00422B6A">
        <w:rPr>
          <w:rFonts w:ascii="Verdana" w:hAnsi="Verdana" w:cs="Arial"/>
          <w:spacing w:val="-1"/>
        </w:rPr>
        <w:t>absoluto,</w:t>
      </w:r>
      <w:r w:rsidRPr="00422B6A">
        <w:rPr>
          <w:rFonts w:ascii="Verdana" w:hAnsi="Verdana" w:cs="Arial"/>
          <w:spacing w:val="-13"/>
        </w:rPr>
        <w:t xml:space="preserve"> </w:t>
      </w:r>
      <w:r w:rsidRPr="00422B6A">
        <w:rPr>
          <w:rFonts w:ascii="Verdana" w:hAnsi="Verdana" w:cs="Arial"/>
          <w:spacing w:val="-1"/>
        </w:rPr>
        <w:t>dada</w:t>
      </w:r>
      <w:r w:rsidRPr="00422B6A">
        <w:rPr>
          <w:rFonts w:ascii="Verdana" w:hAnsi="Verdana" w:cs="Arial"/>
          <w:spacing w:val="-13"/>
        </w:rPr>
        <w:t xml:space="preserve"> </w:t>
      </w:r>
      <w:r w:rsidRPr="00422B6A">
        <w:rPr>
          <w:rFonts w:ascii="Verdana" w:hAnsi="Verdana" w:cs="Arial"/>
          <w:spacing w:val="-1"/>
        </w:rPr>
        <w:t>la</w:t>
      </w:r>
      <w:r w:rsidRPr="00422B6A">
        <w:rPr>
          <w:rFonts w:ascii="Verdana" w:hAnsi="Verdana" w:cs="Arial"/>
          <w:spacing w:val="-13"/>
        </w:rPr>
        <w:t xml:space="preserve"> </w:t>
      </w:r>
      <w:r w:rsidRPr="00422B6A">
        <w:rPr>
          <w:rFonts w:ascii="Verdana" w:hAnsi="Verdana" w:cs="Arial"/>
          <w:spacing w:val="-1"/>
        </w:rPr>
        <w:t>posib</w:t>
      </w:r>
      <w:r>
        <w:rPr>
          <w:rFonts w:ascii="Verdana" w:hAnsi="Verdana" w:cs="Arial"/>
          <w:spacing w:val="-1"/>
        </w:rPr>
        <w:t>ilidad de que</w:t>
      </w:r>
      <w:r w:rsidRPr="00422B6A">
        <w:rPr>
          <w:rFonts w:ascii="Verdana" w:hAnsi="Verdana" w:cs="Arial"/>
          <w:spacing w:val="-1"/>
        </w:rPr>
        <w:t xml:space="preserve"> </w:t>
      </w:r>
      <w:r w:rsidRPr="00422B6A">
        <w:rPr>
          <w:rFonts w:ascii="Verdana" w:hAnsi="Verdana" w:cs="Arial"/>
        </w:rPr>
        <w:t>exist</w:t>
      </w:r>
      <w:r>
        <w:rPr>
          <w:rFonts w:ascii="Verdana" w:hAnsi="Verdana" w:cs="Arial"/>
        </w:rPr>
        <w:t>an</w:t>
      </w:r>
      <w:r w:rsidRPr="00422B6A">
        <w:rPr>
          <w:rFonts w:ascii="Verdana" w:hAnsi="Verdana" w:cs="Arial"/>
        </w:rPr>
        <w:t xml:space="preserve"> sociedades unipersonales–; además, cada socio debe hacer aportes a la</w:t>
      </w:r>
      <w:r w:rsidRPr="00422B6A">
        <w:rPr>
          <w:rFonts w:ascii="Verdana" w:hAnsi="Verdana" w:cs="Arial"/>
          <w:spacing w:val="1"/>
        </w:rPr>
        <w:t xml:space="preserve"> </w:t>
      </w:r>
      <w:r w:rsidRPr="00422B6A">
        <w:rPr>
          <w:rFonts w:ascii="Verdana" w:hAnsi="Verdana" w:cs="Arial"/>
          <w:spacing w:val="-1"/>
        </w:rPr>
        <w:t>sociedad;</w:t>
      </w:r>
      <w:r w:rsidRPr="00422B6A">
        <w:rPr>
          <w:rFonts w:ascii="Verdana" w:hAnsi="Verdana" w:cs="Arial"/>
          <w:spacing w:val="-14"/>
        </w:rPr>
        <w:t xml:space="preserve"> </w:t>
      </w:r>
      <w:r w:rsidRPr="00422B6A">
        <w:rPr>
          <w:rFonts w:ascii="Verdana" w:hAnsi="Verdana" w:cs="Arial"/>
          <w:spacing w:val="-1"/>
        </w:rPr>
        <w:t>y</w:t>
      </w:r>
      <w:r w:rsidRPr="00422B6A">
        <w:rPr>
          <w:rFonts w:ascii="Verdana" w:hAnsi="Verdana" w:cs="Arial"/>
          <w:spacing w:val="-14"/>
        </w:rPr>
        <w:t xml:space="preserve"> </w:t>
      </w:r>
      <w:r w:rsidRPr="00422B6A">
        <w:rPr>
          <w:rFonts w:ascii="Verdana" w:hAnsi="Verdana" w:cs="Arial"/>
          <w:spacing w:val="-1"/>
        </w:rPr>
        <w:t>los</w:t>
      </w:r>
      <w:r w:rsidRPr="00422B6A">
        <w:rPr>
          <w:rFonts w:ascii="Verdana" w:hAnsi="Verdana" w:cs="Arial"/>
          <w:spacing w:val="-14"/>
        </w:rPr>
        <w:t xml:space="preserve"> </w:t>
      </w:r>
      <w:r w:rsidRPr="00422B6A">
        <w:rPr>
          <w:rFonts w:ascii="Verdana" w:hAnsi="Verdana" w:cs="Arial"/>
          <w:spacing w:val="-1"/>
        </w:rPr>
        <w:t>socios</w:t>
      </w:r>
      <w:r w:rsidRPr="00422B6A">
        <w:rPr>
          <w:rFonts w:ascii="Verdana" w:hAnsi="Verdana" w:cs="Arial"/>
          <w:spacing w:val="-13"/>
        </w:rPr>
        <w:t xml:space="preserve"> </w:t>
      </w:r>
      <w:r w:rsidRPr="00422B6A">
        <w:rPr>
          <w:rFonts w:ascii="Verdana" w:hAnsi="Verdana" w:cs="Arial"/>
          <w:spacing w:val="-1"/>
        </w:rPr>
        <w:t>deben</w:t>
      </w:r>
      <w:r w:rsidRPr="00422B6A">
        <w:rPr>
          <w:rFonts w:ascii="Verdana" w:hAnsi="Verdana" w:cs="Arial"/>
          <w:spacing w:val="-14"/>
        </w:rPr>
        <w:t xml:space="preserve"> </w:t>
      </w:r>
      <w:r w:rsidRPr="00422B6A">
        <w:rPr>
          <w:rFonts w:ascii="Verdana" w:hAnsi="Verdana" w:cs="Arial"/>
          <w:spacing w:val="-1"/>
        </w:rPr>
        <w:t>tener</w:t>
      </w:r>
      <w:r w:rsidRPr="00422B6A">
        <w:rPr>
          <w:rFonts w:ascii="Verdana" w:hAnsi="Verdana" w:cs="Arial"/>
          <w:spacing w:val="-14"/>
        </w:rPr>
        <w:t xml:space="preserve"> </w:t>
      </w:r>
      <w:r w:rsidRPr="00422B6A">
        <w:rPr>
          <w:rFonts w:ascii="Verdana" w:hAnsi="Verdana" w:cs="Arial"/>
          <w:spacing w:val="-1"/>
        </w:rPr>
        <w:t>ánimo</w:t>
      </w:r>
      <w:r w:rsidRPr="00422B6A">
        <w:rPr>
          <w:rFonts w:ascii="Verdana" w:hAnsi="Verdana" w:cs="Arial"/>
          <w:spacing w:val="-13"/>
        </w:rPr>
        <w:t xml:space="preserve"> </w:t>
      </w:r>
      <w:r w:rsidRPr="00422B6A">
        <w:rPr>
          <w:rFonts w:ascii="Verdana" w:hAnsi="Verdana" w:cs="Arial"/>
          <w:spacing w:val="-1"/>
        </w:rPr>
        <w:t>de</w:t>
      </w:r>
      <w:r w:rsidRPr="00422B6A">
        <w:rPr>
          <w:rFonts w:ascii="Verdana" w:hAnsi="Verdana" w:cs="Arial"/>
          <w:spacing w:val="-14"/>
        </w:rPr>
        <w:t xml:space="preserve"> </w:t>
      </w:r>
      <w:r w:rsidRPr="00422B6A">
        <w:rPr>
          <w:rFonts w:ascii="Verdana" w:hAnsi="Verdana" w:cs="Arial"/>
          <w:spacing w:val="-1"/>
        </w:rPr>
        <w:t>lucrarse</w:t>
      </w:r>
      <w:r w:rsidRPr="00422B6A">
        <w:rPr>
          <w:rFonts w:ascii="Verdana" w:hAnsi="Verdana" w:cs="Arial"/>
          <w:spacing w:val="-14"/>
        </w:rPr>
        <w:t xml:space="preserve"> </w:t>
      </w:r>
      <w:r w:rsidRPr="00422B6A">
        <w:rPr>
          <w:rFonts w:ascii="Verdana" w:hAnsi="Verdana" w:cs="Arial"/>
          <w:spacing w:val="-1"/>
        </w:rPr>
        <w:t>con</w:t>
      </w:r>
      <w:r w:rsidRPr="00422B6A">
        <w:rPr>
          <w:rFonts w:ascii="Verdana" w:hAnsi="Verdana" w:cs="Arial"/>
          <w:spacing w:val="-13"/>
        </w:rPr>
        <w:t xml:space="preserve"> </w:t>
      </w:r>
      <w:r w:rsidRPr="00422B6A">
        <w:rPr>
          <w:rFonts w:ascii="Verdana" w:hAnsi="Verdana" w:cs="Arial"/>
          <w:spacing w:val="-1"/>
        </w:rPr>
        <w:t>el</w:t>
      </w:r>
      <w:r w:rsidRPr="00422B6A">
        <w:rPr>
          <w:rFonts w:ascii="Verdana" w:hAnsi="Verdana" w:cs="Arial"/>
          <w:spacing w:val="-14"/>
        </w:rPr>
        <w:t xml:space="preserve"> </w:t>
      </w:r>
      <w:r w:rsidRPr="00422B6A">
        <w:rPr>
          <w:rFonts w:ascii="Verdana" w:hAnsi="Verdana" w:cs="Arial"/>
          <w:spacing w:val="-1"/>
        </w:rPr>
        <w:t>desarrollo</w:t>
      </w:r>
      <w:r w:rsidRPr="00422B6A">
        <w:rPr>
          <w:rFonts w:ascii="Verdana" w:hAnsi="Verdana" w:cs="Arial"/>
          <w:spacing w:val="-14"/>
        </w:rPr>
        <w:t xml:space="preserve"> </w:t>
      </w:r>
      <w:r w:rsidRPr="00422B6A">
        <w:rPr>
          <w:rFonts w:ascii="Verdana" w:hAnsi="Verdana" w:cs="Arial"/>
        </w:rPr>
        <w:t>de</w:t>
      </w:r>
      <w:r w:rsidRPr="00422B6A">
        <w:rPr>
          <w:rFonts w:ascii="Verdana" w:hAnsi="Verdana" w:cs="Arial"/>
          <w:spacing w:val="-13"/>
        </w:rPr>
        <w:t xml:space="preserve"> </w:t>
      </w:r>
      <w:r w:rsidRPr="00422B6A">
        <w:rPr>
          <w:rFonts w:ascii="Verdana" w:hAnsi="Verdana" w:cs="Arial"/>
        </w:rPr>
        <w:t>la</w:t>
      </w:r>
      <w:r w:rsidRPr="00422B6A">
        <w:rPr>
          <w:rFonts w:ascii="Verdana" w:hAnsi="Verdana" w:cs="Arial"/>
          <w:spacing w:val="-14"/>
        </w:rPr>
        <w:t xml:space="preserve"> </w:t>
      </w:r>
      <w:r w:rsidRPr="00422B6A">
        <w:rPr>
          <w:rFonts w:ascii="Verdana" w:hAnsi="Verdana" w:cs="Arial"/>
        </w:rPr>
        <w:t>actividad</w:t>
      </w:r>
      <w:r w:rsidRPr="00422B6A">
        <w:rPr>
          <w:rFonts w:ascii="Verdana" w:hAnsi="Verdana" w:cs="Arial"/>
          <w:spacing w:val="-14"/>
        </w:rPr>
        <w:t xml:space="preserve"> </w:t>
      </w:r>
      <w:r w:rsidRPr="00422B6A">
        <w:rPr>
          <w:rFonts w:ascii="Verdana" w:hAnsi="Verdana" w:cs="Arial"/>
        </w:rPr>
        <w:t xml:space="preserve">que </w:t>
      </w:r>
      <w:r w:rsidRPr="0090369E">
        <w:rPr>
          <w:rFonts w:ascii="Verdana" w:hAnsi="Verdana" w:cs="Arial"/>
          <w:spacing w:val="-1"/>
        </w:rPr>
        <w:t xml:space="preserve">constituya el objeto social, que en este caso se representa en la vocación de repartir </w:t>
      </w:r>
      <w:r w:rsidRPr="00422B6A">
        <w:rPr>
          <w:rFonts w:ascii="Verdana" w:hAnsi="Verdana" w:cs="Arial"/>
          <w:spacing w:val="-1"/>
        </w:rPr>
        <w:t>utilidades.</w:t>
      </w:r>
      <w:r w:rsidRPr="0090369E">
        <w:rPr>
          <w:rFonts w:ascii="Verdana" w:hAnsi="Verdana" w:cs="Arial"/>
          <w:spacing w:val="-1"/>
        </w:rPr>
        <w:t xml:space="preserve"> </w:t>
      </w:r>
      <w:r w:rsidRPr="00422B6A">
        <w:rPr>
          <w:rFonts w:ascii="Verdana" w:hAnsi="Verdana" w:cs="Arial"/>
          <w:spacing w:val="-1"/>
        </w:rPr>
        <w:t>De</w:t>
      </w:r>
      <w:r w:rsidRPr="0090369E">
        <w:rPr>
          <w:rFonts w:ascii="Verdana" w:hAnsi="Verdana" w:cs="Arial"/>
          <w:spacing w:val="-1"/>
        </w:rPr>
        <w:t xml:space="preserve"> </w:t>
      </w:r>
      <w:r w:rsidRPr="00422B6A">
        <w:rPr>
          <w:rFonts w:ascii="Verdana" w:hAnsi="Verdana" w:cs="Arial"/>
          <w:spacing w:val="-1"/>
        </w:rPr>
        <w:t>esta</w:t>
      </w:r>
      <w:r w:rsidRPr="0090369E">
        <w:rPr>
          <w:rFonts w:ascii="Verdana" w:hAnsi="Verdana" w:cs="Arial"/>
          <w:spacing w:val="-1"/>
        </w:rPr>
        <w:t xml:space="preserve"> </w:t>
      </w:r>
      <w:r w:rsidRPr="00422B6A">
        <w:rPr>
          <w:rFonts w:ascii="Verdana" w:hAnsi="Verdana" w:cs="Arial"/>
          <w:spacing w:val="-1"/>
        </w:rPr>
        <w:t>manera,</w:t>
      </w:r>
      <w:r w:rsidRPr="0090369E">
        <w:rPr>
          <w:rFonts w:ascii="Verdana" w:hAnsi="Verdana" w:cs="Arial"/>
          <w:spacing w:val="-1"/>
        </w:rPr>
        <w:t xml:space="preserve"> </w:t>
      </w:r>
      <w:r w:rsidRPr="00422B6A">
        <w:rPr>
          <w:rFonts w:ascii="Verdana" w:hAnsi="Verdana" w:cs="Arial"/>
          <w:spacing w:val="-1"/>
        </w:rPr>
        <w:t>se</w:t>
      </w:r>
      <w:r w:rsidRPr="0090369E">
        <w:rPr>
          <w:rFonts w:ascii="Verdana" w:hAnsi="Verdana" w:cs="Arial"/>
          <w:spacing w:val="-1"/>
        </w:rPr>
        <w:t xml:space="preserve"> </w:t>
      </w:r>
      <w:r w:rsidRPr="00422B6A">
        <w:rPr>
          <w:rFonts w:ascii="Verdana" w:hAnsi="Verdana" w:cs="Arial"/>
          <w:spacing w:val="-1"/>
        </w:rPr>
        <w:t>trata</w:t>
      </w:r>
      <w:r w:rsidRPr="0090369E">
        <w:rPr>
          <w:rFonts w:ascii="Verdana" w:hAnsi="Verdana" w:cs="Arial"/>
          <w:spacing w:val="-1"/>
        </w:rPr>
        <w:t xml:space="preserve"> </w:t>
      </w:r>
      <w:r w:rsidRPr="00422B6A">
        <w:rPr>
          <w:rFonts w:ascii="Verdana" w:hAnsi="Verdana" w:cs="Arial"/>
          <w:spacing w:val="-1"/>
        </w:rPr>
        <w:t>de</w:t>
      </w:r>
      <w:r w:rsidRPr="0090369E">
        <w:rPr>
          <w:rFonts w:ascii="Verdana" w:hAnsi="Verdana" w:cs="Arial"/>
          <w:spacing w:val="-1"/>
        </w:rPr>
        <w:t xml:space="preserve"> </w:t>
      </w:r>
      <w:r w:rsidRPr="00422B6A">
        <w:rPr>
          <w:rFonts w:ascii="Verdana" w:hAnsi="Verdana" w:cs="Arial"/>
          <w:spacing w:val="-1"/>
        </w:rPr>
        <w:t>elementos</w:t>
      </w:r>
      <w:r w:rsidRPr="0090369E">
        <w:rPr>
          <w:rFonts w:ascii="Verdana" w:hAnsi="Verdana" w:cs="Arial"/>
          <w:spacing w:val="-1"/>
        </w:rPr>
        <w:t xml:space="preserve"> y requisitos necesarios para que exista el contrato de sociedad y, por tanto, de la sociedad comercial.</w:t>
      </w:r>
    </w:p>
    <w:p w14:paraId="4C365498" w14:textId="77777777" w:rsidR="003C2794" w:rsidRPr="00422B6A" w:rsidRDefault="003C2794" w:rsidP="003C2794">
      <w:pPr>
        <w:pStyle w:val="BodyText"/>
        <w:spacing w:before="120"/>
        <w:ind w:right="49" w:firstLine="708"/>
        <w:jc w:val="both"/>
        <w:rPr>
          <w:rFonts w:ascii="Verdana" w:hAnsi="Verdana" w:cs="Arial"/>
        </w:rPr>
      </w:pPr>
      <w:r w:rsidRPr="00422B6A">
        <w:rPr>
          <w:rFonts w:ascii="Verdana" w:hAnsi="Verdana" w:cs="Arial"/>
        </w:rPr>
        <w:t>En relación con el segundo aspecto citado, lo propio de las sociedades comerciales es</w:t>
      </w:r>
      <w:r w:rsidRPr="00422B6A">
        <w:rPr>
          <w:rFonts w:ascii="Verdana" w:hAnsi="Verdana" w:cs="Arial"/>
          <w:spacing w:val="1"/>
        </w:rPr>
        <w:t xml:space="preserve"> </w:t>
      </w:r>
      <w:r w:rsidRPr="00422B6A">
        <w:rPr>
          <w:rFonts w:ascii="Verdana" w:hAnsi="Verdana" w:cs="Arial"/>
          <w:spacing w:val="-3"/>
        </w:rPr>
        <w:t>realizar</w:t>
      </w:r>
      <w:r w:rsidRPr="00422B6A">
        <w:rPr>
          <w:rFonts w:ascii="Verdana" w:hAnsi="Verdana" w:cs="Arial"/>
          <w:spacing w:val="-17"/>
        </w:rPr>
        <w:t xml:space="preserve"> </w:t>
      </w:r>
      <w:r w:rsidRPr="00422B6A">
        <w:rPr>
          <w:rFonts w:ascii="Verdana" w:hAnsi="Verdana" w:cs="Arial"/>
          <w:spacing w:val="-3"/>
        </w:rPr>
        <w:t>actos</w:t>
      </w:r>
      <w:r w:rsidRPr="00422B6A">
        <w:rPr>
          <w:rFonts w:ascii="Verdana" w:hAnsi="Verdana" w:cs="Arial"/>
          <w:spacing w:val="-17"/>
        </w:rPr>
        <w:t xml:space="preserve"> </w:t>
      </w:r>
      <w:r w:rsidRPr="00422B6A">
        <w:rPr>
          <w:rFonts w:ascii="Verdana" w:hAnsi="Verdana" w:cs="Arial"/>
          <w:spacing w:val="-3"/>
        </w:rPr>
        <w:t>de</w:t>
      </w:r>
      <w:r w:rsidRPr="00422B6A">
        <w:rPr>
          <w:rFonts w:ascii="Verdana" w:hAnsi="Verdana" w:cs="Arial"/>
          <w:spacing w:val="-17"/>
        </w:rPr>
        <w:t xml:space="preserve"> </w:t>
      </w:r>
      <w:r w:rsidRPr="00422B6A">
        <w:rPr>
          <w:rFonts w:ascii="Verdana" w:hAnsi="Verdana" w:cs="Arial"/>
          <w:spacing w:val="-3"/>
        </w:rPr>
        <w:t>comercio</w:t>
      </w:r>
      <w:r w:rsidRPr="00422B6A">
        <w:rPr>
          <w:rFonts w:ascii="Verdana" w:hAnsi="Verdana" w:cs="Arial"/>
          <w:spacing w:val="-17"/>
        </w:rPr>
        <w:t xml:space="preserve"> </w:t>
      </w:r>
      <w:r w:rsidRPr="00422B6A">
        <w:rPr>
          <w:rFonts w:ascii="Verdana" w:hAnsi="Verdana" w:cs="Arial"/>
          <w:spacing w:val="-3"/>
        </w:rPr>
        <w:t>o</w:t>
      </w:r>
      <w:r w:rsidRPr="00422B6A">
        <w:rPr>
          <w:rFonts w:ascii="Verdana" w:hAnsi="Verdana" w:cs="Arial"/>
          <w:spacing w:val="-17"/>
        </w:rPr>
        <w:t xml:space="preserve"> </w:t>
      </w:r>
      <w:r w:rsidRPr="00422B6A">
        <w:rPr>
          <w:rFonts w:ascii="Verdana" w:hAnsi="Verdana" w:cs="Arial"/>
          <w:spacing w:val="-3"/>
        </w:rPr>
        <w:t>empresas</w:t>
      </w:r>
      <w:r w:rsidRPr="00422B6A">
        <w:rPr>
          <w:rFonts w:ascii="Verdana" w:hAnsi="Verdana" w:cs="Arial"/>
          <w:spacing w:val="-17"/>
        </w:rPr>
        <w:t xml:space="preserve"> </w:t>
      </w:r>
      <w:r w:rsidRPr="00422B6A">
        <w:rPr>
          <w:rFonts w:ascii="Verdana" w:hAnsi="Verdana" w:cs="Arial"/>
          <w:spacing w:val="-3"/>
        </w:rPr>
        <w:t>mercantiles,</w:t>
      </w:r>
      <w:r w:rsidRPr="00422B6A">
        <w:rPr>
          <w:rFonts w:ascii="Verdana" w:hAnsi="Verdana" w:cs="Arial"/>
          <w:spacing w:val="-17"/>
        </w:rPr>
        <w:t xml:space="preserve"> </w:t>
      </w:r>
      <w:r w:rsidRPr="00422B6A">
        <w:rPr>
          <w:rFonts w:ascii="Verdana" w:hAnsi="Verdana" w:cs="Arial"/>
          <w:spacing w:val="-2"/>
        </w:rPr>
        <w:t>de</w:t>
      </w:r>
      <w:r w:rsidRPr="00422B6A">
        <w:rPr>
          <w:rFonts w:ascii="Verdana" w:hAnsi="Verdana" w:cs="Arial"/>
          <w:spacing w:val="-17"/>
        </w:rPr>
        <w:t xml:space="preserve"> </w:t>
      </w:r>
      <w:r w:rsidRPr="00422B6A">
        <w:rPr>
          <w:rFonts w:ascii="Verdana" w:hAnsi="Verdana" w:cs="Arial"/>
          <w:spacing w:val="-2"/>
        </w:rPr>
        <w:t>ahí</w:t>
      </w:r>
      <w:r w:rsidRPr="00422B6A">
        <w:rPr>
          <w:rFonts w:ascii="Verdana" w:hAnsi="Verdana" w:cs="Arial"/>
          <w:spacing w:val="-17"/>
        </w:rPr>
        <w:t xml:space="preserve"> </w:t>
      </w:r>
      <w:r w:rsidRPr="00422B6A">
        <w:rPr>
          <w:rFonts w:ascii="Verdana" w:hAnsi="Verdana" w:cs="Arial"/>
          <w:spacing w:val="-2"/>
        </w:rPr>
        <w:t>que</w:t>
      </w:r>
      <w:r w:rsidRPr="00422B6A">
        <w:rPr>
          <w:rFonts w:ascii="Verdana" w:hAnsi="Verdana" w:cs="Arial"/>
          <w:spacing w:val="-17"/>
        </w:rPr>
        <w:t xml:space="preserve"> </w:t>
      </w:r>
      <w:r w:rsidRPr="00422B6A">
        <w:rPr>
          <w:rFonts w:ascii="Verdana" w:hAnsi="Verdana" w:cs="Arial"/>
          <w:spacing w:val="-2"/>
        </w:rPr>
        <w:t>el</w:t>
      </w:r>
      <w:r w:rsidRPr="00422B6A">
        <w:rPr>
          <w:rFonts w:ascii="Verdana" w:hAnsi="Verdana" w:cs="Arial"/>
          <w:spacing w:val="-17"/>
        </w:rPr>
        <w:t xml:space="preserve"> </w:t>
      </w:r>
      <w:r w:rsidRPr="00422B6A">
        <w:rPr>
          <w:rFonts w:ascii="Verdana" w:hAnsi="Verdana" w:cs="Arial"/>
          <w:spacing w:val="-2"/>
        </w:rPr>
        <w:t>inciso</w:t>
      </w:r>
      <w:r w:rsidRPr="00422B6A">
        <w:rPr>
          <w:rFonts w:ascii="Verdana" w:hAnsi="Verdana" w:cs="Arial"/>
          <w:spacing w:val="-17"/>
        </w:rPr>
        <w:t xml:space="preserve"> </w:t>
      </w:r>
      <w:r w:rsidRPr="00422B6A">
        <w:rPr>
          <w:rFonts w:ascii="Verdana" w:hAnsi="Verdana" w:cs="Arial"/>
          <w:spacing w:val="-2"/>
        </w:rPr>
        <w:t>primero</w:t>
      </w:r>
      <w:r w:rsidRPr="00422B6A">
        <w:rPr>
          <w:rFonts w:ascii="Verdana" w:hAnsi="Verdana" w:cs="Arial"/>
          <w:spacing w:val="-17"/>
        </w:rPr>
        <w:t xml:space="preserve"> </w:t>
      </w:r>
      <w:r w:rsidRPr="00422B6A">
        <w:rPr>
          <w:rFonts w:ascii="Verdana" w:hAnsi="Verdana" w:cs="Arial"/>
          <w:spacing w:val="-2"/>
        </w:rPr>
        <w:t>del</w:t>
      </w:r>
      <w:r w:rsidRPr="00422B6A">
        <w:rPr>
          <w:rFonts w:ascii="Verdana" w:hAnsi="Verdana" w:cs="Arial"/>
          <w:spacing w:val="-17"/>
        </w:rPr>
        <w:t xml:space="preserve"> </w:t>
      </w:r>
      <w:r w:rsidRPr="002A20F5">
        <w:rPr>
          <w:rFonts w:ascii="Verdana" w:hAnsi="Verdana" w:cs="Arial"/>
          <w:spacing w:val="-1"/>
        </w:rPr>
        <w:t>artículo 100 del Código de Comercio establezca que “se tendrán como comerciales, para todos</w:t>
      </w:r>
      <w:r w:rsidRPr="00422B6A">
        <w:rPr>
          <w:rFonts w:ascii="Verdana" w:hAnsi="Verdana" w:cs="Arial"/>
        </w:rPr>
        <w:t xml:space="preserve"> los efectos legales, las sociedades que se formen para la ejecución de actos o empresas mercantiles. Si la empresa social comprende actos mercantiles y actos que no tengan esa calidad, la sociedad</w:t>
      </w:r>
      <w:r w:rsidRPr="00422B6A">
        <w:rPr>
          <w:rFonts w:ascii="Verdana" w:hAnsi="Verdana" w:cs="Arial"/>
          <w:spacing w:val="-7"/>
        </w:rPr>
        <w:t xml:space="preserve"> </w:t>
      </w:r>
      <w:r w:rsidRPr="00422B6A">
        <w:rPr>
          <w:rFonts w:ascii="Verdana" w:hAnsi="Verdana" w:cs="Arial"/>
        </w:rPr>
        <w:t>será</w:t>
      </w:r>
      <w:r w:rsidRPr="00422B6A">
        <w:rPr>
          <w:rFonts w:ascii="Verdana" w:hAnsi="Verdana" w:cs="Arial"/>
          <w:spacing w:val="-7"/>
        </w:rPr>
        <w:t xml:space="preserve"> </w:t>
      </w:r>
      <w:r w:rsidRPr="00422B6A">
        <w:rPr>
          <w:rFonts w:ascii="Verdana" w:hAnsi="Verdana" w:cs="Arial"/>
        </w:rPr>
        <w:t>comercial”.</w:t>
      </w:r>
    </w:p>
    <w:p w14:paraId="5B581FE3" w14:textId="77777777" w:rsidR="003C2794" w:rsidRPr="00422B6A" w:rsidRDefault="003C2794" w:rsidP="003C2794">
      <w:pPr>
        <w:pStyle w:val="BodyText"/>
        <w:spacing w:before="120"/>
        <w:ind w:right="49" w:firstLine="708"/>
        <w:jc w:val="both"/>
        <w:rPr>
          <w:rFonts w:ascii="Verdana" w:hAnsi="Verdana" w:cs="Arial"/>
        </w:rPr>
      </w:pPr>
      <w:r w:rsidRPr="00422B6A">
        <w:rPr>
          <w:rFonts w:ascii="Verdana" w:hAnsi="Verdana" w:cs="Arial"/>
          <w:spacing w:val="-3"/>
        </w:rPr>
        <w:t>Las</w:t>
      </w:r>
      <w:r w:rsidRPr="00422B6A">
        <w:rPr>
          <w:rFonts w:ascii="Verdana" w:hAnsi="Verdana" w:cs="Arial"/>
          <w:spacing w:val="-13"/>
        </w:rPr>
        <w:t xml:space="preserve"> </w:t>
      </w:r>
      <w:r w:rsidRPr="00422B6A">
        <w:rPr>
          <w:rFonts w:ascii="Verdana" w:hAnsi="Verdana" w:cs="Arial"/>
          <w:spacing w:val="-3"/>
        </w:rPr>
        <w:t>normas</w:t>
      </w:r>
      <w:r w:rsidRPr="00422B6A">
        <w:rPr>
          <w:rFonts w:ascii="Verdana" w:hAnsi="Verdana" w:cs="Arial"/>
          <w:spacing w:val="-12"/>
        </w:rPr>
        <w:t xml:space="preserve"> </w:t>
      </w:r>
      <w:r w:rsidRPr="00422B6A">
        <w:rPr>
          <w:rFonts w:ascii="Verdana" w:hAnsi="Verdana" w:cs="Arial"/>
          <w:spacing w:val="-3"/>
        </w:rPr>
        <w:t>indicadas</w:t>
      </w:r>
      <w:r w:rsidRPr="00422B6A">
        <w:rPr>
          <w:rFonts w:ascii="Verdana" w:hAnsi="Verdana" w:cs="Arial"/>
          <w:spacing w:val="-13"/>
        </w:rPr>
        <w:t xml:space="preserve"> </w:t>
      </w:r>
      <w:r w:rsidRPr="00422B6A">
        <w:rPr>
          <w:rFonts w:ascii="Verdana" w:hAnsi="Verdana" w:cs="Arial"/>
          <w:spacing w:val="-3"/>
        </w:rPr>
        <w:t>se</w:t>
      </w:r>
      <w:r w:rsidRPr="00422B6A">
        <w:rPr>
          <w:rFonts w:ascii="Verdana" w:hAnsi="Verdana" w:cs="Arial"/>
          <w:spacing w:val="-12"/>
        </w:rPr>
        <w:t xml:space="preserve"> </w:t>
      </w:r>
      <w:r w:rsidRPr="00422B6A">
        <w:rPr>
          <w:rFonts w:ascii="Verdana" w:hAnsi="Verdana" w:cs="Arial"/>
          <w:spacing w:val="-3"/>
        </w:rPr>
        <w:t>encuentran</w:t>
      </w:r>
      <w:r w:rsidRPr="00422B6A">
        <w:rPr>
          <w:rFonts w:ascii="Verdana" w:hAnsi="Verdana" w:cs="Arial"/>
          <w:spacing w:val="-13"/>
        </w:rPr>
        <w:t xml:space="preserve"> </w:t>
      </w:r>
      <w:r w:rsidRPr="00422B6A">
        <w:rPr>
          <w:rFonts w:ascii="Verdana" w:hAnsi="Verdana" w:cs="Arial"/>
          <w:spacing w:val="-3"/>
        </w:rPr>
        <w:t>en</w:t>
      </w:r>
      <w:r w:rsidRPr="00422B6A">
        <w:rPr>
          <w:rFonts w:ascii="Verdana" w:hAnsi="Verdana" w:cs="Arial"/>
          <w:spacing w:val="-12"/>
        </w:rPr>
        <w:t xml:space="preserve"> </w:t>
      </w:r>
      <w:r w:rsidRPr="00422B6A">
        <w:rPr>
          <w:rFonts w:ascii="Verdana" w:hAnsi="Verdana" w:cs="Arial"/>
          <w:spacing w:val="-3"/>
        </w:rPr>
        <w:t>el</w:t>
      </w:r>
      <w:r w:rsidRPr="00422B6A">
        <w:rPr>
          <w:rFonts w:ascii="Verdana" w:hAnsi="Verdana" w:cs="Arial"/>
          <w:spacing w:val="-13"/>
        </w:rPr>
        <w:t xml:space="preserve"> </w:t>
      </w:r>
      <w:r w:rsidRPr="00422B6A">
        <w:rPr>
          <w:rFonts w:ascii="Verdana" w:hAnsi="Verdana" w:cs="Arial"/>
          <w:spacing w:val="-3"/>
        </w:rPr>
        <w:t>Libro</w:t>
      </w:r>
      <w:r w:rsidRPr="00422B6A">
        <w:rPr>
          <w:rFonts w:ascii="Verdana" w:hAnsi="Verdana" w:cs="Arial"/>
          <w:spacing w:val="-12"/>
        </w:rPr>
        <w:t xml:space="preserve"> </w:t>
      </w:r>
      <w:r w:rsidRPr="00422B6A">
        <w:rPr>
          <w:rFonts w:ascii="Verdana" w:hAnsi="Verdana" w:cs="Arial"/>
          <w:spacing w:val="-3"/>
        </w:rPr>
        <w:t>Segundo</w:t>
      </w:r>
      <w:r w:rsidRPr="00422B6A">
        <w:rPr>
          <w:rFonts w:ascii="Verdana" w:hAnsi="Verdana" w:cs="Arial"/>
          <w:spacing w:val="-13"/>
        </w:rPr>
        <w:t xml:space="preserve"> </w:t>
      </w:r>
      <w:r w:rsidRPr="00422B6A">
        <w:rPr>
          <w:rFonts w:ascii="Verdana" w:hAnsi="Verdana" w:cs="Arial"/>
          <w:spacing w:val="-2"/>
        </w:rPr>
        <w:t>del</w:t>
      </w:r>
      <w:r w:rsidRPr="00422B6A">
        <w:rPr>
          <w:rFonts w:ascii="Verdana" w:hAnsi="Verdana" w:cs="Arial"/>
          <w:spacing w:val="-12"/>
        </w:rPr>
        <w:t xml:space="preserve"> </w:t>
      </w:r>
      <w:r w:rsidRPr="00422B6A">
        <w:rPr>
          <w:rFonts w:ascii="Verdana" w:hAnsi="Verdana" w:cs="Arial"/>
          <w:spacing w:val="-2"/>
        </w:rPr>
        <w:t>Código</w:t>
      </w:r>
      <w:r w:rsidRPr="00422B6A">
        <w:rPr>
          <w:rFonts w:ascii="Verdana" w:hAnsi="Verdana" w:cs="Arial"/>
          <w:spacing w:val="-13"/>
        </w:rPr>
        <w:t xml:space="preserve"> </w:t>
      </w:r>
      <w:r w:rsidRPr="00422B6A">
        <w:rPr>
          <w:rFonts w:ascii="Verdana" w:hAnsi="Verdana" w:cs="Arial"/>
          <w:spacing w:val="-2"/>
        </w:rPr>
        <w:t>de</w:t>
      </w:r>
      <w:r w:rsidRPr="00422B6A">
        <w:rPr>
          <w:rFonts w:ascii="Verdana" w:hAnsi="Verdana" w:cs="Arial"/>
          <w:spacing w:val="-12"/>
        </w:rPr>
        <w:t xml:space="preserve"> </w:t>
      </w:r>
      <w:r w:rsidRPr="00422B6A">
        <w:rPr>
          <w:rFonts w:ascii="Verdana" w:hAnsi="Verdana" w:cs="Arial"/>
          <w:spacing w:val="-2"/>
        </w:rPr>
        <w:t>Comercio,</w:t>
      </w:r>
      <w:r w:rsidRPr="00422B6A">
        <w:rPr>
          <w:rFonts w:ascii="Verdana" w:hAnsi="Verdana" w:cs="Arial"/>
          <w:spacing w:val="-59"/>
        </w:rPr>
        <w:t xml:space="preserve"> </w:t>
      </w:r>
      <w:r w:rsidRPr="00422B6A">
        <w:rPr>
          <w:rFonts w:ascii="Verdana" w:hAnsi="Verdana" w:cs="Arial"/>
        </w:rPr>
        <w:t>que se ocupa “De las Sociedades Comerciales”, y regula las siguientes materias: el</w:t>
      </w:r>
      <w:r w:rsidRPr="00422B6A">
        <w:rPr>
          <w:rFonts w:ascii="Verdana" w:hAnsi="Verdana" w:cs="Arial"/>
          <w:spacing w:val="1"/>
        </w:rPr>
        <w:t xml:space="preserve"> </w:t>
      </w:r>
      <w:r w:rsidRPr="00422B6A">
        <w:rPr>
          <w:rFonts w:ascii="Verdana" w:hAnsi="Verdana" w:cs="Arial"/>
          <w:spacing w:val="-2"/>
        </w:rPr>
        <w:t>contrato</w:t>
      </w:r>
      <w:r w:rsidRPr="00422B6A">
        <w:rPr>
          <w:rFonts w:ascii="Verdana" w:hAnsi="Verdana" w:cs="Arial"/>
          <w:spacing w:val="-13"/>
        </w:rPr>
        <w:t xml:space="preserve"> </w:t>
      </w:r>
      <w:r w:rsidRPr="00422B6A">
        <w:rPr>
          <w:rFonts w:ascii="Verdana" w:hAnsi="Verdana" w:cs="Arial"/>
          <w:spacing w:val="-2"/>
        </w:rPr>
        <w:t>de</w:t>
      </w:r>
      <w:r w:rsidRPr="00422B6A">
        <w:rPr>
          <w:rFonts w:ascii="Verdana" w:hAnsi="Verdana" w:cs="Arial"/>
          <w:spacing w:val="-13"/>
        </w:rPr>
        <w:t xml:space="preserve"> </w:t>
      </w:r>
      <w:r w:rsidRPr="00422B6A">
        <w:rPr>
          <w:rFonts w:ascii="Verdana" w:hAnsi="Verdana" w:cs="Arial"/>
          <w:spacing w:val="-2"/>
        </w:rPr>
        <w:t>sociedad,</w:t>
      </w:r>
      <w:r w:rsidRPr="00422B6A">
        <w:rPr>
          <w:rFonts w:ascii="Verdana" w:hAnsi="Verdana" w:cs="Arial"/>
          <w:spacing w:val="-13"/>
        </w:rPr>
        <w:t xml:space="preserve"> </w:t>
      </w:r>
      <w:r w:rsidRPr="00422B6A">
        <w:rPr>
          <w:rFonts w:ascii="Verdana" w:hAnsi="Verdana" w:cs="Arial"/>
          <w:spacing w:val="-2"/>
        </w:rPr>
        <w:t>la</w:t>
      </w:r>
      <w:r w:rsidRPr="00422B6A">
        <w:rPr>
          <w:rFonts w:ascii="Verdana" w:hAnsi="Verdana" w:cs="Arial"/>
          <w:spacing w:val="-13"/>
        </w:rPr>
        <w:t xml:space="preserve"> </w:t>
      </w:r>
      <w:r w:rsidRPr="00422B6A">
        <w:rPr>
          <w:rFonts w:ascii="Verdana" w:hAnsi="Verdana" w:cs="Arial"/>
          <w:spacing w:val="-2"/>
        </w:rPr>
        <w:t>constitución</w:t>
      </w:r>
      <w:r w:rsidRPr="00422B6A">
        <w:rPr>
          <w:rFonts w:ascii="Verdana" w:hAnsi="Verdana" w:cs="Arial"/>
          <w:spacing w:val="-13"/>
        </w:rPr>
        <w:t xml:space="preserve"> </w:t>
      </w:r>
      <w:r w:rsidRPr="00422B6A">
        <w:rPr>
          <w:rFonts w:ascii="Verdana" w:hAnsi="Verdana" w:cs="Arial"/>
          <w:spacing w:val="-2"/>
        </w:rPr>
        <w:t>y</w:t>
      </w:r>
      <w:r w:rsidRPr="00422B6A">
        <w:rPr>
          <w:rFonts w:ascii="Verdana" w:hAnsi="Verdana" w:cs="Arial"/>
          <w:spacing w:val="-13"/>
        </w:rPr>
        <w:t xml:space="preserve"> </w:t>
      </w:r>
      <w:r w:rsidRPr="00422B6A">
        <w:rPr>
          <w:rFonts w:ascii="Verdana" w:hAnsi="Verdana" w:cs="Arial"/>
          <w:spacing w:val="-2"/>
        </w:rPr>
        <w:t>prueba</w:t>
      </w:r>
      <w:r w:rsidRPr="00422B6A">
        <w:rPr>
          <w:rFonts w:ascii="Verdana" w:hAnsi="Verdana" w:cs="Arial"/>
          <w:spacing w:val="-13"/>
        </w:rPr>
        <w:t xml:space="preserve"> </w:t>
      </w:r>
      <w:r w:rsidRPr="00422B6A">
        <w:rPr>
          <w:rFonts w:ascii="Verdana" w:hAnsi="Verdana" w:cs="Arial"/>
          <w:spacing w:val="-2"/>
        </w:rPr>
        <w:t>de</w:t>
      </w:r>
      <w:r w:rsidRPr="00422B6A">
        <w:rPr>
          <w:rFonts w:ascii="Verdana" w:hAnsi="Verdana" w:cs="Arial"/>
          <w:spacing w:val="-13"/>
        </w:rPr>
        <w:t xml:space="preserve"> </w:t>
      </w:r>
      <w:r w:rsidRPr="00422B6A">
        <w:rPr>
          <w:rFonts w:ascii="Verdana" w:hAnsi="Verdana" w:cs="Arial"/>
          <w:spacing w:val="-2"/>
        </w:rPr>
        <w:t>la</w:t>
      </w:r>
      <w:r w:rsidRPr="00422B6A">
        <w:rPr>
          <w:rFonts w:ascii="Verdana" w:hAnsi="Verdana" w:cs="Arial"/>
          <w:spacing w:val="-13"/>
        </w:rPr>
        <w:t xml:space="preserve"> </w:t>
      </w:r>
      <w:r w:rsidRPr="00422B6A">
        <w:rPr>
          <w:rFonts w:ascii="Verdana" w:hAnsi="Verdana" w:cs="Arial"/>
          <w:spacing w:val="-2"/>
        </w:rPr>
        <w:t>sociedad</w:t>
      </w:r>
      <w:r w:rsidRPr="00422B6A">
        <w:rPr>
          <w:rFonts w:ascii="Verdana" w:hAnsi="Verdana" w:cs="Arial"/>
          <w:spacing w:val="-13"/>
        </w:rPr>
        <w:t xml:space="preserve"> </w:t>
      </w:r>
      <w:r w:rsidRPr="00422B6A">
        <w:rPr>
          <w:rFonts w:ascii="Verdana" w:hAnsi="Verdana" w:cs="Arial"/>
          <w:spacing w:val="-1"/>
        </w:rPr>
        <w:t>comercial,</w:t>
      </w:r>
      <w:r w:rsidRPr="00422B6A">
        <w:rPr>
          <w:rFonts w:ascii="Verdana" w:hAnsi="Verdana" w:cs="Arial"/>
          <w:spacing w:val="-13"/>
        </w:rPr>
        <w:t xml:space="preserve"> </w:t>
      </w:r>
      <w:r w:rsidRPr="00422B6A">
        <w:rPr>
          <w:rFonts w:ascii="Verdana" w:hAnsi="Verdana" w:cs="Arial"/>
          <w:spacing w:val="-1"/>
        </w:rPr>
        <w:t>los</w:t>
      </w:r>
      <w:r w:rsidRPr="00422B6A">
        <w:rPr>
          <w:rFonts w:ascii="Verdana" w:hAnsi="Verdana" w:cs="Arial"/>
          <w:spacing w:val="-13"/>
        </w:rPr>
        <w:t xml:space="preserve"> </w:t>
      </w:r>
      <w:r w:rsidRPr="00422B6A">
        <w:rPr>
          <w:rFonts w:ascii="Verdana" w:hAnsi="Verdana" w:cs="Arial"/>
          <w:spacing w:val="-1"/>
        </w:rPr>
        <w:t>aportes</w:t>
      </w:r>
      <w:r w:rsidRPr="00422B6A">
        <w:rPr>
          <w:rFonts w:ascii="Verdana" w:hAnsi="Verdana" w:cs="Arial"/>
          <w:spacing w:val="-13"/>
        </w:rPr>
        <w:t xml:space="preserve"> </w:t>
      </w:r>
      <w:r w:rsidRPr="00422B6A">
        <w:rPr>
          <w:rFonts w:ascii="Verdana" w:hAnsi="Verdana" w:cs="Arial"/>
          <w:spacing w:val="-1"/>
        </w:rPr>
        <w:t>de</w:t>
      </w:r>
      <w:r w:rsidRPr="00422B6A">
        <w:rPr>
          <w:rFonts w:ascii="Verdana" w:hAnsi="Verdana" w:cs="Arial"/>
          <w:spacing w:val="-13"/>
        </w:rPr>
        <w:t xml:space="preserve"> </w:t>
      </w:r>
      <w:r w:rsidRPr="00422B6A">
        <w:rPr>
          <w:rFonts w:ascii="Verdana" w:hAnsi="Verdana" w:cs="Arial"/>
          <w:spacing w:val="-1"/>
        </w:rPr>
        <w:t xml:space="preserve">los </w:t>
      </w:r>
      <w:r w:rsidRPr="00422B6A">
        <w:rPr>
          <w:rFonts w:ascii="Verdana" w:hAnsi="Verdana" w:cs="Arial"/>
          <w:spacing w:val="-59"/>
        </w:rPr>
        <w:t xml:space="preserve"> </w:t>
      </w:r>
      <w:r w:rsidRPr="00422B6A">
        <w:rPr>
          <w:rFonts w:ascii="Verdana" w:hAnsi="Verdana" w:cs="Arial"/>
        </w:rPr>
        <w:t>asociados, las utilidades sociales, las reformas del contrato social, la transformación y</w:t>
      </w:r>
      <w:r w:rsidRPr="00422B6A">
        <w:rPr>
          <w:rFonts w:ascii="Verdana" w:hAnsi="Verdana" w:cs="Arial"/>
          <w:spacing w:val="1"/>
        </w:rPr>
        <w:t xml:space="preserve"> </w:t>
      </w:r>
      <w:r w:rsidRPr="00422B6A">
        <w:rPr>
          <w:rFonts w:ascii="Verdana" w:hAnsi="Verdana" w:cs="Arial"/>
          <w:spacing w:val="-3"/>
        </w:rPr>
        <w:t>fusión</w:t>
      </w:r>
      <w:r w:rsidRPr="00422B6A">
        <w:rPr>
          <w:rFonts w:ascii="Verdana" w:hAnsi="Verdana" w:cs="Arial"/>
          <w:spacing w:val="-13"/>
        </w:rPr>
        <w:t xml:space="preserve"> </w:t>
      </w:r>
      <w:r w:rsidRPr="00422B6A">
        <w:rPr>
          <w:rFonts w:ascii="Verdana" w:hAnsi="Verdana" w:cs="Arial"/>
          <w:spacing w:val="-3"/>
        </w:rPr>
        <w:t>de</w:t>
      </w:r>
      <w:r w:rsidRPr="00422B6A">
        <w:rPr>
          <w:rFonts w:ascii="Verdana" w:hAnsi="Verdana" w:cs="Arial"/>
          <w:spacing w:val="-12"/>
        </w:rPr>
        <w:t xml:space="preserve"> </w:t>
      </w:r>
      <w:r w:rsidRPr="00422B6A">
        <w:rPr>
          <w:rFonts w:ascii="Verdana" w:hAnsi="Verdana" w:cs="Arial"/>
          <w:spacing w:val="-3"/>
        </w:rPr>
        <w:t>las</w:t>
      </w:r>
      <w:r w:rsidRPr="00422B6A">
        <w:rPr>
          <w:rFonts w:ascii="Verdana" w:hAnsi="Verdana" w:cs="Arial"/>
          <w:spacing w:val="-12"/>
        </w:rPr>
        <w:t xml:space="preserve"> </w:t>
      </w:r>
      <w:r w:rsidRPr="00422B6A">
        <w:rPr>
          <w:rFonts w:ascii="Verdana" w:hAnsi="Verdana" w:cs="Arial"/>
          <w:spacing w:val="-3"/>
        </w:rPr>
        <w:t>sociedades,</w:t>
      </w:r>
      <w:r w:rsidRPr="00422B6A">
        <w:rPr>
          <w:rFonts w:ascii="Verdana" w:hAnsi="Verdana" w:cs="Arial"/>
          <w:spacing w:val="-13"/>
        </w:rPr>
        <w:t xml:space="preserve"> </w:t>
      </w:r>
      <w:r w:rsidRPr="00422B6A">
        <w:rPr>
          <w:rFonts w:ascii="Verdana" w:hAnsi="Verdana" w:cs="Arial"/>
          <w:spacing w:val="-3"/>
        </w:rPr>
        <w:t>la</w:t>
      </w:r>
      <w:r w:rsidRPr="00422B6A">
        <w:rPr>
          <w:rFonts w:ascii="Verdana" w:hAnsi="Verdana" w:cs="Arial"/>
          <w:spacing w:val="-12"/>
        </w:rPr>
        <w:t xml:space="preserve"> </w:t>
      </w:r>
      <w:r w:rsidRPr="00422B6A">
        <w:rPr>
          <w:rFonts w:ascii="Verdana" w:hAnsi="Verdana" w:cs="Arial"/>
          <w:spacing w:val="-3"/>
        </w:rPr>
        <w:t>asamblea</w:t>
      </w:r>
      <w:r w:rsidRPr="00422B6A">
        <w:rPr>
          <w:rFonts w:ascii="Verdana" w:hAnsi="Verdana" w:cs="Arial"/>
          <w:spacing w:val="-12"/>
        </w:rPr>
        <w:t xml:space="preserve"> </w:t>
      </w:r>
      <w:r w:rsidRPr="00422B6A">
        <w:rPr>
          <w:rFonts w:ascii="Verdana" w:hAnsi="Verdana" w:cs="Arial"/>
          <w:spacing w:val="-3"/>
        </w:rPr>
        <w:t>y</w:t>
      </w:r>
      <w:r w:rsidRPr="00422B6A">
        <w:rPr>
          <w:rFonts w:ascii="Verdana" w:hAnsi="Verdana" w:cs="Arial"/>
          <w:spacing w:val="-12"/>
        </w:rPr>
        <w:t xml:space="preserve"> </w:t>
      </w:r>
      <w:r w:rsidRPr="00422B6A">
        <w:rPr>
          <w:rFonts w:ascii="Verdana" w:hAnsi="Verdana" w:cs="Arial"/>
          <w:spacing w:val="-3"/>
        </w:rPr>
        <w:t>junta</w:t>
      </w:r>
      <w:r w:rsidRPr="00422B6A">
        <w:rPr>
          <w:rFonts w:ascii="Verdana" w:hAnsi="Verdana" w:cs="Arial"/>
          <w:spacing w:val="-13"/>
        </w:rPr>
        <w:t xml:space="preserve"> </w:t>
      </w:r>
      <w:r w:rsidRPr="00422B6A">
        <w:rPr>
          <w:rFonts w:ascii="Verdana" w:hAnsi="Verdana" w:cs="Arial"/>
          <w:spacing w:val="-3"/>
        </w:rPr>
        <w:t>de</w:t>
      </w:r>
      <w:r w:rsidRPr="00422B6A">
        <w:rPr>
          <w:rFonts w:ascii="Verdana" w:hAnsi="Verdana" w:cs="Arial"/>
          <w:spacing w:val="-12"/>
        </w:rPr>
        <w:t xml:space="preserve"> </w:t>
      </w:r>
      <w:r w:rsidRPr="00422B6A">
        <w:rPr>
          <w:rFonts w:ascii="Verdana" w:hAnsi="Verdana" w:cs="Arial"/>
          <w:spacing w:val="-3"/>
        </w:rPr>
        <w:t>socios</w:t>
      </w:r>
      <w:r w:rsidRPr="00422B6A">
        <w:rPr>
          <w:rFonts w:ascii="Verdana" w:hAnsi="Verdana" w:cs="Arial"/>
          <w:spacing w:val="-12"/>
        </w:rPr>
        <w:t xml:space="preserve"> </w:t>
      </w:r>
      <w:r w:rsidRPr="00422B6A">
        <w:rPr>
          <w:rFonts w:ascii="Verdana" w:hAnsi="Verdana" w:cs="Arial"/>
          <w:spacing w:val="-3"/>
        </w:rPr>
        <w:t>o</w:t>
      </w:r>
      <w:r w:rsidRPr="00422B6A">
        <w:rPr>
          <w:rFonts w:ascii="Verdana" w:hAnsi="Verdana" w:cs="Arial"/>
          <w:spacing w:val="-12"/>
        </w:rPr>
        <w:t xml:space="preserve"> </w:t>
      </w:r>
      <w:r w:rsidRPr="00422B6A">
        <w:rPr>
          <w:rFonts w:ascii="Verdana" w:hAnsi="Verdana" w:cs="Arial"/>
          <w:spacing w:val="-2"/>
        </w:rPr>
        <w:t>administradores,</w:t>
      </w:r>
      <w:r w:rsidRPr="00422B6A">
        <w:rPr>
          <w:rFonts w:ascii="Verdana" w:hAnsi="Verdana" w:cs="Arial"/>
          <w:spacing w:val="-13"/>
        </w:rPr>
        <w:t xml:space="preserve"> </w:t>
      </w:r>
      <w:r w:rsidRPr="00422B6A">
        <w:rPr>
          <w:rFonts w:ascii="Verdana" w:hAnsi="Verdana" w:cs="Arial"/>
          <w:spacing w:val="-2"/>
        </w:rPr>
        <w:t>el</w:t>
      </w:r>
      <w:r w:rsidRPr="00422B6A">
        <w:rPr>
          <w:rFonts w:ascii="Verdana" w:hAnsi="Verdana" w:cs="Arial"/>
          <w:spacing w:val="-12"/>
        </w:rPr>
        <w:t xml:space="preserve"> </w:t>
      </w:r>
      <w:r w:rsidRPr="00422B6A">
        <w:rPr>
          <w:rFonts w:ascii="Verdana" w:hAnsi="Verdana" w:cs="Arial"/>
          <w:spacing w:val="-2"/>
        </w:rPr>
        <w:t>revisor</w:t>
      </w:r>
      <w:r w:rsidRPr="00422B6A">
        <w:rPr>
          <w:rFonts w:ascii="Verdana" w:hAnsi="Verdana" w:cs="Arial"/>
          <w:spacing w:val="-12"/>
        </w:rPr>
        <w:t xml:space="preserve"> </w:t>
      </w:r>
      <w:r w:rsidRPr="00422B6A">
        <w:rPr>
          <w:rFonts w:ascii="Verdana" w:hAnsi="Verdana" w:cs="Arial"/>
          <w:spacing w:val="-2"/>
        </w:rPr>
        <w:t>fiscal,</w:t>
      </w:r>
      <w:r w:rsidRPr="00422B6A">
        <w:rPr>
          <w:rFonts w:ascii="Verdana" w:hAnsi="Verdana" w:cs="Arial"/>
          <w:spacing w:val="-59"/>
        </w:rPr>
        <w:t xml:space="preserve">     </w:t>
      </w:r>
      <w:r w:rsidRPr="00422B6A">
        <w:rPr>
          <w:rFonts w:ascii="Verdana" w:hAnsi="Verdana" w:cs="Arial"/>
          <w:spacing w:val="-3"/>
        </w:rPr>
        <w:t>la</w:t>
      </w:r>
      <w:r w:rsidRPr="00422B6A">
        <w:rPr>
          <w:rFonts w:ascii="Verdana" w:hAnsi="Verdana" w:cs="Arial"/>
          <w:spacing w:val="-15"/>
        </w:rPr>
        <w:t xml:space="preserve"> </w:t>
      </w:r>
      <w:r w:rsidRPr="00422B6A">
        <w:rPr>
          <w:rFonts w:ascii="Verdana" w:hAnsi="Verdana" w:cs="Arial"/>
          <w:spacing w:val="-3"/>
        </w:rPr>
        <w:t>disolución</w:t>
      </w:r>
      <w:r w:rsidRPr="00422B6A">
        <w:rPr>
          <w:rFonts w:ascii="Verdana" w:hAnsi="Verdana" w:cs="Arial"/>
          <w:spacing w:val="-15"/>
        </w:rPr>
        <w:t xml:space="preserve"> </w:t>
      </w:r>
      <w:r w:rsidRPr="00422B6A">
        <w:rPr>
          <w:rFonts w:ascii="Verdana" w:hAnsi="Verdana" w:cs="Arial"/>
          <w:spacing w:val="-3"/>
        </w:rPr>
        <w:t>de</w:t>
      </w:r>
      <w:r w:rsidRPr="00422B6A">
        <w:rPr>
          <w:rFonts w:ascii="Verdana" w:hAnsi="Verdana" w:cs="Arial"/>
          <w:spacing w:val="-15"/>
        </w:rPr>
        <w:t xml:space="preserve"> </w:t>
      </w:r>
      <w:r w:rsidRPr="00422B6A">
        <w:rPr>
          <w:rFonts w:ascii="Verdana" w:hAnsi="Verdana" w:cs="Arial"/>
          <w:spacing w:val="-3"/>
        </w:rPr>
        <w:t>la</w:t>
      </w:r>
      <w:r w:rsidRPr="00422B6A">
        <w:rPr>
          <w:rFonts w:ascii="Verdana" w:hAnsi="Verdana" w:cs="Arial"/>
          <w:spacing w:val="-15"/>
        </w:rPr>
        <w:t xml:space="preserve"> </w:t>
      </w:r>
      <w:r w:rsidRPr="00422B6A">
        <w:rPr>
          <w:rFonts w:ascii="Verdana" w:hAnsi="Verdana" w:cs="Arial"/>
          <w:spacing w:val="-3"/>
        </w:rPr>
        <w:t>sociedad,</w:t>
      </w:r>
      <w:r w:rsidRPr="00422B6A">
        <w:rPr>
          <w:rFonts w:ascii="Verdana" w:hAnsi="Verdana" w:cs="Arial"/>
          <w:spacing w:val="-15"/>
        </w:rPr>
        <w:t xml:space="preserve"> </w:t>
      </w:r>
      <w:r w:rsidRPr="00422B6A">
        <w:rPr>
          <w:rFonts w:ascii="Verdana" w:hAnsi="Verdana" w:cs="Arial"/>
          <w:spacing w:val="-3"/>
        </w:rPr>
        <w:t>la</w:t>
      </w:r>
      <w:r w:rsidRPr="00422B6A">
        <w:rPr>
          <w:rFonts w:ascii="Verdana" w:hAnsi="Verdana" w:cs="Arial"/>
          <w:spacing w:val="-15"/>
        </w:rPr>
        <w:t xml:space="preserve"> </w:t>
      </w:r>
      <w:r w:rsidRPr="00422B6A">
        <w:rPr>
          <w:rFonts w:ascii="Verdana" w:hAnsi="Verdana" w:cs="Arial"/>
          <w:spacing w:val="-3"/>
        </w:rPr>
        <w:t>liquidación</w:t>
      </w:r>
      <w:r w:rsidRPr="00422B6A">
        <w:rPr>
          <w:rFonts w:ascii="Verdana" w:hAnsi="Verdana" w:cs="Arial"/>
          <w:spacing w:val="-15"/>
        </w:rPr>
        <w:t xml:space="preserve"> </w:t>
      </w:r>
      <w:r w:rsidRPr="00422B6A">
        <w:rPr>
          <w:rFonts w:ascii="Verdana" w:hAnsi="Verdana" w:cs="Arial"/>
          <w:spacing w:val="-3"/>
        </w:rPr>
        <w:t>del</w:t>
      </w:r>
      <w:r w:rsidRPr="00422B6A">
        <w:rPr>
          <w:rFonts w:ascii="Verdana" w:hAnsi="Verdana" w:cs="Arial"/>
          <w:spacing w:val="-15"/>
        </w:rPr>
        <w:t xml:space="preserve"> </w:t>
      </w:r>
      <w:r w:rsidRPr="00422B6A">
        <w:rPr>
          <w:rFonts w:ascii="Verdana" w:hAnsi="Verdana" w:cs="Arial"/>
          <w:spacing w:val="-3"/>
        </w:rPr>
        <w:t>patrimonio</w:t>
      </w:r>
      <w:r w:rsidRPr="00422B6A">
        <w:rPr>
          <w:rFonts w:ascii="Verdana" w:hAnsi="Verdana" w:cs="Arial"/>
          <w:spacing w:val="-15"/>
        </w:rPr>
        <w:t xml:space="preserve"> </w:t>
      </w:r>
      <w:r w:rsidRPr="00422B6A">
        <w:rPr>
          <w:rFonts w:ascii="Verdana" w:hAnsi="Verdana" w:cs="Arial"/>
          <w:spacing w:val="-3"/>
        </w:rPr>
        <w:t>social,</w:t>
      </w:r>
      <w:r w:rsidRPr="00422B6A">
        <w:rPr>
          <w:rFonts w:ascii="Verdana" w:hAnsi="Verdana" w:cs="Arial"/>
          <w:spacing w:val="-15"/>
        </w:rPr>
        <w:t xml:space="preserve"> </w:t>
      </w:r>
      <w:r w:rsidRPr="00422B6A">
        <w:rPr>
          <w:rFonts w:ascii="Verdana" w:hAnsi="Verdana" w:cs="Arial"/>
          <w:spacing w:val="-2"/>
        </w:rPr>
        <w:t>las</w:t>
      </w:r>
      <w:r w:rsidRPr="00422B6A">
        <w:rPr>
          <w:rFonts w:ascii="Verdana" w:hAnsi="Verdana" w:cs="Arial"/>
          <w:spacing w:val="-15"/>
        </w:rPr>
        <w:t xml:space="preserve"> </w:t>
      </w:r>
      <w:r w:rsidRPr="00422B6A">
        <w:rPr>
          <w:rFonts w:ascii="Verdana" w:hAnsi="Verdana" w:cs="Arial"/>
          <w:spacing w:val="-2"/>
        </w:rPr>
        <w:t>matrices,</w:t>
      </w:r>
      <w:r w:rsidRPr="00097EFB">
        <w:rPr>
          <w:rFonts w:ascii="Verdana" w:hAnsi="Verdana" w:cs="Arial"/>
          <w:spacing w:val="-2"/>
        </w:rPr>
        <w:t xml:space="preserve"> </w:t>
      </w:r>
      <w:r w:rsidRPr="00422B6A">
        <w:rPr>
          <w:rFonts w:ascii="Verdana" w:hAnsi="Verdana" w:cs="Arial"/>
          <w:spacing w:val="-2"/>
        </w:rPr>
        <w:t>subordinadas</w:t>
      </w:r>
      <w:r w:rsidRPr="00097EFB">
        <w:rPr>
          <w:rFonts w:ascii="Verdana" w:hAnsi="Verdana" w:cs="Arial"/>
          <w:spacing w:val="-2"/>
        </w:rPr>
        <w:t xml:space="preserve"> y sucursales,</w:t>
      </w:r>
      <w:r w:rsidRPr="00422B6A">
        <w:rPr>
          <w:rFonts w:ascii="Verdana" w:hAnsi="Verdana" w:cs="Arial"/>
          <w:spacing w:val="-2"/>
        </w:rPr>
        <w:t xml:space="preserve"> </w:t>
      </w:r>
      <w:r w:rsidRPr="00097EFB">
        <w:rPr>
          <w:rFonts w:ascii="Verdana" w:hAnsi="Verdana" w:cs="Arial"/>
          <w:spacing w:val="-2"/>
        </w:rPr>
        <w:t>la inspección</w:t>
      </w:r>
      <w:r w:rsidRPr="00422B6A">
        <w:rPr>
          <w:rFonts w:ascii="Verdana" w:hAnsi="Verdana" w:cs="Arial"/>
          <w:spacing w:val="-2"/>
        </w:rPr>
        <w:t xml:space="preserve"> </w:t>
      </w:r>
      <w:r w:rsidRPr="00097EFB">
        <w:rPr>
          <w:rFonts w:ascii="Verdana" w:hAnsi="Verdana" w:cs="Arial"/>
          <w:spacing w:val="-2"/>
        </w:rPr>
        <w:t>y</w:t>
      </w:r>
      <w:r w:rsidRPr="00422B6A">
        <w:rPr>
          <w:rFonts w:ascii="Verdana" w:hAnsi="Verdana" w:cs="Arial"/>
          <w:spacing w:val="-2"/>
        </w:rPr>
        <w:t xml:space="preserve"> </w:t>
      </w:r>
      <w:r w:rsidRPr="00097EFB">
        <w:rPr>
          <w:rFonts w:ascii="Verdana" w:hAnsi="Verdana" w:cs="Arial"/>
          <w:spacing w:val="-2"/>
        </w:rPr>
        <w:t>vigilancia de</w:t>
      </w:r>
      <w:r w:rsidRPr="00422B6A">
        <w:rPr>
          <w:rFonts w:ascii="Verdana" w:hAnsi="Verdana" w:cs="Arial"/>
          <w:spacing w:val="-2"/>
        </w:rPr>
        <w:t xml:space="preserve"> </w:t>
      </w:r>
      <w:r w:rsidRPr="00097EFB">
        <w:rPr>
          <w:rFonts w:ascii="Verdana" w:hAnsi="Verdana" w:cs="Arial"/>
          <w:spacing w:val="-2"/>
        </w:rPr>
        <w:t>las</w:t>
      </w:r>
      <w:r w:rsidRPr="00422B6A">
        <w:rPr>
          <w:rFonts w:ascii="Verdana" w:hAnsi="Verdana" w:cs="Arial"/>
          <w:spacing w:val="-2"/>
        </w:rPr>
        <w:t xml:space="preserve"> </w:t>
      </w:r>
      <w:r w:rsidRPr="00097EFB">
        <w:rPr>
          <w:rFonts w:ascii="Verdana" w:hAnsi="Verdana" w:cs="Arial"/>
          <w:spacing w:val="-2"/>
        </w:rPr>
        <w:t>sociedades, los</w:t>
      </w:r>
      <w:r w:rsidRPr="00422B6A">
        <w:rPr>
          <w:rFonts w:ascii="Verdana" w:hAnsi="Verdana" w:cs="Arial"/>
          <w:spacing w:val="-2"/>
        </w:rPr>
        <w:t xml:space="preserve"> </w:t>
      </w:r>
      <w:r w:rsidRPr="00097EFB">
        <w:rPr>
          <w:rFonts w:ascii="Verdana" w:hAnsi="Verdana" w:cs="Arial"/>
          <w:spacing w:val="-2"/>
        </w:rPr>
        <w:t>balances</w:t>
      </w:r>
      <w:r w:rsidRPr="00422B6A">
        <w:rPr>
          <w:rFonts w:ascii="Verdana" w:hAnsi="Verdana" w:cs="Arial"/>
          <w:spacing w:val="-2"/>
        </w:rPr>
        <w:t xml:space="preserve"> </w:t>
      </w:r>
      <w:r w:rsidRPr="00097EFB">
        <w:rPr>
          <w:rFonts w:ascii="Verdana" w:hAnsi="Verdana" w:cs="Arial"/>
          <w:spacing w:val="-2"/>
        </w:rPr>
        <w:t>y finalmente</w:t>
      </w:r>
      <w:r w:rsidRPr="00422B6A">
        <w:rPr>
          <w:rFonts w:ascii="Verdana" w:hAnsi="Verdana" w:cs="Arial"/>
          <w:spacing w:val="-2"/>
        </w:rPr>
        <w:t xml:space="preserve"> </w:t>
      </w:r>
      <w:r w:rsidRPr="00097EFB">
        <w:rPr>
          <w:rFonts w:ascii="Verdana" w:hAnsi="Verdana" w:cs="Arial"/>
          <w:spacing w:val="-2"/>
        </w:rPr>
        <w:t xml:space="preserve">las clases o tipos de sociedades: colectiva, en comandita –simple y por acciones–, de </w:t>
      </w:r>
      <w:r w:rsidRPr="00097EFB">
        <w:rPr>
          <w:rFonts w:ascii="Verdana" w:hAnsi="Verdana" w:cs="Arial"/>
          <w:spacing w:val="-2"/>
        </w:rPr>
        <w:lastRenderedPageBreak/>
        <w:t>responsabilidad limitada, anónima, de economía mixta, extranjeras, mercantiles de hecho y cuentas en participación.</w:t>
      </w:r>
    </w:p>
    <w:p w14:paraId="5ECC2B0B" w14:textId="77777777" w:rsidR="003C2794" w:rsidRDefault="003C2794" w:rsidP="003C2794">
      <w:pPr>
        <w:spacing w:after="120"/>
        <w:ind w:firstLine="708"/>
        <w:jc w:val="both"/>
        <w:rPr>
          <w:rFonts w:ascii="Verdana" w:hAnsi="Verdana"/>
        </w:rPr>
      </w:pPr>
      <w:r w:rsidRPr="00422B6A">
        <w:rPr>
          <w:rFonts w:ascii="Verdana" w:hAnsi="Verdana"/>
        </w:rPr>
        <w:t xml:space="preserve">Los tipos o clases de sociedades comerciales citadas –entre otras reguladas en leyes especiales; y algunas atípicas, pues en el Código de Comercio no están todas las sociedades que se pueden constituir– se agrupan u organizan, doctrinaria y jurisprudencialmente en i) sociedades de capital y </w:t>
      </w:r>
      <w:proofErr w:type="spellStart"/>
      <w:r w:rsidRPr="00422B6A">
        <w:rPr>
          <w:rFonts w:ascii="Verdana" w:hAnsi="Verdana"/>
        </w:rPr>
        <w:t>ii</w:t>
      </w:r>
      <w:proofErr w:type="spellEnd"/>
      <w:r w:rsidRPr="00422B6A">
        <w:rPr>
          <w:rFonts w:ascii="Verdana" w:hAnsi="Verdana"/>
        </w:rPr>
        <w:t>) sociedades de personas. Sin embargo, el Código de Comercio no establece positivamente esta clasificación, pese a que su vigencia y validez es indiscutida en el ámbito mercantil.</w:t>
      </w:r>
    </w:p>
    <w:p w14:paraId="599C2E32" w14:textId="77777777" w:rsidR="003C2794" w:rsidRPr="00097EFB" w:rsidRDefault="003C2794" w:rsidP="003C2794">
      <w:pPr>
        <w:ind w:firstLine="708"/>
        <w:jc w:val="both"/>
        <w:rPr>
          <w:rFonts w:ascii="Verdana" w:hAnsi="Verdana"/>
        </w:rPr>
      </w:pPr>
      <w:r w:rsidRPr="00422B6A">
        <w:rPr>
          <w:rFonts w:ascii="Verdana" w:hAnsi="Verdana" w:cs="Arial"/>
        </w:rPr>
        <w:t>Sin embargo, esta clasificación no es la única posible. La doctrina del derecho</w:t>
      </w:r>
      <w:r w:rsidRPr="00422B6A">
        <w:rPr>
          <w:rFonts w:ascii="Verdana" w:hAnsi="Verdana" w:cs="Arial"/>
          <w:spacing w:val="1"/>
        </w:rPr>
        <w:t xml:space="preserve"> </w:t>
      </w:r>
      <w:r w:rsidRPr="00422B6A">
        <w:rPr>
          <w:rFonts w:ascii="Verdana" w:hAnsi="Verdana" w:cs="Arial"/>
          <w:spacing w:val="-2"/>
        </w:rPr>
        <w:t>comercial,</w:t>
      </w:r>
      <w:r w:rsidRPr="00422B6A">
        <w:rPr>
          <w:rFonts w:ascii="Verdana" w:hAnsi="Verdana" w:cs="Arial"/>
          <w:spacing w:val="-14"/>
        </w:rPr>
        <w:t xml:space="preserve"> </w:t>
      </w:r>
      <w:r w:rsidRPr="00422B6A">
        <w:rPr>
          <w:rFonts w:ascii="Verdana" w:hAnsi="Verdana" w:cs="Arial"/>
          <w:spacing w:val="-2"/>
        </w:rPr>
        <w:t>tanto</w:t>
      </w:r>
      <w:r w:rsidRPr="00422B6A">
        <w:rPr>
          <w:rFonts w:ascii="Verdana" w:hAnsi="Verdana" w:cs="Arial"/>
          <w:spacing w:val="-13"/>
        </w:rPr>
        <w:t xml:space="preserve"> </w:t>
      </w:r>
      <w:r w:rsidRPr="00422B6A">
        <w:rPr>
          <w:rFonts w:ascii="Verdana" w:hAnsi="Verdana" w:cs="Arial"/>
          <w:spacing w:val="-2"/>
        </w:rPr>
        <w:t>nacional</w:t>
      </w:r>
      <w:r w:rsidRPr="00422B6A">
        <w:rPr>
          <w:rFonts w:ascii="Verdana" w:hAnsi="Verdana" w:cs="Arial"/>
          <w:spacing w:val="-13"/>
        </w:rPr>
        <w:t xml:space="preserve"> </w:t>
      </w:r>
      <w:r w:rsidRPr="00422B6A">
        <w:rPr>
          <w:rFonts w:ascii="Verdana" w:hAnsi="Verdana" w:cs="Arial"/>
          <w:spacing w:val="-2"/>
        </w:rPr>
        <w:t>como</w:t>
      </w:r>
      <w:r w:rsidRPr="00422B6A">
        <w:rPr>
          <w:rFonts w:ascii="Verdana" w:hAnsi="Verdana" w:cs="Arial"/>
          <w:spacing w:val="-13"/>
        </w:rPr>
        <w:t xml:space="preserve"> </w:t>
      </w:r>
      <w:r w:rsidRPr="00422B6A">
        <w:rPr>
          <w:rFonts w:ascii="Verdana" w:hAnsi="Verdana" w:cs="Arial"/>
          <w:spacing w:val="-2"/>
        </w:rPr>
        <w:t>extranjera,</w:t>
      </w:r>
      <w:r w:rsidRPr="00422B6A">
        <w:rPr>
          <w:rFonts w:ascii="Verdana" w:hAnsi="Verdana" w:cs="Arial"/>
          <w:spacing w:val="-13"/>
        </w:rPr>
        <w:t xml:space="preserve"> </w:t>
      </w:r>
      <w:r w:rsidRPr="00422B6A">
        <w:rPr>
          <w:rFonts w:ascii="Verdana" w:hAnsi="Verdana" w:cs="Arial"/>
          <w:spacing w:val="-2"/>
        </w:rPr>
        <w:t>propone</w:t>
      </w:r>
      <w:r w:rsidRPr="00422B6A">
        <w:rPr>
          <w:rFonts w:ascii="Verdana" w:hAnsi="Verdana" w:cs="Arial"/>
          <w:spacing w:val="-13"/>
        </w:rPr>
        <w:t xml:space="preserve"> </w:t>
      </w:r>
      <w:r w:rsidRPr="00422B6A">
        <w:rPr>
          <w:rFonts w:ascii="Verdana" w:hAnsi="Verdana" w:cs="Arial"/>
          <w:spacing w:val="-2"/>
        </w:rPr>
        <w:t>otras,</w:t>
      </w:r>
      <w:r w:rsidRPr="00422B6A">
        <w:rPr>
          <w:rFonts w:ascii="Verdana" w:hAnsi="Verdana" w:cs="Arial"/>
          <w:spacing w:val="-13"/>
        </w:rPr>
        <w:t xml:space="preserve"> </w:t>
      </w:r>
      <w:r w:rsidRPr="00422B6A">
        <w:rPr>
          <w:rFonts w:ascii="Verdana" w:hAnsi="Verdana" w:cs="Arial"/>
          <w:spacing w:val="-2"/>
        </w:rPr>
        <w:t>atendiendo</w:t>
      </w:r>
      <w:r w:rsidRPr="00422B6A">
        <w:rPr>
          <w:rFonts w:ascii="Verdana" w:hAnsi="Verdana" w:cs="Arial"/>
          <w:spacing w:val="-13"/>
        </w:rPr>
        <w:t xml:space="preserve"> </w:t>
      </w:r>
      <w:r w:rsidRPr="00422B6A">
        <w:rPr>
          <w:rFonts w:ascii="Verdana" w:hAnsi="Verdana" w:cs="Arial"/>
          <w:spacing w:val="-1"/>
        </w:rPr>
        <w:t>a</w:t>
      </w:r>
      <w:r w:rsidRPr="00422B6A">
        <w:rPr>
          <w:rFonts w:ascii="Verdana" w:hAnsi="Verdana" w:cs="Arial"/>
          <w:spacing w:val="-13"/>
        </w:rPr>
        <w:t xml:space="preserve"> </w:t>
      </w:r>
      <w:r w:rsidRPr="00422B6A">
        <w:rPr>
          <w:rFonts w:ascii="Verdana" w:hAnsi="Verdana" w:cs="Arial"/>
          <w:spacing w:val="-1"/>
        </w:rPr>
        <w:t>diversos</w:t>
      </w:r>
      <w:r w:rsidRPr="00422B6A">
        <w:rPr>
          <w:rFonts w:ascii="Verdana" w:hAnsi="Verdana" w:cs="Arial"/>
          <w:spacing w:val="-13"/>
        </w:rPr>
        <w:t xml:space="preserve"> </w:t>
      </w:r>
      <w:r w:rsidRPr="00422B6A">
        <w:rPr>
          <w:rFonts w:ascii="Verdana" w:hAnsi="Verdana"/>
        </w:rPr>
        <w:t>aspectos o características</w:t>
      </w:r>
      <w:r w:rsidRPr="00422B6A">
        <w:rPr>
          <w:rFonts w:ascii="Verdana" w:hAnsi="Verdana" w:cs="Arial"/>
          <w:spacing w:val="-14"/>
        </w:rPr>
        <w:t xml:space="preserve"> </w:t>
      </w:r>
      <w:r w:rsidRPr="00422B6A">
        <w:rPr>
          <w:rFonts w:ascii="Verdana" w:hAnsi="Verdana" w:cs="Arial"/>
          <w:spacing w:val="-1"/>
        </w:rPr>
        <w:t>de</w:t>
      </w:r>
      <w:r w:rsidRPr="00422B6A">
        <w:rPr>
          <w:rFonts w:ascii="Verdana" w:hAnsi="Verdana" w:cs="Arial"/>
          <w:spacing w:val="-14"/>
        </w:rPr>
        <w:t xml:space="preserve"> </w:t>
      </w:r>
      <w:r w:rsidRPr="00422B6A">
        <w:rPr>
          <w:rFonts w:ascii="Verdana" w:hAnsi="Verdana" w:cs="Arial"/>
          <w:spacing w:val="-1"/>
        </w:rPr>
        <w:t>las</w:t>
      </w:r>
      <w:r w:rsidRPr="00422B6A">
        <w:rPr>
          <w:rFonts w:ascii="Verdana" w:hAnsi="Verdana" w:cs="Arial"/>
          <w:spacing w:val="-14"/>
        </w:rPr>
        <w:t xml:space="preserve"> </w:t>
      </w:r>
      <w:r w:rsidRPr="00422B6A">
        <w:rPr>
          <w:rFonts w:ascii="Verdana" w:hAnsi="Verdana" w:cs="Arial"/>
          <w:spacing w:val="-1"/>
        </w:rPr>
        <w:t>sociedades.</w:t>
      </w:r>
      <w:r w:rsidRPr="00422B6A">
        <w:rPr>
          <w:rFonts w:ascii="Verdana" w:hAnsi="Verdana" w:cs="Arial"/>
          <w:spacing w:val="-15"/>
        </w:rPr>
        <w:t xml:space="preserve"> </w:t>
      </w:r>
      <w:r w:rsidRPr="00422B6A">
        <w:rPr>
          <w:rFonts w:ascii="Verdana" w:hAnsi="Verdana" w:cs="Arial"/>
          <w:spacing w:val="-1"/>
        </w:rPr>
        <w:t>Por</w:t>
      </w:r>
      <w:r w:rsidRPr="00422B6A">
        <w:rPr>
          <w:rFonts w:ascii="Verdana" w:hAnsi="Verdana" w:cs="Arial"/>
          <w:spacing w:val="-14"/>
        </w:rPr>
        <w:t xml:space="preserve"> </w:t>
      </w:r>
      <w:r w:rsidRPr="00422B6A">
        <w:rPr>
          <w:rFonts w:ascii="Verdana" w:hAnsi="Verdana" w:cs="Arial"/>
          <w:spacing w:val="-1"/>
        </w:rPr>
        <w:t>ejemplo,</w:t>
      </w:r>
      <w:r w:rsidRPr="00422B6A">
        <w:rPr>
          <w:rFonts w:ascii="Verdana" w:hAnsi="Verdana" w:cs="Arial"/>
          <w:spacing w:val="-14"/>
        </w:rPr>
        <w:t xml:space="preserve"> </w:t>
      </w:r>
      <w:r w:rsidRPr="00422B6A">
        <w:rPr>
          <w:rFonts w:ascii="Verdana" w:hAnsi="Verdana" w:cs="Arial"/>
        </w:rPr>
        <w:t>la</w:t>
      </w:r>
      <w:r w:rsidRPr="00422B6A">
        <w:rPr>
          <w:rFonts w:ascii="Verdana" w:hAnsi="Verdana" w:cs="Arial"/>
          <w:spacing w:val="-14"/>
        </w:rPr>
        <w:t xml:space="preserve"> </w:t>
      </w:r>
      <w:r w:rsidRPr="00422B6A">
        <w:rPr>
          <w:rFonts w:ascii="Verdana" w:hAnsi="Verdana" w:cs="Arial"/>
        </w:rPr>
        <w:t>categorización</w:t>
      </w:r>
      <w:r w:rsidRPr="00422B6A">
        <w:rPr>
          <w:rFonts w:ascii="Verdana" w:hAnsi="Verdana" w:cs="Arial"/>
          <w:spacing w:val="-15"/>
        </w:rPr>
        <w:t xml:space="preserve"> </w:t>
      </w:r>
      <w:r w:rsidRPr="00422B6A">
        <w:rPr>
          <w:rFonts w:ascii="Verdana" w:hAnsi="Verdana" w:cs="Arial"/>
        </w:rPr>
        <w:t>citada</w:t>
      </w:r>
      <w:r w:rsidRPr="00422B6A">
        <w:rPr>
          <w:rFonts w:ascii="Verdana" w:hAnsi="Verdana" w:cs="Arial"/>
          <w:spacing w:val="-14"/>
        </w:rPr>
        <w:t xml:space="preserve"> </w:t>
      </w:r>
      <w:r w:rsidRPr="00422B6A">
        <w:rPr>
          <w:rFonts w:ascii="Verdana" w:hAnsi="Verdana" w:cs="Arial"/>
        </w:rPr>
        <w:t>antes</w:t>
      </w:r>
      <w:r w:rsidRPr="00422B6A">
        <w:rPr>
          <w:rFonts w:ascii="Verdana" w:hAnsi="Verdana" w:cs="Arial"/>
          <w:spacing w:val="-14"/>
        </w:rPr>
        <w:t xml:space="preserve"> </w:t>
      </w:r>
      <w:r w:rsidRPr="00422B6A">
        <w:rPr>
          <w:rFonts w:ascii="Verdana" w:hAnsi="Verdana" w:cs="Arial"/>
        </w:rPr>
        <w:t>atiende</w:t>
      </w:r>
      <w:r w:rsidRPr="00422B6A">
        <w:rPr>
          <w:rFonts w:ascii="Verdana" w:hAnsi="Verdana" w:cs="Arial"/>
          <w:spacing w:val="-14"/>
        </w:rPr>
        <w:t xml:space="preserve"> </w:t>
      </w:r>
      <w:r w:rsidRPr="00422B6A">
        <w:rPr>
          <w:rFonts w:ascii="Verdana" w:hAnsi="Verdana" w:cs="Arial"/>
        </w:rPr>
        <w:t>a la relevancia</w:t>
      </w:r>
      <w:r w:rsidRPr="00422B6A">
        <w:rPr>
          <w:rFonts w:ascii="Verdana" w:hAnsi="Verdana" w:cs="Arial"/>
          <w:spacing w:val="-13"/>
        </w:rPr>
        <w:t xml:space="preserve"> </w:t>
      </w:r>
      <w:r w:rsidRPr="00422B6A">
        <w:rPr>
          <w:rFonts w:ascii="Verdana" w:hAnsi="Verdana" w:cs="Arial"/>
        </w:rPr>
        <w:t>que</w:t>
      </w:r>
      <w:r w:rsidRPr="00422B6A">
        <w:rPr>
          <w:rFonts w:ascii="Verdana" w:hAnsi="Verdana" w:cs="Arial"/>
          <w:spacing w:val="-14"/>
        </w:rPr>
        <w:t xml:space="preserve"> </w:t>
      </w:r>
      <w:r w:rsidRPr="00422B6A">
        <w:rPr>
          <w:rFonts w:ascii="Verdana" w:hAnsi="Verdana" w:cs="Arial"/>
        </w:rPr>
        <w:t>tienen</w:t>
      </w:r>
      <w:r w:rsidRPr="00422B6A">
        <w:rPr>
          <w:rFonts w:ascii="Verdana" w:hAnsi="Verdana" w:cs="Arial"/>
          <w:spacing w:val="-13"/>
        </w:rPr>
        <w:t xml:space="preserve"> </w:t>
      </w:r>
      <w:r w:rsidRPr="00422B6A">
        <w:rPr>
          <w:rFonts w:ascii="Verdana" w:hAnsi="Verdana" w:cs="Arial"/>
        </w:rPr>
        <w:t>los</w:t>
      </w:r>
      <w:r w:rsidRPr="00422B6A">
        <w:rPr>
          <w:rFonts w:ascii="Verdana" w:hAnsi="Verdana" w:cs="Arial"/>
          <w:spacing w:val="-14"/>
        </w:rPr>
        <w:t xml:space="preserve"> </w:t>
      </w:r>
      <w:r w:rsidRPr="00422B6A">
        <w:rPr>
          <w:rFonts w:ascii="Verdana" w:hAnsi="Verdana" w:cs="Arial"/>
        </w:rPr>
        <w:t>socios</w:t>
      </w:r>
      <w:r w:rsidRPr="00422B6A">
        <w:rPr>
          <w:rFonts w:ascii="Verdana" w:hAnsi="Verdana" w:cs="Arial"/>
          <w:spacing w:val="-13"/>
        </w:rPr>
        <w:t xml:space="preserve"> </w:t>
      </w:r>
      <w:r w:rsidRPr="00422B6A">
        <w:rPr>
          <w:rFonts w:ascii="Verdana" w:hAnsi="Verdana" w:cs="Arial"/>
        </w:rPr>
        <w:t>o</w:t>
      </w:r>
      <w:r w:rsidRPr="00422B6A">
        <w:rPr>
          <w:rFonts w:ascii="Verdana" w:hAnsi="Verdana" w:cs="Arial"/>
          <w:spacing w:val="-14"/>
        </w:rPr>
        <w:t xml:space="preserve"> </w:t>
      </w:r>
      <w:r w:rsidRPr="00422B6A">
        <w:rPr>
          <w:rFonts w:ascii="Verdana" w:hAnsi="Verdana" w:cs="Arial"/>
        </w:rPr>
        <w:t>el</w:t>
      </w:r>
      <w:r w:rsidRPr="00422B6A">
        <w:rPr>
          <w:rFonts w:ascii="Verdana" w:hAnsi="Verdana" w:cs="Arial"/>
          <w:spacing w:val="-13"/>
        </w:rPr>
        <w:t xml:space="preserve"> </w:t>
      </w:r>
      <w:r w:rsidRPr="00422B6A">
        <w:rPr>
          <w:rFonts w:ascii="Verdana" w:hAnsi="Verdana" w:cs="Arial"/>
        </w:rPr>
        <w:t>capital</w:t>
      </w:r>
      <w:r w:rsidRPr="00422B6A">
        <w:rPr>
          <w:rFonts w:ascii="Verdana" w:hAnsi="Verdana" w:cs="Arial"/>
          <w:spacing w:val="-14"/>
        </w:rPr>
        <w:t xml:space="preserve"> </w:t>
      </w:r>
      <w:r w:rsidRPr="00422B6A">
        <w:rPr>
          <w:rFonts w:ascii="Verdana" w:hAnsi="Verdana" w:cs="Arial"/>
        </w:rPr>
        <w:t>en</w:t>
      </w:r>
      <w:r w:rsidRPr="00422B6A">
        <w:rPr>
          <w:rFonts w:ascii="Verdana" w:hAnsi="Verdana" w:cs="Arial"/>
          <w:spacing w:val="-13"/>
        </w:rPr>
        <w:t xml:space="preserve"> </w:t>
      </w:r>
      <w:r w:rsidRPr="00422B6A">
        <w:rPr>
          <w:rFonts w:ascii="Verdana" w:hAnsi="Verdana" w:cs="Arial"/>
        </w:rPr>
        <w:t>las</w:t>
      </w:r>
      <w:r w:rsidRPr="00422B6A">
        <w:rPr>
          <w:rFonts w:ascii="Verdana" w:hAnsi="Verdana" w:cs="Arial"/>
          <w:spacing w:val="-14"/>
        </w:rPr>
        <w:t xml:space="preserve"> </w:t>
      </w:r>
      <w:r w:rsidRPr="00422B6A">
        <w:rPr>
          <w:rFonts w:ascii="Verdana" w:hAnsi="Verdana" w:cs="Arial"/>
        </w:rPr>
        <w:t>sociedades;</w:t>
      </w:r>
      <w:r w:rsidRPr="00422B6A">
        <w:rPr>
          <w:rFonts w:ascii="Verdana" w:hAnsi="Verdana" w:cs="Arial"/>
          <w:spacing w:val="-13"/>
        </w:rPr>
        <w:t xml:space="preserve"> </w:t>
      </w:r>
      <w:r w:rsidRPr="00422B6A">
        <w:rPr>
          <w:rFonts w:ascii="Verdana" w:hAnsi="Verdana" w:cs="Arial"/>
        </w:rPr>
        <w:t>para</w:t>
      </w:r>
      <w:r w:rsidRPr="00422B6A">
        <w:rPr>
          <w:rFonts w:ascii="Verdana" w:hAnsi="Verdana" w:cs="Arial"/>
          <w:spacing w:val="-13"/>
        </w:rPr>
        <w:t xml:space="preserve"> </w:t>
      </w:r>
      <w:r w:rsidRPr="00422B6A">
        <w:rPr>
          <w:rFonts w:ascii="Verdana" w:hAnsi="Verdana" w:cs="Arial"/>
        </w:rPr>
        <w:t>otros</w:t>
      </w:r>
      <w:r w:rsidRPr="00422B6A">
        <w:rPr>
          <w:rFonts w:ascii="Verdana" w:hAnsi="Verdana" w:cs="Arial"/>
          <w:spacing w:val="-14"/>
        </w:rPr>
        <w:t xml:space="preserve"> </w:t>
      </w:r>
      <w:r w:rsidRPr="00422B6A">
        <w:rPr>
          <w:rFonts w:ascii="Verdana" w:hAnsi="Verdana"/>
        </w:rPr>
        <w:t xml:space="preserve">autores </w:t>
      </w:r>
      <w:r w:rsidRPr="00422B6A">
        <w:rPr>
          <w:rFonts w:ascii="Verdana" w:hAnsi="Verdana" w:cs="Arial"/>
        </w:rPr>
        <w:t>factor determinante de la clasificación son las cuotas en las que se divide el capital –</w:t>
      </w:r>
      <w:r w:rsidRPr="00422B6A">
        <w:rPr>
          <w:rFonts w:ascii="Verdana" w:hAnsi="Verdana" w:cs="Arial"/>
          <w:spacing w:val="-59"/>
        </w:rPr>
        <w:t xml:space="preserve"> </w:t>
      </w:r>
      <w:r w:rsidRPr="00422B6A">
        <w:rPr>
          <w:rFonts w:ascii="Verdana" w:hAnsi="Verdana" w:cs="Arial"/>
          <w:spacing w:val="-3"/>
        </w:rPr>
        <w:t>sociedades</w:t>
      </w:r>
      <w:r w:rsidRPr="00422B6A">
        <w:rPr>
          <w:rFonts w:ascii="Verdana" w:hAnsi="Verdana" w:cs="Arial"/>
          <w:spacing w:val="-12"/>
        </w:rPr>
        <w:t xml:space="preserve"> </w:t>
      </w:r>
      <w:r w:rsidRPr="00422B6A">
        <w:rPr>
          <w:rFonts w:ascii="Verdana" w:hAnsi="Verdana" w:cs="Arial"/>
          <w:spacing w:val="-3"/>
        </w:rPr>
        <w:t>de</w:t>
      </w:r>
      <w:r w:rsidRPr="00422B6A">
        <w:rPr>
          <w:rFonts w:ascii="Verdana" w:hAnsi="Verdana" w:cs="Arial"/>
          <w:spacing w:val="-12"/>
        </w:rPr>
        <w:t xml:space="preserve"> </w:t>
      </w:r>
      <w:r w:rsidRPr="00422B6A">
        <w:rPr>
          <w:rFonts w:ascii="Verdana" w:hAnsi="Verdana" w:cs="Arial"/>
          <w:spacing w:val="-3"/>
        </w:rPr>
        <w:t>partes</w:t>
      </w:r>
      <w:r w:rsidRPr="00422B6A">
        <w:rPr>
          <w:rFonts w:ascii="Verdana" w:hAnsi="Verdana" w:cs="Arial"/>
          <w:spacing w:val="-12"/>
        </w:rPr>
        <w:t xml:space="preserve"> </w:t>
      </w:r>
      <w:r w:rsidRPr="00422B6A">
        <w:rPr>
          <w:rFonts w:ascii="Verdana" w:hAnsi="Verdana" w:cs="Arial"/>
          <w:spacing w:val="-3"/>
        </w:rPr>
        <w:t>de</w:t>
      </w:r>
      <w:r w:rsidRPr="00422B6A">
        <w:rPr>
          <w:rFonts w:ascii="Verdana" w:hAnsi="Verdana" w:cs="Arial"/>
          <w:spacing w:val="-12"/>
        </w:rPr>
        <w:t xml:space="preserve"> </w:t>
      </w:r>
      <w:r w:rsidRPr="00422B6A">
        <w:rPr>
          <w:rFonts w:ascii="Verdana" w:hAnsi="Verdana" w:cs="Arial"/>
          <w:spacing w:val="-3"/>
        </w:rPr>
        <w:t>interés,</w:t>
      </w:r>
      <w:r w:rsidRPr="00422B6A">
        <w:rPr>
          <w:rFonts w:ascii="Verdana" w:hAnsi="Verdana" w:cs="Arial"/>
          <w:spacing w:val="-12"/>
        </w:rPr>
        <w:t xml:space="preserve"> </w:t>
      </w:r>
      <w:r w:rsidRPr="00422B6A">
        <w:rPr>
          <w:rFonts w:ascii="Verdana" w:hAnsi="Verdana" w:cs="Arial"/>
          <w:spacing w:val="-3"/>
        </w:rPr>
        <w:t>sociedades</w:t>
      </w:r>
      <w:r w:rsidRPr="00422B6A">
        <w:rPr>
          <w:rFonts w:ascii="Verdana" w:hAnsi="Verdana" w:cs="Arial"/>
          <w:spacing w:val="-12"/>
        </w:rPr>
        <w:t xml:space="preserve"> </w:t>
      </w:r>
      <w:r w:rsidRPr="00422B6A">
        <w:rPr>
          <w:rFonts w:ascii="Verdana" w:hAnsi="Verdana" w:cs="Arial"/>
          <w:spacing w:val="-2"/>
        </w:rPr>
        <w:t>por</w:t>
      </w:r>
      <w:r w:rsidRPr="00422B6A">
        <w:rPr>
          <w:rFonts w:ascii="Verdana" w:hAnsi="Verdana" w:cs="Arial"/>
          <w:spacing w:val="-12"/>
        </w:rPr>
        <w:t xml:space="preserve"> </w:t>
      </w:r>
      <w:r w:rsidRPr="00422B6A">
        <w:rPr>
          <w:rFonts w:ascii="Verdana" w:hAnsi="Verdana" w:cs="Arial"/>
          <w:spacing w:val="-2"/>
        </w:rPr>
        <w:t>cuotas</w:t>
      </w:r>
      <w:r w:rsidRPr="00422B6A">
        <w:rPr>
          <w:rFonts w:ascii="Verdana" w:hAnsi="Verdana" w:cs="Arial"/>
          <w:spacing w:val="-12"/>
        </w:rPr>
        <w:t xml:space="preserve"> </w:t>
      </w:r>
      <w:r w:rsidRPr="00422B6A">
        <w:rPr>
          <w:rFonts w:ascii="Verdana" w:hAnsi="Verdana" w:cs="Arial"/>
          <w:spacing w:val="-2"/>
        </w:rPr>
        <w:t>y</w:t>
      </w:r>
      <w:r w:rsidRPr="00422B6A">
        <w:rPr>
          <w:rFonts w:ascii="Verdana" w:hAnsi="Verdana" w:cs="Arial"/>
          <w:spacing w:val="-12"/>
        </w:rPr>
        <w:t xml:space="preserve"> </w:t>
      </w:r>
      <w:r w:rsidRPr="00422B6A">
        <w:rPr>
          <w:rFonts w:ascii="Verdana" w:hAnsi="Verdana" w:cs="Arial"/>
          <w:spacing w:val="-2"/>
        </w:rPr>
        <w:t>sociedades</w:t>
      </w:r>
      <w:r w:rsidRPr="00422B6A">
        <w:rPr>
          <w:rFonts w:ascii="Verdana" w:hAnsi="Verdana" w:cs="Arial"/>
          <w:spacing w:val="-12"/>
        </w:rPr>
        <w:t xml:space="preserve"> </w:t>
      </w:r>
      <w:r w:rsidRPr="00422B6A">
        <w:rPr>
          <w:rFonts w:ascii="Verdana" w:hAnsi="Verdana" w:cs="Arial"/>
          <w:spacing w:val="-2"/>
        </w:rPr>
        <w:t>por</w:t>
      </w:r>
      <w:r w:rsidRPr="00422B6A">
        <w:rPr>
          <w:rFonts w:ascii="Verdana" w:hAnsi="Verdana" w:cs="Arial"/>
          <w:spacing w:val="-12"/>
        </w:rPr>
        <w:t xml:space="preserve"> </w:t>
      </w:r>
      <w:r w:rsidRPr="00422B6A">
        <w:rPr>
          <w:rFonts w:ascii="Verdana" w:hAnsi="Verdana" w:cs="Arial"/>
          <w:spacing w:val="-2"/>
        </w:rPr>
        <w:t>acciones–;</w:t>
      </w:r>
      <w:r w:rsidRPr="00422B6A">
        <w:rPr>
          <w:rFonts w:ascii="Verdana" w:hAnsi="Verdana" w:cs="Arial"/>
          <w:spacing w:val="-12"/>
        </w:rPr>
        <w:t xml:space="preserve"> </w:t>
      </w:r>
      <w:r w:rsidRPr="00422B6A">
        <w:rPr>
          <w:rFonts w:ascii="Verdana" w:hAnsi="Verdana" w:cs="Arial"/>
          <w:spacing w:val="-2"/>
        </w:rPr>
        <w:t xml:space="preserve">otros las </w:t>
      </w:r>
      <w:r w:rsidRPr="00422B6A">
        <w:rPr>
          <w:rFonts w:ascii="Verdana" w:hAnsi="Verdana" w:cs="Arial"/>
          <w:spacing w:val="-1"/>
        </w:rPr>
        <w:t>clasifican</w:t>
      </w:r>
      <w:r w:rsidRPr="00422B6A">
        <w:rPr>
          <w:rFonts w:ascii="Verdana" w:hAnsi="Verdana" w:cs="Arial"/>
          <w:spacing w:val="-14"/>
        </w:rPr>
        <w:t xml:space="preserve"> </w:t>
      </w:r>
      <w:r w:rsidRPr="00422B6A">
        <w:rPr>
          <w:rFonts w:ascii="Verdana" w:hAnsi="Verdana" w:cs="Arial"/>
          <w:spacing w:val="-1"/>
        </w:rPr>
        <w:t>según</w:t>
      </w:r>
      <w:r w:rsidRPr="00422B6A">
        <w:rPr>
          <w:rFonts w:ascii="Verdana" w:hAnsi="Verdana" w:cs="Arial"/>
          <w:spacing w:val="-14"/>
        </w:rPr>
        <w:t xml:space="preserve"> </w:t>
      </w:r>
      <w:r w:rsidRPr="00422B6A">
        <w:rPr>
          <w:rFonts w:ascii="Verdana" w:hAnsi="Verdana" w:cs="Arial"/>
        </w:rPr>
        <w:t>la</w:t>
      </w:r>
      <w:r w:rsidRPr="00422B6A">
        <w:rPr>
          <w:rFonts w:ascii="Verdana" w:hAnsi="Verdana" w:cs="Arial"/>
          <w:spacing w:val="-14"/>
        </w:rPr>
        <w:t xml:space="preserve"> </w:t>
      </w:r>
      <w:r w:rsidRPr="00422B6A">
        <w:rPr>
          <w:rFonts w:ascii="Verdana" w:hAnsi="Verdana" w:cs="Arial"/>
        </w:rPr>
        <w:t>nacionalidad</w:t>
      </w:r>
      <w:r w:rsidRPr="00422B6A">
        <w:rPr>
          <w:rFonts w:ascii="Verdana" w:hAnsi="Verdana" w:cs="Arial"/>
          <w:spacing w:val="-14"/>
        </w:rPr>
        <w:t xml:space="preserve"> </w:t>
      </w:r>
      <w:r w:rsidRPr="00422B6A">
        <w:rPr>
          <w:rFonts w:ascii="Verdana" w:hAnsi="Verdana" w:cs="Arial"/>
        </w:rPr>
        <w:t>–nacionales</w:t>
      </w:r>
      <w:r w:rsidRPr="00422B6A">
        <w:rPr>
          <w:rFonts w:ascii="Verdana" w:hAnsi="Verdana" w:cs="Arial"/>
          <w:spacing w:val="-14"/>
        </w:rPr>
        <w:t xml:space="preserve"> </w:t>
      </w:r>
      <w:r w:rsidRPr="00422B6A">
        <w:rPr>
          <w:rFonts w:ascii="Verdana" w:hAnsi="Verdana" w:cs="Arial"/>
        </w:rPr>
        <w:t>y</w:t>
      </w:r>
      <w:r w:rsidRPr="00422B6A">
        <w:rPr>
          <w:rFonts w:ascii="Verdana" w:hAnsi="Verdana" w:cs="Arial"/>
          <w:spacing w:val="-14"/>
        </w:rPr>
        <w:t xml:space="preserve"> </w:t>
      </w:r>
      <w:r w:rsidRPr="00422B6A">
        <w:rPr>
          <w:rFonts w:ascii="Verdana" w:hAnsi="Verdana" w:cs="Arial"/>
        </w:rPr>
        <w:t>extranjeras–,</w:t>
      </w:r>
      <w:r w:rsidRPr="00422B6A">
        <w:rPr>
          <w:rFonts w:ascii="Verdana" w:hAnsi="Verdana" w:cs="Arial"/>
          <w:spacing w:val="-15"/>
        </w:rPr>
        <w:t xml:space="preserve"> </w:t>
      </w:r>
      <w:r w:rsidRPr="00422B6A">
        <w:rPr>
          <w:rFonts w:ascii="Verdana" w:hAnsi="Verdana" w:cs="Arial"/>
        </w:rPr>
        <w:t>o</w:t>
      </w:r>
      <w:r w:rsidRPr="00422B6A">
        <w:rPr>
          <w:rFonts w:ascii="Verdana" w:hAnsi="Verdana" w:cs="Arial"/>
          <w:spacing w:val="-14"/>
        </w:rPr>
        <w:t xml:space="preserve"> </w:t>
      </w:r>
      <w:r w:rsidRPr="00422B6A">
        <w:rPr>
          <w:rFonts w:ascii="Verdana" w:hAnsi="Verdana" w:cs="Arial"/>
        </w:rPr>
        <w:t>según</w:t>
      </w:r>
      <w:r w:rsidRPr="00422B6A">
        <w:rPr>
          <w:rFonts w:ascii="Verdana" w:hAnsi="Verdana" w:cs="Arial"/>
          <w:spacing w:val="-14"/>
        </w:rPr>
        <w:t xml:space="preserve"> </w:t>
      </w:r>
      <w:r w:rsidRPr="00422B6A">
        <w:rPr>
          <w:rFonts w:ascii="Verdana" w:hAnsi="Verdana" w:cs="Arial"/>
        </w:rPr>
        <w:t>el</w:t>
      </w:r>
      <w:r w:rsidRPr="00422B6A">
        <w:rPr>
          <w:rFonts w:ascii="Verdana" w:hAnsi="Verdana" w:cs="Arial"/>
          <w:spacing w:val="-14"/>
        </w:rPr>
        <w:t xml:space="preserve"> </w:t>
      </w:r>
      <w:r w:rsidRPr="00422B6A">
        <w:rPr>
          <w:rFonts w:ascii="Verdana" w:hAnsi="Verdana" w:cs="Arial"/>
        </w:rPr>
        <w:t>sector</w:t>
      </w:r>
      <w:r w:rsidRPr="00422B6A">
        <w:rPr>
          <w:rFonts w:ascii="Verdana" w:hAnsi="Verdana" w:cs="Arial"/>
          <w:spacing w:val="-14"/>
        </w:rPr>
        <w:t xml:space="preserve"> </w:t>
      </w:r>
      <w:r w:rsidRPr="00422B6A">
        <w:rPr>
          <w:rFonts w:ascii="Verdana" w:hAnsi="Verdana" w:cs="Arial"/>
        </w:rPr>
        <w:t>del</w:t>
      </w:r>
      <w:r w:rsidRPr="00422B6A">
        <w:rPr>
          <w:rFonts w:ascii="Verdana" w:hAnsi="Verdana" w:cs="Arial"/>
          <w:spacing w:val="-14"/>
        </w:rPr>
        <w:t xml:space="preserve"> </w:t>
      </w:r>
      <w:r w:rsidRPr="00422B6A">
        <w:rPr>
          <w:rFonts w:ascii="Verdana" w:hAnsi="Verdana" w:cs="Arial"/>
        </w:rPr>
        <w:t>que forman</w:t>
      </w:r>
      <w:r w:rsidRPr="00422B6A">
        <w:rPr>
          <w:rFonts w:ascii="Verdana" w:hAnsi="Verdana" w:cs="Arial"/>
          <w:spacing w:val="-8"/>
        </w:rPr>
        <w:t xml:space="preserve"> </w:t>
      </w:r>
      <w:r w:rsidRPr="00422B6A">
        <w:rPr>
          <w:rFonts w:ascii="Verdana" w:hAnsi="Verdana" w:cs="Arial"/>
        </w:rPr>
        <w:t>parte</w:t>
      </w:r>
      <w:r w:rsidRPr="00422B6A">
        <w:rPr>
          <w:rFonts w:ascii="Verdana" w:hAnsi="Verdana" w:cs="Arial"/>
          <w:spacing w:val="-8"/>
        </w:rPr>
        <w:t xml:space="preserve"> </w:t>
      </w:r>
      <w:r w:rsidRPr="00422B6A">
        <w:rPr>
          <w:rFonts w:ascii="Verdana" w:hAnsi="Verdana" w:cs="Arial"/>
        </w:rPr>
        <w:t>–privado</w:t>
      </w:r>
      <w:r w:rsidRPr="00422B6A">
        <w:rPr>
          <w:rFonts w:ascii="Verdana" w:hAnsi="Verdana" w:cs="Arial"/>
          <w:spacing w:val="-7"/>
        </w:rPr>
        <w:t xml:space="preserve"> </w:t>
      </w:r>
      <w:r w:rsidRPr="00422B6A">
        <w:rPr>
          <w:rFonts w:ascii="Verdana" w:hAnsi="Verdana" w:cs="Arial"/>
        </w:rPr>
        <w:t>o</w:t>
      </w:r>
      <w:r w:rsidRPr="00422B6A">
        <w:rPr>
          <w:rFonts w:ascii="Verdana" w:hAnsi="Verdana" w:cs="Arial"/>
          <w:spacing w:val="-8"/>
        </w:rPr>
        <w:t xml:space="preserve"> </w:t>
      </w:r>
      <w:r w:rsidRPr="00422B6A">
        <w:rPr>
          <w:rFonts w:ascii="Verdana" w:hAnsi="Verdana" w:cs="Arial"/>
        </w:rPr>
        <w:t>público–,</w:t>
      </w:r>
      <w:r w:rsidRPr="00422B6A">
        <w:rPr>
          <w:rFonts w:ascii="Verdana" w:hAnsi="Verdana" w:cs="Arial"/>
          <w:spacing w:val="-8"/>
        </w:rPr>
        <w:t xml:space="preserve"> </w:t>
      </w:r>
      <w:r w:rsidRPr="00422B6A">
        <w:rPr>
          <w:rFonts w:ascii="Verdana" w:hAnsi="Verdana" w:cs="Arial"/>
        </w:rPr>
        <w:t>entre</w:t>
      </w:r>
      <w:r w:rsidRPr="00422B6A">
        <w:rPr>
          <w:rFonts w:ascii="Verdana" w:hAnsi="Verdana" w:cs="Arial"/>
          <w:spacing w:val="-8"/>
        </w:rPr>
        <w:t xml:space="preserve"> </w:t>
      </w:r>
      <w:r w:rsidRPr="00422B6A">
        <w:rPr>
          <w:rFonts w:ascii="Verdana" w:hAnsi="Verdana" w:cs="Arial"/>
        </w:rPr>
        <w:t>otros</w:t>
      </w:r>
      <w:r w:rsidRPr="00422B6A">
        <w:rPr>
          <w:rFonts w:ascii="Verdana" w:hAnsi="Verdana" w:cs="Arial"/>
          <w:spacing w:val="-7"/>
        </w:rPr>
        <w:t xml:space="preserve"> </w:t>
      </w:r>
      <w:r w:rsidRPr="00422B6A">
        <w:rPr>
          <w:rFonts w:ascii="Verdana" w:hAnsi="Verdana" w:cs="Arial"/>
        </w:rPr>
        <w:t>criterios</w:t>
      </w:r>
      <w:r w:rsidRPr="00422B6A">
        <w:rPr>
          <w:rStyle w:val="FootnoteReference"/>
          <w:rFonts w:ascii="Verdana" w:hAnsi="Verdana" w:cs="Arial"/>
        </w:rPr>
        <w:footnoteReference w:id="4"/>
      </w:r>
      <w:r w:rsidRPr="00422B6A">
        <w:rPr>
          <w:rFonts w:ascii="Verdana" w:hAnsi="Verdana" w:cs="Arial"/>
        </w:rPr>
        <w:t>.</w:t>
      </w:r>
    </w:p>
    <w:p w14:paraId="57A50EE7" w14:textId="77777777" w:rsidR="003C2794" w:rsidRPr="00422B6A" w:rsidRDefault="003C2794" w:rsidP="003C2794">
      <w:pPr>
        <w:pStyle w:val="BodyText"/>
        <w:spacing w:before="120"/>
        <w:ind w:right="49" w:firstLine="709"/>
        <w:jc w:val="both"/>
        <w:rPr>
          <w:rFonts w:ascii="Verdana" w:hAnsi="Verdana" w:cs="Arial"/>
        </w:rPr>
      </w:pPr>
      <w:r w:rsidRPr="00422B6A">
        <w:rPr>
          <w:rFonts w:ascii="Verdana" w:hAnsi="Verdana" w:cs="Arial"/>
        </w:rPr>
        <w:t>De</w:t>
      </w:r>
      <w:r w:rsidRPr="00422B6A">
        <w:rPr>
          <w:rFonts w:ascii="Verdana" w:hAnsi="Verdana" w:cs="Arial"/>
          <w:spacing w:val="1"/>
        </w:rPr>
        <w:t xml:space="preserve"> </w:t>
      </w:r>
      <w:r w:rsidRPr="00422B6A">
        <w:rPr>
          <w:rFonts w:ascii="Verdana" w:hAnsi="Verdana" w:cs="Arial"/>
        </w:rPr>
        <w:t>las</w:t>
      </w:r>
      <w:r w:rsidRPr="00422B6A">
        <w:rPr>
          <w:rFonts w:ascii="Verdana" w:hAnsi="Verdana" w:cs="Arial"/>
          <w:spacing w:val="1"/>
        </w:rPr>
        <w:t xml:space="preserve"> </w:t>
      </w:r>
      <w:r w:rsidRPr="00422B6A">
        <w:rPr>
          <w:rFonts w:ascii="Verdana" w:hAnsi="Verdana" w:cs="Arial"/>
        </w:rPr>
        <w:t>clasificaciones</w:t>
      </w:r>
      <w:r w:rsidRPr="00422B6A">
        <w:rPr>
          <w:rFonts w:ascii="Verdana" w:hAnsi="Verdana" w:cs="Arial"/>
          <w:spacing w:val="1"/>
        </w:rPr>
        <w:t xml:space="preserve"> </w:t>
      </w:r>
      <w:r w:rsidRPr="00422B6A">
        <w:rPr>
          <w:rFonts w:ascii="Verdana" w:hAnsi="Verdana" w:cs="Arial"/>
        </w:rPr>
        <w:t>propuestas,</w:t>
      </w:r>
      <w:r w:rsidRPr="00422B6A">
        <w:rPr>
          <w:rFonts w:ascii="Verdana" w:hAnsi="Verdana" w:cs="Arial"/>
          <w:spacing w:val="1"/>
        </w:rPr>
        <w:t xml:space="preserve"> </w:t>
      </w:r>
      <w:r w:rsidRPr="00422B6A">
        <w:rPr>
          <w:rFonts w:ascii="Verdana" w:hAnsi="Verdana" w:cs="Arial"/>
        </w:rPr>
        <w:t>es</w:t>
      </w:r>
      <w:r w:rsidRPr="00422B6A">
        <w:rPr>
          <w:rFonts w:ascii="Verdana" w:hAnsi="Verdana" w:cs="Arial"/>
          <w:spacing w:val="1"/>
        </w:rPr>
        <w:t xml:space="preserve"> </w:t>
      </w:r>
      <w:r w:rsidRPr="00097EFB">
        <w:rPr>
          <w:rFonts w:ascii="Verdana" w:eastAsiaTheme="minorHAnsi" w:hAnsi="Verdana" w:cs="Arial"/>
          <w:spacing w:val="-2"/>
          <w:lang w:eastAsia="en-US"/>
        </w:rPr>
        <w:t xml:space="preserve">bastante generalizada y aceptada aquella que las divide en “sociedades de personas” y “sociedades de capital”. </w:t>
      </w:r>
      <w:r>
        <w:rPr>
          <w:rFonts w:ascii="Verdana" w:eastAsiaTheme="minorHAnsi" w:hAnsi="Verdana" w:cs="Arial"/>
          <w:spacing w:val="-2"/>
          <w:lang w:eastAsia="en-US"/>
        </w:rPr>
        <w:t>L</w:t>
      </w:r>
      <w:r w:rsidRPr="00097EFB">
        <w:rPr>
          <w:rFonts w:ascii="Verdana" w:eastAsiaTheme="minorHAnsi" w:hAnsi="Verdana" w:cs="Arial"/>
          <w:spacing w:val="-2"/>
          <w:lang w:eastAsia="en-US"/>
        </w:rPr>
        <w:t>as últimas se caracterizan porque lo más importante son los aportes económicos, es decir, las acciones y no las personas –</w:t>
      </w:r>
      <w:proofErr w:type="spellStart"/>
      <w:r w:rsidRPr="00097EFB">
        <w:rPr>
          <w:rFonts w:ascii="Verdana" w:eastAsiaTheme="minorHAnsi" w:hAnsi="Verdana" w:cs="Arial"/>
          <w:i/>
          <w:iCs/>
          <w:spacing w:val="-2"/>
          <w:lang w:eastAsia="en-US"/>
        </w:rPr>
        <w:t>intuitus</w:t>
      </w:r>
      <w:proofErr w:type="spellEnd"/>
      <w:r w:rsidRPr="00097EFB">
        <w:rPr>
          <w:rFonts w:ascii="Verdana" w:eastAsiaTheme="minorHAnsi" w:hAnsi="Verdana" w:cs="Arial"/>
          <w:i/>
          <w:iCs/>
          <w:spacing w:val="-2"/>
          <w:lang w:eastAsia="en-US"/>
        </w:rPr>
        <w:t xml:space="preserve"> </w:t>
      </w:r>
      <w:proofErr w:type="spellStart"/>
      <w:r w:rsidRPr="00097EFB">
        <w:rPr>
          <w:rFonts w:ascii="Verdana" w:eastAsiaTheme="minorHAnsi" w:hAnsi="Verdana" w:cs="Arial"/>
          <w:i/>
          <w:iCs/>
          <w:spacing w:val="-2"/>
          <w:lang w:eastAsia="en-US"/>
        </w:rPr>
        <w:t>rei</w:t>
      </w:r>
      <w:proofErr w:type="spellEnd"/>
      <w:r w:rsidRPr="00097EFB">
        <w:rPr>
          <w:rFonts w:ascii="Verdana" w:eastAsiaTheme="minorHAnsi" w:hAnsi="Verdana" w:cs="Arial"/>
          <w:spacing w:val="-2"/>
          <w:lang w:eastAsia="en-US"/>
        </w:rPr>
        <w:t xml:space="preserve">–, porque no </w:t>
      </w:r>
      <w:r>
        <w:rPr>
          <w:rFonts w:ascii="Verdana" w:eastAsiaTheme="minorHAnsi" w:hAnsi="Verdana" w:cs="Arial"/>
          <w:spacing w:val="-2"/>
          <w:lang w:eastAsia="en-US"/>
        </w:rPr>
        <w:t xml:space="preserve">es relevante </w:t>
      </w:r>
      <w:r w:rsidRPr="00097EFB">
        <w:rPr>
          <w:rFonts w:ascii="Verdana" w:eastAsiaTheme="minorHAnsi" w:hAnsi="Verdana" w:cs="Arial"/>
          <w:spacing w:val="-2"/>
          <w:lang w:eastAsia="en-US"/>
        </w:rPr>
        <w:t>de quién sean las acciones</w:t>
      </w:r>
      <w:r w:rsidRPr="00422B6A">
        <w:rPr>
          <w:rStyle w:val="FootnoteReference"/>
          <w:rFonts w:ascii="Verdana" w:hAnsi="Verdana" w:cs="Arial"/>
        </w:rPr>
        <w:footnoteReference w:id="5"/>
      </w:r>
      <w:r w:rsidRPr="00422B6A">
        <w:rPr>
          <w:rFonts w:ascii="Verdana" w:hAnsi="Verdana" w:cs="Arial"/>
        </w:rPr>
        <w:t>. En cambio, las sociedades de personas se caracterizan porque quienes</w:t>
      </w:r>
      <w:r w:rsidRPr="00422B6A">
        <w:rPr>
          <w:rFonts w:ascii="Verdana" w:hAnsi="Verdana" w:cs="Arial"/>
          <w:spacing w:val="1"/>
        </w:rPr>
        <w:t xml:space="preserve"> </w:t>
      </w:r>
      <w:r w:rsidRPr="00422B6A">
        <w:rPr>
          <w:rFonts w:ascii="Verdana" w:hAnsi="Verdana" w:cs="Arial"/>
        </w:rPr>
        <w:t>las conforman</w:t>
      </w:r>
      <w:r w:rsidRPr="00422B6A">
        <w:rPr>
          <w:rFonts w:ascii="Verdana" w:hAnsi="Verdana" w:cs="Arial"/>
          <w:spacing w:val="1"/>
        </w:rPr>
        <w:t xml:space="preserve"> </w:t>
      </w:r>
      <w:r w:rsidRPr="00422B6A">
        <w:rPr>
          <w:rFonts w:ascii="Verdana" w:hAnsi="Verdana" w:cs="Arial"/>
        </w:rPr>
        <w:t>–los socios–</w:t>
      </w:r>
      <w:r w:rsidRPr="00422B6A">
        <w:rPr>
          <w:rFonts w:ascii="Verdana" w:hAnsi="Verdana" w:cs="Arial"/>
          <w:spacing w:val="1"/>
        </w:rPr>
        <w:t xml:space="preserve"> </w:t>
      </w:r>
      <w:r w:rsidRPr="00422B6A">
        <w:rPr>
          <w:rFonts w:ascii="Verdana" w:hAnsi="Verdana" w:cs="Arial"/>
        </w:rPr>
        <w:t>determinan</w:t>
      </w:r>
      <w:r w:rsidRPr="00422B6A">
        <w:rPr>
          <w:rFonts w:ascii="Verdana" w:hAnsi="Verdana" w:cs="Arial"/>
          <w:spacing w:val="1"/>
        </w:rPr>
        <w:t xml:space="preserve"> </w:t>
      </w:r>
      <w:r w:rsidRPr="00422B6A">
        <w:rPr>
          <w:rFonts w:ascii="Verdana" w:hAnsi="Verdana" w:cs="Arial"/>
        </w:rPr>
        <w:t>la</w:t>
      </w:r>
      <w:r w:rsidRPr="00422B6A">
        <w:rPr>
          <w:rFonts w:ascii="Verdana" w:hAnsi="Verdana" w:cs="Arial"/>
          <w:spacing w:val="1"/>
        </w:rPr>
        <w:t xml:space="preserve"> </w:t>
      </w:r>
      <w:r w:rsidRPr="00422B6A">
        <w:rPr>
          <w:rFonts w:ascii="Verdana" w:hAnsi="Verdana" w:cs="Arial"/>
        </w:rPr>
        <w:t>existencia</w:t>
      </w:r>
      <w:r w:rsidRPr="00422B6A">
        <w:rPr>
          <w:rFonts w:ascii="Verdana" w:hAnsi="Verdana" w:cs="Arial"/>
          <w:spacing w:val="1"/>
        </w:rPr>
        <w:t xml:space="preserve"> </w:t>
      </w:r>
      <w:r w:rsidRPr="00422B6A">
        <w:rPr>
          <w:rFonts w:ascii="Verdana" w:hAnsi="Verdana" w:cs="Arial"/>
        </w:rPr>
        <w:t>de</w:t>
      </w:r>
      <w:r w:rsidRPr="00422B6A">
        <w:rPr>
          <w:rFonts w:ascii="Verdana" w:hAnsi="Verdana" w:cs="Arial"/>
          <w:spacing w:val="1"/>
        </w:rPr>
        <w:t xml:space="preserve"> </w:t>
      </w:r>
      <w:r w:rsidRPr="00422B6A">
        <w:rPr>
          <w:rFonts w:ascii="Verdana" w:hAnsi="Verdana" w:cs="Arial"/>
        </w:rPr>
        <w:t>la sociedad,</w:t>
      </w:r>
      <w:r w:rsidRPr="00422B6A">
        <w:rPr>
          <w:rFonts w:ascii="Verdana" w:hAnsi="Verdana" w:cs="Arial"/>
          <w:spacing w:val="1"/>
        </w:rPr>
        <w:t xml:space="preserve"> </w:t>
      </w:r>
      <w:r w:rsidRPr="00422B6A">
        <w:rPr>
          <w:rFonts w:ascii="Verdana" w:hAnsi="Verdana" w:cs="Arial"/>
        </w:rPr>
        <w:t>usualmente</w:t>
      </w:r>
      <w:r w:rsidRPr="00422B6A">
        <w:rPr>
          <w:rFonts w:ascii="Verdana" w:hAnsi="Verdana" w:cs="Arial"/>
          <w:spacing w:val="1"/>
        </w:rPr>
        <w:t xml:space="preserve"> </w:t>
      </w:r>
      <w:r w:rsidRPr="00422B6A">
        <w:rPr>
          <w:rFonts w:ascii="Verdana" w:hAnsi="Verdana" w:cs="Arial"/>
        </w:rPr>
        <w:t>representadas</w:t>
      </w:r>
      <w:r w:rsidRPr="00422B6A">
        <w:rPr>
          <w:rFonts w:ascii="Verdana" w:hAnsi="Verdana" w:cs="Arial"/>
          <w:spacing w:val="1"/>
        </w:rPr>
        <w:t xml:space="preserve"> </w:t>
      </w:r>
      <w:r w:rsidRPr="00422B6A">
        <w:rPr>
          <w:rFonts w:ascii="Verdana" w:hAnsi="Verdana" w:cs="Arial"/>
        </w:rPr>
        <w:t>en</w:t>
      </w:r>
      <w:r w:rsidRPr="00422B6A">
        <w:rPr>
          <w:rFonts w:ascii="Verdana" w:hAnsi="Verdana" w:cs="Arial"/>
          <w:spacing w:val="1"/>
        </w:rPr>
        <w:t xml:space="preserve"> </w:t>
      </w:r>
      <w:r w:rsidRPr="00422B6A">
        <w:rPr>
          <w:rFonts w:ascii="Verdana" w:hAnsi="Verdana" w:cs="Arial"/>
        </w:rPr>
        <w:t>personas</w:t>
      </w:r>
      <w:r w:rsidRPr="00422B6A">
        <w:rPr>
          <w:rFonts w:ascii="Verdana" w:hAnsi="Verdana" w:cs="Arial"/>
          <w:spacing w:val="1"/>
        </w:rPr>
        <w:t xml:space="preserve"> </w:t>
      </w:r>
      <w:r w:rsidRPr="00422B6A">
        <w:rPr>
          <w:rFonts w:ascii="Verdana" w:hAnsi="Verdana" w:cs="Arial"/>
        </w:rPr>
        <w:t>que</w:t>
      </w:r>
      <w:r w:rsidRPr="00422B6A">
        <w:rPr>
          <w:rFonts w:ascii="Verdana" w:hAnsi="Verdana" w:cs="Arial"/>
          <w:spacing w:val="1"/>
        </w:rPr>
        <w:t xml:space="preserve"> </w:t>
      </w:r>
      <w:r w:rsidRPr="00422B6A">
        <w:rPr>
          <w:rFonts w:ascii="Verdana" w:hAnsi="Verdana" w:cs="Arial"/>
        </w:rPr>
        <w:t>se</w:t>
      </w:r>
      <w:r w:rsidRPr="00422B6A">
        <w:rPr>
          <w:rFonts w:ascii="Verdana" w:hAnsi="Verdana" w:cs="Arial"/>
          <w:spacing w:val="1"/>
        </w:rPr>
        <w:t xml:space="preserve"> </w:t>
      </w:r>
      <w:r w:rsidRPr="00422B6A">
        <w:rPr>
          <w:rFonts w:ascii="Verdana" w:hAnsi="Verdana" w:cs="Arial"/>
        </w:rPr>
        <w:t>conocen</w:t>
      </w:r>
      <w:r w:rsidRPr="00422B6A">
        <w:rPr>
          <w:rFonts w:ascii="Verdana" w:hAnsi="Verdana" w:cs="Arial"/>
          <w:spacing w:val="1"/>
        </w:rPr>
        <w:t xml:space="preserve"> </w:t>
      </w:r>
      <w:r w:rsidRPr="00422B6A">
        <w:rPr>
          <w:rFonts w:ascii="Verdana" w:hAnsi="Verdana" w:cs="Arial"/>
        </w:rPr>
        <w:t>y</w:t>
      </w:r>
      <w:r w:rsidRPr="00422B6A">
        <w:rPr>
          <w:rFonts w:ascii="Verdana" w:hAnsi="Verdana" w:cs="Arial"/>
          <w:spacing w:val="1"/>
        </w:rPr>
        <w:t xml:space="preserve"> </w:t>
      </w:r>
      <w:r w:rsidRPr="00422B6A">
        <w:rPr>
          <w:rFonts w:ascii="Verdana" w:hAnsi="Verdana" w:cs="Arial"/>
        </w:rPr>
        <w:t>tienen</w:t>
      </w:r>
      <w:r w:rsidRPr="00422B6A">
        <w:rPr>
          <w:rFonts w:ascii="Verdana" w:hAnsi="Verdana" w:cs="Arial"/>
          <w:spacing w:val="1"/>
        </w:rPr>
        <w:t xml:space="preserve"> </w:t>
      </w:r>
      <w:r w:rsidRPr="00422B6A">
        <w:rPr>
          <w:rFonts w:ascii="Verdana" w:hAnsi="Verdana" w:cs="Arial"/>
        </w:rPr>
        <w:t>relación</w:t>
      </w:r>
      <w:r w:rsidRPr="00422B6A">
        <w:rPr>
          <w:rFonts w:ascii="Verdana" w:hAnsi="Verdana" w:cs="Arial"/>
          <w:spacing w:val="1"/>
        </w:rPr>
        <w:t xml:space="preserve"> </w:t>
      </w:r>
      <w:r w:rsidRPr="00422B6A">
        <w:rPr>
          <w:rFonts w:ascii="Verdana" w:hAnsi="Verdana" w:cs="Arial"/>
        </w:rPr>
        <w:t>entre</w:t>
      </w:r>
      <w:r w:rsidRPr="00422B6A">
        <w:rPr>
          <w:rFonts w:ascii="Verdana" w:hAnsi="Verdana" w:cs="Arial"/>
          <w:spacing w:val="1"/>
        </w:rPr>
        <w:t xml:space="preserve"> </w:t>
      </w:r>
      <w:r w:rsidRPr="00422B6A">
        <w:rPr>
          <w:rFonts w:ascii="Verdana" w:hAnsi="Verdana" w:cs="Arial"/>
        </w:rPr>
        <w:t>sí</w:t>
      </w:r>
      <w:r w:rsidRPr="00422B6A">
        <w:rPr>
          <w:rFonts w:ascii="Verdana" w:hAnsi="Verdana" w:cs="Arial"/>
          <w:spacing w:val="1"/>
        </w:rPr>
        <w:t xml:space="preserve"> </w:t>
      </w:r>
      <w:r w:rsidRPr="00422B6A">
        <w:rPr>
          <w:rFonts w:ascii="Verdana" w:hAnsi="Verdana" w:cs="Arial"/>
          <w:i/>
        </w:rPr>
        <w:t>–</w:t>
      </w:r>
      <w:proofErr w:type="spellStart"/>
      <w:r w:rsidRPr="00422B6A">
        <w:rPr>
          <w:rFonts w:ascii="Verdana" w:hAnsi="Verdana" w:cs="Arial"/>
          <w:i/>
        </w:rPr>
        <w:t>intuitus</w:t>
      </w:r>
      <w:proofErr w:type="spellEnd"/>
      <w:r w:rsidRPr="00422B6A">
        <w:rPr>
          <w:rFonts w:ascii="Verdana" w:hAnsi="Verdana" w:cs="Arial"/>
          <w:i/>
          <w:spacing w:val="1"/>
        </w:rPr>
        <w:t xml:space="preserve"> </w:t>
      </w:r>
      <w:proofErr w:type="spellStart"/>
      <w:r w:rsidRPr="00422B6A">
        <w:rPr>
          <w:rFonts w:ascii="Verdana" w:hAnsi="Verdana" w:cs="Arial"/>
          <w:i/>
        </w:rPr>
        <w:t>personarum</w:t>
      </w:r>
      <w:proofErr w:type="spellEnd"/>
      <w:r w:rsidRPr="00422B6A">
        <w:rPr>
          <w:rFonts w:ascii="Verdana" w:hAnsi="Verdana" w:cs="Arial"/>
          <w:i/>
        </w:rPr>
        <w:t>–</w:t>
      </w:r>
      <w:r w:rsidRPr="00422B6A">
        <w:rPr>
          <w:rStyle w:val="FootnoteReference"/>
          <w:rFonts w:ascii="Verdana" w:hAnsi="Verdana" w:cs="Arial"/>
          <w:i/>
        </w:rPr>
        <w:footnoteReference w:id="6"/>
      </w:r>
      <w:r w:rsidRPr="00422B6A">
        <w:rPr>
          <w:rFonts w:ascii="Verdana" w:hAnsi="Verdana" w:cs="Arial"/>
          <w:i/>
        </w:rPr>
        <w:t xml:space="preserve">. </w:t>
      </w:r>
      <w:r w:rsidRPr="00422B6A">
        <w:rPr>
          <w:rFonts w:ascii="Verdana" w:hAnsi="Verdana" w:cs="Arial"/>
        </w:rPr>
        <w:t xml:space="preserve">No obstante, en ambos casos existen </w:t>
      </w:r>
      <w:r w:rsidRPr="00422B6A">
        <w:rPr>
          <w:rFonts w:ascii="Verdana" w:hAnsi="Verdana" w:cs="Arial"/>
        </w:rPr>
        <w:lastRenderedPageBreak/>
        <w:t>socios y se necesita</w:t>
      </w:r>
      <w:r w:rsidRPr="00422B6A">
        <w:rPr>
          <w:rFonts w:ascii="Verdana" w:hAnsi="Verdana" w:cs="Arial"/>
          <w:spacing w:val="1"/>
        </w:rPr>
        <w:t xml:space="preserve"> </w:t>
      </w:r>
      <w:r w:rsidRPr="00422B6A">
        <w:rPr>
          <w:rFonts w:ascii="Verdana" w:hAnsi="Verdana" w:cs="Arial"/>
        </w:rPr>
        <w:t>capital o aportes, solo que</w:t>
      </w:r>
      <w:r>
        <w:rPr>
          <w:rFonts w:ascii="Verdana" w:hAnsi="Verdana" w:cs="Arial"/>
        </w:rPr>
        <w:t xml:space="preserve">, </w:t>
      </w:r>
      <w:r w:rsidRPr="00422B6A">
        <w:rPr>
          <w:rFonts w:ascii="Verdana" w:hAnsi="Verdana" w:cs="Arial"/>
        </w:rPr>
        <w:t>dependiendo de la clasificación</w:t>
      </w:r>
      <w:r>
        <w:rPr>
          <w:rFonts w:ascii="Verdana" w:hAnsi="Verdana" w:cs="Arial"/>
          <w:spacing w:val="61"/>
        </w:rPr>
        <w:t xml:space="preserve">, </w:t>
      </w:r>
      <w:r w:rsidRPr="00422B6A">
        <w:rPr>
          <w:rFonts w:ascii="Verdana" w:hAnsi="Verdana" w:cs="Arial"/>
        </w:rPr>
        <w:t>la relevancia se sitúa en</w:t>
      </w:r>
      <w:r w:rsidRPr="00422B6A">
        <w:rPr>
          <w:rFonts w:ascii="Verdana" w:hAnsi="Verdana" w:cs="Arial"/>
          <w:spacing w:val="1"/>
        </w:rPr>
        <w:t xml:space="preserve"> </w:t>
      </w:r>
      <w:r w:rsidRPr="00422B6A">
        <w:rPr>
          <w:rFonts w:ascii="Verdana" w:hAnsi="Verdana" w:cs="Arial"/>
        </w:rPr>
        <w:t>uno</w:t>
      </w:r>
      <w:r w:rsidRPr="00422B6A">
        <w:rPr>
          <w:rFonts w:ascii="Verdana" w:hAnsi="Verdana" w:cs="Arial"/>
          <w:spacing w:val="-2"/>
        </w:rPr>
        <w:t xml:space="preserve"> </w:t>
      </w:r>
      <w:r w:rsidRPr="00422B6A">
        <w:rPr>
          <w:rFonts w:ascii="Verdana" w:hAnsi="Verdana" w:cs="Arial"/>
        </w:rPr>
        <w:t>de</w:t>
      </w:r>
      <w:r w:rsidRPr="00422B6A">
        <w:rPr>
          <w:rFonts w:ascii="Verdana" w:hAnsi="Verdana" w:cs="Arial"/>
          <w:spacing w:val="-1"/>
        </w:rPr>
        <w:t xml:space="preserve"> </w:t>
      </w:r>
      <w:r w:rsidRPr="00422B6A">
        <w:rPr>
          <w:rFonts w:ascii="Verdana" w:hAnsi="Verdana" w:cs="Arial"/>
        </w:rPr>
        <w:t>los</w:t>
      </w:r>
      <w:r w:rsidRPr="00422B6A">
        <w:rPr>
          <w:rFonts w:ascii="Verdana" w:hAnsi="Verdana" w:cs="Arial"/>
          <w:spacing w:val="-1"/>
        </w:rPr>
        <w:t xml:space="preserve"> </w:t>
      </w:r>
      <w:r w:rsidRPr="00422B6A">
        <w:rPr>
          <w:rFonts w:ascii="Verdana" w:hAnsi="Verdana" w:cs="Arial"/>
        </w:rPr>
        <w:t>dos</w:t>
      </w:r>
      <w:r w:rsidRPr="00422B6A">
        <w:rPr>
          <w:rFonts w:ascii="Verdana" w:hAnsi="Verdana" w:cs="Arial"/>
          <w:spacing w:val="-1"/>
        </w:rPr>
        <w:t xml:space="preserve"> </w:t>
      </w:r>
      <w:r w:rsidRPr="00422B6A">
        <w:rPr>
          <w:rFonts w:ascii="Verdana" w:hAnsi="Verdana" w:cs="Arial"/>
        </w:rPr>
        <w:t>elementos.</w:t>
      </w:r>
    </w:p>
    <w:p w14:paraId="72398C7B" w14:textId="77777777" w:rsidR="003C2794" w:rsidRPr="00422B6A" w:rsidRDefault="003C2794" w:rsidP="003C2794">
      <w:pPr>
        <w:pStyle w:val="BodyText"/>
        <w:spacing w:before="120"/>
        <w:ind w:right="49" w:firstLine="709"/>
        <w:jc w:val="both"/>
        <w:rPr>
          <w:rFonts w:ascii="Verdana" w:hAnsi="Verdana" w:cs="Arial"/>
        </w:rPr>
      </w:pPr>
      <w:r w:rsidRPr="00097EFB">
        <w:rPr>
          <w:rFonts w:ascii="Verdana" w:hAnsi="Verdana" w:cs="Arial"/>
        </w:rPr>
        <w:t>Al grupo de las “</w:t>
      </w:r>
      <w:r w:rsidRPr="00097EFB">
        <w:rPr>
          <w:rFonts w:ascii="Verdana" w:hAnsi="Verdana" w:cs="Arial"/>
          <w:i/>
          <w:iCs/>
        </w:rPr>
        <w:t>sociedades de personas</w:t>
      </w:r>
      <w:r w:rsidRPr="00097EFB">
        <w:rPr>
          <w:rFonts w:ascii="Verdana" w:hAnsi="Verdana" w:cs="Arial"/>
        </w:rPr>
        <w:t>” pertenecen, por ejemplo, las sociedades colectivas y en</w:t>
      </w:r>
      <w:r w:rsidRPr="00422B6A">
        <w:rPr>
          <w:rFonts w:ascii="Verdana" w:hAnsi="Verdana" w:cs="Arial"/>
        </w:rPr>
        <w:t xml:space="preserve"> comandita simple. Al grupo de</w:t>
      </w:r>
      <w:r w:rsidRPr="00097EFB">
        <w:rPr>
          <w:rFonts w:ascii="Verdana" w:hAnsi="Verdana" w:cs="Arial"/>
        </w:rPr>
        <w:t xml:space="preserve"> </w:t>
      </w:r>
      <w:r w:rsidRPr="00422B6A">
        <w:rPr>
          <w:rFonts w:ascii="Verdana" w:hAnsi="Verdana" w:cs="Arial"/>
        </w:rPr>
        <w:t xml:space="preserve">las </w:t>
      </w:r>
      <w:r w:rsidRPr="00097EFB">
        <w:rPr>
          <w:rFonts w:ascii="Verdana" w:hAnsi="Verdana" w:cs="Arial"/>
        </w:rPr>
        <w:t>“</w:t>
      </w:r>
      <w:r w:rsidRPr="00097EFB">
        <w:rPr>
          <w:rFonts w:ascii="Verdana" w:hAnsi="Verdana" w:cs="Arial"/>
          <w:i/>
          <w:iCs/>
        </w:rPr>
        <w:t>sociedades de capital</w:t>
      </w:r>
      <w:r w:rsidRPr="00097EFB">
        <w:rPr>
          <w:rFonts w:ascii="Verdana" w:hAnsi="Verdana" w:cs="Arial"/>
        </w:rPr>
        <w:t xml:space="preserve">” </w:t>
      </w:r>
      <w:r w:rsidRPr="00422B6A">
        <w:rPr>
          <w:rFonts w:ascii="Verdana" w:hAnsi="Verdana" w:cs="Arial"/>
        </w:rPr>
        <w:t>pertenecen, por ejemplo, las sociedades anónimas, las sociedades en</w:t>
      </w:r>
      <w:r w:rsidRPr="00097EFB">
        <w:rPr>
          <w:rFonts w:ascii="Verdana" w:hAnsi="Verdana" w:cs="Arial"/>
        </w:rPr>
        <w:t xml:space="preserve"> comandita por acciones y las sociedades por acciones simplificadas –SAS–</w:t>
      </w:r>
      <w:r w:rsidRPr="00422B6A">
        <w:rPr>
          <w:rFonts w:ascii="Verdana" w:hAnsi="Verdana" w:cs="Arial"/>
        </w:rPr>
        <w:t>. Lo anterior sin desconocer que la clasificación no siempre es pacífica, toda vez que</w:t>
      </w:r>
      <w:r>
        <w:rPr>
          <w:rFonts w:ascii="Verdana" w:hAnsi="Verdana" w:cs="Arial"/>
        </w:rPr>
        <w:t xml:space="preserve"> </w:t>
      </w:r>
      <w:r w:rsidRPr="00422B6A">
        <w:rPr>
          <w:rFonts w:ascii="Verdana" w:hAnsi="Verdana" w:cs="Arial"/>
        </w:rPr>
        <w:t xml:space="preserve">frente a algunas de ellas hay un fuerte debate, </w:t>
      </w:r>
      <w:r>
        <w:rPr>
          <w:rFonts w:ascii="Verdana" w:hAnsi="Verdana" w:cs="Arial"/>
        </w:rPr>
        <w:t xml:space="preserve">como es el caso de </w:t>
      </w:r>
      <w:r w:rsidRPr="00422B6A">
        <w:rPr>
          <w:rFonts w:ascii="Verdana" w:hAnsi="Verdana" w:cs="Arial"/>
        </w:rPr>
        <w:t>las sociedades</w:t>
      </w:r>
      <w:r w:rsidRPr="00097EFB">
        <w:rPr>
          <w:rFonts w:ascii="Verdana" w:hAnsi="Verdana" w:cs="Arial"/>
        </w:rPr>
        <w:t xml:space="preserve"> </w:t>
      </w:r>
      <w:r w:rsidRPr="00422B6A">
        <w:rPr>
          <w:rFonts w:ascii="Verdana" w:hAnsi="Verdana" w:cs="Arial"/>
        </w:rPr>
        <w:t>limitadas.</w:t>
      </w:r>
      <w:r>
        <w:rPr>
          <w:rFonts w:ascii="Verdana" w:hAnsi="Verdana" w:cs="Arial"/>
        </w:rPr>
        <w:t xml:space="preserve"> </w:t>
      </w:r>
      <w:r w:rsidRPr="00422B6A">
        <w:rPr>
          <w:rFonts w:ascii="Verdana" w:hAnsi="Verdana" w:cs="Arial"/>
        </w:rPr>
        <w:t>Incluso,</w:t>
      </w:r>
      <w:r w:rsidRPr="00422B6A">
        <w:rPr>
          <w:rFonts w:ascii="Verdana" w:hAnsi="Verdana" w:cs="Arial"/>
          <w:spacing w:val="1"/>
        </w:rPr>
        <w:t xml:space="preserve"> </w:t>
      </w:r>
      <w:r w:rsidRPr="00422B6A">
        <w:rPr>
          <w:rFonts w:ascii="Verdana" w:hAnsi="Verdana" w:cs="Arial"/>
        </w:rPr>
        <w:t>parte</w:t>
      </w:r>
      <w:r w:rsidRPr="00422B6A">
        <w:rPr>
          <w:rFonts w:ascii="Verdana" w:hAnsi="Verdana" w:cs="Arial"/>
          <w:spacing w:val="1"/>
        </w:rPr>
        <w:t xml:space="preserve"> </w:t>
      </w:r>
      <w:r w:rsidRPr="00422B6A">
        <w:rPr>
          <w:rFonts w:ascii="Verdana" w:hAnsi="Verdana" w:cs="Arial"/>
        </w:rPr>
        <w:t>de</w:t>
      </w:r>
      <w:r w:rsidRPr="00422B6A">
        <w:rPr>
          <w:rFonts w:ascii="Verdana" w:hAnsi="Verdana" w:cs="Arial"/>
          <w:spacing w:val="1"/>
        </w:rPr>
        <w:t xml:space="preserve"> </w:t>
      </w:r>
      <w:r w:rsidRPr="00422B6A">
        <w:rPr>
          <w:rFonts w:ascii="Verdana" w:hAnsi="Verdana" w:cs="Arial"/>
        </w:rPr>
        <w:t>la</w:t>
      </w:r>
      <w:r w:rsidRPr="00422B6A">
        <w:rPr>
          <w:rFonts w:ascii="Verdana" w:hAnsi="Verdana" w:cs="Arial"/>
          <w:spacing w:val="1"/>
        </w:rPr>
        <w:t xml:space="preserve"> </w:t>
      </w:r>
      <w:r w:rsidRPr="00422B6A">
        <w:rPr>
          <w:rFonts w:ascii="Verdana" w:hAnsi="Verdana" w:cs="Arial"/>
        </w:rPr>
        <w:t>doctrina</w:t>
      </w:r>
      <w:r w:rsidRPr="00422B6A">
        <w:rPr>
          <w:rFonts w:ascii="Verdana" w:hAnsi="Verdana" w:cs="Arial"/>
          <w:spacing w:val="1"/>
        </w:rPr>
        <w:t xml:space="preserve"> </w:t>
      </w:r>
      <w:r w:rsidRPr="00422B6A">
        <w:rPr>
          <w:rFonts w:ascii="Verdana" w:hAnsi="Verdana" w:cs="Arial"/>
        </w:rPr>
        <w:t>del</w:t>
      </w:r>
      <w:r w:rsidRPr="00422B6A">
        <w:rPr>
          <w:rFonts w:ascii="Verdana" w:hAnsi="Verdana" w:cs="Arial"/>
          <w:spacing w:val="1"/>
        </w:rPr>
        <w:t xml:space="preserve"> </w:t>
      </w:r>
      <w:r w:rsidRPr="00422B6A">
        <w:rPr>
          <w:rFonts w:ascii="Verdana" w:hAnsi="Verdana" w:cs="Arial"/>
        </w:rPr>
        <w:t>derecho</w:t>
      </w:r>
      <w:r w:rsidRPr="00422B6A">
        <w:rPr>
          <w:rFonts w:ascii="Verdana" w:hAnsi="Verdana" w:cs="Arial"/>
          <w:spacing w:val="1"/>
        </w:rPr>
        <w:t xml:space="preserve"> </w:t>
      </w:r>
      <w:r w:rsidRPr="00422B6A">
        <w:rPr>
          <w:rFonts w:ascii="Verdana" w:hAnsi="Verdana" w:cs="Arial"/>
        </w:rPr>
        <w:t>comercial</w:t>
      </w:r>
      <w:r w:rsidRPr="00422B6A">
        <w:rPr>
          <w:rFonts w:ascii="Verdana" w:hAnsi="Verdana" w:cs="Arial"/>
          <w:spacing w:val="1"/>
        </w:rPr>
        <w:t xml:space="preserve"> </w:t>
      </w:r>
      <w:r w:rsidRPr="00422B6A">
        <w:rPr>
          <w:rFonts w:ascii="Verdana" w:hAnsi="Verdana" w:cs="Arial"/>
        </w:rPr>
        <w:t>estima</w:t>
      </w:r>
      <w:r w:rsidRPr="00422B6A">
        <w:rPr>
          <w:rFonts w:ascii="Verdana" w:hAnsi="Verdana" w:cs="Arial"/>
          <w:spacing w:val="1"/>
        </w:rPr>
        <w:t xml:space="preserve"> </w:t>
      </w:r>
      <w:r w:rsidRPr="00422B6A">
        <w:rPr>
          <w:rFonts w:ascii="Verdana" w:hAnsi="Verdana" w:cs="Arial"/>
        </w:rPr>
        <w:t>que</w:t>
      </w:r>
      <w:r w:rsidRPr="00422B6A">
        <w:rPr>
          <w:rFonts w:ascii="Verdana" w:hAnsi="Verdana" w:cs="Arial"/>
          <w:spacing w:val="1"/>
        </w:rPr>
        <w:t xml:space="preserve"> </w:t>
      </w:r>
      <w:r w:rsidRPr="00422B6A">
        <w:rPr>
          <w:rFonts w:ascii="Verdana" w:hAnsi="Verdana" w:cs="Arial"/>
        </w:rPr>
        <w:t>en</w:t>
      </w:r>
      <w:r w:rsidRPr="00422B6A">
        <w:rPr>
          <w:rFonts w:ascii="Verdana" w:hAnsi="Verdana" w:cs="Arial"/>
          <w:spacing w:val="1"/>
        </w:rPr>
        <w:t xml:space="preserve"> </w:t>
      </w:r>
      <w:r w:rsidRPr="00422B6A">
        <w:rPr>
          <w:rFonts w:ascii="Verdana" w:hAnsi="Verdana" w:cs="Arial"/>
        </w:rPr>
        <w:t>esta</w:t>
      </w:r>
      <w:r w:rsidRPr="00422B6A">
        <w:rPr>
          <w:rFonts w:ascii="Verdana" w:hAnsi="Verdana" w:cs="Arial"/>
          <w:spacing w:val="1"/>
        </w:rPr>
        <w:t xml:space="preserve"> </w:t>
      </w:r>
      <w:r w:rsidRPr="00422B6A">
        <w:rPr>
          <w:rFonts w:ascii="Verdana" w:hAnsi="Verdana" w:cs="Arial"/>
        </w:rPr>
        <w:t xml:space="preserve">clasificación cabe </w:t>
      </w:r>
      <w:r>
        <w:rPr>
          <w:rFonts w:ascii="Verdana" w:hAnsi="Verdana" w:cs="Arial"/>
        </w:rPr>
        <w:t xml:space="preserve">otro tipo: las </w:t>
      </w:r>
      <w:r w:rsidRPr="00422B6A">
        <w:rPr>
          <w:rFonts w:ascii="Verdana" w:hAnsi="Verdana" w:cs="Arial"/>
        </w:rPr>
        <w:t>“</w:t>
      </w:r>
      <w:r w:rsidRPr="00422B6A">
        <w:rPr>
          <w:rFonts w:ascii="Verdana" w:hAnsi="Verdana" w:cs="Arial"/>
          <w:i/>
        </w:rPr>
        <w:t>sociedades de naturaleza mixta</w:t>
      </w:r>
      <w:r w:rsidRPr="00422B6A">
        <w:rPr>
          <w:rFonts w:ascii="Verdana" w:hAnsi="Verdana" w:cs="Arial"/>
        </w:rPr>
        <w:t>”, que corresponden</w:t>
      </w:r>
      <w:r w:rsidRPr="00422B6A">
        <w:rPr>
          <w:rFonts w:ascii="Verdana" w:hAnsi="Verdana" w:cs="Arial"/>
          <w:spacing w:val="1"/>
        </w:rPr>
        <w:t xml:space="preserve"> </w:t>
      </w:r>
      <w:r w:rsidRPr="00422B6A">
        <w:rPr>
          <w:rFonts w:ascii="Verdana" w:hAnsi="Verdana" w:cs="Arial"/>
        </w:rPr>
        <w:t xml:space="preserve">a aquellas </w:t>
      </w:r>
      <w:r>
        <w:rPr>
          <w:rFonts w:ascii="Verdana" w:hAnsi="Verdana" w:cs="Arial"/>
        </w:rPr>
        <w:t xml:space="preserve">en </w:t>
      </w:r>
      <w:r w:rsidRPr="00422B6A">
        <w:rPr>
          <w:rFonts w:ascii="Verdana" w:hAnsi="Verdana" w:cs="Arial"/>
        </w:rPr>
        <w:t>las</w:t>
      </w:r>
      <w:r>
        <w:rPr>
          <w:rFonts w:ascii="Verdana" w:hAnsi="Verdana" w:cs="Arial"/>
        </w:rPr>
        <w:t xml:space="preserve"> que las</w:t>
      </w:r>
      <w:r w:rsidRPr="00422B6A">
        <w:rPr>
          <w:rFonts w:ascii="Verdana" w:hAnsi="Verdana" w:cs="Arial"/>
        </w:rPr>
        <w:t xml:space="preserve"> acciones o el capital </w:t>
      </w:r>
      <w:r>
        <w:rPr>
          <w:rFonts w:ascii="Verdana" w:hAnsi="Verdana" w:cs="Arial"/>
        </w:rPr>
        <w:t xml:space="preserve">son </w:t>
      </w:r>
      <w:r w:rsidRPr="00422B6A">
        <w:rPr>
          <w:rFonts w:ascii="Verdana" w:hAnsi="Verdana" w:cs="Arial"/>
        </w:rPr>
        <w:t>tan importante</w:t>
      </w:r>
      <w:r>
        <w:rPr>
          <w:rFonts w:ascii="Verdana" w:hAnsi="Verdana" w:cs="Arial"/>
        </w:rPr>
        <w:t>s</w:t>
      </w:r>
      <w:r w:rsidRPr="00422B6A">
        <w:rPr>
          <w:rFonts w:ascii="Verdana" w:hAnsi="Verdana" w:cs="Arial"/>
        </w:rPr>
        <w:t xml:space="preserve"> como las personas que</w:t>
      </w:r>
      <w:r w:rsidRPr="00422B6A">
        <w:rPr>
          <w:rFonts w:ascii="Verdana" w:hAnsi="Verdana" w:cs="Arial"/>
          <w:spacing w:val="1"/>
        </w:rPr>
        <w:t xml:space="preserve"> </w:t>
      </w:r>
      <w:r>
        <w:rPr>
          <w:rFonts w:ascii="Verdana" w:hAnsi="Verdana" w:cs="Arial"/>
        </w:rPr>
        <w:t>las c</w:t>
      </w:r>
      <w:r w:rsidRPr="00422B6A">
        <w:rPr>
          <w:rFonts w:ascii="Verdana" w:hAnsi="Verdana" w:cs="Arial"/>
        </w:rPr>
        <w:t>onforman</w:t>
      </w:r>
      <w:r>
        <w:rPr>
          <w:rFonts w:ascii="Verdana" w:hAnsi="Verdana" w:cs="Arial"/>
        </w:rPr>
        <w:t>.</w:t>
      </w:r>
    </w:p>
    <w:p w14:paraId="24CF3F59" w14:textId="77777777" w:rsidR="003C2794" w:rsidRPr="00422B6A" w:rsidRDefault="003C2794" w:rsidP="003C2794">
      <w:pPr>
        <w:pStyle w:val="BodyText"/>
        <w:spacing w:before="120"/>
        <w:ind w:right="49" w:firstLine="709"/>
        <w:jc w:val="both"/>
        <w:rPr>
          <w:rFonts w:ascii="Verdana" w:hAnsi="Verdana" w:cs="Arial"/>
        </w:rPr>
      </w:pPr>
      <w:r w:rsidRPr="00422B6A">
        <w:rPr>
          <w:rFonts w:ascii="Verdana" w:hAnsi="Verdana" w:cs="Arial"/>
        </w:rPr>
        <w:t>No</w:t>
      </w:r>
      <w:r w:rsidRPr="00422B6A">
        <w:rPr>
          <w:rFonts w:ascii="Verdana" w:hAnsi="Verdana" w:cs="Arial"/>
          <w:spacing w:val="1"/>
        </w:rPr>
        <w:t xml:space="preserve"> </w:t>
      </w:r>
      <w:r w:rsidRPr="00422B6A">
        <w:rPr>
          <w:rFonts w:ascii="Verdana" w:hAnsi="Verdana" w:cs="Arial"/>
        </w:rPr>
        <w:t>obstante,</w:t>
      </w:r>
      <w:r w:rsidRPr="00422B6A">
        <w:rPr>
          <w:rFonts w:ascii="Verdana" w:hAnsi="Verdana" w:cs="Arial"/>
          <w:spacing w:val="1"/>
        </w:rPr>
        <w:t xml:space="preserve"> </w:t>
      </w:r>
      <w:r w:rsidRPr="00422B6A">
        <w:rPr>
          <w:rFonts w:ascii="Verdana" w:hAnsi="Verdana" w:cs="Arial"/>
        </w:rPr>
        <w:t>la</w:t>
      </w:r>
      <w:r w:rsidRPr="00422B6A">
        <w:rPr>
          <w:rFonts w:ascii="Verdana" w:hAnsi="Verdana" w:cs="Arial"/>
          <w:spacing w:val="1"/>
        </w:rPr>
        <w:t xml:space="preserve"> </w:t>
      </w:r>
      <w:r w:rsidRPr="00422B6A">
        <w:rPr>
          <w:rFonts w:ascii="Verdana" w:hAnsi="Verdana" w:cs="Arial"/>
        </w:rPr>
        <w:t>dificultad</w:t>
      </w:r>
      <w:r w:rsidRPr="00422B6A">
        <w:rPr>
          <w:rFonts w:ascii="Verdana" w:hAnsi="Verdana" w:cs="Arial"/>
          <w:spacing w:val="1"/>
        </w:rPr>
        <w:t xml:space="preserve"> </w:t>
      </w:r>
      <w:r w:rsidRPr="00422B6A">
        <w:rPr>
          <w:rFonts w:ascii="Verdana" w:hAnsi="Verdana" w:cs="Arial"/>
        </w:rPr>
        <w:t>que</w:t>
      </w:r>
      <w:r w:rsidRPr="00422B6A">
        <w:rPr>
          <w:rFonts w:ascii="Verdana" w:hAnsi="Verdana" w:cs="Arial"/>
          <w:spacing w:val="1"/>
        </w:rPr>
        <w:t xml:space="preserve"> </w:t>
      </w:r>
      <w:r w:rsidRPr="00422B6A">
        <w:rPr>
          <w:rFonts w:ascii="Verdana" w:hAnsi="Verdana" w:cs="Arial"/>
        </w:rPr>
        <w:t>ofrezca</w:t>
      </w:r>
      <w:r w:rsidRPr="00422B6A">
        <w:rPr>
          <w:rFonts w:ascii="Verdana" w:hAnsi="Verdana" w:cs="Arial"/>
          <w:spacing w:val="1"/>
        </w:rPr>
        <w:t xml:space="preserve"> </w:t>
      </w:r>
      <w:r w:rsidRPr="00422B6A">
        <w:rPr>
          <w:rFonts w:ascii="Verdana" w:hAnsi="Verdana" w:cs="Arial"/>
        </w:rPr>
        <w:t>la</w:t>
      </w:r>
      <w:r w:rsidRPr="00422B6A">
        <w:rPr>
          <w:rFonts w:ascii="Verdana" w:hAnsi="Verdana" w:cs="Arial"/>
          <w:spacing w:val="1"/>
        </w:rPr>
        <w:t xml:space="preserve"> </w:t>
      </w:r>
      <w:r w:rsidRPr="00422B6A">
        <w:rPr>
          <w:rFonts w:ascii="Verdana" w:hAnsi="Verdana" w:cs="Arial"/>
        </w:rPr>
        <w:t>clasificación</w:t>
      </w:r>
      <w:r w:rsidRPr="00422B6A">
        <w:rPr>
          <w:rFonts w:ascii="Verdana" w:hAnsi="Verdana" w:cs="Arial"/>
          <w:spacing w:val="1"/>
        </w:rPr>
        <w:t xml:space="preserve"> </w:t>
      </w:r>
      <w:r w:rsidRPr="00422B6A">
        <w:rPr>
          <w:rFonts w:ascii="Verdana" w:hAnsi="Verdana" w:cs="Arial"/>
        </w:rPr>
        <w:t>que</w:t>
      </w:r>
      <w:r w:rsidRPr="00422B6A">
        <w:rPr>
          <w:rFonts w:ascii="Verdana" w:hAnsi="Verdana" w:cs="Arial"/>
          <w:spacing w:val="1"/>
        </w:rPr>
        <w:t xml:space="preserve"> </w:t>
      </w:r>
      <w:r w:rsidRPr="00422B6A">
        <w:rPr>
          <w:rFonts w:ascii="Verdana" w:hAnsi="Verdana" w:cs="Arial"/>
        </w:rPr>
        <w:t>se</w:t>
      </w:r>
      <w:r w:rsidRPr="00422B6A">
        <w:rPr>
          <w:rFonts w:ascii="Verdana" w:hAnsi="Verdana" w:cs="Arial"/>
          <w:spacing w:val="1"/>
        </w:rPr>
        <w:t xml:space="preserve"> </w:t>
      </w:r>
      <w:r w:rsidRPr="00422B6A">
        <w:rPr>
          <w:rFonts w:ascii="Verdana" w:hAnsi="Verdana" w:cs="Arial"/>
        </w:rPr>
        <w:t>adopte,</w:t>
      </w:r>
      <w:r w:rsidRPr="00422B6A">
        <w:rPr>
          <w:rFonts w:ascii="Verdana" w:hAnsi="Verdana" w:cs="Arial"/>
          <w:spacing w:val="1"/>
        </w:rPr>
        <w:t xml:space="preserve"> </w:t>
      </w:r>
      <w:r w:rsidRPr="00422B6A">
        <w:rPr>
          <w:rFonts w:ascii="Verdana" w:hAnsi="Verdana" w:cs="Arial"/>
        </w:rPr>
        <w:t xml:space="preserve">para </w:t>
      </w:r>
      <w:r w:rsidRPr="00422B6A">
        <w:rPr>
          <w:rFonts w:ascii="Verdana" w:hAnsi="Verdana" w:cs="Arial"/>
          <w:spacing w:val="-59"/>
        </w:rPr>
        <w:t xml:space="preserve"> </w:t>
      </w:r>
      <w:r w:rsidRPr="00422B6A">
        <w:rPr>
          <w:rFonts w:ascii="Verdana" w:hAnsi="Verdana" w:cs="Arial"/>
        </w:rPr>
        <w:t>organizar la pertenencia de cada sociedad al respectivo grupo, en cualquiera de los</w:t>
      </w:r>
      <w:r w:rsidRPr="00422B6A">
        <w:rPr>
          <w:rFonts w:ascii="Verdana" w:hAnsi="Verdana" w:cs="Arial"/>
          <w:spacing w:val="1"/>
        </w:rPr>
        <w:t xml:space="preserve"> </w:t>
      </w:r>
      <w:r w:rsidRPr="00422B6A">
        <w:rPr>
          <w:rFonts w:ascii="Verdana" w:hAnsi="Verdana" w:cs="Arial"/>
        </w:rPr>
        <w:t>casos</w:t>
      </w:r>
      <w:r w:rsidRPr="00422B6A">
        <w:rPr>
          <w:rFonts w:ascii="Verdana" w:hAnsi="Verdana" w:cs="Arial"/>
          <w:spacing w:val="18"/>
        </w:rPr>
        <w:t xml:space="preserve"> </w:t>
      </w:r>
      <w:r w:rsidRPr="00422B6A">
        <w:rPr>
          <w:rFonts w:ascii="Verdana" w:hAnsi="Verdana" w:cs="Arial"/>
        </w:rPr>
        <w:t>debe</w:t>
      </w:r>
      <w:r w:rsidRPr="00422B6A">
        <w:rPr>
          <w:rFonts w:ascii="Verdana" w:hAnsi="Verdana" w:cs="Arial"/>
          <w:spacing w:val="18"/>
        </w:rPr>
        <w:t xml:space="preserve"> </w:t>
      </w:r>
      <w:r w:rsidRPr="00422B6A">
        <w:rPr>
          <w:rFonts w:ascii="Verdana" w:hAnsi="Verdana" w:cs="Arial"/>
        </w:rPr>
        <w:t>estarse</w:t>
      </w:r>
      <w:r w:rsidRPr="00422B6A">
        <w:rPr>
          <w:rFonts w:ascii="Verdana" w:hAnsi="Verdana" w:cs="Arial"/>
          <w:spacing w:val="19"/>
        </w:rPr>
        <w:t xml:space="preserve"> </w:t>
      </w:r>
      <w:r w:rsidRPr="00422B6A">
        <w:rPr>
          <w:rFonts w:ascii="Verdana" w:hAnsi="Verdana" w:cs="Arial"/>
        </w:rPr>
        <w:t>ante</w:t>
      </w:r>
      <w:r w:rsidRPr="00422B6A">
        <w:rPr>
          <w:rFonts w:ascii="Verdana" w:hAnsi="Verdana" w:cs="Arial"/>
          <w:spacing w:val="18"/>
        </w:rPr>
        <w:t xml:space="preserve"> </w:t>
      </w:r>
      <w:r w:rsidRPr="00422B6A">
        <w:rPr>
          <w:rFonts w:ascii="Verdana" w:hAnsi="Verdana" w:cs="Arial"/>
        </w:rPr>
        <w:t>“sociedades”,</w:t>
      </w:r>
      <w:r w:rsidRPr="00422B6A">
        <w:rPr>
          <w:rFonts w:ascii="Verdana" w:hAnsi="Verdana" w:cs="Arial"/>
          <w:spacing w:val="19"/>
        </w:rPr>
        <w:t xml:space="preserve"> </w:t>
      </w:r>
      <w:r w:rsidRPr="00422B6A">
        <w:rPr>
          <w:rFonts w:ascii="Verdana" w:hAnsi="Verdana" w:cs="Arial"/>
        </w:rPr>
        <w:t>es</w:t>
      </w:r>
      <w:r w:rsidRPr="00422B6A">
        <w:rPr>
          <w:rFonts w:ascii="Verdana" w:hAnsi="Verdana" w:cs="Arial"/>
          <w:spacing w:val="19"/>
        </w:rPr>
        <w:t xml:space="preserve"> </w:t>
      </w:r>
      <w:r w:rsidRPr="00422B6A">
        <w:rPr>
          <w:rFonts w:ascii="Verdana" w:hAnsi="Verdana" w:cs="Arial"/>
        </w:rPr>
        <w:t>decir,</w:t>
      </w:r>
      <w:r w:rsidRPr="00422B6A">
        <w:rPr>
          <w:rFonts w:ascii="Verdana" w:hAnsi="Verdana" w:cs="Arial"/>
          <w:spacing w:val="18"/>
        </w:rPr>
        <w:t xml:space="preserve"> </w:t>
      </w:r>
      <w:r w:rsidRPr="00422B6A">
        <w:rPr>
          <w:rFonts w:ascii="Verdana" w:hAnsi="Verdana" w:cs="Arial"/>
        </w:rPr>
        <w:t>ante</w:t>
      </w:r>
      <w:r w:rsidRPr="00422B6A">
        <w:rPr>
          <w:rFonts w:ascii="Verdana" w:hAnsi="Verdana" w:cs="Arial"/>
          <w:spacing w:val="18"/>
        </w:rPr>
        <w:t xml:space="preserve"> </w:t>
      </w:r>
      <w:r w:rsidRPr="00422B6A">
        <w:rPr>
          <w:rFonts w:ascii="Verdana" w:hAnsi="Verdana" w:cs="Arial"/>
        </w:rPr>
        <w:t>sujetos</w:t>
      </w:r>
      <w:r w:rsidRPr="00422B6A">
        <w:rPr>
          <w:rFonts w:ascii="Verdana" w:hAnsi="Verdana" w:cs="Arial"/>
          <w:spacing w:val="18"/>
        </w:rPr>
        <w:t xml:space="preserve"> </w:t>
      </w:r>
      <w:r w:rsidRPr="00422B6A">
        <w:rPr>
          <w:rFonts w:ascii="Verdana" w:hAnsi="Verdana" w:cs="Arial"/>
        </w:rPr>
        <w:t>u</w:t>
      </w:r>
      <w:r w:rsidRPr="00422B6A">
        <w:rPr>
          <w:rFonts w:ascii="Verdana" w:hAnsi="Verdana" w:cs="Arial"/>
          <w:spacing w:val="19"/>
        </w:rPr>
        <w:t xml:space="preserve"> </w:t>
      </w:r>
      <w:r w:rsidRPr="00422B6A">
        <w:rPr>
          <w:rFonts w:ascii="Verdana" w:hAnsi="Verdana" w:cs="Arial"/>
        </w:rPr>
        <w:t>organizaciones</w:t>
      </w:r>
      <w:r w:rsidRPr="00422B6A">
        <w:rPr>
          <w:rFonts w:ascii="Verdana" w:hAnsi="Verdana" w:cs="Arial"/>
          <w:spacing w:val="19"/>
        </w:rPr>
        <w:t xml:space="preserve"> </w:t>
      </w:r>
      <w:r w:rsidRPr="00422B6A">
        <w:rPr>
          <w:rFonts w:ascii="Verdana" w:hAnsi="Verdana" w:cs="Arial"/>
        </w:rPr>
        <w:t>que forman una persona jurídica distinta de los socios que la conforman, como lo dispone</w:t>
      </w:r>
      <w:r w:rsidRPr="00422B6A">
        <w:rPr>
          <w:rFonts w:ascii="Verdana" w:hAnsi="Verdana" w:cs="Arial"/>
          <w:spacing w:val="1"/>
        </w:rPr>
        <w:t xml:space="preserve"> </w:t>
      </w:r>
      <w:r w:rsidRPr="00422B6A">
        <w:rPr>
          <w:rFonts w:ascii="Verdana" w:hAnsi="Verdana" w:cs="Arial"/>
          <w:spacing w:val="-1"/>
        </w:rPr>
        <w:t>el</w:t>
      </w:r>
      <w:r w:rsidRPr="00422B6A">
        <w:rPr>
          <w:rFonts w:ascii="Verdana" w:hAnsi="Verdana" w:cs="Arial"/>
          <w:spacing w:val="-15"/>
        </w:rPr>
        <w:t xml:space="preserve"> </w:t>
      </w:r>
      <w:r w:rsidRPr="00422B6A">
        <w:rPr>
          <w:rFonts w:ascii="Verdana" w:hAnsi="Verdana" w:cs="Arial"/>
          <w:spacing w:val="-1"/>
        </w:rPr>
        <w:t>artículo</w:t>
      </w:r>
      <w:r w:rsidRPr="00422B6A">
        <w:rPr>
          <w:rFonts w:ascii="Verdana" w:hAnsi="Verdana" w:cs="Arial"/>
          <w:spacing w:val="-14"/>
        </w:rPr>
        <w:t xml:space="preserve"> </w:t>
      </w:r>
      <w:r w:rsidRPr="00422B6A">
        <w:rPr>
          <w:rFonts w:ascii="Verdana" w:hAnsi="Verdana" w:cs="Arial"/>
          <w:spacing w:val="-1"/>
        </w:rPr>
        <w:t>98</w:t>
      </w:r>
      <w:r w:rsidRPr="00422B6A">
        <w:rPr>
          <w:rFonts w:ascii="Verdana" w:hAnsi="Verdana" w:cs="Arial"/>
          <w:spacing w:val="-14"/>
        </w:rPr>
        <w:t xml:space="preserve"> </w:t>
      </w:r>
      <w:r w:rsidRPr="00422B6A">
        <w:rPr>
          <w:rFonts w:ascii="Verdana" w:hAnsi="Verdana" w:cs="Arial"/>
          <w:spacing w:val="-1"/>
        </w:rPr>
        <w:t>del</w:t>
      </w:r>
      <w:r w:rsidRPr="00422B6A">
        <w:rPr>
          <w:rFonts w:ascii="Verdana" w:hAnsi="Verdana" w:cs="Arial"/>
          <w:spacing w:val="33"/>
        </w:rPr>
        <w:t xml:space="preserve"> </w:t>
      </w:r>
      <w:r w:rsidRPr="00422B6A">
        <w:rPr>
          <w:rFonts w:ascii="Verdana" w:hAnsi="Verdana" w:cs="Arial"/>
          <w:spacing w:val="-1"/>
        </w:rPr>
        <w:t>Código</w:t>
      </w:r>
      <w:r w:rsidRPr="00422B6A">
        <w:rPr>
          <w:rFonts w:ascii="Verdana" w:hAnsi="Verdana" w:cs="Arial"/>
          <w:spacing w:val="-14"/>
        </w:rPr>
        <w:t xml:space="preserve"> </w:t>
      </w:r>
      <w:r w:rsidRPr="00422B6A">
        <w:rPr>
          <w:rFonts w:ascii="Verdana" w:hAnsi="Verdana" w:cs="Arial"/>
        </w:rPr>
        <w:t>de</w:t>
      </w:r>
      <w:r w:rsidRPr="00422B6A">
        <w:rPr>
          <w:rFonts w:ascii="Verdana" w:hAnsi="Verdana" w:cs="Arial"/>
          <w:spacing w:val="-14"/>
        </w:rPr>
        <w:t xml:space="preserve"> </w:t>
      </w:r>
      <w:r w:rsidRPr="00422B6A">
        <w:rPr>
          <w:rFonts w:ascii="Verdana" w:hAnsi="Verdana" w:cs="Arial"/>
        </w:rPr>
        <w:t>Comercio:</w:t>
      </w:r>
      <w:r w:rsidRPr="00422B6A">
        <w:rPr>
          <w:rFonts w:ascii="Verdana" w:hAnsi="Verdana" w:cs="Arial"/>
          <w:spacing w:val="-14"/>
        </w:rPr>
        <w:t xml:space="preserve"> </w:t>
      </w:r>
      <w:r w:rsidRPr="00422B6A">
        <w:rPr>
          <w:rFonts w:ascii="Verdana" w:hAnsi="Verdana" w:cs="Arial"/>
        </w:rPr>
        <w:t>“Por</w:t>
      </w:r>
      <w:r w:rsidRPr="00422B6A">
        <w:rPr>
          <w:rFonts w:ascii="Verdana" w:hAnsi="Verdana" w:cs="Arial"/>
          <w:spacing w:val="-14"/>
        </w:rPr>
        <w:t xml:space="preserve"> </w:t>
      </w:r>
      <w:r w:rsidRPr="00422B6A">
        <w:rPr>
          <w:rFonts w:ascii="Verdana" w:hAnsi="Verdana" w:cs="Arial"/>
        </w:rPr>
        <w:t>el</w:t>
      </w:r>
      <w:r w:rsidRPr="00422B6A">
        <w:rPr>
          <w:rFonts w:ascii="Verdana" w:hAnsi="Verdana" w:cs="Arial"/>
          <w:spacing w:val="-15"/>
        </w:rPr>
        <w:t xml:space="preserve"> </w:t>
      </w:r>
      <w:r w:rsidRPr="00422B6A">
        <w:rPr>
          <w:rFonts w:ascii="Verdana" w:hAnsi="Verdana" w:cs="Arial"/>
        </w:rPr>
        <w:t>contrato</w:t>
      </w:r>
      <w:r w:rsidRPr="00422B6A">
        <w:rPr>
          <w:rFonts w:ascii="Verdana" w:hAnsi="Verdana" w:cs="Arial"/>
          <w:spacing w:val="-14"/>
        </w:rPr>
        <w:t xml:space="preserve"> </w:t>
      </w:r>
      <w:r w:rsidRPr="00422B6A">
        <w:rPr>
          <w:rFonts w:ascii="Verdana" w:hAnsi="Verdana" w:cs="Arial"/>
        </w:rPr>
        <w:t>de</w:t>
      </w:r>
      <w:r w:rsidRPr="00422B6A">
        <w:rPr>
          <w:rFonts w:ascii="Verdana" w:hAnsi="Verdana" w:cs="Arial"/>
          <w:spacing w:val="-14"/>
        </w:rPr>
        <w:t xml:space="preserve"> </w:t>
      </w:r>
      <w:r w:rsidRPr="00422B6A">
        <w:rPr>
          <w:rFonts w:ascii="Verdana" w:hAnsi="Verdana" w:cs="Arial"/>
        </w:rPr>
        <w:t>sociedad</w:t>
      </w:r>
      <w:r w:rsidRPr="00422B6A">
        <w:rPr>
          <w:rFonts w:ascii="Verdana" w:hAnsi="Verdana" w:cs="Arial"/>
          <w:spacing w:val="-14"/>
        </w:rPr>
        <w:t xml:space="preserve"> </w:t>
      </w:r>
      <w:r w:rsidRPr="00422B6A">
        <w:rPr>
          <w:rFonts w:ascii="Verdana" w:hAnsi="Verdana" w:cs="Arial"/>
        </w:rPr>
        <w:t>dos</w:t>
      </w:r>
      <w:r w:rsidRPr="00422B6A">
        <w:rPr>
          <w:rFonts w:ascii="Verdana" w:hAnsi="Verdana" w:cs="Arial"/>
          <w:spacing w:val="-14"/>
        </w:rPr>
        <w:t xml:space="preserve"> </w:t>
      </w:r>
      <w:r w:rsidRPr="00422B6A">
        <w:rPr>
          <w:rFonts w:ascii="Verdana" w:hAnsi="Verdana" w:cs="Arial"/>
        </w:rPr>
        <w:t>o</w:t>
      </w:r>
      <w:r w:rsidRPr="00422B6A">
        <w:rPr>
          <w:rFonts w:ascii="Verdana" w:hAnsi="Verdana" w:cs="Arial"/>
          <w:spacing w:val="-14"/>
        </w:rPr>
        <w:t xml:space="preserve"> </w:t>
      </w:r>
      <w:r w:rsidRPr="00422B6A">
        <w:rPr>
          <w:rFonts w:ascii="Verdana" w:hAnsi="Verdana" w:cs="Arial"/>
        </w:rPr>
        <w:t>más</w:t>
      </w:r>
      <w:r w:rsidRPr="00422B6A">
        <w:rPr>
          <w:rFonts w:ascii="Verdana" w:hAnsi="Verdana" w:cs="Arial"/>
          <w:spacing w:val="-14"/>
        </w:rPr>
        <w:t xml:space="preserve"> </w:t>
      </w:r>
      <w:r w:rsidRPr="00422B6A">
        <w:rPr>
          <w:rFonts w:ascii="Verdana" w:hAnsi="Verdana" w:cs="Arial"/>
        </w:rPr>
        <w:t xml:space="preserve">personas </w:t>
      </w:r>
      <w:r w:rsidRPr="00422B6A">
        <w:rPr>
          <w:rFonts w:ascii="Verdana" w:hAnsi="Verdana" w:cs="Arial"/>
          <w:spacing w:val="-59"/>
        </w:rPr>
        <w:t xml:space="preserve"> </w:t>
      </w:r>
      <w:r w:rsidRPr="00422B6A">
        <w:rPr>
          <w:rFonts w:ascii="Verdana" w:hAnsi="Verdana" w:cs="Arial"/>
        </w:rPr>
        <w:t>se obligan a hacer un aporte en dinero, en trabajo o en otros bienes apreciables en</w:t>
      </w:r>
      <w:r w:rsidRPr="00422B6A">
        <w:rPr>
          <w:rFonts w:ascii="Verdana" w:hAnsi="Verdana" w:cs="Arial"/>
          <w:spacing w:val="1"/>
        </w:rPr>
        <w:t xml:space="preserve"> </w:t>
      </w:r>
      <w:r w:rsidRPr="00422B6A">
        <w:rPr>
          <w:rFonts w:ascii="Verdana" w:hAnsi="Verdana" w:cs="Arial"/>
        </w:rPr>
        <w:t>dinero,</w:t>
      </w:r>
      <w:r w:rsidRPr="00422B6A">
        <w:rPr>
          <w:rFonts w:ascii="Verdana" w:hAnsi="Verdana" w:cs="Arial"/>
          <w:spacing w:val="-12"/>
        </w:rPr>
        <w:t xml:space="preserve"> </w:t>
      </w:r>
      <w:r w:rsidRPr="00422B6A">
        <w:rPr>
          <w:rFonts w:ascii="Verdana" w:hAnsi="Verdana" w:cs="Arial"/>
        </w:rPr>
        <w:t>con</w:t>
      </w:r>
      <w:r w:rsidRPr="00422B6A">
        <w:rPr>
          <w:rFonts w:ascii="Verdana" w:hAnsi="Verdana" w:cs="Arial"/>
          <w:spacing w:val="-11"/>
        </w:rPr>
        <w:t xml:space="preserve"> </w:t>
      </w:r>
      <w:r w:rsidRPr="00422B6A">
        <w:rPr>
          <w:rFonts w:ascii="Verdana" w:hAnsi="Verdana" w:cs="Arial"/>
        </w:rPr>
        <w:t>el</w:t>
      </w:r>
      <w:r w:rsidRPr="00422B6A">
        <w:rPr>
          <w:rFonts w:ascii="Verdana" w:hAnsi="Verdana" w:cs="Arial"/>
          <w:spacing w:val="-11"/>
        </w:rPr>
        <w:t xml:space="preserve"> </w:t>
      </w:r>
      <w:r w:rsidRPr="00422B6A">
        <w:rPr>
          <w:rFonts w:ascii="Verdana" w:hAnsi="Verdana" w:cs="Arial"/>
        </w:rPr>
        <w:t>fin</w:t>
      </w:r>
      <w:r w:rsidRPr="00422B6A">
        <w:rPr>
          <w:rFonts w:ascii="Verdana" w:hAnsi="Verdana" w:cs="Arial"/>
          <w:spacing w:val="-11"/>
        </w:rPr>
        <w:t xml:space="preserve"> </w:t>
      </w:r>
      <w:r w:rsidRPr="00422B6A">
        <w:rPr>
          <w:rFonts w:ascii="Verdana" w:hAnsi="Verdana" w:cs="Arial"/>
        </w:rPr>
        <w:t>de</w:t>
      </w:r>
      <w:r w:rsidRPr="00422B6A">
        <w:rPr>
          <w:rFonts w:ascii="Verdana" w:hAnsi="Verdana" w:cs="Arial"/>
          <w:spacing w:val="-11"/>
        </w:rPr>
        <w:t xml:space="preserve"> </w:t>
      </w:r>
      <w:r w:rsidRPr="00422B6A">
        <w:rPr>
          <w:rFonts w:ascii="Verdana" w:hAnsi="Verdana" w:cs="Arial"/>
        </w:rPr>
        <w:t>repartirse</w:t>
      </w:r>
      <w:r w:rsidRPr="00422B6A">
        <w:rPr>
          <w:rFonts w:ascii="Verdana" w:hAnsi="Verdana" w:cs="Arial"/>
          <w:spacing w:val="-11"/>
        </w:rPr>
        <w:t xml:space="preserve"> </w:t>
      </w:r>
      <w:r w:rsidRPr="00422B6A">
        <w:rPr>
          <w:rFonts w:ascii="Verdana" w:hAnsi="Verdana" w:cs="Arial"/>
        </w:rPr>
        <w:t>entre</w:t>
      </w:r>
      <w:r w:rsidRPr="00422B6A">
        <w:rPr>
          <w:rFonts w:ascii="Verdana" w:hAnsi="Verdana" w:cs="Arial"/>
          <w:spacing w:val="-11"/>
        </w:rPr>
        <w:t xml:space="preserve"> </w:t>
      </w:r>
      <w:r w:rsidRPr="00422B6A">
        <w:rPr>
          <w:rFonts w:ascii="Verdana" w:hAnsi="Verdana" w:cs="Arial"/>
        </w:rPr>
        <w:t>sí</w:t>
      </w:r>
      <w:r w:rsidRPr="00422B6A">
        <w:rPr>
          <w:rFonts w:ascii="Verdana" w:hAnsi="Verdana" w:cs="Arial"/>
          <w:spacing w:val="-11"/>
        </w:rPr>
        <w:t xml:space="preserve"> </w:t>
      </w:r>
      <w:r w:rsidRPr="00422B6A">
        <w:rPr>
          <w:rFonts w:ascii="Verdana" w:hAnsi="Verdana" w:cs="Arial"/>
        </w:rPr>
        <w:t>las</w:t>
      </w:r>
      <w:r w:rsidRPr="00422B6A">
        <w:rPr>
          <w:rFonts w:ascii="Verdana" w:hAnsi="Verdana" w:cs="Arial"/>
          <w:spacing w:val="-12"/>
        </w:rPr>
        <w:t xml:space="preserve"> </w:t>
      </w:r>
      <w:r w:rsidRPr="00422B6A">
        <w:rPr>
          <w:rFonts w:ascii="Verdana" w:hAnsi="Verdana" w:cs="Arial"/>
        </w:rPr>
        <w:t>utilidades</w:t>
      </w:r>
      <w:r w:rsidRPr="00422B6A">
        <w:rPr>
          <w:rFonts w:ascii="Verdana" w:hAnsi="Verdana" w:cs="Arial"/>
          <w:spacing w:val="-11"/>
        </w:rPr>
        <w:t xml:space="preserve"> </w:t>
      </w:r>
      <w:r w:rsidRPr="00422B6A">
        <w:rPr>
          <w:rFonts w:ascii="Verdana" w:hAnsi="Verdana" w:cs="Arial"/>
        </w:rPr>
        <w:t>obtenidas</w:t>
      </w:r>
      <w:r w:rsidRPr="00422B6A">
        <w:rPr>
          <w:rFonts w:ascii="Verdana" w:hAnsi="Verdana" w:cs="Arial"/>
          <w:spacing w:val="-11"/>
        </w:rPr>
        <w:t xml:space="preserve"> </w:t>
      </w:r>
      <w:r w:rsidRPr="00422B6A">
        <w:rPr>
          <w:rFonts w:ascii="Verdana" w:hAnsi="Verdana" w:cs="Arial"/>
        </w:rPr>
        <w:t>en</w:t>
      </w:r>
      <w:r w:rsidRPr="00422B6A">
        <w:rPr>
          <w:rFonts w:ascii="Verdana" w:hAnsi="Verdana" w:cs="Arial"/>
          <w:spacing w:val="-11"/>
        </w:rPr>
        <w:t xml:space="preserve"> </w:t>
      </w:r>
      <w:r w:rsidRPr="00422B6A">
        <w:rPr>
          <w:rFonts w:ascii="Verdana" w:hAnsi="Verdana" w:cs="Arial"/>
        </w:rPr>
        <w:t>la</w:t>
      </w:r>
      <w:r w:rsidRPr="00422B6A">
        <w:rPr>
          <w:rFonts w:ascii="Verdana" w:hAnsi="Verdana" w:cs="Arial"/>
          <w:spacing w:val="-11"/>
        </w:rPr>
        <w:t xml:space="preserve"> </w:t>
      </w:r>
      <w:r w:rsidRPr="00422B6A">
        <w:rPr>
          <w:rFonts w:ascii="Verdana" w:hAnsi="Verdana" w:cs="Arial"/>
        </w:rPr>
        <w:t>empresa</w:t>
      </w:r>
      <w:r w:rsidRPr="00422B6A">
        <w:rPr>
          <w:rFonts w:ascii="Verdana" w:hAnsi="Verdana" w:cs="Arial"/>
          <w:spacing w:val="-11"/>
        </w:rPr>
        <w:t xml:space="preserve"> </w:t>
      </w:r>
      <w:r w:rsidRPr="00422B6A">
        <w:rPr>
          <w:rFonts w:ascii="Verdana" w:hAnsi="Verdana" w:cs="Arial"/>
        </w:rPr>
        <w:t>o</w:t>
      </w:r>
      <w:r w:rsidRPr="00422B6A">
        <w:rPr>
          <w:rFonts w:ascii="Verdana" w:hAnsi="Verdana" w:cs="Arial"/>
          <w:spacing w:val="-11"/>
        </w:rPr>
        <w:t xml:space="preserve"> </w:t>
      </w:r>
      <w:r w:rsidRPr="00422B6A">
        <w:rPr>
          <w:rFonts w:ascii="Verdana" w:hAnsi="Verdana" w:cs="Arial"/>
        </w:rPr>
        <w:t xml:space="preserve">actividad </w:t>
      </w:r>
      <w:r w:rsidRPr="00422B6A">
        <w:rPr>
          <w:rFonts w:ascii="Verdana" w:hAnsi="Verdana" w:cs="Arial"/>
          <w:spacing w:val="-59"/>
        </w:rPr>
        <w:t xml:space="preserve"> </w:t>
      </w:r>
      <w:r w:rsidRPr="00422B6A">
        <w:rPr>
          <w:rFonts w:ascii="Verdana" w:hAnsi="Verdana" w:cs="Arial"/>
        </w:rPr>
        <w:t>social”.</w:t>
      </w:r>
    </w:p>
    <w:p w14:paraId="3DBE0C21" w14:textId="77777777" w:rsidR="003C2794" w:rsidRDefault="003C2794" w:rsidP="003C2794">
      <w:pPr>
        <w:pStyle w:val="BodyText"/>
        <w:spacing w:before="120" w:after="0"/>
        <w:ind w:right="49" w:firstLine="709"/>
        <w:jc w:val="both"/>
        <w:rPr>
          <w:rFonts w:ascii="Verdana" w:hAnsi="Verdana" w:cs="Arial"/>
        </w:rPr>
      </w:pPr>
      <w:r>
        <w:rPr>
          <w:rFonts w:ascii="Verdana" w:hAnsi="Verdana" w:cs="Arial"/>
        </w:rPr>
        <w:t>S</w:t>
      </w:r>
      <w:r w:rsidRPr="00422B6A">
        <w:rPr>
          <w:rFonts w:ascii="Verdana" w:hAnsi="Verdana" w:cs="Arial"/>
        </w:rPr>
        <w:t>in perjuicio de las discusiones doctrinarias,</w:t>
      </w:r>
      <w:r w:rsidRPr="00422B6A" w:rsidDel="00814745">
        <w:rPr>
          <w:rFonts w:ascii="Verdana" w:hAnsi="Verdana" w:cs="Arial"/>
        </w:rPr>
        <w:t xml:space="preserve"> </w:t>
      </w:r>
      <w:r w:rsidRPr="00422B6A">
        <w:rPr>
          <w:rFonts w:ascii="Verdana" w:hAnsi="Verdana" w:cs="Arial"/>
        </w:rPr>
        <w:t>según la jurisprudencia, las sociedades comerciales se</w:t>
      </w:r>
      <w:r w:rsidRPr="00422B6A">
        <w:rPr>
          <w:rFonts w:ascii="Verdana" w:hAnsi="Verdana" w:cs="Arial"/>
          <w:spacing w:val="1"/>
        </w:rPr>
        <w:t xml:space="preserve"> </w:t>
      </w:r>
      <w:r w:rsidRPr="00422B6A">
        <w:rPr>
          <w:rFonts w:ascii="Verdana" w:hAnsi="Verdana" w:cs="Arial"/>
        </w:rPr>
        <w:t xml:space="preserve">clasifican en dos grandes categorías: sociedades de capital y sociedades de personas. </w:t>
      </w:r>
      <w:r w:rsidRPr="00422B6A">
        <w:rPr>
          <w:rFonts w:ascii="Verdana" w:hAnsi="Verdana" w:cs="Arial"/>
          <w:spacing w:val="-59"/>
        </w:rPr>
        <w:t xml:space="preserve"> </w:t>
      </w:r>
      <w:r w:rsidRPr="00422B6A">
        <w:rPr>
          <w:rFonts w:ascii="Verdana" w:hAnsi="Verdana" w:cs="Arial"/>
        </w:rPr>
        <w:t>Al respecto</w:t>
      </w:r>
      <w:r>
        <w:rPr>
          <w:rFonts w:ascii="Verdana" w:hAnsi="Verdana" w:cs="Arial"/>
        </w:rPr>
        <w:t>,</w:t>
      </w:r>
      <w:r w:rsidRPr="00422B6A">
        <w:rPr>
          <w:rFonts w:ascii="Verdana" w:hAnsi="Verdana" w:cs="Arial"/>
        </w:rPr>
        <w:t xml:space="preserve"> la Corte Constitucional, en sentencia C-831 de 2010, señaló: “Desde el</w:t>
      </w:r>
      <w:r w:rsidRPr="00422B6A">
        <w:rPr>
          <w:rFonts w:ascii="Verdana" w:hAnsi="Verdana" w:cs="Arial"/>
          <w:spacing w:val="1"/>
        </w:rPr>
        <w:t xml:space="preserve"> </w:t>
      </w:r>
      <w:r w:rsidRPr="00422B6A">
        <w:rPr>
          <w:rFonts w:ascii="Verdana" w:hAnsi="Verdana" w:cs="Arial"/>
        </w:rPr>
        <w:t>punto de vista de la legislación mercantil, las sociedades pueden revestir distintas</w:t>
      </w:r>
      <w:r w:rsidRPr="00422B6A">
        <w:rPr>
          <w:rFonts w:ascii="Verdana" w:hAnsi="Verdana" w:cs="Arial"/>
          <w:spacing w:val="1"/>
        </w:rPr>
        <w:t xml:space="preserve"> </w:t>
      </w:r>
      <w:r w:rsidRPr="00422B6A">
        <w:rPr>
          <w:rFonts w:ascii="Verdana" w:hAnsi="Verdana" w:cs="Arial"/>
        </w:rPr>
        <w:t>formas. Dos grandes categorías societarias son: i) las sociedades de personas, por</w:t>
      </w:r>
      <w:r w:rsidRPr="00422B6A">
        <w:rPr>
          <w:rFonts w:ascii="Verdana" w:hAnsi="Verdana" w:cs="Arial"/>
          <w:spacing w:val="1"/>
        </w:rPr>
        <w:t xml:space="preserve"> </w:t>
      </w:r>
      <w:r w:rsidRPr="00422B6A">
        <w:rPr>
          <w:rFonts w:ascii="Verdana" w:hAnsi="Verdana" w:cs="Arial"/>
        </w:rPr>
        <w:t>aportes o cuotas, que comprenden a las limitadas, sociedades en comandita simple,</w:t>
      </w:r>
      <w:r w:rsidRPr="00422B6A">
        <w:rPr>
          <w:rFonts w:ascii="Verdana" w:hAnsi="Verdana" w:cs="Arial"/>
          <w:spacing w:val="1"/>
        </w:rPr>
        <w:t xml:space="preserve"> </w:t>
      </w:r>
      <w:r w:rsidRPr="00422B6A">
        <w:rPr>
          <w:rFonts w:ascii="Verdana" w:hAnsi="Verdana" w:cs="Arial"/>
        </w:rPr>
        <w:t xml:space="preserve">colectivas y empresas unipersonales y, por otro lado, </w:t>
      </w:r>
      <w:proofErr w:type="spellStart"/>
      <w:r w:rsidRPr="00422B6A">
        <w:rPr>
          <w:rFonts w:ascii="Verdana" w:hAnsi="Verdana" w:cs="Arial"/>
        </w:rPr>
        <w:t>ii</w:t>
      </w:r>
      <w:proofErr w:type="spellEnd"/>
      <w:r w:rsidRPr="00422B6A">
        <w:rPr>
          <w:rFonts w:ascii="Verdana" w:hAnsi="Verdana" w:cs="Arial"/>
        </w:rPr>
        <w:t>) las sociedades de capital o por</w:t>
      </w:r>
      <w:r w:rsidRPr="00422B6A">
        <w:rPr>
          <w:rFonts w:ascii="Verdana" w:hAnsi="Verdana" w:cs="Arial"/>
          <w:spacing w:val="1"/>
        </w:rPr>
        <w:t xml:space="preserve"> </w:t>
      </w:r>
      <w:r w:rsidRPr="00422B6A">
        <w:rPr>
          <w:rFonts w:ascii="Verdana" w:hAnsi="Verdana" w:cs="Arial"/>
        </w:rPr>
        <w:t>acciones,</w:t>
      </w:r>
      <w:r w:rsidRPr="00422B6A">
        <w:rPr>
          <w:rFonts w:ascii="Verdana" w:hAnsi="Verdana" w:cs="Arial"/>
          <w:spacing w:val="-7"/>
        </w:rPr>
        <w:t xml:space="preserve"> </w:t>
      </w:r>
      <w:r w:rsidRPr="00422B6A">
        <w:rPr>
          <w:rFonts w:ascii="Verdana" w:hAnsi="Verdana" w:cs="Arial"/>
        </w:rPr>
        <w:t>entre</w:t>
      </w:r>
      <w:r w:rsidRPr="00422B6A">
        <w:rPr>
          <w:rFonts w:ascii="Verdana" w:hAnsi="Verdana" w:cs="Arial"/>
          <w:spacing w:val="-7"/>
        </w:rPr>
        <w:t xml:space="preserve"> </w:t>
      </w:r>
      <w:r w:rsidRPr="00422B6A">
        <w:rPr>
          <w:rFonts w:ascii="Verdana" w:hAnsi="Verdana" w:cs="Arial"/>
        </w:rPr>
        <w:t>las</w:t>
      </w:r>
      <w:r w:rsidRPr="00422B6A">
        <w:rPr>
          <w:rFonts w:ascii="Verdana" w:hAnsi="Verdana" w:cs="Arial"/>
          <w:spacing w:val="-7"/>
        </w:rPr>
        <w:t xml:space="preserve"> </w:t>
      </w:r>
      <w:r w:rsidRPr="00422B6A">
        <w:rPr>
          <w:rFonts w:ascii="Verdana" w:hAnsi="Verdana" w:cs="Arial"/>
        </w:rPr>
        <w:t>que</w:t>
      </w:r>
      <w:r w:rsidRPr="00422B6A">
        <w:rPr>
          <w:rFonts w:ascii="Verdana" w:hAnsi="Verdana" w:cs="Arial"/>
          <w:spacing w:val="-7"/>
        </w:rPr>
        <w:t xml:space="preserve"> </w:t>
      </w:r>
      <w:r w:rsidRPr="00422B6A">
        <w:rPr>
          <w:rFonts w:ascii="Verdana" w:hAnsi="Verdana" w:cs="Arial"/>
        </w:rPr>
        <w:t>se</w:t>
      </w:r>
      <w:r w:rsidRPr="00422B6A">
        <w:rPr>
          <w:rFonts w:ascii="Verdana" w:hAnsi="Verdana" w:cs="Arial"/>
          <w:spacing w:val="-7"/>
        </w:rPr>
        <w:t xml:space="preserve"> </w:t>
      </w:r>
      <w:r w:rsidRPr="00422B6A">
        <w:rPr>
          <w:rFonts w:ascii="Verdana" w:hAnsi="Verdana" w:cs="Arial"/>
        </w:rPr>
        <w:t>encuentran:</w:t>
      </w:r>
      <w:r w:rsidRPr="00422B6A">
        <w:rPr>
          <w:rFonts w:ascii="Verdana" w:hAnsi="Verdana" w:cs="Arial"/>
          <w:spacing w:val="-6"/>
        </w:rPr>
        <w:t xml:space="preserve"> </w:t>
      </w:r>
      <w:r w:rsidRPr="00422B6A">
        <w:rPr>
          <w:rFonts w:ascii="Verdana" w:hAnsi="Verdana" w:cs="Arial"/>
        </w:rPr>
        <w:t>las</w:t>
      </w:r>
      <w:r w:rsidRPr="00422B6A">
        <w:rPr>
          <w:rFonts w:ascii="Verdana" w:hAnsi="Verdana" w:cs="Arial"/>
          <w:spacing w:val="-7"/>
        </w:rPr>
        <w:t xml:space="preserve"> </w:t>
      </w:r>
      <w:r w:rsidRPr="00422B6A">
        <w:rPr>
          <w:rFonts w:ascii="Verdana" w:hAnsi="Verdana" w:cs="Arial"/>
        </w:rPr>
        <w:t>anónimas,</w:t>
      </w:r>
      <w:r w:rsidRPr="00422B6A">
        <w:rPr>
          <w:rFonts w:ascii="Verdana" w:hAnsi="Verdana" w:cs="Arial"/>
          <w:spacing w:val="-7"/>
        </w:rPr>
        <w:t xml:space="preserve"> </w:t>
      </w:r>
      <w:r w:rsidRPr="00422B6A">
        <w:rPr>
          <w:rFonts w:ascii="Verdana" w:hAnsi="Verdana" w:cs="Arial"/>
        </w:rPr>
        <w:t>simplificadas</w:t>
      </w:r>
      <w:r w:rsidRPr="00422B6A">
        <w:rPr>
          <w:rFonts w:ascii="Verdana" w:hAnsi="Verdana" w:cs="Arial"/>
          <w:spacing w:val="-7"/>
        </w:rPr>
        <w:t xml:space="preserve"> </w:t>
      </w:r>
      <w:r w:rsidRPr="00422B6A">
        <w:rPr>
          <w:rFonts w:ascii="Verdana" w:hAnsi="Verdana" w:cs="Arial"/>
        </w:rPr>
        <w:t>por</w:t>
      </w:r>
      <w:r w:rsidRPr="00422B6A">
        <w:rPr>
          <w:rFonts w:ascii="Verdana" w:hAnsi="Verdana" w:cs="Arial"/>
          <w:spacing w:val="-7"/>
        </w:rPr>
        <w:t xml:space="preserve"> </w:t>
      </w:r>
      <w:r w:rsidRPr="00422B6A">
        <w:rPr>
          <w:rFonts w:ascii="Verdana" w:hAnsi="Verdana" w:cs="Arial"/>
        </w:rPr>
        <w:t>acciones</w:t>
      </w:r>
      <w:r w:rsidRPr="00422B6A">
        <w:rPr>
          <w:rFonts w:ascii="Verdana" w:hAnsi="Verdana" w:cs="Arial"/>
          <w:spacing w:val="-6"/>
        </w:rPr>
        <w:t xml:space="preserve"> </w:t>
      </w:r>
      <w:r w:rsidRPr="00422B6A">
        <w:rPr>
          <w:rFonts w:ascii="Verdana" w:hAnsi="Verdana" w:cs="Arial"/>
        </w:rPr>
        <w:t>(SAS),</w:t>
      </w:r>
      <w:r w:rsidRPr="00422B6A">
        <w:rPr>
          <w:rFonts w:ascii="Verdana" w:hAnsi="Verdana" w:cs="Arial"/>
          <w:spacing w:val="-59"/>
        </w:rPr>
        <w:t xml:space="preserve"> </w:t>
      </w:r>
      <w:r w:rsidRPr="00422B6A">
        <w:rPr>
          <w:rFonts w:ascii="Verdana" w:hAnsi="Verdana" w:cs="Arial"/>
        </w:rPr>
        <w:t xml:space="preserve">y comanditarias por acciones”. </w:t>
      </w:r>
    </w:p>
    <w:p w14:paraId="3EE41CD0" w14:textId="77777777" w:rsidR="003C2794" w:rsidRDefault="003C2794" w:rsidP="003C2794">
      <w:pPr>
        <w:pStyle w:val="BodyText"/>
        <w:spacing w:before="120" w:after="0"/>
        <w:ind w:right="49" w:firstLine="709"/>
        <w:jc w:val="both"/>
        <w:rPr>
          <w:rFonts w:ascii="Verdana" w:hAnsi="Verdana" w:cs="Arial"/>
        </w:rPr>
      </w:pPr>
      <w:r>
        <w:rPr>
          <w:rFonts w:ascii="Verdana" w:hAnsi="Verdana" w:cs="Arial"/>
        </w:rPr>
        <w:lastRenderedPageBreak/>
        <w:t xml:space="preserve">Por su parte, la Ley 222 de 1995 </w:t>
      </w:r>
      <w:r w:rsidRPr="00081BBC">
        <w:rPr>
          <w:rFonts w:ascii="Verdana" w:hAnsi="Verdana" w:cs="Arial"/>
        </w:rPr>
        <w:t xml:space="preserve">creó una nueva forma de organización empresarial, mediante la cual el comerciante puede destinar ciertos bienes a la realización de actividades mercantiles, con la garantía y el beneficio de la personalidad jurídica. Bajo este supuesto, dicha norma creó la </w:t>
      </w:r>
      <w:r>
        <w:rPr>
          <w:rFonts w:ascii="Verdana" w:hAnsi="Verdana" w:cs="Arial"/>
        </w:rPr>
        <w:t xml:space="preserve">empresa </w:t>
      </w:r>
      <w:r w:rsidRPr="00081BBC">
        <w:rPr>
          <w:rFonts w:ascii="Verdana" w:hAnsi="Verdana" w:cs="Arial"/>
        </w:rPr>
        <w:t xml:space="preserve">unipersonal que, como su nombre lo indica, se refiere a </w:t>
      </w:r>
      <w:r>
        <w:rPr>
          <w:rFonts w:ascii="Verdana" w:hAnsi="Verdana" w:cs="Arial"/>
        </w:rPr>
        <w:t xml:space="preserve">aquellas </w:t>
      </w:r>
      <w:r w:rsidRPr="00081BBC">
        <w:rPr>
          <w:rFonts w:ascii="Verdana" w:hAnsi="Verdana" w:cs="Arial"/>
        </w:rPr>
        <w:t xml:space="preserve">que </w:t>
      </w:r>
      <w:r>
        <w:rPr>
          <w:rFonts w:ascii="Verdana" w:hAnsi="Verdana" w:cs="Arial"/>
        </w:rPr>
        <w:t xml:space="preserve">tienen personería jurídica y </w:t>
      </w:r>
      <w:r w:rsidRPr="00081BBC">
        <w:rPr>
          <w:rFonts w:ascii="Verdana" w:hAnsi="Verdana" w:cs="Arial"/>
        </w:rPr>
        <w:t>son constituidas por un solo socio o son de propiedad de una sola persona</w:t>
      </w:r>
      <w:r>
        <w:rPr>
          <w:rStyle w:val="FootnoteReference"/>
          <w:rFonts w:ascii="Verdana" w:hAnsi="Verdana" w:cs="Arial"/>
        </w:rPr>
        <w:footnoteReference w:id="7"/>
      </w:r>
      <w:r w:rsidRPr="00081BBC">
        <w:rPr>
          <w:rFonts w:ascii="Verdana" w:hAnsi="Verdana" w:cs="Arial"/>
        </w:rPr>
        <w:t>.</w:t>
      </w:r>
      <w:r w:rsidRPr="00694947">
        <w:rPr>
          <w:rFonts w:ascii="Verdana" w:hAnsi="Verdana" w:cs="Arial"/>
        </w:rPr>
        <w:t xml:space="preserve"> De esta manera, la </w:t>
      </w:r>
      <w:r>
        <w:rPr>
          <w:rFonts w:ascii="Verdana" w:hAnsi="Verdana" w:cs="Arial"/>
        </w:rPr>
        <w:t>Ley</w:t>
      </w:r>
      <w:r w:rsidRPr="00694947">
        <w:rPr>
          <w:rFonts w:ascii="Verdana" w:hAnsi="Verdana" w:cs="Arial"/>
        </w:rPr>
        <w:t xml:space="preserve"> 222 de 1995 amplió el espectro de los actos que dan origen a la actividad mercantil.</w:t>
      </w:r>
    </w:p>
    <w:p w14:paraId="503234B3" w14:textId="3E060A34" w:rsidR="003C2794" w:rsidRDefault="003C2794" w:rsidP="003C2794">
      <w:pPr>
        <w:pStyle w:val="BodyText"/>
        <w:spacing w:before="120" w:after="0"/>
        <w:ind w:right="49" w:firstLine="709"/>
        <w:jc w:val="both"/>
        <w:rPr>
          <w:rFonts w:ascii="Verdana" w:hAnsi="Verdana" w:cs="Arial"/>
          <w:lang w:val="en-CO"/>
        </w:rPr>
      </w:pPr>
      <w:r>
        <w:rPr>
          <w:rFonts w:ascii="Verdana" w:hAnsi="Verdana" w:cs="Arial"/>
        </w:rPr>
        <w:t xml:space="preserve">Frente a este tipo de empresas, el artículo </w:t>
      </w:r>
      <w:r w:rsidRPr="007F73FF">
        <w:rPr>
          <w:rFonts w:ascii="Verdana" w:hAnsi="Verdana" w:cs="Arial"/>
        </w:rPr>
        <w:t>75 de la Ley 222 de 1995</w:t>
      </w:r>
      <w:r w:rsidR="00A65077">
        <w:rPr>
          <w:rFonts w:ascii="Verdana" w:hAnsi="Verdana" w:cs="Arial"/>
        </w:rPr>
        <w:t xml:space="preserve"> </w:t>
      </w:r>
      <w:r>
        <w:rPr>
          <w:rFonts w:ascii="Verdana" w:hAnsi="Verdana" w:cs="Arial"/>
        </w:rPr>
        <w:t>dispuso lo siguiente</w:t>
      </w:r>
      <w:r w:rsidRPr="007F73FF">
        <w:rPr>
          <w:rFonts w:ascii="Verdana" w:hAnsi="Verdana" w:cs="Arial"/>
        </w:rPr>
        <w:t>:</w:t>
      </w:r>
      <w:r>
        <w:rPr>
          <w:rFonts w:ascii="Verdana" w:hAnsi="Verdana" w:cs="Arial"/>
        </w:rPr>
        <w:t xml:space="preserve"> </w:t>
      </w:r>
      <w:r w:rsidRPr="007F73FF">
        <w:rPr>
          <w:rFonts w:ascii="Verdana" w:hAnsi="Verdana" w:cs="Arial"/>
        </w:rPr>
        <w:t>“El titular de la empresa unipersonal no puede contratar con ésta, ni tampoco podrán hacerlo entre sí empresas unipersonales constituidas por el mismo titular. Tales actos serán ineficaces de pleno derecho”</w:t>
      </w:r>
      <w:r>
        <w:rPr>
          <w:rFonts w:ascii="Verdana" w:hAnsi="Verdana" w:cs="Arial"/>
        </w:rPr>
        <w:t xml:space="preserve">. En efecto, dicha norma estableció una prohibición específica en cabeza del empresario unipersonal que tiene como finalidad evitar posibles abusos, dado que la responsabilidad de la empresa se encuentra limitada al monto del aporte realizado por él. Sobre este asunto, la </w:t>
      </w:r>
      <w:r w:rsidRPr="00DC1EEB">
        <w:rPr>
          <w:rFonts w:ascii="Verdana" w:hAnsi="Verdana" w:cs="Arial"/>
          <w:lang w:val="en-CO"/>
        </w:rPr>
        <w:t xml:space="preserve">Corte Constitucional </w:t>
      </w:r>
      <w:r>
        <w:rPr>
          <w:rFonts w:ascii="Verdana" w:hAnsi="Verdana" w:cs="Arial"/>
          <w:lang w:val="en-CO"/>
        </w:rPr>
        <w:t>señaló al estudiar la exequibilidad de la norma lo siguiente:</w:t>
      </w:r>
    </w:p>
    <w:p w14:paraId="311C8867" w14:textId="77777777" w:rsidR="003C2794" w:rsidRDefault="003C2794" w:rsidP="003C2794">
      <w:pPr>
        <w:pStyle w:val="BodyText"/>
        <w:spacing w:after="0"/>
        <w:ind w:right="49" w:firstLine="709"/>
        <w:jc w:val="both"/>
        <w:rPr>
          <w:rFonts w:ascii="Verdana" w:hAnsi="Verdana" w:cs="Arial"/>
          <w:lang w:val="en-CO"/>
        </w:rPr>
      </w:pPr>
    </w:p>
    <w:p w14:paraId="2EA994EF" w14:textId="77777777" w:rsidR="003C2794" w:rsidRPr="00EE655B" w:rsidRDefault="003C2794" w:rsidP="003C2794">
      <w:pPr>
        <w:pStyle w:val="BodyText"/>
        <w:spacing w:after="0" w:line="240" w:lineRule="auto"/>
        <w:ind w:left="709" w:right="709"/>
        <w:jc w:val="both"/>
        <w:rPr>
          <w:rFonts w:ascii="Verdana" w:hAnsi="Verdana" w:cs="Arial"/>
          <w:sz w:val="20"/>
          <w:szCs w:val="20"/>
          <w:lang w:val="en-CO"/>
        </w:rPr>
      </w:pPr>
      <w:r w:rsidRPr="00DC1EEB">
        <w:rPr>
          <w:rFonts w:ascii="Verdana" w:hAnsi="Verdana" w:cs="Arial"/>
          <w:sz w:val="20"/>
          <w:szCs w:val="20"/>
          <w:lang w:val="en-CO"/>
        </w:rPr>
        <w:t xml:space="preserve">“(...) 18- Por consiguiente, esta Corporación estima que la prohibición legal impuesta por la norma acusada es un método adecuado para lograr el fin que se ha propuesto el legislador con respecto a este tipo de empresas. En efecto, la norma garantiza que no se realice ningún tipo de transacción entre el socio y la empresa unipersonal, ni entre las diversas empresas unipersonales constituidas por la misma persona, lo que conlleva en últimas, a que las esferas de unos y otras sean completamente independientes y que no exista posibilidad alguna de que los intereses de unos u otros desvirtúen los intereses de la empresa unipersonal y su proyección en el mercado. </w:t>
      </w:r>
    </w:p>
    <w:p w14:paraId="3AC37389" w14:textId="77777777" w:rsidR="003C2794" w:rsidRPr="00EE655B" w:rsidRDefault="003C2794" w:rsidP="003C2794">
      <w:pPr>
        <w:pStyle w:val="BodyText"/>
        <w:spacing w:after="0" w:line="240" w:lineRule="auto"/>
        <w:ind w:left="709" w:right="709"/>
        <w:jc w:val="both"/>
        <w:rPr>
          <w:rFonts w:ascii="Verdana" w:hAnsi="Verdana" w:cs="Arial"/>
          <w:sz w:val="20"/>
          <w:szCs w:val="20"/>
          <w:lang w:val="en-CO"/>
        </w:rPr>
      </w:pPr>
    </w:p>
    <w:p w14:paraId="77341905" w14:textId="77777777" w:rsidR="003C2794" w:rsidRPr="00EE655B" w:rsidRDefault="003C2794" w:rsidP="003C2794">
      <w:pPr>
        <w:pStyle w:val="BodyText"/>
        <w:spacing w:after="0" w:line="240" w:lineRule="auto"/>
        <w:ind w:left="709" w:right="709"/>
        <w:jc w:val="both"/>
        <w:rPr>
          <w:rFonts w:ascii="Verdana" w:hAnsi="Verdana" w:cs="Arial"/>
          <w:sz w:val="20"/>
          <w:szCs w:val="20"/>
          <w:lang w:val="en-CO"/>
        </w:rPr>
      </w:pPr>
      <w:r w:rsidRPr="00EE655B">
        <w:rPr>
          <w:rFonts w:ascii="Verdana" w:hAnsi="Verdana" w:cs="Arial"/>
          <w:sz w:val="20"/>
          <w:szCs w:val="20"/>
          <w:lang w:val="en-CO"/>
        </w:rPr>
        <w:t xml:space="preserve">Lo </w:t>
      </w:r>
      <w:r w:rsidRPr="00DC1EEB">
        <w:rPr>
          <w:rFonts w:ascii="Verdana" w:hAnsi="Verdana" w:cs="Arial"/>
          <w:sz w:val="20"/>
          <w:szCs w:val="20"/>
          <w:lang w:val="en-CO"/>
        </w:rPr>
        <w:t xml:space="preserve">anterior no indica que la Corte considere que la figura de la empresa unipersonal en sí misma favorece la defraudación. La reflexión se limita al conflicto que genera la contratación entre el empresario y su empresa o entre empresas de un mismo titular. En este evento, y en virtud del deber </w:t>
      </w:r>
      <w:r w:rsidRPr="00DC1EEB">
        <w:rPr>
          <w:rFonts w:ascii="Verdana" w:hAnsi="Verdana" w:cs="Arial"/>
          <w:sz w:val="20"/>
          <w:szCs w:val="20"/>
          <w:lang w:val="en-CO"/>
        </w:rPr>
        <w:lastRenderedPageBreak/>
        <w:t xml:space="preserve">constitucional que tiene el Estado de promover la prosperidad general, es perfectamente válido que la ley prohíba transacciones comerciales que puedan afectar la transparencia del mercado y desconocer derechos de terceros. </w:t>
      </w:r>
    </w:p>
    <w:p w14:paraId="24B0D53F" w14:textId="77777777" w:rsidR="003C2794" w:rsidRPr="00EE655B" w:rsidRDefault="003C2794" w:rsidP="003C2794">
      <w:pPr>
        <w:pStyle w:val="BodyText"/>
        <w:spacing w:after="0" w:line="240" w:lineRule="auto"/>
        <w:ind w:left="709" w:right="709"/>
        <w:jc w:val="both"/>
        <w:rPr>
          <w:rFonts w:ascii="Verdana" w:hAnsi="Verdana" w:cs="Arial"/>
          <w:sz w:val="20"/>
          <w:szCs w:val="20"/>
          <w:lang w:val="en-CO"/>
        </w:rPr>
      </w:pPr>
    </w:p>
    <w:p w14:paraId="2EF19240" w14:textId="77777777" w:rsidR="003C2794" w:rsidRPr="00EE655B" w:rsidRDefault="003C2794" w:rsidP="003C2794">
      <w:pPr>
        <w:pStyle w:val="BodyText"/>
        <w:spacing w:after="0" w:line="240" w:lineRule="auto"/>
        <w:ind w:left="709" w:right="709"/>
        <w:jc w:val="both"/>
        <w:rPr>
          <w:rFonts w:ascii="Verdana" w:hAnsi="Verdana" w:cs="Arial"/>
          <w:sz w:val="20"/>
          <w:szCs w:val="20"/>
          <w:lang w:val="en-CO"/>
        </w:rPr>
      </w:pPr>
      <w:r w:rsidRPr="00DC1EEB">
        <w:rPr>
          <w:rFonts w:ascii="Verdana" w:hAnsi="Verdana" w:cs="Arial"/>
          <w:sz w:val="20"/>
          <w:szCs w:val="20"/>
          <w:lang w:val="en-CO"/>
        </w:rPr>
        <w:t xml:space="preserve">19. La limitación acusada no aparece tampoco como manifiestamente desproporcionada ni lesiona en modo alguno el núcleo esencial de la libertad de empresa o contratación, porque la actividad económica de la empresa se puede seguir adelantando en otras condiciones y respecto de otros interlocutores, sin desvirtuar la naturaleza de su gestión en el campo empresarial. Estima, por consiguiente, esta Corporación, que tal restricción no desvirtúa los alcances de la libertad de contratación que requiere la empresa unipersonal para operar en el ámbito económico. En efecto, la empresa unipersonal, puede celebrar contratos con otros sujetos diferentes a los de la prohibición; actuar libremente en el mercado; ceder cuotas a terceros y celebrar indistintamente operaciones comerciales, sin ningún otro tipo de restricción. </w:t>
      </w:r>
    </w:p>
    <w:p w14:paraId="04847C38" w14:textId="77777777" w:rsidR="003C2794" w:rsidRPr="00DC1EEB" w:rsidRDefault="003C2794" w:rsidP="003C2794">
      <w:pPr>
        <w:pStyle w:val="BodyText"/>
        <w:spacing w:after="0" w:line="240" w:lineRule="auto"/>
        <w:ind w:left="709" w:right="709"/>
        <w:jc w:val="both"/>
        <w:rPr>
          <w:rFonts w:ascii="Verdana" w:hAnsi="Verdana" w:cs="Arial"/>
          <w:sz w:val="20"/>
          <w:szCs w:val="20"/>
          <w:lang w:val="en-CO"/>
        </w:rPr>
      </w:pPr>
    </w:p>
    <w:p w14:paraId="699E1116" w14:textId="77777777" w:rsidR="003C2794" w:rsidRPr="00DC1EEB" w:rsidRDefault="003C2794" w:rsidP="003C2794">
      <w:pPr>
        <w:pStyle w:val="BodyText"/>
        <w:spacing w:after="0" w:line="240" w:lineRule="auto"/>
        <w:ind w:left="709" w:right="709"/>
        <w:jc w:val="both"/>
        <w:rPr>
          <w:rFonts w:ascii="Verdana" w:hAnsi="Verdana" w:cs="Arial"/>
          <w:sz w:val="20"/>
          <w:szCs w:val="20"/>
          <w:lang w:val="en-CO"/>
        </w:rPr>
      </w:pPr>
      <w:r w:rsidRPr="00DC1EEB">
        <w:rPr>
          <w:rFonts w:ascii="Verdana" w:hAnsi="Verdana" w:cs="Arial"/>
          <w:sz w:val="20"/>
          <w:szCs w:val="20"/>
          <w:lang w:val="en-CO"/>
        </w:rPr>
        <w:t>Por consiguiente, el resultado concreto de limitar las relaciones contractuales entre el titular y su empresa unipersonal sólo será la plena separación de los ámbitos comerciales en que se desarrolla la actividad del socio unipersonal y de su empresa, y de las empresas del mismo dueño entre sí, con lo cual se garantiza la verdadera independencia de órbitas que debe predicarse de este tipo de empresas de un solo socio</w:t>
      </w:r>
    </w:p>
    <w:p w14:paraId="7002614A" w14:textId="77777777" w:rsidR="003C2794" w:rsidRPr="00EE655B" w:rsidRDefault="003C2794" w:rsidP="003C2794">
      <w:pPr>
        <w:pStyle w:val="BodyText"/>
        <w:spacing w:after="0" w:line="240" w:lineRule="auto"/>
        <w:ind w:left="709" w:right="709"/>
        <w:jc w:val="both"/>
        <w:rPr>
          <w:rFonts w:ascii="Verdana" w:hAnsi="Verdana" w:cs="Arial"/>
          <w:sz w:val="20"/>
          <w:szCs w:val="20"/>
          <w:lang w:val="en-CO"/>
        </w:rPr>
      </w:pPr>
      <w:r w:rsidRPr="00EE655B">
        <w:rPr>
          <w:rFonts w:ascii="Verdana" w:hAnsi="Verdana" w:cs="Arial"/>
          <w:sz w:val="20"/>
          <w:szCs w:val="20"/>
          <w:lang w:val="en-CO"/>
        </w:rPr>
        <w:t>[…]</w:t>
      </w:r>
      <w:r w:rsidRPr="00EE655B">
        <w:rPr>
          <w:rStyle w:val="FootnoteReference"/>
          <w:rFonts w:ascii="Verdana" w:hAnsi="Verdana" w:cs="Arial"/>
          <w:sz w:val="20"/>
          <w:szCs w:val="20"/>
          <w:lang w:val="en-CO"/>
        </w:rPr>
        <w:footnoteReference w:id="8"/>
      </w:r>
      <w:r w:rsidRPr="00EE655B">
        <w:rPr>
          <w:rFonts w:ascii="Verdana" w:hAnsi="Verdana" w:cs="Arial"/>
          <w:sz w:val="20"/>
          <w:szCs w:val="20"/>
          <w:lang w:val="en-CO"/>
        </w:rPr>
        <w:t>”.</w:t>
      </w:r>
    </w:p>
    <w:p w14:paraId="265B4E18" w14:textId="77777777" w:rsidR="003C2794" w:rsidRPr="00DC1EEB" w:rsidRDefault="003C2794" w:rsidP="003C2794">
      <w:pPr>
        <w:pStyle w:val="BodyText"/>
        <w:spacing w:after="0" w:line="240" w:lineRule="auto"/>
        <w:ind w:left="709" w:right="709"/>
        <w:jc w:val="both"/>
        <w:rPr>
          <w:rFonts w:ascii="Verdana" w:hAnsi="Verdana" w:cs="Arial"/>
          <w:sz w:val="21"/>
          <w:szCs w:val="21"/>
          <w:lang w:val="en-CO"/>
        </w:rPr>
      </w:pPr>
    </w:p>
    <w:p w14:paraId="17CFAC16" w14:textId="77777777" w:rsidR="003C2794" w:rsidRDefault="003C2794" w:rsidP="003C2794">
      <w:pPr>
        <w:spacing w:after="120" w:line="276" w:lineRule="auto"/>
        <w:ind w:firstLine="709"/>
        <w:jc w:val="both"/>
        <w:rPr>
          <w:rFonts w:ascii="Verdana" w:hAnsi="Verdana" w:cs="Arial"/>
        </w:rPr>
      </w:pPr>
      <w:r>
        <w:rPr>
          <w:rFonts w:ascii="Verdana" w:hAnsi="Verdana" w:cs="Arial"/>
        </w:rPr>
        <w:t xml:space="preserve">Ahora bien, esta prohibición no fue replicada para otro tipo de sociedades. Por ejemplo, </w:t>
      </w:r>
      <w:r w:rsidRPr="00372D18">
        <w:rPr>
          <w:rFonts w:ascii="Verdana" w:hAnsi="Verdana" w:cs="Arial"/>
        </w:rPr>
        <w:t>las Sociedades por Acciones Simplificadas, fueron definidas por la doctrina como una de las innovaciones más relevantes del derecho societario colombiano, por la posibilidad de conformación a través de un acto unipersonal, la limitación de responsabilidad por obligaciones sociales, la viabilidad de poder contar con un objeto indeterminado para desarrollar actividades lícitas, el término de duración indefinido, la posibilidad de renunciar al derecho de ser convocado a reuniones de la asamblea, entre otras tantas que hicieron de ellas uno de los modelos societarios más atractivos para la conformación empresarial</w:t>
      </w:r>
      <w:r w:rsidRPr="00372D18">
        <w:rPr>
          <w:rStyle w:val="FootnoteReference"/>
          <w:rFonts w:ascii="Verdana" w:hAnsi="Verdana" w:cs="Arial"/>
        </w:rPr>
        <w:footnoteReference w:id="9"/>
      </w:r>
      <w:r w:rsidRPr="00372D18">
        <w:rPr>
          <w:rFonts w:ascii="Verdana" w:hAnsi="Verdana" w:cs="Arial"/>
        </w:rPr>
        <w:t xml:space="preserve">. </w:t>
      </w:r>
    </w:p>
    <w:p w14:paraId="150998C5" w14:textId="77777777" w:rsidR="003C2794" w:rsidRDefault="003C2794" w:rsidP="003C2794">
      <w:pPr>
        <w:spacing w:before="120" w:after="0" w:line="276" w:lineRule="auto"/>
        <w:ind w:firstLine="709"/>
        <w:jc w:val="both"/>
        <w:rPr>
          <w:rFonts w:ascii="Verdana" w:hAnsi="Verdana" w:cs="Arial"/>
        </w:rPr>
      </w:pPr>
      <w:r>
        <w:rPr>
          <w:rFonts w:ascii="Verdana" w:hAnsi="Verdana" w:cs="Arial"/>
        </w:rPr>
        <w:lastRenderedPageBreak/>
        <w:t>Por ejemplo, c</w:t>
      </w:r>
      <w:r w:rsidRPr="00372D18">
        <w:rPr>
          <w:rFonts w:ascii="Verdana" w:hAnsi="Verdana" w:cs="Arial"/>
        </w:rPr>
        <w:t xml:space="preserve">on la aparición de las Sociedades por Acciones Simplificadas, se da un giro sustancial a la regla general definida por el artículo 99 del Código de Comercio, debido a que se le otorga a sus asociados, la posibilidad de: definir su capacidad jurídica de forma autónoma, configurando su objeto social y actividades que desarrolla la compañía de forma discrecional, sin que sea necesario que exista una conexidad directa entre ellas o, por otro, facultar a la sociedad para desempeñar cualquier actividad de carácter lícito. </w:t>
      </w:r>
    </w:p>
    <w:p w14:paraId="2C3669B3" w14:textId="6A7FE6F6" w:rsidR="003C2794" w:rsidRPr="00684F89" w:rsidRDefault="003C2794" w:rsidP="003C2794">
      <w:pPr>
        <w:spacing w:before="120" w:after="120" w:line="276" w:lineRule="auto"/>
        <w:ind w:firstLine="709"/>
        <w:jc w:val="both"/>
        <w:rPr>
          <w:rFonts w:ascii="Verdana" w:hAnsi="Verdana" w:cs="Arial"/>
        </w:rPr>
      </w:pPr>
      <w:r>
        <w:rPr>
          <w:rFonts w:ascii="Verdana" w:hAnsi="Verdana" w:cs="Arial"/>
        </w:rPr>
        <w:t xml:space="preserve">En esta línea, la Ley 1258 de 2008 </w:t>
      </w:r>
      <w:r>
        <w:rPr>
          <w:rFonts w:ascii="Verdana" w:hAnsi="Verdana" w:cs="Arial"/>
          <w:lang w:val="en-CO"/>
        </w:rPr>
        <w:t>no incorp</w:t>
      </w:r>
      <w:r w:rsidR="007C7276">
        <w:rPr>
          <w:rFonts w:ascii="Verdana" w:hAnsi="Verdana" w:cs="Arial"/>
          <w:lang w:val="en-CO"/>
        </w:rPr>
        <w:t>oró</w:t>
      </w:r>
      <w:r>
        <w:rPr>
          <w:rFonts w:ascii="Verdana" w:hAnsi="Verdana" w:cs="Arial"/>
          <w:lang w:val="en-CO"/>
        </w:rPr>
        <w:t xml:space="preserve"> ninguna disposición que proh</w:t>
      </w:r>
      <w:r w:rsidR="007C7276">
        <w:rPr>
          <w:rFonts w:ascii="Verdana" w:hAnsi="Verdana" w:cs="Arial"/>
          <w:lang w:val="en-CO"/>
        </w:rPr>
        <w:t>í</w:t>
      </w:r>
      <w:r>
        <w:rPr>
          <w:rFonts w:ascii="Verdana" w:hAnsi="Verdana" w:cs="Arial"/>
          <w:lang w:val="en-CO"/>
        </w:rPr>
        <w:t>ba a las SAS compuestas por un único socio celebrar algún tipo de negocios jurídicos con este. En efecto, la norma no incluyó una disposición igual o similar a la establecida en el artículo 75 de la Ley 222 de 1995 para el caso de las empresas unipersonales. En consecuencia, la Superintendencia de Sociedades ha conceptuado que, en el caso de las SAS, no existe norma que proh</w:t>
      </w:r>
      <w:r w:rsidR="007C7276">
        <w:rPr>
          <w:rFonts w:ascii="Verdana" w:hAnsi="Verdana" w:cs="Arial"/>
          <w:lang w:val="en-CO"/>
        </w:rPr>
        <w:t>í</w:t>
      </w:r>
      <w:r>
        <w:rPr>
          <w:rFonts w:ascii="Verdana" w:hAnsi="Verdana" w:cs="Arial"/>
          <w:lang w:val="en-CO"/>
        </w:rPr>
        <w:t>ba a la sociedad celebrar contratos con su único socio. A pesar de lo anterior, la Superintendencia resaltó que:</w:t>
      </w:r>
    </w:p>
    <w:p w14:paraId="3E81D158" w14:textId="77777777" w:rsidR="003C2794" w:rsidRPr="00E65D8B" w:rsidRDefault="003C2794" w:rsidP="003C2794">
      <w:pPr>
        <w:ind w:left="709" w:right="709"/>
        <w:jc w:val="both"/>
        <w:rPr>
          <w:rFonts w:ascii="Verdana" w:hAnsi="Verdana" w:cs="Arial"/>
          <w:sz w:val="20"/>
          <w:szCs w:val="20"/>
          <w:lang w:eastAsia="es-CO"/>
        </w:rPr>
      </w:pPr>
      <w:r w:rsidRPr="00E65D8B">
        <w:rPr>
          <w:rFonts w:ascii="Verdana" w:hAnsi="Verdana" w:cs="Arial"/>
          <w:sz w:val="20"/>
          <w:szCs w:val="20"/>
          <w:lang w:eastAsia="es-CO"/>
        </w:rPr>
        <w:t xml:space="preserve">“[…] Lo anterior permite concluir que la prohibición del artículo 75 de la Ley 222 de 1995 no aplica en la S.A.S, no obstante, vale la pena resaltar que, como en la empresa unipersonal (parágrafo del artículo 71 de la Ley 222 de 1995), la Ley de las S.A.S. acogió la figura del </w:t>
      </w:r>
      <w:proofErr w:type="spellStart"/>
      <w:r w:rsidRPr="00E65D8B">
        <w:rPr>
          <w:rFonts w:ascii="Verdana" w:hAnsi="Verdana" w:cs="Arial"/>
          <w:sz w:val="20"/>
          <w:szCs w:val="20"/>
          <w:lang w:eastAsia="es-CO"/>
        </w:rPr>
        <w:t>disregard</w:t>
      </w:r>
      <w:proofErr w:type="spellEnd"/>
      <w:r w:rsidRPr="00E65D8B">
        <w:rPr>
          <w:rFonts w:ascii="Verdana" w:hAnsi="Verdana" w:cs="Arial"/>
          <w:sz w:val="20"/>
          <w:szCs w:val="20"/>
          <w:lang w:eastAsia="es-CO"/>
        </w:rPr>
        <w:t xml:space="preserve"> o levantamiento del velo corporativo (Artículo 42), para los casos en que se utilice este tipo societario en fraude a la Ley o perjuicio de terceros, haciendo responder solidariamente a los accionistas y administradores que realicen, participen o faciliten los actos defraudatorios”.</w:t>
      </w:r>
      <w:r w:rsidRPr="00E65D8B">
        <w:rPr>
          <w:rStyle w:val="FootnoteReference"/>
          <w:rFonts w:ascii="Verdana" w:hAnsi="Verdana" w:cs="Arial"/>
          <w:sz w:val="20"/>
          <w:szCs w:val="20"/>
          <w:lang w:val="en-CO"/>
        </w:rPr>
        <w:footnoteReference w:id="10"/>
      </w:r>
    </w:p>
    <w:p w14:paraId="1548E43A" w14:textId="73B53D8D" w:rsidR="003C2794" w:rsidRDefault="003C2794" w:rsidP="003C2794">
      <w:pPr>
        <w:spacing w:after="0" w:line="276" w:lineRule="auto"/>
        <w:ind w:firstLine="709"/>
        <w:jc w:val="both"/>
        <w:rPr>
          <w:rFonts w:ascii="Verdana" w:hAnsi="Verdana" w:cs="Arial"/>
          <w:lang w:val="en-CO"/>
        </w:rPr>
      </w:pPr>
      <w:r>
        <w:rPr>
          <w:rFonts w:ascii="Verdana" w:hAnsi="Verdana" w:cs="Arial"/>
          <w:lang w:val="en-CO"/>
        </w:rPr>
        <w:t xml:space="preserve">De esta manera, la normativa no establece para sociedades distintas a las unipersonales la prohibición de celebrar contratos o negocios juridicos con su único socio o representante. Aunque su consulta no especifica el tipo de sociedad del cual se trata, es importante resaltar que </w:t>
      </w:r>
      <w:r w:rsidRPr="00647BD2">
        <w:rPr>
          <w:rFonts w:ascii="Verdana" w:hAnsi="Verdana" w:cs="Arial"/>
          <w:lang w:val="en-CO"/>
        </w:rPr>
        <w:t>las normas que establecen prohibiciones o limitaciones, como es el caso del ar</w:t>
      </w:r>
      <w:r>
        <w:rPr>
          <w:rFonts w:ascii="Verdana" w:hAnsi="Verdana" w:cs="Arial"/>
          <w:lang w:val="en-CO"/>
        </w:rPr>
        <w:t>t</w:t>
      </w:r>
      <w:r w:rsidRPr="00647BD2">
        <w:rPr>
          <w:rFonts w:ascii="Verdana" w:hAnsi="Verdana" w:cs="Arial"/>
          <w:lang w:val="en-CO"/>
        </w:rPr>
        <w:t>ícul</w:t>
      </w:r>
      <w:r>
        <w:rPr>
          <w:rFonts w:ascii="Verdana" w:hAnsi="Verdana" w:cs="Arial"/>
          <w:lang w:val="en-CO"/>
        </w:rPr>
        <w:t>o</w:t>
      </w:r>
      <w:r w:rsidRPr="00647BD2">
        <w:rPr>
          <w:rFonts w:ascii="Verdana" w:hAnsi="Verdana" w:cs="Arial"/>
          <w:lang w:val="en-CO"/>
        </w:rPr>
        <w:t xml:space="preserve"> 75 de la </w:t>
      </w:r>
      <w:r>
        <w:rPr>
          <w:rFonts w:ascii="Verdana" w:hAnsi="Verdana" w:cs="Arial"/>
          <w:lang w:val="en-CO"/>
        </w:rPr>
        <w:t xml:space="preserve">Ley 222 de 1995, </w:t>
      </w:r>
      <w:r w:rsidRPr="00647BD2">
        <w:rPr>
          <w:rFonts w:ascii="Verdana" w:hAnsi="Verdana" w:cs="Arial"/>
          <w:lang w:val="en-CO"/>
        </w:rPr>
        <w:t>no pueden ser aplicadas por vía analógica.</w:t>
      </w:r>
      <w:r>
        <w:rPr>
          <w:rFonts w:ascii="Verdana" w:hAnsi="Verdana" w:cs="Arial"/>
          <w:lang w:val="en-CO"/>
        </w:rPr>
        <w:t xml:space="preserve"> De esta forma, la prohibición que dispuso la normativa para las empresas unipersonales no puede ser aplicada de manera analógica al supuesto de los negocios jurídicos que celebren otro tipo de sociedades. En este sentido, el acuerdo consorcial que celebre una persona natural con una sociedad distinta a la unipersonal, de la cual es único socio </w:t>
      </w:r>
      <w:r w:rsidR="00D67A78">
        <w:rPr>
          <w:rFonts w:ascii="Verdana" w:hAnsi="Verdana" w:cs="Arial"/>
          <w:lang w:val="en-CO"/>
        </w:rPr>
        <w:t>o</w:t>
      </w:r>
      <w:r>
        <w:rPr>
          <w:rFonts w:ascii="Verdana" w:hAnsi="Verdana" w:cs="Arial"/>
          <w:lang w:val="en-CO"/>
        </w:rPr>
        <w:t xml:space="preserve"> representante legal</w:t>
      </w:r>
      <w:r w:rsidR="00D67A78">
        <w:rPr>
          <w:rFonts w:ascii="Verdana" w:hAnsi="Verdana" w:cs="Arial"/>
          <w:lang w:val="en-CO"/>
        </w:rPr>
        <w:t>,</w:t>
      </w:r>
      <w:r>
        <w:rPr>
          <w:rFonts w:ascii="Verdana" w:hAnsi="Verdana" w:cs="Arial"/>
          <w:lang w:val="en-CO"/>
        </w:rPr>
        <w:t xml:space="preserve"> no pueden considerarse per se ineficaz de pleno derecho, </w:t>
      </w:r>
      <w:r>
        <w:rPr>
          <w:rFonts w:ascii="Verdana" w:hAnsi="Verdana" w:cs="Arial"/>
          <w:lang w:val="en-CO"/>
        </w:rPr>
        <w:lastRenderedPageBreak/>
        <w:t>pues no existe norma que disponga esta consecuencia jurídica y dado que no es posible una aplicación extensiva del artículo 75</w:t>
      </w:r>
      <w:r w:rsidRPr="00B96361">
        <w:rPr>
          <w:rFonts w:ascii="Verdana" w:hAnsi="Verdana" w:cs="Arial"/>
          <w:lang w:val="en-CO"/>
        </w:rPr>
        <w:t xml:space="preserve"> </w:t>
      </w:r>
      <w:r w:rsidRPr="00647BD2">
        <w:rPr>
          <w:rFonts w:ascii="Verdana" w:hAnsi="Verdana" w:cs="Arial"/>
          <w:lang w:val="en-CO"/>
        </w:rPr>
        <w:t xml:space="preserve">de la </w:t>
      </w:r>
      <w:r>
        <w:rPr>
          <w:rFonts w:ascii="Verdana" w:hAnsi="Verdana" w:cs="Arial"/>
          <w:lang w:val="en-CO"/>
        </w:rPr>
        <w:t>Ley 222 de 1995</w:t>
      </w:r>
      <w:r w:rsidR="00400951">
        <w:rPr>
          <w:rFonts w:ascii="Verdana" w:hAnsi="Verdana" w:cs="Arial"/>
          <w:lang w:val="en-CO"/>
        </w:rPr>
        <w:t>.</w:t>
      </w:r>
    </w:p>
    <w:p w14:paraId="61ACE5B3" w14:textId="77777777" w:rsidR="00400951" w:rsidRDefault="00400951" w:rsidP="00400951">
      <w:pPr>
        <w:spacing w:after="0" w:line="276" w:lineRule="auto"/>
        <w:jc w:val="both"/>
        <w:rPr>
          <w:rFonts w:ascii="Verdana" w:hAnsi="Verdana" w:cs="Arial"/>
          <w:lang w:val="en-CO"/>
        </w:rPr>
      </w:pPr>
    </w:p>
    <w:p w14:paraId="79E1BC49" w14:textId="35317D1C" w:rsidR="000E5392" w:rsidRDefault="00400951" w:rsidP="00400951">
      <w:pPr>
        <w:spacing w:after="0" w:line="276" w:lineRule="auto"/>
        <w:jc w:val="both"/>
        <w:rPr>
          <w:rFonts w:ascii="Verdana" w:hAnsi="Verdana" w:cs="Arial"/>
          <w:lang w:val="en-CO"/>
        </w:rPr>
      </w:pPr>
      <w:r>
        <w:rPr>
          <w:rFonts w:ascii="Verdana" w:hAnsi="Verdana" w:cs="Arial"/>
          <w:lang w:val="en-CO"/>
        </w:rPr>
        <w:t>ii) Sobre la posible configuración de una inhabilidad o incompatibilidad, es necesario resaltar que l</w:t>
      </w:r>
      <w:r w:rsidR="000E5392" w:rsidRPr="68E2F5DD">
        <w:rPr>
          <w:rFonts w:ascii="Verdana" w:eastAsia="Calibri" w:hAnsi="Verdana" w:cs="Arial"/>
          <w:lang w:val="es-ES" w:eastAsia="es-ES"/>
        </w:rPr>
        <w:t>a capacidad jurídica es la aptitud que recae en los sujeto</w:t>
      </w:r>
      <w:r w:rsidR="000E5392">
        <w:rPr>
          <w:rFonts w:ascii="Verdana" w:eastAsia="Calibri" w:hAnsi="Verdana" w:cs="Arial"/>
          <w:lang w:val="es-ES" w:eastAsia="es-ES"/>
        </w:rPr>
        <w:t>s</w:t>
      </w:r>
      <w:r w:rsidR="000E5392" w:rsidRPr="68E2F5DD">
        <w:rPr>
          <w:rFonts w:ascii="Verdana" w:eastAsia="Calibri" w:hAnsi="Verdana" w:cs="Arial"/>
          <w:lang w:val="es-ES" w:eastAsia="es-ES"/>
        </w:rPr>
        <w:t xml:space="preserve"> activos o pasivos de las relaciones jurídicas</w:t>
      </w:r>
      <w:r w:rsidR="000E5392" w:rsidRPr="68E2F5DD">
        <w:rPr>
          <w:rFonts w:ascii="Verdana" w:eastAsia="Calibri" w:hAnsi="Verdana" w:cs="Arial"/>
          <w:vertAlign w:val="superscript"/>
          <w:lang w:val="es-ES" w:eastAsia="es-ES"/>
        </w:rPr>
        <w:footnoteReference w:id="11"/>
      </w:r>
      <w:r w:rsidR="000E5392" w:rsidRPr="68E2F5DD">
        <w:rPr>
          <w:rFonts w:ascii="Verdana" w:eastAsia="Calibri" w:hAnsi="Verdana" w:cs="Arial"/>
          <w:lang w:val="es-ES" w:eastAsia="es-ES"/>
        </w:rPr>
        <w:t xml:space="preserve">. Para efectos de las relaciones contractuales en las que uno de los extremos de la relación sea una Entidad Estatal, la capacidad jurídica es la facultad que tiene una persona natural o jurídica para celebrar contratos con una Entidad Estatal. En otras palabras, es i) la capacidad de obligarse a cumplir el objeto del contrato y </w:t>
      </w:r>
      <w:proofErr w:type="spellStart"/>
      <w:r w:rsidR="000E5392" w:rsidRPr="68E2F5DD">
        <w:rPr>
          <w:rFonts w:ascii="Verdana" w:eastAsia="Calibri" w:hAnsi="Verdana" w:cs="Arial"/>
          <w:lang w:val="es-ES" w:eastAsia="es-ES"/>
        </w:rPr>
        <w:t>ii</w:t>
      </w:r>
      <w:proofErr w:type="spellEnd"/>
      <w:r w:rsidR="000E5392" w:rsidRPr="68E2F5DD">
        <w:rPr>
          <w:rFonts w:ascii="Verdana" w:eastAsia="Calibri" w:hAnsi="Verdana" w:cs="Arial"/>
          <w:lang w:val="es-ES" w:eastAsia="es-ES"/>
        </w:rPr>
        <w:t>) de no estar incursa en inhabilidades o incompatibilidades que impidan la celebración del contrato.</w:t>
      </w:r>
    </w:p>
    <w:p w14:paraId="640125F1" w14:textId="77777777" w:rsidR="000E5392" w:rsidRDefault="000E5392" w:rsidP="00400951">
      <w:pPr>
        <w:spacing w:before="120" w:after="120" w:line="276" w:lineRule="auto"/>
        <w:ind w:firstLine="708"/>
        <w:jc w:val="both"/>
        <w:rPr>
          <w:rFonts w:ascii="Verdana" w:eastAsia="Times New Roman" w:hAnsi="Verdana" w:cs="Arial"/>
          <w:lang w:eastAsia="es-ES_tradnl"/>
        </w:rPr>
      </w:pPr>
      <w:r w:rsidRPr="00372D18">
        <w:rPr>
          <w:rFonts w:ascii="Verdana" w:eastAsia="Calibri" w:hAnsi="Verdana" w:cs="Arial"/>
          <w:lang w:val="es-ES_tradnl" w:eastAsia="es-ES_tradnl"/>
        </w:rPr>
        <w:t xml:space="preserve">Para efectos de la aplicación del </w:t>
      </w:r>
      <w:r>
        <w:rPr>
          <w:rFonts w:ascii="Verdana" w:eastAsia="Calibri" w:hAnsi="Verdana" w:cs="Arial"/>
          <w:lang w:val="es-ES_tradnl" w:eastAsia="es-ES_tradnl"/>
        </w:rPr>
        <w:t>Estatuto General de Contratación de la Administración Pública –en adelante</w:t>
      </w:r>
      <w:r w:rsidRPr="00372D18">
        <w:rPr>
          <w:rFonts w:ascii="Verdana" w:eastAsia="Calibri" w:hAnsi="Verdana" w:cs="Arial"/>
          <w:lang w:val="es-ES_tradnl" w:eastAsia="es-ES_tradnl"/>
        </w:rPr>
        <w:t xml:space="preserve"> EGCAP</w:t>
      </w:r>
      <w:r>
        <w:rPr>
          <w:rFonts w:ascii="Verdana" w:eastAsia="Calibri" w:hAnsi="Verdana" w:cs="Arial"/>
          <w:lang w:val="es-ES_tradnl" w:eastAsia="es-ES_tradnl"/>
        </w:rPr>
        <w:t>–</w:t>
      </w:r>
      <w:r w:rsidRPr="00372D18">
        <w:rPr>
          <w:rFonts w:ascii="Verdana" w:eastAsia="Calibri" w:hAnsi="Verdana" w:cs="Arial"/>
          <w:lang w:val="es-ES_tradnl" w:eastAsia="es-ES_tradnl"/>
        </w:rPr>
        <w:t>, la capacidad para contratar la tienen las personas consideradas legalmente capaces en las disposiciones vigentes</w:t>
      </w:r>
      <w:r w:rsidRPr="00372D18">
        <w:rPr>
          <w:rFonts w:ascii="Verdana" w:eastAsia="Calibri" w:hAnsi="Verdana" w:cs="Arial"/>
          <w:vertAlign w:val="superscript"/>
          <w:lang w:val="es-ES_tradnl" w:eastAsia="es-ES_tradnl"/>
        </w:rPr>
        <w:footnoteReference w:id="12"/>
      </w:r>
      <w:r w:rsidRPr="00372D18">
        <w:rPr>
          <w:rFonts w:ascii="Verdana" w:eastAsia="Times New Roman" w:hAnsi="Verdana" w:cs="Arial"/>
          <w:lang w:eastAsia="es-ES_tradnl"/>
        </w:rPr>
        <w:t>, así como otras formas asociativas. En efecto, el artículo 6 de la Ley 80 de 1993 establece que “</w:t>
      </w:r>
      <w:r>
        <w:rPr>
          <w:rFonts w:ascii="Verdana" w:eastAsia="Times New Roman" w:hAnsi="Verdana" w:cs="Arial"/>
          <w:lang w:eastAsia="es-ES_tradnl"/>
        </w:rPr>
        <w:t>P</w:t>
      </w:r>
      <w:r w:rsidRPr="00372D18">
        <w:rPr>
          <w:rFonts w:ascii="Verdana" w:eastAsia="Times New Roman" w:hAnsi="Verdana" w:cs="Arial"/>
          <w:lang w:eastAsia="es-ES_tradnl"/>
        </w:rPr>
        <w:t>ueden celebrar contratos con las entidades estatales las personas consideradas legalmente capaces en las disposiciones vigentes […]”, así como también dispone que podrán hacerlo “[…] los consorcios y uniones temporales”.</w:t>
      </w:r>
    </w:p>
    <w:p w14:paraId="1B197E45" w14:textId="77777777" w:rsidR="000E5392" w:rsidRPr="00C23CEB" w:rsidRDefault="000E5392" w:rsidP="000E5392">
      <w:pPr>
        <w:snapToGrid w:val="0"/>
        <w:spacing w:after="120" w:line="276" w:lineRule="auto"/>
        <w:ind w:firstLine="708"/>
        <w:jc w:val="both"/>
        <w:rPr>
          <w:rFonts w:ascii="Verdana" w:eastAsia="Calibri" w:hAnsi="Verdana" w:cs="Arial"/>
          <w:color w:val="000000" w:themeColor="text1"/>
          <w:lang w:val="es-ES"/>
        </w:rPr>
      </w:pPr>
      <w:r>
        <w:rPr>
          <w:rFonts w:ascii="Verdana" w:eastAsia="Calibri" w:hAnsi="Verdana" w:cs="Arial"/>
          <w:color w:val="000000" w:themeColor="text1"/>
          <w:lang w:val="es-ES"/>
        </w:rPr>
        <w:t>En efecto, l</w:t>
      </w:r>
      <w:r w:rsidRPr="0C384551">
        <w:rPr>
          <w:rFonts w:ascii="Verdana" w:eastAsia="Calibri" w:hAnsi="Verdana" w:cs="Arial"/>
          <w:color w:val="000000" w:themeColor="text1"/>
          <w:lang w:val="es-ES"/>
        </w:rPr>
        <w:t xml:space="preserve">a </w:t>
      </w:r>
      <w:r w:rsidRPr="0C384551">
        <w:rPr>
          <w:rFonts w:ascii="Verdana" w:eastAsia="Calibri" w:hAnsi="Verdana" w:cs="Arial"/>
          <w:i/>
          <w:color w:val="000000" w:themeColor="text1"/>
          <w:lang w:val="es-ES"/>
        </w:rPr>
        <w:t>capacidad</w:t>
      </w:r>
      <w:r w:rsidRPr="0C384551">
        <w:rPr>
          <w:rFonts w:ascii="Verdana" w:eastAsia="Calibri" w:hAnsi="Verdana" w:cs="Arial"/>
          <w:color w:val="000000" w:themeColor="text1"/>
          <w:lang w:val="es-ES"/>
        </w:rPr>
        <w:t xml:space="preserve"> es un requisito de validez de los contratos en el régimen de las entidades sujetas al Estatuto General de Contratación de la Administración Pública</w:t>
      </w:r>
      <w:r w:rsidRPr="0C384551">
        <w:rPr>
          <w:rFonts w:ascii="Verdana" w:eastAsia="Calibri" w:hAnsi="Verdana" w:cs="Arial"/>
          <w:color w:val="000000" w:themeColor="text1"/>
          <w:vertAlign w:val="superscript"/>
          <w:lang w:val="es-ES"/>
        </w:rPr>
        <w:footnoteReference w:id="13"/>
      </w:r>
      <w:r w:rsidRPr="0C384551">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y </w:t>
      </w:r>
      <w:r w:rsidRPr="0C384551">
        <w:rPr>
          <w:rFonts w:ascii="Verdana" w:eastAsia="Calibri" w:hAnsi="Verdana" w:cs="Arial"/>
          <w:color w:val="000000" w:themeColor="text1"/>
          <w:lang w:val="es-ES"/>
        </w:rPr>
        <w:t xml:space="preserve">en el de las entidades exceptuadas de </w:t>
      </w:r>
      <w:r>
        <w:rPr>
          <w:rFonts w:ascii="Verdana" w:eastAsia="Calibri" w:hAnsi="Verdana" w:cs="Arial"/>
          <w:color w:val="000000" w:themeColor="text1"/>
          <w:lang w:val="es-ES"/>
        </w:rPr>
        <w:t>este</w:t>
      </w:r>
      <w:r w:rsidRPr="0C384551">
        <w:rPr>
          <w:rFonts w:ascii="Verdana" w:eastAsia="Calibri" w:hAnsi="Verdana" w:cs="Arial"/>
          <w:color w:val="000000" w:themeColor="text1"/>
          <w:vertAlign w:val="superscript"/>
          <w:lang w:val="es-ES"/>
        </w:rPr>
        <w:footnoteReference w:id="14"/>
      </w:r>
      <w:r w:rsidRPr="0C384551">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Varias </w:t>
      </w:r>
      <w:r>
        <w:rPr>
          <w:rFonts w:ascii="Verdana" w:eastAsia="Calibri" w:hAnsi="Verdana" w:cs="Arial"/>
          <w:color w:val="000000" w:themeColor="text1"/>
          <w:lang w:val="es-ES"/>
        </w:rPr>
        <w:lastRenderedPageBreak/>
        <w:t>disposiciones y exigencias especiales integran la regulación de la capacidad, como es el caso de</w:t>
      </w:r>
      <w:r w:rsidRPr="0C384551">
        <w:rPr>
          <w:rFonts w:ascii="Verdana" w:eastAsia="Calibri" w:hAnsi="Verdana" w:cs="Arial"/>
          <w:color w:val="000000" w:themeColor="text1"/>
          <w:lang w:val="es-ES"/>
        </w:rPr>
        <w:t>l requisito de inscribirse</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 xml:space="preserve">en el Registro Único de Proponentes (RUP), establecido en el artículo 6 de la Ley 1150 de 2007, </w:t>
      </w:r>
      <w:r>
        <w:rPr>
          <w:rFonts w:ascii="Verdana" w:eastAsia="Calibri" w:hAnsi="Verdana" w:cs="Arial"/>
          <w:color w:val="000000" w:themeColor="text1"/>
          <w:lang w:val="es-ES"/>
        </w:rPr>
        <w:t xml:space="preserve">así como </w:t>
      </w:r>
      <w:r w:rsidRPr="0C384551">
        <w:rPr>
          <w:rFonts w:ascii="Verdana" w:eastAsia="Calibri" w:hAnsi="Verdana" w:cs="Arial"/>
          <w:color w:val="000000" w:themeColor="text1"/>
          <w:lang w:val="es-ES"/>
        </w:rPr>
        <w:t>el régimen de inhabilidades e incompatibilidades</w:t>
      </w:r>
      <w:r>
        <w:rPr>
          <w:rFonts w:ascii="Verdana" w:eastAsia="Calibri" w:hAnsi="Verdana" w:cs="Arial"/>
          <w:color w:val="000000" w:themeColor="text1"/>
          <w:lang w:val="es-ES"/>
        </w:rPr>
        <w:t xml:space="preserve">. Este último se refiere al </w:t>
      </w:r>
      <w:r w:rsidRPr="0C384551">
        <w:rPr>
          <w:rFonts w:ascii="Verdana" w:eastAsia="Calibri" w:hAnsi="Verdana" w:cs="Arial"/>
          <w:color w:val="000000" w:themeColor="text1"/>
          <w:lang w:val="es-ES"/>
        </w:rPr>
        <w:t>conjunto de enunciados normativos que imponen restricciones para los sujetos que</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pretendan participar en los procedimientos de selección o celebrar contratos con las entidades estatales</w:t>
      </w:r>
      <w:r w:rsidRPr="0C384551">
        <w:rPr>
          <w:rFonts w:ascii="Verdana" w:eastAsia="Calibri" w:hAnsi="Verdana" w:cs="Arial"/>
          <w:color w:val="000000" w:themeColor="text1"/>
          <w:vertAlign w:val="superscript"/>
          <w:lang w:val="es-ES"/>
        </w:rPr>
        <w:footnoteReference w:id="15"/>
      </w:r>
      <w:r w:rsidRPr="0C384551">
        <w:rPr>
          <w:rFonts w:ascii="Verdana" w:eastAsia="Calibri" w:hAnsi="Verdana" w:cs="Arial"/>
          <w:color w:val="000000" w:themeColor="text1"/>
          <w:lang w:val="es-ES"/>
        </w:rPr>
        <w:t>.</w:t>
      </w:r>
    </w:p>
    <w:p w14:paraId="3C0DF03D" w14:textId="77777777" w:rsidR="000E5392" w:rsidRDefault="000E5392" w:rsidP="000E5392">
      <w:pPr>
        <w:spacing w:after="120" w:line="276" w:lineRule="auto"/>
        <w:ind w:firstLine="709"/>
        <w:jc w:val="both"/>
        <w:rPr>
          <w:rFonts w:ascii="Verdana" w:eastAsia="Arial MT" w:hAnsi="Verdana" w:cs="Arial"/>
          <w:lang w:eastAsia="es-ES" w:bidi="es-ES"/>
        </w:rPr>
      </w:pPr>
      <w:r w:rsidRPr="0C384551">
        <w:rPr>
          <w:rFonts w:ascii="Verdana" w:eastAsia="Calibri" w:hAnsi="Verdana" w:cs="Arial"/>
          <w:color w:val="000000" w:themeColor="text1"/>
          <w:lang w:val="es-ES"/>
        </w:rPr>
        <w:t xml:space="preserve">Las </w:t>
      </w:r>
      <w:r w:rsidRPr="00605F5B">
        <w:rPr>
          <w:rFonts w:ascii="Verdana" w:eastAsia="Calibri" w:hAnsi="Verdana" w:cs="Arial"/>
          <w:i/>
          <w:iCs/>
          <w:color w:val="000000" w:themeColor="text1"/>
          <w:lang w:val="es-ES"/>
        </w:rPr>
        <w:t>inhabilidades</w:t>
      </w:r>
      <w:r w:rsidRPr="0C384551">
        <w:rPr>
          <w:rFonts w:ascii="Verdana" w:eastAsia="Calibri" w:hAnsi="Verdana" w:cs="Arial"/>
          <w:color w:val="000000" w:themeColor="text1"/>
          <w:lang w:val="es-ES"/>
        </w:rPr>
        <w:t xml:space="preserve"> son prohibiciones para concurrir a los procedimientos de selección y para contratar con el Estado que se derivan i) de la existencia de comportamientos reprochables o de sanciones anteriormente impuestas, </w:t>
      </w:r>
      <w:proofErr w:type="spellStart"/>
      <w:r w:rsidRPr="0C384551">
        <w:rPr>
          <w:rFonts w:ascii="Verdana" w:eastAsia="Calibri" w:hAnsi="Verdana" w:cs="Arial"/>
          <w:color w:val="000000" w:themeColor="text1"/>
          <w:lang w:val="es-ES"/>
        </w:rPr>
        <w:t>ii</w:t>
      </w:r>
      <w:proofErr w:type="spellEnd"/>
      <w:r w:rsidRPr="0C384551">
        <w:rPr>
          <w:rFonts w:ascii="Verdana" w:eastAsia="Calibri" w:hAnsi="Verdana" w:cs="Arial"/>
          <w:color w:val="000000" w:themeColor="text1"/>
          <w:lang w:val="es-ES"/>
        </w:rPr>
        <w:t>) de vínculos personales relativos al parentesco o al estado civil</w:t>
      </w:r>
      <w:r>
        <w:rPr>
          <w:rFonts w:ascii="Verdana" w:eastAsia="Calibri" w:hAnsi="Verdana" w:cs="Arial"/>
          <w:color w:val="000000" w:themeColor="text1"/>
          <w:lang w:val="es-ES"/>
        </w:rPr>
        <w:t>,</w:t>
      </w:r>
      <w:r w:rsidRPr="0C384551">
        <w:rPr>
          <w:rFonts w:ascii="Verdana" w:eastAsia="Calibri" w:hAnsi="Verdana" w:cs="Arial"/>
          <w:color w:val="000000" w:themeColor="text1"/>
          <w:lang w:val="es-ES"/>
        </w:rPr>
        <w:t xml:space="preserve"> o </w:t>
      </w:r>
      <w:proofErr w:type="spellStart"/>
      <w:r w:rsidRPr="0C384551">
        <w:rPr>
          <w:rFonts w:ascii="Verdana" w:eastAsia="Calibri" w:hAnsi="Verdana" w:cs="Arial"/>
          <w:color w:val="000000" w:themeColor="text1"/>
          <w:lang w:val="es-ES"/>
        </w:rPr>
        <w:t>iii</w:t>
      </w:r>
      <w:proofErr w:type="spellEnd"/>
      <w:r w:rsidRPr="0C384551">
        <w:rPr>
          <w:rFonts w:ascii="Verdana" w:eastAsia="Calibri" w:hAnsi="Verdana" w:cs="Arial"/>
          <w:color w:val="000000" w:themeColor="text1"/>
          <w:lang w:val="es-ES"/>
        </w:rPr>
        <w:t xml:space="preserve">) de una actividad u oficio que se desempeñó en el pasado. De otro lado, las </w:t>
      </w:r>
      <w:r w:rsidRPr="00605F5B">
        <w:rPr>
          <w:rFonts w:ascii="Verdana" w:eastAsia="Calibri" w:hAnsi="Verdana" w:cs="Arial"/>
          <w:i/>
          <w:iCs/>
          <w:color w:val="000000" w:themeColor="text1"/>
          <w:lang w:val="es-ES"/>
        </w:rPr>
        <w:t xml:space="preserve">incompatibilidades </w:t>
      </w:r>
      <w:r w:rsidRPr="0C384551">
        <w:rPr>
          <w:rFonts w:ascii="Verdana" w:eastAsia="Calibri" w:hAnsi="Verdana" w:cs="Arial"/>
          <w:color w:val="000000" w:themeColor="text1"/>
          <w:lang w:val="es-ES"/>
        </w:rPr>
        <w:t>son prohibiciones para participar en los procedimientos de selección y para celebrar contratos estatales, fundadas en</w:t>
      </w:r>
      <w:r>
        <w:rPr>
          <w:rFonts w:ascii="Verdana" w:eastAsia="Calibri" w:hAnsi="Verdana" w:cs="Arial"/>
          <w:color w:val="000000" w:themeColor="text1"/>
          <w:lang w:val="es-ES"/>
        </w:rPr>
        <w:t xml:space="preserve"> que </w:t>
      </w:r>
      <w:r w:rsidRPr="0C384551">
        <w:rPr>
          <w:rFonts w:ascii="Verdana" w:eastAsia="Calibri" w:hAnsi="Verdana" w:cs="Arial"/>
          <w:color w:val="000000" w:themeColor="text1"/>
          <w:lang w:val="es-ES"/>
        </w:rPr>
        <w:t xml:space="preserve">el sujeto interesado </w:t>
      </w:r>
      <w:r>
        <w:rPr>
          <w:rFonts w:ascii="Verdana" w:eastAsia="Calibri" w:hAnsi="Verdana" w:cs="Arial"/>
          <w:color w:val="000000" w:themeColor="text1"/>
          <w:lang w:val="es-ES"/>
        </w:rPr>
        <w:t xml:space="preserve">ostenta </w:t>
      </w:r>
      <w:r w:rsidRPr="0C384551">
        <w:rPr>
          <w:rFonts w:ascii="Verdana" w:eastAsia="Calibri" w:hAnsi="Verdana" w:cs="Arial"/>
          <w:color w:val="000000" w:themeColor="text1"/>
          <w:lang w:val="es-ES"/>
        </w:rPr>
        <w:t xml:space="preserve">una calidad que no puede coexistir con </w:t>
      </w:r>
      <w:r>
        <w:rPr>
          <w:rFonts w:ascii="Verdana" w:eastAsia="Calibri" w:hAnsi="Verdana" w:cs="Arial"/>
          <w:color w:val="000000" w:themeColor="text1"/>
          <w:lang w:val="es-ES"/>
        </w:rPr>
        <w:t xml:space="preserve">el carácter de </w:t>
      </w:r>
      <w:r w:rsidRPr="0C384551">
        <w:rPr>
          <w:rFonts w:ascii="Verdana" w:eastAsia="Calibri" w:hAnsi="Verdana" w:cs="Arial"/>
          <w:color w:val="000000" w:themeColor="text1"/>
          <w:lang w:val="es-ES"/>
        </w:rPr>
        <w:t>proponente o contratista del Estado.</w:t>
      </w:r>
      <w:r>
        <w:rPr>
          <w:rFonts w:ascii="Verdana" w:eastAsia="Calibri" w:hAnsi="Verdana" w:cs="Arial"/>
          <w:color w:val="000000" w:themeColor="text1"/>
          <w:lang w:val="es-ES"/>
        </w:rPr>
        <w:t xml:space="preserve"> </w:t>
      </w:r>
      <w:r w:rsidRPr="00C23CEB">
        <w:rPr>
          <w:rFonts w:ascii="Verdana" w:eastAsia="Arial MT" w:hAnsi="Verdana" w:cs="Arial"/>
          <w:lang w:eastAsia="es-ES" w:bidi="es-ES"/>
        </w:rPr>
        <w:t xml:space="preserve">Por su parte, las situaciones de </w:t>
      </w:r>
      <w:r w:rsidRPr="0093191F">
        <w:rPr>
          <w:rFonts w:ascii="Verdana" w:eastAsia="Arial MT" w:hAnsi="Verdana" w:cs="Arial"/>
          <w:i/>
          <w:iCs/>
          <w:lang w:eastAsia="es-ES" w:bidi="es-ES"/>
        </w:rPr>
        <w:t>conflicto de interés</w:t>
      </w:r>
      <w:r w:rsidRPr="00C23CEB">
        <w:rPr>
          <w:rFonts w:ascii="Verdana" w:eastAsia="Arial MT" w:hAnsi="Verdana" w:cs="Arial"/>
          <w:lang w:eastAsia="es-ES" w:bidi="es-ES"/>
        </w:rPr>
        <w:t xml:space="preserve"> suelen expresarse en prohibiciones, similar a lo que ocurre con las inhabilidades e incompatibilidades</w:t>
      </w:r>
      <w:r>
        <w:rPr>
          <w:rFonts w:ascii="Verdana" w:eastAsia="Arial MT" w:hAnsi="Verdana" w:cs="Arial"/>
          <w:lang w:eastAsia="es-ES" w:bidi="es-ES"/>
        </w:rPr>
        <w:t>. Estas se encuentran establecidas</w:t>
      </w:r>
      <w:r w:rsidRPr="00C23CEB">
        <w:rPr>
          <w:rFonts w:ascii="Verdana" w:eastAsia="Arial MT" w:hAnsi="Verdana" w:cs="Arial"/>
          <w:lang w:eastAsia="es-ES" w:bidi="es-ES"/>
        </w:rPr>
        <w:t xml:space="preserve"> en el pliego de condiciones y en la minuta del contrato</w:t>
      </w:r>
      <w:r>
        <w:rPr>
          <w:rFonts w:ascii="Verdana" w:eastAsia="Arial MT" w:hAnsi="Verdana" w:cs="Arial"/>
          <w:lang w:eastAsia="es-ES" w:bidi="es-ES"/>
        </w:rPr>
        <w:t>.</w:t>
      </w:r>
      <w:r w:rsidRPr="00C23CEB">
        <w:rPr>
          <w:rFonts w:ascii="Verdana" w:eastAsia="Arial MT" w:hAnsi="Verdana" w:cs="Arial"/>
          <w:lang w:eastAsia="es-ES" w:bidi="es-ES"/>
        </w:rPr>
        <w:t xml:space="preserve"> </w:t>
      </w:r>
    </w:p>
    <w:p w14:paraId="7DC61F76" w14:textId="77777777" w:rsidR="000E5392" w:rsidRPr="0093191F" w:rsidRDefault="000E5392" w:rsidP="000E5392">
      <w:pPr>
        <w:spacing w:after="120" w:line="276" w:lineRule="auto"/>
        <w:ind w:firstLine="709"/>
        <w:jc w:val="both"/>
        <w:rPr>
          <w:rFonts w:ascii="Verdana" w:eastAsia="Calibri" w:hAnsi="Verdana" w:cs="Arial"/>
          <w:color w:val="000000" w:themeColor="text1"/>
          <w:lang w:val="es-ES"/>
        </w:rPr>
      </w:pPr>
      <w:r>
        <w:rPr>
          <w:rFonts w:ascii="Verdana" w:eastAsia="Arial MT" w:hAnsi="Verdana" w:cs="Arial"/>
          <w:lang w:eastAsia="es-ES" w:bidi="es-ES"/>
        </w:rPr>
        <w:t xml:space="preserve">La consagración de todas estas causales debe ser </w:t>
      </w:r>
      <w:r w:rsidRPr="0001420D">
        <w:rPr>
          <w:rFonts w:ascii="Verdana" w:eastAsia="Arial MT" w:hAnsi="Verdana" w:cs="Arial"/>
          <w:i/>
          <w:iCs/>
          <w:lang w:eastAsia="es-ES" w:bidi="es-ES"/>
        </w:rPr>
        <w:t>expresa</w:t>
      </w:r>
      <w:r w:rsidRPr="00C23CEB">
        <w:rPr>
          <w:rFonts w:ascii="Verdana" w:eastAsia="Arial MT" w:hAnsi="Verdana" w:cs="Arial"/>
          <w:lang w:eastAsia="es-ES" w:bidi="es-ES"/>
        </w:rPr>
        <w:t xml:space="preserve"> y su interpretación </w:t>
      </w:r>
      <w:r w:rsidRPr="0001420D">
        <w:rPr>
          <w:rFonts w:ascii="Verdana" w:eastAsia="Arial MT" w:hAnsi="Verdana" w:cs="Arial"/>
          <w:i/>
          <w:iCs/>
          <w:lang w:eastAsia="es-ES" w:bidi="es-ES"/>
        </w:rPr>
        <w:t>restrictiva</w:t>
      </w:r>
      <w:r>
        <w:rPr>
          <w:rFonts w:ascii="Verdana" w:eastAsia="Arial MT" w:hAnsi="Verdana" w:cs="Arial"/>
          <w:lang w:eastAsia="es-ES" w:bidi="es-ES"/>
        </w:rPr>
        <w:t>.</w:t>
      </w:r>
      <w:r w:rsidRPr="00C23CEB">
        <w:rPr>
          <w:rFonts w:ascii="Verdana" w:eastAsia="Arial MT" w:hAnsi="Verdana" w:cs="Arial"/>
          <w:lang w:eastAsia="es-ES" w:bidi="es-ES"/>
        </w:rPr>
        <w:t xml:space="preserve"> </w:t>
      </w:r>
      <w:r>
        <w:rPr>
          <w:rFonts w:ascii="Verdana" w:eastAsia="Arial MT" w:hAnsi="Verdana" w:cs="Arial"/>
          <w:lang w:eastAsia="es-ES" w:bidi="es-ES"/>
        </w:rPr>
        <w:t>E</w:t>
      </w:r>
      <w:r w:rsidRPr="00C23CEB">
        <w:rPr>
          <w:rFonts w:ascii="Verdana" w:eastAsia="Arial MT" w:hAnsi="Verdana" w:cs="Arial"/>
          <w:lang w:eastAsia="es-ES" w:bidi="es-ES"/>
        </w:rPr>
        <w:t>n el caso de las inhabilidades e incompatibilidades</w:t>
      </w:r>
      <w:r>
        <w:rPr>
          <w:rFonts w:ascii="Verdana" w:eastAsia="Arial MT" w:hAnsi="Verdana" w:cs="Arial"/>
          <w:lang w:eastAsia="es-ES" w:bidi="es-ES"/>
        </w:rPr>
        <w:t xml:space="preserve">, su </w:t>
      </w:r>
      <w:r w:rsidRPr="00C23CEB">
        <w:rPr>
          <w:rFonts w:ascii="Verdana" w:eastAsia="Arial MT" w:hAnsi="Verdana" w:cs="Arial"/>
          <w:lang w:eastAsia="es-ES" w:bidi="es-ES"/>
        </w:rPr>
        <w:t xml:space="preserve">aplicación siempre debe estar ajustada a los presupuestos que para cada causal </w:t>
      </w:r>
      <w:r>
        <w:rPr>
          <w:rFonts w:ascii="Verdana" w:eastAsia="Arial MT" w:hAnsi="Verdana" w:cs="Arial"/>
          <w:lang w:eastAsia="es-ES" w:bidi="es-ES"/>
        </w:rPr>
        <w:t xml:space="preserve">señale </w:t>
      </w:r>
      <w:r w:rsidRPr="00C23CEB">
        <w:rPr>
          <w:rFonts w:ascii="Verdana" w:eastAsia="Arial MT" w:hAnsi="Verdana" w:cs="Arial"/>
          <w:lang w:eastAsia="es-ES" w:bidi="es-ES"/>
        </w:rPr>
        <w:t>el constituyente o el legislador</w:t>
      </w:r>
      <w:r>
        <w:rPr>
          <w:rFonts w:ascii="Verdana" w:eastAsia="Arial MT" w:hAnsi="Verdana" w:cs="Arial"/>
          <w:lang w:eastAsia="es-ES" w:bidi="es-ES"/>
        </w:rPr>
        <w:t xml:space="preserve">; en el caso de los conflictos de interés, la aplicación debe sujetarse a los presupuestos que señale la entidad contratante en los documentos referidos. De cualquier modo, no es </w:t>
      </w:r>
      <w:r w:rsidRPr="00C23CEB">
        <w:rPr>
          <w:rFonts w:ascii="Verdana" w:eastAsia="Arial MT" w:hAnsi="Verdana" w:cs="Arial"/>
          <w:lang w:eastAsia="es-ES" w:bidi="es-ES"/>
        </w:rPr>
        <w:t xml:space="preserve">posible </w:t>
      </w:r>
      <w:r>
        <w:rPr>
          <w:rFonts w:ascii="Verdana" w:eastAsia="Arial MT" w:hAnsi="Verdana" w:cs="Arial"/>
          <w:lang w:eastAsia="es-ES" w:bidi="es-ES"/>
        </w:rPr>
        <w:t xml:space="preserve">que las entidades realicen una </w:t>
      </w:r>
      <w:r w:rsidRPr="00C23CEB">
        <w:rPr>
          <w:rFonts w:ascii="Verdana" w:eastAsia="Arial MT" w:hAnsi="Verdana" w:cs="Arial"/>
          <w:lang w:eastAsia="es-ES" w:bidi="es-ES"/>
        </w:rPr>
        <w:t>aplicación extensiva o analógica.</w:t>
      </w:r>
      <w:r w:rsidRPr="00C23CEB">
        <w:rPr>
          <w:rFonts w:ascii="Verdana" w:hAnsi="Verdana" w:cs="Arial"/>
        </w:rPr>
        <w:t xml:space="preserve"> </w:t>
      </w:r>
    </w:p>
    <w:p w14:paraId="34B1E0C3" w14:textId="77777777" w:rsidR="000E5392" w:rsidRPr="00C23CEB" w:rsidRDefault="000E5392" w:rsidP="000E5392">
      <w:pPr>
        <w:spacing w:after="120" w:line="276" w:lineRule="auto"/>
        <w:ind w:firstLine="709"/>
        <w:jc w:val="both"/>
        <w:rPr>
          <w:rFonts w:ascii="Verdana" w:eastAsia="Calibri" w:hAnsi="Verdana" w:cs="Arial"/>
          <w:color w:val="000000" w:themeColor="text1"/>
          <w:lang w:val="es-ES"/>
        </w:rPr>
      </w:pPr>
      <w:r w:rsidRPr="0C384551">
        <w:rPr>
          <w:rFonts w:ascii="Verdana" w:eastAsia="Calibri" w:hAnsi="Verdana" w:cs="Arial"/>
          <w:color w:val="000000" w:themeColor="text1"/>
          <w:lang w:val="es-ES"/>
        </w:rPr>
        <w:t>El régimen de inhabilidades e incompatibilidades en la contratación pública responde a la tendencia</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 xml:space="preserve">de asegurar que la actividad de provisión de los bienes y servicios por parte de las entidades estatales se efectúe cumpliendo con los </w:t>
      </w:r>
      <w:r w:rsidRPr="0C384551">
        <w:rPr>
          <w:rFonts w:ascii="Verdana" w:eastAsia="Calibri" w:hAnsi="Verdana" w:cs="Arial"/>
          <w:color w:val="000000" w:themeColor="text1"/>
          <w:lang w:val="es-ES"/>
        </w:rPr>
        <w:lastRenderedPageBreak/>
        <w:t>principios de la función administrativa y de la gestión fiscal, especialmente con probidad y transparencia. Es por ello que</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las inhabilidades e incompatibilidades se han convertido en herramientas en la lucha contra la corrupción, adoptando paulatinamente un cariz sancionatorio o “</w:t>
      </w:r>
      <w:proofErr w:type="spellStart"/>
      <w:r w:rsidRPr="0C384551">
        <w:rPr>
          <w:rFonts w:ascii="Verdana" w:eastAsia="Calibri" w:hAnsi="Verdana" w:cs="Arial"/>
          <w:color w:val="000000" w:themeColor="text1"/>
          <w:lang w:val="es-ES"/>
        </w:rPr>
        <w:t>neopunitivo</w:t>
      </w:r>
      <w:proofErr w:type="spellEnd"/>
      <w:r w:rsidRPr="0C384551">
        <w:rPr>
          <w:rFonts w:ascii="Verdana" w:eastAsia="Calibri" w:hAnsi="Verdana" w:cs="Arial"/>
          <w:color w:val="000000" w:themeColor="text1"/>
          <w:lang w:val="es-ES"/>
        </w:rPr>
        <w:t>”</w:t>
      </w:r>
      <w:r w:rsidRPr="0C384551">
        <w:rPr>
          <w:rFonts w:ascii="Verdana" w:eastAsia="Calibri" w:hAnsi="Verdana" w:cs="Arial"/>
          <w:color w:val="000000" w:themeColor="text1"/>
          <w:vertAlign w:val="superscript"/>
          <w:lang w:val="es-ES"/>
        </w:rPr>
        <w:footnoteReference w:id="16"/>
      </w:r>
      <w:r w:rsidRPr="0C384551">
        <w:rPr>
          <w:rFonts w:ascii="Verdana" w:eastAsia="Calibri" w:hAnsi="Verdana" w:cs="Arial"/>
          <w:color w:val="000000" w:themeColor="text1"/>
          <w:lang w:val="es-ES"/>
        </w:rPr>
        <w:t>. Si bien no todas las causales de inhabilidad y de incompatibilidad son consecuencia de una medida de reproche ni de una sanción previa, como ya se explicó, es indiscutible que en los años más recientes los hechos de corrupción han generado, como respuesta del legislador, un incremento de las restricciones a la capacidad contractual, dirigidas a prevenir este tipo de situaciones o a sancionar tales conductas.</w:t>
      </w:r>
    </w:p>
    <w:p w14:paraId="27086C16" w14:textId="77777777" w:rsidR="000E5392" w:rsidRPr="00C23CEB" w:rsidRDefault="000E5392" w:rsidP="000E5392">
      <w:pPr>
        <w:spacing w:after="120" w:line="276" w:lineRule="auto"/>
        <w:ind w:firstLine="709"/>
        <w:jc w:val="both"/>
        <w:rPr>
          <w:rFonts w:ascii="Verdana" w:eastAsia="Calibri" w:hAnsi="Verdana" w:cs="Arial"/>
          <w:color w:val="000000" w:themeColor="text1"/>
          <w:lang w:val="es-ES_tradnl"/>
        </w:rPr>
      </w:pPr>
      <w:r w:rsidRPr="00C23CEB">
        <w:rPr>
          <w:rFonts w:ascii="Verdana" w:eastAsia="Calibri" w:hAnsi="Verdana" w:cs="Arial"/>
          <w:color w:val="000000" w:themeColor="text1"/>
          <w:lang w:val="es-ES_tradnl"/>
        </w:rPr>
        <w:t>Ahora bien, las inhabilidades e incompatibilidades</w:t>
      </w:r>
      <w:r>
        <w:rPr>
          <w:rFonts w:ascii="Verdana" w:eastAsia="Calibri" w:hAnsi="Verdana" w:cs="Arial"/>
          <w:color w:val="000000" w:themeColor="text1"/>
          <w:lang w:val="es-ES_tradnl"/>
        </w:rPr>
        <w:t xml:space="preserve"> son </w:t>
      </w:r>
      <w:r w:rsidRPr="00C23CEB">
        <w:rPr>
          <w:rFonts w:ascii="Verdana" w:eastAsia="Calibri" w:hAnsi="Verdana" w:cs="Arial"/>
          <w:color w:val="000000" w:themeColor="text1"/>
          <w:lang w:val="es-ES_tradnl"/>
        </w:rPr>
        <w:t>restricciones o límites especiales a la capacidad para presentar ofertas y celebrar contratos estatales</w:t>
      </w:r>
      <w:r>
        <w:rPr>
          <w:rFonts w:ascii="Verdana" w:eastAsia="Calibri" w:hAnsi="Verdana" w:cs="Arial"/>
          <w:color w:val="000000" w:themeColor="text1"/>
          <w:lang w:val="es-ES_tradnl"/>
        </w:rPr>
        <w:t>. En consecuencia,</w:t>
      </w:r>
      <w:r w:rsidRPr="00C23CEB">
        <w:rPr>
          <w:rFonts w:ascii="Verdana" w:eastAsia="Calibri" w:hAnsi="Verdana" w:cs="Arial"/>
          <w:color w:val="000000" w:themeColor="text1"/>
          <w:lang w:val="es-ES_tradnl"/>
        </w:rPr>
        <w:t xml:space="preserve"> solo pueden tipificarse en la ley –o sea, deben satisfacer el principio de legalidad– y su interpretación debe ser </w:t>
      </w:r>
      <w:r w:rsidRPr="00C23CEB">
        <w:rPr>
          <w:rFonts w:ascii="Verdana" w:eastAsia="Calibri" w:hAnsi="Verdana" w:cs="Arial"/>
          <w:i/>
          <w:iCs/>
          <w:color w:val="000000" w:themeColor="text1"/>
          <w:lang w:val="es-ES_tradnl"/>
        </w:rPr>
        <w:t>restrictiva</w:t>
      </w:r>
      <w:r w:rsidRPr="00C23CEB">
        <w:rPr>
          <w:rFonts w:ascii="Verdana" w:eastAsia="Calibri" w:hAnsi="Verdana" w:cs="Arial"/>
          <w:color w:val="000000" w:themeColor="text1"/>
          <w:vertAlign w:val="superscript"/>
          <w:lang w:val="es-ES_tradnl"/>
        </w:rPr>
        <w:footnoteReference w:id="17"/>
      </w:r>
      <w:r w:rsidRPr="00C23CEB">
        <w:rPr>
          <w:rFonts w:ascii="Verdana" w:eastAsia="Calibri" w:hAnsi="Verdana" w:cs="Arial"/>
          <w:color w:val="000000" w:themeColor="text1"/>
          <w:lang w:val="es-ES_tradnl"/>
        </w:rPr>
        <w:t xml:space="preserve">, pues si se admitiera una interpretación amplia, extensiva o finalista de las mismas, </w:t>
      </w:r>
      <w:r>
        <w:rPr>
          <w:rFonts w:ascii="Verdana" w:eastAsia="Calibri" w:hAnsi="Verdana" w:cs="Arial"/>
          <w:color w:val="000000" w:themeColor="text1"/>
          <w:lang w:val="es-ES_tradnl"/>
        </w:rPr>
        <w:t xml:space="preserve">los </w:t>
      </w:r>
      <w:r w:rsidRPr="00C23CEB">
        <w:rPr>
          <w:rFonts w:ascii="Verdana" w:eastAsia="Calibri" w:hAnsi="Verdana" w:cs="Arial"/>
          <w:color w:val="000000" w:themeColor="text1"/>
          <w:lang w:val="es-ES_tradnl"/>
        </w:rPr>
        <w:t xml:space="preserve">enunciados normativos podrían contemplar múltiples supuestos indeterminados, según el parecer o el sentido común de los operadores jurídicos, poniendo en riesgo principios como la igualdad, el debido proceso, la libre concurrencia y el ejercicio de la profesión u oficio. </w:t>
      </w:r>
      <w:r>
        <w:rPr>
          <w:rFonts w:ascii="Verdana" w:eastAsia="Calibri" w:hAnsi="Verdana" w:cs="Arial"/>
          <w:color w:val="000000" w:themeColor="text1"/>
          <w:lang w:val="es-ES_tradnl"/>
        </w:rPr>
        <w:t xml:space="preserve">Esta </w:t>
      </w:r>
      <w:r w:rsidRPr="00C23CEB">
        <w:rPr>
          <w:rFonts w:ascii="Verdana" w:eastAsia="Calibri" w:hAnsi="Verdana" w:cs="Arial"/>
          <w:color w:val="000000" w:themeColor="text1"/>
          <w:lang w:val="es-ES_tradnl"/>
        </w:rPr>
        <w:t xml:space="preserve">ha sido la postura al interior de la jurisprudencia, tanto de la Corte Constitucional como de la Sección Tercera del Consejo de Estado. </w:t>
      </w:r>
    </w:p>
    <w:p w14:paraId="09275A44" w14:textId="77777777" w:rsidR="000E5392" w:rsidRPr="00C23CEB" w:rsidRDefault="000E5392" w:rsidP="000E5392">
      <w:pPr>
        <w:spacing w:after="0" w:line="276" w:lineRule="auto"/>
        <w:ind w:firstLine="709"/>
        <w:jc w:val="both"/>
        <w:rPr>
          <w:rFonts w:ascii="Verdana" w:eastAsia="Calibri" w:hAnsi="Verdana" w:cs="Arial"/>
          <w:color w:val="000000" w:themeColor="text1"/>
          <w:lang w:val="es-ES_tradnl"/>
        </w:rPr>
      </w:pPr>
      <w:r w:rsidRPr="00C23CEB">
        <w:rPr>
          <w:rFonts w:ascii="Verdana" w:eastAsia="Calibri" w:hAnsi="Verdana" w:cs="Arial"/>
          <w:color w:val="000000" w:themeColor="text1"/>
          <w:lang w:val="es-ES_tradnl"/>
        </w:rPr>
        <w:t xml:space="preserve">En efecto, el máximo tribunal constitucional ha indicado que, al tratar de precisar el sentido de este tipo de normas, “[…] el intérprete de las disposiciones legislativas en la materia ha de ceñirse en la mayor medida posible al tenor literal y gramatical de los enunciados normativos, </w:t>
      </w:r>
      <w:r w:rsidRPr="0001420D">
        <w:rPr>
          <w:rFonts w:ascii="Verdana" w:eastAsia="Calibri" w:hAnsi="Verdana" w:cs="Arial"/>
          <w:i/>
          <w:iCs/>
          <w:color w:val="000000" w:themeColor="text1"/>
          <w:lang w:val="es-ES_tradnl"/>
        </w:rPr>
        <w:t>sin que pueda acudir prima facie a criterios interpretativos tales como la analogía, la interpretación extensiva</w:t>
      </w:r>
      <w:r w:rsidRPr="00C23CEB">
        <w:rPr>
          <w:rFonts w:ascii="Verdana" w:eastAsia="Calibri" w:hAnsi="Verdana" w:cs="Arial"/>
          <w:color w:val="000000" w:themeColor="text1"/>
          <w:lang w:val="es-ES_tradnl"/>
        </w:rPr>
        <w:t xml:space="preserve"> para ampliar el alcance de las causales legalmente fijadas”</w:t>
      </w:r>
      <w:r w:rsidRPr="00C23CEB">
        <w:rPr>
          <w:rFonts w:ascii="Verdana" w:eastAsia="Calibri" w:hAnsi="Verdana" w:cs="Arial"/>
          <w:color w:val="000000" w:themeColor="text1"/>
          <w:vertAlign w:val="superscript"/>
          <w:lang w:val="es-ES_tradnl"/>
        </w:rPr>
        <w:footnoteReference w:id="18"/>
      </w:r>
      <w:r w:rsidRPr="00C23CEB">
        <w:rPr>
          <w:rFonts w:ascii="Verdana" w:eastAsia="Calibri" w:hAnsi="Verdana" w:cs="Arial"/>
          <w:color w:val="000000" w:themeColor="text1"/>
          <w:lang w:val="es-ES_tradnl"/>
        </w:rPr>
        <w:t xml:space="preserve">.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w:t>
      </w:r>
      <w:r w:rsidRPr="00C23CEB">
        <w:rPr>
          <w:rFonts w:ascii="Verdana" w:eastAsia="Calibri" w:hAnsi="Verdana" w:cs="Arial"/>
          <w:color w:val="000000" w:themeColor="text1"/>
          <w:lang w:val="es-ES_tradnl"/>
        </w:rPr>
        <w:lastRenderedPageBreak/>
        <w:t>según el cual “Los particulares sólo son responsables ante las autoridades por infringir la Constitución y las leyes”</w:t>
      </w:r>
      <w:r>
        <w:rPr>
          <w:rFonts w:ascii="Verdana" w:eastAsia="Calibri" w:hAnsi="Verdana" w:cs="Arial"/>
          <w:color w:val="000000" w:themeColor="text1"/>
          <w:lang w:val="es-ES_tradnl"/>
        </w:rPr>
        <w:t>,</w:t>
      </w:r>
      <w:r w:rsidRPr="00C23CEB">
        <w:rPr>
          <w:rFonts w:ascii="Verdana" w:eastAsia="Calibri" w:hAnsi="Verdana" w:cs="Arial"/>
          <w:color w:val="000000" w:themeColor="text1"/>
          <w:lang w:val="es-ES_tradnl"/>
        </w:rPr>
        <w:t xml:space="preserve"> lo que se traduce en que pueden hacer todo aquello que no les esté expresamente prohibido”</w:t>
      </w:r>
      <w:r w:rsidRPr="00C23CEB">
        <w:rPr>
          <w:rFonts w:ascii="Verdana" w:eastAsia="Calibri" w:hAnsi="Verdana" w:cs="Arial"/>
          <w:color w:val="000000" w:themeColor="text1"/>
          <w:vertAlign w:val="superscript"/>
          <w:lang w:val="es-ES_tradnl"/>
        </w:rPr>
        <w:footnoteReference w:id="19"/>
      </w:r>
      <w:r w:rsidRPr="00C23CEB">
        <w:rPr>
          <w:rFonts w:ascii="Verdana" w:eastAsia="Calibri" w:hAnsi="Verdana" w:cs="Arial"/>
          <w:color w:val="000000" w:themeColor="text1"/>
          <w:lang w:val="es-ES_tradnl"/>
        </w:rPr>
        <w:t>. En tal sentido, la Sección Tercera ha señalado que:</w:t>
      </w:r>
    </w:p>
    <w:p w14:paraId="45BEA71D" w14:textId="77777777" w:rsidR="000E5392" w:rsidRPr="00C23CEB" w:rsidRDefault="000E5392" w:rsidP="000E5392">
      <w:pPr>
        <w:spacing w:after="0" w:line="276" w:lineRule="auto"/>
        <w:ind w:firstLine="709"/>
        <w:jc w:val="both"/>
        <w:rPr>
          <w:rFonts w:ascii="Verdana" w:eastAsia="Calibri" w:hAnsi="Verdana" w:cs="Arial"/>
          <w:color w:val="000000" w:themeColor="text1"/>
          <w:lang w:val="es-ES_tradnl"/>
        </w:rPr>
      </w:pPr>
    </w:p>
    <w:p w14:paraId="3E1DD728" w14:textId="77777777" w:rsidR="000E5392" w:rsidRPr="00C23CEB" w:rsidRDefault="000E5392" w:rsidP="000E5392">
      <w:pPr>
        <w:spacing w:after="0" w:line="240" w:lineRule="auto"/>
        <w:ind w:left="709" w:right="709"/>
        <w:jc w:val="both"/>
        <w:rPr>
          <w:rFonts w:ascii="Verdana" w:hAnsi="Verdana" w:cs="Arial"/>
          <w:color w:val="000000" w:themeColor="text1"/>
          <w:sz w:val="20"/>
          <w:szCs w:val="20"/>
          <w:lang w:val="es-ES_tradnl"/>
        </w:rPr>
      </w:pPr>
      <w:r w:rsidRPr="00C23CEB">
        <w:rPr>
          <w:rFonts w:ascii="Verdana" w:hAnsi="Verdana" w:cs="Arial"/>
          <w:color w:val="000000" w:themeColor="text1"/>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C23CEB">
        <w:rPr>
          <w:rFonts w:ascii="Verdana" w:hAnsi="Verdana" w:cs="Arial"/>
          <w:color w:val="000000" w:themeColor="text1"/>
          <w:sz w:val="20"/>
          <w:szCs w:val="20"/>
          <w:vertAlign w:val="superscript"/>
          <w:lang w:val="es-ES_tradnl"/>
        </w:rPr>
        <w:footnoteReference w:id="20"/>
      </w:r>
      <w:r w:rsidRPr="00C23CEB">
        <w:rPr>
          <w:rFonts w:ascii="Verdana" w:hAnsi="Verdana" w:cs="Arial"/>
          <w:color w:val="000000" w:themeColor="text1"/>
          <w:sz w:val="20"/>
          <w:szCs w:val="20"/>
          <w:lang w:val="es-ES_tradnl"/>
        </w:rPr>
        <w:t>.</w:t>
      </w:r>
    </w:p>
    <w:p w14:paraId="19D3E849" w14:textId="77777777" w:rsidR="000E5392" w:rsidRPr="00C23CEB" w:rsidRDefault="000E5392" w:rsidP="000E5392">
      <w:pPr>
        <w:spacing w:after="0" w:line="240" w:lineRule="auto"/>
        <w:ind w:left="709" w:right="709"/>
        <w:jc w:val="both"/>
        <w:rPr>
          <w:rFonts w:ascii="Verdana" w:hAnsi="Verdana" w:cs="Arial"/>
          <w:bCs/>
          <w:color w:val="000000" w:themeColor="text1"/>
          <w:sz w:val="20"/>
          <w:szCs w:val="20"/>
          <w:lang w:val="es-ES_tradnl"/>
        </w:rPr>
      </w:pPr>
    </w:p>
    <w:p w14:paraId="7182E852" w14:textId="77777777" w:rsidR="000E5392" w:rsidRPr="002B401F" w:rsidRDefault="000E5392" w:rsidP="000E5392">
      <w:pPr>
        <w:spacing w:after="0" w:line="240" w:lineRule="auto"/>
        <w:ind w:firstLine="709"/>
        <w:jc w:val="both"/>
        <w:rPr>
          <w:rFonts w:ascii="Verdana" w:eastAsia="Calibri" w:hAnsi="Verdana" w:cs="Arial"/>
          <w:color w:val="000000" w:themeColor="text1"/>
          <w:lang w:val="es-ES"/>
        </w:rPr>
      </w:pPr>
      <w:r w:rsidRPr="002B401F">
        <w:rPr>
          <w:rFonts w:ascii="Verdana" w:eastAsia="Calibri" w:hAnsi="Verdana" w:cs="Arial"/>
          <w:color w:val="000000" w:themeColor="text1"/>
          <w:lang w:val="es-ES"/>
        </w:rPr>
        <w:t>También ha dicho que:</w:t>
      </w:r>
    </w:p>
    <w:p w14:paraId="46178DA5" w14:textId="77777777" w:rsidR="000E5392" w:rsidRPr="00C23CEB" w:rsidRDefault="000E5392" w:rsidP="000E5392">
      <w:pPr>
        <w:spacing w:after="0" w:line="240" w:lineRule="auto"/>
        <w:jc w:val="both"/>
        <w:rPr>
          <w:rFonts w:ascii="Verdana" w:eastAsia="Calibri" w:hAnsi="Verdana" w:cs="Arial"/>
          <w:color w:val="000000" w:themeColor="text1"/>
          <w:sz w:val="20"/>
          <w:szCs w:val="20"/>
          <w:lang w:val="es-ES_tradnl"/>
        </w:rPr>
      </w:pPr>
    </w:p>
    <w:p w14:paraId="10A1D686" w14:textId="77777777" w:rsidR="000E5392" w:rsidRPr="00C23CEB" w:rsidRDefault="000E5392" w:rsidP="000E5392">
      <w:pPr>
        <w:spacing w:after="0" w:line="240" w:lineRule="auto"/>
        <w:ind w:left="709" w:right="709"/>
        <w:jc w:val="both"/>
        <w:rPr>
          <w:rFonts w:ascii="Verdana" w:hAnsi="Verdana" w:cs="Arial"/>
          <w:color w:val="000000" w:themeColor="text1"/>
          <w:sz w:val="20"/>
          <w:szCs w:val="20"/>
          <w:lang w:val="es-ES"/>
        </w:rPr>
      </w:pPr>
      <w:r w:rsidRPr="0C384551">
        <w:rPr>
          <w:rFonts w:ascii="Verdana" w:hAnsi="Verdana" w:cs="Arial"/>
          <w:color w:val="000000" w:themeColor="text1"/>
          <w:sz w:val="20"/>
          <w:szCs w:val="20"/>
          <w:lang w:val="es-ES"/>
        </w:rPr>
        <w:t xml:space="preserve">“[…] la aplicación de estos preceptos exige una interpretación restrictiva, dado que según el principio hermenéutico </w:t>
      </w:r>
      <w:r w:rsidRPr="0C384551">
        <w:rPr>
          <w:rFonts w:ascii="Verdana" w:hAnsi="Verdana" w:cs="Arial"/>
          <w:i/>
          <w:color w:val="000000" w:themeColor="text1"/>
          <w:sz w:val="20"/>
          <w:szCs w:val="20"/>
          <w:lang w:val="es-ES"/>
        </w:rPr>
        <w:t xml:space="preserve">pro </w:t>
      </w:r>
      <w:proofErr w:type="spellStart"/>
      <w:r w:rsidRPr="0C384551">
        <w:rPr>
          <w:rFonts w:ascii="Verdana" w:hAnsi="Verdana" w:cs="Arial"/>
          <w:i/>
          <w:color w:val="000000" w:themeColor="text1"/>
          <w:sz w:val="20"/>
          <w:szCs w:val="20"/>
          <w:lang w:val="es-ES"/>
        </w:rPr>
        <w:t>libertate</w:t>
      </w:r>
      <w:proofErr w:type="spellEnd"/>
      <w:r w:rsidRPr="0C384551">
        <w:rPr>
          <w:rFonts w:ascii="Verdana" w:hAnsi="Verdana" w:cs="Arial"/>
          <w:color w:val="000000" w:themeColor="text1"/>
          <w:sz w:val="20"/>
          <w:szCs w:val="20"/>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C384551">
        <w:rPr>
          <w:rFonts w:ascii="Verdana" w:hAnsi="Verdana" w:cs="Arial"/>
          <w:color w:val="000000" w:themeColor="text1"/>
          <w:sz w:val="20"/>
          <w:szCs w:val="20"/>
          <w:vertAlign w:val="superscript"/>
          <w:lang w:val="es-ES"/>
        </w:rPr>
        <w:footnoteReference w:id="21"/>
      </w:r>
      <w:r w:rsidRPr="0C384551">
        <w:rPr>
          <w:rFonts w:ascii="Verdana" w:hAnsi="Verdana" w:cs="Arial"/>
          <w:color w:val="000000" w:themeColor="text1"/>
          <w:sz w:val="20"/>
          <w:szCs w:val="20"/>
          <w:lang w:val="es-ES"/>
        </w:rPr>
        <w:t>.</w:t>
      </w:r>
    </w:p>
    <w:p w14:paraId="2BAF9584" w14:textId="77777777" w:rsidR="000E5392" w:rsidRPr="00C23CEB" w:rsidRDefault="000E5392" w:rsidP="000E5392">
      <w:pPr>
        <w:spacing w:after="0" w:line="276" w:lineRule="auto"/>
        <w:ind w:left="709" w:right="709"/>
        <w:jc w:val="both"/>
        <w:rPr>
          <w:rFonts w:ascii="Verdana" w:hAnsi="Verdana" w:cs="Arial"/>
          <w:color w:val="000000" w:themeColor="text1"/>
          <w:lang w:val="es-ES_tradnl"/>
        </w:rPr>
      </w:pPr>
    </w:p>
    <w:p w14:paraId="0A07C3B2" w14:textId="77777777" w:rsidR="000E5392" w:rsidRDefault="000E5392" w:rsidP="000E5392">
      <w:pPr>
        <w:spacing w:after="0" w:line="276" w:lineRule="auto"/>
        <w:ind w:firstLine="709"/>
        <w:jc w:val="both"/>
        <w:rPr>
          <w:rFonts w:ascii="Verdana" w:eastAsia="Calibri" w:hAnsi="Verdana" w:cs="Arial"/>
          <w:color w:val="000000" w:themeColor="text1"/>
          <w:lang w:val="es-ES"/>
        </w:rPr>
      </w:pPr>
      <w:r w:rsidRPr="0C384551">
        <w:rPr>
          <w:rFonts w:ascii="Verdana" w:eastAsia="Calibri" w:hAnsi="Verdana" w:cs="Arial"/>
          <w:color w:val="000000" w:themeColor="text1"/>
          <w:lang w:val="es-ES"/>
        </w:rPr>
        <w:t xml:space="preserve">Como se aprecia, el principio </w:t>
      </w:r>
      <w:r w:rsidRPr="0C384551">
        <w:rPr>
          <w:rFonts w:ascii="Verdana" w:eastAsia="Calibri" w:hAnsi="Verdana" w:cs="Arial"/>
          <w:i/>
          <w:color w:val="000000" w:themeColor="text1"/>
          <w:lang w:val="es-ES"/>
        </w:rPr>
        <w:t xml:space="preserve">pro </w:t>
      </w:r>
      <w:proofErr w:type="spellStart"/>
      <w:r w:rsidRPr="0C384551">
        <w:rPr>
          <w:rFonts w:ascii="Verdana" w:eastAsia="Calibri" w:hAnsi="Verdana" w:cs="Arial"/>
          <w:i/>
          <w:color w:val="000000" w:themeColor="text1"/>
          <w:lang w:val="es-ES"/>
        </w:rPr>
        <w:t>libertate</w:t>
      </w:r>
      <w:proofErr w:type="spellEnd"/>
      <w:r w:rsidRPr="0C384551">
        <w:rPr>
          <w:rFonts w:ascii="Verdana" w:eastAsia="Calibri" w:hAnsi="Verdana" w:cs="Arial"/>
          <w:color w:val="000000" w:themeColor="text1"/>
          <w:lang w:val="es-ES"/>
        </w:rPr>
        <w:t xml:space="preserve"> debe dirigir la interpretación de las disposiciones normativas que consagran restricciones de derechos, como sucede con las causales de inhabilidad e incompatibilidad en la contratación estatal.</w:t>
      </w:r>
      <w:r>
        <w:rPr>
          <w:rFonts w:ascii="Verdana" w:eastAsia="Calibri" w:hAnsi="Verdana" w:cs="Arial"/>
          <w:color w:val="000000" w:themeColor="text1"/>
          <w:lang w:val="es-ES"/>
        </w:rPr>
        <w:t xml:space="preserve"> De esta forma, dado que el régimen de inhabilidades e incompatibilidades no se refirió al supuesto objeto de consulta, no será posible que las entidades interpreten la existencia de una inhabilidad que impida participar en un proceso de contratación al consorcio compuesto por una persona natural y por una SAS cuyo único socio y representante legal sea esa misma persona. </w:t>
      </w:r>
    </w:p>
    <w:p w14:paraId="6D308817" w14:textId="77777777" w:rsidR="000E5392" w:rsidRDefault="000E5392" w:rsidP="0097643F">
      <w:pPr>
        <w:spacing w:after="0" w:line="276" w:lineRule="auto"/>
        <w:jc w:val="both"/>
        <w:rPr>
          <w:rFonts w:ascii="Verdana" w:eastAsia="Calibri" w:hAnsi="Verdana" w:cs="Arial"/>
          <w:color w:val="000000" w:themeColor="text1"/>
          <w:lang w:val="es-ES"/>
        </w:rPr>
      </w:pPr>
    </w:p>
    <w:p w14:paraId="1E8EF20B" w14:textId="38734DDA" w:rsidR="000E5392" w:rsidRDefault="000E5392" w:rsidP="000E5392">
      <w:pPr>
        <w:spacing w:after="120" w:line="276" w:lineRule="auto"/>
        <w:jc w:val="both"/>
        <w:rPr>
          <w:rFonts w:ascii="Verdana" w:eastAsia="Calibri" w:hAnsi="Verdana" w:cs="Arial"/>
          <w:color w:val="000000"/>
          <w:lang w:val="es-ES_tradnl"/>
        </w:rPr>
      </w:pPr>
      <w:proofErr w:type="spellStart"/>
      <w:r>
        <w:rPr>
          <w:rFonts w:ascii="Verdana" w:eastAsia="Calibri" w:hAnsi="Verdana" w:cs="Arial"/>
          <w:color w:val="000000" w:themeColor="text1"/>
          <w:lang w:val="es-ES"/>
        </w:rPr>
        <w:lastRenderedPageBreak/>
        <w:t>ii</w:t>
      </w:r>
      <w:r w:rsidR="00375972">
        <w:rPr>
          <w:rFonts w:ascii="Verdana" w:eastAsia="Calibri" w:hAnsi="Verdana" w:cs="Arial"/>
          <w:color w:val="000000" w:themeColor="text1"/>
          <w:lang w:val="es-ES"/>
        </w:rPr>
        <w:t>i</w:t>
      </w:r>
      <w:proofErr w:type="spellEnd"/>
      <w:r>
        <w:rPr>
          <w:rFonts w:ascii="Verdana" w:eastAsia="Calibri" w:hAnsi="Verdana" w:cs="Arial"/>
          <w:color w:val="000000" w:themeColor="text1"/>
          <w:lang w:val="es-ES"/>
        </w:rPr>
        <w:t xml:space="preserve">) </w:t>
      </w:r>
      <w:r>
        <w:rPr>
          <w:rFonts w:ascii="Verdana" w:eastAsia="Calibri" w:hAnsi="Verdana" w:cs="Arial"/>
          <w:color w:val="000000"/>
        </w:rPr>
        <w:t>Por otra parte</w:t>
      </w:r>
      <w:r w:rsidRPr="001F1659">
        <w:rPr>
          <w:rFonts w:ascii="Verdana" w:eastAsia="Calibri" w:hAnsi="Verdana" w:cs="Arial"/>
          <w:color w:val="000000"/>
          <w:lang w:val="es-ES_tradnl"/>
        </w:rPr>
        <w:t xml:space="preserve">, resulta fundamental hacer referencia al régimen de los </w:t>
      </w:r>
      <w:r w:rsidRPr="005374D2">
        <w:rPr>
          <w:rFonts w:ascii="Verdana" w:eastAsia="Calibri" w:hAnsi="Verdana" w:cs="Arial"/>
          <w:i/>
          <w:iCs/>
          <w:color w:val="000000"/>
          <w:lang w:val="es-ES_tradnl"/>
        </w:rPr>
        <w:t>conflictos de interés</w:t>
      </w:r>
      <w:r w:rsidRPr="001F1659">
        <w:rPr>
          <w:rFonts w:ascii="Verdana" w:eastAsia="Calibri" w:hAnsi="Verdana" w:cs="Arial"/>
          <w:color w:val="000000"/>
          <w:lang w:val="es-ES_tradnl"/>
        </w:rPr>
        <w:t xml:space="preserve"> en la contratación estatal. Al respecto, debe señalarse que, de acuerdo con el artículo 209 de la Constitución Política de 1991, la función administrativa debe desarrollarse</w:t>
      </w:r>
      <w:r w:rsidRPr="00896343">
        <w:rPr>
          <w:rFonts w:ascii="Verdana" w:eastAsia="Calibri" w:hAnsi="Verdana" w:cs="Arial"/>
          <w:color w:val="000000"/>
          <w:lang w:val="es-ES_tradnl"/>
        </w:rPr>
        <w:t xml:space="preserve"> conforme al principio de moralidad, mandato que se concreta en la idea de que “[…] todas las personas y los servidores públicos están obligados a actuar con rectitud, lealtad y honestidad en las actuaciones administrativas […]” –numeral 5 del artículo 3 de la Ley 1437 de 2011–. </w:t>
      </w:r>
    </w:p>
    <w:p w14:paraId="6CE85B99" w14:textId="77777777" w:rsidR="000E5392" w:rsidRPr="00896343" w:rsidRDefault="000E5392" w:rsidP="000E5392">
      <w:pPr>
        <w:spacing w:after="120" w:line="276" w:lineRule="auto"/>
        <w:ind w:firstLine="708"/>
        <w:jc w:val="both"/>
        <w:rPr>
          <w:rFonts w:ascii="Verdana" w:eastAsia="Calibri" w:hAnsi="Verdana" w:cs="Arial"/>
          <w:color w:val="000000"/>
          <w:lang w:val="es-ES"/>
        </w:rPr>
      </w:pPr>
      <w:r w:rsidRPr="00896343">
        <w:rPr>
          <w:rFonts w:ascii="Verdana" w:eastAsia="Calibri" w:hAnsi="Verdana" w:cs="Arial"/>
          <w:color w:val="000000" w:themeColor="text1"/>
          <w:lang w:val="es-ES"/>
        </w:rPr>
        <w:t xml:space="preserve">En desarrollo de esta directriz, </w:t>
      </w:r>
      <w:bookmarkStart w:id="1" w:name="_Hlk36672204"/>
      <w:r w:rsidRPr="00896343">
        <w:rPr>
          <w:rFonts w:ascii="Verdana" w:eastAsia="Calibri" w:hAnsi="Verdana" w:cs="Arial"/>
          <w:color w:val="000000" w:themeColor="text1"/>
          <w:lang w:val="es-ES"/>
        </w:rPr>
        <w:t xml:space="preserve">el régimen de los </w:t>
      </w:r>
      <w:r w:rsidRPr="00896343">
        <w:rPr>
          <w:rFonts w:ascii="Verdana" w:eastAsia="Calibri" w:hAnsi="Verdana" w:cs="Arial"/>
          <w:i/>
          <w:iCs/>
          <w:color w:val="000000" w:themeColor="text1"/>
          <w:lang w:val="es-ES"/>
        </w:rPr>
        <w:t>conflictos de interés</w:t>
      </w:r>
      <w:r w:rsidRPr="00896343">
        <w:rPr>
          <w:rFonts w:ascii="Verdana" w:eastAsia="Calibri" w:hAnsi="Verdana" w:cs="Arial"/>
          <w:color w:val="000000" w:themeColor="text1"/>
          <w:lang w:val="es-ES"/>
        </w:rPr>
        <w:t xml:space="preserve"> tiene como objetivo la prevalencia del bien común sobre el particular, razón por la cual se configuran cuando los servidores públicos actúan influenciados por consideraciones personales que colisionan con el deber de preservar su independencia e imparcialidad. En este sentido, se definen como la </w:t>
      </w:r>
      <w:bookmarkStart w:id="2" w:name="_Hlk36668905"/>
      <w:r w:rsidRPr="00896343">
        <w:rPr>
          <w:rFonts w:ascii="Verdana" w:eastAsia="Calibri" w:hAnsi="Verdana" w:cs="Arial"/>
          <w:color w:val="000000" w:themeColor="text1"/>
          <w:lang w:val="es-ES"/>
        </w:rPr>
        <w:t>concurrencia de intereses antagónicos que afectan la transparencia de las decisiones, al implicar –en detrimento del interés general– el aprovechamiento personal, familiar o particular</w:t>
      </w:r>
      <w:bookmarkEnd w:id="1"/>
      <w:bookmarkEnd w:id="2"/>
      <w:r w:rsidRPr="00896343">
        <w:rPr>
          <w:rFonts w:ascii="Verdana" w:eastAsia="Calibri" w:hAnsi="Verdana" w:cs="Arial"/>
          <w:color w:val="000000"/>
          <w:vertAlign w:val="superscript"/>
          <w:lang w:val="es-ES_tradnl"/>
        </w:rPr>
        <w:footnoteReference w:id="22"/>
      </w:r>
      <w:r w:rsidRPr="00896343">
        <w:rPr>
          <w:rFonts w:ascii="Verdana" w:eastAsia="Calibri" w:hAnsi="Verdana" w:cs="Arial"/>
          <w:color w:val="000000" w:themeColor="text1"/>
          <w:lang w:val="es-ES"/>
        </w:rPr>
        <w:t>.</w:t>
      </w:r>
    </w:p>
    <w:p w14:paraId="290EE0FD" w14:textId="77777777" w:rsidR="000E5392" w:rsidRDefault="000E5392" w:rsidP="000E5392">
      <w:pPr>
        <w:spacing w:after="120" w:line="276" w:lineRule="auto"/>
        <w:jc w:val="both"/>
        <w:rPr>
          <w:rFonts w:ascii="Verdana" w:eastAsia="Calibri" w:hAnsi="Verdana" w:cs="Arial"/>
          <w:color w:val="000000"/>
          <w:lang w:val="es-ES"/>
        </w:rPr>
      </w:pPr>
      <w:r w:rsidRPr="00896343">
        <w:rPr>
          <w:rFonts w:ascii="Verdana" w:eastAsia="Calibri" w:hAnsi="Verdana" w:cs="Arial"/>
          <w:color w:val="000000"/>
          <w:lang w:val="es-ES_tradnl"/>
        </w:rPr>
        <w:tab/>
      </w:r>
      <w:r>
        <w:rPr>
          <w:rFonts w:ascii="Verdana" w:eastAsia="Calibri" w:hAnsi="Verdana" w:cs="Arial"/>
          <w:color w:val="000000"/>
          <w:lang w:val="es-ES_tradnl"/>
        </w:rPr>
        <w:t>Ahora bien, en línea con lo previsto en el concepto C-426 de 2025 expedido por esta Subdirección, l</w:t>
      </w:r>
      <w:r w:rsidRPr="00896343">
        <w:rPr>
          <w:rFonts w:ascii="Verdana" w:eastAsia="Calibri" w:hAnsi="Verdana" w:cs="Arial"/>
          <w:color w:val="000000"/>
          <w:lang w:val="es-ES"/>
        </w:rPr>
        <w:t xml:space="preserve">a institución jurídica de los conflictos de interés no está definida con carácter general en el ordenamiento jurídico y tampoco de forma precisa en las normas que regulan la contratación estatal, por lo que es un asunto ausente en el EGCAP. No obstante, existen disposiciones especiales como el régimen de los congresistas, de los concejales o el régimen disciplinario de los servidores públicos, donde se definen causales de conflictos de interés. En todo caso, la satisfacción del principio de moralidad, el deber de probidad y rectitud también se exige a los contratistas. </w:t>
      </w:r>
    </w:p>
    <w:p w14:paraId="3ADA0CAC" w14:textId="77777777" w:rsidR="000E5392" w:rsidRDefault="000E5392" w:rsidP="000E5392">
      <w:pPr>
        <w:spacing w:after="120" w:line="276" w:lineRule="auto"/>
        <w:ind w:firstLine="708"/>
        <w:jc w:val="both"/>
        <w:rPr>
          <w:rFonts w:ascii="Verdana" w:eastAsia="Calibri" w:hAnsi="Verdana" w:cs="Arial"/>
          <w:color w:val="000000"/>
          <w:lang w:val="es-ES"/>
        </w:rPr>
      </w:pPr>
      <w:r w:rsidRPr="00896343">
        <w:rPr>
          <w:rFonts w:ascii="Verdana" w:eastAsia="Calibri" w:hAnsi="Verdana" w:cs="Arial"/>
          <w:color w:val="000000"/>
          <w:lang w:val="es-ES"/>
        </w:rPr>
        <w:t xml:space="preserve">Al respecto, el artículo 3 de la Ley 80 de 1993 dispone que la actividad contractual del Estado se dirige 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w:t>
      </w:r>
      <w:r w:rsidRPr="00896343">
        <w:rPr>
          <w:rFonts w:ascii="Verdana" w:eastAsia="Calibri" w:hAnsi="Verdana" w:cs="Arial"/>
          <w:color w:val="000000"/>
          <w:lang w:val="es-ES"/>
        </w:rPr>
        <w:lastRenderedPageBreak/>
        <w:t xml:space="preserve">anterior, el numeral 2 del artículo 5 del EGCAP dispone que aquellos obrarán con lealtad y buena fe en las distintas etapas contractuales. </w:t>
      </w:r>
    </w:p>
    <w:p w14:paraId="5A24F641" w14:textId="77777777" w:rsidR="000E5392" w:rsidRPr="00522661" w:rsidRDefault="000E5392" w:rsidP="000E5392">
      <w:pPr>
        <w:spacing w:after="120" w:line="276" w:lineRule="auto"/>
        <w:ind w:firstLine="708"/>
        <w:jc w:val="both"/>
        <w:rPr>
          <w:rFonts w:ascii="Verdana" w:eastAsia="Calibri" w:hAnsi="Verdana" w:cs="Arial"/>
          <w:color w:val="000000"/>
          <w:lang w:val="es-ES"/>
        </w:rPr>
      </w:pPr>
      <w:r w:rsidRPr="00896343">
        <w:rPr>
          <w:rFonts w:ascii="Verdana" w:eastAsia="Calibri" w:hAnsi="Verdana" w:cs="Arial"/>
          <w:color w:val="000000"/>
          <w:lang w:val="es-ES_tradnl"/>
        </w:rPr>
        <w:t xml:space="preserve">Sin perjuicio de lo anterior, el EGCAP no establece una noción o causales particulares de conflictos de interés aplicables a los proponentes o contratistas del Estado. En efecto, además de las disposiciones brevemente enunciadas en el párrafo precedente, la Ley 1437 de 2011 establece un régimen de “conflictos de interés  y causales de impedimento y recusación” –artículos 11 y 12–, que si bien aplican en los procedimientos administrativos, en general, incluyendo los de selección de contratistas del Estado, están dirigidos a los servidores públicos que adelantan estas actuaciones en desarrollo de la actividad contractual de la Entidad Estatal de la cual hacen parte. </w:t>
      </w:r>
    </w:p>
    <w:p w14:paraId="5707F84C" w14:textId="77777777" w:rsidR="000E5392" w:rsidRPr="00896343" w:rsidRDefault="000E5392" w:rsidP="000E5392">
      <w:pPr>
        <w:spacing w:after="120" w:line="276" w:lineRule="auto"/>
        <w:ind w:firstLine="708"/>
        <w:jc w:val="both"/>
        <w:rPr>
          <w:rFonts w:ascii="Verdana" w:eastAsia="Calibri" w:hAnsi="Verdana" w:cs="Arial"/>
          <w:color w:val="000000"/>
          <w:lang w:val="es-ES_tradnl"/>
        </w:rPr>
      </w:pPr>
      <w:r w:rsidRPr="00896343">
        <w:rPr>
          <w:rFonts w:ascii="Verdana" w:eastAsia="Calibri" w:hAnsi="Verdana" w:cs="Arial"/>
          <w:color w:val="000000"/>
          <w:lang w:val="es-ES_tradnl"/>
        </w:rPr>
        <w:t xml:space="preserve">Por lo </w:t>
      </w:r>
      <w:r>
        <w:rPr>
          <w:rFonts w:ascii="Verdana" w:eastAsia="Calibri" w:hAnsi="Verdana" w:cs="Arial"/>
          <w:color w:val="000000"/>
          <w:lang w:val="es-ES_tradnl"/>
        </w:rPr>
        <w:t>expuesto en el párrafo precedente</w:t>
      </w:r>
      <w:r w:rsidRPr="00896343">
        <w:rPr>
          <w:rFonts w:ascii="Verdana" w:eastAsia="Calibri" w:hAnsi="Verdana" w:cs="Arial"/>
          <w:color w:val="000000"/>
          <w:lang w:val="es-ES_tradnl"/>
        </w:rPr>
        <w:t xml:space="preserve">, sus destinatarios no son los proponentes o contratistas particulares que participan en el procedimiento de selección o celebran el contrato con la </w:t>
      </w:r>
      <w:r w:rsidRPr="006A3373">
        <w:rPr>
          <w:rFonts w:ascii="Verdana" w:eastAsia="Calibri" w:hAnsi="Verdana" w:cs="Arial"/>
          <w:color w:val="000000"/>
          <w:lang w:val="es-ES_tradnl"/>
        </w:rPr>
        <w:t>entidad estatal</w:t>
      </w:r>
      <w:r w:rsidRPr="00896343">
        <w:rPr>
          <w:rFonts w:ascii="Verdana" w:eastAsia="Calibri" w:hAnsi="Verdana" w:cs="Arial"/>
          <w:color w:val="000000"/>
          <w:lang w:val="es-ES_tradnl"/>
        </w:rPr>
        <w:t xml:space="preserve">, sino los servidores mencionados. En este sentido, en caso de presentarse alguna de las causales establecidas en el artículo 11 del Código de Procedimiento Administrativo o de lo Contencioso Administrativo –en adelante CPACA–, corresponde aplicar el </w:t>
      </w:r>
      <w:r w:rsidRPr="0046349D">
        <w:rPr>
          <w:rFonts w:ascii="Verdana" w:eastAsia="Calibri" w:hAnsi="Verdana" w:cs="Arial"/>
          <w:color w:val="000000"/>
          <w:lang w:val="es-ES_tradnl"/>
        </w:rPr>
        <w:t>trámite</w:t>
      </w:r>
      <w:r w:rsidRPr="00896343">
        <w:rPr>
          <w:rFonts w:ascii="Verdana" w:eastAsia="Calibri" w:hAnsi="Verdana" w:cs="Arial"/>
          <w:color w:val="000000"/>
          <w:lang w:val="es-ES_tradnl"/>
        </w:rPr>
        <w:t xml:space="preserve"> establecido en el artículo 12 de la misma ley.</w:t>
      </w:r>
    </w:p>
    <w:p w14:paraId="67CD6FE5" w14:textId="77777777" w:rsidR="000E5392" w:rsidRDefault="000E5392" w:rsidP="000E5392">
      <w:pPr>
        <w:widowControl w:val="0"/>
        <w:autoSpaceDE w:val="0"/>
        <w:autoSpaceDN w:val="0"/>
        <w:spacing w:after="120" w:line="276" w:lineRule="auto"/>
        <w:ind w:firstLine="709"/>
        <w:jc w:val="both"/>
        <w:rPr>
          <w:rFonts w:ascii="Verdana" w:eastAsia="Calibri" w:hAnsi="Verdana" w:cs="Arial"/>
        </w:rPr>
      </w:pPr>
      <w:r w:rsidRPr="60F4F7EF">
        <w:rPr>
          <w:rFonts w:ascii="Verdana" w:eastAsia="Calibri" w:hAnsi="Verdana" w:cs="Arial"/>
        </w:rPr>
        <w:t>Ahora bien, en el marco de la contratación estatal, las figuras de la incompatibilidad y el conflicto de interés cumplen una función esencial de garantía para la moralidad, la transparencia y la imparcialidad en la gestión pública.</w:t>
      </w:r>
      <w:r>
        <w:rPr>
          <w:rFonts w:ascii="Verdana" w:eastAsia="Calibri" w:hAnsi="Verdana" w:cs="Arial"/>
        </w:rPr>
        <w:t xml:space="preserve"> Como se mencionó antes,</w:t>
      </w:r>
      <w:r w:rsidRPr="60F4F7EF">
        <w:rPr>
          <w:rFonts w:ascii="Verdana" w:eastAsia="Calibri" w:hAnsi="Verdana" w:cs="Arial"/>
        </w:rPr>
        <w:t xml:space="preserve"> </w:t>
      </w:r>
      <w:r>
        <w:rPr>
          <w:rFonts w:ascii="Verdana" w:eastAsia="Calibri" w:hAnsi="Verdana" w:cs="Arial"/>
        </w:rPr>
        <w:t>l</w:t>
      </w:r>
      <w:r w:rsidRPr="60F4F7EF">
        <w:rPr>
          <w:rFonts w:ascii="Verdana" w:eastAsia="Calibri" w:hAnsi="Verdana" w:cs="Arial"/>
        </w:rPr>
        <w:t>as incompatibilidades son prohibiciones de origen legal que impiden a una persona ejercer simultáneamente ciertos cargos, funciones o contratos, cuando su coexistencia pueda comprometer el interés público. Estas se encuentran reguladas de forma expresa en la Constitución Política, la Ley 80 de 1993, la Ley 734 de 2002 (Código Disciplinario), la Ley 1150 de 2007 y normas complementarias, y su configuración requiere una estricta sujeción al principio de legalidad. Por su parte, el conflicto de interés no exige una prohibición legal previa, sino que se presenta cuando una persona —ya sea servidor público o contratista— se encuentra en una situación en la que sus intereses personales, familiares o económicos pueden influir o entrar en tensión con el cumplimiento de sus deberes públicos.</w:t>
      </w:r>
      <w:r>
        <w:rPr>
          <w:rFonts w:ascii="Verdana" w:eastAsia="Calibri" w:hAnsi="Verdana" w:cs="Arial"/>
        </w:rPr>
        <w:t xml:space="preserve"> </w:t>
      </w:r>
      <w:r w:rsidRPr="60F4F7EF">
        <w:rPr>
          <w:rFonts w:ascii="Verdana" w:eastAsia="Calibri" w:hAnsi="Verdana" w:cs="Arial"/>
        </w:rPr>
        <w:t>Si no es gestionado adecuadamente, puede comprometer gravemente principios constitucionales como la moralidad administrativa, la transparencia y la eficiencia.</w:t>
      </w:r>
    </w:p>
    <w:p w14:paraId="4F4AA0CC" w14:textId="77777777" w:rsidR="000E5392" w:rsidRPr="00522661" w:rsidRDefault="000E5392" w:rsidP="000E5392">
      <w:pPr>
        <w:widowControl w:val="0"/>
        <w:autoSpaceDE w:val="0"/>
        <w:autoSpaceDN w:val="0"/>
        <w:spacing w:after="120" w:line="276" w:lineRule="auto"/>
        <w:ind w:firstLine="709"/>
        <w:jc w:val="both"/>
        <w:rPr>
          <w:rFonts w:ascii="Verdana" w:eastAsia="Calibri" w:hAnsi="Verdana" w:cs="Arial"/>
        </w:rPr>
      </w:pPr>
      <w:r w:rsidRPr="002D2CC6">
        <w:rPr>
          <w:rFonts w:ascii="Verdana" w:eastAsia="Arial" w:hAnsi="Verdana" w:cs="Arial"/>
        </w:rPr>
        <w:t>Así las cosas, aunque la ley no estable</w:t>
      </w:r>
      <w:r>
        <w:rPr>
          <w:rFonts w:ascii="Verdana" w:eastAsia="Arial" w:hAnsi="Verdana" w:cs="Arial"/>
        </w:rPr>
        <w:t>zca</w:t>
      </w:r>
      <w:r w:rsidRPr="002D2CC6">
        <w:rPr>
          <w:rFonts w:ascii="Verdana" w:eastAsia="Arial" w:hAnsi="Verdana" w:cs="Arial"/>
        </w:rPr>
        <w:t xml:space="preserve"> una inhabilidad explícita </w:t>
      </w:r>
      <w:r>
        <w:rPr>
          <w:rFonts w:ascii="Verdana" w:eastAsia="Arial" w:hAnsi="Verdana" w:cs="Arial"/>
        </w:rPr>
        <w:t xml:space="preserve">deberá </w:t>
      </w:r>
      <w:r>
        <w:rPr>
          <w:rFonts w:ascii="Verdana" w:eastAsia="Arial" w:hAnsi="Verdana" w:cs="Arial"/>
        </w:rPr>
        <w:lastRenderedPageBreak/>
        <w:t>evaluarse desde la figura del conflicto de intereses cada caso en particular</w:t>
      </w:r>
      <w:r w:rsidRPr="60F4F7EF">
        <w:rPr>
          <w:rFonts w:ascii="Verdana" w:eastAsia="Arial" w:hAnsi="Verdana" w:cs="Arial"/>
        </w:rPr>
        <w:t xml:space="preserve">. Esto se debe a que la ley de contratación estatal en Colombia, como la Ley 80 de 1993, se basa en principios fundamentales como la transparencia, moralidad y objetividad. Un conflicto de intereses surge cuando los intereses personales o familiares de un </w:t>
      </w:r>
      <w:r w:rsidRPr="00375972">
        <w:rPr>
          <w:rFonts w:ascii="Verdana" w:eastAsia="Arial" w:hAnsi="Verdana" w:cs="Arial"/>
          <w:i/>
          <w:iCs/>
        </w:rPr>
        <w:t>servidor público</w:t>
      </w:r>
      <w:r w:rsidRPr="60F4F7EF">
        <w:rPr>
          <w:rFonts w:ascii="Verdana" w:eastAsia="Arial" w:hAnsi="Verdana" w:cs="Arial"/>
        </w:rPr>
        <w:t xml:space="preserve"> pueden influir en sus decisiones profesionales, comprometiendo así la imparcialidad que se espera de su cargo</w:t>
      </w:r>
      <w:r>
        <w:rPr>
          <w:rFonts w:ascii="Verdana" w:eastAsia="Arial" w:hAnsi="Verdana" w:cs="Arial"/>
        </w:rPr>
        <w:t>, lo cual, en principio, no sería aplicable al caso objeto de consulta.</w:t>
      </w:r>
    </w:p>
    <w:p w14:paraId="7D078E91" w14:textId="36625AA8" w:rsidR="000E5392" w:rsidRDefault="000E5392" w:rsidP="000E5392">
      <w:pPr>
        <w:spacing w:after="120" w:line="276" w:lineRule="auto"/>
        <w:ind w:firstLine="709"/>
        <w:jc w:val="both"/>
        <w:rPr>
          <w:rFonts w:ascii="Verdana" w:eastAsia="Arial" w:hAnsi="Verdana" w:cs="Arial"/>
        </w:rPr>
      </w:pPr>
      <w:r>
        <w:rPr>
          <w:rFonts w:ascii="Verdana" w:eastAsia="Arial" w:hAnsi="Verdana" w:cs="Arial"/>
        </w:rPr>
        <w:t>De esta manera p</w:t>
      </w:r>
      <w:r w:rsidRPr="00C17B09">
        <w:rPr>
          <w:rFonts w:ascii="Verdana" w:eastAsia="Arial" w:hAnsi="Verdana" w:cs="Arial"/>
        </w:rPr>
        <w:t xml:space="preserve">ara evitar cualquier cuestionamiento, el </w:t>
      </w:r>
      <w:r w:rsidR="00375972">
        <w:rPr>
          <w:rFonts w:ascii="Verdana" w:eastAsia="Arial" w:hAnsi="Verdana" w:cs="Arial"/>
        </w:rPr>
        <w:t xml:space="preserve">servidor </w:t>
      </w:r>
      <w:r w:rsidRPr="00C17B09">
        <w:rPr>
          <w:rFonts w:ascii="Verdana" w:eastAsia="Arial" w:hAnsi="Verdana" w:cs="Arial"/>
        </w:rPr>
        <w:t>debe declarar el posible conflicto de intereses ante su superior jerárquico o el órgano de control pertinente. Esta acción, que está respaldada por normas como el artículo 11 de la Ley 1437 de 2011 (CPACA), le permite apartarse de la decisión. La mejor práctica es que otra persona con la autoridad necesaria asuma la responsabilidad de evaluar y aprobar el contrato. De esta manera, se garantiza que la selección se base exclusivamente en los méritos y la idoneidad del contratista.</w:t>
      </w:r>
    </w:p>
    <w:p w14:paraId="25F5566D" w14:textId="77777777" w:rsidR="000E5392" w:rsidRDefault="000E5392" w:rsidP="000E5392">
      <w:pPr>
        <w:spacing w:after="0" w:line="276" w:lineRule="auto"/>
        <w:ind w:firstLine="709"/>
        <w:jc w:val="both"/>
        <w:rPr>
          <w:rFonts w:ascii="Verdana" w:eastAsia="Arial" w:hAnsi="Verdana" w:cs="Arial"/>
        </w:rPr>
      </w:pPr>
      <w:r w:rsidRPr="00C17B09">
        <w:rPr>
          <w:rFonts w:ascii="Verdana" w:eastAsia="Arial" w:hAnsi="Verdana" w:cs="Arial"/>
        </w:rPr>
        <w:t>No obstante, corresponde a los equipos jurídicos de cada entidad contratante realizar la verificación previa y concreta de las eventuales inhabilidades e incompatibilidades</w:t>
      </w:r>
      <w:r>
        <w:rPr>
          <w:rFonts w:ascii="Verdana" w:eastAsia="Arial" w:hAnsi="Verdana" w:cs="Arial"/>
        </w:rPr>
        <w:t xml:space="preserve"> y el eventual conflicto de intereses en cada proceso</w:t>
      </w:r>
      <w:r w:rsidRPr="00C17B09">
        <w:rPr>
          <w:rFonts w:ascii="Verdana" w:eastAsia="Arial" w:hAnsi="Verdana" w:cs="Arial"/>
        </w:rPr>
        <w:t>, a fin de garantizar el cumplimiento del principio de legalidad y la protección de los principios de transparencia, moralidad e imparcialidad en la contratación estatal.</w:t>
      </w:r>
    </w:p>
    <w:p w14:paraId="50014FEA" w14:textId="77777777" w:rsidR="000E5392" w:rsidRPr="007E3260" w:rsidRDefault="000E5392" w:rsidP="000E5392">
      <w:pPr>
        <w:spacing w:after="0" w:line="276" w:lineRule="auto"/>
        <w:ind w:firstLine="709"/>
        <w:jc w:val="both"/>
        <w:rPr>
          <w:rFonts w:ascii="Verdana" w:eastAsia="Arial" w:hAnsi="Verdana" w:cs="Arial"/>
        </w:rPr>
      </w:pPr>
    </w:p>
    <w:p w14:paraId="122C04C9" w14:textId="499DD3A1" w:rsidR="000E5392" w:rsidRDefault="000E5392" w:rsidP="0097643F">
      <w:pPr>
        <w:spacing w:after="0" w:line="276" w:lineRule="auto"/>
        <w:jc w:val="both"/>
        <w:rPr>
          <w:rFonts w:ascii="Verdana" w:eastAsia="Calibri" w:hAnsi="Verdana" w:cs="Arial"/>
          <w:bCs/>
        </w:rPr>
      </w:pPr>
      <w:proofErr w:type="spellStart"/>
      <w:r>
        <w:rPr>
          <w:rFonts w:ascii="Verdana" w:eastAsia="Calibri" w:hAnsi="Verdana" w:cs="Arial"/>
          <w:bCs/>
        </w:rPr>
        <w:t>iv</w:t>
      </w:r>
      <w:proofErr w:type="spellEnd"/>
      <w:r>
        <w:rPr>
          <w:rFonts w:ascii="Verdana" w:eastAsia="Calibri" w:hAnsi="Verdana" w:cs="Arial"/>
          <w:bCs/>
        </w:rPr>
        <w:t>)</w:t>
      </w:r>
      <w:r w:rsidR="00375972">
        <w:rPr>
          <w:rFonts w:ascii="Verdana" w:eastAsia="Calibri" w:hAnsi="Verdana" w:cs="Arial"/>
          <w:bCs/>
        </w:rPr>
        <w:t xml:space="preserve"> En virtud de lo expuesto previamente, es posible concluir no existe </w:t>
      </w:r>
      <w:r>
        <w:rPr>
          <w:rFonts w:ascii="Verdana" w:eastAsia="Calibri" w:hAnsi="Verdana" w:cs="Arial"/>
          <w:bCs/>
        </w:rPr>
        <w:t>un supuesto normativo que por sí mismo limite la capacidad jurídica del consorcio en el supuesto objeto de consulta</w:t>
      </w:r>
      <w:r w:rsidR="00FA4A71">
        <w:rPr>
          <w:rFonts w:ascii="Verdana" w:eastAsia="Calibri" w:hAnsi="Verdana" w:cs="Arial"/>
          <w:bCs/>
        </w:rPr>
        <w:t>. Sin embargo,</w:t>
      </w:r>
      <w:r>
        <w:rPr>
          <w:rFonts w:ascii="Verdana" w:eastAsia="Calibri" w:hAnsi="Verdana" w:cs="Arial"/>
          <w:bCs/>
        </w:rPr>
        <w:t xml:space="preserve"> existen otros elementos y requisitos habilitantes frente a los cuales será necesario que la entidad evalúe el cumplimiento por parte de dicho oferente. </w:t>
      </w:r>
      <w:r w:rsidRPr="00372D18">
        <w:rPr>
          <w:rFonts w:ascii="Verdana" w:eastAsia="Calibri" w:hAnsi="Verdana" w:cs="Arial"/>
          <w:bCs/>
        </w:rPr>
        <w:t xml:space="preserve">Con esto se hace referencia, entre otras cosas, a la experiencia, la cual, según como lo </w:t>
      </w:r>
      <w:r w:rsidR="007C7276">
        <w:rPr>
          <w:rFonts w:ascii="Verdana" w:eastAsia="Calibri" w:hAnsi="Verdana" w:cs="Arial"/>
          <w:bCs/>
        </w:rPr>
        <w:t xml:space="preserve">haya </w:t>
      </w:r>
      <w:r w:rsidRPr="00372D18">
        <w:rPr>
          <w:rFonts w:ascii="Verdana" w:eastAsia="Calibri" w:hAnsi="Verdana" w:cs="Arial"/>
          <w:bCs/>
        </w:rPr>
        <w:t>determin</w:t>
      </w:r>
      <w:r w:rsidR="007C7276">
        <w:rPr>
          <w:rFonts w:ascii="Verdana" w:eastAsia="Calibri" w:hAnsi="Verdana" w:cs="Arial"/>
          <w:bCs/>
        </w:rPr>
        <w:t>ado</w:t>
      </w:r>
      <w:r w:rsidRPr="00372D18">
        <w:rPr>
          <w:rFonts w:ascii="Verdana" w:eastAsia="Calibri" w:hAnsi="Verdana" w:cs="Arial"/>
          <w:bCs/>
        </w:rPr>
        <w:t xml:space="preserve"> la entidad contratante en los pliegos de condiciones, debe relacionarse con el objeto a contratar</w:t>
      </w:r>
      <w:r>
        <w:rPr>
          <w:rFonts w:ascii="Verdana" w:eastAsia="Calibri" w:hAnsi="Verdana" w:cs="Arial"/>
          <w:bCs/>
        </w:rPr>
        <w:t xml:space="preserve"> y deberá ser acreditada de manera adecuada por el consorcio y sus miembros de modo que el proponente no haga valer dos veces la misma experiencia, es decir, la que ha ejecutado como persona natural y aquella que acredite por conducto de la sociedad de la cual </w:t>
      </w:r>
      <w:r w:rsidR="00FA4A71">
        <w:rPr>
          <w:rFonts w:ascii="Verdana" w:eastAsia="Calibri" w:hAnsi="Verdana" w:cs="Arial"/>
          <w:bCs/>
        </w:rPr>
        <w:t xml:space="preserve">es </w:t>
      </w:r>
      <w:r>
        <w:rPr>
          <w:rFonts w:ascii="Verdana" w:eastAsia="Calibri" w:hAnsi="Verdana" w:cs="Arial"/>
          <w:bCs/>
        </w:rPr>
        <w:t>representante legal.</w:t>
      </w:r>
    </w:p>
    <w:p w14:paraId="64329447" w14:textId="61E5DBC1" w:rsidR="000E5392" w:rsidRPr="000429FF" w:rsidRDefault="000E5392" w:rsidP="00FA4A71">
      <w:pPr>
        <w:spacing w:before="120" w:after="120" w:line="276" w:lineRule="auto"/>
        <w:ind w:firstLine="708"/>
        <w:jc w:val="both"/>
        <w:rPr>
          <w:rFonts w:ascii="Verdana" w:eastAsia="Calibri" w:hAnsi="Verdana" w:cs="Arial"/>
          <w:bCs/>
        </w:rPr>
      </w:pPr>
      <w:r w:rsidRPr="000429FF">
        <w:rPr>
          <w:rFonts w:ascii="Verdana" w:eastAsia="Calibri" w:hAnsi="Verdana" w:cs="Arial"/>
        </w:rPr>
        <w:t xml:space="preserve">Lo anterior es </w:t>
      </w:r>
      <w:r>
        <w:rPr>
          <w:rFonts w:ascii="Verdana" w:eastAsia="Calibri" w:hAnsi="Verdana" w:cs="Arial"/>
        </w:rPr>
        <w:t xml:space="preserve">importante </w:t>
      </w:r>
      <w:r w:rsidRPr="000429FF">
        <w:rPr>
          <w:rFonts w:ascii="Verdana" w:eastAsia="Calibri" w:hAnsi="Verdana" w:cs="Arial"/>
        </w:rPr>
        <w:t xml:space="preserve">porque no es posible tener experiencia si en la práctica no se ha ejercido o ejecutado lo que se ofrece a otros contratantes; y </w:t>
      </w:r>
      <w:r w:rsidRPr="000429FF">
        <w:rPr>
          <w:rFonts w:ascii="Verdana" w:eastAsia="Calibri" w:hAnsi="Verdana" w:cs="Arial"/>
        </w:rPr>
        <w:lastRenderedPageBreak/>
        <w:t xml:space="preserve">precisamente de la experiencia se deriva el conocimiento que tiene el proponente, y que para la contratación pública es importante, ya que garantiza que no existirá improvisación o mayores costos por errores o dificultades originadas en realizar una actividad por primera vez. </w:t>
      </w:r>
      <w:r>
        <w:rPr>
          <w:rFonts w:ascii="Verdana" w:eastAsia="Calibri" w:hAnsi="Verdana" w:cs="Arial"/>
        </w:rPr>
        <w:t xml:space="preserve">En principio, </w:t>
      </w:r>
      <w:r w:rsidRPr="000429FF">
        <w:rPr>
          <w:rFonts w:ascii="Verdana" w:eastAsia="Calibri" w:hAnsi="Verdana" w:cs="Arial"/>
        </w:rPr>
        <w:t xml:space="preserve">la experiencia puede ser obtenida directamente o por participar asociado con otra persona, como es el caso de los proponentes plurales. En este caso la experiencia no deja de ser personal, sino que es proporcional a la participación como miembro de un consorcio o unión temporal, esquemas asociativos </w:t>
      </w:r>
      <w:r w:rsidR="00FA4A71">
        <w:rPr>
          <w:rFonts w:ascii="Verdana" w:eastAsia="Calibri" w:hAnsi="Verdana" w:cs="Arial"/>
        </w:rPr>
        <w:t xml:space="preserve">en los cuales </w:t>
      </w:r>
      <w:r w:rsidRPr="000429FF">
        <w:rPr>
          <w:rFonts w:ascii="Verdana" w:eastAsia="Calibri" w:hAnsi="Verdana" w:cs="Arial"/>
        </w:rPr>
        <w:t>la experiencia es compartida.</w:t>
      </w:r>
      <w:r>
        <w:rPr>
          <w:rFonts w:ascii="Verdana" w:eastAsia="Calibri" w:hAnsi="Verdana" w:cs="Arial"/>
        </w:rPr>
        <w:t xml:space="preserve"> Por lo anterior, es necesario que la entidad considere las medidas necesarias para que el supuesto objeto de consulta no se convierta en un mecanismo para omitir el cumplimiento de los requisitos mínimos exigidos.</w:t>
      </w:r>
    </w:p>
    <w:p w14:paraId="036F5B90" w14:textId="3F097CB5" w:rsidR="000E5392" w:rsidRPr="00372D18" w:rsidRDefault="00FA4A71" w:rsidP="000E5392">
      <w:pPr>
        <w:spacing w:after="120" w:line="276" w:lineRule="auto"/>
        <w:ind w:firstLine="708"/>
        <w:jc w:val="both"/>
        <w:rPr>
          <w:rFonts w:ascii="Verdana" w:eastAsia="Calibri" w:hAnsi="Verdana" w:cs="Arial"/>
          <w:bCs/>
        </w:rPr>
      </w:pPr>
      <w:r>
        <w:rPr>
          <w:rFonts w:ascii="Verdana" w:eastAsia="Calibri" w:hAnsi="Verdana" w:cs="Arial"/>
          <w:bCs/>
        </w:rPr>
        <w:t xml:space="preserve">De esta forma, </w:t>
      </w:r>
      <w:r w:rsidR="000E5392">
        <w:rPr>
          <w:rFonts w:ascii="Verdana" w:eastAsia="Calibri" w:hAnsi="Verdana" w:cs="Arial"/>
          <w:bCs/>
        </w:rPr>
        <w:t>la ausencia de una inhabilidad, incompatibilidad o conflicto de interés que afecte la capacidad jurídica</w:t>
      </w:r>
      <w:r w:rsidR="000E5392" w:rsidRPr="00372D18">
        <w:rPr>
          <w:rFonts w:ascii="Verdana" w:eastAsia="Calibri" w:hAnsi="Verdana" w:cs="Arial"/>
          <w:bCs/>
        </w:rPr>
        <w:t xml:space="preserve"> no </w:t>
      </w:r>
      <w:r w:rsidR="009A1D5D">
        <w:rPr>
          <w:rFonts w:ascii="Verdana" w:eastAsia="Calibri" w:hAnsi="Verdana" w:cs="Arial"/>
          <w:bCs/>
        </w:rPr>
        <w:t xml:space="preserve">supone </w:t>
      </w:r>
      <w:r w:rsidR="000E5392">
        <w:rPr>
          <w:rFonts w:ascii="Verdana" w:eastAsia="Calibri" w:hAnsi="Verdana" w:cs="Arial"/>
          <w:bCs/>
        </w:rPr>
        <w:t xml:space="preserve">que el </w:t>
      </w:r>
      <w:r w:rsidR="009A1D5D">
        <w:rPr>
          <w:rFonts w:ascii="Verdana" w:eastAsia="Calibri" w:hAnsi="Verdana" w:cs="Arial"/>
          <w:bCs/>
        </w:rPr>
        <w:t>proveedor</w:t>
      </w:r>
      <w:r w:rsidR="000E5392">
        <w:rPr>
          <w:rFonts w:ascii="Verdana" w:eastAsia="Calibri" w:hAnsi="Verdana" w:cs="Arial"/>
          <w:bCs/>
        </w:rPr>
        <w:t xml:space="preserve"> pueda utilizar la figura del proponente plural para omitir el cumplimiento de los requisitos de experiencia o capacidad financiera que sean necesarios para ejecutar de manera idónea el objeto contractual. Con el fin de </w:t>
      </w:r>
      <w:r w:rsidR="000E5392" w:rsidRPr="00372D18">
        <w:rPr>
          <w:rFonts w:ascii="Verdana" w:eastAsia="Calibri" w:hAnsi="Verdana" w:cs="Arial"/>
          <w:bCs/>
        </w:rPr>
        <w:t>prever esta situación</w:t>
      </w:r>
      <w:r w:rsidR="000E5392">
        <w:rPr>
          <w:rFonts w:ascii="Verdana" w:eastAsia="Calibri" w:hAnsi="Verdana" w:cs="Arial"/>
          <w:bCs/>
        </w:rPr>
        <w:t xml:space="preserve">, se recomienda que la entidad contratante establezca las reglas precisas en los documentos del proceso que deberán seguir los proponentes para acreditar y determinar de forma objetiva la experiencia y capacidad </w:t>
      </w:r>
      <w:r w:rsidR="000E5392" w:rsidRPr="00372D18">
        <w:rPr>
          <w:rFonts w:ascii="Verdana" w:eastAsia="Calibri" w:hAnsi="Verdana" w:cs="Arial"/>
          <w:bCs/>
        </w:rPr>
        <w:t>mínima con la que deben contar para desarrollar el objeto a contratar de forma satisfactoria.</w:t>
      </w:r>
    </w:p>
    <w:p w14:paraId="621848C6" w14:textId="39E70FA0" w:rsidR="000E5392" w:rsidRPr="001353E5" w:rsidRDefault="000E5392" w:rsidP="000E5392">
      <w:pPr>
        <w:spacing w:after="120" w:line="276" w:lineRule="auto"/>
        <w:ind w:firstLine="708"/>
        <w:jc w:val="both"/>
        <w:rPr>
          <w:rFonts w:ascii="Verdana" w:eastAsia="Calibri" w:hAnsi="Verdana" w:cs="Arial"/>
        </w:rPr>
      </w:pPr>
      <w:r w:rsidRPr="001353E5">
        <w:rPr>
          <w:rFonts w:ascii="Verdana" w:eastAsia="Calibri" w:hAnsi="Verdana" w:cs="Arial"/>
          <w:bC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sidR="00FA4A71">
        <w:rPr>
          <w:rFonts w:ascii="Verdana" w:eastAsia="Calibri" w:hAnsi="Verdana" w:cs="Arial"/>
          <w:bCs/>
        </w:rPr>
        <w:t xml:space="preserve">en </w:t>
      </w:r>
      <w:r w:rsidRPr="001353E5">
        <w:rPr>
          <w:rFonts w:ascii="Verdana" w:eastAsia="Calibri" w:hAnsi="Verdana" w:cs="Arial"/>
          <w:bCs/>
        </w:rPr>
        <w:t>adoptar la decisión correspondiente y, en caso de conflicto, a las autoridades judiciales, fiscales y disciplinarias.</w:t>
      </w:r>
    </w:p>
    <w:p w14:paraId="784A79EB" w14:textId="704F331B" w:rsidR="000E5392" w:rsidRPr="00FA4A71" w:rsidRDefault="000E5392" w:rsidP="00FA4A71">
      <w:pPr>
        <w:spacing w:after="0" w:line="276" w:lineRule="auto"/>
        <w:ind w:firstLine="708"/>
        <w:jc w:val="both"/>
        <w:rPr>
          <w:rFonts w:ascii="Verdana" w:eastAsia="Calibri" w:hAnsi="Verdana" w:cs="Arial"/>
          <w:bCs/>
        </w:rPr>
      </w:pPr>
      <w:r w:rsidRPr="001353E5">
        <w:rPr>
          <w:rFonts w:ascii="Verdana" w:eastAsia="Calibri" w:hAnsi="Verdana" w:cs="Arial"/>
          <w:bC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01353E5">
        <w:rPr>
          <w:rFonts w:ascii="Verdana" w:eastAsia="Calibri" w:hAnsi="Verdana" w:cs="Arial"/>
          <w:bCs/>
        </w:rPr>
        <w:lastRenderedPageBreak/>
        <w:t xml:space="preserve">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F0955EF" w14:textId="77777777" w:rsidR="000E5392" w:rsidRPr="00FE5A24" w:rsidRDefault="000E5392" w:rsidP="0097643F">
      <w:pPr>
        <w:spacing w:after="0" w:line="276" w:lineRule="auto"/>
        <w:jc w:val="both"/>
        <w:rPr>
          <w:rFonts w:ascii="Verdana" w:eastAsia="Calibri" w:hAnsi="Verdana" w:cs="Arial"/>
          <w:color w:val="000000" w:themeColor="text1"/>
          <w:lang w:val="es-ES"/>
        </w:rPr>
      </w:pPr>
    </w:p>
    <w:p w14:paraId="2B4FAC84" w14:textId="77777777" w:rsidR="0080789C" w:rsidRPr="00E10433" w:rsidRDefault="0080789C" w:rsidP="0080789C">
      <w:pPr>
        <w:tabs>
          <w:tab w:val="left" w:pos="142"/>
          <w:tab w:val="left" w:pos="284"/>
        </w:tabs>
        <w:spacing w:after="0" w:line="276" w:lineRule="auto"/>
        <w:jc w:val="both"/>
        <w:rPr>
          <w:rFonts w:ascii="Verdana" w:eastAsia="Century Gothic" w:hAnsi="Verdana" w:cs="Century Gothic"/>
          <w:b/>
          <w:color w:val="000000" w:themeColor="text1"/>
          <w:lang w:val="es-ES"/>
        </w:rPr>
      </w:pPr>
      <w:r w:rsidRPr="00E10433">
        <w:rPr>
          <w:rFonts w:ascii="Verdana" w:eastAsia="Century Gothic" w:hAnsi="Verdana" w:cs="Century Gothic"/>
          <w:b/>
          <w:color w:val="000000" w:themeColor="text1"/>
          <w:lang w:val="es-ES"/>
        </w:rPr>
        <w:t>4.Referencias normativas, jurisprudenciales y otras fuentes:</w:t>
      </w:r>
    </w:p>
    <w:p w14:paraId="2A9A0DD6" w14:textId="77777777" w:rsidR="0080789C" w:rsidRPr="00E10433" w:rsidRDefault="0080789C" w:rsidP="0080789C">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0789C" w:rsidRPr="00E10433" w14:paraId="77F85751" w14:textId="77777777" w:rsidTr="007B0886">
        <w:trPr>
          <w:trHeight w:val="870"/>
        </w:trPr>
        <w:tc>
          <w:tcPr>
            <w:tcW w:w="8647" w:type="dxa"/>
          </w:tcPr>
          <w:p w14:paraId="0C98BFEB" w14:textId="77777777" w:rsidR="000C1C69" w:rsidRPr="00372D18" w:rsidRDefault="000C1C69" w:rsidP="000C1C69">
            <w:pPr>
              <w:pStyle w:val="ListParagraph"/>
              <w:widowControl w:val="0"/>
              <w:numPr>
                <w:ilvl w:val="0"/>
                <w:numId w:val="16"/>
              </w:numPr>
              <w:autoSpaceDE w:val="0"/>
              <w:autoSpaceDN w:val="0"/>
              <w:snapToGrid w:val="0"/>
              <w:spacing w:before="120" w:after="120" w:line="276" w:lineRule="auto"/>
              <w:contextualSpacing w:val="0"/>
              <w:jc w:val="both"/>
              <w:rPr>
                <w:rFonts w:ascii="Verdana" w:hAnsi="Verdana" w:cs="Arial"/>
              </w:rPr>
            </w:pPr>
            <w:r w:rsidRPr="00372D18">
              <w:rPr>
                <w:rFonts w:ascii="Verdana" w:hAnsi="Verdana" w:cs="Arial"/>
              </w:rPr>
              <w:t>Ley 80 de 1993</w:t>
            </w:r>
            <w:r>
              <w:rPr>
                <w:rFonts w:ascii="Verdana" w:hAnsi="Verdana" w:cs="Arial"/>
              </w:rPr>
              <w:t xml:space="preserve">, artículo 3 y 8. </w:t>
            </w:r>
            <w:r w:rsidRPr="00372D18">
              <w:rPr>
                <w:rFonts w:ascii="Verdana" w:hAnsi="Verdana" w:cs="Arial"/>
              </w:rPr>
              <w:t xml:space="preserve"> </w:t>
            </w:r>
          </w:p>
          <w:p w14:paraId="5B0740CF" w14:textId="77777777" w:rsidR="000C1C69" w:rsidRPr="009420ED" w:rsidRDefault="000C1C69" w:rsidP="000C1C69">
            <w:pPr>
              <w:pStyle w:val="ListParagraph"/>
              <w:widowControl w:val="0"/>
              <w:numPr>
                <w:ilvl w:val="0"/>
                <w:numId w:val="16"/>
              </w:numPr>
              <w:autoSpaceDE w:val="0"/>
              <w:autoSpaceDN w:val="0"/>
              <w:snapToGrid w:val="0"/>
              <w:spacing w:before="120" w:after="120" w:line="276" w:lineRule="auto"/>
              <w:contextualSpacing w:val="0"/>
              <w:jc w:val="both"/>
              <w:rPr>
                <w:rFonts w:ascii="Verdana" w:eastAsia="Calibri" w:hAnsi="Verdana" w:cs="Arial"/>
                <w:color w:val="000000" w:themeColor="text1"/>
              </w:rPr>
            </w:pPr>
            <w:r>
              <w:rPr>
                <w:rFonts w:ascii="Verdana" w:hAnsi="Verdana" w:cs="Arial"/>
              </w:rPr>
              <w:t>Ley 222 de 1995, artículos 71 y 75.</w:t>
            </w:r>
          </w:p>
          <w:p w14:paraId="404E2602" w14:textId="77777777" w:rsidR="000C1C69" w:rsidRPr="0013769D" w:rsidRDefault="000C1C69" w:rsidP="000C1C69">
            <w:pPr>
              <w:pStyle w:val="ListParagraph"/>
              <w:widowControl w:val="0"/>
              <w:numPr>
                <w:ilvl w:val="0"/>
                <w:numId w:val="16"/>
              </w:numPr>
              <w:autoSpaceDE w:val="0"/>
              <w:autoSpaceDN w:val="0"/>
              <w:snapToGrid w:val="0"/>
              <w:spacing w:before="120" w:after="120" w:line="276" w:lineRule="auto"/>
              <w:contextualSpacing w:val="0"/>
              <w:jc w:val="both"/>
              <w:rPr>
                <w:rFonts w:ascii="Verdana" w:eastAsia="Calibri" w:hAnsi="Verdana" w:cs="Arial"/>
                <w:color w:val="000000" w:themeColor="text1"/>
              </w:rPr>
            </w:pPr>
            <w:r>
              <w:rPr>
                <w:rFonts w:ascii="Verdana" w:hAnsi="Verdana" w:cs="Arial"/>
              </w:rPr>
              <w:t>Ley 1258 de 2008, artículo 5.</w:t>
            </w:r>
          </w:p>
          <w:p w14:paraId="1114E848" w14:textId="77777777" w:rsidR="000C1C69" w:rsidRPr="002A20F5" w:rsidRDefault="000C1C69" w:rsidP="000C1C69">
            <w:pPr>
              <w:pStyle w:val="ListParagraph"/>
              <w:widowControl w:val="0"/>
              <w:numPr>
                <w:ilvl w:val="0"/>
                <w:numId w:val="16"/>
              </w:numPr>
              <w:autoSpaceDE w:val="0"/>
              <w:autoSpaceDN w:val="0"/>
              <w:snapToGrid w:val="0"/>
              <w:spacing w:before="120" w:after="120" w:line="276" w:lineRule="auto"/>
              <w:contextualSpacing w:val="0"/>
              <w:jc w:val="both"/>
              <w:rPr>
                <w:rFonts w:ascii="Verdana" w:eastAsia="Calibri" w:hAnsi="Verdana" w:cs="Arial"/>
                <w:color w:val="000000" w:themeColor="text1"/>
              </w:rPr>
            </w:pPr>
            <w:r>
              <w:rPr>
                <w:rFonts w:ascii="Verdana" w:hAnsi="Verdana" w:cs="Arial"/>
              </w:rPr>
              <w:t>Ley 1437 de 2011, artículos 11 y 12.</w:t>
            </w:r>
          </w:p>
          <w:p w14:paraId="6A1FC58E" w14:textId="77777777" w:rsidR="000C1C69" w:rsidRPr="00BF086E" w:rsidRDefault="000C1C69" w:rsidP="000C1C69">
            <w:pPr>
              <w:pStyle w:val="ListParagraph"/>
              <w:widowControl w:val="0"/>
              <w:numPr>
                <w:ilvl w:val="0"/>
                <w:numId w:val="16"/>
              </w:numPr>
              <w:autoSpaceDE w:val="0"/>
              <w:autoSpaceDN w:val="0"/>
              <w:snapToGrid w:val="0"/>
              <w:spacing w:before="120" w:after="120" w:line="276" w:lineRule="auto"/>
              <w:contextualSpacing w:val="0"/>
              <w:jc w:val="both"/>
              <w:rPr>
                <w:rFonts w:ascii="Verdana" w:hAnsi="Verdana" w:cs="Arial"/>
              </w:rPr>
            </w:pPr>
            <w:r>
              <w:rPr>
                <w:rFonts w:ascii="Verdana" w:hAnsi="Verdana" w:cs="Arial"/>
              </w:rPr>
              <w:t>Código de Comercio, artículos 98, 99 y 100.</w:t>
            </w:r>
          </w:p>
          <w:p w14:paraId="5FEAC9A7" w14:textId="77777777" w:rsidR="000C1C69" w:rsidRPr="00BF086E" w:rsidRDefault="000C1C69" w:rsidP="000C1C69">
            <w:pPr>
              <w:pStyle w:val="ListParagraph"/>
              <w:widowControl w:val="0"/>
              <w:numPr>
                <w:ilvl w:val="0"/>
                <w:numId w:val="16"/>
              </w:numPr>
              <w:autoSpaceDE w:val="0"/>
              <w:autoSpaceDN w:val="0"/>
              <w:snapToGrid w:val="0"/>
              <w:spacing w:before="120" w:after="120" w:line="276" w:lineRule="auto"/>
              <w:contextualSpacing w:val="0"/>
              <w:jc w:val="both"/>
              <w:rPr>
                <w:rFonts w:ascii="Verdana" w:hAnsi="Verdana" w:cs="Arial"/>
              </w:rPr>
            </w:pPr>
            <w:r w:rsidRPr="00422B6A">
              <w:rPr>
                <w:rFonts w:ascii="Verdana" w:hAnsi="Verdana" w:cs="Arial"/>
              </w:rPr>
              <w:t>Corte Constitucional</w:t>
            </w:r>
            <w:r>
              <w:rPr>
                <w:rFonts w:ascii="Verdana" w:hAnsi="Verdana" w:cs="Arial"/>
              </w:rPr>
              <w:t xml:space="preserve">, </w:t>
            </w:r>
            <w:r w:rsidRPr="00422B6A">
              <w:rPr>
                <w:rFonts w:ascii="Verdana" w:hAnsi="Verdana" w:cs="Arial"/>
              </w:rPr>
              <w:t>sentencia C-831 de 2010</w:t>
            </w:r>
            <w:r>
              <w:rPr>
                <w:rFonts w:ascii="Verdana" w:hAnsi="Verdana" w:cs="Arial"/>
              </w:rPr>
              <w:t>.</w:t>
            </w:r>
          </w:p>
          <w:p w14:paraId="4D46E92E" w14:textId="77777777" w:rsidR="000C1C69" w:rsidRPr="00BF086E" w:rsidRDefault="000C1C69" w:rsidP="000C1C69">
            <w:pPr>
              <w:pStyle w:val="ListParagraph"/>
              <w:widowControl w:val="0"/>
              <w:numPr>
                <w:ilvl w:val="0"/>
                <w:numId w:val="16"/>
              </w:numPr>
              <w:autoSpaceDE w:val="0"/>
              <w:autoSpaceDN w:val="0"/>
              <w:snapToGrid w:val="0"/>
              <w:spacing w:before="120" w:after="120" w:line="276" w:lineRule="auto"/>
              <w:contextualSpacing w:val="0"/>
              <w:jc w:val="both"/>
              <w:rPr>
                <w:rFonts w:ascii="Verdana" w:hAnsi="Verdana" w:cs="Arial"/>
              </w:rPr>
            </w:pPr>
            <w:r>
              <w:rPr>
                <w:rFonts w:ascii="Verdana" w:hAnsi="Verdana" w:cs="Arial"/>
              </w:rPr>
              <w:t>S</w:t>
            </w:r>
            <w:r w:rsidRPr="00372D18">
              <w:rPr>
                <w:rFonts w:ascii="Verdana" w:hAnsi="Verdana" w:cs="Arial"/>
              </w:rPr>
              <w:t>uperintendencia de Sociedades</w:t>
            </w:r>
            <w:r>
              <w:rPr>
                <w:rFonts w:ascii="Verdana" w:hAnsi="Verdana" w:cs="Arial"/>
              </w:rPr>
              <w:t xml:space="preserve">, </w:t>
            </w:r>
            <w:r w:rsidRPr="00372D18">
              <w:rPr>
                <w:rFonts w:ascii="Verdana" w:hAnsi="Verdana" w:cs="Arial"/>
              </w:rPr>
              <w:t>Concepto 0673 de diciembre 30 de 2010</w:t>
            </w:r>
            <w:r>
              <w:rPr>
                <w:rFonts w:ascii="Verdana" w:hAnsi="Verdana" w:cs="Arial"/>
              </w:rPr>
              <w:t>.</w:t>
            </w:r>
          </w:p>
          <w:p w14:paraId="7A7BBC6B" w14:textId="346C5790" w:rsidR="007B35CC" w:rsidRPr="00B1775B" w:rsidRDefault="000C1C69" w:rsidP="000C1C69">
            <w:pPr>
              <w:pStyle w:val="ListParagraph"/>
              <w:widowControl w:val="0"/>
              <w:numPr>
                <w:ilvl w:val="0"/>
                <w:numId w:val="16"/>
              </w:numPr>
              <w:autoSpaceDE w:val="0"/>
              <w:autoSpaceDN w:val="0"/>
              <w:snapToGrid w:val="0"/>
              <w:spacing w:before="120" w:after="120" w:line="276" w:lineRule="auto"/>
              <w:contextualSpacing w:val="0"/>
              <w:jc w:val="both"/>
              <w:rPr>
                <w:rFonts w:ascii="Verdana" w:hAnsi="Verdana" w:cs="Arial"/>
                <w:color w:val="000000" w:themeColor="text1"/>
              </w:rPr>
            </w:pPr>
            <w:r w:rsidRPr="00BF086E">
              <w:rPr>
                <w:rFonts w:ascii="Verdana" w:hAnsi="Verdana" w:cs="Arial"/>
              </w:rPr>
              <w:t>Superintendencia de Sociedades, Oficio 220-060561 del 15 de Mayo de 2011</w:t>
            </w:r>
          </w:p>
        </w:tc>
      </w:tr>
    </w:tbl>
    <w:p w14:paraId="0D3AC7C6" w14:textId="77777777" w:rsidR="0080789C" w:rsidRPr="00E10433" w:rsidRDefault="0080789C" w:rsidP="0080789C">
      <w:pPr>
        <w:widowControl w:val="0"/>
        <w:autoSpaceDE w:val="0"/>
        <w:autoSpaceDN w:val="0"/>
        <w:spacing w:after="0" w:line="276" w:lineRule="auto"/>
        <w:jc w:val="both"/>
        <w:rPr>
          <w:rFonts w:ascii="Verdana" w:hAnsi="Verdana" w:cs="Arial"/>
          <w:color w:val="000000" w:themeColor="text1"/>
          <w:lang w:val="es-ES"/>
        </w:rPr>
      </w:pPr>
    </w:p>
    <w:p w14:paraId="230EA876" w14:textId="77777777" w:rsidR="0080789C" w:rsidRPr="00E10433" w:rsidRDefault="0080789C" w:rsidP="0080789C">
      <w:pPr>
        <w:tabs>
          <w:tab w:val="left" w:pos="142"/>
          <w:tab w:val="left" w:pos="284"/>
        </w:tabs>
        <w:spacing w:after="0" w:line="276" w:lineRule="auto"/>
        <w:jc w:val="both"/>
        <w:rPr>
          <w:rFonts w:ascii="Verdana" w:eastAsia="Century Gothic" w:hAnsi="Verdana" w:cs="Century Gothic"/>
          <w:b/>
          <w:color w:val="000000" w:themeColor="text1"/>
          <w:lang w:val="es-ES"/>
        </w:rPr>
      </w:pPr>
      <w:r w:rsidRPr="00E10433">
        <w:rPr>
          <w:rFonts w:ascii="Verdana" w:eastAsia="Century Gothic" w:hAnsi="Verdana" w:cs="Century Gothic"/>
          <w:b/>
          <w:color w:val="000000" w:themeColor="text1"/>
          <w:lang w:val="es-ES"/>
        </w:rPr>
        <w:t>5.Doctrina de la Agencia Nacional de Contratación Pública:</w:t>
      </w:r>
    </w:p>
    <w:p w14:paraId="04616CD2" w14:textId="77777777" w:rsidR="0080789C" w:rsidRPr="00E10433" w:rsidRDefault="0080789C" w:rsidP="0080789C">
      <w:pPr>
        <w:widowControl w:val="0"/>
        <w:autoSpaceDE w:val="0"/>
        <w:autoSpaceDN w:val="0"/>
        <w:spacing w:after="0" w:line="276" w:lineRule="auto"/>
        <w:jc w:val="both"/>
        <w:rPr>
          <w:rFonts w:ascii="Verdana" w:hAnsi="Verdana" w:cs="Arial"/>
          <w:color w:val="000000" w:themeColor="text1"/>
          <w:lang w:val="es-ES"/>
        </w:rPr>
      </w:pPr>
    </w:p>
    <w:p w14:paraId="28985F60" w14:textId="789A24CA" w:rsidR="0080789C" w:rsidRPr="00565DCB" w:rsidRDefault="0080789C" w:rsidP="0080789C">
      <w:pPr>
        <w:jc w:val="both"/>
        <w:rPr>
          <w:rFonts w:ascii="Verdana" w:eastAsia="Calibri" w:hAnsi="Verdana" w:cs="Arial"/>
          <w:b/>
          <w:bCs/>
          <w:color w:val="000000" w:themeColor="text1"/>
          <w:lang w:val="es-ES" w:eastAsia="es-ES"/>
        </w:rPr>
      </w:pPr>
      <w:r w:rsidRPr="00E10433">
        <w:rPr>
          <w:rFonts w:ascii="Verdana" w:eastAsia="Calibri" w:hAnsi="Verdana" w:cs="Arial"/>
          <w:lang w:val="es-ES"/>
        </w:rPr>
        <w:t xml:space="preserve">La Agencia Nacional de Contratación Pública – Colombia Compra Eficiente se ha referido </w:t>
      </w:r>
      <w:r w:rsidRPr="00E10433">
        <w:rPr>
          <w:rFonts w:ascii="Verdana" w:hAnsi="Verdana" w:cs="Arial"/>
          <w:shd w:val="clear" w:color="auto" w:fill="FFFFFF"/>
          <w:lang w:val="es-ES"/>
        </w:rPr>
        <w:t>sobr</w:t>
      </w:r>
      <w:r w:rsidR="000C1C69">
        <w:rPr>
          <w:rFonts w:ascii="Verdana" w:hAnsi="Verdana" w:cs="Arial"/>
          <w:shd w:val="clear" w:color="auto" w:fill="FFFFFF"/>
          <w:lang w:val="es-ES"/>
        </w:rPr>
        <w:t xml:space="preserve">e </w:t>
      </w:r>
      <w:r w:rsidR="000C1C69" w:rsidRPr="008557D1">
        <w:rPr>
          <w:rFonts w:ascii="Verdana" w:eastAsia="Calibri" w:hAnsi="Verdana" w:cs="Arial"/>
          <w:lang w:val="es-ES_tradnl" w:eastAsia="es-ES_tradnl"/>
        </w:rPr>
        <w:t>el régimen de inhabilidades e incompatibilidades en los conceptos</w:t>
      </w:r>
      <w:r w:rsidR="000C1C69" w:rsidRPr="008557D1">
        <w:rPr>
          <w:rFonts w:ascii="Verdana" w:eastAsia="Calibri" w:hAnsi="Verdana" w:cs="Arial"/>
          <w:lang w:val="es-MX"/>
        </w:rPr>
        <w:t xml:space="preserve">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w:t>
      </w:r>
      <w:r w:rsidR="000C1C69">
        <w:rPr>
          <w:rFonts w:ascii="Verdana" w:eastAsia="Calibri" w:hAnsi="Verdana" w:cs="Arial"/>
          <w:lang w:val="es-MX"/>
        </w:rPr>
        <w:t xml:space="preserve">, </w:t>
      </w:r>
      <w:r w:rsidR="000C1C69" w:rsidRPr="008557D1">
        <w:rPr>
          <w:rFonts w:ascii="Verdana" w:eastAsia="Calibri" w:hAnsi="Verdana" w:cs="Arial"/>
          <w:lang w:val="es-MX"/>
        </w:rPr>
        <w:t>C-039 del 23 de abril de 2024</w:t>
      </w:r>
      <w:r w:rsidR="000C1C69">
        <w:rPr>
          <w:rFonts w:ascii="Verdana" w:eastAsia="Calibri" w:hAnsi="Verdana" w:cs="Arial"/>
          <w:lang w:val="es-MX"/>
        </w:rPr>
        <w:t xml:space="preserve">, </w:t>
      </w:r>
      <w:r w:rsidR="000C1C69" w:rsidRPr="00195D74">
        <w:rPr>
          <w:rFonts w:ascii="Verdana" w:eastAsia="Calibri" w:hAnsi="Verdana" w:cs="Arial"/>
          <w:lang w:val="es-ES" w:eastAsia="es-ES"/>
        </w:rPr>
        <w:t>C-1009 del 03 de agosto de 2025</w:t>
      </w:r>
      <w:r w:rsidR="00565DCB">
        <w:rPr>
          <w:rFonts w:ascii="Verdana" w:eastAsia="Calibri" w:hAnsi="Verdana" w:cs="Arial"/>
          <w:lang w:val="es-ES" w:eastAsia="es-ES"/>
        </w:rPr>
        <w:t xml:space="preserve"> y </w:t>
      </w:r>
      <w:r w:rsidR="00565DCB" w:rsidRPr="00565DCB">
        <w:rPr>
          <w:rFonts w:ascii="Verdana" w:eastAsia="Calibri" w:hAnsi="Verdana" w:cs="Arial"/>
          <w:color w:val="000000" w:themeColor="text1"/>
          <w:lang w:val="es-ES" w:eastAsia="es-ES"/>
        </w:rPr>
        <w:t>C-1463 de 2025</w:t>
      </w:r>
      <w:r w:rsidR="000C1C69" w:rsidRPr="008557D1">
        <w:rPr>
          <w:rFonts w:ascii="Verdana" w:hAnsi="Verdana" w:cs="Arial"/>
        </w:rPr>
        <w:t>. También se ha pronunciado sobre el conflicto de interés en los conceptos C-229 del 16 de abril de 2020, C-815 del 18 de febrero de 2021, C-449 del 31 de agosto de 2021, C-288 del 14 de julio de 2023, C-651 del 22 de octubre de 2024, C-680 del 15 de noviembre de 2024, C-693 del 19 de noviembre de 2024</w:t>
      </w:r>
      <w:r w:rsidR="000C1C69">
        <w:rPr>
          <w:rFonts w:ascii="Verdana" w:hAnsi="Verdana" w:cs="Arial"/>
        </w:rPr>
        <w:t xml:space="preserve">, </w:t>
      </w:r>
      <w:r w:rsidR="000C1C69" w:rsidRPr="008557D1">
        <w:rPr>
          <w:rFonts w:ascii="Verdana" w:hAnsi="Verdana" w:cs="Arial"/>
        </w:rPr>
        <w:t>C-839 del 13 de diciembre de 2024</w:t>
      </w:r>
      <w:r w:rsidR="000C1C69">
        <w:rPr>
          <w:rFonts w:ascii="Verdana" w:hAnsi="Verdana" w:cs="Arial"/>
        </w:rPr>
        <w:t>, C-426 del 19 de mayo de 2025</w:t>
      </w:r>
      <w:r w:rsidR="000C1C69">
        <w:rPr>
          <w:rStyle w:val="normaltextrun"/>
          <w:rFonts w:ascii="Verdana" w:hAnsi="Verdana" w:cs="Arial"/>
          <w:color w:val="000000" w:themeColor="text1"/>
          <w:shd w:val="clear" w:color="auto" w:fill="FFFFFF"/>
          <w:lang w:val="es-ES"/>
        </w:rPr>
        <w:t xml:space="preserve"> y </w:t>
      </w:r>
      <w:r w:rsidR="000C1C69" w:rsidRPr="000C1C69">
        <w:rPr>
          <w:rFonts w:ascii="Verdana" w:eastAsia="Calibri" w:hAnsi="Verdana" w:cs="Arial"/>
          <w:color w:val="000000" w:themeColor="text1"/>
          <w:lang w:val="es-ES" w:eastAsia="es-ES"/>
        </w:rPr>
        <w:t>C-1463 de 2025,</w:t>
      </w:r>
      <w:r w:rsidR="00B1775B">
        <w:rPr>
          <w:rStyle w:val="normaltextrun"/>
          <w:rFonts w:ascii="Verdana" w:hAnsi="Verdana" w:cs="Arial"/>
          <w:color w:val="000000" w:themeColor="text1"/>
          <w:shd w:val="clear" w:color="auto" w:fill="FFFFFF"/>
          <w:lang w:val="es-ES"/>
        </w:rPr>
        <w:t xml:space="preserve"> entre otros</w:t>
      </w:r>
      <w:r w:rsidRPr="00E10433">
        <w:rPr>
          <w:rFonts w:ascii="Verdana" w:eastAsia="Calibri" w:hAnsi="Verdana" w:cs="Arial"/>
          <w:lang w:val="es-ES" w:eastAsia="es-ES"/>
        </w:rPr>
        <w:t xml:space="preserve">. </w:t>
      </w:r>
      <w:r w:rsidRPr="00E10433">
        <w:rPr>
          <w:rFonts w:ascii="Verdana" w:hAnsi="Verdana" w:cs="Arial"/>
          <w:shd w:val="clear" w:color="auto" w:fill="FFFFFF"/>
          <w:lang w:val="es-ES"/>
        </w:rPr>
        <w:t>Estos</w:t>
      </w:r>
      <w:r w:rsidRPr="00E10433">
        <w:rPr>
          <w:rFonts w:ascii="Verdana" w:hAnsi="Verdana"/>
          <w:lang w:val="es-ES"/>
        </w:rPr>
        <w:t xml:space="preserve"> se encuentran </w:t>
      </w:r>
      <w:r w:rsidRPr="00E10433">
        <w:rPr>
          <w:rFonts w:ascii="Verdana" w:hAnsi="Verdana"/>
          <w:lang w:val="es-ES"/>
        </w:rPr>
        <w:lastRenderedPageBreak/>
        <w:t>disponibles para consulta en el Sistema de relatoría de la Agencia, al cual se puede acceder a través del siguiente enlace:</w:t>
      </w:r>
      <w:r w:rsidRPr="00E10433">
        <w:rPr>
          <w:rFonts w:ascii="Verdana" w:hAnsi="Verdana" w:cs="Arial"/>
          <w:shd w:val="clear" w:color="auto" w:fill="FFFFFF"/>
          <w:lang w:val="es-ES"/>
        </w:rPr>
        <w:t xml:space="preserve"> </w:t>
      </w:r>
      <w:hyperlink r:id="rId13" w:history="1">
        <w:r w:rsidRPr="00E10433">
          <w:rPr>
            <w:rFonts w:ascii="Verdana" w:hAnsi="Verdana" w:cs="Arial"/>
            <w:color w:val="0000FF"/>
            <w:u w:val="single"/>
            <w:shd w:val="clear" w:color="auto" w:fill="FFFFFF"/>
            <w:lang w:val="es-ES"/>
          </w:rPr>
          <w:t>https://relatoria.colombiacompra.gov.co/busqueda/concept os</w:t>
        </w:r>
      </w:hyperlink>
      <w:r w:rsidRPr="00E10433">
        <w:rPr>
          <w:rFonts w:ascii="Verdana" w:hAnsi="Verdana" w:cs="Arial"/>
          <w:shd w:val="clear" w:color="auto" w:fill="FFFFFF"/>
          <w:lang w:val="es-ES"/>
        </w:rPr>
        <w:t>.</w:t>
      </w:r>
      <w:r w:rsidRPr="00E10433">
        <w:rPr>
          <w:rFonts w:ascii="Verdana" w:hAnsi="Verdana" w:cs="Arial"/>
          <w:color w:val="FF0000"/>
          <w:shd w:val="clear" w:color="auto" w:fill="FFFFFF"/>
          <w:lang w:val="es-ES"/>
        </w:rPr>
        <w:t xml:space="preserve"> </w:t>
      </w:r>
      <w:r w:rsidRPr="00E10433">
        <w:rPr>
          <w:rFonts w:ascii="Verdana" w:hAnsi="Verdana" w:cs="Arial"/>
          <w:color w:val="000000" w:themeColor="text1"/>
          <w:shd w:val="clear" w:color="auto" w:fill="FFFFFF"/>
          <w:lang w:val="es-ES"/>
        </w:rPr>
        <w:t>  </w:t>
      </w:r>
    </w:p>
    <w:p w14:paraId="788FAA5B" w14:textId="77777777" w:rsidR="0080789C" w:rsidRPr="00E10433" w:rsidRDefault="0080789C" w:rsidP="0080789C">
      <w:pPr>
        <w:spacing w:after="0" w:line="276" w:lineRule="auto"/>
        <w:jc w:val="both"/>
        <w:rPr>
          <w:rFonts w:ascii="Verdana" w:hAnsi="Verdana"/>
          <w:lang w:val="es-ES"/>
        </w:rPr>
      </w:pPr>
      <w:r w:rsidRPr="00E10433">
        <w:rPr>
          <w:rFonts w:ascii="Verdana" w:hAnsi="Verdana"/>
          <w:lang w:val="es-ES"/>
        </w:rPr>
        <w:t xml:space="preserve">Por último, lo invitamos a seguirnos en las redes sociales en las cuales se difunde información institucional: </w:t>
      </w:r>
    </w:p>
    <w:p w14:paraId="3A876603" w14:textId="77777777" w:rsidR="0080789C" w:rsidRPr="00E10433" w:rsidRDefault="0080789C" w:rsidP="0080789C">
      <w:pPr>
        <w:spacing w:after="0" w:line="276" w:lineRule="auto"/>
        <w:jc w:val="both"/>
        <w:rPr>
          <w:rFonts w:ascii="Verdana" w:hAnsi="Verdana"/>
          <w:lang w:val="es-ES"/>
        </w:rPr>
      </w:pPr>
    </w:p>
    <w:p w14:paraId="77614BCA" w14:textId="77777777" w:rsidR="0080789C" w:rsidRPr="00E10433" w:rsidRDefault="0080789C" w:rsidP="0080789C">
      <w:pPr>
        <w:spacing w:after="0" w:line="276" w:lineRule="auto"/>
        <w:jc w:val="both"/>
        <w:rPr>
          <w:rFonts w:ascii="Verdana" w:hAnsi="Verdana"/>
          <w:lang w:val="es-ES"/>
        </w:rPr>
      </w:pPr>
      <w:r w:rsidRPr="00E10433">
        <w:rPr>
          <w:rFonts w:ascii="Verdana" w:hAnsi="Verdana"/>
          <w:lang w:val="es-ES"/>
        </w:rPr>
        <w:t xml:space="preserve">Twitter: </w:t>
      </w:r>
      <w:r w:rsidRPr="00E10433">
        <w:rPr>
          <w:rStyle w:val="Hyperlink"/>
          <w:rFonts w:ascii="Verdana" w:hAnsi="Verdana" w:cs="Arial"/>
          <w:shd w:val="clear" w:color="auto" w:fill="FFFFFF"/>
          <w:lang w:val="es-ES"/>
        </w:rPr>
        <w:t>@colombiacompra</w:t>
      </w:r>
      <w:r w:rsidRPr="00E10433">
        <w:rPr>
          <w:rFonts w:ascii="Verdana" w:hAnsi="Verdana"/>
          <w:color w:val="4472C4" w:themeColor="accent1"/>
          <w:lang w:val="es-ES"/>
        </w:rPr>
        <w:t xml:space="preserve"> </w:t>
      </w:r>
    </w:p>
    <w:p w14:paraId="6AA58841" w14:textId="77777777" w:rsidR="0080789C" w:rsidRPr="00E10433" w:rsidRDefault="0080789C" w:rsidP="0080789C">
      <w:pPr>
        <w:spacing w:after="0" w:line="276" w:lineRule="auto"/>
        <w:jc w:val="both"/>
        <w:rPr>
          <w:rFonts w:ascii="Verdana" w:hAnsi="Verdana"/>
          <w:lang w:val="es-ES"/>
        </w:rPr>
      </w:pPr>
      <w:r w:rsidRPr="00E10433">
        <w:rPr>
          <w:rFonts w:ascii="Verdana" w:hAnsi="Verdana"/>
          <w:lang w:val="es-ES"/>
        </w:rPr>
        <w:t xml:space="preserve">Facebook: </w:t>
      </w:r>
      <w:proofErr w:type="spellStart"/>
      <w:r w:rsidRPr="00E10433">
        <w:rPr>
          <w:rStyle w:val="Hyperlink"/>
          <w:rFonts w:ascii="Verdana" w:hAnsi="Verdana" w:cs="Arial"/>
          <w:shd w:val="clear" w:color="auto" w:fill="FFFFFF"/>
          <w:lang w:val="es-ES"/>
        </w:rPr>
        <w:t>ColombiaCompraEficiente</w:t>
      </w:r>
      <w:proofErr w:type="spellEnd"/>
    </w:p>
    <w:p w14:paraId="6B6919D3" w14:textId="77777777" w:rsidR="0080789C" w:rsidRPr="00E10433" w:rsidRDefault="0080789C" w:rsidP="0080789C">
      <w:pPr>
        <w:spacing w:after="0" w:line="276" w:lineRule="auto"/>
        <w:jc w:val="both"/>
        <w:rPr>
          <w:rFonts w:ascii="Verdana" w:hAnsi="Verdana"/>
          <w:lang w:val="es-ES"/>
        </w:rPr>
      </w:pPr>
      <w:r w:rsidRPr="00E10433">
        <w:rPr>
          <w:rFonts w:ascii="Verdana" w:hAnsi="Verdana"/>
          <w:lang w:val="es-ES"/>
        </w:rPr>
        <w:t xml:space="preserve">LinkedIn: </w:t>
      </w:r>
      <w:r w:rsidRPr="00E10433">
        <w:rPr>
          <w:rStyle w:val="Hyperlink"/>
          <w:rFonts w:ascii="Verdana" w:hAnsi="Verdana" w:cs="Arial"/>
          <w:shd w:val="clear" w:color="auto" w:fill="FFFFFF"/>
          <w:lang w:val="es-ES"/>
        </w:rPr>
        <w:t xml:space="preserve">Agencia Nacional de Contratación Pública - Colombia Compra Eficiente </w:t>
      </w:r>
      <w:r w:rsidRPr="00E10433">
        <w:rPr>
          <w:rFonts w:ascii="Verdana" w:hAnsi="Verdana"/>
          <w:lang w:val="es-ES"/>
        </w:rPr>
        <w:t xml:space="preserve">Instagram: </w:t>
      </w:r>
      <w:r w:rsidRPr="00E10433">
        <w:rPr>
          <w:rStyle w:val="Hyperlink"/>
          <w:rFonts w:ascii="Verdana" w:hAnsi="Verdana" w:cs="Arial"/>
          <w:shd w:val="clear" w:color="auto" w:fill="FFFFFF"/>
          <w:lang w:val="es-ES"/>
        </w:rPr>
        <w:t>@colombiacompraeficiente_cce</w:t>
      </w:r>
    </w:p>
    <w:p w14:paraId="3A10A94A" w14:textId="77777777" w:rsidR="0080789C" w:rsidRPr="00E10433" w:rsidRDefault="0080789C" w:rsidP="0080789C">
      <w:pPr>
        <w:widowControl w:val="0"/>
        <w:autoSpaceDE w:val="0"/>
        <w:autoSpaceDN w:val="0"/>
        <w:spacing w:after="0" w:line="276" w:lineRule="auto"/>
        <w:jc w:val="both"/>
        <w:rPr>
          <w:rFonts w:ascii="Verdana" w:hAnsi="Verdana" w:cs="Arial"/>
          <w:lang w:val="es-ES"/>
        </w:rPr>
      </w:pPr>
    </w:p>
    <w:p w14:paraId="2C3B5C9E" w14:textId="77777777" w:rsidR="0080789C" w:rsidRPr="00E10433" w:rsidRDefault="0080789C" w:rsidP="0080789C">
      <w:pPr>
        <w:widowControl w:val="0"/>
        <w:autoSpaceDE w:val="0"/>
        <w:autoSpaceDN w:val="0"/>
        <w:spacing w:after="0" w:line="276" w:lineRule="auto"/>
        <w:jc w:val="both"/>
        <w:rPr>
          <w:rFonts w:ascii="Verdana" w:hAnsi="Verdana" w:cs="Arial"/>
          <w:lang w:val="es-ES"/>
        </w:rPr>
      </w:pPr>
      <w:r w:rsidRPr="00E10433">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C5CDFFA" w14:textId="77777777" w:rsidR="0080789C" w:rsidRPr="00E10433" w:rsidRDefault="0080789C" w:rsidP="0080789C">
      <w:pPr>
        <w:widowControl w:val="0"/>
        <w:autoSpaceDE w:val="0"/>
        <w:autoSpaceDN w:val="0"/>
        <w:spacing w:after="0" w:line="276" w:lineRule="auto"/>
        <w:jc w:val="both"/>
        <w:rPr>
          <w:rFonts w:ascii="Verdana" w:hAnsi="Verdana" w:cs="Arial"/>
          <w:lang w:val="es-ES"/>
        </w:rPr>
      </w:pPr>
    </w:p>
    <w:p w14:paraId="12097E12" w14:textId="5247F978" w:rsidR="0080789C" w:rsidRPr="00E10433" w:rsidRDefault="0080789C" w:rsidP="0080789C">
      <w:pPr>
        <w:spacing w:after="0" w:line="276" w:lineRule="auto"/>
        <w:rPr>
          <w:rFonts w:ascii="Verdana" w:hAnsi="Verdana" w:cs="Arial"/>
          <w:color w:val="000000" w:themeColor="text1"/>
          <w:lang w:val="es-ES" w:eastAsia="es-CO"/>
        </w:rPr>
      </w:pPr>
      <w:r w:rsidRPr="00E10433">
        <w:rPr>
          <w:rFonts w:ascii="Verdana" w:eastAsia="Times New Roman" w:hAnsi="Verdana" w:cs="Arial"/>
          <w:color w:val="000000" w:themeColor="text1"/>
          <w:lang w:val="es-ES" w:eastAsia="es-CO"/>
        </w:rPr>
        <w:t>Atentamente,</w:t>
      </w:r>
      <w:r w:rsidRPr="00E10433">
        <w:rPr>
          <w:rFonts w:ascii="Verdana" w:hAnsi="Verdana" w:cs="Arial"/>
          <w:color w:val="000000" w:themeColor="text1"/>
          <w:lang w:val="es-ES" w:eastAsia="es-CO"/>
        </w:rPr>
        <w:t xml:space="preserve"> </w:t>
      </w:r>
    </w:p>
    <w:p w14:paraId="113642F2" w14:textId="5C5DEE51" w:rsidR="0080789C" w:rsidRPr="00E10433" w:rsidRDefault="00A35D1C" w:rsidP="0080789C">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0C98315C" wp14:editId="4042B475">
            <wp:simplePos x="0" y="0"/>
            <wp:positionH relativeFrom="column">
              <wp:posOffset>995082</wp:posOffset>
            </wp:positionH>
            <wp:positionV relativeFrom="paragraph">
              <wp:posOffset>33655</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p>
    <w:p w14:paraId="69B2FF8D" w14:textId="0CC77EF3" w:rsidR="0080789C" w:rsidRPr="00E10433" w:rsidRDefault="0080789C" w:rsidP="0080789C">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0789C" w:rsidRPr="00E10433" w14:paraId="0DC99E15" w14:textId="77777777" w:rsidTr="007B0886">
        <w:trPr>
          <w:trHeight w:val="315"/>
        </w:trPr>
        <w:tc>
          <w:tcPr>
            <w:tcW w:w="893" w:type="dxa"/>
            <w:vAlign w:val="center"/>
            <w:hideMark/>
          </w:tcPr>
          <w:p w14:paraId="1302A28F" w14:textId="77777777" w:rsidR="0080789C" w:rsidRPr="00E10433" w:rsidRDefault="0080789C" w:rsidP="007B0886">
            <w:pPr>
              <w:contextualSpacing/>
              <w:rPr>
                <w:rFonts w:ascii="Verdana" w:hAnsi="Verdana" w:cs="Arial"/>
                <w:sz w:val="16"/>
                <w:szCs w:val="16"/>
                <w:lang w:val="es-ES" w:eastAsia="es-ES"/>
              </w:rPr>
            </w:pPr>
            <w:r w:rsidRPr="00E1043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72315B9" w14:textId="77777777" w:rsidR="0080789C" w:rsidRPr="00E10433" w:rsidRDefault="0080789C" w:rsidP="007B0886">
            <w:pPr>
              <w:contextualSpacing/>
              <w:rPr>
                <w:rFonts w:ascii="Verdana" w:eastAsia="Arial" w:hAnsi="Verdana" w:cs="Arial"/>
                <w:color w:val="000000" w:themeColor="text1"/>
                <w:sz w:val="16"/>
                <w:szCs w:val="16"/>
                <w:lang w:val="es-ES"/>
              </w:rPr>
            </w:pPr>
            <w:r w:rsidRPr="00E10433">
              <w:rPr>
                <w:rFonts w:ascii="Verdana" w:eastAsia="Arial" w:hAnsi="Verdana" w:cs="Arial"/>
                <w:color w:val="000000" w:themeColor="text1"/>
                <w:sz w:val="16"/>
                <w:szCs w:val="16"/>
                <w:lang w:val="es-ES"/>
              </w:rPr>
              <w:t>Anamaría Bonilla Prieto</w:t>
            </w:r>
          </w:p>
          <w:p w14:paraId="480548E0" w14:textId="77777777" w:rsidR="0080789C" w:rsidRPr="00E10433" w:rsidRDefault="0080789C" w:rsidP="007B0886">
            <w:pPr>
              <w:contextualSpacing/>
              <w:rPr>
                <w:rFonts w:ascii="Verdana" w:eastAsia="Arial" w:hAnsi="Verdana" w:cs="Arial"/>
                <w:sz w:val="16"/>
                <w:szCs w:val="16"/>
                <w:lang w:val="es-ES"/>
              </w:rPr>
            </w:pPr>
            <w:r w:rsidRPr="00E10433">
              <w:rPr>
                <w:rStyle w:val="normaltextrun"/>
                <w:rFonts w:ascii="Verdana" w:eastAsia="Arial" w:hAnsi="Verdana" w:cs="Arial"/>
                <w:color w:val="000000" w:themeColor="text1"/>
                <w:sz w:val="16"/>
                <w:szCs w:val="16"/>
                <w:lang w:val="es-ES"/>
              </w:rPr>
              <w:t xml:space="preserve">Contratista de la Subdirección </w:t>
            </w:r>
            <w:r w:rsidRPr="00E10433">
              <w:rPr>
                <w:rStyle w:val="normaltextrun"/>
                <w:rFonts w:ascii="Verdana" w:eastAsia="Arial" w:hAnsi="Verdana" w:cs="Arial"/>
                <w:sz w:val="16"/>
                <w:szCs w:val="16"/>
                <w:lang w:val="es-ES"/>
              </w:rPr>
              <w:t>de Gestión Contractual</w:t>
            </w:r>
          </w:p>
        </w:tc>
      </w:tr>
      <w:tr w:rsidR="0080789C" w:rsidRPr="00E10433" w14:paraId="679A9C1A" w14:textId="77777777" w:rsidTr="007B0886">
        <w:trPr>
          <w:trHeight w:val="330"/>
        </w:trPr>
        <w:tc>
          <w:tcPr>
            <w:tcW w:w="893" w:type="dxa"/>
            <w:vAlign w:val="center"/>
            <w:hideMark/>
          </w:tcPr>
          <w:p w14:paraId="0AC243E7" w14:textId="77777777" w:rsidR="0080789C" w:rsidRPr="00E10433" w:rsidRDefault="0080789C" w:rsidP="007B0886">
            <w:pPr>
              <w:contextualSpacing/>
              <w:rPr>
                <w:rFonts w:ascii="Verdana" w:hAnsi="Verdana" w:cs="Arial"/>
                <w:sz w:val="16"/>
                <w:szCs w:val="16"/>
                <w:lang w:val="es-ES" w:eastAsia="es-ES"/>
              </w:rPr>
            </w:pPr>
            <w:r w:rsidRPr="00E1043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B3B834" w14:textId="77777777" w:rsidR="0080789C" w:rsidRPr="00E10433" w:rsidRDefault="0080789C" w:rsidP="007B0886">
            <w:pPr>
              <w:pStyle w:val="paragraph"/>
              <w:spacing w:before="0" w:beforeAutospacing="0" w:after="0" w:afterAutospacing="0"/>
              <w:contextualSpacing/>
              <w:textAlignment w:val="baseline"/>
              <w:rPr>
                <w:rFonts w:ascii="Verdana" w:hAnsi="Verdana" w:cs="Segoe UI"/>
                <w:sz w:val="16"/>
                <w:szCs w:val="16"/>
                <w:lang w:val="es-ES"/>
              </w:rPr>
            </w:pPr>
            <w:r w:rsidRPr="00E10433">
              <w:rPr>
                <w:rFonts w:ascii="Verdana" w:hAnsi="Verdana" w:cs="Segoe UI"/>
                <w:sz w:val="16"/>
                <w:szCs w:val="16"/>
                <w:lang w:val="es-ES"/>
              </w:rPr>
              <w:t>Diana Saavedra Castañeda</w:t>
            </w:r>
          </w:p>
          <w:p w14:paraId="5EAE8113" w14:textId="77777777" w:rsidR="0080789C" w:rsidRPr="00E10433" w:rsidRDefault="0080789C" w:rsidP="007B0886">
            <w:pPr>
              <w:pStyle w:val="paragraph"/>
              <w:spacing w:before="0" w:beforeAutospacing="0" w:after="0" w:afterAutospacing="0"/>
              <w:contextualSpacing/>
              <w:textAlignment w:val="baseline"/>
              <w:rPr>
                <w:rFonts w:ascii="Verdana" w:hAnsi="Verdana" w:cs="Segoe UI"/>
                <w:sz w:val="16"/>
                <w:szCs w:val="16"/>
                <w:lang w:val="es-ES"/>
              </w:rPr>
            </w:pPr>
            <w:r w:rsidRPr="00E10433">
              <w:rPr>
                <w:rStyle w:val="normaltextrun"/>
                <w:rFonts w:ascii="Verdana" w:eastAsia="Arial" w:hAnsi="Verdana" w:cs="Arial"/>
                <w:color w:val="000000" w:themeColor="text1"/>
                <w:sz w:val="16"/>
                <w:szCs w:val="16"/>
                <w:lang w:val="es-ES"/>
              </w:rPr>
              <w:t xml:space="preserve">Contratista de la Subdirección </w:t>
            </w:r>
            <w:r w:rsidRPr="00E10433">
              <w:rPr>
                <w:rStyle w:val="normaltextrun"/>
                <w:rFonts w:ascii="Verdana" w:eastAsia="Arial" w:hAnsi="Verdana" w:cs="Arial"/>
                <w:sz w:val="16"/>
                <w:szCs w:val="16"/>
                <w:lang w:val="es-ES"/>
              </w:rPr>
              <w:t>de Gestión Contractual</w:t>
            </w:r>
          </w:p>
        </w:tc>
      </w:tr>
      <w:tr w:rsidR="0080789C" w:rsidRPr="00E10433" w14:paraId="51C3EAB3" w14:textId="77777777" w:rsidTr="007B0886">
        <w:trPr>
          <w:trHeight w:val="300"/>
        </w:trPr>
        <w:tc>
          <w:tcPr>
            <w:tcW w:w="893" w:type="dxa"/>
            <w:vAlign w:val="center"/>
          </w:tcPr>
          <w:p w14:paraId="3163885C" w14:textId="77777777" w:rsidR="0080789C" w:rsidRPr="00E10433" w:rsidRDefault="0080789C" w:rsidP="007B0886">
            <w:pPr>
              <w:contextualSpacing/>
              <w:rPr>
                <w:rFonts w:ascii="Verdana" w:hAnsi="Verdana" w:cs="Arial"/>
                <w:sz w:val="16"/>
                <w:szCs w:val="16"/>
                <w:lang w:val="es-ES" w:eastAsia="es-ES"/>
              </w:rPr>
            </w:pPr>
            <w:r w:rsidRPr="00E1043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272EF03" w14:textId="77777777" w:rsidR="0080789C" w:rsidRPr="00E10433" w:rsidRDefault="0080789C" w:rsidP="007B0886">
            <w:pPr>
              <w:contextualSpacing/>
              <w:rPr>
                <w:rFonts w:ascii="Verdana" w:eastAsia="Calibri" w:hAnsi="Verdana" w:cs="Arial"/>
                <w:sz w:val="16"/>
                <w:szCs w:val="16"/>
                <w:lang w:val="es-ES" w:eastAsia="es-ES"/>
              </w:rPr>
            </w:pPr>
            <w:r w:rsidRPr="00E10433">
              <w:rPr>
                <w:rFonts w:ascii="Verdana" w:eastAsia="Calibri" w:hAnsi="Verdana" w:cs="Arial"/>
                <w:sz w:val="16"/>
                <w:szCs w:val="16"/>
                <w:lang w:val="es-ES" w:eastAsia="es-ES"/>
              </w:rPr>
              <w:t>Carolina Quintero Gacharná</w:t>
            </w:r>
          </w:p>
          <w:p w14:paraId="1E482BC5" w14:textId="77777777" w:rsidR="0080789C" w:rsidRPr="00E10433" w:rsidRDefault="0080789C" w:rsidP="007B0886">
            <w:pPr>
              <w:contextualSpacing/>
              <w:rPr>
                <w:rFonts w:ascii="Verdana" w:eastAsia="Calibri" w:hAnsi="Verdana" w:cs="Arial"/>
                <w:sz w:val="16"/>
                <w:szCs w:val="16"/>
                <w:lang w:val="es-ES" w:eastAsia="es-ES"/>
              </w:rPr>
            </w:pPr>
            <w:r w:rsidRPr="00E10433">
              <w:rPr>
                <w:rFonts w:ascii="Verdana" w:eastAsia="Calibri" w:hAnsi="Verdana" w:cs="Arial"/>
                <w:sz w:val="16"/>
                <w:szCs w:val="16"/>
                <w:lang w:val="es-ES" w:eastAsia="es-ES"/>
              </w:rPr>
              <w:t>Subdirectora de Gestión Contractual ANCP – CCE</w:t>
            </w:r>
          </w:p>
        </w:tc>
      </w:tr>
    </w:tbl>
    <w:p w14:paraId="640FAF77" w14:textId="3BFAFBD4" w:rsidR="0080789C" w:rsidRPr="00E10433" w:rsidRDefault="0080789C" w:rsidP="0080789C">
      <w:pPr>
        <w:spacing w:after="0" w:line="276" w:lineRule="auto"/>
        <w:jc w:val="center"/>
        <w:rPr>
          <w:lang w:val="es-ES"/>
        </w:rPr>
      </w:pPr>
    </w:p>
    <w:bookmarkEnd w:id="0"/>
    <w:p w14:paraId="48CB4B49" w14:textId="77777777" w:rsidR="0080789C" w:rsidRPr="00E10433" w:rsidRDefault="0080789C" w:rsidP="0080789C">
      <w:pPr>
        <w:spacing w:after="0" w:line="240" w:lineRule="auto"/>
        <w:textAlignment w:val="baseline"/>
        <w:rPr>
          <w:rFonts w:ascii="Verdana" w:eastAsia="Times New Roman" w:hAnsi="Verdana" w:cs="Segoe UI"/>
          <w:b/>
          <w:bCs/>
          <w:color w:val="46589C"/>
          <w:lang w:val="es-ES" w:eastAsia="es-CO"/>
        </w:rPr>
      </w:pPr>
    </w:p>
    <w:p w14:paraId="3A140E4E" w14:textId="77777777" w:rsidR="0080789C" w:rsidRPr="00E10433" w:rsidRDefault="0080789C" w:rsidP="0080789C">
      <w:pPr>
        <w:rPr>
          <w:lang w:val="es-ES"/>
        </w:rPr>
      </w:pPr>
    </w:p>
    <w:p w14:paraId="2E75978F" w14:textId="77777777" w:rsidR="0080789C" w:rsidRPr="00E10433" w:rsidRDefault="0080789C" w:rsidP="0080789C">
      <w:pPr>
        <w:rPr>
          <w:lang w:val="es-ES"/>
        </w:rPr>
      </w:pPr>
    </w:p>
    <w:p w14:paraId="0F293BF4" w14:textId="7F644EAE" w:rsidR="00127233" w:rsidRPr="0080789C" w:rsidRDefault="00127233" w:rsidP="0080789C"/>
    <w:sectPr w:rsidR="00127233" w:rsidRPr="0080789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200ACA" w14:textId="77777777" w:rsidR="00C56D7B" w:rsidRDefault="00C56D7B" w:rsidP="004A1847">
      <w:pPr>
        <w:spacing w:after="0" w:line="240" w:lineRule="auto"/>
      </w:pPr>
      <w:r>
        <w:separator/>
      </w:r>
    </w:p>
  </w:endnote>
  <w:endnote w:type="continuationSeparator" w:id="0">
    <w:p w14:paraId="558C8F38" w14:textId="77777777" w:rsidR="00C56D7B" w:rsidRDefault="00C56D7B" w:rsidP="004A1847">
      <w:pPr>
        <w:spacing w:after="0" w:line="240" w:lineRule="auto"/>
      </w:pPr>
      <w:r>
        <w:continuationSeparator/>
      </w:r>
    </w:p>
  </w:endnote>
  <w:endnote w:type="continuationNotice" w:id="1">
    <w:p w14:paraId="3AC0ABD1" w14:textId="77777777" w:rsidR="00C56D7B" w:rsidRDefault="00C56D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BCE2F0" w14:textId="77777777" w:rsidR="00C56D7B" w:rsidRDefault="00C56D7B" w:rsidP="004A1847">
      <w:pPr>
        <w:spacing w:after="0" w:line="240" w:lineRule="auto"/>
      </w:pPr>
      <w:r>
        <w:separator/>
      </w:r>
    </w:p>
  </w:footnote>
  <w:footnote w:type="continuationSeparator" w:id="0">
    <w:p w14:paraId="1F4A16F0" w14:textId="77777777" w:rsidR="00C56D7B" w:rsidRDefault="00C56D7B" w:rsidP="004A1847">
      <w:pPr>
        <w:spacing w:after="0" w:line="240" w:lineRule="auto"/>
      </w:pPr>
      <w:r>
        <w:continuationSeparator/>
      </w:r>
    </w:p>
  </w:footnote>
  <w:footnote w:type="continuationNotice" w:id="1">
    <w:p w14:paraId="639306C1" w14:textId="77777777" w:rsidR="00C56D7B" w:rsidRDefault="00C56D7B">
      <w:pPr>
        <w:spacing w:after="0" w:line="240" w:lineRule="auto"/>
      </w:pPr>
    </w:p>
  </w:footnote>
  <w:footnote w:id="2">
    <w:p w14:paraId="301B135C" w14:textId="77777777" w:rsidR="003C2794" w:rsidRPr="00976BF2" w:rsidRDefault="003C2794" w:rsidP="003C2794">
      <w:pPr>
        <w:tabs>
          <w:tab w:val="left" w:pos="8222"/>
        </w:tabs>
        <w:snapToGrid w:val="0"/>
        <w:spacing w:after="0" w:line="240" w:lineRule="auto"/>
        <w:ind w:right="49" w:firstLine="687"/>
        <w:contextualSpacing/>
        <w:jc w:val="both"/>
        <w:rPr>
          <w:rFonts w:ascii="Verdana" w:hAnsi="Verdana" w:cs="Arial"/>
          <w:sz w:val="16"/>
          <w:szCs w:val="16"/>
        </w:rPr>
      </w:pPr>
      <w:r w:rsidRPr="00976BF2">
        <w:rPr>
          <w:rStyle w:val="FootnoteReference"/>
          <w:rFonts w:ascii="Verdana" w:hAnsi="Verdana" w:cs="Arial"/>
          <w:sz w:val="16"/>
          <w:szCs w:val="16"/>
        </w:rPr>
        <w:footnoteRef/>
      </w:r>
      <w:r w:rsidRPr="00976BF2">
        <w:rPr>
          <w:rFonts w:ascii="Verdana" w:hAnsi="Verdana" w:cs="Arial"/>
          <w:sz w:val="16"/>
          <w:szCs w:val="16"/>
        </w:rPr>
        <w:t xml:space="preserve"> </w:t>
      </w:r>
      <w:r w:rsidRPr="00976BF2">
        <w:rPr>
          <w:rFonts w:ascii="Verdana" w:hAnsi="Verdana" w:cs="Arial"/>
          <w:spacing w:val="-1"/>
          <w:sz w:val="16"/>
          <w:szCs w:val="16"/>
        </w:rPr>
        <w:t xml:space="preserve">“Art. 98. Por el contrato de sociedad dos o más personas </w:t>
      </w:r>
      <w:r w:rsidRPr="00976BF2">
        <w:rPr>
          <w:rFonts w:ascii="Verdana" w:hAnsi="Verdana" w:cs="Arial"/>
          <w:sz w:val="16"/>
          <w:szCs w:val="16"/>
        </w:rPr>
        <w:t>se obligan a hacer un aporte en</w:t>
      </w:r>
      <w:r w:rsidRPr="00976BF2">
        <w:rPr>
          <w:rFonts w:ascii="Verdana" w:hAnsi="Verdana" w:cs="Arial"/>
          <w:spacing w:val="1"/>
          <w:sz w:val="16"/>
          <w:szCs w:val="16"/>
        </w:rPr>
        <w:t xml:space="preserve"> </w:t>
      </w:r>
      <w:r w:rsidRPr="00976BF2">
        <w:rPr>
          <w:rFonts w:ascii="Verdana" w:hAnsi="Verdana" w:cs="Arial"/>
          <w:sz w:val="16"/>
          <w:szCs w:val="16"/>
        </w:rPr>
        <w:t>dinero, en trabajo o en</w:t>
      </w:r>
      <w:r w:rsidRPr="00976BF2">
        <w:rPr>
          <w:rFonts w:ascii="Verdana" w:hAnsi="Verdana" w:cs="Arial"/>
          <w:spacing w:val="1"/>
          <w:sz w:val="16"/>
          <w:szCs w:val="16"/>
        </w:rPr>
        <w:t xml:space="preserve"> </w:t>
      </w:r>
      <w:r w:rsidRPr="00976BF2">
        <w:rPr>
          <w:rFonts w:ascii="Verdana" w:hAnsi="Verdana" w:cs="Arial"/>
          <w:sz w:val="16"/>
          <w:szCs w:val="16"/>
        </w:rPr>
        <w:t>otros bienes apreciables en dinero, con el fin de repartirse entre sí las</w:t>
      </w:r>
      <w:r w:rsidRPr="00976BF2">
        <w:rPr>
          <w:rFonts w:ascii="Verdana" w:hAnsi="Verdana" w:cs="Arial"/>
          <w:spacing w:val="1"/>
          <w:sz w:val="16"/>
          <w:szCs w:val="16"/>
        </w:rPr>
        <w:t xml:space="preserve"> </w:t>
      </w:r>
      <w:r w:rsidRPr="00976BF2">
        <w:rPr>
          <w:rFonts w:ascii="Verdana" w:hAnsi="Verdana" w:cs="Arial"/>
          <w:sz w:val="16"/>
          <w:szCs w:val="16"/>
        </w:rPr>
        <w:t>utilidades</w:t>
      </w:r>
      <w:r w:rsidRPr="00976BF2">
        <w:rPr>
          <w:rFonts w:ascii="Verdana" w:hAnsi="Verdana" w:cs="Arial"/>
          <w:spacing w:val="18"/>
          <w:sz w:val="16"/>
          <w:szCs w:val="16"/>
        </w:rPr>
        <w:t xml:space="preserve"> </w:t>
      </w:r>
      <w:r w:rsidRPr="00976BF2">
        <w:rPr>
          <w:rFonts w:ascii="Verdana" w:hAnsi="Verdana" w:cs="Arial"/>
          <w:sz w:val="16"/>
          <w:szCs w:val="16"/>
        </w:rPr>
        <w:t>obtenidas</w:t>
      </w:r>
      <w:r w:rsidRPr="00976BF2">
        <w:rPr>
          <w:rFonts w:ascii="Verdana" w:hAnsi="Verdana" w:cs="Arial"/>
          <w:spacing w:val="18"/>
          <w:sz w:val="16"/>
          <w:szCs w:val="16"/>
        </w:rPr>
        <w:t xml:space="preserve"> </w:t>
      </w:r>
      <w:r w:rsidRPr="00976BF2">
        <w:rPr>
          <w:rFonts w:ascii="Verdana" w:hAnsi="Verdana" w:cs="Arial"/>
          <w:sz w:val="16"/>
          <w:szCs w:val="16"/>
        </w:rPr>
        <w:t>en</w:t>
      </w:r>
      <w:r w:rsidRPr="00976BF2">
        <w:rPr>
          <w:rFonts w:ascii="Verdana" w:hAnsi="Verdana" w:cs="Arial"/>
          <w:spacing w:val="2"/>
          <w:sz w:val="16"/>
          <w:szCs w:val="16"/>
        </w:rPr>
        <w:t xml:space="preserve"> </w:t>
      </w:r>
      <w:r w:rsidRPr="00976BF2">
        <w:rPr>
          <w:rFonts w:ascii="Verdana" w:hAnsi="Verdana" w:cs="Arial"/>
          <w:sz w:val="16"/>
          <w:szCs w:val="16"/>
        </w:rPr>
        <w:t>la</w:t>
      </w:r>
      <w:r w:rsidRPr="00976BF2">
        <w:rPr>
          <w:rFonts w:ascii="Verdana" w:hAnsi="Verdana" w:cs="Arial"/>
          <w:spacing w:val="5"/>
          <w:sz w:val="16"/>
          <w:szCs w:val="16"/>
        </w:rPr>
        <w:t xml:space="preserve"> </w:t>
      </w:r>
      <w:r w:rsidRPr="00976BF2">
        <w:rPr>
          <w:rFonts w:ascii="Verdana" w:hAnsi="Verdana" w:cs="Arial"/>
          <w:sz w:val="16"/>
          <w:szCs w:val="16"/>
        </w:rPr>
        <w:t>empresa</w:t>
      </w:r>
      <w:r w:rsidRPr="00976BF2">
        <w:rPr>
          <w:rFonts w:ascii="Verdana" w:hAnsi="Verdana" w:cs="Arial"/>
          <w:spacing w:val="12"/>
          <w:sz w:val="16"/>
          <w:szCs w:val="16"/>
        </w:rPr>
        <w:t xml:space="preserve"> </w:t>
      </w:r>
      <w:r w:rsidRPr="00976BF2">
        <w:rPr>
          <w:rFonts w:ascii="Verdana" w:hAnsi="Verdana" w:cs="Arial"/>
          <w:sz w:val="16"/>
          <w:szCs w:val="16"/>
        </w:rPr>
        <w:t>o</w:t>
      </w:r>
      <w:r w:rsidRPr="00976BF2">
        <w:rPr>
          <w:rFonts w:ascii="Verdana" w:hAnsi="Verdana" w:cs="Arial"/>
          <w:spacing w:val="2"/>
          <w:sz w:val="16"/>
          <w:szCs w:val="16"/>
        </w:rPr>
        <w:t xml:space="preserve"> </w:t>
      </w:r>
      <w:r w:rsidRPr="00976BF2">
        <w:rPr>
          <w:rFonts w:ascii="Verdana" w:hAnsi="Verdana" w:cs="Arial"/>
          <w:sz w:val="16"/>
          <w:szCs w:val="16"/>
        </w:rPr>
        <w:t>actividad</w:t>
      </w:r>
      <w:r w:rsidRPr="00976BF2">
        <w:rPr>
          <w:rFonts w:ascii="Verdana" w:hAnsi="Verdana" w:cs="Arial"/>
          <w:spacing w:val="16"/>
          <w:sz w:val="16"/>
          <w:szCs w:val="16"/>
        </w:rPr>
        <w:t xml:space="preserve"> </w:t>
      </w:r>
      <w:r w:rsidRPr="00976BF2">
        <w:rPr>
          <w:rFonts w:ascii="Verdana" w:hAnsi="Verdana" w:cs="Arial"/>
          <w:sz w:val="16"/>
          <w:szCs w:val="16"/>
        </w:rPr>
        <w:t>social.</w:t>
      </w:r>
    </w:p>
    <w:p w14:paraId="19C27330" w14:textId="77777777" w:rsidR="003C2794" w:rsidRPr="00976BF2" w:rsidRDefault="003C2794" w:rsidP="003C2794">
      <w:pPr>
        <w:tabs>
          <w:tab w:val="left" w:pos="8222"/>
        </w:tabs>
        <w:snapToGrid w:val="0"/>
        <w:spacing w:after="0" w:line="240" w:lineRule="auto"/>
        <w:ind w:right="49" w:firstLine="687"/>
        <w:contextualSpacing/>
        <w:jc w:val="both"/>
        <w:rPr>
          <w:rFonts w:ascii="Verdana" w:hAnsi="Verdana" w:cs="Arial"/>
          <w:sz w:val="16"/>
          <w:szCs w:val="16"/>
        </w:rPr>
      </w:pPr>
      <w:r w:rsidRPr="00976BF2">
        <w:rPr>
          <w:rFonts w:ascii="Verdana" w:hAnsi="Verdana" w:cs="Arial"/>
          <w:sz w:val="16"/>
          <w:szCs w:val="16"/>
        </w:rPr>
        <w:t>La sociedad, una vez constituida legalmente. forma una persona jurídica distinta de los</w:t>
      </w:r>
      <w:r w:rsidRPr="00976BF2">
        <w:rPr>
          <w:rFonts w:ascii="Verdana" w:hAnsi="Verdana" w:cs="Arial"/>
          <w:spacing w:val="1"/>
          <w:sz w:val="16"/>
          <w:szCs w:val="16"/>
        </w:rPr>
        <w:t xml:space="preserve"> </w:t>
      </w:r>
      <w:r w:rsidRPr="00976BF2">
        <w:rPr>
          <w:rFonts w:ascii="Verdana" w:hAnsi="Verdana" w:cs="Arial"/>
          <w:sz w:val="16"/>
          <w:szCs w:val="16"/>
        </w:rPr>
        <w:t>socios</w:t>
      </w:r>
      <w:r w:rsidRPr="00976BF2">
        <w:rPr>
          <w:rFonts w:ascii="Verdana" w:hAnsi="Verdana" w:cs="Arial"/>
          <w:spacing w:val="14"/>
          <w:sz w:val="16"/>
          <w:szCs w:val="16"/>
        </w:rPr>
        <w:t xml:space="preserve"> </w:t>
      </w:r>
      <w:r w:rsidRPr="00976BF2">
        <w:rPr>
          <w:rFonts w:ascii="Verdana" w:hAnsi="Verdana" w:cs="Arial"/>
          <w:sz w:val="16"/>
          <w:szCs w:val="16"/>
        </w:rPr>
        <w:t>individualmente</w:t>
      </w:r>
      <w:r w:rsidRPr="00976BF2">
        <w:rPr>
          <w:rFonts w:ascii="Verdana" w:hAnsi="Verdana" w:cs="Arial"/>
          <w:spacing w:val="28"/>
          <w:sz w:val="16"/>
          <w:szCs w:val="16"/>
        </w:rPr>
        <w:t xml:space="preserve"> </w:t>
      </w:r>
      <w:r w:rsidRPr="00976BF2">
        <w:rPr>
          <w:rFonts w:ascii="Verdana" w:hAnsi="Verdana" w:cs="Arial"/>
          <w:sz w:val="16"/>
          <w:szCs w:val="16"/>
        </w:rPr>
        <w:t>considerados”.</w:t>
      </w:r>
    </w:p>
  </w:footnote>
  <w:footnote w:id="3">
    <w:p w14:paraId="53C9A5D8" w14:textId="77777777" w:rsidR="003C2794" w:rsidRPr="00976BF2" w:rsidRDefault="003C2794" w:rsidP="003C2794">
      <w:pPr>
        <w:tabs>
          <w:tab w:val="left" w:pos="8222"/>
        </w:tabs>
        <w:snapToGrid w:val="0"/>
        <w:spacing w:after="0" w:line="240" w:lineRule="auto"/>
        <w:ind w:right="49" w:firstLine="687"/>
        <w:contextualSpacing/>
        <w:jc w:val="both"/>
        <w:rPr>
          <w:rFonts w:ascii="Verdana" w:hAnsi="Verdana" w:cs="Arial"/>
          <w:sz w:val="16"/>
          <w:szCs w:val="16"/>
        </w:rPr>
      </w:pPr>
      <w:r w:rsidRPr="00976BF2">
        <w:rPr>
          <w:rStyle w:val="FootnoteReference"/>
          <w:rFonts w:ascii="Verdana" w:hAnsi="Verdana" w:cs="Arial"/>
          <w:sz w:val="16"/>
          <w:szCs w:val="16"/>
        </w:rPr>
        <w:footnoteRef/>
      </w:r>
      <w:r w:rsidRPr="00976BF2">
        <w:rPr>
          <w:rFonts w:ascii="Verdana" w:hAnsi="Verdana" w:cs="Arial"/>
          <w:sz w:val="16"/>
          <w:szCs w:val="16"/>
        </w:rPr>
        <w:t xml:space="preserve"> “Art.</w:t>
      </w:r>
      <w:r w:rsidRPr="00976BF2">
        <w:rPr>
          <w:rFonts w:ascii="Verdana" w:hAnsi="Verdana" w:cs="Arial"/>
          <w:spacing w:val="52"/>
          <w:sz w:val="16"/>
          <w:szCs w:val="16"/>
        </w:rPr>
        <w:t xml:space="preserve"> </w:t>
      </w:r>
      <w:r w:rsidRPr="00976BF2">
        <w:rPr>
          <w:rFonts w:ascii="Verdana" w:hAnsi="Verdana" w:cs="Arial"/>
          <w:sz w:val="16"/>
          <w:szCs w:val="16"/>
        </w:rPr>
        <w:t>100. Se tendrán como comerciales. para</w:t>
      </w:r>
      <w:r w:rsidRPr="00976BF2">
        <w:rPr>
          <w:rFonts w:ascii="Verdana" w:hAnsi="Verdana" w:cs="Arial"/>
          <w:spacing w:val="53"/>
          <w:sz w:val="16"/>
          <w:szCs w:val="16"/>
        </w:rPr>
        <w:t xml:space="preserve"> </w:t>
      </w:r>
      <w:r w:rsidRPr="00976BF2">
        <w:rPr>
          <w:rFonts w:ascii="Verdana" w:hAnsi="Verdana" w:cs="Arial"/>
          <w:sz w:val="16"/>
          <w:szCs w:val="16"/>
        </w:rPr>
        <w:t>todos los efectos legales las sociedades</w:t>
      </w:r>
      <w:r w:rsidRPr="00976BF2">
        <w:rPr>
          <w:rFonts w:ascii="Verdana" w:hAnsi="Verdana" w:cs="Arial"/>
          <w:spacing w:val="1"/>
          <w:sz w:val="16"/>
          <w:szCs w:val="16"/>
        </w:rPr>
        <w:t xml:space="preserve"> </w:t>
      </w:r>
      <w:r w:rsidRPr="00976BF2">
        <w:rPr>
          <w:rFonts w:ascii="Verdana" w:hAnsi="Verdana" w:cs="Arial"/>
          <w:spacing w:val="-1"/>
          <w:sz w:val="16"/>
          <w:szCs w:val="16"/>
        </w:rPr>
        <w:t xml:space="preserve">que se formen para la ejecución de actos o empresas </w:t>
      </w:r>
      <w:r w:rsidRPr="00976BF2">
        <w:rPr>
          <w:rFonts w:ascii="Verdana" w:hAnsi="Verdana" w:cs="Arial"/>
          <w:sz w:val="16"/>
          <w:szCs w:val="16"/>
        </w:rPr>
        <w:t>mercantiles. Si la empresa social comprende</w:t>
      </w:r>
      <w:r w:rsidRPr="00976BF2">
        <w:rPr>
          <w:rFonts w:ascii="Verdana" w:hAnsi="Verdana" w:cs="Arial"/>
          <w:spacing w:val="1"/>
          <w:sz w:val="16"/>
          <w:szCs w:val="16"/>
        </w:rPr>
        <w:t xml:space="preserve"> </w:t>
      </w:r>
      <w:r w:rsidRPr="00976BF2">
        <w:rPr>
          <w:rFonts w:ascii="Verdana" w:hAnsi="Verdana" w:cs="Arial"/>
          <w:sz w:val="16"/>
          <w:szCs w:val="16"/>
        </w:rPr>
        <w:t>actos mercantiles y actos que no tengan esa calidad, la sociedad será comercial. Las sociedades</w:t>
      </w:r>
      <w:r w:rsidRPr="00976BF2">
        <w:rPr>
          <w:rFonts w:ascii="Verdana" w:hAnsi="Verdana" w:cs="Arial"/>
          <w:spacing w:val="1"/>
          <w:sz w:val="16"/>
          <w:szCs w:val="16"/>
        </w:rPr>
        <w:t xml:space="preserve"> </w:t>
      </w:r>
      <w:r w:rsidRPr="00976BF2">
        <w:rPr>
          <w:rFonts w:ascii="Verdana" w:hAnsi="Verdana" w:cs="Arial"/>
          <w:sz w:val="16"/>
          <w:szCs w:val="16"/>
        </w:rPr>
        <w:t>que</w:t>
      </w:r>
      <w:r w:rsidRPr="00976BF2">
        <w:rPr>
          <w:rFonts w:ascii="Verdana" w:hAnsi="Verdana" w:cs="Arial"/>
          <w:spacing w:val="7"/>
          <w:sz w:val="16"/>
          <w:szCs w:val="16"/>
        </w:rPr>
        <w:t xml:space="preserve"> </w:t>
      </w:r>
      <w:r w:rsidRPr="00976BF2">
        <w:rPr>
          <w:rFonts w:ascii="Verdana" w:hAnsi="Verdana" w:cs="Arial"/>
          <w:sz w:val="16"/>
          <w:szCs w:val="16"/>
        </w:rPr>
        <w:t>no</w:t>
      </w:r>
      <w:r w:rsidRPr="00976BF2">
        <w:rPr>
          <w:rFonts w:ascii="Verdana" w:hAnsi="Verdana" w:cs="Arial"/>
          <w:spacing w:val="1"/>
          <w:sz w:val="16"/>
          <w:szCs w:val="16"/>
        </w:rPr>
        <w:t xml:space="preserve"> </w:t>
      </w:r>
      <w:r w:rsidRPr="00976BF2">
        <w:rPr>
          <w:rFonts w:ascii="Verdana" w:hAnsi="Verdana" w:cs="Arial"/>
          <w:sz w:val="16"/>
          <w:szCs w:val="16"/>
        </w:rPr>
        <w:t>contemplen</w:t>
      </w:r>
      <w:r w:rsidRPr="00976BF2">
        <w:rPr>
          <w:rFonts w:ascii="Verdana" w:hAnsi="Verdana" w:cs="Arial"/>
          <w:spacing w:val="25"/>
          <w:sz w:val="16"/>
          <w:szCs w:val="16"/>
        </w:rPr>
        <w:t xml:space="preserve"> </w:t>
      </w:r>
      <w:r w:rsidRPr="00976BF2">
        <w:rPr>
          <w:rFonts w:ascii="Verdana" w:hAnsi="Verdana" w:cs="Arial"/>
          <w:sz w:val="16"/>
          <w:szCs w:val="16"/>
        </w:rPr>
        <w:t>en</w:t>
      </w:r>
      <w:r w:rsidRPr="00976BF2">
        <w:rPr>
          <w:rFonts w:ascii="Verdana" w:hAnsi="Verdana" w:cs="Arial"/>
          <w:spacing w:val="7"/>
          <w:sz w:val="16"/>
          <w:szCs w:val="16"/>
        </w:rPr>
        <w:t xml:space="preserve"> </w:t>
      </w:r>
      <w:r w:rsidRPr="00976BF2">
        <w:rPr>
          <w:rFonts w:ascii="Verdana" w:hAnsi="Verdana" w:cs="Arial"/>
          <w:sz w:val="16"/>
          <w:szCs w:val="16"/>
        </w:rPr>
        <w:t>su</w:t>
      </w:r>
      <w:r w:rsidRPr="00976BF2">
        <w:rPr>
          <w:rFonts w:ascii="Verdana" w:hAnsi="Verdana" w:cs="Arial"/>
          <w:spacing w:val="9"/>
          <w:sz w:val="16"/>
          <w:szCs w:val="16"/>
        </w:rPr>
        <w:t xml:space="preserve"> </w:t>
      </w:r>
      <w:r w:rsidRPr="00976BF2">
        <w:rPr>
          <w:rFonts w:ascii="Verdana" w:hAnsi="Verdana" w:cs="Arial"/>
          <w:sz w:val="16"/>
          <w:szCs w:val="16"/>
        </w:rPr>
        <w:t>objeto</w:t>
      </w:r>
      <w:r w:rsidRPr="00976BF2">
        <w:rPr>
          <w:rFonts w:ascii="Verdana" w:hAnsi="Verdana" w:cs="Arial"/>
          <w:spacing w:val="5"/>
          <w:sz w:val="16"/>
          <w:szCs w:val="16"/>
        </w:rPr>
        <w:t xml:space="preserve"> </w:t>
      </w:r>
      <w:r w:rsidRPr="00976BF2">
        <w:rPr>
          <w:rFonts w:ascii="Verdana" w:hAnsi="Verdana" w:cs="Arial"/>
          <w:sz w:val="16"/>
          <w:szCs w:val="16"/>
        </w:rPr>
        <w:t>social</w:t>
      </w:r>
      <w:r w:rsidRPr="00976BF2">
        <w:rPr>
          <w:rFonts w:ascii="Verdana" w:hAnsi="Verdana" w:cs="Arial"/>
          <w:spacing w:val="3"/>
          <w:sz w:val="16"/>
          <w:szCs w:val="16"/>
        </w:rPr>
        <w:t xml:space="preserve"> </w:t>
      </w:r>
      <w:r w:rsidRPr="00976BF2">
        <w:rPr>
          <w:rFonts w:ascii="Verdana" w:hAnsi="Verdana" w:cs="Arial"/>
          <w:sz w:val="16"/>
          <w:szCs w:val="16"/>
        </w:rPr>
        <w:t>actos</w:t>
      </w:r>
      <w:r w:rsidRPr="00976BF2">
        <w:rPr>
          <w:rFonts w:ascii="Verdana" w:hAnsi="Verdana" w:cs="Arial"/>
          <w:spacing w:val="14"/>
          <w:sz w:val="16"/>
          <w:szCs w:val="16"/>
        </w:rPr>
        <w:t xml:space="preserve"> </w:t>
      </w:r>
      <w:r w:rsidRPr="00976BF2">
        <w:rPr>
          <w:rFonts w:ascii="Verdana" w:hAnsi="Verdana" w:cs="Arial"/>
          <w:sz w:val="16"/>
          <w:szCs w:val="16"/>
        </w:rPr>
        <w:t>mercantiles</w:t>
      </w:r>
      <w:r w:rsidRPr="00976BF2">
        <w:rPr>
          <w:rFonts w:ascii="Verdana" w:hAnsi="Verdana" w:cs="Arial"/>
          <w:spacing w:val="19"/>
          <w:sz w:val="16"/>
          <w:szCs w:val="16"/>
        </w:rPr>
        <w:t xml:space="preserve"> </w:t>
      </w:r>
      <w:r w:rsidRPr="00976BF2">
        <w:rPr>
          <w:rFonts w:ascii="Verdana" w:hAnsi="Verdana" w:cs="Arial"/>
          <w:sz w:val="16"/>
          <w:szCs w:val="16"/>
        </w:rPr>
        <w:t>serán</w:t>
      </w:r>
      <w:r w:rsidRPr="00976BF2">
        <w:rPr>
          <w:rFonts w:ascii="Verdana" w:hAnsi="Verdana" w:cs="Arial"/>
          <w:spacing w:val="10"/>
          <w:sz w:val="16"/>
          <w:szCs w:val="16"/>
        </w:rPr>
        <w:t xml:space="preserve"> </w:t>
      </w:r>
      <w:r w:rsidRPr="00976BF2">
        <w:rPr>
          <w:rFonts w:ascii="Verdana" w:hAnsi="Verdana" w:cs="Arial"/>
          <w:sz w:val="16"/>
          <w:szCs w:val="16"/>
        </w:rPr>
        <w:t>civiles.</w:t>
      </w:r>
    </w:p>
    <w:p w14:paraId="79EC2C27" w14:textId="77777777" w:rsidR="003C2794" w:rsidRPr="00976BF2" w:rsidRDefault="003C2794" w:rsidP="003C2794">
      <w:pPr>
        <w:tabs>
          <w:tab w:val="left" w:pos="8222"/>
        </w:tabs>
        <w:snapToGrid w:val="0"/>
        <w:spacing w:after="0" w:line="240" w:lineRule="auto"/>
        <w:ind w:right="49" w:firstLine="687"/>
        <w:contextualSpacing/>
        <w:jc w:val="both"/>
        <w:rPr>
          <w:rFonts w:ascii="Verdana" w:hAnsi="Verdana" w:cs="Arial"/>
          <w:sz w:val="16"/>
          <w:szCs w:val="16"/>
          <w:lang w:val="es-ES"/>
        </w:rPr>
      </w:pPr>
      <w:r w:rsidRPr="00976BF2">
        <w:rPr>
          <w:rFonts w:ascii="Verdana" w:hAnsi="Verdana" w:cs="Arial"/>
          <w:sz w:val="16"/>
          <w:szCs w:val="16"/>
        </w:rPr>
        <w:t>Sin embargo, cualquiera que sea su objeto. las sociedades comerciales y civiles estarán</w:t>
      </w:r>
      <w:r w:rsidRPr="00976BF2">
        <w:rPr>
          <w:rFonts w:ascii="Verdana" w:hAnsi="Verdana" w:cs="Arial"/>
          <w:spacing w:val="1"/>
          <w:sz w:val="16"/>
          <w:szCs w:val="16"/>
        </w:rPr>
        <w:t xml:space="preserve"> </w:t>
      </w:r>
      <w:r w:rsidRPr="00976BF2">
        <w:rPr>
          <w:rFonts w:ascii="Verdana" w:hAnsi="Verdana" w:cs="Arial"/>
          <w:sz w:val="16"/>
          <w:szCs w:val="16"/>
        </w:rPr>
        <w:t>sujetas,</w:t>
      </w:r>
      <w:r w:rsidRPr="00976BF2">
        <w:rPr>
          <w:rFonts w:ascii="Verdana" w:hAnsi="Verdana" w:cs="Arial"/>
          <w:spacing w:val="4"/>
          <w:sz w:val="16"/>
          <w:szCs w:val="16"/>
        </w:rPr>
        <w:t xml:space="preserve"> </w:t>
      </w:r>
      <w:r w:rsidRPr="00976BF2">
        <w:rPr>
          <w:rFonts w:ascii="Verdana" w:hAnsi="Verdana" w:cs="Arial"/>
          <w:sz w:val="16"/>
          <w:szCs w:val="16"/>
        </w:rPr>
        <w:t>para</w:t>
      </w:r>
      <w:r w:rsidRPr="00976BF2">
        <w:rPr>
          <w:rFonts w:ascii="Verdana" w:hAnsi="Verdana" w:cs="Arial"/>
          <w:spacing w:val="22"/>
          <w:sz w:val="16"/>
          <w:szCs w:val="16"/>
        </w:rPr>
        <w:t xml:space="preserve"> </w:t>
      </w:r>
      <w:r w:rsidRPr="00976BF2">
        <w:rPr>
          <w:rFonts w:ascii="Verdana" w:hAnsi="Verdana" w:cs="Arial"/>
          <w:sz w:val="16"/>
          <w:szCs w:val="16"/>
        </w:rPr>
        <w:t>todos</w:t>
      </w:r>
      <w:r w:rsidRPr="00976BF2">
        <w:rPr>
          <w:rFonts w:ascii="Verdana" w:hAnsi="Verdana" w:cs="Arial"/>
          <w:spacing w:val="14"/>
          <w:sz w:val="16"/>
          <w:szCs w:val="16"/>
        </w:rPr>
        <w:t xml:space="preserve"> </w:t>
      </w:r>
      <w:r w:rsidRPr="00976BF2">
        <w:rPr>
          <w:rFonts w:ascii="Verdana" w:hAnsi="Verdana" w:cs="Arial"/>
          <w:sz w:val="16"/>
          <w:szCs w:val="16"/>
        </w:rPr>
        <w:t>los</w:t>
      </w:r>
      <w:r w:rsidRPr="00976BF2">
        <w:rPr>
          <w:rFonts w:ascii="Verdana" w:hAnsi="Verdana" w:cs="Arial"/>
          <w:spacing w:val="19"/>
          <w:sz w:val="16"/>
          <w:szCs w:val="16"/>
        </w:rPr>
        <w:t xml:space="preserve"> </w:t>
      </w:r>
      <w:r w:rsidRPr="00976BF2">
        <w:rPr>
          <w:rFonts w:ascii="Verdana" w:hAnsi="Verdana" w:cs="Arial"/>
          <w:sz w:val="16"/>
          <w:szCs w:val="16"/>
        </w:rPr>
        <w:t>efectos,</w:t>
      </w:r>
      <w:r w:rsidRPr="00976BF2">
        <w:rPr>
          <w:rFonts w:ascii="Verdana" w:hAnsi="Verdana" w:cs="Arial"/>
          <w:spacing w:val="15"/>
          <w:sz w:val="16"/>
          <w:szCs w:val="16"/>
        </w:rPr>
        <w:t xml:space="preserve"> </w:t>
      </w:r>
      <w:r w:rsidRPr="00976BF2">
        <w:rPr>
          <w:rFonts w:ascii="Verdana" w:hAnsi="Verdana" w:cs="Arial"/>
          <w:sz w:val="16"/>
          <w:szCs w:val="16"/>
        </w:rPr>
        <w:t>a</w:t>
      </w:r>
      <w:r w:rsidRPr="00976BF2">
        <w:rPr>
          <w:rFonts w:ascii="Verdana" w:hAnsi="Verdana" w:cs="Arial"/>
          <w:spacing w:val="9"/>
          <w:sz w:val="16"/>
          <w:szCs w:val="16"/>
        </w:rPr>
        <w:t xml:space="preserve"> </w:t>
      </w:r>
      <w:r w:rsidRPr="00976BF2">
        <w:rPr>
          <w:rFonts w:ascii="Verdana" w:hAnsi="Verdana" w:cs="Arial"/>
          <w:sz w:val="16"/>
          <w:szCs w:val="16"/>
        </w:rPr>
        <w:t>la</w:t>
      </w:r>
      <w:r w:rsidRPr="00976BF2">
        <w:rPr>
          <w:rFonts w:ascii="Verdana" w:hAnsi="Verdana" w:cs="Arial"/>
          <w:spacing w:val="30"/>
          <w:sz w:val="16"/>
          <w:szCs w:val="16"/>
        </w:rPr>
        <w:t xml:space="preserve"> </w:t>
      </w:r>
      <w:r w:rsidRPr="00976BF2">
        <w:rPr>
          <w:rFonts w:ascii="Verdana" w:hAnsi="Verdana" w:cs="Arial"/>
          <w:sz w:val="16"/>
          <w:szCs w:val="16"/>
        </w:rPr>
        <w:t>legislación</w:t>
      </w:r>
      <w:r w:rsidRPr="00976BF2">
        <w:rPr>
          <w:rFonts w:ascii="Verdana" w:hAnsi="Verdana" w:cs="Arial"/>
          <w:spacing w:val="7"/>
          <w:sz w:val="16"/>
          <w:szCs w:val="16"/>
        </w:rPr>
        <w:t xml:space="preserve"> </w:t>
      </w:r>
      <w:r w:rsidRPr="00976BF2">
        <w:rPr>
          <w:rFonts w:ascii="Verdana" w:hAnsi="Verdana" w:cs="Arial"/>
          <w:sz w:val="16"/>
          <w:szCs w:val="16"/>
        </w:rPr>
        <w:t>mercantil”.</w:t>
      </w:r>
    </w:p>
  </w:footnote>
  <w:footnote w:id="4">
    <w:p w14:paraId="7466C874" w14:textId="77777777" w:rsidR="003C2794" w:rsidRPr="00976BF2" w:rsidRDefault="003C2794" w:rsidP="003C2794">
      <w:pPr>
        <w:tabs>
          <w:tab w:val="left" w:pos="8222"/>
        </w:tabs>
        <w:snapToGrid w:val="0"/>
        <w:spacing w:after="0" w:line="240" w:lineRule="auto"/>
        <w:ind w:right="51" w:firstLine="687"/>
        <w:contextualSpacing/>
        <w:jc w:val="both"/>
        <w:rPr>
          <w:rFonts w:ascii="Verdana" w:hAnsi="Verdana" w:cs="Arial"/>
          <w:sz w:val="16"/>
          <w:szCs w:val="16"/>
          <w:lang w:val="es-ES"/>
        </w:rPr>
      </w:pPr>
      <w:r w:rsidRPr="00976BF2">
        <w:rPr>
          <w:rStyle w:val="FootnoteReference"/>
          <w:rFonts w:ascii="Verdana" w:hAnsi="Verdana" w:cs="Arial"/>
          <w:sz w:val="16"/>
          <w:szCs w:val="16"/>
        </w:rPr>
        <w:footnoteRef/>
      </w:r>
      <w:r w:rsidRPr="00976BF2">
        <w:rPr>
          <w:rFonts w:ascii="Verdana" w:hAnsi="Verdana" w:cs="Arial"/>
          <w:sz w:val="16"/>
          <w:szCs w:val="16"/>
        </w:rPr>
        <w:t xml:space="preserve"> BARRERO</w:t>
      </w:r>
      <w:r w:rsidRPr="00976BF2">
        <w:rPr>
          <w:rFonts w:ascii="Verdana" w:hAnsi="Verdana" w:cs="Arial"/>
          <w:spacing w:val="2"/>
          <w:sz w:val="16"/>
          <w:szCs w:val="16"/>
        </w:rPr>
        <w:t xml:space="preserve"> </w:t>
      </w:r>
      <w:r w:rsidRPr="00976BF2">
        <w:rPr>
          <w:rFonts w:ascii="Verdana" w:hAnsi="Verdana" w:cs="Arial"/>
          <w:sz w:val="16"/>
          <w:szCs w:val="16"/>
        </w:rPr>
        <w:t>BUITRAGO,</w:t>
      </w:r>
      <w:r w:rsidRPr="00976BF2">
        <w:rPr>
          <w:rFonts w:ascii="Verdana" w:hAnsi="Verdana" w:cs="Arial"/>
          <w:spacing w:val="-2"/>
          <w:sz w:val="16"/>
          <w:szCs w:val="16"/>
        </w:rPr>
        <w:t xml:space="preserve"> </w:t>
      </w:r>
      <w:r w:rsidRPr="00976BF2">
        <w:rPr>
          <w:rFonts w:ascii="Verdana" w:hAnsi="Verdana" w:cs="Arial"/>
          <w:sz w:val="16"/>
          <w:szCs w:val="16"/>
        </w:rPr>
        <w:t>Álvaro.</w:t>
      </w:r>
      <w:r w:rsidRPr="00976BF2">
        <w:rPr>
          <w:rFonts w:ascii="Verdana" w:hAnsi="Verdana" w:cs="Arial"/>
          <w:spacing w:val="3"/>
          <w:sz w:val="16"/>
          <w:szCs w:val="16"/>
        </w:rPr>
        <w:t xml:space="preserve"> </w:t>
      </w:r>
      <w:r w:rsidRPr="00976BF2">
        <w:rPr>
          <w:rFonts w:ascii="Verdana" w:hAnsi="Verdana" w:cs="Arial"/>
          <w:sz w:val="16"/>
          <w:szCs w:val="16"/>
        </w:rPr>
        <w:t>Manual</w:t>
      </w:r>
      <w:r w:rsidRPr="00976BF2">
        <w:rPr>
          <w:rFonts w:ascii="Verdana" w:hAnsi="Verdana" w:cs="Arial"/>
          <w:spacing w:val="2"/>
          <w:sz w:val="16"/>
          <w:szCs w:val="16"/>
        </w:rPr>
        <w:t xml:space="preserve"> </w:t>
      </w:r>
      <w:r w:rsidRPr="00976BF2">
        <w:rPr>
          <w:rFonts w:ascii="Verdana" w:hAnsi="Verdana" w:cs="Arial"/>
          <w:sz w:val="16"/>
          <w:szCs w:val="16"/>
        </w:rPr>
        <w:t>para</w:t>
      </w:r>
      <w:r w:rsidRPr="00976BF2">
        <w:rPr>
          <w:rFonts w:ascii="Verdana" w:hAnsi="Verdana" w:cs="Arial"/>
          <w:spacing w:val="-6"/>
          <w:sz w:val="16"/>
          <w:szCs w:val="16"/>
        </w:rPr>
        <w:t xml:space="preserve"> </w:t>
      </w:r>
      <w:r w:rsidRPr="00976BF2">
        <w:rPr>
          <w:rFonts w:ascii="Verdana" w:hAnsi="Verdana" w:cs="Arial"/>
          <w:sz w:val="16"/>
          <w:szCs w:val="16"/>
        </w:rPr>
        <w:t>el</w:t>
      </w:r>
      <w:r w:rsidRPr="00976BF2">
        <w:rPr>
          <w:rFonts w:ascii="Verdana" w:hAnsi="Verdana" w:cs="Arial"/>
          <w:spacing w:val="-4"/>
          <w:sz w:val="16"/>
          <w:szCs w:val="16"/>
        </w:rPr>
        <w:t xml:space="preserve"> </w:t>
      </w:r>
      <w:r w:rsidRPr="00976BF2">
        <w:rPr>
          <w:rFonts w:ascii="Verdana" w:hAnsi="Verdana" w:cs="Arial"/>
          <w:sz w:val="16"/>
          <w:szCs w:val="16"/>
        </w:rPr>
        <w:t>establecimiento</w:t>
      </w:r>
      <w:r w:rsidRPr="00976BF2">
        <w:rPr>
          <w:rFonts w:ascii="Verdana" w:hAnsi="Verdana" w:cs="Arial"/>
          <w:spacing w:val="10"/>
          <w:sz w:val="16"/>
          <w:szCs w:val="16"/>
        </w:rPr>
        <w:t xml:space="preserve"> </w:t>
      </w:r>
      <w:r w:rsidRPr="00976BF2">
        <w:rPr>
          <w:rFonts w:ascii="Verdana" w:hAnsi="Verdana" w:cs="Arial"/>
          <w:sz w:val="16"/>
          <w:szCs w:val="16"/>
        </w:rPr>
        <w:t>de</w:t>
      </w:r>
      <w:r w:rsidRPr="00976BF2">
        <w:rPr>
          <w:rFonts w:ascii="Verdana" w:hAnsi="Verdana" w:cs="Arial"/>
          <w:spacing w:val="2"/>
          <w:sz w:val="16"/>
          <w:szCs w:val="16"/>
        </w:rPr>
        <w:t xml:space="preserve"> </w:t>
      </w:r>
      <w:r w:rsidRPr="00976BF2">
        <w:rPr>
          <w:rFonts w:ascii="Verdana" w:hAnsi="Verdana" w:cs="Arial"/>
          <w:sz w:val="16"/>
          <w:szCs w:val="16"/>
        </w:rPr>
        <w:t>sociedades.</w:t>
      </w:r>
      <w:r w:rsidRPr="00976BF2">
        <w:rPr>
          <w:rFonts w:ascii="Verdana" w:hAnsi="Verdana" w:cs="Arial"/>
          <w:spacing w:val="2"/>
          <w:sz w:val="16"/>
          <w:szCs w:val="16"/>
        </w:rPr>
        <w:t xml:space="preserve"> </w:t>
      </w:r>
      <w:r w:rsidRPr="00976BF2">
        <w:rPr>
          <w:rFonts w:ascii="Verdana" w:hAnsi="Verdana" w:cs="Arial"/>
          <w:sz w:val="16"/>
          <w:szCs w:val="16"/>
        </w:rPr>
        <w:t>4ª</w:t>
      </w:r>
      <w:r w:rsidRPr="00976BF2">
        <w:rPr>
          <w:rFonts w:ascii="Verdana" w:hAnsi="Verdana" w:cs="Arial"/>
          <w:spacing w:val="3"/>
          <w:sz w:val="16"/>
          <w:szCs w:val="16"/>
        </w:rPr>
        <w:t xml:space="preserve"> </w:t>
      </w:r>
      <w:r w:rsidRPr="00976BF2">
        <w:rPr>
          <w:rFonts w:ascii="Verdana" w:hAnsi="Verdana" w:cs="Arial"/>
          <w:sz w:val="16"/>
          <w:szCs w:val="16"/>
        </w:rPr>
        <w:t xml:space="preserve">edición. </w:t>
      </w:r>
      <w:r w:rsidRPr="00976BF2">
        <w:rPr>
          <w:rFonts w:ascii="Verdana" w:hAnsi="Verdana" w:cs="Arial"/>
          <w:spacing w:val="-1"/>
          <w:sz w:val="16"/>
          <w:szCs w:val="16"/>
        </w:rPr>
        <w:t>Bogotá:</w:t>
      </w:r>
      <w:r w:rsidRPr="00976BF2">
        <w:rPr>
          <w:rFonts w:ascii="Verdana" w:hAnsi="Verdana" w:cs="Arial"/>
          <w:spacing w:val="10"/>
          <w:sz w:val="16"/>
          <w:szCs w:val="16"/>
        </w:rPr>
        <w:t xml:space="preserve"> </w:t>
      </w:r>
      <w:r w:rsidRPr="00976BF2">
        <w:rPr>
          <w:rFonts w:ascii="Verdana" w:hAnsi="Verdana" w:cs="Arial"/>
          <w:spacing w:val="-1"/>
          <w:sz w:val="16"/>
          <w:szCs w:val="16"/>
        </w:rPr>
        <w:t>Ed.</w:t>
      </w:r>
      <w:r w:rsidRPr="00976BF2">
        <w:rPr>
          <w:rFonts w:ascii="Verdana" w:hAnsi="Verdana" w:cs="Arial"/>
          <w:spacing w:val="-10"/>
          <w:sz w:val="16"/>
          <w:szCs w:val="16"/>
        </w:rPr>
        <w:t xml:space="preserve"> </w:t>
      </w:r>
      <w:r w:rsidRPr="00976BF2">
        <w:rPr>
          <w:rFonts w:ascii="Verdana" w:hAnsi="Verdana" w:cs="Arial"/>
          <w:spacing w:val="-1"/>
          <w:sz w:val="16"/>
          <w:szCs w:val="16"/>
        </w:rPr>
        <w:t>Librería</w:t>
      </w:r>
      <w:r w:rsidRPr="00976BF2">
        <w:rPr>
          <w:rFonts w:ascii="Verdana" w:hAnsi="Verdana" w:cs="Arial"/>
          <w:sz w:val="16"/>
          <w:szCs w:val="16"/>
        </w:rPr>
        <w:t xml:space="preserve"> </w:t>
      </w:r>
      <w:r w:rsidRPr="00976BF2">
        <w:rPr>
          <w:rFonts w:ascii="Verdana" w:hAnsi="Verdana" w:cs="Arial"/>
          <w:spacing w:val="-1"/>
          <w:sz w:val="16"/>
          <w:szCs w:val="16"/>
        </w:rPr>
        <w:t>del</w:t>
      </w:r>
      <w:r w:rsidRPr="00976BF2">
        <w:rPr>
          <w:rFonts w:ascii="Verdana" w:hAnsi="Verdana" w:cs="Arial"/>
          <w:spacing w:val="24"/>
          <w:sz w:val="16"/>
          <w:szCs w:val="16"/>
        </w:rPr>
        <w:t xml:space="preserve"> </w:t>
      </w:r>
      <w:r w:rsidRPr="00976BF2">
        <w:rPr>
          <w:rFonts w:ascii="Verdana" w:hAnsi="Verdana" w:cs="Arial"/>
          <w:spacing w:val="-1"/>
          <w:sz w:val="16"/>
          <w:szCs w:val="16"/>
        </w:rPr>
        <w:t>Profesional.</w:t>
      </w:r>
      <w:r w:rsidRPr="00976BF2">
        <w:rPr>
          <w:rFonts w:ascii="Verdana" w:hAnsi="Verdana" w:cs="Arial"/>
          <w:spacing w:val="-17"/>
          <w:sz w:val="16"/>
          <w:szCs w:val="16"/>
        </w:rPr>
        <w:t xml:space="preserve"> </w:t>
      </w:r>
      <w:r w:rsidRPr="00976BF2">
        <w:rPr>
          <w:rFonts w:ascii="Verdana" w:hAnsi="Verdana" w:cs="Arial"/>
          <w:sz w:val="16"/>
          <w:szCs w:val="16"/>
        </w:rPr>
        <w:t>2006,</w:t>
      </w:r>
      <w:r w:rsidRPr="00976BF2">
        <w:rPr>
          <w:rFonts w:ascii="Verdana" w:hAnsi="Verdana" w:cs="Arial"/>
          <w:spacing w:val="-19"/>
          <w:sz w:val="16"/>
          <w:szCs w:val="16"/>
        </w:rPr>
        <w:t xml:space="preserve"> </w:t>
      </w:r>
      <w:r w:rsidRPr="00976BF2">
        <w:rPr>
          <w:rFonts w:ascii="Verdana" w:hAnsi="Verdana" w:cs="Arial"/>
          <w:sz w:val="16"/>
          <w:szCs w:val="16"/>
        </w:rPr>
        <w:t>p.</w:t>
      </w:r>
      <w:r w:rsidRPr="00976BF2">
        <w:rPr>
          <w:rFonts w:ascii="Verdana" w:hAnsi="Verdana" w:cs="Arial"/>
          <w:spacing w:val="-33"/>
          <w:sz w:val="16"/>
          <w:szCs w:val="16"/>
        </w:rPr>
        <w:t xml:space="preserve"> </w:t>
      </w:r>
      <w:r w:rsidRPr="00976BF2">
        <w:rPr>
          <w:rFonts w:ascii="Verdana" w:hAnsi="Verdana" w:cs="Arial"/>
          <w:sz w:val="16"/>
          <w:szCs w:val="16"/>
        </w:rPr>
        <w:t xml:space="preserve">45-49. </w:t>
      </w:r>
    </w:p>
  </w:footnote>
  <w:footnote w:id="5">
    <w:p w14:paraId="262506C0" w14:textId="77777777" w:rsidR="003C2794" w:rsidRPr="00976BF2" w:rsidRDefault="003C2794" w:rsidP="003C2794">
      <w:pPr>
        <w:tabs>
          <w:tab w:val="left" w:pos="8222"/>
        </w:tabs>
        <w:snapToGrid w:val="0"/>
        <w:spacing w:after="0" w:line="240" w:lineRule="auto"/>
        <w:ind w:right="49" w:firstLine="687"/>
        <w:contextualSpacing/>
        <w:jc w:val="both"/>
        <w:rPr>
          <w:rFonts w:ascii="Verdana" w:hAnsi="Verdana" w:cs="Arial"/>
          <w:sz w:val="16"/>
          <w:szCs w:val="16"/>
          <w:lang w:val="es-ES"/>
        </w:rPr>
      </w:pPr>
      <w:r w:rsidRPr="00976BF2">
        <w:rPr>
          <w:rStyle w:val="FootnoteReference"/>
          <w:rFonts w:ascii="Verdana" w:hAnsi="Verdana" w:cs="Arial"/>
          <w:sz w:val="16"/>
          <w:szCs w:val="16"/>
          <w:lang w:val="es-MX"/>
        </w:rPr>
        <w:footnoteRef/>
      </w:r>
      <w:r w:rsidRPr="00976BF2">
        <w:rPr>
          <w:rStyle w:val="FootnoteReference"/>
          <w:rFonts w:ascii="Verdana" w:hAnsi="Verdana" w:cs="Arial"/>
          <w:sz w:val="16"/>
          <w:szCs w:val="16"/>
          <w:lang w:val="es-MX"/>
        </w:rPr>
        <w:t xml:space="preserve"> </w:t>
      </w:r>
      <w:r w:rsidRPr="00976BF2">
        <w:rPr>
          <w:rFonts w:ascii="Verdana" w:hAnsi="Verdana" w:cs="Arial"/>
          <w:sz w:val="16"/>
          <w:szCs w:val="16"/>
        </w:rPr>
        <w:t>Para José Ignacio Narváez en las sociedades</w:t>
      </w:r>
      <w:r w:rsidRPr="00976BF2">
        <w:rPr>
          <w:rFonts w:ascii="Verdana" w:hAnsi="Verdana" w:cs="Arial"/>
          <w:spacing w:val="1"/>
          <w:sz w:val="16"/>
          <w:szCs w:val="16"/>
        </w:rPr>
        <w:t xml:space="preserve"> </w:t>
      </w:r>
      <w:r w:rsidRPr="00976BF2">
        <w:rPr>
          <w:rFonts w:ascii="Verdana" w:hAnsi="Verdana" w:cs="Arial"/>
          <w:sz w:val="16"/>
          <w:szCs w:val="16"/>
        </w:rPr>
        <w:t>de capital “[...] una vez efectuados</w:t>
      </w:r>
      <w:r w:rsidRPr="00976BF2">
        <w:rPr>
          <w:rFonts w:ascii="Verdana" w:hAnsi="Verdana" w:cs="Arial"/>
          <w:spacing w:val="1"/>
          <w:sz w:val="16"/>
          <w:szCs w:val="16"/>
        </w:rPr>
        <w:t xml:space="preserve"> </w:t>
      </w:r>
      <w:r w:rsidRPr="00976BF2">
        <w:rPr>
          <w:rFonts w:ascii="Verdana" w:hAnsi="Verdana" w:cs="Arial"/>
          <w:sz w:val="16"/>
          <w:szCs w:val="16"/>
        </w:rPr>
        <w:t>los</w:t>
      </w:r>
      <w:r w:rsidRPr="00976BF2">
        <w:rPr>
          <w:rFonts w:ascii="Verdana" w:hAnsi="Verdana" w:cs="Arial"/>
          <w:spacing w:val="1"/>
          <w:sz w:val="16"/>
          <w:szCs w:val="16"/>
        </w:rPr>
        <w:t xml:space="preserve"> </w:t>
      </w:r>
      <w:r w:rsidRPr="00976BF2">
        <w:rPr>
          <w:rFonts w:ascii="Verdana" w:hAnsi="Verdana" w:cs="Arial"/>
          <w:sz w:val="16"/>
          <w:szCs w:val="16"/>
        </w:rPr>
        <w:t>aportes, los asociados pasan la penumbra y son inadvertidos o carecen de importancia para los</w:t>
      </w:r>
      <w:r w:rsidRPr="00976BF2">
        <w:rPr>
          <w:rFonts w:ascii="Verdana" w:hAnsi="Verdana" w:cs="Arial"/>
          <w:spacing w:val="1"/>
          <w:sz w:val="16"/>
          <w:szCs w:val="16"/>
        </w:rPr>
        <w:t xml:space="preserve"> </w:t>
      </w:r>
      <w:r w:rsidRPr="00976BF2">
        <w:rPr>
          <w:rFonts w:ascii="Verdana" w:hAnsi="Verdana" w:cs="Arial"/>
          <w:spacing w:val="-1"/>
          <w:sz w:val="16"/>
          <w:szCs w:val="16"/>
        </w:rPr>
        <w:t xml:space="preserve">terceros, en razón de que solamente </w:t>
      </w:r>
      <w:r w:rsidRPr="00976BF2">
        <w:rPr>
          <w:rFonts w:ascii="Verdana" w:hAnsi="Verdana" w:cs="Arial"/>
          <w:sz w:val="16"/>
          <w:szCs w:val="16"/>
        </w:rPr>
        <w:t>responden hasta concurrencia de sus respectivas aportaciones</w:t>
      </w:r>
      <w:r w:rsidRPr="00976BF2">
        <w:rPr>
          <w:rFonts w:ascii="Verdana" w:hAnsi="Verdana" w:cs="Arial"/>
          <w:spacing w:val="1"/>
          <w:sz w:val="16"/>
          <w:szCs w:val="16"/>
        </w:rPr>
        <w:t xml:space="preserve"> </w:t>
      </w:r>
      <w:r w:rsidRPr="00976BF2">
        <w:rPr>
          <w:rFonts w:ascii="Verdana" w:hAnsi="Verdana" w:cs="Arial"/>
          <w:sz w:val="16"/>
          <w:szCs w:val="16"/>
        </w:rPr>
        <w:t>[...] y por tal virtud de la ley de circulación propia de las acciones, los accionistas de hoy pueden ser</w:t>
      </w:r>
      <w:r w:rsidRPr="00976BF2">
        <w:rPr>
          <w:rFonts w:ascii="Verdana" w:hAnsi="Verdana" w:cs="Arial"/>
          <w:spacing w:val="1"/>
          <w:sz w:val="16"/>
          <w:szCs w:val="16"/>
        </w:rPr>
        <w:t xml:space="preserve"> </w:t>
      </w:r>
      <w:r w:rsidRPr="00976BF2">
        <w:rPr>
          <w:rFonts w:ascii="Verdana" w:hAnsi="Verdana" w:cs="Arial"/>
          <w:sz w:val="16"/>
          <w:szCs w:val="16"/>
        </w:rPr>
        <w:t>distintos</w:t>
      </w:r>
      <w:r w:rsidRPr="00976BF2">
        <w:rPr>
          <w:rFonts w:ascii="Verdana" w:hAnsi="Verdana" w:cs="Arial"/>
          <w:spacing w:val="2"/>
          <w:sz w:val="16"/>
          <w:szCs w:val="16"/>
        </w:rPr>
        <w:t xml:space="preserve"> </w:t>
      </w:r>
      <w:r w:rsidRPr="00976BF2">
        <w:rPr>
          <w:rFonts w:ascii="Verdana" w:hAnsi="Verdana" w:cs="Arial"/>
          <w:sz w:val="16"/>
          <w:szCs w:val="16"/>
        </w:rPr>
        <w:t>de</w:t>
      </w:r>
      <w:r w:rsidRPr="00976BF2">
        <w:rPr>
          <w:rFonts w:ascii="Verdana" w:hAnsi="Verdana" w:cs="Arial"/>
          <w:spacing w:val="33"/>
          <w:sz w:val="16"/>
          <w:szCs w:val="16"/>
        </w:rPr>
        <w:t xml:space="preserve"> </w:t>
      </w:r>
      <w:r w:rsidRPr="00976BF2">
        <w:rPr>
          <w:rFonts w:ascii="Verdana" w:hAnsi="Verdana" w:cs="Arial"/>
          <w:sz w:val="16"/>
          <w:szCs w:val="16"/>
        </w:rPr>
        <w:t>los</w:t>
      </w:r>
      <w:r w:rsidRPr="00976BF2">
        <w:rPr>
          <w:rFonts w:ascii="Verdana" w:hAnsi="Verdana" w:cs="Arial"/>
          <w:spacing w:val="35"/>
          <w:sz w:val="16"/>
          <w:szCs w:val="16"/>
        </w:rPr>
        <w:t xml:space="preserve"> </w:t>
      </w:r>
      <w:r w:rsidRPr="00976BF2">
        <w:rPr>
          <w:rFonts w:ascii="Verdana" w:hAnsi="Verdana" w:cs="Arial"/>
          <w:sz w:val="16"/>
          <w:szCs w:val="16"/>
        </w:rPr>
        <w:t>de</w:t>
      </w:r>
      <w:r w:rsidRPr="00976BF2">
        <w:rPr>
          <w:rFonts w:ascii="Verdana" w:hAnsi="Verdana" w:cs="Arial"/>
          <w:spacing w:val="26"/>
          <w:sz w:val="16"/>
          <w:szCs w:val="16"/>
        </w:rPr>
        <w:t xml:space="preserve"> </w:t>
      </w:r>
      <w:r w:rsidRPr="00976BF2">
        <w:rPr>
          <w:rFonts w:ascii="Verdana" w:hAnsi="Verdana" w:cs="Arial"/>
          <w:sz w:val="16"/>
          <w:szCs w:val="16"/>
        </w:rPr>
        <w:t>ayer</w:t>
      </w:r>
      <w:r w:rsidRPr="00976BF2">
        <w:rPr>
          <w:rFonts w:ascii="Verdana" w:hAnsi="Verdana" w:cs="Arial"/>
          <w:spacing w:val="33"/>
          <w:sz w:val="16"/>
          <w:szCs w:val="16"/>
        </w:rPr>
        <w:t xml:space="preserve"> </w:t>
      </w:r>
      <w:r w:rsidRPr="00976BF2">
        <w:rPr>
          <w:rFonts w:ascii="Verdana" w:hAnsi="Verdana" w:cs="Arial"/>
          <w:sz w:val="16"/>
          <w:szCs w:val="16"/>
        </w:rPr>
        <w:t>y</w:t>
      </w:r>
      <w:r w:rsidRPr="00976BF2">
        <w:rPr>
          <w:rFonts w:ascii="Verdana" w:hAnsi="Verdana" w:cs="Arial"/>
          <w:spacing w:val="2"/>
          <w:sz w:val="16"/>
          <w:szCs w:val="16"/>
        </w:rPr>
        <w:t xml:space="preserve"> </w:t>
      </w:r>
      <w:r w:rsidRPr="00976BF2">
        <w:rPr>
          <w:rFonts w:ascii="Verdana" w:hAnsi="Verdana" w:cs="Arial"/>
          <w:sz w:val="16"/>
          <w:szCs w:val="16"/>
        </w:rPr>
        <w:t>de</w:t>
      </w:r>
      <w:r w:rsidRPr="00976BF2">
        <w:rPr>
          <w:rFonts w:ascii="Verdana" w:hAnsi="Verdana" w:cs="Arial"/>
          <w:spacing w:val="32"/>
          <w:sz w:val="16"/>
          <w:szCs w:val="16"/>
        </w:rPr>
        <w:t xml:space="preserve"> </w:t>
      </w:r>
      <w:r w:rsidRPr="00976BF2">
        <w:rPr>
          <w:rFonts w:ascii="Verdana" w:hAnsi="Verdana" w:cs="Arial"/>
          <w:sz w:val="16"/>
          <w:szCs w:val="16"/>
        </w:rPr>
        <w:t>los</w:t>
      </w:r>
      <w:r w:rsidRPr="00976BF2">
        <w:rPr>
          <w:rFonts w:ascii="Verdana" w:hAnsi="Verdana" w:cs="Arial"/>
          <w:spacing w:val="34"/>
          <w:sz w:val="16"/>
          <w:szCs w:val="16"/>
        </w:rPr>
        <w:t xml:space="preserve"> </w:t>
      </w:r>
      <w:r w:rsidRPr="00976BF2">
        <w:rPr>
          <w:rFonts w:ascii="Verdana" w:hAnsi="Verdana" w:cs="Arial"/>
          <w:sz w:val="16"/>
          <w:szCs w:val="16"/>
        </w:rPr>
        <w:t>de</w:t>
      </w:r>
      <w:r w:rsidRPr="00976BF2">
        <w:rPr>
          <w:rFonts w:ascii="Verdana" w:hAnsi="Verdana" w:cs="Arial"/>
          <w:spacing w:val="25"/>
          <w:sz w:val="16"/>
          <w:szCs w:val="16"/>
        </w:rPr>
        <w:t xml:space="preserve"> </w:t>
      </w:r>
      <w:r w:rsidRPr="00976BF2">
        <w:rPr>
          <w:rFonts w:ascii="Verdana" w:hAnsi="Verdana" w:cs="Arial"/>
          <w:sz w:val="16"/>
          <w:szCs w:val="16"/>
        </w:rPr>
        <w:t>mañana”</w:t>
      </w:r>
      <w:r w:rsidRPr="00976BF2">
        <w:rPr>
          <w:rFonts w:ascii="Verdana" w:hAnsi="Verdana" w:cs="Arial"/>
          <w:spacing w:val="20"/>
          <w:sz w:val="16"/>
          <w:szCs w:val="16"/>
        </w:rPr>
        <w:t xml:space="preserve"> </w:t>
      </w:r>
      <w:r w:rsidRPr="00976BF2">
        <w:rPr>
          <w:rFonts w:ascii="Verdana" w:hAnsi="Verdana" w:cs="Arial"/>
          <w:sz w:val="16"/>
          <w:szCs w:val="16"/>
        </w:rPr>
        <w:t>(NARVÁEZ</w:t>
      </w:r>
      <w:r w:rsidRPr="00976BF2">
        <w:rPr>
          <w:rFonts w:ascii="Verdana" w:hAnsi="Verdana" w:cs="Arial"/>
          <w:spacing w:val="37"/>
          <w:sz w:val="16"/>
          <w:szCs w:val="16"/>
        </w:rPr>
        <w:t xml:space="preserve"> </w:t>
      </w:r>
      <w:r w:rsidRPr="00976BF2">
        <w:rPr>
          <w:rFonts w:ascii="Verdana" w:hAnsi="Verdana" w:cs="Arial"/>
          <w:sz w:val="16"/>
          <w:szCs w:val="16"/>
        </w:rPr>
        <w:t>GARCÍA,</w:t>
      </w:r>
      <w:r w:rsidRPr="00976BF2">
        <w:rPr>
          <w:rFonts w:ascii="Verdana" w:hAnsi="Verdana" w:cs="Arial"/>
          <w:spacing w:val="32"/>
          <w:sz w:val="16"/>
          <w:szCs w:val="16"/>
        </w:rPr>
        <w:t xml:space="preserve"> </w:t>
      </w:r>
      <w:r w:rsidRPr="00976BF2">
        <w:rPr>
          <w:rFonts w:ascii="Verdana" w:hAnsi="Verdana" w:cs="Arial"/>
          <w:sz w:val="16"/>
          <w:szCs w:val="16"/>
        </w:rPr>
        <w:t>José</w:t>
      </w:r>
      <w:r w:rsidRPr="00976BF2">
        <w:rPr>
          <w:rFonts w:ascii="Verdana" w:hAnsi="Verdana" w:cs="Arial"/>
          <w:spacing w:val="-1"/>
          <w:sz w:val="16"/>
          <w:szCs w:val="16"/>
        </w:rPr>
        <w:t xml:space="preserve"> </w:t>
      </w:r>
      <w:r w:rsidRPr="00976BF2">
        <w:rPr>
          <w:rFonts w:ascii="Verdana" w:hAnsi="Verdana" w:cs="Arial"/>
          <w:sz w:val="16"/>
          <w:szCs w:val="16"/>
        </w:rPr>
        <w:t>Ignacio.</w:t>
      </w:r>
      <w:r w:rsidRPr="00976BF2">
        <w:rPr>
          <w:rFonts w:ascii="Verdana" w:hAnsi="Verdana" w:cs="Arial"/>
          <w:spacing w:val="10"/>
          <w:sz w:val="16"/>
          <w:szCs w:val="16"/>
        </w:rPr>
        <w:t xml:space="preserve"> </w:t>
      </w:r>
      <w:r w:rsidRPr="00976BF2">
        <w:rPr>
          <w:rFonts w:ascii="Verdana" w:hAnsi="Verdana" w:cs="Arial"/>
          <w:sz w:val="16"/>
          <w:szCs w:val="16"/>
        </w:rPr>
        <w:t>Teoría</w:t>
      </w:r>
      <w:r w:rsidRPr="00976BF2">
        <w:rPr>
          <w:rFonts w:ascii="Verdana" w:hAnsi="Verdana" w:cs="Arial"/>
          <w:spacing w:val="35"/>
          <w:sz w:val="16"/>
          <w:szCs w:val="16"/>
        </w:rPr>
        <w:t xml:space="preserve"> </w:t>
      </w:r>
      <w:r w:rsidRPr="00976BF2">
        <w:rPr>
          <w:rFonts w:ascii="Verdana" w:hAnsi="Verdana" w:cs="Arial"/>
          <w:sz w:val="16"/>
          <w:szCs w:val="16"/>
        </w:rPr>
        <w:t>General</w:t>
      </w:r>
      <w:r w:rsidRPr="00976BF2">
        <w:rPr>
          <w:rFonts w:ascii="Verdana" w:hAnsi="Verdana" w:cs="Arial"/>
          <w:spacing w:val="-50"/>
          <w:sz w:val="16"/>
          <w:szCs w:val="16"/>
        </w:rPr>
        <w:t xml:space="preserve"> </w:t>
      </w:r>
      <w:r w:rsidRPr="00976BF2">
        <w:rPr>
          <w:rFonts w:ascii="Verdana" w:hAnsi="Verdana" w:cs="Arial"/>
          <w:sz w:val="16"/>
          <w:szCs w:val="16"/>
        </w:rPr>
        <w:t>de</w:t>
      </w:r>
      <w:r w:rsidRPr="00976BF2">
        <w:rPr>
          <w:rFonts w:ascii="Verdana" w:hAnsi="Verdana" w:cs="Arial"/>
          <w:spacing w:val="37"/>
          <w:sz w:val="16"/>
          <w:szCs w:val="16"/>
        </w:rPr>
        <w:t xml:space="preserve"> </w:t>
      </w:r>
      <w:r w:rsidRPr="00976BF2">
        <w:rPr>
          <w:rFonts w:ascii="Verdana" w:hAnsi="Verdana" w:cs="Arial"/>
          <w:sz w:val="16"/>
          <w:szCs w:val="16"/>
        </w:rPr>
        <w:t>las</w:t>
      </w:r>
      <w:r w:rsidRPr="00976BF2">
        <w:rPr>
          <w:rFonts w:ascii="Verdana" w:hAnsi="Verdana" w:cs="Arial"/>
          <w:spacing w:val="26"/>
          <w:sz w:val="16"/>
          <w:szCs w:val="16"/>
        </w:rPr>
        <w:t xml:space="preserve"> </w:t>
      </w:r>
      <w:r w:rsidRPr="00976BF2">
        <w:rPr>
          <w:rFonts w:ascii="Verdana" w:hAnsi="Verdana" w:cs="Arial"/>
          <w:sz w:val="16"/>
          <w:szCs w:val="16"/>
        </w:rPr>
        <w:t>Sociedades.</w:t>
      </w:r>
      <w:r w:rsidRPr="00976BF2">
        <w:rPr>
          <w:rFonts w:ascii="Verdana" w:hAnsi="Verdana" w:cs="Arial"/>
          <w:spacing w:val="-1"/>
          <w:sz w:val="16"/>
          <w:szCs w:val="16"/>
        </w:rPr>
        <w:t xml:space="preserve"> </w:t>
      </w:r>
      <w:r w:rsidRPr="00976BF2">
        <w:rPr>
          <w:rFonts w:ascii="Verdana" w:hAnsi="Verdana" w:cs="Arial"/>
          <w:sz w:val="16"/>
          <w:szCs w:val="16"/>
        </w:rPr>
        <w:t>Bogotá:</w:t>
      </w:r>
      <w:r w:rsidRPr="00976BF2">
        <w:rPr>
          <w:rFonts w:ascii="Verdana" w:hAnsi="Verdana" w:cs="Arial"/>
          <w:spacing w:val="-7"/>
          <w:sz w:val="16"/>
          <w:szCs w:val="16"/>
        </w:rPr>
        <w:t xml:space="preserve"> </w:t>
      </w:r>
      <w:r w:rsidRPr="00976BF2">
        <w:rPr>
          <w:rFonts w:ascii="Verdana" w:hAnsi="Verdana" w:cs="Arial"/>
          <w:sz w:val="16"/>
          <w:szCs w:val="16"/>
        </w:rPr>
        <w:t>Ed.</w:t>
      </w:r>
      <w:r w:rsidRPr="00976BF2">
        <w:rPr>
          <w:rFonts w:ascii="Verdana" w:hAnsi="Verdana" w:cs="Arial"/>
          <w:spacing w:val="8"/>
          <w:sz w:val="16"/>
          <w:szCs w:val="16"/>
        </w:rPr>
        <w:t xml:space="preserve"> </w:t>
      </w:r>
      <w:r w:rsidRPr="00976BF2">
        <w:rPr>
          <w:rFonts w:ascii="Verdana" w:hAnsi="Verdana" w:cs="Arial"/>
          <w:sz w:val="16"/>
          <w:szCs w:val="16"/>
        </w:rPr>
        <w:t>Legis.</w:t>
      </w:r>
      <w:r w:rsidRPr="00976BF2">
        <w:rPr>
          <w:rFonts w:ascii="Verdana" w:hAnsi="Verdana" w:cs="Arial"/>
          <w:spacing w:val="17"/>
          <w:sz w:val="16"/>
          <w:szCs w:val="16"/>
        </w:rPr>
        <w:t xml:space="preserve"> </w:t>
      </w:r>
      <w:r w:rsidRPr="00976BF2">
        <w:rPr>
          <w:rFonts w:ascii="Verdana" w:hAnsi="Verdana" w:cs="Arial"/>
          <w:sz w:val="16"/>
          <w:szCs w:val="16"/>
        </w:rPr>
        <w:t>1998.</w:t>
      </w:r>
      <w:r w:rsidRPr="00976BF2">
        <w:rPr>
          <w:rFonts w:ascii="Verdana" w:hAnsi="Verdana" w:cs="Arial"/>
          <w:spacing w:val="3"/>
          <w:sz w:val="16"/>
          <w:szCs w:val="16"/>
        </w:rPr>
        <w:t xml:space="preserve"> </w:t>
      </w:r>
      <w:r w:rsidRPr="00976BF2">
        <w:rPr>
          <w:rFonts w:ascii="Verdana" w:hAnsi="Verdana" w:cs="Arial"/>
          <w:sz w:val="16"/>
          <w:szCs w:val="16"/>
        </w:rPr>
        <w:t>p.</w:t>
      </w:r>
      <w:r w:rsidRPr="00976BF2">
        <w:rPr>
          <w:rFonts w:ascii="Verdana" w:hAnsi="Verdana" w:cs="Arial"/>
          <w:spacing w:val="-1"/>
          <w:sz w:val="16"/>
          <w:szCs w:val="16"/>
        </w:rPr>
        <w:t xml:space="preserve"> </w:t>
      </w:r>
      <w:r w:rsidRPr="00976BF2">
        <w:rPr>
          <w:rFonts w:ascii="Verdana" w:hAnsi="Verdana" w:cs="Arial"/>
          <w:sz w:val="16"/>
          <w:szCs w:val="16"/>
        </w:rPr>
        <w:t>74).</w:t>
      </w:r>
    </w:p>
  </w:footnote>
  <w:footnote w:id="6">
    <w:p w14:paraId="7580A9EC" w14:textId="77777777" w:rsidR="003C2794" w:rsidRPr="00976BF2" w:rsidRDefault="003C2794" w:rsidP="003C2794">
      <w:pPr>
        <w:pStyle w:val="FootnoteText"/>
        <w:tabs>
          <w:tab w:val="left" w:pos="8222"/>
        </w:tabs>
        <w:snapToGrid w:val="0"/>
        <w:ind w:right="49" w:firstLine="687"/>
        <w:contextualSpacing/>
        <w:jc w:val="both"/>
        <w:rPr>
          <w:rFonts w:ascii="Verdana" w:hAnsi="Verdana" w:cs="Arial"/>
          <w:sz w:val="16"/>
          <w:szCs w:val="16"/>
          <w:lang w:val="es-ES"/>
        </w:rPr>
      </w:pPr>
      <w:r w:rsidRPr="00976BF2">
        <w:rPr>
          <w:rStyle w:val="FootnoteReference"/>
          <w:rFonts w:ascii="Verdana" w:hAnsi="Verdana" w:cs="Arial"/>
          <w:sz w:val="16"/>
          <w:szCs w:val="16"/>
        </w:rPr>
        <w:footnoteRef/>
      </w:r>
      <w:r w:rsidRPr="00976BF2">
        <w:rPr>
          <w:rFonts w:ascii="Verdana" w:hAnsi="Verdana" w:cs="Arial"/>
          <w:sz w:val="16"/>
          <w:szCs w:val="16"/>
        </w:rPr>
        <w:t xml:space="preserve"> Para el mismo autor citado antes</w:t>
      </w:r>
      <w:r w:rsidRPr="00976BF2">
        <w:rPr>
          <w:rFonts w:ascii="Verdana" w:hAnsi="Verdana" w:cs="Arial"/>
          <w:spacing w:val="52"/>
          <w:sz w:val="16"/>
          <w:szCs w:val="16"/>
        </w:rPr>
        <w:t xml:space="preserve"> </w:t>
      </w:r>
      <w:r w:rsidRPr="00976BF2">
        <w:rPr>
          <w:rFonts w:ascii="Verdana" w:hAnsi="Verdana" w:cs="Arial"/>
          <w:sz w:val="16"/>
          <w:szCs w:val="16"/>
        </w:rPr>
        <w:t>“En las de personas los socios se conocen y cada uno</w:t>
      </w:r>
      <w:r w:rsidRPr="00976BF2">
        <w:rPr>
          <w:rFonts w:ascii="Verdana" w:hAnsi="Verdana" w:cs="Arial"/>
          <w:spacing w:val="1"/>
          <w:sz w:val="16"/>
          <w:szCs w:val="16"/>
        </w:rPr>
        <w:t xml:space="preserve"> </w:t>
      </w:r>
      <w:r w:rsidRPr="00976BF2">
        <w:rPr>
          <w:rFonts w:ascii="Verdana" w:hAnsi="Verdana" w:cs="Arial"/>
          <w:sz w:val="16"/>
          <w:szCs w:val="16"/>
        </w:rPr>
        <w:t>es el punto de referencia de los demás consocios, por la confianza recíproca que existe entre ellos.</w:t>
      </w:r>
      <w:r w:rsidRPr="00976BF2">
        <w:rPr>
          <w:rFonts w:ascii="Verdana" w:hAnsi="Verdana" w:cs="Arial"/>
          <w:spacing w:val="1"/>
          <w:sz w:val="16"/>
          <w:szCs w:val="16"/>
        </w:rPr>
        <w:t xml:space="preserve"> </w:t>
      </w:r>
      <w:r w:rsidRPr="00976BF2">
        <w:rPr>
          <w:rFonts w:ascii="Verdana" w:hAnsi="Verdana" w:cs="Arial"/>
          <w:sz w:val="16"/>
          <w:szCs w:val="16"/>
        </w:rPr>
        <w:t>Se forma intuitus personarum,</w:t>
      </w:r>
      <w:r w:rsidRPr="00976BF2">
        <w:rPr>
          <w:rFonts w:ascii="Verdana" w:hAnsi="Verdana" w:cs="Arial"/>
          <w:spacing w:val="1"/>
          <w:sz w:val="16"/>
          <w:szCs w:val="16"/>
        </w:rPr>
        <w:t xml:space="preserve"> </w:t>
      </w:r>
      <w:r w:rsidRPr="00976BF2">
        <w:rPr>
          <w:rFonts w:ascii="Verdana" w:hAnsi="Verdana" w:cs="Arial"/>
          <w:sz w:val="16"/>
          <w:szCs w:val="16"/>
        </w:rPr>
        <w:t>es decir, por razón</w:t>
      </w:r>
      <w:r w:rsidRPr="00976BF2">
        <w:rPr>
          <w:rFonts w:ascii="Verdana" w:hAnsi="Verdana" w:cs="Arial"/>
          <w:spacing w:val="1"/>
          <w:sz w:val="16"/>
          <w:szCs w:val="16"/>
        </w:rPr>
        <w:t xml:space="preserve"> </w:t>
      </w:r>
      <w:r w:rsidRPr="00976BF2">
        <w:rPr>
          <w:rFonts w:ascii="Verdana" w:hAnsi="Verdana" w:cs="Arial"/>
          <w:sz w:val="16"/>
          <w:szCs w:val="16"/>
        </w:rPr>
        <w:t>de las personas</w:t>
      </w:r>
      <w:r w:rsidRPr="00976BF2">
        <w:rPr>
          <w:rFonts w:ascii="Verdana" w:hAnsi="Verdana" w:cs="Arial"/>
          <w:spacing w:val="1"/>
          <w:sz w:val="16"/>
          <w:szCs w:val="16"/>
        </w:rPr>
        <w:t xml:space="preserve"> </w:t>
      </w:r>
      <w:r w:rsidRPr="00976BF2">
        <w:rPr>
          <w:rFonts w:ascii="Verdana" w:hAnsi="Verdana" w:cs="Arial"/>
          <w:sz w:val="16"/>
          <w:szCs w:val="16"/>
        </w:rPr>
        <w:t>o en consideración</w:t>
      </w:r>
      <w:r w:rsidRPr="00976BF2">
        <w:rPr>
          <w:rFonts w:ascii="Verdana" w:hAnsi="Verdana" w:cs="Arial"/>
          <w:spacing w:val="1"/>
          <w:sz w:val="16"/>
          <w:szCs w:val="16"/>
        </w:rPr>
        <w:t xml:space="preserve"> </w:t>
      </w:r>
      <w:r w:rsidRPr="00976BF2">
        <w:rPr>
          <w:rFonts w:ascii="Verdana" w:hAnsi="Verdana" w:cs="Arial"/>
          <w:sz w:val="16"/>
          <w:szCs w:val="16"/>
        </w:rPr>
        <w:t>a ellas,</w:t>
      </w:r>
      <w:r w:rsidRPr="00976BF2">
        <w:rPr>
          <w:rFonts w:ascii="Verdana" w:hAnsi="Verdana" w:cs="Arial"/>
          <w:spacing w:val="1"/>
          <w:sz w:val="16"/>
          <w:szCs w:val="16"/>
        </w:rPr>
        <w:t xml:space="preserve"> </w:t>
      </w:r>
      <w:r w:rsidRPr="00976BF2">
        <w:rPr>
          <w:rFonts w:ascii="Verdana" w:hAnsi="Verdana" w:cs="Arial"/>
          <w:sz w:val="16"/>
          <w:szCs w:val="16"/>
        </w:rPr>
        <w:t>elemento que tiene importancia para los terceros, porque frente a ellos se obliga no solo la persona</w:t>
      </w:r>
      <w:r w:rsidRPr="00976BF2">
        <w:rPr>
          <w:rFonts w:ascii="Verdana" w:hAnsi="Verdana" w:cs="Arial"/>
          <w:spacing w:val="1"/>
          <w:sz w:val="16"/>
          <w:szCs w:val="16"/>
        </w:rPr>
        <w:t xml:space="preserve"> </w:t>
      </w:r>
      <w:r w:rsidRPr="00976BF2">
        <w:rPr>
          <w:rFonts w:ascii="Verdana" w:hAnsi="Verdana" w:cs="Arial"/>
          <w:spacing w:val="-1"/>
          <w:sz w:val="16"/>
          <w:szCs w:val="16"/>
        </w:rPr>
        <w:t xml:space="preserve">jurídica sino también los socios [...], y para que un socio pueda transferir o ceder su </w:t>
      </w:r>
      <w:r w:rsidRPr="00976BF2">
        <w:rPr>
          <w:rFonts w:ascii="Verdana" w:hAnsi="Verdana" w:cs="Arial"/>
          <w:sz w:val="16"/>
          <w:szCs w:val="16"/>
        </w:rPr>
        <w:t>parte de interés</w:t>
      </w:r>
      <w:r w:rsidRPr="00976BF2">
        <w:rPr>
          <w:rFonts w:ascii="Verdana" w:hAnsi="Verdana" w:cs="Arial"/>
          <w:spacing w:val="1"/>
          <w:sz w:val="16"/>
          <w:szCs w:val="16"/>
        </w:rPr>
        <w:t xml:space="preserve"> </w:t>
      </w:r>
      <w:r w:rsidRPr="00976BF2">
        <w:rPr>
          <w:rFonts w:ascii="Verdana" w:hAnsi="Verdana" w:cs="Arial"/>
          <w:sz w:val="16"/>
          <w:szCs w:val="16"/>
        </w:rPr>
        <w:t>en</w:t>
      </w:r>
      <w:r w:rsidRPr="00976BF2">
        <w:rPr>
          <w:rFonts w:ascii="Verdana" w:hAnsi="Verdana" w:cs="Arial"/>
          <w:spacing w:val="6"/>
          <w:sz w:val="16"/>
          <w:szCs w:val="16"/>
        </w:rPr>
        <w:t xml:space="preserve"> </w:t>
      </w:r>
      <w:r w:rsidRPr="00976BF2">
        <w:rPr>
          <w:rFonts w:ascii="Verdana" w:hAnsi="Verdana" w:cs="Arial"/>
          <w:sz w:val="16"/>
          <w:szCs w:val="16"/>
        </w:rPr>
        <w:t>la</w:t>
      </w:r>
      <w:r w:rsidRPr="00976BF2">
        <w:rPr>
          <w:rFonts w:ascii="Verdana" w:hAnsi="Verdana" w:cs="Arial"/>
          <w:spacing w:val="-1"/>
          <w:sz w:val="16"/>
          <w:szCs w:val="16"/>
        </w:rPr>
        <w:t xml:space="preserve"> </w:t>
      </w:r>
      <w:r w:rsidRPr="00976BF2">
        <w:rPr>
          <w:rFonts w:ascii="Verdana" w:hAnsi="Verdana" w:cs="Arial"/>
          <w:sz w:val="16"/>
          <w:szCs w:val="16"/>
        </w:rPr>
        <w:t>sociedad</w:t>
      </w:r>
      <w:r w:rsidRPr="00976BF2">
        <w:rPr>
          <w:rFonts w:ascii="Verdana" w:hAnsi="Verdana" w:cs="Arial"/>
          <w:spacing w:val="18"/>
          <w:sz w:val="16"/>
          <w:szCs w:val="16"/>
        </w:rPr>
        <w:t xml:space="preserve"> </w:t>
      </w:r>
      <w:r w:rsidRPr="00976BF2">
        <w:rPr>
          <w:rFonts w:ascii="Verdana" w:hAnsi="Verdana" w:cs="Arial"/>
          <w:sz w:val="16"/>
          <w:szCs w:val="16"/>
        </w:rPr>
        <w:t>a</w:t>
      </w:r>
      <w:r w:rsidRPr="00976BF2">
        <w:rPr>
          <w:rFonts w:ascii="Verdana" w:hAnsi="Verdana" w:cs="Arial"/>
          <w:spacing w:val="13"/>
          <w:sz w:val="16"/>
          <w:szCs w:val="16"/>
        </w:rPr>
        <w:t xml:space="preserve"> </w:t>
      </w:r>
      <w:r w:rsidRPr="00976BF2">
        <w:rPr>
          <w:rFonts w:ascii="Verdana" w:hAnsi="Verdana" w:cs="Arial"/>
          <w:sz w:val="16"/>
          <w:szCs w:val="16"/>
        </w:rPr>
        <w:t>un</w:t>
      </w:r>
      <w:r w:rsidRPr="00976BF2">
        <w:rPr>
          <w:rFonts w:ascii="Verdana" w:hAnsi="Verdana" w:cs="Arial"/>
          <w:spacing w:val="7"/>
          <w:sz w:val="16"/>
          <w:szCs w:val="16"/>
        </w:rPr>
        <w:t xml:space="preserve"> </w:t>
      </w:r>
      <w:r w:rsidRPr="00976BF2">
        <w:rPr>
          <w:rFonts w:ascii="Verdana" w:hAnsi="Verdana" w:cs="Arial"/>
          <w:sz w:val="16"/>
          <w:szCs w:val="16"/>
        </w:rPr>
        <w:t>tercero,</w:t>
      </w:r>
      <w:r w:rsidRPr="00976BF2">
        <w:rPr>
          <w:rFonts w:ascii="Verdana" w:hAnsi="Verdana" w:cs="Arial"/>
          <w:spacing w:val="15"/>
          <w:sz w:val="16"/>
          <w:szCs w:val="16"/>
        </w:rPr>
        <w:t xml:space="preserve"> </w:t>
      </w:r>
      <w:r w:rsidRPr="00976BF2">
        <w:rPr>
          <w:rFonts w:ascii="Verdana" w:hAnsi="Verdana" w:cs="Arial"/>
          <w:sz w:val="16"/>
          <w:szCs w:val="16"/>
        </w:rPr>
        <w:t>se</w:t>
      </w:r>
      <w:r w:rsidRPr="00976BF2">
        <w:rPr>
          <w:rFonts w:ascii="Verdana" w:hAnsi="Verdana" w:cs="Arial"/>
          <w:spacing w:val="2"/>
          <w:sz w:val="16"/>
          <w:szCs w:val="16"/>
        </w:rPr>
        <w:t xml:space="preserve"> </w:t>
      </w:r>
      <w:r w:rsidRPr="00976BF2">
        <w:rPr>
          <w:rFonts w:ascii="Verdana" w:hAnsi="Verdana" w:cs="Arial"/>
          <w:sz w:val="16"/>
          <w:szCs w:val="16"/>
        </w:rPr>
        <w:t>exige</w:t>
      </w:r>
      <w:r w:rsidRPr="00976BF2">
        <w:rPr>
          <w:rFonts w:ascii="Verdana" w:hAnsi="Verdana" w:cs="Arial"/>
          <w:spacing w:val="5"/>
          <w:sz w:val="16"/>
          <w:szCs w:val="16"/>
        </w:rPr>
        <w:t xml:space="preserve"> </w:t>
      </w:r>
      <w:r w:rsidRPr="00976BF2">
        <w:rPr>
          <w:rFonts w:ascii="Verdana" w:hAnsi="Verdana" w:cs="Arial"/>
          <w:sz w:val="16"/>
          <w:szCs w:val="16"/>
        </w:rPr>
        <w:t>el</w:t>
      </w:r>
      <w:r w:rsidRPr="00976BF2">
        <w:rPr>
          <w:rFonts w:ascii="Verdana" w:hAnsi="Verdana" w:cs="Arial"/>
          <w:spacing w:val="6"/>
          <w:sz w:val="16"/>
          <w:szCs w:val="16"/>
        </w:rPr>
        <w:t xml:space="preserve"> </w:t>
      </w:r>
      <w:r w:rsidRPr="00976BF2">
        <w:rPr>
          <w:rFonts w:ascii="Verdana" w:hAnsi="Verdana" w:cs="Arial"/>
          <w:sz w:val="16"/>
          <w:szCs w:val="16"/>
        </w:rPr>
        <w:t>consentimiento</w:t>
      </w:r>
      <w:r w:rsidRPr="00976BF2">
        <w:rPr>
          <w:rFonts w:ascii="Verdana" w:hAnsi="Verdana" w:cs="Arial"/>
          <w:spacing w:val="20"/>
          <w:sz w:val="16"/>
          <w:szCs w:val="16"/>
        </w:rPr>
        <w:t xml:space="preserve"> </w:t>
      </w:r>
      <w:r w:rsidRPr="00976BF2">
        <w:rPr>
          <w:rFonts w:ascii="Verdana" w:hAnsi="Verdana" w:cs="Arial"/>
          <w:sz w:val="16"/>
          <w:szCs w:val="16"/>
        </w:rPr>
        <w:t>de</w:t>
      </w:r>
      <w:r w:rsidRPr="00976BF2">
        <w:rPr>
          <w:rFonts w:ascii="Verdana" w:hAnsi="Verdana" w:cs="Arial"/>
          <w:spacing w:val="9"/>
          <w:sz w:val="16"/>
          <w:szCs w:val="16"/>
        </w:rPr>
        <w:t xml:space="preserve"> </w:t>
      </w:r>
      <w:r w:rsidRPr="00976BF2">
        <w:rPr>
          <w:rFonts w:ascii="Verdana" w:hAnsi="Verdana" w:cs="Arial"/>
          <w:sz w:val="16"/>
          <w:szCs w:val="16"/>
        </w:rPr>
        <w:t>los</w:t>
      </w:r>
      <w:r w:rsidRPr="00976BF2">
        <w:rPr>
          <w:rFonts w:ascii="Verdana" w:hAnsi="Verdana" w:cs="Arial"/>
          <w:spacing w:val="17"/>
          <w:sz w:val="16"/>
          <w:szCs w:val="16"/>
        </w:rPr>
        <w:t xml:space="preserve"> </w:t>
      </w:r>
      <w:r w:rsidRPr="00976BF2">
        <w:rPr>
          <w:rFonts w:ascii="Verdana" w:hAnsi="Verdana" w:cs="Arial"/>
          <w:sz w:val="16"/>
          <w:szCs w:val="16"/>
        </w:rPr>
        <w:t>demás</w:t>
      </w:r>
      <w:r w:rsidRPr="00976BF2">
        <w:rPr>
          <w:rFonts w:ascii="Verdana" w:hAnsi="Verdana" w:cs="Arial"/>
          <w:spacing w:val="11"/>
          <w:sz w:val="16"/>
          <w:szCs w:val="16"/>
        </w:rPr>
        <w:t xml:space="preserve"> </w:t>
      </w:r>
      <w:r w:rsidRPr="00976BF2">
        <w:rPr>
          <w:rFonts w:ascii="Verdana" w:hAnsi="Verdana" w:cs="Arial"/>
          <w:sz w:val="16"/>
          <w:szCs w:val="16"/>
        </w:rPr>
        <w:t>socios”.</w:t>
      </w:r>
      <w:r w:rsidRPr="00976BF2">
        <w:rPr>
          <w:rFonts w:ascii="Verdana" w:hAnsi="Verdana" w:cs="Arial"/>
          <w:spacing w:val="-4"/>
          <w:sz w:val="16"/>
          <w:szCs w:val="16"/>
        </w:rPr>
        <w:t xml:space="preserve"> </w:t>
      </w:r>
      <w:r w:rsidRPr="00976BF2">
        <w:rPr>
          <w:rFonts w:ascii="Verdana" w:hAnsi="Verdana" w:cs="Arial"/>
          <w:sz w:val="16"/>
          <w:szCs w:val="16"/>
        </w:rPr>
        <w:t>(Ibid.,</w:t>
      </w:r>
      <w:r w:rsidRPr="00976BF2">
        <w:rPr>
          <w:rFonts w:ascii="Verdana" w:hAnsi="Verdana" w:cs="Arial"/>
          <w:spacing w:val="10"/>
          <w:sz w:val="16"/>
          <w:szCs w:val="16"/>
        </w:rPr>
        <w:t xml:space="preserve"> </w:t>
      </w:r>
      <w:r w:rsidRPr="00976BF2">
        <w:rPr>
          <w:rFonts w:ascii="Verdana" w:hAnsi="Verdana" w:cs="Arial"/>
          <w:sz w:val="16"/>
          <w:szCs w:val="16"/>
        </w:rPr>
        <w:t>p.</w:t>
      </w:r>
      <w:r w:rsidRPr="00976BF2">
        <w:rPr>
          <w:rFonts w:ascii="Verdana" w:hAnsi="Verdana" w:cs="Arial"/>
          <w:spacing w:val="-11"/>
          <w:sz w:val="16"/>
          <w:szCs w:val="16"/>
        </w:rPr>
        <w:t xml:space="preserve"> </w:t>
      </w:r>
      <w:r w:rsidRPr="00976BF2">
        <w:rPr>
          <w:rFonts w:ascii="Verdana" w:hAnsi="Verdana" w:cs="Arial"/>
          <w:sz w:val="16"/>
          <w:szCs w:val="16"/>
        </w:rPr>
        <w:t>73-74).</w:t>
      </w:r>
    </w:p>
  </w:footnote>
  <w:footnote w:id="7">
    <w:p w14:paraId="6403A916" w14:textId="77777777" w:rsidR="003C2794" w:rsidRPr="009C276B" w:rsidRDefault="003C2794" w:rsidP="003C2794">
      <w:pPr>
        <w:pStyle w:val="FootnoteText"/>
        <w:snapToGrid w:val="0"/>
        <w:ind w:firstLine="687"/>
        <w:contextualSpacing/>
        <w:jc w:val="both"/>
        <w:rPr>
          <w:rFonts w:ascii="Verdana" w:hAnsi="Verdana"/>
          <w:sz w:val="16"/>
          <w:szCs w:val="16"/>
          <w:lang w:val="en-CO"/>
        </w:rPr>
      </w:pPr>
      <w:r w:rsidRPr="00976BF2">
        <w:rPr>
          <w:rStyle w:val="FootnoteReference"/>
          <w:rFonts w:ascii="Verdana" w:hAnsi="Verdana"/>
          <w:sz w:val="16"/>
          <w:szCs w:val="16"/>
        </w:rPr>
        <w:footnoteRef/>
      </w:r>
      <w:r w:rsidRPr="00976BF2">
        <w:rPr>
          <w:rFonts w:ascii="Verdana" w:hAnsi="Verdana"/>
          <w:sz w:val="16"/>
          <w:szCs w:val="16"/>
        </w:rPr>
        <w:t xml:space="preserve"> </w:t>
      </w:r>
      <w:r w:rsidRPr="00976BF2">
        <w:rPr>
          <w:rFonts w:ascii="Verdana" w:hAnsi="Verdana"/>
          <w:sz w:val="16"/>
          <w:szCs w:val="16"/>
          <w:lang w:val="es-ES"/>
        </w:rPr>
        <w:t>Al respecto el artículo 71 de la Ley 222 de 1995 dispone: “</w:t>
      </w:r>
      <w:r w:rsidRPr="00976BF2">
        <w:rPr>
          <w:rFonts w:ascii="Verdana" w:hAnsi="Verdana"/>
          <w:sz w:val="16"/>
          <w:szCs w:val="16"/>
          <w:lang w:val="en-CO"/>
        </w:rPr>
        <w:t xml:space="preserve">Mediante la Empresa Unipersonal una persona natural o jurídica que reúna las calidades requeridas para ejercer el comercio, podrá destinar parte de sus activos para la realización de una o varias actividades de carácter mercantil. </w:t>
      </w:r>
      <w:r w:rsidRPr="009C276B">
        <w:rPr>
          <w:rFonts w:ascii="Verdana" w:hAnsi="Verdana"/>
          <w:sz w:val="16"/>
          <w:szCs w:val="16"/>
          <w:lang w:val="en-CO"/>
        </w:rPr>
        <w:t>La Empresa Unipersonal, una vez inscrita en el registro mercantil, forma una persona jurídica.</w:t>
      </w:r>
    </w:p>
    <w:p w14:paraId="7B7A8FA0" w14:textId="77777777" w:rsidR="003C2794" w:rsidRPr="00976BF2" w:rsidRDefault="003C2794" w:rsidP="003C2794">
      <w:pPr>
        <w:pStyle w:val="FootnoteText"/>
        <w:snapToGrid w:val="0"/>
        <w:contextualSpacing/>
        <w:jc w:val="both"/>
        <w:rPr>
          <w:rFonts w:ascii="Verdana" w:hAnsi="Verdana"/>
          <w:sz w:val="16"/>
          <w:szCs w:val="16"/>
          <w:lang w:val="en-CO"/>
        </w:rPr>
      </w:pPr>
      <w:r w:rsidRPr="00976BF2">
        <w:rPr>
          <w:rFonts w:ascii="Verdana" w:hAnsi="Verdana"/>
          <w:sz w:val="16"/>
          <w:szCs w:val="16"/>
          <w:lang w:val="en-CO"/>
        </w:rPr>
        <w:t>Parágrafo.</w:t>
      </w:r>
      <w:r w:rsidRPr="009C276B">
        <w:rPr>
          <w:rFonts w:ascii="Verdana" w:hAnsi="Verdana"/>
          <w:sz w:val="16"/>
          <w:szCs w:val="16"/>
          <w:lang w:val="en-CO"/>
        </w:rPr>
        <w:t> Cuando se utilice la empresa unipersonal en fraude a la ley o en perjuicio de terceros, el titular de las cuotas de capital y los administradores que hubieren realizado, participado o facilitado los actos defraudatorios, responderán solidariamente por las obligaciones nacidas de tales actos y por los perjuicios causados.</w:t>
      </w:r>
    </w:p>
  </w:footnote>
  <w:footnote w:id="8">
    <w:p w14:paraId="27E4D6C7" w14:textId="77777777" w:rsidR="003C2794" w:rsidRPr="00976BF2" w:rsidRDefault="003C2794" w:rsidP="003C2794">
      <w:pPr>
        <w:pStyle w:val="FootnoteText"/>
        <w:snapToGrid w:val="0"/>
        <w:ind w:firstLine="708"/>
        <w:contextualSpacing/>
        <w:jc w:val="both"/>
        <w:rPr>
          <w:rFonts w:ascii="Verdana" w:hAnsi="Verdana"/>
          <w:sz w:val="16"/>
          <w:szCs w:val="16"/>
          <w:lang w:val="en-CO"/>
        </w:rPr>
      </w:pPr>
      <w:r w:rsidRPr="00976BF2">
        <w:rPr>
          <w:rStyle w:val="FootnoteReference"/>
          <w:rFonts w:ascii="Verdana" w:hAnsi="Verdana"/>
          <w:sz w:val="16"/>
          <w:szCs w:val="16"/>
        </w:rPr>
        <w:footnoteRef/>
      </w:r>
      <w:r w:rsidRPr="00976BF2">
        <w:rPr>
          <w:rFonts w:ascii="Verdana" w:hAnsi="Verdana"/>
          <w:sz w:val="16"/>
          <w:szCs w:val="16"/>
        </w:rPr>
        <w:t xml:space="preserve"> </w:t>
      </w:r>
      <w:r w:rsidRPr="00976BF2">
        <w:rPr>
          <w:rFonts w:ascii="Verdana" w:hAnsi="Verdana"/>
          <w:sz w:val="16"/>
          <w:szCs w:val="16"/>
          <w:lang w:val="en-CO"/>
        </w:rPr>
        <w:t xml:space="preserve">COLOMBIA. CORTE CONSTITUCIONAL. Sentencia C-624 del 4 de noviembre de 1998. Magistrado ponente: Doctor Alejandro Martinez Caballero. </w:t>
      </w:r>
    </w:p>
  </w:footnote>
  <w:footnote w:id="9">
    <w:p w14:paraId="11104845" w14:textId="77777777" w:rsidR="003C2794" w:rsidRPr="00976BF2" w:rsidRDefault="003C2794" w:rsidP="003C2794">
      <w:pPr>
        <w:pStyle w:val="FootnoteText"/>
        <w:snapToGrid w:val="0"/>
        <w:ind w:firstLine="709"/>
        <w:contextualSpacing/>
        <w:jc w:val="both"/>
        <w:rPr>
          <w:rFonts w:ascii="Verdana" w:hAnsi="Verdana" w:cs="Arial"/>
          <w:sz w:val="16"/>
          <w:szCs w:val="16"/>
        </w:rPr>
      </w:pPr>
      <w:r w:rsidRPr="00976BF2">
        <w:rPr>
          <w:rStyle w:val="FootnoteReference"/>
          <w:rFonts w:ascii="Verdana" w:hAnsi="Verdana"/>
          <w:sz w:val="16"/>
          <w:szCs w:val="16"/>
        </w:rPr>
        <w:footnoteRef/>
      </w:r>
      <w:r w:rsidRPr="00976BF2">
        <w:rPr>
          <w:rFonts w:ascii="Verdana" w:hAnsi="Verdana"/>
          <w:sz w:val="16"/>
          <w:szCs w:val="16"/>
        </w:rPr>
        <w:t xml:space="preserve"> </w:t>
      </w:r>
      <w:r w:rsidRPr="00976BF2">
        <w:rPr>
          <w:rFonts w:ascii="Verdana" w:hAnsi="Verdana" w:cs="Arial"/>
          <w:sz w:val="16"/>
          <w:szCs w:val="16"/>
        </w:rPr>
        <w:t xml:space="preserve">Reyes, F. (2013). La sociedad por acciones simplificada SAS. (3a. ed.) Legis. Recuperado </w:t>
      </w:r>
      <w:r w:rsidRPr="00976BF2">
        <w:rPr>
          <w:rFonts w:ascii="Verdana" w:hAnsi="Verdana" w:cs="Arial"/>
          <w:sz w:val="16"/>
          <w:szCs w:val="16"/>
        </w:rPr>
        <w:t xml:space="preserve">de </w:t>
      </w:r>
      <w:r w:rsidRPr="00976BF2">
        <w:fldChar w:fldCharType="begin"/>
      </w:r>
      <w:r w:rsidRPr="00976BF2">
        <w:rPr>
          <w:rFonts w:ascii="Verdana" w:hAnsi="Verdana"/>
          <w:sz w:val="16"/>
          <w:szCs w:val="16"/>
        </w:rPr>
        <w:instrText>HYPERLINK "https://www.ebooks7-24.com:443/?il=1891&amp;pg=125"</w:instrText>
      </w:r>
      <w:r w:rsidRPr="00976BF2">
        <w:fldChar w:fldCharType="separate"/>
      </w:r>
      <w:r w:rsidRPr="00976BF2">
        <w:rPr>
          <w:rStyle w:val="Hyperlink"/>
          <w:rFonts w:ascii="Verdana" w:hAnsi="Verdana" w:cs="Arial"/>
          <w:color w:val="auto"/>
          <w:sz w:val="16"/>
          <w:szCs w:val="16"/>
        </w:rPr>
        <w:t>https://www.ebooks7-24.com:443/?il=1891&amp;pg=125</w:t>
      </w:r>
      <w:r w:rsidRPr="00976BF2">
        <w:rPr>
          <w:rStyle w:val="Hyperlink"/>
          <w:rFonts w:ascii="Verdana" w:hAnsi="Verdana" w:cs="Arial"/>
          <w:color w:val="auto"/>
          <w:sz w:val="16"/>
          <w:szCs w:val="16"/>
        </w:rPr>
        <w:fldChar w:fldCharType="end"/>
      </w:r>
    </w:p>
    <w:p w14:paraId="38B1267B" w14:textId="77777777" w:rsidR="003C2794" w:rsidRPr="00976BF2" w:rsidRDefault="003C2794" w:rsidP="003C2794">
      <w:pPr>
        <w:pStyle w:val="FootnoteText"/>
        <w:snapToGrid w:val="0"/>
        <w:ind w:firstLine="709"/>
        <w:contextualSpacing/>
        <w:jc w:val="both"/>
        <w:rPr>
          <w:rFonts w:ascii="Verdana" w:hAnsi="Verdana"/>
          <w:sz w:val="16"/>
          <w:szCs w:val="16"/>
        </w:rPr>
      </w:pPr>
    </w:p>
  </w:footnote>
  <w:footnote w:id="10">
    <w:p w14:paraId="7F1E04FC" w14:textId="77777777" w:rsidR="003C2794" w:rsidRPr="00976BF2" w:rsidRDefault="003C2794" w:rsidP="003C2794">
      <w:pPr>
        <w:snapToGrid w:val="0"/>
        <w:spacing w:after="0" w:line="240" w:lineRule="auto"/>
        <w:ind w:firstLine="708"/>
        <w:contextualSpacing/>
        <w:jc w:val="both"/>
        <w:rPr>
          <w:rFonts w:ascii="Verdana" w:hAnsi="Verdana" w:cs="Arial"/>
          <w:b/>
          <w:sz w:val="16"/>
          <w:szCs w:val="16"/>
          <w:lang w:eastAsia="es-CO"/>
        </w:rPr>
      </w:pPr>
      <w:r w:rsidRPr="00976BF2">
        <w:rPr>
          <w:rStyle w:val="FootnoteReference"/>
          <w:rFonts w:ascii="Verdana" w:hAnsi="Verdana"/>
          <w:sz w:val="16"/>
          <w:szCs w:val="16"/>
        </w:rPr>
        <w:footnoteRef/>
      </w:r>
      <w:r w:rsidRPr="00976BF2">
        <w:rPr>
          <w:rFonts w:ascii="Verdana" w:hAnsi="Verdana"/>
          <w:sz w:val="16"/>
          <w:szCs w:val="16"/>
        </w:rPr>
        <w:t xml:space="preserve"> </w:t>
      </w:r>
      <w:r w:rsidRPr="00976BF2">
        <w:rPr>
          <w:rFonts w:ascii="Verdana" w:hAnsi="Verdana" w:cs="Arial"/>
          <w:sz w:val="16"/>
          <w:szCs w:val="16"/>
          <w:lang w:eastAsia="es-CO"/>
        </w:rPr>
        <w:t xml:space="preserve">Superintendencia de Sociedades, Oficio 220-060561 del 15 de Mayo de 2011. </w:t>
      </w:r>
      <w:proofErr w:type="spellStart"/>
      <w:r w:rsidRPr="00976BF2">
        <w:rPr>
          <w:rFonts w:ascii="Verdana" w:hAnsi="Verdana" w:cs="Arial"/>
          <w:sz w:val="16"/>
          <w:szCs w:val="16"/>
          <w:lang w:eastAsia="es-CO"/>
        </w:rPr>
        <w:t>Ref</w:t>
      </w:r>
      <w:proofErr w:type="spellEnd"/>
      <w:r w:rsidRPr="00976BF2">
        <w:rPr>
          <w:rFonts w:ascii="Verdana" w:hAnsi="Verdana" w:cs="Arial"/>
          <w:sz w:val="16"/>
          <w:szCs w:val="16"/>
          <w:lang w:eastAsia="es-CO"/>
        </w:rPr>
        <w:t>: La prohibición del artículo 75 de la Ley 222 de 1995, no aplica en la S.A.S.</w:t>
      </w:r>
    </w:p>
  </w:footnote>
  <w:footnote w:id="11">
    <w:p w14:paraId="66EB35DD" w14:textId="77777777" w:rsidR="000E5392" w:rsidRPr="00976BF2" w:rsidRDefault="000E5392" w:rsidP="000E5392">
      <w:pPr>
        <w:pStyle w:val="FootnoteText"/>
        <w:snapToGrid w:val="0"/>
        <w:ind w:firstLine="709"/>
        <w:contextualSpacing/>
        <w:jc w:val="both"/>
        <w:rPr>
          <w:rFonts w:ascii="Verdana" w:hAnsi="Verdana" w:cs="Arial"/>
          <w:sz w:val="16"/>
          <w:szCs w:val="16"/>
        </w:rPr>
      </w:pPr>
      <w:r w:rsidRPr="00976BF2">
        <w:rPr>
          <w:rStyle w:val="FootnoteReference"/>
          <w:rFonts w:ascii="Verdana" w:hAnsi="Verdana" w:cs="Arial"/>
          <w:sz w:val="16"/>
          <w:szCs w:val="16"/>
        </w:rPr>
        <w:footnoteRef/>
      </w:r>
      <w:r w:rsidRPr="00976BF2">
        <w:rPr>
          <w:rFonts w:ascii="Verdana" w:hAnsi="Verdana" w:cs="Arial"/>
          <w:sz w:val="16"/>
          <w:szCs w:val="16"/>
        </w:rPr>
        <w:t xml:space="preserve"> Corte Constitucional. Sala Plena. Sentencia C 178 de 29 de abril de 1996. Magistrado Ponente: Antonio Barrera Carbonell. Expediente No. D-974. </w:t>
      </w:r>
    </w:p>
  </w:footnote>
  <w:footnote w:id="12">
    <w:p w14:paraId="687E53F2" w14:textId="77777777" w:rsidR="000E5392" w:rsidRPr="00976BF2" w:rsidRDefault="000E5392" w:rsidP="000E5392">
      <w:pPr>
        <w:snapToGrid w:val="0"/>
        <w:spacing w:after="0" w:line="240" w:lineRule="auto"/>
        <w:ind w:firstLine="709"/>
        <w:contextualSpacing/>
        <w:jc w:val="both"/>
        <w:rPr>
          <w:rFonts w:ascii="Verdana" w:hAnsi="Verdana" w:cs="Arial"/>
          <w:sz w:val="16"/>
          <w:szCs w:val="16"/>
        </w:rPr>
      </w:pPr>
      <w:r w:rsidRPr="00976BF2">
        <w:rPr>
          <w:rStyle w:val="FootnoteReference"/>
          <w:rFonts w:ascii="Verdana" w:hAnsi="Verdana" w:cs="Arial"/>
          <w:sz w:val="16"/>
          <w:szCs w:val="16"/>
        </w:rPr>
        <w:footnoteRef/>
      </w:r>
      <w:r w:rsidRPr="00976BF2">
        <w:rPr>
          <w:rFonts w:ascii="Verdana" w:hAnsi="Verdana" w:cs="Arial"/>
          <w:sz w:val="16"/>
          <w:szCs w:val="16"/>
        </w:rPr>
        <w:t xml:space="preserve"> “Artículo 6o. De la capacidad para contratar. Pueden celebrar contratos con las entidades estatales las personas consideradas legalmente capaces en las disposiciones vigentes”.</w:t>
      </w:r>
    </w:p>
  </w:footnote>
  <w:footnote w:id="13">
    <w:p w14:paraId="516763FF" w14:textId="77777777" w:rsidR="000E5392" w:rsidRPr="00D36A54" w:rsidRDefault="000E5392" w:rsidP="000E5392">
      <w:pPr>
        <w:pStyle w:val="FootnoteText"/>
        <w:snapToGrid w:val="0"/>
        <w:ind w:firstLine="709"/>
        <w:jc w:val="both"/>
        <w:rPr>
          <w:rFonts w:ascii="Verdana" w:hAnsi="Verdana" w:cs="Arial"/>
          <w:color w:val="000000" w:themeColor="text1"/>
          <w:sz w:val="16"/>
          <w:szCs w:val="16"/>
        </w:rPr>
      </w:pPr>
      <w:r w:rsidRPr="00D36A54">
        <w:rPr>
          <w:rStyle w:val="FootnoteReferenc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El artículo 6 de la Ley 80 de 1993 expresa: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70 de 1993.</w:t>
      </w:r>
    </w:p>
    <w:p w14:paraId="06741BDC" w14:textId="77777777" w:rsidR="000E5392" w:rsidRPr="00D36A54" w:rsidRDefault="000E5392" w:rsidP="000E5392">
      <w:pPr>
        <w:pStyle w:val="FootnoteText"/>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w:t>
      </w:r>
    </w:p>
    <w:p w14:paraId="2F5D81D1" w14:textId="77777777" w:rsidR="000E5392" w:rsidRPr="00D36A54" w:rsidRDefault="000E5392" w:rsidP="000E5392">
      <w:pPr>
        <w:pStyle w:val="FootnoteText"/>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Las personas jurídicas nacionales y extranjeras deberán acreditar que su duración no será inferior a la del plazo del contrato y un año más.</w:t>
      </w:r>
    </w:p>
    <w:p w14:paraId="3149FFED" w14:textId="77777777" w:rsidR="000E5392" w:rsidRPr="00D36A54" w:rsidRDefault="000E5392" w:rsidP="000E5392">
      <w:pPr>
        <w:pStyle w:val="FootnoteText"/>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PARÁGRAFO. Para efectos de la presente ley, la Corporación para la Reconstrucción de la Cuenca del Río Páez y Zonas Aledañas Nasa Ki'we podrá celebrar contratos para adelantar y ejecutar planes, programas y proyectos para la atención de las necesidades de los habitantes de las comunidades· étnicas de los municipios de Popayán, Almaguer, Bolívar, Buenos Aires, Cajibío, Caldono, Caloto, Corinto, El Tambo, Inzá, Jambaló, La Sierra, La Vega, Miranda, Páez, Patía, Piendamó, Puracé, Rosas, San Sebastián, Santander de Quilichao, Silvia, Sotará, Suárez, Toribío, Totoró del departamento del Cauca y los municipios de Neiva, Gigante, Íquira, La Argentina, La Plata, Nátaga, Paicol, Pitalito, San Agustín, Tesalia, Villavieja, Yaguará, Palermo y Rivera del departamento del Huila”.</w:t>
      </w:r>
    </w:p>
  </w:footnote>
  <w:footnote w:id="14">
    <w:p w14:paraId="7EEBE822" w14:textId="77777777" w:rsidR="000E5392" w:rsidRPr="00D36A54" w:rsidRDefault="000E5392" w:rsidP="000E5392">
      <w:pPr>
        <w:pStyle w:val="FootnoteText"/>
        <w:snapToGrid w:val="0"/>
        <w:ind w:firstLine="709"/>
        <w:jc w:val="both"/>
        <w:rPr>
          <w:rFonts w:ascii="Verdana" w:hAnsi="Verdana" w:cs="Arial"/>
          <w:color w:val="000000" w:themeColor="text1"/>
          <w:sz w:val="16"/>
          <w:szCs w:val="16"/>
        </w:rPr>
      </w:pPr>
      <w:r w:rsidRPr="00D36A54">
        <w:rPr>
          <w:rStyle w:val="FootnoteReferenc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El artículo 1502 del Código Civil prevé la capacidad legal como requisito para obligarse contractualmente, en los siguientes términos: “Para que una persona se obligue a otra por un acto o declaración de voluntad, es necesario:</w:t>
      </w:r>
    </w:p>
    <w:p w14:paraId="3B3553AB" w14:textId="77777777" w:rsidR="000E5392" w:rsidRPr="00D36A54" w:rsidRDefault="000E5392" w:rsidP="000E5392">
      <w:pPr>
        <w:pStyle w:val="FootnoteText"/>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1o.) que sea legalmente capaz.</w:t>
      </w:r>
    </w:p>
    <w:p w14:paraId="07D78F95" w14:textId="77777777" w:rsidR="000E5392" w:rsidRPr="00D36A54" w:rsidRDefault="000E5392" w:rsidP="000E5392">
      <w:pPr>
        <w:pStyle w:val="FootnoteText"/>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w:t>
      </w:r>
    </w:p>
    <w:p w14:paraId="73ABED0A" w14:textId="77777777" w:rsidR="000E5392" w:rsidRPr="00D36A54" w:rsidRDefault="000E5392" w:rsidP="000E5392">
      <w:pPr>
        <w:pStyle w:val="FootnoteText"/>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La capacidad legal de una persona consiste en poderse obligar por sí misma, sin el ministerio o la autorización de otra”.</w:t>
      </w:r>
    </w:p>
  </w:footnote>
  <w:footnote w:id="15">
    <w:p w14:paraId="25B19564" w14:textId="77777777" w:rsidR="000E5392" w:rsidRPr="00D36A54" w:rsidRDefault="000E5392" w:rsidP="000E5392">
      <w:pPr>
        <w:pStyle w:val="FootnoteText"/>
        <w:snapToGrid w:val="0"/>
        <w:ind w:firstLine="709"/>
        <w:jc w:val="both"/>
        <w:rPr>
          <w:rFonts w:ascii="Verdana" w:hAnsi="Verdana" w:cs="Arial"/>
          <w:color w:val="000000" w:themeColor="text1"/>
          <w:sz w:val="16"/>
          <w:szCs w:val="16"/>
          <w:lang w:val="es-ES"/>
        </w:rPr>
      </w:pPr>
      <w:r w:rsidRPr="00D36A54">
        <w:rPr>
          <w:rStyle w:val="FootnoteReferenc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r w:rsidRPr="00D36A54">
        <w:rPr>
          <w:rFonts w:ascii="Verdana" w:hAnsi="Verdana" w:cs="Arial"/>
          <w:color w:val="000000" w:themeColor="text1"/>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D36A54">
        <w:rPr>
          <w:rFonts w:ascii="Verdana" w:hAnsi="Verdana" w:cs="Arial"/>
          <w:i/>
          <w:iCs/>
          <w:color w:val="000000" w:themeColor="text1"/>
          <w:sz w:val="16"/>
          <w:szCs w:val="16"/>
          <w:lang w:val="es-ES"/>
        </w:rPr>
        <w:t>el régimen de inhabilidades e incompatibilidades</w:t>
      </w:r>
      <w:r w:rsidRPr="00D36A54">
        <w:rPr>
          <w:rFonts w:ascii="Verdana" w:hAnsi="Verdana" w:cs="Arial"/>
          <w:color w:val="000000" w:themeColor="text1"/>
          <w:sz w:val="16"/>
          <w:szCs w:val="16"/>
          <w:lang w:val="es-ES"/>
        </w:rPr>
        <w:t xml:space="preserve"> (1) y la obligación de ciertos proponentes de inscribirse en el </w:t>
      </w:r>
      <w:r w:rsidRPr="00D36A54">
        <w:rPr>
          <w:rFonts w:ascii="Verdana" w:hAnsi="Verdana" w:cs="Arial"/>
          <w:i/>
          <w:iCs/>
          <w:color w:val="000000" w:themeColor="text1"/>
          <w:sz w:val="16"/>
          <w:szCs w:val="16"/>
          <w:lang w:val="es-ES"/>
        </w:rPr>
        <w:t>registro único</w:t>
      </w:r>
      <w:r w:rsidRPr="00D36A54">
        <w:rPr>
          <w:rFonts w:ascii="Verdana" w:hAnsi="Verdana" w:cs="Arial"/>
          <w:color w:val="000000" w:themeColor="text1"/>
          <w:sz w:val="16"/>
          <w:szCs w:val="16"/>
          <w:lang w:val="es-ES"/>
        </w:rPr>
        <w:t xml:space="preserve"> (2)” (BENAVIDES, José Luis. El contrato estatal. Entre el Derecho público y el Derecho privado. 2ª ed. Bogotá: Universidad Externado de Colombia, 2004. p. 278). </w:t>
      </w:r>
    </w:p>
  </w:footnote>
  <w:footnote w:id="16">
    <w:p w14:paraId="28BCE171" w14:textId="77777777" w:rsidR="000E5392" w:rsidRPr="00D36A54" w:rsidRDefault="000E5392" w:rsidP="000E5392">
      <w:pPr>
        <w:pStyle w:val="FootnoteText"/>
        <w:snapToGrid w:val="0"/>
        <w:ind w:firstLine="709"/>
        <w:jc w:val="both"/>
        <w:rPr>
          <w:rFonts w:ascii="Verdana" w:hAnsi="Verdana" w:cs="Arial"/>
          <w:color w:val="000000" w:themeColor="text1"/>
          <w:sz w:val="16"/>
          <w:szCs w:val="16"/>
          <w:lang w:val="es-ES"/>
        </w:rPr>
      </w:pPr>
      <w:r w:rsidRPr="00D36A54">
        <w:rPr>
          <w:rStyle w:val="FootnoteReferenc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r w:rsidRPr="00D36A54">
        <w:rPr>
          <w:rFonts w:ascii="Verdana" w:hAnsi="Verdana" w:cs="Arial"/>
          <w:color w:val="000000" w:themeColor="text1"/>
          <w:sz w:val="16"/>
          <w:szCs w:val="16"/>
          <w:lang w:val="es-ES"/>
        </w:rPr>
        <w:t xml:space="preserve">BARRETO ROZO, Antonio Alejandro. Inhabilidades de la contratación estatal, efectos y </w:t>
      </w:r>
      <w:proofErr w:type="spellStart"/>
      <w:r w:rsidRPr="00D36A54">
        <w:rPr>
          <w:rFonts w:ascii="Verdana" w:hAnsi="Verdana" w:cs="Arial"/>
          <w:color w:val="000000" w:themeColor="text1"/>
          <w:sz w:val="16"/>
          <w:szCs w:val="16"/>
          <w:lang w:val="es-ES"/>
        </w:rPr>
        <w:t>neopunitivismo</w:t>
      </w:r>
      <w:proofErr w:type="spellEnd"/>
      <w:r w:rsidRPr="00D36A54">
        <w:rPr>
          <w:rFonts w:ascii="Verdana" w:hAnsi="Verdana" w:cs="Arial"/>
          <w:color w:val="000000" w:themeColor="text1"/>
          <w:sz w:val="16"/>
          <w:szCs w:val="16"/>
          <w:lang w:val="es-ES"/>
        </w:rPr>
        <w:t xml:space="preserve"> en el Estatuto Anticorrupción. En: ALVIAR GARCÍA, Helena (Coordinadora). Nuevas tendencias del Derecho administrativo. Bogotá: Universidad de los Andes; Temis, 2016. pp. 63-99.</w:t>
      </w:r>
    </w:p>
  </w:footnote>
  <w:footnote w:id="17">
    <w:p w14:paraId="712163CB" w14:textId="77777777" w:rsidR="000E5392" w:rsidRPr="00D36A54" w:rsidRDefault="000E5392" w:rsidP="000E5392">
      <w:pPr>
        <w:pStyle w:val="FootnoteText"/>
        <w:snapToGrid w:val="0"/>
        <w:ind w:firstLine="709"/>
        <w:jc w:val="both"/>
        <w:rPr>
          <w:rFonts w:ascii="Verdana" w:hAnsi="Verdana" w:cs="Arial"/>
          <w:color w:val="000000" w:themeColor="text1"/>
          <w:sz w:val="16"/>
          <w:szCs w:val="16"/>
          <w:lang w:val="es-ES"/>
        </w:rPr>
      </w:pPr>
      <w:r w:rsidRPr="00D36A54">
        <w:rPr>
          <w:rStyle w:val="FootnoteReferenc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proofErr w:type="spellStart"/>
      <w:r w:rsidRPr="00D36A54">
        <w:rPr>
          <w:rFonts w:ascii="Verdana" w:hAnsi="Verdana" w:cs="Arial"/>
          <w:color w:val="000000" w:themeColor="text1"/>
          <w:sz w:val="16"/>
          <w:szCs w:val="16"/>
          <w:lang w:val="es-ES"/>
        </w:rPr>
        <w:t>Ibíd</w:t>
      </w:r>
      <w:proofErr w:type="spellEnd"/>
      <w:r w:rsidRPr="00D36A54">
        <w:rPr>
          <w:rFonts w:ascii="Verdana" w:hAnsi="Verdana" w:cs="Arial"/>
          <w:color w:val="000000" w:themeColor="text1"/>
          <w:sz w:val="16"/>
          <w:szCs w:val="16"/>
          <w:lang w:val="es-ES"/>
        </w:rPr>
        <w:t>., p. 69.</w:t>
      </w:r>
    </w:p>
  </w:footnote>
  <w:footnote w:id="18">
    <w:p w14:paraId="28FE6858" w14:textId="77777777" w:rsidR="000E5392" w:rsidRPr="00D36A54" w:rsidRDefault="000E5392" w:rsidP="000E5392">
      <w:pPr>
        <w:pStyle w:val="FootnoteText"/>
        <w:snapToGrid w:val="0"/>
        <w:ind w:firstLine="709"/>
        <w:jc w:val="both"/>
        <w:rPr>
          <w:rFonts w:ascii="Verdana" w:hAnsi="Verdana" w:cs="Arial"/>
          <w:color w:val="000000" w:themeColor="text1"/>
          <w:sz w:val="16"/>
          <w:szCs w:val="16"/>
          <w:lang w:val="es-ES"/>
        </w:rPr>
      </w:pPr>
      <w:r w:rsidRPr="00D36A54">
        <w:rPr>
          <w:rStyle w:val="FootnoteReferenc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r w:rsidRPr="00D36A54">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19">
    <w:p w14:paraId="42F5CCB6" w14:textId="77777777" w:rsidR="000E5392" w:rsidRPr="00D36A54" w:rsidRDefault="000E5392" w:rsidP="000E5392">
      <w:pPr>
        <w:pStyle w:val="FootnoteText"/>
        <w:snapToGrid w:val="0"/>
        <w:ind w:firstLine="709"/>
        <w:jc w:val="both"/>
        <w:rPr>
          <w:rFonts w:ascii="Verdana" w:hAnsi="Verdana" w:cs="Arial"/>
          <w:color w:val="000000" w:themeColor="text1"/>
          <w:sz w:val="16"/>
          <w:szCs w:val="16"/>
          <w:lang w:val="es-ES"/>
        </w:rPr>
      </w:pPr>
      <w:r w:rsidRPr="00D36A54">
        <w:rPr>
          <w:rStyle w:val="FootnoteReferenc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r w:rsidRPr="00D36A54">
        <w:rPr>
          <w:rFonts w:ascii="Verdana" w:hAnsi="Verdana" w:cs="Arial"/>
          <w:color w:val="000000" w:themeColor="text1"/>
          <w:sz w:val="16"/>
          <w:szCs w:val="16"/>
          <w:lang w:val="es-ES"/>
        </w:rPr>
        <w:t>Consejo de Estado. Sala de Consulta y Servicio Civil. Concepto del 30 de abril de 2015. Expediente: 2251. Consejero Ponente: Álvaro Namén Vargas.</w:t>
      </w:r>
    </w:p>
  </w:footnote>
  <w:footnote w:id="20">
    <w:p w14:paraId="6ABB4CAA" w14:textId="77777777" w:rsidR="000E5392" w:rsidRPr="00D36A54" w:rsidRDefault="000E5392" w:rsidP="000E5392">
      <w:pPr>
        <w:pStyle w:val="FootnoteText"/>
        <w:snapToGrid w:val="0"/>
        <w:ind w:firstLine="709"/>
        <w:jc w:val="both"/>
        <w:rPr>
          <w:rFonts w:ascii="Verdana" w:hAnsi="Verdana" w:cs="Arial"/>
          <w:color w:val="000000" w:themeColor="text1"/>
          <w:sz w:val="16"/>
          <w:szCs w:val="16"/>
        </w:rPr>
      </w:pPr>
      <w:r w:rsidRPr="00D36A54">
        <w:rPr>
          <w:rStyle w:val="FootnoteReferenc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Consejo de Estado. Sección Tercera. Subsección A. Sentencia del 24 de junio de 2015. Exp. 40.635. Consejero Ponente: Hernán Andrade Rincón (E).</w:t>
      </w:r>
    </w:p>
  </w:footnote>
  <w:footnote w:id="21">
    <w:p w14:paraId="2E78FAD6" w14:textId="77777777" w:rsidR="000E5392" w:rsidRPr="00D36A54" w:rsidRDefault="000E5392" w:rsidP="000E5392">
      <w:pPr>
        <w:pStyle w:val="FootnoteText"/>
        <w:snapToGrid w:val="0"/>
        <w:ind w:firstLine="709"/>
        <w:jc w:val="both"/>
        <w:rPr>
          <w:rFonts w:ascii="Verdana" w:hAnsi="Verdana" w:cs="Arial"/>
          <w:color w:val="000000" w:themeColor="text1"/>
          <w:sz w:val="16"/>
          <w:szCs w:val="16"/>
        </w:rPr>
      </w:pPr>
      <w:r w:rsidRPr="00D36A54">
        <w:rPr>
          <w:rStyle w:val="FootnoteReferenc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Consejo de Estado. Sección Tercera. Subsección C. Sentencia del 22 de mayo de 2013. Exp. 24.057. Consejera Ponente: Olga Melida Valle De De La Hoz.</w:t>
      </w:r>
    </w:p>
  </w:footnote>
  <w:footnote w:id="22">
    <w:p w14:paraId="52F030E4" w14:textId="77777777" w:rsidR="000E5392" w:rsidRPr="001C38D9" w:rsidRDefault="000E5392" w:rsidP="000E5392">
      <w:pPr>
        <w:pStyle w:val="FootnoteText"/>
        <w:ind w:firstLine="708"/>
        <w:contextualSpacing/>
        <w:jc w:val="both"/>
        <w:rPr>
          <w:rFonts w:ascii="Verdana" w:hAnsi="Verdana" w:cs="Arial"/>
          <w:color w:val="000000"/>
          <w:sz w:val="16"/>
          <w:szCs w:val="16"/>
        </w:rPr>
      </w:pPr>
      <w:r w:rsidRPr="001F1659">
        <w:rPr>
          <w:rStyle w:val="FootnoteReference"/>
          <w:rFonts w:ascii="Verdana" w:hAnsi="Verdana" w:cs="Arial"/>
          <w:color w:val="000000"/>
          <w:sz w:val="16"/>
          <w:szCs w:val="16"/>
        </w:rPr>
        <w:footnoteRef/>
      </w:r>
      <w:r w:rsidRPr="001F1659">
        <w:rPr>
          <w:rFonts w:ascii="Verdana" w:hAnsi="Verdana" w:cs="Arial"/>
          <w:color w:val="000000"/>
          <w:sz w:val="16"/>
          <w:szCs w:val="16"/>
        </w:rPr>
        <w:t xml:space="preserve"> Consejo de Estado. Sala de Consulta y de Servicio Civil. Concepto del 23 de marzo de 2011. Rad. 2.045. C.P.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57" type="#_x0000_t75" style="width:14.8pt;height:14.8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153255849">
    <w:abstractNumId w:val="11"/>
  </w:num>
  <w:num w:numId="17" w16cid:durableId="1337683695">
    <w:abstractNumId w:val="12"/>
  </w:num>
  <w:num w:numId="18" w16cid:durableId="679089576">
    <w:abstractNumId w:val="10"/>
  </w:num>
  <w:num w:numId="19" w16cid:durableId="341274352">
    <w:abstractNumId w:val="0"/>
  </w:num>
  <w:num w:numId="20" w16cid:durableId="5714248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20D"/>
    <w:rsid w:val="00016F78"/>
    <w:rsid w:val="000457F1"/>
    <w:rsid w:val="00046945"/>
    <w:rsid w:val="00053880"/>
    <w:rsid w:val="00057B95"/>
    <w:rsid w:val="00061B2A"/>
    <w:rsid w:val="00082362"/>
    <w:rsid w:val="000A683E"/>
    <w:rsid w:val="000B19B9"/>
    <w:rsid w:val="000C1C69"/>
    <w:rsid w:val="000D0334"/>
    <w:rsid w:val="000D3F0A"/>
    <w:rsid w:val="000D5DA7"/>
    <w:rsid w:val="000E5392"/>
    <w:rsid w:val="000F6486"/>
    <w:rsid w:val="00116940"/>
    <w:rsid w:val="00124BE6"/>
    <w:rsid w:val="00125105"/>
    <w:rsid w:val="00127233"/>
    <w:rsid w:val="0015699B"/>
    <w:rsid w:val="001A33BF"/>
    <w:rsid w:val="001D4D9A"/>
    <w:rsid w:val="001E4177"/>
    <w:rsid w:val="001F0B24"/>
    <w:rsid w:val="001F7DC6"/>
    <w:rsid w:val="0022400B"/>
    <w:rsid w:val="0022539E"/>
    <w:rsid w:val="00241741"/>
    <w:rsid w:val="002421BB"/>
    <w:rsid w:val="0025796E"/>
    <w:rsid w:val="002707A2"/>
    <w:rsid w:val="002951A0"/>
    <w:rsid w:val="002962BC"/>
    <w:rsid w:val="002A093D"/>
    <w:rsid w:val="002A0DD0"/>
    <w:rsid w:val="002A49AC"/>
    <w:rsid w:val="002A4A20"/>
    <w:rsid w:val="002A64FD"/>
    <w:rsid w:val="002C7A84"/>
    <w:rsid w:val="002C7E7A"/>
    <w:rsid w:val="002D0861"/>
    <w:rsid w:val="002D1BE9"/>
    <w:rsid w:val="002E2BF8"/>
    <w:rsid w:val="002E4FD9"/>
    <w:rsid w:val="0030657A"/>
    <w:rsid w:val="00322A85"/>
    <w:rsid w:val="00324168"/>
    <w:rsid w:val="00330834"/>
    <w:rsid w:val="003448F4"/>
    <w:rsid w:val="0036409D"/>
    <w:rsid w:val="00374F5E"/>
    <w:rsid w:val="00375972"/>
    <w:rsid w:val="00377E3E"/>
    <w:rsid w:val="003A779E"/>
    <w:rsid w:val="003C2794"/>
    <w:rsid w:val="003D0F4D"/>
    <w:rsid w:val="003D5B0D"/>
    <w:rsid w:val="003E0499"/>
    <w:rsid w:val="003E3B0E"/>
    <w:rsid w:val="003E4F80"/>
    <w:rsid w:val="003E6439"/>
    <w:rsid w:val="003F3941"/>
    <w:rsid w:val="00400951"/>
    <w:rsid w:val="00406575"/>
    <w:rsid w:val="00414C74"/>
    <w:rsid w:val="0042565D"/>
    <w:rsid w:val="0042722E"/>
    <w:rsid w:val="00435808"/>
    <w:rsid w:val="0044528D"/>
    <w:rsid w:val="00466E39"/>
    <w:rsid w:val="00474F58"/>
    <w:rsid w:val="004A1847"/>
    <w:rsid w:val="004A305D"/>
    <w:rsid w:val="004A54A6"/>
    <w:rsid w:val="004E2DF2"/>
    <w:rsid w:val="004F21C4"/>
    <w:rsid w:val="004F5607"/>
    <w:rsid w:val="004F685F"/>
    <w:rsid w:val="005062A7"/>
    <w:rsid w:val="005202AB"/>
    <w:rsid w:val="00530B38"/>
    <w:rsid w:val="005566E8"/>
    <w:rsid w:val="00565DCB"/>
    <w:rsid w:val="00567B6A"/>
    <w:rsid w:val="00574867"/>
    <w:rsid w:val="00591460"/>
    <w:rsid w:val="005A65E0"/>
    <w:rsid w:val="005C3777"/>
    <w:rsid w:val="005C5CDC"/>
    <w:rsid w:val="005D476C"/>
    <w:rsid w:val="005E2E62"/>
    <w:rsid w:val="006200BF"/>
    <w:rsid w:val="006219F8"/>
    <w:rsid w:val="006302F7"/>
    <w:rsid w:val="006320EF"/>
    <w:rsid w:val="00645F13"/>
    <w:rsid w:val="00646B9F"/>
    <w:rsid w:val="00652F6E"/>
    <w:rsid w:val="00665D70"/>
    <w:rsid w:val="006900D9"/>
    <w:rsid w:val="006A0E98"/>
    <w:rsid w:val="006B5A6A"/>
    <w:rsid w:val="00706C16"/>
    <w:rsid w:val="007340C3"/>
    <w:rsid w:val="0074468A"/>
    <w:rsid w:val="0075235A"/>
    <w:rsid w:val="00756841"/>
    <w:rsid w:val="007649AB"/>
    <w:rsid w:val="00771D0C"/>
    <w:rsid w:val="007833AC"/>
    <w:rsid w:val="00794A90"/>
    <w:rsid w:val="00797EF7"/>
    <w:rsid w:val="007B268C"/>
    <w:rsid w:val="007B35CC"/>
    <w:rsid w:val="007B7171"/>
    <w:rsid w:val="007C0C0F"/>
    <w:rsid w:val="007C3DC2"/>
    <w:rsid w:val="007C7276"/>
    <w:rsid w:val="007E5497"/>
    <w:rsid w:val="00806F5F"/>
    <w:rsid w:val="0080789C"/>
    <w:rsid w:val="00820278"/>
    <w:rsid w:val="008258C9"/>
    <w:rsid w:val="00844AE9"/>
    <w:rsid w:val="00867F95"/>
    <w:rsid w:val="008843B6"/>
    <w:rsid w:val="00887C5A"/>
    <w:rsid w:val="00891928"/>
    <w:rsid w:val="008A446D"/>
    <w:rsid w:val="008B0FDF"/>
    <w:rsid w:val="008B25F1"/>
    <w:rsid w:val="008D180B"/>
    <w:rsid w:val="008F0EA7"/>
    <w:rsid w:val="00923EEF"/>
    <w:rsid w:val="009419F9"/>
    <w:rsid w:val="00951762"/>
    <w:rsid w:val="00953383"/>
    <w:rsid w:val="0095685E"/>
    <w:rsid w:val="00961B09"/>
    <w:rsid w:val="00965334"/>
    <w:rsid w:val="0097093E"/>
    <w:rsid w:val="0097643F"/>
    <w:rsid w:val="00993680"/>
    <w:rsid w:val="009A0DFA"/>
    <w:rsid w:val="009A1C6F"/>
    <w:rsid w:val="009A1D5D"/>
    <w:rsid w:val="009B2D26"/>
    <w:rsid w:val="009C71FA"/>
    <w:rsid w:val="009C72E7"/>
    <w:rsid w:val="009C7F7E"/>
    <w:rsid w:val="009D3058"/>
    <w:rsid w:val="009F3A13"/>
    <w:rsid w:val="00A122D3"/>
    <w:rsid w:val="00A14468"/>
    <w:rsid w:val="00A17F13"/>
    <w:rsid w:val="00A20739"/>
    <w:rsid w:val="00A23AF9"/>
    <w:rsid w:val="00A33C78"/>
    <w:rsid w:val="00A35D1C"/>
    <w:rsid w:val="00A35D83"/>
    <w:rsid w:val="00A65077"/>
    <w:rsid w:val="00A86845"/>
    <w:rsid w:val="00A97348"/>
    <w:rsid w:val="00AB0ADB"/>
    <w:rsid w:val="00AB2EF8"/>
    <w:rsid w:val="00AE6861"/>
    <w:rsid w:val="00B00C0E"/>
    <w:rsid w:val="00B01B1A"/>
    <w:rsid w:val="00B0381D"/>
    <w:rsid w:val="00B1775B"/>
    <w:rsid w:val="00B44A47"/>
    <w:rsid w:val="00B51BCF"/>
    <w:rsid w:val="00B5572A"/>
    <w:rsid w:val="00B72CD3"/>
    <w:rsid w:val="00B72FFF"/>
    <w:rsid w:val="00BA066D"/>
    <w:rsid w:val="00BC3D36"/>
    <w:rsid w:val="00BD54A6"/>
    <w:rsid w:val="00BD7F72"/>
    <w:rsid w:val="00BF7425"/>
    <w:rsid w:val="00C04FB3"/>
    <w:rsid w:val="00C05D41"/>
    <w:rsid w:val="00C11D8B"/>
    <w:rsid w:val="00C15139"/>
    <w:rsid w:val="00C330EB"/>
    <w:rsid w:val="00C4195C"/>
    <w:rsid w:val="00C42EFC"/>
    <w:rsid w:val="00C50D69"/>
    <w:rsid w:val="00C5365C"/>
    <w:rsid w:val="00C550D9"/>
    <w:rsid w:val="00C56D7B"/>
    <w:rsid w:val="00C754BE"/>
    <w:rsid w:val="00C76B1C"/>
    <w:rsid w:val="00C925AC"/>
    <w:rsid w:val="00CB6357"/>
    <w:rsid w:val="00CC1B26"/>
    <w:rsid w:val="00CD6ABF"/>
    <w:rsid w:val="00D361FD"/>
    <w:rsid w:val="00D423A2"/>
    <w:rsid w:val="00D44E26"/>
    <w:rsid w:val="00D520D8"/>
    <w:rsid w:val="00D53E6B"/>
    <w:rsid w:val="00D63AC2"/>
    <w:rsid w:val="00D67A78"/>
    <w:rsid w:val="00D7383B"/>
    <w:rsid w:val="00D7788A"/>
    <w:rsid w:val="00DA231B"/>
    <w:rsid w:val="00DA42FF"/>
    <w:rsid w:val="00DA5C29"/>
    <w:rsid w:val="00DB3426"/>
    <w:rsid w:val="00DC39FC"/>
    <w:rsid w:val="00DF3CF5"/>
    <w:rsid w:val="00DF5254"/>
    <w:rsid w:val="00E02524"/>
    <w:rsid w:val="00E16408"/>
    <w:rsid w:val="00E20894"/>
    <w:rsid w:val="00E245AB"/>
    <w:rsid w:val="00E2764C"/>
    <w:rsid w:val="00E27F2E"/>
    <w:rsid w:val="00E3541D"/>
    <w:rsid w:val="00E50AFE"/>
    <w:rsid w:val="00E75C92"/>
    <w:rsid w:val="00E771DC"/>
    <w:rsid w:val="00E8772A"/>
    <w:rsid w:val="00E90F6B"/>
    <w:rsid w:val="00E92C27"/>
    <w:rsid w:val="00EA0E3D"/>
    <w:rsid w:val="00EC38A7"/>
    <w:rsid w:val="00EC5EAC"/>
    <w:rsid w:val="00EE1AA8"/>
    <w:rsid w:val="00EF036E"/>
    <w:rsid w:val="00F23FEA"/>
    <w:rsid w:val="00F31EDC"/>
    <w:rsid w:val="00F462B3"/>
    <w:rsid w:val="00F4647E"/>
    <w:rsid w:val="00F5664F"/>
    <w:rsid w:val="00F666C4"/>
    <w:rsid w:val="00F76AFC"/>
    <w:rsid w:val="00FA47C0"/>
    <w:rsid w:val="00FA4A71"/>
    <w:rsid w:val="00FB5DD1"/>
    <w:rsid w:val="00FC2B5D"/>
    <w:rsid w:val="00FF1449"/>
    <w:rsid w:val="00FF7963"/>
    <w:rsid w:val="071B8F93"/>
    <w:rsid w:val="07C73DD1"/>
    <w:rsid w:val="09908A09"/>
    <w:rsid w:val="0EFE6349"/>
    <w:rsid w:val="0FF4CCA8"/>
    <w:rsid w:val="1195C410"/>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80789C"/>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80789C"/>
    <w:rPr>
      <w:rFonts w:ascii="Geomanist Light" w:hAnsi="Geomanist Light"/>
      <w:lang w:val="es-ES"/>
    </w:rPr>
  </w:style>
  <w:style w:type="paragraph" w:styleId="BodyText">
    <w:name w:val="Body Text"/>
    <w:basedOn w:val="Normal"/>
    <w:link w:val="BodyTextChar"/>
    <w:uiPriority w:val="1"/>
    <w:unhideWhenUsed/>
    <w:qFormat/>
    <w:rsid w:val="009A1D5D"/>
    <w:pPr>
      <w:spacing w:after="120" w:line="276" w:lineRule="auto"/>
    </w:pPr>
    <w:rPr>
      <w:rFonts w:eastAsiaTheme="minorEastAsia"/>
      <w:lang w:eastAsia="es-CO"/>
    </w:rPr>
  </w:style>
  <w:style w:type="character" w:customStyle="1" w:styleId="BodyTextChar">
    <w:name w:val="Body Text Char"/>
    <w:basedOn w:val="DefaultParagraphFont"/>
    <w:link w:val="BodyText"/>
    <w:uiPriority w:val="1"/>
    <w:rsid w:val="009A1D5D"/>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115571">
      <w:bodyDiv w:val="1"/>
      <w:marLeft w:val="0"/>
      <w:marRight w:val="0"/>
      <w:marTop w:val="0"/>
      <w:marBottom w:val="0"/>
      <w:divBdr>
        <w:top w:val="none" w:sz="0" w:space="0" w:color="auto"/>
        <w:left w:val="none" w:sz="0" w:space="0" w:color="auto"/>
        <w:bottom w:val="none" w:sz="0" w:space="0" w:color="auto"/>
        <w:right w:val="none" w:sz="0" w:space="0" w:color="auto"/>
      </w:divBdr>
      <w:divsChild>
        <w:div w:id="1071999110">
          <w:marLeft w:val="0"/>
          <w:marRight w:val="0"/>
          <w:marTop w:val="0"/>
          <w:marBottom w:val="0"/>
          <w:divBdr>
            <w:top w:val="none" w:sz="0" w:space="0" w:color="auto"/>
            <w:left w:val="none" w:sz="0" w:space="0" w:color="auto"/>
            <w:bottom w:val="none" w:sz="0" w:space="0" w:color="auto"/>
            <w:right w:val="none" w:sz="0" w:space="0" w:color="auto"/>
          </w:divBdr>
          <w:divsChild>
            <w:div w:id="744035591">
              <w:marLeft w:val="0"/>
              <w:marRight w:val="0"/>
              <w:marTop w:val="0"/>
              <w:marBottom w:val="0"/>
              <w:divBdr>
                <w:top w:val="none" w:sz="0" w:space="0" w:color="auto"/>
                <w:left w:val="none" w:sz="0" w:space="0" w:color="auto"/>
                <w:bottom w:val="none" w:sz="0" w:space="0" w:color="auto"/>
                <w:right w:val="none" w:sz="0" w:space="0" w:color="auto"/>
              </w:divBdr>
              <w:divsChild>
                <w:div w:id="6753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42421">
      <w:bodyDiv w:val="1"/>
      <w:marLeft w:val="0"/>
      <w:marRight w:val="0"/>
      <w:marTop w:val="0"/>
      <w:marBottom w:val="0"/>
      <w:divBdr>
        <w:top w:val="none" w:sz="0" w:space="0" w:color="auto"/>
        <w:left w:val="none" w:sz="0" w:space="0" w:color="auto"/>
        <w:bottom w:val="none" w:sz="0" w:space="0" w:color="auto"/>
        <w:right w:val="none" w:sz="0" w:space="0" w:color="auto"/>
      </w:divBdr>
      <w:divsChild>
        <w:div w:id="895355141">
          <w:marLeft w:val="0"/>
          <w:marRight w:val="0"/>
          <w:marTop w:val="0"/>
          <w:marBottom w:val="0"/>
          <w:divBdr>
            <w:top w:val="none" w:sz="0" w:space="0" w:color="auto"/>
            <w:left w:val="none" w:sz="0" w:space="0" w:color="auto"/>
            <w:bottom w:val="none" w:sz="0" w:space="0" w:color="auto"/>
            <w:right w:val="none" w:sz="0" w:space="0" w:color="auto"/>
          </w:divBdr>
          <w:divsChild>
            <w:div w:id="1297561241">
              <w:marLeft w:val="0"/>
              <w:marRight w:val="0"/>
              <w:marTop w:val="0"/>
              <w:marBottom w:val="0"/>
              <w:divBdr>
                <w:top w:val="none" w:sz="0" w:space="0" w:color="auto"/>
                <w:left w:val="none" w:sz="0" w:space="0" w:color="auto"/>
                <w:bottom w:val="none" w:sz="0" w:space="0" w:color="auto"/>
                <w:right w:val="none" w:sz="0" w:space="0" w:color="auto"/>
              </w:divBdr>
              <w:divsChild>
                <w:div w:id="154574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659600">
      <w:bodyDiv w:val="1"/>
      <w:marLeft w:val="0"/>
      <w:marRight w:val="0"/>
      <w:marTop w:val="0"/>
      <w:marBottom w:val="0"/>
      <w:divBdr>
        <w:top w:val="none" w:sz="0" w:space="0" w:color="auto"/>
        <w:left w:val="none" w:sz="0" w:space="0" w:color="auto"/>
        <w:bottom w:val="none" w:sz="0" w:space="0" w:color="auto"/>
        <w:right w:val="none" w:sz="0" w:space="0" w:color="auto"/>
      </w:divBdr>
      <w:divsChild>
        <w:div w:id="1167554072">
          <w:marLeft w:val="0"/>
          <w:marRight w:val="0"/>
          <w:marTop w:val="0"/>
          <w:marBottom w:val="0"/>
          <w:divBdr>
            <w:top w:val="none" w:sz="0" w:space="0" w:color="auto"/>
            <w:left w:val="none" w:sz="0" w:space="0" w:color="auto"/>
            <w:bottom w:val="none" w:sz="0" w:space="0" w:color="auto"/>
            <w:right w:val="none" w:sz="0" w:space="0" w:color="auto"/>
          </w:divBdr>
          <w:divsChild>
            <w:div w:id="1167591686">
              <w:marLeft w:val="0"/>
              <w:marRight w:val="0"/>
              <w:marTop w:val="0"/>
              <w:marBottom w:val="0"/>
              <w:divBdr>
                <w:top w:val="none" w:sz="0" w:space="0" w:color="auto"/>
                <w:left w:val="none" w:sz="0" w:space="0" w:color="auto"/>
                <w:bottom w:val="none" w:sz="0" w:space="0" w:color="auto"/>
                <w:right w:val="none" w:sz="0" w:space="0" w:color="auto"/>
              </w:divBdr>
              <w:divsChild>
                <w:div w:id="14813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168703">
      <w:bodyDiv w:val="1"/>
      <w:marLeft w:val="0"/>
      <w:marRight w:val="0"/>
      <w:marTop w:val="0"/>
      <w:marBottom w:val="0"/>
      <w:divBdr>
        <w:top w:val="none" w:sz="0" w:space="0" w:color="auto"/>
        <w:left w:val="none" w:sz="0" w:space="0" w:color="auto"/>
        <w:bottom w:val="none" w:sz="0" w:space="0" w:color="auto"/>
        <w:right w:val="none" w:sz="0" w:space="0" w:color="auto"/>
      </w:divBdr>
      <w:divsChild>
        <w:div w:id="984311078">
          <w:marLeft w:val="0"/>
          <w:marRight w:val="0"/>
          <w:marTop w:val="0"/>
          <w:marBottom w:val="0"/>
          <w:divBdr>
            <w:top w:val="none" w:sz="0" w:space="0" w:color="auto"/>
            <w:left w:val="none" w:sz="0" w:space="0" w:color="auto"/>
            <w:bottom w:val="none" w:sz="0" w:space="0" w:color="auto"/>
            <w:right w:val="none" w:sz="0" w:space="0" w:color="auto"/>
          </w:divBdr>
          <w:divsChild>
            <w:div w:id="2018969125">
              <w:marLeft w:val="0"/>
              <w:marRight w:val="0"/>
              <w:marTop w:val="0"/>
              <w:marBottom w:val="0"/>
              <w:divBdr>
                <w:top w:val="none" w:sz="0" w:space="0" w:color="auto"/>
                <w:left w:val="none" w:sz="0" w:space="0" w:color="auto"/>
                <w:bottom w:val="none" w:sz="0" w:space="0" w:color="auto"/>
                <w:right w:val="none" w:sz="0" w:space="0" w:color="auto"/>
              </w:divBdr>
              <w:divsChild>
                <w:div w:id="118982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6793487">
      <w:bodyDiv w:val="1"/>
      <w:marLeft w:val="0"/>
      <w:marRight w:val="0"/>
      <w:marTop w:val="0"/>
      <w:marBottom w:val="0"/>
      <w:divBdr>
        <w:top w:val="none" w:sz="0" w:space="0" w:color="auto"/>
        <w:left w:val="none" w:sz="0" w:space="0" w:color="auto"/>
        <w:bottom w:val="none" w:sz="0" w:space="0" w:color="auto"/>
        <w:right w:val="none" w:sz="0" w:space="0" w:color="auto"/>
      </w:divBdr>
      <w:divsChild>
        <w:div w:id="1915165563">
          <w:marLeft w:val="0"/>
          <w:marRight w:val="0"/>
          <w:marTop w:val="0"/>
          <w:marBottom w:val="0"/>
          <w:divBdr>
            <w:top w:val="none" w:sz="0" w:space="0" w:color="auto"/>
            <w:left w:val="none" w:sz="0" w:space="0" w:color="auto"/>
            <w:bottom w:val="none" w:sz="0" w:space="0" w:color="auto"/>
            <w:right w:val="none" w:sz="0" w:space="0" w:color="auto"/>
          </w:divBdr>
          <w:divsChild>
            <w:div w:id="461270009">
              <w:marLeft w:val="0"/>
              <w:marRight w:val="0"/>
              <w:marTop w:val="0"/>
              <w:marBottom w:val="0"/>
              <w:divBdr>
                <w:top w:val="none" w:sz="0" w:space="0" w:color="auto"/>
                <w:left w:val="none" w:sz="0" w:space="0" w:color="auto"/>
                <w:bottom w:val="none" w:sz="0" w:space="0" w:color="auto"/>
                <w:right w:val="none" w:sz="0" w:space="0" w:color="auto"/>
              </w:divBdr>
              <w:divsChild>
                <w:div w:id="519316353">
                  <w:marLeft w:val="0"/>
                  <w:marRight w:val="0"/>
                  <w:marTop w:val="0"/>
                  <w:marBottom w:val="0"/>
                  <w:divBdr>
                    <w:top w:val="none" w:sz="0" w:space="0" w:color="auto"/>
                    <w:left w:val="none" w:sz="0" w:space="0" w:color="auto"/>
                    <w:bottom w:val="none" w:sz="0" w:space="0" w:color="auto"/>
                    <w:right w:val="none" w:sz="0" w:space="0" w:color="auto"/>
                  </w:divBdr>
                </w:div>
              </w:divsChild>
            </w:div>
            <w:div w:id="2075277679">
              <w:marLeft w:val="0"/>
              <w:marRight w:val="0"/>
              <w:marTop w:val="0"/>
              <w:marBottom w:val="0"/>
              <w:divBdr>
                <w:top w:val="none" w:sz="0" w:space="0" w:color="auto"/>
                <w:left w:val="none" w:sz="0" w:space="0" w:color="auto"/>
                <w:bottom w:val="none" w:sz="0" w:space="0" w:color="auto"/>
                <w:right w:val="none" w:sz="0" w:space="0" w:color="auto"/>
              </w:divBdr>
              <w:divsChild>
                <w:div w:id="115464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420677">
          <w:marLeft w:val="0"/>
          <w:marRight w:val="0"/>
          <w:marTop w:val="0"/>
          <w:marBottom w:val="0"/>
          <w:divBdr>
            <w:top w:val="none" w:sz="0" w:space="0" w:color="auto"/>
            <w:left w:val="none" w:sz="0" w:space="0" w:color="auto"/>
            <w:bottom w:val="none" w:sz="0" w:space="0" w:color="auto"/>
            <w:right w:val="none" w:sz="0" w:space="0" w:color="auto"/>
          </w:divBdr>
          <w:divsChild>
            <w:div w:id="730809138">
              <w:marLeft w:val="0"/>
              <w:marRight w:val="0"/>
              <w:marTop w:val="0"/>
              <w:marBottom w:val="0"/>
              <w:divBdr>
                <w:top w:val="none" w:sz="0" w:space="0" w:color="auto"/>
                <w:left w:val="none" w:sz="0" w:space="0" w:color="auto"/>
                <w:bottom w:val="none" w:sz="0" w:space="0" w:color="auto"/>
                <w:right w:val="none" w:sz="0" w:space="0" w:color="auto"/>
              </w:divBdr>
              <w:divsChild>
                <w:div w:id="129139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46275603">
      <w:bodyDiv w:val="1"/>
      <w:marLeft w:val="0"/>
      <w:marRight w:val="0"/>
      <w:marTop w:val="0"/>
      <w:marBottom w:val="0"/>
      <w:divBdr>
        <w:top w:val="none" w:sz="0" w:space="0" w:color="auto"/>
        <w:left w:val="none" w:sz="0" w:space="0" w:color="auto"/>
        <w:bottom w:val="none" w:sz="0" w:space="0" w:color="auto"/>
        <w:right w:val="none" w:sz="0" w:space="0" w:color="auto"/>
      </w:divBdr>
      <w:divsChild>
        <w:div w:id="153957047">
          <w:marLeft w:val="0"/>
          <w:marRight w:val="0"/>
          <w:marTop w:val="0"/>
          <w:marBottom w:val="0"/>
          <w:divBdr>
            <w:top w:val="none" w:sz="0" w:space="0" w:color="auto"/>
            <w:left w:val="none" w:sz="0" w:space="0" w:color="auto"/>
            <w:bottom w:val="none" w:sz="0" w:space="0" w:color="auto"/>
            <w:right w:val="none" w:sz="0" w:space="0" w:color="auto"/>
          </w:divBdr>
          <w:divsChild>
            <w:div w:id="541527518">
              <w:marLeft w:val="0"/>
              <w:marRight w:val="0"/>
              <w:marTop w:val="0"/>
              <w:marBottom w:val="0"/>
              <w:divBdr>
                <w:top w:val="none" w:sz="0" w:space="0" w:color="auto"/>
                <w:left w:val="none" w:sz="0" w:space="0" w:color="auto"/>
                <w:bottom w:val="none" w:sz="0" w:space="0" w:color="auto"/>
                <w:right w:val="none" w:sz="0" w:space="0" w:color="auto"/>
              </w:divBdr>
              <w:divsChild>
                <w:div w:id="13082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654631">
      <w:bodyDiv w:val="1"/>
      <w:marLeft w:val="0"/>
      <w:marRight w:val="0"/>
      <w:marTop w:val="0"/>
      <w:marBottom w:val="0"/>
      <w:divBdr>
        <w:top w:val="none" w:sz="0" w:space="0" w:color="auto"/>
        <w:left w:val="none" w:sz="0" w:space="0" w:color="auto"/>
        <w:bottom w:val="none" w:sz="0" w:space="0" w:color="auto"/>
        <w:right w:val="none" w:sz="0" w:space="0" w:color="auto"/>
      </w:divBdr>
      <w:divsChild>
        <w:div w:id="1270553260">
          <w:marLeft w:val="0"/>
          <w:marRight w:val="0"/>
          <w:marTop w:val="0"/>
          <w:marBottom w:val="0"/>
          <w:divBdr>
            <w:top w:val="none" w:sz="0" w:space="0" w:color="auto"/>
            <w:left w:val="none" w:sz="0" w:space="0" w:color="auto"/>
            <w:bottom w:val="none" w:sz="0" w:space="0" w:color="auto"/>
            <w:right w:val="none" w:sz="0" w:space="0" w:color="auto"/>
          </w:divBdr>
          <w:divsChild>
            <w:div w:id="1183517835">
              <w:marLeft w:val="0"/>
              <w:marRight w:val="0"/>
              <w:marTop w:val="0"/>
              <w:marBottom w:val="0"/>
              <w:divBdr>
                <w:top w:val="none" w:sz="0" w:space="0" w:color="auto"/>
                <w:left w:val="none" w:sz="0" w:space="0" w:color="auto"/>
                <w:bottom w:val="none" w:sz="0" w:space="0" w:color="auto"/>
                <w:right w:val="none" w:sz="0" w:space="0" w:color="auto"/>
              </w:divBdr>
              <w:divsChild>
                <w:div w:id="212095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212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98006999">
      <w:bodyDiv w:val="1"/>
      <w:marLeft w:val="0"/>
      <w:marRight w:val="0"/>
      <w:marTop w:val="0"/>
      <w:marBottom w:val="0"/>
      <w:divBdr>
        <w:top w:val="none" w:sz="0" w:space="0" w:color="auto"/>
        <w:left w:val="none" w:sz="0" w:space="0" w:color="auto"/>
        <w:bottom w:val="none" w:sz="0" w:space="0" w:color="auto"/>
        <w:right w:val="none" w:sz="0" w:space="0" w:color="auto"/>
      </w:divBdr>
      <w:divsChild>
        <w:div w:id="1043796912">
          <w:marLeft w:val="0"/>
          <w:marRight w:val="0"/>
          <w:marTop w:val="0"/>
          <w:marBottom w:val="0"/>
          <w:divBdr>
            <w:top w:val="none" w:sz="0" w:space="0" w:color="auto"/>
            <w:left w:val="none" w:sz="0" w:space="0" w:color="auto"/>
            <w:bottom w:val="none" w:sz="0" w:space="0" w:color="auto"/>
            <w:right w:val="none" w:sz="0" w:space="0" w:color="auto"/>
          </w:divBdr>
          <w:divsChild>
            <w:div w:id="2036151802">
              <w:marLeft w:val="0"/>
              <w:marRight w:val="0"/>
              <w:marTop w:val="0"/>
              <w:marBottom w:val="0"/>
              <w:divBdr>
                <w:top w:val="none" w:sz="0" w:space="0" w:color="auto"/>
                <w:left w:val="none" w:sz="0" w:space="0" w:color="auto"/>
                <w:bottom w:val="none" w:sz="0" w:space="0" w:color="auto"/>
                <w:right w:val="none" w:sz="0" w:space="0" w:color="auto"/>
              </w:divBdr>
              <w:divsChild>
                <w:div w:id="47769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545755365">
      <w:bodyDiv w:val="1"/>
      <w:marLeft w:val="0"/>
      <w:marRight w:val="0"/>
      <w:marTop w:val="0"/>
      <w:marBottom w:val="0"/>
      <w:divBdr>
        <w:top w:val="none" w:sz="0" w:space="0" w:color="auto"/>
        <w:left w:val="none" w:sz="0" w:space="0" w:color="auto"/>
        <w:bottom w:val="none" w:sz="0" w:space="0" w:color="auto"/>
        <w:right w:val="none" w:sz="0" w:space="0" w:color="auto"/>
      </w:divBdr>
      <w:divsChild>
        <w:div w:id="947808277">
          <w:marLeft w:val="0"/>
          <w:marRight w:val="0"/>
          <w:marTop w:val="0"/>
          <w:marBottom w:val="0"/>
          <w:divBdr>
            <w:top w:val="none" w:sz="0" w:space="0" w:color="auto"/>
            <w:left w:val="none" w:sz="0" w:space="0" w:color="auto"/>
            <w:bottom w:val="none" w:sz="0" w:space="0" w:color="auto"/>
            <w:right w:val="none" w:sz="0" w:space="0" w:color="auto"/>
          </w:divBdr>
          <w:divsChild>
            <w:div w:id="1923904080">
              <w:marLeft w:val="0"/>
              <w:marRight w:val="0"/>
              <w:marTop w:val="0"/>
              <w:marBottom w:val="0"/>
              <w:divBdr>
                <w:top w:val="none" w:sz="0" w:space="0" w:color="auto"/>
                <w:left w:val="none" w:sz="0" w:space="0" w:color="auto"/>
                <w:bottom w:val="none" w:sz="0" w:space="0" w:color="auto"/>
                <w:right w:val="none" w:sz="0" w:space="0" w:color="auto"/>
              </w:divBdr>
              <w:divsChild>
                <w:div w:id="855772067">
                  <w:marLeft w:val="0"/>
                  <w:marRight w:val="0"/>
                  <w:marTop w:val="0"/>
                  <w:marBottom w:val="0"/>
                  <w:divBdr>
                    <w:top w:val="none" w:sz="0" w:space="0" w:color="auto"/>
                    <w:left w:val="none" w:sz="0" w:space="0" w:color="auto"/>
                    <w:bottom w:val="none" w:sz="0" w:space="0" w:color="auto"/>
                    <w:right w:val="none" w:sz="0" w:space="0" w:color="auto"/>
                  </w:divBdr>
                </w:div>
              </w:divsChild>
            </w:div>
            <w:div w:id="2083486740">
              <w:marLeft w:val="0"/>
              <w:marRight w:val="0"/>
              <w:marTop w:val="0"/>
              <w:marBottom w:val="0"/>
              <w:divBdr>
                <w:top w:val="none" w:sz="0" w:space="0" w:color="auto"/>
                <w:left w:val="none" w:sz="0" w:space="0" w:color="auto"/>
                <w:bottom w:val="none" w:sz="0" w:space="0" w:color="auto"/>
                <w:right w:val="none" w:sz="0" w:space="0" w:color="auto"/>
              </w:divBdr>
              <w:divsChild>
                <w:div w:id="39940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0127">
          <w:marLeft w:val="0"/>
          <w:marRight w:val="0"/>
          <w:marTop w:val="0"/>
          <w:marBottom w:val="0"/>
          <w:divBdr>
            <w:top w:val="none" w:sz="0" w:space="0" w:color="auto"/>
            <w:left w:val="none" w:sz="0" w:space="0" w:color="auto"/>
            <w:bottom w:val="none" w:sz="0" w:space="0" w:color="auto"/>
            <w:right w:val="none" w:sz="0" w:space="0" w:color="auto"/>
          </w:divBdr>
          <w:divsChild>
            <w:div w:id="1400900421">
              <w:marLeft w:val="0"/>
              <w:marRight w:val="0"/>
              <w:marTop w:val="0"/>
              <w:marBottom w:val="0"/>
              <w:divBdr>
                <w:top w:val="none" w:sz="0" w:space="0" w:color="auto"/>
                <w:left w:val="none" w:sz="0" w:space="0" w:color="auto"/>
                <w:bottom w:val="none" w:sz="0" w:space="0" w:color="auto"/>
                <w:right w:val="none" w:sz="0" w:space="0" w:color="auto"/>
              </w:divBdr>
              <w:divsChild>
                <w:div w:id="4290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664037">
      <w:bodyDiv w:val="1"/>
      <w:marLeft w:val="0"/>
      <w:marRight w:val="0"/>
      <w:marTop w:val="0"/>
      <w:marBottom w:val="0"/>
      <w:divBdr>
        <w:top w:val="none" w:sz="0" w:space="0" w:color="auto"/>
        <w:left w:val="none" w:sz="0" w:space="0" w:color="auto"/>
        <w:bottom w:val="none" w:sz="0" w:space="0" w:color="auto"/>
        <w:right w:val="none" w:sz="0" w:space="0" w:color="auto"/>
      </w:divBdr>
      <w:divsChild>
        <w:div w:id="588924215">
          <w:marLeft w:val="0"/>
          <w:marRight w:val="0"/>
          <w:marTop w:val="0"/>
          <w:marBottom w:val="0"/>
          <w:divBdr>
            <w:top w:val="none" w:sz="0" w:space="0" w:color="auto"/>
            <w:left w:val="none" w:sz="0" w:space="0" w:color="auto"/>
            <w:bottom w:val="none" w:sz="0" w:space="0" w:color="auto"/>
            <w:right w:val="none" w:sz="0" w:space="0" w:color="auto"/>
          </w:divBdr>
          <w:divsChild>
            <w:div w:id="330763309">
              <w:marLeft w:val="0"/>
              <w:marRight w:val="0"/>
              <w:marTop w:val="0"/>
              <w:marBottom w:val="0"/>
              <w:divBdr>
                <w:top w:val="none" w:sz="0" w:space="0" w:color="auto"/>
                <w:left w:val="none" w:sz="0" w:space="0" w:color="auto"/>
                <w:bottom w:val="none" w:sz="0" w:space="0" w:color="auto"/>
                <w:right w:val="none" w:sz="0" w:space="0" w:color="auto"/>
              </w:divBdr>
              <w:divsChild>
                <w:div w:id="161031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77956">
      <w:bodyDiv w:val="1"/>
      <w:marLeft w:val="0"/>
      <w:marRight w:val="0"/>
      <w:marTop w:val="0"/>
      <w:marBottom w:val="0"/>
      <w:divBdr>
        <w:top w:val="none" w:sz="0" w:space="0" w:color="auto"/>
        <w:left w:val="none" w:sz="0" w:space="0" w:color="auto"/>
        <w:bottom w:val="none" w:sz="0" w:space="0" w:color="auto"/>
        <w:right w:val="none" w:sz="0" w:space="0" w:color="auto"/>
      </w:divBdr>
    </w:div>
    <w:div w:id="1779059526">
      <w:bodyDiv w:val="1"/>
      <w:marLeft w:val="0"/>
      <w:marRight w:val="0"/>
      <w:marTop w:val="0"/>
      <w:marBottom w:val="0"/>
      <w:divBdr>
        <w:top w:val="none" w:sz="0" w:space="0" w:color="auto"/>
        <w:left w:val="none" w:sz="0" w:space="0" w:color="auto"/>
        <w:bottom w:val="none" w:sz="0" w:space="0" w:color="auto"/>
        <w:right w:val="none" w:sz="0" w:space="0" w:color="auto"/>
      </w:divBdr>
      <w:divsChild>
        <w:div w:id="166940690">
          <w:marLeft w:val="0"/>
          <w:marRight w:val="0"/>
          <w:marTop w:val="0"/>
          <w:marBottom w:val="0"/>
          <w:divBdr>
            <w:top w:val="none" w:sz="0" w:space="0" w:color="auto"/>
            <w:left w:val="none" w:sz="0" w:space="0" w:color="auto"/>
            <w:bottom w:val="none" w:sz="0" w:space="0" w:color="auto"/>
            <w:right w:val="none" w:sz="0" w:space="0" w:color="auto"/>
          </w:divBdr>
          <w:divsChild>
            <w:div w:id="1102264457">
              <w:marLeft w:val="0"/>
              <w:marRight w:val="0"/>
              <w:marTop w:val="0"/>
              <w:marBottom w:val="0"/>
              <w:divBdr>
                <w:top w:val="none" w:sz="0" w:space="0" w:color="auto"/>
                <w:left w:val="none" w:sz="0" w:space="0" w:color="auto"/>
                <w:bottom w:val="none" w:sz="0" w:space="0" w:color="auto"/>
                <w:right w:val="none" w:sz="0" w:space="0" w:color="auto"/>
              </w:divBdr>
              <w:divsChild>
                <w:div w:id="190298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860311">
      <w:bodyDiv w:val="1"/>
      <w:marLeft w:val="0"/>
      <w:marRight w:val="0"/>
      <w:marTop w:val="0"/>
      <w:marBottom w:val="0"/>
      <w:divBdr>
        <w:top w:val="none" w:sz="0" w:space="0" w:color="auto"/>
        <w:left w:val="none" w:sz="0" w:space="0" w:color="auto"/>
        <w:bottom w:val="none" w:sz="0" w:space="0" w:color="auto"/>
        <w:right w:val="none" w:sz="0" w:space="0" w:color="auto"/>
      </w:divBdr>
      <w:divsChild>
        <w:div w:id="1581136883">
          <w:marLeft w:val="0"/>
          <w:marRight w:val="0"/>
          <w:marTop w:val="0"/>
          <w:marBottom w:val="0"/>
          <w:divBdr>
            <w:top w:val="none" w:sz="0" w:space="0" w:color="auto"/>
            <w:left w:val="none" w:sz="0" w:space="0" w:color="auto"/>
            <w:bottom w:val="none" w:sz="0" w:space="0" w:color="auto"/>
            <w:right w:val="none" w:sz="0" w:space="0" w:color="auto"/>
          </w:divBdr>
          <w:divsChild>
            <w:div w:id="2126659120">
              <w:marLeft w:val="0"/>
              <w:marRight w:val="0"/>
              <w:marTop w:val="0"/>
              <w:marBottom w:val="0"/>
              <w:divBdr>
                <w:top w:val="none" w:sz="0" w:space="0" w:color="auto"/>
                <w:left w:val="none" w:sz="0" w:space="0" w:color="auto"/>
                <w:bottom w:val="none" w:sz="0" w:space="0" w:color="auto"/>
                <w:right w:val="none" w:sz="0" w:space="0" w:color="auto"/>
              </w:divBdr>
              <w:divsChild>
                <w:div w:id="813762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20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lzmontenegro@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540D35A-AAE7-F946-B83C-8570CDC12516}">
  <ds:schemaRefs>
    <ds:schemaRef ds:uri="http://schemas.openxmlformats.org/officeDocument/2006/bibliography"/>
  </ds:schemaRefs>
</ds:datastoreItem>
</file>

<file path=customXml/itemProps4.xml><?xml version="1.0" encoding="utf-8"?>
<ds:datastoreItem xmlns:ds="http://schemas.openxmlformats.org/officeDocument/2006/customXml" ds:itemID="{871DBEA2-3C23-4D48-9273-EF984C5D0DA5}"/>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23</Pages>
  <Words>7478</Words>
  <Characters>42627</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50005</CharactersWithSpaces>
  <SharedDoc>false</SharedDoc>
  <HLinks>
    <vt:vector size="18" baseType="variant">
      <vt:variant>
        <vt:i4>7209021</vt:i4>
      </vt:variant>
      <vt:variant>
        <vt:i4>6</vt:i4>
      </vt:variant>
      <vt:variant>
        <vt:i4>0</vt:i4>
      </vt:variant>
      <vt:variant>
        <vt:i4>5</vt:i4>
      </vt:variant>
      <vt:variant>
        <vt:lpwstr>https://relatoria.colombiacompra.gov.co/busqueda/concept os</vt:lpwstr>
      </vt:variant>
      <vt:variant>
        <vt:lpwstr/>
      </vt:variant>
      <vt:variant>
        <vt:i4>1245202</vt:i4>
      </vt:variant>
      <vt:variant>
        <vt:i4>3</vt:i4>
      </vt:variant>
      <vt:variant>
        <vt:i4>0</vt:i4>
      </vt:variant>
      <vt:variant>
        <vt:i4>5</vt:i4>
      </vt:variant>
      <vt:variant>
        <vt:lpwstr>https://www.funcionpublica.gov.co/eva/gestornormativo/norma.php?i=4125</vt:lpwstr>
      </vt:variant>
      <vt:variant>
        <vt:lpwstr>127</vt:lpwstr>
      </vt:variant>
      <vt:variant>
        <vt:i4>983074</vt:i4>
      </vt:variant>
      <vt:variant>
        <vt:i4>0</vt:i4>
      </vt:variant>
      <vt:variant>
        <vt:i4>0</vt:i4>
      </vt:variant>
      <vt:variant>
        <vt:i4>5</vt:i4>
      </vt:variant>
      <vt:variant>
        <vt:lpwstr>mailto:jacmabogado@gmail.com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7</cp:revision>
  <cp:lastPrinted>2023-01-10T21:18:00Z</cp:lastPrinted>
  <dcterms:created xsi:type="dcterms:W3CDTF">2026-05-26T17:10:00Z</dcterms:created>
  <dcterms:modified xsi:type="dcterms:W3CDTF">2026-05-26T17:23:00Z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