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EC5AE9" w14:textId="77777777" w:rsidR="00BF6183" w:rsidRPr="000E52E5" w:rsidRDefault="00BF6183" w:rsidP="00BF6183">
      <w:pPr>
        <w:spacing w:after="0" w:line="240" w:lineRule="auto"/>
        <w:jc w:val="both"/>
        <w:rPr>
          <w:rFonts w:ascii="Verdana" w:eastAsia="Geomanist Light" w:hAnsi="Verdana" w:cs="Arial"/>
          <w:b/>
          <w:bCs/>
          <w:color w:val="000000" w:themeColor="text1"/>
          <w:sz w:val="20"/>
          <w:szCs w:val="20"/>
          <w:lang w:val="es-MX"/>
        </w:rPr>
      </w:pPr>
    </w:p>
    <w:p w14:paraId="6768919B" w14:textId="77777777" w:rsidR="00BF6183" w:rsidRPr="000E52E5" w:rsidRDefault="00BF6183" w:rsidP="00BF6183">
      <w:pPr>
        <w:spacing w:after="0" w:line="240" w:lineRule="auto"/>
        <w:jc w:val="both"/>
        <w:rPr>
          <w:rFonts w:ascii="Verdana" w:eastAsia="Calibri" w:hAnsi="Verdana" w:cs="Arial"/>
          <w:bCs/>
          <w:lang w:val="es-ES_tradnl"/>
        </w:rPr>
      </w:pPr>
      <w:r w:rsidRPr="000E52E5">
        <w:rPr>
          <w:rFonts w:ascii="Verdana" w:eastAsia="Calibri" w:hAnsi="Verdana" w:cs="Arial"/>
          <w:b/>
          <w:lang w:val="es-ES_tradnl"/>
        </w:rPr>
        <w:t>CONCEPTOS DE COLOMBIA COMPRA EFICIENTE – Obligatoriedad</w:t>
      </w:r>
    </w:p>
    <w:p w14:paraId="31A6D5E7" w14:textId="77777777" w:rsidR="00BF6183" w:rsidRPr="000E52E5" w:rsidRDefault="00BF6183" w:rsidP="00BF6183">
      <w:pPr>
        <w:spacing w:after="0" w:line="240" w:lineRule="auto"/>
        <w:jc w:val="both"/>
        <w:rPr>
          <w:rFonts w:ascii="Verdana" w:hAnsi="Verdana" w:cs="Arial"/>
          <w:sz w:val="20"/>
          <w:szCs w:val="20"/>
          <w:highlight w:val="yellow"/>
          <w:lang w:val="es-ES_tradnl"/>
        </w:rPr>
      </w:pPr>
    </w:p>
    <w:p w14:paraId="6868DCA7" w14:textId="77777777" w:rsidR="00BF6183" w:rsidRPr="000E52E5" w:rsidRDefault="00BF6183" w:rsidP="00BF6183">
      <w:pPr>
        <w:pStyle w:val="Prrafodelista"/>
        <w:spacing w:after="0" w:line="240" w:lineRule="auto"/>
        <w:ind w:left="0"/>
        <w:jc w:val="both"/>
        <w:rPr>
          <w:rFonts w:ascii="Verdana" w:eastAsia="Calibri" w:hAnsi="Verdana" w:cs="Arial"/>
          <w:sz w:val="20"/>
          <w:szCs w:val="20"/>
          <w:highlight w:val="yellow"/>
          <w:lang w:val="es-ES_tradnl"/>
        </w:rPr>
      </w:pPr>
      <w:r w:rsidRPr="000E52E5">
        <w:rPr>
          <w:rFonts w:ascii="Verdana" w:eastAsia="Calibri" w:hAnsi="Verdana" w:cs="Arial"/>
          <w:sz w:val="20"/>
          <w:szCs w:val="20"/>
          <w:lang w:val="es-ES_tradnl"/>
        </w:rPr>
        <w:t>La ley es clara cuando establece que los conceptos, emitidos por las autoridades al responder peticiones realizadas en ejercicio del derecho a formular consultas, no son de obligatorio cumplimiento o ejecución, en otras palabras, no tienen efectos vinculantes. Las respuestas emitidas como concepto, entonces, consisten en la posición hermenéutica que las entidades tienen respecto del ordenamiento jurídico. Esto explica por qué esta Agencia, reiteradamente, no resuelve controversias concretas ni brinda asesoría a los partícipes de la contratación estatal.</w:t>
      </w:r>
    </w:p>
    <w:p w14:paraId="19E5D56D" w14:textId="77777777" w:rsidR="00BF6183" w:rsidRPr="000E52E5" w:rsidRDefault="00BF6183" w:rsidP="00BF6183">
      <w:pPr>
        <w:spacing w:after="0" w:line="240" w:lineRule="auto"/>
        <w:jc w:val="both"/>
        <w:rPr>
          <w:rFonts w:ascii="Verdana" w:eastAsia="Calibri" w:hAnsi="Verdana" w:cs="Arial"/>
          <w:b/>
          <w:sz w:val="20"/>
          <w:szCs w:val="20"/>
          <w:highlight w:val="yellow"/>
          <w:lang w:val="es-ES_tradnl"/>
        </w:rPr>
      </w:pPr>
    </w:p>
    <w:p w14:paraId="21397983" w14:textId="77777777" w:rsidR="00BF6183" w:rsidRPr="000E52E5" w:rsidRDefault="00BF6183" w:rsidP="00BF6183">
      <w:pPr>
        <w:spacing w:after="0" w:line="240" w:lineRule="auto"/>
        <w:jc w:val="both"/>
        <w:rPr>
          <w:rFonts w:ascii="Verdana" w:eastAsia="Calibri" w:hAnsi="Verdana" w:cs="Arial"/>
          <w:bCs/>
          <w:lang w:val="es-ES_tradnl"/>
        </w:rPr>
      </w:pPr>
      <w:r w:rsidRPr="000E52E5">
        <w:rPr>
          <w:rFonts w:ascii="Verdana" w:eastAsia="Calibri" w:hAnsi="Verdana" w:cs="Arial"/>
          <w:b/>
          <w:lang w:val="es-ES_tradnl"/>
        </w:rPr>
        <w:t>FUNCIÓN CONSULTIVA – Alcance</w:t>
      </w:r>
    </w:p>
    <w:p w14:paraId="34F751EF" w14:textId="77777777" w:rsidR="00BF6183" w:rsidRPr="000E52E5" w:rsidRDefault="00BF6183" w:rsidP="00BF6183">
      <w:pPr>
        <w:spacing w:after="0" w:line="240" w:lineRule="auto"/>
        <w:jc w:val="both"/>
        <w:rPr>
          <w:rFonts w:ascii="Verdana" w:hAnsi="Verdana" w:cs="Arial"/>
          <w:sz w:val="20"/>
          <w:szCs w:val="20"/>
          <w:highlight w:val="yellow"/>
          <w:lang w:val="es-ES_tradnl"/>
        </w:rPr>
      </w:pPr>
    </w:p>
    <w:p w14:paraId="0F0F1246" w14:textId="77777777" w:rsidR="00BF6183" w:rsidRPr="000E52E5" w:rsidRDefault="00BF6183" w:rsidP="00BF6183">
      <w:pPr>
        <w:pStyle w:val="Prrafodelista"/>
        <w:spacing w:after="0" w:line="240" w:lineRule="auto"/>
        <w:ind w:left="0"/>
        <w:jc w:val="both"/>
        <w:rPr>
          <w:rFonts w:ascii="Verdana" w:eastAsia="Calibri" w:hAnsi="Verdana" w:cs="Arial"/>
          <w:sz w:val="20"/>
          <w:szCs w:val="20"/>
          <w:lang w:val="es-ES_tradnl"/>
        </w:rPr>
      </w:pPr>
      <w:r w:rsidRPr="000E52E5">
        <w:rPr>
          <w:rFonts w:ascii="Verdana" w:eastAsia="Calibri" w:hAnsi="Verdana" w:cs="Arial"/>
          <w:sz w:val="20"/>
          <w:szCs w:val="20"/>
          <w:lang w:val="es-ES_tradnl"/>
        </w:rPr>
        <w:t xml:space="preserve">Las autoridades que ejercen funciones consultivas pueden expresar su interpretación de un precepto normativo que no excluye otras interpretaciones posibles, pues el derecho, como sistema normativo, es un lenguaje que, en ocasiones, se tiñe de vaguedad, en virtud de la utilización de conceptos jurídicos indeterminados. Así, puede pasar, por ejemplo, que un ministerio considere que una norma debe entenderse en un sentido, pero que otra entidad, vinculada o adscrita a ese ministerio, entienda que la misma norma debe interpretarse de otra manera. Eso hace parte de la lógica deliberativa y dialéctica del funcionamiento del Estado y refleja el principio democrático. De todos modos, esto no significa que el criterio de una u otra tenga validez o prevalencia sobre la otra, ya que se trata de opiniones emitidas a título de concepto, pese a que entre las entidades exista una jerarquía o de la naturaleza y competencias que se prediquen de una y otra. Incluso, aun cuando los jueces interpreten con autoridad el sentido de la disposición normativa, el concepto emitido por la entidad no deja de ser un concepto y no adquiere efectos vinculantes, por más que coincida con el de la autoridad judicial, pues, en esa hipótesis, lo que vincula es la decisión del juez, no el de la entidad que ejerció la función consultiva, pues, como se viene diciendo, dicha competencia se enmarca en el artículo 28 de la Ley 1437 de 2011. En otras palabras, los conceptos </w:t>
      </w:r>
      <w:r>
        <w:rPr>
          <w:rFonts w:ascii="Verdana" w:eastAsia="Calibri" w:hAnsi="Verdana" w:cs="Arial"/>
          <w:sz w:val="20"/>
          <w:szCs w:val="20"/>
          <w:lang w:val="es-ES_tradnl"/>
        </w:rPr>
        <w:t>“</w:t>
      </w:r>
      <w:r w:rsidRPr="000E52E5">
        <w:rPr>
          <w:rFonts w:ascii="Verdana" w:eastAsia="Calibri" w:hAnsi="Verdana" w:cs="Arial"/>
          <w:sz w:val="20"/>
          <w:szCs w:val="20"/>
          <w:lang w:val="es-ES_tradnl"/>
        </w:rPr>
        <w:t>no serán de obligatorio cumplimiento o ejecución</w:t>
      </w:r>
      <w:r>
        <w:rPr>
          <w:rFonts w:ascii="Verdana" w:eastAsia="Calibri" w:hAnsi="Verdana" w:cs="Arial"/>
          <w:sz w:val="20"/>
          <w:szCs w:val="20"/>
          <w:lang w:val="es-ES_tradnl"/>
        </w:rPr>
        <w:t>”</w:t>
      </w:r>
      <w:r w:rsidRPr="000E52E5">
        <w:rPr>
          <w:rFonts w:ascii="Verdana" w:eastAsia="Calibri" w:hAnsi="Verdana" w:cs="Arial"/>
          <w:sz w:val="20"/>
          <w:szCs w:val="20"/>
          <w:lang w:val="es-ES_tradnl"/>
        </w:rPr>
        <w:t xml:space="preserve">. </w:t>
      </w:r>
    </w:p>
    <w:p w14:paraId="503CAFBE" w14:textId="77777777" w:rsidR="00BF6183" w:rsidRPr="000E52E5" w:rsidRDefault="00BF6183" w:rsidP="00BF6183">
      <w:pPr>
        <w:pStyle w:val="Prrafodelista"/>
        <w:spacing w:after="0" w:line="240" w:lineRule="auto"/>
        <w:ind w:left="0"/>
        <w:jc w:val="both"/>
        <w:rPr>
          <w:rFonts w:ascii="Verdana" w:eastAsia="Calibri" w:hAnsi="Verdana" w:cs="Arial"/>
          <w:sz w:val="20"/>
          <w:szCs w:val="20"/>
          <w:highlight w:val="yellow"/>
          <w:lang w:val="es-ES_tradnl"/>
        </w:rPr>
      </w:pPr>
    </w:p>
    <w:p w14:paraId="432EDB39" w14:textId="77777777" w:rsidR="00BF6183" w:rsidRPr="000E52E5" w:rsidRDefault="00BF6183" w:rsidP="00BF6183">
      <w:pPr>
        <w:spacing w:after="0" w:line="240" w:lineRule="auto"/>
        <w:jc w:val="both"/>
        <w:rPr>
          <w:rFonts w:ascii="Verdana" w:eastAsia="Calibri" w:hAnsi="Verdana" w:cs="Arial"/>
          <w:lang w:val="es-ES_tradnl"/>
        </w:rPr>
      </w:pPr>
      <w:r w:rsidRPr="000E52E5">
        <w:rPr>
          <w:rFonts w:ascii="Verdana" w:eastAsia="Calibri" w:hAnsi="Verdana" w:cs="Arial"/>
          <w:b/>
          <w:bCs/>
          <w:lang w:val="es-ES_tradnl"/>
        </w:rPr>
        <w:t xml:space="preserve">CONCEPTOS DE COLOMBIA COMPRA EFICIENTE – Revocación directa </w:t>
      </w:r>
      <w:r w:rsidRPr="000E52E5">
        <w:rPr>
          <w:rFonts w:ascii="Verdana" w:eastAsia="Arial" w:hAnsi="Verdana" w:cs="Arial"/>
          <w:b/>
          <w:bCs/>
          <w:lang w:val="es-ES_tradnl"/>
        </w:rPr>
        <w:t>– Improcedencia</w:t>
      </w:r>
    </w:p>
    <w:p w14:paraId="779CF351" w14:textId="77777777" w:rsidR="00BF6183" w:rsidRPr="000E52E5" w:rsidRDefault="00BF6183" w:rsidP="00BF6183">
      <w:pPr>
        <w:spacing w:after="0" w:line="240" w:lineRule="auto"/>
        <w:jc w:val="both"/>
        <w:rPr>
          <w:rFonts w:ascii="Verdana" w:hAnsi="Verdana" w:cs="Arial"/>
          <w:sz w:val="20"/>
          <w:szCs w:val="20"/>
          <w:highlight w:val="yellow"/>
          <w:lang w:val="es-ES_tradnl"/>
        </w:rPr>
      </w:pPr>
    </w:p>
    <w:p w14:paraId="5B2F73EB" w14:textId="77777777" w:rsidR="00BF6183" w:rsidRPr="000E52E5" w:rsidRDefault="00BF6183" w:rsidP="00BF6183">
      <w:pPr>
        <w:tabs>
          <w:tab w:val="left" w:pos="709"/>
        </w:tabs>
        <w:spacing w:after="0" w:line="240" w:lineRule="auto"/>
        <w:jc w:val="both"/>
        <w:rPr>
          <w:rFonts w:ascii="Verdana" w:eastAsia="Calibri" w:hAnsi="Verdana" w:cs="Arial"/>
          <w:bCs/>
          <w:sz w:val="20"/>
          <w:szCs w:val="20"/>
          <w:lang w:val="es-ES_tradnl"/>
        </w:rPr>
      </w:pPr>
      <w:r w:rsidRPr="000E52E5">
        <w:rPr>
          <w:rFonts w:ascii="Verdana" w:eastAsia="Calibri" w:hAnsi="Verdana" w:cs="Arial"/>
          <w:bCs/>
          <w:sz w:val="20"/>
          <w:szCs w:val="20"/>
          <w:lang w:val="es-ES_tradnl"/>
        </w:rPr>
        <w:t xml:space="preserve">Así las cosas, Colombia Compra Eficiente considera que no hay lugar a acceder, por ejemplo, a solicitudes de </w:t>
      </w:r>
      <w:r w:rsidRPr="000E52E5">
        <w:rPr>
          <w:rFonts w:ascii="Verdana" w:eastAsia="Calibri" w:hAnsi="Verdana" w:cs="Arial"/>
          <w:bCs/>
          <w:i/>
          <w:iCs/>
          <w:sz w:val="20"/>
          <w:szCs w:val="20"/>
          <w:lang w:val="es-ES_tradnl"/>
        </w:rPr>
        <w:t>revocación directa</w:t>
      </w:r>
      <w:r w:rsidRPr="000E52E5">
        <w:rPr>
          <w:rFonts w:ascii="Verdana" w:eastAsia="Calibri" w:hAnsi="Verdana" w:cs="Arial"/>
          <w:bCs/>
          <w:sz w:val="20"/>
          <w:szCs w:val="20"/>
          <w:lang w:val="es-ES_tradnl"/>
        </w:rPr>
        <w:t xml:space="preserve"> de los conceptos, pues no son actos administrativos, no tienen efectos vinculantes en relación con una situación jurídica particular y concreta, y exponen un criterio que, aunque jurídicamente fundamentado, no representan necesariamente la </w:t>
      </w:r>
      <w:r w:rsidRPr="000E52E5">
        <w:rPr>
          <w:rFonts w:ascii="Verdana" w:eastAsia="Calibri" w:hAnsi="Verdana" w:cs="Arial"/>
          <w:bCs/>
          <w:i/>
          <w:iCs/>
          <w:sz w:val="20"/>
          <w:szCs w:val="20"/>
          <w:lang w:val="es-ES_tradnl"/>
        </w:rPr>
        <w:t>única</w:t>
      </w:r>
      <w:r w:rsidRPr="000E52E5">
        <w:rPr>
          <w:rFonts w:ascii="Verdana" w:eastAsia="Calibri" w:hAnsi="Verdana" w:cs="Arial"/>
          <w:bCs/>
          <w:sz w:val="20"/>
          <w:szCs w:val="20"/>
          <w:lang w:val="es-ES_tradnl"/>
        </w:rPr>
        <w:t xml:space="preserve"> interpretación válida del ordenamiento jurídico. Lo anterior no implica que la Agencia Nacional de Contratación Pública – Colombia Compra Eficiente considere inalterables sus posturas, pues, de ser necesario, podría replantear una tesis previamente expuesta, bajo estrictos estándares argumentativos, al emitir otro concepto, ya que, dada su falta de vinculatoriedad, la legitimación de sus posturas proviene de la fuerza de los argumentos. </w:t>
      </w:r>
    </w:p>
    <w:p w14:paraId="467EE433" w14:textId="77777777" w:rsidR="00BF6183" w:rsidRPr="000E52E5" w:rsidRDefault="00BF6183" w:rsidP="00BF6183">
      <w:pPr>
        <w:spacing w:after="0" w:line="240" w:lineRule="auto"/>
        <w:jc w:val="both"/>
        <w:rPr>
          <w:rFonts w:ascii="Verdana" w:eastAsia="Calibri" w:hAnsi="Verdana" w:cs="Arial"/>
          <w:sz w:val="20"/>
          <w:szCs w:val="20"/>
          <w:highlight w:val="yellow"/>
          <w:lang w:val="es-ES_tradnl"/>
        </w:rPr>
      </w:pPr>
    </w:p>
    <w:p w14:paraId="0D054C9A" w14:textId="77777777" w:rsidR="00BF6183" w:rsidRPr="000E52E5" w:rsidRDefault="00BF6183" w:rsidP="00BF6183">
      <w:pPr>
        <w:spacing w:after="0" w:line="240" w:lineRule="auto"/>
        <w:jc w:val="both"/>
        <w:rPr>
          <w:rFonts w:ascii="Verdana" w:eastAsia="Calibri" w:hAnsi="Verdana" w:cs="Arial"/>
          <w:bCs/>
          <w:lang w:val="es-ES_tradnl"/>
        </w:rPr>
      </w:pPr>
      <w:r w:rsidRPr="000E52E5">
        <w:rPr>
          <w:rFonts w:ascii="Verdana" w:eastAsia="Calibri" w:hAnsi="Verdana" w:cs="Arial"/>
          <w:b/>
          <w:lang w:val="es-ES_tradnl"/>
        </w:rPr>
        <w:t>FUNCIÓN CONSULTIVA – Objeto</w:t>
      </w:r>
    </w:p>
    <w:p w14:paraId="1F585BC8" w14:textId="77777777" w:rsidR="00BF6183" w:rsidRPr="000E52E5" w:rsidRDefault="00BF6183" w:rsidP="00BF6183">
      <w:pPr>
        <w:spacing w:after="0" w:line="240" w:lineRule="auto"/>
        <w:jc w:val="both"/>
        <w:rPr>
          <w:rFonts w:ascii="Verdana" w:hAnsi="Verdana" w:cs="Arial"/>
          <w:sz w:val="20"/>
          <w:szCs w:val="20"/>
          <w:highlight w:val="yellow"/>
          <w:lang w:val="es-ES_tradnl"/>
        </w:rPr>
      </w:pPr>
    </w:p>
    <w:p w14:paraId="1BC5C51A" w14:textId="77777777" w:rsidR="00BF6183" w:rsidRPr="000E52E5" w:rsidRDefault="00BF6183" w:rsidP="54E2ED52">
      <w:pPr>
        <w:tabs>
          <w:tab w:val="left" w:pos="0"/>
        </w:tabs>
        <w:spacing w:after="0" w:line="240" w:lineRule="auto"/>
        <w:jc w:val="both"/>
        <w:rPr>
          <w:rFonts w:ascii="Verdana" w:eastAsia="Calibri" w:hAnsi="Verdana" w:cs="Arial"/>
          <w:color w:val="000000" w:themeColor="text1"/>
          <w:sz w:val="20"/>
          <w:szCs w:val="20"/>
          <w:lang w:val="es-ES"/>
        </w:rPr>
      </w:pPr>
      <w:r w:rsidRPr="54E2ED52">
        <w:rPr>
          <w:rFonts w:ascii="Verdana" w:eastAsia="Calibri" w:hAnsi="Verdana" w:cs="Arial"/>
          <w:color w:val="000000" w:themeColor="text1"/>
          <w:sz w:val="20"/>
          <w:szCs w:val="20"/>
          <w:lang w:val="es-ES"/>
        </w:rPr>
        <w:t>Los conceptos emitidos por la Agencia Nacional de Contratación Pública – Colombia Compra Eficiente contienen la interpretación de normas de carácter general en materia de compras y contratación pública. El fundamento para su expedición se encuentra en el numeral 8 del artículo 11 y el numeral 5 del artículo 3 del Decreto Ley 4170 de 2011. Tales conceptos no son actos administrativos, es decir, no son decisiones vinculantes u obligatorias, sino que están revestidos de la naturaleza que les confiere el artículo 230 de la Constitución Política y el artículo 28 de la Ley 1437 de 2011. En otras palabras, constituyen doctrina, y por lo tanto son criterios auxiliares para la interpretación y aplicación del derecho. De ahí que no sean obligatorios.</w:t>
      </w:r>
    </w:p>
    <w:p w14:paraId="0D2727D4" w14:textId="77777777" w:rsidR="00BF6183" w:rsidRPr="000E52E5" w:rsidRDefault="00BF6183" w:rsidP="00BF6183">
      <w:pPr>
        <w:tabs>
          <w:tab w:val="left" w:pos="0"/>
        </w:tabs>
        <w:spacing w:after="0" w:line="240" w:lineRule="auto"/>
        <w:jc w:val="both"/>
        <w:rPr>
          <w:rFonts w:ascii="Verdana" w:eastAsia="Calibri" w:hAnsi="Verdana" w:cs="Arial"/>
          <w:color w:val="000000" w:themeColor="text1"/>
          <w:sz w:val="20"/>
          <w:szCs w:val="20"/>
          <w:lang w:val="es-ES_tradnl"/>
        </w:rPr>
      </w:pPr>
    </w:p>
    <w:p w14:paraId="322F9807" w14:textId="77777777" w:rsidR="00BF6183" w:rsidRPr="000E52E5" w:rsidRDefault="00BF6183" w:rsidP="00BF6183">
      <w:pPr>
        <w:tabs>
          <w:tab w:val="left" w:pos="0"/>
        </w:tabs>
        <w:spacing w:after="0" w:line="240" w:lineRule="auto"/>
        <w:jc w:val="both"/>
        <w:rPr>
          <w:rFonts w:ascii="Verdana" w:eastAsia="Calibri" w:hAnsi="Verdana" w:cs="Arial"/>
          <w:color w:val="000000" w:themeColor="text1"/>
          <w:sz w:val="20"/>
          <w:szCs w:val="20"/>
          <w:lang w:val="es-ES_tradnl"/>
        </w:rPr>
      </w:pPr>
      <w:r w:rsidRPr="000E52E5">
        <w:rPr>
          <w:rFonts w:ascii="Verdana" w:eastAsia="Calibri" w:hAnsi="Verdana" w:cs="Arial"/>
          <w:color w:val="000000" w:themeColor="text1"/>
          <w:sz w:val="20"/>
          <w:szCs w:val="20"/>
          <w:lang w:val="es-ES_tradnl"/>
        </w:rPr>
        <w:t xml:space="preserve">Por lo demás, la actividad hermenéutica que lleva a cabo la Agencia Nacional de Contratación Pública – Colombia Compra Eficiente considera las fuentes normativas de la contratación estatal para asignarles un sentido razonable. Cuando las disposiciones normativas han sido objeto de desarrollo reglamentario o de pronunciamiento judicial, la Agencia tiene en cuenta en los conceptos tales elementos, para construir su interpretación de las normas. Pero, cuando se trata de la definición o comprensión de palabras que no gozan de una delimitación conceptual efectuada por vía reglamentaria o jurisdiccional, Colombia Compra Eficiente deduce el significado que considera más adecuado y armónico con las demás normas que conforman el sistema jurídico de compras y contratación pública. Esto último es lo que sucede con la expresión </w:t>
      </w:r>
      <w:r>
        <w:rPr>
          <w:rFonts w:ascii="Verdana" w:eastAsia="Calibri" w:hAnsi="Verdana" w:cs="Arial"/>
          <w:color w:val="000000" w:themeColor="text1"/>
          <w:sz w:val="20"/>
          <w:szCs w:val="20"/>
          <w:lang w:val="es-ES_tradnl"/>
        </w:rPr>
        <w:t>“</w:t>
      </w:r>
      <w:r w:rsidRPr="000E52E5">
        <w:rPr>
          <w:rFonts w:ascii="Verdana" w:eastAsia="Calibri" w:hAnsi="Verdana" w:cs="Arial"/>
          <w:color w:val="000000" w:themeColor="text1"/>
          <w:sz w:val="20"/>
          <w:szCs w:val="20"/>
          <w:lang w:val="es-ES_tradnl"/>
        </w:rPr>
        <w:t>mayor proporción</w:t>
      </w:r>
      <w:r>
        <w:rPr>
          <w:rFonts w:ascii="Verdana" w:eastAsia="Calibri" w:hAnsi="Verdana" w:cs="Arial"/>
          <w:color w:val="000000" w:themeColor="text1"/>
          <w:sz w:val="20"/>
          <w:szCs w:val="20"/>
          <w:lang w:val="es-ES_tradnl"/>
        </w:rPr>
        <w:t>”</w:t>
      </w:r>
      <w:r w:rsidRPr="000E52E5">
        <w:rPr>
          <w:rFonts w:ascii="Verdana" w:eastAsia="Calibri" w:hAnsi="Verdana" w:cs="Arial"/>
          <w:color w:val="000000" w:themeColor="text1"/>
          <w:sz w:val="20"/>
          <w:szCs w:val="20"/>
          <w:lang w:val="es-ES_tradnl"/>
        </w:rPr>
        <w:t xml:space="preserve">, contenida en el numeral 4 del artículo 35 de la Ley 2069 de 2020. Al ser una Ley recientemente expedida y no existir reglamentación, ni jurisprudencia, que haya acotado tal concepto, la Agencia realiza su interpretación </w:t>
      </w:r>
      <w:r w:rsidRPr="000E52E5">
        <w:rPr>
          <w:rFonts w:ascii="Verdana" w:eastAsia="Calibri" w:hAnsi="Verdana" w:cs="Arial"/>
          <w:i/>
          <w:iCs/>
          <w:color w:val="000000" w:themeColor="text1"/>
          <w:sz w:val="20"/>
          <w:szCs w:val="20"/>
          <w:lang w:val="es-ES_tradnl"/>
        </w:rPr>
        <w:t>prima facie</w:t>
      </w:r>
      <w:r w:rsidRPr="000E52E5">
        <w:rPr>
          <w:rFonts w:ascii="Verdana" w:eastAsia="Calibri" w:hAnsi="Verdana" w:cs="Arial"/>
          <w:color w:val="000000" w:themeColor="text1"/>
          <w:sz w:val="20"/>
          <w:szCs w:val="20"/>
          <w:lang w:val="es-ES_tradnl"/>
        </w:rPr>
        <w:t>. Sin embargo, se reitera, dicha interpretación no es vinculante, ni niega que pueda haber otras interpretaciones.</w:t>
      </w:r>
    </w:p>
    <w:p w14:paraId="66E81E3B" w14:textId="77777777" w:rsidR="00BF6183" w:rsidRPr="000E52E5" w:rsidRDefault="00BF6183" w:rsidP="00BF6183">
      <w:pPr>
        <w:pStyle w:val="Textoindependiente"/>
        <w:spacing w:after="0" w:line="240" w:lineRule="auto"/>
        <w:ind w:right="102"/>
        <w:jc w:val="both"/>
        <w:rPr>
          <w:rFonts w:ascii="Verdana" w:hAnsi="Verdana" w:cs="Arial"/>
          <w:b/>
          <w:color w:val="000000" w:themeColor="text1"/>
          <w:sz w:val="20"/>
          <w:szCs w:val="20"/>
          <w:lang w:val="es-ES_tradnl"/>
        </w:rPr>
      </w:pPr>
    </w:p>
    <w:p w14:paraId="71DCA788" w14:textId="77777777" w:rsidR="00BF6183" w:rsidRPr="00AC4498" w:rsidRDefault="00BF6183" w:rsidP="00BF6183">
      <w:pPr>
        <w:spacing w:after="0" w:line="240" w:lineRule="auto"/>
        <w:jc w:val="both"/>
        <w:rPr>
          <w:rFonts w:ascii="Verdana" w:hAnsi="Verdana" w:cs="Arial"/>
          <w:lang w:val="es-MX"/>
        </w:rPr>
      </w:pPr>
      <w:r w:rsidRPr="00AC4498">
        <w:rPr>
          <w:rFonts w:ascii="Verdana" w:hAnsi="Verdana" w:cs="Arial"/>
          <w:b/>
          <w:lang w:val="es-MX"/>
        </w:rPr>
        <w:t xml:space="preserve">EXPERIENCIA </w:t>
      </w:r>
      <w:r w:rsidRPr="00AC4498">
        <w:rPr>
          <w:rFonts w:ascii="Verdana" w:eastAsia="Calibri" w:hAnsi="Verdana" w:cs="Arial"/>
          <w:b/>
          <w:lang w:val="es-MX"/>
        </w:rPr>
        <w:t xml:space="preserve">– </w:t>
      </w:r>
      <w:r w:rsidRPr="00AC4498">
        <w:rPr>
          <w:rFonts w:ascii="Verdana" w:hAnsi="Verdana" w:cs="Arial"/>
          <w:b/>
          <w:lang w:val="es-MX"/>
        </w:rPr>
        <w:t xml:space="preserve">Noción ‒ </w:t>
      </w:r>
      <w:r w:rsidRPr="00AC4498">
        <w:rPr>
          <w:rFonts w:ascii="Verdana" w:hAnsi="Verdana" w:cs="Arial"/>
          <w:b/>
          <w:bCs/>
          <w:lang w:val="es-MX"/>
        </w:rPr>
        <w:t>Colombia Compra Eficiente</w:t>
      </w:r>
    </w:p>
    <w:p w14:paraId="3913EE0A" w14:textId="77777777" w:rsidR="00BF6183" w:rsidRPr="00221BD4" w:rsidRDefault="00BF6183" w:rsidP="00BF6183">
      <w:pPr>
        <w:spacing w:after="0" w:line="240" w:lineRule="auto"/>
        <w:jc w:val="both"/>
        <w:rPr>
          <w:rFonts w:ascii="Verdana" w:hAnsi="Verdana" w:cs="Arial"/>
          <w:sz w:val="20"/>
          <w:szCs w:val="20"/>
          <w:lang w:val="es-MX"/>
        </w:rPr>
      </w:pPr>
    </w:p>
    <w:p w14:paraId="4C9FC32F" w14:textId="77777777" w:rsidR="00BF6183" w:rsidRDefault="00BF6183" w:rsidP="00BF6183">
      <w:pPr>
        <w:spacing w:after="0" w:line="240" w:lineRule="auto"/>
        <w:jc w:val="both"/>
        <w:rPr>
          <w:rFonts w:ascii="Verdana" w:eastAsia="Calibri" w:hAnsi="Verdana" w:cs="Arial"/>
          <w:sz w:val="20"/>
          <w:szCs w:val="20"/>
          <w:lang w:val="es-MX"/>
        </w:rPr>
      </w:pPr>
      <w:r w:rsidRPr="00221BD4">
        <w:rPr>
          <w:rFonts w:ascii="Verdana" w:eastAsia="Calibri" w:hAnsi="Verdana" w:cs="Arial"/>
          <w:sz w:val="20"/>
          <w:szCs w:val="20"/>
          <w:lang w:val="es-MX"/>
        </w:rPr>
        <w:t xml:space="preserve">i) La experiencia es </w:t>
      </w:r>
      <w:r w:rsidRPr="00221BD4">
        <w:rPr>
          <w:rFonts w:ascii="Verdana" w:eastAsia="Calibri" w:hAnsi="Verdana" w:cs="Arial"/>
          <w:i/>
          <w:iCs/>
          <w:sz w:val="20"/>
          <w:szCs w:val="20"/>
          <w:lang w:val="es-MX"/>
        </w:rPr>
        <w:t>personal</w:t>
      </w:r>
      <w:r w:rsidRPr="00221BD4">
        <w:rPr>
          <w:rFonts w:ascii="Verdana" w:eastAsia="Calibri" w:hAnsi="Verdana" w:cs="Arial"/>
          <w:sz w:val="20"/>
          <w:szCs w:val="20"/>
          <w:lang w:val="es-MX"/>
        </w:rPr>
        <w:t>, esto es, se adquiere participando, directa o indirectamente, sin que sea posible no hacerlo y tener experiencia.</w:t>
      </w:r>
    </w:p>
    <w:p w14:paraId="280FBBD7" w14:textId="77777777" w:rsidR="00BF6183" w:rsidRPr="00221BD4" w:rsidRDefault="00BF6183" w:rsidP="00BF6183">
      <w:pPr>
        <w:spacing w:after="0" w:line="240" w:lineRule="auto"/>
        <w:jc w:val="both"/>
        <w:rPr>
          <w:rFonts w:ascii="Verdana" w:eastAsia="Calibri" w:hAnsi="Verdana" w:cs="Arial"/>
          <w:sz w:val="20"/>
          <w:szCs w:val="20"/>
          <w:lang w:val="es-MX"/>
        </w:rPr>
      </w:pPr>
    </w:p>
    <w:p w14:paraId="7EA5F1CE" w14:textId="77777777" w:rsidR="00BF6183" w:rsidRDefault="00BF6183" w:rsidP="00BF6183">
      <w:pPr>
        <w:spacing w:after="0" w:line="240" w:lineRule="auto"/>
        <w:jc w:val="both"/>
        <w:rPr>
          <w:rFonts w:ascii="Verdana" w:eastAsia="Calibri" w:hAnsi="Verdana" w:cs="Arial"/>
          <w:sz w:val="20"/>
          <w:szCs w:val="20"/>
          <w:lang w:val="es-MX"/>
        </w:rPr>
      </w:pPr>
      <w:r w:rsidRPr="00221BD4">
        <w:rPr>
          <w:rFonts w:ascii="Verdana" w:eastAsia="Calibri" w:hAnsi="Verdana" w:cs="Arial"/>
          <w:sz w:val="20"/>
          <w:szCs w:val="20"/>
          <w:lang w:val="es-MX"/>
        </w:rPr>
        <w:t xml:space="preserve">ii) La experiencia se puede </w:t>
      </w:r>
      <w:r w:rsidRPr="00221BD4">
        <w:rPr>
          <w:rFonts w:ascii="Verdana" w:eastAsia="Calibri" w:hAnsi="Verdana" w:cs="Arial"/>
          <w:i/>
          <w:iCs/>
          <w:sz w:val="20"/>
          <w:szCs w:val="20"/>
          <w:lang w:val="es-MX"/>
        </w:rPr>
        <w:t>compartir</w:t>
      </w:r>
      <w:r w:rsidRPr="00221BD4">
        <w:rPr>
          <w:rFonts w:ascii="Verdana" w:eastAsia="Calibri" w:hAnsi="Verdana" w:cs="Arial"/>
          <w:sz w:val="20"/>
          <w:szCs w:val="20"/>
          <w:lang w:val="es-MX"/>
        </w:rPr>
        <w:t xml:space="preserve">, sin que implique que la compartida a una persona se entienda suya, ya que dentro del procedimiento contractual se reflejará que esa persona tiene la experiencia de otra, como es el caso de las figuras asociativas   </w:t>
      </w:r>
      <w:r w:rsidRPr="00221BD4">
        <w:rPr>
          <w:rFonts w:ascii="Arial" w:eastAsia="Calibri" w:hAnsi="Arial" w:cs="Arial"/>
          <w:sz w:val="20"/>
          <w:szCs w:val="20"/>
          <w:lang w:val="es-MX"/>
        </w:rPr>
        <w:t>̶</w:t>
      </w:r>
      <w:r w:rsidRPr="00221BD4">
        <w:rPr>
          <w:rFonts w:ascii="Verdana" w:eastAsia="Calibri" w:hAnsi="Verdana" w:cs="Arial"/>
          <w:sz w:val="20"/>
          <w:szCs w:val="20"/>
          <w:lang w:val="es-MX"/>
        </w:rPr>
        <w:t xml:space="preserve"> consorcios y uniones temporales </w:t>
      </w:r>
      <w:r w:rsidRPr="00221BD4">
        <w:rPr>
          <w:rFonts w:ascii="Arial" w:eastAsia="Calibri" w:hAnsi="Arial" w:cs="Arial"/>
          <w:sz w:val="20"/>
          <w:szCs w:val="20"/>
          <w:lang w:val="es-MX"/>
        </w:rPr>
        <w:t>̶</w:t>
      </w:r>
      <w:r w:rsidRPr="00221BD4">
        <w:rPr>
          <w:rFonts w:ascii="Verdana" w:eastAsia="Calibri" w:hAnsi="Verdana" w:cs="Arial"/>
          <w:sz w:val="20"/>
          <w:szCs w:val="20"/>
          <w:lang w:val="es-MX"/>
        </w:rPr>
        <w:t xml:space="preserve">   que se verificará en el documento privado de constitución.</w:t>
      </w:r>
    </w:p>
    <w:p w14:paraId="3F3A6FB6" w14:textId="77777777" w:rsidR="00BF6183" w:rsidRPr="00221BD4" w:rsidRDefault="00BF6183" w:rsidP="00BF6183">
      <w:pPr>
        <w:spacing w:after="0" w:line="240" w:lineRule="auto"/>
        <w:jc w:val="both"/>
        <w:rPr>
          <w:rFonts w:ascii="Verdana" w:eastAsia="Calibri" w:hAnsi="Verdana" w:cs="Arial"/>
          <w:sz w:val="20"/>
          <w:szCs w:val="20"/>
          <w:lang w:val="es-MX"/>
        </w:rPr>
      </w:pPr>
    </w:p>
    <w:p w14:paraId="3FDC66F8" w14:textId="77777777" w:rsidR="00BF6183" w:rsidRDefault="00BF6183" w:rsidP="00BF6183">
      <w:pPr>
        <w:spacing w:after="0" w:line="240" w:lineRule="auto"/>
        <w:jc w:val="both"/>
        <w:rPr>
          <w:rFonts w:ascii="Verdana" w:eastAsia="Calibri" w:hAnsi="Verdana" w:cs="Arial"/>
          <w:sz w:val="20"/>
          <w:szCs w:val="20"/>
          <w:lang w:val="es-MX"/>
        </w:rPr>
      </w:pPr>
      <w:r w:rsidRPr="00221BD4">
        <w:rPr>
          <w:rFonts w:ascii="Verdana" w:eastAsia="Calibri" w:hAnsi="Verdana" w:cs="Arial"/>
          <w:sz w:val="20"/>
          <w:szCs w:val="20"/>
          <w:lang w:val="es-MX"/>
        </w:rPr>
        <w:t xml:space="preserve">iii) La experiencia se puede </w:t>
      </w:r>
      <w:r w:rsidRPr="00221BD4">
        <w:rPr>
          <w:rFonts w:ascii="Verdana" w:eastAsia="Calibri" w:hAnsi="Verdana" w:cs="Arial"/>
          <w:i/>
          <w:iCs/>
          <w:sz w:val="20"/>
          <w:szCs w:val="20"/>
          <w:lang w:val="es-MX"/>
        </w:rPr>
        <w:t>transferir</w:t>
      </w:r>
      <w:r w:rsidRPr="00221BD4">
        <w:rPr>
          <w:rFonts w:ascii="Verdana" w:eastAsia="Calibri" w:hAnsi="Verdana" w:cs="Arial"/>
          <w:sz w:val="20"/>
          <w:szCs w:val="20"/>
          <w:lang w:val="es-MX"/>
        </w:rPr>
        <w:t xml:space="preserve">, y esto es diferente a compartir, lo que implica que la experiencia de una persona se traslada a otra, y esta última acredita la experiencia como propia, como sucede con la figura que se explicará </w:t>
      </w:r>
      <w:r>
        <w:rPr>
          <w:rFonts w:ascii="Verdana" w:eastAsia="Calibri" w:hAnsi="Verdana" w:cs="Arial"/>
          <w:sz w:val="20"/>
          <w:szCs w:val="20"/>
          <w:lang w:val="es-MX"/>
        </w:rPr>
        <w:t>mas adelante</w:t>
      </w:r>
      <w:r w:rsidRPr="00221BD4">
        <w:rPr>
          <w:rFonts w:ascii="Verdana" w:eastAsia="Calibri" w:hAnsi="Verdana" w:cs="Arial"/>
          <w:sz w:val="20"/>
          <w:szCs w:val="20"/>
          <w:lang w:val="es-MX"/>
        </w:rPr>
        <w:t>.</w:t>
      </w:r>
    </w:p>
    <w:p w14:paraId="0567075F" w14:textId="77777777" w:rsidR="00BF6183" w:rsidRPr="00221BD4" w:rsidRDefault="00BF6183" w:rsidP="00BF6183">
      <w:pPr>
        <w:spacing w:after="0" w:line="240" w:lineRule="auto"/>
        <w:jc w:val="both"/>
        <w:rPr>
          <w:rFonts w:ascii="Verdana" w:eastAsia="Calibri" w:hAnsi="Verdana" w:cs="Arial"/>
          <w:sz w:val="20"/>
          <w:szCs w:val="20"/>
          <w:lang w:val="es-MX"/>
        </w:rPr>
      </w:pPr>
    </w:p>
    <w:p w14:paraId="5C9281BB" w14:textId="77777777" w:rsidR="00BF6183" w:rsidRPr="00221BD4" w:rsidRDefault="00BF6183" w:rsidP="00BF6183">
      <w:pPr>
        <w:spacing w:after="0" w:line="240" w:lineRule="auto"/>
        <w:jc w:val="both"/>
        <w:rPr>
          <w:rFonts w:ascii="Verdana" w:eastAsia="Calibri" w:hAnsi="Verdana" w:cs="Arial"/>
          <w:sz w:val="20"/>
          <w:szCs w:val="20"/>
          <w:lang w:val="es-MX"/>
        </w:rPr>
      </w:pPr>
      <w:r w:rsidRPr="00221BD4">
        <w:rPr>
          <w:rFonts w:ascii="Verdana" w:eastAsia="Calibri" w:hAnsi="Verdana" w:cs="Arial"/>
          <w:sz w:val="20"/>
          <w:szCs w:val="20"/>
          <w:lang w:val="es-MX"/>
        </w:rPr>
        <w:lastRenderedPageBreak/>
        <w:t xml:space="preserve">iv) Cuando la persona que adquirió la experiencia </w:t>
      </w:r>
      <w:r w:rsidRPr="00221BD4">
        <w:rPr>
          <w:rFonts w:ascii="Verdana" w:eastAsia="Calibri" w:hAnsi="Verdana" w:cs="Arial"/>
          <w:i/>
          <w:iCs/>
          <w:sz w:val="20"/>
          <w:szCs w:val="20"/>
          <w:lang w:val="es-MX"/>
        </w:rPr>
        <w:t>desaparece</w:t>
      </w:r>
      <w:r w:rsidRPr="00221BD4">
        <w:rPr>
          <w:rFonts w:ascii="Verdana" w:eastAsia="Calibri" w:hAnsi="Verdana" w:cs="Arial"/>
          <w:sz w:val="20"/>
          <w:szCs w:val="20"/>
          <w:lang w:val="es-MX"/>
        </w:rPr>
        <w:t xml:space="preserve"> o se liquida no es posible que comparta o transfiera su experiencia, porque al ser personal sigue la suerte de quien la adquirió.</w:t>
      </w:r>
    </w:p>
    <w:p w14:paraId="7B87C1F0" w14:textId="77777777" w:rsidR="00BF6183" w:rsidRPr="00221BD4" w:rsidRDefault="00BF6183" w:rsidP="00BF6183">
      <w:pPr>
        <w:spacing w:after="0" w:line="240" w:lineRule="auto"/>
        <w:jc w:val="both"/>
        <w:rPr>
          <w:rFonts w:ascii="Verdana" w:eastAsia="Calibri" w:hAnsi="Verdana" w:cs="Arial"/>
          <w:b/>
          <w:sz w:val="20"/>
          <w:szCs w:val="20"/>
          <w:lang w:val="es-MX"/>
        </w:rPr>
      </w:pPr>
    </w:p>
    <w:p w14:paraId="222820AE" w14:textId="77777777" w:rsidR="00BF6183" w:rsidRPr="00AC4498" w:rsidRDefault="00BF6183" w:rsidP="00BF6183">
      <w:pPr>
        <w:spacing w:after="0" w:line="240" w:lineRule="auto"/>
        <w:jc w:val="both"/>
        <w:rPr>
          <w:rFonts w:ascii="Verdana" w:eastAsia="Calibri" w:hAnsi="Verdana" w:cs="Arial"/>
          <w:b/>
          <w:lang w:val="es-MX"/>
        </w:rPr>
      </w:pPr>
      <w:r w:rsidRPr="00AC4498">
        <w:rPr>
          <w:rFonts w:ascii="Verdana" w:eastAsia="Calibri" w:hAnsi="Verdana" w:cs="Arial"/>
          <w:b/>
          <w:lang w:val="es-MX"/>
        </w:rPr>
        <w:t>SOCIEDADES NUEVAS ‒ Experiencia ‒ Inferior a tres años ‒ Requisitos habilitantes ‒ Desarrollo de la empresa</w:t>
      </w:r>
    </w:p>
    <w:p w14:paraId="787A7CDD" w14:textId="77777777" w:rsidR="00BF6183" w:rsidRPr="00221BD4" w:rsidRDefault="00BF6183" w:rsidP="00BF6183">
      <w:pPr>
        <w:spacing w:after="0" w:line="240" w:lineRule="auto"/>
        <w:jc w:val="both"/>
        <w:rPr>
          <w:rFonts w:ascii="Verdana" w:eastAsia="Calibri" w:hAnsi="Verdana" w:cs="Arial"/>
          <w:sz w:val="20"/>
          <w:szCs w:val="20"/>
          <w:lang w:val="es-MX"/>
        </w:rPr>
      </w:pPr>
    </w:p>
    <w:p w14:paraId="0E151955" w14:textId="77777777" w:rsidR="00BF6183" w:rsidRDefault="00BF6183" w:rsidP="00BF6183">
      <w:pPr>
        <w:spacing w:after="0" w:line="240" w:lineRule="auto"/>
        <w:jc w:val="both"/>
        <w:rPr>
          <w:rFonts w:ascii="Verdana" w:hAnsi="Verdana" w:cs="Arial"/>
          <w:sz w:val="20"/>
          <w:szCs w:val="20"/>
          <w:lang w:val="es-MX"/>
        </w:rPr>
      </w:pPr>
      <w:r w:rsidRPr="00221BD4">
        <w:rPr>
          <w:rFonts w:ascii="Verdana" w:hAnsi="Verdana" w:cs="Arial"/>
          <w:sz w:val="20"/>
          <w:szCs w:val="20"/>
          <w:lang w:val="es-MX"/>
        </w:rPr>
        <w:t xml:space="preserve">La parte final del numeral 2.5 del artículo citado incluye una medida diferenciada para las personas jurídicas cuya constitución sea menor a 3 años al momento del registro. Esta prerrogativa, que puede entenderse como una medida de fomento a la participación de pequeños oferentes en la contratación estatal, permite que las sociedades relativamente nuevas </w:t>
      </w:r>
      <w:r w:rsidRPr="00221BD4">
        <w:rPr>
          <w:rFonts w:ascii="Verdana" w:eastAsia="Calibri" w:hAnsi="Verdana" w:cs="Arial"/>
          <w:sz w:val="20"/>
          <w:szCs w:val="20"/>
          <w:lang w:val="es-MX"/>
        </w:rPr>
        <w:t>─</w:t>
      </w:r>
      <w:r w:rsidRPr="00221BD4">
        <w:rPr>
          <w:rFonts w:ascii="Verdana" w:hAnsi="Verdana" w:cs="Arial"/>
          <w:sz w:val="20"/>
          <w:szCs w:val="20"/>
          <w:lang w:val="es-MX"/>
        </w:rPr>
        <w:t>con menos de 3 años de constitución</w:t>
      </w:r>
      <w:r w:rsidRPr="00221BD4">
        <w:rPr>
          <w:rFonts w:ascii="Verdana" w:eastAsia="Calibri" w:hAnsi="Verdana" w:cs="Arial"/>
          <w:sz w:val="20"/>
          <w:szCs w:val="20"/>
          <w:lang w:val="es-MX"/>
        </w:rPr>
        <w:t>─</w:t>
      </w:r>
      <w:r w:rsidRPr="00221BD4">
        <w:rPr>
          <w:rFonts w:ascii="Verdana" w:hAnsi="Verdana" w:cs="Arial"/>
          <w:sz w:val="20"/>
          <w:szCs w:val="20"/>
          <w:lang w:val="es-MX"/>
        </w:rPr>
        <w:t xml:space="preserve"> puedan acreditar como experiencia en el RUP la de sus accionistas, socios o constituyentes. […]</w:t>
      </w:r>
    </w:p>
    <w:p w14:paraId="5A798CB2" w14:textId="77777777" w:rsidR="00BF6183" w:rsidRPr="00221BD4" w:rsidRDefault="00BF6183" w:rsidP="00BF6183">
      <w:pPr>
        <w:spacing w:after="0" w:line="240" w:lineRule="auto"/>
        <w:jc w:val="both"/>
        <w:rPr>
          <w:rFonts w:ascii="Verdana" w:hAnsi="Verdana" w:cs="Arial"/>
          <w:sz w:val="20"/>
          <w:szCs w:val="20"/>
          <w:lang w:val="es-MX"/>
        </w:rPr>
      </w:pPr>
    </w:p>
    <w:p w14:paraId="0417790F" w14:textId="77777777" w:rsidR="00BF6183" w:rsidRPr="00221BD4" w:rsidRDefault="00BF6183" w:rsidP="00BF6183">
      <w:pPr>
        <w:spacing w:after="0" w:line="240" w:lineRule="auto"/>
        <w:jc w:val="both"/>
        <w:rPr>
          <w:rFonts w:ascii="Verdana" w:hAnsi="Verdana" w:cs="Arial"/>
          <w:sz w:val="20"/>
          <w:szCs w:val="20"/>
          <w:lang w:val="es-MX"/>
        </w:rPr>
      </w:pPr>
      <w:r w:rsidRPr="00221BD4">
        <w:rPr>
          <w:rFonts w:ascii="Verdana" w:hAnsi="Verdana" w:cs="Arial"/>
          <w:sz w:val="20"/>
          <w:szCs w:val="20"/>
          <w:lang w:val="es-MX"/>
        </w:rPr>
        <w:t>La finalidad de esta norma es permitir que las sociedades que no cuentan con la experiencia suficiente para contratar con el Estado puedan apoyarse en la experiencia de sus accionistas, socios o constituyentes con el fin de incentivar la competencia en la contratación estatal. Así las cosas, el socio transfiere la experiencia adquirida directamente a la sociedad de la que es parte, para que esta, como persona jurídica independiente, pueda cumplir con los requisitos habilitantes o puntuables que establezcan las entidades estatales en sus procesos de contratación, y de esta forma promover el desarrollo de la empresa y la pluralidad de oferentes en la contratación pública.</w:t>
      </w:r>
    </w:p>
    <w:p w14:paraId="138BF99C" w14:textId="77777777" w:rsidR="00BF6183" w:rsidRPr="00221BD4" w:rsidRDefault="00BF6183" w:rsidP="00BF6183">
      <w:pPr>
        <w:spacing w:after="0" w:line="240" w:lineRule="auto"/>
        <w:jc w:val="both"/>
        <w:rPr>
          <w:rFonts w:ascii="Verdana" w:hAnsi="Verdana" w:cs="Arial"/>
          <w:b/>
          <w:sz w:val="20"/>
          <w:szCs w:val="20"/>
          <w:lang w:val="es-MX"/>
        </w:rPr>
      </w:pPr>
    </w:p>
    <w:p w14:paraId="7BF3A23F" w14:textId="77777777" w:rsidR="00BF6183" w:rsidRPr="00AC4498" w:rsidRDefault="00BF6183" w:rsidP="00BF6183">
      <w:pPr>
        <w:spacing w:after="0" w:line="240" w:lineRule="auto"/>
        <w:jc w:val="both"/>
        <w:rPr>
          <w:rFonts w:ascii="Verdana" w:hAnsi="Verdana" w:cs="Arial"/>
          <w:b/>
          <w:bCs/>
          <w:lang w:val="es-MX"/>
        </w:rPr>
      </w:pPr>
      <w:r w:rsidRPr="00AC4498">
        <w:rPr>
          <w:rFonts w:ascii="Verdana" w:hAnsi="Verdana" w:cs="Arial"/>
          <w:b/>
          <w:bCs/>
          <w:lang w:val="es-MX"/>
        </w:rPr>
        <w:t>EXPERIENCIA ‒ Conservación ‒ Renovación RUP ‒ Cesación efectos RUP</w:t>
      </w:r>
    </w:p>
    <w:p w14:paraId="4CA43D27" w14:textId="77777777" w:rsidR="00BF6183" w:rsidRPr="00221BD4" w:rsidRDefault="00BF6183" w:rsidP="00BF6183">
      <w:pPr>
        <w:spacing w:after="0" w:line="240" w:lineRule="auto"/>
        <w:jc w:val="both"/>
        <w:rPr>
          <w:rFonts w:ascii="Verdana" w:hAnsi="Verdana" w:cs="Arial"/>
          <w:sz w:val="20"/>
          <w:szCs w:val="20"/>
          <w:lang w:val="es-MX"/>
        </w:rPr>
      </w:pPr>
    </w:p>
    <w:p w14:paraId="53CADB28" w14:textId="77777777" w:rsidR="00BF6183" w:rsidRPr="00221BD4" w:rsidRDefault="00BF6183" w:rsidP="00BF6183">
      <w:pPr>
        <w:spacing w:after="0" w:line="240" w:lineRule="auto"/>
        <w:jc w:val="both"/>
        <w:rPr>
          <w:rFonts w:ascii="Verdana" w:hAnsi="Verdana" w:cs="Arial"/>
          <w:sz w:val="20"/>
          <w:szCs w:val="20"/>
          <w:lang w:val="es-MX"/>
        </w:rPr>
      </w:pPr>
      <w:r w:rsidRPr="00221BD4">
        <w:rPr>
          <w:rFonts w:ascii="Verdana" w:hAnsi="Verdana" w:cs="Arial"/>
          <w:sz w:val="20"/>
          <w:szCs w:val="20"/>
          <w:lang w:val="es-MX"/>
        </w:rPr>
        <w:t xml:space="preserve">[…] si la persona jurídica con menos de tres años de constituida registra la experiencia de sus socios en el RUP, y éste es renovado, puede continuar utilizando la experiencia inscrita mientras no cesen los efectos del RUP. Por el contrario, si no se renueva y la persona jurídica supera los tres años de constituida, la experiencia que registró de sus socios no puede ser inscrita nuevamente, puesto que el RUP ha cesado sus efectos y la cámara de comercio tiene que hacer nuevamente la verificación documental de la información presentada al momento de inscribirse en el registro.  </w:t>
      </w:r>
    </w:p>
    <w:p w14:paraId="28466D24" w14:textId="77777777" w:rsidR="00BF6183" w:rsidRPr="00221BD4" w:rsidRDefault="00BF6183" w:rsidP="00BF6183">
      <w:pPr>
        <w:spacing w:after="0" w:line="240" w:lineRule="auto"/>
        <w:jc w:val="both"/>
        <w:rPr>
          <w:rFonts w:ascii="Verdana" w:hAnsi="Verdana" w:cs="Arial"/>
          <w:b/>
          <w:sz w:val="20"/>
          <w:szCs w:val="20"/>
          <w:lang w:val="es-MX"/>
        </w:rPr>
      </w:pPr>
    </w:p>
    <w:p w14:paraId="30D5CF3A" w14:textId="77777777" w:rsidR="00BF6183" w:rsidRPr="00AC4498" w:rsidRDefault="00BF6183" w:rsidP="00BF6183">
      <w:pPr>
        <w:spacing w:after="0" w:line="240" w:lineRule="auto"/>
        <w:jc w:val="both"/>
        <w:rPr>
          <w:rFonts w:ascii="Verdana" w:hAnsi="Verdana" w:cs="Arial"/>
          <w:lang w:val="es-MX"/>
        </w:rPr>
      </w:pPr>
      <w:r w:rsidRPr="00AC4498">
        <w:rPr>
          <w:rFonts w:ascii="Verdana" w:hAnsi="Verdana" w:cs="Arial"/>
          <w:b/>
          <w:lang w:val="es-MX"/>
        </w:rPr>
        <w:t xml:space="preserve">EXPERIENCIA </w:t>
      </w:r>
      <w:r w:rsidRPr="00AC4498">
        <w:rPr>
          <w:rFonts w:ascii="Verdana" w:eastAsia="Calibri" w:hAnsi="Verdana" w:cs="Arial"/>
          <w:b/>
          <w:lang w:val="es-MX"/>
        </w:rPr>
        <w:t>–</w:t>
      </w:r>
      <w:r w:rsidRPr="00AC4498">
        <w:rPr>
          <w:rFonts w:ascii="Verdana" w:hAnsi="Verdana" w:cs="Arial"/>
          <w:b/>
          <w:lang w:val="es-MX"/>
        </w:rPr>
        <w:t xml:space="preserve"> Conservación </w:t>
      </w:r>
      <w:r w:rsidRPr="00AC4498">
        <w:rPr>
          <w:rFonts w:ascii="Verdana" w:eastAsia="Calibri" w:hAnsi="Verdana" w:cs="Arial"/>
          <w:b/>
          <w:lang w:val="es-MX"/>
        </w:rPr>
        <w:t xml:space="preserve">– </w:t>
      </w:r>
      <w:r w:rsidRPr="00AC4498">
        <w:rPr>
          <w:rFonts w:ascii="Verdana" w:hAnsi="Verdana" w:cs="Arial"/>
          <w:b/>
          <w:lang w:val="es-MX"/>
        </w:rPr>
        <w:t xml:space="preserve">Sociedades </w:t>
      </w:r>
      <w:r w:rsidRPr="00AC4498">
        <w:rPr>
          <w:rFonts w:ascii="Verdana" w:eastAsia="Calibri" w:hAnsi="Verdana" w:cs="Arial"/>
          <w:b/>
          <w:lang w:val="es-MX"/>
        </w:rPr>
        <w:t>– M</w:t>
      </w:r>
      <w:r w:rsidRPr="00AC4498">
        <w:rPr>
          <w:rFonts w:ascii="Verdana" w:hAnsi="Verdana" w:cs="Arial"/>
          <w:b/>
          <w:lang w:val="es-MX"/>
        </w:rPr>
        <w:t>enor a 3 años de constitución</w:t>
      </w:r>
      <w:r w:rsidRPr="00AC4498">
        <w:rPr>
          <w:rFonts w:ascii="Verdana" w:hAnsi="Verdana" w:cs="Arial"/>
          <w:lang w:val="es-MX"/>
        </w:rPr>
        <w:t xml:space="preserve"> </w:t>
      </w:r>
    </w:p>
    <w:p w14:paraId="157BB30C" w14:textId="77777777" w:rsidR="00BF6183" w:rsidRPr="00221BD4" w:rsidRDefault="00BF6183" w:rsidP="00BF6183">
      <w:pPr>
        <w:spacing w:after="0" w:line="240" w:lineRule="auto"/>
        <w:jc w:val="both"/>
        <w:rPr>
          <w:rFonts w:ascii="Verdana" w:hAnsi="Verdana" w:cs="Arial"/>
          <w:sz w:val="20"/>
          <w:szCs w:val="20"/>
          <w:lang w:val="es-MX"/>
        </w:rPr>
      </w:pPr>
    </w:p>
    <w:p w14:paraId="45909812" w14:textId="77777777" w:rsidR="00BF6183" w:rsidRPr="00221BD4" w:rsidRDefault="00BF6183" w:rsidP="00BF6183">
      <w:pPr>
        <w:spacing w:after="0" w:line="240" w:lineRule="auto"/>
        <w:jc w:val="both"/>
        <w:rPr>
          <w:rFonts w:ascii="Verdana" w:hAnsi="Verdana" w:cs="Arial"/>
          <w:sz w:val="20"/>
          <w:szCs w:val="20"/>
          <w:lang w:val="es-MX"/>
        </w:rPr>
      </w:pPr>
      <w:r w:rsidRPr="00221BD4">
        <w:rPr>
          <w:rFonts w:ascii="Verdana" w:hAnsi="Verdana" w:cs="Arial"/>
          <w:sz w:val="20"/>
          <w:szCs w:val="20"/>
          <w:lang w:val="es-MX"/>
        </w:rPr>
        <w:t>[…] en atención al principio general de interpretación según el cual donde el legislador no distingue no le es dado hacerlo al interprete, el hecho de que una sociedad con menos de 3 años de constitución haya hecho uso de la referida prerrogativa en determinado proceso de contratación o entidad, no excluye la posibilidad de que dicha sociedad siga haciendo uso del beneficio en otros procesos de contratación adelantados por otras entidades, incluso una vez vencidos los 3 años de constitución, siempre que no hayan cesado los efectos del RUP por el incumplimiento del deber de renovación.</w:t>
      </w:r>
    </w:p>
    <w:p w14:paraId="5726B3AB" w14:textId="77777777" w:rsidR="00BF6183" w:rsidRPr="00221BD4" w:rsidRDefault="00BF6183" w:rsidP="00BF6183">
      <w:pPr>
        <w:spacing w:after="0" w:line="240" w:lineRule="auto"/>
        <w:jc w:val="both"/>
        <w:rPr>
          <w:rFonts w:ascii="Verdana" w:hAnsi="Verdana" w:cs="Arial"/>
          <w:sz w:val="20"/>
          <w:szCs w:val="20"/>
          <w:lang w:val="es-MX"/>
        </w:rPr>
      </w:pPr>
    </w:p>
    <w:p w14:paraId="02C78BC1" w14:textId="77777777" w:rsidR="00BF6183" w:rsidRPr="00AC4498" w:rsidRDefault="00BF6183" w:rsidP="00BF6183">
      <w:pPr>
        <w:spacing w:after="0" w:line="240" w:lineRule="auto"/>
        <w:jc w:val="both"/>
        <w:rPr>
          <w:rFonts w:ascii="Verdana" w:hAnsi="Verdana" w:cs="Arial"/>
          <w:lang w:val="es-MX"/>
        </w:rPr>
      </w:pPr>
      <w:r w:rsidRPr="00AC4498">
        <w:rPr>
          <w:rFonts w:ascii="Verdana" w:hAnsi="Verdana" w:cs="Arial"/>
          <w:b/>
          <w:lang w:val="es-MX"/>
        </w:rPr>
        <w:lastRenderedPageBreak/>
        <w:t>EXPERIENCIA</w:t>
      </w:r>
      <w:r w:rsidRPr="00AC4498">
        <w:rPr>
          <w:rFonts w:ascii="Verdana" w:eastAsia="Calibri" w:hAnsi="Verdana" w:cs="Arial"/>
          <w:b/>
          <w:lang w:val="es-MX"/>
        </w:rPr>
        <w:t xml:space="preserve"> – Retiro del socio − Liquidación de la sociedad – Muerte de uno de los socios – </w:t>
      </w:r>
      <w:r w:rsidRPr="00AC4498">
        <w:rPr>
          <w:rFonts w:ascii="Verdana" w:hAnsi="Verdana" w:cs="Arial"/>
          <w:b/>
          <w:lang w:val="es-MX"/>
        </w:rPr>
        <w:t xml:space="preserve">Sociedades </w:t>
      </w:r>
      <w:r w:rsidRPr="00AC4498">
        <w:rPr>
          <w:rFonts w:ascii="Verdana" w:eastAsia="Calibri" w:hAnsi="Verdana" w:cs="Arial"/>
          <w:b/>
          <w:lang w:val="es-MX"/>
        </w:rPr>
        <w:t>– M</w:t>
      </w:r>
      <w:r w:rsidRPr="00AC4498">
        <w:rPr>
          <w:rFonts w:ascii="Verdana" w:hAnsi="Verdana" w:cs="Arial"/>
          <w:b/>
          <w:lang w:val="es-MX"/>
        </w:rPr>
        <w:t>enor a 3 años de constitución</w:t>
      </w:r>
    </w:p>
    <w:p w14:paraId="3C491C6B" w14:textId="77777777" w:rsidR="00BF6183" w:rsidRPr="00221BD4" w:rsidRDefault="00BF6183" w:rsidP="00BF6183">
      <w:pPr>
        <w:spacing w:after="0" w:line="240" w:lineRule="auto"/>
        <w:ind w:firstLine="709"/>
        <w:jc w:val="both"/>
        <w:rPr>
          <w:rFonts w:ascii="Verdana" w:hAnsi="Verdana" w:cs="Arial"/>
          <w:sz w:val="20"/>
          <w:szCs w:val="20"/>
          <w:lang w:val="es-MX"/>
        </w:rPr>
      </w:pPr>
    </w:p>
    <w:p w14:paraId="5BD3FC47" w14:textId="77777777" w:rsidR="00BF6183" w:rsidRDefault="00BF6183" w:rsidP="00BF6183">
      <w:pPr>
        <w:spacing w:after="0" w:line="240" w:lineRule="auto"/>
        <w:jc w:val="both"/>
        <w:rPr>
          <w:rFonts w:ascii="Verdana" w:hAnsi="Verdana" w:cs="Arial"/>
          <w:sz w:val="20"/>
          <w:szCs w:val="20"/>
          <w:lang w:val="es-MX"/>
        </w:rPr>
      </w:pPr>
      <w:r w:rsidRPr="00221BD4">
        <w:rPr>
          <w:rFonts w:ascii="Verdana" w:hAnsi="Verdana" w:cs="Arial"/>
          <w:sz w:val="20"/>
          <w:szCs w:val="20"/>
          <w:lang w:val="es-MX"/>
        </w:rPr>
        <w:t xml:space="preserve">Sin perjuicio de lo anterior, no debe perderse de vista que el Decreto 1082 de 2015 solo permite que una sociedad acredite la experiencia de quienes tienen la calidad de accionistas, socios o constituyentes durante los primeros tres años de su constitución. Por tanto, si se pierden estas calidades, como sucedería cuando un socio se retira por venta o cesión de su participación y pierde su calidad de socio, ya no sería posible que la sociedad acredite la experiencia aportada por dicha persona. </w:t>
      </w:r>
    </w:p>
    <w:p w14:paraId="6E82249B" w14:textId="77777777" w:rsidR="00BF6183" w:rsidRPr="00221BD4" w:rsidRDefault="00BF6183" w:rsidP="00BF6183">
      <w:pPr>
        <w:spacing w:after="0" w:line="240" w:lineRule="auto"/>
        <w:jc w:val="both"/>
        <w:rPr>
          <w:rFonts w:ascii="Verdana" w:hAnsi="Verdana" w:cs="Arial"/>
          <w:sz w:val="20"/>
          <w:szCs w:val="20"/>
          <w:lang w:val="es-MX"/>
        </w:rPr>
      </w:pPr>
    </w:p>
    <w:p w14:paraId="11C32EF8" w14:textId="77777777" w:rsidR="00BF6183" w:rsidRDefault="00BF6183" w:rsidP="00BF6183">
      <w:pPr>
        <w:pStyle w:val="Textonotapie"/>
        <w:jc w:val="both"/>
        <w:rPr>
          <w:rFonts w:ascii="Verdana" w:hAnsi="Verdana" w:cs="Arial"/>
        </w:rPr>
      </w:pPr>
      <w:r w:rsidRPr="00221BD4">
        <w:rPr>
          <w:rFonts w:ascii="Verdana" w:hAnsi="Verdana" w:cs="Arial"/>
        </w:rPr>
        <w:t>[…]</w:t>
      </w:r>
    </w:p>
    <w:p w14:paraId="07ED9FB6" w14:textId="77777777" w:rsidR="00BF6183" w:rsidRPr="00221BD4" w:rsidRDefault="00BF6183" w:rsidP="00BF6183">
      <w:pPr>
        <w:pStyle w:val="Textonotapie"/>
        <w:jc w:val="both"/>
        <w:rPr>
          <w:rFonts w:ascii="Verdana" w:hAnsi="Verdana" w:cs="Arial"/>
        </w:rPr>
      </w:pPr>
    </w:p>
    <w:p w14:paraId="4214C4C3" w14:textId="77777777" w:rsidR="00BF6183" w:rsidRDefault="00BF6183" w:rsidP="00BF6183">
      <w:pPr>
        <w:pStyle w:val="Textonotapie"/>
        <w:jc w:val="both"/>
        <w:rPr>
          <w:rFonts w:ascii="Verdana" w:hAnsi="Verdana" w:cs="Arial"/>
        </w:rPr>
      </w:pPr>
      <w:r w:rsidRPr="00221BD4">
        <w:rPr>
          <w:rFonts w:ascii="Verdana" w:hAnsi="Verdana" w:cs="Arial"/>
        </w:rPr>
        <w:t xml:space="preserve">Por otra parte, en cuanto a la </w:t>
      </w:r>
      <w:r>
        <w:rPr>
          <w:rFonts w:ascii="Verdana" w:eastAsia="Calibri" w:hAnsi="Verdana" w:cs="Arial"/>
          <w:bCs/>
        </w:rPr>
        <w:t>“</w:t>
      </w:r>
      <w:r w:rsidRPr="00221BD4">
        <w:rPr>
          <w:rFonts w:ascii="Verdana" w:eastAsia="Calibri" w:hAnsi="Verdana" w:cs="Arial"/>
          <w:bCs/>
        </w:rPr>
        <w:t>liquidación</w:t>
      </w:r>
      <w:r>
        <w:rPr>
          <w:rFonts w:ascii="Verdana" w:eastAsia="Calibri" w:hAnsi="Verdana" w:cs="Arial"/>
          <w:bCs/>
        </w:rPr>
        <w:t>”</w:t>
      </w:r>
      <w:r w:rsidRPr="00221BD4">
        <w:rPr>
          <w:rFonts w:ascii="Verdana" w:eastAsia="Calibri" w:hAnsi="Verdana" w:cs="Arial"/>
          <w:bCs/>
        </w:rPr>
        <w:t xml:space="preserve"> de las sociedades comerciales, esta subdirección en los conceptos </w:t>
      </w:r>
      <w:r w:rsidRPr="00221BD4">
        <w:rPr>
          <w:rFonts w:ascii="Verdana" w:hAnsi="Verdana" w:cs="Arial"/>
        </w:rPr>
        <w:t xml:space="preserve">C-051 del </w:t>
      </w:r>
      <w:r w:rsidRPr="00221BD4">
        <w:rPr>
          <w:rFonts w:ascii="Verdana" w:hAnsi="Verdana" w:cs="Arial"/>
          <w:color w:val="000000" w:themeColor="text1"/>
        </w:rPr>
        <w:t xml:space="preserve">02 de marzo de 2020, C-491 del </w:t>
      </w:r>
      <w:r w:rsidRPr="00221BD4">
        <w:rPr>
          <w:rFonts w:ascii="Verdana" w:hAnsi="Verdana" w:cs="Arial"/>
          <w:color w:val="000000"/>
          <w:lang w:val="es-CO"/>
        </w:rPr>
        <w:t xml:space="preserve">27 de julio y C-584 del 31 de agosto de 2020, </w:t>
      </w:r>
      <w:r w:rsidRPr="00221BD4">
        <w:rPr>
          <w:rFonts w:ascii="Verdana" w:eastAsia="Calibri" w:hAnsi="Verdana" w:cs="Arial"/>
          <w:bCs/>
        </w:rPr>
        <w:t xml:space="preserve">ha indicado que, el Código de Comercio señala el procedimiento para realizar el inventario y distribución del patrimonio social, de lo cual se infiere que termina la persona jurídica, y la experiencia desaparece junto con la sociedad que la adquirió. Lo propio pasa con la muerte de uno de los socios, dado que, </w:t>
      </w:r>
      <w:r w:rsidRPr="00221BD4">
        <w:rPr>
          <w:rFonts w:ascii="Verdana" w:hAnsi="Verdana" w:cs="Arial"/>
          <w:lang w:val="es-ES"/>
        </w:rPr>
        <w:t>será jurídicamente inviable pretender que la experiencia de un sujeto que no existe sea transferida. Las situaciones mencionadas con anterioridad no es posible aplicar</w:t>
      </w:r>
      <w:r w:rsidRPr="00221BD4">
        <w:rPr>
          <w:rFonts w:ascii="Verdana" w:hAnsi="Verdana" w:cs="Arial"/>
        </w:rPr>
        <w:t xml:space="preserve"> el numeral 2.5 del artículo 2.2.1.1.1.5.2 del Decreto 1082 de 2015.</w:t>
      </w:r>
    </w:p>
    <w:p w14:paraId="31CD36CC" w14:textId="77777777" w:rsidR="00BF6183" w:rsidRPr="00221BD4" w:rsidRDefault="00BF6183" w:rsidP="00BF6183">
      <w:pPr>
        <w:pStyle w:val="Textonotapie"/>
        <w:jc w:val="both"/>
        <w:rPr>
          <w:rFonts w:ascii="Verdana" w:hAnsi="Verdana" w:cs="Arial"/>
        </w:rPr>
      </w:pPr>
    </w:p>
    <w:p w14:paraId="28BBEE4D" w14:textId="77777777" w:rsidR="00BF6183" w:rsidRPr="002C0402" w:rsidRDefault="00BF6183" w:rsidP="00BF6183">
      <w:pPr>
        <w:spacing w:after="0" w:line="240" w:lineRule="auto"/>
        <w:jc w:val="both"/>
        <w:textAlignment w:val="baseline"/>
        <w:rPr>
          <w:rFonts w:ascii="Verdana" w:hAnsi="Verdana" w:cs="Arial"/>
          <w:bCs/>
          <w:sz w:val="20"/>
          <w:szCs w:val="20"/>
          <w:lang w:val="es-ES_tradnl" w:eastAsia="es-CO"/>
        </w:rPr>
      </w:pPr>
      <w:r w:rsidRPr="00221BD4">
        <w:rPr>
          <w:rFonts w:ascii="Verdana" w:hAnsi="Verdana" w:cs="Arial"/>
          <w:sz w:val="20"/>
          <w:szCs w:val="20"/>
          <w:lang w:val="es-MX"/>
        </w:rPr>
        <w:t>Lo anterior se fundamenta, como se explicó en líneas atrás, en el carácter personalísimo de la experiencia respecto de la persona que la ha adquirido y que solo en casos excepcionales y por disposición legal o reglamentaria se presume de otra forma. Por lo tanto, no es posible trasladar la experiencia de un proponente a otro, excepto cuando una sociedad es de reciente creación.</w:t>
      </w:r>
      <w:r w:rsidRPr="00DD4729">
        <w:rPr>
          <w:rFonts w:ascii="Arial" w:hAnsi="Arial" w:cs="Arial"/>
          <w:sz w:val="20"/>
          <w:szCs w:val="20"/>
          <w:lang w:val="es-MX"/>
        </w:rPr>
        <w:t xml:space="preserve"> </w:t>
      </w:r>
      <w:r w:rsidRPr="002C0402">
        <w:rPr>
          <w:rFonts w:ascii="Verdana" w:hAnsi="Verdana" w:cs="Arial"/>
          <w:bCs/>
          <w:sz w:val="20"/>
          <w:szCs w:val="20"/>
          <w:lang w:val="es-ES_tradnl" w:eastAsia="es-CO"/>
        </w:rPr>
        <w:t xml:space="preserve">  </w:t>
      </w:r>
    </w:p>
    <w:p w14:paraId="4CB1D0AC" w14:textId="77777777" w:rsidR="00BF6183" w:rsidRDefault="00BF6183" w:rsidP="00BF6183">
      <w:pPr>
        <w:spacing w:after="0" w:line="240" w:lineRule="auto"/>
        <w:rPr>
          <w:rFonts w:ascii="Verdana" w:eastAsia="Calibri" w:hAnsi="Verdana" w:cs="Arial"/>
          <w:b/>
          <w:color w:val="000000" w:themeColor="text1"/>
          <w:lang w:val="es-ES"/>
        </w:rPr>
      </w:pPr>
    </w:p>
    <w:p w14:paraId="5C9F2203" w14:textId="77777777" w:rsidR="00BF6183" w:rsidRDefault="00BF6183" w:rsidP="00BF6183">
      <w:pPr>
        <w:spacing w:after="0" w:line="240" w:lineRule="auto"/>
        <w:rPr>
          <w:rFonts w:ascii="Verdana" w:eastAsia="Calibri" w:hAnsi="Verdana" w:cs="Arial"/>
          <w:b/>
          <w:color w:val="000000" w:themeColor="text1"/>
          <w:lang w:val="es-ES"/>
        </w:rPr>
      </w:pPr>
    </w:p>
    <w:p w14:paraId="5FE8AA86" w14:textId="77777777" w:rsidR="00BF6183" w:rsidRDefault="00BF6183" w:rsidP="00BF6183">
      <w:pPr>
        <w:spacing w:after="0" w:line="240" w:lineRule="auto"/>
        <w:rPr>
          <w:rFonts w:ascii="Verdana" w:eastAsia="Calibri" w:hAnsi="Verdana" w:cs="Arial"/>
          <w:b/>
          <w:color w:val="000000" w:themeColor="text1"/>
          <w:lang w:val="es-ES"/>
        </w:rPr>
      </w:pPr>
    </w:p>
    <w:p w14:paraId="7BE2C3EC" w14:textId="77777777" w:rsidR="00BF6183" w:rsidRDefault="00BF6183" w:rsidP="00BF6183">
      <w:pPr>
        <w:spacing w:after="0" w:line="240" w:lineRule="auto"/>
        <w:rPr>
          <w:rFonts w:ascii="Verdana" w:eastAsia="Calibri" w:hAnsi="Verdana" w:cs="Arial"/>
          <w:b/>
          <w:color w:val="000000" w:themeColor="text1"/>
          <w:lang w:val="es-ES"/>
        </w:rPr>
      </w:pPr>
    </w:p>
    <w:p w14:paraId="45832E7E" w14:textId="77777777" w:rsidR="00BF6183" w:rsidRDefault="00BF6183" w:rsidP="00BF6183">
      <w:pPr>
        <w:spacing w:after="0" w:line="240" w:lineRule="auto"/>
        <w:rPr>
          <w:rFonts w:ascii="Verdana" w:eastAsia="Calibri" w:hAnsi="Verdana" w:cs="Arial"/>
          <w:b/>
          <w:color w:val="000000" w:themeColor="text1"/>
          <w:lang w:val="es-ES"/>
        </w:rPr>
      </w:pPr>
    </w:p>
    <w:p w14:paraId="549B780E" w14:textId="77777777" w:rsidR="00BF6183" w:rsidRDefault="00BF6183" w:rsidP="00BF6183">
      <w:pPr>
        <w:spacing w:after="0" w:line="240" w:lineRule="auto"/>
        <w:rPr>
          <w:rFonts w:ascii="Verdana" w:eastAsia="Calibri" w:hAnsi="Verdana" w:cs="Arial"/>
          <w:b/>
          <w:color w:val="000000" w:themeColor="text1"/>
          <w:lang w:val="es-ES"/>
        </w:rPr>
      </w:pPr>
    </w:p>
    <w:p w14:paraId="6B599A95" w14:textId="77777777" w:rsidR="00BF6183" w:rsidRDefault="00BF6183" w:rsidP="00BF6183">
      <w:pPr>
        <w:spacing w:after="0" w:line="240" w:lineRule="auto"/>
        <w:rPr>
          <w:rFonts w:ascii="Verdana" w:eastAsia="Calibri" w:hAnsi="Verdana" w:cs="Arial"/>
          <w:b/>
          <w:color w:val="000000" w:themeColor="text1"/>
          <w:lang w:val="es-ES"/>
        </w:rPr>
      </w:pPr>
    </w:p>
    <w:p w14:paraId="678C3CBD" w14:textId="77777777" w:rsidR="00BF6183" w:rsidRDefault="00BF6183" w:rsidP="00BF6183">
      <w:pPr>
        <w:spacing w:after="0" w:line="240" w:lineRule="auto"/>
        <w:rPr>
          <w:rFonts w:ascii="Verdana" w:eastAsia="Calibri" w:hAnsi="Verdana" w:cs="Arial"/>
          <w:b/>
          <w:color w:val="000000" w:themeColor="text1"/>
          <w:lang w:val="es-ES"/>
        </w:rPr>
      </w:pPr>
    </w:p>
    <w:p w14:paraId="0A030D2F" w14:textId="77777777" w:rsidR="00BF6183" w:rsidRDefault="00BF6183" w:rsidP="00BF6183">
      <w:pPr>
        <w:spacing w:after="0" w:line="240" w:lineRule="auto"/>
        <w:rPr>
          <w:rFonts w:ascii="Verdana" w:eastAsia="Calibri" w:hAnsi="Verdana" w:cs="Arial"/>
          <w:b/>
          <w:color w:val="000000" w:themeColor="text1"/>
          <w:lang w:val="es-ES"/>
        </w:rPr>
      </w:pPr>
    </w:p>
    <w:p w14:paraId="321D747B" w14:textId="77777777" w:rsidR="00BF6183" w:rsidRDefault="00BF6183" w:rsidP="00BF6183">
      <w:pPr>
        <w:spacing w:after="0" w:line="240" w:lineRule="auto"/>
        <w:rPr>
          <w:rFonts w:ascii="Verdana" w:eastAsia="Calibri" w:hAnsi="Verdana" w:cs="Arial"/>
          <w:b/>
          <w:color w:val="000000" w:themeColor="text1"/>
          <w:lang w:val="es-ES"/>
        </w:rPr>
      </w:pPr>
    </w:p>
    <w:p w14:paraId="2F0A5333" w14:textId="77777777" w:rsidR="00BF6183" w:rsidRDefault="00BF6183" w:rsidP="00BF6183">
      <w:pPr>
        <w:spacing w:after="0" w:line="240" w:lineRule="auto"/>
        <w:rPr>
          <w:rFonts w:ascii="Verdana" w:eastAsia="Calibri" w:hAnsi="Verdana" w:cs="Arial"/>
          <w:b/>
          <w:color w:val="000000" w:themeColor="text1"/>
          <w:lang w:val="es-ES"/>
        </w:rPr>
      </w:pPr>
    </w:p>
    <w:p w14:paraId="3A268E10" w14:textId="77777777" w:rsidR="00BF6183" w:rsidRDefault="00BF6183" w:rsidP="00BF6183">
      <w:pPr>
        <w:spacing w:after="0" w:line="240" w:lineRule="auto"/>
        <w:rPr>
          <w:rFonts w:ascii="Verdana" w:eastAsia="Calibri" w:hAnsi="Verdana" w:cs="Arial"/>
          <w:b/>
          <w:color w:val="000000" w:themeColor="text1"/>
          <w:lang w:val="es-ES"/>
        </w:rPr>
      </w:pPr>
    </w:p>
    <w:p w14:paraId="7424E10A" w14:textId="77777777" w:rsidR="00BF6183" w:rsidRDefault="00BF6183" w:rsidP="00BF6183">
      <w:pPr>
        <w:spacing w:after="0" w:line="240" w:lineRule="auto"/>
        <w:rPr>
          <w:rFonts w:ascii="Verdana" w:eastAsia="Calibri" w:hAnsi="Verdana" w:cs="Arial"/>
          <w:b/>
          <w:color w:val="000000" w:themeColor="text1"/>
          <w:lang w:val="es-ES"/>
        </w:rPr>
      </w:pPr>
    </w:p>
    <w:p w14:paraId="45DA25AF" w14:textId="77777777" w:rsidR="00BF6183" w:rsidRDefault="00BF6183" w:rsidP="00BF6183">
      <w:pPr>
        <w:spacing w:after="0" w:line="240" w:lineRule="auto"/>
        <w:rPr>
          <w:rFonts w:ascii="Verdana" w:eastAsia="Calibri" w:hAnsi="Verdana" w:cs="Arial"/>
          <w:b/>
          <w:color w:val="000000" w:themeColor="text1"/>
          <w:lang w:val="es-ES"/>
        </w:rPr>
      </w:pPr>
    </w:p>
    <w:p w14:paraId="144131B6" w14:textId="77777777" w:rsidR="00BF6183" w:rsidRDefault="00BF6183" w:rsidP="00532CDC">
      <w:pPr>
        <w:spacing w:after="0" w:line="240" w:lineRule="auto"/>
        <w:rPr>
          <w:rFonts w:ascii="Verdana" w:eastAsia="Calibri" w:hAnsi="Verdana" w:cs="Arial"/>
          <w:b/>
          <w:color w:val="000000" w:themeColor="text1"/>
          <w:lang w:val="es-ES"/>
        </w:rPr>
      </w:pPr>
    </w:p>
    <w:p w14:paraId="3A2BA005" w14:textId="77777777" w:rsidR="00BF6183" w:rsidRPr="00BF6183" w:rsidRDefault="00BF6183" w:rsidP="00532CDC">
      <w:pPr>
        <w:spacing w:after="0" w:line="240" w:lineRule="auto"/>
        <w:rPr>
          <w:rFonts w:ascii="Verdana" w:eastAsia="Geomanist Light" w:hAnsi="Verdana" w:cs="Arial"/>
          <w:color w:val="000000" w:themeColor="text1"/>
          <w:lang w:val="es-ES"/>
        </w:rPr>
      </w:pPr>
    </w:p>
    <w:p w14:paraId="7DE7934D" w14:textId="77777777" w:rsidR="00BF6183" w:rsidRDefault="00BF6183" w:rsidP="00532CDC">
      <w:pPr>
        <w:spacing w:after="0" w:line="240" w:lineRule="auto"/>
        <w:rPr>
          <w:rFonts w:ascii="Verdana" w:eastAsia="Geomanist Light" w:hAnsi="Verdana" w:cs="Arial"/>
          <w:color w:val="000000" w:themeColor="text1"/>
          <w:lang w:val="es-MX"/>
        </w:rPr>
      </w:pPr>
    </w:p>
    <w:p w14:paraId="7EF2F796" w14:textId="43849C55" w:rsidR="00105F0E" w:rsidRPr="00532CDC" w:rsidRDefault="00105F0E" w:rsidP="00532CDC">
      <w:pPr>
        <w:spacing w:after="0" w:line="240" w:lineRule="auto"/>
        <w:rPr>
          <w:rFonts w:ascii="Verdana" w:eastAsia="Geomanist Light" w:hAnsi="Verdana" w:cs="Arial"/>
          <w:color w:val="201F1E"/>
          <w:lang w:val="es-MX"/>
        </w:rPr>
      </w:pPr>
      <w:r w:rsidRPr="00532CDC">
        <w:rPr>
          <w:rFonts w:ascii="Verdana" w:eastAsia="Geomanist Light" w:hAnsi="Verdana" w:cs="Arial"/>
          <w:color w:val="000000" w:themeColor="text1"/>
          <w:lang w:val="es-MX"/>
        </w:rPr>
        <w:lastRenderedPageBreak/>
        <w:t>Bogotá D.C., </w:t>
      </w:r>
      <w:r w:rsidR="00A450E7" w:rsidRPr="00A450E7">
        <w:rPr>
          <w:rFonts w:ascii="Verdana" w:eastAsia="Geomanist Light" w:hAnsi="Verdana" w:cs="Arial"/>
          <w:color w:val="000000" w:themeColor="text1"/>
          <w:lang w:val="es-MX"/>
        </w:rPr>
        <w:t xml:space="preserve">14 de </w:t>
      </w:r>
      <w:r w:rsidR="00987A53" w:rsidRPr="00A450E7">
        <w:rPr>
          <w:rFonts w:ascii="Verdana" w:eastAsia="Geomanist Light" w:hAnsi="Verdana" w:cs="Arial"/>
          <w:color w:val="000000" w:themeColor="text1"/>
          <w:lang w:val="es-MX"/>
        </w:rPr>
        <w:t>mayo</w:t>
      </w:r>
      <w:r w:rsidR="00A450E7" w:rsidRPr="00A450E7">
        <w:rPr>
          <w:rFonts w:ascii="Verdana" w:eastAsia="Geomanist Light" w:hAnsi="Verdana" w:cs="Arial"/>
          <w:color w:val="000000" w:themeColor="text1"/>
          <w:lang w:val="es-MX"/>
        </w:rPr>
        <w:t xml:space="preserve"> de 2026</w:t>
      </w:r>
    </w:p>
    <w:p w14:paraId="4A112EF3" w14:textId="77777777" w:rsidR="00105F0E" w:rsidRDefault="00105F0E" w:rsidP="00532CDC">
      <w:pPr>
        <w:spacing w:after="0" w:line="240" w:lineRule="auto"/>
        <w:jc w:val="both"/>
        <w:rPr>
          <w:rFonts w:ascii="Verdana" w:eastAsia="Calibri" w:hAnsi="Verdana" w:cs="Arial"/>
          <w:color w:val="000000"/>
          <w:lang w:val="es-MX"/>
        </w:rPr>
      </w:pPr>
    </w:p>
    <w:p w14:paraId="6081E35B" w14:textId="65AB21AA" w:rsidR="00A450E7" w:rsidRPr="00A450E7" w:rsidRDefault="00A450E7" w:rsidP="00A450E7">
      <w:pPr>
        <w:spacing w:after="0" w:line="240" w:lineRule="auto"/>
        <w:jc w:val="right"/>
        <w:rPr>
          <w:rFonts w:ascii="Verdana" w:eastAsia="Calibri" w:hAnsi="Verdana" w:cs="Arial"/>
          <w:color w:val="000000"/>
          <w:lang w:val="es-MX"/>
        </w:rPr>
      </w:pPr>
    </w:p>
    <w:p w14:paraId="10430B0E" w14:textId="77777777" w:rsidR="00105F0E" w:rsidRPr="00532CDC" w:rsidRDefault="00105F0E" w:rsidP="00532CDC">
      <w:pPr>
        <w:spacing w:after="0" w:line="240" w:lineRule="auto"/>
        <w:jc w:val="both"/>
        <w:rPr>
          <w:rFonts w:ascii="Verdana" w:eastAsia="Calibri" w:hAnsi="Verdana" w:cs="Arial"/>
          <w:color w:val="000000"/>
          <w:lang w:val="es-ES"/>
        </w:rPr>
      </w:pPr>
    </w:p>
    <w:p w14:paraId="770BC557" w14:textId="469C5C58" w:rsidR="00105F0E" w:rsidRPr="00532CDC" w:rsidRDefault="00987A53" w:rsidP="00532CDC">
      <w:pPr>
        <w:spacing w:after="0" w:line="240" w:lineRule="auto"/>
        <w:jc w:val="both"/>
        <w:rPr>
          <w:rFonts w:ascii="Verdana" w:eastAsia="Calibri" w:hAnsi="Verdana" w:cs="Arial"/>
          <w:lang w:val="es-ES" w:eastAsia="es-ES"/>
        </w:rPr>
      </w:pPr>
      <w:r w:rsidRPr="00A450E7">
        <w:rPr>
          <w:rFonts w:ascii="Verdana" w:eastAsia="Calibri" w:hAnsi="Verdana" w:cs="Arial"/>
          <w:noProof/>
          <w:color w:val="000000"/>
          <w:lang w:val="es-MX"/>
        </w:rPr>
        <w:drawing>
          <wp:anchor distT="0" distB="0" distL="114300" distR="114300" simplePos="0" relativeHeight="251659264" behindDoc="0" locked="0" layoutInCell="1" allowOverlap="1" wp14:anchorId="426C9473" wp14:editId="778F6F10">
            <wp:simplePos x="0" y="0"/>
            <wp:positionH relativeFrom="margin">
              <wp:align>right</wp:align>
            </wp:positionH>
            <wp:positionV relativeFrom="paragraph">
              <wp:posOffset>5715</wp:posOffset>
            </wp:positionV>
            <wp:extent cx="2400300" cy="826770"/>
            <wp:effectExtent l="0" t="0" r="0" b="0"/>
            <wp:wrapSquare wrapText="bothSides"/>
            <wp:docPr id="157419193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4191938" name=""/>
                    <pic:cNvPicPr/>
                  </pic:nvPicPr>
                  <pic:blipFill>
                    <a:blip r:embed="rId10">
                      <a:extLst>
                        <a:ext uri="{28A0092B-C50C-407E-A947-70E740481C1C}">
                          <a14:useLocalDpi xmlns:a14="http://schemas.microsoft.com/office/drawing/2010/main" val="0"/>
                        </a:ext>
                      </a:extLst>
                    </a:blip>
                    <a:stretch>
                      <a:fillRect/>
                    </a:stretch>
                  </pic:blipFill>
                  <pic:spPr>
                    <a:xfrm>
                      <a:off x="0" y="0"/>
                      <a:ext cx="2400300" cy="826770"/>
                    </a:xfrm>
                    <a:prstGeom prst="rect">
                      <a:avLst/>
                    </a:prstGeom>
                  </pic:spPr>
                </pic:pic>
              </a:graphicData>
            </a:graphic>
            <wp14:sizeRelV relativeFrom="margin">
              <wp14:pctHeight>0</wp14:pctHeight>
            </wp14:sizeRelV>
          </wp:anchor>
        </w:drawing>
      </w:r>
      <w:r w:rsidR="00105F0E" w:rsidRPr="00532CDC">
        <w:rPr>
          <w:rFonts w:ascii="Verdana" w:eastAsia="Calibri" w:hAnsi="Verdana" w:cs="Arial"/>
          <w:lang w:val="es-ES" w:eastAsia="es-ES"/>
        </w:rPr>
        <w:t>Señor</w:t>
      </w:r>
    </w:p>
    <w:p w14:paraId="199E8FB9" w14:textId="77777777" w:rsidR="00105F0E" w:rsidRPr="00532CDC" w:rsidRDefault="00105F0E" w:rsidP="00532CDC">
      <w:pPr>
        <w:spacing w:after="0" w:line="240" w:lineRule="auto"/>
        <w:rPr>
          <w:rFonts w:ascii="Verdana" w:eastAsia="Calibri" w:hAnsi="Verdana" w:cs="Arial"/>
          <w:b/>
          <w:lang w:val="es-ES_tradnl" w:eastAsia="es-ES_tradnl"/>
        </w:rPr>
      </w:pPr>
      <w:r w:rsidRPr="00532CDC">
        <w:rPr>
          <w:rFonts w:ascii="Verdana" w:eastAsia="Calibri" w:hAnsi="Verdana" w:cs="Arial"/>
          <w:b/>
          <w:lang w:val="es-ES_tradnl" w:eastAsia="es-ES_tradnl"/>
        </w:rPr>
        <w:t xml:space="preserve">Abelardo Meza Herazo </w:t>
      </w:r>
    </w:p>
    <w:p w14:paraId="72FC5C15" w14:textId="77777777" w:rsidR="00105F0E" w:rsidRPr="00532CDC" w:rsidRDefault="00105F0E" w:rsidP="00532CDC">
      <w:pPr>
        <w:spacing w:after="0" w:line="240" w:lineRule="auto"/>
        <w:rPr>
          <w:rFonts w:ascii="Verdana" w:eastAsia="Calibri" w:hAnsi="Verdana" w:cs="Arial"/>
          <w:lang w:val="es-ES" w:eastAsia="es-ES"/>
        </w:rPr>
      </w:pPr>
      <w:hyperlink r:id="rId11" w:history="1">
        <w:r w:rsidRPr="00532CDC">
          <w:rPr>
            <w:rStyle w:val="Hipervnculo"/>
            <w:rFonts w:ascii="Verdana" w:hAnsi="Verdana"/>
          </w:rPr>
          <w:t>notificaciones.veefuncicaribe@gmail.com</w:t>
        </w:r>
      </w:hyperlink>
      <w:r w:rsidRPr="00532CDC">
        <w:rPr>
          <w:rFonts w:ascii="Verdana" w:hAnsi="Verdana"/>
        </w:rPr>
        <w:t xml:space="preserve">                     </w:t>
      </w:r>
      <w:r w:rsidRPr="00532CDC">
        <w:rPr>
          <w:rFonts w:ascii="Verdana" w:eastAsia="Calibri" w:hAnsi="Verdana" w:cs="Arial"/>
          <w:lang w:val="es-ES" w:eastAsia="es-ES"/>
        </w:rPr>
        <w:t xml:space="preserve">    </w:t>
      </w:r>
    </w:p>
    <w:p w14:paraId="56659474" w14:textId="77777777" w:rsidR="00105F0E" w:rsidRPr="00532CDC" w:rsidRDefault="00105F0E" w:rsidP="00532CDC">
      <w:pPr>
        <w:spacing w:after="0" w:line="240" w:lineRule="auto"/>
        <w:rPr>
          <w:rFonts w:ascii="Verdana" w:eastAsia="Calibri" w:hAnsi="Verdana" w:cs="Arial"/>
          <w:lang w:val="es-ES" w:eastAsia="es-ES"/>
        </w:rPr>
      </w:pPr>
      <w:r w:rsidRPr="00532CDC">
        <w:rPr>
          <w:rFonts w:ascii="Verdana" w:eastAsia="Calibri" w:hAnsi="Verdana" w:cs="Arial"/>
          <w:lang w:val="es-ES" w:eastAsia="es-ES"/>
        </w:rPr>
        <w:t xml:space="preserve">Cartagena de Indias, Bolívar </w:t>
      </w:r>
    </w:p>
    <w:p w14:paraId="11FD0587" w14:textId="77777777" w:rsidR="00105F0E" w:rsidRPr="00532CDC" w:rsidRDefault="00105F0E" w:rsidP="00532CDC">
      <w:pPr>
        <w:spacing w:after="0" w:line="240" w:lineRule="auto"/>
        <w:rPr>
          <w:rFonts w:ascii="Verdana" w:eastAsia="Calibri" w:hAnsi="Verdana" w:cs="Arial"/>
          <w:b/>
          <w:bCs/>
          <w:color w:val="000000"/>
          <w:lang w:val="es-ES_tradnl" w:eastAsia="es-ES_tradnl"/>
        </w:rPr>
      </w:pPr>
    </w:p>
    <w:p w14:paraId="32C9C849" w14:textId="77777777" w:rsidR="00105F0E" w:rsidRPr="00532CDC" w:rsidRDefault="00105F0E" w:rsidP="00532CDC">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05F0E" w:rsidRPr="00532CDC" w14:paraId="0A3D88ED" w14:textId="77777777" w:rsidTr="004261E3">
        <w:trPr>
          <w:trHeight w:val="170"/>
        </w:trPr>
        <w:tc>
          <w:tcPr>
            <w:tcW w:w="2689" w:type="dxa"/>
          </w:tcPr>
          <w:p w14:paraId="021573DC" w14:textId="77777777" w:rsidR="00105F0E" w:rsidRPr="00532CDC" w:rsidRDefault="00105F0E" w:rsidP="00532CDC">
            <w:pPr>
              <w:jc w:val="both"/>
              <w:rPr>
                <w:rFonts w:ascii="Verdana" w:eastAsia="Calibri" w:hAnsi="Verdana" w:cs="Arial"/>
                <w:b/>
                <w:bCs/>
                <w:color w:val="7030A0"/>
                <w:lang w:val="es-ES_tradnl" w:eastAsia="es-ES_tradnl"/>
              </w:rPr>
            </w:pPr>
          </w:p>
        </w:tc>
        <w:tc>
          <w:tcPr>
            <w:tcW w:w="6100" w:type="dxa"/>
          </w:tcPr>
          <w:p w14:paraId="45B6BAD9" w14:textId="29AE0E7C" w:rsidR="00105F0E" w:rsidRDefault="00105F0E" w:rsidP="00532CDC">
            <w:pPr>
              <w:jc w:val="both"/>
              <w:rPr>
                <w:rFonts w:ascii="Verdana" w:eastAsia="Calibri" w:hAnsi="Verdana" w:cs="Arial"/>
                <w:b/>
                <w:bCs/>
                <w:lang w:val="es-ES" w:eastAsia="es-ES"/>
              </w:rPr>
            </w:pPr>
            <w:r w:rsidRPr="00532CDC">
              <w:rPr>
                <w:rFonts w:ascii="Verdana" w:eastAsia="Calibri" w:hAnsi="Verdana" w:cs="Arial"/>
                <w:b/>
                <w:bCs/>
                <w:lang w:val="es-ES" w:eastAsia="es-ES"/>
              </w:rPr>
              <w:t>Concepto C</w:t>
            </w:r>
            <w:r w:rsidR="00987A53">
              <w:rPr>
                <w:rFonts w:ascii="Verdana" w:eastAsia="Calibri" w:hAnsi="Verdana" w:cs="Arial"/>
                <w:b/>
                <w:bCs/>
                <w:lang w:val="es-ES" w:eastAsia="es-ES"/>
              </w:rPr>
              <w:t>-</w:t>
            </w:r>
            <w:r w:rsidR="00431DEE">
              <w:rPr>
                <w:rFonts w:ascii="Verdana" w:eastAsia="Calibri" w:hAnsi="Verdana" w:cs="Arial"/>
                <w:b/>
                <w:bCs/>
                <w:lang w:val="es-ES" w:eastAsia="es-ES"/>
              </w:rPr>
              <w:t>5</w:t>
            </w:r>
            <w:r w:rsidR="00AC24CA" w:rsidRPr="00532CDC">
              <w:rPr>
                <w:rFonts w:ascii="Verdana" w:eastAsia="Calibri" w:hAnsi="Verdana" w:cs="Arial"/>
                <w:b/>
                <w:bCs/>
                <w:lang w:val="es-ES" w:eastAsia="es-ES"/>
              </w:rPr>
              <w:t xml:space="preserve">85 </w:t>
            </w:r>
            <w:r w:rsidRPr="00532CDC">
              <w:rPr>
                <w:rFonts w:ascii="Verdana" w:eastAsia="Calibri" w:hAnsi="Verdana" w:cs="Arial"/>
                <w:b/>
                <w:bCs/>
                <w:lang w:val="es-ES" w:eastAsia="es-ES"/>
              </w:rPr>
              <w:t>de 2026</w:t>
            </w:r>
          </w:p>
          <w:p w14:paraId="0C0A8283" w14:textId="4D4DCEA5" w:rsidR="00532CDC" w:rsidRPr="00532CDC" w:rsidRDefault="00532CDC" w:rsidP="00532CDC">
            <w:pPr>
              <w:jc w:val="both"/>
              <w:rPr>
                <w:rFonts w:ascii="Verdana" w:eastAsia="Calibri" w:hAnsi="Verdana" w:cs="Arial"/>
                <w:b/>
                <w:bCs/>
                <w:color w:val="7030A0"/>
                <w:lang w:val="es-ES" w:eastAsia="es-ES"/>
              </w:rPr>
            </w:pPr>
          </w:p>
        </w:tc>
      </w:tr>
      <w:tr w:rsidR="00105F0E" w:rsidRPr="00532CDC" w14:paraId="485916A8" w14:textId="77777777" w:rsidTr="00A705BD">
        <w:trPr>
          <w:trHeight w:val="884"/>
        </w:trPr>
        <w:tc>
          <w:tcPr>
            <w:tcW w:w="2689" w:type="dxa"/>
          </w:tcPr>
          <w:p w14:paraId="75BAB271" w14:textId="77777777" w:rsidR="00105F0E" w:rsidRPr="00532CDC" w:rsidRDefault="00105F0E" w:rsidP="00532CDC">
            <w:pPr>
              <w:jc w:val="both"/>
              <w:rPr>
                <w:rFonts w:ascii="Verdana" w:eastAsia="Calibri" w:hAnsi="Verdana" w:cs="Arial"/>
                <w:color w:val="000000"/>
                <w:lang w:val="es-ES_tradnl" w:eastAsia="es-ES_tradnl"/>
              </w:rPr>
            </w:pPr>
            <w:r w:rsidRPr="00532CDC">
              <w:rPr>
                <w:rFonts w:ascii="Verdana" w:eastAsia="Calibri" w:hAnsi="Verdana" w:cs="Arial"/>
                <w:b/>
                <w:color w:val="000000"/>
                <w:lang w:val="es-ES_tradnl" w:eastAsia="es-ES_tradnl"/>
              </w:rPr>
              <w:t>Temas:</w:t>
            </w:r>
            <w:r w:rsidRPr="00532CDC">
              <w:rPr>
                <w:rFonts w:ascii="Verdana" w:eastAsia="Calibri" w:hAnsi="Verdana" w:cs="Arial"/>
                <w:color w:val="000000"/>
                <w:lang w:val="es-ES_tradnl" w:eastAsia="es-ES_tradnl"/>
              </w:rPr>
              <w:t xml:space="preserve">                   </w:t>
            </w:r>
          </w:p>
        </w:tc>
        <w:tc>
          <w:tcPr>
            <w:tcW w:w="6100" w:type="dxa"/>
          </w:tcPr>
          <w:p w14:paraId="165C9F81" w14:textId="77777777" w:rsidR="00105F0E" w:rsidRPr="00532CDC" w:rsidRDefault="00105F0E" w:rsidP="004261E3">
            <w:pPr>
              <w:jc w:val="both"/>
              <w:rPr>
                <w:rFonts w:ascii="Verdana" w:eastAsia="Calibri" w:hAnsi="Verdana" w:cs="Arial"/>
                <w:lang w:val="es-ES" w:eastAsia="es-ES"/>
              </w:rPr>
            </w:pPr>
            <w:r w:rsidRPr="00532CDC">
              <w:rPr>
                <w:rFonts w:ascii="Verdana" w:eastAsia="Calibri" w:hAnsi="Verdana" w:cs="Arial"/>
                <w:lang w:val="es-ES" w:eastAsia="es-ES"/>
              </w:rPr>
              <w:t xml:space="preserve">CONCEPTOS DE COLOMBIA COMPRA EFICIENTE – Obligatoriedad / FUNCIÓN CONSULTIVA – Alcance / CONCEPTOS DE COLOMBIA COMPRA EFICIENTE – Revocación directa – Improcedencia / FUNCIÓN CONSULTIVA – Objeto / </w:t>
            </w:r>
            <w:r w:rsidRPr="00532CDC">
              <w:rPr>
                <w:rFonts w:ascii="Verdana" w:eastAsia="Calibri" w:hAnsi="Verdana" w:cs="Arial"/>
                <w:bCs/>
                <w:lang w:val="es-MX" w:eastAsia="es-ES"/>
              </w:rPr>
              <w:t>EXPERIENCIA − Noción − Colombia Compra Eficiente / SOCIEDADES NUEVAS ‒ Experiencia ‒ Inferior a tres años ‒ Requisitos habilitantes ‒ Desarrollo de la empresa/ EXPERIENCIA ‒ Conservación ‒ Renovación RUP ‒ Cesación efectos RUP / EXPERIENCIA – Conservación – Sociedades – Menor a 3 años de constitución / EXPERIENCIA – Retiro del socio − Sociedades – Menor a 3 años de constitución</w:t>
            </w:r>
            <w:r w:rsidRPr="00532CDC">
              <w:rPr>
                <w:rFonts w:ascii="Verdana" w:eastAsia="Calibri" w:hAnsi="Verdana" w:cs="Arial"/>
                <w:lang w:val="es-ES" w:eastAsia="es-ES"/>
              </w:rPr>
              <w:t xml:space="preserve">                   </w:t>
            </w:r>
          </w:p>
          <w:p w14:paraId="7A5FCD6F" w14:textId="77777777" w:rsidR="00105F0E" w:rsidRPr="00532CDC" w:rsidRDefault="00105F0E" w:rsidP="004261E3">
            <w:pPr>
              <w:jc w:val="both"/>
              <w:rPr>
                <w:rFonts w:ascii="Verdana" w:eastAsia="Calibri" w:hAnsi="Verdana" w:cs="Arial"/>
                <w:lang w:val="es-ES" w:eastAsia="es-ES"/>
              </w:rPr>
            </w:pPr>
            <w:r w:rsidRPr="00532CDC">
              <w:rPr>
                <w:rFonts w:ascii="Verdana" w:eastAsia="Calibri" w:hAnsi="Verdana" w:cs="Arial"/>
                <w:lang w:val="es-ES" w:eastAsia="es-ES"/>
              </w:rPr>
              <w:t xml:space="preserve">  </w:t>
            </w:r>
          </w:p>
        </w:tc>
      </w:tr>
      <w:tr w:rsidR="00105F0E" w:rsidRPr="00532CDC" w14:paraId="0B50E010" w14:textId="77777777" w:rsidTr="00A705BD">
        <w:tc>
          <w:tcPr>
            <w:tcW w:w="2689" w:type="dxa"/>
          </w:tcPr>
          <w:p w14:paraId="1CC70420" w14:textId="77777777" w:rsidR="00105F0E" w:rsidRPr="00532CDC" w:rsidRDefault="00105F0E" w:rsidP="00532CDC">
            <w:pPr>
              <w:jc w:val="both"/>
              <w:rPr>
                <w:rFonts w:ascii="Verdana" w:eastAsia="Calibri" w:hAnsi="Verdana" w:cs="Arial"/>
                <w:b/>
                <w:lang w:val="es-ES_tradnl" w:eastAsia="es-ES_tradnl"/>
              </w:rPr>
            </w:pPr>
            <w:r w:rsidRPr="00532CDC">
              <w:rPr>
                <w:rFonts w:ascii="Verdana" w:eastAsia="Calibri" w:hAnsi="Verdana" w:cs="Arial"/>
                <w:b/>
                <w:lang w:val="es-ES_tradnl" w:eastAsia="es-ES_tradnl"/>
              </w:rPr>
              <w:t>Radicación:</w:t>
            </w:r>
            <w:r w:rsidRPr="00532CDC">
              <w:rPr>
                <w:rFonts w:ascii="Verdana" w:eastAsia="Calibri" w:hAnsi="Verdana" w:cs="Arial"/>
                <w:lang w:val="es-ES_tradnl" w:eastAsia="es-ES_tradnl"/>
              </w:rPr>
              <w:t xml:space="preserve">               </w:t>
            </w:r>
          </w:p>
        </w:tc>
        <w:tc>
          <w:tcPr>
            <w:tcW w:w="6100" w:type="dxa"/>
          </w:tcPr>
          <w:p w14:paraId="19F5F1FB" w14:textId="78945B73" w:rsidR="00105F0E" w:rsidRPr="004261E3" w:rsidRDefault="00105F0E" w:rsidP="004261E3">
            <w:pPr>
              <w:jc w:val="both"/>
              <w:rPr>
                <w:rFonts w:ascii="Verdana" w:eastAsia="Calibri" w:hAnsi="Verdana" w:cs="Arial"/>
                <w:lang w:eastAsia="es-ES_tradnl"/>
              </w:rPr>
            </w:pPr>
            <w:r w:rsidRPr="00532CDC">
              <w:rPr>
                <w:rFonts w:ascii="Verdana" w:eastAsia="Calibri" w:hAnsi="Verdana" w:cs="Arial"/>
                <w:lang w:val="es-ES_tradnl" w:eastAsia="es-ES_tradnl"/>
              </w:rPr>
              <w:t>Respuesta a la</w:t>
            </w:r>
            <w:r w:rsidR="00583AFD">
              <w:rPr>
                <w:rFonts w:ascii="Verdana" w:eastAsia="Calibri" w:hAnsi="Verdana" w:cs="Arial"/>
                <w:lang w:val="es-ES_tradnl" w:eastAsia="es-ES_tradnl"/>
              </w:rPr>
              <w:t>s</w:t>
            </w:r>
            <w:r w:rsidRPr="00532CDC">
              <w:rPr>
                <w:rFonts w:ascii="Verdana" w:eastAsia="Calibri" w:hAnsi="Verdana" w:cs="Arial"/>
                <w:lang w:val="es-ES_tradnl" w:eastAsia="es-ES_tradnl"/>
              </w:rPr>
              <w:t xml:space="preserve"> consulta</w:t>
            </w:r>
            <w:r w:rsidR="00583AFD">
              <w:rPr>
                <w:rFonts w:ascii="Verdana" w:eastAsia="Calibri" w:hAnsi="Verdana" w:cs="Arial"/>
                <w:lang w:val="es-ES_tradnl" w:eastAsia="es-ES_tradnl"/>
              </w:rPr>
              <w:t>s</w:t>
            </w:r>
            <w:r w:rsidRPr="00532CDC">
              <w:rPr>
                <w:rFonts w:ascii="Verdana" w:eastAsia="Calibri" w:hAnsi="Verdana" w:cs="Arial"/>
                <w:lang w:val="es-ES_tradnl" w:eastAsia="es-ES_tradnl"/>
              </w:rPr>
              <w:t xml:space="preserve"> con radicado</w:t>
            </w:r>
            <w:r w:rsidR="00583AFD">
              <w:rPr>
                <w:rFonts w:ascii="Verdana" w:eastAsia="Calibri" w:hAnsi="Verdana" w:cs="Arial"/>
                <w:lang w:val="es-ES_tradnl" w:eastAsia="es-ES_tradnl"/>
              </w:rPr>
              <w:t>s</w:t>
            </w:r>
            <w:r w:rsidRPr="00532CDC">
              <w:rPr>
                <w:rFonts w:ascii="Verdana" w:eastAsia="Calibri" w:hAnsi="Verdana" w:cs="Arial"/>
                <w:lang w:val="es-ES_tradnl" w:eastAsia="es-ES_tradnl"/>
              </w:rPr>
              <w:t xml:space="preserve"> No. 1_2026_04_10_004900</w:t>
            </w:r>
            <w:r w:rsidR="00E22847">
              <w:rPr>
                <w:rFonts w:ascii="Verdana" w:eastAsia="Calibri" w:hAnsi="Verdana" w:cs="Arial"/>
                <w:lang w:val="es-ES_tradnl" w:eastAsia="es-ES_tradnl"/>
              </w:rPr>
              <w:t xml:space="preserve"> y </w:t>
            </w:r>
            <w:r w:rsidR="00AB1E91" w:rsidRPr="00AB1E91">
              <w:rPr>
                <w:rFonts w:ascii="Verdana" w:eastAsia="Calibri" w:hAnsi="Verdana" w:cs="Arial"/>
                <w:lang w:eastAsia="es-ES_tradnl"/>
              </w:rPr>
              <w:t>1_2026_04_21_005337</w:t>
            </w:r>
            <w:r w:rsidR="00583AFD">
              <w:rPr>
                <w:rFonts w:ascii="Verdana" w:eastAsia="Calibri" w:hAnsi="Verdana" w:cs="Arial"/>
                <w:lang w:eastAsia="es-ES_tradnl"/>
              </w:rPr>
              <w:t xml:space="preserve">       –Acumuladas–</w:t>
            </w:r>
            <w:r w:rsidRPr="00532CDC">
              <w:rPr>
                <w:rFonts w:ascii="Verdana" w:eastAsia="Calibri" w:hAnsi="Verdana" w:cs="Arial"/>
                <w:lang w:val="es-ES_tradnl" w:eastAsia="es-ES_tradnl"/>
              </w:rPr>
              <w:t xml:space="preserve">                                   </w:t>
            </w:r>
          </w:p>
        </w:tc>
      </w:tr>
    </w:tbl>
    <w:p w14:paraId="38B069EE" w14:textId="77777777" w:rsidR="00105F0E" w:rsidRPr="00593A5F" w:rsidRDefault="00105F0E" w:rsidP="00105F0E">
      <w:pPr>
        <w:spacing w:after="0" w:line="240" w:lineRule="auto"/>
        <w:jc w:val="both"/>
        <w:rPr>
          <w:rFonts w:ascii="Verdana" w:eastAsia="Calibri" w:hAnsi="Verdana" w:cs="Arial"/>
          <w:color w:val="000000"/>
          <w:lang w:val="es-ES_tradnl" w:eastAsia="es-ES_tradnl"/>
        </w:rPr>
      </w:pPr>
    </w:p>
    <w:p w14:paraId="62DC9811" w14:textId="77777777" w:rsidR="00105F0E" w:rsidRPr="00593A5F" w:rsidRDefault="00105F0E" w:rsidP="00105F0E">
      <w:pPr>
        <w:spacing w:after="0" w:line="240" w:lineRule="auto"/>
        <w:jc w:val="both"/>
        <w:rPr>
          <w:rFonts w:ascii="Verdana" w:eastAsia="Calibri" w:hAnsi="Verdana" w:cs="Arial"/>
          <w:color w:val="000000"/>
          <w:lang w:val="es-ES_tradnl" w:eastAsia="es-ES_tradnl"/>
        </w:rPr>
      </w:pPr>
    </w:p>
    <w:p w14:paraId="43C29E64" w14:textId="77777777" w:rsidR="00105F0E" w:rsidRPr="008E6AD9" w:rsidRDefault="00105F0E" w:rsidP="00105F0E">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FC6FDB">
        <w:rPr>
          <w:rFonts w:ascii="Verdana" w:eastAsia="Calibri" w:hAnsi="Verdana" w:cs="Arial"/>
          <w:lang w:val="es-ES" w:eastAsia="es-ES"/>
        </w:rPr>
        <w:t>Meza Herazo</w:t>
      </w:r>
      <w:r w:rsidRPr="008E6AD9">
        <w:rPr>
          <w:rFonts w:ascii="Verdana" w:eastAsia="Calibri" w:hAnsi="Verdana" w:cs="Arial"/>
          <w:lang w:val="es-ES" w:eastAsia="es-ES"/>
        </w:rPr>
        <w:t xml:space="preserve">: </w:t>
      </w:r>
    </w:p>
    <w:p w14:paraId="1C43307B" w14:textId="77777777" w:rsidR="00105F0E" w:rsidRDefault="00105F0E" w:rsidP="00105F0E">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58A7A377" w14:textId="5DDB081E" w:rsidR="00105F0E" w:rsidRPr="00593A5F" w:rsidRDefault="00105F0E" w:rsidP="00105F0E">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3B6F24">
        <w:rPr>
          <w:rFonts w:ascii="Verdana" w:hAnsi="Verdana" w:cs="Arial"/>
        </w:rPr>
        <w:t>así como lo establecido en el artículo 4 de la Resolución 469 de 2025 expedida por esta Entidad</w:t>
      </w:r>
      <w:r w:rsidRPr="00593A5F">
        <w:rPr>
          <w:rFonts w:ascii="Verdana" w:hAnsi="Verdana" w:cs="Arial"/>
        </w:rPr>
        <w:t xml:space="preserve">, </w:t>
      </w:r>
      <w:r w:rsidRPr="00593A5F">
        <w:rPr>
          <w:rFonts w:ascii="Verdana" w:eastAsia="Calibri" w:hAnsi="Verdana" w:cs="Arial"/>
          <w:color w:val="000000" w:themeColor="text1"/>
          <w:lang w:val="es-ES" w:eastAsia="es-ES"/>
        </w:rPr>
        <w:t>la Agencia Nacional de Contratación Pública – Colombia Compra Eficiente responde su</w:t>
      </w:r>
      <w:r w:rsidR="00401250">
        <w:rPr>
          <w:rFonts w:ascii="Verdana" w:eastAsia="Calibri" w:hAnsi="Verdana" w:cs="Arial"/>
          <w:color w:val="000000" w:themeColor="text1"/>
          <w:lang w:val="es-ES" w:eastAsia="es-ES"/>
        </w:rPr>
        <w:t>s</w:t>
      </w:r>
      <w:r w:rsidRPr="00593A5F">
        <w:rPr>
          <w:rFonts w:ascii="Verdana" w:eastAsia="Calibri" w:hAnsi="Verdana" w:cs="Arial"/>
          <w:color w:val="000000" w:themeColor="text1"/>
          <w:lang w:val="es-ES" w:eastAsia="es-ES"/>
        </w:rPr>
        <w:t xml:space="preserve"> solicitud</w:t>
      </w:r>
      <w:r w:rsidR="00401250">
        <w:rPr>
          <w:rFonts w:ascii="Verdana" w:eastAsia="Calibri" w:hAnsi="Verdana" w:cs="Arial"/>
          <w:color w:val="000000" w:themeColor="text1"/>
          <w:lang w:val="es-ES" w:eastAsia="es-ES"/>
        </w:rPr>
        <w:t>es</w:t>
      </w:r>
      <w:r w:rsidRPr="00593A5F">
        <w:rPr>
          <w:rFonts w:ascii="Verdana" w:eastAsia="Calibri" w:hAnsi="Verdana" w:cs="Arial"/>
          <w:color w:val="000000" w:themeColor="text1"/>
          <w:lang w:val="es-ES" w:eastAsia="es-ES"/>
        </w:rPr>
        <w:t xml:space="preserve">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sidR="00401250">
        <w:rPr>
          <w:rFonts w:ascii="Verdana" w:eastAsia="Calibri" w:hAnsi="Verdana" w:cs="Arial"/>
          <w:lang w:val="es-ES" w:eastAsia="es-ES"/>
        </w:rPr>
        <w:t>s</w:t>
      </w:r>
      <w:r>
        <w:rPr>
          <w:rFonts w:ascii="Verdana" w:eastAsia="Calibri" w:hAnsi="Verdana" w:cs="Arial"/>
          <w:lang w:val="es-ES" w:eastAsia="es-ES"/>
        </w:rPr>
        <w:t xml:space="preserve"> 10</w:t>
      </w:r>
      <w:r w:rsidR="00401250">
        <w:rPr>
          <w:rFonts w:ascii="Verdana" w:eastAsia="Calibri" w:hAnsi="Verdana" w:cs="Arial"/>
          <w:lang w:val="es-ES" w:eastAsia="es-ES"/>
        </w:rPr>
        <w:t xml:space="preserve"> y 21</w:t>
      </w:r>
      <w:r>
        <w:rPr>
          <w:rFonts w:ascii="Verdana" w:eastAsia="Calibri" w:hAnsi="Verdana" w:cs="Arial"/>
          <w:lang w:val="es-ES" w:eastAsia="es-ES"/>
        </w:rPr>
        <w:t xml:space="preserve"> de abril de 2026, donde manifiesta lo siguiente</w:t>
      </w:r>
      <w:r w:rsidRPr="008E6AD9">
        <w:rPr>
          <w:rFonts w:ascii="Verdana" w:eastAsia="Calibri" w:hAnsi="Verdana" w:cs="Arial"/>
          <w:lang w:val="es-ES" w:eastAsia="es-ES"/>
        </w:rPr>
        <w:t xml:space="preserve">: </w:t>
      </w:r>
    </w:p>
    <w:p w14:paraId="323702B1" w14:textId="77777777" w:rsidR="00105F0E" w:rsidRPr="00272A7B" w:rsidRDefault="00105F0E" w:rsidP="00105F0E">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628C34E0" w14:textId="77777777" w:rsidR="00A67E3A" w:rsidRDefault="00105F0E" w:rsidP="00F42BF3">
      <w:pPr>
        <w:spacing w:after="0" w:line="240" w:lineRule="auto"/>
        <w:ind w:left="709" w:right="709"/>
        <w:jc w:val="both"/>
        <w:rPr>
          <w:rFonts w:ascii="Verdana" w:eastAsia="Century Gothic" w:hAnsi="Verdana" w:cs="Century Gothic"/>
          <w:sz w:val="20"/>
          <w:szCs w:val="20"/>
          <w:lang w:val="es-ES"/>
        </w:rPr>
      </w:pPr>
      <w:bookmarkStart w:id="0" w:name="_Hlk95313578"/>
      <w:r w:rsidRPr="001904AF">
        <w:rPr>
          <w:rFonts w:ascii="Verdana" w:eastAsia="Century Gothic" w:hAnsi="Verdana" w:cs="Century Gothic"/>
          <w:sz w:val="20"/>
          <w:szCs w:val="20"/>
          <w:lang w:val="es-ES"/>
        </w:rPr>
        <w:t>“</w:t>
      </w:r>
      <w:bookmarkEnd w:id="0"/>
      <w:r w:rsidRPr="00A83FBA">
        <w:rPr>
          <w:rFonts w:ascii="Verdana" w:eastAsia="Century Gothic" w:hAnsi="Verdana" w:cs="Century Gothic"/>
          <w:sz w:val="20"/>
          <w:szCs w:val="20"/>
          <w:lang w:val="es-ES"/>
        </w:rPr>
        <w:t xml:space="preserve">1. SOLICITAMOS LA REVISIÓN de los conceptos emitidos por la ANCP-CCE relacionados con el Decreto 1082 de 2015 Artículo 2.2.1.1.1.5.2. Información para inscripción, renovación o actualización, numeral 2.5. </w:t>
      </w:r>
    </w:p>
    <w:p w14:paraId="036F20D0" w14:textId="3B05A4B3" w:rsidR="00105F0E" w:rsidRDefault="00105F0E" w:rsidP="00F42BF3">
      <w:pPr>
        <w:spacing w:after="0" w:line="240" w:lineRule="auto"/>
        <w:ind w:left="709" w:right="709"/>
        <w:jc w:val="both"/>
        <w:rPr>
          <w:rFonts w:ascii="Verdana" w:eastAsia="Century Gothic" w:hAnsi="Verdana" w:cs="Century Gothic"/>
          <w:sz w:val="20"/>
          <w:szCs w:val="20"/>
          <w:lang w:val="es-ES"/>
        </w:rPr>
      </w:pPr>
      <w:r w:rsidRPr="00A83FBA">
        <w:rPr>
          <w:rFonts w:ascii="Verdana" w:eastAsia="Century Gothic" w:hAnsi="Verdana" w:cs="Century Gothic"/>
          <w:sz w:val="20"/>
          <w:szCs w:val="20"/>
          <w:lang w:val="es-ES"/>
        </w:rPr>
        <w:lastRenderedPageBreak/>
        <w:t xml:space="preserve">(…). </w:t>
      </w:r>
      <w:r w:rsidRPr="00A83FBA">
        <w:rPr>
          <w:rFonts w:ascii="Verdana" w:eastAsia="Century Gothic" w:hAnsi="Verdana" w:cs="Century Gothic"/>
          <w:sz w:val="20"/>
          <w:szCs w:val="20"/>
          <w:u w:val="single"/>
          <w:lang w:val="es-ES"/>
        </w:rPr>
        <w:t>Si la constitución del interesado es menor a tres (3) años, puede acreditar la experiencia de sus accionistas, socios o constituyentes</w:t>
      </w:r>
      <w:r w:rsidRPr="00A83FBA">
        <w:rPr>
          <w:rFonts w:ascii="Verdana" w:eastAsia="Century Gothic" w:hAnsi="Verdana" w:cs="Century Gothic"/>
          <w:sz w:val="20"/>
          <w:szCs w:val="20"/>
          <w:lang w:val="es-ES"/>
        </w:rPr>
        <w:t>.</w:t>
      </w:r>
    </w:p>
    <w:p w14:paraId="2C1A73E3" w14:textId="77777777" w:rsidR="00F42BF3" w:rsidRPr="00A83FBA" w:rsidRDefault="00F42BF3" w:rsidP="004261E3">
      <w:pPr>
        <w:spacing w:after="0" w:line="240" w:lineRule="auto"/>
        <w:ind w:left="709" w:right="709"/>
        <w:jc w:val="both"/>
        <w:rPr>
          <w:rFonts w:ascii="Verdana" w:eastAsia="Century Gothic" w:hAnsi="Verdana" w:cs="Century Gothic"/>
          <w:sz w:val="20"/>
          <w:szCs w:val="20"/>
          <w:lang w:val="es-ES"/>
        </w:rPr>
      </w:pPr>
    </w:p>
    <w:p w14:paraId="594A7D3D" w14:textId="77777777" w:rsidR="00105F0E" w:rsidRDefault="00105F0E" w:rsidP="00F42BF3">
      <w:pPr>
        <w:spacing w:after="0" w:line="240" w:lineRule="auto"/>
        <w:ind w:left="709" w:right="709"/>
        <w:jc w:val="both"/>
        <w:rPr>
          <w:rFonts w:ascii="Verdana" w:eastAsia="Century Gothic" w:hAnsi="Verdana" w:cs="Century Gothic"/>
          <w:sz w:val="20"/>
          <w:szCs w:val="20"/>
          <w:lang w:val="es-ES"/>
        </w:rPr>
      </w:pPr>
      <w:r w:rsidRPr="00A83FBA">
        <w:rPr>
          <w:rFonts w:ascii="Verdana" w:eastAsia="Century Gothic" w:hAnsi="Verdana" w:cs="Century Gothic"/>
          <w:sz w:val="20"/>
          <w:szCs w:val="20"/>
          <w:lang w:val="es-ES"/>
        </w:rPr>
        <w:t>2. Solicitamos se haga una valoración respecto al porcentaje de participación (%) del socio o accionista o constituyente de una sociedad menor a tres (3) años de constituida. Ya que en la práctica y dentro del ejercicio de control social que ejercemos a nivel nacional son muchos de los socios o accionista solo tienen el 1% o hasta menos del 0.001% de participación en la sociedad.</w:t>
      </w:r>
    </w:p>
    <w:p w14:paraId="683D6E0B" w14:textId="77777777" w:rsidR="00F42BF3" w:rsidRPr="00A83FBA" w:rsidRDefault="00F42BF3" w:rsidP="004261E3">
      <w:pPr>
        <w:spacing w:after="0" w:line="240" w:lineRule="auto"/>
        <w:ind w:left="709" w:right="709"/>
        <w:jc w:val="both"/>
        <w:rPr>
          <w:rFonts w:ascii="Verdana" w:eastAsia="Century Gothic" w:hAnsi="Verdana" w:cs="Century Gothic"/>
          <w:sz w:val="20"/>
          <w:szCs w:val="20"/>
          <w:lang w:val="es-ES"/>
        </w:rPr>
      </w:pPr>
    </w:p>
    <w:p w14:paraId="19B37769" w14:textId="77777777" w:rsidR="00105F0E" w:rsidRPr="008E6AD9" w:rsidRDefault="00105F0E" w:rsidP="00F42BF3">
      <w:pPr>
        <w:spacing w:after="0" w:line="240" w:lineRule="auto"/>
        <w:ind w:left="709" w:right="709"/>
        <w:jc w:val="both"/>
        <w:rPr>
          <w:rFonts w:ascii="Verdana" w:eastAsia="Century Gothic" w:hAnsi="Verdana" w:cs="Century Gothic"/>
          <w:b/>
          <w:bCs/>
        </w:rPr>
      </w:pPr>
      <w:r w:rsidRPr="00A83FBA">
        <w:rPr>
          <w:rFonts w:ascii="Verdana" w:eastAsia="Century Gothic" w:hAnsi="Verdana" w:cs="Century Gothic"/>
          <w:sz w:val="20"/>
          <w:szCs w:val="20"/>
          <w:lang w:val="es-ES"/>
        </w:rPr>
        <w:t>3. Consideramos que se debe reglamentar bajo la premisa, que quien aporta la experiencia debe tener una participación importante en la sociedad mayor al 30%</w:t>
      </w:r>
      <w:r>
        <w:rPr>
          <w:rFonts w:ascii="Verdana" w:eastAsia="Century Gothic" w:hAnsi="Verdana" w:cs="Century Gothic"/>
          <w:sz w:val="20"/>
          <w:szCs w:val="20"/>
          <w:lang w:val="es-ES"/>
        </w:rPr>
        <w:t>”. (Énfasis dentro del texto)</w:t>
      </w:r>
    </w:p>
    <w:p w14:paraId="5F6E057D" w14:textId="77777777" w:rsidR="00F42BF3" w:rsidRDefault="00F42BF3" w:rsidP="00105F0E">
      <w:pPr>
        <w:spacing w:after="0" w:line="276" w:lineRule="auto"/>
        <w:ind w:firstLine="709"/>
        <w:jc w:val="both"/>
        <w:rPr>
          <w:rFonts w:ascii="Verdana" w:eastAsia="Calibri" w:hAnsi="Verdana" w:cs="Arial"/>
          <w:color w:val="000000"/>
          <w:lang w:val="es-ES" w:eastAsia="es-ES"/>
        </w:rPr>
      </w:pPr>
    </w:p>
    <w:p w14:paraId="25F801EE" w14:textId="620EC0C3" w:rsidR="00105F0E" w:rsidRPr="00A652FF" w:rsidRDefault="00105F0E" w:rsidP="00105F0E">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lo tiene competencia para responder consultas sobre la aplicación de normas de carácter general en materia de compras y contratación pública. En ese sentido, resolver casos particulares desborda las atribuciones asignadas por el legislador extraordinario, que no concibió a</w:t>
      </w:r>
      <w:r w:rsidR="00C8725D">
        <w:rPr>
          <w:rFonts w:ascii="Verdana" w:eastAsia="Calibri" w:hAnsi="Verdana" w:cs="Arial"/>
          <w:color w:val="000000"/>
          <w:lang w:val="es-ES" w:eastAsia="es-ES"/>
        </w:rPr>
        <w:t xml:space="preserve"> la Agencia Nacional de Contratación Pública –</w:t>
      </w:r>
      <w:r w:rsidRPr="00593A5F">
        <w:rPr>
          <w:rFonts w:ascii="Verdana" w:eastAsia="Calibri" w:hAnsi="Verdana" w:cs="Arial"/>
          <w:color w:val="000000"/>
          <w:lang w:val="es-ES" w:eastAsia="es-ES"/>
        </w:rPr>
        <w:t xml:space="preserve">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366EDB02" w14:textId="77777777" w:rsidR="00105F0E" w:rsidRDefault="00105F0E" w:rsidP="00105F0E">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55D4A382" w14:textId="77777777" w:rsidR="00105F0E" w:rsidRPr="00593A5F" w:rsidRDefault="00105F0E" w:rsidP="009558A9">
      <w:pPr>
        <w:spacing w:after="0" w:line="276" w:lineRule="auto"/>
        <w:ind w:firstLine="709"/>
        <w:jc w:val="both"/>
        <w:rPr>
          <w:rFonts w:ascii="Verdana" w:eastAsia="Calibri" w:hAnsi="Verdana" w:cs="Arial"/>
          <w:color w:val="000000"/>
          <w:lang w:val="es-ES" w:eastAsia="es-ES"/>
        </w:rPr>
      </w:pPr>
    </w:p>
    <w:p w14:paraId="59918C84" w14:textId="77777777" w:rsidR="00105F0E" w:rsidRPr="00593A5F" w:rsidRDefault="00105F0E" w:rsidP="009558A9">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3FC87912" w14:textId="77777777" w:rsidR="00105F0E" w:rsidRPr="00593A5F" w:rsidRDefault="00105F0E" w:rsidP="009558A9">
      <w:pPr>
        <w:tabs>
          <w:tab w:val="left" w:pos="426"/>
        </w:tabs>
        <w:spacing w:after="0" w:line="276" w:lineRule="auto"/>
        <w:jc w:val="both"/>
        <w:rPr>
          <w:rFonts w:ascii="Verdana" w:eastAsia="Century Gothic" w:hAnsi="Verdana" w:cs="Century Gothic"/>
          <w:lang w:val="es-ES"/>
        </w:rPr>
      </w:pPr>
    </w:p>
    <w:p w14:paraId="08D98E92" w14:textId="77777777" w:rsidR="00105F0E" w:rsidRPr="00593A5F" w:rsidRDefault="00105F0E" w:rsidP="009558A9">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¿cuál es el alcance del</w:t>
      </w:r>
      <w:r w:rsidRPr="005A1C07">
        <w:rPr>
          <w:rFonts w:ascii="Verdana" w:hAnsi="Verdana" w:cs="Arial"/>
        </w:rPr>
        <w:t xml:space="preserve"> numeral 2.5 del artículo 2.2.1.1.1.5.2 del Decreto 1082 de 2015</w:t>
      </w:r>
      <w:r>
        <w:rPr>
          <w:rFonts w:ascii="Verdana" w:hAnsi="Verdana" w:cs="Arial"/>
        </w:rPr>
        <w:t xml:space="preserve"> </w:t>
      </w:r>
      <w:r w:rsidRPr="00AB7CEE">
        <w:rPr>
          <w:rFonts w:ascii="Verdana" w:eastAsia="Century Gothic" w:hAnsi="Verdana" w:cs="Century Gothic"/>
        </w:rPr>
        <w:t xml:space="preserve">respecto a la </w:t>
      </w:r>
      <w:r w:rsidRPr="00AB7CEE">
        <w:rPr>
          <w:rFonts w:ascii="Verdana" w:eastAsia="Calibri" w:hAnsi="Verdana" w:cs="Arial"/>
          <w:lang w:eastAsia="es-ES"/>
        </w:rPr>
        <w:t>experiencia aportada por un socio, accionista o constituyente</w:t>
      </w:r>
      <w:r>
        <w:rPr>
          <w:rFonts w:ascii="Verdana" w:eastAsia="Calibri" w:hAnsi="Verdana" w:cs="Arial"/>
          <w:lang w:eastAsia="es-ES"/>
        </w:rPr>
        <w:t xml:space="preserve"> a la persona jurídica</w:t>
      </w:r>
      <w:r w:rsidRPr="00AB7CEE">
        <w:rPr>
          <w:rFonts w:ascii="Verdana" w:eastAsia="Century Gothic" w:hAnsi="Verdana" w:cs="Century Gothic"/>
        </w:rPr>
        <w:t>?</w:t>
      </w:r>
      <w:r>
        <w:rPr>
          <w:rFonts w:ascii="Verdana" w:eastAsia="Century Gothic" w:hAnsi="Verdana" w:cs="Century Gothic"/>
        </w:rPr>
        <w:t xml:space="preserve"> </w:t>
      </w:r>
    </w:p>
    <w:p w14:paraId="1D3F2127" w14:textId="77777777" w:rsidR="00105F0E" w:rsidRPr="004B140F" w:rsidRDefault="00105F0E" w:rsidP="009558A9">
      <w:pPr>
        <w:spacing w:after="0" w:line="276" w:lineRule="auto"/>
        <w:jc w:val="both"/>
        <w:rPr>
          <w:rFonts w:ascii="Verdana" w:eastAsia="Calibri" w:hAnsi="Verdana" w:cs="Arial"/>
          <w:color w:val="7030A0"/>
        </w:rPr>
      </w:pPr>
    </w:p>
    <w:p w14:paraId="19E78BCB" w14:textId="77777777" w:rsidR="00105F0E" w:rsidRPr="00593A5F" w:rsidRDefault="00105F0E" w:rsidP="009558A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62EAAE2E" w14:textId="77777777" w:rsidR="00105F0E" w:rsidRPr="00593A5F" w:rsidRDefault="00105F0E" w:rsidP="009558A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05F0E" w:rsidRPr="00593A5F" w14:paraId="0F8D9FB5" w14:textId="77777777" w:rsidTr="00A705BD">
        <w:trPr>
          <w:jc w:val="center"/>
        </w:trPr>
        <w:tc>
          <w:tcPr>
            <w:tcW w:w="8828" w:type="dxa"/>
          </w:tcPr>
          <w:p w14:paraId="602906D5" w14:textId="4EC3DC4D" w:rsidR="00105F0E" w:rsidRPr="00BC54D6" w:rsidRDefault="00105F0E" w:rsidP="00A705BD">
            <w:pPr>
              <w:tabs>
                <w:tab w:val="left" w:pos="426"/>
              </w:tabs>
              <w:spacing w:after="120" w:line="276" w:lineRule="auto"/>
              <w:jc w:val="both"/>
              <w:rPr>
                <w:rFonts w:ascii="Verdana" w:eastAsia="Arial" w:hAnsi="Verdana" w:cs="Arial"/>
                <w:lang w:val="es-MX" w:eastAsia="es-ES" w:bidi="es-ES"/>
              </w:rPr>
            </w:pPr>
            <w:bookmarkStart w:id="1" w:name="_Hlk171694685"/>
            <w:r w:rsidRPr="000955E3">
              <w:rPr>
                <w:rFonts w:ascii="Verdana" w:eastAsia="Calibri" w:hAnsi="Verdana" w:cs="Arial"/>
                <w:bCs/>
                <w:color w:val="000000" w:themeColor="text1"/>
              </w:rPr>
              <w:t>Conforme a la interpretación general de las normas del sistema de compras públicas</w:t>
            </w:r>
            <w:r w:rsidRPr="000955E3">
              <w:rPr>
                <w:rFonts w:ascii="Verdana" w:eastAsia="Arial" w:hAnsi="Verdana" w:cs="Arial"/>
                <w:lang w:val="es-MX" w:eastAsia="es-ES" w:bidi="es-ES"/>
              </w:rPr>
              <w:t>,</w:t>
            </w:r>
            <w:r>
              <w:rPr>
                <w:rFonts w:ascii="Verdana" w:eastAsia="Arial" w:hAnsi="Verdana" w:cs="Arial"/>
                <w:lang w:val="es-MX" w:eastAsia="es-ES" w:bidi="es-ES"/>
              </w:rPr>
              <w:t xml:space="preserve"> </w:t>
            </w:r>
            <w:r w:rsidRPr="00BC54D6">
              <w:rPr>
                <w:rFonts w:ascii="Verdana" w:eastAsia="Arial" w:hAnsi="Verdana" w:cs="Arial"/>
                <w:lang w:val="es-MX" w:eastAsia="es-ES" w:bidi="es-ES"/>
              </w:rPr>
              <w:t>aunque la persona jurídica tenga más de tres</w:t>
            </w:r>
            <w:r w:rsidR="00AA455C">
              <w:rPr>
                <w:rFonts w:ascii="Verdana" w:eastAsia="Arial" w:hAnsi="Verdana" w:cs="Arial"/>
                <w:lang w:val="es-MX" w:eastAsia="es-ES" w:bidi="es-ES"/>
              </w:rPr>
              <w:t xml:space="preserve"> (3)</w:t>
            </w:r>
            <w:r w:rsidRPr="00BC54D6">
              <w:rPr>
                <w:rFonts w:ascii="Verdana" w:eastAsia="Arial" w:hAnsi="Verdana" w:cs="Arial"/>
                <w:lang w:val="es-MX" w:eastAsia="es-ES" w:bidi="es-ES"/>
              </w:rPr>
              <w:t xml:space="preserve"> años de constituida y haya registrado inicialmente la experiencia de sus socios en el RUP –pues su constitución era inferior a tres</w:t>
            </w:r>
            <w:r w:rsidR="0080025C">
              <w:rPr>
                <w:rFonts w:ascii="Verdana" w:eastAsia="Arial" w:hAnsi="Verdana" w:cs="Arial"/>
                <w:lang w:val="es-MX" w:eastAsia="es-ES" w:bidi="es-ES"/>
              </w:rPr>
              <w:t xml:space="preserve"> (3)</w:t>
            </w:r>
            <w:r w:rsidRPr="00BC54D6">
              <w:rPr>
                <w:rFonts w:ascii="Verdana" w:eastAsia="Arial" w:hAnsi="Verdana" w:cs="Arial"/>
                <w:lang w:val="es-MX" w:eastAsia="es-ES" w:bidi="es-ES"/>
              </w:rPr>
              <w:t xml:space="preserve"> años–, cuando este sea renovado, puede continuar utilizando la experiencia inscrita mientras no cesen los efectos del RUP. Por el contrario, si el RUP no es renovado y la persona jurídica supera los tres</w:t>
            </w:r>
            <w:r w:rsidR="00D23207">
              <w:rPr>
                <w:rFonts w:ascii="Verdana" w:eastAsia="Arial" w:hAnsi="Verdana" w:cs="Arial"/>
                <w:lang w:val="es-MX" w:eastAsia="es-ES" w:bidi="es-ES"/>
              </w:rPr>
              <w:t xml:space="preserve"> (3)</w:t>
            </w:r>
            <w:r w:rsidRPr="00BC54D6">
              <w:rPr>
                <w:rFonts w:ascii="Verdana" w:eastAsia="Arial" w:hAnsi="Verdana" w:cs="Arial"/>
                <w:lang w:val="es-MX" w:eastAsia="es-ES" w:bidi="es-ES"/>
              </w:rPr>
              <w:t xml:space="preserve"> años de constituida, la experiencia que registró de sus socios no puede ser inscrita nuevamente, puesto que el RUP ha cesado sus efectos y la cámara de comercio tiene que hacer nuevamente la verificación documental de la información presentada al momento de inscribirse en el registro. </w:t>
            </w:r>
          </w:p>
          <w:p w14:paraId="20F7F757" w14:textId="5F4B3101" w:rsidR="00105F0E" w:rsidRDefault="00105F0E" w:rsidP="00A705BD">
            <w:pPr>
              <w:tabs>
                <w:tab w:val="left" w:pos="426"/>
              </w:tabs>
              <w:spacing w:after="120" w:line="276" w:lineRule="auto"/>
              <w:ind w:firstLine="737"/>
              <w:jc w:val="both"/>
              <w:rPr>
                <w:rFonts w:ascii="Verdana" w:eastAsia="Arial" w:hAnsi="Verdana" w:cs="Arial"/>
                <w:lang w:val="es-MX" w:eastAsia="es-ES" w:bidi="es-ES"/>
              </w:rPr>
            </w:pPr>
            <w:r w:rsidRPr="00BC54D6">
              <w:rPr>
                <w:rFonts w:ascii="Verdana" w:eastAsia="Arial" w:hAnsi="Verdana" w:cs="Arial"/>
                <w:lang w:val="es-MX" w:eastAsia="es-ES" w:bidi="es-ES"/>
              </w:rPr>
              <w:t>En otras palabras, si la persona jurídica con menos de tres</w:t>
            </w:r>
            <w:r w:rsidR="00D23207">
              <w:rPr>
                <w:rFonts w:ascii="Verdana" w:eastAsia="Arial" w:hAnsi="Verdana" w:cs="Arial"/>
                <w:lang w:val="es-MX" w:eastAsia="es-ES" w:bidi="es-ES"/>
              </w:rPr>
              <w:t xml:space="preserve"> (3)</w:t>
            </w:r>
            <w:r w:rsidRPr="00BC54D6">
              <w:rPr>
                <w:rFonts w:ascii="Verdana" w:eastAsia="Arial" w:hAnsi="Verdana" w:cs="Arial"/>
                <w:lang w:val="es-MX" w:eastAsia="es-ES" w:bidi="es-ES"/>
              </w:rPr>
              <w:t xml:space="preserve"> años de constituida registra la experiencia de sus socios en el RUP, y éste es renovado, puede continuar utilizando la experiencia inscrita mientras no cesen los efectos del RUP. Por el contrario, si no se renueva y la persona jurídica supera los tres años de constituida, la experiencia que registró de sus socios no puede ser inscrita nuevamente, puesto que el RUP ha cesado sus efectos y la cámara de comercio tiene que hacer nuevamente la verificación documental de la información presentada al momento de inscribirse en el registro</w:t>
            </w:r>
            <w:r>
              <w:rPr>
                <w:rFonts w:ascii="Verdana" w:eastAsia="Arial" w:hAnsi="Verdana" w:cs="Arial"/>
                <w:lang w:val="es-MX" w:eastAsia="es-ES" w:bidi="es-ES"/>
              </w:rPr>
              <w:t>.</w:t>
            </w:r>
          </w:p>
          <w:p w14:paraId="63D895E7" w14:textId="77777777" w:rsidR="00105F0E" w:rsidRDefault="00105F0E" w:rsidP="00A705BD">
            <w:pPr>
              <w:spacing w:after="120" w:line="276" w:lineRule="auto"/>
              <w:ind w:firstLine="737"/>
              <w:jc w:val="both"/>
              <w:rPr>
                <w:rFonts w:ascii="Verdana" w:eastAsia="Calibri" w:hAnsi="Verdana" w:cs="Arial"/>
                <w:color w:val="000000" w:themeColor="text1"/>
              </w:rPr>
            </w:pPr>
            <w:r>
              <w:rPr>
                <w:rFonts w:ascii="Verdana" w:eastAsia="Calibri" w:hAnsi="Verdana" w:cs="Arial"/>
                <w:bCs/>
                <w:color w:val="000000" w:themeColor="text1"/>
              </w:rPr>
              <w:t>En este contexto, la revisión de los conceptos relacionados con el alcance d</w:t>
            </w:r>
            <w:r w:rsidRPr="005A1C07">
              <w:rPr>
                <w:rFonts w:ascii="Verdana" w:hAnsi="Verdana" w:cs="Arial"/>
              </w:rPr>
              <w:t>el numeral 2.5 del artículo 2.2.1.1.1.5.2 del Decreto 1082 de 2015</w:t>
            </w:r>
            <w:r>
              <w:rPr>
                <w:rFonts w:ascii="Verdana" w:hAnsi="Verdana" w:cs="Arial"/>
              </w:rPr>
              <w:t xml:space="preserve"> será denegada. Asimismo, es necesario tener en cuenta que la norma no alude al porcentaje de participación del socio, accionista o constituyente; razón por la cual, no es variable relevante para transferir la experiencia en los términos explicados </w:t>
            </w:r>
            <w:r w:rsidRPr="000B7AD4">
              <w:rPr>
                <w:rFonts w:ascii="Verdana" w:hAnsi="Verdana" w:cs="Arial"/>
                <w:i/>
                <w:iCs/>
              </w:rPr>
              <w:t>ut supra</w:t>
            </w:r>
            <w:r>
              <w:rPr>
                <w:rFonts w:ascii="Verdana" w:hAnsi="Verdana" w:cs="Arial"/>
              </w:rPr>
              <w:t xml:space="preserve">. Finalmente, </w:t>
            </w:r>
            <w:r>
              <w:rPr>
                <w:rFonts w:ascii="Verdana" w:eastAsia="Calibri" w:hAnsi="Verdana" w:cs="Arial"/>
                <w:color w:val="000000" w:themeColor="text1"/>
              </w:rPr>
              <w:t>l</w:t>
            </w:r>
            <w:r w:rsidRPr="00651574">
              <w:rPr>
                <w:rFonts w:ascii="Verdana" w:eastAsia="Calibri" w:hAnsi="Verdana" w:cs="Arial"/>
                <w:color w:val="000000" w:themeColor="text1"/>
              </w:rPr>
              <w:t xml:space="preserve">a Agencia Nacional de Contratación Pública – Colombia Compra Eficiente fue creada por el Decreto Ley 4170 de 2011, como una Unidad Administrativa Especial, descentralizada de la Rama Ejecutiva del orden nacional, adscrita al Departamento Nacional de Planeación. El legislador determinó que su objetivo sería servir como ente rector de la política de compras y contratación, al ser consciente de la necesidad de contar en la estructura del Estado con un órgano técnico especializado que asumiera la tarea de </w:t>
            </w:r>
            <w:r>
              <w:rPr>
                <w:rFonts w:ascii="Verdana" w:eastAsia="Calibri" w:hAnsi="Verdana" w:cs="Arial"/>
                <w:color w:val="000000" w:themeColor="text1"/>
              </w:rPr>
              <w:t>asesorar a las entidades públicas en la formulación de</w:t>
            </w:r>
            <w:r w:rsidRPr="00651574">
              <w:rPr>
                <w:rFonts w:ascii="Verdana" w:eastAsia="Calibri" w:hAnsi="Verdana" w:cs="Arial"/>
                <w:color w:val="000000" w:themeColor="text1"/>
              </w:rPr>
              <w:t xml:space="preserve"> políticas </w:t>
            </w:r>
            <w:r>
              <w:rPr>
                <w:rFonts w:ascii="Verdana" w:eastAsia="Calibri" w:hAnsi="Verdana" w:cs="Arial"/>
                <w:color w:val="000000" w:themeColor="text1"/>
              </w:rPr>
              <w:t>y</w:t>
            </w:r>
            <w:r w:rsidRPr="00651574">
              <w:rPr>
                <w:rFonts w:ascii="Verdana" w:eastAsia="Calibri" w:hAnsi="Verdana" w:cs="Arial"/>
                <w:color w:val="000000" w:themeColor="text1"/>
              </w:rPr>
              <w:t xml:space="preserve"> normas </w:t>
            </w:r>
            <w:r>
              <w:rPr>
                <w:rFonts w:ascii="Verdana" w:eastAsia="Calibri" w:hAnsi="Verdana" w:cs="Arial"/>
                <w:color w:val="000000" w:themeColor="text1"/>
              </w:rPr>
              <w:t>para</w:t>
            </w:r>
            <w:r w:rsidRPr="00651574">
              <w:rPr>
                <w:rFonts w:ascii="Verdana" w:eastAsia="Calibri" w:hAnsi="Verdana" w:cs="Arial"/>
                <w:color w:val="000000" w:themeColor="text1"/>
              </w:rPr>
              <w:t xml:space="preserve"> unificar los procesos de contratación estatal</w:t>
            </w:r>
            <w:r>
              <w:rPr>
                <w:rFonts w:ascii="Verdana" w:eastAsia="Calibri" w:hAnsi="Verdana" w:cs="Arial"/>
                <w:color w:val="000000" w:themeColor="text1"/>
              </w:rPr>
              <w:t xml:space="preserve">. </w:t>
            </w:r>
          </w:p>
          <w:p w14:paraId="06FB9BD5" w14:textId="77777777" w:rsidR="00105F0E" w:rsidRPr="00BC54D6" w:rsidRDefault="00105F0E" w:rsidP="00A705BD">
            <w:pPr>
              <w:tabs>
                <w:tab w:val="left" w:pos="426"/>
              </w:tabs>
              <w:spacing w:after="120" w:line="276" w:lineRule="auto"/>
              <w:ind w:firstLine="737"/>
              <w:jc w:val="both"/>
              <w:rPr>
                <w:rFonts w:ascii="Verdana" w:eastAsia="Arial" w:hAnsi="Verdana" w:cs="Arial"/>
                <w:lang w:eastAsia="es-ES" w:bidi="es-ES"/>
              </w:rPr>
            </w:pPr>
            <w:r>
              <w:rPr>
                <w:rFonts w:ascii="Verdana" w:eastAsia="Calibri" w:hAnsi="Verdana" w:cs="Arial"/>
                <w:color w:val="000000" w:themeColor="text1"/>
              </w:rPr>
              <w:lastRenderedPageBreak/>
              <w:t>De acuerdo con esta naturaleza jurídica</w:t>
            </w:r>
            <w:r w:rsidRPr="00651574">
              <w:rPr>
                <w:rFonts w:ascii="Verdana" w:eastAsia="Calibri" w:hAnsi="Verdana" w:cs="Arial"/>
                <w:color w:val="000000" w:themeColor="text1"/>
              </w:rPr>
              <w:t xml:space="preserve">, se aclara que la Agencia </w:t>
            </w:r>
            <w:r>
              <w:rPr>
                <w:rFonts w:ascii="Verdana" w:eastAsia="Calibri" w:hAnsi="Verdana" w:cs="Arial"/>
                <w:color w:val="000000" w:themeColor="text1"/>
              </w:rPr>
              <w:t>no es titular del ejercicio de la potestad reglamentaria del artículo 189.11 superior, pues se trata de decisiones que adopta el gobierno nacional en los términos del inciso segundo del artículo 115 de la Constitución Política de 1991. Por tanto, dado que la ANCP – CCE no es un órgano de carácter ministerial ni es un departamento administrativo, carece de atribuciones para realizar modificaciones al Decreto Único Reglamentario del Sector Administrativo de Planeación Nacional.</w:t>
            </w:r>
          </w:p>
          <w:p w14:paraId="7D95F6D8" w14:textId="77777777" w:rsidR="00105F0E" w:rsidRDefault="00105F0E" w:rsidP="00A705BD">
            <w:pPr>
              <w:spacing w:after="120" w:line="276" w:lineRule="auto"/>
              <w:ind w:firstLine="737"/>
              <w:jc w:val="both"/>
              <w:rPr>
                <w:rStyle w:val="s15"/>
                <w:rFonts w:ascii="Verdana" w:hAnsi="Verdana"/>
                <w:color w:val="000000"/>
              </w:rPr>
            </w:pPr>
            <w:r w:rsidRPr="00A47393">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p w14:paraId="7D2BACB5" w14:textId="77777777" w:rsidR="00105F0E" w:rsidRPr="001941FD" w:rsidRDefault="00105F0E" w:rsidP="00A705BD">
            <w:pPr>
              <w:spacing w:line="276" w:lineRule="auto"/>
              <w:ind w:firstLine="737"/>
              <w:jc w:val="both"/>
              <w:rPr>
                <w:rFonts w:ascii="Verdana" w:eastAsia="Calibri" w:hAnsi="Verdana" w:cs="Arial"/>
                <w:bCs/>
                <w:color w:val="000000" w:themeColor="text1"/>
              </w:rPr>
            </w:pPr>
            <w:r w:rsidRPr="000E52E5">
              <w:rPr>
                <w:rFonts w:ascii="Verdana" w:eastAsia="Calibri" w:hAnsi="Verdana" w:cs="Arial"/>
                <w:bCs/>
                <w:color w:val="000000" w:themeColor="text1"/>
              </w:rPr>
              <w:t>Conforme al artículo 28 de la Ley 1437 de 2011, se informa al peticionario que “Salvo disposición legal en contrario, los conceptos emitidos por las autoridades como respuestas a peticiones realizadas en ejercicio del derecho a formular consultas no serán de obligatorio cumplimiento o ejecución”.</w:t>
            </w:r>
            <w:r>
              <w:rPr>
                <w:rFonts w:ascii="Verdana" w:eastAsia="Calibri" w:hAnsi="Verdana" w:cs="Arial"/>
                <w:bCs/>
                <w:color w:val="000000" w:themeColor="text1"/>
              </w:rPr>
              <w:t xml:space="preserve"> </w:t>
            </w:r>
            <w:r w:rsidRPr="000E52E5">
              <w:rPr>
                <w:rFonts w:ascii="Verdana" w:eastAsia="Calibri" w:hAnsi="Verdana" w:cs="Arial"/>
                <w:bCs/>
                <w:color w:val="000000" w:themeColor="text1"/>
                <w:lang w:val="es-ES_tradnl"/>
              </w:rPr>
              <w:t xml:space="preserve">Así las cosas, Colombia Compra Eficiente considera que no hay lugar a acceder, por ejemplo, a solicitudes de </w:t>
            </w:r>
            <w:r w:rsidRPr="000E52E5">
              <w:rPr>
                <w:rFonts w:ascii="Verdana" w:eastAsia="Calibri" w:hAnsi="Verdana" w:cs="Arial"/>
                <w:bCs/>
                <w:i/>
                <w:iCs/>
                <w:color w:val="000000" w:themeColor="text1"/>
                <w:lang w:val="es-ES_tradnl"/>
              </w:rPr>
              <w:t>revocación directa</w:t>
            </w:r>
            <w:r w:rsidRPr="000E52E5">
              <w:rPr>
                <w:rFonts w:ascii="Verdana" w:eastAsia="Calibri" w:hAnsi="Verdana" w:cs="Arial"/>
                <w:bCs/>
                <w:color w:val="000000" w:themeColor="text1"/>
                <w:lang w:val="es-ES_tradnl"/>
              </w:rPr>
              <w:t xml:space="preserve"> de los conceptos, pues no son actos administrativos, no tienen efectos vinculantes en relación con una situación jurídica particular y concreta, y exponen un criterio que, aunque jurídicamente fundamentado, no representan necesariamente la </w:t>
            </w:r>
            <w:r w:rsidRPr="000E52E5">
              <w:rPr>
                <w:rFonts w:ascii="Verdana" w:eastAsia="Calibri" w:hAnsi="Verdana" w:cs="Arial"/>
                <w:bCs/>
                <w:i/>
                <w:iCs/>
                <w:color w:val="000000" w:themeColor="text1"/>
                <w:lang w:val="es-ES_tradnl"/>
              </w:rPr>
              <w:t>única</w:t>
            </w:r>
            <w:r w:rsidRPr="000E52E5">
              <w:rPr>
                <w:rFonts w:ascii="Verdana" w:eastAsia="Calibri" w:hAnsi="Verdana" w:cs="Arial"/>
                <w:bCs/>
                <w:color w:val="000000" w:themeColor="text1"/>
                <w:lang w:val="es-ES_tradnl"/>
              </w:rPr>
              <w:t xml:space="preserve"> interpretación válida del ordenamiento jurídico.</w:t>
            </w:r>
          </w:p>
        </w:tc>
      </w:tr>
    </w:tbl>
    <w:p w14:paraId="47349149" w14:textId="77777777" w:rsidR="00105F0E" w:rsidRPr="00593A5F" w:rsidRDefault="00105F0E" w:rsidP="00105F0E">
      <w:pPr>
        <w:tabs>
          <w:tab w:val="left" w:pos="142"/>
          <w:tab w:val="left" w:pos="284"/>
        </w:tabs>
        <w:spacing w:after="0" w:line="276" w:lineRule="auto"/>
        <w:jc w:val="both"/>
        <w:rPr>
          <w:rFonts w:ascii="Verdana" w:eastAsia="Century Gothic" w:hAnsi="Verdana" w:cs="Century Gothic"/>
          <w:b/>
          <w:bCs/>
          <w:lang w:val="es-ES"/>
        </w:rPr>
      </w:pPr>
    </w:p>
    <w:bookmarkEnd w:id="1"/>
    <w:p w14:paraId="46B66FA4" w14:textId="77777777" w:rsidR="00105F0E" w:rsidRPr="00593A5F" w:rsidRDefault="00105F0E" w:rsidP="00105F0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5FE5C36A" w14:textId="77777777" w:rsidR="00105F0E" w:rsidRPr="00593A5F" w:rsidRDefault="00105F0E" w:rsidP="00105F0E">
      <w:pPr>
        <w:spacing w:after="0" w:line="276" w:lineRule="auto"/>
        <w:jc w:val="both"/>
        <w:rPr>
          <w:rFonts w:ascii="Verdana" w:eastAsia="Calibri" w:hAnsi="Verdana" w:cs="Arial"/>
          <w:color w:val="7030A0"/>
          <w:lang w:val="es-ES"/>
        </w:rPr>
      </w:pPr>
    </w:p>
    <w:p w14:paraId="0C869560" w14:textId="77777777" w:rsidR="00105F0E" w:rsidRDefault="00105F0E" w:rsidP="00105F0E">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221D2B84" w14:textId="77777777" w:rsidR="00105F0E" w:rsidRPr="00415608" w:rsidRDefault="00105F0E" w:rsidP="00105F0E">
      <w:pPr>
        <w:spacing w:after="0" w:line="276" w:lineRule="auto"/>
        <w:jc w:val="both"/>
        <w:rPr>
          <w:rFonts w:ascii="Verdana" w:eastAsia="Calibri" w:hAnsi="Verdana" w:cs="Arial"/>
          <w:lang w:val="es-ES"/>
        </w:rPr>
      </w:pPr>
    </w:p>
    <w:p w14:paraId="541B1DCD" w14:textId="77777777" w:rsidR="00105F0E" w:rsidRPr="00856F20" w:rsidRDefault="00105F0E" w:rsidP="00105F0E">
      <w:pPr>
        <w:tabs>
          <w:tab w:val="left" w:pos="426"/>
        </w:tabs>
        <w:spacing w:after="0" w:line="276" w:lineRule="auto"/>
        <w:jc w:val="both"/>
        <w:rPr>
          <w:rFonts w:ascii="Verdana" w:eastAsia="Calibri" w:hAnsi="Verdana" w:cs="Arial"/>
          <w:bCs/>
          <w:lang w:val="es-ES_tradnl"/>
        </w:rPr>
      </w:pPr>
      <w:r>
        <w:rPr>
          <w:rFonts w:ascii="Verdana" w:eastAsia="Calibri" w:hAnsi="Verdana" w:cs="Arial"/>
          <w:bCs/>
          <w:lang w:val="es-ES_tradnl"/>
        </w:rPr>
        <w:t xml:space="preserve">i. </w:t>
      </w:r>
      <w:r w:rsidRPr="00856F20">
        <w:rPr>
          <w:rFonts w:ascii="Verdana" w:eastAsia="Calibri" w:hAnsi="Verdana" w:cs="Arial"/>
          <w:bCs/>
          <w:lang w:val="es-ES_tradnl"/>
        </w:rPr>
        <w:t>En ejercicio de las competencias consagradas en los artículos 3, numeral 5, 11, numeral 8, 12, numeral 6, y 13, numeral 4, del Decreto</w:t>
      </w:r>
      <w:r>
        <w:rPr>
          <w:rFonts w:ascii="Verdana" w:eastAsia="Calibri" w:hAnsi="Verdana" w:cs="Arial"/>
          <w:bCs/>
          <w:lang w:val="es-ES_tradnl"/>
        </w:rPr>
        <w:t xml:space="preserve"> Ley</w:t>
      </w:r>
      <w:r w:rsidRPr="00856F20">
        <w:rPr>
          <w:rFonts w:ascii="Verdana" w:eastAsia="Calibri" w:hAnsi="Verdana" w:cs="Arial"/>
          <w:bCs/>
          <w:lang w:val="es-ES_tradnl"/>
        </w:rPr>
        <w:t xml:space="preserve"> 4170 de 2011, la Agencia Nacional de Contratación Pública – Colombia Compra Eficiente </w:t>
      </w:r>
      <w:r w:rsidRPr="00856F20">
        <w:rPr>
          <w:rFonts w:ascii="Verdana" w:eastAsia="Calibri" w:hAnsi="Verdana" w:cs="Arial"/>
          <w:bCs/>
          <w:lang w:val="es-ES_tradnl"/>
        </w:rPr>
        <w:lastRenderedPageBreak/>
        <w:t>resuelve consultas sobre los asuntos de su competencia, esto es, sobre las normas que conforman el sistema de compras y contratación pública. Esta competencia consultiva se relaciona con el artículo 28 de la Ley 1437 de 2011, sustituido por el artículo 1 de la Ley 1755, que dispone lo siguiente:</w:t>
      </w:r>
    </w:p>
    <w:p w14:paraId="2F5319D1" w14:textId="77777777" w:rsidR="00105F0E" w:rsidRPr="00856F20" w:rsidRDefault="00105F0E" w:rsidP="00105F0E">
      <w:pPr>
        <w:tabs>
          <w:tab w:val="left" w:pos="426"/>
        </w:tabs>
        <w:spacing w:after="0" w:line="276" w:lineRule="auto"/>
        <w:jc w:val="both"/>
        <w:rPr>
          <w:rFonts w:ascii="Verdana" w:eastAsia="Calibri" w:hAnsi="Verdana" w:cs="Arial"/>
          <w:bCs/>
          <w:lang w:val="es-ES_tradnl"/>
        </w:rPr>
      </w:pPr>
    </w:p>
    <w:p w14:paraId="22122053" w14:textId="77777777" w:rsidR="00105F0E" w:rsidRPr="00603CFA" w:rsidRDefault="00105F0E" w:rsidP="00105F0E">
      <w:pPr>
        <w:tabs>
          <w:tab w:val="left" w:pos="426"/>
        </w:tabs>
        <w:spacing w:after="0" w:line="240" w:lineRule="auto"/>
        <w:ind w:left="709" w:right="709"/>
        <w:jc w:val="both"/>
        <w:rPr>
          <w:rFonts w:ascii="Verdana" w:eastAsia="Calibri" w:hAnsi="Verdana" w:cs="Arial"/>
          <w:bCs/>
          <w:sz w:val="20"/>
          <w:szCs w:val="20"/>
          <w:lang w:val="es-ES_tradnl"/>
        </w:rPr>
      </w:pPr>
      <w:r w:rsidRPr="00603CFA">
        <w:rPr>
          <w:rFonts w:ascii="Verdana" w:eastAsia="Calibri" w:hAnsi="Verdana" w:cs="Arial"/>
          <w:bCs/>
          <w:sz w:val="20"/>
          <w:szCs w:val="20"/>
          <w:lang w:val="es-ES_tradnl"/>
        </w:rPr>
        <w:t xml:space="preserve">“Artículo 28. Alcance de los conceptos. Salvo disposición legal en contrario, los conceptos emitidos por las autoridades como respuestas a peticiones realizadas en ejercicio del derecho a formular consultas no serán de obligatorio cumplimiento o ejecución”.  </w:t>
      </w:r>
    </w:p>
    <w:p w14:paraId="2C6EC8E0" w14:textId="77777777" w:rsidR="00105F0E" w:rsidRPr="00856F20" w:rsidRDefault="00105F0E" w:rsidP="00105F0E">
      <w:pPr>
        <w:tabs>
          <w:tab w:val="left" w:pos="426"/>
        </w:tabs>
        <w:spacing w:after="0" w:line="276" w:lineRule="auto"/>
        <w:jc w:val="both"/>
        <w:rPr>
          <w:rFonts w:ascii="Verdana" w:eastAsia="Calibri" w:hAnsi="Verdana" w:cs="Arial"/>
          <w:bCs/>
          <w:lang w:val="es-ES_tradnl"/>
        </w:rPr>
      </w:pPr>
    </w:p>
    <w:p w14:paraId="311D001C" w14:textId="77777777" w:rsidR="00105F0E" w:rsidRPr="00856F20" w:rsidRDefault="00105F0E" w:rsidP="00105F0E">
      <w:pPr>
        <w:tabs>
          <w:tab w:val="left" w:pos="709"/>
        </w:tabs>
        <w:spacing w:line="276" w:lineRule="auto"/>
        <w:jc w:val="both"/>
        <w:rPr>
          <w:rFonts w:ascii="Verdana" w:eastAsia="Calibri" w:hAnsi="Verdana" w:cs="Arial"/>
          <w:bCs/>
          <w:lang w:val="es-ES_tradnl"/>
        </w:rPr>
      </w:pPr>
      <w:r w:rsidRPr="00856F20">
        <w:rPr>
          <w:rFonts w:ascii="Verdana" w:eastAsia="Calibri" w:hAnsi="Verdana" w:cs="Arial"/>
          <w:bCs/>
          <w:lang w:val="es-ES_tradnl"/>
        </w:rPr>
        <w:tab/>
        <w:t>La ley es clara cuando establece que los conceptos, emitidos por las autoridades al responder peticiones realizadas en ejercicio del derecho a formular consultas, no son de obligatorio cumplimiento o ejecución, en otras palabras, no tienen efectos vinculantes. Las respuestas emitidas como concepto, entonces, consisten en la posición hermenéutica que las entidades tienen respecto del ordenamiento jurídico. Esto explica por qué esta Agencia, reiteradamente, no resuelve controversias concretas ni brinda asesorías puntuales a los partícipes de la contratación estatal.</w:t>
      </w:r>
    </w:p>
    <w:p w14:paraId="4099F7A1" w14:textId="77777777" w:rsidR="00105F0E" w:rsidRPr="00856F20" w:rsidRDefault="00105F0E" w:rsidP="00105F0E">
      <w:pPr>
        <w:tabs>
          <w:tab w:val="left" w:pos="709"/>
        </w:tabs>
        <w:spacing w:before="120" w:line="276" w:lineRule="auto"/>
        <w:jc w:val="both"/>
        <w:rPr>
          <w:rFonts w:ascii="Verdana" w:eastAsia="Calibri" w:hAnsi="Verdana" w:cs="Arial"/>
          <w:bCs/>
          <w:sz w:val="21"/>
          <w:szCs w:val="21"/>
          <w:lang w:val="es-ES_tradnl"/>
        </w:rPr>
      </w:pPr>
      <w:r w:rsidRPr="00856F20">
        <w:rPr>
          <w:rFonts w:ascii="Verdana" w:eastAsia="Calibri" w:hAnsi="Verdana" w:cs="Arial"/>
          <w:bCs/>
          <w:lang w:val="es-ES_tradnl"/>
        </w:rPr>
        <w:tab/>
        <w:t xml:space="preserve">Esta posición es compartida por varias entidades públicas que ejercen la misma función. Por ejemplo, la Procuraduría General de la Nación aclaró que el concepto </w:t>
      </w:r>
      <w:r>
        <w:rPr>
          <w:rFonts w:ascii="Verdana" w:eastAsia="Calibri" w:hAnsi="Verdana" w:cs="Arial"/>
          <w:bCs/>
          <w:lang w:val="es-ES_tradnl"/>
        </w:rPr>
        <w:t>“</w:t>
      </w:r>
      <w:r w:rsidRPr="00856F20">
        <w:rPr>
          <w:rFonts w:ascii="Verdana" w:eastAsia="Calibri" w:hAnsi="Verdana" w:cs="Arial"/>
          <w:bCs/>
          <w:lang w:val="es-ES_tradnl"/>
        </w:rPr>
        <w:t>sólo constituye un criterio auxiliar de interpretación y que no tiene carácter vinculante de acuerdo con lo dispuesto en los artículos 230 de la Constitución Política, 5° de la Ley 153 de 1887 y 28 de la ley 1437 de 2011</w:t>
      </w:r>
      <w:r>
        <w:rPr>
          <w:rFonts w:ascii="Verdana" w:eastAsia="Calibri" w:hAnsi="Verdana" w:cs="Arial"/>
          <w:bCs/>
          <w:lang w:val="es-ES_tradnl"/>
        </w:rPr>
        <w:t>”</w:t>
      </w:r>
      <w:r w:rsidRPr="00856F20">
        <w:rPr>
          <w:rStyle w:val="Refdenotaalpie"/>
          <w:rFonts w:ascii="Verdana" w:eastAsia="Calibri" w:hAnsi="Verdana" w:cs="Arial"/>
          <w:bCs/>
          <w:lang w:val="es-ES_tradnl"/>
        </w:rPr>
        <w:footnoteReference w:id="1"/>
      </w:r>
      <w:r w:rsidRPr="00856F20">
        <w:rPr>
          <w:rFonts w:ascii="Verdana" w:eastAsia="Calibri" w:hAnsi="Verdana" w:cs="Arial"/>
          <w:bCs/>
          <w:lang w:val="es-ES_tradnl"/>
        </w:rPr>
        <w:t>. Igualmente, en concepto del año 2017</w:t>
      </w:r>
      <w:r w:rsidRPr="00856F20">
        <w:rPr>
          <w:rStyle w:val="Refdenotaalpie"/>
          <w:rFonts w:ascii="Verdana" w:eastAsia="Calibri" w:hAnsi="Verdana" w:cs="Arial"/>
          <w:bCs/>
          <w:lang w:val="es-ES_tradnl"/>
        </w:rPr>
        <w:footnoteReference w:id="2"/>
      </w:r>
      <w:r w:rsidRPr="00856F20">
        <w:rPr>
          <w:rFonts w:ascii="Verdana" w:eastAsia="Calibri" w:hAnsi="Verdana" w:cs="Arial"/>
          <w:bCs/>
          <w:lang w:val="es-ES_tradnl"/>
        </w:rPr>
        <w:t xml:space="preserve">, la Contraloría General de la República precisó que los </w:t>
      </w:r>
      <w:r>
        <w:rPr>
          <w:rFonts w:ascii="Verdana" w:eastAsia="Calibri" w:hAnsi="Verdana" w:cs="Arial"/>
          <w:bCs/>
          <w:lang w:val="es-ES_tradnl"/>
        </w:rPr>
        <w:t>“</w:t>
      </w:r>
      <w:r w:rsidRPr="00856F20">
        <w:rPr>
          <w:rFonts w:ascii="Verdana" w:eastAsia="Calibri" w:hAnsi="Verdana" w:cs="Arial"/>
          <w:bCs/>
          <w:lang w:val="es-ES_tradnl"/>
        </w:rPr>
        <w:t>[…] conceptos emitidos por la Oficina Jurídica de la Contraloría General de la República, son orientaciones de carácter general que […] no son de obligatorio cumplimiento o ejecución, ni tienen el carácter de fuente normativa y sólo pueden ser utilizados para facilitar la interpretación y aplicación de las normas jurídicas vigentes […]</w:t>
      </w:r>
      <w:r>
        <w:rPr>
          <w:rFonts w:ascii="Verdana" w:eastAsia="Calibri" w:hAnsi="Verdana" w:cs="Arial"/>
          <w:bCs/>
          <w:lang w:val="es-ES_tradnl"/>
        </w:rPr>
        <w:t>”</w:t>
      </w:r>
      <w:r w:rsidRPr="00856F20">
        <w:rPr>
          <w:rFonts w:ascii="Verdana" w:eastAsia="Calibri" w:hAnsi="Verdana" w:cs="Arial"/>
          <w:bCs/>
          <w:lang w:val="es-ES_tradnl"/>
        </w:rPr>
        <w:t>.</w:t>
      </w:r>
    </w:p>
    <w:p w14:paraId="6DBDC3F0" w14:textId="77777777" w:rsidR="00105F0E" w:rsidRPr="00856F20" w:rsidRDefault="00105F0E" w:rsidP="00105F0E">
      <w:pPr>
        <w:tabs>
          <w:tab w:val="left" w:pos="709"/>
        </w:tabs>
        <w:spacing w:before="120" w:line="276" w:lineRule="auto"/>
        <w:jc w:val="both"/>
        <w:rPr>
          <w:rFonts w:ascii="Verdana" w:eastAsia="Calibri" w:hAnsi="Verdana" w:cs="Arial"/>
          <w:bCs/>
          <w:lang w:val="es-ES_tradnl"/>
        </w:rPr>
      </w:pPr>
      <w:r w:rsidRPr="00856F20">
        <w:rPr>
          <w:rFonts w:ascii="Verdana" w:eastAsia="Calibri" w:hAnsi="Verdana" w:cs="Arial"/>
          <w:bCs/>
          <w:lang w:val="es-ES_tradnl"/>
        </w:rPr>
        <w:tab/>
        <w:t xml:space="preserve">En términos generales, lo que se busca con el ejercicio de la función consultiva es que la opinión jurídica de la Agencia Nacional de Contratación Pública – Colombia Compra Eficiente sea un criterio de orientación para los operadores jurídicos, sin que ello suponga resolver un problema entre partes o </w:t>
      </w:r>
      <w:r w:rsidRPr="00856F20">
        <w:rPr>
          <w:rFonts w:ascii="Verdana" w:eastAsia="Calibri" w:hAnsi="Verdana" w:cs="Arial"/>
          <w:bCs/>
          <w:lang w:val="es-ES_tradnl"/>
        </w:rPr>
        <w:lastRenderedPageBreak/>
        <w:t xml:space="preserve">asumir la </w:t>
      </w:r>
      <w:r w:rsidRPr="00856F20">
        <w:rPr>
          <w:rFonts w:ascii="Verdana" w:eastAsia="Calibri" w:hAnsi="Verdana" w:cs="Arial"/>
          <w:bCs/>
          <w:i/>
          <w:iCs/>
          <w:lang w:val="es-ES_tradnl"/>
        </w:rPr>
        <w:t>única</w:t>
      </w:r>
      <w:r w:rsidRPr="00856F20">
        <w:rPr>
          <w:rFonts w:ascii="Verdana" w:eastAsia="Calibri" w:hAnsi="Verdana" w:cs="Arial"/>
          <w:bCs/>
          <w:lang w:val="es-ES_tradnl"/>
        </w:rPr>
        <w:t xml:space="preserve"> posible interpretación de una disposición normativa. Esto no descarta que, en la práctica, al emitirse la opinión sobre la interpretación del ordenamiento jurídico, exista coincidencia con el criterio que expone alguna de las partes o la persona que solicita la consulta, circunstancia que no descarta interpretaciones diferentes</w:t>
      </w:r>
      <w:r w:rsidRPr="00856F20">
        <w:rPr>
          <w:rStyle w:val="Refdenotaalpie"/>
          <w:rFonts w:ascii="Verdana" w:eastAsia="Calibri" w:hAnsi="Verdana" w:cs="Arial"/>
          <w:bCs/>
          <w:lang w:val="es-ES_tradnl"/>
        </w:rPr>
        <w:footnoteReference w:id="3"/>
      </w:r>
      <w:r w:rsidRPr="00856F20">
        <w:rPr>
          <w:rFonts w:ascii="Verdana" w:eastAsia="Calibri" w:hAnsi="Verdana" w:cs="Arial"/>
          <w:bCs/>
          <w:lang w:val="es-ES_tradnl"/>
        </w:rPr>
        <w:t>.</w:t>
      </w:r>
    </w:p>
    <w:p w14:paraId="2412AFF9" w14:textId="77777777" w:rsidR="00105F0E" w:rsidRPr="00856F20" w:rsidRDefault="00105F0E" w:rsidP="00105F0E">
      <w:pPr>
        <w:tabs>
          <w:tab w:val="left" w:pos="709"/>
        </w:tabs>
        <w:spacing w:before="120" w:line="276" w:lineRule="auto"/>
        <w:ind w:firstLine="709"/>
        <w:jc w:val="both"/>
        <w:rPr>
          <w:rFonts w:ascii="Verdana" w:eastAsia="Calibri" w:hAnsi="Verdana" w:cs="Arial"/>
          <w:bCs/>
          <w:lang w:val="es-ES_tradnl"/>
        </w:rPr>
      </w:pPr>
      <w:r w:rsidRPr="00856F20">
        <w:rPr>
          <w:rFonts w:ascii="Verdana" w:eastAsia="Calibri" w:hAnsi="Verdana" w:cs="Arial"/>
          <w:bCs/>
          <w:lang w:val="es-ES_tradnl"/>
        </w:rPr>
        <w:t xml:space="preserve">Las autoridades que ejercen funciones consultivas pueden expresar su interpretación de un precepto normativo que no excluye otras interpretaciones posibles, pues el derecho, como sistema normativo, es un lenguaje que, en ocasiones, se tiñe de vaguedad, en virtud de la utilización de conceptos jurídicos indeterminados. Así, puede pasar, por ejemplo, que un ministerio considere que una norma debe entenderse en un sentido, pero que otra entidad, vinculada o adscrita a ese ministerio, entienda que la misma norma debe interpretarse de otra manera. Eso hace parte de la lógica deliberativa y dialéctica del funcionamiento del Estado y refleja el principio democrático. De todos modos, esto no significa que el criterio de una u otra tenga validez o prevalencia sobre la otra, ya que se trata de opiniones emitidas a título de concepto, pese a que entre las entidades exista una jerarquía o de la naturaleza y competencias que se prediquen de una y otra. Incluso, aun cuando los jueces interpreten con autoridad el sentido de la disposición normativa, el concepto emitido por la entidad no deja de ser tal y no adquiere efectos vinculantes, por más que coincida con el de la autoridad judicial, pues, en esa hipótesis, lo que vincula es la decisión del juez, no el de la entidad que ejerció la función consultiva, pues, como se viene diciendo, dicha competencia se enmarca en el artículo 28 de la Ley 1437 de 2011. En otras palabras, los conceptos </w:t>
      </w:r>
      <w:r>
        <w:rPr>
          <w:rFonts w:ascii="Verdana" w:eastAsia="Calibri" w:hAnsi="Verdana" w:cs="Arial"/>
          <w:bCs/>
          <w:lang w:val="es-ES_tradnl"/>
        </w:rPr>
        <w:t>“</w:t>
      </w:r>
      <w:r w:rsidRPr="00856F20">
        <w:rPr>
          <w:rFonts w:ascii="Verdana" w:eastAsia="Calibri" w:hAnsi="Verdana" w:cs="Arial"/>
          <w:bCs/>
          <w:lang w:val="es-ES_tradnl"/>
        </w:rPr>
        <w:t>no serán de obligatorio cumplimiento o ejecución</w:t>
      </w:r>
      <w:r>
        <w:rPr>
          <w:rFonts w:ascii="Verdana" w:eastAsia="Calibri" w:hAnsi="Verdana" w:cs="Arial"/>
          <w:bCs/>
          <w:lang w:val="es-ES_tradnl"/>
        </w:rPr>
        <w:t>”</w:t>
      </w:r>
      <w:r w:rsidRPr="00856F20">
        <w:rPr>
          <w:rFonts w:ascii="Verdana" w:eastAsia="Calibri" w:hAnsi="Verdana" w:cs="Arial"/>
          <w:bCs/>
          <w:lang w:val="es-ES_tradnl"/>
        </w:rPr>
        <w:t xml:space="preserve">. </w:t>
      </w:r>
    </w:p>
    <w:p w14:paraId="7BF59894" w14:textId="77777777" w:rsidR="00105F0E" w:rsidRPr="00856F20" w:rsidRDefault="00105F0E" w:rsidP="00105F0E">
      <w:pPr>
        <w:tabs>
          <w:tab w:val="left" w:pos="709"/>
        </w:tabs>
        <w:spacing w:before="120" w:after="0" w:line="276" w:lineRule="auto"/>
        <w:jc w:val="both"/>
        <w:rPr>
          <w:rFonts w:ascii="Verdana" w:eastAsia="Calibri" w:hAnsi="Verdana" w:cs="Arial"/>
          <w:bCs/>
          <w:lang w:val="es-ES_tradnl"/>
        </w:rPr>
      </w:pPr>
      <w:r w:rsidRPr="00856F20">
        <w:rPr>
          <w:rFonts w:ascii="Verdana" w:eastAsia="Calibri" w:hAnsi="Verdana" w:cs="Arial"/>
          <w:bCs/>
          <w:lang w:val="es-ES_tradnl"/>
        </w:rPr>
        <w:tab/>
        <w:t xml:space="preserve">En similares términos, el artículo 112 de la Ley 1437 de 2011 establece, en relación con la Sala de Consulta y Servicio Civil, que </w:t>
      </w:r>
      <w:r>
        <w:rPr>
          <w:rFonts w:ascii="Verdana" w:eastAsia="Calibri" w:hAnsi="Verdana" w:cs="Arial"/>
          <w:bCs/>
          <w:lang w:val="es-ES_tradnl"/>
        </w:rPr>
        <w:t>“</w:t>
      </w:r>
      <w:r w:rsidRPr="00856F20">
        <w:rPr>
          <w:rFonts w:ascii="Verdana" w:eastAsia="Calibri" w:hAnsi="Verdana" w:cs="Arial"/>
          <w:bCs/>
          <w:lang w:val="es-ES_tradnl"/>
        </w:rPr>
        <w:t>los conceptos de la Sala no serán vinculantes, salvo que la ley disponga lo contrario</w:t>
      </w:r>
      <w:r>
        <w:rPr>
          <w:rFonts w:ascii="Verdana" w:eastAsia="Calibri" w:hAnsi="Verdana" w:cs="Arial"/>
          <w:bCs/>
          <w:lang w:val="es-ES_tradnl"/>
        </w:rPr>
        <w:t>”</w:t>
      </w:r>
      <w:r w:rsidRPr="00856F20">
        <w:rPr>
          <w:rStyle w:val="Refdenotaalpie"/>
          <w:rFonts w:ascii="Verdana" w:eastAsia="Calibri" w:hAnsi="Verdana" w:cs="Arial"/>
          <w:bCs/>
          <w:lang w:val="es-ES_tradnl"/>
        </w:rPr>
        <w:footnoteReference w:id="4"/>
      </w:r>
      <w:r w:rsidRPr="00856F20">
        <w:rPr>
          <w:rFonts w:ascii="Verdana" w:eastAsia="Calibri" w:hAnsi="Verdana" w:cs="Arial"/>
          <w:bCs/>
          <w:lang w:val="es-ES_tradnl"/>
        </w:rPr>
        <w:t xml:space="preserve">. Se trata, </w:t>
      </w:r>
      <w:r w:rsidRPr="00856F20">
        <w:rPr>
          <w:rFonts w:ascii="Verdana" w:eastAsia="Calibri" w:hAnsi="Verdana" w:cs="Arial"/>
          <w:bCs/>
          <w:i/>
          <w:iCs/>
          <w:lang w:val="es-ES_tradnl"/>
        </w:rPr>
        <w:t>mutatis mutandis</w:t>
      </w:r>
      <w:r w:rsidRPr="00856F20">
        <w:rPr>
          <w:rFonts w:ascii="Verdana" w:eastAsia="Calibri" w:hAnsi="Verdana" w:cs="Arial"/>
          <w:bCs/>
          <w:lang w:val="es-ES_tradnl"/>
        </w:rPr>
        <w:t>,</w:t>
      </w:r>
      <w:r w:rsidRPr="00856F20">
        <w:rPr>
          <w:rFonts w:ascii="Verdana" w:eastAsia="Calibri" w:hAnsi="Verdana" w:cs="Arial"/>
          <w:bCs/>
          <w:i/>
          <w:iCs/>
          <w:lang w:val="es-ES_tradnl"/>
        </w:rPr>
        <w:t xml:space="preserve"> </w:t>
      </w:r>
      <w:r w:rsidRPr="00856F20">
        <w:rPr>
          <w:rFonts w:ascii="Verdana" w:eastAsia="Calibri" w:hAnsi="Verdana" w:cs="Arial"/>
          <w:bCs/>
          <w:lang w:val="es-ES_tradnl"/>
        </w:rPr>
        <w:t xml:space="preserve">del ejercicio de una función consultiva, cuyos efectos, por ende, serán los mismos: no vinculantes ni de obligatorio cumplimiento. En relación con el </w:t>
      </w:r>
      <w:r w:rsidRPr="00856F20">
        <w:rPr>
          <w:rFonts w:ascii="Verdana" w:eastAsia="Calibri" w:hAnsi="Verdana" w:cs="Arial"/>
          <w:bCs/>
          <w:lang w:val="es-ES_tradnl"/>
        </w:rPr>
        <w:lastRenderedPageBreak/>
        <w:t>tema, la Sala de Consulta y Servicio Civil del Consejo de Estado, se pronunció en los siguientes términos:</w:t>
      </w:r>
    </w:p>
    <w:p w14:paraId="17EB5DA7" w14:textId="77777777" w:rsidR="00105F0E" w:rsidRPr="00856F20" w:rsidRDefault="00105F0E" w:rsidP="00105F0E">
      <w:pPr>
        <w:tabs>
          <w:tab w:val="left" w:pos="426"/>
        </w:tabs>
        <w:spacing w:after="0" w:line="276" w:lineRule="auto"/>
        <w:jc w:val="both"/>
        <w:rPr>
          <w:rFonts w:ascii="Verdana" w:eastAsia="Calibri" w:hAnsi="Verdana" w:cs="Arial"/>
          <w:bCs/>
          <w:lang w:val="es-ES_tradnl"/>
        </w:rPr>
      </w:pPr>
    </w:p>
    <w:p w14:paraId="3B749B1F" w14:textId="77777777" w:rsidR="00105F0E" w:rsidRPr="00603CFA" w:rsidRDefault="00105F0E" w:rsidP="00105F0E">
      <w:pPr>
        <w:tabs>
          <w:tab w:val="left" w:pos="426"/>
        </w:tabs>
        <w:spacing w:after="120" w:line="240" w:lineRule="auto"/>
        <w:ind w:left="709" w:right="709"/>
        <w:jc w:val="both"/>
        <w:rPr>
          <w:rFonts w:ascii="Verdana" w:eastAsia="Calibri" w:hAnsi="Verdana" w:cs="Arial"/>
          <w:bCs/>
          <w:sz w:val="20"/>
          <w:szCs w:val="20"/>
          <w:lang w:val="es-ES_tradnl"/>
        </w:rPr>
      </w:pPr>
      <w:r w:rsidRPr="00603CFA">
        <w:rPr>
          <w:rFonts w:ascii="Verdana" w:eastAsia="Calibri" w:hAnsi="Verdana" w:cs="Arial"/>
          <w:bCs/>
          <w:sz w:val="20"/>
          <w:szCs w:val="20"/>
          <w:lang w:val="es-ES_tradnl"/>
        </w:rPr>
        <w:t xml:space="preserve">“De otra parte, recuerda la Sala que la función consultiva no constituye un trámite controversial de tipo judicial; se encuentra establecida como un mecanismo constitucional dirigido a asegurar que la actuación de la Administración se adecue al ordenamiento jurídico y al interés general por el que le corresponde velar en el ejercicio de sus funciones. La defensa del ordenamiento jurídico por esta vía se realiza a través de un órgano independiente y autónomo del poder judicial, que actúa por tanto con independencia de criterios, dentro de una lógica de colaboración armónica de poderes (art.113 C.P).  </w:t>
      </w:r>
    </w:p>
    <w:p w14:paraId="036FCABC" w14:textId="77777777" w:rsidR="00105F0E" w:rsidRPr="00603CFA" w:rsidRDefault="00105F0E" w:rsidP="00105F0E">
      <w:pPr>
        <w:tabs>
          <w:tab w:val="left" w:pos="426"/>
        </w:tabs>
        <w:spacing w:after="0" w:line="240" w:lineRule="auto"/>
        <w:ind w:left="709" w:right="709"/>
        <w:jc w:val="both"/>
        <w:rPr>
          <w:rFonts w:ascii="Verdana" w:eastAsia="Calibri" w:hAnsi="Verdana" w:cs="Arial"/>
          <w:bCs/>
          <w:sz w:val="20"/>
          <w:szCs w:val="20"/>
          <w:lang w:val="es-ES_tradnl"/>
        </w:rPr>
      </w:pPr>
      <w:r w:rsidRPr="00603CFA">
        <w:rPr>
          <w:rFonts w:ascii="Verdana" w:eastAsia="Calibri" w:hAnsi="Verdana" w:cs="Arial"/>
          <w:bCs/>
          <w:sz w:val="20"/>
          <w:szCs w:val="20"/>
          <w:lang w:val="es-ES_tradnl"/>
        </w:rPr>
        <w:t>No se trata entonces de dar la razón a una u otra posición en temas controvertibles, sino de rendir un concepto jurídico que sirva a la Administración en la búsqueda del cumplimiento de las finalidades esenciales del Estado”</w:t>
      </w:r>
      <w:r w:rsidRPr="00603CFA">
        <w:rPr>
          <w:rStyle w:val="Refdenotaalpie"/>
          <w:rFonts w:ascii="Verdana" w:eastAsia="Calibri" w:hAnsi="Verdana" w:cs="Arial"/>
          <w:bCs/>
          <w:sz w:val="20"/>
          <w:szCs w:val="20"/>
          <w:lang w:val="es-ES_tradnl"/>
        </w:rPr>
        <w:footnoteReference w:id="5"/>
      </w:r>
      <w:r w:rsidRPr="00603CFA">
        <w:rPr>
          <w:rFonts w:ascii="Verdana" w:eastAsia="Calibri" w:hAnsi="Verdana" w:cs="Arial"/>
          <w:bCs/>
          <w:sz w:val="20"/>
          <w:szCs w:val="20"/>
          <w:lang w:val="es-ES_tradnl"/>
        </w:rPr>
        <w:t>.</w:t>
      </w:r>
    </w:p>
    <w:p w14:paraId="72C132EF" w14:textId="77777777" w:rsidR="00105F0E" w:rsidRPr="00856F20" w:rsidRDefault="00105F0E" w:rsidP="00105F0E">
      <w:pPr>
        <w:tabs>
          <w:tab w:val="left" w:pos="426"/>
        </w:tabs>
        <w:spacing w:after="0" w:line="276" w:lineRule="auto"/>
        <w:jc w:val="both"/>
        <w:rPr>
          <w:rFonts w:ascii="Verdana" w:eastAsia="Calibri" w:hAnsi="Verdana" w:cs="Arial"/>
          <w:bCs/>
          <w:lang w:val="es-ES_tradnl"/>
        </w:rPr>
      </w:pPr>
    </w:p>
    <w:p w14:paraId="78CBF434" w14:textId="77777777" w:rsidR="00105F0E" w:rsidRPr="00856F20" w:rsidRDefault="00105F0E" w:rsidP="00105F0E">
      <w:pPr>
        <w:tabs>
          <w:tab w:val="left" w:pos="709"/>
        </w:tabs>
        <w:spacing w:line="276" w:lineRule="auto"/>
        <w:jc w:val="both"/>
        <w:rPr>
          <w:rFonts w:ascii="Verdana" w:eastAsia="Calibri" w:hAnsi="Verdana" w:cs="Arial"/>
          <w:bCs/>
          <w:lang w:val="es-ES_tradnl"/>
        </w:rPr>
      </w:pPr>
      <w:r w:rsidRPr="00856F20">
        <w:rPr>
          <w:rFonts w:ascii="Verdana" w:eastAsia="Calibri" w:hAnsi="Verdana" w:cs="Arial"/>
          <w:bCs/>
          <w:lang w:val="es-ES_tradnl"/>
        </w:rPr>
        <w:tab/>
        <w:t>El ejercicio de la función consultiva del artículo 28 de la Ley 1437 de 2011 descarta la resolución de controversias en curso o de problemas cuyos efectos se concreten. Lo primero, debe manejarlo la propia entidad ante la que se presenta el problema, y lo segundo el juez competente. En últimas, siempre que no exista una decisión judicial vinculante, los destinatarios de la norma serán los que interpreten el ordenamiento jurídico. Así las cosas, a título de ejemplo, si una entidad considera que un término vence en un momento específico, habida cuenta de su lectura exegética de la norma respectiva, pero otra entiende que el término vence en otro momento, amparada en una lectura teleológica del ordenamiento jurídico, serán los destinatarios de dicha norma los que decidirán cuál es la interpretación por la que optan, claro está, sin perjuicio del posterior control judicial que podrá hacerse a solicitud de alguno de los interesados. No se trata, entonces, de jerarquías interpretativas sino de opiniones diferentes. El peso de la interpretación depende de la razonabilidad de los argumentos y de la inteligibilidad de la opinión.</w:t>
      </w:r>
    </w:p>
    <w:p w14:paraId="436478FC" w14:textId="77777777" w:rsidR="00105F0E" w:rsidRPr="00856F20" w:rsidRDefault="00105F0E" w:rsidP="00105F0E">
      <w:pPr>
        <w:tabs>
          <w:tab w:val="left" w:pos="709"/>
        </w:tabs>
        <w:spacing w:before="120" w:after="120" w:line="276" w:lineRule="auto"/>
        <w:jc w:val="both"/>
        <w:rPr>
          <w:rFonts w:ascii="Verdana" w:eastAsia="Calibri" w:hAnsi="Verdana" w:cs="Arial"/>
          <w:bCs/>
          <w:lang w:val="es-ES_tradnl"/>
        </w:rPr>
      </w:pPr>
      <w:r w:rsidRPr="00856F20">
        <w:rPr>
          <w:rFonts w:ascii="Verdana" w:eastAsia="Calibri" w:hAnsi="Verdana" w:cs="Arial"/>
          <w:bCs/>
          <w:lang w:val="es-ES_tradnl"/>
        </w:rPr>
        <w:tab/>
        <w:t xml:space="preserve">Otro asunto es que la entidad que lee la norma exegéticamente, luego de la decisión judicial, ejerza sus competencias desconociendo la interpretación del juez, como podría pasar, en el ejemplo propuesto, si la entidad rechaza por extemporáneo un recurso, omitiendo la lectura que los jueces hicieron con </w:t>
      </w:r>
      <w:r w:rsidRPr="00856F20">
        <w:rPr>
          <w:rFonts w:ascii="Verdana" w:eastAsia="Calibri" w:hAnsi="Verdana" w:cs="Arial"/>
          <w:bCs/>
          <w:lang w:val="es-ES_tradnl"/>
        </w:rPr>
        <w:lastRenderedPageBreak/>
        <w:t>criterio de autoridad. Con todo, por la naturaleza de la función consultiva, es perfectamente válido que la misma entidad, a título de concepto, mantenga la opinión que no coincide con la judicial, porque la misma no es vinculante.</w:t>
      </w:r>
    </w:p>
    <w:p w14:paraId="00822C66" w14:textId="77777777" w:rsidR="00105F0E" w:rsidRDefault="00105F0E" w:rsidP="00105F0E">
      <w:pPr>
        <w:tabs>
          <w:tab w:val="left" w:pos="709"/>
        </w:tabs>
        <w:spacing w:after="0" w:line="276" w:lineRule="auto"/>
        <w:jc w:val="both"/>
        <w:rPr>
          <w:rFonts w:ascii="Verdana" w:eastAsia="Calibri" w:hAnsi="Verdana" w:cs="Arial"/>
          <w:color w:val="000000"/>
          <w:szCs w:val="24"/>
          <w:lang w:val="es-ES_tradnl" w:eastAsia="es-ES_tradnl"/>
        </w:rPr>
      </w:pPr>
      <w:r w:rsidRPr="00856F20">
        <w:rPr>
          <w:rFonts w:ascii="Verdana" w:eastAsia="Calibri" w:hAnsi="Verdana" w:cs="Arial"/>
          <w:bCs/>
          <w:lang w:val="es-ES_tradnl"/>
        </w:rPr>
        <w:tab/>
      </w:r>
      <w:bookmarkStart w:id="2" w:name="_Hlk42100007"/>
      <w:r w:rsidRPr="00856F20">
        <w:rPr>
          <w:rFonts w:ascii="Verdana" w:eastAsia="Calibri" w:hAnsi="Verdana" w:cs="Arial"/>
          <w:bCs/>
          <w:lang w:val="es-ES_tradnl"/>
        </w:rPr>
        <w:t xml:space="preserve">Así las cosas, Colombia Compra Eficiente considera que no hay lugar a acceder, por ejemplo, a solicitudes de </w:t>
      </w:r>
      <w:r w:rsidRPr="00856F20">
        <w:rPr>
          <w:rFonts w:ascii="Verdana" w:eastAsia="Calibri" w:hAnsi="Verdana" w:cs="Arial"/>
          <w:bCs/>
          <w:i/>
          <w:iCs/>
          <w:lang w:val="es-ES_tradnl"/>
        </w:rPr>
        <w:t>revocación directa</w:t>
      </w:r>
      <w:r w:rsidRPr="00856F20">
        <w:rPr>
          <w:rFonts w:ascii="Verdana" w:eastAsia="Calibri" w:hAnsi="Verdana" w:cs="Arial"/>
          <w:bCs/>
          <w:lang w:val="es-ES_tradnl"/>
        </w:rPr>
        <w:t xml:space="preserve"> de los conceptos, pues no son actos administrativos, no tienen efectos vinculantes en relación con una situación jurídica particular y concreta, y exponen un criterio que, aunque jurídicamente fundamentado, no representan necesariamente la </w:t>
      </w:r>
      <w:r w:rsidRPr="00856F20">
        <w:rPr>
          <w:rFonts w:ascii="Verdana" w:eastAsia="Calibri" w:hAnsi="Verdana" w:cs="Arial"/>
          <w:bCs/>
          <w:i/>
          <w:iCs/>
          <w:lang w:val="es-ES_tradnl"/>
        </w:rPr>
        <w:t>única</w:t>
      </w:r>
      <w:r w:rsidRPr="00856F20">
        <w:rPr>
          <w:rFonts w:ascii="Verdana" w:eastAsia="Calibri" w:hAnsi="Verdana" w:cs="Arial"/>
          <w:bCs/>
          <w:lang w:val="es-ES_tradnl"/>
        </w:rPr>
        <w:t xml:space="preserve"> interpretación válida del ordenamiento jurídico.</w:t>
      </w:r>
      <w:bookmarkEnd w:id="2"/>
      <w:r w:rsidRPr="00856F20">
        <w:rPr>
          <w:rFonts w:ascii="Verdana" w:eastAsia="Calibri" w:hAnsi="Verdana" w:cs="Arial"/>
          <w:bCs/>
          <w:lang w:val="es-ES_tradnl"/>
        </w:rPr>
        <w:t xml:space="preserve"> Lo anterior no implica que la Agencia Nacional de Contratación Pública considere inalterables sus posturas, pues, de ser necesario, podría replantear una tesis previamente expuesta, bajo estrictos estándares argumentativos, al emitir otro concepto, ya que, dada su falta de vinculatoriedad, la legitimación de sus posturas proviene de la fuerza de los argumentos. </w:t>
      </w:r>
      <w:r w:rsidRPr="00856F20">
        <w:rPr>
          <w:rFonts w:ascii="Verdana" w:eastAsia="Calibri" w:hAnsi="Verdana" w:cs="Arial"/>
          <w:color w:val="000000"/>
          <w:szCs w:val="24"/>
          <w:lang w:val="es-ES_tradnl" w:eastAsia="es-ES_tradnl"/>
        </w:rPr>
        <w:t xml:space="preserve"> </w:t>
      </w:r>
    </w:p>
    <w:p w14:paraId="1CEDF829" w14:textId="77777777" w:rsidR="00105F0E" w:rsidRDefault="00105F0E" w:rsidP="00105F0E">
      <w:pPr>
        <w:tabs>
          <w:tab w:val="left" w:pos="709"/>
        </w:tabs>
        <w:spacing w:after="0" w:line="276" w:lineRule="auto"/>
        <w:jc w:val="both"/>
        <w:rPr>
          <w:rFonts w:ascii="Verdana" w:eastAsia="Calibri" w:hAnsi="Verdana" w:cs="Arial"/>
          <w:color w:val="000000"/>
          <w:szCs w:val="24"/>
          <w:lang w:val="es-ES_tradnl" w:eastAsia="es-ES_tradnl"/>
        </w:rPr>
      </w:pPr>
    </w:p>
    <w:p w14:paraId="7055EBB9" w14:textId="77777777" w:rsidR="00105F0E" w:rsidRPr="00E74FB5" w:rsidRDefault="00105F0E" w:rsidP="00105F0E">
      <w:pPr>
        <w:spacing w:after="0" w:line="276" w:lineRule="auto"/>
        <w:jc w:val="both"/>
        <w:rPr>
          <w:rFonts w:ascii="Verdana" w:eastAsia="Calibri" w:hAnsi="Verdana" w:cs="Arial"/>
          <w:lang w:val="es-MX"/>
        </w:rPr>
      </w:pPr>
      <w:proofErr w:type="spellStart"/>
      <w:r>
        <w:rPr>
          <w:rFonts w:ascii="Verdana" w:eastAsia="Calibri" w:hAnsi="Verdana" w:cs="Arial"/>
          <w:color w:val="000000"/>
          <w:szCs w:val="24"/>
          <w:lang w:val="es-ES_tradnl" w:eastAsia="es-ES_tradnl"/>
        </w:rPr>
        <w:t>ii</w:t>
      </w:r>
      <w:proofErr w:type="spellEnd"/>
      <w:r>
        <w:rPr>
          <w:rFonts w:ascii="Verdana" w:eastAsia="Calibri" w:hAnsi="Verdana" w:cs="Arial"/>
          <w:color w:val="000000"/>
          <w:szCs w:val="24"/>
          <w:lang w:val="es-ES_tradnl" w:eastAsia="es-ES_tradnl"/>
        </w:rPr>
        <w:t xml:space="preserve">. En este marco, </w:t>
      </w:r>
      <w:r w:rsidRPr="00E74FB5">
        <w:rPr>
          <w:rFonts w:ascii="Verdana" w:eastAsia="Calibri" w:hAnsi="Verdana" w:cs="Arial"/>
          <w:lang w:val="es-MX"/>
        </w:rPr>
        <w:t>la Agencia Nacional de Contratación Pública – Colombia Compra Eficiente puso a disposición de los interesados del Sistema de Compra Pública el Manual para determinar y verificar requisitos habilitantes en los procesos de contratación, donde se establecen las definiciones de cada requisito habilitante y se dan lineamientos sobre lo que las entidades pueden hacer para establecerlos. En relación con la experiencia, el Manual se centra en su carácter personal, lo cual significa que la experiencia se obtiene en razón a la participación, con anterioridad, en actividades que le permitieron conocer cómo ejecutar determinado objeto contractual, que la entidad ahora pretende desarrollar</w:t>
      </w:r>
      <w:r w:rsidRPr="00E74FB5">
        <w:rPr>
          <w:rFonts w:ascii="Verdana" w:eastAsia="Calibri" w:hAnsi="Verdana" w:cs="Arial"/>
          <w:vertAlign w:val="superscript"/>
          <w:lang w:val="es-MX"/>
        </w:rPr>
        <w:footnoteReference w:id="6"/>
      </w:r>
      <w:r w:rsidRPr="00E74FB5">
        <w:rPr>
          <w:rFonts w:ascii="Verdana" w:eastAsia="Calibri" w:hAnsi="Verdana" w:cs="Arial"/>
          <w:lang w:val="es-MX"/>
        </w:rPr>
        <w:t>.</w:t>
      </w:r>
    </w:p>
    <w:p w14:paraId="2B4111B4" w14:textId="77777777" w:rsidR="00105F0E" w:rsidRPr="00E74FB5" w:rsidRDefault="00105F0E" w:rsidP="00105F0E">
      <w:pPr>
        <w:spacing w:before="120" w:after="120" w:line="276" w:lineRule="auto"/>
        <w:ind w:firstLine="708"/>
        <w:jc w:val="both"/>
        <w:rPr>
          <w:rFonts w:ascii="Verdana" w:eastAsia="Calibri" w:hAnsi="Verdana" w:cs="Arial"/>
          <w:lang w:val="es-MX"/>
        </w:rPr>
      </w:pPr>
      <w:r w:rsidRPr="00E74FB5">
        <w:rPr>
          <w:rFonts w:ascii="Verdana" w:eastAsia="Calibri" w:hAnsi="Verdana" w:cs="Arial"/>
          <w:lang w:val="es-MX"/>
        </w:rPr>
        <w:lastRenderedPageBreak/>
        <w:t xml:space="preserve">Lo anterior es determinante, porque no es posible adquirir la experiencia si en la práctica no se han ejecutado actividades similares previas; y precisamente de la experiencia se deriva el conocimiento del proponente, y para la contratación pública es importante, pues ello garantiza que no habrá improvisación ni mayores costos por errores o dificultades originadas en realizar una actividad por primera vez. Adicionalmente, el Manual explica que la experiencia puede obtenerse directamente o por participar asociado con otra persona, como es el caso de los proponentes plurales, en cuyo evento la experiencia no deja de ser personal, sino que es proporcional a la participación como miembro de un consorcio o unión temporal, donde por tratarse de esquemas asociativos la experiencia es compartida. Por otra parte, la Agencia recomienda que la experiencia que se solicite sea proporcional y no igual al objeto que se va a contratar, ya que esto puede limitar la participación de los proveedores por no haber ejecutado un objeto igual pero sí similar, lo que ayuda a que exista pluralidad de oferentes. </w:t>
      </w:r>
    </w:p>
    <w:p w14:paraId="7A51016D" w14:textId="77777777" w:rsidR="00105F0E" w:rsidRPr="00E74FB5" w:rsidRDefault="00105F0E" w:rsidP="00105F0E">
      <w:pPr>
        <w:spacing w:before="120" w:after="120" w:line="276" w:lineRule="auto"/>
        <w:ind w:firstLine="708"/>
        <w:jc w:val="both"/>
        <w:rPr>
          <w:rFonts w:ascii="Verdana" w:eastAsia="Calibri" w:hAnsi="Verdana" w:cs="Arial"/>
          <w:lang w:val="es-MX"/>
        </w:rPr>
      </w:pPr>
      <w:r w:rsidRPr="00E74FB5">
        <w:rPr>
          <w:rFonts w:ascii="Verdana" w:eastAsia="Calibri" w:hAnsi="Verdana" w:cs="Arial"/>
          <w:lang w:val="es-MX"/>
        </w:rPr>
        <w:t xml:space="preserve">Finalmente, pueden extraerse cuatro (4) conclusiones relevantes para evaluar las figuras y reformas estatutarias de las sociedades comerciales, respecto de la experiencia: </w:t>
      </w:r>
    </w:p>
    <w:p w14:paraId="10B0A70A" w14:textId="77777777" w:rsidR="00105F0E" w:rsidRPr="00E74FB5" w:rsidRDefault="00105F0E" w:rsidP="00105F0E">
      <w:pPr>
        <w:spacing w:before="120" w:after="120" w:line="276" w:lineRule="auto"/>
        <w:ind w:firstLine="708"/>
        <w:jc w:val="both"/>
        <w:rPr>
          <w:rFonts w:ascii="Verdana" w:eastAsia="Calibri" w:hAnsi="Verdana" w:cs="Arial"/>
          <w:lang w:val="es-MX"/>
        </w:rPr>
      </w:pPr>
      <w:r w:rsidRPr="00E74FB5">
        <w:rPr>
          <w:rFonts w:ascii="Verdana" w:eastAsia="Calibri" w:hAnsi="Verdana" w:cs="Arial"/>
          <w:lang w:val="es-MX"/>
        </w:rPr>
        <w:t xml:space="preserve">i) La experiencia es </w:t>
      </w:r>
      <w:r w:rsidRPr="00E74FB5">
        <w:rPr>
          <w:rFonts w:ascii="Verdana" w:eastAsia="Calibri" w:hAnsi="Verdana" w:cs="Arial"/>
          <w:i/>
          <w:iCs/>
          <w:lang w:val="es-MX"/>
        </w:rPr>
        <w:t>personal</w:t>
      </w:r>
      <w:r w:rsidRPr="00E74FB5">
        <w:rPr>
          <w:rFonts w:ascii="Verdana" w:eastAsia="Calibri" w:hAnsi="Verdana" w:cs="Arial"/>
          <w:lang w:val="es-MX"/>
        </w:rPr>
        <w:t>, esto es, se adquiere participando, directa o indirectamente, sin que sea posible no hacerlo y tener experiencia.</w:t>
      </w:r>
    </w:p>
    <w:p w14:paraId="6404E872" w14:textId="77777777" w:rsidR="00105F0E" w:rsidRPr="00E74FB5" w:rsidRDefault="00105F0E" w:rsidP="00105F0E">
      <w:pPr>
        <w:spacing w:before="120" w:after="120" w:line="276" w:lineRule="auto"/>
        <w:ind w:firstLine="708"/>
        <w:jc w:val="both"/>
        <w:rPr>
          <w:rFonts w:ascii="Verdana" w:eastAsia="Calibri" w:hAnsi="Verdana" w:cs="Arial"/>
          <w:lang w:val="es-MX"/>
        </w:rPr>
      </w:pPr>
      <w:r w:rsidRPr="00E74FB5">
        <w:rPr>
          <w:rFonts w:ascii="Verdana" w:eastAsia="Calibri" w:hAnsi="Verdana" w:cs="Arial"/>
          <w:lang w:val="es-MX"/>
        </w:rPr>
        <w:t xml:space="preserve">ii) La experiencia se puede </w:t>
      </w:r>
      <w:r w:rsidRPr="00E74FB5">
        <w:rPr>
          <w:rFonts w:ascii="Verdana" w:eastAsia="Calibri" w:hAnsi="Verdana" w:cs="Arial"/>
          <w:i/>
          <w:iCs/>
          <w:lang w:val="es-MX"/>
        </w:rPr>
        <w:t>compartir</w:t>
      </w:r>
      <w:r w:rsidRPr="00E74FB5">
        <w:rPr>
          <w:rFonts w:ascii="Verdana" w:eastAsia="Calibri" w:hAnsi="Verdana" w:cs="Arial"/>
          <w:lang w:val="es-MX"/>
        </w:rPr>
        <w:t xml:space="preserve">, sin que implique que la compartida a una persona se entienda suya, ya que dentro del procedimiento contractual se reflejará que esa persona tiene la experiencia de otra, como es el caso de las figuras asociativas   </w:t>
      </w:r>
      <w:r w:rsidRPr="00E74FB5">
        <w:rPr>
          <w:rFonts w:ascii="Arial" w:eastAsia="Calibri" w:hAnsi="Arial" w:cs="Arial"/>
          <w:lang w:val="es-MX"/>
        </w:rPr>
        <w:t>̶</w:t>
      </w:r>
      <w:r w:rsidRPr="00E74FB5">
        <w:rPr>
          <w:rFonts w:ascii="Verdana" w:eastAsia="Calibri" w:hAnsi="Verdana" w:cs="Arial"/>
          <w:lang w:val="es-MX"/>
        </w:rPr>
        <w:t xml:space="preserve"> consorcios y uniones temporales </w:t>
      </w:r>
      <w:r w:rsidRPr="00E74FB5">
        <w:rPr>
          <w:rFonts w:ascii="Arial" w:eastAsia="Calibri" w:hAnsi="Arial" w:cs="Arial"/>
          <w:lang w:val="es-MX"/>
        </w:rPr>
        <w:t>̶</w:t>
      </w:r>
      <w:r w:rsidRPr="00E74FB5">
        <w:rPr>
          <w:rFonts w:ascii="Verdana" w:eastAsia="Calibri" w:hAnsi="Verdana" w:cs="Arial"/>
          <w:lang w:val="es-MX"/>
        </w:rPr>
        <w:t xml:space="preserve">   que se verificará en el documento privado de constitución</w:t>
      </w:r>
      <w:r w:rsidRPr="00E74FB5">
        <w:rPr>
          <w:rFonts w:ascii="Verdana" w:eastAsia="Calibri" w:hAnsi="Verdana" w:cs="Arial"/>
          <w:vertAlign w:val="superscript"/>
          <w:lang w:val="es-MX"/>
        </w:rPr>
        <w:footnoteReference w:id="7"/>
      </w:r>
      <w:r w:rsidRPr="00E74FB5">
        <w:rPr>
          <w:rFonts w:ascii="Verdana" w:eastAsia="Calibri" w:hAnsi="Verdana" w:cs="Arial"/>
          <w:lang w:val="es-MX"/>
        </w:rPr>
        <w:t>.</w:t>
      </w:r>
    </w:p>
    <w:p w14:paraId="2B565800" w14:textId="77777777" w:rsidR="00105F0E" w:rsidRPr="00E74FB5" w:rsidRDefault="00105F0E" w:rsidP="00105F0E">
      <w:pPr>
        <w:spacing w:before="120" w:after="120" w:line="276" w:lineRule="auto"/>
        <w:ind w:firstLine="708"/>
        <w:jc w:val="both"/>
        <w:rPr>
          <w:rFonts w:ascii="Verdana" w:eastAsia="Calibri" w:hAnsi="Verdana" w:cs="Arial"/>
          <w:lang w:val="es-MX"/>
        </w:rPr>
      </w:pPr>
      <w:r w:rsidRPr="00E74FB5">
        <w:rPr>
          <w:rFonts w:ascii="Verdana" w:eastAsia="Calibri" w:hAnsi="Verdana" w:cs="Arial"/>
          <w:lang w:val="es-MX"/>
        </w:rPr>
        <w:t xml:space="preserve">iii) La experiencia se puede </w:t>
      </w:r>
      <w:r w:rsidRPr="00E74FB5">
        <w:rPr>
          <w:rFonts w:ascii="Verdana" w:eastAsia="Calibri" w:hAnsi="Verdana" w:cs="Arial"/>
          <w:i/>
          <w:iCs/>
          <w:lang w:val="es-MX"/>
        </w:rPr>
        <w:t>transferir</w:t>
      </w:r>
      <w:r w:rsidRPr="00E74FB5">
        <w:rPr>
          <w:rFonts w:ascii="Verdana" w:eastAsia="Calibri" w:hAnsi="Verdana" w:cs="Arial"/>
          <w:lang w:val="es-MX"/>
        </w:rPr>
        <w:t xml:space="preserve">, y esto es diferente a compartir, lo que implica que la experiencia de una persona se traslada a otra, y esta última acredita la experiencia como propia, como sucede con la figura que se explicará </w:t>
      </w:r>
      <w:r>
        <w:rPr>
          <w:rFonts w:ascii="Verdana" w:eastAsia="Calibri" w:hAnsi="Verdana" w:cs="Arial"/>
          <w:lang w:val="es-MX"/>
        </w:rPr>
        <w:t>mas adelante</w:t>
      </w:r>
      <w:r w:rsidRPr="00E74FB5">
        <w:rPr>
          <w:rFonts w:ascii="Verdana" w:eastAsia="Calibri" w:hAnsi="Verdana" w:cs="Arial"/>
          <w:lang w:val="es-MX"/>
        </w:rPr>
        <w:t>.</w:t>
      </w:r>
    </w:p>
    <w:p w14:paraId="2A7AB1C5" w14:textId="77777777" w:rsidR="00105F0E" w:rsidRPr="00E74FB5" w:rsidRDefault="00105F0E" w:rsidP="00105F0E">
      <w:pPr>
        <w:spacing w:after="0" w:line="276" w:lineRule="auto"/>
        <w:ind w:firstLine="708"/>
        <w:jc w:val="both"/>
        <w:rPr>
          <w:rFonts w:ascii="Verdana" w:eastAsia="Calibri" w:hAnsi="Verdana" w:cs="Arial"/>
          <w:lang w:val="es-MX"/>
        </w:rPr>
      </w:pPr>
      <w:r w:rsidRPr="00E74FB5">
        <w:rPr>
          <w:rFonts w:ascii="Verdana" w:eastAsia="Calibri" w:hAnsi="Verdana" w:cs="Arial"/>
          <w:lang w:val="es-MX"/>
        </w:rPr>
        <w:lastRenderedPageBreak/>
        <w:t xml:space="preserve">iv) Cuando la persona que adquirió la experiencia </w:t>
      </w:r>
      <w:r w:rsidRPr="00E74FB5">
        <w:rPr>
          <w:rFonts w:ascii="Verdana" w:eastAsia="Calibri" w:hAnsi="Verdana" w:cs="Arial"/>
          <w:i/>
          <w:iCs/>
          <w:lang w:val="es-MX"/>
        </w:rPr>
        <w:t>desaparece</w:t>
      </w:r>
      <w:r w:rsidRPr="00E74FB5">
        <w:rPr>
          <w:rFonts w:ascii="Verdana" w:eastAsia="Calibri" w:hAnsi="Verdana" w:cs="Arial"/>
          <w:lang w:val="es-MX"/>
        </w:rPr>
        <w:t xml:space="preserve"> o se liquida no es posible que comparta o transfiera su experiencia, porque al ser personal sigue la suerte de quien la adquirió.</w:t>
      </w:r>
    </w:p>
    <w:p w14:paraId="4002AE21" w14:textId="77777777" w:rsidR="00105F0E" w:rsidRPr="00E74FB5" w:rsidRDefault="00105F0E" w:rsidP="00105F0E">
      <w:pPr>
        <w:spacing w:before="120" w:after="120" w:line="276" w:lineRule="auto"/>
        <w:ind w:firstLine="709"/>
        <w:jc w:val="both"/>
        <w:rPr>
          <w:rFonts w:ascii="Verdana" w:hAnsi="Verdana" w:cs="Arial"/>
          <w:lang w:val="es-MX"/>
        </w:rPr>
      </w:pPr>
      <w:r w:rsidRPr="00E74FB5">
        <w:rPr>
          <w:rFonts w:ascii="Verdana" w:hAnsi="Verdana" w:cs="Arial"/>
          <w:lang w:val="es-MX"/>
        </w:rPr>
        <w:t xml:space="preserve">Ahora, el RUP fue creado por el artículo 6 de la Ley 1150 de 2007 y constituye el medio idóneo para verificar las condiciones de los proponentes en procesos de contratación pública. Este registro, conforme a lo señalado por la Corte Constitucional, es administrado por las Cámaras de Comercio y la actividad relacionada en el mismo está </w:t>
      </w:r>
      <w:r>
        <w:rPr>
          <w:rFonts w:ascii="Verdana" w:hAnsi="Verdana" w:cs="Arial"/>
          <w:lang w:val="es-MX"/>
        </w:rPr>
        <w:t>“</w:t>
      </w:r>
      <w:r w:rsidRPr="00E74FB5">
        <w:rPr>
          <w:rFonts w:ascii="Verdana" w:hAnsi="Verdana" w:cs="Arial"/>
          <w:lang w:val="es-MX"/>
        </w:rPr>
        <w:t>sometid[a] a los principios de la función administrativa y de contratación estatal</w:t>
      </w:r>
      <w:r>
        <w:rPr>
          <w:rFonts w:ascii="Verdana" w:hAnsi="Verdana" w:cs="Arial"/>
          <w:lang w:val="es-MX"/>
        </w:rPr>
        <w:t>”</w:t>
      </w:r>
      <w:r w:rsidRPr="00E74FB5">
        <w:rPr>
          <w:rFonts w:ascii="Verdana" w:hAnsi="Verdana" w:cs="Arial"/>
          <w:vertAlign w:val="superscript"/>
          <w:lang w:val="es-MX"/>
        </w:rPr>
        <w:footnoteReference w:id="8"/>
      </w:r>
      <w:r w:rsidRPr="00E74FB5">
        <w:rPr>
          <w:rFonts w:ascii="Verdana" w:hAnsi="Verdana" w:cs="Arial"/>
          <w:lang w:val="es-MX"/>
        </w:rPr>
        <w:t xml:space="preserve">. </w:t>
      </w:r>
    </w:p>
    <w:p w14:paraId="41DF007B" w14:textId="77777777" w:rsidR="00105F0E" w:rsidRPr="00E74FB5" w:rsidRDefault="00105F0E" w:rsidP="00105F0E">
      <w:pPr>
        <w:spacing w:before="120" w:after="120" w:line="276" w:lineRule="auto"/>
        <w:ind w:firstLine="705"/>
        <w:jc w:val="both"/>
        <w:rPr>
          <w:rFonts w:ascii="Verdana" w:hAnsi="Verdana" w:cs="Arial"/>
          <w:lang w:val="es-MX"/>
        </w:rPr>
      </w:pPr>
      <w:r w:rsidRPr="00E74FB5">
        <w:rPr>
          <w:rFonts w:ascii="Verdana" w:hAnsi="Verdana" w:cs="Arial"/>
          <w:lang w:val="es-MX"/>
        </w:rPr>
        <w:t xml:space="preserve">El artículo 6 de la Ley 1150 de 2007 señala que el RUP </w:t>
      </w:r>
      <w:r>
        <w:rPr>
          <w:rFonts w:ascii="Verdana" w:hAnsi="Verdana" w:cs="Arial"/>
          <w:lang w:val="es-MX"/>
        </w:rPr>
        <w:t>“</w:t>
      </w:r>
      <w:r w:rsidRPr="00E74FB5">
        <w:rPr>
          <w:rFonts w:ascii="Verdana" w:hAnsi="Verdana" w:cs="Arial"/>
          <w:lang w:val="es-MX"/>
        </w:rPr>
        <w:t>es plena prueba de las circunstancias que en ella se hagan constar y que hayan sido verificadas por las Cámaras de Comercio</w:t>
      </w:r>
      <w:r>
        <w:rPr>
          <w:rFonts w:ascii="Verdana" w:hAnsi="Verdana" w:cs="Arial"/>
          <w:lang w:val="es-MX"/>
        </w:rPr>
        <w:t>”</w:t>
      </w:r>
      <w:r w:rsidRPr="00E74FB5">
        <w:rPr>
          <w:rFonts w:ascii="Verdana" w:hAnsi="Verdana" w:cs="Arial"/>
          <w:lang w:val="es-MX"/>
        </w:rPr>
        <w:t xml:space="preserve">, es decir, estableció una regla probatoria en lo que se refiere a las condiciones de las proponentes contenidas en el registro, y asignó la competencia a las cámaras para verificarlas. </w:t>
      </w:r>
    </w:p>
    <w:p w14:paraId="23223604" w14:textId="77777777" w:rsidR="00105F0E" w:rsidRPr="00E74FB5" w:rsidRDefault="00105F0E" w:rsidP="00105F0E">
      <w:pPr>
        <w:spacing w:before="120" w:after="120" w:line="276" w:lineRule="auto"/>
        <w:ind w:firstLine="705"/>
        <w:jc w:val="both"/>
        <w:rPr>
          <w:rFonts w:ascii="Verdana" w:hAnsi="Verdana" w:cs="Arial"/>
          <w:lang w:val="es-MX"/>
        </w:rPr>
      </w:pPr>
      <w:r w:rsidRPr="00E74FB5">
        <w:rPr>
          <w:rFonts w:ascii="Verdana" w:hAnsi="Verdana" w:cs="Arial"/>
          <w:lang w:val="es-MX"/>
        </w:rPr>
        <w:t xml:space="preserve">La norma impuso la obligación a todos los proponentes de inscribirse en el registro único de proponentes, salvo en los casos de contratación directa, contratos para la prestación de servicios de salud, contratos de mínima cuantía, enajenación de bienes del Estado, y los contratos que tengan por objeto la adquisición de productos de origen o destinación agropecuaria que se ofrezcan en bolsas de productos legalmente constituidas. De igual forma, están exceptuados los actos y contratos que tengan por objeto directo las actividades comerciales e industriales propias de las empresas industriales y comerciales del Estado y las sociedades de economía mixta y los contratos de concesión de cualquier índole. </w:t>
      </w:r>
    </w:p>
    <w:p w14:paraId="727F0E4B" w14:textId="77777777" w:rsidR="00105F0E" w:rsidRPr="00E74FB5" w:rsidRDefault="00105F0E" w:rsidP="00105F0E">
      <w:pPr>
        <w:spacing w:before="120" w:after="120" w:line="276" w:lineRule="auto"/>
        <w:jc w:val="both"/>
        <w:rPr>
          <w:rFonts w:ascii="Verdana" w:hAnsi="Verdana" w:cs="Arial"/>
          <w:lang w:val="es-MX"/>
        </w:rPr>
      </w:pPr>
      <w:r w:rsidRPr="00E74FB5">
        <w:rPr>
          <w:rFonts w:ascii="Verdana" w:hAnsi="Verdana" w:cs="Arial"/>
          <w:lang w:val="es-MX"/>
        </w:rPr>
        <w:tab/>
        <w:t xml:space="preserve">Asimismo, correlativo a este deber de los proponentes, la norma impuso a las cámaras de comercio la obligación de verificar los requisitos habilitantes de quienes se registren. El inciso 2 del numeral 6.1. le otorga carácter de plena prueba a la información contenida en el registro que haya sido verificada por las cámaras de comercio y, además, dispuso que la verificación de las condiciones de que trata el numeral 1 del artículo 5 de la Ley 1150 de 2007 se demostrará </w:t>
      </w:r>
      <w:r>
        <w:rPr>
          <w:rFonts w:ascii="Verdana" w:hAnsi="Verdana" w:cs="Arial"/>
          <w:lang w:val="es-MX"/>
        </w:rPr>
        <w:t>“</w:t>
      </w:r>
      <w:r w:rsidRPr="00E74FB5">
        <w:rPr>
          <w:rFonts w:ascii="Verdana" w:hAnsi="Verdana" w:cs="Arial"/>
          <w:lang w:val="es-MX"/>
        </w:rPr>
        <w:t>exclusivamente con el respectivo certificado del RUP en donde deberán constar dichas condiciones</w:t>
      </w:r>
      <w:r>
        <w:rPr>
          <w:rFonts w:ascii="Verdana" w:hAnsi="Verdana" w:cs="Arial"/>
          <w:lang w:val="es-MX"/>
        </w:rPr>
        <w:t>”</w:t>
      </w:r>
      <w:r w:rsidRPr="00E74FB5">
        <w:rPr>
          <w:rFonts w:ascii="Verdana" w:hAnsi="Verdana" w:cs="Arial"/>
          <w:lang w:val="es-MX"/>
        </w:rPr>
        <w:t xml:space="preserve">. </w:t>
      </w:r>
    </w:p>
    <w:p w14:paraId="0F544118" w14:textId="77777777" w:rsidR="00105F0E" w:rsidRPr="00E74FB5" w:rsidRDefault="00105F0E" w:rsidP="00105F0E">
      <w:pPr>
        <w:spacing w:before="120" w:after="120" w:line="276" w:lineRule="auto"/>
        <w:ind w:firstLine="708"/>
        <w:jc w:val="both"/>
        <w:rPr>
          <w:rFonts w:ascii="Verdana" w:hAnsi="Verdana" w:cs="Arial"/>
          <w:lang w:val="es-MX"/>
        </w:rPr>
      </w:pPr>
      <w:r w:rsidRPr="00E74FB5">
        <w:rPr>
          <w:rFonts w:ascii="Verdana" w:hAnsi="Verdana" w:cs="Arial"/>
          <w:lang w:val="es-MX"/>
        </w:rPr>
        <w:lastRenderedPageBreak/>
        <w:t xml:space="preserve">En consecuencia, la norma dispone que a las entidades les está prohibido exigir otros documentos para efectuar la inscripción en el registro, salvo lo dispuesto en el inciso 3 del numeral 6.1.del artículo 6 de la Ley 1150 de 2007, en el que se prevé que la entidad podrá verificar requisitos adicionales a los contenidos en el registro cuando se requiera en virtud de la naturaleza del objeto a contratar. La norma señala que solo en este último evento la entidad podrá hacer la verificación en forma directa, es decir, cuando por el objeto del contrato se requieran verificar requisitos adicionales a los contenidos en el registro.  </w:t>
      </w:r>
    </w:p>
    <w:p w14:paraId="2E51F423" w14:textId="77777777" w:rsidR="00105F0E" w:rsidRDefault="00105F0E" w:rsidP="00105F0E">
      <w:pPr>
        <w:spacing w:after="0" w:line="276" w:lineRule="auto"/>
        <w:ind w:firstLine="709"/>
        <w:jc w:val="both"/>
        <w:rPr>
          <w:rFonts w:ascii="Verdana" w:hAnsi="Verdana" w:cs="Arial"/>
          <w:lang w:val="es-MX"/>
        </w:rPr>
      </w:pPr>
      <w:r w:rsidRPr="00E74FB5">
        <w:rPr>
          <w:rFonts w:ascii="Verdana" w:hAnsi="Verdana" w:cs="Arial"/>
          <w:lang w:val="es-MX"/>
        </w:rPr>
        <w:t xml:space="preserve">De lo anterior se concluye que la regla general es que la experiencia se acredite a través del RUP y, en consecuencia, la evaluación de la experiencia, como requisito habilitante, no puede ser evaluada nuevamente por la entidad pública a partir de otros criterios distintos a los contenidos en el registro único de proponentes. </w:t>
      </w:r>
    </w:p>
    <w:p w14:paraId="190FA1F5" w14:textId="77777777" w:rsidR="00105F0E" w:rsidRDefault="00105F0E" w:rsidP="00105F0E">
      <w:pPr>
        <w:spacing w:after="0" w:line="276" w:lineRule="auto"/>
        <w:jc w:val="both"/>
        <w:rPr>
          <w:rFonts w:ascii="Verdana" w:hAnsi="Verdana" w:cs="Arial"/>
          <w:lang w:val="es-MX"/>
        </w:rPr>
      </w:pPr>
    </w:p>
    <w:p w14:paraId="07C4F32C" w14:textId="77777777" w:rsidR="00105F0E" w:rsidRPr="005A1C07" w:rsidRDefault="00105F0E" w:rsidP="00105F0E">
      <w:pPr>
        <w:spacing w:after="0" w:line="276" w:lineRule="auto"/>
        <w:jc w:val="both"/>
        <w:rPr>
          <w:rFonts w:ascii="Verdana" w:hAnsi="Verdana" w:cs="Arial"/>
          <w:lang w:val="es-MX"/>
        </w:rPr>
      </w:pPr>
      <w:r w:rsidRPr="005A1C07">
        <w:rPr>
          <w:rFonts w:ascii="Verdana" w:hAnsi="Verdana" w:cs="Arial"/>
          <w:lang w:val="es-MX"/>
        </w:rPr>
        <w:t xml:space="preserve">iii. El artículo 5 de la Ley 1150 de 2007 dispone que la capacidad jurídica y las condiciones de experiencia, capacidad financiera y de organización de los proponentes serán objeto de verificación por parte de las entidades como requisitos habilitantes para participar en los procesos de selección y no otorgarán puntaje. Lo anterior con excepción de la selección de consultores mediante un concurso de méritos, donde es posible otorgar puntaje al criterio de experiencia. </w:t>
      </w:r>
    </w:p>
    <w:p w14:paraId="29B1972F" w14:textId="77777777" w:rsidR="00105F0E" w:rsidRPr="005A1C07" w:rsidRDefault="00105F0E" w:rsidP="00105F0E">
      <w:pPr>
        <w:spacing w:before="120" w:after="120" w:line="276" w:lineRule="auto"/>
        <w:ind w:firstLine="708"/>
        <w:jc w:val="both"/>
        <w:rPr>
          <w:rFonts w:ascii="Verdana" w:hAnsi="Verdana" w:cs="Arial"/>
          <w:lang w:val="es-MX"/>
        </w:rPr>
      </w:pPr>
      <w:r w:rsidRPr="005A1C07">
        <w:rPr>
          <w:rFonts w:ascii="Verdana" w:hAnsi="Verdana" w:cs="Arial"/>
          <w:lang w:val="es-MX"/>
        </w:rPr>
        <w:t xml:space="preserve">Por su parte, el artículo 6 de la Ley 1150 de 2007 señala que todas las personas naturales o jurídicas, nacionales o extranjeras, domiciliadas o con sucursal en Colombia, que aspiren celebrar contratos con las entidades deberán estar inscritas en el Registro Único de Proponentes. En dicho registro constará la información relacionada con la experiencia, capacidad jurídica, financiera y de organización del proponente y su clasificación. En relación con el requisito habilitante de experiencia, en el </w:t>
      </w:r>
      <w:r>
        <w:rPr>
          <w:rFonts w:ascii="Verdana" w:hAnsi="Verdana" w:cs="Arial"/>
          <w:lang w:val="es-MX"/>
        </w:rPr>
        <w:t>“</w:t>
      </w:r>
      <w:r w:rsidRPr="005A1C07">
        <w:rPr>
          <w:rFonts w:ascii="Verdana" w:hAnsi="Verdana" w:cs="Arial"/>
          <w:lang w:val="es-MX"/>
        </w:rPr>
        <w:t>Manual para determinar y verificar requisitos habilitantes en los procesos de contratación</w:t>
      </w:r>
      <w:r>
        <w:rPr>
          <w:rFonts w:ascii="Verdana" w:hAnsi="Verdana" w:cs="Arial"/>
          <w:lang w:val="es-MX"/>
        </w:rPr>
        <w:t>”</w:t>
      </w:r>
      <w:r w:rsidRPr="005A1C07">
        <w:rPr>
          <w:rFonts w:ascii="Verdana" w:hAnsi="Verdana" w:cs="Arial"/>
          <w:lang w:val="es-MX"/>
        </w:rPr>
        <w:t xml:space="preserve"> se define la experiencia como </w:t>
      </w:r>
      <w:r>
        <w:rPr>
          <w:rFonts w:ascii="Verdana" w:hAnsi="Verdana" w:cs="Arial"/>
          <w:lang w:val="es-MX"/>
        </w:rPr>
        <w:t>“</w:t>
      </w:r>
      <w:r w:rsidRPr="005A1C07">
        <w:rPr>
          <w:rFonts w:ascii="Verdana" w:hAnsi="Verdana" w:cs="Arial"/>
          <w:lang w:val="es-MX"/>
        </w:rPr>
        <w:t>el conocimiento del proponente derivado de su participación previa en actividades iguales o similares a las previstas en el objeto del contrato</w:t>
      </w:r>
      <w:r>
        <w:rPr>
          <w:rFonts w:ascii="Verdana" w:hAnsi="Verdana" w:cs="Arial"/>
          <w:lang w:val="es-MX"/>
        </w:rPr>
        <w:t>”</w:t>
      </w:r>
      <w:r w:rsidRPr="005A1C07">
        <w:rPr>
          <w:rFonts w:ascii="Verdana" w:hAnsi="Verdana" w:cs="Arial"/>
          <w:lang w:val="es-MX"/>
        </w:rPr>
        <w:t>.</w:t>
      </w:r>
    </w:p>
    <w:p w14:paraId="1D01A265" w14:textId="77777777" w:rsidR="00105F0E" w:rsidRPr="005A1C07" w:rsidRDefault="00105F0E" w:rsidP="00105F0E">
      <w:pPr>
        <w:spacing w:before="120" w:after="120" w:line="276" w:lineRule="auto"/>
        <w:ind w:firstLine="708"/>
        <w:jc w:val="both"/>
        <w:rPr>
          <w:rFonts w:ascii="Verdana" w:hAnsi="Verdana" w:cs="Arial"/>
          <w:lang w:val="es-MX"/>
        </w:rPr>
      </w:pPr>
      <w:r w:rsidRPr="005A1C07">
        <w:rPr>
          <w:rFonts w:ascii="Verdana" w:hAnsi="Verdana" w:cs="Arial"/>
          <w:lang w:val="es-MX"/>
        </w:rPr>
        <w:t xml:space="preserve">El Decreto 1082 de 2015, en el artículo 2.2.1.1.1.5.2, numeral 2.1, establece que si una persona natural se inscribe en el RUP aportará los certificados de experiencia en provisión de bienes, obras y servicios, los cuales deben ser expedidos por terceros que hayan recibido tales bienes, obras y </w:t>
      </w:r>
      <w:r w:rsidRPr="005A1C07">
        <w:rPr>
          <w:rFonts w:ascii="Verdana" w:hAnsi="Verdana" w:cs="Arial"/>
          <w:lang w:val="es-MX"/>
        </w:rPr>
        <w:lastRenderedPageBreak/>
        <w:t>servicios, y deben corresponder a contratos ejecutados o copias de los contratos cuando el interesado no puede obtener tal certificado</w:t>
      </w:r>
      <w:r w:rsidRPr="005A1C07">
        <w:rPr>
          <w:rFonts w:ascii="Verdana" w:hAnsi="Verdana" w:cs="Arial"/>
          <w:vertAlign w:val="superscript"/>
          <w:lang w:val="es-MX"/>
        </w:rPr>
        <w:footnoteReference w:id="9"/>
      </w:r>
      <w:r w:rsidRPr="005A1C07">
        <w:rPr>
          <w:rFonts w:ascii="Verdana" w:hAnsi="Verdana" w:cs="Arial"/>
          <w:lang w:val="es-MX"/>
        </w:rPr>
        <w:t xml:space="preserve">.  </w:t>
      </w:r>
    </w:p>
    <w:p w14:paraId="62BFB8A2" w14:textId="77777777" w:rsidR="00105F0E" w:rsidRPr="005A1C07" w:rsidRDefault="00105F0E" w:rsidP="00105F0E">
      <w:pPr>
        <w:spacing w:before="120" w:after="120" w:line="276" w:lineRule="auto"/>
        <w:ind w:firstLine="708"/>
        <w:jc w:val="both"/>
        <w:rPr>
          <w:rFonts w:ascii="Verdana" w:hAnsi="Verdana" w:cs="Arial"/>
          <w:lang w:val="es-MX"/>
        </w:rPr>
      </w:pPr>
      <w:r w:rsidRPr="005A1C07">
        <w:rPr>
          <w:rFonts w:ascii="Verdana" w:hAnsi="Verdana" w:cs="Arial"/>
          <w:lang w:val="es-MX"/>
        </w:rPr>
        <w:t>El numeral 2.5 del mismo artículo señala que la persona jurídica se registrará aportando los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w:t>
      </w:r>
      <w:r w:rsidRPr="005A1C07">
        <w:rPr>
          <w:rFonts w:ascii="Verdana" w:hAnsi="Verdana" w:cs="Arial"/>
          <w:vertAlign w:val="superscript"/>
          <w:lang w:val="es-MX"/>
        </w:rPr>
        <w:footnoteReference w:id="10"/>
      </w:r>
      <w:r w:rsidRPr="005A1C07">
        <w:rPr>
          <w:rFonts w:ascii="Verdana" w:hAnsi="Verdana" w:cs="Arial"/>
          <w:lang w:val="es-MX"/>
        </w:rPr>
        <w:t xml:space="preserve">. </w:t>
      </w:r>
    </w:p>
    <w:p w14:paraId="701B04AD" w14:textId="77777777" w:rsidR="00105F0E" w:rsidRPr="005A1C07" w:rsidRDefault="00105F0E" w:rsidP="00105F0E">
      <w:pPr>
        <w:spacing w:before="120" w:after="120" w:line="276" w:lineRule="auto"/>
        <w:ind w:firstLine="708"/>
        <w:jc w:val="both"/>
        <w:rPr>
          <w:rFonts w:ascii="Verdana" w:hAnsi="Verdana" w:cs="Arial"/>
          <w:lang w:val="es-MX"/>
        </w:rPr>
      </w:pPr>
      <w:r w:rsidRPr="005A1C07">
        <w:rPr>
          <w:rFonts w:ascii="Verdana" w:hAnsi="Verdana" w:cs="Arial"/>
          <w:lang w:val="es-MX"/>
        </w:rPr>
        <w:t>El interesado debe indicar en cada certificado, o en cada copia de los contratos, los bienes, obras y servicios a los cuales corresponde la experiencia que pretende acreditar, identificándolos con el Clasificador de Bienes y Servicios, en el tercer nivel. Si la constitución del interesado es menor a 3 años, puede acreditar la experiencia de sus accionistas, socios o constituyentes.</w:t>
      </w:r>
    </w:p>
    <w:p w14:paraId="578F5B48" w14:textId="77777777" w:rsidR="00105F0E" w:rsidRPr="005A1C07" w:rsidRDefault="00105F0E" w:rsidP="00105F0E">
      <w:pPr>
        <w:spacing w:before="120" w:after="120" w:line="276" w:lineRule="auto"/>
        <w:ind w:firstLine="708"/>
        <w:jc w:val="both"/>
        <w:rPr>
          <w:rFonts w:ascii="Verdana" w:hAnsi="Verdana" w:cs="Arial"/>
          <w:lang w:val="es-MX"/>
        </w:rPr>
      </w:pPr>
      <w:bookmarkStart w:id="3" w:name="_Hlk67496603"/>
      <w:r w:rsidRPr="005A1C07">
        <w:rPr>
          <w:rFonts w:ascii="Verdana" w:hAnsi="Verdana" w:cs="Arial"/>
          <w:lang w:val="es-MX"/>
        </w:rPr>
        <w:t xml:space="preserve">La parte final del numeral 2.5 del artículo citado incluye una medida diferenciada para las personas jurídicas cuya constitución sea menor a 3 años al momento del registro. Esta prerrogativa, que puede entenderse como una medida de fomento a la participación de pequeños oferentes en la contratación estatal, permite que las sociedades relativamente nuevas </w:t>
      </w:r>
      <w:r w:rsidRPr="005A1C07">
        <w:rPr>
          <w:rFonts w:ascii="Verdana" w:eastAsia="Calibri" w:hAnsi="Verdana" w:cs="Arial"/>
          <w:lang w:val="es-MX"/>
        </w:rPr>
        <w:t>─</w:t>
      </w:r>
      <w:r w:rsidRPr="005A1C07">
        <w:rPr>
          <w:rFonts w:ascii="Verdana" w:hAnsi="Verdana" w:cs="Arial"/>
          <w:lang w:val="es-MX"/>
        </w:rPr>
        <w:t>con menos de 3 años de constitución</w:t>
      </w:r>
      <w:r w:rsidRPr="005A1C07">
        <w:rPr>
          <w:rFonts w:ascii="Verdana" w:eastAsia="Calibri" w:hAnsi="Verdana" w:cs="Arial"/>
          <w:lang w:val="es-MX"/>
        </w:rPr>
        <w:t>─</w:t>
      </w:r>
      <w:r w:rsidRPr="005A1C07">
        <w:rPr>
          <w:rFonts w:ascii="Verdana" w:hAnsi="Verdana" w:cs="Arial"/>
          <w:lang w:val="es-MX"/>
        </w:rPr>
        <w:t xml:space="preserve"> puedan acreditar como experiencia en el RUP la de sus accionistas, socios o constituyentes. A pesar de que la experiencia es inherente a la persona que la ha obtenido, razón por la cual es intransferible en virtud de su carácter personalísimo, por disposición legal o reglamentaria, en casos </w:t>
      </w:r>
      <w:r w:rsidRPr="005A1C07">
        <w:rPr>
          <w:rFonts w:ascii="Verdana" w:hAnsi="Verdana" w:cs="Arial"/>
          <w:lang w:val="es-MX"/>
        </w:rPr>
        <w:lastRenderedPageBreak/>
        <w:t xml:space="preserve">excepcionales, como el descrito por el artículo mencionado, se aplica de otra forma. </w:t>
      </w:r>
    </w:p>
    <w:p w14:paraId="31ADAB5B" w14:textId="77777777" w:rsidR="00105F0E" w:rsidRPr="005A1C07" w:rsidRDefault="00105F0E" w:rsidP="00105F0E">
      <w:pPr>
        <w:spacing w:before="120" w:after="120" w:line="276" w:lineRule="auto"/>
        <w:ind w:firstLine="708"/>
        <w:jc w:val="both"/>
        <w:rPr>
          <w:rFonts w:ascii="Verdana" w:hAnsi="Verdana" w:cs="Arial"/>
          <w:lang w:val="es-MX"/>
        </w:rPr>
      </w:pPr>
      <w:r w:rsidRPr="005A1C07">
        <w:rPr>
          <w:rFonts w:ascii="Verdana" w:hAnsi="Verdana" w:cs="Arial"/>
          <w:lang w:val="es-MX"/>
        </w:rPr>
        <w:t>La finalidad de esta norma es permitir que las sociedades que no cuentan con la experiencia suficiente para contratar con el Estado puedan apoyarse en la experiencia de sus accionistas, socios o constituyentes con el fin de incentivar la competencia en la contratación estatal. Así las cosas, el socio transfiere la experiencia adquirida directamente a la sociedad de la que es parte, para que esta, como persona jurídica independiente, pueda cumplir con los requisitos habilitantes o puntuables que establezcan las entidades estatales en sus procesos de contratación, y de esta forma promover el desarrollo de la empresa y la pluralidad de oferentes en la contratación pública.</w:t>
      </w:r>
    </w:p>
    <w:bookmarkEnd w:id="3"/>
    <w:p w14:paraId="6E937F7F" w14:textId="70B80589" w:rsidR="00105F0E" w:rsidRPr="005A1C07" w:rsidRDefault="00105F0E" w:rsidP="00105F0E">
      <w:pPr>
        <w:spacing w:before="120" w:after="120" w:line="276" w:lineRule="auto"/>
        <w:ind w:firstLine="708"/>
        <w:jc w:val="both"/>
        <w:rPr>
          <w:rFonts w:ascii="Verdana" w:hAnsi="Verdana" w:cs="Arial"/>
          <w:lang w:val="es-MX"/>
        </w:rPr>
      </w:pPr>
      <w:r w:rsidRPr="005A1C07">
        <w:rPr>
          <w:rFonts w:ascii="Verdana" w:hAnsi="Verdana" w:cs="Arial"/>
          <w:lang w:val="es-MX"/>
        </w:rPr>
        <w:t xml:space="preserve">Este aspecto ofrece meridiana claridad en cuanto a su aplicación, pero el interrogante que ha generado la norma es el siguiente: ¿qué pasa después de que la sociedad a la que le ha sido permitido certificar la experiencia de sus socios, accionistas o constituyentes cumple </w:t>
      </w:r>
      <w:r w:rsidR="00265176">
        <w:rPr>
          <w:rFonts w:ascii="Verdana" w:hAnsi="Verdana" w:cs="Arial"/>
          <w:lang w:val="es-MX"/>
        </w:rPr>
        <w:t>tres (</w:t>
      </w:r>
      <w:r w:rsidRPr="005A1C07">
        <w:rPr>
          <w:rFonts w:ascii="Verdana" w:hAnsi="Verdana" w:cs="Arial"/>
          <w:lang w:val="es-MX"/>
        </w:rPr>
        <w:t>3</w:t>
      </w:r>
      <w:r w:rsidR="00265176">
        <w:rPr>
          <w:rFonts w:ascii="Verdana" w:hAnsi="Verdana" w:cs="Arial"/>
          <w:lang w:val="es-MX"/>
        </w:rPr>
        <w:t>)</w:t>
      </w:r>
      <w:r w:rsidRPr="005A1C07">
        <w:rPr>
          <w:rFonts w:ascii="Verdana" w:hAnsi="Verdana" w:cs="Arial"/>
          <w:lang w:val="es-MX"/>
        </w:rPr>
        <w:t xml:space="preserve"> años de su constitución? ¿puede seguir siendo beneficiaria de la prerrogativa del numeral 2.5 del artículo 2.2.1.1.1.5.2 del Decreto 1082 de 2015? Estos interrogantes han sido planteados a la Subdirección de Gestión Contractual y se han desarrollado, en torno a dos posiciones, que se plantean a continuación: </w:t>
      </w:r>
    </w:p>
    <w:p w14:paraId="2B8F293E" w14:textId="77777777" w:rsidR="00105F0E" w:rsidRPr="005A1C07" w:rsidRDefault="00105F0E" w:rsidP="00105F0E">
      <w:pPr>
        <w:spacing w:before="120" w:after="120" w:line="276" w:lineRule="auto"/>
        <w:ind w:firstLine="708"/>
        <w:jc w:val="both"/>
        <w:rPr>
          <w:rFonts w:ascii="Verdana" w:hAnsi="Verdana" w:cs="Arial"/>
          <w:lang w:val="es-MX"/>
        </w:rPr>
      </w:pPr>
      <w:r w:rsidRPr="005A1C07">
        <w:rPr>
          <w:rFonts w:ascii="Verdana" w:hAnsi="Verdana" w:cs="Arial"/>
          <w:lang w:val="es-MX"/>
        </w:rPr>
        <w:t xml:space="preserve">En el concepto identificado con radicado No. 4201814000001418 del 3 de abril de 2018, donde frente a la misma pregunta esta Subdirección respondió que después de cumplidos los 3 años contados desde la constitución de la sociedad, las entidades estatales no deberían tener como válida la experiencia acreditada por los socios, accionistas o constituyentes. Como fundamento de esta posición, la Subdirección consideró lo siguiente: </w:t>
      </w:r>
    </w:p>
    <w:p w14:paraId="2E2DFDFA" w14:textId="542112BB" w:rsidR="00105F0E" w:rsidRPr="005A1C07" w:rsidRDefault="00105F0E" w:rsidP="00105F0E">
      <w:pPr>
        <w:spacing w:before="120" w:after="120" w:line="276" w:lineRule="auto"/>
        <w:ind w:firstLine="708"/>
        <w:jc w:val="both"/>
        <w:rPr>
          <w:rFonts w:ascii="Verdana" w:hAnsi="Verdana" w:cs="Arial"/>
          <w:lang w:val="es-MX"/>
        </w:rPr>
      </w:pPr>
      <w:r w:rsidRPr="005A1C07">
        <w:rPr>
          <w:rFonts w:ascii="Verdana" w:hAnsi="Verdana" w:cs="Arial"/>
          <w:lang w:val="es-MX"/>
        </w:rPr>
        <w:t xml:space="preserve">i) La posición de Colombia Compra Eficiente respecto a la validez de la experiencia de los accionistas, socios o constituyentes, acreditada en el RUP por una sociedad nueva, cuando está ya superó los </w:t>
      </w:r>
      <w:r w:rsidR="00FC55E4">
        <w:rPr>
          <w:rFonts w:ascii="Verdana" w:hAnsi="Verdana" w:cs="Arial"/>
          <w:lang w:val="es-MX"/>
        </w:rPr>
        <w:t>tres (</w:t>
      </w:r>
      <w:r w:rsidRPr="005A1C07">
        <w:rPr>
          <w:rFonts w:ascii="Verdana" w:hAnsi="Verdana" w:cs="Arial"/>
          <w:lang w:val="es-MX"/>
        </w:rPr>
        <w:t>3</w:t>
      </w:r>
      <w:r w:rsidR="00FC55E4">
        <w:rPr>
          <w:rFonts w:ascii="Verdana" w:hAnsi="Verdana" w:cs="Arial"/>
          <w:lang w:val="es-MX"/>
        </w:rPr>
        <w:t>)</w:t>
      </w:r>
      <w:r w:rsidRPr="005A1C07">
        <w:rPr>
          <w:rFonts w:ascii="Verdana" w:hAnsi="Verdana" w:cs="Arial"/>
          <w:lang w:val="es-MX"/>
        </w:rPr>
        <w:t xml:space="preserve"> años de constituida, ha variado. </w:t>
      </w:r>
    </w:p>
    <w:p w14:paraId="35751A1E" w14:textId="6BCC56A7" w:rsidR="00105F0E" w:rsidRPr="005A1C07" w:rsidRDefault="00105F0E" w:rsidP="00105F0E">
      <w:pPr>
        <w:spacing w:before="120" w:after="120" w:line="276" w:lineRule="auto"/>
        <w:ind w:firstLine="708"/>
        <w:jc w:val="both"/>
        <w:rPr>
          <w:rFonts w:ascii="Verdana" w:hAnsi="Verdana" w:cs="Arial"/>
          <w:lang w:val="es-MX"/>
        </w:rPr>
      </w:pPr>
      <w:r w:rsidRPr="005A1C07">
        <w:rPr>
          <w:rFonts w:ascii="Verdana" w:hAnsi="Verdana" w:cs="Arial"/>
          <w:lang w:val="es-MX"/>
        </w:rPr>
        <w:t xml:space="preserve">ii) El Decreto 1082 de 2015 establece </w:t>
      </w:r>
      <w:proofErr w:type="gramStart"/>
      <w:r w:rsidRPr="005A1C07">
        <w:rPr>
          <w:rFonts w:ascii="Verdana" w:hAnsi="Verdana" w:cs="Arial"/>
          <w:lang w:val="es-MX"/>
        </w:rPr>
        <w:t>que</w:t>
      </w:r>
      <w:proofErr w:type="gramEnd"/>
      <w:r w:rsidRPr="005A1C07">
        <w:rPr>
          <w:rFonts w:ascii="Verdana" w:hAnsi="Verdana" w:cs="Arial"/>
          <w:lang w:val="es-MX"/>
        </w:rPr>
        <w:t xml:space="preserve"> para la inscripción en el RUP de una persona jurídica, si su constitución es menor a </w:t>
      </w:r>
      <w:r w:rsidR="00010F86">
        <w:rPr>
          <w:rFonts w:ascii="Verdana" w:hAnsi="Verdana" w:cs="Arial"/>
          <w:lang w:val="es-MX"/>
        </w:rPr>
        <w:t>tres (</w:t>
      </w:r>
      <w:r w:rsidRPr="005A1C07">
        <w:rPr>
          <w:rFonts w:ascii="Verdana" w:hAnsi="Verdana" w:cs="Arial"/>
          <w:lang w:val="es-MX"/>
        </w:rPr>
        <w:t>3</w:t>
      </w:r>
      <w:r w:rsidR="00010F86">
        <w:rPr>
          <w:rFonts w:ascii="Verdana" w:hAnsi="Verdana" w:cs="Arial"/>
          <w:lang w:val="es-MX"/>
        </w:rPr>
        <w:t>)</w:t>
      </w:r>
      <w:r w:rsidRPr="005A1C07">
        <w:rPr>
          <w:rFonts w:ascii="Verdana" w:hAnsi="Verdana" w:cs="Arial"/>
          <w:lang w:val="es-MX"/>
        </w:rPr>
        <w:t xml:space="preserve"> años, puede acreditar la experiencia de sus accionistas, socios o constituyentes. </w:t>
      </w:r>
    </w:p>
    <w:p w14:paraId="6877B083" w14:textId="77777777" w:rsidR="00105F0E" w:rsidRPr="005A1C07" w:rsidRDefault="00105F0E" w:rsidP="00105F0E">
      <w:pPr>
        <w:spacing w:before="120" w:after="120" w:line="276" w:lineRule="auto"/>
        <w:ind w:firstLine="708"/>
        <w:jc w:val="both"/>
        <w:rPr>
          <w:rFonts w:ascii="Verdana" w:hAnsi="Verdana" w:cs="Arial"/>
          <w:lang w:val="es-MX"/>
        </w:rPr>
      </w:pPr>
      <w:r w:rsidRPr="005A1C07">
        <w:rPr>
          <w:rFonts w:ascii="Verdana" w:hAnsi="Verdana" w:cs="Arial"/>
          <w:lang w:val="es-MX"/>
        </w:rPr>
        <w:t xml:space="preserve">iii) La finalidad de esta norma es permitir que las sociedades que no cuentan con la experiencia suficiente para contratar con el Estado puedan </w:t>
      </w:r>
      <w:r w:rsidRPr="005A1C07">
        <w:rPr>
          <w:rFonts w:ascii="Verdana" w:hAnsi="Verdana" w:cs="Arial"/>
          <w:lang w:val="es-MX"/>
        </w:rPr>
        <w:lastRenderedPageBreak/>
        <w:t xml:space="preserve">apoyarse en la experiencia de sus accionistas, socios o constituyentes con el fin de incentivar la libre competencia en la contratación estatal. </w:t>
      </w:r>
    </w:p>
    <w:p w14:paraId="52BB7398" w14:textId="63F01A39" w:rsidR="00105F0E" w:rsidRPr="005A1C07" w:rsidRDefault="00105F0E" w:rsidP="00105F0E">
      <w:pPr>
        <w:spacing w:before="120" w:after="120" w:line="276" w:lineRule="auto"/>
        <w:ind w:firstLine="708"/>
        <w:jc w:val="both"/>
        <w:rPr>
          <w:rFonts w:ascii="Verdana" w:hAnsi="Verdana" w:cs="Arial"/>
          <w:lang w:val="es-MX"/>
        </w:rPr>
      </w:pPr>
      <w:r w:rsidRPr="005A1C07">
        <w:rPr>
          <w:rFonts w:ascii="Verdana" w:hAnsi="Verdana" w:cs="Arial"/>
          <w:lang w:val="es-MX"/>
        </w:rPr>
        <w:t xml:space="preserve">iv) En consecuencia, la persona jurídica cuya constitución es menor a </w:t>
      </w:r>
      <w:r w:rsidR="0056469E">
        <w:rPr>
          <w:rFonts w:ascii="Verdana" w:hAnsi="Verdana" w:cs="Arial"/>
          <w:lang w:val="es-MX"/>
        </w:rPr>
        <w:t>tres (</w:t>
      </w:r>
      <w:r w:rsidRPr="005A1C07">
        <w:rPr>
          <w:rFonts w:ascii="Verdana" w:hAnsi="Verdana" w:cs="Arial"/>
          <w:lang w:val="es-MX"/>
        </w:rPr>
        <w:t>3</w:t>
      </w:r>
      <w:r w:rsidR="0056469E">
        <w:rPr>
          <w:rFonts w:ascii="Verdana" w:hAnsi="Verdana" w:cs="Arial"/>
          <w:lang w:val="es-MX"/>
        </w:rPr>
        <w:t>)</w:t>
      </w:r>
      <w:r w:rsidRPr="005A1C07">
        <w:rPr>
          <w:rFonts w:ascii="Verdana" w:hAnsi="Verdana" w:cs="Arial"/>
          <w:lang w:val="es-MX"/>
        </w:rPr>
        <w:t xml:space="preserve"> años puede registrar la experiencia de sus socios en el RUP, la cual no podrá ser tenida en cuenta por la entidad estatal como experiencia de la sociedad una vez cumplidos los </w:t>
      </w:r>
      <w:r w:rsidR="0056469E">
        <w:rPr>
          <w:rFonts w:ascii="Verdana" w:hAnsi="Verdana" w:cs="Arial"/>
          <w:lang w:val="es-MX"/>
        </w:rPr>
        <w:t>tres (</w:t>
      </w:r>
      <w:r w:rsidRPr="005A1C07">
        <w:rPr>
          <w:rFonts w:ascii="Verdana" w:hAnsi="Verdana" w:cs="Arial"/>
          <w:lang w:val="es-MX"/>
        </w:rPr>
        <w:t>3</w:t>
      </w:r>
      <w:r w:rsidR="0056469E">
        <w:rPr>
          <w:rFonts w:ascii="Verdana" w:hAnsi="Verdana" w:cs="Arial"/>
          <w:lang w:val="es-MX"/>
        </w:rPr>
        <w:t>)</w:t>
      </w:r>
      <w:r w:rsidRPr="005A1C07">
        <w:rPr>
          <w:rFonts w:ascii="Verdana" w:hAnsi="Verdana" w:cs="Arial"/>
          <w:lang w:val="es-MX"/>
        </w:rPr>
        <w:t xml:space="preserve"> años de constituida la persona jurídica a los que hace referencia la norma, pues no se cumple con el presupuesto normativo para acceder al beneficio que contempla el Decreto 1082. </w:t>
      </w:r>
    </w:p>
    <w:p w14:paraId="7C4E7E88" w14:textId="77777777" w:rsidR="00105F0E" w:rsidRPr="005A1C07" w:rsidRDefault="00105F0E" w:rsidP="00105F0E">
      <w:pPr>
        <w:spacing w:before="120" w:after="120" w:line="276" w:lineRule="auto"/>
        <w:ind w:firstLine="708"/>
        <w:jc w:val="both"/>
        <w:rPr>
          <w:rFonts w:ascii="Verdana" w:hAnsi="Verdana" w:cs="Arial"/>
          <w:lang w:val="es-MX"/>
        </w:rPr>
      </w:pPr>
      <w:r w:rsidRPr="005A1C07">
        <w:rPr>
          <w:rFonts w:ascii="Verdana" w:hAnsi="Verdana" w:cs="Arial"/>
          <w:lang w:val="es-MX"/>
        </w:rPr>
        <w:t xml:space="preserve">v) Las Cámaras de Comercio hacen la verificación documental de la información presentada por los interesados al momento de inscribir, renovar o actualizar su información en el RUP. De esa forma, a diferencia de la renovación, la actualización del RUP puede llevarse a cabo en cualquier momento </w:t>
      </w:r>
      <w:r w:rsidRPr="005A1C07">
        <w:rPr>
          <w:rFonts w:ascii="Verdana" w:eastAsia="Calibri" w:hAnsi="Verdana" w:cs="Arial"/>
          <w:lang w:val="es-MX"/>
        </w:rPr>
        <w:t>―</w:t>
      </w:r>
      <w:r w:rsidRPr="005A1C07">
        <w:rPr>
          <w:rFonts w:ascii="Verdana" w:hAnsi="Verdana" w:cs="Arial"/>
          <w:lang w:val="es-MX"/>
        </w:rPr>
        <w:t>únicamente para la capacidad jurídica y experiencia</w:t>
      </w:r>
      <w:r w:rsidRPr="005A1C07">
        <w:rPr>
          <w:rFonts w:ascii="Verdana" w:eastAsia="Calibri" w:hAnsi="Verdana" w:cs="Arial"/>
          <w:lang w:val="es-MX"/>
        </w:rPr>
        <w:t>―</w:t>
      </w:r>
      <w:r w:rsidRPr="005A1C07">
        <w:rPr>
          <w:rFonts w:ascii="Verdana" w:hAnsi="Verdana" w:cs="Arial"/>
          <w:lang w:val="es-MX"/>
        </w:rPr>
        <w:t xml:space="preserve"> y debe ser verificada junto con sus soportes por la Cámara de Comercio correspondiente. </w:t>
      </w:r>
    </w:p>
    <w:p w14:paraId="6A593252" w14:textId="65C7EBBC" w:rsidR="00105F0E" w:rsidRPr="005A1C07" w:rsidRDefault="00105F0E" w:rsidP="00105F0E">
      <w:pPr>
        <w:spacing w:before="120" w:after="120" w:line="276" w:lineRule="auto"/>
        <w:ind w:firstLine="708"/>
        <w:jc w:val="both"/>
        <w:rPr>
          <w:rFonts w:ascii="Verdana" w:hAnsi="Verdana" w:cs="Arial"/>
          <w:lang w:val="es-MX"/>
        </w:rPr>
      </w:pPr>
      <w:r w:rsidRPr="005A1C07">
        <w:rPr>
          <w:rFonts w:ascii="Verdana" w:hAnsi="Verdana" w:cs="Arial"/>
          <w:lang w:val="es-MX"/>
        </w:rPr>
        <w:t xml:space="preserve">La posición anterior, en relación con la posibilidad de que las sociedades nuevas puedan seguir acreditando la experiencia de sus socios, accionistas o constituyentes, incluso después de cumplidos </w:t>
      </w:r>
      <w:r w:rsidR="00BA211B">
        <w:rPr>
          <w:rFonts w:ascii="Verdana" w:hAnsi="Verdana" w:cs="Arial"/>
          <w:lang w:val="es-MX"/>
        </w:rPr>
        <w:t>tres (</w:t>
      </w:r>
      <w:r w:rsidRPr="005A1C07">
        <w:rPr>
          <w:rFonts w:ascii="Verdana" w:hAnsi="Verdana" w:cs="Arial"/>
          <w:lang w:val="es-MX"/>
        </w:rPr>
        <w:t>3</w:t>
      </w:r>
      <w:r w:rsidR="00BA211B">
        <w:rPr>
          <w:rFonts w:ascii="Verdana" w:hAnsi="Verdana" w:cs="Arial"/>
          <w:lang w:val="es-MX"/>
        </w:rPr>
        <w:t>)</w:t>
      </w:r>
      <w:r w:rsidRPr="005A1C07">
        <w:rPr>
          <w:rFonts w:ascii="Verdana" w:hAnsi="Verdana" w:cs="Arial"/>
          <w:lang w:val="es-MX"/>
        </w:rPr>
        <w:t xml:space="preserve"> años de constitución de la persona jurídica, fue superada y se ratificó por esta Subdirección la tesis que ya había sido desarrollada en el concepto del 7 de febrero de 2018</w:t>
      </w:r>
      <w:r w:rsidRPr="005A1C07">
        <w:rPr>
          <w:rFonts w:ascii="Verdana" w:hAnsi="Verdana" w:cs="Arial"/>
          <w:vertAlign w:val="superscript"/>
          <w:lang w:val="es-MX"/>
        </w:rPr>
        <w:footnoteReference w:id="11"/>
      </w:r>
      <w:r w:rsidRPr="005A1C07">
        <w:rPr>
          <w:rFonts w:ascii="Verdana" w:hAnsi="Verdana" w:cs="Arial"/>
          <w:lang w:val="es-MX"/>
        </w:rPr>
        <w:t xml:space="preserve">, recogida y unificada en el concepto con radicado No. 4201913000006797 del 19 de noviembre de 2019 en el que se sostuvo que las personas jurídicas que hubieran sido beneficiarias de la norma podían seguir acreditando la experiencia de sus socios o accionistas, inclusive después de transcurridos 3 años desde la constitución de la sociedad, siempre que se renovara constantemente el RUP.  </w:t>
      </w:r>
    </w:p>
    <w:p w14:paraId="7AEC6AD9" w14:textId="1F262362" w:rsidR="00105F0E" w:rsidRPr="005A1C07" w:rsidRDefault="00105F0E" w:rsidP="00105F0E">
      <w:pPr>
        <w:spacing w:before="120" w:after="120" w:line="276" w:lineRule="auto"/>
        <w:ind w:firstLine="708"/>
        <w:jc w:val="both"/>
        <w:rPr>
          <w:rFonts w:ascii="Verdana" w:hAnsi="Verdana" w:cs="Arial"/>
          <w:lang w:val="es-MX"/>
        </w:rPr>
      </w:pPr>
      <w:r w:rsidRPr="005A1C07">
        <w:rPr>
          <w:rFonts w:ascii="Verdana" w:hAnsi="Verdana" w:cs="Arial"/>
          <w:lang w:val="es-MX"/>
        </w:rPr>
        <w:t xml:space="preserve">Teniendo en cuenta lo anterior, aunque la persona jurídica tenga más de tres </w:t>
      </w:r>
      <w:r w:rsidR="00BA211B">
        <w:rPr>
          <w:rFonts w:ascii="Verdana" w:hAnsi="Verdana" w:cs="Arial"/>
          <w:lang w:val="es-MX"/>
        </w:rPr>
        <w:t xml:space="preserve">(3) </w:t>
      </w:r>
      <w:r w:rsidRPr="005A1C07">
        <w:rPr>
          <w:rFonts w:ascii="Verdana" w:hAnsi="Verdana" w:cs="Arial"/>
          <w:lang w:val="es-MX"/>
        </w:rPr>
        <w:t xml:space="preserve">años de constituida y haya registrado inicialmente la experiencia de sus socios en el RUP </w:t>
      </w:r>
      <w:r w:rsidRPr="005A1C07">
        <w:rPr>
          <w:rFonts w:ascii="Verdana" w:eastAsia="Calibri" w:hAnsi="Verdana" w:cs="Arial"/>
          <w:lang w:val="es-MX"/>
        </w:rPr>
        <w:t>–</w:t>
      </w:r>
      <w:r w:rsidRPr="005A1C07">
        <w:rPr>
          <w:rFonts w:ascii="Verdana" w:hAnsi="Verdana" w:cs="Arial"/>
          <w:lang w:val="es-MX"/>
        </w:rPr>
        <w:t>pues su constitución era inferior a tres años</w:t>
      </w:r>
      <w:r w:rsidRPr="005A1C07">
        <w:rPr>
          <w:rFonts w:ascii="Verdana" w:eastAsia="Calibri" w:hAnsi="Verdana" w:cs="Arial"/>
          <w:lang w:val="es-MX"/>
        </w:rPr>
        <w:t>–, cuando</w:t>
      </w:r>
      <w:r w:rsidRPr="005A1C07">
        <w:rPr>
          <w:rFonts w:ascii="Verdana" w:hAnsi="Verdana" w:cs="Arial"/>
          <w:lang w:val="es-MX"/>
        </w:rPr>
        <w:t xml:space="preserve"> este sea renovado, puede continuar utilizando la experiencia inscrita mientras no cesen los efectos del RUP. Por el contrario, si el RUP no es renovado y la persona jurídica supera los tres años de constituida, la experiencia que registró de sus socios no puede ser inscrita nuevamente, puesto que el RUP ha cesado sus efectos y la cámara de comercio tiene que hacer nuevamente la verificación </w:t>
      </w:r>
      <w:r w:rsidRPr="005A1C07">
        <w:rPr>
          <w:rFonts w:ascii="Verdana" w:hAnsi="Verdana" w:cs="Arial"/>
          <w:lang w:val="es-MX"/>
        </w:rPr>
        <w:lastRenderedPageBreak/>
        <w:t xml:space="preserve">documental de la información presentada al momento de inscribirse en el registro. </w:t>
      </w:r>
    </w:p>
    <w:p w14:paraId="5ACBF8B9" w14:textId="77777777" w:rsidR="00105F0E" w:rsidRPr="005A1C07" w:rsidRDefault="00105F0E" w:rsidP="00105F0E">
      <w:pPr>
        <w:spacing w:before="120" w:after="120" w:line="276" w:lineRule="auto"/>
        <w:ind w:firstLine="708"/>
        <w:jc w:val="both"/>
        <w:rPr>
          <w:rFonts w:ascii="Verdana" w:hAnsi="Verdana" w:cs="Arial"/>
          <w:lang w:val="es-MX"/>
        </w:rPr>
      </w:pPr>
      <w:r w:rsidRPr="005A1C07">
        <w:rPr>
          <w:rFonts w:ascii="Verdana" w:hAnsi="Verdana" w:cs="Arial"/>
          <w:lang w:val="es-MX"/>
        </w:rPr>
        <w:t>Se reitera que la finalidad del numeral 2.5 del artículo 2.2.1.1.1.5.2 del Decreto 1082 de 2015 es incentivar la libre competencia y la pluralidad de oferentes en la contratación estatal. Adicionalmente, el Decreto 1082 de 2015 establece que la persona inscrita en el RUP debe presentar la información para renovar su registro a más tardar el quinto día hábil del mes de abril de cada año, de lo contrario cesan sus efectos</w:t>
      </w:r>
      <w:r w:rsidRPr="005A1C07">
        <w:rPr>
          <w:rFonts w:ascii="Verdana" w:hAnsi="Verdana" w:cs="Arial"/>
          <w:vertAlign w:val="superscript"/>
          <w:lang w:val="es-MX"/>
        </w:rPr>
        <w:footnoteReference w:id="12"/>
      </w:r>
      <w:r w:rsidRPr="005A1C07">
        <w:rPr>
          <w:rFonts w:ascii="Verdana" w:hAnsi="Verdana" w:cs="Arial"/>
          <w:lang w:val="es-MX"/>
        </w:rPr>
        <w:t xml:space="preserve">. En la actualidad, las cámaras de comercio solo pueden eliminar la experiencia registrada en el RUP a solicitud del proponente. Por tanto, les corresponde a las personas jurídicas mantener su RUP actualizado y a las entidades estatales verificar este registro para efectos de evaluar la experiencia. </w:t>
      </w:r>
    </w:p>
    <w:p w14:paraId="28735776" w14:textId="77777777" w:rsidR="00BA211B" w:rsidRDefault="00105F0E" w:rsidP="004261E3">
      <w:pPr>
        <w:spacing w:after="120" w:line="276" w:lineRule="auto"/>
        <w:ind w:firstLine="708"/>
        <w:jc w:val="both"/>
        <w:rPr>
          <w:rFonts w:ascii="Verdana" w:hAnsi="Verdana" w:cs="Arial"/>
          <w:lang w:val="es-MX"/>
        </w:rPr>
      </w:pPr>
      <w:r w:rsidRPr="005A1C07">
        <w:rPr>
          <w:rFonts w:ascii="Verdana" w:hAnsi="Verdana" w:cs="Arial"/>
          <w:lang w:val="es-MX"/>
        </w:rPr>
        <w:t xml:space="preserve">En otras palabras, </w:t>
      </w:r>
      <w:bookmarkStart w:id="4" w:name="_Hlk67498604"/>
      <w:r w:rsidRPr="005A1C07">
        <w:rPr>
          <w:rFonts w:ascii="Verdana" w:hAnsi="Verdana" w:cs="Arial"/>
          <w:lang w:val="es-MX"/>
        </w:rPr>
        <w:t>si la persona jurídica con menos de tres</w:t>
      </w:r>
      <w:r w:rsidR="00BA211B">
        <w:rPr>
          <w:rFonts w:ascii="Verdana" w:hAnsi="Verdana" w:cs="Arial"/>
          <w:lang w:val="es-MX"/>
        </w:rPr>
        <w:t xml:space="preserve"> (3)</w:t>
      </w:r>
      <w:r w:rsidRPr="005A1C07">
        <w:rPr>
          <w:rFonts w:ascii="Verdana" w:hAnsi="Verdana" w:cs="Arial"/>
          <w:lang w:val="es-MX"/>
        </w:rPr>
        <w:t xml:space="preserve"> años de constituida registra la experiencia de sus socios en el RUP, y éste es renovado, puede continuar utilizando la experiencia inscrita mientras no cesen los efectos del RUP. Por el contrario, si no se renueva y la persona jurídica supera los tres años de constituida, la experiencia que registró de sus socios no puede ser inscrita nuevamente, puesto que el RUP ha cesado sus efectos y la cámara de comercio tiene que hacer nuevamente la verificación documental de la información presentada al momento de inscribirse en el registro.  </w:t>
      </w:r>
      <w:bookmarkEnd w:id="4"/>
    </w:p>
    <w:p w14:paraId="5E11AEA4" w14:textId="05B91550" w:rsidR="00105F0E" w:rsidRPr="005A1C07" w:rsidRDefault="00105F0E" w:rsidP="00105F0E">
      <w:pPr>
        <w:spacing w:after="0" w:line="276" w:lineRule="auto"/>
        <w:ind w:firstLine="708"/>
        <w:jc w:val="both"/>
        <w:rPr>
          <w:rFonts w:ascii="Verdana" w:hAnsi="Verdana" w:cs="Arial"/>
          <w:lang w:val="es-MX"/>
        </w:rPr>
      </w:pPr>
      <w:r w:rsidRPr="005A1C07">
        <w:rPr>
          <w:rFonts w:ascii="Verdana" w:hAnsi="Verdana" w:cs="Arial"/>
          <w:lang w:val="es-MX"/>
        </w:rPr>
        <w:t xml:space="preserve">Lo anterior, tiene fundamento en la Circular Única de la Superintendencia de Industria y Comercio, cuyo numeral 4.2, sobre el procedimiento para llevar el registro único de proponentes, dispone lo siguiente:  </w:t>
      </w:r>
    </w:p>
    <w:p w14:paraId="6765B6D2" w14:textId="77777777" w:rsidR="00105F0E" w:rsidRPr="005A1C07" w:rsidRDefault="00105F0E" w:rsidP="00105F0E">
      <w:pPr>
        <w:spacing w:after="0" w:line="240" w:lineRule="auto"/>
        <w:ind w:firstLine="708"/>
        <w:jc w:val="both"/>
        <w:rPr>
          <w:rFonts w:ascii="Verdana" w:hAnsi="Verdana" w:cs="Arial"/>
          <w:lang w:val="es-MX"/>
        </w:rPr>
      </w:pPr>
    </w:p>
    <w:p w14:paraId="4423900C" w14:textId="77777777" w:rsidR="00105F0E" w:rsidRPr="00C66BD5" w:rsidRDefault="00105F0E" w:rsidP="00105F0E">
      <w:pPr>
        <w:spacing w:after="0" w:line="240" w:lineRule="auto"/>
        <w:ind w:left="709" w:right="709"/>
        <w:jc w:val="both"/>
        <w:rPr>
          <w:rFonts w:ascii="Verdana" w:hAnsi="Verdana" w:cs="Arial"/>
          <w:sz w:val="20"/>
          <w:szCs w:val="20"/>
          <w:lang w:val="es-MX"/>
        </w:rPr>
      </w:pPr>
      <w:r w:rsidRPr="00C66BD5">
        <w:rPr>
          <w:rFonts w:ascii="Verdana" w:hAnsi="Verdana" w:cs="Arial"/>
          <w:sz w:val="20"/>
          <w:szCs w:val="20"/>
          <w:lang w:val="es-MX"/>
        </w:rPr>
        <w:t xml:space="preserve">“4.2.5. Vigencia de los documentos. Para efectos de renovación y actualización se considera que los documentos no pierden su vigencia salvo disposición legal en contrario. Por lo anterior, las Cámaras de Comercio no podrán abstenerse de realizar la inscripción argumentando el vencimiento de los documentos de soporte”. </w:t>
      </w:r>
    </w:p>
    <w:p w14:paraId="2359FC92" w14:textId="77777777" w:rsidR="00105F0E" w:rsidRPr="005A1C07" w:rsidRDefault="00105F0E" w:rsidP="00105F0E">
      <w:pPr>
        <w:spacing w:after="0" w:line="240" w:lineRule="auto"/>
        <w:ind w:left="709" w:right="709"/>
        <w:jc w:val="both"/>
        <w:rPr>
          <w:rFonts w:ascii="Verdana" w:hAnsi="Verdana" w:cs="Arial"/>
          <w:lang w:val="es-MX"/>
        </w:rPr>
      </w:pPr>
    </w:p>
    <w:p w14:paraId="4E3B2935" w14:textId="65699377" w:rsidR="00105F0E" w:rsidRPr="005A1C07" w:rsidRDefault="00105F0E" w:rsidP="00105F0E">
      <w:pPr>
        <w:spacing w:after="0" w:line="276" w:lineRule="auto"/>
        <w:ind w:firstLine="708"/>
        <w:jc w:val="both"/>
        <w:rPr>
          <w:rFonts w:ascii="Verdana" w:hAnsi="Verdana" w:cs="Arial"/>
          <w:lang w:val="es-MX"/>
        </w:rPr>
      </w:pPr>
      <w:r w:rsidRPr="005A1C07">
        <w:rPr>
          <w:rFonts w:ascii="Verdana" w:hAnsi="Verdana" w:cs="Arial"/>
          <w:lang w:val="es-MX"/>
        </w:rPr>
        <w:lastRenderedPageBreak/>
        <w:t xml:space="preserve">Así las cosas, con el fin de incentivar la participación continúa y constante de los proponentes, las entidades estatales, en sus procesos de contratación, aceptarán como válida la experiencia de los socios, accionistas o constituyentes incluso después de cumplidos los tres años de constitución de la sociedad, pues esta interpretación permite incentivar la creación de empresa y generar una mayor participación de las empresas recién constituidas. En este sentido, si bien la norma no dispone qué sucede con la experiencia aportada por los socios, accionistas o constituyentes, después de los </w:t>
      </w:r>
      <w:r w:rsidR="00C02A3D">
        <w:rPr>
          <w:rFonts w:ascii="Verdana" w:hAnsi="Verdana" w:cs="Arial"/>
          <w:lang w:val="es-MX"/>
        </w:rPr>
        <w:t>tres (</w:t>
      </w:r>
      <w:r w:rsidRPr="005A1C07">
        <w:rPr>
          <w:rFonts w:ascii="Verdana" w:hAnsi="Verdana" w:cs="Arial"/>
          <w:lang w:val="es-MX"/>
        </w:rPr>
        <w:t>3</w:t>
      </w:r>
      <w:r w:rsidR="00C02A3D">
        <w:rPr>
          <w:rFonts w:ascii="Verdana" w:hAnsi="Verdana" w:cs="Arial"/>
          <w:lang w:val="es-MX"/>
        </w:rPr>
        <w:t>)</w:t>
      </w:r>
      <w:r w:rsidRPr="005A1C07">
        <w:rPr>
          <w:rFonts w:ascii="Verdana" w:hAnsi="Verdana" w:cs="Arial"/>
          <w:lang w:val="es-MX"/>
        </w:rPr>
        <w:t xml:space="preserve"> años de constituida la persona jurídica, para esta Subdirección sigue siendo válida, por lo que la entidad la debe tener en cuenta. De esta forma se garantiza la pluralidad de oferentes en los procesos de contratación. </w:t>
      </w:r>
    </w:p>
    <w:p w14:paraId="4EA8AA9F" w14:textId="2F9E91CB" w:rsidR="00105F0E" w:rsidRPr="005A1C07" w:rsidRDefault="00105F0E" w:rsidP="00105F0E">
      <w:pPr>
        <w:spacing w:before="120" w:after="120" w:line="276" w:lineRule="auto"/>
        <w:ind w:firstLine="708"/>
        <w:jc w:val="both"/>
        <w:rPr>
          <w:rFonts w:ascii="Verdana" w:hAnsi="Verdana" w:cs="Arial"/>
          <w:lang w:val="es-MX"/>
        </w:rPr>
      </w:pPr>
      <w:r w:rsidRPr="005A1C07">
        <w:rPr>
          <w:rFonts w:ascii="Verdana" w:hAnsi="Verdana" w:cs="Arial"/>
          <w:lang w:val="es-MX"/>
        </w:rPr>
        <w:t xml:space="preserve">En línea con lo anterior, el numeral 2.5. del artículo 2.2.1.1.1.5.2 del Decreto 1082 de 2015 consagra una prerrogativa para las sociedades nuevas, que busca fomentar su competencia en el campo de la contratación estatal, sin establecer limitantes en relación con las entidades o procesos de contratación en los que las personas jurídicas con menos de </w:t>
      </w:r>
      <w:r w:rsidR="00C02A3D">
        <w:rPr>
          <w:rFonts w:ascii="Verdana" w:hAnsi="Verdana" w:cs="Arial"/>
          <w:lang w:val="es-MX"/>
        </w:rPr>
        <w:t>tres (</w:t>
      </w:r>
      <w:r w:rsidRPr="005A1C07">
        <w:rPr>
          <w:rFonts w:ascii="Verdana" w:hAnsi="Verdana" w:cs="Arial"/>
          <w:lang w:val="es-MX"/>
        </w:rPr>
        <w:t>3</w:t>
      </w:r>
      <w:r w:rsidR="00C02A3D">
        <w:rPr>
          <w:rFonts w:ascii="Verdana" w:hAnsi="Verdana" w:cs="Arial"/>
          <w:lang w:val="es-MX"/>
        </w:rPr>
        <w:t>)</w:t>
      </w:r>
      <w:r w:rsidRPr="005A1C07">
        <w:rPr>
          <w:rFonts w:ascii="Verdana" w:hAnsi="Verdana" w:cs="Arial"/>
          <w:lang w:val="es-MX"/>
        </w:rPr>
        <w:t xml:space="preserve"> años de constitución pueden acreditar la experiencia transferida por sus socios en virtud de la referida prerrogativa. </w:t>
      </w:r>
    </w:p>
    <w:p w14:paraId="37A683D5" w14:textId="01D8EE49" w:rsidR="00105F0E" w:rsidRPr="005A1C07" w:rsidRDefault="00105F0E" w:rsidP="00105F0E">
      <w:pPr>
        <w:spacing w:before="120" w:after="120" w:line="276" w:lineRule="auto"/>
        <w:ind w:firstLine="709"/>
        <w:jc w:val="both"/>
        <w:rPr>
          <w:rFonts w:ascii="Verdana" w:hAnsi="Verdana" w:cs="Arial"/>
          <w:lang w:val="es-MX"/>
        </w:rPr>
      </w:pPr>
      <w:r w:rsidRPr="005A1C07">
        <w:rPr>
          <w:rFonts w:ascii="Verdana" w:hAnsi="Verdana" w:cs="Arial"/>
          <w:lang w:val="es-MX"/>
        </w:rPr>
        <w:t>Por tanto, en atención al principio general de interpretación según el cual donde el legislador no distingue no le es dado hacerlo al interprete, el hecho de que una sociedad con menos de</w:t>
      </w:r>
      <w:r w:rsidR="00C02A3D">
        <w:rPr>
          <w:rFonts w:ascii="Verdana" w:hAnsi="Verdana" w:cs="Arial"/>
          <w:lang w:val="es-MX"/>
        </w:rPr>
        <w:t xml:space="preserve"> tres</w:t>
      </w:r>
      <w:r w:rsidRPr="005A1C07">
        <w:rPr>
          <w:rFonts w:ascii="Verdana" w:hAnsi="Verdana" w:cs="Arial"/>
          <w:lang w:val="es-MX"/>
        </w:rPr>
        <w:t xml:space="preserve"> </w:t>
      </w:r>
      <w:r w:rsidR="00C02A3D">
        <w:rPr>
          <w:rFonts w:ascii="Verdana" w:hAnsi="Verdana" w:cs="Arial"/>
          <w:lang w:val="es-MX"/>
        </w:rPr>
        <w:t>(</w:t>
      </w:r>
      <w:r w:rsidRPr="005A1C07">
        <w:rPr>
          <w:rFonts w:ascii="Verdana" w:hAnsi="Verdana" w:cs="Arial"/>
          <w:lang w:val="es-MX"/>
        </w:rPr>
        <w:t>3</w:t>
      </w:r>
      <w:r w:rsidR="00C02A3D">
        <w:rPr>
          <w:rFonts w:ascii="Verdana" w:hAnsi="Verdana" w:cs="Arial"/>
          <w:lang w:val="es-MX"/>
        </w:rPr>
        <w:t>)</w:t>
      </w:r>
      <w:r w:rsidRPr="005A1C07">
        <w:rPr>
          <w:rFonts w:ascii="Verdana" w:hAnsi="Verdana" w:cs="Arial"/>
          <w:lang w:val="es-MX"/>
        </w:rPr>
        <w:t xml:space="preserve"> años de constitución haya hecho uso de la referida prerrogativa en determinado proceso de contratación o entidad, no excluye la posibilidad de que dicha sociedad siga haciendo uso del beneficio en otros procesos de contratación adelantados por otras entidades, incluso una vez vencidos los </w:t>
      </w:r>
      <w:r w:rsidR="00BF77A8">
        <w:rPr>
          <w:rFonts w:ascii="Verdana" w:hAnsi="Verdana" w:cs="Arial"/>
          <w:lang w:val="es-MX"/>
        </w:rPr>
        <w:t>tres (</w:t>
      </w:r>
      <w:r w:rsidRPr="005A1C07">
        <w:rPr>
          <w:rFonts w:ascii="Verdana" w:hAnsi="Verdana" w:cs="Arial"/>
          <w:lang w:val="es-MX"/>
        </w:rPr>
        <w:t>3</w:t>
      </w:r>
      <w:r w:rsidR="00BF77A8">
        <w:rPr>
          <w:rFonts w:ascii="Verdana" w:hAnsi="Verdana" w:cs="Arial"/>
          <w:lang w:val="es-MX"/>
        </w:rPr>
        <w:t>)</w:t>
      </w:r>
      <w:r w:rsidRPr="005A1C07">
        <w:rPr>
          <w:rFonts w:ascii="Verdana" w:hAnsi="Verdana" w:cs="Arial"/>
          <w:lang w:val="es-MX"/>
        </w:rPr>
        <w:t xml:space="preserve"> años de constitución, siempre que no hayan cesado los efectos del RUP por el incumplimiento del deber de renovación.</w:t>
      </w:r>
    </w:p>
    <w:p w14:paraId="0A1C55B4" w14:textId="77777777" w:rsidR="00105F0E" w:rsidRPr="005A1C07" w:rsidRDefault="00105F0E" w:rsidP="00105F0E">
      <w:pPr>
        <w:spacing w:line="276" w:lineRule="auto"/>
        <w:ind w:firstLine="708"/>
        <w:jc w:val="both"/>
        <w:rPr>
          <w:rFonts w:ascii="Verdana" w:hAnsi="Verdana" w:cs="Arial"/>
          <w:lang w:val="es-MX"/>
        </w:rPr>
      </w:pPr>
      <w:bookmarkStart w:id="5" w:name="_Hlk67498710"/>
      <w:r w:rsidRPr="005A1C07">
        <w:rPr>
          <w:rFonts w:ascii="Verdana" w:hAnsi="Verdana" w:cs="Arial"/>
          <w:lang w:val="es-MX"/>
        </w:rPr>
        <w:t xml:space="preserve">Sin perjuicio de lo anterior, no debe perderse de vista que el Decreto 1082 de 2015 solo permite que una sociedad acredite la experiencia de quienes tienen la calidad de accionistas, socios o constituyentes durante los primeros tres años de su constitución. Por tanto, si se pierden estas calidades, como sucedería cuando un socio se retira por venta o cesión de su participación y pierde su calidad de socio, ya no sería posible que la sociedad acredite la experiencia aportada por dicha persona. </w:t>
      </w:r>
    </w:p>
    <w:p w14:paraId="7C108D43" w14:textId="77777777" w:rsidR="00105F0E" w:rsidRPr="005A1C07" w:rsidRDefault="00105F0E" w:rsidP="00105F0E">
      <w:pPr>
        <w:spacing w:line="276" w:lineRule="auto"/>
        <w:ind w:firstLine="708"/>
        <w:jc w:val="both"/>
        <w:rPr>
          <w:rFonts w:ascii="Verdana" w:hAnsi="Verdana" w:cs="Arial"/>
          <w:lang w:val="es-MX"/>
        </w:rPr>
      </w:pPr>
      <w:r w:rsidRPr="005A1C07">
        <w:rPr>
          <w:rFonts w:ascii="Verdana" w:hAnsi="Verdana" w:cs="Arial"/>
          <w:lang w:val="es-MX"/>
        </w:rPr>
        <w:t xml:space="preserve">Esta interpretación además se impone en atención al fin de evitar prácticas corruptas o que atenten contra la transparencia en la contratación </w:t>
      </w:r>
      <w:r w:rsidRPr="005A1C07">
        <w:rPr>
          <w:rFonts w:ascii="Verdana" w:hAnsi="Verdana" w:cs="Arial"/>
          <w:lang w:val="es-MX"/>
        </w:rPr>
        <w:lastRenderedPageBreak/>
        <w:t>estatal, por lo que la experiencia aportada por quien se retira no deberá ser tenida en cuenta por las entidades estatales, y no debería ser utilizada por el proponente en procesos de contratación, ya que es inherente a la persona que la ha obtenido. En ese sentido si el socio se retira de la sociedad por venta o cesión de su participación accionaria, no puede vender o ceder su experiencia para que el adquirente o cesionario de la participación accionaria la aporte a la sociedad.  En consecuencia, el proponente debería actualizar la experiencia en el RUP, actuando de buena fe en el proceso de contratación.</w:t>
      </w:r>
    </w:p>
    <w:p w14:paraId="2208505B" w14:textId="77777777" w:rsidR="00105F0E" w:rsidRPr="005A1C07" w:rsidRDefault="00105F0E" w:rsidP="00105F0E">
      <w:pPr>
        <w:pStyle w:val="Textonotapie"/>
        <w:spacing w:after="120" w:line="276" w:lineRule="auto"/>
        <w:ind w:firstLine="709"/>
        <w:jc w:val="both"/>
        <w:rPr>
          <w:rFonts w:ascii="Verdana" w:hAnsi="Verdana" w:cs="Arial"/>
          <w:sz w:val="22"/>
          <w:szCs w:val="22"/>
        </w:rPr>
      </w:pPr>
      <w:r w:rsidRPr="005A1C07">
        <w:rPr>
          <w:rFonts w:ascii="Verdana" w:hAnsi="Verdana" w:cs="Arial"/>
          <w:sz w:val="22"/>
          <w:szCs w:val="22"/>
        </w:rPr>
        <w:t xml:space="preserve">Por otra parte, en cuanto a la </w:t>
      </w:r>
      <w:r>
        <w:rPr>
          <w:rFonts w:ascii="Verdana" w:eastAsia="Calibri" w:hAnsi="Verdana" w:cs="Arial"/>
          <w:bCs/>
          <w:sz w:val="22"/>
          <w:szCs w:val="22"/>
        </w:rPr>
        <w:t>“</w:t>
      </w:r>
      <w:r w:rsidRPr="005A1C07">
        <w:rPr>
          <w:rFonts w:ascii="Verdana" w:eastAsia="Calibri" w:hAnsi="Verdana" w:cs="Arial"/>
          <w:bCs/>
          <w:sz w:val="22"/>
          <w:szCs w:val="22"/>
        </w:rPr>
        <w:t>liquidación</w:t>
      </w:r>
      <w:r>
        <w:rPr>
          <w:rFonts w:ascii="Verdana" w:eastAsia="Calibri" w:hAnsi="Verdana" w:cs="Arial"/>
          <w:bCs/>
          <w:sz w:val="22"/>
          <w:szCs w:val="22"/>
        </w:rPr>
        <w:t>”</w:t>
      </w:r>
      <w:r w:rsidRPr="005A1C07">
        <w:rPr>
          <w:rFonts w:ascii="Verdana" w:eastAsia="Calibri" w:hAnsi="Verdana" w:cs="Arial"/>
          <w:bCs/>
          <w:sz w:val="22"/>
          <w:szCs w:val="22"/>
        </w:rPr>
        <w:t xml:space="preserve"> de las sociedades comerciales, esta subdirección en los conceptos </w:t>
      </w:r>
      <w:r w:rsidRPr="005A1C07">
        <w:rPr>
          <w:rFonts w:ascii="Verdana" w:hAnsi="Verdana" w:cs="Arial"/>
          <w:sz w:val="22"/>
          <w:szCs w:val="22"/>
        </w:rPr>
        <w:t xml:space="preserve">C-051 del </w:t>
      </w:r>
      <w:r w:rsidRPr="005A1C07">
        <w:rPr>
          <w:rFonts w:ascii="Verdana" w:hAnsi="Verdana" w:cs="Arial"/>
          <w:color w:val="000000" w:themeColor="text1"/>
          <w:sz w:val="22"/>
          <w:szCs w:val="22"/>
        </w:rPr>
        <w:t xml:space="preserve">02 de marzo de 2020, C-491 del </w:t>
      </w:r>
      <w:r w:rsidRPr="005A1C07">
        <w:rPr>
          <w:rFonts w:ascii="Verdana" w:hAnsi="Verdana" w:cs="Arial"/>
          <w:color w:val="000000"/>
          <w:sz w:val="22"/>
          <w:szCs w:val="22"/>
          <w:lang w:val="es-CO"/>
        </w:rPr>
        <w:t xml:space="preserve">27 de julio y C-584 del 31 de agosto de 2020, </w:t>
      </w:r>
      <w:r w:rsidRPr="005A1C07">
        <w:rPr>
          <w:rFonts w:ascii="Verdana" w:eastAsia="Calibri" w:hAnsi="Verdana" w:cs="Arial"/>
          <w:bCs/>
          <w:sz w:val="22"/>
          <w:szCs w:val="22"/>
        </w:rPr>
        <w:t>ha indicado que, el Código de Comercio señala el procedimiento para realizar el inventario y distribución del patrimonio social, de lo cual se infiere que termina la persona jurídica</w:t>
      </w:r>
      <w:r w:rsidRPr="005A1C07">
        <w:rPr>
          <w:rStyle w:val="Refdenotaalpie"/>
          <w:rFonts w:ascii="Verdana" w:eastAsia="Calibri" w:hAnsi="Verdana" w:cs="Arial"/>
          <w:bCs/>
          <w:sz w:val="22"/>
          <w:szCs w:val="22"/>
        </w:rPr>
        <w:footnoteReference w:id="13"/>
      </w:r>
      <w:r w:rsidRPr="005A1C07">
        <w:rPr>
          <w:rFonts w:ascii="Verdana" w:eastAsia="Calibri" w:hAnsi="Verdana" w:cs="Arial"/>
          <w:bCs/>
          <w:sz w:val="22"/>
          <w:szCs w:val="22"/>
        </w:rPr>
        <w:t xml:space="preserve">, y la experiencia desaparece junto con la sociedad que la adquirió. Lo propio pasa con la muerte de uno de los socios, dado que, </w:t>
      </w:r>
      <w:r w:rsidRPr="005A1C07">
        <w:rPr>
          <w:rFonts w:ascii="Verdana" w:hAnsi="Verdana" w:cs="Arial"/>
          <w:sz w:val="22"/>
          <w:szCs w:val="22"/>
          <w:lang w:val="es-ES"/>
        </w:rPr>
        <w:t>será jurídicamente inviable pretender que la experiencia de un sujeto que no existe sea transferida. Las situaciones mencionadas con anterioridad no es posible aplicar</w:t>
      </w:r>
      <w:r w:rsidRPr="005A1C07">
        <w:rPr>
          <w:rFonts w:ascii="Verdana" w:hAnsi="Verdana" w:cs="Arial"/>
          <w:sz w:val="22"/>
          <w:szCs w:val="22"/>
        </w:rPr>
        <w:t xml:space="preserve"> el numeral 2.5 del artículo 2.2.1.1.1.5.2 del Decreto 1082 de 2015.</w:t>
      </w:r>
    </w:p>
    <w:bookmarkEnd w:id="5"/>
    <w:p w14:paraId="33FF870E" w14:textId="77777777" w:rsidR="00105F0E" w:rsidRPr="005A1C07" w:rsidRDefault="00105F0E" w:rsidP="00105F0E">
      <w:pPr>
        <w:spacing w:after="0" w:line="276" w:lineRule="auto"/>
        <w:ind w:firstLine="708"/>
        <w:jc w:val="both"/>
        <w:rPr>
          <w:rFonts w:ascii="Verdana" w:hAnsi="Verdana" w:cs="Arial"/>
          <w:lang w:val="es-MX"/>
        </w:rPr>
      </w:pPr>
      <w:r w:rsidRPr="005A1C07">
        <w:rPr>
          <w:rFonts w:ascii="Verdana" w:hAnsi="Verdana" w:cs="Arial"/>
          <w:lang w:val="es-MX"/>
        </w:rPr>
        <w:t>Lo anterior se fundamenta, como se explicó en líneas atrás, en el carácter personalísimo de la experiencia respecto de la persona que la ha adquirido y que solo en casos excepcionales y por disposición legal o reglamentaria se presume de otra forma. Por lo tanto, no es posible trasladar la experiencia de un proponente a otro, excepto cuando una sociedad es de reciente creación.</w:t>
      </w:r>
    </w:p>
    <w:p w14:paraId="6CECEF50" w14:textId="77777777" w:rsidR="00105F0E" w:rsidRDefault="00105F0E" w:rsidP="00105F0E">
      <w:pPr>
        <w:tabs>
          <w:tab w:val="left" w:pos="709"/>
        </w:tabs>
        <w:spacing w:after="0" w:line="276" w:lineRule="auto"/>
        <w:jc w:val="both"/>
        <w:rPr>
          <w:rFonts w:ascii="Verdana" w:hAnsi="Verdana" w:cs="Arial"/>
          <w:color w:val="000000" w:themeColor="text1"/>
          <w:lang w:val="es-ES"/>
        </w:rPr>
      </w:pPr>
    </w:p>
    <w:p w14:paraId="58A5B7FD" w14:textId="77777777" w:rsidR="00105F0E" w:rsidRDefault="00105F0E" w:rsidP="00105F0E">
      <w:pPr>
        <w:spacing w:after="120" w:line="276" w:lineRule="auto"/>
        <w:jc w:val="both"/>
        <w:rPr>
          <w:rFonts w:ascii="Verdana" w:eastAsia="Calibri" w:hAnsi="Verdana" w:cs="Arial"/>
          <w:color w:val="000000" w:themeColor="text1"/>
        </w:rPr>
      </w:pPr>
      <w:proofErr w:type="spellStart"/>
      <w:r>
        <w:rPr>
          <w:rFonts w:ascii="Verdana" w:eastAsia="Calibri" w:hAnsi="Verdana" w:cs="Arial"/>
          <w:bCs/>
          <w:color w:val="000000" w:themeColor="text1"/>
        </w:rPr>
        <w:t>iv</w:t>
      </w:r>
      <w:proofErr w:type="spellEnd"/>
      <w:r>
        <w:rPr>
          <w:rFonts w:ascii="Verdana" w:eastAsia="Calibri" w:hAnsi="Verdana" w:cs="Arial"/>
          <w:bCs/>
          <w:color w:val="000000" w:themeColor="text1"/>
        </w:rPr>
        <w:t>. En este contexto, la revisión de los conceptos relacionados con el alcance d</w:t>
      </w:r>
      <w:r w:rsidRPr="005A1C07">
        <w:rPr>
          <w:rFonts w:ascii="Verdana" w:hAnsi="Verdana" w:cs="Arial"/>
        </w:rPr>
        <w:t>el numeral 2.5 del artículo 2.2.1.1.1.5.2 del Decreto 1082 de 2015</w:t>
      </w:r>
      <w:r>
        <w:rPr>
          <w:rFonts w:ascii="Verdana" w:hAnsi="Verdana" w:cs="Arial"/>
        </w:rPr>
        <w:t xml:space="preserve"> será denegada. Asimismo, es necesario tener en cuenta que la norma no alude al porcentaje de participación del socio, accionista o constituyente; razón por la cual, no es variable relevante para transferir la experiencia en los términos explicados </w:t>
      </w:r>
      <w:r w:rsidRPr="000B7AD4">
        <w:rPr>
          <w:rFonts w:ascii="Verdana" w:hAnsi="Verdana" w:cs="Arial"/>
          <w:i/>
          <w:iCs/>
        </w:rPr>
        <w:t>ut supra</w:t>
      </w:r>
      <w:r>
        <w:rPr>
          <w:rFonts w:ascii="Verdana" w:hAnsi="Verdana" w:cs="Arial"/>
        </w:rPr>
        <w:t xml:space="preserve">. Finalmente, </w:t>
      </w:r>
      <w:r>
        <w:rPr>
          <w:rFonts w:ascii="Verdana" w:eastAsia="Calibri" w:hAnsi="Verdana" w:cs="Arial"/>
          <w:color w:val="000000" w:themeColor="text1"/>
        </w:rPr>
        <w:t>l</w:t>
      </w:r>
      <w:r w:rsidRPr="00651574">
        <w:rPr>
          <w:rFonts w:ascii="Verdana" w:eastAsia="Calibri" w:hAnsi="Verdana" w:cs="Arial"/>
          <w:color w:val="000000" w:themeColor="text1"/>
        </w:rPr>
        <w:t xml:space="preserve">a Agencia Nacional de Contratación Pública – Colombia Compra Eficiente fue creada por el Decreto Ley 4170 de 2011, como una Unidad Administrativa Especial, descentralizada de la Rama Ejecutiva del orden nacional, adscrita al Departamento Nacional de Planeación. El legislador determinó que su objetivo sería servir como ente rector de la política de compras </w:t>
      </w:r>
      <w:r w:rsidRPr="00651574">
        <w:rPr>
          <w:rFonts w:ascii="Verdana" w:eastAsia="Calibri" w:hAnsi="Verdana" w:cs="Arial"/>
          <w:color w:val="000000" w:themeColor="text1"/>
        </w:rPr>
        <w:lastRenderedPageBreak/>
        <w:t xml:space="preserve">y contratación, al ser consciente de la necesidad de contar en la estructura del Estado con un órgano técnico especializado que asumiera la tarea de </w:t>
      </w:r>
      <w:r>
        <w:rPr>
          <w:rFonts w:ascii="Verdana" w:eastAsia="Calibri" w:hAnsi="Verdana" w:cs="Arial"/>
          <w:color w:val="000000" w:themeColor="text1"/>
        </w:rPr>
        <w:t>asesorar a las entidades públicas en la formulación de</w:t>
      </w:r>
      <w:r w:rsidRPr="00651574">
        <w:rPr>
          <w:rFonts w:ascii="Verdana" w:eastAsia="Calibri" w:hAnsi="Verdana" w:cs="Arial"/>
          <w:color w:val="000000" w:themeColor="text1"/>
        </w:rPr>
        <w:t xml:space="preserve"> políticas </w:t>
      </w:r>
      <w:r>
        <w:rPr>
          <w:rFonts w:ascii="Verdana" w:eastAsia="Calibri" w:hAnsi="Verdana" w:cs="Arial"/>
          <w:color w:val="000000" w:themeColor="text1"/>
        </w:rPr>
        <w:t>y</w:t>
      </w:r>
      <w:r w:rsidRPr="00651574">
        <w:rPr>
          <w:rFonts w:ascii="Verdana" w:eastAsia="Calibri" w:hAnsi="Verdana" w:cs="Arial"/>
          <w:color w:val="000000" w:themeColor="text1"/>
        </w:rPr>
        <w:t xml:space="preserve"> normas </w:t>
      </w:r>
      <w:r>
        <w:rPr>
          <w:rFonts w:ascii="Verdana" w:eastAsia="Calibri" w:hAnsi="Verdana" w:cs="Arial"/>
          <w:color w:val="000000" w:themeColor="text1"/>
        </w:rPr>
        <w:t>para</w:t>
      </w:r>
      <w:r w:rsidRPr="00651574">
        <w:rPr>
          <w:rFonts w:ascii="Verdana" w:eastAsia="Calibri" w:hAnsi="Verdana" w:cs="Arial"/>
          <w:color w:val="000000" w:themeColor="text1"/>
        </w:rPr>
        <w:t xml:space="preserve"> unificar los procesos de contratación estatal</w:t>
      </w:r>
      <w:r>
        <w:rPr>
          <w:rFonts w:ascii="Verdana" w:eastAsia="Calibri" w:hAnsi="Verdana" w:cs="Arial"/>
          <w:color w:val="000000" w:themeColor="text1"/>
        </w:rPr>
        <w:t xml:space="preserve">. </w:t>
      </w:r>
    </w:p>
    <w:p w14:paraId="68903C59" w14:textId="77777777" w:rsidR="00105F0E" w:rsidRDefault="00105F0E" w:rsidP="00105F0E">
      <w:pPr>
        <w:tabs>
          <w:tab w:val="left" w:pos="709"/>
        </w:tabs>
        <w:spacing w:after="180" w:line="276" w:lineRule="auto"/>
        <w:jc w:val="both"/>
        <w:rPr>
          <w:rFonts w:ascii="Verdana" w:eastAsia="Calibri" w:hAnsi="Verdana" w:cs="Arial"/>
          <w:bCs/>
          <w:color w:val="000000" w:themeColor="text1"/>
        </w:rPr>
      </w:pPr>
      <w:r>
        <w:rPr>
          <w:rFonts w:ascii="Verdana" w:eastAsia="Calibri" w:hAnsi="Verdana" w:cs="Arial"/>
          <w:color w:val="000000" w:themeColor="text1"/>
        </w:rPr>
        <w:tab/>
        <w:t>De acuerdo con esta naturaleza jurídica</w:t>
      </w:r>
      <w:r w:rsidRPr="00651574">
        <w:rPr>
          <w:rFonts w:ascii="Verdana" w:eastAsia="Calibri" w:hAnsi="Verdana" w:cs="Arial"/>
          <w:color w:val="000000" w:themeColor="text1"/>
        </w:rPr>
        <w:t xml:space="preserve">, se aclara que la Agencia </w:t>
      </w:r>
      <w:r>
        <w:rPr>
          <w:rFonts w:ascii="Verdana" w:eastAsia="Calibri" w:hAnsi="Verdana" w:cs="Arial"/>
          <w:color w:val="000000" w:themeColor="text1"/>
        </w:rPr>
        <w:t>no es titular del ejercicio de la potestad reglamentaria del artículo 189.11 superior, pues se trata de decisiones que adopta el gobierno nacional en los términos del inciso segundo del artículo 115 de la Constitución Política de 1991</w:t>
      </w:r>
      <w:r>
        <w:rPr>
          <w:rStyle w:val="Refdenotaalpie"/>
          <w:rFonts w:ascii="Verdana" w:eastAsia="Calibri" w:hAnsi="Verdana" w:cs="Arial"/>
          <w:color w:val="000000" w:themeColor="text1"/>
        </w:rPr>
        <w:footnoteReference w:id="14"/>
      </w:r>
      <w:r>
        <w:rPr>
          <w:rFonts w:ascii="Verdana" w:eastAsia="Calibri" w:hAnsi="Verdana" w:cs="Arial"/>
          <w:color w:val="000000" w:themeColor="text1"/>
        </w:rPr>
        <w:t>. Por tanto, dado que la ANCP – CCE no es un órgano de carácter ministerial ni es un departamento administrativo, carece de atribuciones para realizar modificaciones al Decreto Único Reglamentario del Sector Administrativo de Planeación Nacional.</w:t>
      </w:r>
    </w:p>
    <w:p w14:paraId="00682191" w14:textId="77777777" w:rsidR="00105F0E" w:rsidRPr="00A47393" w:rsidRDefault="00105F0E" w:rsidP="00105F0E">
      <w:pPr>
        <w:tabs>
          <w:tab w:val="left" w:pos="709"/>
        </w:tabs>
        <w:spacing w:after="180" w:line="276" w:lineRule="auto"/>
        <w:jc w:val="both"/>
        <w:rPr>
          <w:rFonts w:ascii="Verdana" w:eastAsia="Calibri" w:hAnsi="Verdana" w:cs="Arial"/>
          <w:bCs/>
          <w:color w:val="000000" w:themeColor="text1"/>
        </w:rPr>
      </w:pPr>
      <w:r>
        <w:rPr>
          <w:rFonts w:ascii="Verdana" w:eastAsia="Calibri" w:hAnsi="Verdana" w:cs="Arial"/>
          <w:bCs/>
          <w:color w:val="000000" w:themeColor="text1"/>
        </w:rPr>
        <w:tab/>
      </w:r>
      <w:r w:rsidRPr="00A47393">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5DC5520" w14:textId="77777777" w:rsidR="00105F0E" w:rsidRPr="00185EE9" w:rsidRDefault="00105F0E" w:rsidP="00105F0E">
      <w:pPr>
        <w:tabs>
          <w:tab w:val="left" w:pos="709"/>
        </w:tabs>
        <w:spacing w:after="0" w:line="276" w:lineRule="auto"/>
        <w:jc w:val="both"/>
        <w:rPr>
          <w:rFonts w:ascii="Verdana" w:eastAsia="Calibri" w:hAnsi="Verdana" w:cs="Arial"/>
          <w:bCs/>
          <w:color w:val="000000" w:themeColor="text1"/>
        </w:rPr>
      </w:pPr>
      <w:r>
        <w:rPr>
          <w:rFonts w:ascii="Verdana" w:eastAsia="Calibri" w:hAnsi="Verdana" w:cs="Arial"/>
          <w:bCs/>
          <w:color w:val="000000" w:themeColor="text1"/>
        </w:rPr>
        <w:tab/>
      </w:r>
      <w:r w:rsidRPr="00A47393">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r w:rsidRPr="00185EE9">
        <w:rPr>
          <w:rFonts w:ascii="Verdana" w:eastAsia="Calibri" w:hAnsi="Verdana" w:cs="Arial"/>
          <w:bCs/>
          <w:color w:val="000000" w:themeColor="text1"/>
        </w:rPr>
        <w:t xml:space="preserve"> </w:t>
      </w:r>
    </w:p>
    <w:p w14:paraId="60BA6EDD" w14:textId="77777777" w:rsidR="00105F0E" w:rsidRPr="00182C89" w:rsidRDefault="00105F0E" w:rsidP="00105F0E">
      <w:pPr>
        <w:tabs>
          <w:tab w:val="left" w:pos="709"/>
        </w:tabs>
        <w:spacing w:after="0" w:line="276" w:lineRule="auto"/>
        <w:jc w:val="both"/>
        <w:rPr>
          <w:rFonts w:ascii="Verdana" w:eastAsia="Calibri" w:hAnsi="Verdana" w:cs="Arial"/>
          <w:color w:val="000000" w:themeColor="text1"/>
        </w:rPr>
      </w:pPr>
    </w:p>
    <w:p w14:paraId="6B3BEC06" w14:textId="77777777" w:rsidR="00105F0E" w:rsidRPr="00593A5F" w:rsidRDefault="00105F0E" w:rsidP="00105F0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74DA96EA" w14:textId="77777777" w:rsidR="00105F0E" w:rsidRPr="00593A5F" w:rsidRDefault="00105F0E" w:rsidP="00105F0E">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05F0E" w:rsidRPr="002407CE" w14:paraId="447A71B5" w14:textId="77777777" w:rsidTr="00A705BD">
        <w:trPr>
          <w:trHeight w:val="56"/>
          <w:jc w:val="center"/>
        </w:trPr>
        <w:tc>
          <w:tcPr>
            <w:tcW w:w="8647" w:type="dxa"/>
          </w:tcPr>
          <w:p w14:paraId="00DC8F10" w14:textId="77777777" w:rsidR="00105F0E" w:rsidRDefault="00105F0E" w:rsidP="00A705B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1991, artículos 115 y 189.</w:t>
            </w:r>
          </w:p>
          <w:p w14:paraId="28691CA0" w14:textId="77777777" w:rsidR="00105F0E" w:rsidRDefault="00105F0E" w:rsidP="00A705B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artículos 5 y 6.</w:t>
            </w:r>
          </w:p>
          <w:p w14:paraId="637BE85C" w14:textId="77777777" w:rsidR="00105F0E" w:rsidRDefault="00105F0E" w:rsidP="00A705B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1437 de 2011, artículos 28 y 112.</w:t>
            </w:r>
            <w:r w:rsidRPr="00B87E7A">
              <w:rPr>
                <w:rFonts w:ascii="Verdana" w:hAnsi="Verdana" w:cs="Arial"/>
              </w:rPr>
              <w:t xml:space="preserve"> </w:t>
            </w:r>
          </w:p>
          <w:p w14:paraId="238E0CA5" w14:textId="77777777" w:rsidR="00105F0E" w:rsidRDefault="00105F0E" w:rsidP="00A705B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Decreto Ley 4170 de 2011, artículos 1, 3, 11, 12 y 13.</w:t>
            </w:r>
          </w:p>
          <w:p w14:paraId="1B87D170" w14:textId="77777777" w:rsidR="00105F0E" w:rsidRPr="00F74C2D" w:rsidRDefault="00105F0E" w:rsidP="00A705BD">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 xml:space="preserve">Decreto 1082 de 2015, artículo </w:t>
            </w:r>
            <w:r w:rsidRPr="005A1C07">
              <w:rPr>
                <w:rFonts w:ascii="Verdana" w:hAnsi="Verdana" w:cs="Arial"/>
                <w:lang w:val="es-MX"/>
              </w:rPr>
              <w:t>2.2.1.1.1.5.2</w:t>
            </w:r>
            <w:r>
              <w:rPr>
                <w:rFonts w:ascii="Verdana" w:hAnsi="Verdana" w:cs="Arial"/>
                <w:lang w:val="es-MX"/>
              </w:rPr>
              <w:t>.</w:t>
            </w:r>
          </w:p>
        </w:tc>
      </w:tr>
    </w:tbl>
    <w:p w14:paraId="2868F330" w14:textId="77777777" w:rsidR="00105F0E" w:rsidRPr="002407CE" w:rsidRDefault="00105F0E" w:rsidP="00105F0E">
      <w:pPr>
        <w:widowControl w:val="0"/>
        <w:autoSpaceDE w:val="0"/>
        <w:autoSpaceDN w:val="0"/>
        <w:spacing w:after="0" w:line="276" w:lineRule="auto"/>
        <w:jc w:val="both"/>
        <w:rPr>
          <w:rFonts w:ascii="Verdana" w:hAnsi="Verdana" w:cs="Arial"/>
        </w:rPr>
      </w:pPr>
    </w:p>
    <w:p w14:paraId="5D464862" w14:textId="77777777" w:rsidR="00105F0E" w:rsidRPr="00593A5F" w:rsidRDefault="00105F0E" w:rsidP="00105F0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6C53D089" w14:textId="77777777" w:rsidR="00105F0E" w:rsidRPr="00593A5F" w:rsidRDefault="00105F0E" w:rsidP="00105F0E">
      <w:pPr>
        <w:widowControl w:val="0"/>
        <w:autoSpaceDE w:val="0"/>
        <w:autoSpaceDN w:val="0"/>
        <w:spacing w:after="0" w:line="276" w:lineRule="auto"/>
        <w:jc w:val="both"/>
        <w:rPr>
          <w:rFonts w:ascii="Verdana" w:hAnsi="Verdana" w:cs="Arial"/>
        </w:rPr>
      </w:pPr>
    </w:p>
    <w:p w14:paraId="6673F80D" w14:textId="77777777" w:rsidR="00105F0E" w:rsidRPr="00ED0098" w:rsidRDefault="00105F0E" w:rsidP="00105F0E">
      <w:pPr>
        <w:widowControl w:val="0"/>
        <w:autoSpaceDE w:val="0"/>
        <w:autoSpaceDN w:val="0"/>
        <w:spacing w:after="0" w:line="276" w:lineRule="auto"/>
        <w:jc w:val="both"/>
        <w:rPr>
          <w:rStyle w:val="normaltextrun"/>
          <w:rFonts w:ascii="Verdana" w:hAnsi="Verdana" w:cs="Arial"/>
          <w:shd w:val="clear" w:color="auto" w:fill="FFFFFF"/>
        </w:rPr>
      </w:pPr>
      <w:r>
        <w:rPr>
          <w:rFonts w:ascii="Verdana" w:hAnsi="Verdana" w:cs="Arial"/>
          <w:shd w:val="clear" w:color="auto" w:fill="FFFFFF"/>
        </w:rPr>
        <w:t xml:space="preserve">Esta Subdirección </w:t>
      </w:r>
      <w:r w:rsidRPr="00683260">
        <w:rPr>
          <w:rStyle w:val="normaltextrun"/>
          <w:rFonts w:ascii="Verdana" w:hAnsi="Verdana" w:cs="Arial"/>
          <w:shd w:val="clear" w:color="auto" w:fill="FFFFFF"/>
        </w:rPr>
        <w:t xml:space="preserve">se ha pronunciado </w:t>
      </w:r>
      <w:r w:rsidRPr="00502997">
        <w:rPr>
          <w:rStyle w:val="normaltextrun"/>
          <w:rFonts w:ascii="Verdana" w:hAnsi="Verdana" w:cs="Arial"/>
          <w:shd w:val="clear" w:color="auto" w:fill="FFFFFF"/>
        </w:rPr>
        <w:t>sobre</w:t>
      </w:r>
      <w:r>
        <w:rPr>
          <w:rStyle w:val="normaltextrun"/>
          <w:rFonts w:ascii="Verdana" w:hAnsi="Verdana" w:cs="Arial"/>
          <w:shd w:val="clear" w:color="auto" w:fill="FFFFFF"/>
        </w:rPr>
        <w:t xml:space="preserve"> </w:t>
      </w:r>
      <w:r w:rsidRPr="000B7AD4">
        <w:rPr>
          <w:rStyle w:val="normaltextrun"/>
          <w:rFonts w:ascii="Verdana" w:hAnsi="Verdana" w:cs="Arial"/>
          <w:shd w:val="clear" w:color="auto" w:fill="FFFFFF"/>
        </w:rPr>
        <w:t xml:space="preserve">la acreditación de la experiencia de los socios por una sociedad nueva con menos de 3 años de constitución en los conceptos C-025 del 16 de marzo de 2020, C-051 del 2 de marzo de 2020, C-165 del 1 de abril de 2020, C-233 del 16 de abril de 2020, C-407 de 12 de junio de 2020, C-398 de 30 de junio de 2020, C-470 del 14 de julio de 2020, C-511 del 18 de agosto de 2020, C-584 de 31 de agosto 2020, C-619 de 21 de septiembre 2020, C-710 del 9 de diciembre de 2020, C-717 del 10 de diciembre de 2020, C-729 del 11 de diciembre de 2020, C-103 del 24 de marzo del 2021, C-140 del 9 de abril del 2021, C-230 del 25 de mayo de 2021, C-316 del 29 de junio de 2021, C-318 del 29 de junio de 2021, C-326 del 2 de julio de 2021, C-593 del 11 de diciembre de 2024, C-1006 del 30 de diciembre de 2024, C-093 del 17 de febrero de 2025, C-121 del 6 de marzo de 2025, C-200 del 25 de marzo de 2025, C-204 del 26 de marzo de 2025, </w:t>
      </w:r>
      <w:r>
        <w:rPr>
          <w:rStyle w:val="normaltextrun"/>
          <w:rFonts w:ascii="Verdana" w:hAnsi="Verdana" w:cs="Arial"/>
          <w:shd w:val="clear" w:color="auto" w:fill="FFFFFF"/>
        </w:rPr>
        <w:t>C-</w:t>
      </w:r>
      <w:r w:rsidRPr="000B7AD4">
        <w:rPr>
          <w:rStyle w:val="normaltextrun"/>
          <w:rFonts w:ascii="Verdana" w:hAnsi="Verdana" w:cs="Arial"/>
          <w:shd w:val="clear" w:color="auto" w:fill="FFFFFF"/>
        </w:rPr>
        <w:t>670 de</w:t>
      </w:r>
      <w:r>
        <w:rPr>
          <w:rStyle w:val="normaltextrun"/>
          <w:rFonts w:ascii="Verdana" w:hAnsi="Verdana" w:cs="Arial"/>
          <w:shd w:val="clear" w:color="auto" w:fill="FFFFFF"/>
        </w:rPr>
        <w:t>l 12 de noviembre de</w:t>
      </w:r>
      <w:r w:rsidRPr="000B7AD4">
        <w:rPr>
          <w:rStyle w:val="normaltextrun"/>
          <w:rFonts w:ascii="Verdana" w:hAnsi="Verdana" w:cs="Arial"/>
          <w:shd w:val="clear" w:color="auto" w:fill="FFFFFF"/>
        </w:rPr>
        <w:t xml:space="preserve"> 2024,</w:t>
      </w:r>
      <w:r>
        <w:rPr>
          <w:rStyle w:val="normaltextrun"/>
          <w:rFonts w:ascii="Verdana" w:hAnsi="Verdana" w:cs="Arial"/>
          <w:shd w:val="clear" w:color="auto" w:fill="FFFFFF"/>
        </w:rPr>
        <w:t xml:space="preserve"> </w:t>
      </w:r>
      <w:r w:rsidRPr="000B7AD4">
        <w:rPr>
          <w:rStyle w:val="normaltextrun"/>
          <w:rFonts w:ascii="Verdana" w:hAnsi="Verdana" w:cs="Arial"/>
          <w:shd w:val="clear" w:color="auto" w:fill="FFFFFF"/>
        </w:rPr>
        <w:t>C-804 de</w:t>
      </w:r>
      <w:r>
        <w:rPr>
          <w:rStyle w:val="normaltextrun"/>
          <w:rFonts w:ascii="Verdana" w:hAnsi="Verdana" w:cs="Arial"/>
          <w:shd w:val="clear" w:color="auto" w:fill="FFFFFF"/>
        </w:rPr>
        <w:t>l 30 de julio de</w:t>
      </w:r>
      <w:r w:rsidRPr="000B7AD4">
        <w:rPr>
          <w:rStyle w:val="normaltextrun"/>
          <w:rFonts w:ascii="Verdana" w:hAnsi="Verdana" w:cs="Arial"/>
          <w:shd w:val="clear" w:color="auto" w:fill="FFFFFF"/>
        </w:rPr>
        <w:t xml:space="preserve"> 2025</w:t>
      </w:r>
      <w:r>
        <w:rPr>
          <w:rStyle w:val="normaltextrun"/>
          <w:rFonts w:ascii="Verdana" w:hAnsi="Verdana" w:cs="Arial"/>
          <w:shd w:val="clear" w:color="auto" w:fill="FFFFFF"/>
        </w:rPr>
        <w:t>,</w:t>
      </w:r>
      <w:r w:rsidRPr="000B7AD4">
        <w:rPr>
          <w:rStyle w:val="normaltextrun"/>
          <w:rFonts w:ascii="Verdana" w:hAnsi="Verdana" w:cs="Arial"/>
          <w:shd w:val="clear" w:color="auto" w:fill="FFFFFF"/>
        </w:rPr>
        <w:t xml:space="preserve"> C-830 de</w:t>
      </w:r>
      <w:r>
        <w:rPr>
          <w:rStyle w:val="normaltextrun"/>
          <w:rFonts w:ascii="Verdana" w:hAnsi="Verdana" w:cs="Arial"/>
          <w:shd w:val="clear" w:color="auto" w:fill="FFFFFF"/>
        </w:rPr>
        <w:t>l 4 de agosto de</w:t>
      </w:r>
      <w:r w:rsidRPr="000B7AD4">
        <w:rPr>
          <w:rStyle w:val="normaltextrun"/>
          <w:rFonts w:ascii="Verdana" w:hAnsi="Verdana" w:cs="Arial"/>
          <w:shd w:val="clear" w:color="auto" w:fill="FFFFFF"/>
        </w:rPr>
        <w:t xml:space="preserve"> 2025</w:t>
      </w:r>
      <w:r>
        <w:rPr>
          <w:rStyle w:val="normaltextrun"/>
          <w:rFonts w:ascii="Verdana" w:hAnsi="Verdana" w:cs="Arial"/>
          <w:shd w:val="clear" w:color="auto" w:fill="FFFFFF"/>
        </w:rPr>
        <w:t>,</w:t>
      </w:r>
      <w:r w:rsidRPr="000B7AD4">
        <w:rPr>
          <w:rStyle w:val="normaltextrun"/>
          <w:rFonts w:ascii="Verdana" w:hAnsi="Verdana" w:cs="Arial"/>
          <w:shd w:val="clear" w:color="auto" w:fill="FFFFFF"/>
        </w:rPr>
        <w:t xml:space="preserve"> C-1391 de</w:t>
      </w:r>
      <w:r>
        <w:rPr>
          <w:rStyle w:val="normaltextrun"/>
          <w:rFonts w:ascii="Verdana" w:hAnsi="Verdana" w:cs="Arial"/>
          <w:shd w:val="clear" w:color="auto" w:fill="FFFFFF"/>
        </w:rPr>
        <w:t>l 4 de noviembre de</w:t>
      </w:r>
      <w:r w:rsidRPr="000B7AD4">
        <w:rPr>
          <w:rStyle w:val="normaltextrun"/>
          <w:rFonts w:ascii="Verdana" w:hAnsi="Verdana" w:cs="Arial"/>
          <w:shd w:val="clear" w:color="auto" w:fill="FFFFFF"/>
        </w:rPr>
        <w:t xml:space="preserve"> 2025</w:t>
      </w:r>
      <w:r>
        <w:rPr>
          <w:rStyle w:val="normaltextrun"/>
          <w:rFonts w:ascii="Verdana" w:hAnsi="Verdana" w:cs="Arial"/>
          <w:shd w:val="clear" w:color="auto" w:fill="FFFFFF"/>
        </w:rPr>
        <w:t xml:space="preserve"> y C-1621 del 17 de diciembre de 2025</w:t>
      </w:r>
      <w:r>
        <w:rPr>
          <w:rFonts w:ascii="Verdana" w:eastAsia="Calibri" w:hAnsi="Verdana" w:cs="Arial"/>
          <w:shd w:val="clear" w:color="auto" w:fill="FFFFFF"/>
        </w:rPr>
        <w:t>.</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Estos y otros conceptos se encuentran disponibles para consulta en el Sistema de relatoría de la Agencia</w:t>
      </w:r>
      <w:r w:rsidRPr="00A1554D">
        <w:rPr>
          <w:rFonts w:ascii="Verdana" w:hAnsi="Verdana"/>
        </w:rPr>
        <w:t>, al cual puede acceder</w:t>
      </w:r>
      <w:r>
        <w:rPr>
          <w:rFonts w:ascii="Verdana" w:hAnsi="Verdana"/>
        </w:rPr>
        <w:t>se</w:t>
      </w:r>
      <w:r w:rsidRPr="00A1554D">
        <w:rPr>
          <w:rFonts w:ascii="Verdana" w:hAnsi="Verdana"/>
        </w:rPr>
        <w:t xml:space="preserve"> a través del siguiente enlace:</w:t>
      </w:r>
      <w:r>
        <w:rPr>
          <w:rFonts w:ascii="Verdana" w:hAnsi="Verdana" w:cs="Arial"/>
          <w:shd w:val="clear" w:color="auto" w:fill="FFFFFF"/>
        </w:rPr>
        <w:t xml:space="preserv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09FFF44D" w14:textId="77777777" w:rsidR="00105F0E" w:rsidRPr="00096788" w:rsidRDefault="00105F0E" w:rsidP="00105F0E">
      <w:pPr>
        <w:widowControl w:val="0"/>
        <w:autoSpaceDE w:val="0"/>
        <w:autoSpaceDN w:val="0"/>
        <w:spacing w:after="0" w:line="276" w:lineRule="auto"/>
        <w:jc w:val="both"/>
        <w:rPr>
          <w:rFonts w:ascii="Verdana" w:hAnsi="Verdana" w:cs="Arial"/>
          <w:color w:val="000000" w:themeColor="text1"/>
          <w:shd w:val="clear" w:color="auto" w:fill="FFFFFF"/>
        </w:rPr>
      </w:pPr>
    </w:p>
    <w:p w14:paraId="3B4BDED4" w14:textId="77777777" w:rsidR="00105F0E" w:rsidRDefault="00105F0E" w:rsidP="00105F0E">
      <w:pPr>
        <w:spacing w:after="0"/>
        <w:jc w:val="both"/>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 xml:space="preserve">generar </w:t>
      </w:r>
      <w:r w:rsidRPr="009A385A">
        <w:rPr>
          <w:rFonts w:ascii="Verdana" w:hAnsi="Verdana"/>
        </w:rPr>
        <w:lastRenderedPageBreak/>
        <w:t>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9A385A">
          <w:rPr>
            <w:rStyle w:val="Hipervnculo"/>
            <w:rFonts w:ascii="Verdana" w:hAnsi="Verdana"/>
          </w:rPr>
          <w:t>https://formacionvirtual.colombiacompra.gov.co/mod/page/view.php?id=3718</w:t>
        </w:r>
      </w:hyperlink>
    </w:p>
    <w:p w14:paraId="68B02EF9" w14:textId="77777777" w:rsidR="00105F0E" w:rsidRPr="009A385A" w:rsidRDefault="00105F0E" w:rsidP="00105F0E">
      <w:pPr>
        <w:spacing w:after="0"/>
        <w:jc w:val="both"/>
        <w:rPr>
          <w:rFonts w:ascii="Verdana" w:hAnsi="Verdana"/>
        </w:rPr>
      </w:pPr>
    </w:p>
    <w:p w14:paraId="4A06FCFE" w14:textId="77777777" w:rsidR="00105F0E" w:rsidRDefault="00105F0E" w:rsidP="00105F0E">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4" w:tgtFrame="_new" w:history="1">
        <w:r w:rsidRPr="00635F16">
          <w:rPr>
            <w:rStyle w:val="Hipervnculo"/>
            <w:rFonts w:ascii="Verdana" w:hAnsi="Verdana"/>
          </w:rPr>
          <w:t>https://www.colombiacompra.gov.co/normativa-y-relatoria/documentos-tipo</w:t>
        </w:r>
      </w:hyperlink>
    </w:p>
    <w:p w14:paraId="092483C1" w14:textId="77777777" w:rsidR="00105F0E" w:rsidRDefault="00105F0E" w:rsidP="00105F0E">
      <w:pPr>
        <w:spacing w:after="0"/>
        <w:jc w:val="both"/>
        <w:rPr>
          <w:rFonts w:ascii="Verdana" w:hAnsi="Verdana"/>
        </w:rPr>
      </w:pPr>
    </w:p>
    <w:p w14:paraId="58DF30AB" w14:textId="77777777" w:rsidR="00105F0E" w:rsidRPr="008E1CD7" w:rsidRDefault="00105F0E" w:rsidP="00105F0E">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5"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055AFABF" w14:textId="77777777" w:rsidR="00105F0E" w:rsidRDefault="00105F0E" w:rsidP="00105F0E">
      <w:pPr>
        <w:shd w:val="clear" w:color="auto" w:fill="FFFFFF"/>
        <w:spacing w:after="0" w:line="276" w:lineRule="auto"/>
        <w:jc w:val="both"/>
        <w:rPr>
          <w:rFonts w:ascii="Verdana" w:hAnsi="Verdana"/>
          <w:color w:val="000000"/>
          <w:u w:val="single"/>
        </w:rPr>
      </w:pPr>
    </w:p>
    <w:p w14:paraId="0E523713" w14:textId="77777777" w:rsidR="00105F0E" w:rsidRPr="00116940" w:rsidRDefault="00105F0E" w:rsidP="00105F0E">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03178489" w14:textId="77777777" w:rsidR="00105F0E" w:rsidRPr="00116940" w:rsidRDefault="00105F0E" w:rsidP="00105F0E">
      <w:pPr>
        <w:spacing w:after="0"/>
        <w:jc w:val="both"/>
        <w:rPr>
          <w:rFonts w:ascii="Verdana" w:hAnsi="Verdana"/>
        </w:rPr>
      </w:pPr>
    </w:p>
    <w:p w14:paraId="38442AD3" w14:textId="77777777" w:rsidR="00105F0E" w:rsidRPr="00116940" w:rsidRDefault="00105F0E" w:rsidP="00105F0E">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2A2BBD31" w14:textId="77777777" w:rsidR="00105F0E" w:rsidRPr="00116940" w:rsidRDefault="00105F0E" w:rsidP="00105F0E">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6B05D7CA" w14:textId="77777777" w:rsidR="00105F0E" w:rsidRPr="00116940" w:rsidRDefault="00105F0E" w:rsidP="00105F0E">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lastRenderedPageBreak/>
        <w:t xml:space="preserve">Correo de radicación de correspondencia: </w:t>
      </w:r>
      <w:hyperlink r:id="rId16">
        <w:r w:rsidRPr="00116940">
          <w:rPr>
            <w:rStyle w:val="Hipervnculo"/>
            <w:rFonts w:ascii="Verdana" w:eastAsia="Verdana" w:hAnsi="Verdana" w:cs="Verdana"/>
            <w:lang w:val="es-MX"/>
          </w:rPr>
          <w:t>ventanilladeradicacion@colombiacompra.gov.co</w:t>
        </w:r>
      </w:hyperlink>
    </w:p>
    <w:p w14:paraId="5A345C2A" w14:textId="77777777" w:rsidR="00105F0E" w:rsidRPr="00116940" w:rsidRDefault="00105F0E" w:rsidP="00105F0E">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7">
        <w:r w:rsidRPr="00116940">
          <w:rPr>
            <w:rStyle w:val="Hipervnculo"/>
            <w:rFonts w:ascii="Verdana" w:eastAsia="Verdana" w:hAnsi="Verdana" w:cs="Verdana"/>
            <w:lang w:val="es-MX"/>
          </w:rPr>
          <w:t>https://www.colombiacompra.gov.co/pqrsd/informacion-importante-antes-de-formular-una-pqrsd</w:t>
        </w:r>
      </w:hyperlink>
    </w:p>
    <w:p w14:paraId="25C093CC" w14:textId="77777777" w:rsidR="00105F0E" w:rsidRPr="00116940" w:rsidRDefault="00105F0E" w:rsidP="00105F0E">
      <w:pPr>
        <w:spacing w:after="0" w:line="240" w:lineRule="auto"/>
        <w:ind w:left="720"/>
        <w:jc w:val="both"/>
        <w:rPr>
          <w:rFonts w:ascii="Verdana" w:hAnsi="Verdana"/>
        </w:rPr>
      </w:pPr>
    </w:p>
    <w:p w14:paraId="67F2B919" w14:textId="77777777" w:rsidR="00105F0E" w:rsidRPr="00116940" w:rsidRDefault="00105F0E" w:rsidP="00105F0E">
      <w:pPr>
        <w:spacing w:after="0" w:line="240" w:lineRule="auto"/>
        <w:rPr>
          <w:rFonts w:ascii="Verdana" w:hAnsi="Verdana"/>
        </w:rPr>
      </w:pPr>
      <w:r w:rsidRPr="00116940">
        <w:rPr>
          <w:rFonts w:ascii="Verdana" w:hAnsi="Verdana"/>
        </w:rPr>
        <w:t xml:space="preserve">Evalúa el servicio que ofrece la Agencia por el canal de atención de PQRSD en el siguiente </w:t>
      </w:r>
      <w:proofErr w:type="gramStart"/>
      <w:r w:rsidRPr="00116940">
        <w:rPr>
          <w:rFonts w:ascii="Verdana" w:hAnsi="Verdana"/>
        </w:rPr>
        <w:t>enlace :</w:t>
      </w:r>
      <w:proofErr w:type="gramEnd"/>
      <w:hyperlink r:id="rId18"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65B3D291" w14:textId="77777777" w:rsidR="00105F0E" w:rsidRPr="00116940" w:rsidRDefault="00105F0E" w:rsidP="00105F0E">
      <w:pPr>
        <w:spacing w:after="0" w:line="240" w:lineRule="auto"/>
        <w:rPr>
          <w:rFonts w:ascii="Verdana" w:hAnsi="Verdana"/>
        </w:rPr>
      </w:pPr>
    </w:p>
    <w:p w14:paraId="3EA1E063" w14:textId="77777777" w:rsidR="00105F0E" w:rsidRPr="00116940" w:rsidRDefault="00105F0E" w:rsidP="00105F0E">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632A1C64" w14:textId="77777777" w:rsidR="00105F0E" w:rsidRPr="00116940" w:rsidRDefault="00105F0E" w:rsidP="00105F0E">
      <w:pPr>
        <w:spacing w:after="0" w:line="240" w:lineRule="auto"/>
        <w:jc w:val="both"/>
        <w:rPr>
          <w:rFonts w:ascii="Verdana" w:hAnsi="Verdana"/>
        </w:rPr>
      </w:pPr>
    </w:p>
    <w:p w14:paraId="61900DC8" w14:textId="77777777" w:rsidR="00105F0E" w:rsidRPr="00116940" w:rsidRDefault="00105F0E" w:rsidP="00105F0E">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6E6D893F" w14:textId="77777777" w:rsidR="00105F0E" w:rsidRPr="00116940" w:rsidRDefault="00105F0E" w:rsidP="00105F0E">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7B371CAF" w14:textId="77777777" w:rsidR="00105F0E" w:rsidRPr="00116940" w:rsidRDefault="00105F0E" w:rsidP="00105F0E">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0C546DDF" w14:textId="77777777" w:rsidR="00105F0E" w:rsidRPr="009C4035" w:rsidRDefault="00105F0E" w:rsidP="00105F0E">
      <w:pPr>
        <w:widowControl w:val="0"/>
        <w:autoSpaceDE w:val="0"/>
        <w:autoSpaceDN w:val="0"/>
        <w:spacing w:after="120" w:line="276" w:lineRule="auto"/>
        <w:jc w:val="both"/>
        <w:rPr>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1E07C713" w14:textId="77777777" w:rsidR="00105F0E" w:rsidRPr="00593A5F" w:rsidRDefault="00105F0E" w:rsidP="00105F0E">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2B6CED2F" w14:textId="77777777" w:rsidR="00105F0E" w:rsidRPr="00593A5F" w:rsidRDefault="00105F0E" w:rsidP="00105F0E">
      <w:pPr>
        <w:widowControl w:val="0"/>
        <w:autoSpaceDE w:val="0"/>
        <w:autoSpaceDN w:val="0"/>
        <w:spacing w:after="0" w:line="276" w:lineRule="auto"/>
        <w:jc w:val="both"/>
        <w:rPr>
          <w:rFonts w:ascii="Verdana" w:hAnsi="Verdana" w:cs="Arial"/>
        </w:rPr>
      </w:pPr>
    </w:p>
    <w:p w14:paraId="0CD3F048" w14:textId="77777777" w:rsidR="00105F0E" w:rsidRPr="00593A5F" w:rsidRDefault="00105F0E" w:rsidP="00105F0E">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39B5A338" w14:textId="0EFC4C01" w:rsidR="00105F0E" w:rsidRPr="00593A5F" w:rsidRDefault="00AD5C7E" w:rsidP="00105F0E">
      <w:pPr>
        <w:spacing w:line="276" w:lineRule="auto"/>
        <w:jc w:val="center"/>
        <w:rPr>
          <w:rFonts w:ascii="Verdana" w:hAnsi="Verdana" w:cs="Arial"/>
          <w:color w:val="000000"/>
          <w:lang w:val="es-ES_tradnl" w:eastAsia="es-CO"/>
        </w:rPr>
      </w:pPr>
      <w:r>
        <w:rPr>
          <w:noProof/>
        </w:rPr>
        <w:drawing>
          <wp:inline distT="0" distB="0" distL="0" distR="0" wp14:anchorId="7FFC7C0E" wp14:editId="1430200C">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9"/>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05F0E" w:rsidRPr="00593A5F" w14:paraId="726E4DAA" w14:textId="77777777" w:rsidTr="00A705BD">
        <w:trPr>
          <w:trHeight w:val="315"/>
        </w:trPr>
        <w:tc>
          <w:tcPr>
            <w:tcW w:w="893" w:type="dxa"/>
            <w:vAlign w:val="center"/>
            <w:hideMark/>
          </w:tcPr>
          <w:p w14:paraId="08436381" w14:textId="77777777" w:rsidR="00105F0E" w:rsidRPr="003751C7" w:rsidRDefault="00105F0E" w:rsidP="00A705BD">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C4CFC45" w14:textId="77777777" w:rsidR="00105F0E" w:rsidRPr="00254A7A" w:rsidRDefault="00105F0E" w:rsidP="00A705BD">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5076A394" w14:textId="77777777" w:rsidR="00105F0E" w:rsidRPr="00254A7A" w:rsidRDefault="00105F0E" w:rsidP="00A705BD">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105F0E" w:rsidRPr="00593A5F" w14:paraId="32F54B4D" w14:textId="77777777" w:rsidTr="00A705BD">
        <w:trPr>
          <w:trHeight w:val="330"/>
        </w:trPr>
        <w:tc>
          <w:tcPr>
            <w:tcW w:w="893" w:type="dxa"/>
            <w:vAlign w:val="center"/>
            <w:hideMark/>
          </w:tcPr>
          <w:p w14:paraId="0CA657FD" w14:textId="77777777" w:rsidR="00105F0E" w:rsidRPr="003751C7" w:rsidRDefault="00105F0E" w:rsidP="00A705BD">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48A47AB" w14:textId="77777777" w:rsidR="00105F0E" w:rsidRPr="00A40FD0" w:rsidRDefault="00105F0E" w:rsidP="00A705BD">
            <w:pPr>
              <w:pStyle w:val="paragraph"/>
              <w:spacing w:after="0"/>
              <w:contextualSpacing/>
              <w:textAlignment w:val="baseline"/>
              <w:rPr>
                <w:rStyle w:val="normaltextrun"/>
                <w:rFonts w:ascii="Verdana" w:hAnsi="Verdana" w:cs="Arial"/>
                <w:sz w:val="16"/>
                <w:szCs w:val="16"/>
                <w:lang w:val="es-ES_tradnl"/>
              </w:rPr>
            </w:pPr>
            <w:r w:rsidRPr="00A40FD0">
              <w:rPr>
                <w:rStyle w:val="normaltextrun"/>
                <w:rFonts w:ascii="Verdana" w:hAnsi="Verdana" w:cs="Arial"/>
                <w:sz w:val="16"/>
                <w:szCs w:val="16"/>
                <w:lang w:val="es-ES_tradnl"/>
              </w:rPr>
              <w:t>Diana Lucia Saavedra Castañeda</w:t>
            </w:r>
          </w:p>
          <w:p w14:paraId="27EC6542" w14:textId="77777777" w:rsidR="00105F0E" w:rsidRPr="00A40FD0" w:rsidRDefault="00105F0E" w:rsidP="00A705BD">
            <w:pPr>
              <w:pStyle w:val="paragraph"/>
              <w:spacing w:before="0" w:beforeAutospacing="0" w:after="0" w:afterAutospacing="0"/>
              <w:contextualSpacing/>
              <w:textAlignment w:val="baseline"/>
              <w:rPr>
                <w:rFonts w:ascii="Verdana" w:hAnsi="Verdana" w:cs="Segoe UI"/>
                <w:sz w:val="16"/>
                <w:szCs w:val="16"/>
              </w:rPr>
            </w:pPr>
            <w:r w:rsidRPr="00A40FD0">
              <w:rPr>
                <w:rStyle w:val="normaltextrun"/>
                <w:rFonts w:ascii="Verdana" w:hAnsi="Verdana" w:cs="Arial"/>
                <w:sz w:val="16"/>
                <w:szCs w:val="16"/>
                <w:lang w:val="es-ES_tradnl"/>
              </w:rPr>
              <w:t>Contratista de la Subdirección de Gestión Contractual</w:t>
            </w:r>
          </w:p>
        </w:tc>
      </w:tr>
      <w:tr w:rsidR="00105F0E" w:rsidRPr="00593A5F" w14:paraId="0F1B196D" w14:textId="77777777" w:rsidTr="00A705BD">
        <w:trPr>
          <w:trHeight w:val="300"/>
        </w:trPr>
        <w:tc>
          <w:tcPr>
            <w:tcW w:w="893" w:type="dxa"/>
            <w:vAlign w:val="center"/>
          </w:tcPr>
          <w:p w14:paraId="075696E7" w14:textId="77777777" w:rsidR="00105F0E" w:rsidRPr="003751C7" w:rsidRDefault="00105F0E" w:rsidP="00A705BD">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FE7CBCD" w14:textId="77777777" w:rsidR="00105F0E" w:rsidRPr="00FE00BE" w:rsidRDefault="00105F0E" w:rsidP="00A705BD">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Carolina Quintero Gacharná</w:t>
            </w:r>
          </w:p>
          <w:p w14:paraId="1A822D93" w14:textId="77777777" w:rsidR="00105F0E" w:rsidRPr="00FE00BE" w:rsidRDefault="00105F0E" w:rsidP="00A705BD">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Subdirectora de Gestión Contractual ANCP – CCE</w:t>
            </w:r>
          </w:p>
        </w:tc>
      </w:tr>
    </w:tbl>
    <w:p w14:paraId="0F293BF4" w14:textId="4CC78E52" w:rsidR="00127233" w:rsidRPr="00786F45" w:rsidRDefault="00127233" w:rsidP="00786F45"/>
    <w:sectPr w:rsidR="00127233" w:rsidRPr="00786F45"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EA4A5F" w14:textId="77777777" w:rsidR="009D5BC0" w:rsidRDefault="009D5BC0" w:rsidP="004A1847">
      <w:pPr>
        <w:spacing w:after="0" w:line="240" w:lineRule="auto"/>
      </w:pPr>
      <w:r>
        <w:separator/>
      </w:r>
    </w:p>
  </w:endnote>
  <w:endnote w:type="continuationSeparator" w:id="0">
    <w:p w14:paraId="1FD7EAEA" w14:textId="77777777" w:rsidR="009D5BC0" w:rsidRDefault="009D5BC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2BDBB7" w14:textId="77777777" w:rsidR="009D5BC0" w:rsidRDefault="009D5BC0" w:rsidP="004A1847">
      <w:pPr>
        <w:spacing w:after="0" w:line="240" w:lineRule="auto"/>
      </w:pPr>
      <w:r>
        <w:separator/>
      </w:r>
    </w:p>
  </w:footnote>
  <w:footnote w:type="continuationSeparator" w:id="0">
    <w:p w14:paraId="0C096CD5" w14:textId="77777777" w:rsidR="009D5BC0" w:rsidRDefault="009D5BC0" w:rsidP="004A1847">
      <w:pPr>
        <w:spacing w:after="0" w:line="240" w:lineRule="auto"/>
      </w:pPr>
      <w:r>
        <w:continuationSeparator/>
      </w:r>
    </w:p>
  </w:footnote>
  <w:footnote w:id="1">
    <w:p w14:paraId="1E533A2D" w14:textId="77777777" w:rsidR="00105F0E" w:rsidRPr="005A1C07" w:rsidRDefault="00105F0E" w:rsidP="00105F0E">
      <w:pPr>
        <w:pStyle w:val="Textonotapie"/>
        <w:ind w:firstLine="709"/>
        <w:jc w:val="both"/>
        <w:rPr>
          <w:rFonts w:ascii="Verdana" w:hAnsi="Verdana" w:cs="Arial"/>
          <w:sz w:val="16"/>
          <w:szCs w:val="16"/>
        </w:rPr>
      </w:pPr>
      <w:r w:rsidRPr="005A1C07">
        <w:rPr>
          <w:rStyle w:val="Refdenotaalpie"/>
          <w:rFonts w:ascii="Verdana" w:hAnsi="Verdana" w:cs="Arial"/>
          <w:sz w:val="16"/>
          <w:szCs w:val="16"/>
        </w:rPr>
        <w:footnoteRef/>
      </w:r>
      <w:r w:rsidRPr="005A1C07">
        <w:rPr>
          <w:rFonts w:ascii="Verdana" w:hAnsi="Verdana" w:cs="Arial"/>
          <w:sz w:val="16"/>
          <w:szCs w:val="16"/>
        </w:rPr>
        <w:t xml:space="preserve"> Procuraduría General de la Nación. Concepto del 15 de octubre de 2014. Procuraduría </w:t>
      </w:r>
      <w:proofErr w:type="gramStart"/>
      <w:r w:rsidRPr="005A1C07">
        <w:rPr>
          <w:rFonts w:ascii="Verdana" w:hAnsi="Verdana" w:cs="Arial"/>
          <w:sz w:val="16"/>
          <w:szCs w:val="16"/>
        </w:rPr>
        <w:t>Delegada</w:t>
      </w:r>
      <w:proofErr w:type="gramEnd"/>
      <w:r w:rsidRPr="005A1C07">
        <w:rPr>
          <w:rFonts w:ascii="Verdana" w:hAnsi="Verdana" w:cs="Arial"/>
          <w:sz w:val="16"/>
          <w:szCs w:val="16"/>
        </w:rPr>
        <w:t xml:space="preserve"> para Asuntos Disciplinarios. Radicado PAD C-114-2014.</w:t>
      </w:r>
    </w:p>
  </w:footnote>
  <w:footnote w:id="2">
    <w:p w14:paraId="79EB89F7" w14:textId="77777777" w:rsidR="00105F0E" w:rsidRPr="005A1C07" w:rsidRDefault="00105F0E" w:rsidP="00105F0E">
      <w:pPr>
        <w:pStyle w:val="Textonotapie"/>
        <w:ind w:firstLine="708"/>
        <w:jc w:val="both"/>
        <w:rPr>
          <w:rFonts w:ascii="Verdana" w:hAnsi="Verdana" w:cs="Arial"/>
          <w:sz w:val="16"/>
          <w:szCs w:val="16"/>
        </w:rPr>
      </w:pPr>
      <w:r w:rsidRPr="005A1C07">
        <w:rPr>
          <w:rStyle w:val="Refdenotaalpie"/>
          <w:rFonts w:ascii="Verdana" w:hAnsi="Verdana" w:cs="Arial"/>
          <w:sz w:val="16"/>
          <w:szCs w:val="16"/>
        </w:rPr>
        <w:footnoteRef/>
      </w:r>
      <w:r w:rsidRPr="005A1C07">
        <w:rPr>
          <w:rFonts w:ascii="Verdana" w:hAnsi="Verdana" w:cs="Arial"/>
          <w:sz w:val="16"/>
          <w:szCs w:val="16"/>
        </w:rPr>
        <w:t xml:space="preserve"> Contraloría General de la República. Oficina Jurídica. Concepto 80112-OJ-008 2017.</w:t>
      </w:r>
    </w:p>
  </w:footnote>
  <w:footnote w:id="3">
    <w:p w14:paraId="5C18BCB8" w14:textId="77777777" w:rsidR="00105F0E" w:rsidRPr="005A1C07" w:rsidRDefault="00105F0E" w:rsidP="00105F0E">
      <w:pPr>
        <w:pStyle w:val="Textonotapie"/>
        <w:ind w:firstLine="708"/>
        <w:jc w:val="both"/>
        <w:rPr>
          <w:rFonts w:ascii="Verdana" w:hAnsi="Verdana" w:cs="Arial"/>
          <w:sz w:val="16"/>
          <w:szCs w:val="16"/>
        </w:rPr>
      </w:pPr>
      <w:r w:rsidRPr="005A1C07">
        <w:rPr>
          <w:rStyle w:val="Refdenotaalpie"/>
          <w:rFonts w:ascii="Verdana" w:hAnsi="Verdana" w:cs="Arial"/>
          <w:sz w:val="16"/>
          <w:szCs w:val="16"/>
        </w:rPr>
        <w:footnoteRef/>
      </w:r>
      <w:r w:rsidRPr="005A1C07">
        <w:rPr>
          <w:rFonts w:ascii="Verdana" w:hAnsi="Verdana" w:cs="Arial"/>
          <w:sz w:val="16"/>
          <w:szCs w:val="16"/>
        </w:rPr>
        <w:t xml:space="preserve"> ARBOLEDA PERDONO, Enrique José. Comentarios al Nuevo Código de Procedimiento Administrativo y de lo Contencioso Administrativo (2ª ed.). Editorial Legis. Bogotá. 2012. p. 59.</w:t>
      </w:r>
    </w:p>
  </w:footnote>
  <w:footnote w:id="4">
    <w:p w14:paraId="3C0CBF94" w14:textId="77777777" w:rsidR="00105F0E" w:rsidRPr="005A1C07" w:rsidRDefault="00105F0E" w:rsidP="00105F0E">
      <w:pPr>
        <w:pStyle w:val="Textonotapie"/>
        <w:ind w:firstLine="709"/>
        <w:jc w:val="both"/>
        <w:rPr>
          <w:rFonts w:ascii="Verdana" w:hAnsi="Verdana" w:cs="Arial"/>
          <w:sz w:val="16"/>
          <w:szCs w:val="16"/>
        </w:rPr>
      </w:pPr>
      <w:r w:rsidRPr="005A1C07">
        <w:rPr>
          <w:rStyle w:val="Refdenotaalpie"/>
          <w:rFonts w:ascii="Verdana" w:hAnsi="Verdana" w:cs="Arial"/>
          <w:sz w:val="16"/>
          <w:szCs w:val="16"/>
        </w:rPr>
        <w:footnoteRef/>
      </w:r>
      <w:r w:rsidRPr="005A1C07">
        <w:rPr>
          <w:rFonts w:ascii="Verdana" w:hAnsi="Verdana" w:cs="Arial"/>
          <w:sz w:val="16"/>
          <w:szCs w:val="16"/>
        </w:rPr>
        <w:t xml:space="preserve"> Cfr. HERNÁNDEZ BECERRA, Augusto. Función Consultiva y Consejo de Estado en Colombia. Ponencia presentada en las III Jornadas Internacionales de la Función Consultiva, organizadas por el Instituto de Investigaciones Jurídicas y el programa de Postgrado en Derecho de la Universidad Nacional Autónoma de México – UNAM. México. 2012. Pág. 9. Texto disponible para ser consultado en el siguiente hipervínculo: </w:t>
      </w:r>
      <w:hyperlink r:id="rId1" w:history="1">
        <w:r w:rsidRPr="005A1C07">
          <w:rPr>
            <w:rStyle w:val="Hipervnculo"/>
            <w:rFonts w:ascii="Verdana" w:hAnsi="Verdana" w:cs="Arial"/>
            <w:sz w:val="16"/>
            <w:szCs w:val="16"/>
          </w:rPr>
          <w:t>https://issuu.com/estudiolegalhernandez/docs/ahb._funci__n_consultiva_y_consejo_</w:t>
        </w:r>
      </w:hyperlink>
      <w:r w:rsidRPr="005A1C07">
        <w:rPr>
          <w:rFonts w:ascii="Verdana" w:hAnsi="Verdana" w:cs="Arial"/>
          <w:sz w:val="16"/>
          <w:szCs w:val="16"/>
        </w:rPr>
        <w:t>.</w:t>
      </w:r>
    </w:p>
  </w:footnote>
  <w:footnote w:id="5">
    <w:p w14:paraId="501E5759" w14:textId="77777777" w:rsidR="00105F0E" w:rsidRPr="005A1C07" w:rsidRDefault="00105F0E" w:rsidP="00105F0E">
      <w:pPr>
        <w:pStyle w:val="Textonotapie"/>
        <w:ind w:firstLine="708"/>
        <w:jc w:val="both"/>
        <w:rPr>
          <w:rFonts w:ascii="Verdana" w:hAnsi="Verdana" w:cs="Arial"/>
          <w:sz w:val="16"/>
          <w:szCs w:val="16"/>
        </w:rPr>
      </w:pPr>
      <w:r w:rsidRPr="005A1C07">
        <w:rPr>
          <w:rStyle w:val="Refdenotaalpie"/>
          <w:rFonts w:ascii="Verdana" w:hAnsi="Verdana" w:cs="Arial"/>
          <w:sz w:val="16"/>
          <w:szCs w:val="16"/>
        </w:rPr>
        <w:footnoteRef/>
      </w:r>
      <w:r w:rsidRPr="005A1C07">
        <w:rPr>
          <w:rFonts w:ascii="Verdana" w:hAnsi="Verdana" w:cs="Arial"/>
          <w:sz w:val="16"/>
          <w:szCs w:val="16"/>
        </w:rPr>
        <w:t xml:space="preserve"> Consejo de Estado. Sala de Consulta y Servicio Civil. Concepto del 5 de octubre de 2009. Expediente 11001-03-06-000-2009-00049-00(1966). C.P. William Zambrano Cetina.</w:t>
      </w:r>
    </w:p>
  </w:footnote>
  <w:footnote w:id="6">
    <w:p w14:paraId="3709CF38" w14:textId="77777777" w:rsidR="00105F0E" w:rsidRPr="005A1C07" w:rsidRDefault="00105F0E" w:rsidP="00105F0E">
      <w:pPr>
        <w:pStyle w:val="Textonotapie"/>
        <w:ind w:firstLine="708"/>
        <w:jc w:val="both"/>
        <w:rPr>
          <w:rFonts w:ascii="Verdana" w:hAnsi="Verdana" w:cs="Arial"/>
          <w:sz w:val="16"/>
          <w:szCs w:val="16"/>
        </w:rPr>
      </w:pPr>
      <w:r w:rsidRPr="005A1C07">
        <w:rPr>
          <w:rStyle w:val="Refdenotaalpie"/>
          <w:rFonts w:ascii="Verdana" w:hAnsi="Verdana" w:cs="Arial"/>
          <w:sz w:val="16"/>
          <w:szCs w:val="16"/>
        </w:rPr>
        <w:footnoteRef/>
      </w:r>
      <w:r w:rsidRPr="005A1C07">
        <w:rPr>
          <w:rFonts w:ascii="Verdana" w:hAnsi="Verdana" w:cs="Arial"/>
          <w:sz w:val="16"/>
          <w:szCs w:val="16"/>
        </w:rPr>
        <w:t xml:space="preserve"> Conforme al Manual para determinar y verificar requisitos habilitantes en los procesos de contratación, la experiencia “[…] debe ser entendida como el conocimiento del proponente derivado de su participación previa en actividades iguales o similares a las previstas en el objeto del contrato con contratantes públicos, privados, nacionales o extranjeros. La experiencia puede ser adquirida directamente de manera singularizada o en asocio con otras personas, como es el caso de los proponentes plurales, cuya experiencia no deja de ser personal, sino que, por tratarse de esquemas asociativos, se evalúa de forma proporcional a la participación de los miembros en los respectivos consorcios y/o uniones temporales.</w:t>
      </w:r>
    </w:p>
    <w:p w14:paraId="0E5F61AD" w14:textId="77777777" w:rsidR="00105F0E" w:rsidRPr="005A1C07" w:rsidRDefault="00105F0E" w:rsidP="00105F0E">
      <w:pPr>
        <w:pStyle w:val="Textonotapie"/>
        <w:ind w:firstLine="708"/>
        <w:jc w:val="both"/>
        <w:rPr>
          <w:rFonts w:ascii="Verdana" w:hAnsi="Verdana" w:cs="Arial"/>
          <w:sz w:val="16"/>
          <w:szCs w:val="16"/>
        </w:rPr>
      </w:pPr>
      <w:r w:rsidRPr="005A1C07">
        <w:rPr>
          <w:rFonts w:ascii="Verdana" w:hAnsi="Verdana" w:cs="Arial"/>
          <w:sz w:val="16"/>
          <w:szCs w:val="16"/>
        </w:rPr>
        <w:t>[…]</w:t>
      </w:r>
    </w:p>
    <w:p w14:paraId="7C32E483" w14:textId="77777777" w:rsidR="00105F0E" w:rsidRPr="005A1C07" w:rsidRDefault="00105F0E" w:rsidP="00105F0E">
      <w:pPr>
        <w:pStyle w:val="Textonotapie"/>
        <w:ind w:firstLine="708"/>
        <w:jc w:val="both"/>
        <w:rPr>
          <w:rFonts w:ascii="Verdana" w:hAnsi="Verdana" w:cs="Arial"/>
          <w:sz w:val="16"/>
          <w:szCs w:val="16"/>
        </w:rPr>
      </w:pPr>
      <w:r w:rsidRPr="005A1C07">
        <w:rPr>
          <w:rFonts w:ascii="Verdana" w:hAnsi="Verdana" w:cs="Arial"/>
          <w:sz w:val="16"/>
          <w:szCs w:val="16"/>
        </w:rPr>
        <w:t>La experiencia requerida en un Proceso de Contratación debe ser adecuada y proporcional a la naturaleza del contrato, su valor, complejidad y riesgo. La experiencia es adecuada cuando es afín al tipo de actividades incluidas dentro del objeto del contrato a celebrar. Por ejemplo, si es para prestar un servicio de aseo general, el proponente debe tener experiencia en tal servicio, sin que sea relevante el lugar en el cual lo haya ejecutado o quién fue el contratante.</w:t>
      </w:r>
    </w:p>
    <w:p w14:paraId="47757E69" w14:textId="77777777" w:rsidR="00105F0E" w:rsidRPr="005A1C07" w:rsidRDefault="00105F0E" w:rsidP="00105F0E">
      <w:pPr>
        <w:pStyle w:val="Textonotapie"/>
        <w:ind w:firstLine="708"/>
        <w:jc w:val="both"/>
        <w:rPr>
          <w:rFonts w:ascii="Verdana" w:hAnsi="Verdana" w:cs="Arial"/>
          <w:sz w:val="16"/>
          <w:szCs w:val="16"/>
        </w:rPr>
      </w:pPr>
      <w:r w:rsidRPr="005A1C07">
        <w:rPr>
          <w:rFonts w:ascii="Verdana" w:hAnsi="Verdana" w:cs="Arial"/>
          <w:sz w:val="16"/>
          <w:szCs w:val="16"/>
        </w:rPr>
        <w:t>De otra parte, la experiencia es proporcional cuando tiene relación con el alcance, la cuantía, riesgo y la complejidad del negocio a celebrar. Por ejemplo, en una obra pública con un presupuesto oficial de 100 SMMLV, la experiencia exigida es proporcional si se exige que los proponentes hayan participado en Procesos de Contratación con cuantías similares”.</w:t>
      </w:r>
    </w:p>
  </w:footnote>
  <w:footnote w:id="7">
    <w:p w14:paraId="017F4F8D" w14:textId="77777777" w:rsidR="00105F0E" w:rsidRPr="005A1C07" w:rsidRDefault="00105F0E" w:rsidP="00105F0E">
      <w:pPr>
        <w:pStyle w:val="Textonotapie"/>
        <w:ind w:firstLine="708"/>
        <w:jc w:val="both"/>
        <w:rPr>
          <w:rFonts w:ascii="Verdana" w:hAnsi="Verdana" w:cs="Arial"/>
          <w:sz w:val="16"/>
          <w:szCs w:val="16"/>
        </w:rPr>
      </w:pPr>
      <w:r w:rsidRPr="005A1C07">
        <w:rPr>
          <w:rStyle w:val="Refdenotaalpie"/>
          <w:rFonts w:ascii="Verdana" w:hAnsi="Verdana"/>
          <w:sz w:val="16"/>
          <w:szCs w:val="16"/>
        </w:rPr>
        <w:footnoteRef/>
      </w:r>
      <w:r w:rsidRPr="005A1C07">
        <w:rPr>
          <w:rFonts w:ascii="Verdana" w:hAnsi="Verdana"/>
          <w:sz w:val="16"/>
          <w:szCs w:val="16"/>
        </w:rPr>
        <w:t xml:space="preserve"> </w:t>
      </w:r>
      <w:r w:rsidRPr="005A1C07">
        <w:rPr>
          <w:rFonts w:ascii="Verdana" w:hAnsi="Verdana" w:cs="Arial"/>
          <w:sz w:val="16"/>
          <w:szCs w:val="16"/>
        </w:rPr>
        <w:t>Esta conclusión cambió respecto del concepto C – 002 del 20 de febrero de 2020, para adecuarla a un mejor entendimiento de las normas sobre la experiencia.</w:t>
      </w:r>
    </w:p>
  </w:footnote>
  <w:footnote w:id="8">
    <w:p w14:paraId="0C1B79B1" w14:textId="77777777" w:rsidR="00105F0E" w:rsidRPr="005A1C07" w:rsidRDefault="00105F0E" w:rsidP="00105F0E">
      <w:pPr>
        <w:pStyle w:val="Textonotapie"/>
        <w:ind w:firstLine="708"/>
        <w:jc w:val="both"/>
        <w:rPr>
          <w:rFonts w:ascii="Verdana" w:hAnsi="Verdana" w:cs="Arial"/>
          <w:color w:val="000000" w:themeColor="text1"/>
          <w:sz w:val="16"/>
          <w:szCs w:val="16"/>
          <w:lang w:val="es-CO"/>
        </w:rPr>
      </w:pPr>
      <w:r w:rsidRPr="005A1C07">
        <w:rPr>
          <w:rStyle w:val="Refdenotaalpie"/>
          <w:rFonts w:ascii="Verdana" w:hAnsi="Verdana" w:cs="Arial"/>
          <w:color w:val="000000" w:themeColor="text1"/>
          <w:sz w:val="16"/>
          <w:szCs w:val="16"/>
        </w:rPr>
        <w:footnoteRef/>
      </w:r>
      <w:r w:rsidRPr="005A1C07">
        <w:rPr>
          <w:rFonts w:ascii="Verdana" w:hAnsi="Verdana" w:cs="Arial"/>
          <w:color w:val="000000" w:themeColor="text1"/>
          <w:sz w:val="16"/>
          <w:szCs w:val="16"/>
        </w:rPr>
        <w:t xml:space="preserve"> Corte Constitucional. </w:t>
      </w:r>
      <w:r w:rsidRPr="005A1C07">
        <w:rPr>
          <w:rFonts w:ascii="Verdana" w:hAnsi="Verdana" w:cs="Arial"/>
          <w:color w:val="000000" w:themeColor="text1"/>
          <w:sz w:val="16"/>
          <w:szCs w:val="16"/>
          <w:lang w:val="es-CO"/>
        </w:rPr>
        <w:t xml:space="preserve">Sentencia C </w:t>
      </w:r>
      <w:r w:rsidRPr="005A1C07">
        <w:rPr>
          <w:rFonts w:ascii="Verdana" w:eastAsia="Calibri" w:hAnsi="Verdana" w:cs="Arial"/>
          <w:color w:val="000000" w:themeColor="text1"/>
          <w:sz w:val="16"/>
          <w:szCs w:val="16"/>
        </w:rPr>
        <w:t xml:space="preserve">- </w:t>
      </w:r>
      <w:r w:rsidRPr="005A1C07">
        <w:rPr>
          <w:rFonts w:ascii="Verdana" w:hAnsi="Verdana" w:cs="Arial"/>
          <w:color w:val="000000" w:themeColor="text1"/>
          <w:sz w:val="16"/>
          <w:szCs w:val="16"/>
          <w:lang w:val="es-CO"/>
        </w:rPr>
        <w:t xml:space="preserve">259 del 11 de marzo 2008. M.P. Jaime Córdoba Triviño. </w:t>
      </w:r>
    </w:p>
  </w:footnote>
  <w:footnote w:id="9">
    <w:p w14:paraId="151827E3" w14:textId="77777777" w:rsidR="00105F0E" w:rsidRPr="005A1C07" w:rsidRDefault="00105F0E" w:rsidP="00105F0E">
      <w:pPr>
        <w:pStyle w:val="Textonotapie"/>
        <w:ind w:firstLine="708"/>
        <w:jc w:val="both"/>
        <w:rPr>
          <w:rFonts w:ascii="Verdana" w:hAnsi="Verdana" w:cs="Arial"/>
          <w:sz w:val="16"/>
          <w:szCs w:val="16"/>
        </w:rPr>
      </w:pPr>
      <w:r w:rsidRPr="005A1C07">
        <w:rPr>
          <w:rStyle w:val="Refdenotaalpie"/>
          <w:rFonts w:ascii="Verdana" w:hAnsi="Verdana" w:cs="Arial"/>
          <w:sz w:val="16"/>
          <w:szCs w:val="16"/>
        </w:rPr>
        <w:footnoteRef/>
      </w:r>
      <w:r w:rsidRPr="005A1C07">
        <w:rPr>
          <w:rFonts w:ascii="Verdana" w:hAnsi="Verdana" w:cs="Arial"/>
          <w:sz w:val="16"/>
          <w:szCs w:val="16"/>
        </w:rPr>
        <w:t xml:space="preserve"> </w:t>
      </w:r>
      <w:r>
        <w:rPr>
          <w:rFonts w:ascii="Verdana" w:hAnsi="Verdana" w:cs="Arial"/>
          <w:sz w:val="16"/>
          <w:szCs w:val="16"/>
        </w:rPr>
        <w:t>“</w:t>
      </w:r>
      <w:r w:rsidRPr="005A1C07">
        <w:rPr>
          <w:rFonts w:ascii="Verdana" w:hAnsi="Verdana" w:cs="Arial"/>
          <w:sz w:val="16"/>
          <w:szCs w:val="16"/>
        </w:rPr>
        <w:t>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5ABEF15D" w14:textId="77777777" w:rsidR="00105F0E" w:rsidRPr="005A1C07" w:rsidRDefault="00105F0E" w:rsidP="00105F0E">
      <w:pPr>
        <w:pStyle w:val="Textonotapie"/>
        <w:ind w:firstLine="708"/>
        <w:jc w:val="both"/>
        <w:rPr>
          <w:rFonts w:ascii="Verdana" w:hAnsi="Verdana" w:cs="Arial"/>
          <w:sz w:val="16"/>
          <w:szCs w:val="16"/>
        </w:rPr>
      </w:pPr>
      <w:r w:rsidRPr="005A1C07">
        <w:rPr>
          <w:rFonts w:ascii="Verdana" w:hAnsi="Verdana" w:cs="Arial"/>
          <w:sz w:val="16"/>
          <w:szCs w:val="16"/>
        </w:rPr>
        <w:t>[…]</w:t>
      </w:r>
    </w:p>
    <w:p w14:paraId="6A3E6053" w14:textId="77777777" w:rsidR="00105F0E" w:rsidRPr="005A1C07" w:rsidRDefault="00105F0E" w:rsidP="00105F0E">
      <w:pPr>
        <w:pStyle w:val="Textonotapie"/>
        <w:ind w:firstLine="708"/>
        <w:jc w:val="both"/>
        <w:rPr>
          <w:rFonts w:ascii="Verdana" w:hAnsi="Verdana" w:cs="Arial"/>
          <w:sz w:val="16"/>
          <w:szCs w:val="16"/>
        </w:rPr>
      </w:pPr>
      <w:r w:rsidRPr="005A1C07">
        <w:rPr>
          <w:rFonts w:ascii="Verdana" w:hAnsi="Verdana" w:cs="Arial"/>
          <w:sz w:val="16"/>
          <w:szCs w:val="16"/>
          <w:shd w:val="clear" w:color="auto" w:fill="FFFFFF"/>
        </w:rPr>
        <w:t>2.1.   Bienes, obras y servicios que ofrecerá a las Entidades Estatales, identificados con el Clasificador de Bienes y Servicios en el tercer nivel</w:t>
      </w:r>
      <w:r>
        <w:rPr>
          <w:rFonts w:ascii="Verdana" w:hAnsi="Verdana" w:cs="Arial"/>
          <w:sz w:val="16"/>
          <w:szCs w:val="16"/>
        </w:rPr>
        <w:t>”</w:t>
      </w:r>
      <w:r w:rsidRPr="005A1C07">
        <w:rPr>
          <w:rFonts w:ascii="Verdana" w:hAnsi="Verdana" w:cs="Arial"/>
          <w:sz w:val="16"/>
          <w:szCs w:val="16"/>
          <w:shd w:val="clear" w:color="auto" w:fill="FFFFFF"/>
        </w:rPr>
        <w:t>.</w:t>
      </w:r>
    </w:p>
  </w:footnote>
  <w:footnote w:id="10">
    <w:p w14:paraId="76024915" w14:textId="77777777" w:rsidR="00105F0E" w:rsidRPr="005A1C07" w:rsidRDefault="00105F0E" w:rsidP="00105F0E">
      <w:pPr>
        <w:pStyle w:val="Textonotapie"/>
        <w:ind w:firstLine="708"/>
        <w:jc w:val="both"/>
        <w:rPr>
          <w:rFonts w:ascii="Verdana" w:hAnsi="Verdana" w:cs="Arial"/>
          <w:sz w:val="16"/>
          <w:szCs w:val="16"/>
        </w:rPr>
      </w:pPr>
      <w:r w:rsidRPr="005A1C07">
        <w:rPr>
          <w:rStyle w:val="Refdenotaalpie"/>
          <w:rFonts w:ascii="Verdana" w:hAnsi="Verdana" w:cs="Arial"/>
          <w:sz w:val="16"/>
          <w:szCs w:val="16"/>
        </w:rPr>
        <w:footnoteRef/>
      </w:r>
      <w:r w:rsidRPr="005A1C07">
        <w:rPr>
          <w:rFonts w:ascii="Verdana" w:hAnsi="Verdana" w:cs="Arial"/>
          <w:sz w:val="16"/>
          <w:szCs w:val="16"/>
        </w:rPr>
        <w:t xml:space="preserve">  </w:t>
      </w:r>
      <w:r>
        <w:rPr>
          <w:rFonts w:ascii="Verdana" w:hAnsi="Verdana" w:cs="Arial"/>
          <w:sz w:val="16"/>
          <w:szCs w:val="16"/>
        </w:rPr>
        <w:t>“</w:t>
      </w:r>
      <w:r w:rsidRPr="005A1C07">
        <w:rPr>
          <w:rFonts w:ascii="Verdana" w:hAnsi="Verdana" w:cs="Arial"/>
          <w:sz w:val="16"/>
          <w:szCs w:val="16"/>
        </w:rPr>
        <w:t>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50BAB146" w14:textId="77777777" w:rsidR="00105F0E" w:rsidRPr="005A1C07" w:rsidRDefault="00105F0E" w:rsidP="00105F0E">
      <w:pPr>
        <w:pStyle w:val="Textonotapie"/>
        <w:ind w:firstLine="708"/>
        <w:jc w:val="both"/>
        <w:rPr>
          <w:rFonts w:ascii="Verdana" w:hAnsi="Verdana" w:cs="Arial"/>
          <w:sz w:val="16"/>
          <w:szCs w:val="16"/>
        </w:rPr>
      </w:pPr>
      <w:r w:rsidRPr="005A1C07">
        <w:rPr>
          <w:rFonts w:ascii="Verdana" w:hAnsi="Verdana" w:cs="Arial"/>
          <w:sz w:val="16"/>
          <w:szCs w:val="16"/>
        </w:rPr>
        <w:t>[…]</w:t>
      </w:r>
    </w:p>
    <w:p w14:paraId="252FB401" w14:textId="77777777" w:rsidR="00105F0E" w:rsidRPr="005A1C07" w:rsidRDefault="00105F0E" w:rsidP="00105F0E">
      <w:pPr>
        <w:pStyle w:val="Textonotapie"/>
        <w:ind w:firstLine="708"/>
        <w:jc w:val="both"/>
        <w:rPr>
          <w:rFonts w:ascii="Verdana" w:hAnsi="Verdana" w:cs="Arial"/>
          <w:sz w:val="16"/>
          <w:szCs w:val="16"/>
          <w:lang w:val="es-CO"/>
        </w:rPr>
      </w:pPr>
      <w:r w:rsidRPr="005A1C07">
        <w:rPr>
          <w:rFonts w:ascii="Verdana" w:hAnsi="Verdana" w:cs="Arial"/>
          <w:sz w:val="16"/>
          <w:szCs w:val="16"/>
          <w:shd w:val="clear" w:color="auto" w:fill="FFFFFF"/>
        </w:rPr>
        <w:t xml:space="preserve">2.5.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w:t>
      </w:r>
      <w:r w:rsidRPr="005A1C07">
        <w:rPr>
          <w:rFonts w:ascii="Verdana" w:hAnsi="Verdana" w:cs="Arial"/>
          <w:sz w:val="16"/>
          <w:szCs w:val="16"/>
          <w:shd w:val="clear" w:color="auto" w:fill="FFFFFF"/>
        </w:rPr>
        <w:t>El interesado debe indicar en cada certificado o en cada copia de los contratos, los bienes, obras y servicios a los cuales corresponde la experiencia que pretende acreditar, identificándolos con el Clasi</w:t>
      </w:r>
      <w:r w:rsidRPr="005A1C07">
        <w:rPr>
          <w:rFonts w:ascii="Verdana" w:hAnsi="Verdana" w:cs="Arial"/>
          <w:sz w:val="16"/>
          <w:szCs w:val="16"/>
          <w:shd w:val="clear" w:color="auto" w:fill="FFFFFF"/>
        </w:rPr>
        <w:softHyphen/>
        <w:t>ficador de Bienes y Servicios en el tercer nivel. Si la constitución del interesado es menor a 3 años, puede acreditar la experiencia de sus accionistas, socios o constituyentes</w:t>
      </w:r>
      <w:r>
        <w:rPr>
          <w:rFonts w:ascii="Verdana" w:hAnsi="Verdana" w:cs="Arial"/>
          <w:sz w:val="16"/>
          <w:szCs w:val="16"/>
        </w:rPr>
        <w:t>”</w:t>
      </w:r>
      <w:r w:rsidRPr="005A1C07">
        <w:rPr>
          <w:rFonts w:ascii="Verdana" w:hAnsi="Verdana" w:cs="Arial"/>
          <w:sz w:val="16"/>
          <w:szCs w:val="16"/>
        </w:rPr>
        <w:t>.</w:t>
      </w:r>
    </w:p>
  </w:footnote>
  <w:footnote w:id="11">
    <w:p w14:paraId="32196195" w14:textId="77777777" w:rsidR="00105F0E" w:rsidRPr="005A1C07" w:rsidRDefault="00105F0E" w:rsidP="00105F0E">
      <w:pPr>
        <w:pStyle w:val="Textonotapie"/>
        <w:ind w:left="708" w:firstLine="1"/>
        <w:jc w:val="both"/>
        <w:rPr>
          <w:rFonts w:ascii="Verdana" w:hAnsi="Verdana" w:cs="Arial"/>
          <w:sz w:val="16"/>
          <w:szCs w:val="16"/>
        </w:rPr>
      </w:pPr>
      <w:r w:rsidRPr="005A1C07">
        <w:rPr>
          <w:rStyle w:val="Refdenotaalpie"/>
          <w:rFonts w:ascii="Verdana" w:hAnsi="Verdana"/>
          <w:sz w:val="16"/>
          <w:szCs w:val="16"/>
        </w:rPr>
        <w:footnoteRef/>
      </w:r>
      <w:r w:rsidRPr="005A1C07">
        <w:rPr>
          <w:rFonts w:ascii="Verdana" w:hAnsi="Verdana"/>
          <w:sz w:val="16"/>
          <w:szCs w:val="16"/>
        </w:rPr>
        <w:t xml:space="preserve"> </w:t>
      </w:r>
      <w:r w:rsidRPr="005A1C07">
        <w:rPr>
          <w:rFonts w:ascii="Verdana" w:hAnsi="Verdana" w:cs="Arial"/>
          <w:sz w:val="16"/>
          <w:szCs w:val="16"/>
        </w:rPr>
        <w:t>Colombia Compra Eficiente. Concepto del 7 de febrero de 2018, Rad. 2201813000000954.</w:t>
      </w:r>
    </w:p>
  </w:footnote>
  <w:footnote w:id="12">
    <w:p w14:paraId="12C15518" w14:textId="77777777" w:rsidR="00105F0E" w:rsidRPr="005A1C07" w:rsidRDefault="00105F0E" w:rsidP="00105F0E">
      <w:pPr>
        <w:pStyle w:val="Textocomentario"/>
        <w:ind w:firstLine="708"/>
        <w:jc w:val="both"/>
        <w:rPr>
          <w:rFonts w:ascii="Verdana" w:hAnsi="Verdana" w:cs="Arial"/>
          <w:sz w:val="16"/>
          <w:szCs w:val="16"/>
        </w:rPr>
      </w:pPr>
      <w:r w:rsidRPr="005A1C07">
        <w:rPr>
          <w:rStyle w:val="Refdenotaalpie"/>
          <w:rFonts w:ascii="Verdana" w:hAnsi="Verdana" w:cs="Arial"/>
          <w:sz w:val="16"/>
          <w:szCs w:val="16"/>
        </w:rPr>
        <w:footnoteRef/>
      </w:r>
      <w:r w:rsidRPr="005A1C07">
        <w:rPr>
          <w:rFonts w:ascii="Verdana" w:hAnsi="Verdana" w:cs="Arial"/>
          <w:sz w:val="16"/>
          <w:szCs w:val="16"/>
        </w:rPr>
        <w:t xml:space="preserve"> En el marco del Estado de emergencia económica, social y ecológica declarado por el Gobierno Nacional a través del Decreto 417 de 2020, a causa de la pandemia mundial desatada por el virus del Covid 19, se expidió el Decreto 434 de 2020 el cual dispone lo siguiente: </w:t>
      </w:r>
      <w:r>
        <w:rPr>
          <w:rFonts w:ascii="Verdana" w:hAnsi="Verdana" w:cs="Arial"/>
          <w:sz w:val="16"/>
          <w:szCs w:val="16"/>
        </w:rPr>
        <w:t>“</w:t>
      </w:r>
      <w:r w:rsidRPr="005A1C07">
        <w:rPr>
          <w:rFonts w:ascii="Verdana" w:hAnsi="Verdana" w:cs="Arial"/>
          <w:sz w:val="16"/>
          <w:szCs w:val="16"/>
        </w:rPr>
        <w:t>Artículo 2°. Renovación del Registro Único de Proponentes. Las personas naturales y jurídicas, nacionales o extranjeras, con domicilio en Colombia, interesadas en participar en Procesos de Contratación convocados por las entidades estatales, deben estar inscritas en el RUP, salvo las excepciones previstas de forma taxativa en la ley. Las personas inscritas en el RUP deben presentar la información para renovar su registro a más tardar el quinto día hábil del mes de julio de 2020</w:t>
      </w:r>
      <w:r>
        <w:rPr>
          <w:rFonts w:ascii="Verdana" w:hAnsi="Verdana" w:cs="Arial"/>
          <w:sz w:val="16"/>
          <w:szCs w:val="16"/>
        </w:rPr>
        <w:t>”</w:t>
      </w:r>
      <w:r w:rsidRPr="005A1C07">
        <w:rPr>
          <w:rFonts w:ascii="Verdana" w:hAnsi="Verdana" w:cs="Arial"/>
          <w:sz w:val="16"/>
          <w:szCs w:val="16"/>
        </w:rPr>
        <w:t>.</w:t>
      </w:r>
    </w:p>
  </w:footnote>
  <w:footnote w:id="13">
    <w:p w14:paraId="1DEA2388" w14:textId="77777777" w:rsidR="00105F0E" w:rsidRPr="005A1C07" w:rsidRDefault="00105F0E" w:rsidP="00105F0E">
      <w:pPr>
        <w:pStyle w:val="Textonotapie"/>
        <w:ind w:firstLine="708"/>
        <w:jc w:val="both"/>
        <w:rPr>
          <w:rFonts w:ascii="Verdana" w:hAnsi="Verdana" w:cs="Arial"/>
          <w:sz w:val="16"/>
          <w:szCs w:val="16"/>
        </w:rPr>
      </w:pPr>
      <w:r w:rsidRPr="005A1C07">
        <w:rPr>
          <w:rStyle w:val="Refdenotaalpie"/>
          <w:rFonts w:ascii="Verdana" w:hAnsi="Verdana" w:cs="Arial"/>
          <w:sz w:val="16"/>
          <w:szCs w:val="16"/>
        </w:rPr>
        <w:footnoteRef/>
      </w:r>
      <w:r w:rsidRPr="005A1C07">
        <w:rPr>
          <w:rFonts w:ascii="Verdana" w:hAnsi="Verdana" w:cs="Arial"/>
          <w:sz w:val="16"/>
          <w:szCs w:val="16"/>
        </w:rPr>
        <w:t xml:space="preserve"> Ver artículos 225 y ss. del Código de Comer</w:t>
      </w:r>
      <w:r>
        <w:rPr>
          <w:rFonts w:ascii="Verdana" w:hAnsi="Verdana" w:cs="Arial"/>
          <w:sz w:val="16"/>
          <w:szCs w:val="16"/>
        </w:rPr>
        <w:t>cio.</w:t>
      </w:r>
    </w:p>
  </w:footnote>
  <w:footnote w:id="14">
    <w:p w14:paraId="3A61D985" w14:textId="77777777" w:rsidR="00105F0E" w:rsidRPr="00EF2257" w:rsidRDefault="00105F0E" w:rsidP="00105F0E">
      <w:pPr>
        <w:pStyle w:val="Textonotapie"/>
        <w:ind w:firstLine="708"/>
        <w:jc w:val="both"/>
        <w:rPr>
          <w:rFonts w:ascii="Verdana" w:hAnsi="Verdana"/>
          <w:sz w:val="16"/>
          <w:szCs w:val="16"/>
          <w:lang w:val="es-CO"/>
        </w:rPr>
      </w:pPr>
      <w:r w:rsidRPr="00EF2257">
        <w:rPr>
          <w:rStyle w:val="Refdenotaalpie"/>
          <w:rFonts w:ascii="Verdana" w:hAnsi="Verdana"/>
          <w:sz w:val="16"/>
          <w:szCs w:val="16"/>
        </w:rPr>
        <w:footnoteRef/>
      </w:r>
      <w:r w:rsidRPr="00EF2257">
        <w:rPr>
          <w:rFonts w:ascii="Verdana" w:hAnsi="Verdana"/>
          <w:sz w:val="16"/>
          <w:szCs w:val="16"/>
        </w:rPr>
        <w:t xml:space="preserve"> </w:t>
      </w:r>
      <w:r>
        <w:rPr>
          <w:rFonts w:ascii="Verdana" w:hAnsi="Verdana"/>
          <w:sz w:val="16"/>
          <w:szCs w:val="16"/>
        </w:rPr>
        <w:t>El</w:t>
      </w:r>
      <w:r w:rsidRPr="00EF2257">
        <w:rPr>
          <w:rFonts w:ascii="Verdana" w:hAnsi="Verdana"/>
          <w:sz w:val="16"/>
          <w:szCs w:val="16"/>
        </w:rPr>
        <w:t xml:space="preserve"> inciso segundo del artículo 115 de la Constitución Política de 1991</w:t>
      </w:r>
      <w:r>
        <w:rPr>
          <w:rFonts w:ascii="Verdana" w:hAnsi="Verdana"/>
          <w:sz w:val="16"/>
          <w:szCs w:val="16"/>
        </w:rPr>
        <w:t xml:space="preserve"> dispone que “</w:t>
      </w:r>
      <w:r w:rsidRPr="000B7AD4">
        <w:rPr>
          <w:rFonts w:ascii="Verdana" w:hAnsi="Verdana"/>
          <w:sz w:val="16"/>
          <w:szCs w:val="16"/>
        </w:rPr>
        <w:t>El Gobierno Nacional está formado por el Presidente de la República, los ministros del despacho y los directores de departamentos administrativos. El Presidente y el Ministro o Director de Departamento correspondientes, en cada negocio particular, constituyen el Gobierno</w:t>
      </w:r>
      <w:r>
        <w:rPr>
          <w:rFonts w:ascii="Verdana" w:hAnsi="Verdana"/>
          <w:sz w:val="16"/>
          <w:szCs w:val="16"/>
        </w:rPr>
        <w:t>”</w:t>
      </w:r>
      <w:r w:rsidRPr="000B7AD4">
        <w:rPr>
          <w:rFonts w:ascii="Verdana" w:hAnsi="Verdana"/>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pt;height:12.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0F86"/>
    <w:rsid w:val="00016F78"/>
    <w:rsid w:val="00046945"/>
    <w:rsid w:val="00061B2A"/>
    <w:rsid w:val="00082362"/>
    <w:rsid w:val="000A683E"/>
    <w:rsid w:val="000B19B9"/>
    <w:rsid w:val="000B6445"/>
    <w:rsid w:val="000D0334"/>
    <w:rsid w:val="000D5DA7"/>
    <w:rsid w:val="000E7247"/>
    <w:rsid w:val="000F6486"/>
    <w:rsid w:val="00105F0E"/>
    <w:rsid w:val="00116940"/>
    <w:rsid w:val="00120765"/>
    <w:rsid w:val="00125105"/>
    <w:rsid w:val="00127233"/>
    <w:rsid w:val="0015699B"/>
    <w:rsid w:val="00165B01"/>
    <w:rsid w:val="0019378D"/>
    <w:rsid w:val="001A33BF"/>
    <w:rsid w:val="001E4177"/>
    <w:rsid w:val="001F0B24"/>
    <w:rsid w:val="001F7DC6"/>
    <w:rsid w:val="0022400B"/>
    <w:rsid w:val="002421BB"/>
    <w:rsid w:val="0025796E"/>
    <w:rsid w:val="00265176"/>
    <w:rsid w:val="002707A2"/>
    <w:rsid w:val="002951A0"/>
    <w:rsid w:val="002962BC"/>
    <w:rsid w:val="002A093D"/>
    <w:rsid w:val="002A0DD0"/>
    <w:rsid w:val="002A49AC"/>
    <w:rsid w:val="002A64FD"/>
    <w:rsid w:val="002C7A84"/>
    <w:rsid w:val="002E2BF8"/>
    <w:rsid w:val="002E4FD9"/>
    <w:rsid w:val="0030657A"/>
    <w:rsid w:val="0031441E"/>
    <w:rsid w:val="00322A85"/>
    <w:rsid w:val="00324168"/>
    <w:rsid w:val="00330834"/>
    <w:rsid w:val="003448F4"/>
    <w:rsid w:val="00370F34"/>
    <w:rsid w:val="00374F5E"/>
    <w:rsid w:val="00377E3E"/>
    <w:rsid w:val="00383ED3"/>
    <w:rsid w:val="003A779E"/>
    <w:rsid w:val="003D0F4D"/>
    <w:rsid w:val="003D5B0D"/>
    <w:rsid w:val="003E0499"/>
    <w:rsid w:val="003E4F80"/>
    <w:rsid w:val="003E6439"/>
    <w:rsid w:val="003F3941"/>
    <w:rsid w:val="00401250"/>
    <w:rsid w:val="00406575"/>
    <w:rsid w:val="00414C74"/>
    <w:rsid w:val="004261E3"/>
    <w:rsid w:val="0042722E"/>
    <w:rsid w:val="00431DEE"/>
    <w:rsid w:val="0044528D"/>
    <w:rsid w:val="00466E39"/>
    <w:rsid w:val="004735C0"/>
    <w:rsid w:val="004A1847"/>
    <w:rsid w:val="004A24A6"/>
    <w:rsid w:val="004A305D"/>
    <w:rsid w:val="004E520A"/>
    <w:rsid w:val="004F21C4"/>
    <w:rsid w:val="004F685F"/>
    <w:rsid w:val="00532CDC"/>
    <w:rsid w:val="00545CBE"/>
    <w:rsid w:val="005566E8"/>
    <w:rsid w:val="0056469E"/>
    <w:rsid w:val="00574867"/>
    <w:rsid w:val="00583AFD"/>
    <w:rsid w:val="00591460"/>
    <w:rsid w:val="005A65E0"/>
    <w:rsid w:val="005C3777"/>
    <w:rsid w:val="005C5CDC"/>
    <w:rsid w:val="005D476C"/>
    <w:rsid w:val="006200BF"/>
    <w:rsid w:val="006219F8"/>
    <w:rsid w:val="006302F7"/>
    <w:rsid w:val="00646B9F"/>
    <w:rsid w:val="00665D70"/>
    <w:rsid w:val="006900D9"/>
    <w:rsid w:val="006A3E60"/>
    <w:rsid w:val="00706C16"/>
    <w:rsid w:val="007139F2"/>
    <w:rsid w:val="007340C3"/>
    <w:rsid w:val="0075235A"/>
    <w:rsid w:val="00756841"/>
    <w:rsid w:val="00762B67"/>
    <w:rsid w:val="007649AB"/>
    <w:rsid w:val="00771D0C"/>
    <w:rsid w:val="007833AC"/>
    <w:rsid w:val="00786F45"/>
    <w:rsid w:val="007B268C"/>
    <w:rsid w:val="007B7171"/>
    <w:rsid w:val="007C0C0F"/>
    <w:rsid w:val="007C3DC2"/>
    <w:rsid w:val="007E5497"/>
    <w:rsid w:val="0080025C"/>
    <w:rsid w:val="00806F5F"/>
    <w:rsid w:val="00810470"/>
    <w:rsid w:val="00820278"/>
    <w:rsid w:val="008258C9"/>
    <w:rsid w:val="00844AE9"/>
    <w:rsid w:val="00867F95"/>
    <w:rsid w:val="008843B6"/>
    <w:rsid w:val="00891928"/>
    <w:rsid w:val="008A446D"/>
    <w:rsid w:val="008B25F1"/>
    <w:rsid w:val="008D180B"/>
    <w:rsid w:val="008F0EA7"/>
    <w:rsid w:val="008F3FA7"/>
    <w:rsid w:val="00910E32"/>
    <w:rsid w:val="00913451"/>
    <w:rsid w:val="00923EEF"/>
    <w:rsid w:val="009419F9"/>
    <w:rsid w:val="009558A9"/>
    <w:rsid w:val="0095685E"/>
    <w:rsid w:val="00961B09"/>
    <w:rsid w:val="00965334"/>
    <w:rsid w:val="0097093E"/>
    <w:rsid w:val="00983423"/>
    <w:rsid w:val="00987A53"/>
    <w:rsid w:val="009A0DFA"/>
    <w:rsid w:val="009A1A27"/>
    <w:rsid w:val="009A1C6F"/>
    <w:rsid w:val="009B2D26"/>
    <w:rsid w:val="009C71FA"/>
    <w:rsid w:val="009C72E7"/>
    <w:rsid w:val="009C7F7E"/>
    <w:rsid w:val="009D3058"/>
    <w:rsid w:val="009D5BC0"/>
    <w:rsid w:val="009F3A13"/>
    <w:rsid w:val="00A122D3"/>
    <w:rsid w:val="00A14468"/>
    <w:rsid w:val="00A17F13"/>
    <w:rsid w:val="00A20739"/>
    <w:rsid w:val="00A23AF9"/>
    <w:rsid w:val="00A33C78"/>
    <w:rsid w:val="00A450E7"/>
    <w:rsid w:val="00A67E3A"/>
    <w:rsid w:val="00AA455C"/>
    <w:rsid w:val="00AB0ADB"/>
    <w:rsid w:val="00AB1E91"/>
    <w:rsid w:val="00AC24CA"/>
    <w:rsid w:val="00AD5C7E"/>
    <w:rsid w:val="00AE21B0"/>
    <w:rsid w:val="00B00C0E"/>
    <w:rsid w:val="00B01B1A"/>
    <w:rsid w:val="00B0381D"/>
    <w:rsid w:val="00B44A47"/>
    <w:rsid w:val="00B72CD3"/>
    <w:rsid w:val="00B72FFF"/>
    <w:rsid w:val="00BA211B"/>
    <w:rsid w:val="00BC09DE"/>
    <w:rsid w:val="00BC3D36"/>
    <w:rsid w:val="00BD54A6"/>
    <w:rsid w:val="00BD7F72"/>
    <w:rsid w:val="00BF6183"/>
    <w:rsid w:val="00BF7425"/>
    <w:rsid w:val="00BF77A8"/>
    <w:rsid w:val="00C02A3D"/>
    <w:rsid w:val="00C04FB3"/>
    <w:rsid w:val="00C11D8B"/>
    <w:rsid w:val="00C15139"/>
    <w:rsid w:val="00C330EB"/>
    <w:rsid w:val="00C50D69"/>
    <w:rsid w:val="00C5365C"/>
    <w:rsid w:val="00C754BE"/>
    <w:rsid w:val="00C76B1C"/>
    <w:rsid w:val="00C8725D"/>
    <w:rsid w:val="00C925AC"/>
    <w:rsid w:val="00C97D56"/>
    <w:rsid w:val="00CB6357"/>
    <w:rsid w:val="00CB740D"/>
    <w:rsid w:val="00CC1B26"/>
    <w:rsid w:val="00D23207"/>
    <w:rsid w:val="00D361FD"/>
    <w:rsid w:val="00D423A2"/>
    <w:rsid w:val="00D44E26"/>
    <w:rsid w:val="00D520D8"/>
    <w:rsid w:val="00D63AC2"/>
    <w:rsid w:val="00D7383B"/>
    <w:rsid w:val="00D7788A"/>
    <w:rsid w:val="00D80DDE"/>
    <w:rsid w:val="00DA231B"/>
    <w:rsid w:val="00DC39FC"/>
    <w:rsid w:val="00DF5254"/>
    <w:rsid w:val="00E02524"/>
    <w:rsid w:val="00E16408"/>
    <w:rsid w:val="00E20894"/>
    <w:rsid w:val="00E22847"/>
    <w:rsid w:val="00E245AB"/>
    <w:rsid w:val="00E271DC"/>
    <w:rsid w:val="00E2764C"/>
    <w:rsid w:val="00E27F2E"/>
    <w:rsid w:val="00E50AFE"/>
    <w:rsid w:val="00E75C92"/>
    <w:rsid w:val="00E771DC"/>
    <w:rsid w:val="00E8772A"/>
    <w:rsid w:val="00E90F6B"/>
    <w:rsid w:val="00E92C27"/>
    <w:rsid w:val="00EA0E3D"/>
    <w:rsid w:val="00EC38A7"/>
    <w:rsid w:val="00EE1AA8"/>
    <w:rsid w:val="00F23FEA"/>
    <w:rsid w:val="00F2565D"/>
    <w:rsid w:val="00F31EDC"/>
    <w:rsid w:val="00F42BF3"/>
    <w:rsid w:val="00F462B3"/>
    <w:rsid w:val="00F5664F"/>
    <w:rsid w:val="00F666C4"/>
    <w:rsid w:val="00F76AFC"/>
    <w:rsid w:val="00FA47C0"/>
    <w:rsid w:val="00FB5DD1"/>
    <w:rsid w:val="00FC2B5D"/>
    <w:rsid w:val="00FC55E4"/>
    <w:rsid w:val="00FC65AF"/>
    <w:rsid w:val="00FE2794"/>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4E2ED52"/>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105F0E"/>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05F0E"/>
    <w:rPr>
      <w:rFonts w:ascii="Geomanist Light" w:hAnsi="Geomanist Light"/>
      <w:lang w:val="es-ES"/>
    </w:rPr>
  </w:style>
  <w:style w:type="paragraph" w:styleId="Textoindependiente">
    <w:name w:val="Body Text"/>
    <w:basedOn w:val="Normal"/>
    <w:link w:val="TextoindependienteCar"/>
    <w:uiPriority w:val="99"/>
    <w:unhideWhenUsed/>
    <w:rsid w:val="00105F0E"/>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105F0E"/>
    <w:rPr>
      <w:rFonts w:eastAsiaTheme="minorEastAsia"/>
      <w:lang w:eastAsia="es-CO"/>
    </w:rPr>
  </w:style>
  <w:style w:type="paragraph" w:styleId="Textocomentario">
    <w:name w:val="annotation text"/>
    <w:basedOn w:val="Normal"/>
    <w:link w:val="TextocomentarioCar"/>
    <w:uiPriority w:val="99"/>
    <w:unhideWhenUsed/>
    <w:rsid w:val="00105F0E"/>
    <w:pPr>
      <w:spacing w:line="240" w:lineRule="auto"/>
    </w:pPr>
    <w:rPr>
      <w:sz w:val="20"/>
      <w:szCs w:val="20"/>
    </w:rPr>
  </w:style>
  <w:style w:type="character" w:customStyle="1" w:styleId="TextocomentarioCar">
    <w:name w:val="Texto comentario Car"/>
    <w:basedOn w:val="Fuentedeprrafopredeter"/>
    <w:link w:val="Textocomentario"/>
    <w:uiPriority w:val="99"/>
    <w:rsid w:val="00105F0E"/>
    <w:rPr>
      <w:sz w:val="20"/>
      <w:szCs w:val="20"/>
    </w:rPr>
  </w:style>
  <w:style w:type="character" w:customStyle="1" w:styleId="s15">
    <w:name w:val="s15"/>
    <w:basedOn w:val="Fuentedeprrafopredeter"/>
    <w:rsid w:val="00105F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notificaciones.veefuncicaribe@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about:blank"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1FE4740-492E-46B9-8264-821A140852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12</TotalTime>
  <Pages>25</Pages>
  <Words>8708</Words>
  <Characters>47900</Characters>
  <Application>Microsoft Office Word</Application>
  <DocSecurity>0</DocSecurity>
  <Lines>399</Lines>
  <Paragraphs>112</Paragraphs>
  <ScaleCrop>false</ScaleCrop>
  <Company/>
  <LinksUpToDate>false</LinksUpToDate>
  <CharactersWithSpaces>56496</CharactersWithSpaces>
  <SharedDoc>false</SharedDoc>
  <HLinks>
    <vt:vector size="54" baseType="variant">
      <vt:variant>
        <vt:i4>4456513</vt:i4>
      </vt:variant>
      <vt:variant>
        <vt:i4>21</vt:i4>
      </vt:variant>
      <vt:variant>
        <vt:i4>0</vt:i4>
      </vt:variant>
      <vt:variant>
        <vt:i4>5</vt:i4>
      </vt:variant>
      <vt:variant>
        <vt:lpwstr>https://forms.office.com/r/pPHyWVs2SZ</vt:lpwstr>
      </vt:variant>
      <vt:variant>
        <vt:lpwstr/>
      </vt:variant>
      <vt:variant>
        <vt:i4>3407926</vt:i4>
      </vt:variant>
      <vt:variant>
        <vt:i4>18</vt:i4>
      </vt:variant>
      <vt:variant>
        <vt:i4>0</vt:i4>
      </vt:variant>
      <vt:variant>
        <vt:i4>5</vt:i4>
      </vt:variant>
      <vt:variant>
        <vt:lpwstr>https://www.colombiacompra.gov.co/pqrsd/informacion-importante-antes-de-formular-una-pqrsd</vt:lpwstr>
      </vt:variant>
      <vt:variant>
        <vt:lpwstr/>
      </vt:variant>
      <vt:variant>
        <vt:i4>4980779</vt:i4>
      </vt:variant>
      <vt:variant>
        <vt:i4>15</vt:i4>
      </vt:variant>
      <vt:variant>
        <vt:i4>0</vt:i4>
      </vt:variant>
      <vt:variant>
        <vt:i4>5</vt:i4>
      </vt:variant>
      <vt:variant>
        <vt:lpwstr>mailto:ventanilladeradicacion@colombiacompra.gov.co</vt:lpwstr>
      </vt:variant>
      <vt:variant>
        <vt:lpwstr/>
      </vt:variant>
      <vt:variant>
        <vt:i4>5505101</vt:i4>
      </vt:variant>
      <vt:variant>
        <vt:i4>12</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9</vt:i4>
      </vt:variant>
      <vt:variant>
        <vt:i4>0</vt:i4>
      </vt:variant>
      <vt:variant>
        <vt:i4>5</vt:i4>
      </vt:variant>
      <vt:variant>
        <vt:lpwstr>https://www.colombiacompra.gov.co/normativa-y-relatoria/documentos-tipo</vt:lpwstr>
      </vt:variant>
      <vt:variant>
        <vt:lpwstr/>
      </vt:variant>
      <vt:variant>
        <vt:i4>65544</vt:i4>
      </vt:variant>
      <vt:variant>
        <vt:i4>6</vt:i4>
      </vt:variant>
      <vt:variant>
        <vt:i4>0</vt:i4>
      </vt:variant>
      <vt:variant>
        <vt:i4>5</vt:i4>
      </vt:variant>
      <vt:variant>
        <vt:lpwstr>https://formacionvirtual.colombiacompra.gov.co/mod/page/view.php?id=3718</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3604547</vt:i4>
      </vt:variant>
      <vt:variant>
        <vt:i4>0</vt:i4>
      </vt:variant>
      <vt:variant>
        <vt:i4>0</vt:i4>
      </vt:variant>
      <vt:variant>
        <vt:i4>5</vt:i4>
      </vt:variant>
      <vt:variant>
        <vt:lpwstr>mailto:notificaciones.veefuncicaribe@gmail.com</vt:lpwstr>
      </vt:variant>
      <vt:variant>
        <vt:lpwstr/>
      </vt:variant>
      <vt:variant>
        <vt:i4>3080313</vt:i4>
      </vt:variant>
      <vt:variant>
        <vt:i4>0</vt:i4>
      </vt:variant>
      <vt:variant>
        <vt:i4>0</vt:i4>
      </vt:variant>
      <vt:variant>
        <vt:i4>5</vt:i4>
      </vt:variant>
      <vt:variant>
        <vt:lpwstr>about:blank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3</cp:revision>
  <cp:lastPrinted>2023-01-10T21:18:00Z</cp:lastPrinted>
  <dcterms:created xsi:type="dcterms:W3CDTF">2026-05-19T19:55:00Z</dcterms:created>
  <dcterms:modified xsi:type="dcterms:W3CDTF">2026-05-19T20:06:00Z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