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89129B"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549BBE2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5DA5267"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A5E13">
        <w:rPr>
          <w:rFonts w:ascii="Verdana" w:eastAsia="Calibri" w:hAnsi="Verdana" w:cs="Arial"/>
          <w:sz w:val="20"/>
          <w:szCs w:val="20"/>
          <w:lang w:eastAsia="es-ES"/>
        </w:rPr>
        <w:t>PcD</w:t>
      </w:r>
      <w:proofErr w:type="spellEnd"/>
      <w:r w:rsidRPr="000A5E13">
        <w:rPr>
          <w:rFonts w:ascii="Verdana" w:eastAsia="Calibri" w:hAnsi="Verdana" w:cs="Arial"/>
          <w:sz w:val="20"/>
          <w:szCs w:val="20"/>
          <w:lang w:eastAsia="es-ES"/>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539825C3"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EED9CDC"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4CA7506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9C561C1"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4440221"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0127DBD"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506E75A7"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38A47823"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por al menos un año; y personas jurídicas con al menos una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vinculada laboralmente en un cargo de nivel directivo por al menos un año. El segundo sujeto son los empleadores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r w:rsidRPr="007B5AD4">
        <w:rPr>
          <w:rFonts w:ascii="Verdana" w:eastAsia="Calibri" w:hAnsi="Verdana" w:cs="Arial"/>
          <w:sz w:val="20"/>
          <w:szCs w:val="20"/>
          <w:lang w:eastAsia="es-ES"/>
        </w:rPr>
        <w:t>.</w:t>
      </w:r>
    </w:p>
    <w:p w14:paraId="18A1A2D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BF100EE"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No acumulabilidad ‒ Acreditación simultánea de condiciones ‒ Modalidades de selección aplicables</w:t>
      </w:r>
    </w:p>
    <w:p w14:paraId="37BD5060"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74C14944"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artículo 2.2.1.2.4.2.7.4. del Decreto 0287 de 2026 es explícito al disponer que, aunque el proponente acredite simultáneamente ser emprendimiento o empresa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y ser empleador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el puntaje máximo a otorgar por este criterio es siempre el 2% del total de los puntos del pliego, sin que las condiciones acreditadas sean sumables para efectos de la evaluación de la oferta, y tampoco es posible disminuir ese porcentaje de puntos ya que siempre será el 2% como lo establece el decreto. Este puntaje aplica únicamente en entidades regidas por el Estatuto General de Contratación Pública, en las modalidades de licitación pública y concurso de méritos; no aplica en régimen especial, ni en selección abreviada, mínima cuantía ni contratación directa</w:t>
      </w:r>
      <w:r w:rsidRPr="007B5AD4">
        <w:rPr>
          <w:rFonts w:ascii="Verdana" w:eastAsia="Calibri" w:hAnsi="Verdana" w:cs="Arial"/>
          <w:sz w:val="20"/>
          <w:szCs w:val="20"/>
          <w:lang w:eastAsia="es-ES"/>
        </w:rPr>
        <w:t>.</w:t>
      </w:r>
    </w:p>
    <w:p w14:paraId="3624A01A" w14:textId="77777777" w:rsidR="00F51D39" w:rsidRDefault="00F51D39" w:rsidP="00F51D39">
      <w:pPr>
        <w:spacing w:after="0" w:line="240" w:lineRule="auto"/>
        <w:contextualSpacing/>
        <w:jc w:val="both"/>
        <w:rPr>
          <w:rFonts w:ascii="Verdana" w:eastAsia="Calibri" w:hAnsi="Verdana" w:cs="Arial"/>
          <w:b/>
          <w:bCs/>
          <w:sz w:val="20"/>
          <w:szCs w:val="20"/>
          <w:lang w:eastAsia="es-ES"/>
        </w:rPr>
      </w:pPr>
    </w:p>
    <w:p w14:paraId="361EDC96"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Vinculación de personas con discapacidad ‒ Planillas de seguridad social ‒ Período de tres meses ‒ Vinculaciones recientes</w:t>
      </w:r>
    </w:p>
    <w:p w14:paraId="590149D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17ADE21"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t xml:space="preserve">Ahora bien, la documentación para la acreditación de las condiciones bajo las cuales se otorga el puntaje depende del sujeto de que se trate, en la condición de empleador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los documentos están dispuestos en el artículo 2.2.1.2.4.2.7.4, el cual exige, entre otros documentos, los certificados de aportes a seguridad social de los tres (3) meses anteriores a la presentación de la oferta respecto de cada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cuyas planillas no alcancen ese período, pudiendo el proponente acreditar el puntaje con base en las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sí cumplen el requisito temporal y participar en el proceso sin el puntaje en caso de no alcanzar ninguna. El término de tres (3) </w:t>
      </w:r>
      <w:proofErr w:type="gramStart"/>
      <w:r w:rsidRPr="00C820EF">
        <w:rPr>
          <w:rFonts w:ascii="Verdana" w:eastAsia="Calibri" w:hAnsi="Verdana" w:cs="Arial"/>
          <w:sz w:val="20"/>
          <w:szCs w:val="20"/>
          <w:lang w:eastAsia="es-ES"/>
        </w:rPr>
        <w:t>meses aquí mencionado</w:t>
      </w:r>
      <w:proofErr w:type="gramEnd"/>
      <w:r w:rsidRPr="00C820EF">
        <w:rPr>
          <w:rFonts w:ascii="Verdana" w:eastAsia="Calibri" w:hAnsi="Verdana" w:cs="Arial"/>
          <w:sz w:val="20"/>
          <w:szCs w:val="20"/>
          <w:lang w:eastAsia="es-ES"/>
        </w:rPr>
        <w:t xml:space="preserve"> es diferente al término de un (1) año mencionado en el artículo 2.2.1.2.4.2.6 respecto de los emprendimientos y empresas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w:t>
      </w:r>
    </w:p>
    <w:p w14:paraId="01A858BB" w14:textId="77777777" w:rsidR="00F51D39" w:rsidRPr="00C820EF" w:rsidRDefault="00F51D39" w:rsidP="00F51D39">
      <w:pPr>
        <w:spacing w:after="0" w:line="240" w:lineRule="auto"/>
        <w:contextualSpacing/>
        <w:jc w:val="both"/>
        <w:rPr>
          <w:rFonts w:ascii="Verdana" w:eastAsia="Calibri" w:hAnsi="Verdana" w:cs="Arial"/>
          <w:sz w:val="20"/>
          <w:szCs w:val="20"/>
          <w:lang w:eastAsia="es-ES"/>
        </w:rPr>
      </w:pPr>
    </w:p>
    <w:p w14:paraId="3260AF03" w14:textId="77777777" w:rsidR="00F51D39" w:rsidRPr="003C64A5" w:rsidRDefault="00F51D39" w:rsidP="00F51D39">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lastRenderedPageBreak/>
        <w:t xml:space="preserve">Para efectos de determinar el número mínimo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a las plantas de personal de posibles proveedores, debe ser a través de contrato laboral con dedicación exclusiva, cuya definición le corresponde al Ministerio del Trabajo. Por otra parte, los documentos para acreditar la otra condición que es ser emprendimiento o empresa de </w:t>
      </w:r>
      <w:proofErr w:type="spellStart"/>
      <w:r w:rsidRPr="00C820EF">
        <w:rPr>
          <w:rFonts w:ascii="Verdana" w:eastAsia="Calibri" w:hAnsi="Verdana" w:cs="Arial"/>
          <w:sz w:val="20"/>
          <w:szCs w:val="20"/>
          <w:lang w:eastAsia="es-ES"/>
        </w:rPr>
        <w:t>PcD</w:t>
      </w:r>
      <w:proofErr w:type="spellEnd"/>
      <w:r w:rsidRPr="00C820EF">
        <w:rPr>
          <w:rFonts w:ascii="Verdana" w:eastAsia="Calibri" w:hAnsi="Verdana" w:cs="Arial"/>
          <w:sz w:val="20"/>
          <w:szCs w:val="20"/>
          <w:lang w:eastAsia="es-ES"/>
        </w:rPr>
        <w:t xml:space="preserve"> son los indicados en el artículo 2.2.1.2.4.2.6 y no los del artículo 2.2.1.2.4.2.7.4</w:t>
      </w:r>
      <w:r w:rsidRPr="003C64A5">
        <w:rPr>
          <w:rFonts w:ascii="Verdana" w:eastAsia="Calibri" w:hAnsi="Verdana" w:cs="Arial"/>
          <w:sz w:val="20"/>
          <w:szCs w:val="20"/>
          <w:lang w:eastAsia="es-ES"/>
        </w:rPr>
        <w:t>.</w:t>
      </w:r>
    </w:p>
    <w:p w14:paraId="4226DEF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68442C50"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Criterios habilitantes diferenciales ‒ Ajustados ‒ Obligatoriedad ‒ Proporcionalidad ‒ Proponentes plurales ‒ Consorcios y uniones temporales</w:t>
      </w:r>
    </w:p>
    <w:p w14:paraId="1A64F05A" w14:textId="77777777" w:rsidR="00F51D39" w:rsidRPr="00206556" w:rsidRDefault="00F51D39" w:rsidP="00F51D39">
      <w:pPr>
        <w:spacing w:after="0" w:line="240" w:lineRule="auto"/>
        <w:contextualSpacing/>
        <w:jc w:val="both"/>
        <w:rPr>
          <w:rFonts w:ascii="Verdana" w:eastAsia="Calibri" w:hAnsi="Verdana" w:cs="Arial"/>
          <w:b/>
          <w:bCs/>
          <w:sz w:val="20"/>
          <w:szCs w:val="20"/>
          <w:lang w:eastAsia="es-ES"/>
        </w:rPr>
      </w:pPr>
    </w:p>
    <w:p w14:paraId="2D6566C4"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Sobre los criterios habilitantes diferenciales, estos constituyen una obligación para las entidades contratantes en los procesos de licitación pública, selección abreviada y concurso de méritos, tanto bajo el régimen del Estatuto General de Contratación Pública como en los procesos competitivos de entidades con régimen especial. Esta obligación consiste en establecer requisitos habilitantes ajustados o reducidos, palabras que se deben entender en el mismo significado de diferencial, en materia de experiencia, capacidad financiera, capacidad organizacional o valor de la garantía de seriedad de la oferta, con el propósito de facilitar la participación de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con domicilio en el territorio nacional. La entidad contratante debe flexibilizar 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26243E47" w14:textId="77777777" w:rsidR="00F51D39" w:rsidRPr="00DA1940" w:rsidRDefault="00F51D39" w:rsidP="00F51D39">
      <w:pPr>
        <w:spacing w:after="0" w:line="240" w:lineRule="auto"/>
        <w:contextualSpacing/>
        <w:jc w:val="both"/>
        <w:rPr>
          <w:rFonts w:ascii="Verdana" w:eastAsia="Calibri" w:hAnsi="Verdana" w:cs="Arial"/>
          <w:sz w:val="20"/>
          <w:szCs w:val="20"/>
          <w:lang w:eastAsia="es-ES"/>
        </w:rPr>
      </w:pPr>
    </w:p>
    <w:p w14:paraId="5775F1CC"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A1940">
        <w:rPr>
          <w:rFonts w:ascii="Verdana" w:eastAsia="Calibri" w:hAnsi="Verdana" w:cs="Arial"/>
          <w:sz w:val="20"/>
          <w:szCs w:val="20"/>
          <w:lang w:eastAsia="es-ES"/>
        </w:rPr>
        <w:t xml:space="preserve">Estos criterios aplican exclusivamente para el primer sujeto del sistema, es decir, los emprendimientos y empresas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xml:space="preserve">, y no para los empleadores de </w:t>
      </w:r>
      <w:proofErr w:type="spellStart"/>
      <w:r w:rsidRPr="00DA1940">
        <w:rPr>
          <w:rFonts w:ascii="Verdana" w:eastAsia="Calibri" w:hAnsi="Verdana" w:cs="Arial"/>
          <w:sz w:val="20"/>
          <w:szCs w:val="20"/>
          <w:lang w:eastAsia="es-ES"/>
        </w:rPr>
        <w:t>PcD</w:t>
      </w:r>
      <w:proofErr w:type="spellEnd"/>
      <w:r w:rsidRPr="00DA1940">
        <w:rPr>
          <w:rFonts w:ascii="Verdana" w:eastAsia="Calibri" w:hAnsi="Verdana" w:cs="Arial"/>
          <w:sz w:val="20"/>
          <w:szCs w:val="20"/>
          <w:lang w:eastAsia="es-ES"/>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 si ese integrante participa con el 15%, debe aportar al menos el 15% de la experiencia exigida en el pliego.</w:t>
      </w:r>
    </w:p>
    <w:p w14:paraId="62CA0E4D"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7C938F1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Condiciones especiales de ejecución ‒ Subcontratación inclusiva ‒ Integración del equipo de trabajo ‒ Obligatoriedad ‒ Justificación de omisión</w:t>
      </w:r>
    </w:p>
    <w:p w14:paraId="43E54D82"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EDB3A49"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lastRenderedPageBreak/>
        <w:t xml:space="preserve">(…) </w:t>
      </w:r>
      <w:r w:rsidRPr="007A1BCB">
        <w:rPr>
          <w:rFonts w:ascii="Verdana" w:eastAsia="Calibri" w:hAnsi="Verdana" w:cs="Arial"/>
          <w:sz w:val="20"/>
          <w:szCs w:val="20"/>
          <w:lang w:eastAsia="es-ES"/>
        </w:rPr>
        <w:t xml:space="preserve">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y a emprendimientos y empresas de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7A1BCB">
        <w:rPr>
          <w:rFonts w:ascii="Verdana" w:eastAsia="Calibri" w:hAnsi="Verdana" w:cs="Arial"/>
          <w:sz w:val="20"/>
          <w:szCs w:val="20"/>
          <w:lang w:eastAsia="es-ES"/>
        </w:rPr>
        <w:t>PcD</w:t>
      </w:r>
      <w:proofErr w:type="spellEnd"/>
      <w:r w:rsidRPr="007A1BCB">
        <w:rPr>
          <w:rFonts w:ascii="Verdana" w:eastAsia="Calibri" w:hAnsi="Verdana" w:cs="Arial"/>
          <w:sz w:val="20"/>
          <w:szCs w:val="20"/>
          <w:lang w:eastAsia="es-ES"/>
        </w:rPr>
        <w:t xml:space="preserve"> y sus empresas tengan preferencia cuando existan en el mercado y sea factible su vinculación. Esta medida aplica en entidades sometidas al Estatuto General de Contratación Pública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r w:rsidRPr="00792D67">
        <w:rPr>
          <w:rFonts w:ascii="Verdana" w:eastAsia="Calibri" w:hAnsi="Verdana" w:cs="Arial"/>
          <w:sz w:val="20"/>
          <w:szCs w:val="20"/>
          <w:lang w:eastAsia="es-ES"/>
        </w:rPr>
        <w:t>.</w:t>
      </w:r>
    </w:p>
    <w:p w14:paraId="4B57D5FD"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3B9321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Documentos tipo ‒ Principio de inalterabilidad ‒ Régimen de transición ‒ Actualización ‒ Colombia Compra Eficiente</w:t>
      </w:r>
    </w:p>
    <w:p w14:paraId="72C35466"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A89C829"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015670">
        <w:rPr>
          <w:rFonts w:ascii="Verdana" w:eastAsia="Calibri" w:hAnsi="Verdana" w:cs="Arial"/>
          <w:sz w:val="20"/>
          <w:szCs w:val="20"/>
          <w:lang w:eastAsia="es-ES"/>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sidRPr="007B5AD4">
        <w:rPr>
          <w:rFonts w:ascii="Verdana" w:eastAsia="Calibri" w:hAnsi="Verdana" w:cs="Arial"/>
          <w:sz w:val="20"/>
          <w:szCs w:val="20"/>
          <w:lang w:eastAsia="es-ES"/>
        </w:rPr>
        <w:t xml:space="preserve">. </w:t>
      </w:r>
    </w:p>
    <w:p w14:paraId="22D0B785"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3C1D2F00"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Contratos de prestación de servicios ‒ personas con discapacidad ‒ Carácter potestativo ‒ Contratación directa</w:t>
      </w:r>
    </w:p>
    <w:p w14:paraId="46A0E9FE"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263D8AB2" w14:textId="77777777" w:rsidR="00F51D39"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Pr="00015670">
        <w:rPr>
          <w:rFonts w:ascii="Verdana" w:eastAsia="Calibri" w:hAnsi="Verdana" w:cs="Arial"/>
          <w:sz w:val="20"/>
          <w:szCs w:val="20"/>
          <w:lang w:eastAsia="es-ES"/>
        </w:rPr>
        <w:t xml:space="preserve"> la inclusión de </w:t>
      </w:r>
      <w:proofErr w:type="spellStart"/>
      <w:r w:rsidRPr="00015670">
        <w:rPr>
          <w:rFonts w:ascii="Verdana" w:eastAsia="Calibri" w:hAnsi="Verdana" w:cs="Arial"/>
          <w:sz w:val="20"/>
          <w:szCs w:val="20"/>
          <w:lang w:eastAsia="es-ES"/>
        </w:rPr>
        <w:t>PcD</w:t>
      </w:r>
      <w:proofErr w:type="spellEnd"/>
      <w:r w:rsidRPr="00015670">
        <w:rPr>
          <w:rFonts w:ascii="Verdana" w:eastAsia="Calibri" w:hAnsi="Verdana" w:cs="Arial"/>
          <w:sz w:val="20"/>
          <w:szCs w:val="20"/>
          <w:lang w:eastAsia="es-ES"/>
        </w:rPr>
        <w:t xml:space="preserve"> en contratos de prestación de servicios profesionales y/o de apoyo a la gestión, regulada en el artículo 2.2.1.2.4.2.7.6. del Decreto 1082 de 2015 (modificado), que opera en la modalidad de contratación directa y tiene carácter potestativo: las entidades sometidas al Estatuto General de Contratación Pública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sidRPr="00015670">
        <w:rPr>
          <w:rFonts w:ascii="Verdana" w:eastAsia="Calibri" w:hAnsi="Verdana" w:cs="Arial"/>
          <w:sz w:val="20"/>
          <w:szCs w:val="20"/>
          <w:lang w:eastAsia="es-ES"/>
        </w:rPr>
        <w:t>PcD</w:t>
      </w:r>
      <w:proofErr w:type="spellEnd"/>
      <w:r w:rsidRPr="00015670">
        <w:rPr>
          <w:rFonts w:ascii="Verdana" w:eastAsia="Calibri" w:hAnsi="Verdana" w:cs="Arial"/>
          <w:sz w:val="20"/>
          <w:szCs w:val="20"/>
          <w:lang w:eastAsia="es-ES"/>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w:t>
      </w:r>
      <w:r w:rsidRPr="00015670">
        <w:rPr>
          <w:rFonts w:ascii="Verdana" w:eastAsia="Calibri" w:hAnsi="Verdana" w:cs="Arial"/>
          <w:sz w:val="20"/>
          <w:szCs w:val="20"/>
          <w:lang w:eastAsia="es-ES"/>
        </w:rPr>
        <w:lastRenderedPageBreak/>
        <w:t>esta medida a través del SECOP, evaluando pertinencia, duración, objeto y nivel de especialización de cada contrato</w:t>
      </w:r>
      <w:r w:rsidRPr="00A54668">
        <w:rPr>
          <w:rFonts w:ascii="Verdana" w:eastAsia="Calibri" w:hAnsi="Verdana" w:cs="Arial"/>
          <w:sz w:val="20"/>
          <w:szCs w:val="20"/>
          <w:lang w:eastAsia="es-ES"/>
        </w:rPr>
        <w:t>.</w:t>
      </w:r>
    </w:p>
    <w:p w14:paraId="21FE84D7"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3C3AEC18"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Compatibilidad ‒ Incentivos MiPymes ‒ Empresas de mujeres ‒ Criterio de desempate ‒ Ley 2069 de 2020</w:t>
      </w:r>
    </w:p>
    <w:p w14:paraId="3B803334" w14:textId="77777777" w:rsidR="00F51D39" w:rsidRPr="007B5AD4" w:rsidRDefault="00F51D39" w:rsidP="00F51D39">
      <w:pPr>
        <w:spacing w:after="0" w:line="240" w:lineRule="auto"/>
        <w:contextualSpacing/>
        <w:jc w:val="both"/>
        <w:rPr>
          <w:rFonts w:ascii="Verdana" w:eastAsia="Calibri" w:hAnsi="Verdana" w:cs="Arial"/>
          <w:b/>
          <w:bCs/>
          <w:sz w:val="20"/>
          <w:szCs w:val="20"/>
          <w:lang w:eastAsia="es-ES"/>
        </w:rPr>
      </w:pPr>
    </w:p>
    <w:p w14:paraId="40392D9A"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r w:rsidRPr="000542B4">
        <w:rPr>
          <w:rFonts w:ascii="Verdana" w:eastAsia="Calibri" w:hAnsi="Verdana" w:cs="Arial"/>
          <w:sz w:val="20"/>
          <w:szCs w:val="20"/>
          <w:lang w:eastAsia="es-ES"/>
        </w:rPr>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sidRPr="000542B4">
        <w:rPr>
          <w:rFonts w:ascii="Verdana" w:eastAsia="Calibri" w:hAnsi="Verdana" w:cs="Arial"/>
          <w:sz w:val="20"/>
          <w:szCs w:val="20"/>
          <w:lang w:eastAsia="es-ES"/>
        </w:rPr>
        <w:t>PcD</w:t>
      </w:r>
      <w:proofErr w:type="spellEnd"/>
      <w:r w:rsidRPr="000542B4">
        <w:rPr>
          <w:rFonts w:ascii="Verdana" w:eastAsia="Calibri" w:hAnsi="Verdana" w:cs="Arial"/>
          <w:sz w:val="20"/>
          <w:szCs w:val="20"/>
          <w:lang w:eastAsia="es-ES"/>
        </w:rPr>
        <w:t xml:space="preserve">, no a los emprendimientos y empresas de </w:t>
      </w:r>
      <w:proofErr w:type="spellStart"/>
      <w:r w:rsidRPr="000542B4">
        <w:rPr>
          <w:rFonts w:ascii="Verdana" w:eastAsia="Calibri" w:hAnsi="Verdana" w:cs="Arial"/>
          <w:sz w:val="20"/>
          <w:szCs w:val="20"/>
          <w:lang w:eastAsia="es-ES"/>
        </w:rPr>
        <w:t>PcD</w:t>
      </w:r>
      <w:proofErr w:type="spellEnd"/>
      <w:r w:rsidRPr="000542B4">
        <w:rPr>
          <w:rFonts w:ascii="Verdana" w:eastAsia="Calibri" w:hAnsi="Verdana" w:cs="Arial"/>
          <w:sz w:val="20"/>
          <w:szCs w:val="20"/>
          <w:lang w:eastAsia="es-ES"/>
        </w:rPr>
        <w:t>, dicha norma exige que al menos el 10% de la nómina esté en condición de discapacidad y opera únicamente cuando hay empate entre dos o más ofertas</w:t>
      </w:r>
      <w:r w:rsidRPr="007B5AD4">
        <w:rPr>
          <w:rFonts w:ascii="Verdana" w:eastAsia="Calibri" w:hAnsi="Verdana" w:cs="Arial"/>
          <w:sz w:val="20"/>
          <w:szCs w:val="20"/>
          <w:lang w:eastAsia="es-ES"/>
        </w:rPr>
        <w:t>.</w:t>
      </w:r>
    </w:p>
    <w:p w14:paraId="6C97535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046648F8"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Compras públicas accesibles ‒ Obligación transversal ‒ Ausencia de normas técnicas ‒ Ficha técnica de accesibilidad ‒ Categorías de discapacidad</w:t>
      </w:r>
    </w:p>
    <w:p w14:paraId="630A0378"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340756"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Ahora, en cuanto a la obligación de compras públicas accesibles, esta es transversal a todos los entes del Estado y aplica en todos los contratos en los que se adquieran bienes, obras o servicios. La inexistencia de normas técnicas, reglamentarias o legales aplicables al objeto del contrato no exonera a la entidad de esta obligación: ante esa circunstancia, el artículo 2.2.1.2.4.2.7.1. del Decreto 0287 de 2026 impone a la entidad el deber de elaborar una ficha técnica propia con criterios de accesibilidad determinados desde los estudios previos,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w:t>
      </w:r>
      <w:r w:rsidRPr="007B5AD4">
        <w:rPr>
          <w:rFonts w:ascii="Verdana" w:eastAsia="Calibri" w:hAnsi="Verdana" w:cs="Arial"/>
          <w:sz w:val="20"/>
          <w:szCs w:val="20"/>
          <w:lang w:eastAsia="es-ES"/>
        </w:rPr>
        <w:t>.</w:t>
      </w:r>
    </w:p>
    <w:p w14:paraId="710A219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2CB6A1C7"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Ejecución contractual ‒ Permanencia de condiciones ‒ Reducción de personas con discapacidad vinculadas ‒ Incumplimiento contractual</w:t>
      </w:r>
    </w:p>
    <w:p w14:paraId="75690A8F"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59C703CA"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w:t>
      </w:r>
      <w:r w:rsidRPr="00206556">
        <w:rPr>
          <w:rFonts w:ascii="Verdana" w:eastAsia="Calibri" w:hAnsi="Verdana" w:cs="Arial"/>
          <w:sz w:val="20"/>
          <w:szCs w:val="20"/>
          <w:lang w:eastAsia="es-ES"/>
        </w:rPr>
        <w:t>…</w:t>
      </w:r>
      <w:r>
        <w:rPr>
          <w:rFonts w:ascii="Verdana" w:eastAsia="Calibri" w:hAnsi="Verdana" w:cs="Arial"/>
          <w:sz w:val="20"/>
          <w:szCs w:val="20"/>
          <w:lang w:eastAsia="es-ES"/>
        </w:rPr>
        <w:t xml:space="preserve">) </w:t>
      </w:r>
      <w:r w:rsidRPr="00D33696">
        <w:rPr>
          <w:rFonts w:ascii="Verdana" w:eastAsia="Calibri" w:hAnsi="Verdana" w:cs="Arial"/>
          <w:sz w:val="20"/>
          <w:szCs w:val="20"/>
          <w:lang w:eastAsia="es-ES"/>
        </w:rPr>
        <w:t>El parágrafo 3 del artículo 2.2.1.2.4.2.7.4. del Decreto 0287 de 2026 establece que el contratista debe presentar con cada solicitud de pago la documentación que acredite la permanencia de las condiciones que dieron lugar al puntaje adicional, y que:</w:t>
      </w:r>
    </w:p>
    <w:p w14:paraId="42E92F54"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 </w:t>
      </w:r>
    </w:p>
    <w:p w14:paraId="06C98648"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"la inobservancia de estas medidas y el incumplimiento injustificado en la reducción del número de trabajadores con discapacidad de la planta de personal acreditado para </w:t>
      </w:r>
      <w:r w:rsidRPr="00D33696">
        <w:rPr>
          <w:rFonts w:ascii="Verdana" w:eastAsia="Calibri" w:hAnsi="Verdana" w:cs="Arial"/>
          <w:sz w:val="20"/>
          <w:szCs w:val="20"/>
          <w:lang w:eastAsia="es-ES"/>
        </w:rPr>
        <w:lastRenderedPageBreak/>
        <w:t>obtener el puntaje adicional podrá constituir causal de incumplimiento contractual y se tramitará conforme a la normatividad vigente".</w:t>
      </w:r>
    </w:p>
    <w:p w14:paraId="7C3126AF" w14:textId="77777777" w:rsidR="00F51D39" w:rsidRPr="00D33696" w:rsidRDefault="00F51D39" w:rsidP="00F51D39">
      <w:pPr>
        <w:spacing w:after="0" w:line="240" w:lineRule="auto"/>
        <w:contextualSpacing/>
        <w:jc w:val="both"/>
        <w:rPr>
          <w:rFonts w:ascii="Verdana" w:eastAsia="Calibri" w:hAnsi="Verdana" w:cs="Arial"/>
          <w:sz w:val="20"/>
          <w:szCs w:val="20"/>
          <w:lang w:eastAsia="es-ES"/>
        </w:rPr>
      </w:pPr>
    </w:p>
    <w:p w14:paraId="04A60010"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D33696">
        <w:rPr>
          <w:rFonts w:ascii="Verdana" w:eastAsia="Calibri" w:hAnsi="Verdana" w:cs="Arial"/>
          <w:sz w:val="20"/>
          <w:szCs w:val="20"/>
          <w:lang w:eastAsia="es-ES"/>
        </w:rPr>
        <w:t xml:space="preserve">El término "podrá" indica que la entidad tiene discrecionalidad para declarar o no el incumplimiento, valorando la justificación del contratista, el impacto real en el objeto del contrato y la posibilidad de subsanación. Solo queda exonerado quien demuestre fuerza mayor o caso fortuito. El parágrafo 4 del mismo artículo añade que las medidas deben observar las garantías constitucionales de la estabilidad laboral reforzada de las </w:t>
      </w:r>
      <w:proofErr w:type="spellStart"/>
      <w:r w:rsidRPr="00D33696">
        <w:rPr>
          <w:rFonts w:ascii="Verdana" w:eastAsia="Calibri" w:hAnsi="Verdana" w:cs="Arial"/>
          <w:sz w:val="20"/>
          <w:szCs w:val="20"/>
          <w:lang w:eastAsia="es-ES"/>
        </w:rPr>
        <w:t>PcD</w:t>
      </w:r>
      <w:proofErr w:type="spellEnd"/>
      <w:r w:rsidRPr="00D33696">
        <w:rPr>
          <w:rFonts w:ascii="Verdana" w:eastAsia="Calibri" w:hAnsi="Verdana" w:cs="Arial"/>
          <w:sz w:val="20"/>
          <w:szCs w:val="20"/>
          <w:lang w:eastAsia="es-ES"/>
        </w:rPr>
        <w:t xml:space="preserve">,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w:t>
      </w:r>
      <w:proofErr w:type="spellStart"/>
      <w:r w:rsidRPr="00D33696">
        <w:rPr>
          <w:rFonts w:ascii="Verdana" w:eastAsia="Calibri" w:hAnsi="Verdana" w:cs="Arial"/>
          <w:sz w:val="20"/>
          <w:szCs w:val="20"/>
          <w:lang w:eastAsia="es-ES"/>
        </w:rPr>
        <w:t>PcD</w:t>
      </w:r>
      <w:proofErr w:type="spellEnd"/>
      <w:r w:rsidRPr="00D33696">
        <w:rPr>
          <w:rFonts w:ascii="Verdana" w:eastAsia="Calibri" w:hAnsi="Verdana" w:cs="Arial"/>
          <w:sz w:val="20"/>
          <w:szCs w:val="20"/>
          <w:lang w:eastAsia="es-ES"/>
        </w:rPr>
        <w:t>: la norma busca estabilidad real y no meramente nominal, de modo que el contratista debe adoptar las medidas de permanencia compatibles con el ordenamiento laboral vigente.</w:t>
      </w:r>
    </w:p>
    <w:p w14:paraId="6F5D1C48"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6212F861"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 xml:space="preserve">DECRETO 0287 DE 2026 ‒ </w:t>
      </w:r>
      <w:r>
        <w:rPr>
          <w:rFonts w:ascii="Verdana" w:eastAsia="Calibri" w:hAnsi="Verdana" w:cs="Arial"/>
          <w:b/>
          <w:bCs/>
          <w:lang w:eastAsia="es-ES"/>
        </w:rPr>
        <w:t>Entidades de r</w:t>
      </w:r>
      <w:r w:rsidRPr="004C046B">
        <w:rPr>
          <w:rFonts w:ascii="Verdana" w:eastAsia="Calibri" w:hAnsi="Verdana" w:cs="Arial"/>
          <w:b/>
          <w:bCs/>
          <w:lang w:eastAsia="es-ES"/>
        </w:rPr>
        <w:t>égimen especial ‒ Aplicación</w:t>
      </w:r>
    </w:p>
    <w:p w14:paraId="0CCF95C1" w14:textId="77777777" w:rsidR="00F51D39" w:rsidRPr="00206556" w:rsidRDefault="00F51D39" w:rsidP="00F51D39">
      <w:pPr>
        <w:spacing w:after="0" w:line="240" w:lineRule="auto"/>
        <w:contextualSpacing/>
        <w:jc w:val="both"/>
        <w:rPr>
          <w:rFonts w:ascii="Verdana" w:eastAsia="Calibri" w:hAnsi="Verdana" w:cs="Arial"/>
          <w:sz w:val="20"/>
          <w:szCs w:val="20"/>
          <w:lang w:eastAsia="es-ES"/>
        </w:rPr>
      </w:pPr>
    </w:p>
    <w:p w14:paraId="12B0D1E7"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E910FB">
        <w:rPr>
          <w:rFonts w:ascii="Verdana" w:eastAsia="Calibri" w:hAnsi="Verdana" w:cs="Arial"/>
          <w:sz w:val="20"/>
          <w:szCs w:val="20"/>
          <w:lang w:eastAsia="es-ES"/>
        </w:rPr>
        <w:t xml:space="preserve">En cuanto a la aplicación de las medidas afirmativas en entidades con régimen especial de contratación, 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E910FB">
        <w:rPr>
          <w:rFonts w:ascii="Verdana" w:eastAsia="Calibri" w:hAnsi="Verdana" w:cs="Arial"/>
          <w:sz w:val="20"/>
          <w:szCs w:val="20"/>
          <w:lang w:eastAsia="es-ES"/>
        </w:rPr>
        <w:t>PcD</w:t>
      </w:r>
      <w:proofErr w:type="spellEnd"/>
      <w:r w:rsidRPr="00E910FB">
        <w:rPr>
          <w:rFonts w:ascii="Verdana" w:eastAsia="Calibri" w:hAnsi="Verdana" w:cs="Arial"/>
          <w:sz w:val="20"/>
          <w:szCs w:val="20"/>
          <w:lang w:eastAsia="es-ES"/>
        </w:rPr>
        <w:t>.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247134A8" w14:textId="77777777" w:rsidR="00F51D39" w:rsidRPr="007B5AD4" w:rsidRDefault="00F51D39" w:rsidP="00F51D39">
      <w:pPr>
        <w:spacing w:after="0" w:line="240" w:lineRule="auto"/>
        <w:contextualSpacing/>
        <w:jc w:val="both"/>
        <w:rPr>
          <w:rFonts w:ascii="Verdana" w:eastAsia="Calibri" w:hAnsi="Verdana" w:cs="Arial"/>
          <w:sz w:val="20"/>
          <w:szCs w:val="20"/>
          <w:lang w:eastAsia="es-ES"/>
        </w:rPr>
      </w:pPr>
    </w:p>
    <w:p w14:paraId="25FDCB2D" w14:textId="77777777" w:rsidR="00F51D39" w:rsidRPr="004C046B" w:rsidRDefault="00F51D39" w:rsidP="00F51D39">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Vigencia ‒ Derogatoria ‒ Decreto 392 de 2018 ‒ Régimen de transición ‒ Resolución de apertura</w:t>
      </w:r>
    </w:p>
    <w:p w14:paraId="14685564"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01A0A138"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A54668">
        <w:rPr>
          <w:rFonts w:ascii="Verdana" w:eastAsia="Calibri" w:hAnsi="Verdana" w:cs="Arial"/>
          <w:sz w:val="20"/>
          <w:szCs w:val="20"/>
          <w:lang w:eastAsia="es-ES"/>
        </w:rPr>
        <w:t xml:space="preserve">(…) </w:t>
      </w:r>
      <w:r w:rsidRPr="004C046B">
        <w:rPr>
          <w:rFonts w:ascii="Verdana" w:eastAsia="Calibri" w:hAnsi="Verdana" w:cs="Arial"/>
          <w:sz w:val="20"/>
          <w:szCs w:val="20"/>
          <w:lang w:eastAsia="es-ES"/>
        </w:rPr>
        <w:t>para la aplicación del Decreto 287 de 2026, se debe tener en cuenta que 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 pero lo señalado en este concepto debe entenderse de acuerdo con la nueva redacción de los artículos enlistados, y no recurrir a la antigua redacción.</w:t>
      </w:r>
    </w:p>
    <w:p w14:paraId="0A558430"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DBCEAAD"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lastRenderedPageBreak/>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4C046B">
        <w:rPr>
          <w:rFonts w:ascii="Verdana" w:eastAsia="Calibri" w:hAnsi="Verdana" w:cs="Arial"/>
          <w:sz w:val="20"/>
          <w:szCs w:val="20"/>
          <w:lang w:eastAsia="es-ES"/>
        </w:rPr>
        <w:t>ii</w:t>
      </w:r>
      <w:proofErr w:type="spellEnd"/>
      <w:r w:rsidRPr="004C046B">
        <w:rPr>
          <w:rFonts w:ascii="Verdana" w:eastAsia="Calibri" w:hAnsi="Verdana" w:cs="Arial"/>
          <w:sz w:val="20"/>
          <w:szCs w:val="20"/>
          <w:lang w:eastAsia="es-ES"/>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2383A788" w14:textId="77777777" w:rsidR="00F51D39" w:rsidRPr="004C046B" w:rsidRDefault="00F51D39" w:rsidP="00F51D39">
      <w:pPr>
        <w:spacing w:after="0" w:line="240" w:lineRule="auto"/>
        <w:contextualSpacing/>
        <w:jc w:val="both"/>
        <w:rPr>
          <w:rFonts w:ascii="Verdana" w:eastAsia="Calibri" w:hAnsi="Verdana" w:cs="Arial"/>
          <w:sz w:val="20"/>
          <w:szCs w:val="20"/>
          <w:lang w:eastAsia="es-ES"/>
        </w:rPr>
      </w:pPr>
    </w:p>
    <w:p w14:paraId="0CBEE2D7" w14:textId="77777777" w:rsidR="00F51D39" w:rsidRDefault="00F51D39" w:rsidP="00F51D39">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 xml:space="preserve">Para los procesos de contratación con proyecto de pliego </w:t>
      </w:r>
      <w:proofErr w:type="gramStart"/>
      <w:r w:rsidRPr="004C046B">
        <w:rPr>
          <w:rFonts w:ascii="Verdana" w:eastAsia="Calibri" w:hAnsi="Verdana" w:cs="Arial"/>
          <w:sz w:val="20"/>
          <w:szCs w:val="20"/>
          <w:lang w:eastAsia="es-ES"/>
        </w:rPr>
        <w:t>publicado</w:t>
      </w:r>
      <w:proofErr w:type="gramEnd"/>
      <w:r w:rsidRPr="004C046B">
        <w:rPr>
          <w:rFonts w:ascii="Verdana" w:eastAsia="Calibri" w:hAnsi="Verdana" w:cs="Arial"/>
          <w:sz w:val="20"/>
          <w:szCs w:val="20"/>
          <w:lang w:eastAsia="es-ES"/>
        </w:rPr>
        <w:t xml:space="preserve"> pero sin apertura al 19 de marzo de 2026, se recomienda que se incorporen las medidas del Decreto 287 de 2026 antes de publicar los pliegos definitivos. En esa etapa aún es posible realizar ajustes sin afectar derechos adquiridos de los proponentes.</w:t>
      </w:r>
    </w:p>
    <w:p w14:paraId="12110672" w14:textId="77777777" w:rsidR="00F51D39" w:rsidRDefault="00F51D39" w:rsidP="00F51D39">
      <w:pPr>
        <w:spacing w:after="0" w:line="240" w:lineRule="auto"/>
        <w:contextualSpacing/>
        <w:jc w:val="both"/>
        <w:rPr>
          <w:rFonts w:ascii="Verdana" w:eastAsia="Calibri" w:hAnsi="Verdana" w:cs="Arial"/>
          <w:sz w:val="20"/>
          <w:szCs w:val="20"/>
          <w:lang w:eastAsia="es-ES"/>
        </w:rPr>
      </w:pPr>
    </w:p>
    <w:p w14:paraId="482AA94E"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556192AB"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2E7326F2"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A47CDFD"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91AF36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0EDA3021"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1BFC3C78" w14:textId="77777777" w:rsidR="004C046B" w:rsidRDefault="004C046B" w:rsidP="004C046B">
      <w:pPr>
        <w:spacing w:after="0" w:line="240" w:lineRule="auto"/>
        <w:contextualSpacing/>
        <w:jc w:val="both"/>
        <w:rPr>
          <w:rFonts w:ascii="Verdana" w:eastAsia="Calibri" w:hAnsi="Verdana" w:cs="Arial"/>
          <w:sz w:val="20"/>
          <w:szCs w:val="20"/>
          <w:lang w:eastAsia="es-ES"/>
        </w:rPr>
      </w:pPr>
    </w:p>
    <w:p w14:paraId="4B29E45D"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212A9250" w14:textId="77777777" w:rsidR="008D5774" w:rsidRPr="00206556" w:rsidRDefault="008D5774" w:rsidP="008D5774">
      <w:pPr>
        <w:spacing w:after="0" w:line="240" w:lineRule="auto"/>
        <w:contextualSpacing/>
        <w:jc w:val="both"/>
        <w:rPr>
          <w:rFonts w:ascii="Verdana" w:eastAsia="Calibri" w:hAnsi="Verdana" w:cs="Arial"/>
          <w:sz w:val="20"/>
          <w:szCs w:val="20"/>
          <w:lang w:val="es-ES" w:eastAsia="es-ES"/>
        </w:rPr>
      </w:pPr>
    </w:p>
    <w:p w14:paraId="793BC852" w14:textId="77777777" w:rsidR="008D5774" w:rsidRPr="00206556" w:rsidRDefault="008D5774" w:rsidP="008D5774">
      <w:pPr>
        <w:spacing w:after="0" w:line="240" w:lineRule="auto"/>
        <w:contextualSpacing/>
        <w:jc w:val="both"/>
        <w:rPr>
          <w:rFonts w:ascii="Verdana" w:eastAsia="Calibri" w:hAnsi="Verdana" w:cs="Arial"/>
          <w:b/>
          <w:bCs/>
          <w:color w:val="ED7D31" w:themeColor="accent2"/>
          <w:sz w:val="20"/>
          <w:szCs w:val="20"/>
          <w:lang w:val="es-ES" w:eastAsia="es-ES"/>
        </w:rPr>
      </w:pPr>
    </w:p>
    <w:p w14:paraId="1A6A7E64" w14:textId="77777777" w:rsidR="006B694D" w:rsidRDefault="006B694D" w:rsidP="001B064E">
      <w:pPr>
        <w:spacing w:after="0"/>
        <w:rPr>
          <w:rFonts w:ascii="Verdana" w:hAnsi="Verdana"/>
          <w:lang w:val="es-ES_tradnl"/>
        </w:rPr>
      </w:pPr>
    </w:p>
    <w:p w14:paraId="7232AAD6" w14:textId="77777777" w:rsidR="006B694D" w:rsidRDefault="006B694D" w:rsidP="001B064E">
      <w:pPr>
        <w:spacing w:after="0"/>
        <w:rPr>
          <w:rFonts w:ascii="Verdana" w:hAnsi="Verdana"/>
          <w:lang w:val="es-ES_tradnl"/>
        </w:rPr>
      </w:pPr>
    </w:p>
    <w:p w14:paraId="119F3C55" w14:textId="77777777" w:rsidR="006B694D" w:rsidRDefault="006B694D" w:rsidP="001B064E">
      <w:pPr>
        <w:spacing w:after="0"/>
        <w:rPr>
          <w:rFonts w:ascii="Verdana" w:hAnsi="Verdana"/>
          <w:lang w:val="es-ES_tradnl"/>
        </w:rPr>
      </w:pPr>
    </w:p>
    <w:p w14:paraId="640AD810" w14:textId="77777777" w:rsidR="006B694D" w:rsidRDefault="006B694D" w:rsidP="001B064E">
      <w:pPr>
        <w:spacing w:after="0"/>
        <w:rPr>
          <w:rFonts w:ascii="Verdana" w:hAnsi="Verdana"/>
          <w:lang w:val="es-ES_tradnl"/>
        </w:rPr>
      </w:pPr>
    </w:p>
    <w:p w14:paraId="6D917EF6" w14:textId="77777777" w:rsidR="006B694D" w:rsidRDefault="006B694D" w:rsidP="001B064E">
      <w:pPr>
        <w:spacing w:after="0"/>
        <w:rPr>
          <w:rFonts w:ascii="Verdana" w:hAnsi="Verdana"/>
          <w:lang w:val="es-ES_tradnl"/>
        </w:rPr>
      </w:pPr>
    </w:p>
    <w:p w14:paraId="53562C22" w14:textId="77777777" w:rsidR="006B694D" w:rsidRDefault="006B694D" w:rsidP="001B064E">
      <w:pPr>
        <w:spacing w:after="0"/>
        <w:rPr>
          <w:rFonts w:ascii="Verdana" w:hAnsi="Verdana"/>
          <w:lang w:val="es-ES_tradnl"/>
        </w:rPr>
      </w:pPr>
    </w:p>
    <w:p w14:paraId="7A9E6280" w14:textId="77777777" w:rsidR="006B694D" w:rsidRDefault="006B694D" w:rsidP="001B064E">
      <w:pPr>
        <w:spacing w:after="0"/>
        <w:rPr>
          <w:rFonts w:ascii="Verdana" w:hAnsi="Verdana"/>
          <w:lang w:val="es-ES_tradnl"/>
        </w:rPr>
      </w:pPr>
    </w:p>
    <w:p w14:paraId="0DE60436" w14:textId="77777777" w:rsidR="006B694D" w:rsidRDefault="006B694D" w:rsidP="001B064E">
      <w:pPr>
        <w:spacing w:after="0"/>
        <w:rPr>
          <w:rFonts w:ascii="Verdana" w:hAnsi="Verdana"/>
          <w:lang w:val="es-ES_tradnl"/>
        </w:rPr>
      </w:pPr>
    </w:p>
    <w:p w14:paraId="404FD63E" w14:textId="77777777" w:rsidR="006B694D" w:rsidRDefault="006B694D" w:rsidP="001B064E">
      <w:pPr>
        <w:spacing w:after="0"/>
        <w:rPr>
          <w:rFonts w:ascii="Verdana" w:hAnsi="Verdana"/>
          <w:lang w:val="es-ES_tradnl"/>
        </w:rPr>
      </w:pPr>
    </w:p>
    <w:p w14:paraId="53C94B5D" w14:textId="77777777" w:rsidR="006B694D" w:rsidRDefault="006B694D" w:rsidP="001B064E">
      <w:pPr>
        <w:spacing w:after="0"/>
        <w:rPr>
          <w:rFonts w:ascii="Verdana" w:hAnsi="Verdana"/>
          <w:lang w:val="es-ES_tradnl"/>
        </w:rPr>
      </w:pPr>
    </w:p>
    <w:p w14:paraId="4948C67A" w14:textId="77777777" w:rsidR="006B694D" w:rsidRDefault="006B694D" w:rsidP="001B064E">
      <w:pPr>
        <w:spacing w:after="0"/>
        <w:rPr>
          <w:rFonts w:ascii="Verdana" w:hAnsi="Verdana"/>
          <w:lang w:val="es-ES_tradnl"/>
        </w:rPr>
      </w:pPr>
    </w:p>
    <w:p w14:paraId="12528B7C" w14:textId="77777777" w:rsidR="006B694D" w:rsidRDefault="006B694D" w:rsidP="001B064E">
      <w:pPr>
        <w:spacing w:after="0"/>
        <w:rPr>
          <w:rFonts w:ascii="Verdana" w:hAnsi="Verdana"/>
          <w:lang w:val="es-ES_tradnl"/>
        </w:rPr>
      </w:pPr>
    </w:p>
    <w:p w14:paraId="2303ACB3" w14:textId="77777777" w:rsidR="006B694D" w:rsidRDefault="006B694D" w:rsidP="001B064E">
      <w:pPr>
        <w:spacing w:after="0"/>
        <w:rPr>
          <w:rFonts w:ascii="Verdana" w:hAnsi="Verdana"/>
          <w:lang w:val="es-ES_tradnl"/>
        </w:rPr>
      </w:pPr>
    </w:p>
    <w:p w14:paraId="5EF01884" w14:textId="77777777" w:rsidR="006B694D" w:rsidRDefault="006B694D" w:rsidP="001B064E">
      <w:pPr>
        <w:spacing w:after="0"/>
        <w:rPr>
          <w:rFonts w:ascii="Verdana" w:hAnsi="Verdana"/>
          <w:lang w:val="es-ES_tradnl"/>
        </w:rPr>
      </w:pPr>
    </w:p>
    <w:p w14:paraId="04097CB2" w14:textId="77777777" w:rsidR="006B694D" w:rsidRDefault="006B694D" w:rsidP="001B064E">
      <w:pPr>
        <w:spacing w:after="0"/>
        <w:rPr>
          <w:rFonts w:ascii="Verdana" w:hAnsi="Verdana"/>
          <w:lang w:val="es-ES_tradnl"/>
        </w:rPr>
      </w:pPr>
    </w:p>
    <w:p w14:paraId="004836A2" w14:textId="77777777" w:rsidR="006B694D" w:rsidRDefault="006B694D" w:rsidP="001B064E">
      <w:pPr>
        <w:spacing w:after="0"/>
        <w:rPr>
          <w:rFonts w:ascii="Verdana" w:hAnsi="Verdana"/>
          <w:lang w:val="es-ES_tradnl"/>
        </w:rPr>
      </w:pPr>
    </w:p>
    <w:p w14:paraId="0031C6AC" w14:textId="77777777" w:rsidR="00073E6D" w:rsidRDefault="00073E6D" w:rsidP="001B064E">
      <w:pPr>
        <w:spacing w:after="0"/>
        <w:rPr>
          <w:rFonts w:ascii="Verdana" w:hAnsi="Verdana"/>
          <w:lang w:val="es-ES_tradnl"/>
        </w:rPr>
      </w:pPr>
    </w:p>
    <w:p w14:paraId="62D221C9" w14:textId="21571484" w:rsidR="001B064E" w:rsidRPr="00777292" w:rsidRDefault="00073E6D" w:rsidP="001B064E">
      <w:pPr>
        <w:spacing w:after="0"/>
        <w:rPr>
          <w:rFonts w:ascii="Verdana" w:hAnsi="Verdana"/>
          <w:lang w:val="es-ES_tradnl"/>
        </w:rPr>
      </w:pPr>
      <w:r w:rsidRPr="00073E6D">
        <w:rPr>
          <w:rFonts w:ascii="Verdana" w:hAnsi="Verdana"/>
        </w:rPr>
        <w:lastRenderedPageBreak/>
        <w:t xml:space="preserve">Bogotá D.C., 18 de </w:t>
      </w:r>
      <w:r w:rsidR="00AC13D6" w:rsidRPr="00073E6D">
        <w:rPr>
          <w:rFonts w:ascii="Verdana" w:hAnsi="Verdana"/>
        </w:rPr>
        <w:t>mayo</w:t>
      </w:r>
      <w:r w:rsidRPr="00073E6D">
        <w:rPr>
          <w:rFonts w:ascii="Verdana" w:hAnsi="Verdana"/>
        </w:rPr>
        <w:t xml:space="preserve"> de 2026</w:t>
      </w:r>
    </w:p>
    <w:p w14:paraId="385F21B8" w14:textId="77777777" w:rsidR="00073E6D" w:rsidRDefault="00073E6D" w:rsidP="00073E6D">
      <w:pPr>
        <w:spacing w:after="0"/>
        <w:rPr>
          <w:rFonts w:ascii="Verdana" w:hAnsi="Verdana"/>
          <w:lang w:val="es-ES_tradnl"/>
        </w:rPr>
      </w:pPr>
      <w:r w:rsidRPr="00073E6D">
        <w:rPr>
          <w:rFonts w:ascii="Verdana" w:eastAsia="Calibri" w:hAnsi="Verdana" w:cs="Arial"/>
          <w:b/>
          <w:bCs/>
          <w:noProof/>
          <w:lang w:val="es-ES" w:eastAsia="es-ES"/>
        </w:rPr>
        <w:drawing>
          <wp:anchor distT="0" distB="0" distL="114300" distR="114300" simplePos="0" relativeHeight="251658240" behindDoc="1" locked="0" layoutInCell="1" allowOverlap="1" wp14:anchorId="3E5519FD" wp14:editId="3D95B128">
            <wp:simplePos x="0" y="0"/>
            <wp:positionH relativeFrom="column">
              <wp:posOffset>3109595</wp:posOffset>
            </wp:positionH>
            <wp:positionV relativeFrom="paragraph">
              <wp:posOffset>56515</wp:posOffset>
            </wp:positionV>
            <wp:extent cx="2376805" cy="648335"/>
            <wp:effectExtent l="0" t="0" r="4445" b="0"/>
            <wp:wrapSquare wrapText="bothSides"/>
            <wp:docPr id="79931045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310454" name="Imagen 1" descr="Texto&#10;&#10;Descripción generada automáticament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76805" cy="648335"/>
                    </a:xfrm>
                    <a:prstGeom prst="rect">
                      <a:avLst/>
                    </a:prstGeom>
                  </pic:spPr>
                </pic:pic>
              </a:graphicData>
            </a:graphic>
            <wp14:sizeRelH relativeFrom="page">
              <wp14:pctWidth>0</wp14:pctWidth>
            </wp14:sizeRelH>
            <wp14:sizeRelV relativeFrom="page">
              <wp14:pctHeight>0</wp14:pctHeight>
            </wp14:sizeRelV>
          </wp:anchor>
        </w:drawing>
      </w:r>
      <w:bookmarkStart w:id="0" w:name="_Hlk143780582"/>
    </w:p>
    <w:p w14:paraId="165A5F33" w14:textId="50F3E9DA" w:rsidR="008D5774" w:rsidRPr="00073E6D" w:rsidRDefault="008D5774" w:rsidP="00073E6D">
      <w:pPr>
        <w:spacing w:after="0"/>
        <w:rPr>
          <w:rFonts w:ascii="Verdana" w:hAnsi="Verdana"/>
          <w:lang w:val="es-ES_tradnl"/>
        </w:rPr>
      </w:pPr>
      <w:r w:rsidRPr="00777292">
        <w:rPr>
          <w:rFonts w:ascii="Verdana" w:eastAsia="Calibri" w:hAnsi="Verdana" w:cs="Arial"/>
          <w:lang w:val="es-ES" w:eastAsia="es-ES"/>
        </w:rPr>
        <w:t>Señor</w:t>
      </w:r>
      <w:r w:rsidR="00F51D39">
        <w:rPr>
          <w:rFonts w:ascii="Verdana" w:eastAsia="Calibri" w:hAnsi="Verdana" w:cs="Arial"/>
          <w:lang w:val="es-ES" w:eastAsia="es-ES"/>
        </w:rPr>
        <w:t>a</w:t>
      </w:r>
    </w:p>
    <w:p w14:paraId="2402F1C9" w14:textId="5504C3DB" w:rsidR="008D5774" w:rsidRPr="006B694D" w:rsidRDefault="00F51D39" w:rsidP="008D5774">
      <w:pPr>
        <w:spacing w:after="0"/>
        <w:rPr>
          <w:rFonts w:ascii="Verdana" w:eastAsia="Calibri" w:hAnsi="Verdana" w:cs="Arial"/>
          <w:b/>
          <w:bCs/>
          <w:lang w:val="es-ES" w:eastAsia="es-ES"/>
        </w:rPr>
      </w:pPr>
      <w:r>
        <w:rPr>
          <w:rFonts w:ascii="Verdana" w:eastAsia="Calibri" w:hAnsi="Verdana" w:cs="Arial"/>
          <w:b/>
          <w:bCs/>
          <w:lang w:val="es-ES" w:eastAsia="es-ES"/>
        </w:rPr>
        <w:t>Yuly Andrea Ávila Parada</w:t>
      </w:r>
      <w:r w:rsidR="00073E6D" w:rsidRPr="00073E6D">
        <w:rPr>
          <w:noProof/>
        </w:rPr>
        <w:t xml:space="preserve"> </w:t>
      </w:r>
    </w:p>
    <w:p w14:paraId="161EFC6C" w14:textId="5696DC01" w:rsidR="008D5774" w:rsidRPr="006B694D" w:rsidRDefault="00F51D39" w:rsidP="008D5774">
      <w:pPr>
        <w:spacing w:after="0"/>
        <w:rPr>
          <w:rStyle w:val="Hipervnculo"/>
          <w:rFonts w:ascii="Verdana" w:hAnsi="Verdana"/>
          <w:color w:val="ED7D31" w:themeColor="accent2"/>
        </w:rPr>
      </w:pPr>
      <w:r>
        <w:rPr>
          <w:rFonts w:ascii="Verdana" w:hAnsi="Verdana"/>
        </w:rPr>
        <w:t>yavilaparada@gmail.com</w:t>
      </w:r>
    </w:p>
    <w:p w14:paraId="61203DA3" w14:textId="09E09D7D" w:rsidR="001B6C7C" w:rsidRPr="00777292" w:rsidRDefault="00F51D39" w:rsidP="001B6C7C">
      <w:pPr>
        <w:spacing w:after="0"/>
        <w:rPr>
          <w:rFonts w:ascii="Verdana" w:eastAsia="Calibri" w:hAnsi="Verdana" w:cs="Arial"/>
          <w:lang w:eastAsia="es-ES"/>
        </w:rPr>
      </w:pPr>
      <w:r>
        <w:rPr>
          <w:rFonts w:ascii="Verdana" w:eastAsia="Calibri" w:hAnsi="Verdana" w:cs="Arial"/>
          <w:lang w:eastAsia="es-ES"/>
        </w:rPr>
        <w:t>Tunja, Boyacá</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B6C7C" w:rsidRPr="00777292" w14:paraId="085D21A1" w14:textId="77777777">
        <w:trPr>
          <w:trHeight w:val="190"/>
        </w:trPr>
        <w:tc>
          <w:tcPr>
            <w:tcW w:w="2689" w:type="dxa"/>
          </w:tcPr>
          <w:p w14:paraId="2CE989D5" w14:textId="77777777" w:rsidR="001B6C7C" w:rsidRPr="00777292" w:rsidRDefault="001B6C7C">
            <w:pPr>
              <w:jc w:val="both"/>
              <w:rPr>
                <w:rFonts w:ascii="Verdana" w:eastAsia="Calibri" w:hAnsi="Verdana" w:cs="Arial"/>
                <w:b/>
                <w:bCs/>
                <w:lang w:eastAsia="es-ES_tradnl"/>
              </w:rPr>
            </w:pPr>
          </w:p>
        </w:tc>
        <w:tc>
          <w:tcPr>
            <w:tcW w:w="6100" w:type="dxa"/>
          </w:tcPr>
          <w:p w14:paraId="16596E46" w14:textId="4688C152" w:rsidR="001B6C7C" w:rsidRPr="00777292" w:rsidRDefault="001B6C7C">
            <w:pPr>
              <w:jc w:val="both"/>
              <w:rPr>
                <w:rFonts w:ascii="Verdana" w:eastAsia="Calibri" w:hAnsi="Verdana" w:cs="Arial"/>
                <w:b/>
                <w:bCs/>
                <w:lang w:eastAsia="es-ES"/>
              </w:rPr>
            </w:pPr>
            <w:r w:rsidRPr="00777292">
              <w:rPr>
                <w:rFonts w:ascii="Verdana" w:eastAsia="Calibri" w:hAnsi="Verdana" w:cs="Arial"/>
                <w:b/>
                <w:bCs/>
                <w:lang w:eastAsia="es-ES"/>
              </w:rPr>
              <w:t>Concepto C-</w:t>
            </w:r>
            <w:r w:rsidR="006B694D">
              <w:rPr>
                <w:rFonts w:ascii="Verdana" w:eastAsia="Calibri" w:hAnsi="Verdana" w:cs="Arial"/>
                <w:b/>
                <w:bCs/>
                <w:lang w:eastAsia="es-ES"/>
              </w:rPr>
              <w:t>5</w:t>
            </w:r>
            <w:r w:rsidR="00F51D39">
              <w:rPr>
                <w:rFonts w:ascii="Verdana" w:eastAsia="Calibri" w:hAnsi="Verdana" w:cs="Arial"/>
                <w:b/>
                <w:bCs/>
                <w:lang w:eastAsia="es-ES"/>
              </w:rPr>
              <w:t>87</w:t>
            </w:r>
            <w:r w:rsidRPr="00777292">
              <w:rPr>
                <w:rFonts w:ascii="Verdana" w:eastAsia="Calibri" w:hAnsi="Verdana" w:cs="Arial"/>
                <w:b/>
                <w:bCs/>
                <w:lang w:eastAsia="es-ES"/>
              </w:rPr>
              <w:t xml:space="preserve"> de 2026</w:t>
            </w:r>
          </w:p>
          <w:p w14:paraId="7FE82840" w14:textId="77777777" w:rsidR="001B6C7C" w:rsidRPr="00777292" w:rsidRDefault="001B6C7C">
            <w:pPr>
              <w:jc w:val="both"/>
              <w:rPr>
                <w:rFonts w:ascii="Verdana" w:eastAsia="Calibri" w:hAnsi="Verdana" w:cs="Arial"/>
                <w:b/>
                <w:bCs/>
                <w:lang w:eastAsia="es-ES"/>
              </w:rPr>
            </w:pPr>
          </w:p>
        </w:tc>
      </w:tr>
      <w:tr w:rsidR="00D37910" w:rsidRPr="00777292" w14:paraId="63A5AB9D" w14:textId="77777777">
        <w:trPr>
          <w:trHeight w:val="884"/>
        </w:trPr>
        <w:tc>
          <w:tcPr>
            <w:tcW w:w="2689" w:type="dxa"/>
          </w:tcPr>
          <w:p w14:paraId="77DFD30F" w14:textId="77777777" w:rsidR="00D37910" w:rsidRPr="00777292" w:rsidRDefault="00D37910" w:rsidP="00D37910">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51352886" w14:textId="77777777" w:rsidR="00D37910" w:rsidRDefault="00D37910" w:rsidP="00D37910">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No acumulabilidad ‒ Acreditación simultánea de condiciones ‒ Modalidades de selección aplicables</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Vinculación de personas con discapacidad ‒ Planillas de seguridad social ‒ Período de tres meses ‒ Vinculaciones recientes</w:t>
            </w:r>
            <w:r>
              <w:rPr>
                <w:rFonts w:ascii="Verdana" w:eastAsia="Calibri" w:hAnsi="Verdana" w:cs="Arial"/>
                <w:lang w:eastAsia="es-ES"/>
              </w:rPr>
              <w:t xml:space="preserve"> / </w:t>
            </w:r>
            <w:r w:rsidRPr="00777292">
              <w:rPr>
                <w:rFonts w:ascii="Verdana" w:eastAsia="Calibri" w:hAnsi="Verdana" w:cs="Arial"/>
                <w:lang w:eastAsia="es-ES"/>
              </w:rPr>
              <w:t>DECRETO 0287 DE 2026 ‒ Criterios habilitantes diferenciales ‒ Ajustados ‒ Obligatoriedad ‒ Proporcionalidad ‒ Proponentes plurales ‒ Consorcios y uniones temporales</w:t>
            </w:r>
            <w:r>
              <w:rPr>
                <w:rFonts w:ascii="Verdana" w:eastAsia="Calibri" w:hAnsi="Verdana" w:cs="Arial"/>
                <w:lang w:eastAsia="es-ES"/>
              </w:rPr>
              <w:t xml:space="preserve"> / </w:t>
            </w:r>
            <w:r w:rsidRPr="00777292">
              <w:rPr>
                <w:rFonts w:ascii="Verdana" w:eastAsia="Calibri" w:hAnsi="Verdana" w:cs="Arial"/>
                <w:lang w:eastAsia="es-ES"/>
              </w:rPr>
              <w:t>DECRETO 0287 DE 2026 ‒ Condiciones especiales de ejecución ‒ Subcontratación inclusiva ‒ Integración del equipo de trabajo ‒ Obligatoriedad ‒ Justificación de omisión</w:t>
            </w:r>
            <w:r>
              <w:rPr>
                <w:rFonts w:ascii="Verdana" w:eastAsia="Calibri" w:hAnsi="Verdana" w:cs="Arial"/>
                <w:lang w:eastAsia="es-ES"/>
              </w:rPr>
              <w:t xml:space="preserve"> / </w:t>
            </w:r>
            <w:r w:rsidRPr="00777292">
              <w:rPr>
                <w:rFonts w:ascii="Verdana" w:eastAsia="Calibri" w:hAnsi="Verdana" w:cs="Arial"/>
                <w:lang w:eastAsia="es-ES"/>
              </w:rPr>
              <w:t>DECRETO 0287 DE 2026 ‒ Documentos tipo ‒ Principio de inalterabilidad ‒ Régimen de transición ‒ Actualización ‒ Colombia Compra Eficiente</w:t>
            </w:r>
            <w:r>
              <w:rPr>
                <w:rFonts w:ascii="Verdana" w:eastAsia="Calibri" w:hAnsi="Verdana" w:cs="Arial"/>
                <w:lang w:eastAsia="es-ES"/>
              </w:rPr>
              <w:t xml:space="preserve"> / </w:t>
            </w:r>
            <w:r w:rsidRPr="00777292">
              <w:rPr>
                <w:rFonts w:ascii="Verdana" w:eastAsia="Calibri" w:hAnsi="Verdana" w:cs="Arial"/>
                <w:lang w:eastAsia="es-ES"/>
              </w:rPr>
              <w:t>DECRETO 0287 DE 2026 ‒ Contratos de prestación de servicios ‒ personas con discapacidad ‒ Carácter potestativo ‒ Contratación directa</w:t>
            </w:r>
            <w:r>
              <w:rPr>
                <w:rFonts w:ascii="Verdana" w:eastAsia="Calibri" w:hAnsi="Verdana" w:cs="Arial"/>
                <w:lang w:eastAsia="es-ES"/>
              </w:rPr>
              <w:t xml:space="preserve"> / </w:t>
            </w:r>
            <w:r w:rsidRPr="00777292">
              <w:rPr>
                <w:rFonts w:ascii="Verdana" w:eastAsia="Calibri" w:hAnsi="Verdana" w:cs="Arial"/>
                <w:lang w:eastAsia="es-ES"/>
              </w:rPr>
              <w:t>DECRETO 0287 DE 2026 ‒ Puntaje adicional del 2% ‒ Compatibilidad ‒ Incentivos MiPymes ‒ Empresas de mujeres ‒ Criterio de desempate ‒ Ley 2069 de 2020</w:t>
            </w:r>
            <w:r>
              <w:rPr>
                <w:rFonts w:ascii="Verdana" w:eastAsia="Calibri" w:hAnsi="Verdana" w:cs="Arial"/>
                <w:lang w:eastAsia="es-ES"/>
              </w:rPr>
              <w:t xml:space="preserve"> / </w:t>
            </w:r>
            <w:r w:rsidRPr="00777292">
              <w:rPr>
                <w:rFonts w:ascii="Verdana" w:eastAsia="Calibri" w:hAnsi="Verdana" w:cs="Arial"/>
                <w:lang w:eastAsia="es-ES"/>
              </w:rPr>
              <w:t xml:space="preserve">DECRETO 0287 DE 2026 ‒ Compras públicas accesibles ‒ Obligación transversal ‒ Ausencia de normas técnicas ‒ Ficha </w:t>
            </w:r>
            <w:r w:rsidRPr="00777292">
              <w:rPr>
                <w:rFonts w:ascii="Verdana" w:eastAsia="Calibri" w:hAnsi="Verdana" w:cs="Arial"/>
                <w:lang w:eastAsia="es-ES"/>
              </w:rPr>
              <w:lastRenderedPageBreak/>
              <w:t>técnica de accesibilidad ‒ Categorías de discapacidad</w:t>
            </w:r>
            <w:r>
              <w:rPr>
                <w:rFonts w:ascii="Verdana" w:eastAsia="Calibri" w:hAnsi="Verdana" w:cs="Arial"/>
                <w:lang w:eastAsia="es-ES"/>
              </w:rPr>
              <w:t xml:space="preserve"> /</w:t>
            </w:r>
            <w:r>
              <w:t xml:space="preserve"> </w:t>
            </w:r>
            <w:r w:rsidRPr="00777292">
              <w:rPr>
                <w:rFonts w:ascii="Verdana" w:eastAsia="Calibri" w:hAnsi="Verdana" w:cs="Arial"/>
                <w:lang w:eastAsia="es-ES"/>
              </w:rPr>
              <w:t>DECRETO 0287 DE 2026 ‒ Ejecución contractual ‒ Permanencia de condiciones ‒ Reducción de personas con discapacidad vinculadas ‒ Incumplimiento contractual</w:t>
            </w:r>
            <w:r>
              <w:rPr>
                <w:rFonts w:ascii="Verdana" w:eastAsia="Calibri" w:hAnsi="Verdana" w:cs="Arial"/>
                <w:lang w:eastAsia="es-ES"/>
              </w:rPr>
              <w:t xml:space="preserve"> / </w:t>
            </w:r>
            <w:r w:rsidRPr="00777292">
              <w:rPr>
                <w:rFonts w:ascii="Verdana" w:eastAsia="Calibri" w:hAnsi="Verdana" w:cs="Arial"/>
                <w:lang w:eastAsia="es-ES"/>
              </w:rPr>
              <w:t>DECRETO 0287 DE 2026 ‒ Entidades de régimen especial ‒ Aplicación</w:t>
            </w:r>
            <w:r>
              <w:rPr>
                <w:rFonts w:ascii="Verdana" w:eastAsia="Calibri" w:hAnsi="Verdana" w:cs="Arial"/>
                <w:lang w:eastAsia="es-ES"/>
              </w:rPr>
              <w:t xml:space="preserve"> / </w:t>
            </w:r>
            <w:r w:rsidRPr="00777292">
              <w:rPr>
                <w:rFonts w:ascii="Verdana" w:eastAsia="Calibri" w:hAnsi="Verdana" w:cs="Arial"/>
                <w:lang w:eastAsia="es-ES"/>
              </w:rPr>
              <w:t>DECRETO 0287 DE 2026 ‒ Vigencia ‒ Derogatoria ‒ Decreto 392 de 2018 ‒ Régimen de transición ‒ Resolución de apertura</w:t>
            </w:r>
          </w:p>
          <w:p w14:paraId="34C0CDD8" w14:textId="23F321FB" w:rsidR="00073E6D" w:rsidRPr="00777292" w:rsidRDefault="00073E6D" w:rsidP="00D37910">
            <w:pPr>
              <w:contextualSpacing/>
              <w:jc w:val="both"/>
              <w:rPr>
                <w:rFonts w:ascii="Verdana" w:eastAsia="Calibri" w:hAnsi="Verdana" w:cs="Arial"/>
                <w:lang w:eastAsia="es-ES"/>
              </w:rPr>
            </w:pPr>
          </w:p>
        </w:tc>
      </w:tr>
      <w:tr w:rsidR="00D37910" w:rsidRPr="00777292" w14:paraId="18649ABC" w14:textId="77777777">
        <w:tc>
          <w:tcPr>
            <w:tcW w:w="2689" w:type="dxa"/>
          </w:tcPr>
          <w:p w14:paraId="65B57F33" w14:textId="77777777" w:rsidR="00D37910" w:rsidRPr="00777292" w:rsidRDefault="00D37910" w:rsidP="00D37910">
            <w:pPr>
              <w:jc w:val="both"/>
              <w:rPr>
                <w:rFonts w:ascii="Verdana" w:eastAsia="Calibri" w:hAnsi="Verdana" w:cs="Arial"/>
                <w:b/>
                <w:lang w:eastAsia="es-ES_tradnl"/>
              </w:rPr>
            </w:pPr>
            <w:r w:rsidRPr="00777292">
              <w:rPr>
                <w:rFonts w:ascii="Verdana" w:eastAsia="Calibri" w:hAnsi="Verdana" w:cs="Arial"/>
                <w:b/>
                <w:lang w:eastAsia="es-ES_tradnl"/>
              </w:rPr>
              <w:lastRenderedPageBreak/>
              <w:t>Radicación:</w:t>
            </w:r>
            <w:r w:rsidRPr="00777292">
              <w:rPr>
                <w:rFonts w:ascii="Verdana" w:eastAsia="Calibri" w:hAnsi="Verdana" w:cs="Arial"/>
                <w:lang w:eastAsia="es-ES_tradnl"/>
              </w:rPr>
              <w:t xml:space="preserve">               </w:t>
            </w:r>
          </w:p>
        </w:tc>
        <w:tc>
          <w:tcPr>
            <w:tcW w:w="6100" w:type="dxa"/>
          </w:tcPr>
          <w:p w14:paraId="7EDDA735" w14:textId="212AE387" w:rsidR="00D37910" w:rsidRPr="00777292" w:rsidRDefault="00D37910" w:rsidP="00D37910">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Pr="00F51D39">
              <w:rPr>
                <w:rFonts w:ascii="Verdana" w:hAnsi="Verdana" w:cs="Segoe UI"/>
                <w:color w:val="2B2B2B"/>
                <w:shd w:val="clear" w:color="auto" w:fill="FFFFFF"/>
              </w:rPr>
              <w:t>1_2026_04_10_004894</w:t>
            </w:r>
          </w:p>
        </w:tc>
      </w:tr>
    </w:tbl>
    <w:p w14:paraId="7B20ECE9" w14:textId="21F5D4C2" w:rsidR="008D5774" w:rsidRPr="00206556" w:rsidRDefault="008D5774" w:rsidP="008D5774">
      <w:pPr>
        <w:spacing w:after="0" w:line="276" w:lineRule="auto"/>
        <w:jc w:val="both"/>
        <w:rPr>
          <w:rFonts w:ascii="Verdana" w:eastAsia="Calibri" w:hAnsi="Verdana" w:cs="Arial"/>
          <w:color w:val="ED7D31" w:themeColor="accent2"/>
          <w:lang w:val="es-ES" w:eastAsia="es-ES"/>
        </w:rPr>
      </w:pPr>
    </w:p>
    <w:p w14:paraId="392D9012" w14:textId="1736F3BA" w:rsidR="008D5774" w:rsidRPr="00206556" w:rsidRDefault="008D5774" w:rsidP="008D5774">
      <w:pPr>
        <w:spacing w:after="0" w:line="276" w:lineRule="auto"/>
        <w:jc w:val="both"/>
        <w:rPr>
          <w:rFonts w:ascii="Verdana" w:eastAsia="Calibri" w:hAnsi="Verdana" w:cs="Arial"/>
          <w:lang w:val="es-ES" w:eastAsia="es-ES"/>
        </w:rPr>
      </w:pPr>
      <w:r w:rsidRPr="006B694D">
        <w:rPr>
          <w:rFonts w:ascii="Verdana" w:eastAsia="Calibri" w:hAnsi="Verdana" w:cs="Arial"/>
          <w:lang w:val="es-ES" w:eastAsia="es-ES"/>
        </w:rPr>
        <w:t>Estimad</w:t>
      </w:r>
      <w:r w:rsidR="00C622DE" w:rsidRPr="006B694D">
        <w:rPr>
          <w:rFonts w:ascii="Verdana" w:eastAsia="Calibri" w:hAnsi="Verdana" w:cs="Arial"/>
          <w:lang w:val="es-ES" w:eastAsia="es-ES"/>
        </w:rPr>
        <w:t>o</w:t>
      </w:r>
      <w:r w:rsidRPr="006B694D">
        <w:rPr>
          <w:rFonts w:ascii="Verdana" w:eastAsia="Calibri" w:hAnsi="Verdana" w:cs="Arial"/>
          <w:lang w:val="es-ES" w:eastAsia="es-ES"/>
        </w:rPr>
        <w:t xml:space="preserve"> </w:t>
      </w:r>
      <w:r w:rsidR="00F51D39">
        <w:rPr>
          <w:rFonts w:ascii="Verdana" w:eastAsia="Calibri" w:hAnsi="Verdana" w:cs="Arial"/>
          <w:lang w:val="es-ES" w:eastAsia="es-ES"/>
        </w:rPr>
        <w:t>señora</w:t>
      </w:r>
      <w:r w:rsidR="006B694D" w:rsidRPr="006B694D">
        <w:rPr>
          <w:rFonts w:ascii="Verdana" w:eastAsia="Calibri" w:hAnsi="Verdana" w:cs="Arial"/>
          <w:lang w:val="es-ES" w:eastAsia="es-ES"/>
        </w:rPr>
        <w:t xml:space="preserve"> </w:t>
      </w:r>
      <w:r w:rsidR="00F51D39">
        <w:rPr>
          <w:rFonts w:ascii="Verdana" w:eastAsia="Calibri" w:hAnsi="Verdana" w:cs="Arial"/>
          <w:lang w:val="es-ES" w:eastAsia="es-ES"/>
        </w:rPr>
        <w:t>Ávila</w:t>
      </w:r>
      <w:r w:rsidRPr="006B694D">
        <w:rPr>
          <w:rFonts w:ascii="Verdana" w:eastAsia="Calibri" w:hAnsi="Verdana" w:cs="Arial"/>
          <w:lang w:val="es-ES" w:eastAsia="es-ES"/>
        </w:rPr>
        <w:t>,</w:t>
      </w:r>
    </w:p>
    <w:p w14:paraId="23FCCBE5" w14:textId="77777777" w:rsidR="008D5774" w:rsidRPr="00206556" w:rsidRDefault="008D5774" w:rsidP="008D5774">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3426E35D" w14:textId="62951C8D" w:rsidR="008D5774" w:rsidRPr="00206556" w:rsidRDefault="008D5774" w:rsidP="008D5774">
      <w:pPr>
        <w:spacing w:after="0" w:line="276" w:lineRule="auto"/>
        <w:jc w:val="both"/>
        <w:rPr>
          <w:rFonts w:ascii="Verdana" w:eastAsia="Calibri" w:hAnsi="Verdana" w:cs="Arial"/>
          <w:lang w:val="es-ES" w:eastAsia="es-ES"/>
        </w:rPr>
      </w:pPr>
      <w:r w:rsidRPr="006B694D">
        <w:rPr>
          <w:rFonts w:ascii="Verdana" w:eastAsia="Calibri" w:hAnsi="Verdana" w:cs="Arial"/>
          <w:lang w:val="es-ES" w:eastAsia="es-ES"/>
        </w:rPr>
        <w:t>En ejercicio de la competencia otorgada por los artículos 3, numeral 5º, y 11, numeral 8º, del Decreto Ley 4170 de 2011,</w:t>
      </w:r>
      <w:r w:rsidRPr="006B694D">
        <w:rPr>
          <w:rFonts w:ascii="Verdana" w:eastAsia="Arial MT" w:hAnsi="Verdana" w:cs="Arial MT"/>
          <w:lang w:val="es-ES" w:eastAsia="es-ES"/>
        </w:rPr>
        <w:t xml:space="preserve"> </w:t>
      </w:r>
      <w:r w:rsidRPr="006B694D">
        <w:rPr>
          <w:rFonts w:ascii="Verdana" w:hAnsi="Verdana" w:cs="Arial"/>
          <w:lang w:val="es-ES"/>
        </w:rPr>
        <w:t xml:space="preserve">así como lo establecido en </w:t>
      </w:r>
      <w:r w:rsidR="00995967" w:rsidRPr="006B694D">
        <w:rPr>
          <w:rFonts w:ascii="Verdana" w:hAnsi="Verdana" w:cs="Arial"/>
          <w:lang w:val="es-ES"/>
        </w:rPr>
        <w:t xml:space="preserve">la Resolución 469 de 2025 </w:t>
      </w:r>
      <w:r w:rsidRPr="006B694D">
        <w:rPr>
          <w:rFonts w:ascii="Verdana" w:hAnsi="Verdana" w:cs="Arial"/>
          <w:lang w:val="es-ES"/>
        </w:rPr>
        <w:t xml:space="preserve">expedida por esta Entidad, </w:t>
      </w:r>
      <w:r w:rsidRPr="006B694D">
        <w:rPr>
          <w:rFonts w:ascii="Verdana" w:eastAsia="Calibri" w:hAnsi="Verdana" w:cs="Arial"/>
          <w:lang w:val="es-ES" w:eastAsia="es-ES"/>
        </w:rPr>
        <w:t xml:space="preserve">la Agencia Nacional de Contratación Pública – Colombia Compra Eficiente– responde su solicitud de consulta de fecha </w:t>
      </w:r>
      <w:r w:rsidR="00F51D39">
        <w:rPr>
          <w:rFonts w:ascii="Verdana" w:eastAsia="Calibri" w:hAnsi="Verdana" w:cs="Arial"/>
          <w:lang w:val="es-ES" w:eastAsia="es-ES"/>
        </w:rPr>
        <w:t>10</w:t>
      </w:r>
      <w:r w:rsidRPr="006B694D">
        <w:rPr>
          <w:rFonts w:ascii="Verdana" w:eastAsia="Calibri" w:hAnsi="Verdana" w:cs="Arial"/>
          <w:lang w:val="es-ES" w:eastAsia="es-ES"/>
        </w:rPr>
        <w:t xml:space="preserve"> de </w:t>
      </w:r>
      <w:r w:rsidR="00F51D39">
        <w:rPr>
          <w:rFonts w:ascii="Verdana" w:eastAsia="Calibri" w:hAnsi="Verdana" w:cs="Arial"/>
          <w:lang w:val="es-ES" w:eastAsia="es-ES"/>
        </w:rPr>
        <w:t>abril</w:t>
      </w:r>
      <w:r w:rsidRPr="006B694D">
        <w:rPr>
          <w:rFonts w:ascii="Verdana" w:eastAsia="Calibri" w:hAnsi="Verdana" w:cs="Arial"/>
          <w:lang w:val="es-ES" w:eastAsia="es-ES"/>
        </w:rPr>
        <w:t xml:space="preserve"> de 202</w:t>
      </w:r>
      <w:r w:rsidR="0006693F" w:rsidRPr="006B694D">
        <w:rPr>
          <w:rFonts w:ascii="Verdana" w:eastAsia="Calibri" w:hAnsi="Verdana" w:cs="Arial"/>
          <w:lang w:val="es-ES" w:eastAsia="es-ES"/>
        </w:rPr>
        <w:t>6</w:t>
      </w:r>
      <w:r w:rsidRPr="006B694D">
        <w:rPr>
          <w:rFonts w:ascii="Verdana" w:eastAsia="Calibri" w:hAnsi="Verdana" w:cs="Arial"/>
          <w:lang w:val="es-ES" w:eastAsia="es-ES"/>
        </w:rPr>
        <w:t>, en la cual manifiesta lo siguiente</w:t>
      </w:r>
      <w:r w:rsidRPr="00206556">
        <w:rPr>
          <w:rFonts w:ascii="Verdana" w:eastAsia="Calibri" w:hAnsi="Verdana" w:cs="Arial"/>
          <w:lang w:val="es-ES" w:eastAsia="es-ES"/>
        </w:rPr>
        <w:t xml:space="preserve">: </w:t>
      </w:r>
    </w:p>
    <w:p w14:paraId="64073759" w14:textId="0A86B783" w:rsidR="009948E7" w:rsidRDefault="009948E7" w:rsidP="00346FE0">
      <w:pPr>
        <w:spacing w:before="120" w:after="120" w:line="240" w:lineRule="auto"/>
        <w:ind w:right="709"/>
        <w:contextualSpacing/>
        <w:jc w:val="both"/>
        <w:rPr>
          <w:rFonts w:ascii="Verdana" w:eastAsia="Century Gothic" w:hAnsi="Verdana" w:cs="Century Gothic"/>
          <w:i/>
          <w:iCs/>
          <w:sz w:val="20"/>
          <w:szCs w:val="20"/>
          <w:lang w:val="es-ES"/>
        </w:rPr>
      </w:pPr>
    </w:p>
    <w:p w14:paraId="396CD0F1" w14:textId="13C44914" w:rsidR="00F51D39" w:rsidRPr="00073E6D" w:rsidRDefault="00F51D39" w:rsidP="00073E6D">
      <w:pPr>
        <w:spacing w:before="120" w:after="120" w:line="240" w:lineRule="auto"/>
        <w:ind w:left="709" w:right="709"/>
        <w:contextualSpacing/>
        <w:jc w:val="both"/>
        <w:rPr>
          <w:rFonts w:ascii="Verdana" w:eastAsia="Century Gothic" w:hAnsi="Verdana" w:cs="Century Gothic"/>
          <w:sz w:val="20"/>
          <w:szCs w:val="20"/>
        </w:rPr>
      </w:pPr>
      <w:r w:rsidRPr="00073E6D">
        <w:rPr>
          <w:rFonts w:ascii="Verdana" w:eastAsia="Century Gothic" w:hAnsi="Verdana" w:cs="Century Gothic"/>
          <w:sz w:val="20"/>
          <w:szCs w:val="20"/>
        </w:rPr>
        <w:t>En atención a la expedición del Decreto 287 del 19 de marzo de 2026, mediante el cual se</w:t>
      </w:r>
      <w:r w:rsidR="00073E6D" w:rsidRPr="00073E6D">
        <w:rPr>
          <w:rFonts w:ascii="Verdana" w:eastAsia="Century Gothic" w:hAnsi="Verdana" w:cs="Century Gothic"/>
          <w:sz w:val="20"/>
          <w:szCs w:val="20"/>
        </w:rPr>
        <w:t xml:space="preserve"> </w:t>
      </w:r>
      <w:r w:rsidRPr="00073E6D">
        <w:rPr>
          <w:rFonts w:ascii="Verdana" w:eastAsia="Century Gothic" w:hAnsi="Verdana" w:cs="Century Gothic"/>
          <w:sz w:val="20"/>
          <w:szCs w:val="20"/>
        </w:rPr>
        <w:t>introducen medidas orientadas a promover la inclusión de personas con discapacidad en el sistema de compras públicas y se modifican disposiciones del Decreto 1082 de 2015, respetuosamente me permito elevar la presente consulta con el propósito de contar con lineamientos claros sobre su alcance, aplicación e implementación dentro del marco</w:t>
      </w:r>
      <w:r w:rsidR="00073E6D" w:rsidRPr="00073E6D">
        <w:rPr>
          <w:rFonts w:ascii="Verdana" w:eastAsia="Century Gothic" w:hAnsi="Verdana" w:cs="Century Gothic"/>
          <w:sz w:val="20"/>
          <w:szCs w:val="20"/>
        </w:rPr>
        <w:t xml:space="preserve"> </w:t>
      </w:r>
      <w:r w:rsidRPr="00073E6D">
        <w:rPr>
          <w:rFonts w:ascii="Verdana" w:eastAsia="Century Gothic" w:hAnsi="Verdana" w:cs="Century Gothic"/>
          <w:sz w:val="20"/>
          <w:szCs w:val="20"/>
        </w:rPr>
        <w:t>normativo vigente de la contratación estatal.</w:t>
      </w:r>
    </w:p>
    <w:p w14:paraId="32C676A0" w14:textId="77777777" w:rsidR="00073E6D" w:rsidRPr="00073E6D" w:rsidRDefault="00073E6D" w:rsidP="00F51D39">
      <w:pPr>
        <w:spacing w:before="120" w:after="120" w:line="240" w:lineRule="auto"/>
        <w:ind w:left="709" w:right="709"/>
        <w:contextualSpacing/>
        <w:jc w:val="both"/>
        <w:rPr>
          <w:rFonts w:ascii="Verdana" w:eastAsia="Century Gothic" w:hAnsi="Verdana" w:cs="Century Gothic"/>
          <w:sz w:val="20"/>
          <w:szCs w:val="20"/>
        </w:rPr>
      </w:pPr>
    </w:p>
    <w:p w14:paraId="2D2BDE74" w14:textId="661E483F" w:rsidR="00F51D39" w:rsidRPr="00073E6D" w:rsidRDefault="00F51D39" w:rsidP="00F51D39">
      <w:pPr>
        <w:spacing w:before="120" w:after="120" w:line="240" w:lineRule="auto"/>
        <w:ind w:left="709" w:right="709"/>
        <w:contextualSpacing/>
        <w:jc w:val="both"/>
        <w:rPr>
          <w:rFonts w:ascii="Verdana" w:eastAsia="Century Gothic" w:hAnsi="Verdana" w:cs="Century Gothic"/>
          <w:sz w:val="20"/>
          <w:szCs w:val="20"/>
        </w:rPr>
      </w:pPr>
      <w:r w:rsidRPr="00073E6D">
        <w:rPr>
          <w:rFonts w:ascii="Verdana" w:eastAsia="Century Gothic" w:hAnsi="Verdana" w:cs="Century Gothic"/>
          <w:sz w:val="20"/>
          <w:szCs w:val="20"/>
        </w:rPr>
        <w:t>En este sentido, resulta necesario precisar el alcance de su vigencia y aplicabilidad, particularmente frente a los procesos de contratación en curso que no han cerrado la etapa de presentación de ofertas, así como determinar la naturaleza de las medidas previstas en dicha norma en especial aquellas relacionadas con criterios de desempate, puntajes</w:t>
      </w:r>
    </w:p>
    <w:p w14:paraId="7C7315F5" w14:textId="6C344F44" w:rsidR="00073E6D" w:rsidRPr="00073E6D" w:rsidRDefault="00F51D39" w:rsidP="00073E6D">
      <w:pPr>
        <w:spacing w:before="120" w:after="120" w:line="240" w:lineRule="auto"/>
        <w:ind w:left="709" w:right="709"/>
        <w:contextualSpacing/>
        <w:jc w:val="both"/>
        <w:rPr>
          <w:rFonts w:ascii="Verdana" w:eastAsia="Century Gothic" w:hAnsi="Verdana" w:cs="Century Gothic"/>
          <w:sz w:val="20"/>
          <w:szCs w:val="20"/>
        </w:rPr>
      </w:pPr>
      <w:r w:rsidRPr="00073E6D">
        <w:rPr>
          <w:rFonts w:ascii="Verdana" w:eastAsia="Century Gothic" w:hAnsi="Verdana" w:cs="Century Gothic"/>
          <w:sz w:val="20"/>
          <w:szCs w:val="20"/>
        </w:rPr>
        <w:t>adicionales y ajustes razonables y si estas son de aplicación directa o requieren desarrollo adicional para su operatividad.</w:t>
      </w:r>
    </w:p>
    <w:p w14:paraId="671B78B8" w14:textId="77777777" w:rsidR="00073E6D" w:rsidRPr="00073E6D" w:rsidRDefault="00073E6D" w:rsidP="00073E6D">
      <w:pPr>
        <w:spacing w:before="120" w:after="120" w:line="240" w:lineRule="auto"/>
        <w:ind w:left="709" w:right="709"/>
        <w:contextualSpacing/>
        <w:jc w:val="both"/>
        <w:rPr>
          <w:rFonts w:ascii="Verdana" w:eastAsia="Century Gothic" w:hAnsi="Verdana" w:cs="Century Gothic"/>
          <w:sz w:val="20"/>
          <w:szCs w:val="20"/>
        </w:rPr>
      </w:pPr>
    </w:p>
    <w:p w14:paraId="35A67BD9" w14:textId="77777777" w:rsidR="00073E6D" w:rsidRDefault="00F51D39" w:rsidP="00073E6D">
      <w:pPr>
        <w:spacing w:before="120" w:after="120" w:line="240" w:lineRule="auto"/>
        <w:ind w:left="709" w:right="709"/>
        <w:contextualSpacing/>
        <w:jc w:val="both"/>
        <w:rPr>
          <w:rFonts w:ascii="Verdana" w:eastAsia="Century Gothic" w:hAnsi="Verdana" w:cs="Century Gothic"/>
          <w:sz w:val="20"/>
          <w:szCs w:val="20"/>
        </w:rPr>
      </w:pPr>
      <w:r w:rsidRPr="00073E6D">
        <w:rPr>
          <w:rFonts w:ascii="Verdana" w:eastAsia="Century Gothic" w:hAnsi="Verdana" w:cs="Century Gothic"/>
          <w:sz w:val="20"/>
          <w:szCs w:val="20"/>
        </w:rPr>
        <w:t>De igual forma, se requiere claridad respecto a la forma en que debe darse su articulación con los documentos tipo vigentes, específicamente en lo relacionado con la jerarquía normativa aplicable en caso de presentarse tensiones entre una norma reglamentaria</w:t>
      </w:r>
      <w:r w:rsidR="00073E6D" w:rsidRPr="00073E6D">
        <w:rPr>
          <w:rFonts w:ascii="Verdana" w:eastAsia="Century Gothic" w:hAnsi="Verdana" w:cs="Century Gothic"/>
          <w:sz w:val="20"/>
          <w:szCs w:val="20"/>
        </w:rPr>
        <w:t xml:space="preserve"> </w:t>
      </w:r>
      <w:r w:rsidRPr="00073E6D">
        <w:rPr>
          <w:rFonts w:ascii="Verdana" w:eastAsia="Century Gothic" w:hAnsi="Verdana" w:cs="Century Gothic"/>
          <w:sz w:val="20"/>
          <w:szCs w:val="20"/>
        </w:rPr>
        <w:t xml:space="preserve">posterior y dichos instrumentos, así como el alcance de la obligatoriedad de los documentos tipo frente a </w:t>
      </w:r>
    </w:p>
    <w:p w14:paraId="01FEE979" w14:textId="77777777" w:rsidR="00073E6D" w:rsidRDefault="00073E6D" w:rsidP="00073E6D">
      <w:pPr>
        <w:spacing w:before="120" w:after="120" w:line="240" w:lineRule="auto"/>
        <w:ind w:left="709" w:right="709"/>
        <w:contextualSpacing/>
        <w:jc w:val="both"/>
        <w:rPr>
          <w:rFonts w:ascii="Verdana" w:eastAsia="Century Gothic" w:hAnsi="Verdana" w:cs="Century Gothic"/>
          <w:sz w:val="20"/>
          <w:szCs w:val="20"/>
        </w:rPr>
      </w:pPr>
    </w:p>
    <w:p w14:paraId="758046C1" w14:textId="4EE9FF95" w:rsidR="00F51D39" w:rsidRPr="00073E6D" w:rsidRDefault="00F51D39" w:rsidP="00073E6D">
      <w:pPr>
        <w:spacing w:before="120" w:after="120" w:line="240" w:lineRule="auto"/>
        <w:ind w:left="709" w:right="709"/>
        <w:contextualSpacing/>
        <w:jc w:val="both"/>
        <w:rPr>
          <w:rFonts w:ascii="Verdana" w:eastAsia="Century Gothic" w:hAnsi="Verdana" w:cs="Century Gothic"/>
          <w:sz w:val="20"/>
          <w:szCs w:val="20"/>
        </w:rPr>
      </w:pPr>
      <w:r w:rsidRPr="00073E6D">
        <w:rPr>
          <w:rFonts w:ascii="Verdana" w:eastAsia="Century Gothic" w:hAnsi="Verdana" w:cs="Century Gothic"/>
          <w:sz w:val="20"/>
          <w:szCs w:val="20"/>
        </w:rPr>
        <w:lastRenderedPageBreak/>
        <w:t>la incorporación de nuevas disposiciones normativas. En esa misma línea, se</w:t>
      </w:r>
      <w:r w:rsidR="00073E6D" w:rsidRPr="00073E6D">
        <w:rPr>
          <w:rFonts w:ascii="Verdana" w:eastAsia="Century Gothic" w:hAnsi="Verdana" w:cs="Century Gothic"/>
          <w:sz w:val="20"/>
          <w:szCs w:val="20"/>
        </w:rPr>
        <w:t xml:space="preserve"> </w:t>
      </w:r>
      <w:r w:rsidRPr="00073E6D">
        <w:rPr>
          <w:rFonts w:ascii="Verdana" w:eastAsia="Century Gothic" w:hAnsi="Verdana" w:cs="Century Gothic"/>
          <w:sz w:val="20"/>
          <w:szCs w:val="20"/>
        </w:rPr>
        <w:t>hace necesario establecer si las Entidades Estatales cuentan con facultades para ajustar los pliegos de condiciones mediante adendas, con el fin de incorporar las medidas previstas en</w:t>
      </w:r>
      <w:r w:rsidR="00073E6D" w:rsidRPr="00073E6D">
        <w:rPr>
          <w:rFonts w:ascii="Verdana" w:eastAsia="Century Gothic" w:hAnsi="Verdana" w:cs="Century Gothic"/>
          <w:sz w:val="20"/>
          <w:szCs w:val="20"/>
        </w:rPr>
        <w:t xml:space="preserve"> </w:t>
      </w:r>
      <w:r w:rsidRPr="00073E6D">
        <w:rPr>
          <w:rFonts w:ascii="Verdana" w:eastAsia="Century Gothic" w:hAnsi="Verdana" w:cs="Century Gothic"/>
          <w:sz w:val="20"/>
          <w:szCs w:val="20"/>
        </w:rPr>
        <w:t>el Decreto, aun tratándose de procesos sometidos a documentos tipo, o si dicha obligatoriedad limita de manera absoluta cualquier posibilidad de adecuación.</w:t>
      </w:r>
    </w:p>
    <w:p w14:paraId="1C10CF3F" w14:textId="77777777" w:rsidR="00073E6D" w:rsidRPr="00073E6D" w:rsidRDefault="00073E6D" w:rsidP="00073E6D">
      <w:pPr>
        <w:spacing w:before="120" w:after="120" w:line="240" w:lineRule="auto"/>
        <w:ind w:left="709" w:right="709"/>
        <w:contextualSpacing/>
        <w:jc w:val="both"/>
        <w:rPr>
          <w:rFonts w:ascii="Verdana" w:eastAsia="Century Gothic" w:hAnsi="Verdana" w:cs="Century Gothic"/>
          <w:sz w:val="20"/>
          <w:szCs w:val="20"/>
        </w:rPr>
      </w:pPr>
    </w:p>
    <w:p w14:paraId="58420A75" w14:textId="119E4665" w:rsidR="00F51D39" w:rsidRPr="00073E6D" w:rsidRDefault="00F51D39" w:rsidP="00F51D39">
      <w:pPr>
        <w:spacing w:before="120" w:after="120" w:line="240" w:lineRule="auto"/>
        <w:ind w:left="709" w:right="709"/>
        <w:contextualSpacing/>
        <w:jc w:val="both"/>
        <w:rPr>
          <w:rFonts w:ascii="Verdana" w:eastAsia="Century Gothic" w:hAnsi="Verdana" w:cs="Century Gothic"/>
          <w:sz w:val="20"/>
          <w:szCs w:val="20"/>
        </w:rPr>
      </w:pPr>
      <w:r w:rsidRPr="00073E6D">
        <w:rPr>
          <w:rFonts w:ascii="Verdana" w:eastAsia="Century Gothic" w:hAnsi="Verdana" w:cs="Century Gothic"/>
          <w:sz w:val="20"/>
          <w:szCs w:val="20"/>
        </w:rPr>
        <w:t>Así mismo, se considera relevante contar con orientación sobre el rol de Colombia Compra Eficiente en esa en la implementación del Decreto, en particular frente a la necesidad de una eventual actualización de los documentos tipo o la expedición de lineamientos que permitan su aplicación uniforme, así como sobre el tratamiento que debe darse a los procesos de contratación en curso en sus distintas etapas, incluyendo aquellos con pliegos publicados, en etapa de observaciones o cuya presentación de ofertas aún no ha finalizado.</w:t>
      </w:r>
    </w:p>
    <w:p w14:paraId="1C5A706F" w14:textId="3343ED2C" w:rsidR="00F51D39" w:rsidRPr="00073E6D" w:rsidRDefault="00F51D39" w:rsidP="00F51D39">
      <w:pPr>
        <w:spacing w:before="120" w:after="120" w:line="240" w:lineRule="auto"/>
        <w:ind w:left="709" w:right="709"/>
        <w:contextualSpacing/>
        <w:jc w:val="both"/>
        <w:rPr>
          <w:rFonts w:ascii="Verdana" w:eastAsia="Century Gothic" w:hAnsi="Verdana" w:cs="Century Gothic"/>
          <w:sz w:val="20"/>
          <w:szCs w:val="20"/>
        </w:rPr>
      </w:pPr>
      <w:r w:rsidRPr="00073E6D">
        <w:rPr>
          <w:rFonts w:ascii="Verdana" w:eastAsia="Century Gothic" w:hAnsi="Verdana" w:cs="Century Gothic"/>
          <w:sz w:val="20"/>
          <w:szCs w:val="20"/>
        </w:rPr>
        <w:t>De igual manera, se requiere claridad sobre las condiciones bajo las cuales deberán incorporarse estas medidas en los procesos futuros, la eventual existencia de criterios o lineamientos transitorios mientras se realizan los ajustes institucionales correspondientes,</w:t>
      </w:r>
    </w:p>
    <w:p w14:paraId="1ABD3BE8" w14:textId="7B48D0F6" w:rsidR="00F51D39" w:rsidRPr="00073E6D" w:rsidRDefault="00F51D39" w:rsidP="00F51D39">
      <w:pPr>
        <w:spacing w:before="120" w:after="120" w:line="240" w:lineRule="auto"/>
        <w:ind w:left="709" w:right="709"/>
        <w:contextualSpacing/>
        <w:jc w:val="both"/>
        <w:rPr>
          <w:rFonts w:ascii="Verdana" w:eastAsia="Century Gothic" w:hAnsi="Verdana" w:cs="Century Gothic"/>
          <w:sz w:val="20"/>
          <w:szCs w:val="20"/>
        </w:rPr>
      </w:pPr>
      <w:r w:rsidRPr="00073E6D">
        <w:rPr>
          <w:rFonts w:ascii="Verdana" w:eastAsia="Century Gothic" w:hAnsi="Verdana" w:cs="Century Gothic"/>
          <w:sz w:val="20"/>
          <w:szCs w:val="20"/>
        </w:rPr>
        <w:t>y los riesgos jurídicos que podrían derivarse de la no aplicación del Decreto, especialmente en relación con la posible vulneración de los principios de selección objetiva, igualdad y legalidad, o la eventual configuración de causales de nulidad en los procesos contractuales.</w:t>
      </w:r>
    </w:p>
    <w:p w14:paraId="65563078" w14:textId="4E0768C1" w:rsidR="00F51D39" w:rsidRPr="00073E6D" w:rsidRDefault="00F51D39" w:rsidP="00F51D39">
      <w:pPr>
        <w:spacing w:before="120" w:after="120" w:line="240" w:lineRule="auto"/>
        <w:ind w:left="709" w:right="709"/>
        <w:contextualSpacing/>
        <w:jc w:val="both"/>
        <w:rPr>
          <w:rFonts w:ascii="Verdana" w:eastAsia="Century Gothic" w:hAnsi="Verdana" w:cs="Century Gothic"/>
          <w:sz w:val="20"/>
          <w:szCs w:val="20"/>
        </w:rPr>
      </w:pPr>
      <w:r w:rsidRPr="00073E6D">
        <w:rPr>
          <w:rFonts w:ascii="Verdana" w:eastAsia="Century Gothic" w:hAnsi="Verdana" w:cs="Century Gothic"/>
          <w:sz w:val="20"/>
          <w:szCs w:val="20"/>
        </w:rPr>
        <w:t>Finalmente, se considera necesario precisar si las acciones afirmativas previstas en el Decreto son de obligatoria inclusión en todos los procesos de contratación o si requieren desarrollo reglamentario adicional, así como la forma en que las Entidades Estatales deben</w:t>
      </w:r>
    </w:p>
    <w:p w14:paraId="01518517" w14:textId="77777777" w:rsidR="00F51D39" w:rsidRPr="00073E6D" w:rsidRDefault="00F51D39" w:rsidP="00F51D39">
      <w:pPr>
        <w:spacing w:before="120" w:after="120" w:line="240" w:lineRule="auto"/>
        <w:ind w:left="709" w:right="709"/>
        <w:contextualSpacing/>
        <w:jc w:val="both"/>
        <w:rPr>
          <w:rFonts w:ascii="Verdana" w:eastAsia="Century Gothic" w:hAnsi="Verdana" w:cs="Century Gothic"/>
          <w:sz w:val="20"/>
          <w:szCs w:val="20"/>
        </w:rPr>
      </w:pPr>
      <w:r w:rsidRPr="00073E6D">
        <w:rPr>
          <w:rFonts w:ascii="Verdana" w:eastAsia="Century Gothic" w:hAnsi="Verdana" w:cs="Century Gothic"/>
          <w:sz w:val="20"/>
          <w:szCs w:val="20"/>
        </w:rPr>
        <w:t>armonizar el principio de legalidad, la obligatoriedad de los documentos tipo y el deber de aplicar normas posteriores de orden público que desarrollan mandatos de inclusión…</w:t>
      </w:r>
    </w:p>
    <w:p w14:paraId="790D9671" w14:textId="77777777" w:rsidR="00F51D39" w:rsidRDefault="00F51D39" w:rsidP="00F51D39">
      <w:pPr>
        <w:spacing w:before="120" w:after="120" w:line="240" w:lineRule="auto"/>
        <w:ind w:right="709"/>
        <w:contextualSpacing/>
        <w:jc w:val="both"/>
        <w:rPr>
          <w:rFonts w:ascii="Verdana" w:eastAsia="Century Gothic" w:hAnsi="Verdana" w:cs="Century Gothic"/>
          <w:sz w:val="21"/>
          <w:szCs w:val="21"/>
        </w:rPr>
      </w:pPr>
    </w:p>
    <w:p w14:paraId="2426F9D8" w14:textId="77777777" w:rsidR="00073E6D" w:rsidRDefault="008D5774" w:rsidP="00F51D39">
      <w:pPr>
        <w:spacing w:before="120" w:after="120" w:line="240" w:lineRule="auto"/>
        <w:ind w:right="709" w:firstLine="708"/>
        <w:contextualSpacing/>
        <w:jc w:val="both"/>
        <w:rPr>
          <w:rFonts w:ascii="Verdana" w:hAnsi="Verdana"/>
        </w:rPr>
      </w:pPr>
      <w:r w:rsidRPr="0020655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sidR="008A5E24">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sidR="008A5E24">
        <w:rPr>
          <w:rFonts w:ascii="Verdana" w:hAnsi="Verdana"/>
        </w:rPr>
        <w:t xml:space="preserve">Estatuto General de Contratación </w:t>
      </w:r>
    </w:p>
    <w:p w14:paraId="4F21348F" w14:textId="77777777" w:rsidR="00073E6D" w:rsidRDefault="00073E6D" w:rsidP="00073E6D">
      <w:pPr>
        <w:spacing w:before="120" w:after="120" w:line="240" w:lineRule="auto"/>
        <w:ind w:right="709"/>
        <w:contextualSpacing/>
        <w:jc w:val="both"/>
        <w:rPr>
          <w:rFonts w:ascii="Verdana" w:hAnsi="Verdana"/>
        </w:rPr>
      </w:pPr>
    </w:p>
    <w:p w14:paraId="002578F6" w14:textId="77777777" w:rsidR="00073E6D" w:rsidRDefault="00073E6D" w:rsidP="00073E6D">
      <w:pPr>
        <w:spacing w:before="120" w:after="120" w:line="240" w:lineRule="auto"/>
        <w:ind w:right="709"/>
        <w:contextualSpacing/>
        <w:jc w:val="both"/>
        <w:rPr>
          <w:rFonts w:ascii="Verdana" w:hAnsi="Verdana"/>
        </w:rPr>
      </w:pPr>
    </w:p>
    <w:p w14:paraId="07A0E538" w14:textId="47EA3CA6" w:rsidR="008D5774" w:rsidRPr="00F51D39" w:rsidRDefault="008A5E24" w:rsidP="00073E6D">
      <w:pPr>
        <w:spacing w:before="120" w:after="120" w:line="240" w:lineRule="auto"/>
        <w:ind w:right="709"/>
        <w:contextualSpacing/>
        <w:jc w:val="both"/>
        <w:rPr>
          <w:rFonts w:ascii="Verdana" w:eastAsia="Century Gothic" w:hAnsi="Verdana" w:cs="Century Gothic"/>
          <w:sz w:val="21"/>
          <w:szCs w:val="21"/>
        </w:rPr>
      </w:pPr>
      <w:r>
        <w:rPr>
          <w:rFonts w:ascii="Verdana" w:hAnsi="Verdana"/>
        </w:rPr>
        <w:lastRenderedPageBreak/>
        <w:t>Pública</w:t>
      </w:r>
      <w:r w:rsidRPr="00206556">
        <w:rPr>
          <w:rFonts w:ascii="Verdana" w:eastAsia="Calibri" w:hAnsi="Verdana" w:cs="Arial"/>
          <w:lang w:val="es-ES" w:eastAsia="es-ES"/>
        </w:rPr>
        <w:t xml:space="preserve"> </w:t>
      </w:r>
      <w:r w:rsidR="008D5774" w:rsidRPr="00206556">
        <w:rPr>
          <w:rFonts w:ascii="Verdana" w:eastAsia="Calibri" w:hAnsi="Verdana" w:cs="Arial"/>
          <w:lang w:val="es-ES" w:eastAsia="es-ES"/>
        </w:rPr>
        <w:t xml:space="preserve">o de los demás participantes de la contratación pública. Esta competencia de interpretación de normas generales, por definición, no puede extenderse a la resolución de controversias, ni a brindar asesorías sobre casos puntuales.  </w:t>
      </w:r>
      <w:r w:rsidR="008D5774" w:rsidRPr="00206556">
        <w:rPr>
          <w:rFonts w:ascii="Verdana" w:hAnsi="Verdana"/>
          <w:lang w:val="es-ES"/>
        </w:rPr>
        <w:tab/>
      </w:r>
    </w:p>
    <w:p w14:paraId="622FBB80" w14:textId="77777777" w:rsidR="00F51D39" w:rsidRDefault="00F51D39" w:rsidP="008D5774">
      <w:pPr>
        <w:spacing w:after="0" w:line="276" w:lineRule="auto"/>
        <w:ind w:firstLine="709"/>
        <w:jc w:val="both"/>
        <w:rPr>
          <w:rFonts w:ascii="Verdana" w:eastAsia="Calibri" w:hAnsi="Verdana" w:cs="Arial"/>
          <w:lang w:val="es-ES" w:eastAsia="es-ES"/>
        </w:rPr>
      </w:pPr>
    </w:p>
    <w:p w14:paraId="428652EF" w14:textId="1951622B" w:rsidR="008D5774" w:rsidRPr="00206556" w:rsidRDefault="008D5774" w:rsidP="008D5774">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6288081" w14:textId="77777777" w:rsidR="008D5774" w:rsidRPr="00206556" w:rsidRDefault="008D5774" w:rsidP="008D5774">
      <w:pPr>
        <w:spacing w:after="0" w:line="276" w:lineRule="auto"/>
        <w:ind w:firstLine="709"/>
        <w:jc w:val="both"/>
        <w:rPr>
          <w:rFonts w:ascii="Verdana" w:eastAsia="Calibri" w:hAnsi="Verdana" w:cs="Arial"/>
          <w:lang w:val="es-ES" w:eastAsia="es-ES"/>
        </w:rPr>
      </w:pPr>
    </w:p>
    <w:p w14:paraId="4AD69AFF" w14:textId="77777777" w:rsidR="008D5774" w:rsidRPr="00206556" w:rsidRDefault="008D5774" w:rsidP="008D5774">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26050314" w14:textId="77777777" w:rsidR="008D5774" w:rsidRPr="00206556" w:rsidRDefault="008D5774" w:rsidP="008D5774">
      <w:pPr>
        <w:tabs>
          <w:tab w:val="left" w:pos="426"/>
        </w:tabs>
        <w:spacing w:after="0" w:line="276" w:lineRule="auto"/>
        <w:jc w:val="both"/>
        <w:rPr>
          <w:rFonts w:ascii="Verdana" w:eastAsia="Century Gothic" w:hAnsi="Verdana" w:cs="Century Gothic"/>
          <w:color w:val="ED7D31" w:themeColor="accent2"/>
          <w:lang w:val="es-ES"/>
        </w:rPr>
      </w:pPr>
    </w:p>
    <w:p w14:paraId="2953D2F6" w14:textId="7703DF15" w:rsidR="008D5774" w:rsidRDefault="008D5774" w:rsidP="008D5774">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Pr="00206556">
        <w:rPr>
          <w:rFonts w:ascii="Verdana" w:eastAsia="Century Gothic" w:hAnsi="Verdana" w:cs="Century Gothic"/>
        </w:rPr>
        <w:t>¿</w:t>
      </w:r>
      <w:r w:rsidR="00C5146A" w:rsidRPr="00206556">
        <w:rPr>
          <w:rFonts w:ascii="Verdana" w:eastAsia="Century Gothic" w:hAnsi="Verdana" w:cs="Century Gothic"/>
        </w:rPr>
        <w:t>Cuál es el alcance del Sistema Integral de Preferencias establecido por el Decreto 0287 de 2026 en favor de las personas con discapacidad en la contratación pública, qué medidas lo componen, a qué sujetos beneficia, en qué modalidades contractuales aplican</w:t>
      </w:r>
      <w:r w:rsidR="00BA3D9C">
        <w:rPr>
          <w:rFonts w:ascii="Verdana" w:eastAsia="Century Gothic" w:hAnsi="Verdana" w:cs="Century Gothic"/>
        </w:rPr>
        <w:t xml:space="preserve"> las medidas</w:t>
      </w:r>
      <w:r w:rsidR="00887E82">
        <w:rPr>
          <w:rFonts w:ascii="Verdana" w:eastAsia="Century Gothic" w:hAnsi="Verdana" w:cs="Century Gothic"/>
        </w:rPr>
        <w:t xml:space="preserve">, </w:t>
      </w:r>
      <w:r w:rsidR="00C5146A" w:rsidRPr="00206556">
        <w:rPr>
          <w:rFonts w:ascii="Verdana" w:eastAsia="Century Gothic" w:hAnsi="Verdana" w:cs="Century Gothic"/>
        </w:rPr>
        <w:t>cuáles son las obligaciones concretas que deben implementar las entidades estatales para dar cumplimiento a dicha regulación</w:t>
      </w:r>
      <w:r w:rsidR="00BA3D9C">
        <w:rPr>
          <w:rFonts w:ascii="Verdana" w:eastAsia="Century Gothic" w:hAnsi="Verdana" w:cs="Century Gothic"/>
        </w:rPr>
        <w:t>, y cuál es la documentación para acceder a los incentivos del nuevo decreto</w:t>
      </w:r>
      <w:r w:rsidR="00F51D39">
        <w:rPr>
          <w:rFonts w:ascii="Verdana" w:eastAsia="Century Gothic" w:hAnsi="Verdana" w:cs="Century Gothic"/>
        </w:rPr>
        <w:t>, igualmente establecer su aplicación para los documentos tipo vigentes</w:t>
      </w:r>
      <w:r w:rsidR="00C5146A" w:rsidRPr="00206556">
        <w:rPr>
          <w:rFonts w:ascii="Verdana" w:eastAsia="Century Gothic" w:hAnsi="Verdana" w:cs="Century Gothic"/>
        </w:rPr>
        <w:t>?</w:t>
      </w:r>
    </w:p>
    <w:p w14:paraId="0FD0DFCB" w14:textId="77777777" w:rsidR="008D5774" w:rsidRPr="00206556" w:rsidRDefault="008D5774" w:rsidP="008D5774">
      <w:pPr>
        <w:spacing w:after="0" w:line="276" w:lineRule="auto"/>
        <w:jc w:val="both"/>
        <w:rPr>
          <w:rFonts w:ascii="Verdana" w:eastAsia="Century Gothic" w:hAnsi="Verdana" w:cs="Century Gothic"/>
          <w:color w:val="ED7D31" w:themeColor="accent2"/>
        </w:rPr>
      </w:pPr>
    </w:p>
    <w:p w14:paraId="5B26199B" w14:textId="77777777" w:rsidR="008D5774" w:rsidRPr="00206556" w:rsidRDefault="008D5774" w:rsidP="008D5774">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3CFFB6C2"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10BC" w:rsidRPr="00206556" w14:paraId="098CF388" w14:textId="77777777" w:rsidTr="00AD17AD">
        <w:tc>
          <w:tcPr>
            <w:tcW w:w="8828" w:type="dxa"/>
          </w:tcPr>
          <w:p w14:paraId="3912F2A4" w14:textId="77777777" w:rsidR="005510BC" w:rsidRPr="00073658" w:rsidRDefault="005510BC" w:rsidP="00AD17AD">
            <w:pPr>
              <w:spacing w:before="120" w:after="120" w:line="276" w:lineRule="auto"/>
              <w:jc w:val="both"/>
              <w:rPr>
                <w:rFonts w:ascii="Verdana" w:eastAsia="Calibri" w:hAnsi="Verdana" w:cs="Arial"/>
              </w:rPr>
            </w:pPr>
            <w:r>
              <w:rPr>
                <w:rFonts w:ascii="Verdana" w:eastAsia="Calibri" w:hAnsi="Verdana" w:cs="Arial"/>
              </w:rPr>
              <w:t>En atención al problema jurídico planteado y respecto al alcance de</w:t>
            </w:r>
            <w:r w:rsidRPr="00E54F30">
              <w:rPr>
                <w:rFonts w:ascii="Verdana" w:eastAsia="Calibri" w:hAnsi="Verdana" w:cs="Arial"/>
              </w:rPr>
              <w:t>l Decreto 0287 de 2026</w:t>
            </w:r>
            <w:r>
              <w:rPr>
                <w:rFonts w:ascii="Verdana" w:eastAsia="Calibri" w:hAnsi="Verdana" w:cs="Arial"/>
              </w:rPr>
              <w:t>, es necesario indicar que este</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w:t>
            </w:r>
            <w:r w:rsidRPr="00073658">
              <w:rPr>
                <w:rFonts w:ascii="Verdana" w:eastAsia="Calibri" w:hAnsi="Verdana" w:cs="Arial"/>
              </w:rPr>
              <w:lastRenderedPageBreak/>
              <w:t xml:space="preserve">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73658">
              <w:rPr>
                <w:rFonts w:ascii="Verdana" w:eastAsia="Calibri" w:hAnsi="Verdana" w:cs="Arial"/>
              </w:rPr>
              <w:t>PcD</w:t>
            </w:r>
            <w:proofErr w:type="spellEnd"/>
            <w:r w:rsidRPr="00073658">
              <w:rPr>
                <w:rFonts w:ascii="Verdana" w:eastAsia="Calibri" w:hAnsi="Verdana" w:cs="Arial"/>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26F33FF7" w14:textId="77777777" w:rsidR="005510BC" w:rsidRPr="00073658" w:rsidRDefault="005510BC" w:rsidP="00AD17AD">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w:t>
            </w:r>
            <w:proofErr w:type="spellStart"/>
            <w:r w:rsidRPr="00073658">
              <w:rPr>
                <w:rFonts w:ascii="Verdana" w:eastAsia="Calibri" w:hAnsi="Verdana" w:cs="Arial"/>
              </w:rPr>
              <w:t>PcD</w:t>
            </w:r>
            <w:proofErr w:type="spellEnd"/>
            <w:r w:rsidRPr="00073658">
              <w:rPr>
                <w:rFonts w:ascii="Verdana" w:eastAsia="Calibri" w:hAnsi="Verdana" w:cs="Arial"/>
              </w:rPr>
              <w:t xml:space="preserve"> por al menos un año; y personas jurídicas con al menos una </w:t>
            </w:r>
            <w:proofErr w:type="spellStart"/>
            <w:r w:rsidRPr="00073658">
              <w:rPr>
                <w:rFonts w:ascii="Verdana" w:eastAsia="Calibri" w:hAnsi="Verdana" w:cs="Arial"/>
              </w:rPr>
              <w:t>PcD</w:t>
            </w:r>
            <w:proofErr w:type="spellEnd"/>
            <w:r w:rsidRPr="00073658">
              <w:rPr>
                <w:rFonts w:ascii="Verdana" w:eastAsia="Calibri" w:hAnsi="Verdana" w:cs="Arial"/>
              </w:rPr>
              <w:t xml:space="preserve"> vinculada laboralmente en un cargo de nivel directivo por al menos un año. El segundo sujeto son los empleadores de </w:t>
            </w:r>
            <w:proofErr w:type="spellStart"/>
            <w:r w:rsidRPr="00073658">
              <w:rPr>
                <w:rFonts w:ascii="Verdana" w:eastAsia="Calibri" w:hAnsi="Verdana" w:cs="Arial"/>
              </w:rPr>
              <w:t>PcD</w:t>
            </w:r>
            <w:proofErr w:type="spellEnd"/>
            <w:r w:rsidRPr="00073658">
              <w:rPr>
                <w:rFonts w:ascii="Verdana" w:eastAsia="Calibri" w:hAnsi="Verdana" w:cs="Arial"/>
              </w:rPr>
              <w:t>, esto es, cualquier empresa que tenga en su planta de personal trabajadores con discapacidad contratados laboralmente con dedicación exclusiva, superando los mínimos que exige la Ley 2466 de 2025 (Reforma Laboral).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CE9BE05"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xml:space="preserve">. El artículo 2.2.1.2.4.2.7.4. del Decreto 0287 de 2026 es explícito al disponer que, aunque el proponente acredite simultáneamente ser emprendimiento o empresa de </w:t>
            </w:r>
            <w:proofErr w:type="spellStart"/>
            <w:r w:rsidRPr="00073658">
              <w:rPr>
                <w:rFonts w:ascii="Verdana" w:eastAsia="Calibri" w:hAnsi="Verdana" w:cs="Arial"/>
              </w:rPr>
              <w:t>PcD</w:t>
            </w:r>
            <w:proofErr w:type="spellEnd"/>
            <w:r w:rsidRPr="00073658">
              <w:rPr>
                <w:rFonts w:ascii="Verdana" w:eastAsia="Calibri" w:hAnsi="Verdana" w:cs="Arial"/>
              </w:rPr>
              <w:t xml:space="preserve"> y ser empleador de </w:t>
            </w:r>
            <w:proofErr w:type="spellStart"/>
            <w:r w:rsidRPr="00073658">
              <w:rPr>
                <w:rFonts w:ascii="Verdana" w:eastAsia="Calibri" w:hAnsi="Verdana" w:cs="Arial"/>
              </w:rPr>
              <w:t>PcD</w:t>
            </w:r>
            <w:proofErr w:type="spellEnd"/>
            <w:r w:rsidRPr="00073658">
              <w:rPr>
                <w:rFonts w:ascii="Verdana" w:eastAsia="Calibri" w:hAnsi="Verdana" w:cs="Arial"/>
              </w:rPr>
              <w:t>, el puntaje máximo a otorgar por este criterio es siempre el 2% del total de los puntos del pliego, sin que las condiciones acreditadas sean sumables para efectos de la evaluación de la oferta</w:t>
            </w:r>
            <w:r>
              <w:rPr>
                <w:rFonts w:ascii="Verdana" w:eastAsia="Calibri" w:hAnsi="Verdana" w:cs="Arial"/>
              </w:rPr>
              <w:t xml:space="preserve">, y tampoco es posible disminuir ese porcentaje de puntos ya que </w:t>
            </w:r>
            <w:r>
              <w:rPr>
                <w:rFonts w:ascii="Verdana" w:eastAsia="Calibri" w:hAnsi="Verdana" w:cs="Arial"/>
              </w:rPr>
              <w:lastRenderedPageBreak/>
              <w:t>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0E2BB71D" w14:textId="77777777" w:rsidR="005510BC" w:rsidRPr="00A97194"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La aplicación del puntaje para proponentes plurales </w:t>
            </w:r>
            <w:r w:rsidRPr="00A97194">
              <w:rPr>
                <w:rFonts w:ascii="Verdana" w:eastAsia="Calibri" w:hAnsi="Verdana" w:cs="Arial"/>
              </w:rPr>
              <w:t xml:space="preserve">respecto de los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no exige un mínimo de experiencia sino una participación mayoritaria en el proponente plural, y a ese miembro será al que se le revise su planta de personal con el fin de determinar si cumple con el número mínimo de </w:t>
            </w:r>
            <w:proofErr w:type="spellStart"/>
            <w:r w:rsidRPr="00A97194">
              <w:rPr>
                <w:rFonts w:ascii="Verdana" w:eastAsia="Calibri" w:hAnsi="Verdana" w:cs="Arial"/>
              </w:rPr>
              <w:t>PcD</w:t>
            </w:r>
            <w:proofErr w:type="spellEnd"/>
            <w:r w:rsidRPr="00A97194">
              <w:rPr>
                <w:rFonts w:ascii="Verdana" w:eastAsia="Calibri" w:hAnsi="Verdana" w:cs="Arial"/>
              </w:rPr>
              <w:t xml:space="preserve"> contratadas para acceder al puntaje. </w:t>
            </w:r>
          </w:p>
          <w:p w14:paraId="3E1C7939" w14:textId="77777777" w:rsidR="005510BC" w:rsidRPr="00073658" w:rsidRDefault="005510BC" w:rsidP="00AD17AD">
            <w:pPr>
              <w:spacing w:before="120" w:after="120" w:line="276" w:lineRule="auto"/>
              <w:ind w:firstLine="709"/>
              <w:jc w:val="both"/>
              <w:rPr>
                <w:rFonts w:ascii="Verdana" w:eastAsia="Calibri" w:hAnsi="Verdana" w:cs="Arial"/>
              </w:rPr>
            </w:pPr>
            <w:r w:rsidRPr="00A97194">
              <w:rPr>
                <w:rFonts w:ascii="Verdana" w:eastAsia="Calibri" w:hAnsi="Verdana" w:cs="Arial"/>
              </w:rPr>
              <w:t xml:space="preserve">No obstante, para emprendimientos y empresas </w:t>
            </w:r>
            <w:proofErr w:type="spellStart"/>
            <w:r w:rsidRPr="00A97194">
              <w:rPr>
                <w:rFonts w:ascii="Verdana" w:eastAsia="Calibri" w:hAnsi="Verdana" w:cs="Arial"/>
              </w:rPr>
              <w:t>PcD</w:t>
            </w:r>
            <w:proofErr w:type="spellEnd"/>
            <w:r w:rsidRPr="00A97194">
              <w:rPr>
                <w:rFonts w:ascii="Verdana" w:eastAsia="Calibri" w:hAnsi="Verdana" w:cs="Arial"/>
              </w:rPr>
              <w:t xml:space="preserve"> es necesario hacer una remisión al artículo 2.2.1.2.4.2.7.3 puesto que cuando el proponente plural tenga a este sujeto como miembro, la participación a exigir no es una participación mayoritaria sino una participación no inferior al 10% y en la misma proporción de su participación debe aportar su experiencia. De esta manera, si el proponente plural tiene como miembro a empleadores de </w:t>
            </w:r>
            <w:proofErr w:type="spellStart"/>
            <w:r w:rsidRPr="00A97194">
              <w:rPr>
                <w:rFonts w:ascii="Verdana" w:eastAsia="Calibri" w:hAnsi="Verdana" w:cs="Arial"/>
              </w:rPr>
              <w:t>PcD</w:t>
            </w:r>
            <w:proofErr w:type="spellEnd"/>
            <w:r w:rsidRPr="00A97194">
              <w:rPr>
                <w:rFonts w:ascii="Verdana" w:eastAsia="Calibri" w:hAnsi="Verdana" w:cs="Arial"/>
              </w:rPr>
              <w:t xml:space="preserve">, para obtener el puntaje este debe tener una mayor participación en el proponente plural sin que se requiera aporte de experiencia; pero cuando se trata de emprendimientos o empresas de </w:t>
            </w:r>
            <w:proofErr w:type="spellStart"/>
            <w:r w:rsidRPr="00A97194">
              <w:rPr>
                <w:rFonts w:ascii="Verdana" w:eastAsia="Calibri" w:hAnsi="Verdana" w:cs="Arial"/>
              </w:rPr>
              <w:t>PcD</w:t>
            </w:r>
            <w:proofErr w:type="spellEnd"/>
            <w:r w:rsidRPr="00A97194">
              <w:rPr>
                <w:rFonts w:ascii="Verdana" w:eastAsia="Calibri" w:hAnsi="Verdana" w:cs="Arial"/>
              </w:rPr>
              <w:t>, si se exige un mínimo de participación de estos en el proponente plural, que es el 10% y en la misma proporción se debe aportar experiencia, por lo que no se exige que tengan participación mayoritaria.</w:t>
            </w:r>
          </w:p>
          <w:p w14:paraId="6563678E"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Ahora bien, la documentación para la acreditación de las condiciones bajo las cuales se otorga </w:t>
            </w:r>
            <w:r w:rsidRPr="00073658">
              <w:rPr>
                <w:rFonts w:ascii="Verdana" w:eastAsia="Calibri" w:hAnsi="Verdana" w:cs="Arial"/>
              </w:rPr>
              <w:t>el puntaje</w:t>
            </w:r>
            <w:r>
              <w:rPr>
                <w:rFonts w:ascii="Verdana" w:eastAsia="Calibri" w:hAnsi="Verdana" w:cs="Arial"/>
              </w:rPr>
              <w:t xml:space="preserve"> depende del sujeto de que se trate,</w:t>
            </w:r>
            <w:r w:rsidRPr="00073658">
              <w:rPr>
                <w:rFonts w:ascii="Verdana" w:eastAsia="Calibri" w:hAnsi="Verdana" w:cs="Arial"/>
              </w:rPr>
              <w:t xml:space="preserve"> en la condición de empleador de </w:t>
            </w:r>
            <w:proofErr w:type="spellStart"/>
            <w:r w:rsidRPr="00073658">
              <w:rPr>
                <w:rFonts w:ascii="Verdana" w:eastAsia="Calibri" w:hAnsi="Verdana" w:cs="Arial"/>
              </w:rPr>
              <w:t>PcD</w:t>
            </w:r>
            <w:proofErr w:type="spellEnd"/>
            <w:r>
              <w:rPr>
                <w:rFonts w:ascii="Verdana" w:eastAsia="Calibri" w:hAnsi="Verdana" w:cs="Arial"/>
              </w:rPr>
              <w:t>, los documentos están dispuestos en el artículo 2.2.1.2.4.2.7.4, el cual</w:t>
            </w:r>
            <w:r w:rsidRPr="00073658">
              <w:rPr>
                <w:rFonts w:ascii="Verdana" w:eastAsia="Calibri" w:hAnsi="Verdana" w:cs="Arial"/>
              </w:rPr>
              <w:t xml:space="preserve"> exige, entre otros documentos, los certificados de aportes a seguridad social de los tres (3) meses anteriores a la presentación de la oferta respecto de cada </w:t>
            </w:r>
            <w:proofErr w:type="spellStart"/>
            <w:r w:rsidRPr="00073658">
              <w:rPr>
                <w:rFonts w:ascii="Verdana" w:eastAsia="Calibri" w:hAnsi="Verdana" w:cs="Arial"/>
              </w:rPr>
              <w:t>PcD</w:t>
            </w:r>
            <w:proofErr w:type="spellEnd"/>
            <w:r w:rsidRPr="00073658">
              <w:rPr>
                <w:rFonts w:ascii="Verdana" w:eastAsia="Calibri" w:hAnsi="Verdana" w:cs="Arial"/>
              </w:rPr>
              <w:t xml:space="preserve">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w:t>
            </w:r>
            <w:proofErr w:type="spellStart"/>
            <w:r w:rsidRPr="00073658">
              <w:rPr>
                <w:rFonts w:ascii="Verdana" w:eastAsia="Calibri" w:hAnsi="Verdana" w:cs="Arial"/>
              </w:rPr>
              <w:t>PcD</w:t>
            </w:r>
            <w:proofErr w:type="spellEnd"/>
            <w:r w:rsidRPr="00073658">
              <w:rPr>
                <w:rFonts w:ascii="Verdana" w:eastAsia="Calibri" w:hAnsi="Verdana" w:cs="Arial"/>
              </w:rPr>
              <w:t xml:space="preserve"> cuyas planillas no alcancen ese período, pudiendo el proponente acreditar el puntaje con base en las </w:t>
            </w:r>
            <w:proofErr w:type="spellStart"/>
            <w:r w:rsidRPr="00073658">
              <w:rPr>
                <w:rFonts w:ascii="Verdana" w:eastAsia="Calibri" w:hAnsi="Verdana" w:cs="Arial"/>
              </w:rPr>
              <w:t>PcD</w:t>
            </w:r>
            <w:proofErr w:type="spellEnd"/>
            <w:r w:rsidRPr="00073658">
              <w:rPr>
                <w:rFonts w:ascii="Verdana" w:eastAsia="Calibri" w:hAnsi="Verdana" w:cs="Arial"/>
              </w:rPr>
              <w:t xml:space="preserve"> que sí cumplen el requisito temporal y participar en el proceso sin el puntaje en caso de no alcanzar ninguna.</w:t>
            </w:r>
            <w:r>
              <w:rPr>
                <w:rFonts w:ascii="Verdana" w:eastAsia="Calibri" w:hAnsi="Verdana" w:cs="Arial"/>
              </w:rPr>
              <w:t xml:space="preserve"> El término de tres </w:t>
            </w:r>
            <w:r>
              <w:rPr>
                <w:rFonts w:ascii="Verdana" w:eastAsia="Calibri" w:hAnsi="Verdana" w:cs="Arial"/>
              </w:rPr>
              <w:lastRenderedPageBreak/>
              <w:t xml:space="preserve">(3) </w:t>
            </w:r>
            <w:proofErr w:type="gramStart"/>
            <w:r>
              <w:rPr>
                <w:rFonts w:ascii="Verdana" w:eastAsia="Calibri" w:hAnsi="Verdana" w:cs="Arial"/>
              </w:rPr>
              <w:t>meses aquí mencionado</w:t>
            </w:r>
            <w:proofErr w:type="gramEnd"/>
            <w:r>
              <w:rPr>
                <w:rFonts w:ascii="Verdana" w:eastAsia="Calibri" w:hAnsi="Verdana" w:cs="Arial"/>
              </w:rPr>
              <w:t xml:space="preserve"> es diferente al término de un (1) año mencionado en el artículo 2.2.1.2.4.2.6 respecto de los emprendimientos y empresas de </w:t>
            </w:r>
            <w:proofErr w:type="spellStart"/>
            <w:r>
              <w:rPr>
                <w:rFonts w:ascii="Verdana" w:eastAsia="Calibri" w:hAnsi="Verdana" w:cs="Arial"/>
              </w:rPr>
              <w:t>PcD</w:t>
            </w:r>
            <w:proofErr w:type="spellEnd"/>
            <w:r>
              <w:rPr>
                <w:rFonts w:ascii="Verdana" w:eastAsia="Calibri" w:hAnsi="Verdana" w:cs="Arial"/>
              </w:rPr>
              <w:t>.</w:t>
            </w:r>
          </w:p>
          <w:p w14:paraId="3188A959" w14:textId="77777777" w:rsidR="005510BC" w:rsidRDefault="005510BC" w:rsidP="00AD17AD">
            <w:pPr>
              <w:spacing w:before="120" w:after="120" w:line="276" w:lineRule="auto"/>
              <w:ind w:firstLine="709"/>
              <w:jc w:val="both"/>
              <w:rPr>
                <w:rFonts w:ascii="Verdana" w:eastAsia="Times New Roman" w:hAnsi="Verdana" w:cs="Times New Roman"/>
              </w:rPr>
            </w:pPr>
            <w:r w:rsidRPr="00502309">
              <w:rPr>
                <w:rFonts w:ascii="Verdana" w:eastAsia="Times New Roman" w:hAnsi="Verdana" w:cs="Times New Roman"/>
              </w:rPr>
              <w:t xml:space="preserve">Para efectos de determinar el número mínimo de </w:t>
            </w:r>
            <w:proofErr w:type="spellStart"/>
            <w:r w:rsidRPr="00502309">
              <w:rPr>
                <w:rFonts w:ascii="Verdana" w:eastAsia="Times New Roman" w:hAnsi="Verdana" w:cs="Times New Roman"/>
              </w:rPr>
              <w:t>PcD</w:t>
            </w:r>
            <w:proofErr w:type="spellEnd"/>
            <w:r w:rsidRPr="00502309">
              <w:rPr>
                <w:rFonts w:ascii="Verdana" w:eastAsia="Times New Roman" w:hAnsi="Verdana" w:cs="Times New Roman"/>
              </w:rPr>
              <w:t xml:space="preserve"> que el proponente debe tener vinculadas en su planta de personal para acceder al puntaje, el artículo 2.2.1.2.4.2.7.4. del Decreto 0287 de 2026 establece </w:t>
            </w:r>
            <w:r>
              <w:rPr>
                <w:rFonts w:ascii="Verdana" w:eastAsia="Times New Roman" w:hAnsi="Verdana" w:cs="Times New Roman"/>
              </w:rPr>
              <w:t>una</w:t>
            </w:r>
            <w:r w:rsidRPr="00502309">
              <w:rPr>
                <w:rFonts w:ascii="Verdana" w:eastAsia="Times New Roman" w:hAnsi="Verdana" w:cs="Times New Roman"/>
              </w:rPr>
              <w:t xml:space="preserve"> tabla, que ya incorpora los mínimos exigidos por la Ley 2466 de 2025 (Reforma Laboral), de modo que el puntaje solo se otorga a quien </w:t>
            </w:r>
            <w:r>
              <w:rPr>
                <w:rFonts w:ascii="Verdana" w:eastAsia="Times New Roman" w:hAnsi="Verdana" w:cs="Times New Roman"/>
              </w:rPr>
              <w:t xml:space="preserve">cumpla lo indicado en la tabla. La vinculación de </w:t>
            </w:r>
            <w:proofErr w:type="spellStart"/>
            <w:r>
              <w:rPr>
                <w:rFonts w:ascii="Verdana" w:eastAsia="Times New Roman" w:hAnsi="Verdana" w:cs="Times New Roman"/>
              </w:rPr>
              <w:t>PcD</w:t>
            </w:r>
            <w:proofErr w:type="spellEnd"/>
            <w:r>
              <w:rPr>
                <w:rFonts w:ascii="Verdana" w:eastAsia="Times New Roman" w:hAnsi="Verdana" w:cs="Times New Roman"/>
              </w:rPr>
              <w:t xml:space="preserve"> a las plantas de personal de posibles proveedores, debe ser a través de contrato laboral con dedicación exclusiva, cuya definición le corresponde al Ministerio del Trabajo. Por otra parte, los documentos para acreditar la otra condición que es ser emprendimiento o empresa de </w:t>
            </w:r>
            <w:proofErr w:type="spellStart"/>
            <w:r>
              <w:rPr>
                <w:rFonts w:ascii="Verdana" w:eastAsia="Times New Roman" w:hAnsi="Verdana" w:cs="Times New Roman"/>
              </w:rPr>
              <w:t>PcD</w:t>
            </w:r>
            <w:proofErr w:type="spellEnd"/>
            <w:r>
              <w:rPr>
                <w:rFonts w:ascii="Verdana" w:eastAsia="Times New Roman" w:hAnsi="Verdana" w:cs="Times New Roman"/>
              </w:rPr>
              <w:t xml:space="preserve"> son los indicados en el artículo 2.2.1.2.4.2.6 y no los del artículo </w:t>
            </w:r>
            <w:r w:rsidRPr="00502309">
              <w:rPr>
                <w:rFonts w:ascii="Verdana" w:eastAsia="Times New Roman" w:hAnsi="Verdana" w:cs="Times New Roman"/>
              </w:rPr>
              <w:t xml:space="preserve">2.2.1.2.4.2.7.4. </w:t>
            </w:r>
            <w:r>
              <w:rPr>
                <w:rFonts w:ascii="Verdana" w:eastAsia="Times New Roman" w:hAnsi="Verdana" w:cs="Times New Roman"/>
              </w:rPr>
              <w:t xml:space="preserve"> </w:t>
            </w:r>
          </w:p>
          <w:p w14:paraId="62D59159" w14:textId="77777777" w:rsidR="005510BC" w:rsidRDefault="005510BC" w:rsidP="00AD17AD">
            <w:pPr>
              <w:spacing w:after="120" w:line="276" w:lineRule="auto"/>
              <w:ind w:firstLine="709"/>
              <w:jc w:val="both"/>
              <w:rPr>
                <w:rFonts w:ascii="Verdana" w:eastAsia="Calibri" w:hAnsi="Verdana" w:cs="Arial"/>
              </w:rPr>
            </w:pPr>
            <w:r w:rsidRPr="00073658">
              <w:rPr>
                <w:rFonts w:ascii="Verdana" w:eastAsia="Calibri" w:hAnsi="Verdana" w:cs="Arial"/>
              </w:rPr>
              <w:t xml:space="preserve">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w:t>
            </w:r>
            <w:proofErr w:type="spellStart"/>
            <w:r w:rsidRPr="00073658">
              <w:rPr>
                <w:rFonts w:ascii="Verdana" w:eastAsia="Calibri" w:hAnsi="Verdana" w:cs="Arial"/>
              </w:rPr>
              <w:t>PcD</w:t>
            </w:r>
            <w:proofErr w:type="spellEnd"/>
            <w:r w:rsidRPr="00206556">
              <w:rPr>
                <w:rFonts w:ascii="Verdana" w:eastAsia="Calibri" w:hAnsi="Verdana" w:cs="Arial"/>
              </w:rPr>
              <w:t xml:space="preserve">, </w:t>
            </w:r>
            <w:r w:rsidRPr="00073658">
              <w:rPr>
                <w:rFonts w:ascii="Verdana" w:eastAsia="Calibri" w:hAnsi="Verdana" w:cs="Arial"/>
              </w:rPr>
              <w:t xml:space="preserve">no a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w:t>
            </w:r>
            <w:r w:rsidRPr="00206556">
              <w:rPr>
                <w:rFonts w:ascii="Verdana" w:eastAsia="Calibri" w:hAnsi="Verdana" w:cs="Arial"/>
              </w:rPr>
              <w:t xml:space="preserve">dicha norma </w:t>
            </w:r>
            <w:r w:rsidRPr="00073658">
              <w:rPr>
                <w:rFonts w:ascii="Verdana" w:eastAsia="Calibri" w:hAnsi="Verdana" w:cs="Arial"/>
              </w:rPr>
              <w:t>exige que al menos el 10% de la nómina esté en condición de discapacidad y opera únicamente cuando hay empate entre dos o más ofertas. El Decreto 0287 de 2026 no modificó el criterio de desempate de la Ley 2069 de 2020, que por ser norma de rango legal no puede ser alterada por decreto reglamentario, y la diferencia en las exigencias de vinculación entre los dos instrumentos responde precisamente a que son mecanismos distintos que no deben interpretarse extensivamente el uno respecto del otro.</w:t>
            </w:r>
          </w:p>
          <w:p w14:paraId="3635F141" w14:textId="77777777" w:rsidR="005510BC" w:rsidRDefault="005510BC" w:rsidP="00AD17AD">
            <w:pPr>
              <w:spacing w:after="120" w:line="276" w:lineRule="auto"/>
              <w:ind w:firstLine="709"/>
              <w:jc w:val="both"/>
              <w:rPr>
                <w:rFonts w:ascii="Verdana" w:eastAsia="Calibri" w:hAnsi="Verdana" w:cs="Arial"/>
              </w:rPr>
            </w:pPr>
            <w:r w:rsidRPr="00E55CFA">
              <w:rPr>
                <w:rFonts w:ascii="Verdana" w:eastAsia="Calibri" w:hAnsi="Verdana" w:cs="Arial"/>
              </w:rPr>
              <w:t xml:space="preserve">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w:t>
            </w:r>
            <w:r w:rsidRPr="00E55CFA">
              <w:rPr>
                <w:rFonts w:ascii="Verdana" w:eastAsia="Calibri" w:hAnsi="Verdana" w:cs="Arial"/>
              </w:rPr>
              <w:lastRenderedPageBreak/>
              <w:t>incorporar las medidas del decreto, incluida la obligación de compras públicas accesibles, dado que los estudios previos, el pliego de condiciones y el contrato deben guardar coherencia entre sí.</w:t>
            </w:r>
            <w:r>
              <w:rPr>
                <w:rFonts w:ascii="Verdana" w:eastAsia="Calibri" w:hAnsi="Verdana" w:cs="Arial"/>
              </w:rPr>
              <w:t xml:space="preserve"> </w:t>
            </w:r>
          </w:p>
          <w:p w14:paraId="4E750FFF" w14:textId="77777777" w:rsidR="005510BC" w:rsidRPr="0077201E" w:rsidRDefault="005510BC" w:rsidP="00AD17AD">
            <w:pPr>
              <w:spacing w:after="120" w:line="276" w:lineRule="auto"/>
              <w:ind w:firstLine="709"/>
              <w:jc w:val="both"/>
              <w:rPr>
                <w:rFonts w:ascii="Verdana" w:eastAsia="Calibri" w:hAnsi="Verdana" w:cs="Arial"/>
              </w:rPr>
            </w:pPr>
            <w:r>
              <w:rPr>
                <w:rFonts w:ascii="Verdana" w:eastAsia="Calibri" w:hAnsi="Verdana" w:cs="Arial"/>
              </w:rPr>
              <w:t>Sobre l</w:t>
            </w:r>
            <w:r w:rsidRPr="0077201E">
              <w:rPr>
                <w:rFonts w:ascii="Verdana" w:eastAsia="Calibri" w:hAnsi="Verdana" w:cs="Arial"/>
              </w:rPr>
              <w:t>os criterios habilitantes diferenciales</w:t>
            </w:r>
            <w:r>
              <w:rPr>
                <w:rFonts w:ascii="Verdana" w:eastAsia="Calibri" w:hAnsi="Verdana" w:cs="Arial"/>
              </w:rPr>
              <w:t>, estos</w:t>
            </w:r>
            <w:r w:rsidRPr="0077201E">
              <w:rPr>
                <w:rFonts w:ascii="Verdana" w:eastAsia="Calibri" w:hAnsi="Verdana" w:cs="Arial"/>
              </w:rPr>
              <w:t xml:space="preserve"> constituyen una obligación para las entidades contratantes en los procesos de licitación pública, selección abreviada y concurso de méritos, tanto bajo el régimen</w:t>
            </w:r>
            <w:r>
              <w:rPr>
                <w:rFonts w:ascii="Verdana" w:eastAsia="Calibri" w:hAnsi="Verdana" w:cs="Arial"/>
              </w:rPr>
              <w:t xml:space="preserve"> del</w:t>
            </w:r>
            <w:r w:rsidRPr="0077201E">
              <w:rPr>
                <w:rFonts w:ascii="Verdana" w:eastAsia="Calibri" w:hAnsi="Verdana" w:cs="Arial"/>
              </w:rPr>
              <w:t xml:space="preserve"> </w:t>
            </w:r>
            <w:r>
              <w:rPr>
                <w:rFonts w:ascii="Verdana" w:hAnsi="Verdana"/>
              </w:rPr>
              <w:t>Estatuto General de Contratación Pública</w:t>
            </w:r>
            <w:r w:rsidRPr="0077201E">
              <w:rPr>
                <w:rFonts w:ascii="Verdana" w:eastAsia="Calibri" w:hAnsi="Verdana" w:cs="Arial"/>
              </w:rPr>
              <w:t xml:space="preserve"> como en los procesos competitivos de entidades con régimen especial. Esta obligación consiste en establecer requisitos habilitantes ajustados o reducidos</w:t>
            </w:r>
            <w:r>
              <w:rPr>
                <w:rFonts w:ascii="Verdana" w:eastAsia="Calibri" w:hAnsi="Verdana" w:cs="Arial"/>
              </w:rPr>
              <w:t>, palabras que se deben entender en el mismo significado de diferencial,</w:t>
            </w:r>
            <w:r w:rsidRPr="0077201E">
              <w:rPr>
                <w:rFonts w:ascii="Verdana" w:eastAsia="Calibri" w:hAnsi="Verdana" w:cs="Arial"/>
              </w:rPr>
              <w:t xml:space="preserve"> en materia de experiencia, capacidad financiera, capacidad organizacional o valor de la garantía de seriedad de la oferta, con el propósito de facilitar la participación de emprendimientos y empresas de </w:t>
            </w:r>
            <w:proofErr w:type="spellStart"/>
            <w:r w:rsidRPr="0077201E">
              <w:rPr>
                <w:rFonts w:ascii="Verdana" w:eastAsia="Calibri" w:hAnsi="Verdana" w:cs="Arial"/>
              </w:rPr>
              <w:t>PcD</w:t>
            </w:r>
            <w:proofErr w:type="spellEnd"/>
            <w:r w:rsidRPr="0077201E">
              <w:rPr>
                <w:rFonts w:ascii="Verdana" w:eastAsia="Calibri" w:hAnsi="Verdana" w:cs="Arial"/>
              </w:rPr>
              <w:t xml:space="preserve"> con domicilio en el territorio nacional. La entidad contratante debe </w:t>
            </w:r>
            <w:r w:rsidRPr="00206556">
              <w:rPr>
                <w:rFonts w:ascii="Verdana" w:eastAsia="Calibri" w:hAnsi="Verdana" w:cs="Arial"/>
              </w:rPr>
              <w:t xml:space="preserve">flexibilizar </w:t>
            </w:r>
            <w:r w:rsidRPr="0077201E">
              <w:rPr>
                <w:rFonts w:ascii="Verdana" w:eastAsia="Calibri" w:hAnsi="Verdana" w:cs="Arial"/>
              </w:rPr>
              <w:t>la mayor cantidad posible de estos requisitos, de acuerdo con lo que resulte justificado en sus estudios y documentos previos para el proceso específico de que se trate, garantizando en todo caso que los requisitos ajustados sean suficientes para acreditar la idoneidad del proponente y asegurar el adecuado cumplimiento del objeto contractual. El límite de ese ajuste es el principio de proporcionalidad, que impide tanto requisitos tan exigentes que tornen nugatorio el beneficio como requisitos tan laxos que pongan en riesgo la ejecución del contrato.</w:t>
            </w:r>
          </w:p>
          <w:p w14:paraId="7BF38B1D" w14:textId="77777777" w:rsidR="005510BC" w:rsidRPr="00206556" w:rsidRDefault="005510BC" w:rsidP="00AD17AD">
            <w:pPr>
              <w:spacing w:before="120" w:after="120" w:line="276" w:lineRule="auto"/>
              <w:ind w:firstLine="709"/>
              <w:jc w:val="both"/>
              <w:rPr>
                <w:rFonts w:ascii="Verdana" w:eastAsia="Calibri" w:hAnsi="Verdana" w:cs="Arial"/>
              </w:rPr>
            </w:pPr>
            <w:r w:rsidRPr="0077201E">
              <w:rPr>
                <w:rFonts w:ascii="Verdana" w:eastAsia="Calibri" w:hAnsi="Verdana" w:cs="Arial"/>
              </w:rPr>
              <w:t>Estos criterios aplican exclusivamente para el primer sujeto del sistema</w:t>
            </w:r>
            <w:r w:rsidRPr="00206556">
              <w:rPr>
                <w:rFonts w:ascii="Verdana" w:eastAsia="Calibri" w:hAnsi="Verdana" w:cs="Arial"/>
              </w:rPr>
              <w:t xml:space="preserve">, es decir, </w:t>
            </w:r>
            <w:r w:rsidRPr="0077201E">
              <w:rPr>
                <w:rFonts w:ascii="Verdana" w:eastAsia="Calibri" w:hAnsi="Verdana" w:cs="Arial"/>
              </w:rPr>
              <w:t xml:space="preserve">los emprendimientos y empresas de </w:t>
            </w:r>
            <w:proofErr w:type="spellStart"/>
            <w:r w:rsidRPr="0077201E">
              <w:rPr>
                <w:rFonts w:ascii="Verdana" w:eastAsia="Calibri" w:hAnsi="Verdana" w:cs="Arial"/>
              </w:rPr>
              <w:t>PcD</w:t>
            </w:r>
            <w:proofErr w:type="spellEnd"/>
            <w:r w:rsidRPr="00206556">
              <w:rPr>
                <w:rFonts w:ascii="Verdana" w:eastAsia="Calibri" w:hAnsi="Verdana" w:cs="Arial"/>
              </w:rPr>
              <w:t>,</w:t>
            </w:r>
            <w:r w:rsidRPr="0077201E">
              <w:rPr>
                <w:rFonts w:ascii="Verdana" w:eastAsia="Calibri" w:hAnsi="Verdana" w:cs="Arial"/>
              </w:rPr>
              <w:t xml:space="preserve"> y no para los empleadores de </w:t>
            </w:r>
            <w:proofErr w:type="spellStart"/>
            <w:r w:rsidRPr="0077201E">
              <w:rPr>
                <w:rFonts w:ascii="Verdana" w:eastAsia="Calibri" w:hAnsi="Verdana" w:cs="Arial"/>
              </w:rPr>
              <w:t>PcD</w:t>
            </w:r>
            <w:proofErr w:type="spellEnd"/>
            <w:r w:rsidRPr="0077201E">
              <w:rPr>
                <w:rFonts w:ascii="Verdana" w:eastAsia="Calibri" w:hAnsi="Verdana" w:cs="Arial"/>
              </w:rPr>
              <w:t>. Esta medida no aplica en mínima cuantía ni en contratación directa. En tratándose de proponentes plurales, la medida opera cuando al menos uno de los integrantes del consorcio o unión temporal cumple las condiciones del artículo 2.2.1.2.4.2.6. del Decreto 1082 de 2015 (modificado), con una participación no inferior al 10% en el proponente plural y aportando la experiencia requerida en una proporción equivalente a su participación; de modo que</w:t>
            </w:r>
            <w:r w:rsidRPr="00206556">
              <w:rPr>
                <w:rFonts w:ascii="Verdana" w:eastAsia="Calibri" w:hAnsi="Verdana" w:cs="Arial"/>
              </w:rPr>
              <w:t>,</w:t>
            </w:r>
            <w:r w:rsidRPr="0077201E">
              <w:rPr>
                <w:rFonts w:ascii="Verdana" w:eastAsia="Calibri" w:hAnsi="Verdana" w:cs="Arial"/>
              </w:rPr>
              <w:t xml:space="preserve"> si ese integrante participa con el 15%, debe aportar al menos el 15% de la experiencia exigida en el pliego.</w:t>
            </w:r>
          </w:p>
          <w:p w14:paraId="492CE3CD" w14:textId="77777777" w:rsidR="005510BC" w:rsidRPr="00073658"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Referente a l</w:t>
            </w:r>
            <w:r w:rsidRPr="00073658">
              <w:rPr>
                <w:rFonts w:ascii="Verdana" w:eastAsia="Calibri" w:hAnsi="Verdana" w:cs="Arial"/>
              </w:rPr>
              <w:t>as condiciones especiales de ejecución</w:t>
            </w:r>
            <w:r w:rsidRPr="00206556">
              <w:rPr>
                <w:rFonts w:ascii="Verdana" w:eastAsia="Calibri" w:hAnsi="Verdana" w:cs="Arial"/>
              </w:rPr>
              <w:t xml:space="preserve">, </w:t>
            </w:r>
            <w:r w:rsidRPr="00073658">
              <w:rPr>
                <w:rFonts w:ascii="Verdana" w:eastAsia="Calibri" w:hAnsi="Verdana" w:cs="Arial"/>
              </w:rPr>
              <w:t>subcontratación inclusiva e integración del equipo de trabajo</w:t>
            </w:r>
            <w:r w:rsidRPr="00206556">
              <w:rPr>
                <w:rFonts w:ascii="Verdana" w:eastAsia="Calibri" w:hAnsi="Verdana" w:cs="Arial"/>
              </w:rPr>
              <w:t xml:space="preserve">, </w:t>
            </w:r>
            <w:r>
              <w:rPr>
                <w:rFonts w:ascii="Verdana" w:eastAsia="Calibri" w:hAnsi="Verdana" w:cs="Arial"/>
              </w:rPr>
              <w:t>es</w:t>
            </w:r>
            <w:r w:rsidRPr="00073658">
              <w:rPr>
                <w:rFonts w:ascii="Verdana" w:eastAsia="Calibri" w:hAnsi="Verdana" w:cs="Arial"/>
              </w:rPr>
              <w:t xml:space="preserve"> obligatori</w:t>
            </w:r>
            <w:r>
              <w:rPr>
                <w:rFonts w:ascii="Verdana" w:eastAsia="Calibri" w:hAnsi="Verdana" w:cs="Arial"/>
              </w:rPr>
              <w:t>o incluir al menos una,</w:t>
            </w:r>
            <w:r w:rsidRPr="00073658">
              <w:rPr>
                <w:rFonts w:ascii="Verdana" w:eastAsia="Calibri" w:hAnsi="Verdana" w:cs="Arial"/>
              </w:rPr>
              <w:t xml:space="preserve"> para las entidades regidas </w:t>
            </w:r>
            <w:r>
              <w:rPr>
                <w:rFonts w:ascii="Verdana" w:eastAsia="Calibri" w:hAnsi="Verdana" w:cs="Arial"/>
              </w:rPr>
              <w:t>por el Estatuto General de Contratación Pública</w:t>
            </w:r>
            <w:r w:rsidRPr="00073658">
              <w:rPr>
                <w:rFonts w:ascii="Verdana" w:eastAsia="Calibri" w:hAnsi="Verdana" w:cs="Arial"/>
              </w:rPr>
              <w:t xml:space="preserve"> en todas las modalidades de selección, incluida la contratación directa. Solo </w:t>
            </w:r>
            <w:r w:rsidRPr="00073658">
              <w:rPr>
                <w:rFonts w:ascii="Verdana" w:eastAsia="Calibri" w:hAnsi="Verdana" w:cs="Arial"/>
              </w:rPr>
              <w:lastRenderedPageBreak/>
              <w:t>puede omitirse su inclusión cuando la entidad lo justifique expresamente en los estudios previos mediante argumentos objetivos que expliquen por qué, dadas las características del contrato específico, ninguna de las dos condiciones resulta aplicable o conveniente. Esta justificación no es una formalidad, sino una verdadera carga argumentativa a cargo de la entidad.</w:t>
            </w:r>
          </w:p>
          <w:p w14:paraId="5A2C0A82" w14:textId="77777777" w:rsidR="005510BC" w:rsidRPr="00073658"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Seguidamente, l</w:t>
            </w:r>
            <w:r w:rsidRPr="00073658">
              <w:rPr>
                <w:rFonts w:ascii="Verdana" w:eastAsia="Calibri" w:hAnsi="Verdana" w:cs="Arial"/>
              </w:rPr>
              <w:t xml:space="preserve">a contratación de </w:t>
            </w:r>
            <w:proofErr w:type="spellStart"/>
            <w:r w:rsidRPr="00073658">
              <w:rPr>
                <w:rFonts w:ascii="Verdana" w:eastAsia="Calibri" w:hAnsi="Verdana" w:cs="Arial"/>
              </w:rPr>
              <w:t>PcD</w:t>
            </w:r>
            <w:proofErr w:type="spellEnd"/>
            <w:r w:rsidRPr="00073658">
              <w:rPr>
                <w:rFonts w:ascii="Verdana" w:eastAsia="Calibri" w:hAnsi="Verdana" w:cs="Arial"/>
              </w:rPr>
              <w:t xml:space="preserve"> a través de contratos de prestación de servicios profesionales y/o de apoyo a la gestión es potestativa y no obligatoria. El artículo 2.2.1.2.4.2.7.6. del Decreto 0287 de 2026 utiliza el verbo "propenderán" para referirse a esta medida, lo que en técnica legislativa colombiana implica un mandato de medios y no de resultado, condicionado expresamente a la planeación institucional, la disponibilidad presupuestal y las necesidades del servicio. No obstante</w:t>
            </w:r>
            <w:r w:rsidRPr="00206556">
              <w:rPr>
                <w:rFonts w:ascii="Verdana" w:eastAsia="Calibri" w:hAnsi="Verdana" w:cs="Arial"/>
              </w:rPr>
              <w:t>,</w:t>
            </w:r>
            <w:r w:rsidRPr="00073658">
              <w:rPr>
                <w:rFonts w:ascii="Verdana" w:eastAsia="Calibri" w:hAnsi="Verdana" w:cs="Arial"/>
              </w:rPr>
              <w:t xml:space="preserve"> su carácter voluntario, esta medida tiene un sustento cuantitativo de enorme relevancia: en el año 2024 se celebraron 747.942 contratos de prestación de servicios por un valor de $16 billones de pesos, universo que representa una oportunidad concreta y progresiva de inclusión laboral de las </w:t>
            </w:r>
            <w:proofErr w:type="spellStart"/>
            <w:r w:rsidRPr="00073658">
              <w:rPr>
                <w:rFonts w:ascii="Verdana" w:eastAsia="Calibri" w:hAnsi="Verdana" w:cs="Arial"/>
              </w:rPr>
              <w:t>PcD</w:t>
            </w:r>
            <w:proofErr w:type="spellEnd"/>
            <w:r w:rsidRPr="00073658">
              <w:rPr>
                <w:rFonts w:ascii="Verdana" w:eastAsia="Calibri" w:hAnsi="Verdana" w:cs="Arial"/>
              </w:rPr>
              <w:t xml:space="preserve"> en el Estado.</w:t>
            </w:r>
          </w:p>
          <w:p w14:paraId="669C11AA" w14:textId="77777777" w:rsidR="005510BC"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Ahora, en cuanto a </w:t>
            </w:r>
            <w:r w:rsidRPr="00073658">
              <w:rPr>
                <w:rFonts w:ascii="Verdana" w:eastAsia="Calibri" w:hAnsi="Verdana" w:cs="Arial"/>
              </w:rPr>
              <w:t>la obligación de compras públicas accesibles</w:t>
            </w:r>
            <w:r>
              <w:rPr>
                <w:rFonts w:ascii="Verdana" w:eastAsia="Calibri" w:hAnsi="Verdana" w:cs="Arial"/>
              </w:rPr>
              <w:t>,</w:t>
            </w:r>
            <w:r w:rsidRPr="00073658">
              <w:rPr>
                <w:rFonts w:ascii="Verdana" w:eastAsia="Calibri" w:hAnsi="Verdana" w:cs="Arial"/>
              </w:rPr>
              <w:t xml:space="preserve"> </w:t>
            </w:r>
            <w:r>
              <w:rPr>
                <w:rFonts w:ascii="Verdana" w:eastAsia="Calibri" w:hAnsi="Verdana" w:cs="Arial"/>
              </w:rPr>
              <w:t>esta es</w:t>
            </w:r>
            <w:r w:rsidRPr="00073658">
              <w:rPr>
                <w:rFonts w:ascii="Verdana" w:eastAsia="Calibri" w:hAnsi="Verdana" w:cs="Arial"/>
              </w:rPr>
              <w:t xml:space="preserve"> transversal a todos los entes del Estado y aplica en todos los contratos en </w:t>
            </w:r>
            <w:r>
              <w:rPr>
                <w:rFonts w:ascii="Verdana" w:eastAsia="Calibri" w:hAnsi="Verdana" w:cs="Arial"/>
              </w:rPr>
              <w:t>los que se adquieran</w:t>
            </w:r>
            <w:r w:rsidRPr="00073658">
              <w:rPr>
                <w:rFonts w:ascii="Verdana" w:eastAsia="Calibri" w:hAnsi="Verdana" w:cs="Arial"/>
              </w:rPr>
              <w:t xml:space="preserve"> bien</w:t>
            </w:r>
            <w:r>
              <w:rPr>
                <w:rFonts w:ascii="Verdana" w:eastAsia="Calibri" w:hAnsi="Verdana" w:cs="Arial"/>
              </w:rPr>
              <w:t>es</w:t>
            </w:r>
            <w:r w:rsidRPr="00073658">
              <w:rPr>
                <w:rFonts w:ascii="Verdana" w:eastAsia="Calibri" w:hAnsi="Verdana" w:cs="Arial"/>
              </w:rPr>
              <w:t>, obra</w:t>
            </w:r>
            <w:r>
              <w:rPr>
                <w:rFonts w:ascii="Verdana" w:eastAsia="Calibri" w:hAnsi="Verdana" w:cs="Arial"/>
              </w:rPr>
              <w:t>s</w:t>
            </w:r>
            <w:r w:rsidRPr="00073658">
              <w:rPr>
                <w:rFonts w:ascii="Verdana" w:eastAsia="Calibri" w:hAnsi="Verdana" w:cs="Arial"/>
              </w:rPr>
              <w:t xml:space="preserve"> o servicio</w:t>
            </w:r>
            <w:r>
              <w:rPr>
                <w:rFonts w:ascii="Verdana" w:eastAsia="Calibri" w:hAnsi="Verdana" w:cs="Arial"/>
              </w:rPr>
              <w:t>s</w:t>
            </w:r>
            <w:r w:rsidRPr="00073658">
              <w:rPr>
                <w:rFonts w:ascii="Verdana" w:eastAsia="Calibri" w:hAnsi="Verdana" w:cs="Arial"/>
              </w:rPr>
              <w:t>. La inexistencia de normas técnicas, reglamentarias o legales aplicables al objeto del contrato no exonera a la entidad de esta obligación: ante esa circunstancia, el artículo 2.2.1.2.4.2.7.1. del Decreto 0287 de 2026 impone a la entidad el deber de elaborar una ficha técnica propia con criterios de accesibilidad determinados desde los estudios previos, teniendo en cuenta las siete categorías de discapacidad definidas por el Ministerio de Salud y Protección Social</w:t>
            </w:r>
            <w:r w:rsidRPr="00206556">
              <w:rPr>
                <w:rFonts w:ascii="Verdana" w:eastAsia="Calibri" w:hAnsi="Verdana" w:cs="Arial"/>
              </w:rPr>
              <w:t xml:space="preserve">, </w:t>
            </w:r>
            <w:r w:rsidRPr="00073658">
              <w:rPr>
                <w:rFonts w:ascii="Verdana" w:eastAsia="Calibri" w:hAnsi="Verdana" w:cs="Arial"/>
              </w:rPr>
              <w:t>visual, física, psicosocial (mental), auditiva, sordoceguera, intelectual y múltiple</w:t>
            </w:r>
            <w:r w:rsidRPr="00206556">
              <w:rPr>
                <w:rFonts w:ascii="Verdana" w:eastAsia="Calibri" w:hAnsi="Verdana" w:cs="Arial"/>
              </w:rPr>
              <w:t>,</w:t>
            </w:r>
            <w:r w:rsidRPr="00073658">
              <w:rPr>
                <w:rFonts w:ascii="Verdana" w:eastAsia="Calibri" w:hAnsi="Verdana" w:cs="Arial"/>
              </w:rPr>
              <w:t xml:space="preserve"> y los principios de accesibilidad universal, diseño universal y ajustes razonables consagrados en la Ley 1346 de 2009 y la Ley 1618 de 2013</w:t>
            </w:r>
            <w:r>
              <w:rPr>
                <w:rFonts w:ascii="Verdana" w:eastAsia="Calibri" w:hAnsi="Verdana" w:cs="Arial"/>
              </w:rPr>
              <w:t>.</w:t>
            </w:r>
          </w:p>
          <w:p w14:paraId="0C5E8AF1" w14:textId="77777777" w:rsidR="005510BC" w:rsidRDefault="005510BC" w:rsidP="00AD17AD">
            <w:pPr>
              <w:spacing w:before="120" w:after="120" w:line="276" w:lineRule="auto"/>
              <w:ind w:firstLine="709"/>
              <w:jc w:val="both"/>
              <w:rPr>
                <w:rFonts w:ascii="Verdana" w:eastAsia="Calibri" w:hAnsi="Verdana" w:cs="Arial"/>
              </w:rPr>
            </w:pPr>
            <w:r w:rsidRPr="00670CFB">
              <w:rPr>
                <w:rFonts w:ascii="Verdana" w:eastAsia="Calibri" w:hAnsi="Verdana" w:cs="Arial"/>
              </w:rPr>
              <w:t>Finalmente, en lo que concierne a las cinco medidas que componen el Sistema Integral de Preferencias y su forma de aplicación, estas operan de manera articulada a lo largo de todo el ciclo contractual: la primera, las herramientas de planeación, se activan antes de la apertura del proceso mediante ferias de negocios inclusivas, criterios sociales en los pliegos y división en lotes</w:t>
            </w:r>
            <w:r>
              <w:rPr>
                <w:rFonts w:ascii="Verdana" w:eastAsia="Calibri" w:hAnsi="Verdana" w:cs="Arial"/>
              </w:rPr>
              <w:t xml:space="preserve"> o segmentos</w:t>
            </w:r>
            <w:r w:rsidRPr="00670CFB">
              <w:rPr>
                <w:rFonts w:ascii="Verdana" w:eastAsia="Calibri" w:hAnsi="Verdana" w:cs="Arial"/>
              </w:rPr>
              <w:t xml:space="preserve">; la segunda, los criterios habilitantes diferenciales operan en la etapa de selección flexibilizando los requisitos de </w:t>
            </w:r>
            <w:r w:rsidRPr="00670CFB">
              <w:rPr>
                <w:rFonts w:ascii="Verdana" w:eastAsia="Calibri" w:hAnsi="Verdana" w:cs="Arial"/>
              </w:rPr>
              <w:lastRenderedPageBreak/>
              <w:t xml:space="preserve">experiencia, capacidad financiera, capacidad organizacional o garantía de seriedad para los emprendimientos y empresas de </w:t>
            </w:r>
            <w:proofErr w:type="spellStart"/>
            <w:r w:rsidRPr="00670CFB">
              <w:rPr>
                <w:rFonts w:ascii="Verdana" w:eastAsia="Calibri" w:hAnsi="Verdana" w:cs="Arial"/>
              </w:rPr>
              <w:t>PcD</w:t>
            </w:r>
            <w:proofErr w:type="spellEnd"/>
            <w:r w:rsidRPr="00670CFB">
              <w:rPr>
                <w:rFonts w:ascii="Verdana" w:eastAsia="Calibri" w:hAnsi="Verdana" w:cs="Arial"/>
              </w:rPr>
              <w:t xml:space="preserve">, con el límite del principio de proporcionalidad; la tercera, el puntaje adicional del 2% opera en la evaluación de propuestas en licitación pública y concurso de méritos otorgando una ventaja real en la calificación de la oferta; la cuarta, las condiciones especiales de ejecución obligan al contratista durante la ejecución a priorizar a las </w:t>
            </w:r>
            <w:proofErr w:type="spellStart"/>
            <w:r w:rsidRPr="00670CFB">
              <w:rPr>
                <w:rFonts w:ascii="Verdana" w:eastAsia="Calibri" w:hAnsi="Verdana" w:cs="Arial"/>
              </w:rPr>
              <w:t>PcD</w:t>
            </w:r>
            <w:proofErr w:type="spellEnd"/>
            <w:r w:rsidRPr="00670CFB">
              <w:rPr>
                <w:rFonts w:ascii="Verdana" w:eastAsia="Calibri" w:hAnsi="Verdana" w:cs="Arial"/>
              </w:rPr>
              <w:t xml:space="preserve"> y sus empresas en la subcontratación </w:t>
            </w:r>
            <w:r>
              <w:rPr>
                <w:rFonts w:ascii="Verdana" w:eastAsia="Calibri" w:hAnsi="Verdana" w:cs="Arial"/>
              </w:rPr>
              <w:t>y/o</w:t>
            </w:r>
            <w:r w:rsidRPr="00670CFB">
              <w:rPr>
                <w:rFonts w:ascii="Verdana" w:eastAsia="Calibri" w:hAnsi="Verdana" w:cs="Arial"/>
              </w:rPr>
              <w:t xml:space="preserve"> en la conformación del equipo de trabajo; y la quinta, la inclusión potestativa de </w:t>
            </w:r>
            <w:proofErr w:type="spellStart"/>
            <w:r w:rsidRPr="00670CFB">
              <w:rPr>
                <w:rFonts w:ascii="Verdana" w:eastAsia="Calibri" w:hAnsi="Verdana" w:cs="Arial"/>
              </w:rPr>
              <w:t>PcD</w:t>
            </w:r>
            <w:proofErr w:type="spellEnd"/>
            <w:r w:rsidRPr="00670CFB">
              <w:rPr>
                <w:rFonts w:ascii="Verdana" w:eastAsia="Calibri" w:hAnsi="Verdana" w:cs="Arial"/>
              </w:rPr>
              <w:t xml:space="preserve"> en contratos de prestación de servicios, permite a las entidades </w:t>
            </w:r>
            <w:r>
              <w:rPr>
                <w:rFonts w:ascii="Verdana" w:eastAsia="Calibri" w:hAnsi="Verdana" w:cs="Arial"/>
              </w:rPr>
              <w:t>sometidas al Estatuto General de Contratación Pública</w:t>
            </w:r>
            <w:r w:rsidRPr="00670CFB">
              <w:rPr>
                <w:rFonts w:ascii="Verdana" w:eastAsia="Calibri" w:hAnsi="Verdana" w:cs="Arial"/>
              </w:rPr>
              <w:t xml:space="preserve"> vincular directamente personas con discapacidad en la modalidad de contratación directa. El incumplimiento de cualquiera de estas medidas tiene consecuencias jurídicas concretas que van desde la invalidez de los documentos del proceso hasta la configuración de causales de incumplimiento contractual, según la fase en que se produzca la omisión</w:t>
            </w:r>
            <w:r>
              <w:rPr>
                <w:rFonts w:ascii="Verdana" w:eastAsia="Calibri" w:hAnsi="Verdana" w:cs="Arial"/>
              </w:rPr>
              <w:t>, así como sanciones por los entes de control por la celebración de contratos sin el cumplimiento de requisitos legales</w:t>
            </w:r>
            <w:r w:rsidRPr="00670CFB">
              <w:rPr>
                <w:rFonts w:ascii="Verdana" w:eastAsia="Calibri" w:hAnsi="Verdana" w:cs="Arial"/>
              </w:rPr>
              <w:t>.</w:t>
            </w:r>
          </w:p>
          <w:p w14:paraId="2204ED69" w14:textId="77777777" w:rsidR="005510BC" w:rsidRPr="00D851ED" w:rsidRDefault="005510BC" w:rsidP="00AD17AD">
            <w:pPr>
              <w:spacing w:before="120" w:after="120" w:line="276" w:lineRule="auto"/>
              <w:ind w:firstLine="709"/>
              <w:jc w:val="both"/>
              <w:rPr>
                <w:rFonts w:ascii="Verdana" w:eastAsia="Calibri" w:hAnsi="Verdana" w:cs="Arial"/>
              </w:rPr>
            </w:pPr>
            <w:r>
              <w:rPr>
                <w:rFonts w:ascii="Verdana" w:eastAsia="Calibri" w:hAnsi="Verdana" w:cs="Arial"/>
              </w:rPr>
              <w:t xml:space="preserve">Por último, respecto del régimen de transición para la aplicación del Decreto 287 de 2026, se debe tener en cuenta que </w:t>
            </w:r>
            <w:r w:rsidRPr="00D851ED">
              <w:rPr>
                <w:rFonts w:ascii="Verdana" w:eastAsia="Calibri" w:hAnsi="Verdana" w:cs="Arial"/>
              </w:rPr>
              <w:t>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w:t>
            </w:r>
            <w:r>
              <w:rPr>
                <w:rFonts w:ascii="Verdana" w:eastAsia="Calibri" w:hAnsi="Verdana" w:cs="Arial"/>
              </w:rPr>
              <w:t>, pero lo señalado en este concepto debe entenderse de acuerdo con la nueva redacción de los artículos enlistados, y no recurrir a la antigua redacción</w:t>
            </w:r>
            <w:r w:rsidRPr="00D851ED">
              <w:rPr>
                <w:rFonts w:ascii="Verdana" w:eastAsia="Calibri" w:hAnsi="Verdana" w:cs="Arial"/>
              </w:rPr>
              <w:t>.</w:t>
            </w:r>
          </w:p>
          <w:p w14:paraId="32148EEA" w14:textId="77777777" w:rsidR="005510BC" w:rsidRPr="00D851ED" w:rsidRDefault="005510BC" w:rsidP="00AD17AD">
            <w:pPr>
              <w:spacing w:before="120" w:after="120" w:line="276" w:lineRule="auto"/>
              <w:ind w:firstLine="709"/>
              <w:jc w:val="both"/>
              <w:rPr>
                <w:rFonts w:ascii="Verdana" w:eastAsia="Calibri" w:hAnsi="Verdana" w:cs="Arial"/>
              </w:rPr>
            </w:pPr>
            <w:r w:rsidRPr="00D851ED">
              <w:rPr>
                <w:rFonts w:ascii="Verdana" w:eastAsia="Calibri" w:hAnsi="Verdana" w:cs="Arial"/>
              </w:rPr>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D851ED">
              <w:rPr>
                <w:rFonts w:ascii="Verdana" w:eastAsia="Calibri" w:hAnsi="Verdana" w:cs="Arial"/>
              </w:rPr>
              <w:t>ii</w:t>
            </w:r>
            <w:proofErr w:type="spellEnd"/>
            <w:r w:rsidRPr="00D851ED">
              <w:rPr>
                <w:rFonts w:ascii="Verdana" w:eastAsia="Calibri" w:hAnsi="Verdana" w:cs="Arial"/>
              </w:rPr>
              <w:t xml:space="preserve">) La resolución de apertura no existe, o fue expedida el 20 de marzo de 2026 o en fecha posterior, por lo que se debe incorporar el Decreto 287 de 2026 al proceso contractual y la entidad debe ajustar sus estudios previos y pliegos </w:t>
            </w:r>
            <w:r w:rsidRPr="00D851ED">
              <w:rPr>
                <w:rFonts w:ascii="Verdana" w:eastAsia="Calibri" w:hAnsi="Verdana" w:cs="Arial"/>
              </w:rPr>
              <w:lastRenderedPageBreak/>
              <w:t>de condiciones, incluido el proyecto de pliego, para dar pleno cumplimiento al decreto antes de expedir el acto administrativo de apertura.</w:t>
            </w:r>
          </w:p>
          <w:p w14:paraId="59BB8292" w14:textId="77777777" w:rsidR="005510BC" w:rsidRPr="00670CFB" w:rsidRDefault="005510BC" w:rsidP="00AD17AD">
            <w:pPr>
              <w:spacing w:before="120" w:after="120" w:line="276" w:lineRule="auto"/>
              <w:ind w:firstLine="709"/>
              <w:jc w:val="both"/>
              <w:rPr>
                <w:rFonts w:ascii="Verdana" w:eastAsia="Calibri" w:hAnsi="Verdana" w:cs="Arial"/>
              </w:rPr>
            </w:pPr>
            <w:r w:rsidRPr="00D851ED">
              <w:rPr>
                <w:rFonts w:ascii="Verdana" w:eastAsia="Calibri" w:hAnsi="Verdana" w:cs="Arial"/>
              </w:rPr>
              <w:t xml:space="preserve">Para los procesos de contratación con proyecto de pliego </w:t>
            </w:r>
            <w:proofErr w:type="gramStart"/>
            <w:r w:rsidRPr="00D851ED">
              <w:rPr>
                <w:rFonts w:ascii="Verdana" w:eastAsia="Calibri" w:hAnsi="Verdana" w:cs="Arial"/>
              </w:rPr>
              <w:t>publicado</w:t>
            </w:r>
            <w:proofErr w:type="gramEnd"/>
            <w:r w:rsidRPr="00D851ED">
              <w:rPr>
                <w:rFonts w:ascii="Verdana" w:eastAsia="Calibri" w:hAnsi="Verdana" w:cs="Arial"/>
              </w:rPr>
              <w:t xml:space="preserve"> pero sin apertura al 19 de marzo de 2026, se recomienda que se incorporen las medidas del Decreto 287 de 2026 antes de publicar los pliegos definitivos. En esa etapa aún es posible realizar ajustes sin afectar derechos adquiridos de los proponentes</w:t>
            </w:r>
            <w:r>
              <w:rPr>
                <w:rFonts w:ascii="Verdana" w:eastAsia="Calibri" w:hAnsi="Verdana" w:cs="Arial"/>
              </w:rPr>
              <w:t>.</w:t>
            </w:r>
          </w:p>
        </w:tc>
      </w:tr>
    </w:tbl>
    <w:p w14:paraId="7F676FBC"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3E367C81"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4B53286B" w14:textId="77777777" w:rsidR="005510BC" w:rsidRPr="00206556" w:rsidRDefault="005510BC" w:rsidP="005510BC">
      <w:pPr>
        <w:tabs>
          <w:tab w:val="left" w:pos="142"/>
          <w:tab w:val="left" w:pos="284"/>
        </w:tabs>
        <w:spacing w:after="0" w:line="276" w:lineRule="auto"/>
        <w:jc w:val="both"/>
        <w:rPr>
          <w:rFonts w:ascii="Verdana" w:eastAsia="Century Gothic" w:hAnsi="Verdana" w:cs="Century Gothic"/>
          <w:b/>
          <w:color w:val="ED7D31" w:themeColor="accent2"/>
          <w:lang w:val="es-ES"/>
        </w:rPr>
      </w:pPr>
    </w:p>
    <w:p w14:paraId="50427C9E" w14:textId="77777777" w:rsidR="005510BC" w:rsidRPr="00206556" w:rsidRDefault="005510BC" w:rsidP="005510BC">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21B39AE2" w14:textId="77777777" w:rsidR="005510BC" w:rsidRPr="00206556" w:rsidRDefault="005510BC" w:rsidP="005510BC">
      <w:pPr>
        <w:spacing w:after="0" w:line="276" w:lineRule="auto"/>
        <w:jc w:val="both"/>
        <w:rPr>
          <w:rFonts w:ascii="Verdana" w:eastAsia="Calibri" w:hAnsi="Verdana" w:cs="Arial"/>
          <w:lang w:val="es-ES"/>
        </w:rPr>
      </w:pPr>
    </w:p>
    <w:p w14:paraId="02498FA5" w14:textId="77777777" w:rsidR="005510BC" w:rsidRPr="00206556" w:rsidRDefault="005510BC" w:rsidP="005510BC">
      <w:pPr>
        <w:spacing w:after="120" w:line="276" w:lineRule="auto"/>
        <w:jc w:val="both"/>
        <w:rPr>
          <w:rFonts w:ascii="Verdana" w:hAnsi="Verdana"/>
        </w:rPr>
      </w:pPr>
      <w:r w:rsidRPr="00206556">
        <w:rPr>
          <w:rFonts w:ascii="Verdana" w:eastAsia="Calibri" w:hAnsi="Verdana" w:cs="Arial"/>
          <w:lang w:val="es-ES"/>
        </w:rPr>
        <w:t xml:space="preserve">(i) </w:t>
      </w:r>
      <w:r w:rsidRPr="00206556">
        <w:rPr>
          <w:rFonts w:ascii="Verdana" w:eastAsia="Calibri" w:hAnsi="Verdana" w:cs="Arial"/>
        </w:rPr>
        <w:t xml:space="preserve">Para resolver el problema jurídico planteado, esta Agencia considera necesario partir de los antecedentes normativos que explican el origen, la 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 xml:space="preserve">El fundamento del Sistema de Preferencias para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2"/>
      </w:r>
      <w:r>
        <w:rPr>
          <w:rFonts w:ascii="Verdana" w:eastAsia="Times New Roman" w:hAnsi="Verdana" w:cs="Times New Roman"/>
        </w:rPr>
        <w:t>.</w:t>
      </w:r>
    </w:p>
    <w:p w14:paraId="5B18619D" w14:textId="77777777" w:rsidR="005510BC" w:rsidRPr="00206556" w:rsidRDefault="005510BC" w:rsidP="005510BC">
      <w:pPr>
        <w:spacing w:after="120" w:line="276" w:lineRule="auto"/>
        <w:ind w:firstLine="708"/>
        <w:jc w:val="both"/>
        <w:rPr>
          <w:rFonts w:ascii="Verdana" w:hAnsi="Verdana"/>
        </w:rPr>
      </w:pPr>
      <w:r w:rsidRPr="00206556">
        <w:rPr>
          <w:rFonts w:ascii="Verdana" w:eastAsia="Times New Roman" w:hAnsi="Verdana" w:cs="Times New Roman"/>
        </w:rPr>
        <w:t xml:space="preserve">En el plano internacional, Colombia es Estado Parte de instrumentos que conforman el Bloque de Constitucionalidad en virtud del artículo 93 superior. La </w:t>
      </w:r>
      <w:r w:rsidRPr="00206556">
        <w:rPr>
          <w:rFonts w:ascii="Verdana" w:eastAsia="Times New Roman" w:hAnsi="Verdana" w:cs="Times New Roman"/>
        </w:rPr>
        <w:lastRenderedPageBreak/>
        <w:t>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materia de empleo.</w:t>
      </w:r>
    </w:p>
    <w:p w14:paraId="5165B87A" w14:textId="77777777" w:rsidR="005510BC" w:rsidRPr="00206556" w:rsidRDefault="005510BC" w:rsidP="005510BC">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361 de 1997 estableció los primeros mecanismos de integración social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Su artículo 24 introdujo una preferencia en igualdad de condiciones en licitaciones y adjudicaciones de contratos para los empleadores que tuvieran al menos el 10% de su nómina compuesta por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pero su alcance era limitado: una preferencia residual aplicable solo en caso de empate, que beneficiaba únicamente a los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sin considerar a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proponentes directos.</w:t>
      </w:r>
    </w:p>
    <w:p w14:paraId="4662F524" w14:textId="77777777" w:rsidR="005510BC" w:rsidRPr="00206556" w:rsidRDefault="005510BC" w:rsidP="005510BC">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Estatutaria 1618 de 2013 representó un salto cualitativo en el marco jurídico de protección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al definir a estas como </w:t>
      </w:r>
      <w:r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w:t>
      </w:r>
      <w:r w:rsidRPr="00206556">
        <w:rPr>
          <w:rFonts w:ascii="Verdana" w:eastAsia="Times New Roman" w:hAnsi="Verdana" w:cs="Times New Roman"/>
        </w:rPr>
        <w:lastRenderedPageBreak/>
        <w:t xml:space="preserve">al Gobierno Nacional reglamentar: una puntuación adicional en licitación pública, concurso de méritos y contratación directa para empresas que vinculen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y para empresas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un sistema de preferencias para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adjudicación; y un sistema de preferencias en favor de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xml:space="preserve">, que por definición no puede reducirse a una sola </w:t>
      </w:r>
      <w:proofErr w:type="gramStart"/>
      <w:r w:rsidRPr="00206556">
        <w:rPr>
          <w:rFonts w:ascii="Verdana" w:eastAsia="Times New Roman" w:hAnsi="Verdana" w:cs="Times New Roman"/>
        </w:rPr>
        <w:t>medida</w:t>
      </w:r>
      <w:proofErr w:type="gramEnd"/>
      <w:r w:rsidRPr="00206556">
        <w:rPr>
          <w:rFonts w:ascii="Verdana" w:eastAsia="Times New Roman" w:hAnsi="Verdana" w:cs="Times New Roman"/>
        </w:rPr>
        <w:t xml:space="preserve"> sino que implica un conjunto estructurado de instrumentos que actúen en las distintas fases del proceso contractual.</w:t>
      </w:r>
    </w:p>
    <w:p w14:paraId="5D63313B" w14:textId="77777777" w:rsidR="005510BC" w:rsidRPr="00E727F0" w:rsidRDefault="005510BC" w:rsidP="005510BC">
      <w:pPr>
        <w:spacing w:after="120" w:line="276" w:lineRule="auto"/>
        <w:ind w:firstLine="709"/>
        <w:jc w:val="both"/>
        <w:rPr>
          <w:rFonts w:ascii="Verdana" w:hAnsi="Verdana"/>
        </w:rPr>
      </w:pPr>
      <w:r w:rsidRPr="00E727F0">
        <w:rPr>
          <w:rFonts w:ascii="Verdana" w:hAnsi="Verdana"/>
        </w:rPr>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w:t>
      </w:r>
      <w:proofErr w:type="spellStart"/>
      <w:r w:rsidRPr="00E727F0">
        <w:rPr>
          <w:rFonts w:ascii="Verdana" w:hAnsi="Verdana"/>
        </w:rPr>
        <w:t>PcD</w:t>
      </w:r>
      <w:proofErr w:type="spellEnd"/>
      <w:r w:rsidRPr="00E727F0">
        <w:rPr>
          <w:rFonts w:ascii="Verdana" w:hAnsi="Verdana"/>
        </w:rPr>
        <w:t xml:space="preserve">, sin incluir a las empresas de </w:t>
      </w:r>
      <w:proofErr w:type="spellStart"/>
      <w:r w:rsidRPr="00E727F0">
        <w:rPr>
          <w:rFonts w:ascii="Verdana" w:hAnsi="Verdana"/>
        </w:rPr>
        <w:t>PcD</w:t>
      </w:r>
      <w:proofErr w:type="spellEnd"/>
      <w:r w:rsidRPr="00E727F0">
        <w:rPr>
          <w:rFonts w:ascii="Verdana" w:hAnsi="Verdana"/>
        </w:rPr>
        <w:t>;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 xml:space="preserve">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sidRPr="00A420A9">
        <w:rPr>
          <w:rFonts w:ascii="Verdana" w:hAnsi="Verdana"/>
        </w:rPr>
        <w:t>PcD</w:t>
      </w:r>
      <w:proofErr w:type="spellEnd"/>
      <w:r w:rsidRPr="00A420A9">
        <w:rPr>
          <w:rFonts w:ascii="Verdana" w:hAnsi="Verdana"/>
        </w:rPr>
        <w:t xml:space="preserve"> como contratistas.</w:t>
      </w:r>
    </w:p>
    <w:p w14:paraId="41648564" w14:textId="77777777" w:rsidR="005510BC" w:rsidRDefault="005510BC" w:rsidP="005510BC">
      <w:pPr>
        <w:spacing w:after="120" w:line="276" w:lineRule="auto"/>
        <w:ind w:firstLine="709"/>
        <w:jc w:val="both"/>
        <w:rPr>
          <w:rFonts w:ascii="Verdana" w:hAnsi="Verdana"/>
        </w:rPr>
      </w:pPr>
    </w:p>
    <w:p w14:paraId="485E28D1" w14:textId="77777777" w:rsidR="005510BC" w:rsidRPr="00A420A9" w:rsidRDefault="005510BC" w:rsidP="005510BC">
      <w:pPr>
        <w:spacing w:after="120" w:line="276" w:lineRule="auto"/>
        <w:ind w:firstLine="709"/>
        <w:jc w:val="both"/>
        <w:rPr>
          <w:rFonts w:ascii="Verdana" w:hAnsi="Verdana"/>
        </w:rPr>
      </w:pPr>
    </w:p>
    <w:p w14:paraId="5F50AB72" w14:textId="77777777" w:rsidR="005510BC" w:rsidRPr="00A420A9" w:rsidRDefault="005510BC" w:rsidP="005510BC">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w:t>
      </w:r>
      <w:r w:rsidRPr="00A420A9">
        <w:rPr>
          <w:rFonts w:ascii="Verdana" w:hAnsi="Verdana"/>
        </w:rPr>
        <w:lastRenderedPageBreak/>
        <w:t>contaba con margen de discrecionalidad para decidir si reglamentaba o no el sistema de preferencias.</w:t>
      </w:r>
    </w:p>
    <w:p w14:paraId="34CE263B" w14:textId="77777777" w:rsidR="005510BC" w:rsidRDefault="005510BC" w:rsidP="005510BC">
      <w:pPr>
        <w:spacing w:after="120" w:line="276" w:lineRule="auto"/>
        <w:ind w:firstLine="709"/>
        <w:jc w:val="both"/>
        <w:rPr>
          <w:rFonts w:ascii="Verdana" w:hAnsi="Verdana"/>
        </w:rPr>
      </w:pPr>
    </w:p>
    <w:p w14:paraId="639D7BE6" w14:textId="77777777" w:rsidR="005510BC" w:rsidRDefault="005510BC" w:rsidP="005510BC">
      <w:pPr>
        <w:spacing w:after="120" w:line="276" w:lineRule="auto"/>
        <w:ind w:firstLine="709"/>
        <w:jc w:val="both"/>
        <w:rPr>
          <w:rFonts w:ascii="Verdana" w:hAnsi="Verdana"/>
        </w:rPr>
      </w:pPr>
      <w:r w:rsidRPr="00E727F0">
        <w:rPr>
          <w:rFonts w:ascii="Verdana" w:hAnsi="Verdana"/>
        </w:rPr>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w:t>
      </w:r>
      <w:proofErr w:type="spellStart"/>
      <w:r w:rsidRPr="00E727F0">
        <w:rPr>
          <w:rFonts w:ascii="Verdana" w:hAnsi="Verdana"/>
        </w:rPr>
        <w:t>PcD</w:t>
      </w:r>
      <w:proofErr w:type="spellEnd"/>
      <w:r w:rsidRPr="00E727F0">
        <w:rPr>
          <w:rFonts w:ascii="Verdana" w:hAnsi="Verdana"/>
        </w:rPr>
        <w:t xml:space="preserve"> y los empleadores de </w:t>
      </w:r>
      <w:proofErr w:type="spellStart"/>
      <w:r w:rsidRPr="00E727F0">
        <w:rPr>
          <w:rFonts w:ascii="Verdana" w:hAnsi="Verdana"/>
        </w:rPr>
        <w:t>PcD</w:t>
      </w:r>
      <w:proofErr w:type="spellEnd"/>
      <w:r w:rsidRPr="00E727F0">
        <w:rPr>
          <w:rFonts w:ascii="Verdana" w:hAnsi="Verdana"/>
        </w:rPr>
        <w:t xml:space="preserve">. A continuación, se desarrolla el alcance de cada aspecto del sistema planteado en los problemas jurídicos. </w:t>
      </w:r>
    </w:p>
    <w:p w14:paraId="2BA717EC" w14:textId="77777777" w:rsidR="005510BC" w:rsidRPr="00E727F0" w:rsidRDefault="005510BC" w:rsidP="005510BC">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conforme a las categorías del artículo 2.2.1.2.4.2.6., o ser empleador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444D8BC1" w14:textId="77777777" w:rsidR="005510BC" w:rsidRPr="00E727F0" w:rsidRDefault="005510BC" w:rsidP="005510BC">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6DF74ED7" w14:textId="77777777" w:rsidR="005510BC" w:rsidRPr="00206556" w:rsidRDefault="005510BC" w:rsidP="005510BC">
      <w:pPr>
        <w:spacing w:after="120" w:line="276" w:lineRule="auto"/>
        <w:ind w:firstLine="709"/>
        <w:jc w:val="both"/>
        <w:rPr>
          <w:rFonts w:ascii="Verdana" w:hAnsi="Verdana"/>
        </w:rPr>
      </w:pPr>
      <w:r w:rsidRPr="00E727F0">
        <w:rPr>
          <w:rFonts w:ascii="Verdana" w:eastAsia="Times New Roman" w:hAnsi="Verdana" w:cs="Times New Roman"/>
        </w:rPr>
        <w:t xml:space="preserve">Esta decisión normativa responde a una razón de diseño del sistema: el 2% ya incorpora el estímulo suficiente para promover la inclusión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4398853E" w14:textId="77777777" w:rsidR="005510BC" w:rsidRPr="00D22B7C" w:rsidRDefault="005510BC" w:rsidP="005510BC">
      <w:pPr>
        <w:spacing w:after="120" w:line="276" w:lineRule="auto"/>
        <w:ind w:firstLine="709"/>
        <w:jc w:val="both"/>
        <w:rPr>
          <w:rFonts w:ascii="Verdana" w:hAnsi="Verdana"/>
        </w:rPr>
      </w:pPr>
      <w:r w:rsidRPr="00206556">
        <w:rPr>
          <w:rFonts w:ascii="Verdana" w:eastAsia="Times New Roman" w:hAnsi="Verdana" w:cs="Times New Roman"/>
        </w:rPr>
        <w:lastRenderedPageBreak/>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 xml:space="preserve">En cuanto a la exigencia del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el proponente debe acreditar dentro de su planta de personal la vinculación de personas con discapacidad mediante contrato laboral con dedicación exclusiva, superando los mínimos que exige la Ley 2466 de 2025 (Reforma Laboral). 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requerido varía según el tamaño de la planta de personal del proponente, conforme a la siguiente tabla:</w:t>
      </w:r>
    </w:p>
    <w:p w14:paraId="4D3C6E2B" w14:textId="77777777" w:rsidR="005510BC" w:rsidRPr="00D22B7C" w:rsidRDefault="005510BC" w:rsidP="005510BC">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5510BC" w:rsidRPr="00D22B7C" w14:paraId="6F151AF3"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25B4EE0" w14:textId="77777777" w:rsidR="005510BC" w:rsidRPr="00D22B7C" w:rsidRDefault="005510BC" w:rsidP="00AD17AD">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3EDA664" w14:textId="77777777" w:rsidR="005510BC" w:rsidRPr="00D22B7C" w:rsidRDefault="005510BC" w:rsidP="00AD17AD">
            <w:pPr>
              <w:jc w:val="center"/>
              <w:rPr>
                <w:rFonts w:ascii="Verdana" w:hAnsi="Verdana"/>
              </w:rPr>
            </w:pPr>
            <w:r w:rsidRPr="00D22B7C">
              <w:rPr>
                <w:rFonts w:ascii="Verdana" w:eastAsia="Times New Roman" w:hAnsi="Verdana" w:cs="Times New Roman"/>
                <w:b/>
                <w:bCs/>
              </w:rPr>
              <w:t>Número mínimo de trabajadores con discapacidad requerido</w:t>
            </w:r>
          </w:p>
        </w:tc>
      </w:tr>
      <w:tr w:rsidR="005510BC" w:rsidRPr="00D22B7C" w14:paraId="43A1DF5F"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7B7C734" w14:textId="77777777" w:rsidR="005510BC" w:rsidRPr="00D22B7C" w:rsidRDefault="005510BC" w:rsidP="00AD17AD">
            <w:pPr>
              <w:jc w:val="center"/>
              <w:rPr>
                <w:rFonts w:ascii="Verdana" w:hAnsi="Verdana"/>
              </w:rPr>
            </w:pPr>
            <w:r w:rsidRPr="00D22B7C">
              <w:rPr>
                <w:rFonts w:ascii="Verdana" w:eastAsia="Times New Roman" w:hAnsi="Verdana" w:cs="Times New Roman"/>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061D12A" w14:textId="77777777" w:rsidR="005510BC" w:rsidRPr="00D22B7C" w:rsidRDefault="005510BC" w:rsidP="00AD17AD">
            <w:pPr>
              <w:jc w:val="center"/>
              <w:rPr>
                <w:rFonts w:ascii="Verdana" w:hAnsi="Verdana"/>
              </w:rPr>
            </w:pPr>
            <w:r w:rsidRPr="00D22B7C">
              <w:rPr>
                <w:rFonts w:ascii="Verdana" w:eastAsia="Times New Roman" w:hAnsi="Verdana" w:cs="Times New Roman"/>
              </w:rPr>
              <w:t>2</w:t>
            </w:r>
          </w:p>
        </w:tc>
      </w:tr>
      <w:tr w:rsidR="005510BC" w:rsidRPr="00D22B7C" w14:paraId="266DEBF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403124F" w14:textId="77777777" w:rsidR="005510BC" w:rsidRPr="00D22B7C" w:rsidRDefault="005510BC" w:rsidP="00AD17AD">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4E23DE8" w14:textId="77777777" w:rsidR="005510BC" w:rsidRPr="00D22B7C" w:rsidRDefault="005510BC" w:rsidP="00AD17AD">
            <w:pPr>
              <w:jc w:val="center"/>
              <w:rPr>
                <w:rFonts w:ascii="Verdana" w:hAnsi="Verdana"/>
              </w:rPr>
            </w:pPr>
            <w:r w:rsidRPr="00D22B7C">
              <w:rPr>
                <w:rFonts w:ascii="Verdana" w:eastAsia="Times New Roman" w:hAnsi="Verdana" w:cs="Times New Roman"/>
              </w:rPr>
              <w:t>3</w:t>
            </w:r>
          </w:p>
        </w:tc>
      </w:tr>
      <w:tr w:rsidR="005510BC" w:rsidRPr="00D22B7C" w14:paraId="315FE4D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2030261" w14:textId="77777777" w:rsidR="005510BC" w:rsidRPr="00D22B7C" w:rsidRDefault="005510BC" w:rsidP="00AD17AD">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7F294B" w14:textId="77777777" w:rsidR="005510BC" w:rsidRPr="00D22B7C" w:rsidRDefault="005510BC" w:rsidP="00AD17AD">
            <w:pPr>
              <w:jc w:val="center"/>
              <w:rPr>
                <w:rFonts w:ascii="Verdana" w:hAnsi="Verdana"/>
              </w:rPr>
            </w:pPr>
            <w:r w:rsidRPr="00D22B7C">
              <w:rPr>
                <w:rFonts w:ascii="Verdana" w:eastAsia="Times New Roman" w:hAnsi="Verdana" w:cs="Times New Roman"/>
              </w:rPr>
              <w:t>4</w:t>
            </w:r>
          </w:p>
        </w:tc>
      </w:tr>
      <w:tr w:rsidR="005510BC" w:rsidRPr="00D22B7C" w14:paraId="19B7392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6DB91C1" w14:textId="77777777" w:rsidR="005510BC" w:rsidRPr="00D22B7C" w:rsidRDefault="005510BC" w:rsidP="00AD17AD">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737E0A" w14:textId="77777777" w:rsidR="005510BC" w:rsidRPr="00D22B7C" w:rsidRDefault="005510BC" w:rsidP="00AD17AD">
            <w:pPr>
              <w:jc w:val="center"/>
              <w:rPr>
                <w:rFonts w:ascii="Verdana" w:hAnsi="Verdana"/>
              </w:rPr>
            </w:pPr>
            <w:r w:rsidRPr="00D22B7C">
              <w:rPr>
                <w:rFonts w:ascii="Verdana" w:eastAsia="Times New Roman" w:hAnsi="Verdana" w:cs="Times New Roman"/>
              </w:rPr>
              <w:t>5</w:t>
            </w:r>
          </w:p>
        </w:tc>
      </w:tr>
      <w:tr w:rsidR="005510BC" w:rsidRPr="00D22B7C" w14:paraId="4BDEAA4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5192A6C" w14:textId="77777777" w:rsidR="005510BC" w:rsidRPr="00D22B7C" w:rsidRDefault="005510BC" w:rsidP="00AD17AD">
            <w:pPr>
              <w:jc w:val="center"/>
              <w:rPr>
                <w:rFonts w:ascii="Verdana" w:hAnsi="Verdana"/>
              </w:rPr>
            </w:pPr>
            <w:r w:rsidRPr="00D22B7C">
              <w:rPr>
                <w:rFonts w:ascii="Verdana" w:eastAsia="Times New Roman" w:hAnsi="Verdana" w:cs="Times New Roman"/>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17D381E" w14:textId="77777777" w:rsidR="005510BC" w:rsidRPr="00D22B7C" w:rsidRDefault="005510BC" w:rsidP="00AD17AD">
            <w:pPr>
              <w:jc w:val="center"/>
              <w:rPr>
                <w:rFonts w:ascii="Verdana" w:hAnsi="Verdana"/>
              </w:rPr>
            </w:pPr>
            <w:r w:rsidRPr="00D22B7C">
              <w:rPr>
                <w:rFonts w:ascii="Verdana" w:eastAsia="Times New Roman" w:hAnsi="Verdana" w:cs="Times New Roman"/>
              </w:rPr>
              <w:t>7</w:t>
            </w:r>
          </w:p>
        </w:tc>
      </w:tr>
      <w:tr w:rsidR="005510BC" w:rsidRPr="00D22B7C" w14:paraId="37BE65DB"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37DF74" w14:textId="77777777" w:rsidR="005510BC" w:rsidRPr="00D22B7C" w:rsidRDefault="005510BC" w:rsidP="00AD17AD">
            <w:pPr>
              <w:jc w:val="center"/>
              <w:rPr>
                <w:rFonts w:ascii="Verdana" w:hAnsi="Verdana"/>
              </w:rPr>
            </w:pPr>
            <w:r w:rsidRPr="00D22B7C">
              <w:rPr>
                <w:rFonts w:ascii="Verdana" w:eastAsia="Times New Roman" w:hAnsi="Verdana" w:cs="Times New Roman"/>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8447AC" w14:textId="77777777" w:rsidR="005510BC" w:rsidRPr="00D22B7C" w:rsidRDefault="005510BC" w:rsidP="00AD17AD">
            <w:pPr>
              <w:jc w:val="center"/>
              <w:rPr>
                <w:rFonts w:ascii="Verdana" w:hAnsi="Verdana"/>
              </w:rPr>
            </w:pPr>
            <w:r w:rsidRPr="00D22B7C">
              <w:rPr>
                <w:rFonts w:ascii="Verdana" w:eastAsia="Times New Roman" w:hAnsi="Verdana" w:cs="Times New Roman"/>
              </w:rPr>
              <w:t>10</w:t>
            </w:r>
          </w:p>
        </w:tc>
      </w:tr>
      <w:tr w:rsidR="005510BC" w:rsidRPr="00D22B7C" w14:paraId="19644D6C"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E564A44" w14:textId="77777777" w:rsidR="005510BC" w:rsidRPr="00D22B7C" w:rsidRDefault="005510BC" w:rsidP="00AD17AD">
            <w:pPr>
              <w:jc w:val="center"/>
              <w:rPr>
                <w:rFonts w:ascii="Verdana" w:hAnsi="Verdana"/>
              </w:rPr>
            </w:pPr>
            <w:r w:rsidRPr="00D22B7C">
              <w:rPr>
                <w:rFonts w:ascii="Verdana" w:eastAsia="Times New Roman" w:hAnsi="Verdana" w:cs="Times New Roman"/>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6BE605" w14:textId="77777777" w:rsidR="005510BC" w:rsidRPr="00D22B7C" w:rsidRDefault="005510BC" w:rsidP="00AD17AD">
            <w:pPr>
              <w:jc w:val="center"/>
              <w:rPr>
                <w:rFonts w:ascii="Verdana" w:hAnsi="Verdana"/>
              </w:rPr>
            </w:pPr>
            <w:r w:rsidRPr="00D22B7C">
              <w:rPr>
                <w:rFonts w:ascii="Verdana" w:eastAsia="Times New Roman" w:hAnsi="Verdana" w:cs="Times New Roman"/>
              </w:rPr>
              <w:t>12</w:t>
            </w:r>
          </w:p>
        </w:tc>
      </w:tr>
      <w:tr w:rsidR="005510BC" w:rsidRPr="00D22B7C" w14:paraId="101991F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7FAE899" w14:textId="77777777" w:rsidR="005510BC" w:rsidRPr="00D22B7C" w:rsidRDefault="005510BC" w:rsidP="00AD17AD">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FBA108C" w14:textId="77777777" w:rsidR="005510BC" w:rsidRPr="00D22B7C" w:rsidRDefault="005510BC" w:rsidP="00AD17AD">
            <w:pPr>
              <w:jc w:val="center"/>
              <w:rPr>
                <w:rFonts w:ascii="Verdana" w:hAnsi="Verdana"/>
              </w:rPr>
            </w:pPr>
            <w:r w:rsidRPr="00D22B7C">
              <w:rPr>
                <w:rFonts w:ascii="Verdana" w:eastAsia="Times New Roman" w:hAnsi="Verdana" w:cs="Times New Roman"/>
              </w:rPr>
              <w:t>14</w:t>
            </w:r>
          </w:p>
        </w:tc>
      </w:tr>
      <w:tr w:rsidR="005510BC" w:rsidRPr="00D22B7C" w14:paraId="1A5BF868"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0019908" w14:textId="77777777" w:rsidR="005510BC" w:rsidRPr="00D22B7C" w:rsidRDefault="005510BC" w:rsidP="00AD17AD">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8589BC1" w14:textId="77777777" w:rsidR="005510BC" w:rsidRPr="00D22B7C" w:rsidRDefault="005510BC" w:rsidP="00AD17AD">
            <w:pPr>
              <w:jc w:val="center"/>
              <w:rPr>
                <w:rFonts w:ascii="Verdana" w:hAnsi="Verdana"/>
              </w:rPr>
            </w:pPr>
            <w:r w:rsidRPr="00D22B7C">
              <w:rPr>
                <w:rFonts w:ascii="Verdana" w:eastAsia="Times New Roman" w:hAnsi="Verdana" w:cs="Times New Roman"/>
              </w:rPr>
              <w:t>16</w:t>
            </w:r>
          </w:p>
        </w:tc>
      </w:tr>
      <w:tr w:rsidR="005510BC" w:rsidRPr="00D22B7C" w14:paraId="16E0E71D" w14:textId="77777777" w:rsidTr="00AD17AD">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5557796" w14:textId="77777777" w:rsidR="005510BC" w:rsidRPr="00D22B7C" w:rsidRDefault="005510BC" w:rsidP="00AD17AD">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D98C1C" w14:textId="77777777" w:rsidR="005510BC" w:rsidRPr="00D22B7C" w:rsidRDefault="005510BC" w:rsidP="00AD17AD">
            <w:pPr>
              <w:jc w:val="center"/>
              <w:rPr>
                <w:rFonts w:ascii="Verdana" w:hAnsi="Verdana"/>
              </w:rPr>
            </w:pPr>
            <w:r w:rsidRPr="00D22B7C">
              <w:rPr>
                <w:rFonts w:ascii="Verdana" w:eastAsia="Times New Roman" w:hAnsi="Verdana" w:cs="Times New Roman"/>
              </w:rPr>
              <w:t xml:space="preserve">Por cada 100 trabajadores adicionales, se suman </w:t>
            </w:r>
            <w:r w:rsidRPr="00D22B7C">
              <w:rPr>
                <w:rFonts w:ascii="Verdana" w:eastAsia="Times New Roman" w:hAnsi="Verdana" w:cs="Times New Roman"/>
              </w:rPr>
              <w:lastRenderedPageBreak/>
              <w:t>2 trabajadores con discapacidad</w:t>
            </w:r>
          </w:p>
        </w:tc>
      </w:tr>
    </w:tbl>
    <w:p w14:paraId="4D0F0E50" w14:textId="77777777" w:rsidR="005510BC" w:rsidRPr="00D22B7C" w:rsidRDefault="005510BC" w:rsidP="005510BC">
      <w:pPr>
        <w:spacing w:after="0" w:line="276" w:lineRule="auto"/>
        <w:rPr>
          <w:rFonts w:ascii="Verdana" w:hAnsi="Verdana"/>
        </w:rPr>
      </w:pPr>
    </w:p>
    <w:p w14:paraId="55A4F78A" w14:textId="77777777" w:rsidR="005510BC" w:rsidRPr="00D22B7C" w:rsidRDefault="005510BC" w:rsidP="005510BC">
      <w:pPr>
        <w:spacing w:after="120" w:line="276" w:lineRule="auto"/>
        <w:ind w:firstLine="709"/>
        <w:jc w:val="both"/>
        <w:rPr>
          <w:rFonts w:ascii="Verdana" w:hAnsi="Verdana"/>
        </w:rPr>
      </w:pPr>
      <w:r w:rsidRPr="00D22B7C">
        <w:rPr>
          <w:rFonts w:ascii="Verdana" w:eastAsia="Times New Roman" w:hAnsi="Verdana" w:cs="Times New Roman"/>
        </w:rPr>
        <w:t xml:space="preserve">El puntaje no se otorga por cumplir la ley sino por superarla: solo el proponente que acredite un número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34B9593A" w14:textId="77777777" w:rsidR="005510BC" w:rsidRPr="00D22B7C" w:rsidRDefault="005510BC" w:rsidP="005510BC">
      <w:pPr>
        <w:spacing w:after="120" w:line="276" w:lineRule="auto"/>
        <w:ind w:firstLine="709"/>
        <w:jc w:val="both"/>
        <w:rPr>
          <w:rFonts w:ascii="Verdana" w:hAnsi="Verdana"/>
        </w:rPr>
      </w:pPr>
      <w:r w:rsidRPr="00D22B7C">
        <w:rPr>
          <w:rFonts w:ascii="Verdana" w:eastAsia="Times New Roman" w:hAnsi="Verdana" w:cs="Times New Roman"/>
        </w:rPr>
        <w:t xml:space="preserve">Acreditada esa vinculación, el decreto exige adicionalmente los certificados de aportes a seguridad social de los tres (3) meses anteriores a la presentación de la oferta respecto de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el cómputo, sin distinción entre vinculaciones iniciales e incrementos posteriores, junto con el 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45A0D5B8" w14:textId="77777777" w:rsidR="005510BC" w:rsidRPr="003C3B8B" w:rsidRDefault="005510BC" w:rsidP="005510BC">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 xml:space="preserve">"no se exige vinculación de las </w:t>
      </w:r>
      <w:proofErr w:type="spellStart"/>
      <w:r w:rsidRPr="003C3B8B">
        <w:rPr>
          <w:rFonts w:ascii="Verdana" w:eastAsia="Times New Roman" w:hAnsi="Verdana" w:cs="Times New Roman"/>
          <w:i/>
          <w:iCs/>
          <w:sz w:val="21"/>
          <w:szCs w:val="21"/>
        </w:rPr>
        <w:t>PcD</w:t>
      </w:r>
      <w:proofErr w:type="spellEnd"/>
      <w:r w:rsidRPr="003C3B8B">
        <w:rPr>
          <w:rFonts w:ascii="Verdana" w:eastAsia="Times New Roman" w:hAnsi="Verdana" w:cs="Times New Roman"/>
          <w:i/>
          <w:iCs/>
          <w:sz w:val="21"/>
          <w:szCs w:val="21"/>
        </w:rPr>
        <w:t xml:space="preserve">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4633D0E8" w14:textId="77777777" w:rsidR="005510BC" w:rsidRDefault="005510BC" w:rsidP="005510BC">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 xml:space="preserve">El período de tres meses es el umbral mínimo de estabilidad laboral que diferencia un compromiso genuino con la inclusión de una vinculación oportunista. La norma aplica este requisito para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la acreditación, independientemente de si es una vinculación original o una nueva incorporación. Si una empresa ha incrementado recientemente su planta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y alguna de estas vinculaciones no alcanza el período requerido, el proponente puede participar en el proceso utilizando únicamente las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que sí cumplan el requisito temporal. La consecuencia de no alcanzar el período no es la exclusión del proceso sino la imposibilidad de obtener el puntaje adicional respecto de esas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específicas, lo que es coherente con los principios de participación y pluralidad de oferentes.</w:t>
      </w:r>
    </w:p>
    <w:p w14:paraId="4CE21EAF" w14:textId="77777777" w:rsidR="005510BC" w:rsidRDefault="005510BC" w:rsidP="005510BC">
      <w:pPr>
        <w:spacing w:after="120" w:line="276" w:lineRule="auto"/>
        <w:ind w:firstLine="708"/>
        <w:jc w:val="both"/>
        <w:rPr>
          <w:rFonts w:ascii="Verdana" w:eastAsia="Times New Roman" w:hAnsi="Verdana" w:cs="Times New Roman"/>
        </w:rPr>
      </w:pPr>
    </w:p>
    <w:p w14:paraId="19C00794" w14:textId="77777777" w:rsidR="005510BC" w:rsidRDefault="005510BC" w:rsidP="005510BC">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los documentos requeridos son los establecidos en el artículo 2.2.1.2.4.2.6., que varían según la categoría que se acredite. En ningún caso los documentos del artículo 2.2.1.2.4.2.7.4. son exigibles a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por lo que no deben confundirse.</w:t>
      </w:r>
    </w:p>
    <w:p w14:paraId="76EF70BC" w14:textId="77777777" w:rsidR="005510BC" w:rsidRPr="00D22B7C" w:rsidRDefault="005510BC" w:rsidP="005510BC">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xml:space="preserve">; y la contratación directa tiene su propia medida afirmativa a través de los contratos de prestación de servicios con </w:t>
      </w:r>
      <w:proofErr w:type="spellStart"/>
      <w:r w:rsidRPr="00206556">
        <w:rPr>
          <w:rFonts w:ascii="Verdana" w:hAnsi="Verdana"/>
        </w:rPr>
        <w:t>PcD</w:t>
      </w:r>
      <w:proofErr w:type="spellEnd"/>
      <w:r w:rsidRPr="00206556">
        <w:rPr>
          <w:rFonts w:ascii="Verdana" w:hAnsi="Verdana"/>
        </w:rPr>
        <w:t>.</w:t>
      </w:r>
    </w:p>
    <w:p w14:paraId="5AC4D06F" w14:textId="77777777" w:rsidR="005510BC" w:rsidRPr="00206556" w:rsidRDefault="005510BC" w:rsidP="005510BC">
      <w:pPr>
        <w:spacing w:after="120" w:line="276" w:lineRule="auto"/>
        <w:ind w:firstLine="709"/>
        <w:jc w:val="both"/>
        <w:rPr>
          <w:rFonts w:ascii="Verdana" w:hAnsi="Verdana"/>
          <w:sz w:val="20"/>
          <w:szCs w:val="20"/>
        </w:rPr>
      </w:pPr>
      <w:r w:rsidRPr="00206556">
        <w:rPr>
          <w:rFonts w:ascii="Verdana" w:hAnsi="Verdana"/>
        </w:rPr>
        <w:t xml:space="preserve">(v) Sobre la aplicación del Decreto 0287 de 2026 en los documentos tipo, el artículo 2.2.1.2.4.2.7.8. del Decreto 0287 de 2026 establece que Colombia Compra Eficiente garantizará la incorporación permanente de las medidas del sistema en los documentos e instrumentos que genera. </w:t>
      </w:r>
    </w:p>
    <w:p w14:paraId="4B7D2125" w14:textId="77777777" w:rsidR="005510BC" w:rsidRDefault="005510BC" w:rsidP="005510BC">
      <w:pPr>
        <w:spacing w:after="120" w:line="276" w:lineRule="auto"/>
        <w:ind w:firstLine="708"/>
        <w:jc w:val="both"/>
        <w:rPr>
          <w:rFonts w:ascii="Verdana" w:hAnsi="Verdana"/>
        </w:rPr>
      </w:pPr>
      <w:r w:rsidRPr="007B01BA">
        <w:rPr>
          <w:rFonts w:ascii="Verdana" w:hAnsi="Verdana"/>
        </w:rPr>
        <w:t xml:space="preserve">El principio de inalterabilidad de los documentos tipo impide modificaciones unilaterales por parte de las entidades, pues ello afectaría la </w:t>
      </w:r>
      <w:r w:rsidRPr="007B01BA">
        <w:rPr>
          <w:rFonts w:ascii="Verdana" w:hAnsi="Verdana"/>
        </w:rPr>
        <w:lastRenderedPageBreak/>
        <w:t>estandarización, la transparencia y la igualdad entre proponentes que dichos documentos buscan garantizar. Colombia Compra Eficiente realizará las actualizaciones necesarias a los documentos tipo en el menor tiempo posible para incorporar las medidas del sistema de preferencias. La aplicación del decreto queda diferenciada según la etapa del proceso: los procesos con resolución de apertura firmada el 19 de marzo de 2026 o antes continúan con las reglas del Decreto 392 de 2018; los procesos con proyecto de pliego publicado pero sin apertura a esa fecha pueden incorporar las nuevas medidas antes de publicar los pliegos definitivos; y los procesos nuevos sujetos a documentos tipo deben esperar las actualizaciones de Colombia Compra Eficiente,</w:t>
      </w:r>
      <w:r>
        <w:rPr>
          <w:rFonts w:ascii="Verdana" w:hAnsi="Verdana"/>
        </w:rPr>
        <w:t xml:space="preserve"> y continuar aplicando el documento tipo vigente sin alterarlo.</w:t>
      </w:r>
    </w:p>
    <w:p w14:paraId="1A6D54B9" w14:textId="77777777" w:rsidR="005510BC" w:rsidRDefault="005510BC" w:rsidP="005510BC">
      <w:pPr>
        <w:spacing w:after="120" w:line="276" w:lineRule="auto"/>
        <w:ind w:firstLine="708"/>
        <w:jc w:val="both"/>
        <w:rPr>
          <w:rFonts w:ascii="Verdana" w:hAnsi="Verdana"/>
        </w:rPr>
      </w:pPr>
    </w:p>
    <w:p w14:paraId="6F57ED3C" w14:textId="77777777" w:rsidR="005510BC" w:rsidRDefault="005510BC" w:rsidP="005510BC">
      <w:pPr>
        <w:spacing w:after="120" w:line="276" w:lineRule="auto"/>
        <w:ind w:firstLine="709"/>
        <w:jc w:val="both"/>
        <w:rPr>
          <w:rFonts w:ascii="Verdana" w:hAnsi="Verdana"/>
        </w:rPr>
      </w:pPr>
      <w:r w:rsidRPr="00206556">
        <w:rPr>
          <w:rFonts w:ascii="Verdana" w:hAnsi="Verdana"/>
        </w:rPr>
        <w:t>(v</w:t>
      </w:r>
      <w:r>
        <w:rPr>
          <w:rFonts w:ascii="Verdana" w:hAnsi="Verdana"/>
        </w:rPr>
        <w:t>i</w:t>
      </w:r>
      <w:r w:rsidRPr="00206556">
        <w:rPr>
          <w:rFonts w:ascii="Verdana" w:hAnsi="Verdana"/>
        </w:rPr>
        <w:t>) En cuanto a los criterios habilitantes diferenciales y los proponentes plurales</w:t>
      </w:r>
      <w:r>
        <w:rPr>
          <w:rFonts w:ascii="Verdana" w:hAnsi="Verdana"/>
        </w:rPr>
        <w:t>, e</w:t>
      </w:r>
      <w:r w:rsidRPr="00206556">
        <w:rPr>
          <w:rFonts w:ascii="Verdana" w:hAnsi="Verdana"/>
        </w:rPr>
        <w:t xml:space="preserve">l artículo 2.2.1.2.4.2.7.3. del Decreto 0287 de 2026 dispone que en los procesos de licitación pública, selección abreviada y concurso de méritos para los procesos regidos por el Estatuto General de Contratación de la Administración Pública, como en régimen especial, las entidades deben establecer requisitos habilitantes diferenciados o ajustados en materia de experiencia, capacidad financiera, capacidad organizacional o garantía de seriedad de la oferta, con el fin de promover la participación de emprendimientos y empresas de </w:t>
      </w:r>
      <w:proofErr w:type="spellStart"/>
      <w:r w:rsidRPr="00206556">
        <w:rPr>
          <w:rFonts w:ascii="Verdana" w:hAnsi="Verdana"/>
        </w:rPr>
        <w:t>PcD</w:t>
      </w:r>
      <w:proofErr w:type="spellEnd"/>
      <w:r w:rsidRPr="00206556">
        <w:rPr>
          <w:rFonts w:ascii="Verdana" w:hAnsi="Verdana"/>
        </w:rPr>
        <w:t xml:space="preserve"> con domicilio en el territorio nacional. Esta medida no aplica en mínima cuantía ni en contratación directa, y está prevista exclusivamente para el Sujeto 1 del sistema, es decir, los emprendimientos y empresas de </w:t>
      </w:r>
      <w:proofErr w:type="spellStart"/>
      <w:r w:rsidRPr="00206556">
        <w:rPr>
          <w:rFonts w:ascii="Verdana" w:hAnsi="Verdana"/>
        </w:rPr>
        <w:t>PcD</w:t>
      </w:r>
      <w:proofErr w:type="spellEnd"/>
      <w:r w:rsidRPr="00206556">
        <w:rPr>
          <w:rFonts w:ascii="Verdana" w:hAnsi="Verdana"/>
        </w:rPr>
        <w:t xml:space="preserve">, y no para los empleadores de </w:t>
      </w:r>
      <w:proofErr w:type="spellStart"/>
      <w:r w:rsidRPr="00206556">
        <w:rPr>
          <w:rFonts w:ascii="Verdana" w:hAnsi="Verdana"/>
        </w:rPr>
        <w:t>PcD</w:t>
      </w:r>
      <w:proofErr w:type="spellEnd"/>
      <w:r w:rsidRPr="00206556">
        <w:rPr>
          <w:rFonts w:ascii="Verdana" w:hAnsi="Verdana"/>
        </w:rPr>
        <w:t xml:space="preserve">. Su establecimiento es obligatorio para la entidad contratante, pero </w:t>
      </w:r>
      <w:r>
        <w:rPr>
          <w:rFonts w:ascii="Verdana" w:hAnsi="Verdana"/>
        </w:rPr>
        <w:t>el</w:t>
      </w:r>
      <w:r w:rsidRPr="00206556">
        <w:rPr>
          <w:rFonts w:ascii="Verdana" w:hAnsi="Verdana"/>
        </w:rPr>
        <w:t xml:space="preserve"> rigor del ajuste es discrecional: la entidad determina, con base en sus estudios previos, qué requisitos ajusta y en qué medida, con el límite del principio de proporcionalidad, sobre el cual esta Agencia ha precisado que debe orientarse a garantizar la idoneidad de las propuestas y la correcta ejecución contractual, sin efectos excluyentes ni discriminatorios</w:t>
      </w:r>
      <w:r w:rsidRPr="00206556">
        <w:rPr>
          <w:rStyle w:val="Refdenotaalpie"/>
          <w:rFonts w:ascii="Verdana" w:hAnsi="Verdana"/>
        </w:rPr>
        <w:footnoteReference w:id="9"/>
      </w:r>
      <w:r>
        <w:rPr>
          <w:rFonts w:ascii="Verdana" w:hAnsi="Verdana"/>
        </w:rPr>
        <w:t>.</w:t>
      </w:r>
      <w:r w:rsidRPr="00206556">
        <w:rPr>
          <w:rFonts w:ascii="Verdana" w:hAnsi="Verdana"/>
        </w:rPr>
        <w:t xml:space="preserve"> </w:t>
      </w:r>
      <w:r w:rsidRPr="00975224">
        <w:rPr>
          <w:rFonts w:ascii="Verdana" w:hAnsi="Verdana"/>
        </w:rPr>
        <w:t>Los términos ajustados, reducidos y diferenciales deben entenderse como sinónimos. La entidad no está obligada a ajustar la totalidad de los requisitos habilitantes: debe flexibilizar la mayor cantidad posible de estos de acuerdo con lo que resulte justificado en sus estudios previos para el proceso específico de que se trate</w:t>
      </w:r>
      <w:r>
        <w:rPr>
          <w:rFonts w:ascii="Verdana" w:hAnsi="Verdana"/>
        </w:rPr>
        <w:t xml:space="preserve">, sin </w:t>
      </w:r>
      <w:r>
        <w:rPr>
          <w:rFonts w:ascii="Verdana" w:hAnsi="Verdana"/>
        </w:rPr>
        <w:lastRenderedPageBreak/>
        <w:t>que se ponga en riesgo el cumplimiento contractual</w:t>
      </w:r>
      <w:r w:rsidRPr="00975224">
        <w:rPr>
          <w:rFonts w:ascii="Verdana" w:hAnsi="Verdana"/>
        </w:rPr>
        <w:t>.</w:t>
      </w:r>
      <w:r>
        <w:rPr>
          <w:rFonts w:ascii="Verdana" w:hAnsi="Verdana"/>
        </w:rPr>
        <w:t xml:space="preserve"> </w:t>
      </w:r>
      <w:r w:rsidRPr="00206556">
        <w:rPr>
          <w:rFonts w:ascii="Verdana" w:hAnsi="Verdana"/>
        </w:rPr>
        <w:t>En cuanto a los proponentes plurales, la medida aplica cuando al menos uno de sus integrantes cumple las condiciones del artículo 2.2.1.2.4.2.6. con una participación no inferior al 10% en el consorcio o unión temporal, debiendo aportar la experiencia requerida en proporción equivalente a su participación. Esta medida es compatible con los criterios diferenciales aplicables a MiPymes y a empresas y emprendimientos de mujeres.</w:t>
      </w:r>
    </w:p>
    <w:p w14:paraId="1B350133" w14:textId="77777777" w:rsidR="005510BC" w:rsidRPr="00206556" w:rsidRDefault="005510BC" w:rsidP="005510BC">
      <w:pPr>
        <w:spacing w:after="120" w:line="276" w:lineRule="auto"/>
        <w:ind w:firstLine="709"/>
        <w:jc w:val="both"/>
        <w:rPr>
          <w:rFonts w:ascii="Verdana" w:hAnsi="Verdana"/>
        </w:rPr>
      </w:pPr>
      <w:r w:rsidRPr="00975224">
        <w:rPr>
          <w:rFonts w:ascii="Verdana" w:hAnsi="Verdana"/>
        </w:rPr>
        <w:t>En cuanto a la aplicación de las medidas afirmativas en entidades con régimen especial de contratación</w:t>
      </w:r>
      <w:r>
        <w:rPr>
          <w:rFonts w:ascii="Verdana" w:hAnsi="Verdana"/>
        </w:rPr>
        <w:t>,</w:t>
      </w:r>
      <w:r w:rsidRPr="00975224">
        <w:rPr>
          <w:rFonts w:ascii="Verdana" w:hAnsi="Verdana"/>
        </w:rPr>
        <w:t xml:space="preserve"> </w:t>
      </w:r>
      <w:r>
        <w:rPr>
          <w:rFonts w:ascii="Verdana" w:hAnsi="Verdana"/>
        </w:rPr>
        <w:t>e</w:t>
      </w:r>
      <w:r w:rsidRPr="00975224">
        <w:rPr>
          <w:rFonts w:ascii="Verdana" w:hAnsi="Verdana"/>
        </w:rPr>
        <w:t xml:space="preserv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975224">
        <w:rPr>
          <w:rFonts w:ascii="Verdana" w:hAnsi="Verdana"/>
        </w:rPr>
        <w:t>PcD</w:t>
      </w:r>
      <w:proofErr w:type="spellEnd"/>
      <w:r w:rsidRPr="00975224">
        <w:rPr>
          <w:rFonts w:ascii="Verdana" w:hAnsi="Verdana"/>
        </w:rPr>
        <w:t>.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5B7BB24E" w14:textId="77777777" w:rsidR="005510BC" w:rsidRDefault="005510BC" w:rsidP="005510BC">
      <w:pPr>
        <w:spacing w:after="120" w:line="276" w:lineRule="auto"/>
        <w:ind w:firstLine="709"/>
        <w:jc w:val="both"/>
        <w:rPr>
          <w:rFonts w:ascii="Verdana" w:hAnsi="Verdana"/>
        </w:rPr>
      </w:pPr>
      <w:r w:rsidRPr="00206556">
        <w:rPr>
          <w:rFonts w:ascii="Verdana" w:hAnsi="Verdana"/>
        </w:rPr>
        <w:t>(</w:t>
      </w:r>
      <w:proofErr w:type="spellStart"/>
      <w:r w:rsidRPr="00206556">
        <w:rPr>
          <w:rFonts w:ascii="Verdana" w:hAnsi="Verdana"/>
        </w:rPr>
        <w:t>vi</w:t>
      </w:r>
      <w:r>
        <w:rPr>
          <w:rFonts w:ascii="Verdana" w:hAnsi="Verdana"/>
        </w:rPr>
        <w:t>i</w:t>
      </w:r>
      <w:proofErr w:type="spellEnd"/>
      <w:r w:rsidRPr="00206556">
        <w:rPr>
          <w:rFonts w:ascii="Verdana" w:hAnsi="Verdana"/>
        </w:rPr>
        <w:t>)</w:t>
      </w:r>
      <w:r w:rsidRPr="00975224">
        <w:t xml:space="preserve"> </w:t>
      </w:r>
      <w:r w:rsidRPr="00975224">
        <w:rPr>
          <w:rFonts w:ascii="Verdana" w:hAnsi="Verdana"/>
        </w:rPr>
        <w:t xml:space="preserve">En lo que respecta a las condiciones especiales de ejecución, el artículo 2.2.1.2.4.2.7.5. del Decreto 0287 de 2026 dispone que las entidades estatales "deberán incluir como obligación contractual, en los Documentos del Proceso, previo análisis de conveniencia y oportunidad, al menos una (1) de las siguientes condiciones especiales de ejecución": la subcontratación inclusiva, que exige priorizar a </w:t>
      </w:r>
      <w:proofErr w:type="spellStart"/>
      <w:r w:rsidRPr="00975224">
        <w:rPr>
          <w:rFonts w:ascii="Verdana" w:hAnsi="Verdana"/>
        </w:rPr>
        <w:t>PcD</w:t>
      </w:r>
      <w:proofErr w:type="spellEnd"/>
      <w:r w:rsidRPr="00975224">
        <w:rPr>
          <w:rFonts w:ascii="Verdana" w:hAnsi="Verdana"/>
        </w:rPr>
        <w:t xml:space="preserve"> o a emprendimientos y empresas de </w:t>
      </w:r>
      <w:proofErr w:type="spellStart"/>
      <w:r w:rsidRPr="00975224">
        <w:rPr>
          <w:rFonts w:ascii="Verdana" w:hAnsi="Verdana"/>
        </w:rPr>
        <w:t>PcD</w:t>
      </w:r>
      <w:proofErr w:type="spellEnd"/>
      <w:r w:rsidRPr="00975224">
        <w:rPr>
          <w:rFonts w:ascii="Verdana" w:hAnsi="Verdana"/>
        </w:rPr>
        <w:t xml:space="preserve"> cuando se requiera subcontratar; y la integración del equipo de trabajo, que exige priorizar personas naturales con discapacidad cuando se requiera conformar equipo para la ejecución. La obligación consiste en incluir al menos una de las dos condiciones, no necesariamente ambas. La palabra "deberán" hace de esta una medida imperativa en cuanto a la obligación de incluir al menos una condición, pero la entidad tiene discrecionalidad para escoger cuál de las dos incorpora o si incorpora ambas. Solo puede omitirse la inclusión de las dos cuando la entidad justifique esa omisión con argumentos objetivos en los estudios previos. La </w:t>
      </w:r>
      <w:r w:rsidRPr="00975224">
        <w:rPr>
          <w:rFonts w:ascii="Verdana" w:hAnsi="Verdana"/>
        </w:rPr>
        <w:lastRenderedPageBreak/>
        <w:t xml:space="preserve">priorización no implica exclusividad; el contratista puede contratar otros proveedores, pero debe procurar que las </w:t>
      </w:r>
      <w:proofErr w:type="spellStart"/>
      <w:r w:rsidRPr="00975224">
        <w:rPr>
          <w:rFonts w:ascii="Verdana" w:hAnsi="Verdana"/>
        </w:rPr>
        <w:t>PcD</w:t>
      </w:r>
      <w:proofErr w:type="spellEnd"/>
      <w:r w:rsidRPr="00975224">
        <w:rPr>
          <w:rFonts w:ascii="Verdana" w:hAnsi="Verdana"/>
        </w:rPr>
        <w:t xml:space="preserve"> y sus empresas tengan preferencia cuando existan en el mercado. El incumplimiento injustificado puede constituir causal de incumplimiento contractual, verificable por el supervisor o interventor con cada solicitud de pago.</w:t>
      </w:r>
      <w:r w:rsidRPr="00206556">
        <w:rPr>
          <w:rFonts w:ascii="Verdana" w:hAnsi="Verdana"/>
        </w:rPr>
        <w:t xml:space="preserve"> </w:t>
      </w:r>
    </w:p>
    <w:p w14:paraId="33743DB1" w14:textId="77777777" w:rsidR="005510BC" w:rsidRPr="00206556" w:rsidRDefault="005510BC" w:rsidP="005510BC">
      <w:pPr>
        <w:spacing w:after="120" w:line="276" w:lineRule="auto"/>
        <w:ind w:firstLine="709"/>
        <w:jc w:val="both"/>
        <w:rPr>
          <w:rFonts w:ascii="Verdana" w:hAnsi="Verdana"/>
        </w:rPr>
      </w:pPr>
    </w:p>
    <w:p w14:paraId="0D6F8399"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w:t>
      </w:r>
      <w:proofErr w:type="spellStart"/>
      <w:r w:rsidRPr="00206556">
        <w:rPr>
          <w:rFonts w:ascii="Verdana" w:hAnsi="Verdana"/>
        </w:rPr>
        <w:t>vii</w:t>
      </w:r>
      <w:r>
        <w:rPr>
          <w:rFonts w:ascii="Verdana" w:hAnsi="Verdana"/>
        </w:rPr>
        <w:t>i</w:t>
      </w:r>
      <w:proofErr w:type="spellEnd"/>
      <w:r w:rsidRPr="00206556">
        <w:rPr>
          <w:rFonts w:ascii="Verdana" w:hAnsi="Verdana"/>
        </w:rPr>
        <w:t>) Sobre la compatibilidad con MiPymes y empresas de mujeres, y la distinción con el criterio de desempate. El parágrafo 2 del artículo 2.2.1.2.4.2.7.4. del Decreto 0287 de 2026 establece que el puntaje adicional "</w:t>
      </w:r>
      <w:r w:rsidRPr="00206556">
        <w:rPr>
          <w:rFonts w:ascii="Verdana" w:hAnsi="Verdana"/>
          <w:i/>
          <w:iCs/>
        </w:rPr>
        <w:t>no excluye la aplicación de incentivos contractuales ni de criterios diferenciales en favor de las MiPymes y/o los emprendimientos y empresas de mujeres".</w:t>
      </w:r>
      <w:r w:rsidRPr="00206556">
        <w:rPr>
          <w:rFonts w:ascii="Verdana" w:hAnsi="Verdana"/>
        </w:rPr>
        <w:t xml:space="preserve"> Del mismo modo, el parágrafo 2 del artículo 2.2.1.2.4.2.7.3</w:t>
      </w:r>
      <w:r>
        <w:rPr>
          <w:rFonts w:ascii="Verdana" w:hAnsi="Verdana"/>
        </w:rPr>
        <w:t>.</w:t>
      </w:r>
      <w:r w:rsidRPr="00206556">
        <w:rPr>
          <w:rFonts w:ascii="Verdana" w:hAnsi="Verdana"/>
        </w:rPr>
        <w:t xml:space="preserve"> establece la compatibilidad de los criterios habilitantes diferenciales con los aplicables a MiPymes y empresas de mujeres. En consecuencia, todos estos instrumentos pueden aplicarse simultáneamente en el mismo proceso de contratación sin exclusión recíproca. En cuanto a la distinción con el criterio de desempate, es indispensable no confundir los dos instrumentos: el puntaje adicional del 2% beneficia a los dos sujetos del sistema y opera en la evaluación de propuestas antes de la adjudicación; el criterio de desempate, regulado por el artículo 35, numeral 3, de la Ley 2069 de 2020 beneficia exclusivamente a los empleadores de </w:t>
      </w:r>
      <w:proofErr w:type="spellStart"/>
      <w:r w:rsidRPr="00206556">
        <w:rPr>
          <w:rFonts w:ascii="Verdana" w:hAnsi="Verdana"/>
        </w:rPr>
        <w:t>PcD</w:t>
      </w:r>
      <w:proofErr w:type="spellEnd"/>
      <w:r w:rsidRPr="00206556">
        <w:rPr>
          <w:rFonts w:ascii="Verdana" w:hAnsi="Verdana"/>
        </w:rPr>
        <w:t xml:space="preserve">, no a los emprendimientos y empresas de </w:t>
      </w:r>
      <w:proofErr w:type="spellStart"/>
      <w:r w:rsidRPr="00206556">
        <w:rPr>
          <w:rFonts w:ascii="Verdana" w:hAnsi="Verdana"/>
        </w:rPr>
        <w:t>PcD</w:t>
      </w:r>
      <w:proofErr w:type="spellEnd"/>
      <w:r w:rsidRPr="00206556">
        <w:rPr>
          <w:rFonts w:ascii="Verdana" w:hAnsi="Verdana"/>
        </w:rPr>
        <w:t xml:space="preserve">, y exige que al menos el 10% de la nómina esté en condición de discapacidad, operando solo cuando hay empate entre dos o más ofertas. </w:t>
      </w:r>
      <w:r>
        <w:rPr>
          <w:rFonts w:ascii="Verdana" w:hAnsi="Verdana"/>
        </w:rPr>
        <w:t>La aplicación del criterio de desempate cuando es un</w:t>
      </w:r>
      <w:r w:rsidRPr="00206556">
        <w:rPr>
          <w:rFonts w:ascii="Verdana" w:hAnsi="Verdana"/>
        </w:rPr>
        <w:t xml:space="preserve"> proponente plural</w:t>
      </w:r>
      <w:r>
        <w:rPr>
          <w:rFonts w:ascii="Verdana" w:hAnsi="Verdana"/>
        </w:rPr>
        <w:t xml:space="preserve"> indica que</w:t>
      </w:r>
      <w:r w:rsidRPr="00206556">
        <w:rPr>
          <w:rFonts w:ascii="Verdana" w:hAnsi="Verdana"/>
        </w:rPr>
        <w:t xml:space="preserve"> el integrante con</w:t>
      </w:r>
      <w:r>
        <w:rPr>
          <w:rFonts w:ascii="Verdana" w:hAnsi="Verdana"/>
        </w:rPr>
        <w:t xml:space="preserve"> su nómina con</w:t>
      </w:r>
      <w:r w:rsidRPr="00206556">
        <w:rPr>
          <w:rFonts w:ascii="Verdana" w:hAnsi="Verdana"/>
        </w:rPr>
        <w:t xml:space="preserve"> </w:t>
      </w:r>
      <w:proofErr w:type="spellStart"/>
      <w:r w:rsidRPr="00206556">
        <w:rPr>
          <w:rFonts w:ascii="Verdana" w:hAnsi="Verdana"/>
        </w:rPr>
        <w:t>PcD</w:t>
      </w:r>
      <w:proofErr w:type="spellEnd"/>
      <w:r w:rsidRPr="00206556">
        <w:rPr>
          <w:rFonts w:ascii="Verdana" w:hAnsi="Verdana"/>
        </w:rPr>
        <w:t xml:space="preserve"> debe tener al menos el 25% de participación y aportar mínimo el 25% de la experiencia. El Decreto 0287 de 2026 no modificó el criterio de desempate de la Ley 2069 de 2020, que como norma de rango legal no puede ser alterada por decreto reglamentario, y la diferencia en las exigencias de vinculación entre las dos normas responde precisamente a que son instrumentos diferentes que no deben interpretarse extensivamente el uno respecto del otro. El Consejo de Estado ha precisado que las normas que establecen beneficios y preferencias deben interpretarse según sus propios términos, sin extensión analógica</w:t>
      </w:r>
      <w:r w:rsidRPr="00206556">
        <w:rPr>
          <w:rStyle w:val="Refdenotaalpie"/>
          <w:rFonts w:ascii="Verdana" w:hAnsi="Verdana"/>
        </w:rPr>
        <w:footnoteReference w:id="10"/>
      </w:r>
      <w:r>
        <w:rPr>
          <w:rFonts w:ascii="Verdana" w:hAnsi="Verdana"/>
        </w:rPr>
        <w:t>.</w:t>
      </w:r>
    </w:p>
    <w:p w14:paraId="0A184553"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lastRenderedPageBreak/>
        <w:t>(</w:t>
      </w:r>
      <w:proofErr w:type="spellStart"/>
      <w:r>
        <w:rPr>
          <w:rFonts w:ascii="Verdana" w:hAnsi="Verdana"/>
        </w:rPr>
        <w:t>ix</w:t>
      </w:r>
      <w:proofErr w:type="spellEnd"/>
      <w:r w:rsidRPr="00206556">
        <w:rPr>
          <w:rFonts w:ascii="Verdana" w:hAnsi="Verdana"/>
        </w:rPr>
        <w:t xml:space="preserve">) En lo que concierne a la inclusión de personas con discapacidad a través de contratos de prestación de servicios profesionales y/o de apoyo a la gestión, es necesario precisar su naturaleza jurídica, pues esta medida ha generado interpretaciones encontradas en cuanto a si constituye una obligación general para todas las entidades estatales o si, por el contrario, su aplicación queda sujeta a la voluntad de cada entidad. El artículo 2.2.1.2.4.2.7.6. del Decreto 0287 de 2026 despeja esta inquietud al utilizar el verbo "propenderán" para referirse a esta medida, lo que en técnica legislativa colombiana implica un mandato de medios, es decir, realizar todos los esfuerzos necesarios, y no un mandato de resultado, contrario a contratar obligatoriamente en todos los casos. La norma condiciona expresamente la medida a la planeación contractual, la disponibilidad presupuestal y las necesidades del servicio. Aplica exclusivamente en contratación directa mediante contratos de prestación de servicios profesionales y/o de apoyo a la gestión, para entidades sometidas al Estatuto General de la Contratación Pública, sin que aplique a contratos artísticos ni a entidades de régimen especial. La entidad que decida aplicarla debe verificar la idoneidad de la </w:t>
      </w:r>
      <w:proofErr w:type="spellStart"/>
      <w:r w:rsidRPr="00206556">
        <w:rPr>
          <w:rFonts w:ascii="Verdana" w:hAnsi="Verdana"/>
        </w:rPr>
        <w:t>PcD</w:t>
      </w:r>
      <w:proofErr w:type="spellEnd"/>
      <w:r w:rsidRPr="00206556">
        <w:rPr>
          <w:rFonts w:ascii="Verdana" w:hAnsi="Verdana"/>
        </w:rPr>
        <w:t xml:space="preserve"> para cumplir el objeto, acordar los ajustes razonables necesarios, evaluar la no exigencia de garantías, que no son obligatorias para esta tipología, e indicar en el SECOP que el contrato corresponde a esta medida afirmativa. En ningún caso la medida autoriza funciones permanentes ni genera subordinación laboral. La Corte Constitucional ha reconocido que las </w:t>
      </w:r>
      <w:proofErr w:type="spellStart"/>
      <w:r w:rsidRPr="00206556">
        <w:rPr>
          <w:rFonts w:ascii="Verdana" w:hAnsi="Verdana"/>
        </w:rPr>
        <w:t>PcD</w:t>
      </w:r>
      <w:proofErr w:type="spellEnd"/>
      <w:r w:rsidRPr="00206556">
        <w:rPr>
          <w:rFonts w:ascii="Verdana" w:hAnsi="Verdana"/>
        </w:rPr>
        <w:t xml:space="preserve"> gozan de estabilidad ocupacional reforzada</w:t>
      </w:r>
      <w:r w:rsidRPr="00206556">
        <w:rPr>
          <w:rStyle w:val="Refdenotaalpie"/>
          <w:rFonts w:ascii="Verdana" w:hAnsi="Verdana"/>
        </w:rPr>
        <w:footnoteReference w:id="11"/>
      </w:r>
      <w:r>
        <w:rPr>
          <w:rFonts w:ascii="Verdana" w:hAnsi="Verdana"/>
        </w:rPr>
        <w:t>,</w:t>
      </w:r>
      <w:r w:rsidRPr="00206556">
        <w:rPr>
          <w:rFonts w:ascii="Verdana" w:hAnsi="Verdana"/>
        </w:rPr>
        <w:t xml:space="preserve"> que aplica en el marco de estos contratos sin que ello genere relación laboral. El fundamento cuantitativo de la medida es elocuente: según datos del SECOP en el año 2024 se celebraron 747.942 contratos de prestación de servicios por un valor de $16 billones de pesos, universo que representa una oportunidad concreta de inclusión laboral de las </w:t>
      </w:r>
      <w:proofErr w:type="spellStart"/>
      <w:r w:rsidRPr="00206556">
        <w:rPr>
          <w:rFonts w:ascii="Verdana" w:hAnsi="Verdana"/>
        </w:rPr>
        <w:t>PcD</w:t>
      </w:r>
      <w:proofErr w:type="spellEnd"/>
      <w:r w:rsidRPr="00206556">
        <w:rPr>
          <w:rFonts w:ascii="Verdana" w:hAnsi="Verdana"/>
        </w:rPr>
        <w:t xml:space="preserve"> de manera progresiva y sostenida.</w:t>
      </w:r>
    </w:p>
    <w:p w14:paraId="6028323B" w14:textId="77777777" w:rsidR="005510BC" w:rsidRPr="00206556" w:rsidRDefault="005510BC" w:rsidP="005510BC">
      <w:pPr>
        <w:spacing w:after="120" w:line="276" w:lineRule="auto"/>
        <w:ind w:firstLine="709"/>
        <w:jc w:val="both"/>
        <w:rPr>
          <w:rFonts w:ascii="Verdana" w:hAnsi="Verdana"/>
        </w:rPr>
      </w:pPr>
      <w:r w:rsidRPr="00206556">
        <w:rPr>
          <w:rFonts w:ascii="Verdana" w:hAnsi="Verdana"/>
        </w:rPr>
        <w:t xml:space="preserve">(x) </w:t>
      </w:r>
      <w:r>
        <w:rPr>
          <w:rFonts w:ascii="Verdana" w:hAnsi="Verdana"/>
        </w:rPr>
        <w:t>En cuanto a</w:t>
      </w:r>
      <w:r w:rsidRPr="00206556">
        <w:rPr>
          <w:rFonts w:ascii="Verdana" w:hAnsi="Verdana"/>
        </w:rPr>
        <w:t xml:space="preserve"> la obligación de compras públicas accesibles en ausencia de normas técnicas. El artículo 2.2.1.2.4.2.7.1. del Decreto 0287 de 2026 impone a las entidades, "independientemente de su régimen de contratación", la obligación de incorporar en los contratos criterios que garanticen la accesibilidad de las </w:t>
      </w:r>
      <w:proofErr w:type="spellStart"/>
      <w:r w:rsidRPr="00206556">
        <w:rPr>
          <w:rFonts w:ascii="Verdana" w:hAnsi="Verdana"/>
        </w:rPr>
        <w:t>PcD</w:t>
      </w:r>
      <w:proofErr w:type="spellEnd"/>
      <w:r w:rsidRPr="00206556">
        <w:rPr>
          <w:rFonts w:ascii="Verdana" w:hAnsi="Verdana"/>
        </w:rPr>
        <w:t xml:space="preserve">, teniendo en cuenta las siete categorías de discapacidad definidas por el Ministerio de Salud y Protección Social: visual, física, psicosocial </w:t>
      </w:r>
      <w:r w:rsidRPr="00206556">
        <w:rPr>
          <w:rFonts w:ascii="Verdana" w:hAnsi="Verdana"/>
        </w:rPr>
        <w:lastRenderedPageBreak/>
        <w:t>(mental), auditiva, sordoceguera, intelectual y múltiple. El parágrafo 2 del mismo artículo establece que cuando no se identifiquen normas legales, reglamentarias o técnicas aplicables, la entidad debe fijar una ficha técnica con criterios de accesibilidad propios: la inexistencia de norma técnica no exonera a la entidad, sino que la convierte en autora de sus propios estándares de accesibilidad para ese contrato específico. Los principios guía son los de accesibilidad universal, diseño universal y ajustes razonables, conforme a la Ley 1346 de 2009 y la Ley 1618 de 2013</w:t>
      </w:r>
      <w:r>
        <w:rPr>
          <w:rFonts w:ascii="Verdana" w:hAnsi="Verdana"/>
        </w:rPr>
        <w:t>,</w:t>
      </w:r>
      <w:r w:rsidRPr="00206556">
        <w:rPr>
          <w:rFonts w:ascii="Verdana" w:hAnsi="Verdana"/>
        </w:rPr>
        <w:t xml:space="preserve"> la cual define los ajustes razonables como las modificaciones y adaptaciones necesarias que no impongan una carga desproporcionada, para garantizar a las </w:t>
      </w:r>
      <w:proofErr w:type="spellStart"/>
      <w:r w:rsidRPr="00206556">
        <w:rPr>
          <w:rFonts w:ascii="Verdana" w:hAnsi="Verdana"/>
        </w:rPr>
        <w:t>PcD</w:t>
      </w:r>
      <w:proofErr w:type="spellEnd"/>
      <w:r w:rsidRPr="00206556">
        <w:rPr>
          <w:rFonts w:ascii="Verdana" w:hAnsi="Verdana"/>
        </w:rPr>
        <w:t xml:space="preserve"> el goce de sus derechos en igualdad de condiciones. Los criterios se determinan en los estudios y documentos previos, procurando la mayor cobertura posible de las categorías de discapacidad.</w:t>
      </w:r>
    </w:p>
    <w:p w14:paraId="011BDA4D" w14:textId="77777777" w:rsidR="005510BC" w:rsidRDefault="005510BC" w:rsidP="005510BC">
      <w:pPr>
        <w:spacing w:after="120" w:line="276" w:lineRule="auto"/>
        <w:ind w:firstLine="709"/>
        <w:jc w:val="both"/>
        <w:rPr>
          <w:rFonts w:ascii="Verdana" w:hAnsi="Verdana"/>
        </w:rPr>
      </w:pPr>
      <w:r w:rsidRPr="00206556">
        <w:rPr>
          <w:rFonts w:ascii="Verdana" w:hAnsi="Verdana"/>
        </w:rPr>
        <w:t>(x</w:t>
      </w:r>
      <w:r>
        <w:rPr>
          <w:rFonts w:ascii="Verdana" w:hAnsi="Verdana"/>
        </w:rPr>
        <w:t>i</w:t>
      </w:r>
      <w:r w:rsidRPr="00206556">
        <w:rPr>
          <w:rFonts w:ascii="Verdana" w:hAnsi="Verdana"/>
        </w:rPr>
        <w:t xml:space="preserve">) </w:t>
      </w:r>
      <w:r>
        <w:rPr>
          <w:rFonts w:ascii="Verdana" w:hAnsi="Verdana"/>
        </w:rPr>
        <w:t>Sobre</w:t>
      </w:r>
      <w:r w:rsidRPr="00206556">
        <w:rPr>
          <w:rFonts w:ascii="Verdana" w:hAnsi="Verdana"/>
        </w:rPr>
        <w:t xml:space="preserve"> las consecuencias de la reducción de </w:t>
      </w:r>
      <w:proofErr w:type="spellStart"/>
      <w:r w:rsidRPr="00206556">
        <w:rPr>
          <w:rFonts w:ascii="Verdana" w:hAnsi="Verdana"/>
        </w:rPr>
        <w:t>PcD</w:t>
      </w:r>
      <w:proofErr w:type="spellEnd"/>
      <w:r w:rsidRPr="00206556">
        <w:rPr>
          <w:rFonts w:ascii="Verdana" w:hAnsi="Verdana"/>
        </w:rPr>
        <w:t xml:space="preserve"> durante la ejecución del contrato. El parágrafo 3 del artículo 2.2.1.2.4.2.7.4. del Decreto 0287 de 2026 establece que el contratista debe presentar con cada solicitud de pago la documentación que acredite la permanencia de las condiciones que dieron lugar al puntaje adicional, y que</w:t>
      </w:r>
      <w:r>
        <w:rPr>
          <w:rFonts w:ascii="Verdana" w:hAnsi="Verdana"/>
        </w:rPr>
        <w:t>:</w:t>
      </w:r>
    </w:p>
    <w:p w14:paraId="24927FC9" w14:textId="77777777" w:rsidR="005510BC" w:rsidRPr="00206556" w:rsidRDefault="005510BC" w:rsidP="005510BC">
      <w:pPr>
        <w:spacing w:after="0" w:line="276" w:lineRule="auto"/>
        <w:ind w:firstLine="708"/>
        <w:jc w:val="both"/>
        <w:rPr>
          <w:rFonts w:ascii="Verdana" w:hAnsi="Verdana"/>
        </w:rPr>
      </w:pPr>
      <w:r w:rsidRPr="00206556">
        <w:rPr>
          <w:rFonts w:ascii="Verdana" w:hAnsi="Verdana"/>
        </w:rPr>
        <w:t xml:space="preserve"> </w:t>
      </w:r>
    </w:p>
    <w:p w14:paraId="233D0442" w14:textId="77777777" w:rsidR="005510BC" w:rsidRPr="00206556" w:rsidRDefault="005510BC" w:rsidP="005510BC">
      <w:pPr>
        <w:spacing w:after="200"/>
        <w:ind w:left="851" w:right="1183"/>
        <w:jc w:val="both"/>
        <w:rPr>
          <w:rFonts w:ascii="Verdana" w:hAnsi="Verdana"/>
          <w:sz w:val="20"/>
          <w:szCs w:val="20"/>
        </w:rPr>
      </w:pPr>
      <w:r w:rsidRPr="00206556">
        <w:rPr>
          <w:rFonts w:ascii="Verdana" w:hAnsi="Verdana"/>
          <w:sz w:val="20"/>
          <w:szCs w:val="20"/>
        </w:rPr>
        <w:t>"la inobservancia de estas medidas y el incumplimiento injustificado en la reducción del número de trabajadores con discapacidad de la planta de personal acreditado para obtener el puntaje adicional podrá constituir causal de incumplimiento contractual y se tramitará conforme a la normatividad vigente"</w:t>
      </w:r>
      <w:r>
        <w:rPr>
          <w:rFonts w:ascii="Verdana" w:hAnsi="Verdana"/>
          <w:sz w:val="20"/>
          <w:szCs w:val="20"/>
        </w:rPr>
        <w:t>.</w:t>
      </w:r>
    </w:p>
    <w:p w14:paraId="76D92CD4" w14:textId="77777777" w:rsidR="005510BC" w:rsidRPr="00206556" w:rsidRDefault="005510BC" w:rsidP="005510BC">
      <w:pPr>
        <w:spacing w:after="200"/>
        <w:ind w:firstLine="708"/>
        <w:jc w:val="both"/>
        <w:rPr>
          <w:rFonts w:ascii="Verdana" w:hAnsi="Verdana"/>
        </w:rPr>
      </w:pPr>
      <w:r w:rsidRPr="00206556">
        <w:rPr>
          <w:rFonts w:ascii="Verdana" w:hAnsi="Verdana"/>
        </w:rPr>
        <w:t xml:space="preserve">El término "podrá" indica que la entidad tiene discrecionalidad para declarar o no el incumplimiento, valorando la justificación del contratista, el impacto real en el objeto del contrato y la posibilidad de subsanación. Solo queda exonerado quien demuestre fuerza mayor o caso fortuito. El parágrafo 4 del mismo artículo añade que las medidas deben observar las garantías constitucionales de la estabilidad laboral reforzada de las </w:t>
      </w:r>
      <w:proofErr w:type="spellStart"/>
      <w:r w:rsidRPr="00206556">
        <w:rPr>
          <w:rFonts w:ascii="Verdana" w:hAnsi="Verdana"/>
        </w:rPr>
        <w:t>PcD</w:t>
      </w:r>
      <w:proofErr w:type="spellEnd"/>
      <w:r w:rsidRPr="00206556">
        <w:rPr>
          <w:rFonts w:ascii="Verdana" w:hAnsi="Verdana"/>
        </w:rPr>
        <w:t xml:space="preserve">, reconocida por la Corte Constitucional como una protección especial frente a la terminación del vínculo laboral sin autorización del Ministerio del Trabajo. Esto significa que la entidad contratante no puede presionar al contratista a mantener vinculaciones laborales desconociendo derechos laborales de las </w:t>
      </w:r>
      <w:proofErr w:type="spellStart"/>
      <w:r w:rsidRPr="00206556">
        <w:rPr>
          <w:rFonts w:ascii="Verdana" w:hAnsi="Verdana"/>
        </w:rPr>
        <w:t>PcD</w:t>
      </w:r>
      <w:proofErr w:type="spellEnd"/>
      <w:r w:rsidRPr="00206556">
        <w:rPr>
          <w:rFonts w:ascii="Verdana" w:hAnsi="Verdana"/>
        </w:rPr>
        <w:t xml:space="preserve">: la norma busca estabilidad real y no meramente nominal, de modo que el contratista debe </w:t>
      </w:r>
      <w:r w:rsidRPr="00206556">
        <w:rPr>
          <w:rFonts w:ascii="Verdana" w:hAnsi="Verdana"/>
        </w:rPr>
        <w:lastRenderedPageBreak/>
        <w:t>adoptar las medidas de permanencia compatibles con el ordenamiento laboral vigente.</w:t>
      </w:r>
    </w:p>
    <w:p w14:paraId="0499C934"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w:t>
      </w:r>
      <w:proofErr w:type="spellStart"/>
      <w:r w:rsidRPr="00670CFB">
        <w:rPr>
          <w:rFonts w:ascii="Verdana" w:hAnsi="Verdana"/>
        </w:rPr>
        <w:t>xi</w:t>
      </w:r>
      <w:r>
        <w:rPr>
          <w:rFonts w:ascii="Verdana" w:hAnsi="Verdana"/>
        </w:rPr>
        <w:t>i</w:t>
      </w:r>
      <w:proofErr w:type="spellEnd"/>
      <w:r w:rsidRPr="00670CFB">
        <w:rPr>
          <w:rFonts w:ascii="Verdana" w:hAnsi="Verdana"/>
        </w:rPr>
        <w:t>)</w:t>
      </w:r>
      <w:r>
        <w:rPr>
          <w:rFonts w:ascii="Verdana" w:hAnsi="Verdana"/>
        </w:rPr>
        <w:t xml:space="preserve"> </w:t>
      </w:r>
      <w:r w:rsidRPr="00670CFB">
        <w:rPr>
          <w:rFonts w:ascii="Verdana" w:hAnsi="Verdana"/>
        </w:rPr>
        <w:t xml:space="preserve">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w:t>
      </w:r>
      <w:proofErr w:type="spellStart"/>
      <w:r w:rsidRPr="00670CFB">
        <w:rPr>
          <w:rFonts w:ascii="Verdana" w:hAnsi="Verdana"/>
        </w:rPr>
        <w:t>PcD</w:t>
      </w:r>
      <w:proofErr w:type="spellEnd"/>
      <w:r w:rsidRPr="00670CFB">
        <w:rPr>
          <w:rFonts w:ascii="Verdana" w:hAnsi="Verdana"/>
        </w:rPr>
        <w:t xml:space="preserve">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1AC87548"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w:t>
      </w:r>
      <w:proofErr w:type="spellStart"/>
      <w:r w:rsidRPr="00670CFB">
        <w:rPr>
          <w:rFonts w:ascii="Verdana" w:hAnsi="Verdana"/>
        </w:rPr>
        <w:t>PcD</w:t>
      </w:r>
      <w:proofErr w:type="spellEnd"/>
      <w:r w:rsidRPr="00670CFB">
        <w:rPr>
          <w:rFonts w:ascii="Verdana" w:hAnsi="Verdana"/>
        </w:rPr>
        <w:t xml:space="preserve">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w:t>
      </w:r>
      <w:proofErr w:type="spellStart"/>
      <w:r w:rsidRPr="00670CFB">
        <w:rPr>
          <w:rFonts w:ascii="Verdana" w:hAnsi="Verdana"/>
        </w:rPr>
        <w:t>PcD</w:t>
      </w:r>
      <w:proofErr w:type="spellEnd"/>
      <w:r w:rsidRPr="00670CFB">
        <w:rPr>
          <w:rFonts w:ascii="Verdana" w:hAnsi="Verdana"/>
        </w:rPr>
        <w:t xml:space="preserve">,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17481723"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lastRenderedPageBreak/>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w:t>
      </w:r>
      <w:proofErr w:type="spellStart"/>
      <w:r w:rsidRPr="00670CFB">
        <w:rPr>
          <w:rFonts w:ascii="Verdana" w:hAnsi="Verdana"/>
        </w:rPr>
        <w:t>PcD</w:t>
      </w:r>
      <w:proofErr w:type="spellEnd"/>
      <w:r w:rsidRPr="00670CFB">
        <w:rPr>
          <w:rFonts w:ascii="Verdana" w:hAnsi="Verdana"/>
        </w:rPr>
        <w:t xml:space="preserve">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w:t>
      </w:r>
      <w:proofErr w:type="spellStart"/>
      <w:r w:rsidRPr="00670CFB">
        <w:rPr>
          <w:rFonts w:ascii="Verdana" w:hAnsi="Verdana"/>
        </w:rPr>
        <w:t>PcD</w:t>
      </w:r>
      <w:proofErr w:type="spellEnd"/>
      <w:r w:rsidRPr="00670CFB">
        <w:rPr>
          <w:rFonts w:ascii="Verdana" w:hAnsi="Verdana"/>
        </w:rPr>
        <w:t xml:space="preserve"> y no para los empleadores de </w:t>
      </w:r>
      <w:proofErr w:type="spellStart"/>
      <w:r w:rsidRPr="00670CFB">
        <w:rPr>
          <w:rFonts w:ascii="Verdana" w:hAnsi="Verdana"/>
        </w:rPr>
        <w:t>PcD</w:t>
      </w:r>
      <w:proofErr w:type="spellEnd"/>
      <w:r w:rsidRPr="00670CFB">
        <w:rPr>
          <w:rFonts w:ascii="Verdana" w:hAnsi="Verdana"/>
        </w:rPr>
        <w:t>.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43AC543C"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w:t>
      </w:r>
      <w:proofErr w:type="spellStart"/>
      <w:r w:rsidRPr="00670CFB">
        <w:rPr>
          <w:rFonts w:ascii="Verdana" w:hAnsi="Verdana"/>
        </w:rPr>
        <w:t>PcD</w:t>
      </w:r>
      <w:proofErr w:type="spellEnd"/>
      <w:r w:rsidRPr="00670CFB">
        <w:rPr>
          <w:rFonts w:ascii="Verdana" w:hAnsi="Verdana"/>
        </w:rPr>
        <w:t xml:space="preserve"> o ser empleadores de </w:t>
      </w:r>
      <w:proofErr w:type="spellStart"/>
      <w:r w:rsidRPr="00670CFB">
        <w:rPr>
          <w:rFonts w:ascii="Verdana" w:hAnsi="Verdana"/>
        </w:rPr>
        <w:t>PcD</w:t>
      </w:r>
      <w:proofErr w:type="spellEnd"/>
      <w:r w:rsidRPr="00670CFB">
        <w:rPr>
          <w:rFonts w:ascii="Verdana" w:hAnsi="Verdana"/>
        </w:rPr>
        <w:t xml:space="preserve">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xml:space="preserve">, en licitación pública y concurso de méritos. La acreditación exige, entre otros documentos, los certificados de aportes a seguridad social de los tres (3) meses anteriores a la presentación de la oferta para cada </w:t>
      </w:r>
      <w:proofErr w:type="spellStart"/>
      <w:r w:rsidRPr="00670CFB">
        <w:rPr>
          <w:rFonts w:ascii="Verdana" w:hAnsi="Verdana"/>
        </w:rPr>
        <w:t>PcD</w:t>
      </w:r>
      <w:proofErr w:type="spellEnd"/>
      <w:r w:rsidRPr="00670CFB">
        <w:rPr>
          <w:rFonts w:ascii="Verdana" w:hAnsi="Verdana"/>
        </w:rPr>
        <w:t xml:space="preserve"> incluida en el cómputo, junto con el certificado del Ministerio de Trabajo. La no inclusión de este puntaje </w:t>
      </w:r>
      <w:r w:rsidRPr="00670CFB">
        <w:rPr>
          <w:rFonts w:ascii="Verdana" w:hAnsi="Verdana"/>
        </w:rPr>
        <w:lastRenderedPageBreak/>
        <w:t xml:space="preserve">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w:t>
      </w:r>
      <w:proofErr w:type="spellStart"/>
      <w:r w:rsidRPr="00670CFB">
        <w:rPr>
          <w:rFonts w:ascii="Verdana" w:hAnsi="Verdana"/>
        </w:rPr>
        <w:t>PcD</w:t>
      </w:r>
      <w:proofErr w:type="spellEnd"/>
      <w:r w:rsidRPr="00670CFB">
        <w:rPr>
          <w:rFonts w:ascii="Verdana" w:hAnsi="Verdana"/>
        </w:rPr>
        <w:t xml:space="preserve"> vinculadas puede constituir causal de incumplimiento contractual, salvo que se demuestre fuerza mayor o caso fortuito, y en todo caso respetando el derecho a la estabilidad laboral reforzada de las </w:t>
      </w:r>
      <w:proofErr w:type="spellStart"/>
      <w:r w:rsidRPr="00670CFB">
        <w:rPr>
          <w:rFonts w:ascii="Verdana" w:hAnsi="Verdana"/>
        </w:rPr>
        <w:t>PcD</w:t>
      </w:r>
      <w:proofErr w:type="spellEnd"/>
      <w:r w:rsidRPr="00670CFB">
        <w:rPr>
          <w:rFonts w:ascii="Verdana" w:hAnsi="Verdana"/>
        </w:rPr>
        <w:t>.</w:t>
      </w:r>
    </w:p>
    <w:p w14:paraId="45285651"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670CFB">
        <w:rPr>
          <w:rFonts w:ascii="Verdana" w:hAnsi="Verdana"/>
        </w:rPr>
        <w:t>PcD</w:t>
      </w:r>
      <w:proofErr w:type="spellEnd"/>
      <w:r w:rsidRPr="00670CFB">
        <w:rPr>
          <w:rFonts w:ascii="Verdana" w:hAnsi="Verdana"/>
        </w:rPr>
        <w:t xml:space="preserve"> y a emprendimientos y empresas de </w:t>
      </w:r>
      <w:proofErr w:type="spellStart"/>
      <w:r w:rsidRPr="00670CFB">
        <w:rPr>
          <w:rFonts w:ascii="Verdana" w:hAnsi="Verdana"/>
        </w:rPr>
        <w:t>PcD</w:t>
      </w:r>
      <w:proofErr w:type="spellEnd"/>
      <w:r w:rsidRPr="00670CFB">
        <w:rPr>
          <w:rFonts w:ascii="Verdana" w:hAnsi="Verdana"/>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670CFB">
        <w:rPr>
          <w:rFonts w:ascii="Verdana" w:hAnsi="Verdana"/>
        </w:rPr>
        <w:t>PcD</w:t>
      </w:r>
      <w:proofErr w:type="spellEnd"/>
      <w:r w:rsidRPr="00670CFB">
        <w:rPr>
          <w:rFonts w:ascii="Verdana" w:hAnsi="Verdana"/>
        </w:rPr>
        <w:t xml:space="preserve">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37843712"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La quinta medida es la inclusión de </w:t>
      </w:r>
      <w:proofErr w:type="spellStart"/>
      <w:r w:rsidRPr="00670CFB">
        <w:rPr>
          <w:rFonts w:ascii="Verdana" w:hAnsi="Verdana"/>
        </w:rPr>
        <w:t>PcD</w:t>
      </w:r>
      <w:proofErr w:type="spellEnd"/>
      <w:r w:rsidRPr="00670CFB">
        <w:rPr>
          <w:rFonts w:ascii="Verdana" w:hAnsi="Verdana"/>
        </w:rPr>
        <w:t xml:space="preserve">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w:t>
      </w:r>
      <w:r w:rsidRPr="00670CFB">
        <w:rPr>
          <w:rFonts w:ascii="Verdana" w:hAnsi="Verdana"/>
        </w:rPr>
        <w:lastRenderedPageBreak/>
        <w:t xml:space="preserve">debe verificar la idoneidad de la </w:t>
      </w:r>
      <w:proofErr w:type="spellStart"/>
      <w:r w:rsidRPr="00670CFB">
        <w:rPr>
          <w:rFonts w:ascii="Verdana" w:hAnsi="Verdana"/>
        </w:rPr>
        <w:t>PcD</w:t>
      </w:r>
      <w:proofErr w:type="spellEnd"/>
      <w:r w:rsidRPr="00670CFB">
        <w:rPr>
          <w:rFonts w:ascii="Verdana" w:hAnsi="Verdana"/>
        </w:rPr>
        <w:t xml:space="preserve">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6641789D"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xml:space="preserve">. Esta obligación consiste en incorporar en los estudios previos y en los documentos del proceso criterios que garanticen la accesibilidad de las </w:t>
      </w:r>
      <w:proofErr w:type="spellStart"/>
      <w:r w:rsidRPr="00670CFB">
        <w:rPr>
          <w:rFonts w:ascii="Verdana" w:hAnsi="Verdana"/>
        </w:rPr>
        <w:t>PcD</w:t>
      </w:r>
      <w:proofErr w:type="spellEnd"/>
      <w:r w:rsidRPr="00670CFB">
        <w:rPr>
          <w:rFonts w:ascii="Verdana" w:hAnsi="Verdana"/>
        </w:rPr>
        <w:t xml:space="preserve">,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w:t>
      </w:r>
      <w:proofErr w:type="gramStart"/>
      <w:r w:rsidRPr="00670CFB">
        <w:rPr>
          <w:rFonts w:ascii="Verdana" w:hAnsi="Verdana"/>
        </w:rPr>
        <w:t>obligación</w:t>
      </w:r>
      <w:proofErr w:type="gramEnd"/>
      <w:r w:rsidRPr="00670CFB">
        <w:rPr>
          <w:rFonts w:ascii="Verdana" w:hAnsi="Verdana"/>
        </w:rPr>
        <w:t xml:space="preserve"> sino que la convierte en autora de sus propios estándares de accesibilidad para ese contrato específico.</w:t>
      </w:r>
    </w:p>
    <w:p w14:paraId="78BD1F62" w14:textId="77777777" w:rsidR="005510BC" w:rsidRPr="00670CFB" w:rsidRDefault="005510BC" w:rsidP="005510BC">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0A69F894" w14:textId="77777777" w:rsidR="005510BC" w:rsidRPr="00206556" w:rsidRDefault="005510BC" w:rsidP="005510BC">
      <w:pPr>
        <w:spacing w:after="0" w:line="276" w:lineRule="auto"/>
        <w:jc w:val="both"/>
        <w:rPr>
          <w:rFonts w:ascii="Verdana" w:eastAsia="Calibri" w:hAnsi="Verdana" w:cs="Arial"/>
          <w:lang w:val="es-ES"/>
        </w:rPr>
      </w:pPr>
    </w:p>
    <w:p w14:paraId="1E71F08D" w14:textId="77777777" w:rsidR="005510BC" w:rsidRPr="00206556" w:rsidRDefault="005510BC" w:rsidP="005510BC">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lastRenderedPageBreak/>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10BC" w:rsidRPr="00206556" w14:paraId="592A0E63" w14:textId="77777777" w:rsidTr="00AD17AD">
        <w:trPr>
          <w:trHeight w:val="297"/>
        </w:trPr>
        <w:tc>
          <w:tcPr>
            <w:tcW w:w="8647" w:type="dxa"/>
          </w:tcPr>
          <w:p w14:paraId="14262033" w14:textId="77777777" w:rsidR="005510BC" w:rsidRPr="00670CFB"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15AE093D"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50A5324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6C87258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17B6EA4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F45AD8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0F1F262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390787A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70EBD134"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21C5B94B"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39624066"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094D4DD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75B00133"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7C2B0865"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19EE09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5BDFC80A"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330A1E2C"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26343F19"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3D657601"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86CC89F"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Agencia Nacional de Contratación Pública – Colombia Compra Eficiente. Circular Externa sobre orientaciones para la aplicación del Decreto 287 de 2026. Bogotá, 2026.</w:t>
            </w:r>
          </w:p>
          <w:p w14:paraId="005967D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00F0475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1CEDB7F7"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66B73B08"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1E609F30"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7BC7C2E2" w14:textId="77777777" w:rsidR="005510BC" w:rsidRPr="00206556" w:rsidRDefault="005510BC" w:rsidP="00AD17AD">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398C5F20" w14:textId="77777777" w:rsidR="005510BC" w:rsidRPr="00206556" w:rsidRDefault="005510BC" w:rsidP="00AD17AD">
            <w:pPr>
              <w:widowControl w:val="0"/>
              <w:autoSpaceDE w:val="0"/>
              <w:autoSpaceDN w:val="0"/>
              <w:spacing w:line="276" w:lineRule="auto"/>
              <w:jc w:val="both"/>
              <w:rPr>
                <w:rFonts w:ascii="Verdana" w:eastAsia="Arial MT" w:hAnsi="Verdana" w:cs="Arial"/>
                <w:lang w:val="es-ES" w:eastAsia="es-ES" w:bidi="es-ES"/>
              </w:rPr>
            </w:pPr>
          </w:p>
        </w:tc>
      </w:tr>
    </w:tbl>
    <w:p w14:paraId="3D76DBE8"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3DF3B5C" w14:textId="77777777" w:rsidR="005510BC" w:rsidRDefault="005510BC" w:rsidP="005510B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75F4F75C" w14:textId="77777777" w:rsidR="005510BC" w:rsidRPr="00670CFB" w:rsidRDefault="005510BC" w:rsidP="005510BC">
      <w:pPr>
        <w:tabs>
          <w:tab w:val="left" w:pos="142"/>
          <w:tab w:val="left" w:pos="284"/>
        </w:tabs>
        <w:spacing w:after="0" w:line="276" w:lineRule="auto"/>
        <w:jc w:val="both"/>
        <w:rPr>
          <w:rFonts w:ascii="Verdana" w:eastAsia="Century Gothic" w:hAnsi="Verdana" w:cs="Century Gothic"/>
          <w:b/>
          <w:lang w:val="es-ES"/>
        </w:rPr>
      </w:pPr>
    </w:p>
    <w:p w14:paraId="51C27470" w14:textId="77777777" w:rsidR="005510BC" w:rsidRPr="00206556" w:rsidRDefault="005510BC" w:rsidP="005510BC">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sobre el alcance del Decreto 0287 de 2026 en este concepto</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e</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2" w:history="1">
        <w:r w:rsidRPr="00206556">
          <w:rPr>
            <w:rStyle w:val="Hipervnculo"/>
            <w:rFonts w:ascii="Verdana" w:hAnsi="Verdana" w:cs="Arial"/>
            <w:shd w:val="clear" w:color="auto" w:fill="FFFFFF"/>
            <w:lang w:val="es-ES"/>
          </w:rPr>
          <w:t>https://relatoria.colombiacompra.gov.co/busqueda/conceptos</w:t>
        </w:r>
      </w:hyperlink>
    </w:p>
    <w:p w14:paraId="2BF9DBCF" w14:textId="77777777" w:rsidR="005510BC" w:rsidRPr="00206556" w:rsidRDefault="005510BC" w:rsidP="005510BC">
      <w:pPr>
        <w:spacing w:after="0" w:line="276" w:lineRule="auto"/>
        <w:jc w:val="both"/>
        <w:rPr>
          <w:rFonts w:ascii="Verdana" w:hAnsi="Verdana" w:cs="Arial"/>
          <w:color w:val="ED7D31" w:themeColor="accent2"/>
          <w:shd w:val="clear" w:color="auto" w:fill="FFFFFF"/>
          <w:lang w:val="es-ES"/>
        </w:rPr>
      </w:pPr>
    </w:p>
    <w:p w14:paraId="2B7255FD"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3"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5C5990D1" w14:textId="77777777" w:rsidR="005510BC" w:rsidRPr="00206556" w:rsidRDefault="005510BC" w:rsidP="005510BC">
      <w:pPr>
        <w:spacing w:after="0" w:line="276" w:lineRule="auto"/>
        <w:jc w:val="both"/>
        <w:rPr>
          <w:rFonts w:ascii="Verdana" w:hAnsi="Verdana" w:cs="Arial"/>
          <w:shd w:val="clear" w:color="auto" w:fill="FFFFFF"/>
        </w:rPr>
      </w:pPr>
    </w:p>
    <w:p w14:paraId="73158DD2"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lastRenderedPageBreak/>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4" w:history="1">
        <w:r w:rsidRPr="00206556">
          <w:rPr>
            <w:rStyle w:val="Hipervnculo"/>
            <w:rFonts w:ascii="Verdana" w:hAnsi="Verdana" w:cs="Arial"/>
            <w:shd w:val="clear" w:color="auto" w:fill="FFFFFF"/>
          </w:rPr>
          <w:t>https://www.colombiacompra.gov.co/normativa-y-relatoria/documentos-tipo</w:t>
        </w:r>
      </w:hyperlink>
    </w:p>
    <w:p w14:paraId="1CEEA0B6" w14:textId="77777777" w:rsidR="005510BC" w:rsidRPr="00206556" w:rsidRDefault="005510BC" w:rsidP="005510BC">
      <w:pPr>
        <w:spacing w:after="0" w:line="276" w:lineRule="auto"/>
        <w:jc w:val="both"/>
        <w:rPr>
          <w:rFonts w:ascii="Verdana" w:hAnsi="Verdana" w:cs="Arial"/>
          <w:shd w:val="clear" w:color="auto" w:fill="FFFFFF"/>
        </w:rPr>
      </w:pPr>
    </w:p>
    <w:p w14:paraId="09981D7E" w14:textId="77777777" w:rsidR="005510BC" w:rsidRPr="00206556" w:rsidRDefault="005510BC" w:rsidP="005510B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206556">
        <w:rPr>
          <w:rFonts w:ascii="Verdana" w:hAnsi="Verdana" w:cs="Arial"/>
          <w:shd w:val="clear" w:color="auto" w:fill="FFFFFF"/>
        </w:rPr>
        <w:t>Además</w:t>
      </w:r>
      <w:proofErr w:type="gramEnd"/>
      <w:r w:rsidRPr="00206556">
        <w:rPr>
          <w:rFonts w:ascii="Verdana" w:hAnsi="Verdana" w:cs="Arial"/>
          <w:shd w:val="clear" w:color="auto" w:fill="FFFFFF"/>
        </w:rPr>
        <w:t xml:space="preserve">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2BB0272B" w14:textId="77777777" w:rsidR="005510BC" w:rsidRPr="00206556" w:rsidRDefault="005510BC" w:rsidP="005510BC">
      <w:pPr>
        <w:spacing w:after="0" w:line="276" w:lineRule="auto"/>
        <w:jc w:val="both"/>
        <w:rPr>
          <w:rFonts w:ascii="Verdana" w:hAnsi="Verdana" w:cs="Arial"/>
          <w:color w:val="ED7D31" w:themeColor="accent2"/>
          <w:shd w:val="clear" w:color="auto" w:fill="FFFFFF"/>
        </w:rPr>
      </w:pPr>
    </w:p>
    <w:p w14:paraId="1FDB5F89"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3DECC61D" w14:textId="77777777" w:rsidR="005510BC" w:rsidRPr="00206556" w:rsidRDefault="005510BC" w:rsidP="005510BC">
      <w:pPr>
        <w:spacing w:after="0"/>
        <w:jc w:val="both"/>
        <w:rPr>
          <w:rFonts w:ascii="Verdana" w:hAnsi="Verdana" w:cs="Arial"/>
          <w:shd w:val="clear" w:color="auto" w:fill="FFFFFF"/>
        </w:rPr>
      </w:pPr>
    </w:p>
    <w:p w14:paraId="3F791AFB"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240CDDDC"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1CA81020"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767F4EDF" w14:textId="77777777" w:rsidR="005510BC" w:rsidRPr="00206556" w:rsidRDefault="005510BC" w:rsidP="005510BC">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D01CA82" w14:textId="77777777" w:rsidR="005510BC" w:rsidRPr="00206556" w:rsidRDefault="005510BC" w:rsidP="005510BC">
      <w:pPr>
        <w:widowControl w:val="0"/>
        <w:autoSpaceDE w:val="0"/>
        <w:autoSpaceDN w:val="0"/>
        <w:spacing w:after="0" w:line="276" w:lineRule="auto"/>
        <w:jc w:val="both"/>
        <w:rPr>
          <w:rFonts w:ascii="Verdana" w:hAnsi="Verdana" w:cs="Arial"/>
          <w:color w:val="ED7D31" w:themeColor="accent2"/>
          <w:lang w:val="es-ES"/>
        </w:rPr>
      </w:pPr>
    </w:p>
    <w:p w14:paraId="18C29CB2"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02065E" w14:textId="77777777" w:rsidR="005510BC" w:rsidRPr="00206556" w:rsidRDefault="005510BC" w:rsidP="005510BC">
      <w:pPr>
        <w:widowControl w:val="0"/>
        <w:autoSpaceDE w:val="0"/>
        <w:autoSpaceDN w:val="0"/>
        <w:spacing w:after="0" w:line="276" w:lineRule="auto"/>
        <w:jc w:val="both"/>
        <w:rPr>
          <w:rFonts w:ascii="Verdana" w:hAnsi="Verdana" w:cs="Arial"/>
          <w:lang w:val="es-ES"/>
        </w:rPr>
      </w:pPr>
    </w:p>
    <w:p w14:paraId="51BB3CB5" w14:textId="77777777" w:rsidR="005510BC" w:rsidRPr="00206556" w:rsidRDefault="005510BC" w:rsidP="005510BC">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13C0EB0F" w14:textId="2FBDAD06" w:rsidR="00A754B1" w:rsidRPr="00206556" w:rsidRDefault="00073E6D" w:rsidP="00A754B1">
      <w:pPr>
        <w:spacing w:after="0" w:line="256" w:lineRule="auto"/>
        <w:jc w:val="center"/>
        <w:rPr>
          <w:rFonts w:ascii="Verdana" w:eastAsia="Times New Roman" w:hAnsi="Verdana" w:cs="Arial"/>
          <w:lang w:eastAsia="es-ES"/>
        </w:rPr>
      </w:pPr>
      <w:r>
        <w:rPr>
          <w:rFonts w:ascii="Verdana" w:eastAsia="Times New Roman" w:hAnsi="Verdana" w:cs="Arial"/>
          <w:noProof/>
          <w:lang w:eastAsia="es-ES"/>
        </w:rPr>
        <w:drawing>
          <wp:inline distT="0" distB="0" distL="0" distR="0" wp14:anchorId="1AA38C22" wp14:editId="4CE156BA">
            <wp:extent cx="3639058" cy="1343212"/>
            <wp:effectExtent l="0" t="0" r="0" b="0"/>
            <wp:docPr id="154929090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290905"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p w14:paraId="6B064C3A" w14:textId="77777777" w:rsidR="00A754B1" w:rsidRPr="00206556" w:rsidRDefault="00A754B1" w:rsidP="00A754B1">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A754B1" w:rsidRPr="00206556" w14:paraId="5C634FCB" w14:textId="77777777">
        <w:trPr>
          <w:trHeight w:val="322"/>
        </w:trPr>
        <w:tc>
          <w:tcPr>
            <w:tcW w:w="733" w:type="dxa"/>
            <w:tcBorders>
              <w:top w:val="nil"/>
              <w:left w:val="nil"/>
              <w:bottom w:val="nil"/>
              <w:right w:val="nil"/>
            </w:tcBorders>
            <w:vAlign w:val="center"/>
            <w:hideMark/>
          </w:tcPr>
          <w:p w14:paraId="6BA74C99"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76F1BA0" w14:textId="77777777" w:rsidR="00670CFB" w:rsidRPr="00206556" w:rsidRDefault="00670CFB" w:rsidP="00670CFB">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eastAsia="es-CO"/>
              </w:rPr>
              <w:t>Gloria Elizabeth Arango Builes</w:t>
            </w:r>
          </w:p>
          <w:p w14:paraId="0502EDA4" w14:textId="4C8370B0" w:rsidR="00A754B1" w:rsidRPr="00206556" w:rsidRDefault="00670CFB" w:rsidP="00670CFB">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eastAsia="es-ES"/>
              </w:rPr>
              <w:t xml:space="preserve">Contratista </w:t>
            </w:r>
            <w:r w:rsidRPr="00206556">
              <w:rPr>
                <w:rFonts w:ascii="Verdana" w:eastAsia="Times New Roman" w:hAnsi="Verdana" w:cs="Times New Roman"/>
                <w:sz w:val="16"/>
                <w:szCs w:val="16"/>
                <w:lang w:eastAsia="es-CO"/>
              </w:rPr>
              <w:t>de la Subdirección de Gestión Contractual</w:t>
            </w:r>
          </w:p>
        </w:tc>
      </w:tr>
      <w:tr w:rsidR="00A754B1" w:rsidRPr="00206556" w14:paraId="4384CD0E" w14:textId="77777777">
        <w:trPr>
          <w:trHeight w:val="322"/>
        </w:trPr>
        <w:tc>
          <w:tcPr>
            <w:tcW w:w="733" w:type="dxa"/>
            <w:tcBorders>
              <w:top w:val="nil"/>
              <w:left w:val="nil"/>
              <w:bottom w:val="nil"/>
              <w:right w:val="nil"/>
            </w:tcBorders>
            <w:vAlign w:val="center"/>
            <w:hideMark/>
          </w:tcPr>
          <w:p w14:paraId="68F906D2"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F65E976" w14:textId="4CEF34B1" w:rsidR="00670CFB" w:rsidRPr="00206556" w:rsidRDefault="006B694D" w:rsidP="00670CFB">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Lucía Saavedra Castañeda</w:t>
            </w:r>
          </w:p>
          <w:p w14:paraId="53BA1B20" w14:textId="425ECA9A" w:rsidR="00670CFB" w:rsidRPr="00206556" w:rsidRDefault="006B694D" w:rsidP="00670CFB">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 xml:space="preserve">Contratista </w:t>
            </w:r>
            <w:r w:rsidR="00670CFB" w:rsidRPr="00206556">
              <w:rPr>
                <w:rFonts w:ascii="Verdana" w:eastAsia="Times New Roman" w:hAnsi="Verdana" w:cs="Arial"/>
                <w:sz w:val="16"/>
                <w:szCs w:val="16"/>
                <w:lang w:eastAsia="es-ES"/>
              </w:rPr>
              <w:t>de la Subdirección de Gestión Contractual</w:t>
            </w:r>
          </w:p>
          <w:p w14:paraId="4F030FDF" w14:textId="6BB16468"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p>
        </w:tc>
      </w:tr>
      <w:tr w:rsidR="00A754B1" w:rsidRPr="00206556" w14:paraId="51B53319" w14:textId="77777777">
        <w:trPr>
          <w:trHeight w:val="307"/>
        </w:trPr>
        <w:tc>
          <w:tcPr>
            <w:tcW w:w="733" w:type="dxa"/>
            <w:tcBorders>
              <w:top w:val="nil"/>
              <w:left w:val="nil"/>
              <w:bottom w:val="nil"/>
              <w:right w:val="nil"/>
            </w:tcBorders>
            <w:vAlign w:val="center"/>
            <w:hideMark/>
          </w:tcPr>
          <w:p w14:paraId="58BB7344" w14:textId="77777777" w:rsidR="00A754B1" w:rsidRPr="00206556" w:rsidRDefault="00A754B1" w:rsidP="00A754B1">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A41E819"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3D71CC3E" w14:textId="77777777" w:rsidR="00A754B1" w:rsidRPr="00206556" w:rsidRDefault="00A754B1" w:rsidP="00A754B1">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1F1E5D50" w14:textId="77777777" w:rsidR="00A754B1" w:rsidRDefault="00A754B1" w:rsidP="00A754B1">
      <w:pPr>
        <w:autoSpaceDE w:val="0"/>
        <w:autoSpaceDN w:val="0"/>
        <w:adjustRightInd w:val="0"/>
        <w:spacing w:after="0" w:line="276" w:lineRule="auto"/>
        <w:jc w:val="center"/>
        <w:rPr>
          <w:rFonts w:ascii="Verdana" w:eastAsia="Calibri" w:hAnsi="Verdana" w:cs="Arial"/>
        </w:rPr>
      </w:pPr>
    </w:p>
    <w:p w14:paraId="0F8936C8" w14:textId="77777777" w:rsidR="00670CFB" w:rsidRDefault="00670CFB" w:rsidP="00A754B1">
      <w:pPr>
        <w:autoSpaceDE w:val="0"/>
        <w:autoSpaceDN w:val="0"/>
        <w:adjustRightInd w:val="0"/>
        <w:spacing w:after="0" w:line="276" w:lineRule="auto"/>
        <w:jc w:val="center"/>
        <w:rPr>
          <w:rFonts w:ascii="Verdana" w:eastAsia="Calibri" w:hAnsi="Verdana" w:cs="Arial"/>
        </w:rPr>
      </w:pPr>
    </w:p>
    <w:p w14:paraId="179A18B3" w14:textId="5C20A6F1" w:rsidR="00670CFB" w:rsidRPr="00206556" w:rsidRDefault="00670CFB" w:rsidP="00670CFB">
      <w:pPr>
        <w:autoSpaceDE w:val="0"/>
        <w:autoSpaceDN w:val="0"/>
        <w:adjustRightInd w:val="0"/>
        <w:spacing w:after="0" w:line="276" w:lineRule="auto"/>
        <w:jc w:val="center"/>
        <w:rPr>
          <w:rFonts w:ascii="Verdana" w:eastAsia="Calibri" w:hAnsi="Verdana" w:cs="Arial"/>
        </w:rPr>
      </w:pPr>
    </w:p>
    <w:sectPr w:rsidR="00670CFB" w:rsidRPr="0020655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AAFF3" w14:textId="77777777" w:rsidR="00C938CE" w:rsidRDefault="00C938CE" w:rsidP="004A1847">
      <w:pPr>
        <w:spacing w:after="0" w:line="240" w:lineRule="auto"/>
      </w:pPr>
      <w:r>
        <w:separator/>
      </w:r>
    </w:p>
  </w:endnote>
  <w:endnote w:type="continuationSeparator" w:id="0">
    <w:p w14:paraId="219D930F" w14:textId="77777777" w:rsidR="00C938CE" w:rsidRDefault="00C938C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E50304" w14:textId="77777777" w:rsidR="00C938CE" w:rsidRDefault="00C938CE" w:rsidP="004A1847">
      <w:pPr>
        <w:spacing w:after="0" w:line="240" w:lineRule="auto"/>
      </w:pPr>
      <w:r>
        <w:separator/>
      </w:r>
    </w:p>
  </w:footnote>
  <w:footnote w:type="continuationSeparator" w:id="0">
    <w:p w14:paraId="3E213967" w14:textId="77777777" w:rsidR="00C938CE" w:rsidRDefault="00C938CE" w:rsidP="004A1847">
      <w:pPr>
        <w:spacing w:after="0" w:line="240" w:lineRule="auto"/>
      </w:pPr>
      <w:r>
        <w:continuationSeparator/>
      </w:r>
    </w:p>
  </w:footnote>
  <w:footnote w:id="1">
    <w:p w14:paraId="1714CFA3"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146E5890" w14:textId="77777777" w:rsidR="005510BC" w:rsidRPr="00206556" w:rsidRDefault="005510BC" w:rsidP="005510BC">
      <w:pPr>
        <w:spacing w:after="80" w:line="240" w:lineRule="auto"/>
        <w:ind w:firstLine="708"/>
        <w:jc w:val="both"/>
        <w:rPr>
          <w:rFonts w:ascii="Verdana" w:hAnsi="Verdana"/>
          <w:sz w:val="16"/>
          <w:szCs w:val="16"/>
        </w:rPr>
      </w:pPr>
    </w:p>
  </w:footnote>
  <w:footnote w:id="2">
    <w:p w14:paraId="68485690"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3A2DD2BE" w14:textId="77777777" w:rsidR="005510BC" w:rsidRPr="00206556" w:rsidRDefault="005510BC" w:rsidP="005510BC">
      <w:pPr>
        <w:pStyle w:val="Textonotapie"/>
        <w:ind w:firstLine="708"/>
        <w:jc w:val="both"/>
        <w:rPr>
          <w:rFonts w:ascii="Verdana" w:hAnsi="Verdana"/>
          <w:sz w:val="16"/>
          <w:szCs w:val="16"/>
          <w:lang w:val="es-ES"/>
        </w:rPr>
      </w:pPr>
    </w:p>
  </w:footnote>
  <w:footnote w:id="3">
    <w:p w14:paraId="0AFA833E" w14:textId="77777777" w:rsidR="005510BC" w:rsidRPr="00206556" w:rsidRDefault="005510BC" w:rsidP="005510BC">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47898830" w14:textId="77777777" w:rsidR="005510BC" w:rsidRPr="00206556" w:rsidRDefault="005510BC" w:rsidP="005510BC">
      <w:pPr>
        <w:spacing w:after="80" w:line="240" w:lineRule="auto"/>
        <w:ind w:firstLine="708"/>
        <w:jc w:val="both"/>
        <w:rPr>
          <w:rFonts w:ascii="Verdana" w:hAnsi="Verdana"/>
          <w:sz w:val="16"/>
          <w:szCs w:val="16"/>
        </w:rPr>
      </w:pPr>
    </w:p>
  </w:footnote>
  <w:footnote w:id="4">
    <w:p w14:paraId="023A68CA" w14:textId="77777777" w:rsidR="005510BC" w:rsidRPr="00206556" w:rsidRDefault="005510BC" w:rsidP="005510BC">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15D2CE93" w14:textId="77777777" w:rsidR="005510BC" w:rsidRPr="00206556" w:rsidRDefault="005510BC" w:rsidP="005510BC">
      <w:pPr>
        <w:pStyle w:val="Textonotapie"/>
        <w:ind w:firstLine="708"/>
        <w:jc w:val="both"/>
        <w:rPr>
          <w:rFonts w:ascii="Verdana" w:hAnsi="Verdana"/>
          <w:sz w:val="16"/>
          <w:szCs w:val="16"/>
          <w:lang w:val="es-ES"/>
        </w:rPr>
      </w:pPr>
    </w:p>
  </w:footnote>
  <w:footnote w:id="5">
    <w:p w14:paraId="534B91EE" w14:textId="77777777" w:rsidR="005510BC" w:rsidRPr="00206556" w:rsidRDefault="005510BC" w:rsidP="005510BC">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152A2E9B" w14:textId="77777777" w:rsidR="005510BC" w:rsidRPr="00206556" w:rsidRDefault="005510BC" w:rsidP="005510BC">
      <w:pPr>
        <w:pStyle w:val="Textonotapie"/>
        <w:ind w:firstLine="708"/>
        <w:jc w:val="both"/>
        <w:rPr>
          <w:rFonts w:ascii="Verdana" w:hAnsi="Verdana"/>
          <w:sz w:val="16"/>
          <w:szCs w:val="16"/>
          <w:lang w:val="es-ES"/>
        </w:rPr>
      </w:pPr>
    </w:p>
  </w:footnote>
  <w:footnote w:id="6">
    <w:p w14:paraId="0E4AAD4E"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61E73744" w14:textId="77777777" w:rsidR="005510BC" w:rsidRPr="00206556" w:rsidRDefault="005510BC" w:rsidP="005510BC">
      <w:pPr>
        <w:pStyle w:val="Textonotapie"/>
        <w:ind w:firstLine="708"/>
        <w:rPr>
          <w:rFonts w:ascii="Verdana" w:hAnsi="Verdana"/>
          <w:sz w:val="16"/>
          <w:szCs w:val="16"/>
          <w:lang w:val="es-ES"/>
        </w:rPr>
      </w:pPr>
    </w:p>
  </w:footnote>
  <w:footnote w:id="7">
    <w:p w14:paraId="7E4012CD"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B1E4046" w14:textId="77777777" w:rsidR="005510BC" w:rsidRPr="00206556" w:rsidRDefault="005510BC" w:rsidP="005510BC">
      <w:pPr>
        <w:pStyle w:val="Textonotapie"/>
        <w:ind w:firstLine="708"/>
        <w:rPr>
          <w:rFonts w:ascii="Verdana" w:hAnsi="Verdana"/>
          <w:sz w:val="16"/>
          <w:szCs w:val="16"/>
          <w:lang w:val="es-ES"/>
        </w:rPr>
      </w:pPr>
    </w:p>
  </w:footnote>
  <w:footnote w:id="8">
    <w:p w14:paraId="5294BCBB" w14:textId="77777777" w:rsidR="005510BC" w:rsidRPr="00206556" w:rsidRDefault="005510BC" w:rsidP="005510BC">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9">
    <w:p w14:paraId="2F194327"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Agencia Nacional de Contratación Pública – Colombia Compra Eficiente. (2022, diciembre 14). Concepto C-864 de 2022. Bogotá: ANCP-CCE. Disponible en:  https://relatoria.colombiacompra.gov.co/conceptos/c-864-de-2022/</w:t>
      </w:r>
    </w:p>
  </w:footnote>
  <w:footnote w:id="10">
    <w:p w14:paraId="7731F440" w14:textId="77777777" w:rsidR="005510BC" w:rsidRPr="00206556" w:rsidRDefault="005510BC" w:rsidP="005510BC">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Consejo de Estado de Colombia. Sala de Consulta y Servicio Civil. (2013, julio 24). Concepto radicación n.° 2166. Consejero Ponente: Álvaro Namén Vargas. Bogotá: Consejo de Estado.</w:t>
      </w:r>
    </w:p>
    <w:p w14:paraId="52742739" w14:textId="77777777" w:rsidR="005510BC" w:rsidRPr="00206556" w:rsidRDefault="005510BC" w:rsidP="005510BC">
      <w:pPr>
        <w:pStyle w:val="Textonotapie"/>
        <w:ind w:firstLine="708"/>
        <w:rPr>
          <w:rFonts w:ascii="Verdana" w:hAnsi="Verdana"/>
          <w:sz w:val="16"/>
          <w:szCs w:val="16"/>
          <w:lang w:val="es-ES"/>
        </w:rPr>
      </w:pPr>
    </w:p>
  </w:footnote>
  <w:footnote w:id="11">
    <w:p w14:paraId="4D1185CE" w14:textId="77777777" w:rsidR="005510BC" w:rsidRPr="003F21FF" w:rsidRDefault="005510BC" w:rsidP="005510BC">
      <w:pPr>
        <w:pStyle w:val="Textonotapie"/>
        <w:ind w:firstLine="708"/>
        <w:rPr>
          <w:lang w:val="es-ES"/>
        </w:rPr>
      </w:pPr>
      <w:r w:rsidRPr="00206556">
        <w:rPr>
          <w:rStyle w:val="Refdenotaalpie"/>
          <w:rFonts w:ascii="Verdana" w:hAnsi="Verdana"/>
          <w:sz w:val="16"/>
          <w:szCs w:val="16"/>
        </w:rPr>
        <w:footnoteRef/>
      </w:r>
      <w:r w:rsidRPr="00206556">
        <w:rPr>
          <w:rFonts w:ascii="Verdana" w:hAnsi="Verdana"/>
          <w:sz w:val="16"/>
          <w:szCs w:val="16"/>
        </w:rPr>
        <w:t xml:space="preserve"> Corte Constitucional de Colombia. (2017). Sentencia SU-049 de 2017. Magistrada Ponente: María Victoria Calle Correa. Bogotá: Corte Constitucional</w:t>
      </w:r>
      <w:r w:rsidRPr="003F21FF">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53255849">
    <w:abstractNumId w:val="9"/>
  </w:num>
  <w:num w:numId="17"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670"/>
    <w:rsid w:val="00016C94"/>
    <w:rsid w:val="00016F78"/>
    <w:rsid w:val="0002168A"/>
    <w:rsid w:val="00021872"/>
    <w:rsid w:val="00022CC8"/>
    <w:rsid w:val="00042A91"/>
    <w:rsid w:val="00046945"/>
    <w:rsid w:val="00046C5F"/>
    <w:rsid w:val="00053563"/>
    <w:rsid w:val="000542B4"/>
    <w:rsid w:val="00055B9D"/>
    <w:rsid w:val="00060428"/>
    <w:rsid w:val="00061B2A"/>
    <w:rsid w:val="0006693F"/>
    <w:rsid w:val="00070BF4"/>
    <w:rsid w:val="00073658"/>
    <w:rsid w:val="00073E6D"/>
    <w:rsid w:val="00080209"/>
    <w:rsid w:val="00082362"/>
    <w:rsid w:val="000834DD"/>
    <w:rsid w:val="000916EA"/>
    <w:rsid w:val="00092965"/>
    <w:rsid w:val="00094252"/>
    <w:rsid w:val="000A5E13"/>
    <w:rsid w:val="000A683E"/>
    <w:rsid w:val="000A72A9"/>
    <w:rsid w:val="000A7D46"/>
    <w:rsid w:val="000B19B9"/>
    <w:rsid w:val="000B4D47"/>
    <w:rsid w:val="000B6F89"/>
    <w:rsid w:val="000C0C33"/>
    <w:rsid w:val="000C7411"/>
    <w:rsid w:val="000D0334"/>
    <w:rsid w:val="000D2F32"/>
    <w:rsid w:val="000D4B26"/>
    <w:rsid w:val="000D5DA7"/>
    <w:rsid w:val="000E7C7B"/>
    <w:rsid w:val="000F1443"/>
    <w:rsid w:val="000F3D1E"/>
    <w:rsid w:val="000F6486"/>
    <w:rsid w:val="00103BFE"/>
    <w:rsid w:val="001068E1"/>
    <w:rsid w:val="00112DCB"/>
    <w:rsid w:val="00115970"/>
    <w:rsid w:val="00116940"/>
    <w:rsid w:val="00117A5A"/>
    <w:rsid w:val="001228DC"/>
    <w:rsid w:val="00124C21"/>
    <w:rsid w:val="00125105"/>
    <w:rsid w:val="0012666F"/>
    <w:rsid w:val="00127233"/>
    <w:rsid w:val="00134886"/>
    <w:rsid w:val="001406B4"/>
    <w:rsid w:val="00142035"/>
    <w:rsid w:val="0015042F"/>
    <w:rsid w:val="00152F52"/>
    <w:rsid w:val="0015488B"/>
    <w:rsid w:val="0015650E"/>
    <w:rsid w:val="0015699B"/>
    <w:rsid w:val="00163017"/>
    <w:rsid w:val="0016488C"/>
    <w:rsid w:val="00165A70"/>
    <w:rsid w:val="001679AE"/>
    <w:rsid w:val="001726AF"/>
    <w:rsid w:val="0017343D"/>
    <w:rsid w:val="00180418"/>
    <w:rsid w:val="00182010"/>
    <w:rsid w:val="001930C3"/>
    <w:rsid w:val="00196F75"/>
    <w:rsid w:val="001A2C19"/>
    <w:rsid w:val="001A2E74"/>
    <w:rsid w:val="001A33BF"/>
    <w:rsid w:val="001B064E"/>
    <w:rsid w:val="001B3AEB"/>
    <w:rsid w:val="001B6C7C"/>
    <w:rsid w:val="001C2502"/>
    <w:rsid w:val="001C73B4"/>
    <w:rsid w:val="001E4177"/>
    <w:rsid w:val="001F0B24"/>
    <w:rsid w:val="001F46EB"/>
    <w:rsid w:val="001F7294"/>
    <w:rsid w:val="001F7DC6"/>
    <w:rsid w:val="00203EC3"/>
    <w:rsid w:val="00206556"/>
    <w:rsid w:val="00206F7B"/>
    <w:rsid w:val="0022400B"/>
    <w:rsid w:val="00224979"/>
    <w:rsid w:val="00233946"/>
    <w:rsid w:val="002418DF"/>
    <w:rsid w:val="002421BB"/>
    <w:rsid w:val="0024618D"/>
    <w:rsid w:val="002506B7"/>
    <w:rsid w:val="00251EEA"/>
    <w:rsid w:val="0025796E"/>
    <w:rsid w:val="00261EC2"/>
    <w:rsid w:val="002630D9"/>
    <w:rsid w:val="002667E1"/>
    <w:rsid w:val="002676A6"/>
    <w:rsid w:val="002707A2"/>
    <w:rsid w:val="00277337"/>
    <w:rsid w:val="002809EE"/>
    <w:rsid w:val="002951A0"/>
    <w:rsid w:val="002962BC"/>
    <w:rsid w:val="002A00A1"/>
    <w:rsid w:val="002A093D"/>
    <w:rsid w:val="002A0DD0"/>
    <w:rsid w:val="002A49AC"/>
    <w:rsid w:val="002A64FD"/>
    <w:rsid w:val="002B0A25"/>
    <w:rsid w:val="002B3B70"/>
    <w:rsid w:val="002C7A84"/>
    <w:rsid w:val="002D3D4B"/>
    <w:rsid w:val="002E043C"/>
    <w:rsid w:val="002E1E54"/>
    <w:rsid w:val="002E2BF8"/>
    <w:rsid w:val="002E2C06"/>
    <w:rsid w:val="002E410E"/>
    <w:rsid w:val="002E46C5"/>
    <w:rsid w:val="002E4FD9"/>
    <w:rsid w:val="002F04E0"/>
    <w:rsid w:val="002F3F1B"/>
    <w:rsid w:val="002F6EDD"/>
    <w:rsid w:val="00302E7B"/>
    <w:rsid w:val="0030657A"/>
    <w:rsid w:val="003116AA"/>
    <w:rsid w:val="00316B4B"/>
    <w:rsid w:val="0031712D"/>
    <w:rsid w:val="0032249D"/>
    <w:rsid w:val="00322A85"/>
    <w:rsid w:val="00322AC7"/>
    <w:rsid w:val="00324168"/>
    <w:rsid w:val="00327386"/>
    <w:rsid w:val="00330834"/>
    <w:rsid w:val="003348C1"/>
    <w:rsid w:val="00336915"/>
    <w:rsid w:val="00337110"/>
    <w:rsid w:val="003404B1"/>
    <w:rsid w:val="00341D29"/>
    <w:rsid w:val="003448F4"/>
    <w:rsid w:val="00346FE0"/>
    <w:rsid w:val="00351706"/>
    <w:rsid w:val="0035753C"/>
    <w:rsid w:val="00363F8D"/>
    <w:rsid w:val="00366AAB"/>
    <w:rsid w:val="00373B36"/>
    <w:rsid w:val="00374F5E"/>
    <w:rsid w:val="00377E3E"/>
    <w:rsid w:val="00395FD0"/>
    <w:rsid w:val="003974B1"/>
    <w:rsid w:val="003A613F"/>
    <w:rsid w:val="003A779E"/>
    <w:rsid w:val="003B4D9D"/>
    <w:rsid w:val="003C3B8B"/>
    <w:rsid w:val="003C64A5"/>
    <w:rsid w:val="003D0F4D"/>
    <w:rsid w:val="003D15AD"/>
    <w:rsid w:val="003D37EE"/>
    <w:rsid w:val="003D3EB2"/>
    <w:rsid w:val="003D45B0"/>
    <w:rsid w:val="003D5B0D"/>
    <w:rsid w:val="003E0499"/>
    <w:rsid w:val="003E4F80"/>
    <w:rsid w:val="003E6439"/>
    <w:rsid w:val="003E68FC"/>
    <w:rsid w:val="003F0D9A"/>
    <w:rsid w:val="003F0E92"/>
    <w:rsid w:val="003F21FF"/>
    <w:rsid w:val="003F3941"/>
    <w:rsid w:val="00406575"/>
    <w:rsid w:val="00414C74"/>
    <w:rsid w:val="00424469"/>
    <w:rsid w:val="0042722E"/>
    <w:rsid w:val="004317A8"/>
    <w:rsid w:val="0043275B"/>
    <w:rsid w:val="0043526E"/>
    <w:rsid w:val="0044528D"/>
    <w:rsid w:val="00445E6C"/>
    <w:rsid w:val="00451BB4"/>
    <w:rsid w:val="00451BBD"/>
    <w:rsid w:val="00454707"/>
    <w:rsid w:val="004566CD"/>
    <w:rsid w:val="004634E9"/>
    <w:rsid w:val="004654BF"/>
    <w:rsid w:val="00466E39"/>
    <w:rsid w:val="0047233C"/>
    <w:rsid w:val="00486F02"/>
    <w:rsid w:val="00491868"/>
    <w:rsid w:val="00492EFE"/>
    <w:rsid w:val="004A1847"/>
    <w:rsid w:val="004A305D"/>
    <w:rsid w:val="004B1246"/>
    <w:rsid w:val="004B2ACC"/>
    <w:rsid w:val="004B305D"/>
    <w:rsid w:val="004B4114"/>
    <w:rsid w:val="004C046B"/>
    <w:rsid w:val="004D6D8D"/>
    <w:rsid w:val="004E19DC"/>
    <w:rsid w:val="004E7B1E"/>
    <w:rsid w:val="004F21C4"/>
    <w:rsid w:val="004F2BF5"/>
    <w:rsid w:val="004F5ED9"/>
    <w:rsid w:val="004F685F"/>
    <w:rsid w:val="00502309"/>
    <w:rsid w:val="00516F85"/>
    <w:rsid w:val="005179DF"/>
    <w:rsid w:val="005259F2"/>
    <w:rsid w:val="0053070B"/>
    <w:rsid w:val="00534597"/>
    <w:rsid w:val="00536F7E"/>
    <w:rsid w:val="005510BC"/>
    <w:rsid w:val="005541CB"/>
    <w:rsid w:val="005566E8"/>
    <w:rsid w:val="00556BFA"/>
    <w:rsid w:val="005608AE"/>
    <w:rsid w:val="00574867"/>
    <w:rsid w:val="00577188"/>
    <w:rsid w:val="00580FC8"/>
    <w:rsid w:val="00591460"/>
    <w:rsid w:val="00594718"/>
    <w:rsid w:val="005A65E0"/>
    <w:rsid w:val="005A7A1B"/>
    <w:rsid w:val="005C13BA"/>
    <w:rsid w:val="005C3777"/>
    <w:rsid w:val="005C56B5"/>
    <w:rsid w:val="005C5CDC"/>
    <w:rsid w:val="005C6779"/>
    <w:rsid w:val="005D3CF1"/>
    <w:rsid w:val="005D476C"/>
    <w:rsid w:val="005E2AFD"/>
    <w:rsid w:val="005E492A"/>
    <w:rsid w:val="005E76F5"/>
    <w:rsid w:val="005E7FBC"/>
    <w:rsid w:val="00603D11"/>
    <w:rsid w:val="00607E13"/>
    <w:rsid w:val="00620032"/>
    <w:rsid w:val="006200BF"/>
    <w:rsid w:val="00620BC7"/>
    <w:rsid w:val="00620E38"/>
    <w:rsid w:val="006219F8"/>
    <w:rsid w:val="00622F1C"/>
    <w:rsid w:val="00624038"/>
    <w:rsid w:val="006302F7"/>
    <w:rsid w:val="00630A93"/>
    <w:rsid w:val="00631EDC"/>
    <w:rsid w:val="00635683"/>
    <w:rsid w:val="006378E7"/>
    <w:rsid w:val="0064564D"/>
    <w:rsid w:val="00645740"/>
    <w:rsid w:val="00646B9F"/>
    <w:rsid w:val="006521AC"/>
    <w:rsid w:val="006552C5"/>
    <w:rsid w:val="00665D70"/>
    <w:rsid w:val="00670CFB"/>
    <w:rsid w:val="00671A77"/>
    <w:rsid w:val="00682555"/>
    <w:rsid w:val="006900D9"/>
    <w:rsid w:val="00690862"/>
    <w:rsid w:val="006A64D0"/>
    <w:rsid w:val="006A66C8"/>
    <w:rsid w:val="006A7374"/>
    <w:rsid w:val="006B694D"/>
    <w:rsid w:val="006C00A6"/>
    <w:rsid w:val="006C3CE7"/>
    <w:rsid w:val="006C4B2C"/>
    <w:rsid w:val="006C5EB1"/>
    <w:rsid w:val="006C678A"/>
    <w:rsid w:val="006D595B"/>
    <w:rsid w:val="006D6B3F"/>
    <w:rsid w:val="006E4EC5"/>
    <w:rsid w:val="006E6F85"/>
    <w:rsid w:val="006E7113"/>
    <w:rsid w:val="007009C8"/>
    <w:rsid w:val="0070142E"/>
    <w:rsid w:val="0070233A"/>
    <w:rsid w:val="00703453"/>
    <w:rsid w:val="00706C16"/>
    <w:rsid w:val="00713052"/>
    <w:rsid w:val="00715ED7"/>
    <w:rsid w:val="00723433"/>
    <w:rsid w:val="00731DFB"/>
    <w:rsid w:val="007340C3"/>
    <w:rsid w:val="00737577"/>
    <w:rsid w:val="00741328"/>
    <w:rsid w:val="0074357A"/>
    <w:rsid w:val="007437DE"/>
    <w:rsid w:val="0075235A"/>
    <w:rsid w:val="0075272A"/>
    <w:rsid w:val="00756841"/>
    <w:rsid w:val="00764624"/>
    <w:rsid w:val="007649AB"/>
    <w:rsid w:val="0076758B"/>
    <w:rsid w:val="00771D0C"/>
    <w:rsid w:val="0077201E"/>
    <w:rsid w:val="00774862"/>
    <w:rsid w:val="00774956"/>
    <w:rsid w:val="00777292"/>
    <w:rsid w:val="00777A45"/>
    <w:rsid w:val="007833AC"/>
    <w:rsid w:val="0078375B"/>
    <w:rsid w:val="00792D67"/>
    <w:rsid w:val="00796E68"/>
    <w:rsid w:val="007A1BCB"/>
    <w:rsid w:val="007A2CE0"/>
    <w:rsid w:val="007B01BA"/>
    <w:rsid w:val="007B268C"/>
    <w:rsid w:val="007B3C5F"/>
    <w:rsid w:val="007B5AD4"/>
    <w:rsid w:val="007B7171"/>
    <w:rsid w:val="007C0C0F"/>
    <w:rsid w:val="007C1DF0"/>
    <w:rsid w:val="007C3DC2"/>
    <w:rsid w:val="007C435B"/>
    <w:rsid w:val="007C6F9B"/>
    <w:rsid w:val="007D3227"/>
    <w:rsid w:val="007D3DBF"/>
    <w:rsid w:val="007D4373"/>
    <w:rsid w:val="007D4B07"/>
    <w:rsid w:val="007E5497"/>
    <w:rsid w:val="007F778E"/>
    <w:rsid w:val="00800B39"/>
    <w:rsid w:val="00806318"/>
    <w:rsid w:val="00806F5F"/>
    <w:rsid w:val="00812D27"/>
    <w:rsid w:val="00816452"/>
    <w:rsid w:val="00816FE1"/>
    <w:rsid w:val="00820278"/>
    <w:rsid w:val="008258C9"/>
    <w:rsid w:val="00831262"/>
    <w:rsid w:val="00835946"/>
    <w:rsid w:val="008403BF"/>
    <w:rsid w:val="00843BB2"/>
    <w:rsid w:val="0084403B"/>
    <w:rsid w:val="00844AE9"/>
    <w:rsid w:val="0084550E"/>
    <w:rsid w:val="00850360"/>
    <w:rsid w:val="00852A3D"/>
    <w:rsid w:val="00864642"/>
    <w:rsid w:val="00867F95"/>
    <w:rsid w:val="00870496"/>
    <w:rsid w:val="008843B6"/>
    <w:rsid w:val="00886133"/>
    <w:rsid w:val="00887E82"/>
    <w:rsid w:val="0089143B"/>
    <w:rsid w:val="008917C7"/>
    <w:rsid w:val="00891928"/>
    <w:rsid w:val="008A3A49"/>
    <w:rsid w:val="008A446D"/>
    <w:rsid w:val="008A5E24"/>
    <w:rsid w:val="008B25F1"/>
    <w:rsid w:val="008C1642"/>
    <w:rsid w:val="008C727F"/>
    <w:rsid w:val="008D10BF"/>
    <w:rsid w:val="008D180B"/>
    <w:rsid w:val="008D55CB"/>
    <w:rsid w:val="008D5774"/>
    <w:rsid w:val="008E1F8B"/>
    <w:rsid w:val="008E3F41"/>
    <w:rsid w:val="008E4A2D"/>
    <w:rsid w:val="008F0EA7"/>
    <w:rsid w:val="008F1293"/>
    <w:rsid w:val="00900AB5"/>
    <w:rsid w:val="00900DB0"/>
    <w:rsid w:val="009032C3"/>
    <w:rsid w:val="0090530F"/>
    <w:rsid w:val="0091370F"/>
    <w:rsid w:val="00917748"/>
    <w:rsid w:val="00920D56"/>
    <w:rsid w:val="00923EEF"/>
    <w:rsid w:val="009252BB"/>
    <w:rsid w:val="00925CA2"/>
    <w:rsid w:val="00930A08"/>
    <w:rsid w:val="009363F6"/>
    <w:rsid w:val="009419F9"/>
    <w:rsid w:val="0095685E"/>
    <w:rsid w:val="00961B09"/>
    <w:rsid w:val="00965055"/>
    <w:rsid w:val="00965334"/>
    <w:rsid w:val="0097093E"/>
    <w:rsid w:val="00973F3B"/>
    <w:rsid w:val="00975224"/>
    <w:rsid w:val="0098182E"/>
    <w:rsid w:val="00982ACA"/>
    <w:rsid w:val="009948E7"/>
    <w:rsid w:val="00995967"/>
    <w:rsid w:val="00996F0C"/>
    <w:rsid w:val="009A0DFA"/>
    <w:rsid w:val="009A1A4B"/>
    <w:rsid w:val="009A1C6F"/>
    <w:rsid w:val="009A5ED3"/>
    <w:rsid w:val="009B0CF4"/>
    <w:rsid w:val="009B2D26"/>
    <w:rsid w:val="009B3626"/>
    <w:rsid w:val="009B7C82"/>
    <w:rsid w:val="009C44A9"/>
    <w:rsid w:val="009C71FA"/>
    <w:rsid w:val="009C72E7"/>
    <w:rsid w:val="009C7F7E"/>
    <w:rsid w:val="009D1B97"/>
    <w:rsid w:val="009D3058"/>
    <w:rsid w:val="009D377E"/>
    <w:rsid w:val="009D40B6"/>
    <w:rsid w:val="009E1A2D"/>
    <w:rsid w:val="009E451E"/>
    <w:rsid w:val="009E593E"/>
    <w:rsid w:val="009E5E98"/>
    <w:rsid w:val="009E6BF4"/>
    <w:rsid w:val="009F05FF"/>
    <w:rsid w:val="009F3A13"/>
    <w:rsid w:val="00A0302B"/>
    <w:rsid w:val="00A122D3"/>
    <w:rsid w:val="00A14468"/>
    <w:rsid w:val="00A150CF"/>
    <w:rsid w:val="00A17F13"/>
    <w:rsid w:val="00A20739"/>
    <w:rsid w:val="00A21CA3"/>
    <w:rsid w:val="00A23AF9"/>
    <w:rsid w:val="00A300AA"/>
    <w:rsid w:val="00A31841"/>
    <w:rsid w:val="00A33C78"/>
    <w:rsid w:val="00A420A9"/>
    <w:rsid w:val="00A42C60"/>
    <w:rsid w:val="00A500F1"/>
    <w:rsid w:val="00A51816"/>
    <w:rsid w:val="00A52C8E"/>
    <w:rsid w:val="00A54668"/>
    <w:rsid w:val="00A57140"/>
    <w:rsid w:val="00A709D2"/>
    <w:rsid w:val="00A754B1"/>
    <w:rsid w:val="00A8025C"/>
    <w:rsid w:val="00A87C26"/>
    <w:rsid w:val="00A925AD"/>
    <w:rsid w:val="00A97194"/>
    <w:rsid w:val="00AA0274"/>
    <w:rsid w:val="00AA080B"/>
    <w:rsid w:val="00AB0ADB"/>
    <w:rsid w:val="00AB30D4"/>
    <w:rsid w:val="00AC13D6"/>
    <w:rsid w:val="00AC466D"/>
    <w:rsid w:val="00AD6F80"/>
    <w:rsid w:val="00AF1D25"/>
    <w:rsid w:val="00AF5B25"/>
    <w:rsid w:val="00AF7544"/>
    <w:rsid w:val="00B00C0E"/>
    <w:rsid w:val="00B01B1A"/>
    <w:rsid w:val="00B02418"/>
    <w:rsid w:val="00B024CD"/>
    <w:rsid w:val="00B0381D"/>
    <w:rsid w:val="00B0404B"/>
    <w:rsid w:val="00B04D3B"/>
    <w:rsid w:val="00B162DD"/>
    <w:rsid w:val="00B16B28"/>
    <w:rsid w:val="00B22BE8"/>
    <w:rsid w:val="00B443A2"/>
    <w:rsid w:val="00B44A47"/>
    <w:rsid w:val="00B4752F"/>
    <w:rsid w:val="00B53C1C"/>
    <w:rsid w:val="00B5706D"/>
    <w:rsid w:val="00B6113F"/>
    <w:rsid w:val="00B72CD3"/>
    <w:rsid w:val="00B72FFF"/>
    <w:rsid w:val="00B75E25"/>
    <w:rsid w:val="00B9043C"/>
    <w:rsid w:val="00B94F8F"/>
    <w:rsid w:val="00BA1EA8"/>
    <w:rsid w:val="00BA3D9C"/>
    <w:rsid w:val="00BB1DB6"/>
    <w:rsid w:val="00BC3D36"/>
    <w:rsid w:val="00BC5CA2"/>
    <w:rsid w:val="00BC7C68"/>
    <w:rsid w:val="00BD4175"/>
    <w:rsid w:val="00BD4742"/>
    <w:rsid w:val="00BD54A6"/>
    <w:rsid w:val="00BD7F72"/>
    <w:rsid w:val="00BE1819"/>
    <w:rsid w:val="00BE228B"/>
    <w:rsid w:val="00BE732E"/>
    <w:rsid w:val="00BF7425"/>
    <w:rsid w:val="00C00F79"/>
    <w:rsid w:val="00C01610"/>
    <w:rsid w:val="00C03F30"/>
    <w:rsid w:val="00C04FB3"/>
    <w:rsid w:val="00C11D8B"/>
    <w:rsid w:val="00C15139"/>
    <w:rsid w:val="00C17086"/>
    <w:rsid w:val="00C330EB"/>
    <w:rsid w:val="00C34A82"/>
    <w:rsid w:val="00C47291"/>
    <w:rsid w:val="00C50D69"/>
    <w:rsid w:val="00C5146A"/>
    <w:rsid w:val="00C5365C"/>
    <w:rsid w:val="00C53B15"/>
    <w:rsid w:val="00C622DE"/>
    <w:rsid w:val="00C62EF1"/>
    <w:rsid w:val="00C63846"/>
    <w:rsid w:val="00C654FA"/>
    <w:rsid w:val="00C71DE4"/>
    <w:rsid w:val="00C754BE"/>
    <w:rsid w:val="00C75BA3"/>
    <w:rsid w:val="00C76B1C"/>
    <w:rsid w:val="00C76B5F"/>
    <w:rsid w:val="00C820EF"/>
    <w:rsid w:val="00C824BD"/>
    <w:rsid w:val="00C831EC"/>
    <w:rsid w:val="00C91D70"/>
    <w:rsid w:val="00C925AC"/>
    <w:rsid w:val="00C938CE"/>
    <w:rsid w:val="00C93DAC"/>
    <w:rsid w:val="00C95F94"/>
    <w:rsid w:val="00CA0621"/>
    <w:rsid w:val="00CA2E8A"/>
    <w:rsid w:val="00CB0A50"/>
    <w:rsid w:val="00CB44F3"/>
    <w:rsid w:val="00CB6357"/>
    <w:rsid w:val="00CC1B26"/>
    <w:rsid w:val="00CC29BA"/>
    <w:rsid w:val="00CE2A60"/>
    <w:rsid w:val="00CF0591"/>
    <w:rsid w:val="00CF24C0"/>
    <w:rsid w:val="00D027C3"/>
    <w:rsid w:val="00D0376A"/>
    <w:rsid w:val="00D05F46"/>
    <w:rsid w:val="00D078C9"/>
    <w:rsid w:val="00D109FE"/>
    <w:rsid w:val="00D11C80"/>
    <w:rsid w:val="00D22B7C"/>
    <w:rsid w:val="00D24AA6"/>
    <w:rsid w:val="00D27B04"/>
    <w:rsid w:val="00D31DC0"/>
    <w:rsid w:val="00D33696"/>
    <w:rsid w:val="00D35983"/>
    <w:rsid w:val="00D361FD"/>
    <w:rsid w:val="00D37660"/>
    <w:rsid w:val="00D37910"/>
    <w:rsid w:val="00D423A2"/>
    <w:rsid w:val="00D44E26"/>
    <w:rsid w:val="00D520D8"/>
    <w:rsid w:val="00D63AC2"/>
    <w:rsid w:val="00D7383B"/>
    <w:rsid w:val="00D7788A"/>
    <w:rsid w:val="00D851ED"/>
    <w:rsid w:val="00D9033C"/>
    <w:rsid w:val="00DA1940"/>
    <w:rsid w:val="00DA231B"/>
    <w:rsid w:val="00DA71B3"/>
    <w:rsid w:val="00DB5E51"/>
    <w:rsid w:val="00DC051E"/>
    <w:rsid w:val="00DC39FC"/>
    <w:rsid w:val="00DC7D55"/>
    <w:rsid w:val="00DD24B2"/>
    <w:rsid w:val="00DE6C8E"/>
    <w:rsid w:val="00DF021B"/>
    <w:rsid w:val="00DF1C4B"/>
    <w:rsid w:val="00DF32B2"/>
    <w:rsid w:val="00DF3D9A"/>
    <w:rsid w:val="00DF3FAF"/>
    <w:rsid w:val="00DF5254"/>
    <w:rsid w:val="00E00882"/>
    <w:rsid w:val="00E02524"/>
    <w:rsid w:val="00E16408"/>
    <w:rsid w:val="00E20894"/>
    <w:rsid w:val="00E245AB"/>
    <w:rsid w:val="00E25712"/>
    <w:rsid w:val="00E26E9D"/>
    <w:rsid w:val="00E2764C"/>
    <w:rsid w:val="00E27F2E"/>
    <w:rsid w:val="00E36715"/>
    <w:rsid w:val="00E425E8"/>
    <w:rsid w:val="00E50AFE"/>
    <w:rsid w:val="00E53EA1"/>
    <w:rsid w:val="00E53FCC"/>
    <w:rsid w:val="00E54F30"/>
    <w:rsid w:val="00E55CFA"/>
    <w:rsid w:val="00E65677"/>
    <w:rsid w:val="00E727F0"/>
    <w:rsid w:val="00E75A58"/>
    <w:rsid w:val="00E75C92"/>
    <w:rsid w:val="00E771DC"/>
    <w:rsid w:val="00E84734"/>
    <w:rsid w:val="00E85CA7"/>
    <w:rsid w:val="00E8772A"/>
    <w:rsid w:val="00E90F6B"/>
    <w:rsid w:val="00E910FB"/>
    <w:rsid w:val="00E92C27"/>
    <w:rsid w:val="00E92DD0"/>
    <w:rsid w:val="00EA02F5"/>
    <w:rsid w:val="00EA06E6"/>
    <w:rsid w:val="00EA0E3D"/>
    <w:rsid w:val="00EA16FC"/>
    <w:rsid w:val="00EA31C7"/>
    <w:rsid w:val="00EA44A1"/>
    <w:rsid w:val="00EA5D59"/>
    <w:rsid w:val="00EB7308"/>
    <w:rsid w:val="00EC38A7"/>
    <w:rsid w:val="00EC7C37"/>
    <w:rsid w:val="00EE1AA8"/>
    <w:rsid w:val="00EE7A5D"/>
    <w:rsid w:val="00EF41C4"/>
    <w:rsid w:val="00F14CCF"/>
    <w:rsid w:val="00F23FEA"/>
    <w:rsid w:val="00F31EDC"/>
    <w:rsid w:val="00F32723"/>
    <w:rsid w:val="00F33CF5"/>
    <w:rsid w:val="00F41C3E"/>
    <w:rsid w:val="00F462B3"/>
    <w:rsid w:val="00F47458"/>
    <w:rsid w:val="00F5119A"/>
    <w:rsid w:val="00F51D39"/>
    <w:rsid w:val="00F52E27"/>
    <w:rsid w:val="00F5664F"/>
    <w:rsid w:val="00F579DF"/>
    <w:rsid w:val="00F666C4"/>
    <w:rsid w:val="00F76AC9"/>
    <w:rsid w:val="00F76AFC"/>
    <w:rsid w:val="00F805C5"/>
    <w:rsid w:val="00F82724"/>
    <w:rsid w:val="00F955C6"/>
    <w:rsid w:val="00FA47C0"/>
    <w:rsid w:val="00FA5003"/>
    <w:rsid w:val="00FB16EC"/>
    <w:rsid w:val="00FB3899"/>
    <w:rsid w:val="00FB5DD1"/>
    <w:rsid w:val="00FB7920"/>
    <w:rsid w:val="00FC2B5D"/>
    <w:rsid w:val="00FD1ACE"/>
    <w:rsid w:val="00FD4A49"/>
    <w:rsid w:val="00FE26DE"/>
    <w:rsid w:val="00FF1449"/>
    <w:rsid w:val="00FF2610"/>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E03CD496-8D74-491F-B9C0-152AFA3DD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47291"/>
    <w:pPr>
      <w:spacing w:line="240" w:lineRule="exact"/>
    </w:pPr>
    <w:rPr>
      <w:vertAlign w:val="superscript"/>
    </w:rPr>
  </w:style>
  <w:style w:type="character" w:customStyle="1" w:styleId="baj">
    <w:name w:val="b_aj"/>
    <w:basedOn w:val="Fuentedeprrafopredeter"/>
    <w:rsid w:val="00C47291"/>
  </w:style>
  <w:style w:type="character" w:customStyle="1" w:styleId="NormalWebCar">
    <w:name w:val="Normal (Web) Car"/>
    <w:link w:val="NormalWeb"/>
    <w:uiPriority w:val="99"/>
    <w:locked/>
    <w:rsid w:val="00C47291"/>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D55CB"/>
    <w:rPr>
      <w:sz w:val="16"/>
      <w:szCs w:val="16"/>
    </w:rPr>
  </w:style>
  <w:style w:type="paragraph" w:styleId="Textocomentario">
    <w:name w:val="annotation text"/>
    <w:basedOn w:val="Normal"/>
    <w:link w:val="TextocomentarioCar"/>
    <w:uiPriority w:val="99"/>
    <w:unhideWhenUsed/>
    <w:rsid w:val="008D55CB"/>
    <w:pPr>
      <w:spacing w:line="240" w:lineRule="auto"/>
    </w:pPr>
    <w:rPr>
      <w:sz w:val="20"/>
      <w:szCs w:val="20"/>
    </w:rPr>
  </w:style>
  <w:style w:type="character" w:customStyle="1" w:styleId="TextocomentarioCar">
    <w:name w:val="Texto comentario Car"/>
    <w:basedOn w:val="Fuentedeprrafopredeter"/>
    <w:link w:val="Textocomentario"/>
    <w:uiPriority w:val="99"/>
    <w:rsid w:val="008D55CB"/>
    <w:rPr>
      <w:sz w:val="20"/>
      <w:szCs w:val="20"/>
    </w:rPr>
  </w:style>
  <w:style w:type="paragraph" w:styleId="Asuntodelcomentario">
    <w:name w:val="annotation subject"/>
    <w:basedOn w:val="Textocomentario"/>
    <w:next w:val="Textocomentario"/>
    <w:link w:val="AsuntodelcomentarioCar"/>
    <w:uiPriority w:val="99"/>
    <w:semiHidden/>
    <w:unhideWhenUsed/>
    <w:rsid w:val="008D55CB"/>
    <w:rPr>
      <w:b/>
      <w:bCs/>
    </w:rPr>
  </w:style>
  <w:style w:type="character" w:customStyle="1" w:styleId="AsuntodelcomentarioCar">
    <w:name w:val="Asunto del comentario Car"/>
    <w:basedOn w:val="TextocomentarioCar"/>
    <w:link w:val="Asuntodelcomentario"/>
    <w:uiPriority w:val="99"/>
    <w:semiHidden/>
    <w:rsid w:val="008D55C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9241">
      <w:bodyDiv w:val="1"/>
      <w:marLeft w:val="0"/>
      <w:marRight w:val="0"/>
      <w:marTop w:val="0"/>
      <w:marBottom w:val="0"/>
      <w:divBdr>
        <w:top w:val="none" w:sz="0" w:space="0" w:color="auto"/>
        <w:left w:val="none" w:sz="0" w:space="0" w:color="auto"/>
        <w:bottom w:val="none" w:sz="0" w:space="0" w:color="auto"/>
        <w:right w:val="none" w:sz="0" w:space="0" w:color="auto"/>
      </w:divBdr>
    </w:div>
    <w:div w:id="63797035">
      <w:bodyDiv w:val="1"/>
      <w:marLeft w:val="0"/>
      <w:marRight w:val="0"/>
      <w:marTop w:val="0"/>
      <w:marBottom w:val="0"/>
      <w:divBdr>
        <w:top w:val="none" w:sz="0" w:space="0" w:color="auto"/>
        <w:left w:val="none" w:sz="0" w:space="0" w:color="auto"/>
        <w:bottom w:val="none" w:sz="0" w:space="0" w:color="auto"/>
        <w:right w:val="none" w:sz="0" w:space="0" w:color="auto"/>
      </w:divBdr>
    </w:div>
    <w:div w:id="124738522">
      <w:bodyDiv w:val="1"/>
      <w:marLeft w:val="0"/>
      <w:marRight w:val="0"/>
      <w:marTop w:val="0"/>
      <w:marBottom w:val="0"/>
      <w:divBdr>
        <w:top w:val="none" w:sz="0" w:space="0" w:color="auto"/>
        <w:left w:val="none" w:sz="0" w:space="0" w:color="auto"/>
        <w:bottom w:val="none" w:sz="0" w:space="0" w:color="auto"/>
        <w:right w:val="none" w:sz="0" w:space="0" w:color="auto"/>
      </w:divBdr>
    </w:div>
    <w:div w:id="156120696">
      <w:bodyDiv w:val="1"/>
      <w:marLeft w:val="0"/>
      <w:marRight w:val="0"/>
      <w:marTop w:val="0"/>
      <w:marBottom w:val="0"/>
      <w:divBdr>
        <w:top w:val="none" w:sz="0" w:space="0" w:color="auto"/>
        <w:left w:val="none" w:sz="0" w:space="0" w:color="auto"/>
        <w:bottom w:val="none" w:sz="0" w:space="0" w:color="auto"/>
        <w:right w:val="none" w:sz="0" w:space="0" w:color="auto"/>
      </w:divBdr>
    </w:div>
    <w:div w:id="208539241">
      <w:bodyDiv w:val="1"/>
      <w:marLeft w:val="0"/>
      <w:marRight w:val="0"/>
      <w:marTop w:val="0"/>
      <w:marBottom w:val="0"/>
      <w:divBdr>
        <w:top w:val="none" w:sz="0" w:space="0" w:color="auto"/>
        <w:left w:val="none" w:sz="0" w:space="0" w:color="auto"/>
        <w:bottom w:val="none" w:sz="0" w:space="0" w:color="auto"/>
        <w:right w:val="none" w:sz="0" w:space="0" w:color="auto"/>
      </w:divBdr>
    </w:div>
    <w:div w:id="271012095">
      <w:bodyDiv w:val="1"/>
      <w:marLeft w:val="0"/>
      <w:marRight w:val="0"/>
      <w:marTop w:val="0"/>
      <w:marBottom w:val="0"/>
      <w:divBdr>
        <w:top w:val="none" w:sz="0" w:space="0" w:color="auto"/>
        <w:left w:val="none" w:sz="0" w:space="0" w:color="auto"/>
        <w:bottom w:val="none" w:sz="0" w:space="0" w:color="auto"/>
        <w:right w:val="none" w:sz="0" w:space="0" w:color="auto"/>
      </w:divBdr>
    </w:div>
    <w:div w:id="309529247">
      <w:bodyDiv w:val="1"/>
      <w:marLeft w:val="0"/>
      <w:marRight w:val="0"/>
      <w:marTop w:val="0"/>
      <w:marBottom w:val="0"/>
      <w:divBdr>
        <w:top w:val="none" w:sz="0" w:space="0" w:color="auto"/>
        <w:left w:val="none" w:sz="0" w:space="0" w:color="auto"/>
        <w:bottom w:val="none" w:sz="0" w:space="0" w:color="auto"/>
        <w:right w:val="none" w:sz="0" w:space="0" w:color="auto"/>
      </w:divBdr>
    </w:div>
    <w:div w:id="325669828">
      <w:bodyDiv w:val="1"/>
      <w:marLeft w:val="0"/>
      <w:marRight w:val="0"/>
      <w:marTop w:val="0"/>
      <w:marBottom w:val="0"/>
      <w:divBdr>
        <w:top w:val="none" w:sz="0" w:space="0" w:color="auto"/>
        <w:left w:val="none" w:sz="0" w:space="0" w:color="auto"/>
        <w:bottom w:val="none" w:sz="0" w:space="0" w:color="auto"/>
        <w:right w:val="none" w:sz="0" w:space="0" w:color="auto"/>
      </w:divBdr>
    </w:div>
    <w:div w:id="392658240">
      <w:bodyDiv w:val="1"/>
      <w:marLeft w:val="0"/>
      <w:marRight w:val="0"/>
      <w:marTop w:val="0"/>
      <w:marBottom w:val="0"/>
      <w:divBdr>
        <w:top w:val="none" w:sz="0" w:space="0" w:color="auto"/>
        <w:left w:val="none" w:sz="0" w:space="0" w:color="auto"/>
        <w:bottom w:val="none" w:sz="0" w:space="0" w:color="auto"/>
        <w:right w:val="none" w:sz="0" w:space="0" w:color="auto"/>
      </w:divBdr>
    </w:div>
    <w:div w:id="495611751">
      <w:bodyDiv w:val="1"/>
      <w:marLeft w:val="0"/>
      <w:marRight w:val="0"/>
      <w:marTop w:val="0"/>
      <w:marBottom w:val="0"/>
      <w:divBdr>
        <w:top w:val="none" w:sz="0" w:space="0" w:color="auto"/>
        <w:left w:val="none" w:sz="0" w:space="0" w:color="auto"/>
        <w:bottom w:val="none" w:sz="0" w:space="0" w:color="auto"/>
        <w:right w:val="none" w:sz="0" w:space="0" w:color="auto"/>
      </w:divBdr>
    </w:div>
    <w:div w:id="6110165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19152002">
      <w:bodyDiv w:val="1"/>
      <w:marLeft w:val="0"/>
      <w:marRight w:val="0"/>
      <w:marTop w:val="0"/>
      <w:marBottom w:val="0"/>
      <w:divBdr>
        <w:top w:val="none" w:sz="0" w:space="0" w:color="auto"/>
        <w:left w:val="none" w:sz="0" w:space="0" w:color="auto"/>
        <w:bottom w:val="none" w:sz="0" w:space="0" w:color="auto"/>
        <w:right w:val="none" w:sz="0" w:space="0" w:color="auto"/>
      </w:divBdr>
    </w:div>
    <w:div w:id="105489399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11960701">
      <w:bodyDiv w:val="1"/>
      <w:marLeft w:val="0"/>
      <w:marRight w:val="0"/>
      <w:marTop w:val="0"/>
      <w:marBottom w:val="0"/>
      <w:divBdr>
        <w:top w:val="none" w:sz="0" w:space="0" w:color="auto"/>
        <w:left w:val="none" w:sz="0" w:space="0" w:color="auto"/>
        <w:bottom w:val="none" w:sz="0" w:space="0" w:color="auto"/>
        <w:right w:val="none" w:sz="0" w:space="0" w:color="auto"/>
      </w:divBdr>
    </w:div>
    <w:div w:id="125200626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401055532">
      <w:bodyDiv w:val="1"/>
      <w:marLeft w:val="0"/>
      <w:marRight w:val="0"/>
      <w:marTop w:val="0"/>
      <w:marBottom w:val="0"/>
      <w:divBdr>
        <w:top w:val="none" w:sz="0" w:space="0" w:color="auto"/>
        <w:left w:val="none" w:sz="0" w:space="0" w:color="auto"/>
        <w:bottom w:val="none" w:sz="0" w:space="0" w:color="auto"/>
        <w:right w:val="none" w:sz="0" w:space="0" w:color="auto"/>
      </w:divBdr>
    </w:div>
    <w:div w:id="1414081077">
      <w:bodyDiv w:val="1"/>
      <w:marLeft w:val="0"/>
      <w:marRight w:val="0"/>
      <w:marTop w:val="0"/>
      <w:marBottom w:val="0"/>
      <w:divBdr>
        <w:top w:val="none" w:sz="0" w:space="0" w:color="auto"/>
        <w:left w:val="none" w:sz="0" w:space="0" w:color="auto"/>
        <w:bottom w:val="none" w:sz="0" w:space="0" w:color="auto"/>
        <w:right w:val="none" w:sz="0" w:space="0" w:color="auto"/>
      </w:divBdr>
    </w:div>
    <w:div w:id="1620992496">
      <w:bodyDiv w:val="1"/>
      <w:marLeft w:val="0"/>
      <w:marRight w:val="0"/>
      <w:marTop w:val="0"/>
      <w:marBottom w:val="0"/>
      <w:divBdr>
        <w:top w:val="none" w:sz="0" w:space="0" w:color="auto"/>
        <w:left w:val="none" w:sz="0" w:space="0" w:color="auto"/>
        <w:bottom w:val="none" w:sz="0" w:space="0" w:color="auto"/>
        <w:right w:val="none" w:sz="0" w:space="0" w:color="auto"/>
      </w:divBdr>
    </w:div>
    <w:div w:id="1667980077">
      <w:bodyDiv w:val="1"/>
      <w:marLeft w:val="0"/>
      <w:marRight w:val="0"/>
      <w:marTop w:val="0"/>
      <w:marBottom w:val="0"/>
      <w:divBdr>
        <w:top w:val="none" w:sz="0" w:space="0" w:color="auto"/>
        <w:left w:val="none" w:sz="0" w:space="0" w:color="auto"/>
        <w:bottom w:val="none" w:sz="0" w:space="0" w:color="auto"/>
        <w:right w:val="none" w:sz="0" w:space="0" w:color="auto"/>
      </w:divBdr>
    </w:div>
    <w:div w:id="1701468496">
      <w:bodyDiv w:val="1"/>
      <w:marLeft w:val="0"/>
      <w:marRight w:val="0"/>
      <w:marTop w:val="0"/>
      <w:marBottom w:val="0"/>
      <w:divBdr>
        <w:top w:val="none" w:sz="0" w:space="0" w:color="auto"/>
        <w:left w:val="none" w:sz="0" w:space="0" w:color="auto"/>
        <w:bottom w:val="none" w:sz="0" w:space="0" w:color="auto"/>
        <w:right w:val="none" w:sz="0" w:space="0" w:color="auto"/>
      </w:divBdr>
    </w:div>
    <w:div w:id="1755012375">
      <w:bodyDiv w:val="1"/>
      <w:marLeft w:val="0"/>
      <w:marRight w:val="0"/>
      <w:marTop w:val="0"/>
      <w:marBottom w:val="0"/>
      <w:divBdr>
        <w:top w:val="none" w:sz="0" w:space="0" w:color="auto"/>
        <w:left w:val="none" w:sz="0" w:space="0" w:color="auto"/>
        <w:bottom w:val="none" w:sz="0" w:space="0" w:color="auto"/>
        <w:right w:val="none" w:sz="0" w:space="0" w:color="auto"/>
      </w:divBdr>
    </w:div>
    <w:div w:id="1796830007">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formacionvirtual.colombiacompra.gov.co/mod/page/view.php?id=371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CDB8A3B-31BC-41B2-A240-320703FDCCFB}">
  <ds:schemaRefs>
    <ds:schemaRef ds:uri="http://schemas.openxmlformats.org/officeDocument/2006/bibliography"/>
  </ds:schemaRefs>
</ds:datastoreItem>
</file>

<file path=customXml/itemProps2.xml><?xml version="1.0" encoding="utf-8"?>
<ds:datastoreItem xmlns:ds="http://schemas.openxmlformats.org/officeDocument/2006/customXml" ds:itemID="{9DE11C2E-CE90-4203-BFA1-081DE09F8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37</Pages>
  <Words>13317</Words>
  <Characters>73246</Characters>
  <Application>Microsoft Office Word</Application>
  <DocSecurity>0</DocSecurity>
  <Lines>610</Lines>
  <Paragraphs>172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2026-05-18T23:31:00Z</dcterms:created>
  <dcterms:modified xsi:type="dcterms:W3CDTF">2026-05-22T00:25:00Z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