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5E9EBC" w14:textId="77777777" w:rsidR="00FE5E91" w:rsidRPr="001B3C5D" w:rsidRDefault="00FE5E91" w:rsidP="00FE5E91">
      <w:pPr>
        <w:spacing w:after="0" w:line="240" w:lineRule="auto"/>
        <w:jc w:val="both"/>
        <w:rPr>
          <w:rFonts w:ascii="Verdana" w:eastAsia="Calibri" w:hAnsi="Verdana" w:cs="Arial"/>
          <w:b/>
          <w:bCs/>
          <w:lang w:val="es-ES_tradnl"/>
        </w:rPr>
      </w:pPr>
      <w:bookmarkStart w:id="0" w:name="_Hlk143780582"/>
      <w:r w:rsidRPr="001B3C5D">
        <w:rPr>
          <w:rFonts w:ascii="Verdana" w:eastAsia="Calibri" w:hAnsi="Verdana" w:cs="Arial"/>
          <w:b/>
          <w:bCs/>
          <w:lang w:val="es-ES_tradnl"/>
        </w:rPr>
        <w:t xml:space="preserve">DOCUMENTOS TIPO – Fundamento normativo – Obligatoriedad </w:t>
      </w:r>
    </w:p>
    <w:p w14:paraId="5CFC4CF7" w14:textId="77777777" w:rsidR="00FE5E91" w:rsidRPr="001B3C5D" w:rsidRDefault="00FE5E91" w:rsidP="00FE5E91">
      <w:pPr>
        <w:spacing w:after="0" w:line="240" w:lineRule="auto"/>
        <w:jc w:val="both"/>
        <w:rPr>
          <w:rFonts w:ascii="Verdana" w:eastAsia="Calibri" w:hAnsi="Verdana" w:cs="Arial"/>
          <w:b/>
          <w:bCs/>
          <w:sz w:val="20"/>
          <w:szCs w:val="20"/>
          <w:lang w:val="es-ES_tradnl"/>
        </w:rPr>
      </w:pPr>
    </w:p>
    <w:p w14:paraId="5621822F" w14:textId="77777777" w:rsidR="00FE5E91" w:rsidRPr="001B3C5D" w:rsidRDefault="00FE5E91" w:rsidP="00FE5E91">
      <w:pPr>
        <w:spacing w:after="0" w:line="240" w:lineRule="auto"/>
        <w:jc w:val="both"/>
        <w:rPr>
          <w:rFonts w:ascii="Verdana" w:eastAsia="Aptos" w:hAnsi="Verdana" w:cs="Times New Roman"/>
          <w:kern w:val="2"/>
          <w:sz w:val="20"/>
          <w:szCs w:val="20"/>
          <w:lang w:val="es-MX"/>
          <w14:ligatures w14:val="standardContextual"/>
        </w:rPr>
      </w:pPr>
      <w:r w:rsidRPr="001B3C5D">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5E8C38D6" w14:textId="77777777" w:rsidR="00FE5E91" w:rsidRPr="001B3C5D" w:rsidRDefault="00FE5E91" w:rsidP="00FE5E91">
      <w:pPr>
        <w:spacing w:after="0" w:line="240" w:lineRule="auto"/>
        <w:jc w:val="both"/>
        <w:rPr>
          <w:rFonts w:ascii="Verdana" w:eastAsia="Aptos" w:hAnsi="Verdana" w:cs="Times New Roman"/>
          <w:kern w:val="2"/>
          <w:sz w:val="20"/>
          <w:szCs w:val="20"/>
          <w:lang w:val="es-MX"/>
          <w14:ligatures w14:val="standardContextual"/>
        </w:rPr>
      </w:pPr>
    </w:p>
    <w:p w14:paraId="446D5BEF" w14:textId="77777777" w:rsidR="00FE5E91" w:rsidRPr="001B3C5D" w:rsidRDefault="00FE5E91" w:rsidP="00FE5E91">
      <w:pPr>
        <w:spacing w:after="0" w:line="240" w:lineRule="auto"/>
        <w:jc w:val="both"/>
        <w:rPr>
          <w:rFonts w:ascii="Verdana" w:eastAsia="Aptos" w:hAnsi="Verdana" w:cs="Times New Roman"/>
          <w:kern w:val="2"/>
          <w:sz w:val="20"/>
          <w:szCs w:val="20"/>
          <w:lang w:val="es-MX"/>
          <w14:ligatures w14:val="standardContextual"/>
        </w:rPr>
      </w:pPr>
      <w:r w:rsidRPr="001B3C5D">
        <w:rPr>
          <w:rFonts w:ascii="Verdana" w:eastAsia="Aptos" w:hAnsi="Verdana" w:cs="Times New Roman"/>
          <w:kern w:val="2"/>
          <w:sz w:val="20"/>
          <w:szCs w:val="20"/>
          <w:lang w:val="es-MX"/>
          <w14:ligatures w14:val="standardContextual"/>
        </w:rPr>
        <w:t>(…)</w:t>
      </w:r>
    </w:p>
    <w:p w14:paraId="326CB2C5" w14:textId="77777777" w:rsidR="00FE5E91" w:rsidRPr="001B3C5D" w:rsidRDefault="00FE5E91" w:rsidP="00FE5E91">
      <w:pPr>
        <w:spacing w:after="0" w:line="240" w:lineRule="auto"/>
        <w:jc w:val="both"/>
        <w:rPr>
          <w:rFonts w:ascii="Verdana" w:eastAsia="Calibri" w:hAnsi="Verdana" w:cs="Arial"/>
          <w:b/>
          <w:bCs/>
          <w:sz w:val="20"/>
          <w:szCs w:val="20"/>
          <w:lang w:val="es-ES_tradnl"/>
        </w:rPr>
      </w:pPr>
    </w:p>
    <w:p w14:paraId="0F130C55" w14:textId="77777777" w:rsidR="00FE5E91" w:rsidRPr="001B3C5D" w:rsidRDefault="00FE5E91" w:rsidP="00FE5E91">
      <w:pPr>
        <w:spacing w:after="0" w:line="240" w:lineRule="auto"/>
        <w:jc w:val="both"/>
        <w:rPr>
          <w:rFonts w:ascii="Verdana" w:eastAsia="Calibri" w:hAnsi="Verdana" w:cs="Arial"/>
          <w:color w:val="000000"/>
          <w:kern w:val="2"/>
          <w:sz w:val="20"/>
          <w:szCs w:val="20"/>
          <w:lang w:val="es-MX"/>
          <w14:ligatures w14:val="standardContextual"/>
        </w:rPr>
      </w:pPr>
      <w:r w:rsidRPr="001B3C5D">
        <w:rPr>
          <w:rFonts w:ascii="Verdana" w:eastAsia="Aptos" w:hAnsi="Verdana" w:cs="Times New Roman"/>
          <w:kern w:val="2"/>
          <w:sz w:val="20"/>
          <w:szCs w:val="20"/>
          <w:lang w:val="es-ES"/>
          <w14:ligatures w14:val="standardContextual"/>
        </w:rPr>
        <w:t xml:space="preserve">La norma </w:t>
      </w:r>
      <w:r w:rsidRPr="001B3C5D">
        <w:rPr>
          <w:rFonts w:ascii="Verdana" w:eastAsia="Calibri" w:hAnsi="Verdana" w:cs="Arial"/>
          <w:color w:val="000000"/>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68CCC768" w14:textId="77777777" w:rsidR="00FE5E91" w:rsidRPr="001B3C5D" w:rsidRDefault="00FE5E91" w:rsidP="00FE5E91">
      <w:pPr>
        <w:spacing w:after="0" w:line="240" w:lineRule="auto"/>
        <w:jc w:val="both"/>
        <w:rPr>
          <w:rFonts w:ascii="Aptos" w:eastAsia="Aptos" w:hAnsi="Aptos" w:cs="Times New Roman"/>
          <w:sz w:val="20"/>
          <w:szCs w:val="20"/>
          <w:lang w:val="es-MX"/>
        </w:rPr>
      </w:pPr>
    </w:p>
    <w:p w14:paraId="130AD945" w14:textId="77777777" w:rsidR="00FE5E91" w:rsidRPr="001B3C5D" w:rsidRDefault="00FE5E91" w:rsidP="00FE5E91">
      <w:pPr>
        <w:spacing w:after="0" w:line="240" w:lineRule="auto"/>
        <w:jc w:val="both"/>
        <w:rPr>
          <w:rFonts w:ascii="Verdana" w:eastAsia="Calibri" w:hAnsi="Verdana" w:cs="Arial"/>
          <w:b/>
          <w:bCs/>
          <w:kern w:val="2"/>
          <w:sz w:val="24"/>
          <w:szCs w:val="24"/>
          <w:lang w:val="es-ES_tradnl"/>
          <w14:ligatures w14:val="standardContextual"/>
        </w:rPr>
      </w:pPr>
      <w:r w:rsidRPr="001B3C5D">
        <w:rPr>
          <w:rFonts w:ascii="Verdana" w:eastAsia="Calibri" w:hAnsi="Verdana" w:cs="Arial"/>
          <w:b/>
          <w:bCs/>
          <w:lang w:val="es-ES_tradnl"/>
        </w:rPr>
        <w:t>DOCUMENTOS TIPO – Adopción – Implementación</w:t>
      </w:r>
    </w:p>
    <w:p w14:paraId="223DE28B" w14:textId="77777777" w:rsidR="00FE5E91" w:rsidRPr="001B3C5D" w:rsidRDefault="00FE5E91" w:rsidP="00FE5E91">
      <w:pPr>
        <w:spacing w:after="0" w:line="240" w:lineRule="auto"/>
        <w:jc w:val="both"/>
        <w:rPr>
          <w:rFonts w:ascii="Verdana" w:eastAsia="Calibri" w:hAnsi="Verdana" w:cs="Arial"/>
          <w:color w:val="000000"/>
          <w:kern w:val="2"/>
          <w:sz w:val="20"/>
          <w:szCs w:val="20"/>
          <w:lang w:val="es-MX"/>
          <w14:ligatures w14:val="standardContextual"/>
        </w:rPr>
      </w:pPr>
    </w:p>
    <w:p w14:paraId="3B28A3FF" w14:textId="77777777" w:rsidR="00FE5E91" w:rsidRPr="001B3C5D" w:rsidRDefault="00FE5E91" w:rsidP="00FE5E91">
      <w:pPr>
        <w:spacing w:after="0" w:line="240" w:lineRule="auto"/>
        <w:jc w:val="both"/>
        <w:rPr>
          <w:rFonts w:ascii="Verdana" w:eastAsia="Calibri" w:hAnsi="Verdana" w:cs="Arial"/>
          <w:color w:val="000000"/>
          <w:kern w:val="2"/>
          <w:sz w:val="20"/>
          <w:szCs w:val="20"/>
          <w:lang w:val="es-MX"/>
          <w14:ligatures w14:val="standardContextual"/>
        </w:rPr>
      </w:pPr>
      <w:r w:rsidRPr="001B3C5D">
        <w:rPr>
          <w:rFonts w:ascii="Verdana" w:eastAsia="Calibri" w:hAnsi="Verdana" w:cs="Arial"/>
          <w:color w:val="000000"/>
          <w:sz w:val="20"/>
          <w:szCs w:val="20"/>
          <w:lang w:val="es-MX"/>
        </w:rPr>
        <w:t xml:space="preserve">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21283BA4" w14:textId="77777777" w:rsidR="00FE5E91" w:rsidRPr="001B3C5D" w:rsidRDefault="00FE5E91" w:rsidP="00FE5E91">
      <w:pPr>
        <w:spacing w:after="0" w:line="240" w:lineRule="auto"/>
        <w:jc w:val="both"/>
        <w:rPr>
          <w:rFonts w:ascii="Verdana" w:eastAsia="Calibri" w:hAnsi="Verdana" w:cs="Arial"/>
          <w:color w:val="000000"/>
          <w:sz w:val="20"/>
          <w:szCs w:val="20"/>
          <w:lang w:val="es-MX"/>
        </w:rPr>
      </w:pPr>
    </w:p>
    <w:p w14:paraId="1F84B96E" w14:textId="77777777" w:rsidR="00FE5E91" w:rsidRPr="001B3C5D" w:rsidRDefault="00FE5E91" w:rsidP="00FE5E91">
      <w:pPr>
        <w:spacing w:after="0" w:line="240" w:lineRule="auto"/>
        <w:jc w:val="both"/>
        <w:rPr>
          <w:rFonts w:ascii="Verdana" w:eastAsia="Calibri" w:hAnsi="Verdana" w:cs="Arial"/>
          <w:b/>
          <w:bCs/>
          <w:kern w:val="2"/>
          <w:lang w:val="es-ES_tradnl"/>
          <w14:ligatures w14:val="standardContextual"/>
        </w:rPr>
      </w:pPr>
      <w:r w:rsidRPr="001B3C5D">
        <w:rPr>
          <w:rFonts w:ascii="Verdana" w:eastAsia="Calibri" w:hAnsi="Verdana" w:cs="Arial"/>
          <w:b/>
          <w:bCs/>
          <w:lang w:val="es-ES_tradnl"/>
        </w:rPr>
        <w:t>DOCUMENTOS TIPO – Sectores – Vigentes</w:t>
      </w:r>
    </w:p>
    <w:p w14:paraId="41CA62F0" w14:textId="77777777" w:rsidR="00FE5E91" w:rsidRPr="001B3C5D" w:rsidRDefault="00FE5E91" w:rsidP="00FE5E91">
      <w:pPr>
        <w:spacing w:after="0" w:line="276" w:lineRule="auto"/>
        <w:jc w:val="both"/>
        <w:rPr>
          <w:rFonts w:ascii="Verdana" w:eastAsia="Calibri" w:hAnsi="Verdana" w:cs="Arial"/>
          <w:b/>
          <w:bCs/>
          <w:color w:val="000000"/>
          <w:lang w:eastAsia="es-ES_tradnl"/>
        </w:rPr>
      </w:pPr>
    </w:p>
    <w:p w14:paraId="0C4270F3" w14:textId="77777777" w:rsidR="00FE5E91" w:rsidRPr="001B3C5D" w:rsidRDefault="00FE5E91" w:rsidP="00FE5E91">
      <w:pPr>
        <w:tabs>
          <w:tab w:val="left" w:pos="709"/>
        </w:tabs>
        <w:spacing w:after="0" w:line="240" w:lineRule="auto"/>
        <w:jc w:val="both"/>
        <w:rPr>
          <w:rFonts w:ascii="Verdana" w:eastAsia="Calibri" w:hAnsi="Verdana" w:cs="Arial"/>
          <w:sz w:val="20"/>
          <w:szCs w:val="20"/>
          <w:lang w:val="es-ES"/>
        </w:rPr>
      </w:pPr>
      <w:r w:rsidRPr="001B3C5D">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BF3D2FF" w14:textId="77777777" w:rsidR="00FE5E91" w:rsidRPr="001B3C5D" w:rsidRDefault="00FE5E91" w:rsidP="00FE5E91">
      <w:pPr>
        <w:spacing w:after="0" w:line="276" w:lineRule="auto"/>
        <w:jc w:val="both"/>
        <w:rPr>
          <w:rFonts w:ascii="Verdana" w:eastAsia="Calibri" w:hAnsi="Verdana" w:cs="Arial"/>
          <w:color w:val="000000"/>
          <w:kern w:val="2"/>
          <w:sz w:val="20"/>
          <w:szCs w:val="20"/>
          <w:lang w:val="es-MX"/>
          <w14:ligatures w14:val="standardContextual"/>
        </w:rPr>
      </w:pPr>
    </w:p>
    <w:p w14:paraId="03F26DBC" w14:textId="77777777" w:rsidR="00FE5E91" w:rsidRPr="001B3C5D" w:rsidRDefault="00FE5E91" w:rsidP="00FE5E91">
      <w:pPr>
        <w:spacing w:after="0" w:line="240" w:lineRule="auto"/>
        <w:jc w:val="both"/>
        <w:rPr>
          <w:rFonts w:ascii="Verdana" w:eastAsia="Calibri" w:hAnsi="Verdana" w:cs="Arial"/>
          <w:b/>
          <w:bCs/>
          <w:kern w:val="2"/>
          <w:sz w:val="24"/>
          <w:szCs w:val="24"/>
          <w:lang w:val="es-ES_tradnl"/>
          <w14:ligatures w14:val="standardContextual"/>
        </w:rPr>
      </w:pPr>
      <w:r w:rsidRPr="001B3C5D">
        <w:rPr>
          <w:rFonts w:ascii="Verdana" w:eastAsia="Calibri" w:hAnsi="Verdana" w:cs="Arial"/>
          <w:b/>
          <w:bCs/>
          <w:lang w:val="es-ES_tradnl"/>
        </w:rPr>
        <w:t xml:space="preserve">DOCUMENTOS TIPO – Colombia Compra Eficiente – Facultad de estandarización </w:t>
      </w:r>
    </w:p>
    <w:p w14:paraId="06688AC2" w14:textId="77777777" w:rsidR="00FE5E91" w:rsidRPr="001B3C5D" w:rsidRDefault="00FE5E91" w:rsidP="00FE5E91">
      <w:pPr>
        <w:spacing w:after="0" w:line="276" w:lineRule="auto"/>
        <w:jc w:val="both"/>
        <w:rPr>
          <w:rFonts w:ascii="Verdana" w:eastAsia="Calibri" w:hAnsi="Verdana" w:cs="Arial"/>
          <w:b/>
          <w:bCs/>
          <w:kern w:val="2"/>
          <w:sz w:val="24"/>
          <w:szCs w:val="24"/>
          <w:lang w:val="es-ES_tradnl"/>
          <w14:ligatures w14:val="standardContextual"/>
        </w:rPr>
      </w:pPr>
    </w:p>
    <w:p w14:paraId="739FF68F" w14:textId="77777777" w:rsidR="00FE5E91" w:rsidRPr="001B3C5D" w:rsidRDefault="00FE5E91" w:rsidP="00FE5E91">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B3C5D">
        <w:rPr>
          <w:rFonts w:ascii="Verdana" w:eastAsia="Times New Roman" w:hAnsi="Verdana" w:cs="Arial"/>
          <w:kern w:val="2"/>
          <w:sz w:val="20"/>
          <w:szCs w:val="20"/>
          <w:lang w:eastAsia="es-ES"/>
          <w14:ligatures w14:val="standardContextual"/>
        </w:rPr>
        <w:t>Conforme con lo anterior, m</w:t>
      </w:r>
      <w:r w:rsidRPr="001B3C5D">
        <w:rPr>
          <w:rFonts w:ascii="Verdana" w:eastAsia="Times New Roman" w:hAnsi="Verdana" w:cs="Arial"/>
          <w:sz w:val="20"/>
          <w:szCs w:val="20"/>
          <w:lang w:eastAsia="es-ES"/>
        </w:rPr>
        <w:t xml:space="preserve">ediante una interpretación sistemática de la normativa y jurisprudencia citada es posible concluir que </w:t>
      </w:r>
      <w:r w:rsidRPr="001B3C5D">
        <w:rPr>
          <w:rFonts w:ascii="Verdana" w:eastAsia="Times New Roman" w:hAnsi="Verdana" w:cs="Arial"/>
          <w:kern w:val="2"/>
          <w:sz w:val="20"/>
          <w:szCs w:val="20"/>
          <w:lang w:eastAsia="es-ES"/>
          <w14:ligatures w14:val="standardContextual"/>
        </w:rPr>
        <w:t>la</w:t>
      </w:r>
      <w:r w:rsidRPr="001B3C5D">
        <w:rPr>
          <w:rFonts w:ascii="Verdana" w:eastAsia="Times New Roman" w:hAnsi="Verdana" w:cs="Arial"/>
          <w:sz w:val="20"/>
          <w:szCs w:val="20"/>
          <w:lang w:eastAsia="es-ES"/>
        </w:rPr>
        <w:t xml:space="preserve"> Agencia</w:t>
      </w:r>
      <w:r w:rsidRPr="001B3C5D">
        <w:rPr>
          <w:rFonts w:ascii="Verdana" w:eastAsia="Times New Roman" w:hAnsi="Verdana" w:cs="Arial"/>
          <w:kern w:val="2"/>
          <w:sz w:val="20"/>
          <w:szCs w:val="20"/>
          <w:lang w:eastAsia="es-ES"/>
          <w14:ligatures w14:val="standardContextual"/>
        </w:rPr>
        <w:t xml:space="preserve"> Nacional de Contratación Pública – Colombia Compra Eficiente</w:t>
      </w:r>
      <w:r w:rsidRPr="001B3C5D">
        <w:rPr>
          <w:rFonts w:ascii="Verdana" w:eastAsia="Times New Roman" w:hAnsi="Verdana" w:cs="Arial"/>
          <w:sz w:val="20"/>
          <w:szCs w:val="20"/>
          <w:lang w:eastAsia="es-ES"/>
        </w:rPr>
        <w:t xml:space="preserve"> tiene facultad de regulación de la actividad contractual pública, lo que implica la potestad para expedir normas de carácter técnico subordinadas </w:t>
      </w:r>
      <w:r w:rsidRPr="001B3C5D">
        <w:rPr>
          <w:rFonts w:ascii="Verdana" w:eastAsia="Times New Roman" w:hAnsi="Verdana" w:cs="Arial"/>
          <w:sz w:val="20"/>
          <w:szCs w:val="20"/>
          <w:lang w:eastAsia="es-ES"/>
        </w:rPr>
        <w:lastRenderedPageBreak/>
        <w:t xml:space="preserve">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5AC2D418" w14:textId="77777777" w:rsidR="00FE5E91" w:rsidRPr="001B3C5D" w:rsidRDefault="00FE5E91" w:rsidP="00FE5E91">
      <w:pPr>
        <w:tabs>
          <w:tab w:val="center" w:pos="4419"/>
          <w:tab w:val="right" w:pos="8838"/>
        </w:tabs>
        <w:spacing w:after="0" w:line="240" w:lineRule="auto"/>
        <w:jc w:val="both"/>
        <w:rPr>
          <w:rFonts w:ascii="Verdana" w:eastAsia="MS Mincho" w:hAnsi="Verdana" w:cs="Arial"/>
          <w:sz w:val="20"/>
          <w:szCs w:val="20"/>
          <w:lang w:eastAsia="es-CO"/>
        </w:rPr>
      </w:pPr>
    </w:p>
    <w:p w14:paraId="7F4F7834" w14:textId="77777777" w:rsidR="00FE5E91" w:rsidRPr="001B3C5D" w:rsidRDefault="00FE5E91" w:rsidP="00FE5E91">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B3C5D">
        <w:rPr>
          <w:rFonts w:ascii="Verdana" w:eastAsia="MS Mincho" w:hAnsi="Verdana" w:cs="Arial"/>
          <w:sz w:val="20"/>
          <w:szCs w:val="20"/>
          <w:lang w:eastAsia="es-CO"/>
        </w:rPr>
        <w:t>I</w:t>
      </w:r>
      <w:r w:rsidRPr="001B3C5D">
        <w:rPr>
          <w:rFonts w:ascii="Verdana" w:eastAsia="Times New Roman" w:hAnsi="Verdana" w:cs="Arial"/>
          <w:sz w:val="20"/>
          <w:szCs w:val="20"/>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26C35AC7" w14:textId="77777777" w:rsidR="00FE5E91" w:rsidRPr="001B3C5D" w:rsidRDefault="00FE5E91" w:rsidP="00FE5E91">
      <w:pPr>
        <w:spacing w:after="0" w:line="276" w:lineRule="auto"/>
        <w:jc w:val="both"/>
        <w:rPr>
          <w:rFonts w:ascii="Verdana" w:eastAsia="Calibri" w:hAnsi="Verdana" w:cs="Arial"/>
          <w:b/>
          <w:bCs/>
          <w:highlight w:val="yellow"/>
          <w:lang w:val="es-ES_tradnl"/>
        </w:rPr>
      </w:pPr>
    </w:p>
    <w:p w14:paraId="2F7E4FBF" w14:textId="77777777" w:rsidR="00FE5E91" w:rsidRPr="001B3C5D" w:rsidRDefault="00FE5E91" w:rsidP="00FE5E91">
      <w:pPr>
        <w:spacing w:after="0" w:line="240" w:lineRule="auto"/>
        <w:rPr>
          <w:rFonts w:ascii="Verdana" w:eastAsia="Calibri" w:hAnsi="Verdana" w:cs="Times New Roman"/>
          <w:b/>
          <w:bCs/>
          <w:lang w:val="es-ES"/>
        </w:rPr>
      </w:pPr>
      <w:r w:rsidRPr="001B3C5D">
        <w:rPr>
          <w:rFonts w:ascii="Verdana" w:eastAsia="Calibri" w:hAnsi="Verdana" w:cs="Times New Roman"/>
          <w:b/>
          <w:bCs/>
          <w:lang w:val="es-ES"/>
        </w:rPr>
        <w:t>DOCUMENTOS TIPO – Inalterabilidad – Alcance</w:t>
      </w:r>
    </w:p>
    <w:p w14:paraId="1BC628DB" w14:textId="77777777" w:rsidR="00FE5E91" w:rsidRPr="001B3C5D" w:rsidRDefault="00FE5E91" w:rsidP="00FE5E91">
      <w:pPr>
        <w:spacing w:after="0" w:line="240" w:lineRule="auto"/>
        <w:rPr>
          <w:rFonts w:ascii="Verdana" w:eastAsia="Calibri" w:hAnsi="Verdana" w:cs="Times New Roman"/>
          <w:b/>
          <w:bCs/>
          <w:lang w:val="es-ES"/>
        </w:rPr>
      </w:pPr>
    </w:p>
    <w:p w14:paraId="1C1A2490" w14:textId="77777777" w:rsidR="00FE5E91" w:rsidRPr="001B3C5D" w:rsidRDefault="00FE5E91" w:rsidP="00FE5E91">
      <w:pPr>
        <w:tabs>
          <w:tab w:val="center" w:pos="4419"/>
          <w:tab w:val="right" w:pos="8838"/>
        </w:tabs>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sz w:val="20"/>
          <w:szCs w:val="20"/>
          <w:lang w:val="es-ES"/>
        </w:rPr>
        <w:t>Documentos del Proceso</w:t>
      </w:r>
      <w:r w:rsidRPr="001B3C5D">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1F97B56" w14:textId="77777777" w:rsidR="00FE5E91" w:rsidRPr="001B3C5D" w:rsidRDefault="00FE5E91" w:rsidP="00FE5E91">
      <w:pPr>
        <w:tabs>
          <w:tab w:val="center" w:pos="4419"/>
          <w:tab w:val="right" w:pos="8838"/>
        </w:tabs>
        <w:spacing w:after="0" w:line="240" w:lineRule="auto"/>
        <w:jc w:val="both"/>
        <w:rPr>
          <w:rFonts w:ascii="Verdana" w:eastAsia="Calibri" w:hAnsi="Verdana" w:cs="Arial"/>
          <w:color w:val="000000"/>
          <w:sz w:val="20"/>
          <w:szCs w:val="20"/>
          <w:lang w:val="es-ES"/>
        </w:rPr>
      </w:pPr>
    </w:p>
    <w:p w14:paraId="4AFD4F9C" w14:textId="77777777" w:rsidR="00FE5E91" w:rsidRPr="001B3C5D" w:rsidRDefault="00FE5E91" w:rsidP="00FE5E91">
      <w:pPr>
        <w:spacing w:after="0" w:line="240" w:lineRule="auto"/>
        <w:jc w:val="both"/>
        <w:rPr>
          <w:rFonts w:ascii="Verdana" w:eastAsia="Calibri" w:hAnsi="Verdana" w:cs="Arial"/>
          <w:sz w:val="20"/>
          <w:szCs w:val="20"/>
          <w:lang w:val="es-ES_tradnl"/>
        </w:rPr>
      </w:pPr>
      <w:r w:rsidRPr="001B3C5D">
        <w:rPr>
          <w:rFonts w:ascii="Verdana" w:eastAsia="Calibri" w:hAnsi="Verdana" w:cs="Arial"/>
          <w:sz w:val="20"/>
          <w:szCs w:val="20"/>
          <w:lang w:val="es-ES_tradnl"/>
        </w:rPr>
        <w:t>(…)</w:t>
      </w:r>
    </w:p>
    <w:p w14:paraId="72E3E471" w14:textId="77777777" w:rsidR="00FE5E91" w:rsidRPr="001B3C5D" w:rsidRDefault="00FE5E91" w:rsidP="00FE5E91">
      <w:pPr>
        <w:spacing w:after="0" w:line="240" w:lineRule="auto"/>
        <w:jc w:val="both"/>
        <w:rPr>
          <w:rFonts w:ascii="Verdana" w:eastAsia="Calibri" w:hAnsi="Verdana" w:cs="Arial"/>
          <w:sz w:val="20"/>
          <w:szCs w:val="20"/>
          <w:lang w:val="es-ES_tradnl"/>
        </w:rPr>
      </w:pPr>
    </w:p>
    <w:p w14:paraId="2BBFBBE9" w14:textId="77777777" w:rsidR="00FE5E91" w:rsidRPr="001B3C5D" w:rsidRDefault="00FE5E91" w:rsidP="00FE5E91">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7598B308" w14:textId="77777777" w:rsidR="00FE5E91" w:rsidRPr="001B3C5D" w:rsidRDefault="00FE5E91" w:rsidP="00FE5E91">
      <w:pPr>
        <w:spacing w:after="0" w:line="240" w:lineRule="auto"/>
        <w:jc w:val="both"/>
        <w:rPr>
          <w:rFonts w:ascii="Verdana" w:eastAsia="Calibri" w:hAnsi="Verdana" w:cs="Arial"/>
          <w:color w:val="000000"/>
          <w:sz w:val="20"/>
          <w:szCs w:val="20"/>
          <w:lang w:val="es-ES"/>
        </w:rPr>
      </w:pPr>
    </w:p>
    <w:p w14:paraId="7E192E7E" w14:textId="77777777" w:rsidR="00FE5E91" w:rsidRPr="001B3C5D" w:rsidRDefault="00FE5E91" w:rsidP="00FE5E91">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w:t>
      </w:r>
      <w:r w:rsidRPr="001B3C5D">
        <w:rPr>
          <w:rFonts w:ascii="Verdana" w:eastAsia="Calibri" w:hAnsi="Verdana" w:cs="Arial"/>
          <w:color w:val="000000"/>
          <w:sz w:val="20"/>
          <w:szCs w:val="20"/>
          <w:lang w:val="es-ES"/>
        </w:rPr>
        <w:lastRenderedPageBreak/>
        <w:t xml:space="preserve">interpretativos incorrectos que se buscó erradicar con la introducción de la herramienta analizada. </w:t>
      </w:r>
    </w:p>
    <w:p w14:paraId="271989E4" w14:textId="77777777" w:rsidR="00FE5E91" w:rsidRPr="001B3C5D" w:rsidRDefault="00FE5E91" w:rsidP="00FE5E91">
      <w:pPr>
        <w:spacing w:after="0" w:line="240" w:lineRule="auto"/>
        <w:jc w:val="both"/>
        <w:rPr>
          <w:rFonts w:ascii="Verdana" w:eastAsia="Calibri" w:hAnsi="Verdana" w:cs="Arial"/>
          <w:color w:val="000000"/>
          <w:sz w:val="20"/>
          <w:szCs w:val="20"/>
          <w:lang w:val="es-ES"/>
        </w:rPr>
      </w:pPr>
    </w:p>
    <w:p w14:paraId="19CBBBE2" w14:textId="77777777" w:rsidR="00FE5E91" w:rsidRPr="001B3C5D" w:rsidRDefault="00FE5E91" w:rsidP="00FE5E91">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w:t>
      </w:r>
    </w:p>
    <w:p w14:paraId="37F38E97" w14:textId="77777777" w:rsidR="00FE5E91" w:rsidRPr="001B3C5D" w:rsidRDefault="00FE5E91" w:rsidP="00FE5E91">
      <w:pPr>
        <w:spacing w:after="0" w:line="240" w:lineRule="auto"/>
        <w:jc w:val="both"/>
        <w:rPr>
          <w:rFonts w:ascii="Verdana" w:eastAsia="Calibri" w:hAnsi="Verdana" w:cs="Arial"/>
          <w:color w:val="000000"/>
          <w:sz w:val="20"/>
          <w:szCs w:val="20"/>
          <w:lang w:val="es-ES"/>
        </w:rPr>
      </w:pPr>
    </w:p>
    <w:p w14:paraId="15B20742" w14:textId="77777777" w:rsidR="00FE5E91" w:rsidRPr="001B3C5D" w:rsidRDefault="00FE5E91" w:rsidP="00FE5E91">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sz w:val="20"/>
          <w:szCs w:val="20"/>
        </w:rPr>
        <w:t>–[</w:t>
      </w:r>
      <w:r w:rsidRPr="001B3C5D">
        <w:rPr>
          <w:rFonts w:ascii="Verdana" w:eastAsia="Aptos" w:hAnsi="Verdana" w:cs="Arial"/>
          <w:sz w:val="20"/>
          <w:szCs w:val="20"/>
          <w:highlight w:val="lightGray"/>
        </w:rPr>
        <w:t>texto de ejemplo</w:t>
      </w:r>
      <w:r w:rsidRPr="001B3C5D">
        <w:rPr>
          <w:rFonts w:ascii="Verdana" w:eastAsia="Aptos" w:hAnsi="Verdana" w:cs="Arial"/>
          <w:sz w:val="20"/>
          <w:szCs w:val="20"/>
        </w:rPr>
        <w:t xml:space="preserve">]– </w:t>
      </w:r>
      <w:r w:rsidRPr="001B3C5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9CD1EA1" w14:textId="77777777" w:rsidR="00FE5E91" w:rsidRPr="001B3C5D" w:rsidRDefault="00FE5E91" w:rsidP="00FE5E91">
      <w:pPr>
        <w:spacing w:after="0" w:line="240" w:lineRule="auto"/>
        <w:rPr>
          <w:rFonts w:ascii="Verdana" w:eastAsia="Calibri" w:hAnsi="Verdana" w:cs="Times New Roman"/>
          <w:b/>
          <w:bCs/>
          <w:lang w:val="es-ES"/>
        </w:rPr>
      </w:pPr>
    </w:p>
    <w:p w14:paraId="7D1CF468" w14:textId="77777777" w:rsidR="00FE5E91" w:rsidRPr="001B3C5D" w:rsidRDefault="00FE5E91" w:rsidP="00FE5E91">
      <w:pPr>
        <w:spacing w:after="0" w:line="240" w:lineRule="auto"/>
        <w:rPr>
          <w:rFonts w:ascii="Verdana" w:eastAsia="Calibri" w:hAnsi="Verdana" w:cs="Times New Roman"/>
          <w:b/>
          <w:bCs/>
          <w:lang w:val="es-ES"/>
        </w:rPr>
      </w:pPr>
      <w:r w:rsidRPr="001B3C5D">
        <w:rPr>
          <w:rFonts w:ascii="Verdana" w:eastAsia="Calibri" w:hAnsi="Verdana" w:cs="Times New Roman"/>
          <w:b/>
          <w:bCs/>
          <w:lang w:val="es-ES"/>
        </w:rPr>
        <w:t>DECRETO 287 DE 2026 – Incidencia – Documentos tipo</w:t>
      </w:r>
    </w:p>
    <w:p w14:paraId="5AD92587" w14:textId="77777777" w:rsidR="00FE5E91" w:rsidRPr="001B3C5D" w:rsidRDefault="00FE5E91" w:rsidP="00FE5E91">
      <w:pPr>
        <w:spacing w:after="0" w:line="240" w:lineRule="auto"/>
        <w:rPr>
          <w:rFonts w:ascii="Verdana" w:eastAsia="Calibri" w:hAnsi="Verdana" w:cs="Times New Roman"/>
          <w:b/>
          <w:bCs/>
          <w:lang w:val="es-ES"/>
        </w:rPr>
      </w:pPr>
    </w:p>
    <w:p w14:paraId="57818DAC"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2024F353"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49789F3" w14:textId="77777777" w:rsidR="00FE5E91" w:rsidRPr="001B3C5D" w:rsidRDefault="00FE5E91" w:rsidP="00FE5E91">
      <w:pPr>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DECRETO 287 DE 2026 – Documentos tipo – Licitación Pública – Selección abreviada de menor cuantía – Concurso de méritos – Requisitos habilitantes</w:t>
      </w:r>
    </w:p>
    <w:p w14:paraId="0493FE1B"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C880895"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49BE0D80"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B18CB62" w14:textId="77777777" w:rsidR="00FE5E91" w:rsidRPr="001B3C5D" w:rsidRDefault="00FE5E91" w:rsidP="00FE5E91">
      <w:pPr>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DECRETO 287 DE 2026 – Documentos tipo – Licitación Pública – Concurso de méritos – Factores de evaluación</w:t>
      </w:r>
    </w:p>
    <w:p w14:paraId="213F26F3"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0EC60289"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lastRenderedPageBreak/>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5D5BF578"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BE4E32C" w14:textId="77777777" w:rsidR="00FE5E91" w:rsidRPr="001B3C5D" w:rsidRDefault="00FE5E91" w:rsidP="00FE5E91">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DECRETO 287 DE 2026 – Documentos tipo – Ejecución contractual </w:t>
      </w:r>
    </w:p>
    <w:p w14:paraId="06EBDC04"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1642E71"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1B56663E"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C9D0D0C"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100A6BDD"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AD8C357" w14:textId="77777777" w:rsidR="00FE5E91" w:rsidRPr="001B3C5D" w:rsidRDefault="00FE5E91" w:rsidP="00FE5E91">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DOCUMENTOS TIPO – Decreto 287 de 2026 – Aplicación </w:t>
      </w:r>
    </w:p>
    <w:p w14:paraId="68CADA70"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92AE203"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0D2D7971"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4988A31"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Permitir que cada entidad introduzca ajustes a los documentos tipo para dar aplicación </w:t>
      </w:r>
      <w:r w:rsidRPr="001B3C5D">
        <w:rPr>
          <w:rFonts w:ascii="Verdana" w:eastAsia="Aptos" w:hAnsi="Verdana" w:cs="Times New Roman"/>
          <w:kern w:val="2"/>
          <w:sz w:val="20"/>
          <w:szCs w:val="20"/>
          <w14:ligatures w14:val="standardContextual"/>
        </w:rPr>
        <w:lastRenderedPageBreak/>
        <w:t>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0AFA3EBD"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D459055"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w:t>
      </w:r>
    </w:p>
    <w:p w14:paraId="30BEE525"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669953C"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3B8EDBA4"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28CE8EF"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22D1082B"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8333076" w14:textId="77777777" w:rsidR="00FE5E91" w:rsidRPr="001B3C5D" w:rsidRDefault="00FE5E91" w:rsidP="00FE5E91">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DOCUMENTOS TIPO – Decreto 287 de 2026 – Aplicación – Necesidad de modificación – Agencia Nacional de Contratación Pública </w:t>
      </w:r>
    </w:p>
    <w:p w14:paraId="6ED70CB6"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B0F86E5"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2DB6E4DF"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C770525"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w:t>
      </w:r>
      <w:r w:rsidRPr="001B3C5D">
        <w:rPr>
          <w:rFonts w:ascii="Verdana" w:eastAsia="Aptos" w:hAnsi="Verdana" w:cs="Times New Roman"/>
          <w:kern w:val="2"/>
          <w:sz w:val="20"/>
          <w:szCs w:val="20"/>
          <w14:ligatures w14:val="standardContextual"/>
        </w:rPr>
        <w:lastRenderedPageBreak/>
        <w:t xml:space="preserve">normativa y la efectividad de las medidas orientadas a la inclusión de las personas con discapacidad en el sistema de compras y contratación pública. </w:t>
      </w:r>
    </w:p>
    <w:p w14:paraId="5D0D36E1"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EFF38CB" w14:textId="77777777" w:rsidR="00FE5E91" w:rsidRPr="001B3C5D" w:rsidRDefault="00FE5E91" w:rsidP="00FE5E91">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DOCUMENTOS TIPO – Decreto 287 de 2026 – Modificación – Colombia Compra Eficiente</w:t>
      </w:r>
    </w:p>
    <w:p w14:paraId="0032A289"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1920CA1"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4AFB526F"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6963B4D" w14:textId="77777777" w:rsidR="00FE5E91" w:rsidRPr="001B3C5D" w:rsidRDefault="00FE5E91" w:rsidP="00FE5E91">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6C6DBDAE"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4912ABB4"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6C51FD04"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2064807C"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4AA1DC9A"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3E98EBB1"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0B96C6C9"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3254CC8F"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7A3864FC"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60870BFC"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37E3A6E0"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3385C188"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2D5E564C"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17217DED"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7AE8982E"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6733A44C" w14:textId="77777777" w:rsidR="00096507" w:rsidRDefault="00096507" w:rsidP="00FE5E91">
      <w:pPr>
        <w:spacing w:after="0" w:line="240" w:lineRule="auto"/>
        <w:contextualSpacing/>
        <w:jc w:val="both"/>
        <w:rPr>
          <w:rFonts w:ascii="Verdana" w:eastAsia="Calibri" w:hAnsi="Verdana" w:cs="Arial"/>
          <w:sz w:val="20"/>
          <w:szCs w:val="20"/>
          <w:lang w:eastAsia="es-ES"/>
        </w:rPr>
      </w:pPr>
    </w:p>
    <w:p w14:paraId="4823078F"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02E5D3B1"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45F6DF81"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2AE9262B"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4D6A02FB"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77013C55"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05749154"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63F7EE26" w14:textId="77777777" w:rsidR="00FE5E91" w:rsidRDefault="00FE5E91" w:rsidP="00FE5E91">
      <w:pPr>
        <w:spacing w:after="0" w:line="240" w:lineRule="auto"/>
        <w:contextualSpacing/>
        <w:jc w:val="both"/>
        <w:rPr>
          <w:rFonts w:ascii="Verdana" w:eastAsia="Calibri" w:hAnsi="Verdana" w:cs="Arial"/>
          <w:sz w:val="20"/>
          <w:szCs w:val="20"/>
          <w:lang w:eastAsia="es-ES"/>
        </w:rPr>
      </w:pPr>
    </w:p>
    <w:p w14:paraId="39780F35" w14:textId="7821D04D" w:rsidR="00FE5E91" w:rsidRPr="00777292" w:rsidRDefault="00FE5E91" w:rsidP="00FE5E91">
      <w:pPr>
        <w:spacing w:after="0"/>
        <w:rPr>
          <w:rFonts w:ascii="Verdana" w:hAnsi="Verdana"/>
          <w:lang w:val="es-ES"/>
        </w:rPr>
      </w:pPr>
      <w:r w:rsidRPr="2B8227DB">
        <w:rPr>
          <w:rFonts w:ascii="Verdana" w:hAnsi="Verdana"/>
          <w:lang w:val="es-ES"/>
        </w:rPr>
        <w:lastRenderedPageBreak/>
        <w:t xml:space="preserve">Bogotá D.C., </w:t>
      </w:r>
      <w:r w:rsidR="000F1CF5">
        <w:rPr>
          <w:rFonts w:ascii="Verdana" w:hAnsi="Verdana"/>
          <w:lang w:val="es-ES"/>
        </w:rPr>
        <w:t>25 de mayo de 2026</w:t>
      </w:r>
    </w:p>
    <w:p w14:paraId="4DEC3134" w14:textId="36A417BE" w:rsidR="00FE5E91" w:rsidRPr="00777292" w:rsidRDefault="00096507" w:rsidP="00FE5E91">
      <w:pPr>
        <w:spacing w:after="0"/>
        <w:rPr>
          <w:rFonts w:ascii="Verdana" w:hAnsi="Verdana"/>
          <w:lang w:val="es-ES_tradnl"/>
        </w:rPr>
      </w:pPr>
      <w:r w:rsidRPr="00096507">
        <w:rPr>
          <w:rFonts w:ascii="Verdana" w:hAnsi="Verdana"/>
          <w:noProof/>
        </w:rPr>
        <w:drawing>
          <wp:anchor distT="0" distB="0" distL="114300" distR="114300" simplePos="0" relativeHeight="251658240" behindDoc="1" locked="0" layoutInCell="1" allowOverlap="1" wp14:anchorId="28438DF2" wp14:editId="5C89EE70">
            <wp:simplePos x="0" y="0"/>
            <wp:positionH relativeFrom="margin">
              <wp:align>right</wp:align>
            </wp:positionH>
            <wp:positionV relativeFrom="paragraph">
              <wp:posOffset>8752</wp:posOffset>
            </wp:positionV>
            <wp:extent cx="2678430" cy="840105"/>
            <wp:effectExtent l="0" t="0" r="7620" b="0"/>
            <wp:wrapSquare wrapText="bothSides"/>
            <wp:docPr id="208508933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089334"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2678430" cy="840105"/>
                    </a:xfrm>
                    <a:prstGeom prst="rect">
                      <a:avLst/>
                    </a:prstGeom>
                  </pic:spPr>
                </pic:pic>
              </a:graphicData>
            </a:graphic>
            <wp14:sizeRelH relativeFrom="page">
              <wp14:pctWidth>0</wp14:pctWidth>
            </wp14:sizeRelH>
            <wp14:sizeRelV relativeFrom="page">
              <wp14:pctHeight>0</wp14:pctHeight>
            </wp14:sizeRelV>
          </wp:anchor>
        </w:drawing>
      </w:r>
    </w:p>
    <w:p w14:paraId="792886A2" w14:textId="1C59060A" w:rsidR="00FE5E91" w:rsidRPr="00777292" w:rsidRDefault="00FE5E91" w:rsidP="00FE5E91">
      <w:pPr>
        <w:spacing w:after="0" w:line="240" w:lineRule="auto"/>
        <w:rPr>
          <w:rFonts w:ascii="Verdana" w:hAnsi="Verdana"/>
          <w:lang w:val="es-ES"/>
        </w:rPr>
      </w:pPr>
      <w:r w:rsidRPr="00777292">
        <w:rPr>
          <w:rFonts w:ascii="Verdana" w:eastAsia="Calibri" w:hAnsi="Verdana" w:cs="Arial"/>
          <w:lang w:val="es-ES" w:eastAsia="es-ES"/>
        </w:rPr>
        <w:t>Señor</w:t>
      </w:r>
      <w:r>
        <w:rPr>
          <w:rFonts w:ascii="Verdana" w:eastAsia="Calibri" w:hAnsi="Verdana" w:cs="Arial"/>
          <w:lang w:val="es-ES" w:eastAsia="es-ES"/>
        </w:rPr>
        <w:t>a</w:t>
      </w:r>
    </w:p>
    <w:p w14:paraId="22C1E087" w14:textId="56833CEC" w:rsidR="00FE5E91" w:rsidRPr="006B694D" w:rsidRDefault="00FE5E91" w:rsidP="00FE5E91">
      <w:pPr>
        <w:spacing w:after="0"/>
        <w:rPr>
          <w:rFonts w:ascii="Verdana" w:eastAsia="Calibri" w:hAnsi="Verdana" w:cs="Arial"/>
          <w:b/>
          <w:bCs/>
          <w:lang w:val="es-ES" w:eastAsia="es-ES"/>
        </w:rPr>
      </w:pPr>
      <w:r>
        <w:rPr>
          <w:rFonts w:ascii="Verdana" w:eastAsia="Calibri" w:hAnsi="Verdana" w:cs="Arial"/>
          <w:b/>
          <w:bCs/>
          <w:lang w:val="es-ES" w:eastAsia="es-ES"/>
        </w:rPr>
        <w:t>Sara Milena Núñez Aldana</w:t>
      </w:r>
    </w:p>
    <w:p w14:paraId="02CF4F46" w14:textId="01DDD795" w:rsidR="00FE5E91" w:rsidRPr="006B694D" w:rsidRDefault="00FE5E91" w:rsidP="00FE5E91">
      <w:pPr>
        <w:spacing w:after="0"/>
        <w:rPr>
          <w:rStyle w:val="Hipervnculo"/>
          <w:rFonts w:ascii="Verdana" w:hAnsi="Verdana"/>
          <w:color w:val="ED7D31" w:themeColor="accent2"/>
        </w:rPr>
      </w:pPr>
      <w:r>
        <w:rPr>
          <w:rFonts w:ascii="Verdana" w:hAnsi="Verdana"/>
        </w:rPr>
        <w:t>Nunez_sara1993@gmail.com</w:t>
      </w:r>
    </w:p>
    <w:p w14:paraId="6620D4B1" w14:textId="77777777" w:rsidR="00FE5E91" w:rsidRDefault="00FE5E91" w:rsidP="00FE5E91">
      <w:pPr>
        <w:spacing w:after="0"/>
        <w:rPr>
          <w:rFonts w:ascii="Verdana" w:eastAsia="Calibri" w:hAnsi="Verdana" w:cs="Arial"/>
          <w:lang w:eastAsia="es-ES"/>
        </w:rPr>
      </w:pPr>
      <w:r>
        <w:rPr>
          <w:rFonts w:ascii="Verdana" w:eastAsia="Calibri" w:hAnsi="Verdana" w:cs="Arial"/>
          <w:lang w:eastAsia="es-ES"/>
        </w:rPr>
        <w:t>Bogotá, Cundinamarca</w:t>
      </w:r>
    </w:p>
    <w:p w14:paraId="148C8736" w14:textId="77777777" w:rsidR="00FE5E91" w:rsidRPr="00777292" w:rsidRDefault="00FE5E91" w:rsidP="00FE5E91">
      <w:pPr>
        <w:spacing w:after="0"/>
        <w:rPr>
          <w:rFonts w:ascii="Verdana" w:eastAsia="Calibri" w:hAnsi="Verdana" w:cs="Arial"/>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E5E91" w:rsidRPr="00777292" w14:paraId="6C4A7306" w14:textId="77777777" w:rsidTr="00AE3181">
        <w:trPr>
          <w:trHeight w:val="190"/>
        </w:trPr>
        <w:tc>
          <w:tcPr>
            <w:tcW w:w="2689" w:type="dxa"/>
          </w:tcPr>
          <w:p w14:paraId="6E2BE53A" w14:textId="77777777" w:rsidR="00FE5E91" w:rsidRPr="00777292" w:rsidRDefault="00FE5E91" w:rsidP="00AE3181">
            <w:pPr>
              <w:jc w:val="both"/>
              <w:rPr>
                <w:rFonts w:ascii="Verdana" w:eastAsia="Calibri" w:hAnsi="Verdana" w:cs="Arial"/>
                <w:b/>
                <w:bCs/>
                <w:lang w:eastAsia="es-ES_tradnl"/>
              </w:rPr>
            </w:pPr>
          </w:p>
        </w:tc>
        <w:tc>
          <w:tcPr>
            <w:tcW w:w="6100" w:type="dxa"/>
          </w:tcPr>
          <w:p w14:paraId="2505CE45" w14:textId="251CCEC3" w:rsidR="00FE5E91" w:rsidRPr="00777292" w:rsidRDefault="00FE5E91" w:rsidP="00AE3181">
            <w:pPr>
              <w:jc w:val="both"/>
              <w:rPr>
                <w:rFonts w:ascii="Verdana" w:eastAsia="Calibri" w:hAnsi="Verdana" w:cs="Arial"/>
                <w:b/>
                <w:bCs/>
                <w:lang w:eastAsia="es-ES"/>
              </w:rPr>
            </w:pPr>
            <w:r w:rsidRPr="00777292">
              <w:rPr>
                <w:rFonts w:ascii="Verdana" w:eastAsia="Calibri" w:hAnsi="Verdana" w:cs="Arial"/>
                <w:b/>
                <w:bCs/>
                <w:lang w:eastAsia="es-ES"/>
              </w:rPr>
              <w:t>Concepto C-</w:t>
            </w:r>
            <w:r>
              <w:rPr>
                <w:rFonts w:ascii="Verdana" w:eastAsia="Calibri" w:hAnsi="Verdana" w:cs="Arial"/>
                <w:b/>
                <w:bCs/>
                <w:lang w:eastAsia="es-ES"/>
              </w:rPr>
              <w:t>589</w:t>
            </w:r>
            <w:r w:rsidRPr="00777292">
              <w:rPr>
                <w:rFonts w:ascii="Verdana" w:eastAsia="Calibri" w:hAnsi="Verdana" w:cs="Arial"/>
                <w:b/>
                <w:bCs/>
                <w:lang w:eastAsia="es-ES"/>
              </w:rPr>
              <w:t xml:space="preserve"> de 2026</w:t>
            </w:r>
          </w:p>
          <w:p w14:paraId="6AC6EBA1" w14:textId="77777777" w:rsidR="00FE5E91" w:rsidRPr="00777292" w:rsidRDefault="00FE5E91" w:rsidP="00AE3181">
            <w:pPr>
              <w:jc w:val="both"/>
              <w:rPr>
                <w:rFonts w:ascii="Verdana" w:eastAsia="Calibri" w:hAnsi="Verdana" w:cs="Arial"/>
                <w:b/>
                <w:bCs/>
                <w:lang w:eastAsia="es-ES"/>
              </w:rPr>
            </w:pPr>
          </w:p>
        </w:tc>
      </w:tr>
      <w:tr w:rsidR="00FE5E91" w:rsidRPr="00777292" w14:paraId="7DDA8201" w14:textId="77777777" w:rsidTr="00AE3181">
        <w:trPr>
          <w:trHeight w:val="884"/>
        </w:trPr>
        <w:tc>
          <w:tcPr>
            <w:tcW w:w="2689" w:type="dxa"/>
          </w:tcPr>
          <w:p w14:paraId="7F2BB0FA" w14:textId="77777777" w:rsidR="00FE5E91" w:rsidRPr="00777292" w:rsidRDefault="00FE5E91" w:rsidP="00AE3181">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4A315424" w14:textId="77777777" w:rsidR="00FE5E91" w:rsidRPr="001B3C5D" w:rsidRDefault="00FE5E91" w:rsidP="00AE3181">
            <w:pPr>
              <w:widowControl w:val="0"/>
              <w:autoSpaceDE w:val="0"/>
              <w:autoSpaceDN w:val="0"/>
              <w:jc w:val="both"/>
              <w:rPr>
                <w:rFonts w:ascii="Verdana" w:eastAsia="Calibri" w:hAnsi="Verdana" w:cs="Times New Roman"/>
                <w:lang w:val="es-ES"/>
              </w:rPr>
            </w:pPr>
            <w:r w:rsidRPr="001B3C5D">
              <w:rPr>
                <w:rFonts w:ascii="Verdana" w:eastAsia="Calibri" w:hAnsi="Verdana" w:cs="Arial"/>
                <w:lang w:val="es-ES_tradnl"/>
              </w:rPr>
              <w:t xml:space="preserve">DOCUMENTOS TIPO – Fundamento normativo – Obligatoriedad / DOCUMENTOS TIPO – Adopción – Implementación / DOCUMENTOS TIPO – Sectores – Vigentes / DOCUMENTOS TIPO – Colombia Compra Eficiente – Facultad de estandarización / </w:t>
            </w:r>
            <w:r w:rsidRPr="001B3C5D">
              <w:rPr>
                <w:rFonts w:ascii="Verdana" w:eastAsia="Calibri" w:hAnsi="Verdana"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w:t>
            </w:r>
          </w:p>
          <w:p w14:paraId="6175C384" w14:textId="77777777" w:rsidR="00FE5E91" w:rsidRPr="00777292" w:rsidRDefault="00FE5E91" w:rsidP="00AE3181">
            <w:pPr>
              <w:contextualSpacing/>
              <w:jc w:val="both"/>
              <w:rPr>
                <w:rFonts w:ascii="Verdana" w:eastAsia="Calibri" w:hAnsi="Verdana" w:cs="Arial"/>
                <w:lang w:eastAsia="es-ES"/>
              </w:rPr>
            </w:pPr>
          </w:p>
        </w:tc>
      </w:tr>
      <w:tr w:rsidR="00FE5E91" w:rsidRPr="00777292" w14:paraId="22CE9861" w14:textId="77777777" w:rsidTr="00AE3181">
        <w:tc>
          <w:tcPr>
            <w:tcW w:w="2689" w:type="dxa"/>
          </w:tcPr>
          <w:p w14:paraId="42BA6583" w14:textId="77777777" w:rsidR="00FE5E91" w:rsidRPr="00777292" w:rsidRDefault="00FE5E91" w:rsidP="00AE3181">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03D523E4" w14:textId="1CC74E8A" w:rsidR="00FE5E91" w:rsidRPr="000F1CF5" w:rsidRDefault="00FE5E91" w:rsidP="00AE3181">
            <w:pPr>
              <w:jc w:val="both"/>
              <w:rPr>
                <w:rFonts w:ascii="Verdana" w:eastAsia="Calibri" w:hAnsi="Verdana" w:cs="Arial"/>
                <w:lang w:eastAsia="es-ES_tradnl"/>
              </w:rPr>
            </w:pPr>
            <w:r w:rsidRPr="000F1CF5">
              <w:rPr>
                <w:rFonts w:ascii="Verdana" w:eastAsia="Calibri" w:hAnsi="Verdana" w:cs="Arial"/>
                <w:lang w:eastAsia="es-ES_tradnl"/>
              </w:rPr>
              <w:t xml:space="preserve">Respuesta a consulta con radicado </w:t>
            </w:r>
            <w:r w:rsidR="000F1CF5" w:rsidRPr="000F1CF5">
              <w:rPr>
                <w:rFonts w:ascii="Verdana" w:eastAsia="Calibri" w:hAnsi="Verdana" w:cs="Arial"/>
                <w:lang w:eastAsia="es-ES_tradnl"/>
              </w:rPr>
              <w:t>No.</w:t>
            </w:r>
            <w:r w:rsidR="000F1CF5" w:rsidRPr="000F1CF5">
              <w:rPr>
                <w:rFonts w:ascii="Verdana" w:hAnsi="Verdana" w:cs="Segoe UI"/>
                <w:shd w:val="clear" w:color="auto" w:fill="FFFFFF"/>
              </w:rPr>
              <w:t xml:space="preserve"> 1</w:t>
            </w:r>
            <w:r w:rsidRPr="000F1CF5">
              <w:rPr>
                <w:rFonts w:ascii="Verdana" w:hAnsi="Verdana" w:cs="Segoe UI"/>
                <w:shd w:val="clear" w:color="auto" w:fill="FFFFFF"/>
              </w:rPr>
              <w:t xml:space="preserve">_2026_04_10_004898 y 1_2026_04_10_004907 (acumuladas) </w:t>
            </w:r>
          </w:p>
        </w:tc>
      </w:tr>
    </w:tbl>
    <w:p w14:paraId="6AB87DB4" w14:textId="77777777" w:rsidR="00FE5E91" w:rsidRPr="00206556" w:rsidRDefault="00FE5E91" w:rsidP="00FE5E91">
      <w:pPr>
        <w:tabs>
          <w:tab w:val="left" w:pos="1520"/>
        </w:tabs>
        <w:spacing w:after="0" w:line="276" w:lineRule="auto"/>
        <w:jc w:val="both"/>
        <w:rPr>
          <w:rFonts w:ascii="Verdana" w:eastAsia="Calibri" w:hAnsi="Verdana" w:cs="Arial"/>
          <w:color w:val="ED7D31" w:themeColor="accent2"/>
          <w:sz w:val="20"/>
          <w:szCs w:val="20"/>
          <w:lang w:val="es-ES" w:eastAsia="es-ES"/>
        </w:rPr>
      </w:pPr>
    </w:p>
    <w:p w14:paraId="42BB52A2" w14:textId="77777777" w:rsidR="00FE5E91" w:rsidRPr="00206556" w:rsidRDefault="00FE5E91" w:rsidP="00FE5E91">
      <w:pPr>
        <w:spacing w:after="0" w:line="276" w:lineRule="auto"/>
        <w:jc w:val="both"/>
        <w:rPr>
          <w:rFonts w:ascii="Verdana" w:eastAsia="Calibri" w:hAnsi="Verdana" w:cs="Arial"/>
          <w:color w:val="ED7D31" w:themeColor="accent2"/>
          <w:lang w:val="es-ES" w:eastAsia="es-ES"/>
        </w:rPr>
      </w:pPr>
    </w:p>
    <w:p w14:paraId="275DEE70" w14:textId="77777777" w:rsidR="00FE5E91" w:rsidRPr="001B077C" w:rsidRDefault="00FE5E91" w:rsidP="00FE5E91">
      <w:pPr>
        <w:spacing w:after="0" w:line="276" w:lineRule="auto"/>
        <w:jc w:val="both"/>
        <w:rPr>
          <w:rFonts w:ascii="Verdana" w:eastAsia="Calibri" w:hAnsi="Verdana" w:cs="Arial"/>
          <w:lang w:val="es-ES" w:eastAsia="es-ES"/>
        </w:rPr>
      </w:pPr>
      <w:r w:rsidRPr="001B077C">
        <w:rPr>
          <w:rFonts w:ascii="Verdana" w:eastAsia="Calibri" w:hAnsi="Verdana" w:cs="Arial"/>
          <w:lang w:val="es-ES" w:eastAsia="es-ES"/>
        </w:rPr>
        <w:t>Estimad</w:t>
      </w:r>
      <w:r>
        <w:rPr>
          <w:rFonts w:ascii="Verdana" w:eastAsia="Calibri" w:hAnsi="Verdana" w:cs="Arial"/>
          <w:lang w:val="es-ES" w:eastAsia="es-ES"/>
        </w:rPr>
        <w:t>a</w:t>
      </w:r>
      <w:r w:rsidRPr="001B077C">
        <w:rPr>
          <w:rFonts w:ascii="Verdana" w:eastAsia="Calibri" w:hAnsi="Verdana" w:cs="Arial"/>
          <w:lang w:val="es-ES" w:eastAsia="es-ES"/>
        </w:rPr>
        <w:t xml:space="preserve"> Señor</w:t>
      </w:r>
      <w:r>
        <w:rPr>
          <w:rFonts w:ascii="Verdana" w:eastAsia="Calibri" w:hAnsi="Verdana" w:cs="Arial"/>
          <w:lang w:val="es-ES" w:eastAsia="es-ES"/>
        </w:rPr>
        <w:t>a</w:t>
      </w:r>
      <w:r w:rsidRPr="001B077C">
        <w:rPr>
          <w:rFonts w:ascii="Verdana" w:eastAsia="Calibri" w:hAnsi="Verdana" w:cs="Arial"/>
          <w:lang w:val="es-ES" w:eastAsia="es-ES"/>
        </w:rPr>
        <w:t xml:space="preserve"> </w:t>
      </w:r>
      <w:r>
        <w:rPr>
          <w:rFonts w:ascii="Verdana" w:eastAsia="Calibri" w:hAnsi="Verdana" w:cs="Arial"/>
          <w:lang w:val="es-ES" w:eastAsia="es-ES"/>
        </w:rPr>
        <w:t>Núñez</w:t>
      </w:r>
      <w:r w:rsidRPr="001B077C">
        <w:rPr>
          <w:rFonts w:ascii="Verdana" w:eastAsia="Calibri" w:hAnsi="Verdana" w:cs="Arial"/>
          <w:lang w:val="es-ES" w:eastAsia="es-ES"/>
        </w:rPr>
        <w:t>,</w:t>
      </w:r>
    </w:p>
    <w:p w14:paraId="59911381" w14:textId="77777777" w:rsidR="00FE5E91" w:rsidRPr="001B077C" w:rsidRDefault="00FE5E91" w:rsidP="00FE5E91">
      <w:pPr>
        <w:tabs>
          <w:tab w:val="left" w:pos="3768"/>
        </w:tabs>
        <w:spacing w:after="0" w:line="276" w:lineRule="auto"/>
        <w:jc w:val="both"/>
        <w:rPr>
          <w:rFonts w:ascii="Verdana" w:eastAsia="Calibri" w:hAnsi="Verdana" w:cs="Arial"/>
          <w:lang w:val="es-ES" w:eastAsia="es-ES"/>
        </w:rPr>
      </w:pPr>
      <w:r w:rsidRPr="001B077C">
        <w:rPr>
          <w:rFonts w:ascii="Verdana" w:eastAsia="Calibri" w:hAnsi="Verdana" w:cs="Arial"/>
          <w:lang w:val="es-ES" w:eastAsia="es-ES"/>
        </w:rPr>
        <w:tab/>
      </w:r>
    </w:p>
    <w:p w14:paraId="2DA62D62" w14:textId="77777777" w:rsidR="00FE5E91" w:rsidRPr="00206556" w:rsidRDefault="00FE5E91" w:rsidP="00FE5E91">
      <w:pPr>
        <w:spacing w:after="0" w:line="276" w:lineRule="auto"/>
        <w:jc w:val="both"/>
        <w:rPr>
          <w:rFonts w:ascii="Verdana" w:eastAsia="Calibri" w:hAnsi="Verdana" w:cs="Arial"/>
          <w:lang w:val="es-ES" w:eastAsia="es-ES"/>
        </w:rPr>
      </w:pPr>
      <w:r w:rsidRPr="001B077C">
        <w:rPr>
          <w:rFonts w:ascii="Verdana" w:eastAsia="Calibri" w:hAnsi="Verdana" w:cs="Arial"/>
          <w:lang w:val="es-ES" w:eastAsia="es-ES"/>
        </w:rPr>
        <w:t>En ejercicio de la competencia otorgada por los artículos 3, numeral 5º, y 11, numeral 8º, del Decreto Ley 4170 de 2011,</w:t>
      </w:r>
      <w:r w:rsidRPr="001B077C">
        <w:rPr>
          <w:rFonts w:ascii="Verdana" w:eastAsia="Arial MT" w:hAnsi="Verdana" w:cs="Arial MT"/>
          <w:lang w:val="es-ES" w:eastAsia="es-ES"/>
        </w:rPr>
        <w:t xml:space="preserve"> </w:t>
      </w:r>
      <w:r w:rsidRPr="001B077C">
        <w:rPr>
          <w:rFonts w:ascii="Verdana" w:hAnsi="Verdana" w:cs="Arial"/>
          <w:lang w:val="es-ES"/>
        </w:rPr>
        <w:t xml:space="preserve">así como lo establecido en la Resolución 469 de 2025 expedida por esta Entidad, </w:t>
      </w:r>
      <w:r w:rsidRPr="001B077C">
        <w:rPr>
          <w:rFonts w:ascii="Verdana" w:eastAsia="Calibri" w:hAnsi="Verdana" w:cs="Arial"/>
          <w:lang w:val="es-ES" w:eastAsia="es-ES"/>
        </w:rPr>
        <w:t xml:space="preserve">la Agencia Nacional de </w:t>
      </w:r>
      <w:r w:rsidRPr="001B077C">
        <w:rPr>
          <w:rFonts w:ascii="Verdana" w:eastAsia="Calibri" w:hAnsi="Verdana" w:cs="Arial"/>
          <w:lang w:val="es-ES" w:eastAsia="es-ES"/>
        </w:rPr>
        <w:lastRenderedPageBreak/>
        <w:t xml:space="preserve">Contratación Pública – Colombia Compra Eficiente– responde su solicitud de consulta de fecha </w:t>
      </w:r>
      <w:r>
        <w:rPr>
          <w:rFonts w:ascii="Verdana" w:eastAsia="Calibri" w:hAnsi="Verdana" w:cs="Arial"/>
          <w:lang w:val="es-ES" w:eastAsia="es-ES"/>
        </w:rPr>
        <w:t>10</w:t>
      </w:r>
      <w:r w:rsidRPr="001B077C">
        <w:rPr>
          <w:rFonts w:ascii="Verdana" w:eastAsia="Calibri" w:hAnsi="Verdana" w:cs="Arial"/>
          <w:lang w:val="es-ES" w:eastAsia="es-ES"/>
        </w:rPr>
        <w:t xml:space="preserve"> de </w:t>
      </w:r>
      <w:r>
        <w:rPr>
          <w:rFonts w:ascii="Verdana" w:eastAsia="Calibri" w:hAnsi="Verdana" w:cs="Arial"/>
          <w:lang w:val="es-ES" w:eastAsia="es-ES"/>
        </w:rPr>
        <w:t>abril</w:t>
      </w:r>
      <w:r w:rsidRPr="001B077C">
        <w:rPr>
          <w:rFonts w:ascii="Verdana" w:eastAsia="Calibri" w:hAnsi="Verdana" w:cs="Arial"/>
          <w:lang w:val="es-ES" w:eastAsia="es-ES"/>
        </w:rPr>
        <w:t xml:space="preserve"> de 2026, en</w:t>
      </w:r>
      <w:r w:rsidRPr="00206556">
        <w:rPr>
          <w:rFonts w:ascii="Verdana" w:eastAsia="Calibri" w:hAnsi="Verdana" w:cs="Arial"/>
          <w:lang w:val="es-ES" w:eastAsia="es-ES"/>
        </w:rPr>
        <w:t xml:space="preserve"> la cual manifiesta lo siguiente: </w:t>
      </w:r>
    </w:p>
    <w:p w14:paraId="5B27C332" w14:textId="77777777" w:rsidR="00FE5E91" w:rsidRDefault="00FE5E91" w:rsidP="00FE5E91">
      <w:pPr>
        <w:spacing w:before="120" w:after="120" w:line="240" w:lineRule="auto"/>
        <w:ind w:right="709"/>
        <w:contextualSpacing/>
        <w:jc w:val="both"/>
        <w:rPr>
          <w:rFonts w:ascii="Verdana" w:eastAsia="Century Gothic" w:hAnsi="Verdana" w:cs="Century Gothic"/>
          <w:i/>
          <w:iCs/>
          <w:sz w:val="20"/>
          <w:szCs w:val="20"/>
          <w:lang w:val="es-ES"/>
        </w:rPr>
      </w:pPr>
    </w:p>
    <w:p w14:paraId="1F7830A7" w14:textId="77777777" w:rsidR="00FE5E91" w:rsidRDefault="00FE5E91" w:rsidP="00FE5E91">
      <w:pPr>
        <w:spacing w:before="120" w:after="120" w:line="240" w:lineRule="auto"/>
        <w:ind w:left="709" w:right="709"/>
        <w:contextualSpacing/>
        <w:jc w:val="both"/>
        <w:rPr>
          <w:rFonts w:ascii="Verdana" w:eastAsia="Century Gothic" w:hAnsi="Verdana" w:cs="Century Gothic"/>
          <w:i/>
          <w:iCs/>
          <w:sz w:val="20"/>
          <w:szCs w:val="20"/>
          <w:lang w:val="es-ES"/>
        </w:rPr>
      </w:pPr>
      <w:r>
        <w:rPr>
          <w:rFonts w:ascii="Verdana" w:eastAsia="Century Gothic" w:hAnsi="Verdana" w:cs="Century Gothic"/>
          <w:i/>
          <w:iCs/>
          <w:sz w:val="20"/>
          <w:szCs w:val="20"/>
          <w:lang w:val="es-ES"/>
        </w:rPr>
        <w:t>“</w:t>
      </w:r>
      <w:r w:rsidRPr="00512CFA">
        <w:rPr>
          <w:rFonts w:ascii="Verdana" w:eastAsia="Century Gothic" w:hAnsi="Verdana" w:cs="Century Gothic"/>
          <w:i/>
          <w:iCs/>
          <w:sz w:val="20"/>
          <w:szCs w:val="20"/>
          <w:lang w:val="es-ES"/>
        </w:rPr>
        <w:t xml:space="preserve">… Se solicita a la Agencia pronunciarse de manera expresa sobre: i) la posibilidad de modificar factores de evaluación e incluir criterios diferenciales asociados al Decreto 287 de 2026; y </w:t>
      </w:r>
      <w:proofErr w:type="spellStart"/>
      <w:r w:rsidRPr="00512CFA">
        <w:rPr>
          <w:rFonts w:ascii="Verdana" w:eastAsia="Century Gothic" w:hAnsi="Verdana" w:cs="Century Gothic"/>
          <w:i/>
          <w:iCs/>
          <w:sz w:val="20"/>
          <w:szCs w:val="20"/>
          <w:lang w:val="es-ES"/>
        </w:rPr>
        <w:t>ii</w:t>
      </w:r>
      <w:proofErr w:type="spellEnd"/>
      <w:r w:rsidRPr="00512CFA">
        <w:rPr>
          <w:rFonts w:ascii="Verdana" w:eastAsia="Century Gothic" w:hAnsi="Verdana" w:cs="Century Gothic"/>
          <w:i/>
          <w:iCs/>
          <w:sz w:val="20"/>
          <w:szCs w:val="20"/>
          <w:lang w:val="es-ES"/>
        </w:rPr>
        <w:t>) la actuación transitoria que deben adelantar las entidades mientras se expide la modificación formal de los documentos tipo.”</w:t>
      </w:r>
    </w:p>
    <w:p w14:paraId="60EF4830" w14:textId="77777777" w:rsidR="00FE5E91" w:rsidRPr="00206556" w:rsidRDefault="00FE5E91" w:rsidP="00FE5E91">
      <w:pPr>
        <w:spacing w:before="120" w:after="120" w:line="240" w:lineRule="auto"/>
        <w:ind w:left="709" w:right="709"/>
        <w:contextualSpacing/>
        <w:jc w:val="both"/>
        <w:rPr>
          <w:rFonts w:ascii="Verdana" w:eastAsia="Century Gothic" w:hAnsi="Verdana" w:cs="Century Gothic"/>
          <w:i/>
          <w:iCs/>
          <w:sz w:val="20"/>
          <w:szCs w:val="20"/>
          <w:lang w:val="es-ES"/>
        </w:rPr>
      </w:pPr>
    </w:p>
    <w:p w14:paraId="56B14B41" w14:textId="77777777" w:rsidR="00FE5E91" w:rsidRPr="00206556" w:rsidRDefault="00FE5E91" w:rsidP="00FE5E91">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Pr>
          <w:rFonts w:ascii="Verdana" w:hAnsi="Verdana"/>
        </w:rPr>
        <w:t>Estatuto General de Contratación Pública</w:t>
      </w:r>
      <w:r w:rsidRPr="00206556">
        <w:rPr>
          <w:rFonts w:ascii="Verdana" w:eastAsia="Calibri" w:hAnsi="Verdana" w:cs="Arial"/>
          <w:lang w:val="es-ES" w:eastAsia="es-ES"/>
        </w:rPr>
        <w:t xml:space="preserve"> 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6AA0D314" w14:textId="77777777" w:rsidR="00FE5E91" w:rsidRPr="00206556" w:rsidRDefault="00FE5E91" w:rsidP="00FE5E91">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6CE97A2" w14:textId="77777777" w:rsidR="00FE5E91" w:rsidRPr="00206556" w:rsidRDefault="00FE5E91" w:rsidP="00FE5E91">
      <w:pPr>
        <w:spacing w:after="0" w:line="276" w:lineRule="auto"/>
        <w:ind w:firstLine="709"/>
        <w:jc w:val="both"/>
        <w:rPr>
          <w:rFonts w:ascii="Verdana" w:eastAsia="Calibri" w:hAnsi="Verdana" w:cs="Arial"/>
          <w:lang w:val="es-ES" w:eastAsia="es-ES"/>
        </w:rPr>
      </w:pPr>
    </w:p>
    <w:p w14:paraId="2E9BF4E0" w14:textId="77777777" w:rsidR="00FE5E91" w:rsidRPr="00206556" w:rsidRDefault="00FE5E91" w:rsidP="00FE5E91">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 planteado:</w:t>
      </w:r>
    </w:p>
    <w:p w14:paraId="300DF2BE" w14:textId="77777777" w:rsidR="00FE5E91" w:rsidRPr="00206556" w:rsidRDefault="00FE5E91" w:rsidP="00FE5E91">
      <w:pPr>
        <w:tabs>
          <w:tab w:val="left" w:pos="426"/>
        </w:tabs>
        <w:spacing w:after="0" w:line="276" w:lineRule="auto"/>
        <w:jc w:val="both"/>
        <w:rPr>
          <w:rFonts w:ascii="Verdana" w:eastAsia="Century Gothic" w:hAnsi="Verdana" w:cs="Century Gothic"/>
          <w:color w:val="ED7D31" w:themeColor="accent2"/>
          <w:lang w:val="es-ES"/>
        </w:rPr>
      </w:pPr>
    </w:p>
    <w:p w14:paraId="222633CC" w14:textId="155E71C2" w:rsidR="00FE5E91" w:rsidRDefault="00FE5E91" w:rsidP="00FE5E91">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r w:rsidRPr="00512CFA">
        <w:rPr>
          <w:rFonts w:ascii="Verdana" w:eastAsia="Century Gothic" w:hAnsi="Verdana" w:cs="Century Gothic"/>
        </w:rPr>
        <w:t>¿Es jurídicamente viable modificar los factores de evaluación e incluir criterios diferenciales asociados al Decreto 287 de 2026 en los procesos sometidos a documentos tipo y</w:t>
      </w:r>
      <w:r>
        <w:rPr>
          <w:rFonts w:ascii="Verdana" w:eastAsia="Century Gothic" w:hAnsi="Verdana" w:cs="Century Gothic"/>
        </w:rPr>
        <w:t xml:space="preserve"> </w:t>
      </w:r>
      <w:r w:rsidR="00596818">
        <w:rPr>
          <w:rFonts w:ascii="Verdana" w:eastAsia="Century Gothic" w:hAnsi="Verdana" w:cs="Century Gothic"/>
        </w:rPr>
        <w:t>¿</w:t>
      </w:r>
      <w:r w:rsidRPr="00512CFA">
        <w:rPr>
          <w:rFonts w:ascii="Verdana" w:eastAsia="Century Gothic" w:hAnsi="Verdana" w:cs="Century Gothic"/>
        </w:rPr>
        <w:t>qué actuaciones deben adelantar las entidades estatales mientras se expide la modificación formal de dichos documentos?</w:t>
      </w:r>
    </w:p>
    <w:p w14:paraId="7B64729F" w14:textId="77777777" w:rsidR="00FE5E91" w:rsidRPr="00206556" w:rsidRDefault="00FE5E91" w:rsidP="00FE5E91">
      <w:pPr>
        <w:spacing w:after="0" w:line="276" w:lineRule="auto"/>
        <w:jc w:val="both"/>
        <w:rPr>
          <w:rFonts w:ascii="Verdana" w:eastAsia="Century Gothic" w:hAnsi="Verdana" w:cs="Century Gothic"/>
          <w:color w:val="ED7D31" w:themeColor="accent2"/>
        </w:rPr>
      </w:pPr>
    </w:p>
    <w:p w14:paraId="578E2B61" w14:textId="77777777" w:rsidR="00FE5E91" w:rsidRPr="00206556" w:rsidRDefault="00FE5E91" w:rsidP="00FE5E91">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p w14:paraId="04231E8E" w14:textId="77777777" w:rsidR="00FE5E91" w:rsidRPr="00206556" w:rsidRDefault="00FE5E91" w:rsidP="00FE5E91">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E5E91" w:rsidRPr="00206556" w14:paraId="220368D6" w14:textId="77777777" w:rsidTr="00AE3181">
        <w:tc>
          <w:tcPr>
            <w:tcW w:w="8828" w:type="dxa"/>
          </w:tcPr>
          <w:p w14:paraId="5257D9CB" w14:textId="77777777" w:rsidR="00FE5E91" w:rsidRPr="001B3C5D" w:rsidRDefault="00FE5E91" w:rsidP="00AE3181">
            <w:pPr>
              <w:spacing w:line="276" w:lineRule="auto"/>
              <w:jc w:val="both"/>
              <w:rPr>
                <w:rFonts w:ascii="Aptos" w:eastAsia="Aptos" w:hAnsi="Aptos" w:cs="Times New Roman"/>
                <w:lang w:val="es-MX"/>
              </w:rPr>
            </w:pPr>
            <w:r w:rsidRPr="001B3C5D">
              <w:rPr>
                <w:rFonts w:ascii="Verdana" w:eastAsia="Times New Roman" w:hAnsi="Verdana" w:cs="Arial"/>
                <w:color w:val="000000"/>
                <w:lang w:val="es-ES_tradnl" w:eastAsia="es-ES_tradnl"/>
              </w:rPr>
              <w:t xml:space="preserve">i. </w:t>
            </w:r>
            <w:r w:rsidRPr="001B3C5D">
              <w:rPr>
                <w:rFonts w:ascii="Verdana" w:eastAsia="Aptos" w:hAnsi="Verdana" w:cs="Times New Roman"/>
                <w:lang w:val="es-ES"/>
              </w:rPr>
              <w:t>El artículo 1 de la Ley 2022 de 20202,</w:t>
            </w:r>
            <w:r w:rsidRPr="001B3C5D">
              <w:rPr>
                <w:rFonts w:ascii="Aptos" w:eastAsia="Aptos" w:hAnsi="Aptos" w:cs="Times New Roman"/>
                <w:lang w:val="es-ES"/>
              </w:rPr>
              <w:t xml:space="preserve"> </w:t>
            </w:r>
            <w:r w:rsidRPr="001B3C5D">
              <w:rPr>
                <w:rFonts w:ascii="Verdana" w:eastAsia="Calibri" w:hAnsi="Verdana" w:cs="Arial"/>
                <w:color w:val="00000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0F4B2108" w14:textId="514F732A" w:rsidR="00FE5E91" w:rsidRPr="001B3C5D" w:rsidRDefault="00FE5E91" w:rsidP="00AE3181">
            <w:pPr>
              <w:spacing w:before="120" w:after="120" w:line="276" w:lineRule="auto"/>
              <w:ind w:firstLine="360"/>
              <w:jc w:val="both"/>
              <w:rPr>
                <w:rFonts w:ascii="Verdana" w:eastAsia="Calibri" w:hAnsi="Verdana" w:cs="Arial"/>
                <w:color w:val="000000"/>
                <w:lang w:val="es-MX"/>
              </w:rPr>
            </w:pPr>
            <w:r w:rsidRPr="001B3C5D">
              <w:rPr>
                <w:rFonts w:ascii="Verdana" w:eastAsia="Calibri" w:hAnsi="Verdana" w:cs="Arial"/>
                <w:color w:val="000000"/>
                <w:lang w:val="es-MX"/>
              </w:rPr>
              <w:t xml:space="preserve">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503EF30B" w14:textId="77777777" w:rsidR="00FE5E91" w:rsidRPr="001B3C5D" w:rsidRDefault="00FE5E91" w:rsidP="00AE3181">
            <w:pPr>
              <w:spacing w:before="120" w:after="120" w:line="276" w:lineRule="auto"/>
              <w:ind w:firstLine="642"/>
              <w:jc w:val="both"/>
              <w:rPr>
                <w:rFonts w:ascii="Verdana" w:eastAsia="Aptos" w:hAnsi="Verdana" w:cs="Arial"/>
                <w:lang w:val="es-ES"/>
              </w:rPr>
            </w:pPr>
            <w:r w:rsidRPr="001B3C5D">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1B3C5D">
              <w:rPr>
                <w:rFonts w:ascii="Verdana" w:eastAsia="Aptos" w:hAnsi="Verdana" w:cs="Arial"/>
                <w:lang w:val="es-ES"/>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19FEBD3F" w14:textId="77777777" w:rsidR="00FE5E91" w:rsidRPr="001B3C5D" w:rsidRDefault="00FE5E91" w:rsidP="00AE3181">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 xml:space="preserve">Ahora bien, como se explicó, la Ley 2022 de 2020 facultó a la Agencia Nacional de Contratación Pública – Colombia Compra Eficiente para adoptar </w:t>
            </w:r>
            <w:r w:rsidRPr="001B3C5D">
              <w:rPr>
                <w:rFonts w:ascii="Verdana" w:eastAsia="Times New Roman" w:hAnsi="Verdana" w:cs="Arial"/>
                <w:lang w:eastAsia="es-MX"/>
              </w:rPr>
              <w:lastRenderedPageBreak/>
              <w:t xml:space="preserve">documentos tipo. De este modo, la intención del legislador fue otorgarle esta facultad al ente rector del Sistema de Compra Pública. </w:t>
            </w:r>
          </w:p>
          <w:p w14:paraId="5CAEE1F7" w14:textId="77777777" w:rsidR="00FE5E91" w:rsidRPr="001B3C5D" w:rsidRDefault="00FE5E91" w:rsidP="00AE3181">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B3C5D">
              <w:rPr>
                <w:rFonts w:ascii="Verdana" w:eastAsia="Times New Roman" w:hAnsi="Verdana" w:cs="Arial"/>
                <w:i/>
                <w:iCs/>
                <w:vertAlign w:val="superscript"/>
                <w:lang w:eastAsia="es-MX"/>
              </w:rPr>
              <w:footnoteReference w:id="2"/>
            </w:r>
            <w:r w:rsidRPr="001B3C5D">
              <w:rPr>
                <w:rFonts w:ascii="Verdana" w:eastAsia="Times New Roman" w:hAnsi="Verdana" w:cs="Arial"/>
                <w:lang w:eastAsia="es-MX"/>
              </w:rPr>
              <w:t>”</w:t>
            </w:r>
            <w:r w:rsidRPr="001B3C5D">
              <w:rPr>
                <w:rFonts w:ascii="Verdana" w:eastAsia="Times New Roman" w:hAnsi="Verdana" w:cs="Arial"/>
                <w:i/>
                <w:iCs/>
                <w:lang w:eastAsia="es-MX"/>
              </w:rPr>
              <w:t>.</w:t>
            </w:r>
            <w:r w:rsidRPr="001B3C5D">
              <w:rPr>
                <w:rFonts w:ascii="Verdana" w:eastAsia="Times New Roman" w:hAnsi="Verdana" w:cs="Arial"/>
                <w:lang w:eastAsia="es-MX"/>
              </w:rPr>
              <w:t xml:space="preserve"> Además, el Consejo de Estado, Sección Primera, en la Sentencia del 29 de abril de 2015, expediente 6.096, indicó que es posible que ley atribuya facultades reglamentarias a otras autoridades administrativas, particularmente a los ministerios, sin que se entienda disminuida la potestad reglamentaria del presidente de la República</w:t>
            </w:r>
            <w:r w:rsidRPr="001B3C5D">
              <w:rPr>
                <w:rFonts w:ascii="Verdana" w:eastAsia="Times New Roman" w:hAnsi="Verdana" w:cs="Arial"/>
                <w:vertAlign w:val="superscript"/>
                <w:lang w:eastAsia="es-MX"/>
              </w:rPr>
              <w:footnoteReference w:id="3"/>
            </w:r>
            <w:r w:rsidRPr="001B3C5D">
              <w:rPr>
                <w:rFonts w:ascii="Verdana" w:eastAsia="Times New Roman" w:hAnsi="Verdana" w:cs="Arial"/>
                <w:lang w:eastAsia="es-MX"/>
              </w:rPr>
              <w:t xml:space="preserve">. </w:t>
            </w:r>
          </w:p>
          <w:p w14:paraId="3C1FB6E5" w14:textId="77777777" w:rsidR="00FE5E91" w:rsidRPr="001B3C5D" w:rsidRDefault="00FE5E91" w:rsidP="00AE3181">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1B3C5D">
              <w:rPr>
                <w:rFonts w:ascii="Verdana" w:eastAsia="Times New Roman" w:hAnsi="Verdana" w:cs="Arial"/>
                <w:vertAlign w:val="superscript"/>
                <w:lang w:eastAsia="es-MX"/>
              </w:rPr>
              <w:footnoteReference w:id="4"/>
            </w:r>
            <w:r w:rsidRPr="001B3C5D">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1B3C5D">
              <w:rPr>
                <w:rFonts w:ascii="Verdana" w:eastAsia="Times New Roman" w:hAnsi="Verdana" w:cs="Arial"/>
                <w:vertAlign w:val="superscript"/>
                <w:lang w:eastAsia="es-MX"/>
              </w:rPr>
              <w:footnoteReference w:id="5"/>
            </w:r>
            <w:r w:rsidRPr="001B3C5D">
              <w:rPr>
                <w:rFonts w:ascii="Verdana" w:eastAsia="Times New Roman" w:hAnsi="Verdana" w:cs="Arial"/>
                <w:lang w:eastAsia="es-MX"/>
              </w:rPr>
              <w:t>.</w:t>
            </w:r>
          </w:p>
          <w:p w14:paraId="27B833D4" w14:textId="77777777" w:rsidR="00FE5E91" w:rsidRPr="001B3C5D" w:rsidRDefault="00FE5E91" w:rsidP="00AE3181">
            <w:pPr>
              <w:spacing w:line="276" w:lineRule="auto"/>
              <w:ind w:firstLine="708"/>
              <w:jc w:val="both"/>
              <w:rPr>
                <w:rFonts w:ascii="Verdana" w:eastAsia="Times New Roman" w:hAnsi="Verdana" w:cs="Arial"/>
                <w:lang w:eastAsia="es-CO"/>
              </w:rPr>
            </w:pPr>
            <w:r w:rsidRPr="001B3C5D">
              <w:rPr>
                <w:rFonts w:ascii="Verdana" w:eastAsia="Times New Roman" w:hAnsi="Verdana" w:cs="Arial"/>
                <w:lang w:eastAsia="es-CO"/>
              </w:rPr>
              <w:t xml:space="preserve">En este sentido, atendiendo lo previsto en el artículo 1 la Ley 2022 de 2020, </w:t>
            </w:r>
            <w:r w:rsidRPr="001B3C5D">
              <w:rPr>
                <w:rFonts w:ascii="Verdana" w:eastAsia="Times New Roman" w:hAnsi="Verdana" w:cs="Arial"/>
                <w:lang w:eastAsia="es-ES"/>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1B3C5D">
              <w:rPr>
                <w:rFonts w:ascii="Verdana" w:eastAsia="Calibri" w:hAnsi="Verdana" w:cs="Arial"/>
                <w:vertAlign w:val="superscript"/>
                <w:lang w:eastAsia="es-CO"/>
              </w:rPr>
              <w:footnoteReference w:id="6"/>
            </w:r>
            <w:r w:rsidRPr="001B3C5D">
              <w:rPr>
                <w:rFonts w:ascii="Verdana" w:eastAsia="Times New Roman" w:hAnsi="Verdana" w:cs="Arial"/>
                <w:lang w:eastAsia="es-ES"/>
              </w:rPr>
              <w:t xml:space="preserve">, que se erige como ente rector en materia de contratación pública en virtud de las funciones atribuidas por el </w:t>
            </w:r>
            <w:r w:rsidRPr="001B3C5D">
              <w:rPr>
                <w:rFonts w:ascii="Verdana" w:eastAsia="Times New Roman" w:hAnsi="Verdana" w:cs="Arial"/>
                <w:lang w:eastAsia="es-ES"/>
              </w:rPr>
              <w:lastRenderedPageBreak/>
              <w:t>ordenamiento jurídico, en particular en el numeral 2 del artículo 3 del</w:t>
            </w:r>
            <w:r w:rsidRPr="001B3C5D">
              <w:rPr>
                <w:rFonts w:ascii="Verdana" w:eastAsia="Times New Roman" w:hAnsi="Verdana" w:cs="Arial"/>
                <w:lang w:eastAsia="es-CO"/>
              </w:rPr>
              <w:t xml:space="preserve"> Decreto Ley 4170 de 2011, en el que se otorgó la función de:</w:t>
            </w:r>
          </w:p>
          <w:p w14:paraId="60A90E2D" w14:textId="77777777" w:rsidR="00FE5E91" w:rsidRPr="001B3C5D" w:rsidRDefault="00FE5E91" w:rsidP="00AE3181">
            <w:pPr>
              <w:jc w:val="both"/>
              <w:rPr>
                <w:rFonts w:ascii="Verdana" w:eastAsia="Times New Roman" w:hAnsi="Verdana" w:cs="Arial"/>
                <w:lang w:eastAsia="es-CO"/>
              </w:rPr>
            </w:pPr>
          </w:p>
          <w:p w14:paraId="5091BD19" w14:textId="77777777" w:rsidR="00FE5E91" w:rsidRPr="001B3C5D" w:rsidRDefault="00FE5E91" w:rsidP="00AE3181">
            <w:pPr>
              <w:ind w:left="709" w:right="709"/>
              <w:jc w:val="both"/>
              <w:rPr>
                <w:rFonts w:ascii="Verdana" w:eastAsia="Times New Roman" w:hAnsi="Verdana" w:cs="Arial"/>
                <w:sz w:val="21"/>
                <w:szCs w:val="21"/>
                <w:lang w:eastAsia="es-CO"/>
              </w:rPr>
            </w:pPr>
            <w:r w:rsidRPr="001B3C5D">
              <w:rPr>
                <w:rFonts w:ascii="Verdana" w:eastAsia="Times New Roman" w:hAnsi="Verdana" w:cs="Arial"/>
                <w:sz w:val="21"/>
                <w:szCs w:val="21"/>
                <w:u w:val="single"/>
                <w:lang w:eastAsia="es-CO"/>
              </w:rPr>
              <w:t>“Desarrollar,</w:t>
            </w:r>
            <w:r w:rsidRPr="001B3C5D">
              <w:rPr>
                <w:rFonts w:ascii="Verdana" w:eastAsia="Times New Roman" w:hAnsi="Verdana" w:cs="Arial"/>
                <w:sz w:val="21"/>
                <w:szCs w:val="21"/>
                <w:lang w:eastAsia="es-CO"/>
              </w:rPr>
              <w:t xml:space="preserve"> </w:t>
            </w:r>
            <w:r w:rsidRPr="001B3C5D">
              <w:rPr>
                <w:rFonts w:ascii="Verdana" w:eastAsia="Times New Roman" w:hAnsi="Verdana" w:cs="Arial"/>
                <w:sz w:val="21"/>
                <w:szCs w:val="21"/>
                <w:u w:val="single"/>
                <w:lang w:eastAsia="es-CO"/>
              </w:rPr>
              <w:t>implementar y difundir</w:t>
            </w:r>
            <w:r w:rsidRPr="001B3C5D">
              <w:rPr>
                <w:rFonts w:ascii="Verdana" w:eastAsia="Times New Roman" w:hAnsi="Verdana" w:cs="Arial"/>
                <w:sz w:val="21"/>
                <w:szCs w:val="21"/>
                <w:lang w:eastAsia="es-CO"/>
              </w:rPr>
              <w:t xml:space="preserve"> las políticas públicas, planes, programas, </w:t>
            </w:r>
            <w:r w:rsidRPr="001B3C5D">
              <w:rPr>
                <w:rFonts w:ascii="Verdana" w:eastAsia="Times New Roman" w:hAnsi="Verdana" w:cs="Arial"/>
                <w:sz w:val="21"/>
                <w:szCs w:val="21"/>
                <w:u w:val="single"/>
                <w:lang w:eastAsia="es-CO"/>
              </w:rPr>
              <w:t>normas, instrumentos y herramientas</w:t>
            </w:r>
            <w:r w:rsidRPr="001B3C5D">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w:t>
            </w:r>
            <w:proofErr w:type="gramStart"/>
            <w:r w:rsidRPr="001B3C5D">
              <w:rPr>
                <w:rFonts w:ascii="Verdana" w:eastAsia="Times New Roman" w:hAnsi="Verdana" w:cs="Arial"/>
                <w:sz w:val="21"/>
                <w:szCs w:val="21"/>
                <w:lang w:eastAsia="es-CO"/>
              </w:rPr>
              <w:t>del mismo</w:t>
            </w:r>
            <w:proofErr w:type="gramEnd"/>
            <w:r w:rsidRPr="001B3C5D">
              <w:rPr>
                <w:rFonts w:ascii="Verdana" w:eastAsia="Times New Roman" w:hAnsi="Verdana" w:cs="Arial"/>
                <w:sz w:val="21"/>
                <w:szCs w:val="21"/>
                <w:lang w:eastAsia="es-CO"/>
              </w:rPr>
              <w:t>, a fin de que se cumplan los principios y procesos generales que deben gobernar la actividad contractual de las entidades públicas” (Subrayado fuera del texto).</w:t>
            </w:r>
          </w:p>
          <w:p w14:paraId="02103F61" w14:textId="77777777" w:rsidR="00FE5E91" w:rsidRPr="001B3C5D" w:rsidRDefault="00FE5E91" w:rsidP="00AE3181">
            <w:pPr>
              <w:ind w:left="709" w:right="709"/>
              <w:jc w:val="both"/>
              <w:rPr>
                <w:rFonts w:ascii="Verdana" w:eastAsia="Times New Roman" w:hAnsi="Verdana" w:cs="Arial"/>
                <w:lang w:eastAsia="es-CO"/>
              </w:rPr>
            </w:pPr>
          </w:p>
          <w:p w14:paraId="445C10CE" w14:textId="77777777" w:rsidR="00FE5E91" w:rsidRPr="001B3C5D" w:rsidRDefault="00FE5E91" w:rsidP="00AE3181">
            <w:pPr>
              <w:spacing w:line="276" w:lineRule="auto"/>
              <w:ind w:firstLine="708"/>
              <w:jc w:val="both"/>
              <w:rPr>
                <w:rFonts w:ascii="Verdana" w:eastAsia="Times New Roman" w:hAnsi="Verdana" w:cs="Arial"/>
                <w:lang w:eastAsia="es-ES"/>
              </w:rPr>
            </w:pPr>
            <w:r w:rsidRPr="001B3C5D">
              <w:rPr>
                <w:rFonts w:ascii="Verdana" w:eastAsia="Times New Roman" w:hAnsi="Verdana" w:cs="Arial"/>
                <w:lang w:eastAsia="es-MX"/>
              </w:rPr>
              <w:t>Así mismo, el Decreto Ley le otorgó a la Subdirección de Gestión Contractual la función de: “</w:t>
            </w:r>
            <w:r w:rsidRPr="001B3C5D">
              <w:rPr>
                <w:rFonts w:ascii="Verdana" w:eastAsia="Times New Roman" w:hAnsi="Verdana" w:cs="Arial"/>
                <w:u w:val="single"/>
                <w:lang w:eastAsia="es-MX"/>
              </w:rPr>
              <w:t>Desarrollar e implementar</w:t>
            </w:r>
            <w:r w:rsidRPr="001B3C5D">
              <w:rPr>
                <w:rFonts w:ascii="Verdana" w:eastAsia="Times New Roman" w:hAnsi="Verdana" w:cs="Arial"/>
                <w:lang w:eastAsia="es-MX"/>
              </w:rPr>
              <w:t xml:space="preserve"> </w:t>
            </w:r>
            <w:r w:rsidRPr="001B3C5D">
              <w:rPr>
                <w:rFonts w:ascii="Verdana" w:eastAsia="Times New Roman" w:hAnsi="Verdana" w:cs="Arial"/>
                <w:u w:val="single"/>
                <w:lang w:eastAsia="es-MX"/>
              </w:rPr>
              <w:t>estándares y documentos tipo</w:t>
            </w:r>
            <w:r w:rsidRPr="001B3C5D">
              <w:rPr>
                <w:rFonts w:ascii="Verdana" w:eastAsia="Times New Roman" w:hAnsi="Verdana" w:cs="Arial"/>
                <w:lang w:eastAsia="es-MX"/>
              </w:rPr>
              <w:t xml:space="preserve"> para las diferentes etapas de la gestión contractual </w:t>
            </w:r>
            <w:r w:rsidRPr="001B3C5D">
              <w:rPr>
                <w:rFonts w:ascii="Verdana" w:eastAsia="Times New Roman" w:hAnsi="Verdana" w:cs="Times New Roman"/>
                <w:lang w:eastAsia="es-MX"/>
              </w:rPr>
              <w:t>pública”</w:t>
            </w:r>
            <w:r w:rsidRPr="001B3C5D">
              <w:rPr>
                <w:rFonts w:ascii="Verdana" w:eastAsia="Times New Roman" w:hAnsi="Verdana" w:cs="Times New Roman"/>
                <w:vertAlign w:val="superscript"/>
                <w:lang w:eastAsia="es-MX"/>
              </w:rPr>
              <w:footnoteReference w:id="7"/>
            </w:r>
            <w:r w:rsidRPr="001B3C5D">
              <w:rPr>
                <w:rFonts w:ascii="Verdana" w:eastAsia="Times New Roman" w:hAnsi="Verdana" w:cs="Arial"/>
                <w:i/>
                <w:iCs/>
                <w:lang w:eastAsia="es-ES"/>
              </w:rPr>
              <w:t>.</w:t>
            </w:r>
            <w:r w:rsidRPr="001B3C5D">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1AFD7AE5" w14:textId="77777777" w:rsidR="00FE5E91" w:rsidRPr="001B3C5D" w:rsidRDefault="00FE5E91" w:rsidP="00AE3181">
            <w:pPr>
              <w:jc w:val="both"/>
              <w:rPr>
                <w:rFonts w:ascii="Verdana" w:eastAsia="Times New Roman" w:hAnsi="Verdana" w:cs="Arial"/>
                <w:lang w:eastAsia="es-ES"/>
              </w:rPr>
            </w:pPr>
          </w:p>
          <w:p w14:paraId="09605552" w14:textId="77777777" w:rsidR="00FE5E91" w:rsidRPr="001B3C5D" w:rsidRDefault="00FE5E91" w:rsidP="00AE3181">
            <w:pPr>
              <w:ind w:left="709" w:right="709"/>
              <w:jc w:val="both"/>
              <w:rPr>
                <w:rFonts w:ascii="Verdana" w:eastAsia="Times New Roman" w:hAnsi="Verdana" w:cs="Arial"/>
                <w:i/>
                <w:iCs/>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difundir las normas, reglas, procedimientos, medios tecnológicos y mejores prácticas para las compras y la contratación pública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potestad reguladora que, en todo caso, debe ejercerse conforme a la Ley y ajustada a la potestad reglamentaria del Gobierno Nacional</w:t>
            </w:r>
            <w:r w:rsidRPr="001B3C5D">
              <w:rPr>
                <w:rFonts w:ascii="Verdana" w:eastAsia="Times New Roman" w:hAnsi="Verdana" w:cs="Arial"/>
                <w:sz w:val="21"/>
                <w:szCs w:val="21"/>
                <w:lang w:eastAsia="es-MX"/>
              </w:rPr>
              <w:t>”</w:t>
            </w:r>
            <w:r w:rsidRPr="001B3C5D">
              <w:rPr>
                <w:rFonts w:ascii="Verdana" w:eastAsia="Times New Roman" w:hAnsi="Verdana" w:cs="Arial"/>
                <w:i/>
                <w:iCs/>
                <w:sz w:val="21"/>
                <w:szCs w:val="21"/>
                <w:vertAlign w:val="superscript"/>
                <w:lang w:eastAsia="es-MX"/>
              </w:rPr>
              <w:footnoteReference w:id="8"/>
            </w:r>
            <w:r w:rsidRPr="001B3C5D">
              <w:rPr>
                <w:rFonts w:ascii="Verdana" w:eastAsia="Times New Roman" w:hAnsi="Verdana" w:cs="Arial"/>
                <w:i/>
                <w:iCs/>
                <w:sz w:val="21"/>
                <w:szCs w:val="21"/>
                <w:lang w:eastAsia="es-ES"/>
              </w:rPr>
              <w:t xml:space="preserve">. </w:t>
            </w:r>
          </w:p>
          <w:p w14:paraId="4FB5F21F" w14:textId="77777777" w:rsidR="00FE5E91" w:rsidRPr="001B3C5D" w:rsidRDefault="00FE5E91" w:rsidP="00AE3181">
            <w:pPr>
              <w:ind w:left="709" w:right="709"/>
              <w:jc w:val="both"/>
              <w:rPr>
                <w:rFonts w:ascii="Verdana" w:eastAsia="Times New Roman" w:hAnsi="Verdana" w:cs="Arial"/>
                <w:i/>
                <w:sz w:val="21"/>
                <w:szCs w:val="21"/>
                <w:lang w:eastAsia="es-ES"/>
              </w:rPr>
            </w:pPr>
          </w:p>
          <w:p w14:paraId="1216661B" w14:textId="77777777" w:rsidR="00FE5E91" w:rsidRPr="001B3C5D" w:rsidRDefault="00FE5E91" w:rsidP="00AE3181">
            <w:pPr>
              <w:spacing w:line="276" w:lineRule="auto"/>
              <w:ind w:firstLine="708"/>
              <w:jc w:val="both"/>
              <w:rPr>
                <w:rFonts w:ascii="Verdana" w:eastAsia="Times New Roman" w:hAnsi="Verdana" w:cs="Arial"/>
                <w:lang w:eastAsia="es-ES"/>
              </w:rPr>
            </w:pPr>
            <w:r w:rsidRPr="001B3C5D">
              <w:rPr>
                <w:rFonts w:ascii="Verdana" w:eastAsia="Times New Roman" w:hAnsi="Verdana" w:cs="Arial"/>
                <w:lang w:eastAsia="es-ES"/>
              </w:rPr>
              <w:t>Lo anterior fue reiterado por el Consejo de Estado, en la sentencia del 16 de agosto de 2017, en el expediente 56.166, en los siguientes términos:</w:t>
            </w:r>
          </w:p>
          <w:p w14:paraId="0057E14B" w14:textId="77777777" w:rsidR="00FE5E91" w:rsidRPr="001B3C5D" w:rsidRDefault="00FE5E91" w:rsidP="00AE3181">
            <w:pPr>
              <w:jc w:val="both"/>
              <w:rPr>
                <w:rFonts w:ascii="Verdana" w:eastAsia="Times New Roman" w:hAnsi="Verdana" w:cs="Arial"/>
                <w:lang w:eastAsia="es-ES"/>
              </w:rPr>
            </w:pPr>
          </w:p>
          <w:p w14:paraId="466AB8A9" w14:textId="77777777" w:rsidR="00FE5E91" w:rsidRPr="001B3C5D" w:rsidRDefault="00FE5E91" w:rsidP="00AE3181">
            <w:pPr>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lastRenderedPageBreak/>
              <w:t>“</w:t>
            </w:r>
            <w:r w:rsidRPr="001B3C5D">
              <w:rPr>
                <w:rFonts w:ascii="Verdana" w:eastAsia="Times New Roman" w:hAnsi="Verdana" w:cs="Arial"/>
                <w:sz w:val="21"/>
                <w:szCs w:val="21"/>
                <w:lang w:eastAsia="es-ES"/>
              </w:rPr>
              <w:t xml:space="preserve">Dígase que ese poder de regulación normativa en cabeza de CCE se ejerce </w:t>
            </w:r>
            <w:proofErr w:type="spellStart"/>
            <w:r w:rsidRPr="001B3C5D">
              <w:rPr>
                <w:rFonts w:ascii="Verdana" w:eastAsia="Times New Roman" w:hAnsi="Verdana" w:cs="Arial"/>
                <w:i/>
                <w:iCs/>
                <w:sz w:val="21"/>
                <w:szCs w:val="21"/>
                <w:lang w:eastAsia="es-ES"/>
              </w:rPr>
              <w:t>secundum</w:t>
            </w:r>
            <w:proofErr w:type="spellEnd"/>
            <w:r w:rsidRPr="001B3C5D">
              <w:rPr>
                <w:rFonts w:ascii="Verdana" w:eastAsia="Times New Roman" w:hAnsi="Verdana" w:cs="Arial"/>
                <w:i/>
                <w:iCs/>
                <w:sz w:val="21"/>
                <w:szCs w:val="21"/>
                <w:lang w:eastAsia="es-ES"/>
              </w:rPr>
              <w:t xml:space="preserve"> </w:t>
            </w:r>
            <w:proofErr w:type="spellStart"/>
            <w:r w:rsidRPr="001B3C5D">
              <w:rPr>
                <w:rFonts w:ascii="Verdana" w:eastAsia="Times New Roman" w:hAnsi="Verdana" w:cs="Arial"/>
                <w:i/>
                <w:iCs/>
                <w:sz w:val="21"/>
                <w:szCs w:val="21"/>
                <w:lang w:eastAsia="es-ES"/>
              </w:rPr>
              <w:t>legem</w:t>
            </w:r>
            <w:proofErr w:type="spellEnd"/>
            <w:r w:rsidRPr="001B3C5D">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1B3C5D">
              <w:rPr>
                <w:rFonts w:ascii="Verdana" w:eastAsia="Times New Roman" w:hAnsi="Verdana" w:cs="Arial"/>
                <w:sz w:val="21"/>
                <w:szCs w:val="21"/>
                <w:vertAlign w:val="superscript"/>
                <w:lang w:eastAsia="es-ES"/>
              </w:rPr>
              <w:footnoteReference w:id="9"/>
            </w:r>
            <w:r w:rsidRPr="001B3C5D">
              <w:rPr>
                <w:rFonts w:ascii="Verdana" w:eastAsia="Times New Roman" w:hAnsi="Verdana" w:cs="Arial"/>
                <w:sz w:val="21"/>
                <w:szCs w:val="21"/>
                <w:lang w:eastAsia="es-ES"/>
              </w:rPr>
              <w:t>.</w:t>
            </w:r>
          </w:p>
          <w:p w14:paraId="073B1101" w14:textId="77777777" w:rsidR="00FE5E91" w:rsidRPr="001B3C5D" w:rsidRDefault="00FE5E91" w:rsidP="00AE3181">
            <w:pPr>
              <w:ind w:left="709" w:right="709"/>
              <w:jc w:val="both"/>
              <w:rPr>
                <w:rFonts w:ascii="Verdana" w:eastAsia="Times New Roman" w:hAnsi="Verdana" w:cs="Arial"/>
                <w:lang w:eastAsia="es-ES"/>
              </w:rPr>
            </w:pPr>
          </w:p>
          <w:p w14:paraId="0007FA8E" w14:textId="77777777" w:rsidR="00FE5E91" w:rsidRPr="001B3C5D" w:rsidRDefault="00FE5E91" w:rsidP="00AE3181">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 xml:space="preserve"> </w:t>
            </w:r>
            <w:r w:rsidRPr="001B3C5D">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1B3C5D">
              <w:rPr>
                <w:rFonts w:ascii="Verdana" w:eastAsia="MS Mincho" w:hAnsi="Verdana" w:cs="Arial"/>
                <w:vertAlign w:val="superscript"/>
                <w:lang w:eastAsia="es-ES"/>
              </w:rPr>
              <w:footnoteReference w:id="10"/>
            </w:r>
            <w:r w:rsidRPr="001B3C5D">
              <w:rPr>
                <w:rFonts w:ascii="Verdana" w:eastAsia="Times New Roman" w:hAnsi="Verdana" w:cs="Arial"/>
                <w:lang w:eastAsia="es-ES"/>
              </w:rPr>
              <w:t>.</w:t>
            </w:r>
          </w:p>
          <w:p w14:paraId="4D23CCFC" w14:textId="77777777" w:rsidR="00FE5E91" w:rsidRPr="001B3C5D" w:rsidRDefault="00FE5E91" w:rsidP="00AE3181">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Conforme con lo anterior, mediante una interpretación sistemática de la normativa y jurisprudencia citada es posible concluir que la Agencia Nacional de Contratación Pública – Colombia Compra Eficiente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717BD09D" w14:textId="77777777" w:rsidR="00FE5E91" w:rsidRDefault="00FE5E91" w:rsidP="00AE3181">
            <w:pPr>
              <w:tabs>
                <w:tab w:val="center" w:pos="4419"/>
                <w:tab w:val="right" w:pos="8838"/>
              </w:tabs>
              <w:spacing w:line="276" w:lineRule="auto"/>
              <w:ind w:firstLine="709"/>
              <w:jc w:val="both"/>
              <w:rPr>
                <w:rFonts w:ascii="Verdana" w:eastAsia="Times New Roman" w:hAnsi="Verdana" w:cs="Arial"/>
                <w:lang w:eastAsia="es-ES"/>
              </w:rPr>
            </w:pPr>
            <w:r w:rsidRPr="001B3C5D">
              <w:rPr>
                <w:rFonts w:ascii="Verdana" w:eastAsia="MS Mincho" w:hAnsi="Verdana" w:cs="Arial"/>
                <w:lang w:eastAsia="es-CO"/>
              </w:rPr>
              <w:t>I</w:t>
            </w:r>
            <w:r w:rsidRPr="001B3C5D">
              <w:rPr>
                <w:rFonts w:ascii="Verdana" w:eastAsia="Times New Roman" w:hAnsi="Verdana" w:cs="Arial"/>
                <w:lang w:eastAsia="es-ES"/>
              </w:rPr>
              <w:t xml:space="preserve">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w:t>
            </w:r>
            <w:r w:rsidRPr="001B3C5D">
              <w:rPr>
                <w:rFonts w:ascii="Verdana" w:eastAsia="Times New Roman" w:hAnsi="Verdana" w:cs="Arial"/>
                <w:lang w:eastAsia="es-ES"/>
              </w:rPr>
              <w:lastRenderedPageBreak/>
              <w:t>documentos tipo, según el avance y aplicación que éstos vayan teniendo en los sectores en los cuales vienen siendo adoptados.</w:t>
            </w:r>
          </w:p>
          <w:p w14:paraId="35FF022F" w14:textId="77777777" w:rsidR="00FE5E91" w:rsidRDefault="00FE5E91" w:rsidP="00AE3181">
            <w:pPr>
              <w:tabs>
                <w:tab w:val="center" w:pos="4419"/>
                <w:tab w:val="right" w:pos="8838"/>
              </w:tabs>
              <w:spacing w:line="276" w:lineRule="auto"/>
              <w:ind w:firstLine="709"/>
              <w:jc w:val="both"/>
              <w:rPr>
                <w:rFonts w:ascii="Verdana" w:eastAsia="Times New Roman" w:hAnsi="Verdana" w:cs="Arial"/>
                <w:lang w:eastAsia="es-ES"/>
              </w:rPr>
            </w:pPr>
          </w:p>
          <w:p w14:paraId="13039553" w14:textId="77777777" w:rsidR="00FE5E91" w:rsidRPr="001B3C5D" w:rsidRDefault="00FE5E91" w:rsidP="00AE3181">
            <w:pPr>
              <w:tabs>
                <w:tab w:val="center" w:pos="4419"/>
                <w:tab w:val="right" w:pos="8838"/>
              </w:tabs>
              <w:spacing w:line="276" w:lineRule="auto"/>
              <w:ind w:firstLine="709"/>
              <w:jc w:val="both"/>
              <w:rPr>
                <w:rFonts w:ascii="Verdana" w:eastAsia="Times New Roman" w:hAnsi="Verdana" w:cs="Arial"/>
                <w:lang w:eastAsia="es-ES"/>
              </w:rPr>
            </w:pPr>
            <w:r w:rsidRPr="007B31F5">
              <w:rPr>
                <w:rFonts w:ascii="Verdana" w:eastAsia="Times New Roman" w:hAnsi="Verdana" w:cs="Arial"/>
                <w:lang w:eastAsia="es-ES"/>
              </w:rPr>
              <w:t>En este contexto, la Agencia Nacional de Contratación Pública – Colombia Compra Eficiente, una vez conoció el decreto desde su expedición, inició las labores de análisis y planeación orientadas a la modificación de los documentos tipo vigentes en los diferentes sectores y subsectores. Este proceso implica una importante carga administrativa y presupuestal para lograr su adecuada actualización, por lo cual se tomará un tiempo prudencial que permita dar cumplimiento integral a lo dispuesto en el referido decreto. No obstante, la Agencia dispondrá todos sus esfuerzos para adelantar este trabajo en el menor tiempo posible y garantizará la divulgación oportuna de cada etapa del proceso de modificación, tanto a las entidades estatales como a la ciudadanía en general.</w:t>
            </w:r>
          </w:p>
          <w:p w14:paraId="0B84593D" w14:textId="77777777" w:rsidR="00FE5E91" w:rsidRPr="001B3C5D" w:rsidRDefault="00FE5E91" w:rsidP="00AE3181">
            <w:pPr>
              <w:tabs>
                <w:tab w:val="center" w:pos="4419"/>
                <w:tab w:val="right" w:pos="8838"/>
              </w:tabs>
              <w:spacing w:line="276" w:lineRule="auto"/>
              <w:jc w:val="both"/>
              <w:rPr>
                <w:rFonts w:ascii="Verdana" w:eastAsia="Times New Roman" w:hAnsi="Verdana" w:cs="Arial"/>
                <w:lang w:eastAsia="es-ES"/>
              </w:rPr>
            </w:pPr>
          </w:p>
          <w:p w14:paraId="6F602298" w14:textId="77777777" w:rsidR="00FE5E91" w:rsidRPr="001B3C5D" w:rsidRDefault="00FE5E91" w:rsidP="00AE3181">
            <w:pPr>
              <w:tabs>
                <w:tab w:val="center" w:pos="4419"/>
                <w:tab w:val="right" w:pos="8838"/>
              </w:tabs>
              <w:spacing w:line="276" w:lineRule="auto"/>
              <w:jc w:val="both"/>
              <w:rPr>
                <w:rFonts w:ascii="Verdana" w:eastAsia="Calibri" w:hAnsi="Verdana" w:cs="Arial"/>
                <w:color w:val="000000"/>
                <w:lang w:val="es-ES"/>
              </w:rPr>
            </w:pPr>
            <w:r>
              <w:rPr>
                <w:rFonts w:ascii="Verdana" w:eastAsia="Times New Roman" w:hAnsi="Verdana" w:cs="Arial"/>
                <w:lang w:eastAsia="es-ES"/>
              </w:rPr>
              <w:t xml:space="preserve">       </w:t>
            </w:r>
            <w:proofErr w:type="spellStart"/>
            <w:r w:rsidRPr="001B3C5D">
              <w:rPr>
                <w:rFonts w:ascii="Verdana" w:eastAsia="Times New Roman" w:hAnsi="Verdana" w:cs="Arial"/>
                <w:lang w:eastAsia="es-ES"/>
              </w:rPr>
              <w:t>ii</w:t>
            </w:r>
            <w:proofErr w:type="spellEnd"/>
            <w:r w:rsidRPr="001B3C5D">
              <w:rPr>
                <w:rFonts w:ascii="Verdana" w:eastAsia="Times New Roman" w:hAnsi="Verdana" w:cs="Arial"/>
                <w:lang w:eastAsia="es-ES"/>
              </w:rPr>
              <w:t xml:space="preserve">. </w:t>
            </w:r>
            <w:r w:rsidRPr="001B3C5D">
              <w:rPr>
                <w:rFonts w:ascii="Verdana" w:eastAsia="Calibri" w:hAnsi="Verdana" w:cs="Arial"/>
                <w:color w:val="00000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lang w:val="es-ES"/>
              </w:rPr>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561C0C37" w14:textId="77777777" w:rsidR="00FE5E91" w:rsidRPr="001B3C5D" w:rsidRDefault="00FE5E91" w:rsidP="00AE3181">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w:t>
            </w:r>
            <w:r w:rsidRPr="001B3C5D">
              <w:rPr>
                <w:rFonts w:ascii="Verdana" w:eastAsia="Calibri" w:hAnsi="Verdana" w:cs="Arial"/>
                <w:lang w:val="es-ES_tradnl"/>
              </w:rPr>
              <w:lastRenderedPageBreak/>
              <w:t xml:space="preserve">expedidas por la Agencia, por lo que no pueden hacer excepciones bajo una supuesta discrecionalidad a estas reglas que son obligatorias. </w:t>
            </w:r>
          </w:p>
          <w:p w14:paraId="0D0D8282" w14:textId="77777777" w:rsidR="00FE5E91" w:rsidRPr="001B3C5D" w:rsidRDefault="00FE5E91" w:rsidP="00AE3181">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5A54779D" w14:textId="77777777" w:rsidR="00FE5E91" w:rsidRPr="001B3C5D" w:rsidRDefault="00FE5E91" w:rsidP="00AE3181">
            <w:pPr>
              <w:spacing w:before="120" w:after="120" w:line="276" w:lineRule="auto"/>
              <w:ind w:firstLine="709"/>
              <w:jc w:val="both"/>
              <w:rPr>
                <w:rFonts w:ascii="Verdana" w:eastAsia="Calibri" w:hAnsi="Verdana" w:cs="Arial"/>
                <w:lang w:val="es-ES"/>
              </w:rPr>
            </w:pPr>
            <w:r w:rsidRPr="001B3C5D">
              <w:rPr>
                <w:rFonts w:ascii="Verdana" w:eastAsia="Calibri" w:hAnsi="Verdana" w:cs="Arial"/>
                <w:lang w:val="es-ES"/>
              </w:rPr>
              <w:t xml:space="preserve">Además, las entidades estatales deben garantizar el </w:t>
            </w:r>
            <w:r w:rsidRPr="001B3C5D">
              <w:rPr>
                <w:rFonts w:ascii="Verdana" w:eastAsia="Calibri" w:hAnsi="Verdana" w:cs="Arial"/>
                <w:i/>
                <w:iCs/>
                <w:lang w:val="es-ES"/>
              </w:rPr>
              <w:t>principio de economía</w:t>
            </w:r>
            <w:r w:rsidRPr="001B3C5D">
              <w:rPr>
                <w:rFonts w:ascii="Verdana" w:eastAsia="Calibri" w:hAnsi="Verdana" w:cs="Arial"/>
                <w:lang w:val="es-ES"/>
              </w:rPr>
              <w:t xml:space="preserve">, del cual se desprende que no pueden exigir documentos o requisitos más allá de los que permitan la Constitución, la ley y los reglamentos. Este postulado ha sido recogido no solo en la contratación estatal sino además en la normativa </w:t>
            </w:r>
            <w:proofErr w:type="spellStart"/>
            <w:r w:rsidRPr="001B3C5D">
              <w:rPr>
                <w:rFonts w:ascii="Verdana" w:eastAsia="Calibri" w:hAnsi="Verdana" w:cs="Arial"/>
                <w:lang w:val="es-ES"/>
              </w:rPr>
              <w:t>antitrámites</w:t>
            </w:r>
            <w:proofErr w:type="spellEnd"/>
            <w:r w:rsidRPr="001B3C5D">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757D9953" w14:textId="77777777" w:rsidR="00FE5E91" w:rsidRPr="001B3C5D" w:rsidRDefault="00FE5E91" w:rsidP="00AE3181">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B3C5D">
              <w:rPr>
                <w:rFonts w:ascii="Verdana" w:eastAsia="Calibri" w:hAnsi="Verdana" w:cs="Arial"/>
                <w:color w:val="000000"/>
                <w:vertAlign w:val="superscript"/>
                <w:lang w:val="es-ES"/>
              </w:rPr>
              <w:footnoteReference w:id="11"/>
            </w:r>
            <w:r w:rsidRPr="001B3C5D">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6E6FF671" w14:textId="77777777" w:rsidR="00FE5E91" w:rsidRPr="001B3C5D" w:rsidRDefault="00FE5E91" w:rsidP="00AE3181">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w:t>
            </w:r>
            <w:r w:rsidRPr="001B3C5D">
              <w:rPr>
                <w:rFonts w:ascii="Verdana" w:eastAsia="Calibri" w:hAnsi="Verdana" w:cs="Arial"/>
                <w:color w:val="000000"/>
                <w:lang w:val="es-ES"/>
              </w:rPr>
              <w:lastRenderedPageBreak/>
              <w:t xml:space="preserve">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584E3F77" w14:textId="77777777" w:rsidR="00FE5E91" w:rsidRPr="001B3C5D" w:rsidRDefault="00FE5E91" w:rsidP="00AE3181">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4CE5A028" w14:textId="77777777" w:rsidR="00FE5E91" w:rsidRPr="001B3C5D" w:rsidRDefault="00FE5E91" w:rsidP="00AE3181">
            <w:pPr>
              <w:spacing w:after="120" w:line="276" w:lineRule="auto"/>
              <w:ind w:firstLine="708"/>
              <w:jc w:val="both"/>
              <w:rPr>
                <w:rFonts w:ascii="Verdana" w:eastAsia="Calibri" w:hAnsi="Verdana" w:cs="Arial"/>
                <w:color w:val="000000"/>
                <w:lang w:val="es-ES"/>
              </w:rPr>
            </w:pPr>
            <w:r w:rsidRPr="001B3C5D">
              <w:rPr>
                <w:rFonts w:ascii="Verdana" w:eastAsia="Calibri" w:hAnsi="Verdana" w:cs="Arial"/>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rPr>
              <w:t>–[</w:t>
            </w:r>
            <w:r w:rsidRPr="001B3C5D">
              <w:rPr>
                <w:rFonts w:ascii="Verdana" w:eastAsia="Aptos" w:hAnsi="Verdana" w:cs="Arial"/>
                <w:highlight w:val="lightGray"/>
              </w:rPr>
              <w:t>texto de ejemplo</w:t>
            </w:r>
            <w:r w:rsidRPr="001B3C5D">
              <w:rPr>
                <w:rFonts w:ascii="Verdana" w:eastAsia="Aptos" w:hAnsi="Verdana" w:cs="Arial"/>
              </w:rPr>
              <w:t xml:space="preserve">]– </w:t>
            </w:r>
            <w:r w:rsidRPr="001B3C5D">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203DF5E6" w14:textId="77777777" w:rsidR="00FE5E91" w:rsidRDefault="00FE5E91" w:rsidP="00AE3181">
            <w:pPr>
              <w:spacing w:line="276" w:lineRule="auto"/>
              <w:ind w:firstLine="709"/>
              <w:jc w:val="both"/>
              <w:rPr>
                <w:rFonts w:ascii="Verdana" w:eastAsia="Calibri" w:hAnsi="Verdana" w:cs="Arial"/>
                <w:bCs/>
                <w:lang w:val="es-MX"/>
              </w:rPr>
            </w:pPr>
            <w:r w:rsidRPr="001B3C5D">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040F4A75" w14:textId="77777777" w:rsidR="00FE5E91" w:rsidRDefault="00FE5E91" w:rsidP="00AE3181">
            <w:pPr>
              <w:spacing w:line="276" w:lineRule="auto"/>
              <w:ind w:firstLine="709"/>
              <w:jc w:val="both"/>
              <w:rPr>
                <w:rFonts w:ascii="Verdana" w:eastAsia="Calibri" w:hAnsi="Verdana" w:cs="Arial"/>
                <w:bCs/>
                <w:lang w:val="es-MX"/>
              </w:rPr>
            </w:pPr>
          </w:p>
          <w:p w14:paraId="59A80C12" w14:textId="77777777" w:rsidR="00FE5E91" w:rsidRPr="001B3C5D" w:rsidRDefault="00FE5E91" w:rsidP="00AE3181">
            <w:pPr>
              <w:widowControl w:val="0"/>
              <w:autoSpaceDE w:val="0"/>
              <w:autoSpaceDN w:val="0"/>
              <w:spacing w:after="120" w:line="276" w:lineRule="auto"/>
              <w:jc w:val="both"/>
              <w:rPr>
                <w:rFonts w:ascii="Verdana" w:eastAsia="Aptos" w:hAnsi="Verdana" w:cs="Times New Roman"/>
              </w:rPr>
            </w:pPr>
            <w:proofErr w:type="spellStart"/>
            <w:r>
              <w:rPr>
                <w:rFonts w:ascii="Verdana" w:eastAsia="Aptos" w:hAnsi="Verdana" w:cs="Times New Roman"/>
              </w:rPr>
              <w:t>iii</w:t>
            </w:r>
            <w:proofErr w:type="spellEnd"/>
            <w:r w:rsidRPr="001B3C5D">
              <w:rPr>
                <w:rFonts w:ascii="Verdana" w:eastAsia="Aptos" w:hAnsi="Verdana" w:cs="Times New Roman"/>
              </w:rPr>
              <w:t>. L</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Ley 2022 de 2020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solo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atribuye</w:t>
            </w:r>
            <w:r w:rsidRPr="001B3C5D">
              <w:rPr>
                <w:rFonts w:ascii="Verdana" w:eastAsia="Aptos" w:hAnsi="Verdana" w:cs="Times New Roman"/>
              </w:rPr>
              <w:t xml:space="preserve"> la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Nacional de Contratación Pública – Colombia Compra Eficiente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adoptar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expresamente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contenido,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disponer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w:t>
            </w:r>
            <w:r w:rsidRPr="001B3C5D">
              <w:rPr>
                <w:rFonts w:ascii="Verdana" w:eastAsia="Aptos" w:hAnsi="Verdana" w:cs="Times New Roman"/>
              </w:rPr>
              <w:t xml:space="preserve">stos </w:t>
            </w:r>
            <w:r w:rsidRPr="001B3C5D">
              <w:rPr>
                <w:rFonts w:ascii="Verdana" w:eastAsia="Aptos" w:hAnsi="Verdana" w:cs="Times New Roman"/>
                <w:i/>
                <w:iCs/>
              </w:rPr>
              <w:t>“(…) se establecerán los requisitos habilitantes, factores técnicos, económicos y otros factores de escogencia, así como aquellos requisitos que, previa justificación, representen buenas prácticas contractuales”</w:t>
            </w:r>
            <w:r w:rsidRPr="001B3C5D">
              <w:rPr>
                <w:rFonts w:ascii="Verdana" w:eastAsia="Aptos" w:hAnsi="Verdana" w:cs="Times New Roman"/>
                <w:i/>
                <w:iCs/>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concentró</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la Agencia Nacional de Contratación Pública – Colombia Compra Eficiente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definición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elementos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propósito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estandarización,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lastRenderedPageBreak/>
              <w:t>transparencia,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objetiva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uso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recursos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públicos.</w:t>
            </w:r>
            <w:r w:rsidRPr="001B3C5D">
              <w:rPr>
                <w:rFonts w:ascii="Verdana" w:eastAsia="Aptos" w:hAnsi="Verdana" w:cs="Times New Roman"/>
              </w:rPr>
              <w:t xml:space="preserve"> </w:t>
            </w:r>
          </w:p>
          <w:p w14:paraId="1EE3F6C4" w14:textId="77777777" w:rsidR="00FE5E91" w:rsidRPr="001B3C5D" w:rsidRDefault="00FE5E91" w:rsidP="00AE3181">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 xml:space="preserve">Concretamente, la competencia prevista en el artículo 1 de la Ley 2022 de 2020, se ejerció mediante la expedición de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Resolución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160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del 15 de septiembre de 2020 “Por la cual se adopta el procedimiento para implementar los documentos tipo y se define el sistema para su revisión”</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como</w:t>
            </w:r>
            <w:r w:rsidRPr="001B3C5D">
              <w:rPr>
                <w:rFonts w:ascii="Verdana" w:eastAsia="Aptos" w:hAnsi="Verdana" w:cs="Times New Roman"/>
              </w:rPr>
              <w:t xml:space="preserve"> con la expedición de </w:t>
            </w:r>
            <w:r w:rsidRPr="001B3C5D">
              <w:rPr>
                <w:rFonts w:ascii="Verdana" w:eastAsia="Aptos" w:hAnsi="Verdana" w:cs="Times New Roman"/>
                <w:kern w:val="2"/>
                <w14:ligatures w14:val="standardContextual"/>
              </w:rPr>
              <w:t>múltiples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resoluciones</w:t>
            </w:r>
            <w:r w:rsidRPr="001B3C5D">
              <w:rPr>
                <w:rFonts w:ascii="Verdana" w:eastAsia="Aptos" w:hAnsi="Verdana" w:cs="Times New Roman"/>
              </w:rPr>
              <w:t xml:space="preserve"> –señaladas en el numeral i de este concepto– mediante las cuales se adoptaron documentos tipo por parte de la Agencia Nacional de Contratación Pública – Colombia Compra Eficiente en diferentes modalidades de selección y sectores, en las cuales, además, se </w:t>
            </w:r>
            <w:r w:rsidRPr="001B3C5D">
              <w:rPr>
                <w:rFonts w:ascii="Verdana" w:eastAsia="Aptos" w:hAnsi="Verdana" w:cs="Times New Roman"/>
                <w:kern w:val="2"/>
                <w14:ligatures w14:val="standardContextual"/>
              </w:rPr>
              <w:t>reitera</w:t>
            </w:r>
            <w:r w:rsidRPr="001B3C5D">
              <w:rPr>
                <w:rFonts w:ascii="Verdana" w:eastAsia="Aptos" w:hAnsi="Verdana" w:cs="Times New Roman"/>
              </w:rPr>
              <w:t xml:space="preserve"> el </w:t>
            </w:r>
            <w:r w:rsidRPr="001B3C5D">
              <w:rPr>
                <w:rFonts w:ascii="Verdana" w:eastAsia="Aptos" w:hAnsi="Verdana" w:cs="Times New Roman"/>
                <w:kern w:val="2"/>
                <w14:ligatures w14:val="standardContextual"/>
              </w:rPr>
              <w:t>carácter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obligatorio</w:t>
            </w:r>
            <w:r w:rsidRPr="001B3C5D">
              <w:rPr>
                <w:rFonts w:ascii="Verdana" w:eastAsia="Aptos" w:hAnsi="Verdana" w:cs="Times New Roman"/>
              </w:rPr>
              <w:t xml:space="preserve"> de estos documentos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se </w:t>
            </w:r>
            <w:r w:rsidRPr="001B3C5D">
              <w:rPr>
                <w:rFonts w:ascii="Verdana" w:eastAsia="Aptos" w:hAnsi="Verdana" w:cs="Times New Roman"/>
                <w:kern w:val="2"/>
                <w14:ligatures w14:val="standardContextual"/>
              </w:rPr>
              <w:t>establecen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específicas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p>
          <w:p w14:paraId="2A7E8A15" w14:textId="77777777" w:rsidR="00FE5E91" w:rsidRPr="001B3C5D" w:rsidRDefault="00FE5E91" w:rsidP="00AE31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 xml:space="preserve">En este sentido, las resoluciones mediante las cuales la Agencia Nacional de Contratación Pública – Colombia Compra Eficiente adoptó documentos tipo, </w:t>
            </w:r>
            <w:r w:rsidRPr="001B3C5D">
              <w:rPr>
                <w:rFonts w:ascii="Verdana" w:eastAsia="Aptos" w:hAnsi="Verdana" w:cs="Times New Roman"/>
                <w:kern w:val="2"/>
                <w14:ligatures w14:val="standardContextual"/>
              </w:rPr>
              <w:t>consolida</w:t>
            </w:r>
            <w:r w:rsidRPr="001B3C5D">
              <w:rPr>
                <w:rFonts w:ascii="Verdana" w:eastAsia="Aptos" w:hAnsi="Verdana" w:cs="Times New Roman"/>
              </w:rPr>
              <w:t xml:space="preserve">n </w:t>
            </w:r>
            <w:r w:rsidRPr="001B3C5D">
              <w:rPr>
                <w:rFonts w:ascii="Verdana" w:eastAsia="Aptos" w:hAnsi="Verdana" w:cs="Times New Roman"/>
                <w:kern w:val="2"/>
                <w14:ligatures w14:val="standardContextual"/>
              </w:rPr>
              <w:t>un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estandarizado</w:t>
            </w:r>
            <w:r w:rsidRPr="001B3C5D">
              <w:rPr>
                <w:rFonts w:ascii="Verdana" w:eastAsia="Aptos" w:hAnsi="Verdana" w:cs="Times New Roman"/>
              </w:rPr>
              <w:t xml:space="preserve"> –en las modalidades y sectores adoptados–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obligadas a la aplicación </w:t>
            </w:r>
            <w:r w:rsidRPr="001B3C5D">
              <w:rPr>
                <w:rFonts w:ascii="Verdana" w:eastAsia="Aptos" w:hAnsi="Verdana" w:cs="Times New Roman"/>
                <w:kern w:val="2"/>
                <w14:ligatures w14:val="standardContextual"/>
              </w:rPr>
              <w:t>deben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sujetarse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estricta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particularmente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relacionado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ponderación.</w:t>
            </w:r>
          </w:p>
          <w:p w14:paraId="5384090A" w14:textId="77777777" w:rsidR="00FE5E91" w:rsidRPr="001B3C5D" w:rsidRDefault="00FE5E91" w:rsidP="00AE31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Lo dispuesto en el párrafo precedente, es consecuente con lo desarrollado en el punto tres (</w:t>
            </w:r>
            <w:proofErr w:type="spellStart"/>
            <w:r w:rsidRPr="001B3C5D">
              <w:rPr>
                <w:rFonts w:ascii="Verdana" w:eastAsia="Aptos" w:hAnsi="Verdana" w:cs="Times New Roman"/>
              </w:rPr>
              <w:t>iii</w:t>
            </w:r>
            <w:proofErr w:type="spellEnd"/>
            <w:r w:rsidRPr="001B3C5D">
              <w:rPr>
                <w:rFonts w:ascii="Verdana" w:eastAsia="Aptos" w:hAnsi="Verdana" w:cs="Times New Roman"/>
              </w:rPr>
              <w:t xml:space="preserve">) de la parte considerativa de este concepto. En este se indicó que, sobre los documentos tipo expedidos por la Agencia Nacional de Contratación Pública – Colombia Compra Eficiente, recae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inalterabilidad</w:t>
            </w:r>
            <w:r w:rsidRPr="001B3C5D">
              <w:rPr>
                <w:rFonts w:ascii="Verdana" w:eastAsia="Aptos" w:hAnsi="Verdana" w:cs="Times New Roman"/>
              </w:rPr>
              <w:t>.</w:t>
            </w:r>
          </w:p>
          <w:p w14:paraId="0B5BB46E" w14:textId="77777777" w:rsidR="00FE5E91" w:rsidRPr="001B3C5D" w:rsidRDefault="00FE5E91" w:rsidP="00AE31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Considerando lo anterior, s</w:t>
            </w:r>
            <w:r w:rsidRPr="001B3C5D">
              <w:rPr>
                <w:rFonts w:ascii="Verdana" w:eastAsia="Aptos" w:hAnsi="Verdana" w:cs="Times New Roman"/>
                <w:kern w:val="2"/>
                <w14:ligatures w14:val="standardContextual"/>
              </w:rPr>
              <w:t>i</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bien</w:t>
            </w:r>
            <w:r w:rsidRPr="001B3C5D">
              <w:rPr>
                <w:rFonts w:ascii="Verdana" w:eastAsia="Aptos" w:hAnsi="Verdana" w:cs="Times New Roman"/>
              </w:rPr>
              <w:t xml:space="preserve"> es cierto que,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establece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rige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siguiente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publicación,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determina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vigencia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inmediata,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ámbito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sometidos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debe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interpretarse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sistemática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armónica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régimen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regula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esto es, lo señalado en el artículo 1 de la Ley 2022 de 2020 y su desarrollo reglamentario a través de cada una de las Resoluciones expedidas por la Agencia Nacional de Contratación Pública – Colombia Compra Eficiente mediante las cuales, se han implementados documentos tipo</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efecto,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contienen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obligatoria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criterios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escogencia,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cuentan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lastRenderedPageBreak/>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modificarlos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complementarlos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autónoma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fin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directamente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D</w:t>
            </w:r>
            <w:r w:rsidRPr="001B3C5D">
              <w:rPr>
                <w:rFonts w:ascii="Verdana" w:eastAsia="Aptos" w:hAnsi="Verdana" w:cs="Times New Roman"/>
                <w:kern w:val="2"/>
                <w14:ligatures w14:val="standardContextual"/>
              </w:rPr>
              <w:t>ecreto</w:t>
            </w:r>
            <w:r w:rsidRPr="001B3C5D">
              <w:rPr>
                <w:rFonts w:ascii="Verdana" w:eastAsia="Aptos" w:hAnsi="Verdana" w:cs="Times New Roman"/>
              </w:rPr>
              <w:t xml:space="preserve"> en mención</w:t>
            </w:r>
            <w:r w:rsidRPr="001B3C5D">
              <w:rPr>
                <w:rFonts w:ascii="Verdana" w:eastAsia="Aptos" w:hAnsi="Verdana" w:cs="Times New Roman"/>
                <w:kern w:val="2"/>
                <w14:ligatures w14:val="standardContextual"/>
              </w:rPr>
              <w:t>.</w:t>
            </w:r>
          </w:p>
          <w:p w14:paraId="582593BC" w14:textId="77777777" w:rsidR="00FE5E91" w:rsidRPr="001B3C5D" w:rsidRDefault="00FE5E91" w:rsidP="00AE31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P</w:t>
            </w:r>
            <w:r w:rsidRPr="001B3C5D">
              <w:rPr>
                <w:rFonts w:ascii="Verdana" w:eastAsia="Aptos" w:hAnsi="Verdana" w:cs="Times New Roman"/>
                <w:kern w:val="2"/>
                <w14:ligatures w14:val="standardContextual"/>
              </w:rPr>
              <w:t>ermitir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introduzca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ajustes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inmediata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implicaría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desconocer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exclusiva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mediante la expedición de la Ley 2022 de 2020</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inalterabilidad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rige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estos</w:t>
            </w:r>
            <w:r w:rsidRPr="001B3C5D">
              <w:rPr>
                <w:rFonts w:ascii="Verdana" w:eastAsia="Aptos" w:hAnsi="Verdana" w:cs="Times New Roman"/>
              </w:rPr>
              <w:t xml:space="preserve"> documentos</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Además,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generaría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fragmentación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afectando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principios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igualdad,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transparencia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objetiva,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similares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podrían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regirse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distintas,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dependiendo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adelante</w:t>
            </w:r>
            <w:r w:rsidRPr="001B3C5D">
              <w:rPr>
                <w:rFonts w:ascii="Verdana" w:eastAsia="Aptos" w:hAnsi="Verdana" w:cs="Times New Roman"/>
              </w:rPr>
              <w:t xml:space="preserve"> y la forma como incorporó las previsiones contenidas en el Decreto 287 de 2026 a los procesos de selección regidos por documentos tipo</w:t>
            </w:r>
            <w:r w:rsidRPr="001B3C5D">
              <w:rPr>
                <w:rFonts w:ascii="Verdana" w:eastAsia="Aptos" w:hAnsi="Verdana" w:cs="Times New Roman"/>
                <w:kern w:val="2"/>
                <w14:ligatures w14:val="standardContextual"/>
              </w:rPr>
              <w:t>.</w:t>
            </w:r>
          </w:p>
          <w:p w14:paraId="34A180D8" w14:textId="77777777" w:rsidR="00FE5E91" w:rsidRPr="001B3C5D" w:rsidRDefault="00FE5E91" w:rsidP="00AE31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Desde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perspectiva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técnica,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constituyen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integral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articulado,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encuentran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interrelacionados.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consecuencia,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aislada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modificaciones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podría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generar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inconsistencias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desajustes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afectando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razón,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2022</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prevé</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adopción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actualización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realice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mediante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procedimientos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coordinados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participativos,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cargo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w:t>
            </w:r>
            <w:r w:rsidRPr="001B3C5D">
              <w:rPr>
                <w:rFonts w:ascii="Verdana" w:eastAsia="Aptos" w:hAnsi="Verdana" w:cs="Times New Roman"/>
              </w:rPr>
              <w:t>ncia Nacional de Contratación Pública – Colombia Compra Eficiente</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quien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cuenta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capacidad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técnica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adecuada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integración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nuevas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como por ejemplo el Decreto 287 de 2026. </w:t>
            </w:r>
          </w:p>
          <w:p w14:paraId="32D8A760" w14:textId="77777777" w:rsidR="00FE5E91" w:rsidRPr="001B3C5D" w:rsidRDefault="00FE5E91" w:rsidP="00AE3181">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kern w:val="2"/>
                <w14:ligatures w14:val="standardContextual"/>
              </w:rPr>
              <w:t>Adicionalmente,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propio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en el artículo 1 que modifica el artículo 2.2.1.2.4.2.7.8 al Decreto 1082 de 2015, </w:t>
            </w:r>
            <w:r w:rsidRPr="001B3C5D">
              <w:rPr>
                <w:rFonts w:ascii="Verdana" w:eastAsia="Aptos" w:hAnsi="Verdana" w:cs="Times New Roman"/>
                <w:kern w:val="2"/>
                <w14:ligatures w14:val="standardContextual"/>
              </w:rPr>
              <w:t>reconoce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necesidad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disponer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 garantizará la adopción permanente de las acciones necesarias para que las medidas señaladas en esta subsección se incorporen a los documentos e instrumentos que genera</w:t>
            </w:r>
            <w:r w:rsidRPr="001B3C5D">
              <w:rPr>
                <w:rFonts w:ascii="Aptos" w:eastAsia="Aptos" w:hAnsi="Aptos" w:cs="Times New Roman"/>
              </w:rPr>
              <w:t>”</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confirma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operatividad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ámbito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depende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desarrollo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p>
          <w:p w14:paraId="3C99DD99" w14:textId="77777777" w:rsidR="00FE5E91" w:rsidRPr="001B3C5D" w:rsidRDefault="00FE5E91" w:rsidP="00AE31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 xml:space="preserve">Lo anterior es consecuente con lo dispuesto en el ABC del Decreto 0287 de 2026 “Contratación pública inclusiva para personas con discapacidad” en </w:t>
            </w:r>
            <w:r w:rsidRPr="001B3C5D">
              <w:rPr>
                <w:rFonts w:ascii="Verdana" w:eastAsia="Aptos" w:hAnsi="Verdana" w:cs="Times New Roman"/>
              </w:rPr>
              <w:lastRenderedPageBreak/>
              <w:t xml:space="preserve">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75D71A9C" w14:textId="77777777" w:rsidR="00FE5E91" w:rsidRPr="001B3C5D" w:rsidRDefault="00FE5E91" w:rsidP="00AE318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consecuencia,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aunque</w:t>
            </w:r>
            <w:r w:rsidRPr="001B3C5D">
              <w:rPr>
                <w:rFonts w:ascii="Verdana" w:eastAsia="Aptos" w:hAnsi="Verdana" w:cs="Times New Roman"/>
              </w:rPr>
              <w:t xml:space="preserve"> de acuerdo con el artículo 2 del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este “(…) rige a partir del día siguiente a su publicación (…)”</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contracción </w:t>
            </w:r>
            <w:r w:rsidRPr="001B3C5D">
              <w:rPr>
                <w:rFonts w:ascii="Verdana" w:eastAsia="Aptos" w:hAnsi="Verdana" w:cs="Times New Roman"/>
                <w:kern w:val="2"/>
                <w14:ligatures w14:val="standardContextual"/>
              </w:rPr>
              <w:t>regidos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encuentra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formal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Así, s</w:t>
            </w:r>
            <w:r w:rsidRPr="001B3C5D">
              <w:rPr>
                <w:rFonts w:ascii="Verdana" w:eastAsia="Aptos" w:hAnsi="Verdana" w:cs="Times New Roman"/>
                <w:kern w:val="2"/>
                <w14:ligatures w14:val="standardContextual"/>
              </w:rPr>
              <w:t>olo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mediante la modificación a los documentos tipo, </w:t>
            </w:r>
            <w:r w:rsidRPr="001B3C5D">
              <w:rPr>
                <w:rFonts w:ascii="Verdana" w:eastAsia="Aptos" w:hAnsi="Verdana" w:cs="Times New Roman"/>
                <w:kern w:val="2"/>
                <w14:ligatures w14:val="standardContextual"/>
              </w:rPr>
              <w: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posible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uniforme,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jurídicamente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válida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afirmativas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previstas,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desconocer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distribución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establecida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ni</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normativa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compras y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p>
          <w:p w14:paraId="5824BF51" w14:textId="77777777" w:rsidR="00FE5E91" w:rsidRPr="001B3C5D" w:rsidRDefault="00FE5E91" w:rsidP="00AE3181">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conclusión,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implementación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relación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puede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realizarse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directa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que obligatoriamente deben aplicarlos</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requiere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necesariamente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desarrollo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ejercicio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2022</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respeto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jerarquía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normativa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efectividad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orientadas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inclusión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personas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discapacidad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el sistema de compras y contratación pública. </w:t>
            </w:r>
          </w:p>
          <w:p w14:paraId="14CC6EF4" w14:textId="77777777" w:rsidR="00FE5E91" w:rsidRPr="001B3C5D" w:rsidRDefault="00FE5E91" w:rsidP="00AE3181">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01C94908" w14:textId="77777777" w:rsidR="00FE5E91" w:rsidRPr="00670CFB" w:rsidRDefault="00FE5E91" w:rsidP="00AE3181">
            <w:pPr>
              <w:spacing w:before="120" w:after="120" w:line="276" w:lineRule="auto"/>
              <w:ind w:firstLine="709"/>
              <w:jc w:val="both"/>
              <w:rPr>
                <w:rFonts w:ascii="Verdana" w:eastAsia="Calibri" w:hAnsi="Verdana" w:cs="Arial"/>
              </w:rPr>
            </w:pPr>
            <w:r w:rsidRPr="001B3C5D">
              <w:rPr>
                <w:rFonts w:ascii="Verdana" w:eastAsia="Aptos" w:hAnsi="Verdana" w:cs="Times New Roman"/>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w:t>
            </w:r>
            <w:r w:rsidRPr="001B3C5D">
              <w:rPr>
                <w:rFonts w:ascii="Verdana" w:eastAsia="Aptos" w:hAnsi="Verdana" w:cs="Times New Roman"/>
              </w:rPr>
              <w:lastRenderedPageBreak/>
              <w:t>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w:t>
            </w:r>
          </w:p>
        </w:tc>
      </w:tr>
    </w:tbl>
    <w:p w14:paraId="77D9A4AB" w14:textId="77777777" w:rsidR="00FE5E91" w:rsidRPr="00206556" w:rsidRDefault="00FE5E91" w:rsidP="00FE5E91">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738F3D89" w14:textId="77777777" w:rsidR="00FE5E91" w:rsidRPr="00206556" w:rsidRDefault="00FE5E91" w:rsidP="00FE5E91">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5938B611" w14:textId="77777777" w:rsidR="00FE5E91" w:rsidRPr="00206556" w:rsidRDefault="00FE5E91" w:rsidP="00FE5E91">
      <w:pPr>
        <w:tabs>
          <w:tab w:val="left" w:pos="142"/>
          <w:tab w:val="left" w:pos="284"/>
        </w:tabs>
        <w:spacing w:after="0" w:line="276" w:lineRule="auto"/>
        <w:jc w:val="both"/>
        <w:rPr>
          <w:rFonts w:ascii="Verdana" w:eastAsia="Century Gothic" w:hAnsi="Verdana" w:cs="Century Gothic"/>
          <w:b/>
          <w:color w:val="ED7D31" w:themeColor="accent2"/>
          <w:lang w:val="es-ES"/>
        </w:rPr>
      </w:pPr>
    </w:p>
    <w:p w14:paraId="6FAD8968" w14:textId="77777777" w:rsidR="00FE5E91" w:rsidRPr="00206556" w:rsidRDefault="00FE5E91" w:rsidP="00FE5E91">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6F7D55D0" w14:textId="77777777" w:rsidR="00FE5E91" w:rsidRPr="00206556" w:rsidRDefault="00FE5E91" w:rsidP="00FE5E91">
      <w:pPr>
        <w:spacing w:after="0" w:line="276" w:lineRule="auto"/>
        <w:jc w:val="both"/>
        <w:rPr>
          <w:rFonts w:ascii="Verdana" w:eastAsia="Calibri" w:hAnsi="Verdana" w:cs="Arial"/>
          <w:lang w:val="es-ES"/>
        </w:rPr>
      </w:pPr>
    </w:p>
    <w:p w14:paraId="3651F04B" w14:textId="77777777" w:rsidR="00FE5E91" w:rsidRPr="001B3C5D" w:rsidRDefault="00FE5E91" w:rsidP="00FE5E91">
      <w:pPr>
        <w:spacing w:after="0" w:line="240" w:lineRule="auto"/>
        <w:jc w:val="both"/>
        <w:rPr>
          <w:rFonts w:ascii="Aptos" w:eastAsia="Aptos" w:hAnsi="Aptos" w:cs="Times New Roman"/>
          <w:kern w:val="2"/>
          <w:sz w:val="24"/>
          <w:szCs w:val="24"/>
          <w:lang w:val="es-MX"/>
          <w14:ligatures w14:val="standardContextual"/>
        </w:rPr>
      </w:pPr>
      <w:r w:rsidRPr="001B3C5D">
        <w:rPr>
          <w:rFonts w:ascii="Aptos" w:eastAsia="Aptos" w:hAnsi="Aptos" w:cs="Times New Roman"/>
          <w:kern w:val="2"/>
          <w:sz w:val="24"/>
          <w:szCs w:val="24"/>
          <w:lang w:val="es-ES"/>
          <w14:ligatures w14:val="standardContextual"/>
        </w:rPr>
        <w:t xml:space="preserve">i. </w:t>
      </w:r>
      <w:r w:rsidRPr="001B3C5D">
        <w:rPr>
          <w:rFonts w:ascii="Verdana" w:eastAsia="Aptos" w:hAnsi="Verdana" w:cs="Times New Roman"/>
          <w:kern w:val="2"/>
          <w:lang w:val="es-MX"/>
          <w14:ligatures w14:val="standardContextual"/>
        </w:rPr>
        <w:t>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garantizar el cumplimiento de los fines del Estado y la satisfacción de las necesidades de la comunidad</w:t>
      </w:r>
      <w:r w:rsidRPr="001B3C5D">
        <w:rPr>
          <w:rFonts w:ascii="Verdana" w:eastAsia="Aptos" w:hAnsi="Verdana" w:cs="Times New Roman"/>
          <w:kern w:val="2"/>
          <w:vertAlign w:val="superscript"/>
          <w:lang w:val="es-MX"/>
          <w14:ligatures w14:val="standardContextual"/>
        </w:rPr>
        <w:footnoteReference w:id="12"/>
      </w:r>
      <w:r w:rsidRPr="001B3C5D">
        <w:rPr>
          <w:rFonts w:ascii="Verdana" w:eastAsia="Aptos" w:hAnsi="Verdana" w:cs="Times New Roman"/>
          <w:kern w:val="2"/>
          <w:lang w:val="es-MX"/>
          <w14:ligatures w14:val="standardContextual"/>
        </w:rPr>
        <w:t>.</w:t>
      </w:r>
      <w:r w:rsidRPr="001B3C5D">
        <w:rPr>
          <w:rFonts w:ascii="Aptos" w:eastAsia="Aptos" w:hAnsi="Aptos" w:cs="Times New Roman"/>
          <w:kern w:val="2"/>
          <w:sz w:val="24"/>
          <w:szCs w:val="24"/>
          <w:lang w:val="es-MX"/>
          <w14:ligatures w14:val="standardContextual"/>
        </w:rPr>
        <w:t xml:space="preserve"> </w:t>
      </w:r>
    </w:p>
    <w:p w14:paraId="007C3E19" w14:textId="77777777" w:rsidR="00FE5E91" w:rsidRPr="001B3C5D" w:rsidRDefault="00FE5E91" w:rsidP="00FE5E91">
      <w:pPr>
        <w:tabs>
          <w:tab w:val="left" w:pos="709"/>
        </w:tabs>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La norma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1B3C5D">
        <w:rPr>
          <w:rFonts w:ascii="Verdana" w:eastAsia="Calibri" w:hAnsi="Verdana" w:cs="Arial"/>
          <w:color w:val="000000"/>
          <w:vertAlign w:val="superscript"/>
          <w:lang w:val="es-MX"/>
        </w:rPr>
        <w:footnoteReference w:id="13"/>
      </w:r>
      <w:r w:rsidRPr="001B3C5D">
        <w:rPr>
          <w:rFonts w:ascii="Verdana" w:eastAsia="Calibri" w:hAnsi="Verdana" w:cs="Arial"/>
          <w:color w:val="000000"/>
          <w:lang w:val="es-MX"/>
        </w:rPr>
        <w:t xml:space="preserve">. Así mismo, señala que, dentro de estos documentos tipo se </w:t>
      </w:r>
      <w:r w:rsidRPr="001B3C5D">
        <w:rPr>
          <w:rFonts w:ascii="Verdana" w:eastAsia="Calibri" w:hAnsi="Verdana" w:cs="Arial"/>
          <w:color w:val="000000"/>
          <w:lang w:val="es-MX"/>
        </w:rPr>
        <w:lastRenderedPageBreak/>
        <w:t>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3966F82F" w14:textId="77777777" w:rsidR="00FE5E91" w:rsidRPr="001B3C5D" w:rsidRDefault="00FE5E91" w:rsidP="00FE5E91">
      <w:pPr>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 xml:space="preserve">Por su parte, indica que, con el ánimo de promover la descentralización, el empleo local, el desarrollo, los servicios e industria local, en la adopción de los documentos tipo, se tendrán en cuenta las características propias de las regiones, la cuantía, el fomento de la economía local y la naturaleza y especialidad de la contratación. Para tal efecto se deberá llevar a cabo un proceso de capacitación para los municipios. </w:t>
      </w:r>
    </w:p>
    <w:p w14:paraId="3E4BF845" w14:textId="77777777" w:rsidR="00FE5E91" w:rsidRPr="001B3C5D" w:rsidRDefault="00FE5E91" w:rsidP="00FE5E91">
      <w:pPr>
        <w:spacing w:before="120" w:after="120" w:line="276" w:lineRule="auto"/>
        <w:ind w:firstLine="360"/>
        <w:jc w:val="both"/>
        <w:rPr>
          <w:rFonts w:ascii="Verdana" w:eastAsia="Calibri" w:hAnsi="Verdana" w:cs="Arial"/>
          <w:color w:val="000000"/>
          <w:lang w:val="es-MX"/>
        </w:rPr>
      </w:pPr>
      <w:r w:rsidRPr="001B3C5D">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0380422A" w14:textId="77777777" w:rsidR="00FE5E91" w:rsidRPr="001B3C5D" w:rsidRDefault="00FE5E91" w:rsidP="00FE5E91">
      <w:pPr>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1B3C5D">
        <w:rPr>
          <w:rFonts w:ascii="Verdana" w:eastAsia="Calibri" w:hAnsi="Verdana" w:cs="Arial"/>
          <w:color w:val="000000"/>
          <w:vertAlign w:val="superscript"/>
          <w:lang w:val="es-MX"/>
        </w:rPr>
        <w:footnoteReference w:id="14"/>
      </w:r>
      <w:r w:rsidRPr="001B3C5D">
        <w:rPr>
          <w:rFonts w:ascii="Verdana" w:eastAsia="Calibri" w:hAnsi="Verdana" w:cs="Arial"/>
          <w:color w:val="000000"/>
          <w:lang w:val="es-MX"/>
        </w:rPr>
        <w:t xml:space="preserve">. Esto significa, de una parte, que dichos documentos tipo tienen como fin servir como fuente </w:t>
      </w:r>
      <w:r w:rsidRPr="001B3C5D">
        <w:rPr>
          <w:rFonts w:ascii="Verdana" w:eastAsia="Calibri" w:hAnsi="Verdana" w:cs="Arial"/>
          <w:color w:val="000000"/>
          <w:lang w:val="es-MX"/>
        </w:rPr>
        <w:lastRenderedPageBreak/>
        <w:t>obligatoria para la elaboración de los pliegos de condiciones y, de otra, que los documentos tipo adoptados por la Agencia son obligatorios por expreso mandato del legislador para las entidades sometidas a la Ley 80 de 1993.</w:t>
      </w:r>
    </w:p>
    <w:p w14:paraId="6A770997" w14:textId="77777777" w:rsidR="00FE5E91" w:rsidRPr="001B3C5D" w:rsidRDefault="00FE5E91" w:rsidP="00FE5E91">
      <w:pPr>
        <w:spacing w:before="120" w:after="120" w:line="276" w:lineRule="auto"/>
        <w:ind w:firstLine="642"/>
        <w:jc w:val="both"/>
        <w:rPr>
          <w:rFonts w:ascii="Verdana" w:eastAsia="Aptos" w:hAnsi="Verdana" w:cs="Arial"/>
          <w:kern w:val="2"/>
          <w:lang w:val="es-ES"/>
          <w14:ligatures w14:val="standardContextual"/>
        </w:rPr>
      </w:pPr>
      <w:r w:rsidRPr="001B3C5D">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1B3C5D">
        <w:rPr>
          <w:rFonts w:ascii="Verdana" w:eastAsia="Aptos" w:hAnsi="Verdana" w:cs="Arial"/>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73B7D8DE" w14:textId="77777777" w:rsidR="00FE5E91" w:rsidRPr="001B3C5D" w:rsidRDefault="00FE5E91" w:rsidP="00FE5E91">
      <w:pPr>
        <w:spacing w:after="120" w:line="276" w:lineRule="auto"/>
        <w:ind w:firstLine="708"/>
        <w:jc w:val="both"/>
        <w:rPr>
          <w:rFonts w:ascii="Verdana" w:eastAsia="Calibri" w:hAnsi="Verdana" w:cs="Arial"/>
          <w:kern w:val="2"/>
          <w14:ligatures w14:val="standardContextual"/>
        </w:rPr>
      </w:pPr>
      <w:r w:rsidRPr="001B3C5D">
        <w:rPr>
          <w:rFonts w:ascii="Verdana" w:eastAsia="Aptos" w:hAnsi="Verdana" w:cs="Arial"/>
          <w:kern w:val="2"/>
          <w14:ligatures w14:val="standardContextual"/>
        </w:rPr>
        <w:t xml:space="preserve">Concretamente, con fundamento en el artículo 1 de la Ley 2022 de 2020, </w:t>
      </w:r>
      <w:r w:rsidRPr="001B3C5D">
        <w:rPr>
          <w:rFonts w:ascii="Verdana" w:eastAsia="Calibri" w:hAnsi="Verdana" w:cs="Arial"/>
          <w:kern w:val="2"/>
          <w:lang w:val="es-MX"/>
          <w14:ligatures w14:val="standardContextual"/>
        </w:rPr>
        <w:t xml:space="preserve">la Agencia Nacional de Contratación Pública – Colombia Compra </w:t>
      </w:r>
      <w:r w:rsidRPr="001B3C5D">
        <w:rPr>
          <w:rFonts w:ascii="Verdana" w:eastAsia="Calibri" w:hAnsi="Verdana" w:cs="Arial"/>
          <w:kern w:val="2"/>
          <w14:ligatures w14:val="standardContextual"/>
        </w:rPr>
        <w:t>Eficiente expidió los siguientes documentos tipo que se encuentran vigentes:</w:t>
      </w:r>
    </w:p>
    <w:p w14:paraId="6F07B5E1"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i. Sector de Infraestructura de Transporte:</w:t>
      </w:r>
    </w:p>
    <w:p w14:paraId="15D9750C"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456 del 10 de septiembre de 2024: “Por la cual se adopta la versión 4 de los documentos tipo para los procesos de selección de licitación de obra pública de infraestructura de transporte y se deroga la Resolución 240 de 2020”.</w:t>
      </w:r>
    </w:p>
    <w:p w14:paraId="526C0E06"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1662CCA8"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464 del 10 de septiembre de 2024: “Por la cual se actualizan los documentos tipo para los procesos de obra pública de infraestructura de transporte adelantados bajo la modalidad de mínima cuantía”. </w:t>
      </w:r>
    </w:p>
    <w:p w14:paraId="6751FFA7"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725 del 19 de diciembre de 2024: “Por la cual se adopta la versión 3 de los documentos tipo para los procesos de selección de concurso de </w:t>
      </w:r>
      <w:r w:rsidRPr="001B3C5D">
        <w:rPr>
          <w:rFonts w:ascii="Verdana" w:eastAsia="Aptos" w:hAnsi="Verdana" w:cs="Arial"/>
          <w:kern w:val="2"/>
          <w14:ligatures w14:val="standardContextual"/>
        </w:rPr>
        <w:lastRenderedPageBreak/>
        <w:t>méritos para contratar la interventoría de obras públicas de infraestructura de transporte y se deroga la Resolución 326 de 2022”.</w:t>
      </w:r>
    </w:p>
    <w:p w14:paraId="4FC99377"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032B285B"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w:t>
      </w:r>
      <w:proofErr w:type="spellEnd"/>
      <w:r w:rsidRPr="001B3C5D">
        <w:rPr>
          <w:rFonts w:ascii="Verdana" w:eastAsia="Aptos" w:hAnsi="Verdana" w:cs="Arial"/>
          <w:kern w:val="2"/>
          <w14:ligatures w14:val="standardContextual"/>
        </w:rPr>
        <w:t>. Sector de Infraestructura de Agua Potable y Saneamiento Básico:</w:t>
      </w:r>
    </w:p>
    <w:p w14:paraId="29B7E2A8"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0E7F1856"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infraestructura de agua potable y saneamiento básico en la modalidad de llave en mano".</w:t>
      </w:r>
    </w:p>
    <w:p w14:paraId="3CD5426E"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5C624FB9"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iii</w:t>
      </w:r>
      <w:proofErr w:type="spellEnd"/>
      <w:r w:rsidRPr="001B3C5D">
        <w:rPr>
          <w:rFonts w:ascii="Verdana" w:eastAsia="Aptos" w:hAnsi="Verdana" w:cs="Arial"/>
          <w:kern w:val="2"/>
          <w14:ligatures w14:val="standardContextual"/>
        </w:rPr>
        <w:t xml:space="preserve">. Sector de Infraestructura Social: </w:t>
      </w:r>
    </w:p>
    <w:p w14:paraId="42995D46"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109C23F2"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 </w:t>
      </w:r>
      <w:proofErr w:type="spellStart"/>
      <w:r w:rsidRPr="001B3C5D">
        <w:rPr>
          <w:rFonts w:ascii="Verdana" w:eastAsia="Aptos" w:hAnsi="Verdana" w:cs="Arial"/>
          <w:kern w:val="2"/>
          <w14:ligatures w14:val="standardContextual"/>
        </w:rPr>
        <w:t>ii</w:t>
      </w:r>
      <w:proofErr w:type="spellEnd"/>
      <w:r w:rsidRPr="001B3C5D">
        <w:rPr>
          <w:rFonts w:ascii="Verdana" w:eastAsia="Aptos" w:hAnsi="Verdana" w:cs="Arial"/>
          <w:kern w:val="2"/>
          <w14:ligatures w14:val="standardContextual"/>
        </w:rPr>
        <w:t xml:space="preserve">)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w:t>
      </w:r>
      <w:r w:rsidRPr="001B3C5D">
        <w:rPr>
          <w:rFonts w:ascii="Verdana" w:eastAsia="Aptos" w:hAnsi="Verdana" w:cs="Arial"/>
          <w:kern w:val="2"/>
          <w14:ligatures w14:val="standardContextual"/>
        </w:rPr>
        <w:lastRenderedPageBreak/>
        <w:t>infraestructura social relacionados con los sectores educación, salud, cultura, recreación y deporte, institucional y vivienda".</w:t>
      </w:r>
    </w:p>
    <w:p w14:paraId="511BA267"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iii</w:t>
      </w:r>
      <w:proofErr w:type="spellEnd"/>
      <w:r w:rsidRPr="001B3C5D">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2C3218B2"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iv</w:t>
      </w:r>
      <w:proofErr w:type="spellEnd"/>
      <w:r w:rsidRPr="001B3C5D">
        <w:rPr>
          <w:rFonts w:ascii="Verdana" w:eastAsia="Aptos" w:hAnsi="Verdana" w:cs="Arial"/>
          <w:kern w:val="2"/>
          <w14:ligatures w14:val="standardContextu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18EA1EE3"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68AFA31C"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iv</w:t>
      </w:r>
      <w:proofErr w:type="spellEnd"/>
      <w:r w:rsidRPr="001B3C5D">
        <w:rPr>
          <w:rFonts w:ascii="Verdana" w:eastAsia="Aptos" w:hAnsi="Verdana" w:cs="Arial"/>
          <w:kern w:val="2"/>
          <w14:ligatures w14:val="standardContextual"/>
        </w:rPr>
        <w:t>. Documentos tipo para la contratación directa de convenios solidarios:</w:t>
      </w:r>
    </w:p>
    <w:p w14:paraId="35114F4D" w14:textId="77777777" w:rsidR="00FE5E91" w:rsidRPr="001B3C5D" w:rsidRDefault="00FE5E91" w:rsidP="00FE5E91">
      <w:pPr>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Arial"/>
          <w:kern w:val="2"/>
          <w14:ligatures w14:val="standardContextual"/>
        </w:rPr>
        <w:t>Resolución 358 del 30 de junio de 2023 “</w:t>
      </w:r>
      <w:r w:rsidRPr="001B3C5D">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741C068D" w14:textId="77777777" w:rsidR="00FE5E91" w:rsidRPr="001B3C5D" w:rsidRDefault="00FE5E91" w:rsidP="00FE5E91">
      <w:pPr>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Documentos tipo de gestión catastral: </w:t>
      </w:r>
    </w:p>
    <w:p w14:paraId="7234374C" w14:textId="77777777" w:rsidR="00FE5E91" w:rsidRPr="001B3C5D" w:rsidRDefault="00FE5E91" w:rsidP="00FE5E91">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583A43FC" w14:textId="77777777" w:rsidR="00FE5E91" w:rsidRPr="001B3C5D" w:rsidRDefault="00FE5E91" w:rsidP="00FE5E91">
      <w:pPr>
        <w:spacing w:after="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Las resoluciones señaladas reiteran el alcance de la obligatoriedad de los documentos tipo en la materia y establecen parámetros obligatorios para las entidades estatales obligadas a su aplicación, siempre que las actividades que se contraten estén incluidas en la “Matriz – Experiencia”, de acuerdo con el </w:t>
      </w:r>
      <w:r w:rsidRPr="001B3C5D">
        <w:rPr>
          <w:rFonts w:ascii="Verdana" w:eastAsia="Aptos" w:hAnsi="Verdana" w:cs="Arial"/>
          <w:kern w:val="2"/>
          <w14:ligatures w14:val="standardContextual"/>
        </w:rPr>
        <w:lastRenderedPageBreak/>
        <w:t>documento tipo a aplicar. Así, para determinar el ámbito de aplicación de los documentos tipo debe acudirse a la “Matriz – Experiencia”, en la que se contemplan las clases de obra aplicables al sector, sean de infraestructura de transporte, agua potable y saneamiento básico o infraestructura social.</w:t>
      </w:r>
    </w:p>
    <w:p w14:paraId="4E4F119B" w14:textId="77777777" w:rsidR="00FE5E91" w:rsidRPr="001B3C5D" w:rsidRDefault="00FE5E91" w:rsidP="00FE5E91">
      <w:pPr>
        <w:spacing w:after="0" w:line="276" w:lineRule="auto"/>
        <w:ind w:firstLine="708"/>
        <w:jc w:val="both"/>
        <w:rPr>
          <w:rFonts w:ascii="Verdana" w:eastAsia="Aptos" w:hAnsi="Verdana" w:cs="Arial"/>
          <w:kern w:val="2"/>
          <w14:ligatures w14:val="standardContextual"/>
        </w:rPr>
      </w:pPr>
    </w:p>
    <w:p w14:paraId="4A635933" w14:textId="77777777" w:rsidR="00FE5E91" w:rsidRPr="001B3C5D" w:rsidRDefault="00FE5E91" w:rsidP="00FE5E91">
      <w:pPr>
        <w:spacing w:after="0" w:line="276" w:lineRule="auto"/>
        <w:jc w:val="both"/>
        <w:rPr>
          <w:rFonts w:ascii="Verdana" w:eastAsia="Calibri" w:hAnsi="Verdana" w:cs="Arial"/>
          <w:color w:val="000000"/>
          <w:lang w:val="es-MX"/>
        </w:rPr>
      </w:pPr>
      <w:proofErr w:type="spellStart"/>
      <w:r w:rsidRPr="001B3C5D">
        <w:rPr>
          <w:rFonts w:ascii="Verdana" w:eastAsia="Aptos" w:hAnsi="Verdana" w:cs="Times New Roman"/>
          <w:color w:val="000000"/>
          <w:kern w:val="2"/>
          <w:szCs w:val="24"/>
          <w14:ligatures w14:val="standardContextual"/>
        </w:rPr>
        <w:t>ii</w:t>
      </w:r>
      <w:proofErr w:type="spellEnd"/>
      <w:r w:rsidRPr="001B3C5D">
        <w:rPr>
          <w:rFonts w:ascii="Verdana" w:eastAsia="Aptos" w:hAnsi="Verdana" w:cs="Times New Roman"/>
          <w:color w:val="000000"/>
          <w:kern w:val="2"/>
          <w:szCs w:val="24"/>
          <w14:ligatures w14:val="standardContextual"/>
        </w:rPr>
        <w:t>. La jurisprudencia de la Corte Constitucional</w:t>
      </w:r>
      <w:r w:rsidRPr="001B3C5D">
        <w:rPr>
          <w:rFonts w:ascii="Verdana" w:eastAsia="Aptos" w:hAnsi="Verdana" w:cs="Times New Roman"/>
          <w:color w:val="000000"/>
          <w:kern w:val="2"/>
          <w:szCs w:val="24"/>
          <w:vertAlign w:val="superscript"/>
          <w14:ligatures w14:val="standardContextual"/>
        </w:rPr>
        <w:footnoteReference w:id="15"/>
      </w:r>
      <w:r w:rsidRPr="001B3C5D">
        <w:rPr>
          <w:rFonts w:ascii="Verdana" w:eastAsia="Aptos" w:hAnsi="Verdana" w:cs="Times New Roman"/>
          <w:color w:val="000000"/>
          <w:kern w:val="2"/>
          <w:szCs w:val="24"/>
          <w14:ligatures w14:val="standardContextual"/>
        </w:rPr>
        <w:t xml:space="preserve"> y el Consejo de Estado</w:t>
      </w:r>
      <w:r w:rsidRPr="001B3C5D">
        <w:rPr>
          <w:rFonts w:ascii="Verdana" w:eastAsia="Aptos" w:hAnsi="Verdana" w:cs="Times New Roman"/>
          <w:color w:val="000000"/>
          <w:kern w:val="2"/>
          <w:szCs w:val="24"/>
          <w:vertAlign w:val="superscript"/>
          <w14:ligatures w14:val="standardContextual"/>
        </w:rPr>
        <w:footnoteReference w:id="16"/>
      </w:r>
      <w:r w:rsidRPr="001B3C5D">
        <w:rPr>
          <w:rFonts w:ascii="Verdana" w:eastAsia="Aptos" w:hAnsi="Verdana" w:cs="Times New Roman"/>
          <w:color w:val="000000"/>
          <w:kern w:val="2"/>
          <w:szCs w:val="24"/>
          <w14:ligatures w14:val="standardContextual"/>
        </w:rPr>
        <w:t xml:space="preserve"> coinciden en afirmar que la potestad reglamentaria no recae exclusivamente en el presidente de la República y que en Colombia opera un </w:t>
      </w:r>
      <w:r w:rsidRPr="001B3C5D">
        <w:rPr>
          <w:rFonts w:ascii="Verdana" w:eastAsia="Aptos" w:hAnsi="Verdana" w:cs="Times New Roman"/>
          <w:color w:val="000000"/>
          <w:kern w:val="2"/>
          <w:szCs w:val="24"/>
          <w:lang w:eastAsia="es-CO"/>
          <w14:ligatures w14:val="standardContextual"/>
        </w:rPr>
        <w:t>“</w:t>
      </w:r>
      <w:r w:rsidRPr="001B3C5D">
        <w:rPr>
          <w:rFonts w:ascii="Verdana" w:eastAsia="Aptos" w:hAnsi="Verdana" w:cs="Times New Roman"/>
          <w:color w:val="000000"/>
          <w:kern w:val="2"/>
          <w:szCs w:val="24"/>
          <w14:ligatures w14:val="standardContextual"/>
        </w:rPr>
        <w:t>sistema difuso</w:t>
      </w:r>
      <w:r w:rsidRPr="001B3C5D">
        <w:rPr>
          <w:rFonts w:ascii="Verdana" w:eastAsia="Aptos" w:hAnsi="Verdana" w:cs="Times New Roman"/>
          <w:color w:val="000000"/>
          <w:kern w:val="2"/>
          <w:szCs w:val="24"/>
          <w:lang w:eastAsia="es-CO"/>
          <w14:ligatures w14:val="standardContextual"/>
        </w:rPr>
        <w:t>”</w:t>
      </w:r>
      <w:r w:rsidRPr="001B3C5D">
        <w:rPr>
          <w:rFonts w:ascii="Verdana" w:eastAsia="Aptos" w:hAnsi="Verdana" w:cs="Times New Roman"/>
          <w:color w:val="000000"/>
          <w:kern w:val="2"/>
          <w:szCs w:val="24"/>
          <w14:ligatures w14:val="standardContextual"/>
        </w:rPr>
        <w:t xml:space="preserve"> de producción normativa de carácter general. </w:t>
      </w:r>
      <w:r w:rsidRPr="001B3C5D">
        <w:rPr>
          <w:rFonts w:ascii="Verdana" w:eastAsia="Aptos" w:hAnsi="Verdana" w:cs="Times New Roman"/>
          <w:color w:val="000000"/>
          <w:kern w:val="2"/>
          <w:szCs w:val="24"/>
          <w:lang w:eastAsia="es-CO"/>
          <w14:ligatures w14:val="standardContextual"/>
        </w:rPr>
        <w:t>Además, señalan que son dos los elementos fundamentales de la potestad reglamentaria, a saber:</w:t>
      </w:r>
    </w:p>
    <w:p w14:paraId="6061D6F6" w14:textId="77777777" w:rsidR="00FE5E91" w:rsidRPr="001B3C5D" w:rsidRDefault="00FE5E91" w:rsidP="00FE5E91">
      <w:pPr>
        <w:spacing w:after="0" w:line="276" w:lineRule="auto"/>
        <w:ind w:right="51"/>
        <w:jc w:val="both"/>
        <w:rPr>
          <w:rFonts w:ascii="Verdana" w:eastAsia="Times New Roman" w:hAnsi="Verdana" w:cs="Arial"/>
          <w:szCs w:val="24"/>
          <w:lang w:eastAsia="es-MX"/>
        </w:rPr>
      </w:pPr>
    </w:p>
    <w:p w14:paraId="2480889D" w14:textId="77777777" w:rsidR="00FE5E91" w:rsidRPr="001B3C5D" w:rsidRDefault="00FE5E91" w:rsidP="00FE5E91">
      <w:pPr>
        <w:numPr>
          <w:ilvl w:val="0"/>
          <w:numId w:val="21"/>
        </w:numPr>
        <w:spacing w:after="0" w:line="276" w:lineRule="auto"/>
        <w:ind w:right="51"/>
        <w:contextualSpacing/>
        <w:jc w:val="both"/>
        <w:rPr>
          <w:rFonts w:ascii="Verdana" w:eastAsia="Times New Roman" w:hAnsi="Verdana" w:cs="Arial"/>
          <w:szCs w:val="24"/>
          <w:lang w:eastAsia="es-MX"/>
        </w:rPr>
      </w:pPr>
      <w:r w:rsidRPr="001B3C5D">
        <w:rPr>
          <w:rFonts w:ascii="Verdana" w:eastAsia="Times New Roman" w:hAnsi="Verdana" w:cs="Arial"/>
          <w:b/>
          <w:bCs/>
          <w:szCs w:val="24"/>
          <w:lang w:eastAsia="es-MX"/>
        </w:rPr>
        <w:t>Necesidad:</w:t>
      </w:r>
      <w:r w:rsidRPr="001B3C5D">
        <w:rPr>
          <w:rFonts w:ascii="Verdana" w:eastAsia="Times New Roman" w:hAnsi="Verdana" w:cs="Arial"/>
          <w:szCs w:val="24"/>
          <w:lang w:eastAsia="es-MX"/>
        </w:rPr>
        <w:t xml:space="preserve"> consiste en que el ejercicio de la potestad reglamentaria se justifica en la medida en que la ley deje espacios de regulación que necesitan llenarse para la ejecución de esta mediante la expedición de actos jurídicos de contenido normativo, pues el legislador puede, en virtud del principio de libertad de configuración legislativa, determinar libremente hasta dónde regula la materia respectiva</w:t>
      </w:r>
      <w:r w:rsidRPr="001B3C5D">
        <w:rPr>
          <w:rFonts w:ascii="Verdana" w:eastAsia="Times New Roman" w:hAnsi="Verdana" w:cs="Arial"/>
          <w:szCs w:val="24"/>
          <w:vertAlign w:val="superscript"/>
          <w:lang w:eastAsia="es-MX"/>
        </w:rPr>
        <w:footnoteReference w:id="17"/>
      </w:r>
      <w:r w:rsidRPr="001B3C5D">
        <w:rPr>
          <w:rFonts w:ascii="Verdana" w:eastAsia="Times New Roman" w:hAnsi="Verdana" w:cs="Arial"/>
          <w:szCs w:val="24"/>
          <w:vertAlign w:val="superscript"/>
          <w:lang w:eastAsia="es-MX"/>
        </w:rPr>
        <w:t>;</w:t>
      </w:r>
    </w:p>
    <w:p w14:paraId="7205C26D" w14:textId="77777777" w:rsidR="00FE5E91" w:rsidRPr="001B3C5D" w:rsidRDefault="00FE5E91" w:rsidP="00FE5E91">
      <w:pPr>
        <w:spacing w:after="0" w:line="276" w:lineRule="auto"/>
        <w:ind w:right="51"/>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 </w:t>
      </w:r>
    </w:p>
    <w:p w14:paraId="6200D62B" w14:textId="77777777" w:rsidR="00FE5E91" w:rsidRPr="001B3C5D" w:rsidRDefault="00FE5E91" w:rsidP="00FE5E91">
      <w:pPr>
        <w:numPr>
          <w:ilvl w:val="0"/>
          <w:numId w:val="21"/>
        </w:numPr>
        <w:spacing w:after="0" w:line="276" w:lineRule="auto"/>
        <w:ind w:right="51"/>
        <w:contextualSpacing/>
        <w:jc w:val="both"/>
        <w:rPr>
          <w:rFonts w:ascii="Verdana" w:eastAsia="Times New Roman" w:hAnsi="Verdana" w:cs="Arial"/>
          <w:szCs w:val="24"/>
          <w:lang w:eastAsia="es-MX"/>
        </w:rPr>
      </w:pPr>
      <w:r w:rsidRPr="001B3C5D">
        <w:rPr>
          <w:rFonts w:ascii="Verdana" w:eastAsia="Times New Roman" w:hAnsi="Verdana" w:cs="Arial"/>
          <w:b/>
          <w:bCs/>
          <w:szCs w:val="24"/>
          <w:lang w:eastAsia="es-MX"/>
        </w:rPr>
        <w:t>Finalidad:</w:t>
      </w:r>
      <w:r w:rsidRPr="001B3C5D">
        <w:rPr>
          <w:rFonts w:ascii="Verdana" w:eastAsia="Times New Roman" w:hAnsi="Verdana" w:cs="Arial"/>
          <w:szCs w:val="24"/>
          <w:lang w:eastAsia="es-MX"/>
        </w:rPr>
        <w:t xml:space="preserve"> tiene que ver con el contenido material de los actos que se dicten en ejercicio de la potestad reglamentaria, pues los decretos y resoluciones expedidos por el Gobierno nacional en ejercicio de dicha potestad están subordinados a la ley, de manera que el reglamento no puede modificarla, ampliarla o restringir sus efectos. Este último elemento, está asociado al respeto del principio de supremacía normativa pues, el ordenamiento jurídico colombiano supone una jerarquía que emana de la propia Constitución</w:t>
      </w:r>
      <w:r w:rsidRPr="001B3C5D">
        <w:rPr>
          <w:rFonts w:ascii="Verdana" w:eastAsia="Times New Roman" w:hAnsi="Verdana" w:cs="Arial"/>
          <w:szCs w:val="24"/>
          <w:vertAlign w:val="superscript"/>
          <w:lang w:eastAsia="es-MX"/>
        </w:rPr>
        <w:footnoteReference w:id="18"/>
      </w:r>
      <w:r w:rsidRPr="001B3C5D">
        <w:rPr>
          <w:rFonts w:ascii="Verdana" w:eastAsia="Times New Roman" w:hAnsi="Verdana" w:cs="Arial"/>
          <w:szCs w:val="24"/>
          <w:lang w:eastAsia="es-MX"/>
        </w:rPr>
        <w:t>.</w:t>
      </w:r>
    </w:p>
    <w:p w14:paraId="55251227" w14:textId="77777777" w:rsidR="00FE5E91" w:rsidRPr="001B3C5D" w:rsidRDefault="00FE5E91" w:rsidP="00FE5E91">
      <w:pPr>
        <w:spacing w:after="0" w:line="240" w:lineRule="auto"/>
        <w:ind w:left="357" w:right="51"/>
        <w:jc w:val="both"/>
        <w:rPr>
          <w:rFonts w:ascii="Verdana" w:eastAsia="Times New Roman" w:hAnsi="Verdana" w:cs="Arial"/>
          <w:szCs w:val="24"/>
          <w:lang w:eastAsia="es-MX"/>
        </w:rPr>
      </w:pPr>
    </w:p>
    <w:p w14:paraId="0A36368A" w14:textId="77777777" w:rsidR="00FE5E91" w:rsidRPr="001B3C5D" w:rsidRDefault="00FE5E91" w:rsidP="00FE5E91">
      <w:pPr>
        <w:spacing w:after="0" w:line="276" w:lineRule="auto"/>
        <w:ind w:right="50" w:firstLine="708"/>
        <w:jc w:val="both"/>
        <w:rPr>
          <w:rFonts w:ascii="Verdana" w:eastAsia="Times New Roman" w:hAnsi="Verdana" w:cs="Arial"/>
          <w:szCs w:val="24"/>
          <w:lang w:eastAsia="es-MX"/>
        </w:rPr>
      </w:pPr>
      <w:r w:rsidRPr="001B3C5D">
        <w:rPr>
          <w:rFonts w:ascii="Verdana" w:eastAsia="Times New Roman" w:hAnsi="Verdana" w:cs="Arial"/>
          <w:szCs w:val="24"/>
          <w:lang w:eastAsia="es-ES"/>
        </w:rPr>
        <w:lastRenderedPageBreak/>
        <w:t>En efecto, el desarrollo de la potestad reglamentaria exige que la ley haya configurado una materialidad legislativa básica, pues busca convertir en realidad un enunciado normativo abstracto. Los límites de esta facultad han sido desarrollados por la jurisprudencia de las Altas Cortes, en especial por la Corte Constitucional, quien a modo de subreglas</w:t>
      </w:r>
      <w:r w:rsidRPr="001B3C5D">
        <w:rPr>
          <w:rFonts w:ascii="Verdana" w:eastAsia="Times New Roman" w:hAnsi="Verdana" w:cs="Arial"/>
          <w:szCs w:val="24"/>
          <w:vertAlign w:val="superscript"/>
          <w:lang w:eastAsia="es-MX"/>
        </w:rPr>
        <w:footnoteReference w:id="19"/>
      </w:r>
      <w:r w:rsidRPr="001B3C5D">
        <w:rPr>
          <w:rFonts w:ascii="Verdana" w:eastAsia="Times New Roman" w:hAnsi="Verdana" w:cs="Arial"/>
          <w:szCs w:val="24"/>
          <w:lang w:eastAsia="es-ES"/>
        </w:rPr>
        <w:t xml:space="preserve"> explica ciertas limitaciones en el ejercicio de esta competencia</w:t>
      </w:r>
      <w:r w:rsidRPr="001B3C5D">
        <w:rPr>
          <w:rFonts w:ascii="Verdana" w:eastAsia="Times New Roman" w:hAnsi="Verdana" w:cs="Arial"/>
          <w:szCs w:val="24"/>
          <w:lang w:eastAsia="es-MX"/>
        </w:rPr>
        <w:t>:</w:t>
      </w:r>
    </w:p>
    <w:p w14:paraId="5CD713D6" w14:textId="77777777" w:rsidR="00FE5E91" w:rsidRPr="001B3C5D" w:rsidRDefault="00FE5E91" w:rsidP="00FE5E91">
      <w:pPr>
        <w:spacing w:after="0" w:line="276" w:lineRule="auto"/>
        <w:ind w:right="50"/>
        <w:jc w:val="both"/>
        <w:rPr>
          <w:rFonts w:ascii="Verdana" w:eastAsia="Times New Roman" w:hAnsi="Verdana" w:cs="Arial"/>
          <w:szCs w:val="24"/>
          <w:lang w:eastAsia="es-MX"/>
        </w:rPr>
      </w:pPr>
    </w:p>
    <w:p w14:paraId="4220F26D" w14:textId="77777777" w:rsidR="00FE5E91" w:rsidRPr="001B3C5D" w:rsidRDefault="00FE5E91" w:rsidP="00FE5E91">
      <w:pPr>
        <w:numPr>
          <w:ilvl w:val="0"/>
          <w:numId w:val="20"/>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La potestad reglamentaria se restringe en la medida en que el Congreso de la República utilice en mayor o menor grado sus poderes jurídicos. Tanto así, que se ha manifestado que la misma es inversamente proporcional a la extensión de la ley. </w:t>
      </w:r>
    </w:p>
    <w:p w14:paraId="050118D7" w14:textId="77777777" w:rsidR="00FE5E91" w:rsidRPr="001B3C5D" w:rsidRDefault="00FE5E91" w:rsidP="00FE5E91">
      <w:pPr>
        <w:numPr>
          <w:ilvl w:val="0"/>
          <w:numId w:val="20"/>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El presidente no podrá establecer por vía de decreto reglamentario una excepción, aun cuando la misma fuera supuestamente temporal, sin que previa y expresamente el legislador lo hubiere autorizado para ello y fijado un límite temporal específico. </w:t>
      </w:r>
    </w:p>
    <w:p w14:paraId="1622B066" w14:textId="77777777" w:rsidR="00FE5E91" w:rsidRPr="001B3C5D" w:rsidRDefault="00FE5E91" w:rsidP="00FE5E91">
      <w:pPr>
        <w:numPr>
          <w:ilvl w:val="0"/>
          <w:numId w:val="20"/>
        </w:numPr>
        <w:spacing w:before="100" w:beforeAutospacing="1" w:after="12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Cualquier determinación sobre la vigencia de las leyes sólo puede definirla el propio legislador. </w:t>
      </w:r>
    </w:p>
    <w:p w14:paraId="4BD5E6B0" w14:textId="77777777" w:rsidR="00FE5E91" w:rsidRPr="001B3C5D" w:rsidRDefault="00FE5E91" w:rsidP="00FE5E91">
      <w:pPr>
        <w:numPr>
          <w:ilvl w:val="0"/>
          <w:numId w:val="20"/>
        </w:numPr>
        <w:spacing w:before="100" w:beforeAutospacing="1" w:after="0" w:line="276" w:lineRule="auto"/>
        <w:ind w:left="709" w:right="51" w:hanging="567"/>
        <w:contextualSpacing/>
        <w:jc w:val="both"/>
        <w:rPr>
          <w:rFonts w:ascii="Verdana" w:eastAsia="Times New Roman" w:hAnsi="Verdana" w:cs="Arial"/>
          <w:szCs w:val="24"/>
          <w:lang w:eastAsia="es-MX"/>
        </w:rPr>
      </w:pPr>
      <w:r w:rsidRPr="001B3C5D">
        <w:rPr>
          <w:rFonts w:ascii="Verdana" w:eastAsia="Times New Roman" w:hAnsi="Verdana" w:cs="Arial"/>
          <w:szCs w:val="24"/>
          <w:lang w:eastAsia="es-MX"/>
        </w:rPr>
        <w:t>El ejercicio de la potestad reglamentaria no debe sobrepasar ni invadir la competencia del Congreso de la República, en el sentido de que el reglamento no puede desfigurar la situación regulada por la ley ni hacerla nugatoria.</w:t>
      </w:r>
    </w:p>
    <w:p w14:paraId="67FFB92A" w14:textId="77777777" w:rsidR="00FE5E91" w:rsidRPr="001B3C5D" w:rsidRDefault="00FE5E91" w:rsidP="00FE5E91">
      <w:pPr>
        <w:numPr>
          <w:ilvl w:val="0"/>
          <w:numId w:val="20"/>
        </w:numPr>
        <w:spacing w:after="0" w:line="276" w:lineRule="auto"/>
        <w:ind w:left="709" w:right="51" w:hanging="567"/>
        <w:jc w:val="both"/>
        <w:rPr>
          <w:rFonts w:ascii="Verdana" w:eastAsia="Times New Roman" w:hAnsi="Verdana" w:cs="Arial"/>
          <w:szCs w:val="24"/>
          <w:lang w:eastAsia="es-MX"/>
        </w:rPr>
      </w:pPr>
      <w:r w:rsidRPr="001B3C5D">
        <w:rPr>
          <w:rFonts w:ascii="Verdana" w:eastAsia="Times New Roman" w:hAnsi="Verdana" w:cs="Arial"/>
          <w:szCs w:val="24"/>
          <w:lang w:eastAsia="es-MX"/>
        </w:rPr>
        <w:t>La potestad reglamentaria no puede incluir requisitos adicionales a los previstos en la ley, y el Gobierno no puede desconocer la Constitución ni el contenido o las pautas trazadas en la ley ni reglamentar normas que no ejecuta la administración.</w:t>
      </w:r>
    </w:p>
    <w:p w14:paraId="586F682F" w14:textId="77777777" w:rsidR="00FE5E91" w:rsidRPr="001B3C5D" w:rsidRDefault="00FE5E91" w:rsidP="00FE5E91">
      <w:pPr>
        <w:spacing w:after="0" w:line="240" w:lineRule="auto"/>
        <w:jc w:val="both"/>
        <w:rPr>
          <w:rFonts w:ascii="Verdana" w:eastAsia="Times New Roman" w:hAnsi="Verdana" w:cs="Arial"/>
          <w:lang w:eastAsia="es-MX"/>
        </w:rPr>
      </w:pPr>
    </w:p>
    <w:p w14:paraId="44FCAA71" w14:textId="77777777" w:rsidR="00FE5E91" w:rsidRPr="001B3C5D" w:rsidRDefault="00FE5E91" w:rsidP="00FE5E91">
      <w:pPr>
        <w:spacing w:after="120" w:line="276" w:lineRule="auto"/>
        <w:ind w:firstLine="708"/>
        <w:jc w:val="both"/>
        <w:rPr>
          <w:rFonts w:ascii="Verdana" w:eastAsia="Times New Roman" w:hAnsi="Verdana" w:cs="Arial"/>
          <w:szCs w:val="24"/>
          <w:lang w:eastAsia="es-MX"/>
        </w:rPr>
      </w:pPr>
      <w:r w:rsidRPr="001B3C5D">
        <w:rPr>
          <w:rFonts w:ascii="Verdana" w:eastAsia="Times New Roman" w:hAnsi="Verdana" w:cs="Arial"/>
          <w:szCs w:val="24"/>
          <w:lang w:eastAsia="es-MX"/>
        </w:rPr>
        <w:t xml:space="preserve">Como se explicó en acápites anteriores, la Ley 2022 de 2020 facultó a la Agencia Nacional de Contratación Pública – Colombia Compra Eficiente para adoptar documentos tipo que serán de obligatorio cumplimiento en la actividad contractual de las entidades sometidas al Estatuto General de Contratación de la Administración Pública. De este modo, la intención del legislador fue otorgarle esta facultad al ente rector del Sistema de Compra Pública. </w:t>
      </w:r>
    </w:p>
    <w:p w14:paraId="2C2382F3" w14:textId="77777777" w:rsidR="00FE5E91" w:rsidRPr="001B3C5D" w:rsidRDefault="00FE5E91" w:rsidP="00FE5E91">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szCs w:val="24"/>
          <w:lang w:eastAsia="es-MX"/>
        </w:rPr>
        <w:lastRenderedPageBreak/>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B3C5D">
        <w:rPr>
          <w:rFonts w:ascii="Verdana" w:eastAsia="Times New Roman" w:hAnsi="Verdana" w:cs="Arial"/>
          <w:i/>
          <w:iCs/>
          <w:szCs w:val="24"/>
          <w:vertAlign w:val="superscript"/>
          <w:lang w:eastAsia="es-MX"/>
        </w:rPr>
        <w:footnoteReference w:id="20"/>
      </w:r>
      <w:r w:rsidRPr="001B3C5D">
        <w:rPr>
          <w:rFonts w:ascii="Verdana" w:eastAsia="Times New Roman" w:hAnsi="Verdana" w:cs="Arial"/>
          <w:szCs w:val="24"/>
          <w:lang w:eastAsia="es-MX"/>
        </w:rPr>
        <w:t>”</w:t>
      </w:r>
      <w:r w:rsidRPr="001B3C5D">
        <w:rPr>
          <w:rFonts w:ascii="Verdana" w:eastAsia="Times New Roman" w:hAnsi="Verdana" w:cs="Arial"/>
          <w:i/>
          <w:iCs/>
          <w:szCs w:val="24"/>
          <w:lang w:eastAsia="es-MX"/>
        </w:rPr>
        <w:t>.</w:t>
      </w:r>
      <w:r w:rsidRPr="001B3C5D">
        <w:rPr>
          <w:rFonts w:ascii="Verdana" w:eastAsia="Times New Roman" w:hAnsi="Verdana" w:cs="Arial"/>
          <w:szCs w:val="24"/>
          <w:lang w:eastAsia="es-MX"/>
        </w:rPr>
        <w:t xml:space="preserve"> Además, el Consejo de Estado, Sección Primera, en la Sentencia del 29 de abril </w:t>
      </w:r>
      <w:r w:rsidRPr="001B3C5D">
        <w:rPr>
          <w:rFonts w:ascii="Verdana" w:eastAsia="Times New Roman" w:hAnsi="Verdana" w:cs="Arial"/>
          <w:lang w:eastAsia="es-MX"/>
        </w:rPr>
        <w:t>de 2015, expediente 6.096, indicó que es posible que ley atribuya facultades reglamentarias a otras autoridades administrativas, particularmente a los ministerios, sin que se entienda disminuida la potestad reglamentaria del presidente de la República</w:t>
      </w:r>
      <w:r w:rsidRPr="001B3C5D">
        <w:rPr>
          <w:rFonts w:ascii="Verdana" w:eastAsia="Times New Roman" w:hAnsi="Verdana" w:cs="Arial"/>
          <w:vertAlign w:val="superscript"/>
          <w:lang w:eastAsia="es-MX"/>
        </w:rPr>
        <w:footnoteReference w:id="21"/>
      </w:r>
      <w:r w:rsidRPr="001B3C5D">
        <w:rPr>
          <w:rFonts w:ascii="Verdana" w:eastAsia="Times New Roman" w:hAnsi="Verdana" w:cs="Arial"/>
          <w:lang w:eastAsia="es-MX"/>
        </w:rPr>
        <w:t xml:space="preserve">. </w:t>
      </w:r>
    </w:p>
    <w:p w14:paraId="69636C35" w14:textId="77777777" w:rsidR="00FE5E91" w:rsidRPr="001B3C5D" w:rsidRDefault="00FE5E91" w:rsidP="00FE5E91">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1B3C5D">
        <w:rPr>
          <w:rFonts w:ascii="Verdana" w:eastAsia="Times New Roman" w:hAnsi="Verdana" w:cs="Arial"/>
          <w:vertAlign w:val="superscript"/>
          <w:lang w:eastAsia="es-MX"/>
        </w:rPr>
        <w:footnoteReference w:id="22"/>
      </w:r>
      <w:r w:rsidRPr="001B3C5D">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1B3C5D">
        <w:rPr>
          <w:rFonts w:ascii="Verdana" w:eastAsia="Times New Roman" w:hAnsi="Verdana" w:cs="Arial"/>
          <w:vertAlign w:val="superscript"/>
          <w:lang w:eastAsia="es-MX"/>
        </w:rPr>
        <w:footnoteReference w:id="23"/>
      </w:r>
      <w:r w:rsidRPr="001B3C5D">
        <w:rPr>
          <w:rFonts w:ascii="Verdana" w:eastAsia="Times New Roman" w:hAnsi="Verdana" w:cs="Arial"/>
          <w:lang w:eastAsia="es-MX"/>
        </w:rPr>
        <w:t>.</w:t>
      </w:r>
    </w:p>
    <w:p w14:paraId="263B157B" w14:textId="77777777" w:rsidR="00FE5E91" w:rsidRPr="001B3C5D" w:rsidRDefault="00FE5E91" w:rsidP="00FE5E91">
      <w:pPr>
        <w:spacing w:after="0" w:line="276" w:lineRule="auto"/>
        <w:ind w:firstLine="708"/>
        <w:jc w:val="both"/>
        <w:rPr>
          <w:rFonts w:ascii="Verdana" w:eastAsia="Times New Roman" w:hAnsi="Verdana" w:cs="Arial"/>
          <w:lang w:eastAsia="es-CO"/>
        </w:rPr>
      </w:pPr>
      <w:r w:rsidRPr="001B3C5D">
        <w:rPr>
          <w:rFonts w:ascii="Verdana" w:eastAsia="Times New Roman" w:hAnsi="Verdana" w:cs="Arial"/>
          <w:lang w:eastAsia="es-CO"/>
        </w:rPr>
        <w:t xml:space="preserve">En este sentido, atendiendo lo previsto en el artículo 1 la Ley 2022 de 2020, </w:t>
      </w:r>
      <w:r w:rsidRPr="001B3C5D">
        <w:rPr>
          <w:rFonts w:ascii="Verdana" w:eastAsia="Times New Roman" w:hAnsi="Verdana" w:cs="Arial"/>
          <w:lang w:eastAsia="es-ES"/>
        </w:rPr>
        <w:t>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al Departamento Nacional de Planeación</w:t>
      </w:r>
      <w:r w:rsidRPr="001B3C5D">
        <w:rPr>
          <w:rFonts w:ascii="Verdana" w:eastAsia="Calibri" w:hAnsi="Verdana" w:cs="Arial"/>
          <w:vertAlign w:val="superscript"/>
          <w:lang w:eastAsia="es-CO"/>
        </w:rPr>
        <w:footnoteReference w:id="24"/>
      </w:r>
      <w:r w:rsidRPr="001B3C5D">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1B3C5D">
        <w:rPr>
          <w:rFonts w:ascii="Verdana" w:eastAsia="Times New Roman" w:hAnsi="Verdana" w:cs="Arial"/>
          <w:lang w:eastAsia="es-CO"/>
        </w:rPr>
        <w:t xml:space="preserve"> Decreto Ley 4170 de 2011, en el que se otorgó la función de:</w:t>
      </w:r>
    </w:p>
    <w:p w14:paraId="43B3DC8F" w14:textId="77777777" w:rsidR="00FE5E91" w:rsidRPr="001B3C5D" w:rsidRDefault="00FE5E91" w:rsidP="00FE5E91">
      <w:pPr>
        <w:spacing w:after="0" w:line="240" w:lineRule="auto"/>
        <w:jc w:val="both"/>
        <w:rPr>
          <w:rFonts w:ascii="Verdana" w:eastAsia="Times New Roman" w:hAnsi="Verdana" w:cs="Arial"/>
          <w:lang w:eastAsia="es-CO"/>
        </w:rPr>
      </w:pPr>
    </w:p>
    <w:p w14:paraId="662141B9" w14:textId="77777777" w:rsidR="00FE5E91" w:rsidRPr="001B3C5D" w:rsidRDefault="00FE5E91" w:rsidP="00FE5E91">
      <w:pPr>
        <w:spacing w:after="0" w:line="240" w:lineRule="auto"/>
        <w:ind w:left="709" w:right="709"/>
        <w:jc w:val="both"/>
        <w:rPr>
          <w:rFonts w:ascii="Verdana" w:eastAsia="Times New Roman" w:hAnsi="Verdana" w:cs="Arial"/>
          <w:sz w:val="21"/>
          <w:szCs w:val="21"/>
          <w:lang w:eastAsia="es-CO"/>
        </w:rPr>
      </w:pPr>
      <w:r w:rsidRPr="001B3C5D">
        <w:rPr>
          <w:rFonts w:ascii="Verdana" w:eastAsia="Times New Roman" w:hAnsi="Verdana" w:cs="Arial"/>
          <w:sz w:val="21"/>
          <w:szCs w:val="21"/>
          <w:u w:val="single"/>
          <w:lang w:eastAsia="es-CO"/>
        </w:rPr>
        <w:t>“Desarrollar,</w:t>
      </w:r>
      <w:r w:rsidRPr="001B3C5D">
        <w:rPr>
          <w:rFonts w:ascii="Verdana" w:eastAsia="Times New Roman" w:hAnsi="Verdana" w:cs="Arial"/>
          <w:sz w:val="21"/>
          <w:szCs w:val="21"/>
          <w:lang w:eastAsia="es-CO"/>
        </w:rPr>
        <w:t xml:space="preserve"> </w:t>
      </w:r>
      <w:r w:rsidRPr="001B3C5D">
        <w:rPr>
          <w:rFonts w:ascii="Verdana" w:eastAsia="Times New Roman" w:hAnsi="Verdana" w:cs="Arial"/>
          <w:sz w:val="21"/>
          <w:szCs w:val="21"/>
          <w:u w:val="single"/>
          <w:lang w:eastAsia="es-CO"/>
        </w:rPr>
        <w:t>implementar y difundir</w:t>
      </w:r>
      <w:r w:rsidRPr="001B3C5D">
        <w:rPr>
          <w:rFonts w:ascii="Verdana" w:eastAsia="Times New Roman" w:hAnsi="Verdana" w:cs="Arial"/>
          <w:sz w:val="21"/>
          <w:szCs w:val="21"/>
          <w:lang w:eastAsia="es-CO"/>
        </w:rPr>
        <w:t xml:space="preserve"> las políticas públicas, planes, programas, </w:t>
      </w:r>
      <w:r w:rsidRPr="001B3C5D">
        <w:rPr>
          <w:rFonts w:ascii="Verdana" w:eastAsia="Times New Roman" w:hAnsi="Verdana" w:cs="Arial"/>
          <w:sz w:val="21"/>
          <w:szCs w:val="21"/>
          <w:u w:val="single"/>
          <w:lang w:eastAsia="es-CO"/>
        </w:rPr>
        <w:t>normas, instrumentos y herramientas</w:t>
      </w:r>
      <w:r w:rsidRPr="001B3C5D">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w:t>
      </w:r>
      <w:proofErr w:type="gramStart"/>
      <w:r w:rsidRPr="001B3C5D">
        <w:rPr>
          <w:rFonts w:ascii="Verdana" w:eastAsia="Times New Roman" w:hAnsi="Verdana" w:cs="Arial"/>
          <w:sz w:val="21"/>
          <w:szCs w:val="21"/>
          <w:lang w:eastAsia="es-CO"/>
        </w:rPr>
        <w:t>del mismo</w:t>
      </w:r>
      <w:proofErr w:type="gramEnd"/>
      <w:r w:rsidRPr="001B3C5D">
        <w:rPr>
          <w:rFonts w:ascii="Verdana" w:eastAsia="Times New Roman" w:hAnsi="Verdana" w:cs="Arial"/>
          <w:sz w:val="21"/>
          <w:szCs w:val="21"/>
          <w:lang w:eastAsia="es-CO"/>
        </w:rPr>
        <w:t>, a fin de que se cumplan los principios y procesos generales que deben gobernar la actividad contractual de las entidades públicas” (Subrayado fuera del texto).</w:t>
      </w:r>
    </w:p>
    <w:p w14:paraId="24E34601" w14:textId="77777777" w:rsidR="00FE5E91" w:rsidRPr="001B3C5D" w:rsidRDefault="00FE5E91" w:rsidP="00FE5E91">
      <w:pPr>
        <w:spacing w:after="0" w:line="240" w:lineRule="auto"/>
        <w:ind w:left="709" w:right="709"/>
        <w:jc w:val="both"/>
        <w:rPr>
          <w:rFonts w:ascii="Verdana" w:eastAsia="Times New Roman" w:hAnsi="Verdana" w:cs="Arial"/>
          <w:lang w:eastAsia="es-CO"/>
        </w:rPr>
      </w:pPr>
    </w:p>
    <w:p w14:paraId="3E014824" w14:textId="77777777" w:rsidR="00FE5E91" w:rsidRPr="001B3C5D" w:rsidRDefault="00FE5E91" w:rsidP="00FE5E91">
      <w:pPr>
        <w:spacing w:after="0" w:line="276" w:lineRule="auto"/>
        <w:ind w:firstLine="708"/>
        <w:jc w:val="both"/>
        <w:rPr>
          <w:rFonts w:ascii="Verdana" w:eastAsia="Times New Roman" w:hAnsi="Verdana" w:cs="Arial"/>
          <w:lang w:eastAsia="es-ES"/>
        </w:rPr>
      </w:pPr>
      <w:r w:rsidRPr="001B3C5D">
        <w:rPr>
          <w:rFonts w:ascii="Verdana" w:eastAsia="Times New Roman" w:hAnsi="Verdana" w:cs="Arial"/>
          <w:lang w:eastAsia="es-MX"/>
        </w:rPr>
        <w:t>Así mismo, el Decreto Ley le otorgó a la Subdirección de Gestión Contractual la función de: “</w:t>
      </w:r>
      <w:r w:rsidRPr="001B3C5D">
        <w:rPr>
          <w:rFonts w:ascii="Verdana" w:eastAsia="Times New Roman" w:hAnsi="Verdana" w:cs="Arial"/>
          <w:u w:val="single"/>
          <w:lang w:eastAsia="es-MX"/>
        </w:rPr>
        <w:t>Desarrollar e implementar</w:t>
      </w:r>
      <w:r w:rsidRPr="001B3C5D">
        <w:rPr>
          <w:rFonts w:ascii="Verdana" w:eastAsia="Times New Roman" w:hAnsi="Verdana" w:cs="Arial"/>
          <w:lang w:eastAsia="es-MX"/>
        </w:rPr>
        <w:t xml:space="preserve"> </w:t>
      </w:r>
      <w:r w:rsidRPr="001B3C5D">
        <w:rPr>
          <w:rFonts w:ascii="Verdana" w:eastAsia="Times New Roman" w:hAnsi="Verdana" w:cs="Arial"/>
          <w:u w:val="single"/>
          <w:lang w:eastAsia="es-MX"/>
        </w:rPr>
        <w:t>estándares y documentos tipo</w:t>
      </w:r>
      <w:r w:rsidRPr="001B3C5D">
        <w:rPr>
          <w:rFonts w:ascii="Verdana" w:eastAsia="Times New Roman" w:hAnsi="Verdana" w:cs="Arial"/>
          <w:lang w:eastAsia="es-MX"/>
        </w:rPr>
        <w:t xml:space="preserve"> para las diferentes etapas de la gestión contractual </w:t>
      </w:r>
      <w:r w:rsidRPr="001B3C5D">
        <w:rPr>
          <w:rFonts w:ascii="Verdana" w:eastAsia="Times New Roman" w:hAnsi="Verdana" w:cs="Times New Roman"/>
          <w:lang w:eastAsia="es-MX"/>
        </w:rPr>
        <w:t>pública”</w:t>
      </w:r>
      <w:r w:rsidRPr="001B3C5D">
        <w:rPr>
          <w:rFonts w:ascii="Verdana" w:eastAsia="Times New Roman" w:hAnsi="Verdana" w:cs="Times New Roman"/>
          <w:vertAlign w:val="superscript"/>
          <w:lang w:eastAsia="es-MX"/>
        </w:rPr>
        <w:footnoteReference w:id="25"/>
      </w:r>
      <w:r w:rsidRPr="001B3C5D">
        <w:rPr>
          <w:rFonts w:ascii="Verdana" w:eastAsia="Times New Roman" w:hAnsi="Verdana" w:cs="Arial"/>
          <w:i/>
          <w:iCs/>
          <w:lang w:eastAsia="es-ES"/>
        </w:rPr>
        <w:t>.</w:t>
      </w:r>
      <w:r w:rsidRPr="001B3C5D">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52395442" w14:textId="77777777" w:rsidR="00FE5E91" w:rsidRPr="001B3C5D" w:rsidRDefault="00FE5E91" w:rsidP="00FE5E91">
      <w:pPr>
        <w:spacing w:after="0" w:line="240" w:lineRule="auto"/>
        <w:jc w:val="both"/>
        <w:rPr>
          <w:rFonts w:ascii="Verdana" w:eastAsia="Times New Roman" w:hAnsi="Verdana" w:cs="Arial"/>
          <w:lang w:eastAsia="es-ES"/>
        </w:rPr>
      </w:pPr>
    </w:p>
    <w:p w14:paraId="7C62573E" w14:textId="77777777" w:rsidR="00FE5E91" w:rsidRPr="001B3C5D" w:rsidRDefault="00FE5E91" w:rsidP="00FE5E91">
      <w:pPr>
        <w:spacing w:after="240" w:line="240" w:lineRule="auto"/>
        <w:ind w:left="709" w:right="709"/>
        <w:jc w:val="both"/>
        <w:rPr>
          <w:rFonts w:ascii="Verdana" w:eastAsia="Times New Roman" w:hAnsi="Verdana" w:cs="Arial"/>
          <w:i/>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difundir las normas, reglas, procedimientos, medios tecnológicos y mejores prácticas para las compras y la contratación pública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potestad reguladora que, en todo caso, debe ejercerse conforme a la Ley y ajustada a la potestad reglamentaria del Gobierno Nacional</w:t>
      </w:r>
      <w:r w:rsidRPr="001B3C5D">
        <w:rPr>
          <w:rFonts w:ascii="Verdana" w:eastAsia="Times New Roman" w:hAnsi="Verdana" w:cs="Arial"/>
          <w:sz w:val="21"/>
          <w:szCs w:val="21"/>
          <w:lang w:eastAsia="es-MX"/>
        </w:rPr>
        <w:t>”</w:t>
      </w:r>
      <w:r w:rsidRPr="001B3C5D">
        <w:rPr>
          <w:rFonts w:ascii="Verdana" w:eastAsia="Times New Roman" w:hAnsi="Verdana" w:cs="Arial"/>
          <w:i/>
          <w:iCs/>
          <w:sz w:val="21"/>
          <w:szCs w:val="21"/>
          <w:vertAlign w:val="superscript"/>
          <w:lang w:eastAsia="es-MX"/>
        </w:rPr>
        <w:footnoteReference w:id="26"/>
      </w:r>
      <w:r w:rsidRPr="001B3C5D">
        <w:rPr>
          <w:rFonts w:ascii="Verdana" w:eastAsia="Times New Roman" w:hAnsi="Verdana" w:cs="Arial"/>
          <w:i/>
          <w:iCs/>
          <w:sz w:val="21"/>
          <w:szCs w:val="21"/>
          <w:lang w:eastAsia="es-ES"/>
        </w:rPr>
        <w:t xml:space="preserve">. </w:t>
      </w:r>
    </w:p>
    <w:p w14:paraId="63B9DB9C" w14:textId="77777777" w:rsidR="00FE5E91" w:rsidRPr="001B3C5D" w:rsidRDefault="00FE5E91" w:rsidP="00FE5E91">
      <w:pPr>
        <w:spacing w:after="0" w:line="276" w:lineRule="auto"/>
        <w:ind w:firstLine="708"/>
        <w:jc w:val="both"/>
        <w:rPr>
          <w:rFonts w:ascii="Verdana" w:eastAsia="Times New Roman" w:hAnsi="Verdana" w:cs="Arial"/>
          <w:lang w:eastAsia="es-ES"/>
        </w:rPr>
      </w:pPr>
      <w:r w:rsidRPr="001B3C5D">
        <w:rPr>
          <w:rFonts w:ascii="Verdana" w:eastAsia="Times New Roman" w:hAnsi="Verdana" w:cs="Arial"/>
          <w:lang w:eastAsia="es-ES"/>
        </w:rPr>
        <w:t>Lo anterior fue reiterado por el Consejo de Estado, en la sentencia del 16 de agosto de 2017, en el expediente 56.166, en los siguientes términos:</w:t>
      </w:r>
    </w:p>
    <w:p w14:paraId="6C2AD3B3" w14:textId="77777777" w:rsidR="00FE5E91" w:rsidRPr="001B3C5D" w:rsidRDefault="00FE5E91" w:rsidP="00FE5E91">
      <w:pPr>
        <w:spacing w:after="0" w:line="240" w:lineRule="auto"/>
        <w:jc w:val="both"/>
        <w:rPr>
          <w:rFonts w:ascii="Verdana" w:eastAsia="Times New Roman" w:hAnsi="Verdana" w:cs="Arial"/>
          <w:lang w:eastAsia="es-ES"/>
        </w:rPr>
      </w:pPr>
    </w:p>
    <w:p w14:paraId="420866AC" w14:textId="77777777" w:rsidR="00FE5E91" w:rsidRPr="001B3C5D" w:rsidRDefault="00FE5E91" w:rsidP="00FE5E91">
      <w:pPr>
        <w:spacing w:after="0" w:line="240" w:lineRule="auto"/>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Dígase que ese poder de regulación normativa en cabeza de CCE se ejerce </w:t>
      </w:r>
      <w:proofErr w:type="spellStart"/>
      <w:r w:rsidRPr="001B3C5D">
        <w:rPr>
          <w:rFonts w:ascii="Verdana" w:eastAsia="Times New Roman" w:hAnsi="Verdana" w:cs="Arial"/>
          <w:i/>
          <w:iCs/>
          <w:sz w:val="21"/>
          <w:szCs w:val="21"/>
          <w:lang w:eastAsia="es-ES"/>
        </w:rPr>
        <w:t>secundum</w:t>
      </w:r>
      <w:proofErr w:type="spellEnd"/>
      <w:r w:rsidRPr="001B3C5D">
        <w:rPr>
          <w:rFonts w:ascii="Verdana" w:eastAsia="Times New Roman" w:hAnsi="Verdana" w:cs="Arial"/>
          <w:i/>
          <w:iCs/>
          <w:sz w:val="21"/>
          <w:szCs w:val="21"/>
          <w:lang w:eastAsia="es-ES"/>
        </w:rPr>
        <w:t xml:space="preserve"> </w:t>
      </w:r>
      <w:proofErr w:type="spellStart"/>
      <w:r w:rsidRPr="001B3C5D">
        <w:rPr>
          <w:rFonts w:ascii="Verdana" w:eastAsia="Times New Roman" w:hAnsi="Verdana" w:cs="Arial"/>
          <w:i/>
          <w:iCs/>
          <w:sz w:val="21"/>
          <w:szCs w:val="21"/>
          <w:lang w:eastAsia="es-ES"/>
        </w:rPr>
        <w:t>legem</w:t>
      </w:r>
      <w:proofErr w:type="spellEnd"/>
      <w:r w:rsidRPr="001B3C5D">
        <w:rPr>
          <w:rFonts w:ascii="Verdana" w:eastAsia="Times New Roman" w:hAnsi="Verdana" w:cs="Arial"/>
          <w:sz w:val="21"/>
          <w:szCs w:val="21"/>
          <w:lang w:eastAsia="es-ES"/>
        </w:rPr>
        <w:t xml:space="preserve"> como también subordinado a la potestad reglamentaria del Gobierno Nacional, de suerte que no rivaliza con ésta </w:t>
      </w:r>
      <w:r w:rsidRPr="001B3C5D">
        <w:rPr>
          <w:rFonts w:ascii="Verdana" w:eastAsia="Times New Roman" w:hAnsi="Verdana" w:cs="Arial"/>
          <w:sz w:val="21"/>
          <w:szCs w:val="21"/>
          <w:lang w:eastAsia="es-ES"/>
        </w:rPr>
        <w:lastRenderedPageBreak/>
        <w:t>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1B3C5D">
        <w:rPr>
          <w:rFonts w:ascii="Verdana" w:eastAsia="Times New Roman" w:hAnsi="Verdana" w:cs="Arial"/>
          <w:sz w:val="21"/>
          <w:szCs w:val="21"/>
          <w:vertAlign w:val="superscript"/>
          <w:lang w:eastAsia="es-ES"/>
        </w:rPr>
        <w:footnoteReference w:id="27"/>
      </w:r>
      <w:r w:rsidRPr="001B3C5D">
        <w:rPr>
          <w:rFonts w:ascii="Verdana" w:eastAsia="Times New Roman" w:hAnsi="Verdana" w:cs="Arial"/>
          <w:sz w:val="21"/>
          <w:szCs w:val="21"/>
          <w:lang w:eastAsia="es-ES"/>
        </w:rPr>
        <w:t>.</w:t>
      </w:r>
    </w:p>
    <w:p w14:paraId="5757BD02" w14:textId="77777777" w:rsidR="00FE5E91" w:rsidRPr="001B3C5D" w:rsidRDefault="00FE5E91" w:rsidP="00FE5E91">
      <w:pPr>
        <w:spacing w:after="0" w:line="240" w:lineRule="auto"/>
        <w:ind w:left="709" w:right="709"/>
        <w:jc w:val="both"/>
        <w:rPr>
          <w:rFonts w:ascii="Verdana" w:eastAsia="Times New Roman" w:hAnsi="Verdana" w:cs="Arial"/>
          <w:lang w:eastAsia="es-ES"/>
        </w:rPr>
      </w:pPr>
    </w:p>
    <w:p w14:paraId="5BFADE7A" w14:textId="77777777" w:rsidR="00FE5E91" w:rsidRPr="001B3C5D" w:rsidRDefault="00FE5E91" w:rsidP="00FE5E91">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 xml:space="preserve"> </w:t>
      </w:r>
      <w:r w:rsidRPr="001B3C5D">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1B3C5D">
        <w:rPr>
          <w:rFonts w:ascii="Verdana" w:eastAsia="MS Mincho" w:hAnsi="Verdana" w:cs="Arial"/>
          <w:vertAlign w:val="superscript"/>
          <w:lang w:eastAsia="es-ES"/>
        </w:rPr>
        <w:footnoteReference w:id="28"/>
      </w:r>
      <w:r w:rsidRPr="001B3C5D">
        <w:rPr>
          <w:rFonts w:ascii="Verdana" w:eastAsia="Times New Roman" w:hAnsi="Verdana" w:cs="Arial"/>
          <w:lang w:eastAsia="es-ES"/>
        </w:rPr>
        <w:t>.</w:t>
      </w:r>
    </w:p>
    <w:p w14:paraId="4235C59D" w14:textId="77777777" w:rsidR="00FE5E91" w:rsidRPr="001B3C5D" w:rsidRDefault="00FE5E91" w:rsidP="00FE5E91">
      <w:pPr>
        <w:tabs>
          <w:tab w:val="center" w:pos="4419"/>
          <w:tab w:val="right" w:pos="8838"/>
        </w:tabs>
        <w:spacing w:after="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Conviene reiterar que, conforme con lo manifestado por el Consejo de Estado</w:t>
      </w:r>
      <w:r w:rsidRPr="001B3C5D">
        <w:rPr>
          <w:rFonts w:ascii="Verdana" w:eastAsia="Times New Roman" w:hAnsi="Verdana" w:cs="Arial"/>
          <w:vertAlign w:val="superscript"/>
          <w:lang w:eastAsia="es-ES"/>
        </w:rPr>
        <w:footnoteReference w:id="29"/>
      </w:r>
      <w:r w:rsidRPr="001B3C5D">
        <w:rPr>
          <w:rFonts w:ascii="Verdana" w:eastAsia="Times New Roman" w:hAnsi="Verdana" w:cs="Arial"/>
          <w:lang w:eastAsia="es-ES"/>
        </w:rPr>
        <w:t>, la facultad que recae en la Agencia Nacional de Contratación Pública – Colombia Compra Eficiente para regular aspectos técnicos en el marco de las competencias que le fueron otorgadas por el Decreto Ley 4170 de 2011, como es el caso del desarrollo e implementación de documentos tipo, no implica modificar el esquema constitucional establecido para el ejercicio de la potestad reglamentaria en cabeza del Gobierno Nacional:</w:t>
      </w:r>
    </w:p>
    <w:p w14:paraId="23EAE2F7" w14:textId="77777777" w:rsidR="00FE5E91" w:rsidRPr="001B3C5D" w:rsidRDefault="00FE5E91" w:rsidP="00FE5E91">
      <w:pPr>
        <w:tabs>
          <w:tab w:val="center" w:pos="4419"/>
          <w:tab w:val="right" w:pos="8838"/>
        </w:tabs>
        <w:spacing w:after="0" w:line="240" w:lineRule="auto"/>
        <w:jc w:val="both"/>
        <w:rPr>
          <w:rFonts w:ascii="Verdana" w:eastAsia="Times New Roman" w:hAnsi="Verdana" w:cs="Arial"/>
          <w:lang w:eastAsia="es-ES"/>
        </w:rPr>
      </w:pPr>
    </w:p>
    <w:p w14:paraId="0511E9C9" w14:textId="77777777" w:rsidR="00FE5E91" w:rsidRPr="001B3C5D" w:rsidRDefault="00FE5E91" w:rsidP="00FE5E91">
      <w:pPr>
        <w:spacing w:after="0" w:line="240" w:lineRule="auto"/>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para la Sala resulta claro que con el Decreto-Ley 4170 de 2011 el legislador extraordinario no quiso modificar –como en efecto no lo hizo– el esquema de producción normativa establecido en la Constitución Política y, por lo mismo, las funciones asignadas a Colombia Compra Eficiente guardan una estricta lógica de jerarquía normativa respecto de las facultades reglamentarias reservadas al presidente de la República y, por supuesto, respecto de los lineamientos legislativos. No podría considerarse que con el Decreto-Ley mencionado se distribuyeron las competencias reglamentarias entre el presidente de la República y la nueva agencia, asignando a </w:t>
      </w:r>
      <w:r w:rsidRPr="001B3C5D">
        <w:rPr>
          <w:rFonts w:ascii="Verdana" w:eastAsia="Times New Roman" w:hAnsi="Verdana" w:cs="Arial"/>
          <w:sz w:val="21"/>
          <w:szCs w:val="21"/>
          <w:lang w:eastAsia="es-ES"/>
        </w:rPr>
        <w:lastRenderedPageBreak/>
        <w:t xml:space="preserve">esta última todo aquello relativo a la contratación del Estado. Por el contrario, lo que resulta evidente es que </w:t>
      </w:r>
      <w:r w:rsidRPr="001B3C5D">
        <w:rPr>
          <w:rFonts w:ascii="Verdana" w:eastAsia="Times New Roman" w:hAnsi="Verdana" w:cs="Arial"/>
          <w:sz w:val="21"/>
          <w:szCs w:val="21"/>
          <w:u w:val="single"/>
          <w:lang w:eastAsia="es-ES"/>
        </w:rPr>
        <w:t>el presidente de la República cuenta ahora con una entidad especializada que lo apoya técnicamente</w:t>
      </w:r>
      <w:r w:rsidRPr="001B3C5D">
        <w:rPr>
          <w:rFonts w:ascii="Verdana" w:eastAsia="Times New Roman" w:hAnsi="Verdana" w:cs="Arial"/>
          <w:sz w:val="21"/>
          <w:szCs w:val="21"/>
          <w:lang w:eastAsia="es-ES"/>
        </w:rPr>
        <w:t xml:space="preserve"> tanto en la formulación de una política pública en materia de compras y contratación pública, </w:t>
      </w:r>
      <w:r w:rsidRPr="001B3C5D">
        <w:rPr>
          <w:rFonts w:ascii="Verdana" w:eastAsia="Times New Roman" w:hAnsi="Verdana" w:cs="Arial"/>
          <w:sz w:val="21"/>
          <w:szCs w:val="21"/>
          <w:u w:val="single"/>
          <w:lang w:eastAsia="es-ES"/>
        </w:rPr>
        <w:t>como en su labor de producción normativa, sin que por ello se desprenda de las normas pertinentes alguna suerte de escisión de las facultades</w:t>
      </w:r>
      <w:r w:rsidRPr="001B3C5D">
        <w:rPr>
          <w:rFonts w:ascii="Verdana" w:eastAsia="Times New Roman" w:hAnsi="Verdana" w:cs="Arial"/>
          <w:b/>
          <w:bCs/>
          <w:sz w:val="21"/>
          <w:szCs w:val="21"/>
          <w:lang w:eastAsia="es-ES"/>
        </w:rPr>
        <w:t>.</w:t>
      </w:r>
      <w:r w:rsidRPr="001B3C5D">
        <w:rPr>
          <w:rFonts w:ascii="Verdana" w:eastAsia="Times New Roman" w:hAnsi="Verdana" w:cs="Arial"/>
          <w:sz w:val="21"/>
          <w:szCs w:val="21"/>
          <w:lang w:eastAsia="es-ES"/>
        </w:rPr>
        <w:t xml:space="preserve"> Adicionalmente, las funciones asignadas a la Agencia, si bien pueden comportar una facultad de regulación de la actividad contractual pública, ella debe ser ejercida con sometimiento al esquema jerárquico normativo del sistema jurídico, por lo que deberá sujetarse, como consecuencia, a los dictados constitucionales, legales y a la reglamentación expedida por el presidente de la República”</w:t>
      </w:r>
      <w:r w:rsidRPr="001B3C5D">
        <w:rPr>
          <w:rFonts w:ascii="Verdana" w:eastAsia="Times New Roman" w:hAnsi="Verdana" w:cs="Arial"/>
          <w:sz w:val="21"/>
          <w:szCs w:val="21"/>
          <w:vertAlign w:val="superscript"/>
          <w:lang w:eastAsia="es-ES"/>
        </w:rPr>
        <w:footnoteReference w:id="30"/>
      </w:r>
      <w:r w:rsidRPr="001B3C5D">
        <w:rPr>
          <w:rFonts w:ascii="Verdana" w:eastAsia="Times New Roman" w:hAnsi="Verdana" w:cs="Arial"/>
          <w:i/>
          <w:iCs/>
          <w:sz w:val="21"/>
          <w:szCs w:val="21"/>
          <w:lang w:eastAsia="es-ES"/>
        </w:rPr>
        <w:t>.</w:t>
      </w:r>
      <w:r w:rsidRPr="001B3C5D">
        <w:rPr>
          <w:rFonts w:ascii="Verdana" w:eastAsia="Times New Roman" w:hAnsi="Verdana" w:cs="Arial"/>
          <w:sz w:val="21"/>
          <w:szCs w:val="21"/>
          <w:lang w:eastAsia="es-ES"/>
        </w:rPr>
        <w:t xml:space="preserve"> (Subrayado fuera del texto) </w:t>
      </w:r>
    </w:p>
    <w:p w14:paraId="1B428582" w14:textId="77777777" w:rsidR="00FE5E91" w:rsidRPr="001B3C5D" w:rsidRDefault="00FE5E91" w:rsidP="00FE5E91">
      <w:pPr>
        <w:tabs>
          <w:tab w:val="center" w:pos="4419"/>
          <w:tab w:val="right" w:pos="8838"/>
        </w:tabs>
        <w:spacing w:after="0" w:line="240" w:lineRule="auto"/>
        <w:jc w:val="both"/>
        <w:rPr>
          <w:rFonts w:ascii="Verdana" w:eastAsia="Times New Roman" w:hAnsi="Verdana" w:cs="Arial"/>
          <w:lang w:eastAsia="es-ES"/>
        </w:rPr>
      </w:pPr>
    </w:p>
    <w:p w14:paraId="62089C9F" w14:textId="77777777" w:rsidR="00FE5E91" w:rsidRPr="001B3C5D" w:rsidRDefault="00FE5E91" w:rsidP="00FE5E91">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 El anterior pronunciamiento fue proferido por parte del Consejo de Estado al estudiar la legalidad del artículo 159 del Decreto 1510 de 2013, respecto de la competencia de la Agencia Nacional de Contratación Pública - Colombia Compra Eficiente para el diseño e implementación de documentos estandarizados y especializados, dentro de los cuales se encuentran, entre otros, los documentos tipo. Al respecto, el Alto Tribunal consideró que esta competencia carecía de sustento normativo desde el punto de vista reglamentario por cuanto el artículo 2 de la Ley 1150 de 2007 confirió al Gobierno Nacional la facultad de fijar con fuerza vinculante, </w:t>
      </w:r>
      <w:r w:rsidRPr="001B3C5D">
        <w:rPr>
          <w:rFonts w:ascii="Verdana" w:eastAsia="MS Mincho" w:hAnsi="Verdana" w:cs="Arial"/>
          <w:lang w:eastAsia="es-CO"/>
        </w:rPr>
        <w:t>“</w:t>
      </w:r>
      <w:r w:rsidRPr="001B3C5D">
        <w:rPr>
          <w:rFonts w:ascii="Verdana" w:eastAsia="Times New Roman" w:hAnsi="Verdana" w:cs="Arial"/>
          <w:iCs/>
          <w:lang w:eastAsia="es-ES"/>
        </w:rPr>
        <w:t>las condiciones generales de los pliegos de condiciones y los contratos de las entidades estatales</w:t>
      </w:r>
      <w:r w:rsidRPr="001B3C5D">
        <w:rPr>
          <w:rFonts w:ascii="Verdana" w:eastAsia="MS Mincho" w:hAnsi="Verdana" w:cs="Arial"/>
          <w:lang w:eastAsia="es-CO"/>
        </w:rPr>
        <w:t>”</w:t>
      </w:r>
      <w:r w:rsidRPr="001B3C5D">
        <w:rPr>
          <w:rFonts w:ascii="Verdana" w:eastAsia="Times New Roman" w:hAnsi="Verdana" w:cs="Arial"/>
          <w:lang w:eastAsia="es-ES"/>
        </w:rPr>
        <w:t xml:space="preserve"> para la adquisición de bienes y servicios de características técnicas uniformes y de común utilización, sin hacer referencia a la adopción de otro tipo de contratos o modalidades. </w:t>
      </w:r>
    </w:p>
    <w:p w14:paraId="7F6D7C24" w14:textId="77777777" w:rsidR="00FE5E91" w:rsidRPr="001B3C5D" w:rsidRDefault="00FE5E91" w:rsidP="00FE5E91">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De igual manera, aclaró que en el marco normativo en el cual fue expedido el Decreto 1510 de 2013 no se contaba con la facultad legal por parte de la Agencia Nacional de Contratación Pública - Colombia Compra Eficiente para el diseño e implementación de documentos estandarizados para ninguna modalidad de contratación con efectos obligatorios para las entidades públicas, salvo el evento señalado en el parágrafo 3 del artículo 2 de la Ley 1150 de 2007.  No obstante, la expedición de la presente resolución se fundamenta en el artículo 1 de la Ley 2022 de 2020 que brinda el sustento normativo para la adopción de los documentos tipo. Esto con el fin de que la Agencia, como entidad administrativa especializada, los desarrolle e implemente dentro de los límites </w:t>
      </w:r>
      <w:r w:rsidRPr="001B3C5D">
        <w:rPr>
          <w:rFonts w:ascii="Verdana" w:eastAsia="Times New Roman" w:hAnsi="Verdana" w:cs="Arial"/>
          <w:lang w:eastAsia="es-ES"/>
        </w:rPr>
        <w:lastRenderedPageBreak/>
        <w:t>establecidos en la ley citada acorde con las funciones, objeto y misión de la entidad.</w:t>
      </w:r>
    </w:p>
    <w:p w14:paraId="26405F00" w14:textId="77777777" w:rsidR="00FE5E91" w:rsidRPr="001B3C5D" w:rsidRDefault="00FE5E91" w:rsidP="00FE5E91">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Por lo tanto, a diferencia de lo establecido en el numeral 3 del artículo 159 del Decreto 1510 de 2013, esta reglamentación cuenta con un sustento jurídico suficiente, dado en el artículo 1 de la Ley 2022 de 2020 y permite a la Agencia Nacional de Contratación Pública – Colombia Compra Eficiente concretar y aterrizar la voluntad del legislador mediante el ejercicio de la potestad reglamentaria.</w:t>
      </w:r>
      <w:r w:rsidRPr="001B3C5D">
        <w:rPr>
          <w:rFonts w:ascii="Verdana" w:eastAsia="MS Mincho" w:hAnsi="Verdana" w:cs="Arial"/>
          <w:lang w:eastAsia="es-CO"/>
        </w:rPr>
        <w:t xml:space="preserve"> </w:t>
      </w:r>
    </w:p>
    <w:p w14:paraId="0E894876" w14:textId="77777777" w:rsidR="00FE5E91" w:rsidRPr="001B3C5D" w:rsidRDefault="00FE5E91" w:rsidP="00FE5E91">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Mediante una interpretación sistemática de la normativa y jurisprudencia citada es posible concluir que esta Agencia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43AD98F4" w14:textId="77777777" w:rsidR="00FE5E91" w:rsidRPr="001B3C5D" w:rsidRDefault="00FE5E91" w:rsidP="00FE5E91">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r w:rsidRPr="001B3C5D">
        <w:rPr>
          <w:rFonts w:ascii="Verdana" w:eastAsia="MS Mincho" w:hAnsi="Verdana" w:cs="Arial"/>
          <w:lang w:eastAsia="es-CO"/>
        </w:rPr>
        <w:t>I</w:t>
      </w:r>
      <w:r w:rsidRPr="001B3C5D">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75D1AA6B" w14:textId="77777777" w:rsidR="00FE5E91" w:rsidRPr="001B3C5D" w:rsidRDefault="00FE5E91" w:rsidP="00FE5E91">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p>
    <w:p w14:paraId="0783CCA7" w14:textId="77777777" w:rsidR="00FE5E91" w:rsidRPr="001B3C5D" w:rsidRDefault="00FE5E91" w:rsidP="00FE5E91">
      <w:pPr>
        <w:tabs>
          <w:tab w:val="center" w:pos="4419"/>
          <w:tab w:val="right" w:pos="8838"/>
        </w:tabs>
        <w:spacing w:after="0" w:line="276" w:lineRule="auto"/>
        <w:jc w:val="both"/>
        <w:rPr>
          <w:rFonts w:ascii="Verdana" w:eastAsia="Calibri" w:hAnsi="Verdana" w:cs="Arial"/>
          <w:color w:val="000000"/>
          <w:lang w:val="es-ES"/>
        </w:rPr>
      </w:pPr>
      <w:proofErr w:type="spellStart"/>
      <w:r w:rsidRPr="001B3C5D">
        <w:rPr>
          <w:rFonts w:ascii="Verdana" w:eastAsia="Aptos" w:hAnsi="Verdana" w:cs="Times New Roman"/>
          <w:kern w:val="2"/>
          <w:sz w:val="24"/>
          <w:szCs w:val="24"/>
          <w14:ligatures w14:val="standardContextual"/>
        </w:rPr>
        <w:t>iii</w:t>
      </w:r>
      <w:proofErr w:type="spellEnd"/>
      <w:r w:rsidRPr="001B3C5D">
        <w:rPr>
          <w:rFonts w:ascii="Verdana" w:eastAsia="Aptos" w:hAnsi="Verdana" w:cs="Times New Roman"/>
          <w:kern w:val="2"/>
          <w:sz w:val="24"/>
          <w:szCs w:val="24"/>
          <w14:ligatures w14:val="standardContextual"/>
        </w:rPr>
        <w:t xml:space="preserve">. </w:t>
      </w:r>
      <w:r w:rsidRPr="001B3C5D">
        <w:rPr>
          <w:rFonts w:ascii="Verdana" w:eastAsia="Calibri" w:hAnsi="Verdana" w:cs="Arial"/>
          <w:color w:val="000000"/>
          <w:lang w:val="es-ES"/>
        </w:rPr>
        <w:t>Todas las resoluciones</w:t>
      </w:r>
      <w:r w:rsidRPr="001B3C5D">
        <w:rPr>
          <w:rFonts w:ascii="Verdana" w:eastAsia="Calibri" w:hAnsi="Verdana" w:cs="Arial"/>
          <w:color w:val="000000"/>
          <w:vertAlign w:val="superscript"/>
          <w:lang w:val="es-ES"/>
        </w:rPr>
        <w:footnoteReference w:id="31"/>
      </w:r>
      <w:r w:rsidRPr="001B3C5D">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lang w:val="es-ES"/>
        </w:rPr>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w:t>
      </w:r>
      <w:r w:rsidRPr="001B3C5D">
        <w:rPr>
          <w:rFonts w:ascii="Verdana" w:eastAsia="Calibri" w:hAnsi="Verdana" w:cs="Arial"/>
          <w:color w:val="000000"/>
          <w:lang w:val="es-ES"/>
        </w:rPr>
        <w:lastRenderedPageBreak/>
        <w:t>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664EC6DB" w14:textId="77777777" w:rsidR="00FE5E91" w:rsidRPr="001B3C5D" w:rsidRDefault="00FE5E91" w:rsidP="00FE5E91">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772FB57E" w14:textId="77777777" w:rsidR="00FE5E91" w:rsidRPr="001B3C5D" w:rsidRDefault="00FE5E91" w:rsidP="00FE5E91">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1B3C5D">
        <w:rPr>
          <w:rFonts w:ascii="Verdana" w:eastAsia="Calibri" w:hAnsi="Verdana" w:cs="Arial"/>
          <w:vertAlign w:val="superscript"/>
          <w:lang w:val="es-ES_tradnl"/>
        </w:rPr>
        <w:footnoteReference w:id="32"/>
      </w:r>
      <w:r w:rsidRPr="001B3C5D">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7C529F3A" w14:textId="77777777" w:rsidR="00FE5E91" w:rsidRPr="001B3C5D" w:rsidRDefault="00FE5E91" w:rsidP="00FE5E91">
      <w:pPr>
        <w:spacing w:before="120" w:after="120" w:line="276" w:lineRule="auto"/>
        <w:ind w:firstLine="709"/>
        <w:jc w:val="both"/>
        <w:rPr>
          <w:rFonts w:ascii="Verdana" w:eastAsia="Calibri" w:hAnsi="Verdana" w:cs="Arial"/>
          <w:lang w:val="es-ES"/>
        </w:rPr>
      </w:pPr>
      <w:r w:rsidRPr="001B3C5D">
        <w:rPr>
          <w:rFonts w:ascii="Verdana" w:eastAsia="Calibri" w:hAnsi="Verdana" w:cs="Arial"/>
          <w:lang w:val="es-ES"/>
        </w:rPr>
        <w:t xml:space="preserve">Además, las entidades estatales deben garantizar el </w:t>
      </w:r>
      <w:r w:rsidRPr="001B3C5D">
        <w:rPr>
          <w:rFonts w:ascii="Verdana" w:eastAsia="Calibri" w:hAnsi="Verdana" w:cs="Arial"/>
          <w:i/>
          <w:iCs/>
          <w:lang w:val="es-ES"/>
        </w:rPr>
        <w:t>principio de economía</w:t>
      </w:r>
      <w:r w:rsidRPr="001B3C5D">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1B3C5D">
        <w:rPr>
          <w:rFonts w:ascii="Verdana" w:eastAsia="Calibri" w:hAnsi="Verdana" w:cs="Arial"/>
          <w:vertAlign w:val="superscript"/>
          <w:lang w:val="es-ES"/>
        </w:rPr>
        <w:footnoteReference w:id="33"/>
      </w:r>
      <w:r w:rsidRPr="001B3C5D">
        <w:rPr>
          <w:rFonts w:ascii="Verdana" w:eastAsia="Calibri" w:hAnsi="Verdana" w:cs="Arial"/>
          <w:lang w:val="es-ES"/>
        </w:rPr>
        <w:t xml:space="preserve"> sino además en </w:t>
      </w:r>
      <w:r w:rsidRPr="001B3C5D">
        <w:rPr>
          <w:rFonts w:ascii="Verdana" w:eastAsia="Calibri" w:hAnsi="Verdana" w:cs="Arial"/>
          <w:lang w:val="es-ES"/>
        </w:rPr>
        <w:lastRenderedPageBreak/>
        <w:t xml:space="preserve">la normativa </w:t>
      </w:r>
      <w:proofErr w:type="spellStart"/>
      <w:r w:rsidRPr="001B3C5D">
        <w:rPr>
          <w:rFonts w:ascii="Verdana" w:eastAsia="Calibri" w:hAnsi="Verdana" w:cs="Arial"/>
          <w:lang w:val="es-ES"/>
        </w:rPr>
        <w:t>antitrámites</w:t>
      </w:r>
      <w:proofErr w:type="spellEnd"/>
      <w:r w:rsidRPr="001B3C5D">
        <w:rPr>
          <w:rFonts w:ascii="Verdana" w:eastAsia="Calibri" w:hAnsi="Verdana" w:cs="Arial"/>
          <w:vertAlign w:val="superscript"/>
          <w:lang w:val="es-ES"/>
        </w:rPr>
        <w:footnoteReference w:id="34"/>
      </w:r>
      <w:r w:rsidRPr="001B3C5D">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08B36909" w14:textId="77777777" w:rsidR="00FE5E91" w:rsidRPr="001B3C5D" w:rsidRDefault="00FE5E91" w:rsidP="00FE5E91">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B3C5D">
        <w:rPr>
          <w:rFonts w:ascii="Verdana" w:eastAsia="Calibri" w:hAnsi="Verdana" w:cs="Arial"/>
          <w:color w:val="000000"/>
          <w:vertAlign w:val="superscript"/>
          <w:lang w:val="es-ES"/>
        </w:rPr>
        <w:footnoteReference w:id="35"/>
      </w:r>
      <w:r w:rsidRPr="001B3C5D">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65D14693" w14:textId="77777777" w:rsidR="00FE5E91" w:rsidRPr="001B3C5D" w:rsidRDefault="00FE5E91" w:rsidP="00FE5E91">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288D5A1C" w14:textId="77777777" w:rsidR="00FE5E91" w:rsidRPr="001B3C5D" w:rsidRDefault="00FE5E91" w:rsidP="00FE5E91">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51C69C71" w14:textId="77777777" w:rsidR="00FE5E91" w:rsidRPr="001B3C5D" w:rsidRDefault="00FE5E91" w:rsidP="00FE5E91">
      <w:pPr>
        <w:spacing w:after="120" w:line="276" w:lineRule="auto"/>
        <w:ind w:firstLine="708"/>
        <w:jc w:val="both"/>
        <w:rPr>
          <w:rFonts w:ascii="Verdana" w:eastAsia="Calibri" w:hAnsi="Verdana" w:cs="Arial"/>
          <w:color w:val="000000"/>
          <w:lang w:val="es-ES"/>
        </w:rPr>
      </w:pPr>
      <w:r w:rsidRPr="001B3C5D">
        <w:rPr>
          <w:rFonts w:ascii="Verdana" w:eastAsia="Calibri" w:hAnsi="Verdana" w:cs="Arial"/>
          <w:lang w:val="es-MX"/>
        </w:rPr>
        <w:lastRenderedPageBreak/>
        <w:t xml:space="preserve">No obstante, la parte introductoria de los documentos base de los documentos tipo disponen que los aspectos incluidos en corchetes y resaltados en gris </w:t>
      </w:r>
      <w:r w:rsidRPr="001B3C5D">
        <w:rPr>
          <w:rFonts w:ascii="Verdana" w:eastAsia="Aptos" w:hAnsi="Verdana" w:cs="Arial"/>
        </w:rPr>
        <w:t>–[</w:t>
      </w:r>
      <w:r w:rsidRPr="001B3C5D">
        <w:rPr>
          <w:rFonts w:ascii="Verdana" w:eastAsia="Aptos" w:hAnsi="Verdana" w:cs="Arial"/>
          <w:highlight w:val="lightGray"/>
        </w:rPr>
        <w:t>texto de ejemplo</w:t>
      </w:r>
      <w:r w:rsidRPr="001B3C5D">
        <w:rPr>
          <w:rFonts w:ascii="Verdana" w:eastAsia="Aptos" w:hAnsi="Verdana" w:cs="Arial"/>
        </w:rPr>
        <w:t xml:space="preserve">]– </w:t>
      </w:r>
      <w:r w:rsidRPr="001B3C5D">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B6C84B3" w14:textId="77777777" w:rsidR="00FE5E91" w:rsidRPr="001B3C5D" w:rsidRDefault="00FE5E91" w:rsidP="00FE5E91">
      <w:pPr>
        <w:spacing w:line="276" w:lineRule="auto"/>
        <w:ind w:firstLine="708"/>
        <w:jc w:val="both"/>
        <w:rPr>
          <w:rFonts w:ascii="Aptos" w:eastAsia="Aptos" w:hAnsi="Aptos" w:cs="Times New Roman"/>
          <w:kern w:val="2"/>
          <w:sz w:val="24"/>
          <w:szCs w:val="24"/>
          <w:lang w:val="es-MX"/>
          <w14:ligatures w14:val="standardContextual"/>
        </w:rPr>
      </w:pPr>
      <w:r w:rsidRPr="001B3C5D">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1B3C5D">
        <w:rPr>
          <w:rFonts w:ascii="Verdana" w:eastAsia="Calibri" w:hAnsi="Verdana" w:cs="Arial"/>
          <w:i/>
          <w:iCs/>
          <w:lang w:val="es-MX"/>
        </w:rPr>
        <w:t>“</w:t>
      </w:r>
      <w:r w:rsidRPr="001B3C5D">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1B3C5D">
        <w:rPr>
          <w:rFonts w:ascii="Aptos" w:eastAsia="Aptos" w:hAnsi="Aptos" w:cs="Times New Roman"/>
          <w:kern w:val="2"/>
          <w:sz w:val="24"/>
          <w:szCs w:val="24"/>
          <w:lang w:val="es-MX"/>
          <w14:ligatures w14:val="standardContextual"/>
        </w:rPr>
        <w:t xml:space="preserve"> </w:t>
      </w:r>
    </w:p>
    <w:p w14:paraId="1D2BA537" w14:textId="77777777" w:rsidR="00FE5E91" w:rsidRPr="001B3C5D" w:rsidRDefault="00FE5E91" w:rsidP="00FE5E91">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2E6DEED2" w14:textId="77777777" w:rsidR="00FE5E91" w:rsidRPr="001B3C5D" w:rsidRDefault="00FE5E91" w:rsidP="00FE5E91">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 xml:space="preserve">Esta regla de inalterabilidad </w:t>
      </w:r>
      <w:r w:rsidRPr="001B3C5D">
        <w:rPr>
          <w:rFonts w:ascii="Verdana" w:eastAsia="Calibri" w:hAnsi="Verdana" w:cs="Arial"/>
          <w:bCs/>
          <w:i/>
          <w:iCs/>
          <w:lang w:val="es-MX"/>
        </w:rPr>
        <w:t>también aplica a los formatos, formularios, anexos y matrices</w:t>
      </w:r>
      <w:r w:rsidRPr="001B3C5D">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4A6FBED6" w14:textId="77777777" w:rsidR="00FE5E91" w:rsidRPr="001B3C5D" w:rsidRDefault="00FE5E91" w:rsidP="00FE5E91">
      <w:pPr>
        <w:spacing w:before="120" w:after="120" w:line="276" w:lineRule="auto"/>
        <w:ind w:firstLine="709"/>
        <w:jc w:val="both"/>
        <w:rPr>
          <w:rFonts w:ascii="Verdana" w:eastAsia="Calibri" w:hAnsi="Verdana" w:cs="Arial"/>
          <w:lang w:val="es-MX"/>
        </w:rPr>
      </w:pPr>
      <w:r w:rsidRPr="001B3C5D">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w:t>
      </w:r>
      <w:r w:rsidRPr="001B3C5D">
        <w:rPr>
          <w:rFonts w:ascii="Verdana" w:eastAsia="Calibri" w:hAnsi="Verdana" w:cs="Arial"/>
          <w:lang w:val="es-MX"/>
        </w:rPr>
        <w:lastRenderedPageBreak/>
        <w:t xml:space="preserve">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3BF8FBB2" w14:textId="77777777" w:rsidR="00FE5E91" w:rsidRPr="001B3C5D" w:rsidRDefault="00FE5E91" w:rsidP="00FE5E91">
      <w:pPr>
        <w:spacing w:before="120" w:line="276" w:lineRule="auto"/>
        <w:ind w:firstLine="709"/>
        <w:jc w:val="both"/>
        <w:rPr>
          <w:rFonts w:ascii="Verdana" w:eastAsia="Aptos" w:hAnsi="Verdana" w:cs="Arial"/>
        </w:rPr>
      </w:pPr>
      <w:r w:rsidRPr="001B3C5D">
        <w:rPr>
          <w:rFonts w:ascii="Verdana" w:eastAsia="Aptos" w:hAnsi="Verdana" w:cs="Arial"/>
        </w:rPr>
        <w:t xml:space="preserve">En relación con el principio constitucional </w:t>
      </w:r>
      <w:r w:rsidRPr="001B3C5D">
        <w:rPr>
          <w:rFonts w:ascii="Verdana" w:eastAsia="Aptos" w:hAnsi="Verdana" w:cs="Arial"/>
          <w:i/>
          <w:iCs/>
        </w:rPr>
        <w:t>sub examine</w:t>
      </w:r>
      <w:r w:rsidRPr="001B3C5D">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1B3C5D">
        <w:rPr>
          <w:rFonts w:ascii="Verdana" w:eastAsia="Aptos" w:hAnsi="Verdana" w:cs="Arial"/>
          <w:vertAlign w:val="superscript"/>
        </w:rPr>
        <w:footnoteReference w:id="36"/>
      </w:r>
      <w:r w:rsidRPr="001B3C5D">
        <w:rPr>
          <w:rFonts w:ascii="Verdana" w:eastAsia="Aptos" w:hAnsi="Verdana" w:cs="Arial"/>
        </w:rPr>
        <w:t xml:space="preserve">. </w:t>
      </w:r>
    </w:p>
    <w:p w14:paraId="59DCC157" w14:textId="77777777" w:rsidR="00FE5E91" w:rsidRPr="001B3C5D" w:rsidRDefault="00FE5E91" w:rsidP="00FE5E91">
      <w:pPr>
        <w:spacing w:after="0" w:line="276" w:lineRule="auto"/>
        <w:ind w:firstLine="709"/>
        <w:jc w:val="both"/>
        <w:rPr>
          <w:rFonts w:ascii="Verdana" w:eastAsia="Calibri" w:hAnsi="Verdana" w:cs="Arial"/>
          <w:lang w:val="es-MX"/>
        </w:rPr>
      </w:pPr>
      <w:r w:rsidRPr="001B3C5D">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04F2131B" w14:textId="77777777" w:rsidR="00FE5E91" w:rsidRPr="001B3C5D" w:rsidRDefault="00FE5E91" w:rsidP="00FE5E91">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55D3A6E2" w14:textId="77777777" w:rsidR="00FE5E91" w:rsidRPr="001B3C5D" w:rsidRDefault="00FE5E91" w:rsidP="00FE5E91">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iv</w:t>
      </w:r>
      <w:proofErr w:type="spellEnd"/>
      <w:r w:rsidRPr="001B3C5D">
        <w:rPr>
          <w:rFonts w:ascii="Verdana" w:eastAsia="Aptos" w:hAnsi="Verdana" w:cs="Times New Roman"/>
          <w:kern w:val="2"/>
          <w14:ligatures w14:val="standardContextual"/>
        </w:rPr>
        <w:t>. De acuerdo con la memoria justificativa del Decreto 287 del 19 de marzo de 2026</w:t>
      </w:r>
      <w:r w:rsidRPr="001B3C5D">
        <w:rPr>
          <w:rFonts w:ascii="Verdana" w:eastAsia="Aptos" w:hAnsi="Verdana" w:cs="Times New Roman"/>
          <w:kern w:val="2"/>
          <w:vertAlign w:val="superscript"/>
          <w14:ligatures w14:val="standardContextual"/>
        </w:rPr>
        <w:footnoteReference w:id="37"/>
      </w:r>
      <w:r w:rsidRPr="001B3C5D">
        <w:rPr>
          <w:rFonts w:ascii="Verdana" w:eastAsia="Aptos" w:hAnsi="Verdana" w:cs="Times New Roman"/>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1B3C5D">
        <w:rPr>
          <w:rFonts w:ascii="Verdana" w:eastAsia="Aptos" w:hAnsi="Verdana" w:cs="Times New Roman"/>
          <w:kern w:val="2"/>
          <w:vertAlign w:val="superscript"/>
          <w14:ligatures w14:val="standardContextual"/>
        </w:rPr>
        <w:footnoteReference w:id="38"/>
      </w:r>
      <w:r w:rsidRPr="001B3C5D">
        <w:rPr>
          <w:rFonts w:ascii="Verdana" w:eastAsia="Aptos" w:hAnsi="Verdana" w:cs="Times New Roman"/>
          <w:kern w:val="2"/>
          <w14:ligatures w14:val="standardContextual"/>
        </w:rPr>
        <w:t xml:space="preserve"> que mediante una acción de cumplimiento declaró el incumplimiento del deber de reglamentar integralmente el artículo 13 de la Ley 1618 de 2013 y ordenó al Gobierno Nacional expedir la regulación necesaria para hacer efectivo el sistema </w:t>
      </w:r>
      <w:r w:rsidRPr="001B3C5D">
        <w:rPr>
          <w:rFonts w:ascii="Verdana" w:eastAsia="Aptos" w:hAnsi="Verdana" w:cs="Times New Roman"/>
          <w:kern w:val="2"/>
          <w14:ligatures w14:val="standardContextual"/>
        </w:rPr>
        <w:lastRenderedPageBreak/>
        <w:t>de preferencias en favor de las personas con discapacidad, sus emprendimientos y empresas que las contratan.</w:t>
      </w:r>
    </w:p>
    <w:p w14:paraId="33B60F28"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1B3C5D">
        <w:rPr>
          <w:rFonts w:ascii="Verdana" w:eastAsia="Aptos" w:hAnsi="Verdana" w:cs="Times New Roman"/>
          <w:kern w:val="2"/>
          <w14:ligatures w14:val="standardContextual"/>
        </w:rPr>
        <w:t>ii</w:t>
      </w:r>
      <w:proofErr w:type="spellEnd"/>
      <w:r w:rsidRPr="001B3C5D">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6A705050"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virtud de lo exigido por los numerales uno (1), siete (7) y ocho (8) del artículo 13 de la Ley Estatutaria 1618 del 2013, fue expedido el Decreto 392 del 26 de febrero de 2018</w:t>
      </w:r>
      <w:r w:rsidRPr="001B3C5D">
        <w:rPr>
          <w:rFonts w:ascii="Verdana" w:eastAsia="Aptos" w:hAnsi="Verdana" w:cs="Times New Roman"/>
          <w:kern w:val="2"/>
          <w:vertAlign w:val="superscript"/>
          <w14:ligatures w14:val="standardContextual"/>
        </w:rPr>
        <w:footnoteReference w:id="39"/>
      </w:r>
      <w:r w:rsidRPr="001B3C5D">
        <w:rPr>
          <w:rFonts w:ascii="Verdana" w:eastAsia="Aptos" w:hAnsi="Verdana" w:cs="Times New Roman"/>
          <w:kern w:val="2"/>
          <w14:ligatures w14:val="standardContextual"/>
        </w:rPr>
        <w:t>, mediante el cual se adicionan los artículos 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favor de las empresas de personas con discapacidad, familiares y tutores, tal y como lo dispuso el numeral 1 de la norma referida”.</w:t>
      </w:r>
    </w:p>
    <w:p w14:paraId="71C604A5"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Por su parte, el artículo 2.2.1.2.4.2.8. del Decreto 1082 de 2015, de </w:t>
      </w:r>
      <w:r w:rsidRPr="001B3C5D">
        <w:rPr>
          <w:rFonts w:ascii="Verdana" w:eastAsia="Aptos" w:hAnsi="Verdana" w:cs="Times New Roman"/>
          <w:kern w:val="2"/>
          <w14:ligatures w14:val="standardContextual"/>
        </w:rPr>
        <w:lastRenderedPageBreak/>
        <w:t>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54AD2A3F"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w:t>
      </w:r>
      <w:r>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modificaciones: </w:t>
      </w:r>
    </w:p>
    <w:p w14:paraId="123A99EB"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6D2F767A"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ii</w:t>
      </w:r>
      <w:proofErr w:type="spellEnd"/>
      <w:r w:rsidRPr="001B3C5D">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50E129AB"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iii</w:t>
      </w:r>
      <w:proofErr w:type="spellEnd"/>
      <w:r w:rsidRPr="001B3C5D">
        <w:rPr>
          <w:rFonts w:ascii="Verdana" w:eastAsia="Aptos" w:hAnsi="Verdana" w:cs="Times New Roman"/>
          <w:kern w:val="2"/>
          <w14:ligatures w14:val="standardContextual"/>
        </w:rPr>
        <w:t xml:space="preserve">). El artículo 1, modifica el artículo 2.2.1.2.4.2.7.1. del Decreto 1082 de 2015, disponiendo que todas las entidades que manejen recursos públicos están obligadas a garantizar la accesibilidad para personas con discapacidad en sus procesos de contratación. </w:t>
      </w:r>
    </w:p>
    <w:p w14:paraId="69086EFE"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Aptos" w:eastAsia="Aptos" w:hAnsi="Aptos" w:cs="Times New Roman"/>
          <w:kern w:val="2"/>
          <w:sz w:val="24"/>
          <w:szCs w:val="24"/>
          <w14:ligatures w14:val="standardContextual"/>
        </w:rPr>
        <w:lastRenderedPageBreak/>
        <w:t>iv</w:t>
      </w:r>
      <w:proofErr w:type="spellEnd"/>
      <w:r w:rsidRPr="001B3C5D">
        <w:rPr>
          <w:rFonts w:ascii="Aptos" w:eastAsia="Aptos" w:hAnsi="Aptos" w:cs="Times New Roman"/>
          <w:kern w:val="2"/>
          <w:sz w:val="24"/>
          <w:szCs w:val="24"/>
          <w14:ligatures w14:val="standardContextual"/>
        </w:rPr>
        <w:t xml:space="preserve">). </w:t>
      </w:r>
      <w:r w:rsidRPr="001B3C5D">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0396F95E"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1B3C5D">
        <w:rPr>
          <w:rFonts w:ascii="Verdana" w:eastAsia="Aptos" w:hAnsi="Verdana" w:cs="Times New Roman"/>
          <w:kern w:val="2"/>
          <w:vertAlign w:val="superscript"/>
          <w14:ligatures w14:val="standardContextual"/>
        </w:rPr>
        <w:footnoteReference w:id="40"/>
      </w:r>
      <w:r w:rsidRPr="001B3C5D">
        <w:rPr>
          <w:rFonts w:ascii="Verdana" w:eastAsia="Aptos" w:hAnsi="Verdana" w:cs="Times New Roman"/>
          <w:kern w:val="2"/>
          <w14:ligatures w14:val="standardContextual"/>
        </w:rPr>
        <w:t xml:space="preserve">. </w:t>
      </w:r>
    </w:p>
    <w:p w14:paraId="51E93EA0"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7C1451CB"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vii</w:t>
      </w:r>
      <w:proofErr w:type="spellEnd"/>
      <w:r w:rsidRPr="001B3C5D">
        <w:rPr>
          <w:rFonts w:ascii="Verdana" w:eastAsia="Aptos" w:hAnsi="Verdana" w:cs="Times New Roman"/>
          <w:kern w:val="2"/>
          <w14:ligatures w14:val="standardContextual"/>
        </w:rPr>
        <w:t xml:space="preserve">)El artículo 1, modifica el artículo 2.2.1.2.4.2.7.5. del Decreto 1082 de 2015, indicando condiciones especiales de sujeción en favor de personas con discapacidad, que deberán incluir las entidades estatales como obligación contractual en los documentos del proceso, previo análisis de oportunidad y conveniencia. </w:t>
      </w:r>
    </w:p>
    <w:p w14:paraId="3292D880"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lastRenderedPageBreak/>
        <w:t>viii</w:t>
      </w:r>
      <w:proofErr w:type="spellEnd"/>
      <w:r w:rsidRPr="001B3C5D">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468874CD"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ix</w:t>
      </w:r>
      <w:proofErr w:type="spellEnd"/>
      <w:r w:rsidRPr="001B3C5D">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–Colombia Compra Eficiente garantizará la adopción permanente de las acciones necesarias para que las medidas señaladas en favor de las Personas con Discapacidad se incorporen a los documentos e instrumentos que genera. </w:t>
      </w:r>
    </w:p>
    <w:p w14:paraId="7BF5AF31" w14:textId="77777777" w:rsidR="00FE5E91" w:rsidRPr="001B3C5D" w:rsidRDefault="00FE5E91" w:rsidP="00FE5E91">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Finalmente, el artículo 2 del Decreto 287 de 2026 establece las vigencias y derogatorias, en los siguiente</w:t>
      </w:r>
      <w:r>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1B4ED906" w14:textId="77777777" w:rsidR="00FE5E91" w:rsidRPr="001B3C5D" w:rsidRDefault="00FE5E91" w:rsidP="00FE5E91">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3AE87626" w14:textId="77777777" w:rsidR="00FE5E91" w:rsidRPr="001B3C5D" w:rsidRDefault="00FE5E91" w:rsidP="00FE5E91">
      <w:pPr>
        <w:widowControl w:val="0"/>
        <w:autoSpaceDE w:val="0"/>
        <w:autoSpaceDN w:val="0"/>
        <w:spacing w:after="120" w:line="276" w:lineRule="auto"/>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De acuerdo con el desarrollo del numeral precedente, </w:t>
      </w:r>
      <w:r w:rsidRPr="001B3C5D">
        <w:rPr>
          <w:rFonts w:ascii="Verdana" w:eastAsia="Aptos" w:hAnsi="Verdana" w:cs="AppleSystemUIFont"/>
          <w:lang w:val="es-MX"/>
          <w14:ligatures w14:val="standardContextual"/>
        </w:rPr>
        <w:t xml:space="preserve">la 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1B3C5D">
        <w:rPr>
          <w:rFonts w:ascii="Verdana" w:eastAsia="Aptos" w:hAnsi="Verdana" w:cs="Times New Roman"/>
          <w:kern w:val="2"/>
          <w14:ligatures w14:val="standardContextual"/>
        </w:rPr>
        <w:t>de Contratación Pública – Colombia Compra Eficiente.</w:t>
      </w:r>
    </w:p>
    <w:p w14:paraId="030967C6"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1ADED3D9"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w:t>
      </w:r>
      <w:r w:rsidRPr="001B3C5D">
        <w:rPr>
          <w:rFonts w:ascii="Verdana" w:eastAsia="Aptos" w:hAnsi="Verdana" w:cs="Times New Roman"/>
          <w:kern w:val="2"/>
          <w14:ligatures w14:val="standardContextual"/>
        </w:rPr>
        <w:lastRenderedPageBreak/>
        <w:t>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1B3C5D">
        <w:rPr>
          <w:rFonts w:ascii="Verdana" w:eastAsia="Aptos" w:hAnsi="Verdana" w:cs="Times New Roman"/>
          <w:kern w:val="2"/>
          <w:vertAlign w:val="superscript"/>
          <w14:ligatures w14:val="standardContextual"/>
        </w:rPr>
        <w:footnoteReference w:id="41"/>
      </w:r>
      <w:r w:rsidRPr="001B3C5D">
        <w:rPr>
          <w:rFonts w:ascii="Verdana" w:eastAsia="Aptos" w:hAnsi="Verdana" w:cs="Times New Roman"/>
          <w:kern w:val="2"/>
          <w14:ligatures w14:val="standardContextual"/>
        </w:rPr>
        <w:t>, de tal manera que se eliminen barreras de entrada injustificadas sin comprometer la idoneidad del contratista, en aplicación del principio de igualdad material.</w:t>
      </w:r>
    </w:p>
    <w:p w14:paraId="7171F928"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w:t>
      </w:r>
      <w:proofErr w:type="spellStart"/>
      <w:r w:rsidRPr="001B3C5D">
        <w:rPr>
          <w:rFonts w:ascii="Verdana" w:eastAsia="Aptos" w:hAnsi="Verdana" w:cs="Times New Roman"/>
          <w:kern w:val="2"/>
          <w14:ligatures w14:val="standardContextual"/>
        </w:rPr>
        <w:t>Mipymes</w:t>
      </w:r>
      <w:proofErr w:type="spellEnd"/>
      <w:r w:rsidRPr="001B3C5D">
        <w:rPr>
          <w:rFonts w:ascii="Verdana" w:eastAsia="Aptos" w:hAnsi="Verdana" w:cs="Times New Roman"/>
          <w:kern w:val="2"/>
          <w14:ligatures w14:val="standardContextual"/>
        </w:rPr>
        <w:t xml:space="preserve"> y emprendimientos y empresas de mujeres, se incluyan los dispuestos en el Decreto 287 de 2026 en favor de los emprendimientos y empresas de personas con discapacidad.</w:t>
      </w:r>
    </w:p>
    <w:p w14:paraId="3C7075C2"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w:t>
      </w:r>
      <w:r w:rsidRPr="001B3C5D">
        <w:rPr>
          <w:rFonts w:ascii="Verdana" w:eastAsia="Aptos" w:hAnsi="Verdana" w:cs="Times New Roman"/>
          <w:kern w:val="2"/>
          <w14:ligatures w14:val="standardContextual"/>
        </w:rPr>
        <w:lastRenderedPageBreak/>
        <w:t xml:space="preserve">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416261A1"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76482245"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w:t>
      </w:r>
      <w:proofErr w:type="gramStart"/>
      <w:r w:rsidRPr="001B3C5D">
        <w:rPr>
          <w:rFonts w:ascii="Verdana" w:eastAsia="Aptos" w:hAnsi="Verdana" w:cs="Times New Roman"/>
          <w:kern w:val="2"/>
          <w14:ligatures w14:val="standardContextual"/>
        </w:rPr>
        <w:t>donde</w:t>
      </w:r>
      <w:proofErr w:type="gramEnd"/>
      <w:r w:rsidRPr="001B3C5D">
        <w:rPr>
          <w:rFonts w:ascii="Verdana" w:eastAsia="Aptos" w:hAnsi="Verdana" w:cs="Times New Roman"/>
          <w:kern w:val="2"/>
          <w14:ligatures w14:val="standardContextual"/>
        </w:rPr>
        <w:t xml:space="preserve"> además, se amplía el ámbito de aplicación a emprendimientos y empresas de personas con discapacidad. Además,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del proceso. </w:t>
      </w:r>
    </w:p>
    <w:p w14:paraId="4857A787"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65C2C6A0" w14:textId="77777777" w:rsidR="00FE5E91" w:rsidRPr="001B3C5D" w:rsidRDefault="00FE5E91" w:rsidP="00FE5E91">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w:t>
      </w:r>
      <w:r w:rsidRPr="001B3C5D">
        <w:rPr>
          <w:rFonts w:ascii="Verdana" w:eastAsia="Aptos" w:hAnsi="Verdana" w:cs="Times New Roman"/>
          <w:kern w:val="2"/>
          <w14:ligatures w14:val="standardContextual"/>
        </w:rPr>
        <w:lastRenderedPageBreak/>
        <w:t>traduzcan en transformaciones reales en el sistema de contratación pública y en la garantía del derecho a la igualdad material de las personas con discapacidad.</w:t>
      </w:r>
    </w:p>
    <w:p w14:paraId="7C4AC721" w14:textId="77777777" w:rsidR="00FE5E91" w:rsidRPr="001B3C5D" w:rsidRDefault="00FE5E91" w:rsidP="00FE5E91">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5BC6497A" w14:textId="77777777" w:rsidR="00FE5E91" w:rsidRPr="001B3C5D" w:rsidRDefault="00FE5E91" w:rsidP="00FE5E91">
      <w:pPr>
        <w:widowControl w:val="0"/>
        <w:autoSpaceDE w:val="0"/>
        <w:autoSpaceDN w:val="0"/>
        <w:spacing w:after="120" w:line="276" w:lineRule="auto"/>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vi. 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60FDBD56"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1B3C5D">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1B3C5D">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01557B4A"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Conforme con el contenido de la Ley 2022 de 202, la jurisprudencia ha determinado que, la Agencia Nacional de Contratación Pública – Colombia Compra Eficiente ejerce una potestad regulatoria de naturaleza subordinada (</w:t>
      </w:r>
      <w:proofErr w:type="spellStart"/>
      <w:r w:rsidRPr="001B3C5D">
        <w:rPr>
          <w:rFonts w:ascii="Verdana" w:eastAsia="Aptos" w:hAnsi="Verdana" w:cs="Times New Roman"/>
          <w:kern w:val="2"/>
          <w14:ligatures w14:val="standardContextual"/>
        </w:rPr>
        <w:t>secundum</w:t>
      </w:r>
      <w:proofErr w:type="spellEnd"/>
      <w:r w:rsidRPr="001B3C5D">
        <w:rPr>
          <w:rFonts w:ascii="Verdana" w:eastAsia="Aptos" w:hAnsi="Verdana" w:cs="Times New Roman"/>
          <w:kern w:val="2"/>
          <w14:ligatures w14:val="standardContextual"/>
        </w:rPr>
        <w:t xml:space="preserve"> </w:t>
      </w:r>
      <w:proofErr w:type="spellStart"/>
      <w:r w:rsidRPr="001B3C5D">
        <w:rPr>
          <w:rFonts w:ascii="Verdana" w:eastAsia="Aptos" w:hAnsi="Verdana" w:cs="Times New Roman"/>
          <w:kern w:val="2"/>
          <w14:ligatures w14:val="standardContextual"/>
        </w:rPr>
        <w:t>legem</w:t>
      </w:r>
      <w:proofErr w:type="spellEnd"/>
      <w:r w:rsidRPr="001B3C5D">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476780B4"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Concretamente, la competencia prevista en el artículo 1 de la Ley 2022 </w:t>
      </w:r>
      <w:r w:rsidRPr="001B3C5D">
        <w:rPr>
          <w:rFonts w:ascii="Verdana" w:eastAsia="Aptos" w:hAnsi="Verdana" w:cs="Times New Roman"/>
          <w:kern w:val="2"/>
          <w14:ligatures w14:val="standardContextual"/>
        </w:rPr>
        <w:lastRenderedPageBreak/>
        <w:t xml:space="preserve">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68C1436B"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594456DB"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Lo dispuesto en el párrafo precedente, es consecuente con lo desarrollado en el punto tres (</w:t>
      </w:r>
      <w:proofErr w:type="spellStart"/>
      <w:r w:rsidRPr="001B3C5D">
        <w:rPr>
          <w:rFonts w:ascii="Verdana" w:eastAsia="Aptos" w:hAnsi="Verdana" w:cs="Times New Roman"/>
          <w:kern w:val="2"/>
          <w14:ligatures w14:val="standardContextual"/>
        </w:rPr>
        <w:t>iii</w:t>
      </w:r>
      <w:proofErr w:type="spellEnd"/>
      <w:r w:rsidRPr="001B3C5D">
        <w:rPr>
          <w:rFonts w:ascii="Verdana" w:eastAsia="Aptos" w:hAnsi="Verdana" w:cs="Times New Roman"/>
          <w:kern w:val="2"/>
          <w14:ligatures w14:val="standardContextual"/>
        </w:rPr>
        <w:t>)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carácter reglado de la actividad contractual, limitando la discrecionalidad de las entidades con el fin de evitar prácticas restrictivas de la competencia, como los denominados “pliegos sastre”, y garantizar la uniformidad del sistema.</w:t>
      </w:r>
    </w:p>
    <w:p w14:paraId="2DC4FA7C"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w:t>
      </w:r>
      <w:r w:rsidRPr="001B3C5D">
        <w:rPr>
          <w:rFonts w:ascii="Verdana" w:eastAsia="Aptos" w:hAnsi="Verdana" w:cs="Times New Roman"/>
          <w:kern w:val="2"/>
          <w14:ligatures w14:val="standardContextual"/>
        </w:rPr>
        <w:lastRenderedPageBreak/>
        <w:t>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78CA223D"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7D906B07"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Compra Eficiente</w:t>
      </w:r>
      <w:r w:rsidRPr="001B3C5D">
        <w:rPr>
          <w:rFonts w:ascii="Verdana" w:eastAsia="Aptos" w:hAnsi="Verdana" w:cs="Times New Roman"/>
          <w:kern w:val="2"/>
          <w:vertAlign w:val="superscript"/>
          <w14:ligatures w14:val="standardContextual"/>
        </w:rPr>
        <w:footnoteReference w:id="42"/>
      </w:r>
      <w:r w:rsidRPr="001B3C5D">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2866E8E6"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Adicionalmente, el propio Decreto 287 de 2026 en el artículo 1 que </w:t>
      </w:r>
      <w:r w:rsidRPr="001B3C5D">
        <w:rPr>
          <w:rFonts w:ascii="Verdana" w:eastAsia="Aptos" w:hAnsi="Verdana" w:cs="Times New Roman"/>
          <w:kern w:val="2"/>
          <w14:ligatures w14:val="standardContextual"/>
        </w:rPr>
        <w:lastRenderedPageBreak/>
        <w:t>modifica el artículo 2.2.1.2.4.2.7.8 al Decreto 1082 de 2015</w:t>
      </w:r>
      <w:r w:rsidRPr="001B3C5D">
        <w:rPr>
          <w:rFonts w:ascii="Verdana" w:eastAsia="Aptos" w:hAnsi="Verdana" w:cs="Times New Roman"/>
          <w:kern w:val="2"/>
          <w:vertAlign w:val="superscript"/>
          <w14:ligatures w14:val="standardContextual"/>
        </w:rPr>
        <w:footnoteReference w:id="43"/>
      </w:r>
      <w:r w:rsidRPr="001B3C5D">
        <w:rPr>
          <w:rFonts w:ascii="Verdana" w:eastAsia="Aptos" w:hAnsi="Verdana" w:cs="Times New Roman"/>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1B3C5D">
        <w:rPr>
          <w:rFonts w:ascii="Aptos" w:eastAsia="Aptos" w:hAnsi="Aptos" w:cs="Times New Roman"/>
          <w:kern w:val="2"/>
          <w:sz w:val="24"/>
          <w:szCs w:val="24"/>
          <w14:ligatures w14:val="standardContextual"/>
        </w:rPr>
        <w:t>”</w:t>
      </w:r>
      <w:r w:rsidRPr="001B3C5D">
        <w:rPr>
          <w:rFonts w:ascii="Aptos" w:eastAsia="Aptos" w:hAnsi="Aptos" w:cs="Times New Roman"/>
          <w:kern w:val="2"/>
          <w:sz w:val="24"/>
          <w:szCs w:val="24"/>
          <w:vertAlign w:val="superscript"/>
          <w14:ligatures w14:val="standardContextual"/>
        </w:rPr>
        <w:footnoteReference w:id="44"/>
      </w:r>
      <w:r w:rsidRPr="001B3C5D">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0F01950D"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1B3C5D">
        <w:rPr>
          <w:rFonts w:ascii="Verdana" w:eastAsia="Aptos" w:hAnsi="Verdana" w:cs="Times New Roman"/>
          <w:kern w:val="2"/>
          <w:vertAlign w:val="superscript"/>
          <w14:ligatures w14:val="standardContextual"/>
        </w:rPr>
        <w:footnoteReference w:id="45"/>
      </w:r>
      <w:r w:rsidRPr="001B3C5D">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4ABFD0DD"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3BBC9084"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w:t>
      </w:r>
      <w:r w:rsidRPr="001B3C5D">
        <w:rPr>
          <w:rFonts w:ascii="Verdana" w:eastAsia="Aptos" w:hAnsi="Verdana" w:cs="Times New Roman"/>
          <w:kern w:val="2"/>
          <w14:ligatures w14:val="standardContextual"/>
        </w:rPr>
        <w:lastRenderedPageBreak/>
        <w:t xml:space="preserve">coherencia del sistema, el respeto por la jerarquía normativa y la efectividad de las medidas orientadas a la inclusión de las personas con discapacidad en el sistema de compras y contratación pública. </w:t>
      </w:r>
    </w:p>
    <w:p w14:paraId="4C00F6D0" w14:textId="77777777" w:rsidR="00FE5E91" w:rsidRPr="001B3C5D" w:rsidRDefault="00FE5E91" w:rsidP="00FE5E9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5C0961C0" w14:textId="77777777" w:rsidR="00FE5E91" w:rsidRPr="001B3C5D" w:rsidRDefault="00FE5E91" w:rsidP="00FE5E91">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6EF7FAEF" w14:textId="77777777" w:rsidR="00FE5E91" w:rsidRPr="001B3C5D" w:rsidRDefault="00FE5E91" w:rsidP="00FE5E91">
      <w:pPr>
        <w:tabs>
          <w:tab w:val="left" w:pos="142"/>
          <w:tab w:val="left" w:pos="284"/>
        </w:tabs>
        <w:spacing w:after="0" w:line="276" w:lineRule="auto"/>
        <w:jc w:val="both"/>
        <w:rPr>
          <w:rFonts w:ascii="Verdana" w:eastAsia="Century Gothic" w:hAnsi="Verdana" w:cs="Century Gothic"/>
          <w:lang w:val="es-ES_tradnl"/>
        </w:rPr>
      </w:pPr>
    </w:p>
    <w:p w14:paraId="3A628A27" w14:textId="77777777" w:rsidR="00FE5E91" w:rsidRPr="001B3C5D" w:rsidRDefault="00FE5E91" w:rsidP="00FE5E91">
      <w:pPr>
        <w:tabs>
          <w:tab w:val="left" w:pos="142"/>
          <w:tab w:val="left" w:pos="284"/>
        </w:tabs>
        <w:spacing w:after="0" w:line="276" w:lineRule="auto"/>
        <w:jc w:val="both"/>
        <w:rPr>
          <w:rFonts w:ascii="Verdana" w:eastAsia="Century Gothic" w:hAnsi="Verdana" w:cs="Century Gothic"/>
          <w:b/>
          <w:bCs/>
          <w:lang w:val="es-ES_tradnl"/>
        </w:rPr>
      </w:pPr>
      <w:r w:rsidRPr="001B3C5D">
        <w:rPr>
          <w:rFonts w:ascii="Verdana" w:eastAsia="Century Gothic" w:hAnsi="Verdana" w:cs="Century Gothic"/>
          <w:b/>
          <w:bCs/>
          <w:lang w:val="es-ES_tradnl"/>
        </w:rPr>
        <w:t>4. Referencias normativas, jurisprudenciales y otras fuentes:</w:t>
      </w:r>
    </w:p>
    <w:p w14:paraId="715AC039" w14:textId="77777777" w:rsidR="00FE5E91" w:rsidRPr="001B3C5D" w:rsidRDefault="00FE5E91" w:rsidP="00FE5E91">
      <w:pPr>
        <w:spacing w:after="0"/>
        <w:ind w:left="-15840"/>
        <w:jc w:val="both"/>
        <w:rPr>
          <w:rFonts w:ascii="Verdana" w:eastAsia="Calibri" w:hAnsi="Verdana" w:cs="Arial"/>
          <w:b/>
          <w:bCs/>
        </w:rPr>
      </w:pPr>
      <w:r w:rsidRPr="001B3C5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E5E91" w:rsidRPr="001B3C5D" w14:paraId="0D3C2965" w14:textId="77777777" w:rsidTr="00AE3181">
        <w:trPr>
          <w:trHeight w:val="870"/>
        </w:trPr>
        <w:tc>
          <w:tcPr>
            <w:tcW w:w="8647" w:type="dxa"/>
            <w:tcBorders>
              <w:top w:val="dotted" w:sz="4" w:space="0" w:color="auto"/>
              <w:left w:val="dotted" w:sz="4" w:space="0" w:color="auto"/>
              <w:bottom w:val="dotted" w:sz="4" w:space="0" w:color="auto"/>
              <w:right w:val="dotted" w:sz="4" w:space="0" w:color="auto"/>
            </w:tcBorders>
          </w:tcPr>
          <w:p w14:paraId="418D448A" w14:textId="77777777" w:rsidR="00FE5E91" w:rsidRPr="001B3C5D" w:rsidRDefault="00FE5E91" w:rsidP="00AE3181">
            <w:pPr>
              <w:widowControl w:val="0"/>
              <w:autoSpaceDE w:val="0"/>
              <w:autoSpaceDN w:val="0"/>
              <w:spacing w:line="276" w:lineRule="auto"/>
              <w:contextualSpacing/>
              <w:jc w:val="both"/>
              <w:rPr>
                <w:rFonts w:ascii="Verdana" w:eastAsia="Aptos" w:hAnsi="Verdana" w:cs="Arial"/>
              </w:rPr>
            </w:pPr>
          </w:p>
          <w:p w14:paraId="638B4975" w14:textId="77777777" w:rsidR="00FE5E91" w:rsidRPr="0055082D" w:rsidRDefault="00FE5E91" w:rsidP="00AE3181">
            <w:pPr>
              <w:widowControl w:val="0"/>
              <w:numPr>
                <w:ilvl w:val="0"/>
                <w:numId w:val="19"/>
              </w:numPr>
              <w:autoSpaceDE w:val="0"/>
              <w:autoSpaceDN w:val="0"/>
              <w:spacing w:line="276" w:lineRule="auto"/>
              <w:contextualSpacing/>
              <w:jc w:val="both"/>
              <w:rPr>
                <w:rFonts w:ascii="Verdana" w:eastAsia="Aptos" w:hAnsi="Verdana" w:cs="Arial"/>
                <w:lang w:val="it-IT"/>
              </w:rPr>
            </w:pPr>
            <w:r w:rsidRPr="00F16D67">
              <w:rPr>
                <w:rFonts w:ascii="Verdana" w:eastAsia="Aptos" w:hAnsi="Verdana" w:cs="Arial"/>
                <w:lang w:val="pt-BR"/>
              </w:rPr>
              <w:t xml:space="preserve">Corte Constitucional, Sentencia C–1005 de 2008. </w:t>
            </w:r>
            <w:r w:rsidRPr="0055082D">
              <w:rPr>
                <w:rFonts w:ascii="Verdana" w:eastAsia="Aptos" w:hAnsi="Verdana" w:cs="Arial"/>
                <w:lang w:val="it-IT"/>
              </w:rPr>
              <w:t>M.P.: Humberto Antonio Sierra Porto.</w:t>
            </w:r>
          </w:p>
          <w:p w14:paraId="718DF9D9" w14:textId="77777777" w:rsidR="00FE5E91" w:rsidRPr="001B3C5D" w:rsidRDefault="00FE5E91" w:rsidP="00AE3181">
            <w:pPr>
              <w:widowControl w:val="0"/>
              <w:numPr>
                <w:ilvl w:val="0"/>
                <w:numId w:val="19"/>
              </w:numPr>
              <w:autoSpaceDE w:val="0"/>
              <w:autoSpaceDN w:val="0"/>
              <w:spacing w:line="276" w:lineRule="auto"/>
              <w:contextualSpacing/>
              <w:jc w:val="both"/>
              <w:rPr>
                <w:rFonts w:ascii="Verdana" w:eastAsia="Aptos" w:hAnsi="Verdana" w:cs="Arial"/>
              </w:rPr>
            </w:pPr>
            <w:r w:rsidRPr="00F725A8">
              <w:rPr>
                <w:rFonts w:ascii="Verdana" w:eastAsia="Aptos" w:hAnsi="Verdana" w:cs="Arial"/>
              </w:rPr>
              <w:t xml:space="preserve">Consejo de Estado, Sala de lo Contencioso Administrativo, Sección Primera. Consejero ponente: Juan Alberto Polo Figueroa. Bogotá D.C., 24 de agosto de 2000. </w:t>
            </w:r>
            <w:r w:rsidRPr="001B3C5D">
              <w:rPr>
                <w:rFonts w:ascii="Verdana" w:eastAsia="Aptos" w:hAnsi="Verdana" w:cs="Arial"/>
              </w:rPr>
              <w:t>Radicación número 6096.</w:t>
            </w:r>
          </w:p>
          <w:p w14:paraId="6EB6ECB2" w14:textId="77777777" w:rsidR="00FE5E91" w:rsidRPr="001B3C5D" w:rsidRDefault="00FE5E91" w:rsidP="00AE3181">
            <w:pPr>
              <w:widowControl w:val="0"/>
              <w:numPr>
                <w:ilvl w:val="0"/>
                <w:numId w:val="19"/>
              </w:numPr>
              <w:autoSpaceDE w:val="0"/>
              <w:autoSpaceDN w:val="0"/>
              <w:spacing w:line="276" w:lineRule="auto"/>
              <w:contextualSpacing/>
              <w:jc w:val="both"/>
              <w:rPr>
                <w:rFonts w:ascii="Verdana" w:eastAsia="Aptos" w:hAnsi="Verdana" w:cs="Arial"/>
              </w:rPr>
            </w:pPr>
            <w:r w:rsidRPr="00F16D67">
              <w:rPr>
                <w:rFonts w:ascii="Verdana" w:eastAsia="Aptos" w:hAnsi="Verdana" w:cs="Arial"/>
                <w:lang w:val="pt-BR"/>
              </w:rPr>
              <w:t xml:space="preserve">Corte Constitucional, Sentencia C-917 de 2002. </w:t>
            </w:r>
            <w:r w:rsidRPr="001B3C5D">
              <w:rPr>
                <w:rFonts w:ascii="Verdana" w:eastAsia="Aptos" w:hAnsi="Verdana" w:cs="Arial"/>
              </w:rPr>
              <w:t xml:space="preserve">M.P.: Marco Gerardo Monroy Cabra. </w:t>
            </w:r>
          </w:p>
          <w:p w14:paraId="7AA35408" w14:textId="77777777" w:rsidR="00FE5E91" w:rsidRPr="001B3C5D" w:rsidRDefault="00FE5E91" w:rsidP="00AE3181">
            <w:pPr>
              <w:widowControl w:val="0"/>
              <w:numPr>
                <w:ilvl w:val="0"/>
                <w:numId w:val="19"/>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Auto del 14 de agosto de 2017. Rad. 58820.</w:t>
            </w:r>
          </w:p>
          <w:p w14:paraId="66DBC259" w14:textId="77777777" w:rsidR="00FE5E91" w:rsidRPr="001B3C5D" w:rsidRDefault="00FE5E91" w:rsidP="00AE3181">
            <w:pPr>
              <w:widowControl w:val="0"/>
              <w:numPr>
                <w:ilvl w:val="0"/>
                <w:numId w:val="19"/>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Sentencia del 16 de agosto de 2017. Rad.56166.</w:t>
            </w:r>
          </w:p>
          <w:p w14:paraId="17BBAB86" w14:textId="77777777" w:rsidR="00FE5E91" w:rsidRPr="001B3C5D" w:rsidRDefault="00FE5E91" w:rsidP="00AE3181">
            <w:pPr>
              <w:widowControl w:val="0"/>
              <w:numPr>
                <w:ilvl w:val="0"/>
                <w:numId w:val="19"/>
              </w:numPr>
              <w:autoSpaceDE w:val="0"/>
              <w:autoSpaceDN w:val="0"/>
              <w:spacing w:line="276" w:lineRule="auto"/>
              <w:contextualSpacing/>
              <w:jc w:val="both"/>
              <w:rPr>
                <w:rFonts w:ascii="Verdana" w:eastAsia="Aptos" w:hAnsi="Verdana" w:cs="Arial"/>
              </w:rPr>
            </w:pPr>
            <w:r w:rsidRPr="001B3C5D">
              <w:rPr>
                <w:rFonts w:ascii="Verdana" w:eastAsia="Aptos" w:hAnsi="Verdana" w:cs="Arial"/>
              </w:rPr>
              <w:t xml:space="preserve">Consejo de Estado. Sección Tercera. Sentencia de 11 de abril de 2019. </w:t>
            </w:r>
            <w:r w:rsidRPr="001B3C5D">
              <w:rPr>
                <w:rFonts w:ascii="Verdana" w:eastAsia="Aptos" w:hAnsi="Verdana" w:cs="Arial"/>
              </w:rPr>
              <w:lastRenderedPageBreak/>
              <w:t>Rad. 52.055.</w:t>
            </w:r>
          </w:p>
          <w:p w14:paraId="15AFE955" w14:textId="77777777" w:rsidR="00FE5E91" w:rsidRPr="001B3C5D" w:rsidRDefault="00FE5E91" w:rsidP="00AE3181">
            <w:pPr>
              <w:widowControl w:val="0"/>
              <w:numPr>
                <w:ilvl w:val="0"/>
                <w:numId w:val="19"/>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Quinta, del 12 de diciembre de 2024 (Rad. 05001-23-33-000-2024-00847-01, M.P. Omar Joaquín Barreto Suárez)</w:t>
            </w:r>
          </w:p>
          <w:p w14:paraId="18971775" w14:textId="77777777" w:rsidR="00FE5E91" w:rsidRPr="001B3C5D" w:rsidRDefault="00FE5E91" w:rsidP="00AE3181">
            <w:pPr>
              <w:widowControl w:val="0"/>
              <w:numPr>
                <w:ilvl w:val="0"/>
                <w:numId w:val="19"/>
              </w:numPr>
              <w:autoSpaceDE w:val="0"/>
              <w:autoSpaceDN w:val="0"/>
              <w:spacing w:line="276" w:lineRule="auto"/>
              <w:contextualSpacing/>
              <w:jc w:val="both"/>
              <w:rPr>
                <w:rFonts w:ascii="Verdana" w:eastAsia="Aptos" w:hAnsi="Verdana" w:cs="Arial"/>
              </w:rPr>
            </w:pPr>
            <w:r w:rsidRPr="001B3C5D">
              <w:rPr>
                <w:rFonts w:ascii="Verdana" w:eastAsia="Aptos" w:hAnsi="Verdana" w:cs="Arial"/>
              </w:rPr>
              <w:t>Ley 80 de 1993: artículo 2.</w:t>
            </w:r>
          </w:p>
          <w:p w14:paraId="776B921B" w14:textId="77777777" w:rsidR="00FE5E91" w:rsidRPr="001B3C5D" w:rsidRDefault="00FE5E91" w:rsidP="00AE3181">
            <w:pPr>
              <w:widowControl w:val="0"/>
              <w:numPr>
                <w:ilvl w:val="0"/>
                <w:numId w:val="18"/>
              </w:numPr>
              <w:autoSpaceDE w:val="0"/>
              <w:autoSpaceDN w:val="0"/>
              <w:spacing w:line="276" w:lineRule="auto"/>
              <w:ind w:left="714" w:hanging="357"/>
              <w:jc w:val="both"/>
              <w:rPr>
                <w:rFonts w:ascii="Verdana" w:eastAsia="Calibri" w:hAnsi="Verdana" w:cs="Arial"/>
                <w:lang w:val="es-ES_tradnl"/>
              </w:rPr>
            </w:pPr>
            <w:r w:rsidRPr="001B3C5D">
              <w:rPr>
                <w:rFonts w:ascii="Verdana" w:eastAsia="Calibri" w:hAnsi="Verdana" w:cs="Arial"/>
                <w:lang w:val="es-ES_tradnl"/>
              </w:rPr>
              <w:t xml:space="preserve">Ley 2022 de 2020, artículo 1. </w:t>
            </w:r>
          </w:p>
          <w:p w14:paraId="74D11542" w14:textId="77777777" w:rsidR="00FE5E91" w:rsidRPr="001B3C5D" w:rsidRDefault="00FE5E91" w:rsidP="00AE3181">
            <w:pPr>
              <w:widowControl w:val="0"/>
              <w:numPr>
                <w:ilvl w:val="0"/>
                <w:numId w:val="18"/>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 xml:space="preserve">Documentos Tipo. Disponibles en: </w:t>
            </w:r>
            <w:hyperlink r:id="rId11" w:history="1">
              <w:r w:rsidRPr="001B3C5D">
                <w:rPr>
                  <w:rFonts w:ascii="Verdana" w:eastAsia="Calibri" w:hAnsi="Verdana" w:cs="Arial"/>
                  <w:color w:val="0000FF"/>
                  <w:u w:val="single"/>
                  <w:lang w:val="es-ES_tradnl"/>
                </w:rPr>
                <w:t>https://www.colombiacompra.gov.co/documentos-tipo/documentos-tipo</w:t>
              </w:r>
            </w:hyperlink>
            <w:r w:rsidRPr="001B3C5D">
              <w:rPr>
                <w:rFonts w:ascii="Verdana" w:eastAsia="Calibri" w:hAnsi="Verdana" w:cs="Arial"/>
                <w:lang w:val="es-ES_tradnl"/>
              </w:rPr>
              <w:t>.</w:t>
            </w:r>
          </w:p>
          <w:p w14:paraId="14298422" w14:textId="77777777" w:rsidR="00FE5E91" w:rsidRPr="001B3C5D" w:rsidRDefault="00FE5E91" w:rsidP="00AE3181">
            <w:pPr>
              <w:widowControl w:val="0"/>
              <w:numPr>
                <w:ilvl w:val="0"/>
                <w:numId w:val="18"/>
              </w:numPr>
              <w:autoSpaceDE w:val="0"/>
              <w:autoSpaceDN w:val="0"/>
              <w:spacing w:line="276" w:lineRule="auto"/>
              <w:contextualSpacing/>
              <w:jc w:val="both"/>
              <w:rPr>
                <w:rFonts w:ascii="Verdana" w:eastAsia="Calibri" w:hAnsi="Verdana" w:cs="Arial"/>
              </w:rPr>
            </w:pPr>
            <w:r w:rsidRPr="001B3C5D">
              <w:rPr>
                <w:rFonts w:ascii="Verdana" w:eastAsia="Aptos" w:hAnsi="Verdana" w:cs="Arial"/>
              </w:rPr>
              <w:t>Decreto Ley 4170 de 2011: artículo 1, artículo 11</w:t>
            </w:r>
          </w:p>
          <w:p w14:paraId="17BEC945" w14:textId="77777777" w:rsidR="00FE5E91" w:rsidRPr="001B3C5D" w:rsidRDefault="00FE5E91" w:rsidP="00AE3181">
            <w:pPr>
              <w:widowControl w:val="0"/>
              <w:numPr>
                <w:ilvl w:val="0"/>
                <w:numId w:val="18"/>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Decreto 287 de 2026: Artículo 1 y artículo 2.</w:t>
            </w:r>
          </w:p>
        </w:tc>
      </w:tr>
    </w:tbl>
    <w:p w14:paraId="580CCC8D" w14:textId="77777777" w:rsidR="00FE5E91" w:rsidRPr="001B3C5D" w:rsidRDefault="00FE5E91" w:rsidP="00FE5E91">
      <w:pPr>
        <w:tabs>
          <w:tab w:val="left" w:pos="142"/>
          <w:tab w:val="left" w:pos="284"/>
        </w:tabs>
        <w:spacing w:after="0" w:line="276" w:lineRule="auto"/>
        <w:jc w:val="both"/>
        <w:rPr>
          <w:rFonts w:ascii="Verdana" w:eastAsia="Calibri" w:hAnsi="Verdana" w:cs="Arial"/>
        </w:rPr>
      </w:pPr>
    </w:p>
    <w:p w14:paraId="7E101449" w14:textId="77777777" w:rsidR="00FE5E91" w:rsidRPr="001B3C5D" w:rsidRDefault="00FE5E91" w:rsidP="00FE5E91">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alibri" w:hAnsi="Verdana" w:cs="Arial"/>
          <w:b/>
          <w:bCs/>
        </w:rPr>
        <w:t>5</w:t>
      </w:r>
      <w:r w:rsidRPr="001B3C5D">
        <w:rPr>
          <w:rFonts w:ascii="Verdana" w:eastAsia="Calibri" w:hAnsi="Verdana" w:cs="Arial"/>
        </w:rPr>
        <w:t>.</w:t>
      </w:r>
      <w:r w:rsidRPr="001B3C5D">
        <w:rPr>
          <w:rFonts w:ascii="Verdana" w:eastAsia="Century Gothic" w:hAnsi="Verdana" w:cs="Century Gothic"/>
          <w:b/>
          <w:bCs/>
          <w:lang w:val="es-ES"/>
        </w:rPr>
        <w:t>Doctrina de la Agencia Nacional de Contratación Pública:</w:t>
      </w:r>
    </w:p>
    <w:p w14:paraId="49E73745" w14:textId="77777777" w:rsidR="00FE5E91" w:rsidRPr="001B3C5D" w:rsidRDefault="00FE5E91" w:rsidP="00FE5E91">
      <w:pPr>
        <w:widowControl w:val="0"/>
        <w:autoSpaceDE w:val="0"/>
        <w:autoSpaceDN w:val="0"/>
        <w:spacing w:after="0" w:line="276" w:lineRule="auto"/>
        <w:jc w:val="both"/>
        <w:rPr>
          <w:rFonts w:ascii="Verdana" w:eastAsia="Calibri" w:hAnsi="Verdana" w:cs="Arial"/>
        </w:rPr>
      </w:pPr>
    </w:p>
    <w:p w14:paraId="46402A8F" w14:textId="77777777" w:rsidR="00FE5E91" w:rsidRPr="001B077C" w:rsidRDefault="00FE5E91" w:rsidP="00FE5E91">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1B3C5D">
        <w:rPr>
          <w:rFonts w:ascii="Verdana" w:eastAsia="Calibri" w:hAnsi="Verdana" w:cs="Arial"/>
          <w:kern w:val="2"/>
          <w:shd w:val="clear" w:color="auto" w:fill="FFFFFF"/>
          <w14:ligatures w14:val="standardContextual"/>
        </w:rPr>
        <w:t>L</w:t>
      </w:r>
      <w:r w:rsidRPr="001B3C5D">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1B3C5D">
        <w:rPr>
          <w:rFonts w:ascii="Verdana" w:eastAsia="Times New Roman" w:hAnsi="Verdana" w:cs="Arial"/>
          <w:kern w:val="2"/>
          <w:shd w:val="clear" w:color="auto" w:fill="FFFFFF"/>
          <w:lang w:val="es-ES"/>
          <w14:ligatures w14:val="standardContextual"/>
        </w:rPr>
        <w:t xml:space="preserve">, </w:t>
      </w:r>
      <w:r w:rsidRPr="001B3C5D">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1B3C5D">
        <w:rPr>
          <w:rFonts w:ascii="Verdana" w:eastAsia="Calibri" w:hAnsi="Verdana" w:cs="Arial"/>
          <w:shd w:val="clear" w:color="auto" w:fill="FFFFFF"/>
          <w:lang w:val="es-ES"/>
        </w:rPr>
        <w:t xml:space="preserve">, C-043 del 13 de febrero de 2026 y C-246 del 12 de marzo de 2026, entre otros. </w:t>
      </w:r>
      <w:r w:rsidRPr="00206556">
        <w:rPr>
          <w:rFonts w:ascii="Verdana" w:hAnsi="Verdana" w:cs="Arial"/>
          <w:shd w:val="clear" w:color="auto" w:fill="FFFFFF"/>
          <w:lang w:val="es-ES"/>
        </w:rPr>
        <w:t>Est</w:t>
      </w:r>
      <w:r>
        <w:rPr>
          <w:rFonts w:ascii="Verdana" w:hAnsi="Verdana" w:cs="Arial"/>
          <w:shd w:val="clear" w:color="auto" w:fill="FFFFFF"/>
          <w:lang w:val="es-ES"/>
        </w:rPr>
        <w:t>e</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2" w:history="1">
        <w:r w:rsidRPr="00206556">
          <w:rPr>
            <w:rStyle w:val="Hipervnculo"/>
            <w:rFonts w:ascii="Verdana" w:hAnsi="Verdana" w:cs="Arial"/>
            <w:shd w:val="clear" w:color="auto" w:fill="FFFFFF"/>
            <w:lang w:val="es-ES"/>
          </w:rPr>
          <w:t>https://relatoria.colombiacompra.gov.co/busqueda/conceptos</w:t>
        </w:r>
      </w:hyperlink>
    </w:p>
    <w:p w14:paraId="26AD7748" w14:textId="77777777" w:rsidR="00FE5E91" w:rsidRPr="00206556" w:rsidRDefault="00FE5E91" w:rsidP="00FE5E91">
      <w:pPr>
        <w:spacing w:after="0" w:line="276" w:lineRule="auto"/>
        <w:jc w:val="both"/>
        <w:rPr>
          <w:rFonts w:ascii="Verdana" w:hAnsi="Verdana" w:cs="Arial"/>
          <w:color w:val="ED7D31" w:themeColor="accent2"/>
          <w:shd w:val="clear" w:color="auto" w:fill="FFFFFF"/>
          <w:lang w:val="es-ES"/>
        </w:rPr>
      </w:pPr>
    </w:p>
    <w:p w14:paraId="67C5DBFF" w14:textId="77777777" w:rsidR="00FE5E91" w:rsidRPr="00206556" w:rsidRDefault="00FE5E91" w:rsidP="00FE5E91">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w:t>
      </w:r>
      <w:r w:rsidRPr="00206556">
        <w:rPr>
          <w:rFonts w:ascii="Verdana" w:hAnsi="Verdana" w:cs="Arial"/>
          <w:shd w:val="clear" w:color="auto" w:fill="FFFFFF"/>
        </w:rPr>
        <w:lastRenderedPageBreak/>
        <w:t xml:space="preserve">las diferentes etapas del proceso de contratación: </w:t>
      </w:r>
      <w:hyperlink r:id="rId13"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2C95B37C" w14:textId="77777777" w:rsidR="00FE5E91" w:rsidRPr="00206556" w:rsidRDefault="00FE5E91" w:rsidP="00FE5E91">
      <w:pPr>
        <w:spacing w:after="0" w:line="276" w:lineRule="auto"/>
        <w:jc w:val="both"/>
        <w:rPr>
          <w:rFonts w:ascii="Verdana" w:hAnsi="Verdana" w:cs="Arial"/>
          <w:shd w:val="clear" w:color="auto" w:fill="FFFFFF"/>
        </w:rPr>
      </w:pPr>
    </w:p>
    <w:p w14:paraId="06135A77" w14:textId="77777777" w:rsidR="00FE5E91" w:rsidRPr="00206556" w:rsidRDefault="00FE5E91" w:rsidP="00FE5E91">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4" w:history="1">
        <w:r w:rsidRPr="00206556">
          <w:rPr>
            <w:rStyle w:val="Hipervnculo"/>
            <w:rFonts w:ascii="Verdana" w:hAnsi="Verdana" w:cs="Arial"/>
            <w:shd w:val="clear" w:color="auto" w:fill="FFFFFF"/>
          </w:rPr>
          <w:t>https://www.colombiacompra.gov.co/normativa-y-relatoria/documentos-tipo</w:t>
        </w:r>
      </w:hyperlink>
    </w:p>
    <w:p w14:paraId="2F824679" w14:textId="77777777" w:rsidR="00FE5E91" w:rsidRPr="00206556" w:rsidRDefault="00FE5E91" w:rsidP="00FE5E91">
      <w:pPr>
        <w:spacing w:after="0" w:line="276" w:lineRule="auto"/>
        <w:jc w:val="both"/>
        <w:rPr>
          <w:rFonts w:ascii="Verdana" w:hAnsi="Verdana" w:cs="Arial"/>
          <w:shd w:val="clear" w:color="auto" w:fill="FFFFFF"/>
        </w:rPr>
      </w:pPr>
    </w:p>
    <w:p w14:paraId="33D64F1F" w14:textId="15CE908C" w:rsidR="00FE5E91" w:rsidRPr="00206556" w:rsidRDefault="00FE5E91" w:rsidP="00FE5E91">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r w:rsidR="004B0194" w:rsidRPr="00206556">
        <w:rPr>
          <w:rFonts w:ascii="Verdana" w:hAnsi="Verdana" w:cs="Arial"/>
          <w:shd w:val="clear" w:color="auto" w:fill="FFFFFF"/>
        </w:rPr>
        <w:t>Además,</w:t>
      </w:r>
      <w:r w:rsidRPr="00206556">
        <w:rPr>
          <w:rFonts w:ascii="Verdana" w:hAnsi="Verdana" w:cs="Arial"/>
          <w:shd w:val="clear" w:color="auto" w:fill="FFFFFF"/>
        </w:rPr>
        <w:t xml:space="preserve">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3FA636D2" w14:textId="77777777" w:rsidR="00FE5E91" w:rsidRPr="00206556" w:rsidRDefault="00FE5E91" w:rsidP="00FE5E91">
      <w:pPr>
        <w:spacing w:after="0" w:line="276" w:lineRule="auto"/>
        <w:jc w:val="both"/>
        <w:rPr>
          <w:rFonts w:ascii="Verdana" w:hAnsi="Verdana" w:cs="Arial"/>
          <w:color w:val="ED7D31" w:themeColor="accent2"/>
          <w:shd w:val="clear" w:color="auto" w:fill="FFFFFF"/>
        </w:rPr>
      </w:pPr>
    </w:p>
    <w:p w14:paraId="6691F8F8" w14:textId="77777777" w:rsidR="00FE5E91" w:rsidRPr="00206556" w:rsidRDefault="00FE5E91" w:rsidP="00FE5E91">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09092467" w14:textId="77777777" w:rsidR="00FE5E91" w:rsidRPr="00206556" w:rsidRDefault="00FE5E91" w:rsidP="00FE5E91">
      <w:pPr>
        <w:spacing w:after="0"/>
        <w:jc w:val="both"/>
        <w:rPr>
          <w:rFonts w:ascii="Verdana" w:hAnsi="Verdana" w:cs="Arial"/>
          <w:shd w:val="clear" w:color="auto" w:fill="FFFFFF"/>
        </w:rPr>
      </w:pPr>
    </w:p>
    <w:p w14:paraId="3EC642E2" w14:textId="77777777" w:rsidR="00FE5E91" w:rsidRPr="00206556" w:rsidRDefault="00FE5E91" w:rsidP="00FE5E91">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5700AC2C" w14:textId="77777777" w:rsidR="00FE5E91" w:rsidRPr="00206556" w:rsidRDefault="00FE5E91" w:rsidP="00FE5E91">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4FD9E62E" w14:textId="77777777" w:rsidR="00FE5E91" w:rsidRPr="00206556" w:rsidRDefault="00FE5E91" w:rsidP="00FE5E91">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75605683" w14:textId="77777777" w:rsidR="00FE5E91" w:rsidRPr="00206556" w:rsidRDefault="00FE5E91" w:rsidP="00FE5E91">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BE3DDB3" w14:textId="77777777" w:rsidR="00FE5E91" w:rsidRPr="00206556" w:rsidRDefault="00FE5E91" w:rsidP="00FE5E91">
      <w:pPr>
        <w:widowControl w:val="0"/>
        <w:autoSpaceDE w:val="0"/>
        <w:autoSpaceDN w:val="0"/>
        <w:spacing w:after="0" w:line="276" w:lineRule="auto"/>
        <w:jc w:val="both"/>
        <w:rPr>
          <w:rFonts w:ascii="Verdana" w:hAnsi="Verdana" w:cs="Arial"/>
          <w:color w:val="ED7D31" w:themeColor="accent2"/>
          <w:lang w:val="es-ES"/>
        </w:rPr>
      </w:pPr>
    </w:p>
    <w:p w14:paraId="3FBCC41D" w14:textId="77777777" w:rsidR="00FE5E91" w:rsidRPr="00206556" w:rsidRDefault="00FE5E91" w:rsidP="00FE5E91">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 xml:space="preserve">Este concepto tiene el alcance previsto en el artículo 28 del Código de </w:t>
      </w:r>
      <w:r w:rsidRPr="00206556">
        <w:rPr>
          <w:rFonts w:ascii="Verdana" w:hAnsi="Verdana" w:cs="Arial"/>
          <w:lang w:val="es-ES"/>
        </w:rPr>
        <w:lastRenderedPageBreak/>
        <w:t>Procedimiento Administrativo y de lo Contencioso Administrativo y las expresiones aquí utilizadas con mayúscula inicial deben ser entendidas con el significado que les otorga el artículo 2.2.1.1.1.3.1. del Decreto 1082 de 2015.</w:t>
      </w:r>
    </w:p>
    <w:p w14:paraId="47BC6D31" w14:textId="77777777" w:rsidR="00FE5E91" w:rsidRPr="00206556" w:rsidRDefault="00FE5E91" w:rsidP="00FE5E91">
      <w:pPr>
        <w:widowControl w:val="0"/>
        <w:autoSpaceDE w:val="0"/>
        <w:autoSpaceDN w:val="0"/>
        <w:spacing w:after="0" w:line="276" w:lineRule="auto"/>
        <w:jc w:val="both"/>
        <w:rPr>
          <w:rFonts w:ascii="Verdana" w:hAnsi="Verdana" w:cs="Arial"/>
          <w:lang w:val="es-ES"/>
        </w:rPr>
      </w:pPr>
    </w:p>
    <w:p w14:paraId="22B5D6C8" w14:textId="77777777" w:rsidR="00FE5E91" w:rsidRPr="00206556" w:rsidRDefault="00FE5E91" w:rsidP="00FE5E91">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34FD724D" w14:textId="77777777" w:rsidR="00FE5E91" w:rsidRPr="00206556" w:rsidRDefault="00FE5E91" w:rsidP="00FE5E91">
      <w:pPr>
        <w:autoSpaceDE w:val="0"/>
        <w:autoSpaceDN w:val="0"/>
        <w:adjustRightInd w:val="0"/>
        <w:spacing w:after="0" w:line="276" w:lineRule="auto"/>
        <w:rPr>
          <w:rFonts w:ascii="Verdana" w:eastAsia="Calibri" w:hAnsi="Verdana" w:cs="Arial"/>
          <w:noProof/>
          <w:sz w:val="20"/>
          <w:szCs w:val="20"/>
        </w:rPr>
      </w:pPr>
    </w:p>
    <w:p w14:paraId="7A16BDEC" w14:textId="11650B87" w:rsidR="00FE5E91" w:rsidRPr="00206556" w:rsidRDefault="00096507" w:rsidP="00FE5E91">
      <w:pPr>
        <w:spacing w:after="0" w:line="256" w:lineRule="auto"/>
        <w:jc w:val="center"/>
        <w:rPr>
          <w:rFonts w:ascii="Verdana" w:eastAsia="Times New Roman" w:hAnsi="Verdana" w:cs="Arial"/>
          <w:lang w:eastAsia="es-ES"/>
        </w:rPr>
      </w:pPr>
      <w:r>
        <w:rPr>
          <w:rFonts w:ascii="Verdana" w:eastAsia="Times New Roman" w:hAnsi="Verdana" w:cs="Arial"/>
          <w:noProof/>
          <w:lang w:eastAsia="es-ES"/>
        </w:rPr>
        <w:drawing>
          <wp:inline distT="0" distB="0" distL="0" distR="0" wp14:anchorId="6C77EC2B" wp14:editId="7905D0E4">
            <wp:extent cx="3639058" cy="1343212"/>
            <wp:effectExtent l="0" t="0" r="0" b="0"/>
            <wp:docPr id="182466660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666608"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p w14:paraId="558111A7" w14:textId="77777777" w:rsidR="00FE5E91" w:rsidRPr="00206556" w:rsidRDefault="00FE5E91" w:rsidP="00FE5E91">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FE5E91" w:rsidRPr="00206556" w14:paraId="68E676CE" w14:textId="77777777" w:rsidTr="00AE3181">
        <w:trPr>
          <w:trHeight w:val="322"/>
        </w:trPr>
        <w:tc>
          <w:tcPr>
            <w:tcW w:w="733" w:type="dxa"/>
            <w:tcBorders>
              <w:top w:val="nil"/>
              <w:left w:val="nil"/>
              <w:bottom w:val="nil"/>
              <w:right w:val="nil"/>
            </w:tcBorders>
            <w:vAlign w:val="center"/>
            <w:hideMark/>
          </w:tcPr>
          <w:p w14:paraId="538F0484" w14:textId="77777777" w:rsidR="00FE5E91" w:rsidRPr="00206556" w:rsidRDefault="00FE5E91" w:rsidP="00AE318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30AD156B" w14:textId="77777777" w:rsidR="00FE5E91" w:rsidRPr="00206556" w:rsidRDefault="00FE5E91" w:rsidP="00AE318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eastAsia="es-CO"/>
              </w:rPr>
              <w:t>Gloria Elizabeth Arango Builes</w:t>
            </w:r>
          </w:p>
          <w:p w14:paraId="7B1B7F10" w14:textId="77777777" w:rsidR="00FE5E91" w:rsidRPr="00206556" w:rsidRDefault="00FE5E91" w:rsidP="00AE3181">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eastAsia="es-ES"/>
              </w:rPr>
              <w:t xml:space="preserve">Contratista </w:t>
            </w:r>
            <w:r w:rsidRPr="00206556">
              <w:rPr>
                <w:rFonts w:ascii="Verdana" w:eastAsia="Times New Roman" w:hAnsi="Verdana" w:cs="Times New Roman"/>
                <w:sz w:val="16"/>
                <w:szCs w:val="16"/>
                <w:lang w:eastAsia="es-CO"/>
              </w:rPr>
              <w:t>de la Subdirección de Gestión Contractual</w:t>
            </w:r>
          </w:p>
        </w:tc>
      </w:tr>
      <w:tr w:rsidR="00FE5E91" w:rsidRPr="00206556" w14:paraId="0F9B0F61" w14:textId="77777777" w:rsidTr="00AE3181">
        <w:trPr>
          <w:trHeight w:val="322"/>
        </w:trPr>
        <w:tc>
          <w:tcPr>
            <w:tcW w:w="733" w:type="dxa"/>
            <w:tcBorders>
              <w:top w:val="nil"/>
              <w:left w:val="nil"/>
              <w:bottom w:val="nil"/>
              <w:right w:val="nil"/>
            </w:tcBorders>
            <w:vAlign w:val="center"/>
            <w:hideMark/>
          </w:tcPr>
          <w:p w14:paraId="6C68AF8C" w14:textId="77777777" w:rsidR="00FE5E91" w:rsidRPr="00206556" w:rsidRDefault="00FE5E91" w:rsidP="00AE318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7239196" w14:textId="77777777" w:rsidR="00FE5E91" w:rsidRPr="00206556" w:rsidRDefault="00FE5E91" w:rsidP="00AE3181">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Saavedra Castañeda</w:t>
            </w:r>
          </w:p>
          <w:p w14:paraId="3D84180A" w14:textId="10C03302" w:rsidR="00FE5E91" w:rsidRPr="00206556" w:rsidRDefault="00FE5E91" w:rsidP="002F37B2">
            <w:pPr>
              <w:autoSpaceDE w:val="0"/>
              <w:autoSpaceDN w:val="0"/>
              <w:adjustRightInd w:val="0"/>
              <w:spacing w:after="0" w:line="276" w:lineRule="auto"/>
              <w:rPr>
                <w:rFonts w:ascii="Verdana" w:eastAsia="Times New Roman" w:hAnsi="Verdana" w:cs="Times New Roman"/>
                <w:sz w:val="16"/>
                <w:szCs w:val="16"/>
                <w:lang w:eastAsia="es-CO"/>
              </w:rPr>
            </w:pPr>
            <w:r>
              <w:rPr>
                <w:rFonts w:ascii="Verdana" w:eastAsia="Times New Roman" w:hAnsi="Verdana" w:cs="Arial"/>
                <w:sz w:val="16"/>
                <w:szCs w:val="16"/>
                <w:lang w:eastAsia="es-ES"/>
              </w:rPr>
              <w:t>Contratista</w:t>
            </w:r>
            <w:r w:rsidRPr="00206556">
              <w:rPr>
                <w:rFonts w:ascii="Verdana" w:eastAsia="Times New Roman" w:hAnsi="Verdana" w:cs="Arial"/>
                <w:sz w:val="16"/>
                <w:szCs w:val="16"/>
                <w:lang w:eastAsia="es-ES"/>
              </w:rPr>
              <w:t xml:space="preserve"> de la Subdirección de Gestión Contractual</w:t>
            </w:r>
          </w:p>
        </w:tc>
      </w:tr>
      <w:tr w:rsidR="00FE5E91" w:rsidRPr="00206556" w14:paraId="4BFDB327" w14:textId="77777777" w:rsidTr="00AE3181">
        <w:trPr>
          <w:trHeight w:val="307"/>
        </w:trPr>
        <w:tc>
          <w:tcPr>
            <w:tcW w:w="733" w:type="dxa"/>
            <w:tcBorders>
              <w:top w:val="nil"/>
              <w:left w:val="nil"/>
              <w:bottom w:val="nil"/>
              <w:right w:val="nil"/>
            </w:tcBorders>
            <w:vAlign w:val="center"/>
            <w:hideMark/>
          </w:tcPr>
          <w:p w14:paraId="4AA9A440" w14:textId="77777777" w:rsidR="00FE5E91" w:rsidRPr="00206556" w:rsidRDefault="00FE5E91" w:rsidP="00AE318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690F04F0" w14:textId="77777777" w:rsidR="00FE5E91" w:rsidRPr="00206556" w:rsidRDefault="00FE5E91" w:rsidP="00AE318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003D554A" w14:textId="77777777" w:rsidR="00FE5E91" w:rsidRPr="00206556" w:rsidRDefault="00FE5E91" w:rsidP="00AE318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tbl>
    <w:p w14:paraId="69BC4D14" w14:textId="6F2BA752"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69FD3A" w14:textId="77777777" w:rsidR="009A3E18" w:rsidRDefault="009A3E18" w:rsidP="004A1847">
      <w:pPr>
        <w:spacing w:after="0" w:line="240" w:lineRule="auto"/>
      </w:pPr>
      <w:r>
        <w:separator/>
      </w:r>
    </w:p>
  </w:endnote>
  <w:endnote w:type="continuationSeparator" w:id="0">
    <w:p w14:paraId="2A121CB9" w14:textId="77777777" w:rsidR="009A3E18" w:rsidRDefault="009A3E18" w:rsidP="004A1847">
      <w:pPr>
        <w:spacing w:after="0" w:line="240" w:lineRule="auto"/>
      </w:pPr>
      <w:r>
        <w:continuationSeparator/>
      </w:r>
    </w:p>
  </w:endnote>
  <w:endnote w:type="continuationNotice" w:id="1">
    <w:p w14:paraId="46B3615D" w14:textId="77777777" w:rsidR="009A3E18" w:rsidRDefault="009A3E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D7598" w14:textId="77777777" w:rsidR="009A3E18" w:rsidRDefault="009A3E18" w:rsidP="004A1847">
      <w:pPr>
        <w:spacing w:after="0" w:line="240" w:lineRule="auto"/>
      </w:pPr>
      <w:r>
        <w:separator/>
      </w:r>
    </w:p>
  </w:footnote>
  <w:footnote w:type="continuationSeparator" w:id="0">
    <w:p w14:paraId="606BA643" w14:textId="77777777" w:rsidR="009A3E18" w:rsidRDefault="009A3E18" w:rsidP="004A1847">
      <w:pPr>
        <w:spacing w:after="0" w:line="240" w:lineRule="auto"/>
      </w:pPr>
      <w:r>
        <w:continuationSeparator/>
      </w:r>
    </w:p>
  </w:footnote>
  <w:footnote w:type="continuationNotice" w:id="1">
    <w:p w14:paraId="6274E7AE" w14:textId="77777777" w:rsidR="009A3E18" w:rsidRDefault="009A3E18">
      <w:pPr>
        <w:spacing w:after="0" w:line="240" w:lineRule="auto"/>
      </w:pPr>
    </w:p>
  </w:footnote>
  <w:footnote w:id="2">
    <w:p w14:paraId="02AF1B25" w14:textId="77777777" w:rsidR="00FE5E91" w:rsidRPr="001B077C" w:rsidRDefault="00FE5E91" w:rsidP="00FE5E91">
      <w:pPr>
        <w:pStyle w:val="Textonotapie"/>
        <w:ind w:firstLine="708"/>
        <w:jc w:val="both"/>
        <w:rPr>
          <w:rFonts w:ascii="Verdana" w:hAnsi="Verdana" w:cs="Arial"/>
          <w:sz w:val="12"/>
          <w:szCs w:val="12"/>
          <w:lang w:val="it-IT"/>
        </w:rPr>
      </w:pPr>
      <w:r w:rsidRPr="001B077C">
        <w:rPr>
          <w:rStyle w:val="Refdenotaalpie"/>
          <w:rFonts w:ascii="Verdana" w:hAnsi="Verdana" w:cs="Arial"/>
          <w:sz w:val="12"/>
          <w:szCs w:val="12"/>
        </w:rPr>
        <w:footnoteRef/>
      </w:r>
      <w:r w:rsidRPr="001B077C">
        <w:rPr>
          <w:rFonts w:ascii="Verdana" w:hAnsi="Verdana" w:cs="Arial"/>
          <w:sz w:val="12"/>
          <w:szCs w:val="12"/>
          <w:lang w:val="pt-BR"/>
        </w:rPr>
        <w:t xml:space="preserve"> Corte Constitucional, Sentencia C–1005 de 2008. </w:t>
      </w:r>
      <w:r w:rsidRPr="001B077C">
        <w:rPr>
          <w:rFonts w:ascii="Verdana" w:hAnsi="Verdana" w:cs="Arial"/>
          <w:sz w:val="12"/>
          <w:szCs w:val="12"/>
          <w:lang w:val="it-IT"/>
        </w:rPr>
        <w:t xml:space="preserve">M.P.: Humberto Antonio Sierra Porto. </w:t>
      </w:r>
    </w:p>
    <w:p w14:paraId="12B10DFF" w14:textId="77777777" w:rsidR="00FE5E91" w:rsidRPr="001B077C" w:rsidRDefault="00FE5E91" w:rsidP="00FE5E91">
      <w:pPr>
        <w:pStyle w:val="Textonotapie"/>
        <w:ind w:firstLine="708"/>
        <w:jc w:val="both"/>
        <w:rPr>
          <w:rFonts w:ascii="Verdana" w:hAnsi="Verdana" w:cs="Arial"/>
          <w:sz w:val="12"/>
          <w:szCs w:val="12"/>
          <w:lang w:val="it-IT"/>
        </w:rPr>
      </w:pPr>
    </w:p>
  </w:footnote>
  <w:footnote w:id="3">
    <w:p w14:paraId="2D72A1EB" w14:textId="77777777" w:rsidR="00FE5E91" w:rsidRPr="001B077C" w:rsidRDefault="00FE5E91" w:rsidP="00FE5E91">
      <w:pPr>
        <w:pStyle w:val="Textonotapie"/>
        <w:ind w:firstLine="708"/>
        <w:jc w:val="both"/>
        <w:rPr>
          <w:rFonts w:ascii="Verdana" w:hAnsi="Verdana" w:cs="Arial"/>
          <w:sz w:val="12"/>
          <w:szCs w:val="12"/>
          <w:lang w:val="pt-BR"/>
        </w:rPr>
      </w:pPr>
      <w:r w:rsidRPr="001B077C">
        <w:rPr>
          <w:rStyle w:val="Refdenotaalpie"/>
          <w:rFonts w:ascii="Verdana" w:hAnsi="Verdana" w:cs="Arial"/>
          <w:sz w:val="12"/>
          <w:szCs w:val="12"/>
        </w:rPr>
        <w:footnoteRef/>
      </w:r>
      <w:r w:rsidRPr="001B077C">
        <w:rPr>
          <w:rFonts w:ascii="Verdana" w:hAnsi="Verdana" w:cs="Arial"/>
          <w:sz w:val="12"/>
          <w:szCs w:val="12"/>
          <w:lang w:val="pt-BR"/>
        </w:rPr>
        <w:t xml:space="preserve"> Consejo de Estado, Sala de lo Contencioso Administrativo, Sección Primera. Consejero ponente: Juan Alberto Polo Figueroa. Bogotá D.C., 24 de agosto de 2000. Radicación número 6096.</w:t>
      </w:r>
    </w:p>
    <w:p w14:paraId="21BA7A48" w14:textId="77777777" w:rsidR="00FE5E91" w:rsidRPr="001B077C" w:rsidRDefault="00FE5E91" w:rsidP="00FE5E91">
      <w:pPr>
        <w:pStyle w:val="Textonotapie"/>
        <w:ind w:firstLine="708"/>
        <w:jc w:val="both"/>
        <w:rPr>
          <w:rFonts w:ascii="Verdana" w:hAnsi="Verdana" w:cs="Arial"/>
          <w:sz w:val="12"/>
          <w:szCs w:val="12"/>
          <w:lang w:val="pt-BR"/>
        </w:rPr>
      </w:pPr>
    </w:p>
  </w:footnote>
  <w:footnote w:id="4">
    <w:p w14:paraId="09F1E1B1" w14:textId="77777777" w:rsidR="00FE5E91" w:rsidRPr="001B077C" w:rsidRDefault="00FE5E91" w:rsidP="00FE5E91">
      <w:pPr>
        <w:pStyle w:val="Textonotapie"/>
        <w:ind w:firstLine="708"/>
        <w:jc w:val="both"/>
        <w:rPr>
          <w:rFonts w:ascii="Verdana" w:hAnsi="Verdana"/>
          <w:sz w:val="12"/>
          <w:szCs w:val="12"/>
          <w:lang w:val="pt-BR"/>
        </w:rPr>
      </w:pPr>
      <w:r w:rsidRPr="001B077C">
        <w:rPr>
          <w:rStyle w:val="Refdenotaalpie"/>
          <w:rFonts w:ascii="Verdana" w:hAnsi="Verdana"/>
          <w:sz w:val="12"/>
          <w:szCs w:val="12"/>
        </w:rPr>
        <w:footnoteRef/>
      </w:r>
      <w:r w:rsidRPr="001B077C">
        <w:rPr>
          <w:rFonts w:ascii="Verdana" w:hAnsi="Verdana"/>
          <w:sz w:val="12"/>
          <w:szCs w:val="12"/>
          <w:lang w:val="pt-BR"/>
        </w:rPr>
        <w:t xml:space="preserve"> Ibidem </w:t>
      </w:r>
    </w:p>
    <w:p w14:paraId="1F6C0C5C" w14:textId="77777777" w:rsidR="00FE5E91" w:rsidRPr="001B077C" w:rsidRDefault="00FE5E91" w:rsidP="00FE5E91">
      <w:pPr>
        <w:pStyle w:val="Textonotapie"/>
        <w:ind w:firstLine="708"/>
        <w:jc w:val="both"/>
        <w:rPr>
          <w:rFonts w:ascii="Verdana" w:hAnsi="Verdana"/>
          <w:sz w:val="12"/>
          <w:szCs w:val="12"/>
          <w:lang w:val="pt-BR"/>
        </w:rPr>
      </w:pPr>
    </w:p>
  </w:footnote>
  <w:footnote w:id="5">
    <w:p w14:paraId="0F22DCB9" w14:textId="77777777" w:rsidR="00FE5E91" w:rsidRPr="001B077C" w:rsidRDefault="00FE5E91" w:rsidP="00FE5E91">
      <w:pPr>
        <w:pStyle w:val="Textonotapie"/>
        <w:ind w:firstLine="708"/>
        <w:jc w:val="both"/>
        <w:rPr>
          <w:rFonts w:ascii="Verdana" w:hAnsi="Verdana"/>
          <w:color w:val="333333"/>
          <w:sz w:val="12"/>
          <w:szCs w:val="12"/>
          <w:shd w:val="clear" w:color="auto" w:fill="FFFFFF"/>
          <w:lang w:val="pt-BR"/>
        </w:rPr>
      </w:pPr>
      <w:r w:rsidRPr="001B077C">
        <w:rPr>
          <w:rStyle w:val="Refdenotaalpie"/>
          <w:rFonts w:ascii="Verdana" w:hAnsi="Verdana"/>
          <w:sz w:val="12"/>
          <w:szCs w:val="12"/>
        </w:rPr>
        <w:footnoteRef/>
      </w:r>
      <w:r w:rsidRPr="001B077C">
        <w:rPr>
          <w:rFonts w:ascii="Verdana" w:hAnsi="Verdana"/>
          <w:sz w:val="12"/>
          <w:szCs w:val="12"/>
          <w:lang w:val="pt-BR"/>
        </w:rPr>
        <w:t xml:space="preserve"> </w:t>
      </w:r>
      <w:r w:rsidRPr="001B077C">
        <w:rPr>
          <w:rFonts w:ascii="Verdana" w:hAnsi="Verdana" w:cs="Arial"/>
          <w:sz w:val="12"/>
          <w:szCs w:val="12"/>
          <w:lang w:val="pt-BR"/>
        </w:rPr>
        <w:t xml:space="preserve">Corte Constitucional, Sentencia </w:t>
      </w:r>
      <w:r w:rsidRPr="001B077C">
        <w:rPr>
          <w:rFonts w:ascii="Verdana" w:eastAsia="Times New Roman" w:hAnsi="Verdana" w:cs="Arial"/>
          <w:sz w:val="12"/>
          <w:szCs w:val="12"/>
          <w:lang w:val="pt-BR" w:eastAsia="es-MX"/>
        </w:rPr>
        <w:t>C-917 de 2002</w:t>
      </w:r>
      <w:r w:rsidRPr="001B077C">
        <w:rPr>
          <w:rFonts w:ascii="Verdana" w:hAnsi="Verdana" w:cs="Arial"/>
          <w:sz w:val="12"/>
          <w:szCs w:val="12"/>
          <w:lang w:val="pt-BR"/>
        </w:rPr>
        <w:t xml:space="preserve">. M.P.: </w:t>
      </w:r>
      <w:r w:rsidRPr="001B077C">
        <w:rPr>
          <w:rFonts w:ascii="Verdana" w:hAnsi="Verdana"/>
          <w:color w:val="333333"/>
          <w:sz w:val="12"/>
          <w:szCs w:val="12"/>
          <w:shd w:val="clear" w:color="auto" w:fill="FFFFFF"/>
          <w:lang w:val="pt-BR"/>
        </w:rPr>
        <w:t>Marco Gerardo Monroy Cabra.</w:t>
      </w:r>
    </w:p>
    <w:p w14:paraId="477A5AA1" w14:textId="77777777" w:rsidR="00FE5E91" w:rsidRPr="001B077C" w:rsidRDefault="00FE5E91" w:rsidP="00FE5E91">
      <w:pPr>
        <w:pStyle w:val="Textonotapie"/>
        <w:ind w:firstLine="708"/>
        <w:jc w:val="both"/>
        <w:rPr>
          <w:rFonts w:ascii="Verdana" w:hAnsi="Verdana"/>
          <w:sz w:val="12"/>
          <w:szCs w:val="12"/>
          <w:lang w:val="pt-BR"/>
        </w:rPr>
      </w:pPr>
    </w:p>
  </w:footnote>
  <w:footnote w:id="6">
    <w:p w14:paraId="3BF3BFE2"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Artículo 1º del Decreto Ley 4170 de 2011.</w:t>
      </w:r>
    </w:p>
    <w:p w14:paraId="11152270" w14:textId="77777777" w:rsidR="00FE5E91" w:rsidRPr="001B077C" w:rsidRDefault="00FE5E91" w:rsidP="00FE5E91">
      <w:pPr>
        <w:pStyle w:val="Textonotapie"/>
        <w:ind w:firstLine="708"/>
        <w:jc w:val="both"/>
        <w:rPr>
          <w:rFonts w:ascii="Verdana" w:hAnsi="Verdana" w:cs="Arial"/>
          <w:sz w:val="12"/>
          <w:szCs w:val="12"/>
        </w:rPr>
      </w:pPr>
    </w:p>
  </w:footnote>
  <w:footnote w:id="7">
    <w:p w14:paraId="72D6D44A"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sz w:val="12"/>
          <w:szCs w:val="12"/>
        </w:rPr>
        <w:footnoteRef/>
      </w:r>
      <w:r w:rsidRPr="001B077C">
        <w:rPr>
          <w:rFonts w:ascii="Verdana" w:hAnsi="Verdana"/>
          <w:sz w:val="12"/>
          <w:szCs w:val="12"/>
        </w:rPr>
        <w:t xml:space="preserve"> </w:t>
      </w:r>
      <w:r w:rsidRPr="001B077C">
        <w:rPr>
          <w:rFonts w:ascii="Verdana" w:hAnsi="Verdana" w:cs="Arial"/>
          <w:sz w:val="12"/>
          <w:szCs w:val="12"/>
        </w:rPr>
        <w:t>Ver el Artículo 11 numeral 12 del Decreto Ley 4170 de 2011.</w:t>
      </w:r>
    </w:p>
    <w:p w14:paraId="369AFE2A" w14:textId="77777777" w:rsidR="00FE5E91" w:rsidRPr="001B077C" w:rsidRDefault="00FE5E91" w:rsidP="00FE5E91">
      <w:pPr>
        <w:pStyle w:val="Textonotapie"/>
        <w:ind w:firstLine="708"/>
        <w:jc w:val="both"/>
        <w:rPr>
          <w:rFonts w:ascii="Verdana" w:hAnsi="Verdana"/>
          <w:sz w:val="12"/>
          <w:szCs w:val="12"/>
        </w:rPr>
      </w:pPr>
    </w:p>
  </w:footnote>
  <w:footnote w:id="8">
    <w:p w14:paraId="73155EA8"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Style w:val="Refdenotaalpie"/>
          <w:rFonts w:ascii="Verdana" w:hAnsi="Verdana" w:cs="Arial"/>
          <w:sz w:val="12"/>
          <w:szCs w:val="12"/>
        </w:rPr>
        <w:t xml:space="preserve"> </w:t>
      </w:r>
      <w:r w:rsidRPr="001B077C">
        <w:rPr>
          <w:rFonts w:ascii="Verdana" w:hAnsi="Verdana" w:cs="Arial"/>
          <w:sz w:val="12"/>
          <w:szCs w:val="12"/>
        </w:rPr>
        <w:t>Consejo de Estado. Sección Tercera. Auto del 14 de agosto de 2017. Rad. 58820.</w:t>
      </w:r>
    </w:p>
    <w:p w14:paraId="15DD453A" w14:textId="77777777" w:rsidR="00FE5E91" w:rsidRPr="001B077C" w:rsidRDefault="00FE5E91" w:rsidP="00FE5E91">
      <w:pPr>
        <w:pStyle w:val="Textonotapie"/>
        <w:ind w:firstLine="708"/>
        <w:jc w:val="both"/>
        <w:rPr>
          <w:rFonts w:ascii="Verdana" w:hAnsi="Verdana" w:cs="Arial"/>
          <w:sz w:val="12"/>
          <w:szCs w:val="12"/>
        </w:rPr>
      </w:pPr>
    </w:p>
  </w:footnote>
  <w:footnote w:id="9">
    <w:p w14:paraId="64B56EA7" w14:textId="77777777" w:rsidR="00FE5E91" w:rsidRPr="001B077C" w:rsidRDefault="00FE5E91" w:rsidP="00FE5E91">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Consejo de Estado. Sección Tercera. Sentencia del 16 de agosto de 2017. Rad. 56166.</w:t>
      </w:r>
    </w:p>
    <w:p w14:paraId="1F62D96E" w14:textId="77777777" w:rsidR="00FE5E91" w:rsidRPr="001B077C" w:rsidRDefault="00FE5E91" w:rsidP="00FE5E91">
      <w:pPr>
        <w:pStyle w:val="Textonotapie"/>
        <w:ind w:firstLine="708"/>
        <w:jc w:val="both"/>
        <w:rPr>
          <w:rFonts w:ascii="Verdana" w:hAnsi="Verdana"/>
          <w:sz w:val="12"/>
          <w:szCs w:val="12"/>
        </w:rPr>
      </w:pPr>
    </w:p>
  </w:footnote>
  <w:footnote w:id="10">
    <w:p w14:paraId="2E3C25DB"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Ibídem. </w:t>
      </w:r>
    </w:p>
    <w:p w14:paraId="548514AE" w14:textId="77777777" w:rsidR="00FE5E91" w:rsidRPr="00C80FF3" w:rsidRDefault="00FE5E91" w:rsidP="00FE5E91">
      <w:pPr>
        <w:pStyle w:val="Textonotapie"/>
        <w:ind w:firstLine="708"/>
        <w:jc w:val="both"/>
        <w:rPr>
          <w:rFonts w:ascii="Verdana" w:hAnsi="Verdana" w:cs="Arial"/>
          <w:sz w:val="19"/>
          <w:szCs w:val="19"/>
        </w:rPr>
      </w:pPr>
    </w:p>
  </w:footnote>
  <w:footnote w:id="11">
    <w:p w14:paraId="1077340D" w14:textId="77777777" w:rsidR="00FE5E91" w:rsidRPr="00C80FF3" w:rsidRDefault="00FE5E91" w:rsidP="00FE5E91">
      <w:pPr>
        <w:pStyle w:val="Textonotapie"/>
        <w:ind w:firstLine="708"/>
        <w:jc w:val="both"/>
        <w:rPr>
          <w:rFonts w:ascii="Verdana" w:hAnsi="Verdana" w:cs="Arial"/>
          <w:sz w:val="19"/>
          <w:szCs w:val="19"/>
          <w:lang w:val="es-ES"/>
        </w:rPr>
      </w:pPr>
      <w:r w:rsidRPr="00C80FF3">
        <w:rPr>
          <w:rStyle w:val="Refdenotaalpie"/>
          <w:rFonts w:ascii="Verdana" w:hAnsi="Verdana" w:cs="Arial"/>
          <w:sz w:val="19"/>
          <w:szCs w:val="19"/>
        </w:rPr>
        <w:footnoteRef/>
      </w:r>
      <w:r w:rsidRPr="00C80FF3">
        <w:rPr>
          <w:rFonts w:ascii="Verdana" w:hAnsi="Verdana" w:cs="Arial"/>
          <w:sz w:val="19"/>
          <w:szCs w:val="19"/>
        </w:rPr>
        <w:t xml:space="preserve"> Diccionario de la Real Academia Española, versión online disponible en: </w:t>
      </w:r>
      <w:hyperlink r:id="rId1" w:history="1">
        <w:r w:rsidRPr="00C80FF3">
          <w:rPr>
            <w:rStyle w:val="Hipervnculo"/>
            <w:rFonts w:ascii="Verdana" w:hAnsi="Verdana" w:cs="Arial"/>
            <w:sz w:val="19"/>
            <w:szCs w:val="19"/>
          </w:rPr>
          <w:t>https://dle.rae.es/est%C3%A1ndar</w:t>
        </w:r>
      </w:hyperlink>
      <w:r w:rsidRPr="00C80FF3">
        <w:rPr>
          <w:rFonts w:ascii="Verdana" w:hAnsi="Verdana" w:cs="Arial"/>
          <w:sz w:val="19"/>
          <w:szCs w:val="19"/>
        </w:rPr>
        <w:t xml:space="preserve">, consultado el 2 de junio de 2020. </w:t>
      </w:r>
    </w:p>
  </w:footnote>
  <w:footnote w:id="12">
    <w:p w14:paraId="48148C39" w14:textId="77777777" w:rsidR="00FE5E91" w:rsidRPr="001B077C" w:rsidRDefault="00FE5E91" w:rsidP="00FE5E91">
      <w:pPr>
        <w:pStyle w:val="Textonotapie"/>
        <w:ind w:firstLine="708"/>
        <w:jc w:val="both"/>
        <w:rPr>
          <w:rFonts w:ascii="Verdana" w:hAnsi="Verdana"/>
          <w:sz w:val="12"/>
          <w:szCs w:val="12"/>
        </w:rPr>
      </w:pPr>
      <w:r w:rsidRPr="00861BF3">
        <w:rPr>
          <w:rStyle w:val="Refdenotaalpie"/>
          <w:rFonts w:ascii="Verdana" w:hAnsi="Verdana"/>
          <w:sz w:val="19"/>
          <w:szCs w:val="19"/>
        </w:rPr>
        <w:footnoteRef/>
      </w:r>
      <w:r w:rsidRPr="00861BF3">
        <w:rPr>
          <w:rFonts w:ascii="Verdana" w:hAnsi="Verdana"/>
          <w:sz w:val="19"/>
          <w:szCs w:val="19"/>
        </w:rPr>
        <w:t xml:space="preserve"> </w:t>
      </w:r>
      <w:r w:rsidRPr="001B077C">
        <w:rPr>
          <w:rFonts w:ascii="Verdana" w:hAnsi="Verdana" w:cs="Arial"/>
          <w:sz w:val="12"/>
          <w:szCs w:val="12"/>
        </w:rPr>
        <w:t>Gaceta del Congreso No. 733 del 2018. Pág. 19</w:t>
      </w:r>
    </w:p>
    <w:p w14:paraId="575434B5" w14:textId="77777777" w:rsidR="00FE5E91" w:rsidRPr="001B077C" w:rsidRDefault="00FE5E91" w:rsidP="00FE5E91">
      <w:pPr>
        <w:pStyle w:val="Textonotapie"/>
        <w:jc w:val="both"/>
        <w:rPr>
          <w:rFonts w:ascii="Verdana" w:hAnsi="Verdana"/>
          <w:sz w:val="12"/>
          <w:szCs w:val="12"/>
          <w:lang w:val="es-CO"/>
        </w:rPr>
      </w:pPr>
    </w:p>
  </w:footnote>
  <w:footnote w:id="13">
    <w:p w14:paraId="5476E0F7"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sz w:val="12"/>
          <w:szCs w:val="12"/>
        </w:rPr>
        <w:footnoteRef/>
      </w:r>
      <w:r w:rsidRPr="001B077C">
        <w:rPr>
          <w:rFonts w:ascii="Verdana" w:hAnsi="Verdana"/>
          <w:sz w:val="12"/>
          <w:szCs w:val="12"/>
        </w:rPr>
        <w:t xml:space="preserve"> </w:t>
      </w:r>
      <w:r w:rsidRPr="001B077C">
        <w:rPr>
          <w:rFonts w:ascii="Verdana" w:hAnsi="Verdana" w:cs="Arial"/>
          <w:sz w:val="12"/>
          <w:szCs w:val="12"/>
        </w:rPr>
        <w:t xml:space="preserve">Ley 2022 de 2020: “Artículo 1. Modifíquese el artículo </w:t>
      </w:r>
      <w:hyperlink r:id="rId2" w:anchor="4" w:history="1">
        <w:r w:rsidRPr="001B077C">
          <w:rPr>
            <w:rFonts w:ascii="Verdana" w:hAnsi="Verdana" w:cs="Arial"/>
            <w:sz w:val="12"/>
            <w:szCs w:val="12"/>
          </w:rPr>
          <w:t>4</w:t>
        </w:r>
      </w:hyperlink>
      <w:r w:rsidRPr="001B077C">
        <w:rPr>
          <w:rFonts w:ascii="Verdana" w:hAnsi="Verdana" w:cs="Arial"/>
          <w:sz w:val="12"/>
          <w:szCs w:val="12"/>
        </w:rPr>
        <w:t xml:space="preserve">º de la Ley 1882 de 2018, el cual quedará así: </w:t>
      </w:r>
    </w:p>
    <w:p w14:paraId="6FA13C11" w14:textId="77777777" w:rsidR="00FE5E91" w:rsidRPr="001B077C" w:rsidRDefault="00FE5E91" w:rsidP="00FE5E91">
      <w:pPr>
        <w:pStyle w:val="Textonotapie"/>
        <w:ind w:firstLine="708"/>
        <w:jc w:val="both"/>
        <w:rPr>
          <w:rFonts w:ascii="Verdana" w:hAnsi="Verdana" w:cs="Arial"/>
          <w:sz w:val="12"/>
          <w:szCs w:val="12"/>
        </w:rPr>
      </w:pPr>
    </w:p>
    <w:p w14:paraId="178A5E4D" w14:textId="77777777" w:rsidR="00FE5E91" w:rsidRPr="001B077C" w:rsidRDefault="00FE5E91" w:rsidP="00FE5E91">
      <w:pPr>
        <w:pStyle w:val="Textonotapie"/>
        <w:ind w:firstLine="708"/>
        <w:jc w:val="both"/>
        <w:rPr>
          <w:rFonts w:ascii="Verdana" w:hAnsi="Verdana" w:cs="Arial"/>
          <w:sz w:val="12"/>
          <w:szCs w:val="12"/>
        </w:rPr>
      </w:pPr>
      <w:r w:rsidRPr="001B077C">
        <w:rPr>
          <w:rFonts w:ascii="Verdana" w:hAnsi="Verdana" w:cs="Arial"/>
          <w:sz w:val="12"/>
          <w:szCs w:val="12"/>
        </w:rPr>
        <w:t xml:space="preserve">“Artículo 4º. Adiciónese el siguiente </w:t>
      </w:r>
      <w:r w:rsidRPr="001B077C">
        <w:rPr>
          <w:rFonts w:ascii="Verdana" w:hAnsi="Verdana"/>
          <w:sz w:val="12"/>
          <w:szCs w:val="12"/>
        </w:rPr>
        <w:t xml:space="preserve"> </w:t>
      </w:r>
      <w:r w:rsidRPr="001B077C">
        <w:rPr>
          <w:rFonts w:ascii="Verdana" w:hAnsi="Verdana" w:cs="Arial"/>
          <w:sz w:val="12"/>
          <w:szCs w:val="12"/>
        </w:rPr>
        <w:t>al artículo 2º de la Ley 1150 de 2007.</w:t>
      </w:r>
    </w:p>
    <w:p w14:paraId="325068D8" w14:textId="77777777" w:rsidR="00FE5E91" w:rsidRPr="001B077C" w:rsidRDefault="00FE5E91" w:rsidP="00FE5E91">
      <w:pPr>
        <w:pStyle w:val="Textonotapie"/>
        <w:ind w:firstLine="708"/>
        <w:jc w:val="both"/>
        <w:rPr>
          <w:rFonts w:ascii="Verdana" w:hAnsi="Verdana" w:cs="Arial"/>
          <w:sz w:val="12"/>
          <w:szCs w:val="12"/>
        </w:rPr>
      </w:pPr>
    </w:p>
    <w:p w14:paraId="51D2FB23" w14:textId="77777777" w:rsidR="00FE5E91" w:rsidRPr="001B077C" w:rsidRDefault="00FE5E91" w:rsidP="00FE5E91">
      <w:pPr>
        <w:pStyle w:val="Textonotapie"/>
        <w:ind w:firstLine="708"/>
        <w:jc w:val="both"/>
        <w:rPr>
          <w:rFonts w:ascii="Verdana" w:hAnsi="Verdana" w:cs="Arial"/>
          <w:sz w:val="12"/>
          <w:szCs w:val="12"/>
        </w:rPr>
      </w:pPr>
      <w:r w:rsidRPr="001B077C">
        <w:rPr>
          <w:rFonts w:ascii="Verdana" w:hAnsi="Verdana" w:cs="Arial"/>
          <w:sz w:val="12"/>
          <w:szCs w:val="12"/>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25F9514C" w14:textId="77777777" w:rsidR="00FE5E91" w:rsidRPr="001B077C" w:rsidRDefault="00FE5E91" w:rsidP="00FE5E91">
      <w:pPr>
        <w:pStyle w:val="Textonotapie"/>
        <w:ind w:firstLine="708"/>
        <w:jc w:val="both"/>
        <w:rPr>
          <w:rFonts w:ascii="Verdana" w:hAnsi="Verdana" w:cs="Arial"/>
          <w:sz w:val="12"/>
          <w:szCs w:val="12"/>
        </w:rPr>
      </w:pPr>
    </w:p>
    <w:p w14:paraId="68B09371" w14:textId="77777777" w:rsidR="00FE5E91" w:rsidRPr="001B077C" w:rsidRDefault="00FE5E91" w:rsidP="00FE5E91">
      <w:pPr>
        <w:pStyle w:val="Textonotapie"/>
        <w:ind w:firstLine="708"/>
        <w:jc w:val="both"/>
        <w:rPr>
          <w:rFonts w:ascii="Verdana" w:hAnsi="Verdana" w:cs="Arial"/>
          <w:sz w:val="12"/>
          <w:szCs w:val="12"/>
        </w:rPr>
      </w:pPr>
      <w:r w:rsidRPr="001B077C">
        <w:rPr>
          <w:rFonts w:ascii="Verdana" w:hAnsi="Verdana" w:cs="Arial"/>
          <w:sz w:val="12"/>
          <w:szCs w:val="12"/>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59155727" w14:textId="77777777" w:rsidR="00FE5E91" w:rsidRPr="001B077C" w:rsidRDefault="00FE5E91" w:rsidP="00FE5E91">
      <w:pPr>
        <w:pStyle w:val="Textonotapie"/>
        <w:ind w:firstLine="708"/>
        <w:jc w:val="both"/>
        <w:rPr>
          <w:rFonts w:ascii="Verdana" w:hAnsi="Verdana" w:cs="Arial"/>
          <w:sz w:val="12"/>
          <w:szCs w:val="12"/>
        </w:rPr>
      </w:pPr>
    </w:p>
    <w:p w14:paraId="22BD4BBC" w14:textId="77777777" w:rsidR="00FE5E91" w:rsidRPr="001B077C" w:rsidRDefault="00FE5E91" w:rsidP="00FE5E91">
      <w:pPr>
        <w:pStyle w:val="Textonotapie"/>
        <w:ind w:firstLine="708"/>
        <w:jc w:val="both"/>
        <w:rPr>
          <w:rFonts w:ascii="Verdana" w:hAnsi="Verdana" w:cs="Arial"/>
          <w:sz w:val="12"/>
          <w:szCs w:val="12"/>
        </w:rPr>
      </w:pPr>
      <w:r w:rsidRPr="001B077C">
        <w:rPr>
          <w:rFonts w:ascii="Verdana" w:hAnsi="Verdana" w:cs="Arial"/>
          <w:sz w:val="12"/>
          <w:szCs w:val="12"/>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530F3999" w14:textId="77777777" w:rsidR="00FE5E91" w:rsidRPr="001B077C" w:rsidRDefault="00FE5E91" w:rsidP="00FE5E91">
      <w:pPr>
        <w:pStyle w:val="Textonotapie"/>
        <w:ind w:firstLine="708"/>
        <w:jc w:val="both"/>
        <w:rPr>
          <w:rFonts w:ascii="Verdana" w:hAnsi="Verdana" w:cs="Arial"/>
          <w:sz w:val="12"/>
          <w:szCs w:val="12"/>
        </w:rPr>
      </w:pPr>
    </w:p>
    <w:p w14:paraId="0A21754E" w14:textId="77777777" w:rsidR="00FE5E91" w:rsidRPr="001B077C" w:rsidRDefault="00FE5E91" w:rsidP="00FE5E91">
      <w:pPr>
        <w:pStyle w:val="Textonotapie"/>
        <w:ind w:firstLine="708"/>
        <w:jc w:val="both"/>
        <w:rPr>
          <w:rFonts w:ascii="Verdana" w:hAnsi="Verdana" w:cs="Arial"/>
          <w:sz w:val="12"/>
          <w:szCs w:val="12"/>
        </w:rPr>
      </w:pPr>
      <w:r w:rsidRPr="001B077C">
        <w:rPr>
          <w:rFonts w:ascii="Verdana" w:hAnsi="Verdana" w:cs="Arial"/>
          <w:sz w:val="12"/>
          <w:szCs w:val="12"/>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409DF931" w14:textId="77777777" w:rsidR="00FE5E91" w:rsidRPr="001B077C" w:rsidRDefault="00FE5E91" w:rsidP="00FE5E91">
      <w:pPr>
        <w:pStyle w:val="Textonotapie"/>
        <w:ind w:firstLine="708"/>
        <w:jc w:val="both"/>
        <w:rPr>
          <w:rFonts w:ascii="Verdana" w:hAnsi="Verdana" w:cs="Arial"/>
          <w:sz w:val="12"/>
          <w:szCs w:val="12"/>
        </w:rPr>
      </w:pPr>
    </w:p>
    <w:p w14:paraId="076DAE10" w14:textId="77777777" w:rsidR="00FE5E91" w:rsidRPr="001B077C" w:rsidRDefault="00FE5E91" w:rsidP="00FE5E91">
      <w:pPr>
        <w:pStyle w:val="Textonotapie"/>
        <w:ind w:firstLine="708"/>
        <w:jc w:val="both"/>
        <w:rPr>
          <w:rFonts w:ascii="Verdana" w:hAnsi="Verdana" w:cs="Arial"/>
          <w:sz w:val="12"/>
          <w:szCs w:val="12"/>
        </w:rPr>
      </w:pPr>
      <w:r w:rsidRPr="001B077C">
        <w:rPr>
          <w:rFonts w:ascii="Verdana" w:hAnsi="Verdana" w:cs="Arial"/>
          <w:sz w:val="12"/>
          <w:szCs w:val="12"/>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15BB4673" w14:textId="77777777" w:rsidR="00FE5E91" w:rsidRPr="001B077C" w:rsidRDefault="00FE5E91" w:rsidP="00FE5E91">
      <w:pPr>
        <w:pStyle w:val="Textonotapie"/>
        <w:ind w:firstLine="708"/>
        <w:jc w:val="both"/>
        <w:rPr>
          <w:rFonts w:ascii="Verdana" w:hAnsi="Verdana" w:cs="Arial"/>
          <w:sz w:val="12"/>
          <w:szCs w:val="12"/>
        </w:rPr>
      </w:pPr>
      <w:r w:rsidRPr="001B077C">
        <w:rPr>
          <w:rFonts w:ascii="Verdana" w:hAnsi="Verdana" w:cs="Arial"/>
          <w:sz w:val="12"/>
          <w:szCs w:val="12"/>
        </w:rPr>
        <w:t xml:space="preserve"> </w:t>
      </w:r>
    </w:p>
  </w:footnote>
  <w:footnote w:id="14">
    <w:p w14:paraId="4C8A6AD1"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Ley 80 de 1993. “Artículo 2. De la definición de entidades, servidores y servicios públicos. Para los solos efectos de esta ley:</w:t>
      </w:r>
    </w:p>
    <w:p w14:paraId="7530A0E0" w14:textId="77777777" w:rsidR="00FE5E91" w:rsidRPr="001B077C" w:rsidRDefault="00FE5E91" w:rsidP="00FE5E91">
      <w:pPr>
        <w:pStyle w:val="Textonotapie"/>
        <w:ind w:firstLine="708"/>
        <w:jc w:val="both"/>
        <w:rPr>
          <w:rFonts w:ascii="Verdana" w:hAnsi="Verdana" w:cs="Arial"/>
          <w:sz w:val="12"/>
          <w:szCs w:val="12"/>
        </w:rPr>
      </w:pPr>
    </w:p>
    <w:p w14:paraId="6598A01E" w14:textId="77777777" w:rsidR="00FE5E91" w:rsidRPr="001B077C" w:rsidRDefault="00FE5E91" w:rsidP="00FE5E91">
      <w:pPr>
        <w:pStyle w:val="Textonotapie"/>
        <w:ind w:firstLine="708"/>
        <w:jc w:val="both"/>
        <w:rPr>
          <w:rFonts w:ascii="Verdana" w:hAnsi="Verdana" w:cs="Arial"/>
          <w:sz w:val="12"/>
          <w:szCs w:val="12"/>
        </w:rPr>
      </w:pPr>
      <w:r w:rsidRPr="001B077C">
        <w:rPr>
          <w:rFonts w:ascii="Verdana" w:hAnsi="Verdana" w:cs="Arial"/>
          <w:sz w:val="12"/>
          <w:szCs w:val="12"/>
        </w:rPr>
        <w:t>1o. Se denominan entidades estatales:</w:t>
      </w:r>
    </w:p>
    <w:p w14:paraId="2B438AB9" w14:textId="77777777" w:rsidR="00FE5E91" w:rsidRPr="001B077C" w:rsidRDefault="00FE5E91" w:rsidP="00FE5E91">
      <w:pPr>
        <w:pStyle w:val="Textonotapie"/>
        <w:ind w:firstLine="708"/>
        <w:jc w:val="both"/>
        <w:rPr>
          <w:rFonts w:ascii="Verdana" w:hAnsi="Verdana" w:cs="Arial"/>
          <w:sz w:val="12"/>
          <w:szCs w:val="12"/>
        </w:rPr>
      </w:pPr>
    </w:p>
    <w:p w14:paraId="592D9D4B" w14:textId="77777777" w:rsidR="00FE5E91" w:rsidRPr="001B077C" w:rsidRDefault="00FE5E91" w:rsidP="00FE5E91">
      <w:pPr>
        <w:pStyle w:val="Textonotapie"/>
        <w:ind w:firstLine="708"/>
        <w:jc w:val="both"/>
        <w:rPr>
          <w:rFonts w:ascii="Verdana" w:hAnsi="Verdana" w:cs="Arial"/>
          <w:sz w:val="12"/>
          <w:szCs w:val="12"/>
        </w:rPr>
      </w:pPr>
      <w:r w:rsidRPr="001B077C">
        <w:rPr>
          <w:rFonts w:ascii="Verdana" w:hAnsi="Verdana" w:cs="Arial"/>
          <w:sz w:val="12"/>
          <w:szCs w:val="12"/>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45F82807" w14:textId="77777777" w:rsidR="00FE5E91" w:rsidRPr="001B077C" w:rsidRDefault="00FE5E91" w:rsidP="00FE5E91">
      <w:pPr>
        <w:pStyle w:val="Textonotapie"/>
        <w:ind w:firstLine="708"/>
        <w:jc w:val="both"/>
        <w:rPr>
          <w:rFonts w:ascii="Verdana" w:hAnsi="Verdana" w:cs="Arial"/>
          <w:sz w:val="12"/>
          <w:szCs w:val="12"/>
        </w:rPr>
      </w:pPr>
    </w:p>
    <w:p w14:paraId="5C246FF4" w14:textId="77777777" w:rsidR="00FE5E91" w:rsidRPr="001B077C" w:rsidRDefault="00FE5E91" w:rsidP="00FE5E91">
      <w:pPr>
        <w:pStyle w:val="Textonotapie"/>
        <w:ind w:firstLine="708"/>
        <w:jc w:val="both"/>
        <w:rPr>
          <w:rFonts w:ascii="Verdana" w:hAnsi="Verdana" w:cs="Arial"/>
          <w:i/>
          <w:sz w:val="12"/>
          <w:szCs w:val="12"/>
        </w:rPr>
      </w:pPr>
      <w:r w:rsidRPr="001B077C">
        <w:rPr>
          <w:rFonts w:ascii="Verdana" w:hAnsi="Verdana" w:cs="Arial"/>
          <w:sz w:val="12"/>
          <w:szCs w:val="12"/>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15">
    <w:p w14:paraId="7CE7D48E" w14:textId="77777777" w:rsidR="00FE5E91" w:rsidRPr="001B077C" w:rsidRDefault="00FE5E91" w:rsidP="00FE5E91">
      <w:pPr>
        <w:pStyle w:val="Textonotapie"/>
        <w:ind w:firstLine="708"/>
        <w:jc w:val="both"/>
        <w:rPr>
          <w:rFonts w:ascii="Verdana" w:hAnsi="Verdana" w:cs="Arial"/>
          <w:sz w:val="12"/>
          <w:szCs w:val="12"/>
          <w:lang w:val="it-IT"/>
        </w:rPr>
      </w:pPr>
      <w:r w:rsidRPr="001B077C">
        <w:rPr>
          <w:rStyle w:val="Refdenotaalpie"/>
          <w:rFonts w:ascii="Verdana" w:hAnsi="Verdana" w:cs="Arial"/>
          <w:sz w:val="12"/>
          <w:szCs w:val="12"/>
        </w:rPr>
        <w:footnoteRef/>
      </w:r>
      <w:r w:rsidRPr="001B077C">
        <w:rPr>
          <w:rFonts w:ascii="Verdana" w:hAnsi="Verdana" w:cs="Arial"/>
          <w:sz w:val="12"/>
          <w:szCs w:val="12"/>
          <w:lang w:val="pt-BR"/>
        </w:rPr>
        <w:t xml:space="preserve"> Corte Constitucional. Sentencia C-1005 de 2008. </w:t>
      </w:r>
      <w:r w:rsidRPr="001B077C">
        <w:rPr>
          <w:rFonts w:ascii="Verdana" w:hAnsi="Verdana" w:cs="Arial"/>
          <w:sz w:val="12"/>
          <w:szCs w:val="12"/>
          <w:lang w:val="it-IT"/>
        </w:rPr>
        <w:t>M.P.: Humberto Sierra Porto.</w:t>
      </w:r>
    </w:p>
    <w:p w14:paraId="64D24185" w14:textId="77777777" w:rsidR="00FE5E91" w:rsidRPr="001B077C" w:rsidRDefault="00FE5E91" w:rsidP="00FE5E91">
      <w:pPr>
        <w:pStyle w:val="Textonotapie"/>
        <w:ind w:firstLine="708"/>
        <w:jc w:val="both"/>
        <w:rPr>
          <w:rFonts w:ascii="Verdana" w:hAnsi="Verdana" w:cs="Arial"/>
          <w:sz w:val="12"/>
          <w:szCs w:val="12"/>
          <w:lang w:val="it-IT"/>
        </w:rPr>
      </w:pPr>
    </w:p>
  </w:footnote>
  <w:footnote w:id="16">
    <w:p w14:paraId="712887EB"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Consejo de Estado. Sección Primera. Sentencia del 20 de noviembre de 2014. Rad. 1101-03-24-000-2010-00119-00. C.P.: Guillermo Vargas Ayala. </w:t>
      </w:r>
    </w:p>
    <w:p w14:paraId="3AF34532" w14:textId="77777777" w:rsidR="00FE5E91" w:rsidRPr="001B077C" w:rsidRDefault="00FE5E91" w:rsidP="00FE5E91">
      <w:pPr>
        <w:pStyle w:val="Textonotapie"/>
        <w:ind w:firstLine="708"/>
        <w:jc w:val="both"/>
        <w:rPr>
          <w:rFonts w:ascii="Verdana" w:hAnsi="Verdana" w:cs="Arial"/>
          <w:sz w:val="12"/>
          <w:szCs w:val="12"/>
        </w:rPr>
      </w:pPr>
    </w:p>
  </w:footnote>
  <w:footnote w:id="17">
    <w:p w14:paraId="21B26EB3" w14:textId="77777777" w:rsidR="00FE5E91" w:rsidRPr="001B077C" w:rsidRDefault="00FE5E91" w:rsidP="00FE5E91">
      <w:pPr>
        <w:spacing w:after="0" w:line="240" w:lineRule="auto"/>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Al respecto, el Congreso puede dictar normas minuciosamente detalladas, en cuyo caso no será necesaria la expedición de decretos reglamentarios; o puede limitarse a dictar una ley de contenidos generales y dejar al Gobierno nacional la potestad de completar todos los aspectos que sean necesarios para su correcta ejecución. Por su parte, no puede el presidente saturar el ordenamiento, reglamentando lo que ya ha sido objeto de reglamentación por el legislador, pues si se repite con exactitud el contenido de las normas reglamentadas se violaría el principio conocido como “prohibición de tautología legal”. Ver Consejo de Estado. Sección Cuarta. Sentencia del 11 de febrero de 2014. Rad. 11001-03-27-000-2011-00023-00(18973). C.P. Carmen Teresa Ortiz De Rodríguez. </w:t>
      </w:r>
    </w:p>
    <w:p w14:paraId="554D9335" w14:textId="77777777" w:rsidR="00FE5E91" w:rsidRPr="001B077C" w:rsidRDefault="00FE5E91" w:rsidP="00FE5E91">
      <w:pPr>
        <w:spacing w:after="0" w:line="240" w:lineRule="auto"/>
        <w:ind w:firstLine="708"/>
        <w:jc w:val="both"/>
        <w:rPr>
          <w:rFonts w:ascii="Verdana" w:hAnsi="Verdana" w:cs="Arial"/>
          <w:sz w:val="12"/>
          <w:szCs w:val="12"/>
        </w:rPr>
      </w:pPr>
    </w:p>
  </w:footnote>
  <w:footnote w:id="18">
    <w:p w14:paraId="1C152B5A"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De acuerdo con la Sentencia C–037 de 2000, si bien la Constitución Política no contiene disposición expresa que determine dicho orden, de su articulado puede deducirse su existencia, así no siempre resulte sencilla esta tarea. En efecto, diversas disposiciones superiores se refieren a la sujeción de cierto rango de normas frente a otras. Además de ser evidente que las normas constitucionales ocupan, sin discusión, el primer lugar dentro de la jerarquía del ordenamiento jurídico, dentro de la propia Carta, no todas las normas son igualmente prevalentes.</w:t>
      </w:r>
    </w:p>
    <w:p w14:paraId="732CE007" w14:textId="77777777" w:rsidR="00FE5E91" w:rsidRPr="001B077C" w:rsidRDefault="00FE5E91" w:rsidP="00FE5E91">
      <w:pPr>
        <w:pStyle w:val="Textonotapie"/>
        <w:ind w:firstLine="708"/>
        <w:jc w:val="both"/>
        <w:rPr>
          <w:rFonts w:ascii="Verdana" w:hAnsi="Verdana" w:cs="Arial"/>
          <w:sz w:val="12"/>
          <w:szCs w:val="12"/>
        </w:rPr>
      </w:pPr>
    </w:p>
  </w:footnote>
  <w:footnote w:id="19">
    <w:p w14:paraId="1B9B5F8F"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Ver entre otras, las Sentencias de la Corte Constitucional C–162 de 2008; C–823 de 2011; C–810 de 2014. Consejo de Estado. Sección Segunda. Sentencia del 21 de octubre de 2010. Rad. 11001-03-25-000-2005-00125-00(5242-05). C.P. Alfonso Vargas Rincón; Consejo de Estado. Sección Tercera. Subsección B. Sentencia del 29 de abril de 2015. Rad. 11001-03-26-000-2004-00044-00(28615). C.P. Stella Conto Díaz del Castillo.</w:t>
      </w:r>
    </w:p>
    <w:p w14:paraId="32ADC3E5" w14:textId="77777777" w:rsidR="00FE5E91" w:rsidRPr="001B077C" w:rsidRDefault="00FE5E91" w:rsidP="00FE5E91">
      <w:pPr>
        <w:pStyle w:val="Textonotapie"/>
        <w:ind w:firstLine="708"/>
        <w:jc w:val="both"/>
        <w:rPr>
          <w:rFonts w:ascii="Verdana" w:hAnsi="Verdana" w:cs="Arial"/>
          <w:sz w:val="12"/>
          <w:szCs w:val="12"/>
        </w:rPr>
      </w:pPr>
    </w:p>
  </w:footnote>
  <w:footnote w:id="20">
    <w:p w14:paraId="4F4104F4" w14:textId="77777777" w:rsidR="00FE5E91" w:rsidRPr="001B077C" w:rsidRDefault="00FE5E91" w:rsidP="00FE5E91">
      <w:pPr>
        <w:pStyle w:val="Textonotapie"/>
        <w:ind w:firstLine="708"/>
        <w:jc w:val="both"/>
        <w:rPr>
          <w:rFonts w:ascii="Verdana" w:hAnsi="Verdana" w:cs="Arial"/>
          <w:sz w:val="12"/>
          <w:szCs w:val="12"/>
          <w:lang w:val="it-IT"/>
        </w:rPr>
      </w:pPr>
      <w:r w:rsidRPr="001B077C">
        <w:rPr>
          <w:rStyle w:val="Refdenotaalpie"/>
          <w:rFonts w:ascii="Verdana" w:hAnsi="Verdana" w:cs="Arial"/>
          <w:sz w:val="12"/>
          <w:szCs w:val="12"/>
        </w:rPr>
        <w:footnoteRef/>
      </w:r>
      <w:r w:rsidRPr="001B077C">
        <w:rPr>
          <w:rFonts w:ascii="Verdana" w:hAnsi="Verdana" w:cs="Arial"/>
          <w:sz w:val="12"/>
          <w:szCs w:val="12"/>
          <w:lang w:val="pt-BR"/>
        </w:rPr>
        <w:t xml:space="preserve"> Corte Constitucional, Sentencia C–1005 de 2008. </w:t>
      </w:r>
      <w:r w:rsidRPr="001B077C">
        <w:rPr>
          <w:rFonts w:ascii="Verdana" w:hAnsi="Verdana" w:cs="Arial"/>
          <w:sz w:val="12"/>
          <w:szCs w:val="12"/>
          <w:lang w:val="it-IT"/>
        </w:rPr>
        <w:t xml:space="preserve">M.P.: Humberto Antonio Sierra Porto. </w:t>
      </w:r>
    </w:p>
    <w:p w14:paraId="0C67D98A" w14:textId="77777777" w:rsidR="00FE5E91" w:rsidRPr="001B077C" w:rsidRDefault="00FE5E91" w:rsidP="00FE5E91">
      <w:pPr>
        <w:pStyle w:val="Textonotapie"/>
        <w:ind w:firstLine="708"/>
        <w:jc w:val="both"/>
        <w:rPr>
          <w:rFonts w:ascii="Verdana" w:hAnsi="Verdana" w:cs="Arial"/>
          <w:sz w:val="12"/>
          <w:szCs w:val="12"/>
          <w:lang w:val="it-IT"/>
        </w:rPr>
      </w:pPr>
    </w:p>
  </w:footnote>
  <w:footnote w:id="21">
    <w:p w14:paraId="07112EE5" w14:textId="77777777" w:rsidR="00FE5E91" w:rsidRPr="001B077C" w:rsidRDefault="00FE5E91" w:rsidP="00FE5E91">
      <w:pPr>
        <w:pStyle w:val="Textonotapie"/>
        <w:ind w:firstLine="708"/>
        <w:jc w:val="both"/>
        <w:rPr>
          <w:rFonts w:ascii="Verdana" w:hAnsi="Verdana" w:cs="Arial"/>
          <w:sz w:val="12"/>
          <w:szCs w:val="12"/>
          <w:lang w:val="pt-BR"/>
        </w:rPr>
      </w:pPr>
      <w:r w:rsidRPr="001B077C">
        <w:rPr>
          <w:rStyle w:val="Refdenotaalpie"/>
          <w:rFonts w:ascii="Verdana" w:hAnsi="Verdana" w:cs="Arial"/>
          <w:sz w:val="12"/>
          <w:szCs w:val="12"/>
        </w:rPr>
        <w:footnoteRef/>
      </w:r>
      <w:r w:rsidRPr="001B077C">
        <w:rPr>
          <w:rFonts w:ascii="Verdana" w:hAnsi="Verdana" w:cs="Arial"/>
          <w:sz w:val="12"/>
          <w:szCs w:val="12"/>
          <w:lang w:val="pt-BR"/>
        </w:rPr>
        <w:t xml:space="preserve"> Consejo de Estado, Sala de lo Contencioso Administrativo, Sección Primera. Consejero ponente: Juan Alberto Polo Figueroa. Bogotá D.C., 24 de agosto de 2000. Radicación número 6096.</w:t>
      </w:r>
    </w:p>
    <w:p w14:paraId="3940BDAA" w14:textId="77777777" w:rsidR="00FE5E91" w:rsidRPr="001B077C" w:rsidRDefault="00FE5E91" w:rsidP="00FE5E91">
      <w:pPr>
        <w:pStyle w:val="Textonotapie"/>
        <w:ind w:firstLine="708"/>
        <w:jc w:val="both"/>
        <w:rPr>
          <w:rFonts w:ascii="Verdana" w:hAnsi="Verdana" w:cs="Arial"/>
          <w:sz w:val="12"/>
          <w:szCs w:val="12"/>
          <w:lang w:val="pt-BR"/>
        </w:rPr>
      </w:pPr>
    </w:p>
  </w:footnote>
  <w:footnote w:id="22">
    <w:p w14:paraId="03B8FEA0" w14:textId="77777777" w:rsidR="00FE5E91" w:rsidRPr="001B077C" w:rsidRDefault="00FE5E91" w:rsidP="00FE5E91">
      <w:pPr>
        <w:pStyle w:val="Textonotapie"/>
        <w:ind w:firstLine="708"/>
        <w:jc w:val="both"/>
        <w:rPr>
          <w:rFonts w:ascii="Verdana" w:hAnsi="Verdana"/>
          <w:sz w:val="12"/>
          <w:szCs w:val="12"/>
          <w:lang w:val="pt-BR"/>
        </w:rPr>
      </w:pPr>
      <w:r w:rsidRPr="001B077C">
        <w:rPr>
          <w:rStyle w:val="Refdenotaalpie"/>
          <w:rFonts w:ascii="Verdana" w:hAnsi="Verdana"/>
          <w:sz w:val="12"/>
          <w:szCs w:val="12"/>
        </w:rPr>
        <w:footnoteRef/>
      </w:r>
      <w:r w:rsidRPr="001B077C">
        <w:rPr>
          <w:rFonts w:ascii="Verdana" w:hAnsi="Verdana"/>
          <w:sz w:val="12"/>
          <w:szCs w:val="12"/>
          <w:lang w:val="pt-BR"/>
        </w:rPr>
        <w:t xml:space="preserve"> Ibidem </w:t>
      </w:r>
    </w:p>
    <w:p w14:paraId="6B0CE7C3" w14:textId="77777777" w:rsidR="00FE5E91" w:rsidRPr="001B077C" w:rsidRDefault="00FE5E91" w:rsidP="00FE5E91">
      <w:pPr>
        <w:pStyle w:val="Textonotapie"/>
        <w:ind w:firstLine="708"/>
        <w:jc w:val="both"/>
        <w:rPr>
          <w:rFonts w:ascii="Verdana" w:hAnsi="Verdana"/>
          <w:sz w:val="12"/>
          <w:szCs w:val="12"/>
          <w:lang w:val="pt-BR"/>
        </w:rPr>
      </w:pPr>
    </w:p>
  </w:footnote>
  <w:footnote w:id="23">
    <w:p w14:paraId="6924010C" w14:textId="77777777" w:rsidR="00FE5E91" w:rsidRPr="001B077C" w:rsidRDefault="00FE5E91" w:rsidP="00FE5E91">
      <w:pPr>
        <w:pStyle w:val="Textonotapie"/>
        <w:ind w:firstLine="708"/>
        <w:jc w:val="both"/>
        <w:rPr>
          <w:rFonts w:ascii="Verdana" w:hAnsi="Verdana"/>
          <w:color w:val="333333"/>
          <w:sz w:val="12"/>
          <w:szCs w:val="12"/>
          <w:shd w:val="clear" w:color="auto" w:fill="FFFFFF"/>
          <w:lang w:val="pt-BR"/>
        </w:rPr>
      </w:pPr>
      <w:r w:rsidRPr="001B077C">
        <w:rPr>
          <w:rStyle w:val="Refdenotaalpie"/>
          <w:rFonts w:ascii="Verdana" w:hAnsi="Verdana"/>
          <w:sz w:val="12"/>
          <w:szCs w:val="12"/>
        </w:rPr>
        <w:footnoteRef/>
      </w:r>
      <w:r w:rsidRPr="001B077C">
        <w:rPr>
          <w:rFonts w:ascii="Verdana" w:hAnsi="Verdana"/>
          <w:sz w:val="12"/>
          <w:szCs w:val="12"/>
          <w:lang w:val="pt-BR"/>
        </w:rPr>
        <w:t xml:space="preserve"> </w:t>
      </w:r>
      <w:r w:rsidRPr="001B077C">
        <w:rPr>
          <w:rFonts w:ascii="Verdana" w:hAnsi="Verdana" w:cs="Arial"/>
          <w:sz w:val="12"/>
          <w:szCs w:val="12"/>
          <w:lang w:val="pt-BR"/>
        </w:rPr>
        <w:t xml:space="preserve">Corte Constitucional, Sentencia </w:t>
      </w:r>
      <w:r w:rsidRPr="001B077C">
        <w:rPr>
          <w:rFonts w:ascii="Verdana" w:eastAsia="Times New Roman" w:hAnsi="Verdana" w:cs="Arial"/>
          <w:sz w:val="12"/>
          <w:szCs w:val="12"/>
          <w:lang w:val="pt-BR" w:eastAsia="es-MX"/>
        </w:rPr>
        <w:t>C-917 de 2002</w:t>
      </w:r>
      <w:r w:rsidRPr="001B077C">
        <w:rPr>
          <w:rFonts w:ascii="Verdana" w:hAnsi="Verdana" w:cs="Arial"/>
          <w:sz w:val="12"/>
          <w:szCs w:val="12"/>
          <w:lang w:val="pt-BR"/>
        </w:rPr>
        <w:t xml:space="preserve">. M.P.: </w:t>
      </w:r>
      <w:r w:rsidRPr="001B077C">
        <w:rPr>
          <w:rFonts w:ascii="Verdana" w:hAnsi="Verdana"/>
          <w:color w:val="333333"/>
          <w:sz w:val="12"/>
          <w:szCs w:val="12"/>
          <w:shd w:val="clear" w:color="auto" w:fill="FFFFFF"/>
          <w:lang w:val="pt-BR"/>
        </w:rPr>
        <w:t>Marco Gerardo Monroy Cabra.</w:t>
      </w:r>
    </w:p>
    <w:p w14:paraId="25492811" w14:textId="77777777" w:rsidR="00FE5E91" w:rsidRPr="001B077C" w:rsidRDefault="00FE5E91" w:rsidP="00FE5E91">
      <w:pPr>
        <w:pStyle w:val="Textonotapie"/>
        <w:ind w:firstLine="708"/>
        <w:jc w:val="both"/>
        <w:rPr>
          <w:rFonts w:ascii="Verdana" w:hAnsi="Verdana"/>
          <w:sz w:val="12"/>
          <w:szCs w:val="12"/>
          <w:lang w:val="pt-BR"/>
        </w:rPr>
      </w:pPr>
    </w:p>
  </w:footnote>
  <w:footnote w:id="24">
    <w:p w14:paraId="0292CD93"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 Artículo 1º del Decreto Ley 4170 de 2011.</w:t>
      </w:r>
    </w:p>
    <w:p w14:paraId="54E5391F" w14:textId="77777777" w:rsidR="00FE5E91" w:rsidRPr="001B077C" w:rsidRDefault="00FE5E91" w:rsidP="00FE5E91">
      <w:pPr>
        <w:pStyle w:val="Textonotapie"/>
        <w:ind w:firstLine="708"/>
        <w:jc w:val="both"/>
        <w:rPr>
          <w:rFonts w:ascii="Verdana" w:hAnsi="Verdana" w:cs="Arial"/>
          <w:sz w:val="12"/>
          <w:szCs w:val="12"/>
        </w:rPr>
      </w:pPr>
    </w:p>
  </w:footnote>
  <w:footnote w:id="25">
    <w:p w14:paraId="78CD475B"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sz w:val="12"/>
          <w:szCs w:val="12"/>
        </w:rPr>
        <w:footnoteRef/>
      </w:r>
      <w:r w:rsidRPr="001B077C">
        <w:rPr>
          <w:rFonts w:ascii="Verdana" w:hAnsi="Verdana"/>
          <w:sz w:val="12"/>
          <w:szCs w:val="12"/>
        </w:rPr>
        <w:t xml:space="preserve"> </w:t>
      </w:r>
      <w:r w:rsidRPr="001B077C">
        <w:rPr>
          <w:rFonts w:ascii="Verdana" w:hAnsi="Verdana" w:cs="Arial"/>
          <w:sz w:val="12"/>
          <w:szCs w:val="12"/>
        </w:rPr>
        <w:t>Ver el Artículo 11 numeral 12 del Decreto Ley 4170 de 2011.</w:t>
      </w:r>
    </w:p>
    <w:p w14:paraId="763770E1" w14:textId="77777777" w:rsidR="00FE5E91" w:rsidRPr="001B077C" w:rsidRDefault="00FE5E91" w:rsidP="00FE5E91">
      <w:pPr>
        <w:pStyle w:val="Textonotapie"/>
        <w:ind w:firstLine="708"/>
        <w:jc w:val="both"/>
        <w:rPr>
          <w:rFonts w:ascii="Verdana" w:hAnsi="Verdana"/>
          <w:sz w:val="12"/>
          <w:szCs w:val="12"/>
        </w:rPr>
      </w:pPr>
    </w:p>
  </w:footnote>
  <w:footnote w:id="26">
    <w:p w14:paraId="47F26DA3"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Style w:val="Refdenotaalpie"/>
          <w:rFonts w:ascii="Verdana" w:hAnsi="Verdana" w:cs="Arial"/>
          <w:sz w:val="12"/>
          <w:szCs w:val="12"/>
        </w:rPr>
        <w:t xml:space="preserve"> </w:t>
      </w:r>
      <w:r w:rsidRPr="001B077C">
        <w:rPr>
          <w:rFonts w:ascii="Verdana" w:hAnsi="Verdana" w:cs="Arial"/>
          <w:sz w:val="12"/>
          <w:szCs w:val="12"/>
        </w:rPr>
        <w:t>Consejo de Estado. Sección Tercera. Auto del 14 de agosto de 2017. Rad. 58820.</w:t>
      </w:r>
    </w:p>
    <w:p w14:paraId="3A64D078" w14:textId="77777777" w:rsidR="00FE5E91" w:rsidRPr="001B077C" w:rsidRDefault="00FE5E91" w:rsidP="00FE5E91">
      <w:pPr>
        <w:pStyle w:val="Textonotapie"/>
        <w:ind w:firstLine="708"/>
        <w:jc w:val="both"/>
        <w:rPr>
          <w:rFonts w:ascii="Verdana" w:hAnsi="Verdana" w:cs="Arial"/>
          <w:sz w:val="12"/>
          <w:szCs w:val="12"/>
        </w:rPr>
      </w:pPr>
    </w:p>
  </w:footnote>
  <w:footnote w:id="27">
    <w:p w14:paraId="489E65A8" w14:textId="77777777" w:rsidR="00FE5E91" w:rsidRPr="001B077C" w:rsidRDefault="00FE5E91" w:rsidP="00FE5E91">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Consejo de Estado. Sección Tercera. Sentencia del 16 de agosto de 2017. Rad. 56166.</w:t>
      </w:r>
    </w:p>
    <w:p w14:paraId="7FAEC49B" w14:textId="77777777" w:rsidR="00FE5E91" w:rsidRPr="001B077C" w:rsidRDefault="00FE5E91" w:rsidP="00FE5E91">
      <w:pPr>
        <w:pStyle w:val="Textonotapie"/>
        <w:ind w:firstLine="708"/>
        <w:jc w:val="both"/>
        <w:rPr>
          <w:rFonts w:ascii="Verdana" w:hAnsi="Verdana"/>
          <w:sz w:val="12"/>
          <w:szCs w:val="12"/>
        </w:rPr>
      </w:pPr>
    </w:p>
  </w:footnote>
  <w:footnote w:id="28">
    <w:p w14:paraId="6EB961B2"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Fonts w:ascii="Verdana" w:hAnsi="Verdana" w:cs="Arial"/>
          <w:sz w:val="12"/>
          <w:szCs w:val="12"/>
        </w:rPr>
        <w:t xml:space="preserve">Ibídem. </w:t>
      </w:r>
    </w:p>
    <w:p w14:paraId="58E5DF60" w14:textId="77777777" w:rsidR="00FE5E91" w:rsidRPr="001B077C" w:rsidRDefault="00FE5E91" w:rsidP="00FE5E91">
      <w:pPr>
        <w:pStyle w:val="Textonotapie"/>
        <w:ind w:firstLine="708"/>
        <w:jc w:val="both"/>
        <w:rPr>
          <w:rFonts w:ascii="Verdana" w:hAnsi="Verdana" w:cs="Arial"/>
          <w:sz w:val="12"/>
          <w:szCs w:val="12"/>
        </w:rPr>
      </w:pPr>
    </w:p>
  </w:footnote>
  <w:footnote w:id="29">
    <w:p w14:paraId="05B74D81" w14:textId="77777777" w:rsidR="00FE5E91" w:rsidRPr="001B077C" w:rsidRDefault="00FE5E91" w:rsidP="00FE5E91">
      <w:pPr>
        <w:pStyle w:val="Textonotapie"/>
        <w:ind w:firstLine="708"/>
        <w:jc w:val="both"/>
        <w:rPr>
          <w:rFonts w:ascii="Verdana" w:hAnsi="Verdana" w:cs="Arial"/>
          <w:sz w:val="12"/>
          <w:szCs w:val="12"/>
        </w:rPr>
      </w:pPr>
      <w:r w:rsidRPr="001B077C">
        <w:rPr>
          <w:rStyle w:val="Refdenotaalpie"/>
          <w:rFonts w:ascii="Verdana" w:hAnsi="Verdana" w:cs="Arial"/>
          <w:sz w:val="12"/>
          <w:szCs w:val="12"/>
        </w:rPr>
        <w:footnoteRef/>
      </w:r>
      <w:r w:rsidRPr="001B077C">
        <w:rPr>
          <w:rStyle w:val="Refdenotaalpie"/>
          <w:rFonts w:ascii="Verdana" w:hAnsi="Verdana" w:cs="Arial"/>
          <w:sz w:val="12"/>
          <w:szCs w:val="12"/>
        </w:rPr>
        <w:t xml:space="preserve"> </w:t>
      </w:r>
      <w:r w:rsidRPr="001B077C">
        <w:rPr>
          <w:rFonts w:ascii="Verdana" w:hAnsi="Verdana" w:cs="Arial"/>
          <w:sz w:val="12"/>
          <w:szCs w:val="12"/>
        </w:rPr>
        <w:t>Consejo de Estado. Sección Tercera. Sentencia de 11 de abril de 2019. Rad. 52.055.</w:t>
      </w:r>
    </w:p>
  </w:footnote>
  <w:footnote w:id="30">
    <w:p w14:paraId="6425095B" w14:textId="77777777" w:rsidR="00FE5E91" w:rsidRPr="001B077C" w:rsidRDefault="00FE5E91" w:rsidP="00FE5E91">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Ibidem.</w:t>
      </w:r>
    </w:p>
  </w:footnote>
  <w:footnote w:id="31">
    <w:p w14:paraId="7BE4CA70" w14:textId="77777777" w:rsidR="00FE5E91" w:rsidRPr="001B077C" w:rsidRDefault="00FE5E91" w:rsidP="00FE5E91">
      <w:pPr>
        <w:pStyle w:val="Textonotapie"/>
        <w:ind w:firstLine="709"/>
        <w:jc w:val="both"/>
        <w:rPr>
          <w:rFonts w:ascii="Verdana" w:hAnsi="Verdana" w:cs="Arial"/>
          <w:color w:val="000000"/>
          <w:sz w:val="12"/>
          <w:szCs w:val="12"/>
        </w:rPr>
      </w:pPr>
    </w:p>
    <w:p w14:paraId="1337177D" w14:textId="77777777" w:rsidR="00FE5E91" w:rsidRPr="001B077C" w:rsidRDefault="00FE5E91" w:rsidP="00FE5E91">
      <w:pPr>
        <w:pStyle w:val="Textonotapie"/>
        <w:ind w:firstLine="709"/>
        <w:jc w:val="both"/>
        <w:rPr>
          <w:rFonts w:ascii="Verdana" w:hAnsi="Verdana" w:cs="Arial"/>
          <w:color w:val="000000"/>
          <w:sz w:val="12"/>
          <w:szCs w:val="12"/>
          <w:lang w:val="es-ES"/>
        </w:rPr>
      </w:pPr>
      <w:r w:rsidRPr="001B077C">
        <w:rPr>
          <w:rStyle w:val="Refdenotaalpie"/>
          <w:rFonts w:ascii="Verdana" w:hAnsi="Verdana" w:cs="Arial"/>
          <w:color w:val="000000"/>
          <w:sz w:val="12"/>
          <w:szCs w:val="12"/>
        </w:rPr>
        <w:footnoteRef/>
      </w:r>
      <w:r w:rsidRPr="001B077C">
        <w:rPr>
          <w:rFonts w:ascii="Verdana" w:hAnsi="Verdana" w:cs="Arial"/>
          <w:color w:val="000000"/>
          <w:sz w:val="12"/>
          <w:szCs w:val="12"/>
        </w:rPr>
        <w:t xml:space="preserve"> </w:t>
      </w:r>
      <w:r w:rsidRPr="001B077C">
        <w:rPr>
          <w:rFonts w:ascii="Verdana" w:hAnsi="Verdana" w:cs="Arial"/>
          <w:color w:val="000000"/>
          <w:sz w:val="12"/>
          <w:szCs w:val="12"/>
          <w:lang w:val="es-ES"/>
        </w:rPr>
        <w:t>En cuanto a las resoluciones vigentes, dicha regla se observa en el artículo 3 de las Resoluciones</w:t>
      </w:r>
      <w:bookmarkStart w:id="1" w:name="_Hlk82363077"/>
      <w:r w:rsidRPr="001B077C">
        <w:rPr>
          <w:rFonts w:ascii="Verdana" w:hAnsi="Verdana" w:cs="Arial"/>
          <w:color w:val="000000"/>
          <w:sz w:val="12"/>
          <w:szCs w:val="12"/>
          <w:lang w:val="es-ES"/>
        </w:rPr>
        <w:t xml:space="preserve"> 248 de 2020, 249 de 2020, 269 de 2020, 219 de 2021, 220 de 2021, 392 de 2021, 454 de 2021, 333 de 2022, 358 de 2023, 798 de 2023, 456 de 2024, 463 de 2024, 464 de 2024, 725 de 2024, 726 de 2024, entre otras</w:t>
      </w:r>
      <w:bookmarkEnd w:id="1"/>
      <w:r w:rsidRPr="001B077C">
        <w:rPr>
          <w:rFonts w:ascii="Verdana" w:hAnsi="Verdana" w:cs="Arial"/>
          <w:color w:val="000000"/>
          <w:sz w:val="12"/>
          <w:szCs w:val="12"/>
          <w:lang w:val="es-ES"/>
        </w:rPr>
        <w:t xml:space="preserve">. </w:t>
      </w:r>
    </w:p>
    <w:p w14:paraId="438CBFFF" w14:textId="77777777" w:rsidR="00FE5E91" w:rsidRPr="001B077C" w:rsidRDefault="00FE5E91" w:rsidP="00FE5E91">
      <w:pPr>
        <w:pStyle w:val="Textonotapie"/>
        <w:ind w:firstLine="709"/>
        <w:jc w:val="both"/>
        <w:rPr>
          <w:rFonts w:ascii="Verdana" w:hAnsi="Verdana" w:cs="Arial"/>
          <w:color w:val="000000"/>
          <w:sz w:val="12"/>
          <w:szCs w:val="12"/>
          <w:lang w:val="es-ES"/>
        </w:rPr>
      </w:pPr>
    </w:p>
  </w:footnote>
  <w:footnote w:id="32">
    <w:p w14:paraId="09AE6C36" w14:textId="77777777" w:rsidR="00FE5E91" w:rsidRPr="001B077C" w:rsidRDefault="00FE5E91" w:rsidP="00FE5E91">
      <w:pPr>
        <w:pStyle w:val="Textonotapie"/>
        <w:ind w:firstLine="708"/>
        <w:jc w:val="both"/>
        <w:rPr>
          <w:rFonts w:ascii="Verdana" w:hAnsi="Verdana" w:cs="Arial"/>
          <w:color w:val="000000"/>
          <w:sz w:val="12"/>
          <w:szCs w:val="12"/>
        </w:rPr>
      </w:pPr>
      <w:r w:rsidRPr="001B077C">
        <w:rPr>
          <w:rStyle w:val="Refdenotaalpie"/>
          <w:rFonts w:ascii="Verdana" w:hAnsi="Verdana" w:cs="Arial"/>
          <w:color w:val="000000"/>
          <w:sz w:val="12"/>
          <w:szCs w:val="12"/>
        </w:rPr>
        <w:footnoteRef/>
      </w:r>
      <w:r w:rsidRPr="001B077C">
        <w:rPr>
          <w:rFonts w:ascii="Verdana" w:hAnsi="Verdana" w:cs="Arial"/>
          <w:color w:val="000000"/>
          <w:sz w:val="12"/>
          <w:szCs w:val="12"/>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037A0D8A" w14:textId="77777777" w:rsidR="00FE5E91" w:rsidRPr="001B077C" w:rsidRDefault="00FE5E91" w:rsidP="00FE5E91">
      <w:pPr>
        <w:pStyle w:val="Textonotapie"/>
        <w:ind w:firstLine="708"/>
        <w:jc w:val="both"/>
        <w:rPr>
          <w:rFonts w:ascii="Verdana" w:hAnsi="Verdana" w:cs="Arial"/>
          <w:color w:val="000000"/>
          <w:sz w:val="12"/>
          <w:szCs w:val="12"/>
        </w:rPr>
      </w:pPr>
    </w:p>
  </w:footnote>
  <w:footnote w:id="33">
    <w:p w14:paraId="7C662A44" w14:textId="77777777" w:rsidR="00FE5E91" w:rsidRPr="001B077C" w:rsidRDefault="00FE5E91" w:rsidP="00FE5E91">
      <w:pPr>
        <w:pStyle w:val="Textonotapie"/>
        <w:ind w:firstLine="709"/>
        <w:jc w:val="both"/>
        <w:rPr>
          <w:rFonts w:ascii="Verdana" w:hAnsi="Verdana" w:cs="Arial"/>
          <w:color w:val="000000"/>
          <w:sz w:val="12"/>
          <w:szCs w:val="12"/>
        </w:rPr>
      </w:pPr>
      <w:r w:rsidRPr="001B077C">
        <w:rPr>
          <w:rStyle w:val="Refdenotaalpie"/>
          <w:rFonts w:ascii="Verdana" w:hAnsi="Verdana" w:cs="Arial"/>
          <w:color w:val="000000"/>
          <w:sz w:val="12"/>
          <w:szCs w:val="12"/>
        </w:rPr>
        <w:footnoteRef/>
      </w:r>
      <w:r w:rsidRPr="001B077C">
        <w:rPr>
          <w:rFonts w:ascii="Verdana" w:hAnsi="Verdana" w:cs="Arial"/>
          <w:color w:val="000000"/>
          <w:sz w:val="12"/>
          <w:szCs w:val="12"/>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76706950" w14:textId="77777777" w:rsidR="00FE5E91" w:rsidRPr="001B077C" w:rsidRDefault="00FE5E91" w:rsidP="00FE5E91">
      <w:pPr>
        <w:pStyle w:val="Textonotapie"/>
        <w:ind w:firstLine="709"/>
        <w:jc w:val="both"/>
        <w:rPr>
          <w:rFonts w:ascii="Verdana" w:hAnsi="Verdana" w:cs="Arial"/>
          <w:color w:val="000000"/>
          <w:sz w:val="12"/>
          <w:szCs w:val="12"/>
        </w:rPr>
      </w:pPr>
    </w:p>
  </w:footnote>
  <w:footnote w:id="34">
    <w:p w14:paraId="51851095" w14:textId="77777777" w:rsidR="00FE5E91" w:rsidRPr="001B077C" w:rsidRDefault="00FE5E91" w:rsidP="00FE5E91">
      <w:pPr>
        <w:spacing w:after="0" w:line="240" w:lineRule="auto"/>
        <w:ind w:firstLine="709"/>
        <w:jc w:val="both"/>
        <w:rPr>
          <w:rFonts w:ascii="Verdana" w:hAnsi="Verdana" w:cs="Arial"/>
          <w:color w:val="000000"/>
          <w:sz w:val="12"/>
          <w:szCs w:val="12"/>
          <w:lang w:val="es-ES"/>
        </w:rPr>
      </w:pPr>
      <w:r w:rsidRPr="001B077C">
        <w:rPr>
          <w:rStyle w:val="Refdenotaalpie"/>
          <w:rFonts w:ascii="Verdana" w:hAnsi="Verdana" w:cs="Arial"/>
          <w:color w:val="000000"/>
          <w:sz w:val="12"/>
          <w:szCs w:val="12"/>
        </w:rPr>
        <w:footnoteRef/>
      </w:r>
      <w:r w:rsidRPr="001B077C">
        <w:rPr>
          <w:rFonts w:ascii="Verdana" w:hAnsi="Verdana" w:cs="Arial"/>
          <w:color w:val="000000"/>
          <w:sz w:val="12"/>
          <w:szCs w:val="12"/>
        </w:rPr>
        <w:t xml:space="preserve"> </w:t>
      </w:r>
      <w:r w:rsidRPr="001B077C">
        <w:rPr>
          <w:rFonts w:ascii="Verdana" w:hAnsi="Verdana" w:cs="Arial"/>
          <w:color w:val="000000"/>
          <w:sz w:val="12"/>
          <w:szCs w:val="12"/>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78D9FAF8" w14:textId="77777777" w:rsidR="00FE5E91" w:rsidRPr="001B077C" w:rsidRDefault="00FE5E91" w:rsidP="00FE5E91">
      <w:pPr>
        <w:spacing w:after="0" w:line="240" w:lineRule="auto"/>
        <w:ind w:firstLine="709"/>
        <w:jc w:val="both"/>
        <w:rPr>
          <w:rFonts w:ascii="Verdana" w:hAnsi="Verdana" w:cs="Arial"/>
          <w:color w:val="000000"/>
          <w:sz w:val="12"/>
          <w:szCs w:val="12"/>
          <w:lang w:val="es-ES"/>
        </w:rPr>
      </w:pPr>
    </w:p>
  </w:footnote>
  <w:footnote w:id="35">
    <w:p w14:paraId="5D7DE9F0" w14:textId="77777777" w:rsidR="00FE5E91" w:rsidRPr="001B077C" w:rsidRDefault="00FE5E91" w:rsidP="00FE5E91">
      <w:pPr>
        <w:pStyle w:val="Textonotapie"/>
        <w:ind w:firstLine="708"/>
        <w:jc w:val="both"/>
        <w:rPr>
          <w:rFonts w:ascii="Verdana" w:hAnsi="Verdana" w:cs="Arial"/>
          <w:sz w:val="12"/>
          <w:szCs w:val="12"/>
          <w:lang w:val="es-ES"/>
        </w:rPr>
      </w:pPr>
      <w:r w:rsidRPr="001B077C">
        <w:rPr>
          <w:rStyle w:val="Refdenotaalpie"/>
          <w:rFonts w:ascii="Verdana" w:hAnsi="Verdana" w:cs="Arial"/>
          <w:sz w:val="12"/>
          <w:szCs w:val="12"/>
        </w:rPr>
        <w:footnoteRef/>
      </w:r>
      <w:r w:rsidRPr="001B077C">
        <w:rPr>
          <w:rFonts w:ascii="Verdana" w:hAnsi="Verdana" w:cs="Arial"/>
          <w:sz w:val="12"/>
          <w:szCs w:val="12"/>
        </w:rPr>
        <w:t xml:space="preserve"> Diccionario de la Real Academia Española, versión online disponible en: </w:t>
      </w:r>
      <w:hyperlink r:id="rId3" w:history="1">
        <w:r w:rsidRPr="001B077C">
          <w:rPr>
            <w:rStyle w:val="Hipervnculo"/>
            <w:rFonts w:ascii="Verdana" w:hAnsi="Verdana" w:cs="Arial"/>
            <w:sz w:val="12"/>
            <w:szCs w:val="12"/>
          </w:rPr>
          <w:t>https://dle.rae.es/est%C3%A1ndar</w:t>
        </w:r>
      </w:hyperlink>
      <w:r w:rsidRPr="001B077C">
        <w:rPr>
          <w:rFonts w:ascii="Verdana" w:hAnsi="Verdana" w:cs="Arial"/>
          <w:sz w:val="12"/>
          <w:szCs w:val="12"/>
        </w:rPr>
        <w:t xml:space="preserve">, consultado el 2 de junio de 2020. </w:t>
      </w:r>
    </w:p>
  </w:footnote>
  <w:footnote w:id="36">
    <w:p w14:paraId="4284811E" w14:textId="77777777" w:rsidR="00FE5E91" w:rsidRPr="001B077C" w:rsidRDefault="00FE5E91" w:rsidP="00FE5E91">
      <w:pPr>
        <w:spacing w:after="0" w:line="240" w:lineRule="auto"/>
        <w:ind w:firstLine="708"/>
        <w:jc w:val="both"/>
        <w:rPr>
          <w:rFonts w:ascii="Verdana" w:hAnsi="Verdana" w:cs="Arial"/>
          <w:color w:val="000000"/>
          <w:sz w:val="12"/>
          <w:szCs w:val="12"/>
        </w:rPr>
      </w:pPr>
      <w:r w:rsidRPr="001B077C">
        <w:rPr>
          <w:rStyle w:val="Refdenotaalpie"/>
          <w:rFonts w:ascii="Verdana" w:hAnsi="Verdana" w:cs="Arial"/>
          <w:color w:val="000000"/>
          <w:sz w:val="12"/>
          <w:szCs w:val="12"/>
        </w:rPr>
        <w:footnoteRef/>
      </w:r>
      <w:r w:rsidRPr="001B077C">
        <w:rPr>
          <w:rFonts w:ascii="Verdana" w:hAnsi="Verdana" w:cs="Arial"/>
          <w:color w:val="000000"/>
          <w:sz w:val="12"/>
          <w:szCs w:val="12"/>
        </w:rPr>
        <w:t xml:space="preserve"> Cita tomada de la providencia del 20 de febrero de 2020, dictada por el Consejo de Estado. Sección Tercera. Subsección A, dentro del expediente 47001-23-33-000-2018-00035-01 (63.854), cuya ponente fue Marta Nubia Velásquez Rico.</w:t>
      </w:r>
    </w:p>
    <w:p w14:paraId="705A2912" w14:textId="77777777" w:rsidR="00FE5E91" w:rsidRPr="001B077C" w:rsidRDefault="00FE5E91" w:rsidP="00FE5E91">
      <w:pPr>
        <w:spacing w:after="0" w:line="240" w:lineRule="auto"/>
        <w:ind w:firstLine="708"/>
        <w:jc w:val="both"/>
        <w:rPr>
          <w:rFonts w:ascii="Verdana" w:hAnsi="Verdana" w:cs="Arial"/>
          <w:color w:val="000000"/>
          <w:sz w:val="12"/>
          <w:szCs w:val="12"/>
        </w:rPr>
      </w:pPr>
    </w:p>
  </w:footnote>
  <w:footnote w:id="37">
    <w:p w14:paraId="4DE69B30" w14:textId="77777777" w:rsidR="00FE5E91" w:rsidRPr="001B077C" w:rsidRDefault="00FE5E91" w:rsidP="00FE5E91">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Por el cual se modifican los artículos 2.2.1.2.4.2.6.,2.2.1.2.4.2.7. Y 2.2.1.2.4.2.8. del Decreto 1082 de 2015, Único Reglamentario del Sector Administrativo de Planeación".</w:t>
      </w:r>
    </w:p>
    <w:p w14:paraId="22DC5FD3" w14:textId="77777777" w:rsidR="00FE5E91" w:rsidRPr="001B077C" w:rsidRDefault="00FE5E91" w:rsidP="00FE5E91">
      <w:pPr>
        <w:pStyle w:val="Textonotapie"/>
        <w:ind w:firstLine="708"/>
        <w:jc w:val="both"/>
        <w:rPr>
          <w:rFonts w:ascii="Verdana" w:hAnsi="Verdana"/>
          <w:sz w:val="12"/>
          <w:szCs w:val="12"/>
          <w:lang w:val="es-ES_tradnl"/>
        </w:rPr>
      </w:pPr>
    </w:p>
  </w:footnote>
  <w:footnote w:id="38">
    <w:p w14:paraId="7B54DDE4" w14:textId="77777777" w:rsidR="00FE5E91" w:rsidRPr="001B077C" w:rsidRDefault="00FE5E91" w:rsidP="00FE5E91">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Consejo de Estado, Sección Quinta, del 12 de diciembre de 2024 (Rad. 05001-23-33-000-2024-00847-01, M.P. Omar Joaquín Barreto Suárez)</w:t>
      </w:r>
    </w:p>
    <w:p w14:paraId="01D17588" w14:textId="77777777" w:rsidR="00FE5E91" w:rsidRPr="001B077C" w:rsidRDefault="00FE5E91" w:rsidP="00FE5E91">
      <w:pPr>
        <w:pStyle w:val="Textonotapie"/>
        <w:ind w:firstLine="708"/>
        <w:jc w:val="both"/>
        <w:rPr>
          <w:rFonts w:ascii="Verdana" w:hAnsi="Verdana"/>
          <w:sz w:val="12"/>
          <w:szCs w:val="12"/>
          <w:lang w:val="es-ES_tradnl"/>
        </w:rPr>
      </w:pPr>
    </w:p>
  </w:footnote>
  <w:footnote w:id="39">
    <w:p w14:paraId="5B96A611" w14:textId="77777777" w:rsidR="00FE5E91" w:rsidRPr="001B077C" w:rsidRDefault="00FE5E91" w:rsidP="00FE5E91">
      <w:pPr>
        <w:pStyle w:val="Textonotapie"/>
        <w:ind w:firstLine="708"/>
        <w:jc w:val="both"/>
        <w:rPr>
          <w:rFonts w:ascii="Verdana" w:hAnsi="Verdana"/>
          <w:sz w:val="12"/>
          <w:szCs w:val="12"/>
          <w:lang w:val="es-ES_tradnl"/>
        </w:rPr>
      </w:pPr>
      <w:r w:rsidRPr="001B077C">
        <w:rPr>
          <w:rStyle w:val="Refdenotaalpie"/>
          <w:rFonts w:ascii="Verdana" w:hAnsi="Verdana"/>
          <w:sz w:val="12"/>
          <w:szCs w:val="12"/>
        </w:rPr>
        <w:footnoteRef/>
      </w:r>
      <w:r w:rsidRPr="001B077C">
        <w:rPr>
          <w:rFonts w:ascii="Verdana" w:hAnsi="Verdana"/>
          <w:sz w:val="12"/>
          <w:szCs w:val="12"/>
        </w:rPr>
        <w:t xml:space="preserve"> "Por el cual se reglamentan los numerales 1 y 8 del artículo 13 de la Ley 1618 de 2013, sobre incentivos en Procesos de Contratación en favor de personas con discapacidad”. </w:t>
      </w:r>
    </w:p>
  </w:footnote>
  <w:footnote w:id="40">
    <w:p w14:paraId="3D6DB4D8" w14:textId="77777777" w:rsidR="00FE5E91" w:rsidRPr="001B077C" w:rsidRDefault="00FE5E91" w:rsidP="00FE5E91">
      <w:pPr>
        <w:pStyle w:val="Textonotapie"/>
        <w:ind w:firstLine="708"/>
        <w:jc w:val="both"/>
        <w:rPr>
          <w:rFonts w:ascii="Verdana" w:hAnsi="Verdana"/>
          <w:sz w:val="12"/>
          <w:szCs w:val="12"/>
          <w:lang w:val="es-ES_tradnl"/>
        </w:rPr>
      </w:pPr>
      <w:r w:rsidRPr="001B077C">
        <w:rPr>
          <w:rStyle w:val="Refdenotaalpie"/>
          <w:rFonts w:ascii="Verdana" w:hAnsi="Verdana"/>
          <w:sz w:val="12"/>
          <w:szCs w:val="12"/>
        </w:rPr>
        <w:footnoteRef/>
      </w:r>
      <w:r w:rsidRPr="001B077C">
        <w:rPr>
          <w:rFonts w:ascii="Verdana" w:hAnsi="Verdana"/>
          <w:sz w:val="12"/>
          <w:szCs w:val="12"/>
        </w:rPr>
        <w:t xml:space="preserve"> Parte considerativa del Decreto 287 de 2026.</w:t>
      </w:r>
    </w:p>
  </w:footnote>
  <w:footnote w:id="41">
    <w:p w14:paraId="34BF84B5" w14:textId="77777777" w:rsidR="00FE5E91" w:rsidRPr="001B077C" w:rsidRDefault="00FE5E91" w:rsidP="00FE5E91">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3252DD1C" w14:textId="77777777" w:rsidR="00FE5E91" w:rsidRPr="001B077C" w:rsidRDefault="00FE5E91" w:rsidP="00FE5E91">
      <w:pPr>
        <w:pStyle w:val="Textonotapie"/>
        <w:ind w:firstLine="708"/>
        <w:jc w:val="both"/>
        <w:rPr>
          <w:rFonts w:ascii="Verdana" w:hAnsi="Verdana"/>
          <w:sz w:val="12"/>
          <w:szCs w:val="12"/>
        </w:rPr>
      </w:pPr>
    </w:p>
    <w:p w14:paraId="2FF94E58" w14:textId="77777777" w:rsidR="00FE5E91" w:rsidRPr="001B077C" w:rsidRDefault="00FE5E91" w:rsidP="00FE5E91">
      <w:pPr>
        <w:pStyle w:val="Textonotapie"/>
        <w:ind w:firstLine="708"/>
        <w:jc w:val="both"/>
        <w:rPr>
          <w:rFonts w:ascii="Verdana" w:hAnsi="Verdana"/>
          <w:sz w:val="12"/>
          <w:szCs w:val="12"/>
        </w:rPr>
      </w:pPr>
      <w:r w:rsidRPr="001B077C">
        <w:rPr>
          <w:rFonts w:ascii="Verdana" w:hAnsi="Verdana"/>
          <w:sz w:val="12"/>
          <w:szCs w:val="12"/>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0A3F5146" w14:textId="77777777" w:rsidR="00FE5E91" w:rsidRPr="001B077C" w:rsidRDefault="00FE5E91" w:rsidP="00FE5E91">
      <w:pPr>
        <w:pStyle w:val="Textonotapie"/>
        <w:ind w:firstLine="708"/>
        <w:jc w:val="both"/>
        <w:rPr>
          <w:rFonts w:ascii="Verdana" w:hAnsi="Verdana"/>
          <w:sz w:val="12"/>
          <w:szCs w:val="12"/>
        </w:rPr>
      </w:pPr>
    </w:p>
    <w:p w14:paraId="3A1DB2F6" w14:textId="77777777" w:rsidR="00FE5E91" w:rsidRPr="001B077C" w:rsidRDefault="00FE5E91" w:rsidP="00FE5E91">
      <w:pPr>
        <w:pStyle w:val="Textonotapie"/>
        <w:ind w:firstLine="708"/>
        <w:jc w:val="both"/>
        <w:rPr>
          <w:rFonts w:ascii="Verdana" w:hAnsi="Verdana"/>
          <w:sz w:val="12"/>
          <w:szCs w:val="12"/>
          <w:lang w:val="es-ES_tradnl"/>
        </w:rPr>
      </w:pPr>
      <w:r w:rsidRPr="001B077C">
        <w:rPr>
          <w:rFonts w:ascii="Verdana" w:hAnsi="Verdana"/>
          <w:sz w:val="12"/>
          <w:szCs w:val="12"/>
        </w:rPr>
        <w:t xml:space="preserve">(…)”. </w:t>
      </w:r>
    </w:p>
  </w:footnote>
  <w:footnote w:id="42">
    <w:p w14:paraId="20675A9D" w14:textId="77777777" w:rsidR="00FE5E91" w:rsidRPr="001B077C" w:rsidRDefault="00FE5E91" w:rsidP="00FE5E91">
      <w:pPr>
        <w:shd w:val="clear" w:color="auto" w:fill="FFFFFF"/>
        <w:spacing w:after="0" w:line="240" w:lineRule="auto"/>
        <w:ind w:firstLine="708"/>
        <w:jc w:val="both"/>
        <w:rPr>
          <w:rFonts w:ascii="Verdana" w:eastAsia="Times New Roman" w:hAnsi="Verdana" w:cs="Times New Roman"/>
          <w:color w:val="333333"/>
          <w:sz w:val="12"/>
          <w:szCs w:val="12"/>
          <w:lang w:eastAsia="es-MX"/>
        </w:rPr>
      </w:pPr>
      <w:r w:rsidRPr="001B077C">
        <w:rPr>
          <w:rStyle w:val="Refdenotaalpie"/>
          <w:rFonts w:ascii="Verdana" w:hAnsi="Verdana"/>
          <w:sz w:val="12"/>
          <w:szCs w:val="12"/>
        </w:rPr>
        <w:footnoteRef/>
      </w:r>
      <w:r w:rsidRPr="001B077C">
        <w:rPr>
          <w:rFonts w:ascii="Verdana" w:hAnsi="Verdana"/>
          <w:sz w:val="12"/>
          <w:szCs w:val="12"/>
        </w:rPr>
        <w:t xml:space="preserve"> Al respecto el artículo 1 de la Ley 2022 de 2020 señala: “(…) </w:t>
      </w:r>
      <w:r w:rsidRPr="001B077C">
        <w:rPr>
          <w:rFonts w:ascii="Verdana" w:eastAsia="Times New Roman" w:hAnsi="Verdana" w:cs="Times New Roman"/>
          <w:color w:val="333333"/>
          <w:sz w:val="12"/>
          <w:szCs w:val="12"/>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380C0B4F" w14:textId="77777777" w:rsidR="00FE5E91" w:rsidRPr="001B077C" w:rsidRDefault="00FE5E91" w:rsidP="00FE5E91">
      <w:pPr>
        <w:pStyle w:val="Textonotapie"/>
        <w:jc w:val="both"/>
        <w:rPr>
          <w:rFonts w:ascii="Verdana" w:hAnsi="Verdana"/>
          <w:sz w:val="12"/>
          <w:szCs w:val="12"/>
          <w:lang w:val="es-CO"/>
        </w:rPr>
      </w:pPr>
    </w:p>
  </w:footnote>
  <w:footnote w:id="43">
    <w:p w14:paraId="411A9A1C" w14:textId="77777777" w:rsidR="00FE5E91" w:rsidRPr="001B077C" w:rsidRDefault="00FE5E91" w:rsidP="00FE5E91">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3496F7CB" w14:textId="77777777" w:rsidR="00FE5E91" w:rsidRPr="001B077C" w:rsidRDefault="00FE5E91" w:rsidP="00FE5E91">
      <w:pPr>
        <w:pStyle w:val="Textonotapie"/>
        <w:ind w:firstLine="708"/>
        <w:jc w:val="both"/>
        <w:rPr>
          <w:rFonts w:ascii="Verdana" w:hAnsi="Verdana"/>
          <w:sz w:val="12"/>
          <w:szCs w:val="12"/>
          <w:lang w:val="es-ES_tradnl"/>
        </w:rPr>
      </w:pPr>
    </w:p>
  </w:footnote>
  <w:footnote w:id="44">
    <w:p w14:paraId="1EACF580" w14:textId="77777777" w:rsidR="00FE5E91" w:rsidRPr="001B077C" w:rsidRDefault="00FE5E91" w:rsidP="00FE5E91">
      <w:pPr>
        <w:pStyle w:val="Textonotapie"/>
        <w:ind w:firstLine="708"/>
        <w:jc w:val="both"/>
        <w:rPr>
          <w:rFonts w:ascii="Verdana" w:hAnsi="Verdana"/>
          <w:sz w:val="12"/>
          <w:szCs w:val="12"/>
        </w:rPr>
      </w:pPr>
      <w:r w:rsidRPr="001B077C">
        <w:rPr>
          <w:rStyle w:val="Refdenotaalpie"/>
          <w:rFonts w:ascii="Verdana" w:hAnsi="Verdana"/>
          <w:sz w:val="12"/>
          <w:szCs w:val="12"/>
        </w:rPr>
        <w:footnoteRef/>
      </w:r>
      <w:r w:rsidRPr="001B077C">
        <w:rPr>
          <w:rFonts w:ascii="Verdana" w:hAnsi="Verdana"/>
          <w:sz w:val="12"/>
          <w:szCs w:val="12"/>
        </w:rPr>
        <w:t xml:space="preserve"> Artículo 2.2.1.2.4.2.7.8. del Decreto 1082 de 2015, modificado por el artículo 1 del Decreto 287 de 2026.</w:t>
      </w:r>
    </w:p>
    <w:p w14:paraId="6C52DF4D" w14:textId="77777777" w:rsidR="00FE5E91" w:rsidRPr="001B077C" w:rsidRDefault="00FE5E91" w:rsidP="00FE5E91">
      <w:pPr>
        <w:pStyle w:val="Textonotapie"/>
        <w:ind w:firstLine="708"/>
        <w:jc w:val="both"/>
        <w:rPr>
          <w:rFonts w:ascii="Verdana" w:hAnsi="Verdana"/>
          <w:sz w:val="12"/>
          <w:szCs w:val="12"/>
          <w:lang w:val="es-ES_tradnl"/>
        </w:rPr>
      </w:pPr>
    </w:p>
  </w:footnote>
  <w:footnote w:id="45">
    <w:p w14:paraId="424D88D4" w14:textId="77777777" w:rsidR="00FE5E91" w:rsidRPr="001B077C" w:rsidRDefault="00FE5E91" w:rsidP="00FE5E91">
      <w:pPr>
        <w:pStyle w:val="Textonotapie"/>
        <w:ind w:firstLine="708"/>
        <w:jc w:val="both"/>
        <w:rPr>
          <w:rFonts w:ascii="Verdana" w:hAnsi="Verdana"/>
          <w:sz w:val="12"/>
          <w:szCs w:val="12"/>
          <w:lang w:val="es-ES_tradnl"/>
        </w:rPr>
      </w:pPr>
      <w:r w:rsidRPr="001B077C">
        <w:rPr>
          <w:rStyle w:val="Refdenotaalpie"/>
          <w:rFonts w:ascii="Verdana" w:hAnsi="Verdana"/>
          <w:sz w:val="12"/>
          <w:szCs w:val="12"/>
        </w:rPr>
        <w:footnoteRef/>
      </w:r>
      <w:r w:rsidRPr="001B077C">
        <w:rPr>
          <w:rFonts w:ascii="Verdana" w:hAnsi="Verdana"/>
          <w:sz w:val="12"/>
          <w:szCs w:val="12"/>
        </w:rPr>
        <w:t xml:space="preserve"> Documento disponible en el siguiente enlace: </w:t>
      </w:r>
      <w:hyperlink r:id="rId4" w:history="1">
        <w:r w:rsidRPr="001B077C">
          <w:rPr>
            <w:rStyle w:val="Hipervnculo"/>
            <w:rFonts w:ascii="Verdana" w:hAnsi="Verdana"/>
            <w:sz w:val="12"/>
            <w:szCs w:val="12"/>
          </w:rPr>
          <w:t>https://www.colombiacompra.gov.co/wp-content/uploads/2026/04/ABC-Decreto-0287-de-2026-1.pdf</w:t>
        </w:r>
      </w:hyperlink>
      <w:r w:rsidRPr="001B077C">
        <w:rPr>
          <w:rFonts w:ascii="Verdana" w:hAnsi="Verdana"/>
          <w:sz w:val="12"/>
          <w:szCs w:val="12"/>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6"/>
  </w:num>
  <w:num w:numId="8" w16cid:durableId="152644682">
    <w:abstractNumId w:val="16"/>
  </w:num>
  <w:num w:numId="9" w16cid:durableId="1317221377">
    <w:abstractNumId w:val="8"/>
  </w:num>
  <w:num w:numId="10" w16cid:durableId="1471245386">
    <w:abstractNumId w:val="15"/>
  </w:num>
  <w:num w:numId="11" w16cid:durableId="289172385">
    <w:abstractNumId w:val="9"/>
  </w:num>
  <w:num w:numId="12" w16cid:durableId="1470781324">
    <w:abstractNumId w:val="0"/>
  </w:num>
  <w:num w:numId="13" w16cid:durableId="1512908409">
    <w:abstractNumId w:val="4"/>
  </w:num>
  <w:num w:numId="14" w16cid:durableId="895897244">
    <w:abstractNumId w:val="18"/>
  </w:num>
  <w:num w:numId="15" w16cid:durableId="390349800">
    <w:abstractNumId w:val="14"/>
  </w:num>
  <w:num w:numId="16" w16cid:durableId="153255849">
    <w:abstractNumId w:val="11"/>
  </w:num>
  <w:num w:numId="17" w16cid:durableId="1245649885">
    <w:abstractNumId w:val="1"/>
  </w:num>
  <w:num w:numId="18" w16cid:durableId="679089576">
    <w:abstractNumId w:val="10"/>
  </w:num>
  <w:num w:numId="19" w16cid:durableId="1300108123">
    <w:abstractNumId w:val="12"/>
  </w:num>
  <w:num w:numId="20" w16cid:durableId="1069183687">
    <w:abstractNumId w:val="13"/>
  </w:num>
  <w:num w:numId="21" w16cid:durableId="18659045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F2A"/>
    <w:rsid w:val="00046945"/>
    <w:rsid w:val="00061B2A"/>
    <w:rsid w:val="00082362"/>
    <w:rsid w:val="00096507"/>
    <w:rsid w:val="000A683E"/>
    <w:rsid w:val="000B19B9"/>
    <w:rsid w:val="000D0334"/>
    <w:rsid w:val="000D5DA7"/>
    <w:rsid w:val="000F1CF5"/>
    <w:rsid w:val="000F6486"/>
    <w:rsid w:val="00116940"/>
    <w:rsid w:val="00125105"/>
    <w:rsid w:val="00127233"/>
    <w:rsid w:val="0015699B"/>
    <w:rsid w:val="001A33BF"/>
    <w:rsid w:val="001E4177"/>
    <w:rsid w:val="001F0B24"/>
    <w:rsid w:val="001F7DC6"/>
    <w:rsid w:val="0022400B"/>
    <w:rsid w:val="002421BB"/>
    <w:rsid w:val="00255D16"/>
    <w:rsid w:val="0025796E"/>
    <w:rsid w:val="002707A2"/>
    <w:rsid w:val="002951A0"/>
    <w:rsid w:val="002962BC"/>
    <w:rsid w:val="002A093D"/>
    <w:rsid w:val="002A0DD0"/>
    <w:rsid w:val="002A49AC"/>
    <w:rsid w:val="002A64FD"/>
    <w:rsid w:val="002C7A84"/>
    <w:rsid w:val="002E2BF8"/>
    <w:rsid w:val="002E4FD9"/>
    <w:rsid w:val="002F37B2"/>
    <w:rsid w:val="0030657A"/>
    <w:rsid w:val="00322A85"/>
    <w:rsid w:val="00324168"/>
    <w:rsid w:val="00330834"/>
    <w:rsid w:val="003448F4"/>
    <w:rsid w:val="003606D4"/>
    <w:rsid w:val="00374F5E"/>
    <w:rsid w:val="00377E3E"/>
    <w:rsid w:val="003A779E"/>
    <w:rsid w:val="003D0F4D"/>
    <w:rsid w:val="003D5B0D"/>
    <w:rsid w:val="003E0499"/>
    <w:rsid w:val="003E416B"/>
    <w:rsid w:val="003E4F80"/>
    <w:rsid w:val="003E6439"/>
    <w:rsid w:val="003F3941"/>
    <w:rsid w:val="00406575"/>
    <w:rsid w:val="00414C74"/>
    <w:rsid w:val="0042722E"/>
    <w:rsid w:val="004303A0"/>
    <w:rsid w:val="0044528D"/>
    <w:rsid w:val="00466E39"/>
    <w:rsid w:val="004A1847"/>
    <w:rsid w:val="004A305D"/>
    <w:rsid w:val="004B0194"/>
    <w:rsid w:val="004F21C4"/>
    <w:rsid w:val="004F685F"/>
    <w:rsid w:val="005566E8"/>
    <w:rsid w:val="00574867"/>
    <w:rsid w:val="00591460"/>
    <w:rsid w:val="00596818"/>
    <w:rsid w:val="005A65E0"/>
    <w:rsid w:val="005C3777"/>
    <w:rsid w:val="005C5CDC"/>
    <w:rsid w:val="005D476C"/>
    <w:rsid w:val="006200BF"/>
    <w:rsid w:val="006219F8"/>
    <w:rsid w:val="006302F7"/>
    <w:rsid w:val="00646B9F"/>
    <w:rsid w:val="00665D70"/>
    <w:rsid w:val="006900D9"/>
    <w:rsid w:val="006931CA"/>
    <w:rsid w:val="006A6EB3"/>
    <w:rsid w:val="006B0EAB"/>
    <w:rsid w:val="00706C16"/>
    <w:rsid w:val="007340C3"/>
    <w:rsid w:val="00742542"/>
    <w:rsid w:val="0075235A"/>
    <w:rsid w:val="00756841"/>
    <w:rsid w:val="007649AB"/>
    <w:rsid w:val="00767213"/>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B28AE"/>
    <w:rsid w:val="008C6B2D"/>
    <w:rsid w:val="008D180B"/>
    <w:rsid w:val="008F0EA7"/>
    <w:rsid w:val="00923EEF"/>
    <w:rsid w:val="009419F9"/>
    <w:rsid w:val="0095685E"/>
    <w:rsid w:val="00961B09"/>
    <w:rsid w:val="00965334"/>
    <w:rsid w:val="0097093E"/>
    <w:rsid w:val="00992845"/>
    <w:rsid w:val="0099606A"/>
    <w:rsid w:val="009A0DFA"/>
    <w:rsid w:val="009A1C6F"/>
    <w:rsid w:val="009A3E18"/>
    <w:rsid w:val="009B2D26"/>
    <w:rsid w:val="009C71FA"/>
    <w:rsid w:val="009C72E7"/>
    <w:rsid w:val="009C7F7E"/>
    <w:rsid w:val="009D3058"/>
    <w:rsid w:val="009F3A13"/>
    <w:rsid w:val="009F4273"/>
    <w:rsid w:val="00A122D3"/>
    <w:rsid w:val="00A14468"/>
    <w:rsid w:val="00A17F13"/>
    <w:rsid w:val="00A20739"/>
    <w:rsid w:val="00A23AF9"/>
    <w:rsid w:val="00A33C78"/>
    <w:rsid w:val="00AB0ADB"/>
    <w:rsid w:val="00AF0DD4"/>
    <w:rsid w:val="00B00C0E"/>
    <w:rsid w:val="00B01B1A"/>
    <w:rsid w:val="00B0381D"/>
    <w:rsid w:val="00B44A47"/>
    <w:rsid w:val="00B72CD3"/>
    <w:rsid w:val="00B72FFF"/>
    <w:rsid w:val="00BC3D36"/>
    <w:rsid w:val="00BD54A6"/>
    <w:rsid w:val="00BD79B4"/>
    <w:rsid w:val="00BD7F72"/>
    <w:rsid w:val="00BF7425"/>
    <w:rsid w:val="00C04FB3"/>
    <w:rsid w:val="00C11D8B"/>
    <w:rsid w:val="00C15139"/>
    <w:rsid w:val="00C330EB"/>
    <w:rsid w:val="00C50D69"/>
    <w:rsid w:val="00C5365C"/>
    <w:rsid w:val="00C754BE"/>
    <w:rsid w:val="00C76B1C"/>
    <w:rsid w:val="00C84A07"/>
    <w:rsid w:val="00C925AC"/>
    <w:rsid w:val="00CB5C7B"/>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3BD8"/>
    <w:rsid w:val="00E245AB"/>
    <w:rsid w:val="00E2764C"/>
    <w:rsid w:val="00E27F2E"/>
    <w:rsid w:val="00E50AFE"/>
    <w:rsid w:val="00E75C92"/>
    <w:rsid w:val="00E771DC"/>
    <w:rsid w:val="00E8772A"/>
    <w:rsid w:val="00E90F6B"/>
    <w:rsid w:val="00E92C27"/>
    <w:rsid w:val="00EA0E3D"/>
    <w:rsid w:val="00EA3A4A"/>
    <w:rsid w:val="00EB1D56"/>
    <w:rsid w:val="00EC38A7"/>
    <w:rsid w:val="00EE1AA8"/>
    <w:rsid w:val="00EF50B8"/>
    <w:rsid w:val="00F06CF9"/>
    <w:rsid w:val="00F23FEA"/>
    <w:rsid w:val="00F31EDC"/>
    <w:rsid w:val="00F43557"/>
    <w:rsid w:val="00F462B3"/>
    <w:rsid w:val="00F5664F"/>
    <w:rsid w:val="00F666C4"/>
    <w:rsid w:val="00F725A8"/>
    <w:rsid w:val="00F76AFC"/>
    <w:rsid w:val="00FA47C0"/>
    <w:rsid w:val="00FB5DD1"/>
    <w:rsid w:val="00FC2B5D"/>
    <w:rsid w:val="00FE5E91"/>
    <w:rsid w:val="00FF1449"/>
    <w:rsid w:val="00FF7963"/>
    <w:rsid w:val="071B8F93"/>
    <w:rsid w:val="07C73DD1"/>
    <w:rsid w:val="09908A09"/>
    <w:rsid w:val="0EFE6349"/>
    <w:rsid w:val="0FF4CCA8"/>
    <w:rsid w:val="13CFC91B"/>
    <w:rsid w:val="19A2EC2C"/>
    <w:rsid w:val="21779BE6"/>
    <w:rsid w:val="2859CA1B"/>
    <w:rsid w:val="2B8227D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FE5E91"/>
    <w:pPr>
      <w:spacing w:line="240" w:lineRule="exact"/>
    </w:pPr>
    <w:rPr>
      <w:vertAlign w:val="superscript"/>
    </w:rPr>
  </w:style>
  <w:style w:type="character" w:customStyle="1" w:styleId="baj">
    <w:name w:val="b_aj"/>
    <w:basedOn w:val="Fuentedeprrafopredeter"/>
    <w:rsid w:val="00FE5E91"/>
  </w:style>
  <w:style w:type="character" w:customStyle="1" w:styleId="NormalWebCar">
    <w:name w:val="Normal (Web) Car"/>
    <w:link w:val="NormalWeb"/>
    <w:uiPriority w:val="99"/>
    <w:locked/>
    <w:rsid w:val="00FE5E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FE5E91"/>
    <w:rPr>
      <w:sz w:val="16"/>
      <w:szCs w:val="16"/>
    </w:rPr>
  </w:style>
  <w:style w:type="paragraph" w:styleId="Textocomentario">
    <w:name w:val="annotation text"/>
    <w:basedOn w:val="Normal"/>
    <w:link w:val="TextocomentarioCar"/>
    <w:uiPriority w:val="99"/>
    <w:unhideWhenUsed/>
    <w:rsid w:val="00FE5E91"/>
    <w:pPr>
      <w:spacing w:line="240" w:lineRule="auto"/>
    </w:pPr>
    <w:rPr>
      <w:sz w:val="20"/>
      <w:szCs w:val="20"/>
    </w:rPr>
  </w:style>
  <w:style w:type="character" w:customStyle="1" w:styleId="TextocomentarioCar">
    <w:name w:val="Texto comentario Car"/>
    <w:basedOn w:val="Fuentedeprrafopredeter"/>
    <w:link w:val="Textocomentario"/>
    <w:uiPriority w:val="99"/>
    <w:rsid w:val="00FE5E91"/>
    <w:rPr>
      <w:sz w:val="20"/>
      <w:szCs w:val="20"/>
    </w:rPr>
  </w:style>
  <w:style w:type="paragraph" w:styleId="Asuntodelcomentario">
    <w:name w:val="annotation subject"/>
    <w:basedOn w:val="Textocomentario"/>
    <w:next w:val="Textocomentario"/>
    <w:link w:val="AsuntodelcomentarioCar"/>
    <w:uiPriority w:val="99"/>
    <w:semiHidden/>
    <w:unhideWhenUsed/>
    <w:rsid w:val="00FE5E91"/>
    <w:rPr>
      <w:b/>
      <w:bCs/>
    </w:rPr>
  </w:style>
  <w:style w:type="character" w:customStyle="1" w:styleId="AsuntodelcomentarioCar">
    <w:name w:val="Asunto del comentario Car"/>
    <w:basedOn w:val="TextocomentarioCar"/>
    <w:link w:val="Asuntodelcomentario"/>
    <w:uiPriority w:val="99"/>
    <w:semiHidden/>
    <w:rsid w:val="00FE5E91"/>
    <w:rPr>
      <w:b/>
      <w:bCs/>
      <w:sz w:val="20"/>
      <w:szCs w:val="20"/>
    </w:rPr>
  </w:style>
  <w:style w:type="table" w:customStyle="1" w:styleId="Tablaconcuadrcula1">
    <w:name w:val="Tabla con cuadrícula1"/>
    <w:basedOn w:val="Tablanormal"/>
    <w:next w:val="Tablaconcuadrcula"/>
    <w:uiPriority w:val="39"/>
    <w:qFormat/>
    <w:rsid w:val="00FE5E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9867BC6-88EB-4C65-A224-64FD2FDD91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48</Pages>
  <Words>16606</Words>
  <Characters>91339</Characters>
  <Application>Microsoft Office Word</Application>
  <DocSecurity>0</DocSecurity>
  <Lines>761</Lines>
  <Paragraphs>215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2026-05-27T12:56:00Z</dcterms:created>
  <dcterms:modified xsi:type="dcterms:W3CDTF">2026-05-27T13:55:00Z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