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7D69C" w14:textId="77777777" w:rsidR="00256BB2" w:rsidRPr="000036B2" w:rsidRDefault="00256BB2" w:rsidP="00256BB2">
      <w:pPr>
        <w:spacing w:after="0" w:line="240" w:lineRule="auto"/>
        <w:contextualSpacing/>
        <w:jc w:val="both"/>
        <w:rPr>
          <w:rFonts w:ascii="Verdana" w:eastAsia="Calibri" w:hAnsi="Verdana" w:cs="Arial"/>
          <w:b/>
          <w:lang w:val="es-MX" w:eastAsia="es-MX"/>
        </w:rPr>
      </w:pPr>
      <w:bookmarkStart w:id="0" w:name="_Hlk143780582"/>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6991180E" w14:textId="77777777" w:rsidR="00256BB2" w:rsidRPr="000036B2" w:rsidRDefault="00256BB2" w:rsidP="00256BB2">
      <w:pPr>
        <w:spacing w:after="0" w:line="240" w:lineRule="auto"/>
        <w:contextualSpacing/>
        <w:jc w:val="both"/>
        <w:rPr>
          <w:rFonts w:ascii="Verdana" w:eastAsia="Calibri" w:hAnsi="Verdana" w:cs="Arial"/>
          <w:b/>
          <w:sz w:val="20"/>
          <w:szCs w:val="20"/>
          <w:lang w:val="es-MX" w:eastAsia="es-MX"/>
        </w:rPr>
      </w:pPr>
    </w:p>
    <w:p w14:paraId="7E54B4D0"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12A986B4" w14:textId="77777777" w:rsidR="00256BB2" w:rsidRPr="000036B2" w:rsidRDefault="00256BB2" w:rsidP="00256BB2">
      <w:pPr>
        <w:spacing w:after="0" w:line="240" w:lineRule="auto"/>
        <w:jc w:val="both"/>
        <w:rPr>
          <w:rFonts w:ascii="Verdana" w:hAnsi="Verdana"/>
        </w:rPr>
      </w:pPr>
    </w:p>
    <w:p w14:paraId="0CA153AD" w14:textId="77777777" w:rsidR="00256BB2" w:rsidRPr="000036B2" w:rsidRDefault="00256BB2" w:rsidP="00256BB2">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2413D4BD" w14:textId="77777777" w:rsidR="00256BB2" w:rsidRPr="000036B2" w:rsidRDefault="00256BB2" w:rsidP="00256BB2">
      <w:pPr>
        <w:spacing w:after="0" w:line="240" w:lineRule="auto"/>
        <w:contextualSpacing/>
        <w:jc w:val="both"/>
        <w:rPr>
          <w:rFonts w:ascii="Verdana" w:eastAsia="Calibri" w:hAnsi="Verdana" w:cs="Arial"/>
          <w:b/>
          <w:sz w:val="20"/>
          <w:szCs w:val="20"/>
          <w:lang w:val="es-MX" w:eastAsia="es-MX"/>
        </w:rPr>
      </w:pPr>
    </w:p>
    <w:p w14:paraId="27D515AD"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34AD5E79"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p>
    <w:p w14:paraId="7A0E0C83"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8030583"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p>
    <w:p w14:paraId="76F7393F" w14:textId="77777777" w:rsidR="00256BB2" w:rsidRPr="000036B2" w:rsidRDefault="00256BB2" w:rsidP="00256BB2">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55C0ABE" w14:textId="77777777" w:rsidR="00256BB2" w:rsidRPr="000036B2" w:rsidRDefault="00256BB2" w:rsidP="00256BB2">
      <w:pPr>
        <w:tabs>
          <w:tab w:val="left" w:pos="1574"/>
        </w:tabs>
        <w:spacing w:after="0" w:line="240" w:lineRule="auto"/>
        <w:jc w:val="both"/>
        <w:rPr>
          <w:rFonts w:ascii="Verdana" w:eastAsia="Times New Roman" w:hAnsi="Verdana" w:cs="Arial"/>
          <w:bCs/>
          <w:sz w:val="20"/>
          <w:szCs w:val="20"/>
          <w:lang w:val="es-MX" w:eastAsia="es-CO"/>
        </w:rPr>
      </w:pPr>
    </w:p>
    <w:p w14:paraId="3714E162" w14:textId="77777777" w:rsidR="00256BB2" w:rsidRPr="000036B2" w:rsidRDefault="00256BB2" w:rsidP="00256BB2">
      <w:pPr>
        <w:shd w:val="clear" w:color="auto" w:fill="FFFFFF"/>
        <w:spacing w:after="0" w:line="240" w:lineRule="auto"/>
        <w:contextualSpacing/>
        <w:jc w:val="both"/>
        <w:rPr>
          <w:rFonts w:ascii="Verdana" w:eastAsia="Times New Roman" w:hAnsi="Verdana" w:cs="Arial"/>
          <w:b/>
          <w:lang w:eastAsia="es-CO"/>
        </w:rPr>
      </w:pPr>
      <w:r w:rsidRPr="00F46F75">
        <w:rPr>
          <w:rFonts w:ascii="Verdana" w:eastAsia="Times New Roman" w:hAnsi="Verdana" w:cs="Arial"/>
          <w:b/>
          <w:bCs/>
          <w:lang w:eastAsia="es-CO"/>
        </w:rPr>
        <w:t>LEY DE GARANTÍAS ELECTORALES ─ Artículo 33 ‒ Excepciones – Contratos para la atención de emergencias</w:t>
      </w:r>
    </w:p>
    <w:p w14:paraId="37173595" w14:textId="77777777" w:rsidR="00256BB2" w:rsidRPr="00327549" w:rsidRDefault="00256BB2" w:rsidP="00256BB2">
      <w:pPr>
        <w:tabs>
          <w:tab w:val="left" w:pos="426"/>
        </w:tabs>
        <w:spacing w:after="120" w:line="240" w:lineRule="auto"/>
        <w:jc w:val="both"/>
        <w:rPr>
          <w:rFonts w:ascii="Verdana" w:eastAsia="Times New Roman" w:hAnsi="Verdana" w:cs="Arial"/>
          <w:bCs/>
          <w:sz w:val="20"/>
          <w:szCs w:val="20"/>
          <w:lang w:eastAsia="es-CO"/>
        </w:rPr>
      </w:pPr>
      <w:r w:rsidRPr="00327549">
        <w:rPr>
          <w:rFonts w:ascii="Verdana" w:eastAsia="Times New Roman" w:hAnsi="Verdana" w:cs="Arial"/>
          <w:sz w:val="20"/>
          <w:szCs w:val="20"/>
          <w:lang w:eastAsia="x-none"/>
        </w:rPr>
        <w:lastRenderedPageBreak/>
        <w:t xml:space="preserve">[…] </w:t>
      </w:r>
      <w:r w:rsidRPr="00327549">
        <w:rPr>
          <w:rFonts w:ascii="Verdana" w:eastAsia="Times New Roman" w:hAnsi="Verdana" w:cs="Arial"/>
          <w:bCs/>
          <w:sz w:val="20"/>
          <w:szCs w:val="20"/>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327549">
        <w:rPr>
          <w:rFonts w:ascii="Verdana" w:eastAsia="Times New Roman" w:hAnsi="Verdana" w:cs="Arial"/>
          <w:i/>
          <w:sz w:val="20"/>
          <w:szCs w:val="20"/>
          <w:lang w:eastAsia="es-CO"/>
        </w:rPr>
        <w:t>contratación directa</w:t>
      </w:r>
      <w:r w:rsidRPr="00327549">
        <w:rPr>
          <w:rFonts w:ascii="Verdana" w:eastAsia="Times New Roman" w:hAnsi="Verdana" w:cs="Arial"/>
          <w:bCs/>
          <w:sz w:val="20"/>
          <w:szCs w:val="20"/>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106F6BD3" w14:textId="77777777" w:rsidR="00256BB2" w:rsidRPr="00E12ADB" w:rsidRDefault="00256BB2" w:rsidP="00256BB2">
      <w:pPr>
        <w:tabs>
          <w:tab w:val="left" w:pos="426"/>
        </w:tabs>
        <w:spacing w:after="0" w:line="240" w:lineRule="auto"/>
        <w:contextualSpacing/>
        <w:jc w:val="both"/>
        <w:rPr>
          <w:rFonts w:ascii="Verdana" w:eastAsia="Times New Roman" w:hAnsi="Verdana" w:cs="Arial"/>
          <w:b/>
          <w:bCs/>
          <w:lang w:eastAsia="x-none"/>
        </w:rPr>
      </w:pPr>
    </w:p>
    <w:p w14:paraId="1D883733" w14:textId="77777777" w:rsidR="00256BB2" w:rsidRPr="00E12ADB" w:rsidRDefault="00256BB2" w:rsidP="00256BB2">
      <w:pPr>
        <w:spacing w:after="0" w:line="240" w:lineRule="auto"/>
        <w:contextualSpacing/>
        <w:jc w:val="both"/>
        <w:rPr>
          <w:rFonts w:ascii="Verdana" w:eastAsia="Times New Roman" w:hAnsi="Verdana" w:cs="Arial"/>
          <w:b/>
          <w:bCs/>
          <w:lang w:eastAsia="x-none"/>
        </w:rPr>
      </w:pPr>
      <w:r w:rsidRPr="00E12ADB">
        <w:rPr>
          <w:rFonts w:ascii="Verdana" w:eastAsia="Times New Roman" w:hAnsi="Verdana" w:cs="Arial"/>
          <w:b/>
          <w:bCs/>
          <w:lang w:eastAsia="x-none"/>
        </w:rPr>
        <w:t>CUERPOS DE BOMBEROS VOLUNTARIOS ‒ Noción</w:t>
      </w:r>
    </w:p>
    <w:p w14:paraId="0DBA6630" w14:textId="77777777" w:rsidR="00256BB2" w:rsidRPr="000036B2" w:rsidRDefault="00256BB2" w:rsidP="00256BB2">
      <w:pPr>
        <w:spacing w:after="0" w:line="240" w:lineRule="auto"/>
        <w:contextualSpacing/>
        <w:jc w:val="both"/>
        <w:rPr>
          <w:rFonts w:ascii="Verdana" w:eastAsia="Times New Roman" w:hAnsi="Verdana" w:cs="Arial"/>
          <w:b/>
          <w:lang w:val="es-ES" w:eastAsia="es-CO"/>
        </w:rPr>
      </w:pPr>
    </w:p>
    <w:p w14:paraId="42EEFDEE" w14:textId="77777777" w:rsidR="00256BB2" w:rsidRPr="00FF2C4D" w:rsidRDefault="00256BB2" w:rsidP="00256BB2">
      <w:pPr>
        <w:spacing w:after="120" w:line="240" w:lineRule="auto"/>
        <w:jc w:val="both"/>
        <w:rPr>
          <w:rFonts w:ascii="Verdana" w:eastAsia="Times New Roman" w:hAnsi="Verdana" w:cs="Arial"/>
          <w:bCs/>
          <w:sz w:val="20"/>
          <w:szCs w:val="20"/>
          <w:lang w:eastAsia="es-CO"/>
        </w:rPr>
      </w:pPr>
      <w:r w:rsidRPr="00FF2C4D">
        <w:rPr>
          <w:rFonts w:ascii="Verdana" w:eastAsia="Times New Roman" w:hAnsi="Verdana" w:cs="Arial"/>
          <w:bCs/>
          <w:sz w:val="20"/>
          <w:szCs w:val="20"/>
          <w:lang w:eastAsia="es-CO"/>
        </w:rPr>
        <w:t>[…] Con arreglo a lo dispuesto en el artículo 4 de la referida ley, los Cuerpos de Bomberos Voluntarios Reconocidos integran los Bomberos de Colombia y hacen parte integral del Sistema Nacional para la Prevención y Atención de Desastres. Estos son definidos por el artículo 18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659059AB" w14:textId="77777777" w:rsidR="00256BB2" w:rsidRDefault="00256BB2" w:rsidP="00256BB2">
      <w:pPr>
        <w:spacing w:after="0"/>
        <w:jc w:val="both"/>
        <w:rPr>
          <w:rFonts w:ascii="Verdana" w:eastAsia="Times New Roman" w:hAnsi="Verdana" w:cs="Arial"/>
          <w:sz w:val="20"/>
          <w:szCs w:val="20"/>
          <w:lang w:eastAsia="x-none"/>
        </w:rPr>
      </w:pPr>
    </w:p>
    <w:p w14:paraId="6DCCD687" w14:textId="77777777" w:rsidR="00256BB2" w:rsidRPr="009969AD" w:rsidRDefault="00256BB2" w:rsidP="00256BB2">
      <w:pPr>
        <w:spacing w:after="0"/>
        <w:jc w:val="both"/>
        <w:rPr>
          <w:rFonts w:ascii="Verdana" w:eastAsia="Verdana" w:hAnsi="Verdana" w:cs="Verdana"/>
          <w:color w:val="ED7D31" w:themeColor="accent2"/>
          <w:sz w:val="20"/>
          <w:szCs w:val="20"/>
        </w:rPr>
      </w:pPr>
      <w:r w:rsidRPr="003C4FD7">
        <w:rPr>
          <w:rFonts w:ascii="Verdana" w:eastAsia="Times New Roman" w:hAnsi="Verdana" w:cs="Arial"/>
          <w:b/>
          <w:bCs/>
          <w:lang w:eastAsia="es-CO"/>
        </w:rPr>
        <w:t>CUERPOS DE BOMBEROS VOLUNTARIOS – Servicio público esencial</w:t>
      </w:r>
    </w:p>
    <w:p w14:paraId="664ED7FA" w14:textId="77777777" w:rsidR="00256BB2" w:rsidRPr="003C4FD7" w:rsidRDefault="00256BB2" w:rsidP="00256BB2">
      <w:pPr>
        <w:spacing w:after="0"/>
        <w:jc w:val="both"/>
        <w:rPr>
          <w:rFonts w:ascii="Verdana" w:eastAsia="Verdana" w:hAnsi="Verdana" w:cs="Verdana"/>
          <w:color w:val="ED7D31" w:themeColor="accent2"/>
          <w:sz w:val="20"/>
          <w:szCs w:val="20"/>
        </w:rPr>
      </w:pPr>
    </w:p>
    <w:p w14:paraId="79C0710D" w14:textId="77777777" w:rsidR="00256BB2" w:rsidRDefault="00256BB2" w:rsidP="00256BB2">
      <w:pPr>
        <w:spacing w:after="12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C4FD7">
        <w:rPr>
          <w:rFonts w:ascii="Verdana" w:eastAsia="Times New Roman" w:hAnsi="Verdana" w:cs="Arial"/>
          <w:bCs/>
          <w:sz w:val="20"/>
          <w:szCs w:val="20"/>
          <w:lang w:eastAsia="es-CO"/>
        </w:rPr>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3C4FD7">
        <w:rPr>
          <w:rFonts w:ascii="Verdana" w:eastAsia="Times New Roman" w:hAnsi="Verdana" w:cs="Arial"/>
          <w:bCs/>
          <w:i/>
          <w:iCs/>
          <w:sz w:val="20"/>
          <w:szCs w:val="20"/>
          <w:lang w:eastAsia="es-CO"/>
        </w:rPr>
        <w:t>mediante la celebración de contratos y/o convenios con los cuerpos de bomberos voluntarios</w:t>
      </w:r>
      <w:r w:rsidRPr="003C4FD7">
        <w:rPr>
          <w:rFonts w:ascii="Verdana" w:eastAsia="Times New Roman" w:hAnsi="Verdana" w:cs="Arial"/>
          <w:bCs/>
          <w:sz w:val="20"/>
          <w:szCs w:val="20"/>
          <w:lang w:eastAsia="es-CO"/>
        </w:rPr>
        <w:t>” [Énfasis fuera de texto]. </w:t>
      </w:r>
      <w:r>
        <w:rPr>
          <w:rFonts w:ascii="Verdana" w:eastAsia="Times New Roman" w:hAnsi="Verdana" w:cs="Arial"/>
          <w:bCs/>
          <w:sz w:val="20"/>
          <w:szCs w:val="20"/>
          <w:lang w:eastAsia="es-CO"/>
        </w:rPr>
        <w:t>[…]</w:t>
      </w:r>
    </w:p>
    <w:p w14:paraId="66BDFAC1" w14:textId="77777777" w:rsidR="00256BB2" w:rsidRDefault="00256BB2" w:rsidP="00256BB2">
      <w:pPr>
        <w:spacing w:after="120" w:line="240" w:lineRule="auto"/>
        <w:jc w:val="both"/>
        <w:rPr>
          <w:rFonts w:ascii="Verdana" w:eastAsia="Times New Roman" w:hAnsi="Verdana" w:cs="Arial"/>
          <w:b/>
          <w:lang w:eastAsia="es-CO"/>
        </w:rPr>
      </w:pPr>
      <w:r w:rsidRPr="00FC5C38">
        <w:rPr>
          <w:rFonts w:ascii="Verdana" w:eastAsia="Times New Roman" w:hAnsi="Verdana" w:cs="Arial"/>
          <w:b/>
          <w:lang w:eastAsia="es-CO"/>
        </w:rPr>
        <w:t>CUERPOS DE BOMBEROS VOLUNTARIOS – Modalidades de selección contratación</w:t>
      </w:r>
    </w:p>
    <w:p w14:paraId="2149A1D8" w14:textId="77777777" w:rsidR="00256BB2" w:rsidRPr="00752B85" w:rsidRDefault="00256BB2" w:rsidP="00256BB2">
      <w:pPr>
        <w:spacing w:after="120" w:line="240" w:lineRule="auto"/>
        <w:jc w:val="both"/>
        <w:rPr>
          <w:rFonts w:ascii="Verdana" w:eastAsia="Times New Roman" w:hAnsi="Verdana" w:cs="Arial"/>
          <w:b/>
          <w:sz w:val="20"/>
          <w:szCs w:val="20"/>
          <w:lang w:eastAsia="es-CO"/>
        </w:rPr>
      </w:pPr>
      <w:r w:rsidRPr="00752B85">
        <w:rPr>
          <w:rFonts w:ascii="Verdana" w:hAnsi="Verdana"/>
          <w:sz w:val="20"/>
          <w:szCs w:val="20"/>
        </w:rPr>
        <w:lastRenderedPageBreak/>
        <w:t xml:space="preserve">[…] </w:t>
      </w:r>
      <w:r w:rsidRPr="00752B85">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w:t>
      </w:r>
      <w:r>
        <w:rPr>
          <w:rFonts w:ascii="Verdana" w:eastAsia="Calibri" w:hAnsi="Verdana" w:cs="Arial"/>
          <w:bCs/>
          <w:sz w:val="20"/>
          <w:szCs w:val="20"/>
          <w:lang w:val="es-ES_tradnl" w:eastAsia="x-none"/>
        </w:rPr>
        <w:t>s.</w:t>
      </w:r>
    </w:p>
    <w:p w14:paraId="20D2AC3E" w14:textId="77777777" w:rsidR="00256BB2" w:rsidRPr="00752B85" w:rsidRDefault="00256BB2" w:rsidP="00256BB2">
      <w:pPr>
        <w:spacing w:after="120" w:line="240" w:lineRule="auto"/>
        <w:jc w:val="both"/>
        <w:rPr>
          <w:rFonts w:ascii="Verdana" w:eastAsia="Calibri" w:hAnsi="Verdana" w:cs="Arial"/>
          <w:sz w:val="20"/>
          <w:szCs w:val="20"/>
          <w:lang w:val="es-ES_tradnl" w:eastAsia="x-none"/>
        </w:rPr>
      </w:pPr>
      <w:r w:rsidRPr="00752B85">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752B85">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4D269905" w14:textId="77777777" w:rsidR="00256BB2" w:rsidRPr="00752B85" w:rsidRDefault="00256BB2" w:rsidP="00256BB2">
      <w:pPr>
        <w:spacing w:after="120" w:line="240" w:lineRule="auto"/>
        <w:jc w:val="both"/>
        <w:rPr>
          <w:rFonts w:ascii="Verdana" w:eastAsia="Times New Roman" w:hAnsi="Verdana" w:cs="Arial"/>
          <w:b/>
          <w:sz w:val="20"/>
          <w:szCs w:val="20"/>
          <w:lang w:eastAsia="es-CO"/>
        </w:rPr>
      </w:pPr>
      <w:r w:rsidRPr="00752B85">
        <w:rPr>
          <w:rFonts w:ascii="Verdana" w:eastAsia="Calibri" w:hAnsi="Verdana" w:cs="Arial"/>
          <w:sz w:val="20"/>
          <w:szCs w:val="20"/>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5CC92E21" w14:textId="77777777" w:rsidR="00256BB2" w:rsidRPr="004E329C" w:rsidRDefault="00256BB2" w:rsidP="00256BB2">
      <w:pPr>
        <w:spacing w:after="0"/>
        <w:rPr>
          <w:rFonts w:ascii="Verdana" w:hAnsi="Verdana"/>
          <w:color w:val="ED7D31" w:themeColor="accent2"/>
        </w:rPr>
      </w:pPr>
    </w:p>
    <w:p w14:paraId="2CFB959C" w14:textId="77777777" w:rsidR="00256BB2" w:rsidRDefault="00256BB2" w:rsidP="00256BB2">
      <w:pPr>
        <w:spacing w:after="0"/>
        <w:jc w:val="both"/>
        <w:rPr>
          <w:rFonts w:ascii="Verdana" w:hAnsi="Verdana"/>
          <w:b/>
          <w:bCs/>
        </w:rPr>
      </w:pPr>
      <w:r w:rsidRPr="004E329C">
        <w:rPr>
          <w:rFonts w:ascii="Verdana" w:hAnsi="Verdana"/>
          <w:b/>
          <w:bCs/>
        </w:rPr>
        <w:t>CUERPOS DE BOMBEROS VOLUNTARIOS – Objeto del contrato – Atención de emergencias – Excepción</w:t>
      </w:r>
    </w:p>
    <w:p w14:paraId="4AA7518C" w14:textId="77777777" w:rsidR="00256BB2" w:rsidRDefault="00256BB2" w:rsidP="00256BB2">
      <w:pPr>
        <w:spacing w:after="0"/>
        <w:jc w:val="both"/>
        <w:rPr>
          <w:rFonts w:ascii="Verdana" w:hAnsi="Verdana"/>
          <w:b/>
          <w:bCs/>
        </w:rPr>
      </w:pPr>
    </w:p>
    <w:p w14:paraId="0FF03377" w14:textId="77777777" w:rsidR="00256BB2" w:rsidRPr="00B94BF9" w:rsidRDefault="00256BB2" w:rsidP="00256BB2">
      <w:pPr>
        <w:spacing w:after="0" w:line="240" w:lineRule="auto"/>
        <w:jc w:val="both"/>
        <w:rPr>
          <w:rFonts w:ascii="Verdana" w:hAnsi="Verdana"/>
          <w:b/>
          <w:bCs/>
          <w:sz w:val="20"/>
          <w:szCs w:val="20"/>
        </w:rPr>
      </w:pPr>
      <w:r w:rsidRPr="00B94BF9">
        <w:rPr>
          <w:rFonts w:ascii="Verdana" w:hAnsi="Verdana"/>
          <w:sz w:val="20"/>
          <w:szCs w:val="20"/>
        </w:rPr>
        <w:t xml:space="preserve">[…] </w:t>
      </w:r>
      <w:r w:rsidRPr="00B94BF9">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B94BF9">
        <w:rPr>
          <w:rFonts w:ascii="Verdana" w:eastAsia="Times New Roman" w:hAnsi="Verdana" w:cs="Arial"/>
          <w:bCs/>
          <w:i/>
          <w:iCs/>
          <w:sz w:val="20"/>
          <w:szCs w:val="20"/>
          <w:lang w:eastAsia="es-CO"/>
        </w:rPr>
        <w:t>per se,</w:t>
      </w:r>
      <w:r w:rsidRPr="00B94BF9">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0CF31A46" w14:textId="77777777" w:rsidR="00256BB2" w:rsidRPr="00B94BF9" w:rsidRDefault="00256BB2" w:rsidP="00256BB2">
      <w:pPr>
        <w:spacing w:after="0" w:line="240" w:lineRule="auto"/>
        <w:jc w:val="both"/>
        <w:rPr>
          <w:rFonts w:ascii="Verdana" w:hAnsi="Verdana"/>
          <w:b/>
          <w:bCs/>
          <w:sz w:val="20"/>
          <w:szCs w:val="20"/>
        </w:rPr>
      </w:pPr>
    </w:p>
    <w:p w14:paraId="6543B230" w14:textId="77777777" w:rsidR="00256BB2" w:rsidRPr="00B94BF9" w:rsidRDefault="00256BB2" w:rsidP="00256BB2">
      <w:pPr>
        <w:spacing w:after="0" w:line="240" w:lineRule="auto"/>
        <w:jc w:val="both"/>
        <w:rPr>
          <w:rFonts w:ascii="Verdana" w:hAnsi="Verdana"/>
          <w:b/>
          <w:bCs/>
          <w:sz w:val="20"/>
          <w:szCs w:val="20"/>
        </w:rPr>
      </w:pPr>
      <w:r w:rsidRPr="00B94BF9">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B94BF9">
        <w:rPr>
          <w:rFonts w:ascii="Verdana" w:eastAsia="Times New Roman" w:hAnsi="Verdana" w:cs="Arial"/>
          <w:bCs/>
          <w:i/>
          <w:iCs/>
          <w:sz w:val="20"/>
          <w:szCs w:val="20"/>
          <w:lang w:eastAsia="es-CO"/>
        </w:rPr>
        <w:t>atención de incidentes relacionados con incendios</w:t>
      </w:r>
      <w:r w:rsidRPr="00B94BF9">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B94BF9">
        <w:rPr>
          <w:rFonts w:ascii="Verdana" w:eastAsia="Times New Roman" w:hAnsi="Verdana" w:cs="Arial"/>
          <w:bCs/>
          <w:i/>
          <w:iCs/>
          <w:sz w:val="20"/>
          <w:szCs w:val="20"/>
          <w:lang w:eastAsia="es-CO"/>
        </w:rPr>
        <w:t>Preparación</w:t>
      </w:r>
      <w:r w:rsidRPr="00B94BF9">
        <w:rPr>
          <w:rFonts w:ascii="Verdana" w:eastAsia="Times New Roman" w:hAnsi="Verdana" w:cs="Arial"/>
          <w:bCs/>
          <w:sz w:val="20"/>
          <w:szCs w:val="20"/>
          <w:lang w:eastAsia="es-CO"/>
        </w:rPr>
        <w:t xml:space="preserve"> y </w:t>
      </w:r>
      <w:r w:rsidRPr="00B94BF9">
        <w:rPr>
          <w:rFonts w:ascii="Verdana" w:eastAsia="Times New Roman" w:hAnsi="Verdana" w:cs="Arial"/>
          <w:bCs/>
          <w:i/>
          <w:iCs/>
          <w:sz w:val="20"/>
          <w:szCs w:val="20"/>
          <w:lang w:eastAsia="es-CO"/>
        </w:rPr>
        <w:t xml:space="preserve">Respuesta, </w:t>
      </w:r>
      <w:r w:rsidRPr="00B94BF9">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7117D591" w14:textId="77777777" w:rsidR="00256BB2" w:rsidRDefault="00256BB2" w:rsidP="00256BB2">
      <w:pPr>
        <w:spacing w:after="0"/>
        <w:rPr>
          <w:rFonts w:ascii="Verdana" w:hAnsi="Verdana"/>
          <w:color w:val="ED7D31" w:themeColor="accent2"/>
        </w:rPr>
      </w:pPr>
    </w:p>
    <w:p w14:paraId="3A691EBA" w14:textId="1E640D5C" w:rsidR="00256BB2" w:rsidRPr="007B763A" w:rsidRDefault="00256BB2" w:rsidP="00256BB2">
      <w:pPr>
        <w:spacing w:after="0"/>
        <w:rPr>
          <w:rFonts w:ascii="Verdana" w:hAnsi="Verdana"/>
        </w:rPr>
      </w:pPr>
      <w:r w:rsidRPr="007B763A">
        <w:rPr>
          <w:rFonts w:ascii="Verdana" w:hAnsi="Verdana"/>
        </w:rPr>
        <w:lastRenderedPageBreak/>
        <w:t xml:space="preserve">Bogotá D.C., </w:t>
      </w:r>
      <w:r w:rsidR="00572C92">
        <w:rPr>
          <w:rFonts w:ascii="Verdana" w:hAnsi="Verdana"/>
        </w:rPr>
        <w:t>22 Mayo 2026</w:t>
      </w:r>
    </w:p>
    <w:p w14:paraId="6DCC9391" w14:textId="521C1E9A" w:rsidR="00256BB2" w:rsidRPr="00BB595E" w:rsidRDefault="00256BB2" w:rsidP="00256BB2">
      <w:pPr>
        <w:spacing w:after="0"/>
        <w:rPr>
          <w:rFonts w:ascii="Verdana" w:hAnsi="Verdana"/>
          <w:lang w:val="es-ES"/>
        </w:rPr>
      </w:pPr>
    </w:p>
    <w:p w14:paraId="5C462540" w14:textId="1BCEE625" w:rsidR="00256BB2" w:rsidRPr="00BB595E" w:rsidRDefault="007D6C00" w:rsidP="00256BB2">
      <w:pPr>
        <w:spacing w:after="0" w:line="240" w:lineRule="auto"/>
        <w:rPr>
          <w:rFonts w:ascii="Verdana" w:hAnsi="Verdana"/>
          <w:lang w:val="es-ES"/>
        </w:rPr>
      </w:pPr>
      <w:r w:rsidRPr="00A677BF">
        <w:rPr>
          <w:rFonts w:ascii="Verdana" w:eastAsia="Calibri" w:hAnsi="Verdana" w:cs="Arial"/>
          <w:lang w:val="es-ES" w:eastAsia="es-ES"/>
        </w:rPr>
        <w:drawing>
          <wp:anchor distT="0" distB="0" distL="114300" distR="114300" simplePos="0" relativeHeight="251658240" behindDoc="1" locked="0" layoutInCell="1" allowOverlap="1" wp14:anchorId="51C9F011" wp14:editId="56EE91E7">
            <wp:simplePos x="0" y="0"/>
            <wp:positionH relativeFrom="column">
              <wp:posOffset>3339465</wp:posOffset>
            </wp:positionH>
            <wp:positionV relativeFrom="paragraph">
              <wp:posOffset>10160</wp:posOffset>
            </wp:positionV>
            <wp:extent cx="2302510" cy="628650"/>
            <wp:effectExtent l="0" t="0" r="2540" b="0"/>
            <wp:wrapNone/>
            <wp:docPr id="15011329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32959" name=""/>
                    <pic:cNvPicPr/>
                  </pic:nvPicPr>
                  <pic:blipFill>
                    <a:blip r:embed="rId11">
                      <a:extLst>
                        <a:ext uri="{28A0092B-C50C-407E-A947-70E740481C1C}">
                          <a14:useLocalDpi xmlns:a14="http://schemas.microsoft.com/office/drawing/2010/main" val="0"/>
                        </a:ext>
                      </a:extLst>
                    </a:blip>
                    <a:stretch>
                      <a:fillRect/>
                    </a:stretch>
                  </pic:blipFill>
                  <pic:spPr>
                    <a:xfrm>
                      <a:off x="0" y="0"/>
                      <a:ext cx="2302510" cy="628650"/>
                    </a:xfrm>
                    <a:prstGeom prst="rect">
                      <a:avLst/>
                    </a:prstGeom>
                  </pic:spPr>
                </pic:pic>
              </a:graphicData>
            </a:graphic>
            <wp14:sizeRelH relativeFrom="margin">
              <wp14:pctWidth>0</wp14:pctWidth>
            </wp14:sizeRelH>
            <wp14:sizeRelV relativeFrom="margin">
              <wp14:pctHeight>0</wp14:pctHeight>
            </wp14:sizeRelV>
          </wp:anchor>
        </w:drawing>
      </w:r>
      <w:r w:rsidR="00256BB2" w:rsidRPr="00BB595E">
        <w:rPr>
          <w:rFonts w:ascii="Verdana" w:eastAsia="Calibri" w:hAnsi="Verdana" w:cs="Arial"/>
          <w:lang w:val="es-ES" w:eastAsia="es-ES"/>
        </w:rPr>
        <w:t>Señor</w:t>
      </w:r>
    </w:p>
    <w:p w14:paraId="0A0FE098" w14:textId="77777777" w:rsidR="00256BB2" w:rsidRPr="00BB595E" w:rsidRDefault="00256BB2" w:rsidP="00256BB2">
      <w:pPr>
        <w:spacing w:after="0"/>
        <w:rPr>
          <w:rFonts w:ascii="Verdana" w:eastAsia="Calibri" w:hAnsi="Verdana" w:cs="Arial"/>
          <w:b/>
          <w:bCs/>
          <w:lang w:eastAsia="es-ES"/>
        </w:rPr>
      </w:pPr>
      <w:r w:rsidRPr="00BB595E">
        <w:rPr>
          <w:rFonts w:ascii="Verdana" w:eastAsia="Calibri" w:hAnsi="Verdana" w:cs="Arial"/>
          <w:b/>
          <w:bCs/>
          <w:lang w:eastAsia="es-ES"/>
        </w:rPr>
        <w:t>Orlando Murillo López</w:t>
      </w:r>
    </w:p>
    <w:p w14:paraId="1E27E09E" w14:textId="77777777" w:rsidR="00256BB2" w:rsidRPr="009969AD" w:rsidRDefault="00256BB2" w:rsidP="00256BB2">
      <w:pPr>
        <w:tabs>
          <w:tab w:val="center" w:pos="4419"/>
        </w:tabs>
        <w:spacing w:after="0"/>
        <w:rPr>
          <w:rFonts w:ascii="Verdana" w:eastAsia="Calibri" w:hAnsi="Verdana" w:cs="Arial"/>
          <w:color w:val="ED7D31" w:themeColor="accent2"/>
          <w:lang w:eastAsia="es-ES"/>
        </w:rPr>
      </w:pPr>
      <w:hyperlink r:id="rId12" w:history="1">
        <w:r w:rsidRPr="00615D82">
          <w:rPr>
            <w:rStyle w:val="Hipervnculo"/>
            <w:rFonts w:ascii="Verdana" w:eastAsia="Calibri" w:hAnsi="Verdana" w:cs="Arial"/>
            <w:lang w:eastAsia="es-ES"/>
          </w:rPr>
          <w:t>orlandomurillo83@hotmail.com</w:t>
        </w:r>
      </w:hyperlink>
      <w:r>
        <w:rPr>
          <w:rFonts w:ascii="Verdana" w:eastAsia="Calibri" w:hAnsi="Verdana" w:cs="Arial"/>
          <w:color w:val="ED7D31" w:themeColor="accent2"/>
          <w:lang w:eastAsia="es-ES"/>
        </w:rPr>
        <w:t xml:space="preserve"> </w:t>
      </w:r>
    </w:p>
    <w:p w14:paraId="7AE0C61E" w14:textId="77777777" w:rsidR="00256BB2" w:rsidRDefault="00256BB2" w:rsidP="00256BB2">
      <w:pPr>
        <w:spacing w:after="0"/>
        <w:rPr>
          <w:rFonts w:ascii="Verdana" w:eastAsia="Calibri" w:hAnsi="Verdana" w:cs="Arial"/>
          <w:lang w:eastAsia="es-ES"/>
        </w:rPr>
      </w:pPr>
      <w:r w:rsidRPr="00BB595E">
        <w:rPr>
          <w:rFonts w:ascii="Verdana" w:eastAsia="Calibri" w:hAnsi="Verdana" w:cs="Arial"/>
          <w:lang w:eastAsia="es-ES"/>
        </w:rPr>
        <w:t>Oiba, Santander</w:t>
      </w:r>
    </w:p>
    <w:p w14:paraId="1C1D59FF" w14:textId="77777777" w:rsidR="00256BB2" w:rsidRPr="00BB595E" w:rsidRDefault="00256BB2" w:rsidP="00256BB2">
      <w:pPr>
        <w:spacing w:after="0"/>
        <w:rPr>
          <w:rFonts w:ascii="Verdana" w:eastAsia="Calibri" w:hAnsi="Verdana" w:cs="Arial"/>
          <w:lang w:val="es-ES" w:eastAsia="es-ES"/>
        </w:rPr>
      </w:pPr>
    </w:p>
    <w:p w14:paraId="2D125119" w14:textId="77777777" w:rsidR="00256BB2" w:rsidRPr="009969AD" w:rsidRDefault="00256BB2" w:rsidP="00256BB2">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256BB2" w:rsidRPr="009969AD" w14:paraId="248868EF" w14:textId="77777777" w:rsidTr="008B2726">
        <w:trPr>
          <w:trHeight w:val="300"/>
        </w:trPr>
        <w:tc>
          <w:tcPr>
            <w:tcW w:w="2410" w:type="dxa"/>
          </w:tcPr>
          <w:p w14:paraId="32BDEE2C" w14:textId="77777777" w:rsidR="00256BB2" w:rsidRPr="009969AD" w:rsidRDefault="00256BB2" w:rsidP="008B2726">
            <w:pPr>
              <w:ind w:left="-142"/>
              <w:jc w:val="both"/>
              <w:rPr>
                <w:rFonts w:ascii="Verdana" w:eastAsia="Calibri" w:hAnsi="Verdana" w:cs="Arial"/>
                <w:b/>
                <w:bCs/>
                <w:color w:val="ED7D31" w:themeColor="accent2"/>
                <w:lang w:val="es-ES" w:eastAsia="es-ES_tradnl"/>
              </w:rPr>
            </w:pPr>
          </w:p>
        </w:tc>
        <w:tc>
          <w:tcPr>
            <w:tcW w:w="6100" w:type="dxa"/>
          </w:tcPr>
          <w:p w14:paraId="3B66C967" w14:textId="77777777" w:rsidR="00256BB2" w:rsidRPr="00C92B1A" w:rsidRDefault="00256BB2" w:rsidP="008B2726">
            <w:pPr>
              <w:ind w:left="3"/>
              <w:jc w:val="both"/>
              <w:rPr>
                <w:rFonts w:ascii="Verdana" w:eastAsia="Calibri" w:hAnsi="Verdana" w:cs="Arial"/>
                <w:b/>
                <w:bCs/>
                <w:lang w:val="es-ES" w:eastAsia="es-ES"/>
              </w:rPr>
            </w:pPr>
            <w:r w:rsidRPr="00C92B1A">
              <w:rPr>
                <w:rFonts w:ascii="Verdana" w:eastAsia="Calibri" w:hAnsi="Verdana" w:cs="Arial"/>
                <w:b/>
                <w:bCs/>
                <w:lang w:val="es-ES" w:eastAsia="es-ES"/>
              </w:rPr>
              <w:t>Concepto C-</w:t>
            </w:r>
            <w:r>
              <w:rPr>
                <w:rFonts w:ascii="Verdana" w:eastAsia="Calibri" w:hAnsi="Verdana" w:cs="Arial"/>
                <w:b/>
                <w:bCs/>
                <w:lang w:val="es-ES" w:eastAsia="es-ES"/>
              </w:rPr>
              <w:t>592</w:t>
            </w:r>
            <w:r w:rsidRPr="00C92B1A">
              <w:rPr>
                <w:rFonts w:ascii="Verdana" w:eastAsia="Calibri" w:hAnsi="Verdana" w:cs="Arial"/>
                <w:b/>
                <w:bCs/>
                <w:lang w:val="es-ES" w:eastAsia="es-ES"/>
              </w:rPr>
              <w:t xml:space="preserve"> de 2026</w:t>
            </w:r>
          </w:p>
          <w:p w14:paraId="71494FD4" w14:textId="77777777" w:rsidR="00256BB2" w:rsidRPr="00C92B1A" w:rsidRDefault="00256BB2" w:rsidP="008B2726">
            <w:pPr>
              <w:ind w:left="3"/>
              <w:jc w:val="both"/>
              <w:rPr>
                <w:rFonts w:ascii="Verdana" w:eastAsia="Calibri" w:hAnsi="Verdana" w:cs="Arial"/>
                <w:b/>
                <w:bCs/>
                <w:lang w:val="es-ES" w:eastAsia="es-ES"/>
              </w:rPr>
            </w:pPr>
          </w:p>
        </w:tc>
      </w:tr>
      <w:tr w:rsidR="00256BB2" w:rsidRPr="009969AD" w14:paraId="7A3DAD57" w14:textId="77777777" w:rsidTr="008B2726">
        <w:trPr>
          <w:trHeight w:val="300"/>
        </w:trPr>
        <w:tc>
          <w:tcPr>
            <w:tcW w:w="2410" w:type="dxa"/>
          </w:tcPr>
          <w:p w14:paraId="202E687A" w14:textId="77777777" w:rsidR="00256BB2" w:rsidRPr="00C07AC4" w:rsidRDefault="00256BB2" w:rsidP="008B2726">
            <w:pPr>
              <w:ind w:left="424" w:firstLine="137"/>
              <w:jc w:val="both"/>
              <w:rPr>
                <w:rFonts w:ascii="Verdana" w:eastAsia="Calibri" w:hAnsi="Verdana" w:cs="Arial"/>
                <w:lang w:val="es-ES" w:eastAsia="es-ES_tradnl"/>
              </w:rPr>
            </w:pPr>
            <w:r w:rsidRPr="00C07AC4">
              <w:rPr>
                <w:rFonts w:ascii="Verdana" w:eastAsia="Calibri" w:hAnsi="Verdana" w:cs="Arial"/>
                <w:b/>
                <w:lang w:val="es-ES" w:eastAsia="es-ES_tradnl"/>
              </w:rPr>
              <w:t>Temas:</w:t>
            </w:r>
            <w:r w:rsidRPr="00C07AC4">
              <w:rPr>
                <w:rFonts w:ascii="Verdana" w:eastAsia="Calibri" w:hAnsi="Verdana" w:cs="Arial"/>
                <w:lang w:val="es-ES" w:eastAsia="es-ES_tradnl"/>
              </w:rPr>
              <w:t xml:space="preserve">              </w:t>
            </w:r>
          </w:p>
        </w:tc>
        <w:tc>
          <w:tcPr>
            <w:tcW w:w="6100" w:type="dxa"/>
          </w:tcPr>
          <w:p w14:paraId="2F6AC705" w14:textId="77777777" w:rsidR="00256BB2" w:rsidRPr="00C07AC4" w:rsidRDefault="00256BB2" w:rsidP="008B2726">
            <w:pPr>
              <w:spacing w:line="276" w:lineRule="auto"/>
              <w:jc w:val="both"/>
              <w:rPr>
                <w:rFonts w:ascii="Verdana" w:eastAsia="Calibri" w:hAnsi="Verdana" w:cs="Arial"/>
                <w:bCs/>
              </w:rPr>
            </w:pPr>
            <w:r w:rsidRPr="00C07AC4">
              <w:rPr>
                <w:rFonts w:ascii="Verdana" w:eastAsia="Calibri" w:hAnsi="Verdana" w:cs="Arial"/>
                <w:bCs/>
              </w:rPr>
              <w:t>LEY DE GARANTÍAS ELECTORALES – Naturaleza jurídica / LEY DE GARANTÍAS ELECTORALES – Prohibiciones / LEY DE GARANTÍAS ELECTORALES ─ Artículo 33 ‒ Excepciones – Contratos para la atención de emergencias / CUERPOS DE BOMBEROS VOLUNTARIOS ‒ Noción / CUERPOS DE BOMBEROS VOLUNTARIOS – Servicio público esencial / CUERPOS DE BOMBEROS VOLUNTARIOS – Modalidades de selección contratación / CUERPOS DE BOMBEROS VOLUNTARIOS – Objeto del contrato – Atención de emergencias – Excepción</w:t>
            </w:r>
          </w:p>
          <w:p w14:paraId="2E61D539" w14:textId="77777777" w:rsidR="00256BB2" w:rsidRPr="00C07AC4" w:rsidRDefault="00256BB2" w:rsidP="008B2726">
            <w:pPr>
              <w:jc w:val="both"/>
              <w:rPr>
                <w:rFonts w:ascii="Verdana" w:hAnsi="Verdana"/>
              </w:rPr>
            </w:pPr>
          </w:p>
        </w:tc>
      </w:tr>
      <w:tr w:rsidR="00256BB2" w:rsidRPr="009969AD" w14:paraId="34D525B6" w14:textId="77777777" w:rsidTr="008B2726">
        <w:trPr>
          <w:trHeight w:val="204"/>
        </w:trPr>
        <w:tc>
          <w:tcPr>
            <w:tcW w:w="2410" w:type="dxa"/>
          </w:tcPr>
          <w:p w14:paraId="2B2FE74E" w14:textId="77777777" w:rsidR="00256BB2" w:rsidRPr="00FA7089" w:rsidRDefault="00256BB2" w:rsidP="008B2726">
            <w:pPr>
              <w:ind w:left="561"/>
              <w:jc w:val="both"/>
              <w:rPr>
                <w:rFonts w:ascii="Verdana" w:eastAsia="Calibri" w:hAnsi="Verdana" w:cs="Arial"/>
                <w:b/>
                <w:lang w:val="es-ES" w:eastAsia="es-ES_tradnl"/>
              </w:rPr>
            </w:pPr>
            <w:r w:rsidRPr="00FA7089">
              <w:rPr>
                <w:rFonts w:ascii="Verdana" w:eastAsia="Calibri" w:hAnsi="Verdana" w:cs="Arial"/>
                <w:b/>
                <w:lang w:val="es-ES" w:eastAsia="es-ES_tradnl"/>
              </w:rPr>
              <w:t>Radicación:</w:t>
            </w:r>
            <w:r w:rsidRPr="00FA7089">
              <w:rPr>
                <w:rFonts w:ascii="Verdana" w:eastAsia="Calibri" w:hAnsi="Verdana" w:cs="Arial"/>
                <w:lang w:val="es-ES" w:eastAsia="es-ES_tradnl"/>
              </w:rPr>
              <w:t xml:space="preserve">              </w:t>
            </w:r>
          </w:p>
        </w:tc>
        <w:tc>
          <w:tcPr>
            <w:tcW w:w="6100" w:type="dxa"/>
          </w:tcPr>
          <w:p w14:paraId="67C9692F" w14:textId="77777777" w:rsidR="00256BB2" w:rsidRPr="00FA7089" w:rsidRDefault="00256BB2" w:rsidP="008B2726">
            <w:pPr>
              <w:ind w:left="3"/>
              <w:jc w:val="both"/>
              <w:rPr>
                <w:rFonts w:ascii="Verdana" w:hAnsi="Verdana"/>
                <w:lang w:val="es-ES"/>
              </w:rPr>
            </w:pPr>
            <w:r w:rsidRPr="00FA7089">
              <w:rPr>
                <w:rFonts w:ascii="Verdana" w:eastAsia="Calibri" w:hAnsi="Verdana" w:cs="Arial"/>
                <w:lang w:val="es-ES" w:eastAsia="es-ES"/>
              </w:rPr>
              <w:t xml:space="preserve">Respuesta a consulta con radicado No. </w:t>
            </w:r>
            <w:r w:rsidRPr="00E128F0">
              <w:rPr>
                <w:rFonts w:ascii="Verdana" w:eastAsia="Calibri" w:hAnsi="Verdana" w:cs="Arial"/>
                <w:lang w:val="es-ES" w:eastAsia="es-ES"/>
              </w:rPr>
              <w:t>1_2026_04_10_004852</w:t>
            </w:r>
          </w:p>
        </w:tc>
      </w:tr>
    </w:tbl>
    <w:p w14:paraId="701497B2" w14:textId="77777777" w:rsidR="00256BB2" w:rsidRDefault="00256BB2" w:rsidP="00256BB2">
      <w:pPr>
        <w:spacing w:after="0" w:line="276" w:lineRule="auto"/>
        <w:jc w:val="both"/>
        <w:rPr>
          <w:rFonts w:ascii="Verdana" w:eastAsia="Calibri" w:hAnsi="Verdana" w:cs="Arial"/>
          <w:color w:val="ED7D31" w:themeColor="accent2"/>
          <w:lang w:val="es-ES" w:eastAsia="es-ES"/>
        </w:rPr>
      </w:pPr>
    </w:p>
    <w:p w14:paraId="79FF430B" w14:textId="77777777" w:rsidR="00256BB2" w:rsidRPr="009969AD" w:rsidRDefault="00256BB2" w:rsidP="00256BB2">
      <w:pPr>
        <w:spacing w:after="0" w:line="276" w:lineRule="auto"/>
        <w:jc w:val="both"/>
        <w:rPr>
          <w:rFonts w:ascii="Verdana" w:eastAsia="Calibri" w:hAnsi="Verdana" w:cs="Arial"/>
          <w:color w:val="ED7D31" w:themeColor="accent2"/>
          <w:lang w:val="es-ES" w:eastAsia="es-ES"/>
        </w:rPr>
      </w:pPr>
    </w:p>
    <w:p w14:paraId="610C8D09" w14:textId="77777777" w:rsidR="00256BB2" w:rsidRPr="00BB595E" w:rsidRDefault="00256BB2" w:rsidP="00256BB2">
      <w:pPr>
        <w:spacing w:after="0" w:line="276" w:lineRule="auto"/>
        <w:jc w:val="both"/>
        <w:rPr>
          <w:rFonts w:ascii="Verdana" w:eastAsia="Calibri" w:hAnsi="Verdana" w:cs="Arial"/>
          <w:lang w:eastAsia="es-ES"/>
        </w:rPr>
      </w:pPr>
      <w:r w:rsidRPr="00BB595E">
        <w:rPr>
          <w:rFonts w:ascii="Verdana" w:eastAsia="Calibri" w:hAnsi="Verdana" w:cs="Arial"/>
          <w:lang w:eastAsia="es-ES"/>
        </w:rPr>
        <w:t>Estimado señor Murillo:</w:t>
      </w:r>
    </w:p>
    <w:p w14:paraId="398B7866" w14:textId="77777777" w:rsidR="00256BB2" w:rsidRPr="00EF218C" w:rsidRDefault="00256BB2" w:rsidP="00256BB2">
      <w:pPr>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 </w:t>
      </w:r>
    </w:p>
    <w:p w14:paraId="3696AAA3" w14:textId="77777777" w:rsidR="00256BB2" w:rsidRPr="00EF218C" w:rsidRDefault="00256BB2" w:rsidP="00256BB2">
      <w:pPr>
        <w:tabs>
          <w:tab w:val="left" w:pos="3768"/>
        </w:tabs>
        <w:spacing w:after="0" w:line="276" w:lineRule="auto"/>
        <w:jc w:val="both"/>
        <w:rPr>
          <w:rFonts w:ascii="Verdana" w:eastAsia="Calibri" w:hAnsi="Verdana" w:cs="Arial"/>
          <w:lang w:eastAsia="es-ES"/>
        </w:rPr>
      </w:pPr>
      <w:r w:rsidRPr="00EF218C">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07 de enero de 2026, en la cual respecto a la postura del concepto C-021 del 18 de febrero, manifiesta lo siguiente: </w:t>
      </w:r>
    </w:p>
    <w:p w14:paraId="4D1CF0ED" w14:textId="77777777" w:rsidR="00256BB2" w:rsidRPr="00121C00" w:rsidRDefault="00256BB2" w:rsidP="00256BB2">
      <w:pPr>
        <w:tabs>
          <w:tab w:val="left" w:pos="3768"/>
        </w:tabs>
        <w:spacing w:after="0" w:line="276" w:lineRule="auto"/>
        <w:jc w:val="both"/>
        <w:rPr>
          <w:rFonts w:ascii="Verdana" w:eastAsia="Calibri" w:hAnsi="Verdana" w:cs="Arial"/>
          <w:lang w:eastAsia="es-ES"/>
        </w:rPr>
      </w:pPr>
    </w:p>
    <w:p w14:paraId="6A539966"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121C00">
        <w:rPr>
          <w:rFonts w:ascii="Verdana" w:eastAsia="Century Gothic" w:hAnsi="Verdana" w:cs="Century Gothic"/>
          <w:i/>
          <w:iCs/>
          <w:sz w:val="20"/>
          <w:szCs w:val="20"/>
          <w:lang w:val="es-ES"/>
        </w:rPr>
        <w:t>“(…)</w:t>
      </w:r>
      <w:r>
        <w:rPr>
          <w:rFonts w:ascii="Verdana" w:eastAsia="Century Gothic" w:hAnsi="Verdana" w:cs="Century Gothic"/>
          <w:i/>
          <w:iCs/>
          <w:sz w:val="20"/>
          <w:szCs w:val="20"/>
          <w:lang w:val="es-ES"/>
        </w:rPr>
        <w:t xml:space="preserve"> </w:t>
      </w:r>
      <w:r w:rsidRPr="00C14B27">
        <w:rPr>
          <w:rFonts w:ascii="Verdana" w:eastAsia="Century Gothic" w:hAnsi="Verdana" w:cs="Century Gothic"/>
          <w:i/>
          <w:iCs/>
          <w:sz w:val="20"/>
          <w:szCs w:val="20"/>
          <w:lang w:val="es-ES"/>
        </w:rPr>
        <w:t xml:space="preserve">los únicos facultados normativamente (Ley 1575 de 2012) para atender incendios son los Cuerpos de Bomberos. Asimismo, el Reglamento </w:t>
      </w:r>
    </w:p>
    <w:p w14:paraId="2430CE13"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lastRenderedPageBreak/>
        <w:t>Administrativo, Operativo, Técnico y Académico de los Bomberos de Colombia, adoptado mediante la Resolución 661 de 2014 y modificado por la Resolución 1127 de 2018 del Ministerio del Interior, establece:</w:t>
      </w:r>
    </w:p>
    <w:p w14:paraId="7F5E7794"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 xml:space="preserve">ARTÍCULO 4o. CAUSALES DE SUSPENSIÓN DE LA PERSONERÍA JURÍDICA </w:t>
      </w:r>
    </w:p>
    <w:p w14:paraId="661E704F" w14:textId="77777777" w:rsidR="00256BB2"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DE LOS CUERPOS DE BOMBEROS VOLUNTARIOS. &lt;Artículo modificado por el artículo 3 de la Resolución 1127 de 2018. El nuevo texto es el siguiente:&gt; Son causales de suspensión de la personería jurídica de los Cuerpos de Bomberos Voluntarios, previa aplicación del debido proceso, las siguientes:</w:t>
      </w:r>
    </w:p>
    <w:p w14:paraId="38C7772B"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p>
    <w:p w14:paraId="573378BF"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 xml:space="preserve">5. Contratar con municipios o distritos exista un Cuerpo de en donde </w:t>
      </w:r>
      <w:r>
        <w:rPr>
          <w:rFonts w:ascii="Verdana" w:eastAsia="Century Gothic" w:hAnsi="Verdana" w:cs="Century Gothic"/>
          <w:i/>
          <w:iCs/>
          <w:sz w:val="20"/>
          <w:szCs w:val="20"/>
          <w:lang w:val="es-ES"/>
        </w:rPr>
        <w:t>Bomberos</w:t>
      </w:r>
      <w:r w:rsidRPr="00C14B27">
        <w:rPr>
          <w:rFonts w:ascii="Verdana" w:eastAsia="Century Gothic" w:hAnsi="Verdana" w:cs="Century Gothic"/>
          <w:i/>
          <w:iCs/>
          <w:sz w:val="20"/>
          <w:szCs w:val="20"/>
          <w:lang w:val="es-ES"/>
        </w:rPr>
        <w:t xml:space="preserve"> legalmente reconocidos que tenga certificado de cumplimiento.</w:t>
      </w:r>
    </w:p>
    <w:p w14:paraId="6CAC2634" w14:textId="77777777" w:rsidR="00256BB2" w:rsidRDefault="00256BB2" w:rsidP="00256BB2">
      <w:pPr>
        <w:spacing w:before="120" w:after="120"/>
        <w:ind w:left="709" w:right="709"/>
        <w:contextualSpacing/>
        <w:jc w:val="both"/>
        <w:rPr>
          <w:rFonts w:ascii="Verdana" w:eastAsia="Century Gothic" w:hAnsi="Verdana" w:cs="Century Gothic"/>
          <w:i/>
          <w:iCs/>
          <w:sz w:val="20"/>
          <w:szCs w:val="20"/>
          <w:lang w:val="es-ES"/>
        </w:rPr>
      </w:pPr>
    </w:p>
    <w:p w14:paraId="23428B88" w14:textId="77777777" w:rsidR="00256BB2" w:rsidRPr="00C14B27"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En este sentido, la ley impide que organismos distintos a los Cuerpos de Bomberos atiendan incendios, y el reglamento mencionado limita la posibilidad de adelantar un proceso competitivo real, configurándose en la práctica un régimen exceptuado que conduce a la contratación directa.</w:t>
      </w:r>
    </w:p>
    <w:p w14:paraId="4AEFB6F3" w14:textId="77777777" w:rsidR="00256BB2" w:rsidRDefault="00256BB2" w:rsidP="00256BB2">
      <w:pPr>
        <w:spacing w:before="120" w:after="120"/>
        <w:ind w:left="709" w:right="709"/>
        <w:contextualSpacing/>
        <w:jc w:val="both"/>
        <w:rPr>
          <w:rFonts w:ascii="Verdana" w:eastAsia="Century Gothic" w:hAnsi="Verdana" w:cs="Century Gothic"/>
          <w:i/>
          <w:iCs/>
          <w:sz w:val="20"/>
          <w:szCs w:val="20"/>
          <w:lang w:val="es-ES"/>
        </w:rPr>
      </w:pPr>
    </w:p>
    <w:p w14:paraId="694A5A3F" w14:textId="77777777" w:rsidR="00256BB2"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Adicionalmente, siendo un fin de los entes territoriales la prestación de los servicios públicos esenciales —como lo es la atención de incendios— y considerando que los Cuerpos de Bomberos de Colombia hacen parte del Sistema Nacional de Gestión del Riesgo de Desastres (Ley 1523 de 2012), surge el interrogante sobre cómo un alcalde, en cumplimiento de sus obligaciones, podría evitar eventuales procesos de reparación directa si únicamente contrata la atención de emergencias una vez estas ya han ocurrido, en lugar de garantizar de manera previa y permanente la prestación del servicio, lo cual implicaría el incumplimiento de un fin esencial del Estado.</w:t>
      </w:r>
    </w:p>
    <w:p w14:paraId="64751826" w14:textId="77777777" w:rsidR="00256BB2" w:rsidRDefault="00256BB2" w:rsidP="00256BB2">
      <w:pPr>
        <w:spacing w:before="120" w:after="120"/>
        <w:ind w:left="709" w:right="709"/>
        <w:contextualSpacing/>
        <w:jc w:val="both"/>
        <w:rPr>
          <w:rFonts w:ascii="Verdana" w:eastAsia="Century Gothic" w:hAnsi="Verdana" w:cs="Century Gothic"/>
          <w:i/>
          <w:iCs/>
          <w:sz w:val="20"/>
          <w:szCs w:val="20"/>
          <w:lang w:val="es-ES"/>
        </w:rPr>
      </w:pPr>
    </w:p>
    <w:p w14:paraId="7B2C4DE8" w14:textId="77777777" w:rsidR="00256BB2" w:rsidRPr="00121C00" w:rsidRDefault="00256BB2" w:rsidP="00256BB2">
      <w:pPr>
        <w:spacing w:before="120" w:after="120"/>
        <w:ind w:left="709" w:right="709"/>
        <w:contextualSpacing/>
        <w:jc w:val="both"/>
        <w:rPr>
          <w:rFonts w:ascii="Verdana" w:eastAsia="Century Gothic" w:hAnsi="Verdana" w:cs="Century Gothic"/>
          <w:i/>
          <w:iCs/>
          <w:sz w:val="20"/>
          <w:szCs w:val="20"/>
          <w:lang w:val="es-ES"/>
        </w:rPr>
      </w:pPr>
      <w:r w:rsidRPr="00C14B27">
        <w:rPr>
          <w:rFonts w:ascii="Verdana" w:eastAsia="Century Gothic" w:hAnsi="Verdana" w:cs="Century Gothic"/>
          <w:i/>
          <w:iCs/>
          <w:sz w:val="20"/>
          <w:szCs w:val="20"/>
          <w:lang w:val="es-ES"/>
        </w:rPr>
        <w:t>Con lo anterior expuesto, se formula nuevamente la consulta: ¿Pueden las alcaldías celebrar convenios y/o contratos directos con los Cuerpos de Bomberos Voluntarios (instituciones privadas) para la prestación del servicio de gestión integral del riesgo contra incendio, de conformidad con lo dispuesto en los artículos 2, 3 y 22 de la Ley 1575 de 2012, en aplicación de la excepción prevista en el artículo 33 de la Ley 996 de 2005, teniendo en cuenta que el contrato y/o convenio tiene por objeto la prestación de un servicio público esencial, en el marco de la Ley General de Bomberos de Colombia?</w:t>
      </w:r>
      <w:r w:rsidRPr="00121C00">
        <w:rPr>
          <w:rFonts w:ascii="Verdana" w:eastAsia="Century Gothic" w:hAnsi="Verdana" w:cs="Century Gothic"/>
          <w:i/>
          <w:iCs/>
          <w:sz w:val="20"/>
          <w:szCs w:val="20"/>
          <w:lang w:val="es-ES"/>
        </w:rPr>
        <w:t xml:space="preserve"> (…)”</w:t>
      </w:r>
    </w:p>
    <w:p w14:paraId="6DB5B0E5" w14:textId="77777777" w:rsidR="00256BB2" w:rsidRPr="009969AD" w:rsidRDefault="00256BB2" w:rsidP="00256BB2">
      <w:pPr>
        <w:spacing w:before="120" w:after="120"/>
        <w:ind w:right="709"/>
        <w:contextualSpacing/>
        <w:jc w:val="both"/>
        <w:rPr>
          <w:rFonts w:ascii="Verdana" w:eastAsia="Century Gothic" w:hAnsi="Verdana" w:cs="Century Gothic"/>
          <w:i/>
          <w:iCs/>
          <w:color w:val="ED7D31" w:themeColor="accent2"/>
          <w:sz w:val="20"/>
          <w:szCs w:val="20"/>
          <w:lang w:val="es-ES"/>
        </w:rPr>
      </w:pPr>
    </w:p>
    <w:p w14:paraId="6E502585" w14:textId="77777777" w:rsidR="00256BB2" w:rsidRPr="00DC2EF1" w:rsidRDefault="00256BB2" w:rsidP="00256BB2">
      <w:pPr>
        <w:spacing w:after="120" w:line="276" w:lineRule="auto"/>
        <w:ind w:firstLine="708"/>
        <w:jc w:val="both"/>
        <w:rPr>
          <w:rFonts w:ascii="Verdana" w:eastAsia="Calibri" w:hAnsi="Verdana" w:cs="Arial"/>
          <w:lang w:val="es-ES" w:eastAsia="es-ES"/>
        </w:rPr>
      </w:pPr>
      <w:r w:rsidRPr="00DC2EF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DC2EF1">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2EF1">
        <w:rPr>
          <w:rFonts w:ascii="Verdana" w:hAnsi="Verdana"/>
          <w:lang w:val="es-ES"/>
        </w:rPr>
        <w:tab/>
      </w:r>
    </w:p>
    <w:p w14:paraId="13BC418D" w14:textId="77777777" w:rsidR="00256BB2" w:rsidRPr="00DC2EF1" w:rsidRDefault="00256BB2" w:rsidP="00256BB2">
      <w:pPr>
        <w:spacing w:after="0" w:line="276" w:lineRule="auto"/>
        <w:ind w:firstLine="709"/>
        <w:jc w:val="both"/>
        <w:rPr>
          <w:rFonts w:ascii="Verdana" w:eastAsia="Calibri" w:hAnsi="Verdana" w:cs="Arial"/>
          <w:lang w:val="es-ES" w:eastAsia="es-ES"/>
        </w:rPr>
      </w:pPr>
      <w:r w:rsidRPr="00DC2EF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82B76CB" w14:textId="77777777" w:rsidR="00256BB2" w:rsidRPr="00DC2EF1" w:rsidRDefault="00256BB2" w:rsidP="00256BB2">
      <w:pPr>
        <w:spacing w:after="0" w:line="276" w:lineRule="auto"/>
        <w:ind w:firstLine="709"/>
        <w:jc w:val="both"/>
        <w:rPr>
          <w:rFonts w:ascii="Verdana" w:eastAsia="Calibri" w:hAnsi="Verdana" w:cs="Arial"/>
          <w:lang w:val="es-ES" w:eastAsia="es-ES"/>
        </w:rPr>
      </w:pPr>
    </w:p>
    <w:p w14:paraId="767928E7" w14:textId="77777777" w:rsidR="00256BB2" w:rsidRPr="00DC2EF1" w:rsidRDefault="00256BB2" w:rsidP="00256BB2">
      <w:pPr>
        <w:tabs>
          <w:tab w:val="left" w:pos="142"/>
          <w:tab w:val="left" w:pos="284"/>
        </w:tabs>
        <w:spacing w:after="0" w:line="276" w:lineRule="auto"/>
        <w:contextualSpacing/>
        <w:jc w:val="both"/>
        <w:rPr>
          <w:rFonts w:ascii="Verdana" w:eastAsia="Century Gothic" w:hAnsi="Verdana" w:cs="Century Gothic"/>
          <w:b/>
          <w:lang w:val="es-ES"/>
        </w:rPr>
      </w:pPr>
      <w:r w:rsidRPr="00DC2EF1">
        <w:rPr>
          <w:rFonts w:ascii="Verdana" w:eastAsia="Century Gothic" w:hAnsi="Verdana" w:cs="Century Gothic"/>
          <w:b/>
          <w:lang w:val="es-ES"/>
        </w:rPr>
        <w:t>1. Problema planteado:</w:t>
      </w:r>
    </w:p>
    <w:p w14:paraId="212319FC" w14:textId="77777777" w:rsidR="00256BB2" w:rsidRPr="009969AD" w:rsidRDefault="00256BB2" w:rsidP="00256BB2">
      <w:pPr>
        <w:tabs>
          <w:tab w:val="left" w:pos="426"/>
        </w:tabs>
        <w:spacing w:after="0" w:line="276" w:lineRule="auto"/>
        <w:jc w:val="both"/>
        <w:rPr>
          <w:rFonts w:ascii="Verdana" w:eastAsia="Century Gothic" w:hAnsi="Verdana" w:cs="Century Gothic"/>
          <w:color w:val="ED7D31" w:themeColor="accent2"/>
          <w:lang w:val="es-ES"/>
        </w:rPr>
      </w:pPr>
    </w:p>
    <w:p w14:paraId="5AA899F5" w14:textId="77777777" w:rsidR="00256BB2" w:rsidRDefault="00256BB2" w:rsidP="00256BB2">
      <w:pPr>
        <w:spacing w:after="0" w:line="276" w:lineRule="auto"/>
        <w:jc w:val="both"/>
        <w:rPr>
          <w:rFonts w:ascii="Verdana" w:eastAsia="Century Gothic" w:hAnsi="Verdana" w:cs="Century Gothic"/>
        </w:rPr>
      </w:pPr>
      <w:r w:rsidRPr="00B02B2F">
        <w:rPr>
          <w:rFonts w:ascii="Verdana" w:eastAsia="Century Gothic" w:hAnsi="Verdana" w:cs="Century Gothic"/>
          <w:lang w:val="es-ES"/>
        </w:rPr>
        <w:t xml:space="preserve">De acuerdo con el contenido de su solicitud, esta Agencia resolverá el siguiente problema </w:t>
      </w:r>
      <w:r w:rsidRPr="00A16078">
        <w:rPr>
          <w:rFonts w:ascii="Verdana" w:eastAsia="Century Gothic" w:hAnsi="Verdana" w:cs="Century Gothic"/>
          <w:lang w:val="es-ES"/>
        </w:rPr>
        <w:t xml:space="preserve">jurídico: </w:t>
      </w:r>
      <w:r w:rsidRPr="00A2515F">
        <w:rPr>
          <w:rFonts w:ascii="Verdana" w:eastAsia="Century Gothic" w:hAnsi="Verdana" w:cs="Century Gothic"/>
        </w:rPr>
        <w:t>¿Es jurídicamente viable la celebración de convenios entre entidades territoriales y los Cuerpos de Bomberos Voluntarios durante la vigencia de las restricciones previstas en la Ley 996 de 2005?</w:t>
      </w:r>
    </w:p>
    <w:p w14:paraId="11273BCD" w14:textId="77777777" w:rsidR="00256BB2" w:rsidRDefault="00256BB2" w:rsidP="00256BB2">
      <w:pPr>
        <w:spacing w:after="0" w:line="276" w:lineRule="auto"/>
        <w:jc w:val="both"/>
        <w:rPr>
          <w:rFonts w:ascii="Verdana" w:eastAsia="Century Gothic" w:hAnsi="Verdana" w:cs="Century Gothic"/>
        </w:rPr>
      </w:pPr>
    </w:p>
    <w:p w14:paraId="292DDB40" w14:textId="77777777" w:rsidR="00256BB2" w:rsidRPr="00121C00" w:rsidRDefault="00256BB2" w:rsidP="00256BB2">
      <w:pPr>
        <w:tabs>
          <w:tab w:val="left" w:pos="142"/>
          <w:tab w:val="left" w:pos="284"/>
        </w:tabs>
        <w:spacing w:after="0" w:line="276" w:lineRule="auto"/>
        <w:jc w:val="both"/>
        <w:rPr>
          <w:rFonts w:ascii="Verdana" w:eastAsia="Century Gothic" w:hAnsi="Verdana" w:cs="Century Gothic"/>
          <w:b/>
          <w:lang w:val="es-ES"/>
        </w:rPr>
      </w:pPr>
      <w:r w:rsidRPr="00121C00">
        <w:rPr>
          <w:rFonts w:ascii="Verdana" w:eastAsia="Century Gothic" w:hAnsi="Verdana" w:cs="Century Gothic"/>
          <w:b/>
          <w:lang w:val="es-ES"/>
        </w:rPr>
        <w:t>2. Respuesta:</w:t>
      </w:r>
    </w:p>
    <w:p w14:paraId="5F40ED6E" w14:textId="77777777" w:rsidR="00256BB2" w:rsidRPr="009969AD" w:rsidRDefault="00256BB2" w:rsidP="00256BB2">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6BB2" w:rsidRPr="009969AD" w14:paraId="4E19EA38" w14:textId="77777777" w:rsidTr="008B2726">
        <w:tc>
          <w:tcPr>
            <w:tcW w:w="8828" w:type="dxa"/>
          </w:tcPr>
          <w:p w14:paraId="58E1843A" w14:textId="77777777" w:rsidR="00256BB2" w:rsidRDefault="00256BB2" w:rsidP="008B2726">
            <w:pPr>
              <w:spacing w:before="120" w:after="120" w:line="276" w:lineRule="auto"/>
              <w:ind w:firstLine="29"/>
              <w:jc w:val="both"/>
              <w:rPr>
                <w:rFonts w:ascii="Verdana" w:eastAsia="Calibri" w:hAnsi="Verdana" w:cs="Arial"/>
              </w:rPr>
            </w:pPr>
            <w:r w:rsidRPr="00EB53B7">
              <w:rPr>
                <w:rFonts w:ascii="Verdana" w:eastAsia="Calibri" w:hAnsi="Verdana" w:cs="Arial"/>
              </w:rPr>
              <w:t xml:space="preserve">Para dar respuesta al problema jurídico planteado y en alcance del Concepto C-021 del 18 de febrero de 2026, se precisa que la celebración de contratos y convenios entre municipios y distritos con Cuerpos de Bomberos Voluntarios, durante la vigencia de la restricción prevista en el artículo 33 de la Ley 996 de 2005, </w:t>
            </w:r>
            <w:r w:rsidRPr="00864F73">
              <w:rPr>
                <w:rFonts w:ascii="Verdana" w:eastAsia="Calibri" w:hAnsi="Verdana" w:cs="Arial"/>
              </w:rPr>
              <w:t>debe analizarse en cada caso concreto a partir de la verificación de los presupuestos legales que habilitan la modalidad de selección correspondiente en el régimen de contratación estatal</w:t>
            </w:r>
            <w:r>
              <w:rPr>
                <w:rFonts w:ascii="Verdana" w:eastAsia="Calibri" w:hAnsi="Verdana" w:cs="Arial"/>
              </w:rPr>
              <w:t>.</w:t>
            </w:r>
          </w:p>
          <w:p w14:paraId="5E9A9B28" w14:textId="77777777" w:rsidR="00256BB2" w:rsidRPr="00EB53B7" w:rsidRDefault="00256BB2" w:rsidP="008B2726">
            <w:pPr>
              <w:spacing w:before="120" w:after="120" w:line="276" w:lineRule="auto"/>
              <w:ind w:firstLine="709"/>
              <w:jc w:val="both"/>
              <w:rPr>
                <w:rFonts w:ascii="Verdana" w:eastAsia="Calibri" w:hAnsi="Verdana" w:cs="Arial"/>
              </w:rPr>
            </w:pPr>
            <w:r w:rsidRPr="00EB53B7">
              <w:rPr>
                <w:rFonts w:ascii="Verdana" w:eastAsia="Calibri" w:hAnsi="Verdana" w:cs="Arial"/>
              </w:rPr>
              <w:t xml:space="preserve">En ese sentido, cuando la contratación se adelante mediante procedimientos competitivos que aseguren la libre concurrencia de oferentes, no se configura el supuesto de contratación directa, razón por la cual no resulta aplicable la restricción del artículo 33 </w:t>
            </w:r>
            <w:r w:rsidRPr="00F84A5F">
              <w:rPr>
                <w:rFonts w:ascii="Verdana" w:eastAsia="Calibri" w:hAnsi="Verdana" w:cs="Arial"/>
                <w:i/>
                <w:iCs/>
              </w:rPr>
              <w:t>ibidem</w:t>
            </w:r>
            <w:r w:rsidRPr="00EB53B7">
              <w:rPr>
                <w:rFonts w:ascii="Verdana" w:eastAsia="Calibri" w:hAnsi="Verdana" w:cs="Arial"/>
              </w:rPr>
              <w:t xml:space="preserve">, en tanto esta se estructura frente </w:t>
            </w:r>
            <w:r w:rsidRPr="00EB53B7">
              <w:rPr>
                <w:rFonts w:ascii="Verdana" w:eastAsia="Calibri" w:hAnsi="Verdana" w:cs="Arial"/>
              </w:rPr>
              <w:lastRenderedPageBreak/>
              <w:t>a escenarios en los que la selección del contratista no se realiza a través de las modalidades previstas en el artículo 2 de la Ley 1150 de 2007.</w:t>
            </w:r>
          </w:p>
          <w:p w14:paraId="6C3F318F" w14:textId="77777777" w:rsidR="00256BB2" w:rsidRPr="00EB53B7" w:rsidRDefault="00256BB2" w:rsidP="008B2726">
            <w:pPr>
              <w:spacing w:before="120" w:after="120" w:line="276" w:lineRule="auto"/>
              <w:ind w:firstLine="709"/>
              <w:jc w:val="both"/>
              <w:rPr>
                <w:rFonts w:ascii="Verdana" w:eastAsia="Calibri" w:hAnsi="Verdana" w:cs="Arial"/>
              </w:rPr>
            </w:pPr>
            <w:r w:rsidRPr="00EB53B7">
              <w:rPr>
                <w:rFonts w:ascii="Verdana" w:eastAsia="Calibri" w:hAnsi="Verdana" w:cs="Arial"/>
              </w:rPr>
              <w:t>Por el contrario, cuando en el respectivo ámbito territorial la prestación del servicio deba ser asumida por un único Cuerpo de Bomberos Voluntarios y se verifique la inexistencia de pluralidad de oferentes en los términos del artículo 2, numeral 4, literal g) de la Ley 1150 de 2007 y su reglamentación, podría configurarse el presupuesto para acudir a la modalidad de contratación directa por proveedor exclusivo, siempre que dicha condición sea debidamente acreditada en los estudios y documentos previos.</w:t>
            </w:r>
          </w:p>
          <w:p w14:paraId="4F5D2798" w14:textId="77777777" w:rsidR="00256BB2" w:rsidRDefault="00256BB2" w:rsidP="008B2726">
            <w:pPr>
              <w:spacing w:before="120" w:after="120" w:line="276" w:lineRule="auto"/>
              <w:ind w:firstLine="709"/>
              <w:jc w:val="both"/>
              <w:rPr>
                <w:rFonts w:ascii="Verdana" w:eastAsia="Calibri" w:hAnsi="Verdana" w:cs="Arial"/>
              </w:rPr>
            </w:pPr>
            <w:r w:rsidRPr="00EB53B7">
              <w:rPr>
                <w:rFonts w:ascii="Verdana" w:eastAsia="Calibri" w:hAnsi="Verdana" w:cs="Arial"/>
              </w:rPr>
              <w:t>De igual forma, podría resultar procedente la utilización de la figura de los convenios de asociación prevista en el artículo 96 de la Ley 489 de 1998 y reglamentada por el artículo 5 del Decreto 092 de 2017, siempre que se cumplan los requisitos establecidos para su procedencia, en particular los relativos a los aportes de la entidad sin ánimo de lucro y a la verificación de su procedibilidad en el caso concreto.</w:t>
            </w:r>
          </w:p>
          <w:p w14:paraId="43C4DABE" w14:textId="77777777" w:rsidR="00256BB2" w:rsidRPr="001C2B89" w:rsidRDefault="00256BB2" w:rsidP="008B2726">
            <w:pPr>
              <w:spacing w:before="120" w:after="120" w:line="276" w:lineRule="auto"/>
              <w:ind w:firstLine="709"/>
              <w:jc w:val="both"/>
              <w:rPr>
                <w:rFonts w:ascii="Verdana" w:eastAsia="Calibri" w:hAnsi="Verdana" w:cs="Arial"/>
              </w:rPr>
            </w:pPr>
            <w:r>
              <w:rPr>
                <w:rFonts w:ascii="Verdana" w:eastAsia="Calibri" w:hAnsi="Verdana" w:cs="Arial"/>
              </w:rPr>
              <w:t>No obstante</w:t>
            </w:r>
            <w:r w:rsidRPr="00EB53B7">
              <w:rPr>
                <w:rFonts w:ascii="Verdana" w:eastAsia="Calibri" w:hAnsi="Verdana" w:cs="Arial"/>
              </w:rPr>
              <w:t>, la calidad de servicio público esencial de la gestión integral del riesgo contra incendios, prevista en la Ley 1575 de 2012, no implica por sí misma la inaplicabilidad de la restricción del artículo 33 de la Ley 996 de 2005, por lo que su análisis debe efectuarse a la luz de las reglas generales del Estatuto General de Contratación de la Administración Pública.</w:t>
            </w:r>
            <w:r>
              <w:rPr>
                <w:rFonts w:ascii="Verdana" w:eastAsia="Calibri" w:hAnsi="Verdana" w:cs="Arial"/>
              </w:rPr>
              <w:t xml:space="preserve"> Es decir,</w:t>
            </w:r>
            <w:r w:rsidRPr="00EB53B7">
              <w:rPr>
                <w:rFonts w:ascii="Verdana" w:eastAsia="Calibri" w:hAnsi="Verdana" w:cs="Arial"/>
              </w:rPr>
              <w:t xml:space="preserve"> cuando se invoquen supuestos relacionados con la atención de emergencias o desastres, deberá verificarse su configuración conforme a la Ley 1523 de 2012 y la normativa aplicable, sin que ello habilite de manera automática la contratación directa, la cual en todo caso exige la debida motivación y sustento en los estudios y documentos previos.</w:t>
            </w:r>
          </w:p>
          <w:p w14:paraId="720893C5" w14:textId="77777777" w:rsidR="00256BB2" w:rsidRPr="009969AD" w:rsidRDefault="00256BB2" w:rsidP="008B2726">
            <w:pPr>
              <w:spacing w:before="120" w:after="120" w:line="276" w:lineRule="auto"/>
              <w:ind w:firstLine="709"/>
              <w:jc w:val="both"/>
              <w:rPr>
                <w:rFonts w:ascii="Verdana" w:eastAsia="Calibri" w:hAnsi="Verdana" w:cs="Arial"/>
                <w:color w:val="ED7D31" w:themeColor="accent2"/>
              </w:rPr>
            </w:pPr>
            <w:r w:rsidRPr="00C14203">
              <w:rPr>
                <w:rFonts w:ascii="Verdana" w:eastAsia="Calibri" w:hAnsi="Verdana" w:cs="Arial"/>
                <w:bCs/>
              </w:rPr>
              <w:t>Finalmente</w:t>
            </w:r>
            <w:r w:rsidRPr="00C14203">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14203">
              <w:rPr>
                <w:rFonts w:ascii="Verdana" w:hAnsi="Verdana"/>
              </w:rPr>
              <w:t xml:space="preserve"> </w:t>
            </w:r>
          </w:p>
        </w:tc>
      </w:tr>
    </w:tbl>
    <w:p w14:paraId="533B57B6" w14:textId="77777777" w:rsidR="00256BB2" w:rsidRPr="009969AD" w:rsidRDefault="00256BB2" w:rsidP="00256BB2">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A0B424" w14:textId="77777777" w:rsidR="00256BB2" w:rsidRPr="00B02B2F" w:rsidRDefault="00256BB2" w:rsidP="00256BB2">
      <w:pPr>
        <w:tabs>
          <w:tab w:val="left" w:pos="142"/>
          <w:tab w:val="left" w:pos="284"/>
        </w:tabs>
        <w:spacing w:after="0" w:line="276" w:lineRule="auto"/>
        <w:jc w:val="both"/>
        <w:rPr>
          <w:rFonts w:ascii="Verdana" w:eastAsia="Century Gothic" w:hAnsi="Verdana" w:cs="Century Gothic"/>
          <w:b/>
          <w:lang w:val="es-ES"/>
        </w:rPr>
      </w:pPr>
      <w:r w:rsidRPr="00B02B2F">
        <w:rPr>
          <w:rFonts w:ascii="Verdana" w:eastAsia="Century Gothic" w:hAnsi="Verdana" w:cs="Century Gothic"/>
          <w:b/>
          <w:lang w:val="es-ES"/>
        </w:rPr>
        <w:lastRenderedPageBreak/>
        <w:t>3. Razones de la respuesta:</w:t>
      </w:r>
    </w:p>
    <w:p w14:paraId="7E2B8671" w14:textId="77777777" w:rsidR="00256BB2" w:rsidRPr="00B02B2F" w:rsidRDefault="00256BB2" w:rsidP="00256BB2">
      <w:pPr>
        <w:tabs>
          <w:tab w:val="left" w:pos="142"/>
          <w:tab w:val="left" w:pos="284"/>
        </w:tabs>
        <w:spacing w:after="0" w:line="276" w:lineRule="auto"/>
        <w:jc w:val="both"/>
        <w:rPr>
          <w:rFonts w:ascii="Verdana" w:eastAsia="Century Gothic" w:hAnsi="Verdana" w:cs="Century Gothic"/>
          <w:b/>
          <w:lang w:val="es-ES"/>
        </w:rPr>
      </w:pPr>
    </w:p>
    <w:p w14:paraId="66D1942F" w14:textId="77777777" w:rsidR="00256BB2" w:rsidRDefault="00256BB2" w:rsidP="00256BB2">
      <w:pPr>
        <w:spacing w:after="0" w:line="276" w:lineRule="auto"/>
        <w:jc w:val="both"/>
        <w:rPr>
          <w:rFonts w:ascii="Verdana" w:eastAsia="Calibri" w:hAnsi="Verdana" w:cs="Arial"/>
          <w:lang w:val="es-ES"/>
        </w:rPr>
      </w:pPr>
      <w:r w:rsidRPr="00B02B2F">
        <w:rPr>
          <w:rFonts w:ascii="Verdana" w:eastAsia="Calibri" w:hAnsi="Verdana" w:cs="Arial"/>
          <w:lang w:val="es-ES"/>
        </w:rPr>
        <w:t>Lo anterior se sustenta en las siguientes consideraciones</w:t>
      </w:r>
      <w:r>
        <w:rPr>
          <w:rFonts w:ascii="Verdana" w:eastAsia="Calibri" w:hAnsi="Verdana" w:cs="Arial"/>
          <w:lang w:val="es-ES"/>
        </w:rPr>
        <w:t>:</w:t>
      </w:r>
    </w:p>
    <w:p w14:paraId="112EC816" w14:textId="77777777" w:rsidR="00256BB2" w:rsidRPr="00F60E4C" w:rsidRDefault="00256BB2" w:rsidP="00256BB2">
      <w:pPr>
        <w:spacing w:after="0" w:line="276" w:lineRule="auto"/>
        <w:jc w:val="both"/>
        <w:rPr>
          <w:rFonts w:ascii="Verdana" w:eastAsia="Calibri" w:hAnsi="Verdana" w:cs="Arial"/>
          <w:lang w:val="es-ES"/>
        </w:rPr>
      </w:pPr>
    </w:p>
    <w:p w14:paraId="4ABEB4E1" w14:textId="77777777" w:rsidR="00256BB2" w:rsidRPr="005A676F" w:rsidRDefault="00256BB2" w:rsidP="00256BB2">
      <w:pPr>
        <w:tabs>
          <w:tab w:val="left" w:pos="426"/>
        </w:tabs>
        <w:spacing w:after="120" w:line="276" w:lineRule="auto"/>
        <w:jc w:val="both"/>
        <w:rPr>
          <w:rFonts w:ascii="Verdana" w:eastAsia="Calibri" w:hAnsi="Verdana" w:cs="Arial"/>
          <w:bCs/>
          <w:lang w:val="es-ES_tradnl" w:eastAsia="es-CO"/>
        </w:rPr>
      </w:pPr>
      <w:r w:rsidRPr="005A676F">
        <w:rPr>
          <w:rFonts w:ascii="Verdana" w:eastAsia="Calibri" w:hAnsi="Verdana" w:cs="Arial"/>
          <w:bCs/>
          <w:lang w:eastAsia="es-ES_tradnl"/>
        </w:rPr>
        <w:t>i.</w:t>
      </w:r>
      <w:r>
        <w:rPr>
          <w:rFonts w:ascii="Verdana" w:eastAsia="Calibri" w:hAnsi="Verdana" w:cs="Arial"/>
          <w:bCs/>
          <w:lang w:eastAsia="es-ES_tradnl"/>
        </w:rPr>
        <w:t xml:space="preserve"> </w:t>
      </w:r>
      <w:r w:rsidRPr="005A676F">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5A676F">
        <w:rPr>
          <w:rFonts w:ascii="Verdana" w:eastAsia="Calibri" w:hAnsi="Verdana" w:cs="Arial"/>
          <w:bCs/>
          <w:i/>
          <w:iCs/>
          <w:lang w:val="es-ES_tradnl" w:eastAsia="es-ES_tradnl"/>
        </w:rPr>
        <w:t xml:space="preserve">. </w:t>
      </w:r>
      <w:r w:rsidRPr="005A676F">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 xml:space="preserve">. </w:t>
      </w:r>
    </w:p>
    <w:p w14:paraId="112E011F" w14:textId="77777777" w:rsidR="00256BB2" w:rsidRDefault="00256BB2" w:rsidP="00256BB2">
      <w:pPr>
        <w:tabs>
          <w:tab w:val="left" w:pos="426"/>
        </w:tabs>
        <w:spacing w:after="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2CEDAC86" w14:textId="77777777" w:rsidR="00256BB2" w:rsidRPr="00432152" w:rsidRDefault="00256BB2" w:rsidP="00256BB2">
      <w:pPr>
        <w:tabs>
          <w:tab w:val="left" w:pos="426"/>
        </w:tabs>
        <w:spacing w:after="0" w:line="276" w:lineRule="auto"/>
        <w:ind w:firstLine="709"/>
        <w:jc w:val="both"/>
        <w:rPr>
          <w:rFonts w:ascii="Verdana" w:eastAsia="Calibri" w:hAnsi="Verdana" w:cs="Arial"/>
          <w:bCs/>
          <w:lang w:val="es-ES_tradnl" w:eastAsia="es-CO"/>
        </w:rPr>
      </w:pPr>
    </w:p>
    <w:p w14:paraId="3500553D" w14:textId="77777777" w:rsidR="00256BB2" w:rsidRPr="00432152" w:rsidRDefault="00256BB2" w:rsidP="00256BB2">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68D2E6B7" w14:textId="77777777" w:rsidR="00256BB2" w:rsidRPr="00432152" w:rsidRDefault="00256BB2" w:rsidP="00256BB2">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7DE9E759" w14:textId="77777777" w:rsidR="00256BB2" w:rsidRDefault="00256BB2" w:rsidP="00256BB2">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Una ley de garantías electorales es una guía para el ejercicio equitativo y transparente de la democracia representativa. Un estatuto diseñado para asegurar que la contienda democrática se cumpla en condiciones </w:t>
      </w:r>
      <w:r w:rsidRPr="00432152">
        <w:rPr>
          <w:rFonts w:ascii="Verdana" w:eastAsia="Calibri" w:hAnsi="Verdana" w:cs="Arial"/>
          <w:bCs/>
          <w:sz w:val="20"/>
          <w:szCs w:val="20"/>
          <w:lang w:val="es-ES_tradnl" w:eastAsia="es-CO"/>
        </w:rPr>
        <w:lastRenderedPageBreak/>
        <w:t>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115D3E9E" w14:textId="77777777" w:rsidR="00256BB2" w:rsidRPr="00432152" w:rsidRDefault="00256BB2" w:rsidP="00256BB2">
      <w:pPr>
        <w:spacing w:after="0" w:line="240" w:lineRule="auto"/>
        <w:ind w:left="709" w:right="709"/>
        <w:jc w:val="both"/>
        <w:rPr>
          <w:rFonts w:ascii="Verdana" w:eastAsia="Calibri" w:hAnsi="Verdana" w:cs="Arial"/>
          <w:bCs/>
          <w:sz w:val="20"/>
          <w:szCs w:val="20"/>
          <w:lang w:val="es-ES_tradnl" w:eastAsia="es-CO"/>
        </w:rPr>
      </w:pPr>
    </w:p>
    <w:p w14:paraId="4137DB7C" w14:textId="77777777" w:rsidR="00256BB2" w:rsidRDefault="00256BB2" w:rsidP="00256BB2">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16EC04B5" w14:textId="77777777" w:rsidR="00256BB2" w:rsidRPr="00432152" w:rsidRDefault="00256BB2" w:rsidP="00256BB2">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777D535D" w14:textId="77777777" w:rsidR="00256BB2" w:rsidRDefault="00256BB2" w:rsidP="00256BB2">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DF41F28" w14:textId="77777777" w:rsidR="00256BB2" w:rsidRPr="00432152" w:rsidRDefault="00256BB2" w:rsidP="00256BB2">
      <w:pPr>
        <w:spacing w:after="0" w:line="240" w:lineRule="auto"/>
        <w:ind w:left="851" w:right="709"/>
        <w:jc w:val="both"/>
        <w:rPr>
          <w:rFonts w:ascii="Verdana" w:eastAsia="Calibri" w:hAnsi="Verdana" w:cs="Arial"/>
          <w:sz w:val="20"/>
          <w:szCs w:val="20"/>
          <w:lang w:val="es-ES" w:eastAsia="es-CO"/>
        </w:rPr>
      </w:pPr>
    </w:p>
    <w:p w14:paraId="395C0B7C" w14:textId="77777777" w:rsidR="00256BB2" w:rsidRDefault="00256BB2" w:rsidP="00256BB2">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xml:space="preserve">, coinciden en que las normas que establecen prohibiciones deben estar de manera explícita en la Constitución o en la ley y no podrán ser </w:t>
      </w:r>
      <w:r w:rsidRPr="00432152">
        <w:rPr>
          <w:rFonts w:ascii="Verdana" w:eastAsia="Calibri" w:hAnsi="Verdana" w:cs="Arial"/>
          <w:bCs/>
          <w:sz w:val="20"/>
          <w:szCs w:val="20"/>
          <w:lang w:val="es-ES_tradnl" w:eastAsia="es-CO"/>
        </w:rPr>
        <w:lastRenderedPageBreak/>
        <w:t>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1B31789A" w14:textId="77777777" w:rsidR="00256BB2" w:rsidRPr="00432152" w:rsidRDefault="00256BB2" w:rsidP="00256BB2">
      <w:pPr>
        <w:spacing w:after="0" w:line="240" w:lineRule="auto"/>
        <w:ind w:left="851" w:right="709"/>
        <w:jc w:val="both"/>
        <w:rPr>
          <w:rFonts w:ascii="Verdana" w:eastAsia="Calibri" w:hAnsi="Verdana" w:cs="Arial"/>
          <w:bCs/>
          <w:sz w:val="20"/>
          <w:szCs w:val="20"/>
          <w:lang w:val="es-ES_tradnl" w:eastAsia="es-CO"/>
        </w:rPr>
      </w:pPr>
    </w:p>
    <w:p w14:paraId="53EC7CA4" w14:textId="77777777" w:rsidR="00256BB2" w:rsidRPr="00432152" w:rsidRDefault="00256BB2" w:rsidP="00256BB2">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2"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32769178" w14:textId="77777777" w:rsidR="00256BB2" w:rsidRDefault="00256BB2" w:rsidP="00256BB2">
      <w:pPr>
        <w:spacing w:after="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09B78608" w14:textId="77777777" w:rsidR="00256BB2" w:rsidRPr="00432152" w:rsidRDefault="00256BB2" w:rsidP="00256BB2">
      <w:pPr>
        <w:spacing w:after="0" w:line="276" w:lineRule="auto"/>
        <w:ind w:firstLine="709"/>
        <w:contextualSpacing/>
        <w:jc w:val="both"/>
        <w:rPr>
          <w:rFonts w:ascii="Verdana" w:eastAsia="Calibri" w:hAnsi="Verdana" w:cs="Arial"/>
          <w:lang w:val="es-ES_tradnl" w:eastAsia="es-ES_tradnl"/>
        </w:rPr>
      </w:pPr>
    </w:p>
    <w:p w14:paraId="609DA7C9" w14:textId="77777777" w:rsidR="00256BB2" w:rsidRDefault="00256BB2" w:rsidP="00256BB2">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1B3AC3C8" w14:textId="77777777" w:rsidR="00256BB2" w:rsidRDefault="00256BB2" w:rsidP="00256BB2">
      <w:pPr>
        <w:widowControl w:val="0"/>
        <w:autoSpaceDE w:val="0"/>
        <w:autoSpaceDN w:val="0"/>
        <w:spacing w:after="0" w:line="276" w:lineRule="auto"/>
        <w:ind w:firstLine="709"/>
        <w:contextualSpacing/>
        <w:jc w:val="both"/>
        <w:rPr>
          <w:rFonts w:ascii="Verdana" w:eastAsia="Arial" w:hAnsi="Verdana" w:cs="Arial"/>
          <w:lang w:val="es-ES" w:eastAsia="es-ES" w:bidi="es-ES"/>
        </w:rPr>
      </w:pPr>
    </w:p>
    <w:p w14:paraId="38758980" w14:textId="77777777" w:rsidR="00256BB2" w:rsidRPr="00432152" w:rsidRDefault="00256BB2" w:rsidP="00256BB2">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028D609" w14:textId="77777777" w:rsidR="00256BB2" w:rsidRDefault="00256BB2" w:rsidP="00256BB2">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09A7C547" w14:textId="77777777" w:rsidR="00256BB2" w:rsidRPr="00432152" w:rsidRDefault="00256BB2" w:rsidP="00256BB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0447FC81" w14:textId="77777777" w:rsidR="00256BB2" w:rsidRDefault="00256BB2" w:rsidP="00256BB2">
      <w:pPr>
        <w:spacing w:after="0" w:line="276" w:lineRule="auto"/>
        <w:ind w:left="142" w:firstLine="709"/>
        <w:jc w:val="both"/>
        <w:rPr>
          <w:rFonts w:ascii="Verdana" w:eastAsia="Arial" w:hAnsi="Verdana" w:cs="Arial"/>
          <w:lang w:val="es-ES" w:eastAsia="es-ES" w:bidi="es-ES"/>
        </w:rPr>
      </w:pPr>
    </w:p>
    <w:p w14:paraId="58AE8DD2" w14:textId="77777777" w:rsidR="00256BB2" w:rsidRPr="00432152" w:rsidRDefault="00256BB2" w:rsidP="00256BB2">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lastRenderedPageBreak/>
        <w:t xml:space="preserve">De lo anterior se desprende que </w:t>
      </w:r>
      <w:bookmarkStart w:id="4" w:name="_Hlk77236420"/>
      <w:bookmarkStart w:id="5"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5"/>
    <w:p w14:paraId="3B838A87" w14:textId="77777777" w:rsidR="00256BB2" w:rsidRPr="00432152" w:rsidRDefault="00256BB2" w:rsidP="00256BB2">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406643B2" w14:textId="77777777" w:rsidR="00256BB2" w:rsidRPr="00D8028D" w:rsidRDefault="00256BB2" w:rsidP="00256BB2">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w:t>
      </w:r>
      <w:r w:rsidRPr="00D8028D">
        <w:rPr>
          <w:rFonts w:ascii="Verdana" w:eastAsia="Arial" w:hAnsi="Verdana" w:cs="Arial"/>
          <w:lang w:val="es-ES" w:eastAsia="es-ES" w:bidi="es-ES"/>
        </w:rPr>
        <w:lastRenderedPageBreak/>
        <w:t xml:space="preserve">por un tiempo inferior a tres (3) meses durante el respectivo cuatrienio, en forma continua o discontinua, conforme al artículo 197 de la Constitución Política.  </w:t>
      </w:r>
    </w:p>
    <w:p w14:paraId="2E3FD7A9" w14:textId="77777777" w:rsidR="00256BB2" w:rsidRPr="00D8028D" w:rsidRDefault="00256BB2" w:rsidP="00256BB2">
      <w:pPr>
        <w:spacing w:after="0" w:line="276" w:lineRule="auto"/>
        <w:jc w:val="both"/>
        <w:rPr>
          <w:rFonts w:ascii="Verdana" w:eastAsia="Calibri" w:hAnsi="Verdana" w:cs="Arial"/>
          <w:lang w:val="es-ES"/>
        </w:rPr>
      </w:pPr>
    </w:p>
    <w:p w14:paraId="6241399F" w14:textId="77777777" w:rsidR="00256BB2" w:rsidRPr="00D8028D" w:rsidRDefault="00256BB2" w:rsidP="00256BB2">
      <w:pPr>
        <w:spacing w:after="0" w:line="276" w:lineRule="auto"/>
        <w:jc w:val="both"/>
        <w:rPr>
          <w:rFonts w:ascii="Verdana" w:eastAsia="Calibri" w:hAnsi="Verdana" w:cs="Arial"/>
          <w:lang w:val="es-ES_tradnl" w:eastAsia="es-CO"/>
        </w:rPr>
      </w:pPr>
      <w:r w:rsidRPr="00D8028D">
        <w:rPr>
          <w:rFonts w:ascii="Verdana" w:eastAsia="Calibri" w:hAnsi="Verdana" w:cs="Arial"/>
          <w:bCs/>
          <w:lang w:val="es-ES" w:eastAsia="es-CO"/>
        </w:rPr>
        <w:t xml:space="preserve">ii. </w:t>
      </w: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queda prohibida la contratación 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7B4C70AF" w14:textId="77777777" w:rsidR="00256BB2" w:rsidRPr="00D8028D" w:rsidRDefault="00256BB2" w:rsidP="00256BB2">
      <w:pPr>
        <w:spacing w:after="0" w:line="276" w:lineRule="auto"/>
        <w:jc w:val="both"/>
        <w:rPr>
          <w:rFonts w:ascii="Verdana" w:eastAsia="Calibri" w:hAnsi="Verdana" w:cs="Arial"/>
          <w:bCs/>
          <w:lang w:val="es-ES_tradnl" w:eastAsia="es-CO"/>
        </w:rPr>
      </w:pPr>
    </w:p>
    <w:p w14:paraId="3E8BE74E" w14:textId="77777777" w:rsidR="00256BB2" w:rsidRPr="00D8028D" w:rsidRDefault="00256BB2" w:rsidP="00256BB2">
      <w:pPr>
        <w:spacing w:after="0" w:line="240" w:lineRule="auto"/>
        <w:ind w:left="709" w:right="709"/>
        <w:jc w:val="both"/>
        <w:rPr>
          <w:rFonts w:ascii="Verdana" w:eastAsia="Calibri" w:hAnsi="Verdana" w:cs="Arial"/>
          <w:sz w:val="20"/>
          <w:szCs w:val="20"/>
          <w:lang w:val="es-ES_tradnl" w:eastAsia="es-ES_tradnl"/>
        </w:rPr>
      </w:pPr>
      <w:r w:rsidRPr="00D8028D">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D8028D">
        <w:rPr>
          <w:rFonts w:ascii="Verdana" w:eastAsia="Calibri" w:hAnsi="Verdana" w:cs="Arial"/>
          <w:sz w:val="20"/>
          <w:szCs w:val="20"/>
          <w:vertAlign w:val="superscript"/>
          <w:lang w:val="es-ES_tradnl" w:eastAsia="es-CO"/>
        </w:rPr>
        <w:footnoteReference w:id="10"/>
      </w:r>
      <w:r w:rsidRPr="00D8028D">
        <w:rPr>
          <w:rFonts w:ascii="Verdana" w:eastAsia="Calibri" w:hAnsi="Verdana" w:cs="Arial"/>
          <w:sz w:val="20"/>
          <w:szCs w:val="20"/>
          <w:lang w:val="es-ES_tradnl" w:eastAsia="es-ES_tradnl"/>
        </w:rPr>
        <w:t>.</w:t>
      </w:r>
    </w:p>
    <w:p w14:paraId="18356D63" w14:textId="77777777" w:rsidR="00256BB2" w:rsidRPr="00D8028D" w:rsidRDefault="00256BB2" w:rsidP="00256BB2">
      <w:pPr>
        <w:spacing w:after="0" w:line="240" w:lineRule="auto"/>
        <w:ind w:left="709" w:right="709"/>
        <w:jc w:val="both"/>
        <w:rPr>
          <w:rFonts w:ascii="Verdana" w:eastAsia="Calibri" w:hAnsi="Verdana" w:cs="Arial"/>
          <w:sz w:val="20"/>
          <w:szCs w:val="20"/>
          <w:lang w:val="es-ES_tradnl" w:eastAsia="es-ES_tradnl"/>
        </w:rPr>
      </w:pPr>
    </w:p>
    <w:p w14:paraId="54B21E78" w14:textId="3FE0BB61" w:rsidR="00256BB2" w:rsidRPr="00D8028D" w:rsidRDefault="00256BB2" w:rsidP="00256BB2">
      <w:pPr>
        <w:spacing w:after="0" w:line="240" w:lineRule="auto"/>
        <w:ind w:left="709" w:right="709"/>
        <w:jc w:val="both"/>
        <w:rPr>
          <w:rFonts w:ascii="Verdana" w:eastAsia="Calibri" w:hAnsi="Verdana" w:cs="Arial"/>
          <w:sz w:val="20"/>
          <w:szCs w:val="20"/>
          <w:lang w:val="es-ES" w:eastAsia="es-ES"/>
        </w:rPr>
      </w:pPr>
      <w:r w:rsidRPr="00D8028D">
        <w:rPr>
          <w:rFonts w:ascii="Verdana" w:eastAsia="Calibri" w:hAnsi="Verdana" w:cs="Arial"/>
          <w:sz w:val="20"/>
          <w:szCs w:val="20"/>
          <w:lang w:val="es-ES" w:eastAsia="es-ES"/>
        </w:rPr>
        <w:t xml:space="preserve">Esta Sala ha entendido </w:t>
      </w:r>
      <w:r w:rsidR="00E71853" w:rsidRPr="00D8028D">
        <w:rPr>
          <w:rFonts w:ascii="Verdana" w:eastAsia="Calibri" w:hAnsi="Verdana" w:cs="Arial"/>
          <w:sz w:val="20"/>
          <w:szCs w:val="20"/>
          <w:lang w:val="es-ES" w:eastAsia="es-ES"/>
        </w:rPr>
        <w:t>que,</w:t>
      </w:r>
      <w:r w:rsidRPr="00D8028D">
        <w:rPr>
          <w:rFonts w:ascii="Verdana" w:eastAsia="Calibri" w:hAnsi="Verdana" w:cs="Arial"/>
          <w:sz w:val="20"/>
          <w:szCs w:val="20"/>
          <w:lang w:val="es-ES" w:eastAsia="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8028D">
        <w:rPr>
          <w:rFonts w:ascii="Verdana" w:eastAsia="Calibri" w:hAnsi="Verdana" w:cs="Arial"/>
          <w:sz w:val="20"/>
          <w:szCs w:val="20"/>
          <w:vertAlign w:val="superscript"/>
          <w:lang w:val="es-ES" w:eastAsia="es-ES"/>
        </w:rPr>
        <w:footnoteReference w:id="11"/>
      </w:r>
      <w:r w:rsidRPr="00D8028D">
        <w:rPr>
          <w:rFonts w:ascii="Verdana" w:eastAsia="Calibri" w:hAnsi="Verdana" w:cs="Arial"/>
          <w:sz w:val="20"/>
          <w:szCs w:val="20"/>
          <w:vertAlign w:val="superscript"/>
          <w:lang w:val="es-ES" w:eastAsia="es-ES"/>
        </w:rPr>
        <w:t>.</w:t>
      </w:r>
      <w:r w:rsidRPr="00D8028D">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8028D">
        <w:rPr>
          <w:rFonts w:ascii="Verdana" w:eastAsia="Calibri" w:hAnsi="Verdana" w:cs="Arial"/>
          <w:sz w:val="20"/>
          <w:szCs w:val="20"/>
          <w:vertAlign w:val="superscript"/>
          <w:lang w:val="es-ES" w:eastAsia="es-CO"/>
        </w:rPr>
        <w:footnoteReference w:id="12"/>
      </w:r>
      <w:r w:rsidRPr="00D8028D">
        <w:rPr>
          <w:rFonts w:ascii="Verdana" w:eastAsia="Calibri" w:hAnsi="Verdana" w:cs="Arial"/>
          <w:sz w:val="20"/>
          <w:szCs w:val="20"/>
          <w:lang w:val="es-ES" w:eastAsia="es-ES"/>
        </w:rPr>
        <w:t xml:space="preserve"> .</w:t>
      </w:r>
    </w:p>
    <w:p w14:paraId="5047C194" w14:textId="77777777" w:rsidR="00256BB2" w:rsidRPr="00D8028D" w:rsidRDefault="00256BB2" w:rsidP="00256BB2">
      <w:pPr>
        <w:spacing w:after="0" w:line="240" w:lineRule="auto"/>
        <w:ind w:left="709" w:right="709"/>
        <w:jc w:val="both"/>
        <w:rPr>
          <w:rFonts w:ascii="Verdana" w:eastAsia="Calibri" w:hAnsi="Verdana" w:cs="Arial"/>
          <w:sz w:val="20"/>
          <w:szCs w:val="20"/>
          <w:lang w:val="es-ES" w:eastAsia="es-ES"/>
        </w:rPr>
      </w:pPr>
    </w:p>
    <w:p w14:paraId="6BDA1864" w14:textId="77777777" w:rsidR="00256BB2" w:rsidRPr="00D8028D" w:rsidRDefault="00256BB2" w:rsidP="00256BB2">
      <w:pPr>
        <w:spacing w:after="120" w:line="276" w:lineRule="auto"/>
        <w:ind w:firstLine="708"/>
        <w:jc w:val="both"/>
        <w:rPr>
          <w:rFonts w:ascii="Verdana" w:eastAsia="Times New Roman" w:hAnsi="Verdana" w:cs="Arial"/>
          <w:bCs/>
          <w:lang w:val="es-ES_tradnl" w:eastAsia="x-none"/>
        </w:rPr>
      </w:pPr>
      <w:r w:rsidRPr="00D8028D">
        <w:rPr>
          <w:rFonts w:ascii="Verdana" w:eastAsia="Calibri" w:hAnsi="Verdana" w:cs="Arial"/>
          <w:lang w:val="es-ES_tradnl" w:eastAsia="x-none"/>
        </w:rPr>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w:t>
      </w:r>
      <w:r w:rsidRPr="00D8028D">
        <w:rPr>
          <w:rFonts w:ascii="Verdana" w:eastAsia="Calibri" w:hAnsi="Verdana" w:cs="Arial"/>
          <w:lang w:val="es-ES_tradnl" w:eastAsia="x-none"/>
        </w:rPr>
        <w:lastRenderedPageBreak/>
        <w:t xml:space="preserve">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28E69510" w14:textId="77777777" w:rsidR="00256BB2" w:rsidRPr="00D8028D" w:rsidRDefault="00256BB2" w:rsidP="00256BB2">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lang w:val="es-ES_tradnl" w:eastAsia="x-none"/>
        </w:rPr>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p>
    <w:p w14:paraId="30F14D79" w14:textId="77777777" w:rsidR="00256BB2" w:rsidRPr="00D8028D" w:rsidRDefault="00256BB2" w:rsidP="00256BB2">
      <w:pPr>
        <w:spacing w:after="120" w:line="276" w:lineRule="auto"/>
        <w:ind w:firstLine="708"/>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3435D973" w14:textId="77777777" w:rsidR="00256BB2" w:rsidRPr="00D8028D" w:rsidRDefault="00256BB2" w:rsidP="00256BB2">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eastAsia="es-CO"/>
        </w:rPr>
        <w:lastRenderedPageBreak/>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0E3D6FD" w14:textId="77777777" w:rsidR="00256BB2" w:rsidRPr="00D8028D" w:rsidRDefault="00256BB2" w:rsidP="00256BB2">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0FBB62F5" w14:textId="77777777" w:rsidR="00256BB2" w:rsidRPr="00D8028D" w:rsidRDefault="00256BB2" w:rsidP="00256BB2">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2D00994" w14:textId="77777777" w:rsidR="00256BB2" w:rsidRPr="00D8028D" w:rsidRDefault="00256BB2" w:rsidP="00256BB2">
      <w:pPr>
        <w:spacing w:after="120" w:line="276" w:lineRule="auto"/>
        <w:ind w:firstLine="708"/>
        <w:jc w:val="both"/>
        <w:rPr>
          <w:rFonts w:ascii="Verdana" w:eastAsia="Calibri" w:hAnsi="Verdana" w:cs="Arial"/>
          <w:lang w:val="es-ES"/>
        </w:rPr>
      </w:pPr>
      <w:r w:rsidRPr="00D8028D">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estos, pueden tener lugar en el período de aplicación de la Ley de Garantías, sin que ello haga nugatoria la restricción de la contratación directa y siempre que cumplan los principios de planeación, transparencia y responsabilidad.</w:t>
      </w:r>
    </w:p>
    <w:p w14:paraId="220C2B90" w14:textId="77777777" w:rsidR="00256BB2" w:rsidRPr="00D8028D" w:rsidRDefault="00256BB2" w:rsidP="00256BB2">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w:t>
      </w:r>
      <w:r w:rsidRPr="00D8028D">
        <w:rPr>
          <w:rFonts w:ascii="Verdana" w:eastAsia="Calibri" w:hAnsi="Verdana" w:cs="Arial"/>
          <w:lang w:val="es-ES"/>
        </w:rPr>
        <w:lastRenderedPageBreak/>
        <w:t>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7F00103" w14:textId="77777777" w:rsidR="00256BB2" w:rsidRPr="00D8028D" w:rsidRDefault="00256BB2" w:rsidP="00256BB2">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D63B7CA" w14:textId="77777777" w:rsidR="00256BB2" w:rsidRPr="00D8028D" w:rsidRDefault="00256BB2" w:rsidP="00256BB2">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En efecto, tal como lo ha sostenido el Consejo de Estado, el vocablo “todos”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w:t>
      </w:r>
      <w:r w:rsidRPr="00D8028D">
        <w:rPr>
          <w:rFonts w:ascii="Verdana" w:eastAsia="Times New Roman" w:hAnsi="Verdana" w:cs="Arial"/>
          <w:bCs/>
          <w:lang w:val="es-MX" w:eastAsia="x-none"/>
        </w:rPr>
        <w:lastRenderedPageBreak/>
        <w:t>Administración Pública. Sobre el particular, el Consejo de Estado, en Concepto con radicado 1727 de fecha 20 de febrero de 2006, consideró que</w:t>
      </w:r>
      <w:bookmarkStart w:id="6"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558EA935" w14:textId="77777777" w:rsidR="00256BB2" w:rsidRDefault="00256BB2" w:rsidP="00256BB2">
      <w:pPr>
        <w:spacing w:after="0" w:line="276" w:lineRule="auto"/>
        <w:ind w:firstLine="708"/>
        <w:jc w:val="both"/>
        <w:rPr>
          <w:rFonts w:ascii="Verdana" w:eastAsia="Times New Roman" w:hAnsi="Verdana" w:cs="Arial"/>
          <w:bCs/>
          <w:lang w:val="es-MX" w:eastAsia="x-none"/>
        </w:rPr>
      </w:pPr>
      <w:bookmarkStart w:id="7" w:name="_Hlk77237229"/>
      <w:bookmarkEnd w:id="6"/>
      <w:r w:rsidRPr="00D8028D">
        <w:rPr>
          <w:rFonts w:ascii="Verdana" w:eastAsia="Calibri" w:hAnsi="Verdana" w:cs="Arial"/>
          <w:lang w:val="es-MX"/>
        </w:rPr>
        <w:t>Por lo tanto, la restricción prevista en la Ley 996 de 200</w:t>
      </w:r>
      <w:bookmarkStart w:id="8"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7"/>
      <w:bookmarkEnd w:id="8"/>
      <w:r>
        <w:rPr>
          <w:rFonts w:ascii="Verdana" w:eastAsia="Times New Roman" w:hAnsi="Verdana" w:cs="Arial"/>
          <w:bCs/>
          <w:lang w:val="es-MX" w:eastAsia="x-none"/>
        </w:rPr>
        <w:t>.</w:t>
      </w:r>
    </w:p>
    <w:p w14:paraId="5CFE3483" w14:textId="77777777" w:rsidR="00256BB2" w:rsidRPr="0076277C" w:rsidRDefault="00256BB2" w:rsidP="00256BB2">
      <w:pPr>
        <w:spacing w:after="0" w:line="276" w:lineRule="auto"/>
        <w:jc w:val="both"/>
        <w:rPr>
          <w:rFonts w:ascii="Verdana" w:eastAsia="Times New Roman" w:hAnsi="Verdana" w:cs="Arial"/>
          <w:bCs/>
          <w:lang w:val="es-ES" w:eastAsia="x-none"/>
        </w:rPr>
      </w:pPr>
    </w:p>
    <w:p w14:paraId="1F3172C3" w14:textId="77777777" w:rsidR="00256BB2" w:rsidRPr="00343E12" w:rsidRDefault="00256BB2" w:rsidP="00256BB2">
      <w:pPr>
        <w:spacing w:after="0" w:line="276" w:lineRule="auto"/>
        <w:jc w:val="both"/>
        <w:rPr>
          <w:rFonts w:ascii="Verdana" w:eastAsia="Times New Roman" w:hAnsi="Verdana" w:cs="Arial"/>
          <w:lang w:eastAsia="es-CO"/>
        </w:rPr>
      </w:pPr>
      <w:r>
        <w:rPr>
          <w:rFonts w:ascii="Verdana" w:eastAsia="Times New Roman" w:hAnsi="Verdana" w:cs="Arial"/>
          <w:bCs/>
          <w:lang w:val="es-MX" w:eastAsia="x-none"/>
        </w:rPr>
        <w:t xml:space="preserve">iii. De otra parte, es importante precisar que, </w:t>
      </w:r>
      <w:r>
        <w:rPr>
          <w:rFonts w:ascii="Verdana" w:eastAsia="Times New Roman" w:hAnsi="Verdana" w:cs="Arial"/>
          <w:lang w:val="es-MX" w:eastAsia="es-CO"/>
        </w:rPr>
        <w:t>l</w:t>
      </w:r>
      <w:r w:rsidRPr="00725218">
        <w:rPr>
          <w:rFonts w:ascii="Verdana" w:eastAsia="Times New Roman" w:hAnsi="Verdana" w:cs="Arial"/>
          <w:lang w:val="es-MX" w:eastAsia="es-CO"/>
        </w:rPr>
        <w:t>a prohibición</w:t>
      </w:r>
      <w:r>
        <w:rPr>
          <w:rFonts w:ascii="Verdana" w:eastAsia="Times New Roman" w:hAnsi="Verdana" w:cs="Arial"/>
          <w:lang w:val="es-MX" w:eastAsia="es-CO"/>
        </w:rPr>
        <w:t xml:space="preserve"> establecida en el parágrafo del artículo 38 de la Ley 996 de 2005,</w:t>
      </w:r>
      <w:r w:rsidRPr="00725218">
        <w:rPr>
          <w:rFonts w:ascii="Verdana" w:eastAsia="Times New Roman" w:hAnsi="Verdana" w:cs="Arial"/>
          <w:lang w:val="es-MX" w:eastAsia="es-CO"/>
        </w:rPr>
        <w:t xml:space="preserve"> la Circular Externa No. 006 de 2025 expedida por la ANCP -CCE, en los literales ii) y iv) del numeral 2</w:t>
      </w:r>
      <w:r w:rsidRPr="00725218">
        <w:rPr>
          <w:rFonts w:ascii="Verdana" w:eastAsia="Times New Roman" w:hAnsi="Verdana" w:cs="Arial"/>
          <w:lang w:eastAsia="es-CO"/>
        </w:rPr>
        <w:t>,</w:t>
      </w:r>
      <w:r w:rsidRPr="00725218">
        <w:rPr>
          <w:rFonts w:ascii="Verdana" w:eastAsia="Times New Roman" w:hAnsi="Verdana" w:cs="Arial"/>
          <w:lang w:val="es-MX" w:eastAsia="es-CO"/>
        </w:rPr>
        <w:t xml:space="preserve"> indica que </w:t>
      </w:r>
      <w:r>
        <w:rPr>
          <w:rFonts w:ascii="Verdana" w:eastAsia="Times New Roman" w:hAnsi="Verdana" w:cs="Arial"/>
          <w:lang w:val="es-MX" w:eastAsia="es-CO"/>
        </w:rPr>
        <w:t>esta disposición</w:t>
      </w:r>
      <w:r w:rsidRPr="00343E12">
        <w:rPr>
          <w:rFonts w:ascii="Verdana" w:eastAsia="Times New Roman" w:hAnsi="Verdana" w:cs="Arial"/>
          <w:lang w:eastAsia="es-CO"/>
        </w:rPr>
        <w:t xml:space="preserve">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470C6F44" w14:textId="77777777" w:rsidR="00256BB2" w:rsidRPr="00343E12" w:rsidRDefault="00256BB2" w:rsidP="00256BB2">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lastRenderedPageBreak/>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43156808" w14:textId="77777777" w:rsidR="00256BB2" w:rsidRPr="00FD6CE7" w:rsidRDefault="00256BB2" w:rsidP="00256BB2">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2744DD10" w14:textId="77777777" w:rsidR="00256BB2" w:rsidRPr="00343E12" w:rsidRDefault="00256BB2" w:rsidP="00256BB2">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17E186B5" w14:textId="77777777" w:rsidR="00256BB2" w:rsidRPr="00343E12" w:rsidRDefault="00256BB2" w:rsidP="00256BB2">
      <w:pPr>
        <w:spacing w:after="0" w:line="276" w:lineRule="auto"/>
        <w:ind w:firstLine="709"/>
        <w:jc w:val="both"/>
        <w:rPr>
          <w:rFonts w:ascii="Verdana" w:eastAsia="Aptos" w:hAnsi="Verdana" w:cs="Arial"/>
        </w:rPr>
      </w:pPr>
    </w:p>
    <w:p w14:paraId="41F983B4" w14:textId="77777777" w:rsidR="00256BB2" w:rsidRPr="00343E12" w:rsidRDefault="00256BB2" w:rsidP="00256BB2">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343E12">
        <w:rPr>
          <w:rFonts w:ascii="Verdana" w:eastAsia="Aptos" w:hAnsi="Verdana" w:cs="Arial"/>
          <w:sz w:val="20"/>
          <w:szCs w:val="20"/>
        </w:rPr>
        <w:lastRenderedPageBreak/>
        <w:t xml:space="preserve">la modalidad de selección para la contratación entre entidades públicas a través de estas dos figuras jurídicas” y, </w:t>
      </w:r>
    </w:p>
    <w:p w14:paraId="1C3E61D7" w14:textId="77777777" w:rsidR="00256BB2" w:rsidRPr="00343E12" w:rsidRDefault="00256BB2" w:rsidP="00256BB2">
      <w:pPr>
        <w:spacing w:after="0" w:line="240" w:lineRule="auto"/>
        <w:ind w:left="709" w:right="709"/>
        <w:jc w:val="both"/>
        <w:rPr>
          <w:rFonts w:ascii="Verdana" w:eastAsia="Aptos" w:hAnsi="Verdana" w:cs="Arial"/>
          <w:sz w:val="20"/>
          <w:szCs w:val="20"/>
        </w:rPr>
      </w:pPr>
    </w:p>
    <w:p w14:paraId="203C3998" w14:textId="77777777" w:rsidR="00256BB2" w:rsidRPr="00343E12" w:rsidRDefault="00256BB2" w:rsidP="00256BB2">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17A3072" w14:textId="77777777" w:rsidR="00256BB2" w:rsidRPr="00343E12" w:rsidRDefault="00256BB2" w:rsidP="00256BB2">
      <w:pPr>
        <w:spacing w:after="0" w:line="276" w:lineRule="auto"/>
        <w:ind w:left="709" w:right="709"/>
        <w:jc w:val="both"/>
        <w:rPr>
          <w:rFonts w:ascii="Verdana" w:eastAsia="Aptos" w:hAnsi="Verdana" w:cs="Arial"/>
        </w:rPr>
      </w:pPr>
    </w:p>
    <w:p w14:paraId="07A1500C" w14:textId="77777777" w:rsidR="00256BB2" w:rsidRPr="00343E12" w:rsidRDefault="00256BB2" w:rsidP="00256BB2">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2888C8A" w14:textId="77777777" w:rsidR="00256BB2" w:rsidRPr="00343E12" w:rsidRDefault="00256BB2" w:rsidP="00256BB2">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5B845C1A" w14:textId="77777777" w:rsidR="00256BB2" w:rsidRPr="00343E12" w:rsidRDefault="00256BB2" w:rsidP="00256BB2">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lastRenderedPageBreak/>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FCE46B4" w14:textId="77777777" w:rsidR="00256BB2" w:rsidRPr="00343E12" w:rsidRDefault="00256BB2" w:rsidP="00256BB2">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77B71DC" w14:textId="77777777" w:rsidR="00256BB2" w:rsidRDefault="00256BB2" w:rsidP="00256BB2">
      <w:pPr>
        <w:spacing w:after="120" w:line="276" w:lineRule="auto"/>
        <w:ind w:firstLine="709"/>
        <w:jc w:val="both"/>
        <w:rPr>
          <w:rFonts w:ascii="Verdana" w:eastAsia="Times New Roman" w:hAnsi="Verdana" w:cs="Arial"/>
          <w:lang w:eastAsia="es-CO"/>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Pr>
          <w:rFonts w:ascii="Verdana" w:eastAsia="Times New Roman" w:hAnsi="Verdana" w:cs="Arial"/>
          <w:lang w:eastAsia="es-CO"/>
        </w:rPr>
        <w:t xml:space="preserve"> </w:t>
      </w: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xml:space="preserve">, esta prohibición </w:t>
      </w:r>
      <w:r w:rsidRPr="00343E12">
        <w:rPr>
          <w:rFonts w:ascii="Verdana" w:eastAsia="Times New Roman" w:hAnsi="Verdana" w:cs="Arial"/>
          <w:lang w:eastAsia="es-CO"/>
        </w:rPr>
        <w:lastRenderedPageBreak/>
        <w:t>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r>
        <w:rPr>
          <w:rFonts w:ascii="Verdana" w:eastAsia="Times New Roman" w:hAnsi="Verdana" w:cs="Arial"/>
          <w:lang w:eastAsia="es-CO"/>
        </w:rPr>
        <w:t xml:space="preserve">. </w:t>
      </w:r>
    </w:p>
    <w:p w14:paraId="45CBD22C" w14:textId="77777777" w:rsidR="00256BB2" w:rsidRPr="00911A72" w:rsidRDefault="00256BB2" w:rsidP="00256BB2">
      <w:pPr>
        <w:spacing w:line="276" w:lineRule="auto"/>
        <w:jc w:val="both"/>
        <w:rPr>
          <w:rFonts w:ascii="Verdana" w:hAnsi="Verdana" w:cs="Arial"/>
          <w:bCs/>
          <w:lang w:val="es-MX" w:eastAsia="x-none"/>
        </w:rPr>
      </w:pPr>
      <w:r w:rsidRPr="00911A72">
        <w:rPr>
          <w:rFonts w:ascii="Verdana" w:eastAsia="Times New Roman" w:hAnsi="Verdana" w:cs="Arial"/>
          <w:lang w:eastAsia="es-CO"/>
        </w:rPr>
        <w:t xml:space="preserve">iv. </w:t>
      </w:r>
      <w:r w:rsidRPr="00911A72">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911A72">
        <w:rPr>
          <w:rStyle w:val="Refdenotaalpie"/>
          <w:rFonts w:ascii="Verdana" w:hAnsi="Verdana" w:cs="Arial"/>
          <w:lang w:val="es-ES_tradnl" w:eastAsia="es-CO"/>
        </w:rPr>
        <w:footnoteReference w:id="22"/>
      </w:r>
      <w:r w:rsidRPr="00911A72">
        <w:rPr>
          <w:rFonts w:ascii="Verdana" w:hAnsi="Verdana" w:cs="Arial"/>
          <w:bCs/>
          <w:lang w:val="es-MX" w:eastAsia="x-none"/>
        </w:rPr>
        <w:t>.</w:t>
      </w:r>
    </w:p>
    <w:p w14:paraId="374AC63D" w14:textId="77777777" w:rsidR="00256BB2" w:rsidRPr="00911A72" w:rsidRDefault="00256BB2" w:rsidP="00256BB2">
      <w:pPr>
        <w:shd w:val="clear" w:color="auto" w:fill="FFFFFF" w:themeFill="background1"/>
        <w:spacing w:line="276" w:lineRule="auto"/>
        <w:ind w:firstLine="709"/>
        <w:jc w:val="both"/>
        <w:rPr>
          <w:rFonts w:ascii="Verdana" w:hAnsi="Verdana" w:cs="Arial"/>
          <w:lang w:val="es-ES" w:eastAsia="es-CO"/>
        </w:rPr>
      </w:pPr>
      <w:r w:rsidRPr="00911A72">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911A72">
        <w:rPr>
          <w:rStyle w:val="Refdenotaalpie"/>
          <w:rFonts w:ascii="Verdana" w:hAnsi="Verdana" w:cs="Arial"/>
          <w:lang w:val="es-ES_tradnl" w:eastAsia="es-CO"/>
        </w:rPr>
        <w:footnoteReference w:id="23"/>
      </w:r>
      <w:r w:rsidRPr="00911A72">
        <w:rPr>
          <w:rFonts w:ascii="Verdana" w:hAnsi="Verdana" w:cs="Arial"/>
          <w:lang w:val="es-ES" w:eastAsia="es-CO"/>
        </w:rPr>
        <w:t xml:space="preserve">. </w:t>
      </w:r>
    </w:p>
    <w:p w14:paraId="4AA3ED59" w14:textId="77777777" w:rsidR="00256BB2" w:rsidRPr="00911A72" w:rsidRDefault="00256BB2" w:rsidP="00256BB2">
      <w:pPr>
        <w:shd w:val="clear" w:color="auto" w:fill="FFFFFF"/>
        <w:spacing w:line="276" w:lineRule="auto"/>
        <w:ind w:firstLine="709"/>
        <w:jc w:val="both"/>
        <w:rPr>
          <w:rFonts w:ascii="Verdana" w:hAnsi="Verdana" w:cs="Arial"/>
          <w:lang w:val="es-ES_tradnl" w:eastAsia="es-CO"/>
        </w:rPr>
      </w:pPr>
      <w:r w:rsidRPr="00911A72">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911A72">
        <w:rPr>
          <w:rFonts w:ascii="Verdana" w:hAnsi="Verdana" w:cs="Arial"/>
          <w:bCs/>
          <w:lang w:val="es-ES_tradnl"/>
        </w:rPr>
        <w:lastRenderedPageBreak/>
        <w:t>expresamente en la norma permiten que ciertas entidades estatales se vean exceptuadas de la prohibición.</w:t>
      </w:r>
    </w:p>
    <w:p w14:paraId="0DD54B59" w14:textId="77777777" w:rsidR="00256BB2" w:rsidRPr="00911A72" w:rsidRDefault="00256BB2" w:rsidP="00256BB2">
      <w:pPr>
        <w:spacing w:line="276" w:lineRule="auto"/>
        <w:ind w:firstLine="708"/>
        <w:jc w:val="both"/>
        <w:rPr>
          <w:rFonts w:ascii="Verdana" w:eastAsia="Calibri" w:hAnsi="Verdana" w:cs="Arial"/>
        </w:rPr>
      </w:pPr>
      <w:r w:rsidRPr="00911A72">
        <w:rPr>
          <w:rFonts w:ascii="Verdana" w:hAnsi="Verdana" w:cs="Arial"/>
          <w:bCs/>
          <w:lang w:val="es-MX" w:eastAsia="x-none"/>
        </w:rPr>
        <w:t>Entre las excepciones del artículo en comento se encuentran “[…] l</w:t>
      </w:r>
      <w:r w:rsidRPr="00911A72">
        <w:rPr>
          <w:rFonts w:ascii="Verdana" w:hAnsi="Verdana" w:cs="Arial"/>
          <w:bCs/>
          <w:lang w:eastAsia="x-none"/>
        </w:rPr>
        <w:t>os requeridos para cubrir las emergencias educativas, sanitarias y desastres […]</w:t>
      </w:r>
      <w:r w:rsidRPr="00911A72">
        <w:rPr>
          <w:rFonts w:ascii="Verdana" w:hAnsi="Verdana" w:cs="Arial"/>
          <w:bCs/>
          <w:lang w:val="es-MX" w:eastAsia="x-none"/>
        </w:rPr>
        <w:t>”</w:t>
      </w:r>
      <w:r w:rsidRPr="00911A72">
        <w:rPr>
          <w:rFonts w:ascii="Verdana" w:eastAsia="Calibri" w:hAnsi="Verdana" w:cs="Arial"/>
        </w:rPr>
        <w:t xml:space="preserve">. Sobre el alcance de estas excepciones, es necesario tener en cuenta que el </w:t>
      </w:r>
      <w:r w:rsidRPr="00911A72">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911A72">
        <w:rPr>
          <w:rFonts w:ascii="Verdana" w:eastAsia="Calibri" w:hAnsi="Verdana" w:cs="Arial"/>
          <w:bCs/>
          <w:i/>
          <w:iCs/>
          <w:color w:val="000000" w:themeColor="text1"/>
        </w:rPr>
        <w:t>ibidem</w:t>
      </w:r>
      <w:r w:rsidRPr="00911A72">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911A72">
        <w:rPr>
          <w:rStyle w:val="Refdenotaalpie"/>
          <w:rFonts w:ascii="Verdana" w:eastAsia="Calibri" w:hAnsi="Verdana" w:cs="Arial"/>
          <w:bCs/>
          <w:color w:val="000000" w:themeColor="text1"/>
        </w:rPr>
        <w:footnoteReference w:id="24"/>
      </w:r>
      <w:r w:rsidRPr="00911A72">
        <w:rPr>
          <w:rFonts w:ascii="Verdana" w:eastAsia="Calibri" w:hAnsi="Verdana" w:cs="Arial"/>
          <w:bCs/>
          <w:color w:val="000000" w:themeColor="text1"/>
        </w:rPr>
        <w:t>.</w:t>
      </w:r>
    </w:p>
    <w:p w14:paraId="4AB84AE8" w14:textId="77777777" w:rsidR="00256BB2" w:rsidRPr="00911A72" w:rsidRDefault="00256BB2" w:rsidP="00256BB2">
      <w:pPr>
        <w:spacing w:line="276" w:lineRule="auto"/>
        <w:jc w:val="both"/>
        <w:rPr>
          <w:rFonts w:ascii="Verdana" w:eastAsia="Calibri" w:hAnsi="Verdana" w:cs="Arial"/>
          <w:bCs/>
          <w:color w:val="000000" w:themeColor="text1"/>
        </w:rPr>
      </w:pPr>
      <w:r w:rsidRPr="00911A72">
        <w:rPr>
          <w:rFonts w:ascii="Verdana" w:eastAsia="Calibri" w:hAnsi="Verdana" w:cs="Arial"/>
          <w:bCs/>
          <w:color w:val="000000" w:themeColor="text1"/>
        </w:rPr>
        <w:tab/>
        <w:t xml:space="preserve">Dentro de este marco, </w:t>
      </w:r>
      <w:r w:rsidRPr="00911A72">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En la medida en que la norma utiliza la conjunción “o”, en principio asimilaría la </w:t>
      </w:r>
      <w:r w:rsidRPr="00911A72">
        <w:rPr>
          <w:rFonts w:ascii="Verdana" w:eastAsia="Calibri" w:hAnsi="Verdana" w:cs="Arial"/>
          <w:i/>
          <w:lang w:val="es-ES"/>
        </w:rPr>
        <w:t>calamidad</w:t>
      </w:r>
      <w:r w:rsidRPr="00911A72">
        <w:rPr>
          <w:rFonts w:ascii="Verdana" w:eastAsia="Calibri" w:hAnsi="Verdana" w:cs="Arial"/>
          <w:lang w:val="es-ES"/>
        </w:rPr>
        <w:t xml:space="preserve"> y el </w:t>
      </w:r>
      <w:r w:rsidRPr="00911A72">
        <w:rPr>
          <w:rFonts w:ascii="Verdana" w:eastAsia="Calibri" w:hAnsi="Verdana" w:cs="Arial"/>
          <w:i/>
          <w:lang w:val="es-ES"/>
        </w:rPr>
        <w:t xml:space="preserve">desastre </w:t>
      </w:r>
      <w:r w:rsidRPr="00911A72">
        <w:rPr>
          <w:rFonts w:ascii="Verdana" w:eastAsia="Calibri" w:hAnsi="Verdana" w:cs="Arial"/>
          <w:lang w:val="es-ES"/>
        </w:rPr>
        <w:t xml:space="preserve">con la </w:t>
      </w:r>
      <w:r w:rsidRPr="00911A72">
        <w:rPr>
          <w:rFonts w:ascii="Verdana" w:eastAsia="Calibri" w:hAnsi="Verdana" w:cs="Arial"/>
          <w:i/>
          <w:lang w:val="es-ES"/>
        </w:rPr>
        <w:t>fuerza mayor</w:t>
      </w:r>
      <w:r w:rsidRPr="00911A72">
        <w:rPr>
          <w:rFonts w:ascii="Verdana" w:eastAsia="Calibri" w:hAnsi="Verdana" w:cs="Arial"/>
          <w:lang w:val="es-ES"/>
        </w:rPr>
        <w:t xml:space="preserve"> o el </w:t>
      </w:r>
      <w:r w:rsidRPr="00911A72">
        <w:rPr>
          <w:rFonts w:ascii="Verdana" w:eastAsia="Calibri" w:hAnsi="Verdana" w:cs="Arial"/>
          <w:i/>
          <w:lang w:val="es-ES"/>
        </w:rPr>
        <w:t>caso fortuito</w:t>
      </w:r>
      <w:r w:rsidRPr="00911A72">
        <w:rPr>
          <w:rFonts w:ascii="Verdana" w:eastAsia="Calibri" w:hAnsi="Verdana" w:cs="Arial"/>
          <w:lang w:val="es-ES"/>
        </w:rPr>
        <w:t xml:space="preserve">. </w:t>
      </w:r>
    </w:p>
    <w:p w14:paraId="1B1E7B41" w14:textId="77777777" w:rsidR="00256BB2" w:rsidRPr="00911A72" w:rsidRDefault="00256BB2" w:rsidP="00256BB2">
      <w:pPr>
        <w:spacing w:after="0" w:line="276" w:lineRule="auto"/>
        <w:ind w:firstLine="708"/>
        <w:jc w:val="both"/>
        <w:rPr>
          <w:rFonts w:ascii="Verdana" w:eastAsia="Calibri" w:hAnsi="Verdana" w:cs="Arial"/>
          <w:lang w:val="es-ES_tradnl"/>
        </w:rPr>
      </w:pPr>
      <w:r w:rsidRPr="00911A72">
        <w:rPr>
          <w:rFonts w:ascii="Verdana" w:eastAsia="Calibri" w:hAnsi="Verdana" w:cs="Arial"/>
          <w:lang w:val="es-ES_tradnl"/>
        </w:rPr>
        <w:t xml:space="preserve">Al respecto, el artículo 64 del Código Civil define como tal “[…] el imprevisto o que no es posible resistir, como un naufragio, un terremoto, </w:t>
      </w:r>
      <w:bookmarkStart w:id="9" w:name="_Hlk35871146"/>
      <w:r w:rsidRPr="00911A72">
        <w:rPr>
          <w:rFonts w:ascii="Verdana" w:eastAsia="Calibri" w:hAnsi="Verdana" w:cs="Arial"/>
          <w:lang w:val="es-ES_tradnl"/>
        </w:rPr>
        <w:t>el apresamiento de enemigos, los actos de autoridad ejercidos por un funcionario público</w:t>
      </w:r>
      <w:bookmarkEnd w:id="9"/>
      <w:r w:rsidRPr="00911A72">
        <w:rPr>
          <w:rFonts w:ascii="Verdana" w:eastAsia="Calibri" w:hAnsi="Verdana" w:cs="Arial"/>
          <w:lang w:val="es-ES_tradnl"/>
        </w:rPr>
        <w:t>, etc.”</w:t>
      </w:r>
      <w:r w:rsidRPr="00911A72">
        <w:rPr>
          <w:rFonts w:ascii="Verdana" w:eastAsia="Calibri" w:hAnsi="Verdana" w:cs="Arial"/>
          <w:sz w:val="21"/>
          <w:szCs w:val="21"/>
          <w:vertAlign w:val="superscript"/>
          <w:lang w:val="es-ES_tradnl"/>
        </w:rPr>
        <w:footnoteReference w:id="25"/>
      </w:r>
      <w:r w:rsidRPr="00911A72">
        <w:rPr>
          <w:rFonts w:ascii="Verdana" w:eastAsia="Calibri" w:hAnsi="Verdana" w:cs="Arial"/>
          <w:sz w:val="21"/>
          <w:szCs w:val="21"/>
          <w:lang w:val="es-ES_tradnl"/>
        </w:rPr>
        <w:t>.</w:t>
      </w:r>
      <w:r w:rsidRPr="00911A72">
        <w:rPr>
          <w:rFonts w:ascii="Verdana" w:eastAsia="Calibri" w:hAnsi="Verdana" w:cs="Arial"/>
          <w:lang w:val="es-ES_tradnl"/>
        </w:rPr>
        <w:t xml:space="preserve"> Cuando provienen de fenómenos de la naturaleza estas </w:t>
      </w:r>
      <w:r w:rsidRPr="00911A72">
        <w:rPr>
          <w:rFonts w:ascii="Verdana" w:eastAsia="Calibri" w:hAnsi="Verdana" w:cs="Arial"/>
          <w:lang w:val="es-ES_tradnl"/>
        </w:rPr>
        <w:lastRenderedPageBreak/>
        <w:t xml:space="preserve">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0" w:name="_Hlk35879271"/>
      <w:r w:rsidRPr="00911A72">
        <w:rPr>
          <w:rFonts w:ascii="Verdana" w:eastAsia="Calibri" w:hAnsi="Verdana" w:cs="Arial"/>
          <w:lang w:val="es-ES_tradnl"/>
        </w:rPr>
        <w:t>el artículo 4, numerales 5 y 8, de la Ley 1523 de 2012</w:t>
      </w:r>
      <w:bookmarkEnd w:id="10"/>
      <w:r w:rsidRPr="00911A72">
        <w:rPr>
          <w:rFonts w:ascii="Verdana" w:eastAsia="Calibri" w:hAnsi="Verdana" w:cs="Arial"/>
          <w:lang w:val="es-ES_tradnl"/>
        </w:rPr>
        <w:t>:</w:t>
      </w:r>
    </w:p>
    <w:p w14:paraId="7B6B1F56" w14:textId="77777777" w:rsidR="00256BB2" w:rsidRPr="00911A72" w:rsidRDefault="00256BB2" w:rsidP="00256BB2">
      <w:pPr>
        <w:spacing w:after="0" w:line="276" w:lineRule="auto"/>
        <w:ind w:firstLine="708"/>
        <w:jc w:val="both"/>
        <w:rPr>
          <w:rFonts w:ascii="Verdana" w:eastAsia="Calibri" w:hAnsi="Verdana" w:cs="Arial"/>
          <w:lang w:val="es-ES_tradnl"/>
        </w:rPr>
      </w:pPr>
    </w:p>
    <w:p w14:paraId="579E2552" w14:textId="77777777" w:rsidR="00256BB2" w:rsidRPr="00911A72" w:rsidRDefault="00256BB2" w:rsidP="00256BB2">
      <w:pPr>
        <w:spacing w:after="0" w:line="240" w:lineRule="auto"/>
        <w:ind w:left="709" w:right="709"/>
        <w:jc w:val="both"/>
        <w:rPr>
          <w:rFonts w:ascii="Verdana" w:eastAsia="Calibri" w:hAnsi="Verdana" w:cs="Arial"/>
          <w:sz w:val="20"/>
          <w:szCs w:val="20"/>
          <w:lang w:val="es-ES_tradnl"/>
        </w:rPr>
      </w:pPr>
      <w:r w:rsidRPr="00911A72">
        <w:rPr>
          <w:rFonts w:ascii="Verdana" w:eastAsia="Calibri" w:hAnsi="Verdana" w:cs="Arial"/>
          <w:sz w:val="20"/>
          <w:szCs w:val="20"/>
          <w:lang w:val="es-ES_tradnl"/>
        </w:rPr>
        <w:t>“Art. 4. Para efectos de la presente ley se entenderá por:</w:t>
      </w:r>
    </w:p>
    <w:p w14:paraId="690A9706" w14:textId="77777777" w:rsidR="00256BB2" w:rsidRPr="00911A72" w:rsidRDefault="00256BB2" w:rsidP="00256BB2">
      <w:pPr>
        <w:spacing w:after="120" w:line="240" w:lineRule="auto"/>
        <w:ind w:left="709" w:right="709"/>
        <w:jc w:val="both"/>
        <w:rPr>
          <w:rFonts w:ascii="Verdana" w:eastAsia="Calibri" w:hAnsi="Verdana" w:cs="Arial"/>
          <w:sz w:val="20"/>
          <w:szCs w:val="20"/>
          <w:lang w:val="es-ES_tradnl"/>
        </w:rPr>
      </w:pPr>
      <w:r w:rsidRPr="00911A72">
        <w:rPr>
          <w:rFonts w:ascii="Verdana" w:eastAsia="Calibri" w:hAnsi="Verdana" w:cs="Arial"/>
          <w:sz w:val="20"/>
          <w:szCs w:val="20"/>
          <w:lang w:val="es-ES_tradnl"/>
        </w:rPr>
        <w:t>[…]</w:t>
      </w:r>
    </w:p>
    <w:p w14:paraId="5650B205" w14:textId="77777777" w:rsidR="00256BB2" w:rsidRPr="00911A72" w:rsidRDefault="00256BB2" w:rsidP="00256BB2">
      <w:pPr>
        <w:spacing w:after="0" w:line="240" w:lineRule="auto"/>
        <w:ind w:left="709" w:right="709"/>
        <w:jc w:val="both"/>
        <w:rPr>
          <w:rFonts w:ascii="Verdana" w:eastAsia="Calibri" w:hAnsi="Verdana" w:cs="Arial"/>
          <w:sz w:val="20"/>
          <w:szCs w:val="20"/>
          <w:lang w:val="es-ES_tradnl"/>
        </w:rPr>
      </w:pPr>
      <w:r w:rsidRPr="00911A72">
        <w:rPr>
          <w:rFonts w:ascii="Verdana" w:eastAsia="Calibri" w:hAnsi="Verdana" w:cs="Arial"/>
          <w:sz w:val="20"/>
          <w:szCs w:val="20"/>
          <w:lang w:val="es-ES_tradnl"/>
        </w:rPr>
        <w:t xml:space="preserve">5. Calamidad pública: Es </w:t>
      </w:r>
      <w:bookmarkStart w:id="11" w:name="_Hlk35879333"/>
      <w:r w:rsidRPr="00911A72">
        <w:rPr>
          <w:rFonts w:ascii="Verdana" w:eastAsia="Calibri" w:hAnsi="Verdana" w:cs="Arial"/>
          <w:sz w:val="20"/>
          <w:szCs w:val="20"/>
          <w:lang w:val="es-ES_tradnl"/>
        </w:rPr>
        <w:t xml:space="preserve">el resultado que se desencadena de la manifestación de uno o varios eventos naturales </w:t>
      </w:r>
      <w:bookmarkStart w:id="12" w:name="_Hlk35870820"/>
      <w:r w:rsidRPr="00911A72">
        <w:rPr>
          <w:rFonts w:ascii="Verdana" w:eastAsia="Calibri" w:hAnsi="Verdana" w:cs="Arial"/>
          <w:sz w:val="20"/>
          <w:szCs w:val="20"/>
          <w:lang w:val="es-ES_tradnl"/>
        </w:rPr>
        <w:t xml:space="preserve">o antropogénicos no intencionales </w:t>
      </w:r>
      <w:bookmarkEnd w:id="12"/>
      <w:r w:rsidRPr="00911A72">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1"/>
      <w:r w:rsidRPr="00911A72">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70CA58C8" w14:textId="77777777" w:rsidR="00256BB2" w:rsidRPr="00911A72" w:rsidRDefault="00256BB2" w:rsidP="00256BB2">
      <w:pPr>
        <w:spacing w:after="120" w:line="240" w:lineRule="auto"/>
        <w:ind w:left="709" w:right="709"/>
        <w:jc w:val="both"/>
        <w:rPr>
          <w:rFonts w:ascii="Verdana" w:eastAsia="Calibri" w:hAnsi="Verdana" w:cs="Arial"/>
          <w:sz w:val="20"/>
          <w:szCs w:val="20"/>
          <w:lang w:val="es-ES_tradnl"/>
        </w:rPr>
      </w:pPr>
      <w:r w:rsidRPr="00911A72">
        <w:rPr>
          <w:rFonts w:ascii="Verdana" w:eastAsia="Calibri" w:hAnsi="Verdana" w:cs="Arial"/>
          <w:sz w:val="20"/>
          <w:szCs w:val="20"/>
          <w:lang w:val="es-ES_tradnl"/>
        </w:rPr>
        <w:t xml:space="preserve">[…] </w:t>
      </w:r>
    </w:p>
    <w:p w14:paraId="1DBCF13C" w14:textId="77777777" w:rsidR="00256BB2" w:rsidRPr="00787430" w:rsidRDefault="00256BB2" w:rsidP="00256BB2">
      <w:pPr>
        <w:spacing w:after="0" w:line="240" w:lineRule="auto"/>
        <w:ind w:left="709" w:right="709"/>
        <w:jc w:val="both"/>
        <w:rPr>
          <w:rFonts w:ascii="Verdana" w:eastAsia="Calibri" w:hAnsi="Verdana" w:cs="Arial"/>
          <w:sz w:val="20"/>
          <w:szCs w:val="20"/>
          <w:lang w:val="es-ES_tradnl"/>
        </w:rPr>
      </w:pPr>
      <w:r w:rsidRPr="00911A72">
        <w:rPr>
          <w:rFonts w:ascii="Verdana" w:eastAsia="Calibri" w:hAnsi="Verdana" w:cs="Arial"/>
          <w:sz w:val="20"/>
          <w:szCs w:val="20"/>
          <w:lang w:val="es-ES_tradnl"/>
        </w:rPr>
        <w:lastRenderedPageBreak/>
        <w:t xml:space="preserve">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w:t>
      </w:r>
      <w:r w:rsidRPr="00787430">
        <w:rPr>
          <w:rFonts w:ascii="Verdana" w:eastAsia="Calibri" w:hAnsi="Verdana" w:cs="Arial"/>
          <w:sz w:val="20"/>
          <w:szCs w:val="20"/>
          <w:lang w:val="es-ES_tradnl"/>
        </w:rPr>
        <w:t>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747F58F2" w14:textId="77777777" w:rsidR="00256BB2" w:rsidRPr="00787430" w:rsidRDefault="00256BB2" w:rsidP="00256BB2">
      <w:pPr>
        <w:spacing w:after="0" w:line="240" w:lineRule="auto"/>
        <w:ind w:left="709" w:right="709"/>
        <w:jc w:val="both"/>
        <w:rPr>
          <w:rFonts w:ascii="Verdana" w:eastAsia="Calibri" w:hAnsi="Verdana" w:cs="Arial"/>
          <w:sz w:val="20"/>
          <w:szCs w:val="20"/>
        </w:rPr>
      </w:pPr>
    </w:p>
    <w:p w14:paraId="54842710" w14:textId="77777777" w:rsidR="00256BB2" w:rsidRPr="00787430" w:rsidRDefault="00256BB2" w:rsidP="00256BB2">
      <w:pPr>
        <w:spacing w:after="0" w:line="240" w:lineRule="auto"/>
        <w:ind w:left="709" w:right="709"/>
        <w:jc w:val="both"/>
        <w:rPr>
          <w:rFonts w:ascii="Verdana" w:eastAsia="Calibri" w:hAnsi="Verdana" w:cs="Arial"/>
          <w:lang w:val="es-ES_tradnl"/>
        </w:rPr>
      </w:pPr>
      <w:r w:rsidRPr="00787430">
        <w:rPr>
          <w:rFonts w:ascii="Verdana" w:eastAsia="Calibri" w:hAnsi="Verdana" w:cs="Arial"/>
          <w:sz w:val="20"/>
          <w:szCs w:val="20"/>
        </w:rPr>
        <w:t>9. Emergencia: 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r w:rsidRPr="00787430">
        <w:rPr>
          <w:rFonts w:ascii="Verdana" w:eastAsia="Calibri" w:hAnsi="Verdana" w:cs="Arial"/>
          <w:sz w:val="20"/>
          <w:szCs w:val="20"/>
          <w:lang w:val="es-ES_tradnl"/>
        </w:rPr>
        <w:t>”.</w:t>
      </w:r>
    </w:p>
    <w:p w14:paraId="6CDB610F" w14:textId="77777777" w:rsidR="00256BB2" w:rsidRPr="00787430" w:rsidRDefault="00256BB2" w:rsidP="00256BB2">
      <w:pPr>
        <w:spacing w:after="0" w:line="276" w:lineRule="auto"/>
        <w:ind w:left="709" w:right="709"/>
        <w:jc w:val="both"/>
        <w:rPr>
          <w:rFonts w:ascii="Verdana" w:eastAsia="Calibri" w:hAnsi="Verdana" w:cs="Arial"/>
          <w:lang w:val="es-ES_tradnl"/>
        </w:rPr>
      </w:pPr>
    </w:p>
    <w:p w14:paraId="37276AE5" w14:textId="77777777" w:rsidR="00256BB2" w:rsidRPr="00787430" w:rsidRDefault="00256BB2" w:rsidP="00256BB2">
      <w:pPr>
        <w:spacing w:after="0" w:line="276" w:lineRule="auto"/>
        <w:ind w:firstLine="709"/>
        <w:jc w:val="both"/>
        <w:rPr>
          <w:rFonts w:ascii="Verdana" w:eastAsia="Calibri" w:hAnsi="Verdana" w:cs="Arial"/>
          <w:lang w:val="es-ES"/>
        </w:rPr>
      </w:pPr>
      <w:r w:rsidRPr="00787430">
        <w:rPr>
          <w:rFonts w:ascii="Verdana" w:eastAsia="Calibri" w:hAnsi="Verdana" w:cs="Arial"/>
          <w:lang w:val="es-ES"/>
        </w:rPr>
        <w:t xml:space="preserve">Esta norma debe armonizarse con los artículos 56 y 57 </w:t>
      </w:r>
      <w:r w:rsidRPr="00787430">
        <w:rPr>
          <w:rFonts w:ascii="Verdana" w:eastAsia="Calibri" w:hAnsi="Verdana" w:cs="Arial"/>
          <w:i/>
          <w:lang w:val="es-ES"/>
        </w:rPr>
        <w:t>ibidem</w:t>
      </w:r>
      <w:r w:rsidRPr="00787430">
        <w:rPr>
          <w:rFonts w:ascii="Verdana" w:eastAsia="Calibri" w:hAnsi="Verdana" w:cs="Arial"/>
          <w:lang w:val="es-ES"/>
        </w:rPr>
        <w:t xml:space="preserve">, que asignan la competencia para declarar la ocurrencia de una situación de </w:t>
      </w:r>
      <w:r w:rsidRPr="00787430">
        <w:rPr>
          <w:rFonts w:ascii="Verdana" w:eastAsia="Calibri" w:hAnsi="Verdana" w:cs="Arial"/>
          <w:i/>
          <w:lang w:val="es-ES"/>
        </w:rPr>
        <w:t>desastre</w:t>
      </w:r>
      <w:r w:rsidRPr="00787430">
        <w:rPr>
          <w:rFonts w:ascii="Verdana" w:eastAsia="Calibri" w:hAnsi="Verdana" w:cs="Arial"/>
          <w:lang w:val="es-ES"/>
        </w:rPr>
        <w:t xml:space="preserve"> o una situación de </w:t>
      </w:r>
      <w:r w:rsidRPr="00787430">
        <w:rPr>
          <w:rFonts w:ascii="Verdana" w:eastAsia="Calibri" w:hAnsi="Verdana" w:cs="Arial"/>
          <w:i/>
          <w:lang w:val="es-ES"/>
        </w:rPr>
        <w:t>calamidad pública</w:t>
      </w:r>
      <w:r w:rsidRPr="00787430">
        <w:rPr>
          <w:rFonts w:ascii="Verdana" w:eastAsia="Calibri" w:hAnsi="Verdana" w:cs="Arial"/>
          <w:lang w:val="es-ES"/>
        </w:rPr>
        <w:t xml:space="preserve">. Particularmente, disponen que al Presidente de la República le corresponde declarar la situación de </w:t>
      </w:r>
      <w:r w:rsidRPr="00787430">
        <w:rPr>
          <w:rFonts w:ascii="Verdana" w:eastAsia="Calibri" w:hAnsi="Verdana" w:cs="Arial"/>
          <w:i/>
          <w:lang w:val="es-ES"/>
        </w:rPr>
        <w:t>desastre</w:t>
      </w:r>
      <w:r w:rsidRPr="00787430">
        <w:rPr>
          <w:rFonts w:ascii="Verdana" w:eastAsia="Calibri" w:hAnsi="Verdana" w:cs="Arial"/>
          <w:lang w:val="es-ES"/>
        </w:rPr>
        <w:t>, tanto en el orden nacional, departamental, como en el municipal y distrital</w:t>
      </w:r>
      <w:r w:rsidRPr="00787430">
        <w:rPr>
          <w:rStyle w:val="Refdenotaalpie"/>
          <w:rFonts w:ascii="Verdana" w:eastAsia="Calibri" w:hAnsi="Verdana" w:cs="Arial"/>
          <w:lang w:val="es-ES"/>
        </w:rPr>
        <w:footnoteReference w:id="26"/>
      </w:r>
      <w:r w:rsidRPr="00787430">
        <w:rPr>
          <w:rFonts w:ascii="Verdana" w:eastAsia="Calibri" w:hAnsi="Verdana" w:cs="Arial"/>
          <w:lang w:val="es-ES"/>
        </w:rPr>
        <w:t xml:space="preserve">, facultad que no pueden ejercer los gobernadores y alcaldes, porque la norma no les </w:t>
      </w:r>
      <w:r w:rsidRPr="00787430">
        <w:rPr>
          <w:rFonts w:ascii="Verdana" w:eastAsia="Calibri" w:hAnsi="Verdana" w:cs="Arial"/>
          <w:lang w:val="es-ES"/>
        </w:rPr>
        <w:lastRenderedPageBreak/>
        <w:t xml:space="preserve">asignó esta competencia. No obstante, a los gobernadores y alcaldes sí les corresponde declarar la </w:t>
      </w:r>
      <w:r w:rsidRPr="00787430">
        <w:rPr>
          <w:rFonts w:ascii="Verdana" w:eastAsia="Calibri" w:hAnsi="Verdana" w:cs="Arial"/>
          <w:i/>
          <w:lang w:val="es-ES"/>
        </w:rPr>
        <w:t>situación de calamidad pública</w:t>
      </w:r>
      <w:r w:rsidRPr="00787430">
        <w:rPr>
          <w:rFonts w:ascii="Verdana" w:eastAsia="Calibri" w:hAnsi="Verdana" w:cs="Arial"/>
          <w:lang w:val="es-ES"/>
        </w:rPr>
        <w:t>, en los respectivos ámbitos, facultad que, en cambio, no puede ejercer el presidente de la república</w:t>
      </w:r>
      <w:r w:rsidRPr="00787430">
        <w:rPr>
          <w:rStyle w:val="Refdenotaalpie"/>
          <w:rFonts w:ascii="Verdana" w:eastAsia="Calibri" w:hAnsi="Verdana" w:cs="Arial"/>
          <w:lang w:val="es-ES"/>
        </w:rPr>
        <w:footnoteReference w:id="27"/>
      </w:r>
      <w:r w:rsidRPr="00787430">
        <w:rPr>
          <w:rFonts w:ascii="Verdana" w:eastAsia="Calibri" w:hAnsi="Verdana" w:cs="Arial"/>
          <w:lang w:val="es-ES"/>
        </w:rPr>
        <w:t xml:space="preserve">. </w:t>
      </w:r>
    </w:p>
    <w:p w14:paraId="7E3CA323" w14:textId="77777777" w:rsidR="00256BB2" w:rsidRPr="00787430" w:rsidRDefault="00256BB2" w:rsidP="00256BB2">
      <w:pPr>
        <w:spacing w:after="0" w:line="276" w:lineRule="auto"/>
        <w:ind w:firstLine="709"/>
        <w:jc w:val="both"/>
        <w:rPr>
          <w:rFonts w:ascii="Verdana" w:eastAsia="Times New Roman" w:hAnsi="Verdana" w:cs="Arial"/>
          <w:lang w:eastAsia="es-CO"/>
        </w:rPr>
      </w:pPr>
    </w:p>
    <w:p w14:paraId="774B6EA5" w14:textId="77777777" w:rsidR="00256BB2" w:rsidRPr="00787430" w:rsidRDefault="00256BB2" w:rsidP="00256BB2">
      <w:pPr>
        <w:spacing w:after="120" w:line="276" w:lineRule="auto"/>
        <w:jc w:val="both"/>
        <w:rPr>
          <w:rFonts w:ascii="Verdana" w:hAnsi="Verdana" w:cs="Arial"/>
        </w:rPr>
      </w:pPr>
      <w:r w:rsidRPr="00787430">
        <w:rPr>
          <w:rFonts w:ascii="Verdana" w:eastAsia="Times New Roman" w:hAnsi="Verdana" w:cs="Arial"/>
          <w:lang w:eastAsia="es-CO"/>
        </w:rPr>
        <w:t xml:space="preserve">iv. Ahora bien, para dar respuesta al problema jurídico objeto de consulta es necesario revisar el ámbito de aplicación de la </w:t>
      </w:r>
      <w:r w:rsidRPr="00787430">
        <w:rPr>
          <w:rFonts w:ascii="Verdana" w:eastAsia="Times New Roman" w:hAnsi="Verdana" w:cs="Arial"/>
          <w:bCs/>
          <w:lang w:eastAsia="es-CO"/>
        </w:rPr>
        <w:t xml:space="preserve">Ley 1575 de 2012, denominada </w:t>
      </w:r>
      <w:r w:rsidRPr="00787430">
        <w:rPr>
          <w:rFonts w:ascii="Verdana" w:eastAsia="Times New Roman" w:hAnsi="Verdana" w:cs="Arial"/>
          <w:bCs/>
          <w:i/>
          <w:iCs/>
          <w:lang w:eastAsia="es-CO"/>
        </w:rPr>
        <w:t>“Ley General de Bomberos de Colombia”</w:t>
      </w:r>
      <w:r w:rsidRPr="00787430">
        <w:rPr>
          <w:rFonts w:ascii="Verdana" w:eastAsia="Times New Roman" w:hAnsi="Verdana" w:cs="Arial"/>
          <w:bCs/>
          <w:lang w:eastAsia="es-CO"/>
        </w:rPr>
        <w:t xml:space="preserve">. El artículo 1 de este cuerpo normativo define </w:t>
      </w:r>
      <w:r w:rsidRPr="00787430">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787430">
        <w:rPr>
          <w:rFonts w:ascii="Verdana" w:eastAsia="Times New Roman" w:hAnsi="Verdana" w:cs="Arial"/>
          <w:bCs/>
          <w:vertAlign w:val="superscript"/>
          <w:lang w:eastAsia="es-CO"/>
        </w:rPr>
        <w:footnoteReference w:id="28"/>
      </w:r>
      <w:r w:rsidRPr="00787430">
        <w:rPr>
          <w:rFonts w:ascii="Verdana" w:hAnsi="Verdana" w:cs="Arial"/>
          <w:bCs/>
        </w:rPr>
        <w:t>.</w:t>
      </w:r>
      <w:r w:rsidRPr="00787430">
        <w:rPr>
          <w:rFonts w:ascii="Verdana" w:hAnsi="Verdana" w:cs="Arial"/>
        </w:rPr>
        <w:t xml:space="preserve"> </w:t>
      </w:r>
    </w:p>
    <w:p w14:paraId="23E0B6BD" w14:textId="77777777" w:rsidR="00256BB2" w:rsidRPr="00787430" w:rsidRDefault="00256BB2" w:rsidP="00256BB2">
      <w:pPr>
        <w:spacing w:after="120" w:line="276" w:lineRule="auto"/>
        <w:jc w:val="both"/>
        <w:rPr>
          <w:rFonts w:ascii="Verdana" w:eastAsia="Times New Roman" w:hAnsi="Verdana" w:cs="Arial"/>
          <w:bCs/>
          <w:lang w:eastAsia="es-CO"/>
        </w:rPr>
      </w:pPr>
      <w:r w:rsidRPr="00787430">
        <w:rPr>
          <w:rFonts w:ascii="Verdana" w:eastAsia="Times New Roman" w:hAnsi="Verdana" w:cs="Arial"/>
          <w:bCs/>
          <w:lang w:eastAsia="es-CO"/>
        </w:rPr>
        <w:t xml:space="preserve">De acuerdo con esto, la norma dispone un esquema de </w:t>
      </w:r>
      <w:r w:rsidRPr="00787430">
        <w:rPr>
          <w:rFonts w:ascii="Verdana" w:eastAsia="Times New Roman" w:hAnsi="Verdana" w:cs="Arial"/>
          <w:bCs/>
          <w:i/>
          <w:iCs/>
          <w:lang w:eastAsia="es-CO"/>
        </w:rPr>
        <w:t>responsabilidad compartida</w:t>
      </w:r>
      <w:r w:rsidRPr="00787430">
        <w:rPr>
          <w:rFonts w:ascii="Verdana" w:eastAsia="Times New Roman" w:hAnsi="Verdana" w:cs="Arial"/>
          <w:bCs/>
          <w:lang w:eastAsia="es-CO"/>
        </w:rPr>
        <w:t xml:space="preserve">, en el marco del cual las entidades públicas y privadas deben incorporar la contingencia asociada a estos riesgos en la administración de sus bienes muebles e inmuebles —incluidos parques naturales, edificaciones, desarrollos urbanísticos e instalaciones— y adelantar planes, programas y proyectos orientados a reducir su vulnerabilidad y fortalecer la prevención y atención de tales eventos. </w:t>
      </w:r>
    </w:p>
    <w:p w14:paraId="7ECF41CE" w14:textId="77777777" w:rsidR="00256BB2" w:rsidRPr="00787430" w:rsidRDefault="00256BB2" w:rsidP="00256BB2">
      <w:pPr>
        <w:spacing w:after="120" w:line="276" w:lineRule="auto"/>
        <w:jc w:val="both"/>
        <w:rPr>
          <w:rFonts w:ascii="Verdana" w:eastAsia="Times New Roman" w:hAnsi="Verdana" w:cs="Arial"/>
          <w:bCs/>
          <w:lang w:eastAsia="es-CO"/>
        </w:rPr>
      </w:pPr>
      <w:r w:rsidRPr="00787430">
        <w:rPr>
          <w:rFonts w:ascii="Verdana" w:eastAsia="Times New Roman" w:hAnsi="Verdana" w:cs="Arial"/>
          <w:bCs/>
          <w:lang w:eastAsia="es-CO"/>
        </w:rPr>
        <w:tab/>
        <w:t xml:space="preserve">En consonancia con lo anterior, el artículo 2 </w:t>
      </w:r>
      <w:r w:rsidRPr="00787430">
        <w:rPr>
          <w:rFonts w:ascii="Verdana" w:hAnsi="Verdana" w:cs="Arial"/>
          <w:bCs/>
        </w:rPr>
        <w:t xml:space="preserve">dispone que la gestión integral del riesgo contra incendio, la preparación y atención de rescates en todas sus modalidades y la respuesta a incidentes con materiales peligrosos se encuentran a cargo de las instituciones bomberiles y, para todos los efectos, constituyen un </w:t>
      </w:r>
      <w:r w:rsidRPr="00787430">
        <w:rPr>
          <w:rFonts w:ascii="Verdana" w:hAnsi="Verdana" w:cs="Arial"/>
          <w:bCs/>
        </w:rPr>
        <w:lastRenderedPageBreak/>
        <w:t xml:space="preserve">servicio público esencial bajo responsabilidad del Estado. </w:t>
      </w:r>
      <w:r w:rsidRPr="00787430">
        <w:rPr>
          <w:rFonts w:ascii="Verdana" w:eastAsia="Times New Roman" w:hAnsi="Verdana" w:cs="Arial"/>
          <w:bCs/>
          <w:lang w:eastAsia="es-CO"/>
        </w:rPr>
        <w:t>En ese sentido, corresponde al Estado garantizar su prestación eficiente a todos los habitantes del territorio nacional, de manera directa a través de los Cuerpos de Bomberos Oficiales, Voluntarios y aeronáuticos, asegurando la continuidad y cobertura de este servicio.</w:t>
      </w:r>
    </w:p>
    <w:p w14:paraId="701C712C" w14:textId="77777777" w:rsidR="00256BB2" w:rsidRPr="00787430" w:rsidRDefault="00256BB2" w:rsidP="00256BB2">
      <w:pPr>
        <w:spacing w:after="120" w:line="276" w:lineRule="auto"/>
        <w:jc w:val="both"/>
        <w:rPr>
          <w:rFonts w:ascii="Verdana" w:eastAsia="Times New Roman" w:hAnsi="Verdana" w:cs="Arial"/>
          <w:bCs/>
          <w:lang w:eastAsia="es-CO"/>
        </w:rPr>
      </w:pPr>
      <w:r w:rsidRPr="00787430">
        <w:rPr>
          <w:rFonts w:ascii="Verdana" w:eastAsia="Times New Roman" w:hAnsi="Verdana" w:cs="Arial"/>
          <w:bCs/>
          <w:lang w:eastAsia="es-CO"/>
        </w:rPr>
        <w:tab/>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w:t>
      </w:r>
    </w:p>
    <w:p w14:paraId="0E2E9036" w14:textId="77777777" w:rsidR="00256BB2" w:rsidRPr="00787430" w:rsidRDefault="00256BB2" w:rsidP="00256BB2">
      <w:pPr>
        <w:spacing w:after="120" w:line="276" w:lineRule="auto"/>
        <w:ind w:firstLine="708"/>
        <w:jc w:val="both"/>
        <w:rPr>
          <w:rFonts w:ascii="Verdana" w:eastAsia="Times New Roman" w:hAnsi="Verdana" w:cs="Arial"/>
          <w:bCs/>
          <w:lang w:eastAsia="es-CO"/>
        </w:rPr>
      </w:pPr>
      <w:r w:rsidRPr="00787430">
        <w:rPr>
          <w:rFonts w:ascii="Verdana" w:eastAsia="Times New Roman" w:hAnsi="Verdana" w:cs="Arial"/>
          <w:bCs/>
          <w:lang w:eastAsia="es-CO"/>
        </w:rPr>
        <w:t xml:space="preserve">Para el efecto, el inciso cuarto de la norma establece que: “Es obligación de los distritos, con asiento en su respectiva jurisdicción y de los municipios la prestación del servicio público esencial a través de los cuerpos de bomberos oficiales o </w:t>
      </w:r>
      <w:r w:rsidRPr="00787430">
        <w:rPr>
          <w:rFonts w:ascii="Verdana" w:eastAsia="Times New Roman" w:hAnsi="Verdana" w:cs="Arial"/>
          <w:bCs/>
          <w:i/>
          <w:iCs/>
          <w:lang w:eastAsia="es-CO"/>
        </w:rPr>
        <w:t>mediante la celebración de contratos y/o convenios con los cuerpos de bomberos voluntarios</w:t>
      </w:r>
      <w:r w:rsidRPr="00787430">
        <w:rPr>
          <w:rFonts w:ascii="Verdana" w:eastAsia="Times New Roman" w:hAnsi="Verdana" w:cs="Arial"/>
          <w:bCs/>
          <w:lang w:eastAsia="es-CO"/>
        </w:rPr>
        <w:t>” [Énfasis fuera de texto]. De esta manera, la Ley 1575 de 2012 no solo asigna a los municipios y distritos la responsabilidad de garantizar la prestación del servicio público esencial bomberil, sino que prevé expresamente dos vías para cumplirla: la primera, a través de un cuerpo de bomberos oficial; la segunda, mediante contratos o convenios con cuerpos de bomberos voluntarios, para los casos en que el municipio no cuente con un cuerpo de bomberos oficial.</w:t>
      </w:r>
    </w:p>
    <w:p w14:paraId="2B5F1866" w14:textId="77777777" w:rsidR="00256BB2" w:rsidRPr="00787430" w:rsidRDefault="00256BB2" w:rsidP="00256BB2">
      <w:pPr>
        <w:spacing w:after="120" w:line="276" w:lineRule="auto"/>
        <w:jc w:val="both"/>
        <w:rPr>
          <w:rFonts w:ascii="Verdana" w:eastAsia="Times New Roman" w:hAnsi="Verdana" w:cs="Arial"/>
          <w:bCs/>
          <w:lang w:eastAsia="es-CO"/>
        </w:rPr>
      </w:pPr>
      <w:r w:rsidRPr="00787430">
        <w:rPr>
          <w:rFonts w:ascii="Verdana" w:eastAsia="Times New Roman" w:hAnsi="Verdana" w:cs="Arial"/>
          <w:bCs/>
          <w:lang w:eastAsia="es-CO"/>
        </w:rPr>
        <w:t xml:space="preserve"> </w:t>
      </w:r>
      <w:r w:rsidRPr="00787430">
        <w:rPr>
          <w:rFonts w:ascii="Verdana" w:eastAsia="Times New Roman" w:hAnsi="Verdana" w:cs="Arial"/>
          <w:bCs/>
          <w:lang w:eastAsia="es-CO"/>
        </w:rPr>
        <w:tab/>
        <w:t xml:space="preserve">Con arreglo a lo dispuesto en el artículo 4 de la referida ley, los </w:t>
      </w:r>
      <w:r w:rsidRPr="00787430">
        <w:rPr>
          <w:rFonts w:ascii="Verdana" w:eastAsia="Times New Roman" w:hAnsi="Verdana" w:cs="Arial"/>
          <w:bCs/>
          <w:i/>
          <w:iCs/>
          <w:lang w:eastAsia="es-CO"/>
        </w:rPr>
        <w:t xml:space="preserve">Cuerpos de Bomberos Voluntarios Reconocidos </w:t>
      </w:r>
      <w:r w:rsidRPr="00787430">
        <w:rPr>
          <w:rFonts w:ascii="Verdana" w:eastAsia="Times New Roman" w:hAnsi="Verdana" w:cs="Arial"/>
          <w:bCs/>
          <w:lang w:eastAsia="es-CO"/>
        </w:rPr>
        <w:t xml:space="preserve">integran los Bomberos de Colombia y hacen parte del Sistema Nacional para la Prevención y Atención de Desastres. Estos son definidos por el artículo 18 como aquellos </w:t>
      </w:r>
      <w:r w:rsidRPr="00787430">
        <w:rPr>
          <w:rFonts w:ascii="Verdana" w:eastAsia="Times New Roman" w:hAnsi="Verdana" w:cs="Arial"/>
          <w:i/>
          <w:lang w:eastAsia="es-CO"/>
        </w:rPr>
        <w:t>“organizados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w:t>
      </w:r>
      <w:r w:rsidRPr="00787430">
        <w:rPr>
          <w:rFonts w:ascii="Verdana" w:eastAsia="Times New Roman" w:hAnsi="Verdana" w:cs="Arial"/>
          <w:bCs/>
          <w:lang w:eastAsia="es-CO"/>
        </w:rPr>
        <w:t xml:space="preserve">. </w:t>
      </w:r>
    </w:p>
    <w:p w14:paraId="7A37BE0B" w14:textId="77777777" w:rsidR="00256BB2" w:rsidRPr="00787430" w:rsidRDefault="00256BB2" w:rsidP="00256BB2">
      <w:pPr>
        <w:spacing w:after="120" w:line="276" w:lineRule="auto"/>
        <w:jc w:val="both"/>
        <w:rPr>
          <w:rFonts w:ascii="Verdana" w:eastAsia="Times New Roman" w:hAnsi="Verdana" w:cs="Arial"/>
          <w:bCs/>
          <w:lang w:eastAsia="es-CO"/>
        </w:rPr>
      </w:pPr>
      <w:r w:rsidRPr="00787430">
        <w:rPr>
          <w:rFonts w:ascii="Verdana" w:eastAsia="Times New Roman" w:hAnsi="Verdana" w:cs="Arial"/>
          <w:bCs/>
          <w:lang w:eastAsia="es-CO"/>
        </w:rPr>
        <w:lastRenderedPageBreak/>
        <w:tab/>
      </w:r>
      <w:r w:rsidRPr="00787430">
        <w:rPr>
          <w:rFonts w:ascii="Verdana" w:hAnsi="Verdana" w:cs="Arial"/>
          <w:bCs/>
        </w:rPr>
        <w:t xml:space="preserve">El artículo 22 de la Ley 1575 de 2012 define las funciones asignadas a los cuerpos de bomberos en el marco de la gestión integral del riesgo contra incendio, los preparativos y atención de rescates en todas sus modalidades y la respuesta a incidentes con materiales peligrosos. Así, la disposición precisa el conjunto de competencias operativas, preventivas y de apoyo que estructuran el ejercicio de la función bomberil dentro del servicio público esencial a cargo del Estado. </w:t>
      </w:r>
      <w:r w:rsidRPr="00787430">
        <w:rPr>
          <w:rFonts w:ascii="Verdana" w:eastAsia="Times New Roman" w:hAnsi="Verdana" w:cs="Arial"/>
          <w:bCs/>
          <w:lang w:eastAsia="es-CO"/>
        </w:rPr>
        <w:t>La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4782A6A7" w14:textId="77777777" w:rsidR="00256BB2" w:rsidRPr="00787430" w:rsidRDefault="00256BB2" w:rsidP="00256BB2">
      <w:pPr>
        <w:tabs>
          <w:tab w:val="left" w:pos="426"/>
        </w:tabs>
        <w:spacing w:after="0" w:line="276" w:lineRule="auto"/>
        <w:ind w:firstLine="709"/>
        <w:jc w:val="both"/>
        <w:rPr>
          <w:rFonts w:ascii="Verdana" w:eastAsia="Times New Roman" w:hAnsi="Verdana" w:cs="Arial"/>
          <w:bCs/>
          <w:lang w:eastAsia="es-CO"/>
        </w:rPr>
      </w:pPr>
      <w:r w:rsidRPr="00787430">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pueden optar por celebrar contratos o convenios con cuerpos de bomberos voluntarios. Sobre la prestación del servicio objeto de la consulta, esta Agencia se pronunció mediante el concepto con radicado número 2201913000008606, del 19 de noviembre de 2019, indicando lo siguiente: </w:t>
      </w:r>
    </w:p>
    <w:p w14:paraId="7A403BD7" w14:textId="77777777" w:rsidR="00256BB2" w:rsidRPr="00787430" w:rsidRDefault="00256BB2" w:rsidP="00256BB2">
      <w:pPr>
        <w:tabs>
          <w:tab w:val="left" w:pos="426"/>
        </w:tabs>
        <w:spacing w:after="0" w:line="276" w:lineRule="auto"/>
        <w:ind w:firstLine="709"/>
        <w:jc w:val="both"/>
        <w:rPr>
          <w:rFonts w:ascii="Verdana" w:eastAsia="Times New Roman" w:hAnsi="Verdana" w:cs="Arial"/>
          <w:bCs/>
          <w:lang w:eastAsia="es-CO"/>
        </w:rPr>
      </w:pPr>
    </w:p>
    <w:p w14:paraId="0D44ABE2" w14:textId="77777777" w:rsidR="00256BB2" w:rsidRPr="00787430" w:rsidRDefault="00256BB2" w:rsidP="00256BB2">
      <w:pPr>
        <w:spacing w:after="0" w:line="240" w:lineRule="auto"/>
        <w:ind w:left="709" w:right="709"/>
        <w:jc w:val="both"/>
        <w:rPr>
          <w:rFonts w:ascii="Verdana" w:eastAsia="Calibri" w:hAnsi="Verdana" w:cs="Arial"/>
          <w:sz w:val="20"/>
          <w:szCs w:val="20"/>
          <w:lang w:val="es-ES"/>
        </w:rPr>
      </w:pPr>
      <w:r w:rsidRPr="00787430">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1E82AB7C" w14:textId="77777777" w:rsidR="00256BB2" w:rsidRPr="00787430" w:rsidRDefault="00256BB2" w:rsidP="00256BB2">
      <w:pPr>
        <w:spacing w:after="0" w:line="240" w:lineRule="auto"/>
        <w:ind w:left="709" w:right="709"/>
        <w:jc w:val="both"/>
        <w:rPr>
          <w:rFonts w:ascii="Verdana" w:eastAsia="Calibri" w:hAnsi="Verdana" w:cs="Arial"/>
          <w:sz w:val="20"/>
          <w:szCs w:val="20"/>
          <w:lang w:val="es-ES_tradnl"/>
        </w:rPr>
      </w:pPr>
      <w:r w:rsidRPr="00787430">
        <w:rPr>
          <w:rFonts w:ascii="Verdana" w:eastAsia="Calibri" w:hAnsi="Verdana" w:cs="Arial"/>
          <w:sz w:val="20"/>
          <w:szCs w:val="20"/>
          <w:lang w:val="es-ES_tradnl"/>
        </w:rPr>
        <w:t>[…]</w:t>
      </w:r>
    </w:p>
    <w:p w14:paraId="15F9783C" w14:textId="77777777" w:rsidR="00256BB2" w:rsidRPr="00787430" w:rsidRDefault="00256BB2" w:rsidP="00256BB2">
      <w:pPr>
        <w:spacing w:after="0" w:line="240" w:lineRule="auto"/>
        <w:ind w:left="709" w:right="709"/>
        <w:jc w:val="both"/>
        <w:rPr>
          <w:rFonts w:ascii="Verdana" w:hAnsi="Verdana" w:cs="Arial"/>
          <w:i/>
          <w:iCs/>
          <w:sz w:val="20"/>
          <w:szCs w:val="20"/>
        </w:rPr>
      </w:pPr>
      <w:r w:rsidRPr="00787430">
        <w:rPr>
          <w:rFonts w:ascii="Verdana" w:eastAsia="Calibri" w:hAnsi="Verdana" w:cs="Arial"/>
          <w:sz w:val="20"/>
          <w:szCs w:val="20"/>
          <w:lang w:val="es-ES_tradnl"/>
        </w:rPr>
        <w:t>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787430">
        <w:rPr>
          <w:rFonts w:ascii="Verdana" w:hAnsi="Verdana" w:cs="Arial"/>
          <w:i/>
          <w:iCs/>
          <w:sz w:val="20"/>
          <w:szCs w:val="20"/>
        </w:rPr>
        <w:t>.</w:t>
      </w:r>
    </w:p>
    <w:p w14:paraId="1E865484" w14:textId="77777777" w:rsidR="00256BB2" w:rsidRPr="00787430" w:rsidRDefault="00256BB2" w:rsidP="00256BB2">
      <w:pPr>
        <w:spacing w:after="0" w:line="240" w:lineRule="auto"/>
        <w:ind w:left="709" w:right="709"/>
        <w:jc w:val="both"/>
        <w:rPr>
          <w:rFonts w:ascii="Verdana" w:hAnsi="Verdana" w:cs="Arial"/>
          <w:i/>
          <w:iCs/>
          <w:sz w:val="18"/>
          <w:szCs w:val="18"/>
        </w:rPr>
      </w:pPr>
    </w:p>
    <w:p w14:paraId="226500B4" w14:textId="77777777" w:rsidR="00256BB2" w:rsidRPr="00787430" w:rsidRDefault="00256BB2" w:rsidP="00256BB2">
      <w:pPr>
        <w:spacing w:after="0" w:line="240" w:lineRule="auto"/>
        <w:ind w:left="709" w:right="709"/>
        <w:jc w:val="both"/>
        <w:rPr>
          <w:rFonts w:ascii="Verdana" w:eastAsia="Times New Roman" w:hAnsi="Verdana" w:cs="Arial"/>
          <w:bCs/>
          <w:sz w:val="20"/>
          <w:szCs w:val="20"/>
          <w:lang w:eastAsia="es-CO"/>
        </w:rPr>
      </w:pPr>
      <w:r w:rsidRPr="00787430">
        <w:rPr>
          <w:rFonts w:ascii="Verdana" w:eastAsia="Times New Roman" w:hAnsi="Verdana" w:cs="Arial"/>
          <w:bCs/>
          <w:sz w:val="20"/>
          <w:szCs w:val="20"/>
          <w:lang w:eastAsia="es-CO"/>
        </w:rPr>
        <w:lastRenderedPageBreak/>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Pr="00787430">
        <w:rPr>
          <w:rFonts w:ascii="Verdana" w:eastAsia="Times New Roman" w:hAnsi="Verdana" w:cs="Arial"/>
          <w:bCs/>
          <w:sz w:val="20"/>
          <w:szCs w:val="20"/>
          <w:vertAlign w:val="superscript"/>
          <w:lang w:eastAsia="es-CO"/>
        </w:rPr>
        <w:footnoteReference w:id="29"/>
      </w:r>
      <w:r w:rsidRPr="00787430">
        <w:rPr>
          <w:rFonts w:ascii="Verdana" w:eastAsia="Times New Roman" w:hAnsi="Verdana" w:cs="Arial"/>
          <w:bCs/>
          <w:sz w:val="20"/>
          <w:szCs w:val="20"/>
          <w:lang w:eastAsia="es-CO"/>
        </w:rPr>
        <w:t xml:space="preserve">. </w:t>
      </w:r>
    </w:p>
    <w:p w14:paraId="17D8CE70" w14:textId="77777777" w:rsidR="00256BB2" w:rsidRPr="00787430" w:rsidRDefault="00256BB2" w:rsidP="00256BB2">
      <w:pPr>
        <w:spacing w:after="0" w:line="240" w:lineRule="auto"/>
        <w:ind w:left="709" w:right="709"/>
        <w:jc w:val="both"/>
        <w:rPr>
          <w:rFonts w:ascii="Verdana" w:eastAsia="Times New Roman" w:hAnsi="Verdana" w:cs="Arial"/>
          <w:bCs/>
          <w:sz w:val="20"/>
          <w:szCs w:val="20"/>
          <w:lang w:eastAsia="es-CO"/>
        </w:rPr>
      </w:pPr>
    </w:p>
    <w:p w14:paraId="73745861" w14:textId="77777777" w:rsidR="00256BB2" w:rsidRPr="00787430" w:rsidRDefault="00256BB2" w:rsidP="00256BB2">
      <w:pPr>
        <w:tabs>
          <w:tab w:val="left" w:pos="426"/>
        </w:tabs>
        <w:spacing w:after="120" w:line="276" w:lineRule="auto"/>
        <w:ind w:firstLine="709"/>
        <w:jc w:val="both"/>
        <w:rPr>
          <w:rFonts w:ascii="Verdana" w:eastAsia="Times New Roman" w:hAnsi="Verdana" w:cs="Arial"/>
          <w:bCs/>
          <w:lang w:eastAsia="es-CO"/>
        </w:rPr>
      </w:pPr>
      <w:r w:rsidRPr="00787430">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787430">
        <w:rPr>
          <w:rStyle w:val="Refdenotaalpie"/>
          <w:rFonts w:ascii="Verdana" w:eastAsia="Times New Roman" w:hAnsi="Verdana" w:cs="Arial"/>
          <w:bCs/>
          <w:lang w:eastAsia="es-CO"/>
        </w:rPr>
        <w:footnoteReference w:id="30"/>
      </w:r>
      <w:r w:rsidRPr="00787430">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dicha ley no consagró una causal autónoma de contratación directa para la celebración de contratos con cuerpos de bomberos voluntarios. </w:t>
      </w:r>
    </w:p>
    <w:p w14:paraId="516F7C32" w14:textId="77777777" w:rsidR="00256BB2" w:rsidRPr="00787430" w:rsidRDefault="00256BB2" w:rsidP="00256BB2">
      <w:pPr>
        <w:tabs>
          <w:tab w:val="left" w:pos="426"/>
        </w:tabs>
        <w:spacing w:after="120" w:line="276" w:lineRule="auto"/>
        <w:ind w:firstLine="709"/>
        <w:jc w:val="both"/>
        <w:rPr>
          <w:rFonts w:ascii="Verdana" w:eastAsia="Times New Roman" w:hAnsi="Verdana" w:cs="Arial"/>
          <w:bCs/>
          <w:lang w:eastAsia="es-CO"/>
        </w:rPr>
      </w:pPr>
      <w:r w:rsidRPr="00787430">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En ese orden, dado que no existe una modalidad o causal especifica, para la celebración de </w:t>
      </w:r>
      <w:r w:rsidRPr="00787430">
        <w:rPr>
          <w:rFonts w:ascii="Verdana" w:eastAsia="Times New Roman" w:hAnsi="Verdana" w:cs="Arial"/>
          <w:bCs/>
          <w:i/>
          <w:iCs/>
          <w:lang w:eastAsia="es-CO"/>
        </w:rPr>
        <w:t>contratos</w:t>
      </w:r>
      <w:r w:rsidRPr="00787430">
        <w:rPr>
          <w:rFonts w:ascii="Verdana" w:eastAsia="Times New Roman" w:hAnsi="Verdana" w:cs="Arial"/>
          <w:bCs/>
          <w:lang w:eastAsia="es-CO"/>
        </w:rPr>
        <w:t xml:space="preserve"> que tengan por objeto el desarrollo de actividades relacionadas con el servicio público bomberil, las Entidades Estatales sujetas al EGCAP deben acudir a las modalidades de selección previstas en el artículo 2 de la Ley 1150 de 2007, –licitación pública, selección abreviada, concurso de méritos, mínima cuantía o contratación directa–, de conformidad con las reglas y causales previstas en dicha disposición.</w:t>
      </w:r>
    </w:p>
    <w:p w14:paraId="3CFC66DA" w14:textId="77777777" w:rsidR="00256BB2" w:rsidRPr="00787430" w:rsidRDefault="00256BB2" w:rsidP="00256BB2">
      <w:pPr>
        <w:tabs>
          <w:tab w:val="left" w:pos="426"/>
        </w:tabs>
        <w:spacing w:after="120" w:line="276" w:lineRule="auto"/>
        <w:ind w:firstLine="709"/>
        <w:jc w:val="both"/>
        <w:rPr>
          <w:rFonts w:ascii="Verdana" w:eastAsia="Times New Roman" w:hAnsi="Verdana" w:cs="Arial"/>
          <w:bCs/>
          <w:lang w:eastAsia="es-CO"/>
        </w:rPr>
      </w:pPr>
      <w:r w:rsidRPr="00787430">
        <w:rPr>
          <w:rFonts w:ascii="Verdana" w:eastAsia="Times New Roman" w:hAnsi="Verdana" w:cs="Arial"/>
          <w:bCs/>
          <w:lang w:eastAsia="es-CO"/>
        </w:rPr>
        <w:lastRenderedPageBreak/>
        <w:t xml:space="preserve">Sin embargo, en atención a la naturaleza jurídica de los </w:t>
      </w:r>
      <w:r w:rsidRPr="00787430">
        <w:rPr>
          <w:rFonts w:ascii="Verdana" w:eastAsia="Times New Roman" w:hAnsi="Verdana" w:cs="Arial"/>
          <w:bCs/>
          <w:i/>
          <w:iCs/>
          <w:lang w:eastAsia="es-CO"/>
        </w:rPr>
        <w:t>Cuerpos de Bomberos Voluntarios</w:t>
      </w:r>
      <w:r w:rsidRPr="00787430">
        <w:rPr>
          <w:rFonts w:ascii="Verdana" w:eastAsia="Times New Roman" w:hAnsi="Verdana" w:cs="Arial"/>
          <w:bCs/>
          <w:lang w:eastAsia="es-CO"/>
        </w:rPr>
        <w:t>–entidades sin ánimo de lucro–, al interés general asociado a la prestación del servicio de gestión integral del riesgo de incendio y a la gratuidad que la ley impone respecto de algunas de las actividades desarrolladas por los bomberos</w:t>
      </w:r>
      <w:r w:rsidRPr="00787430">
        <w:rPr>
          <w:rStyle w:val="Refdenotaalpie"/>
          <w:rFonts w:ascii="Verdana" w:eastAsia="Times New Roman" w:hAnsi="Verdana" w:cs="Arial"/>
          <w:bCs/>
          <w:lang w:eastAsia="es-CO"/>
        </w:rPr>
        <w:footnoteReference w:id="31"/>
      </w:r>
      <w:r w:rsidRPr="00787430">
        <w:rPr>
          <w:rFonts w:ascii="Verdana" w:eastAsia="Times New Roman" w:hAnsi="Verdana" w:cs="Arial"/>
          <w:bCs/>
          <w:lang w:eastAsia="es-CO"/>
        </w:rPr>
        <w:t>, también es posible que, para efectos de cumplir con la obligación dispuesta en el inciso cuarto del artículo 3 de la Ley 1575 de 2012, se celebren convenios de asociación de acuerdo con lo establecido en el artículo 96 de la Ley 489 de 1998, cuya selección reglamenta el artículo 5 del Decreto 092 de 2017.</w:t>
      </w:r>
    </w:p>
    <w:p w14:paraId="3A02871F" w14:textId="77777777" w:rsidR="00256BB2" w:rsidRPr="00787430" w:rsidRDefault="00256BB2" w:rsidP="00256BB2">
      <w:pPr>
        <w:tabs>
          <w:tab w:val="left" w:pos="426"/>
        </w:tabs>
        <w:spacing w:after="120" w:line="276" w:lineRule="auto"/>
        <w:ind w:firstLine="709"/>
        <w:jc w:val="both"/>
        <w:rPr>
          <w:rFonts w:ascii="Verdana" w:eastAsia="Times New Roman" w:hAnsi="Verdana" w:cs="Arial"/>
          <w:bCs/>
          <w:lang w:eastAsia="es-CO"/>
        </w:rPr>
      </w:pPr>
      <w:r w:rsidRPr="00787430">
        <w:rPr>
          <w:rFonts w:ascii="Verdana" w:eastAsia="Times New Roman" w:hAnsi="Verdana" w:cs="Arial"/>
          <w:bCs/>
          <w:lang w:eastAsia="es-CO"/>
        </w:rPr>
        <w:t>Asimismo, en aquellos eventos en los que, atendiendo a las condiciones del respectivo ámbito territorial, únicamente exista un Cuerpo de Bomberos Voluntarios habilitado para la prestación del servicio, la entidad estatal podrá analizar la procedencia de la causal de contratación directa por inexistencia de pluralidad de oferentes, prevista en el artículo 2, numeral 4, literal g) de la Ley 1150 de 2007 y reglamentada por el artículo 2.2.1.2.1.4.8 del Decreto 1082 de 2015, previo cumplimiento de los presupuestos legales aplicables.</w:t>
      </w:r>
    </w:p>
    <w:p w14:paraId="0E068682" w14:textId="77777777" w:rsidR="00256BB2" w:rsidRPr="00456EB9" w:rsidRDefault="00256BB2" w:rsidP="00256BB2">
      <w:pPr>
        <w:tabs>
          <w:tab w:val="left" w:pos="426"/>
        </w:tabs>
        <w:spacing w:after="120" w:line="276" w:lineRule="auto"/>
        <w:jc w:val="both"/>
        <w:rPr>
          <w:rFonts w:ascii="Verdana" w:eastAsia="Times New Roman" w:hAnsi="Verdana" w:cs="Arial"/>
          <w:bCs/>
          <w:lang w:eastAsia="es-CO"/>
        </w:rPr>
      </w:pPr>
      <w:r w:rsidRPr="00456EB9">
        <w:rPr>
          <w:rFonts w:ascii="Verdana" w:eastAsia="Times New Roman" w:hAnsi="Verdana" w:cs="Arial"/>
          <w:bCs/>
          <w:lang w:eastAsia="es-CO"/>
        </w:rPr>
        <w:t>v. Teniendo en cuenta el análisis precedente, de cara a la aplicación de la Ley de Garantías Electorales, los municipios y distritos, durante el periodo de aplicación de la prohibición establecida en el artículo 33 de la Ley 996 de 2005, podrán en cada caso concreto</w:t>
      </w:r>
      <w:r>
        <w:rPr>
          <w:rFonts w:ascii="Verdana" w:eastAsia="Times New Roman" w:hAnsi="Verdana" w:cs="Arial"/>
          <w:bCs/>
          <w:lang w:eastAsia="es-CO"/>
        </w:rPr>
        <w:t>, celebrar</w:t>
      </w:r>
      <w:r w:rsidRPr="00456EB9">
        <w:rPr>
          <w:rFonts w:ascii="Verdana" w:eastAsia="Times New Roman" w:hAnsi="Verdana" w:cs="Arial"/>
          <w:bCs/>
          <w:lang w:eastAsia="es-CO"/>
        </w:rPr>
        <w:t xml:space="preserve"> contratos y convenios con Cuerpos de Bomberos Voluntarios para garantizar la prestación del servicio público esencial de gestión integral del riesgo contra incendios, en la medida en que se verifique el cumplimiento de los presupuestos legales que habilitan su celebración bajo las modalidades de contratación directa o convenios de asociación, según corresponda, y se observen las condiciones previstas en el ordenamiento jurídico aplicable.</w:t>
      </w:r>
    </w:p>
    <w:p w14:paraId="2B62DF54" w14:textId="77777777" w:rsidR="00256BB2" w:rsidRPr="00456EB9" w:rsidRDefault="00256BB2" w:rsidP="00256BB2">
      <w:pPr>
        <w:tabs>
          <w:tab w:val="left" w:pos="426"/>
        </w:tabs>
        <w:spacing w:after="120" w:line="276" w:lineRule="auto"/>
        <w:jc w:val="both"/>
        <w:rPr>
          <w:rFonts w:ascii="Verdana" w:eastAsia="Times New Roman" w:hAnsi="Verdana" w:cs="Arial"/>
          <w:bCs/>
          <w:lang w:eastAsia="es-CO"/>
        </w:rPr>
      </w:pPr>
      <w:r w:rsidRPr="00456EB9">
        <w:rPr>
          <w:rFonts w:ascii="Verdana" w:eastAsia="Times New Roman" w:hAnsi="Verdana" w:cs="Arial"/>
          <w:bCs/>
          <w:lang w:eastAsia="es-CO"/>
        </w:rPr>
        <w:tab/>
        <w:t xml:space="preserve">En ese contexto, cuando la estructuración del negocio jurídico se adelante mediante procedimientos competitivos que aseguren la libre concurrencia de oferentes, no se configuraría, en principio, el supuesto de </w:t>
      </w:r>
      <w:r w:rsidRPr="00456EB9">
        <w:rPr>
          <w:rFonts w:ascii="Verdana" w:eastAsia="Times New Roman" w:hAnsi="Verdana" w:cs="Arial"/>
          <w:bCs/>
          <w:i/>
          <w:iCs/>
          <w:lang w:eastAsia="es-CO"/>
        </w:rPr>
        <w:t>contratación directa</w:t>
      </w:r>
      <w:r w:rsidRPr="00456EB9">
        <w:rPr>
          <w:rFonts w:ascii="Verdana" w:eastAsia="Times New Roman" w:hAnsi="Verdana" w:cs="Arial"/>
          <w:bCs/>
          <w:lang w:eastAsia="es-CO"/>
        </w:rPr>
        <w:t xml:space="preserve">, razón por la cual no se entendería aplicable la restricción prevista en el artículo 33 de la Ley 996 de 2005, en la medida en que esta ha sido asociada a escenarios </w:t>
      </w:r>
      <w:r w:rsidRPr="00456EB9">
        <w:rPr>
          <w:rFonts w:ascii="Verdana" w:eastAsia="Times New Roman" w:hAnsi="Verdana" w:cs="Arial"/>
          <w:bCs/>
          <w:lang w:eastAsia="es-CO"/>
        </w:rPr>
        <w:lastRenderedPageBreak/>
        <w:t>en los cuales la selección del contratista no se realiza mediante las modalidades de selección previstas en el artículo 2 de la Ley 1150 de 2007.</w:t>
      </w:r>
    </w:p>
    <w:p w14:paraId="0B1E528A"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Por el contrario, en aquellos eventos en los que la prestación del servicio deba ser asumida por un único Cuerpo de Bomberos Voluntarios en el respectivo ámbito territorial, y siempre que se verifique la inexistencia de pluralidad de oferentes, en los términos del artículo 2, numeral 4, literal g) de la Ley 1150 de 2007 y reglamentada por el artículo 2.2.1.2.1.4.8 del Decreto 1082 de 2015, podría configurarse el presupuesto habilitante para acudir a la modalidad de contratación directa prevista en la citada disposición, en la medida en que se acredite la condición de proveedor exclusivo en el territorio correspondiente, conforme a los criterios desarrollados por el régimen de contratación estatal, lo cual deberá ser debidamente sustentado en los estudios y documentos previos.</w:t>
      </w:r>
    </w:p>
    <w:p w14:paraId="25513461"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De igual forma, podría resultar procedente, según las condiciones del caso concreto, la utilización de la figura de los convenios de asociación prevista en el artículo 96 de la Ley 489 de 1998 y reglamentada por el artículo 5 del Decreto 092 de 2017, siempre que se cumplan los requisitos establecidos para su procedencia, en particular, que el aporte de la entidad sin ánimo de lucro no supere el treinta por ciento (30%) de los recursos en dinero, en los términos previstos en la citada reglamentación, y que se verifique la inexistencia de otra entidad dispuesta o habilitada para la prestación del servicio en el ámbito territorial correspondiente.</w:t>
      </w:r>
    </w:p>
    <w:p w14:paraId="37532237"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456EB9">
        <w:rPr>
          <w:rFonts w:ascii="Verdana" w:eastAsia="Times New Roman" w:hAnsi="Verdana" w:cs="Arial"/>
          <w:bCs/>
          <w:i/>
          <w:iCs/>
          <w:lang w:eastAsia="es-CO"/>
        </w:rPr>
        <w:t>per se,</w:t>
      </w:r>
      <w:r w:rsidRPr="00456EB9">
        <w:rPr>
          <w:rFonts w:ascii="Verdana" w:eastAsia="Times New Roman" w:hAnsi="Verdana" w:cs="Arial"/>
          <w:bCs/>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0B545B92"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 xml:space="preserve">Para el efecto, puede resultar relevante la excepción establecida por dicha norma respecto de los contratos que deban celebrarse para la atención de </w:t>
      </w:r>
      <w:r w:rsidRPr="00456EB9">
        <w:rPr>
          <w:rFonts w:ascii="Verdana" w:eastAsia="Times New Roman" w:hAnsi="Verdana" w:cs="Arial"/>
          <w:bCs/>
          <w:lang w:eastAsia="es-CO"/>
        </w:rPr>
        <w:lastRenderedPageBreak/>
        <w:t xml:space="preserve">situaciones de emergencia y/o desastre, de conformidad con lo establecido en las leyes 1523 y 1575 de 2012. Al respecto, debe tenerse en cuenta que, actividades como la </w:t>
      </w:r>
      <w:r w:rsidRPr="00456EB9">
        <w:rPr>
          <w:rFonts w:ascii="Verdana" w:eastAsia="Times New Roman" w:hAnsi="Verdana" w:cs="Arial"/>
          <w:bCs/>
          <w:i/>
          <w:iCs/>
          <w:lang w:eastAsia="es-CO"/>
        </w:rPr>
        <w:t>atención de incidentes relacionados con incendios</w:t>
      </w:r>
      <w:r w:rsidRPr="00456EB9">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456EB9">
        <w:rPr>
          <w:rFonts w:ascii="Verdana" w:eastAsia="Times New Roman" w:hAnsi="Verdana" w:cs="Arial"/>
          <w:bCs/>
          <w:i/>
          <w:iCs/>
          <w:lang w:eastAsia="es-CO"/>
        </w:rPr>
        <w:t>Preparación</w:t>
      </w:r>
      <w:r w:rsidRPr="00456EB9">
        <w:rPr>
          <w:rFonts w:ascii="Verdana" w:eastAsia="Times New Roman" w:hAnsi="Verdana" w:cs="Arial"/>
          <w:bCs/>
          <w:lang w:eastAsia="es-CO"/>
        </w:rPr>
        <w:t xml:space="preserve"> y </w:t>
      </w:r>
      <w:r w:rsidRPr="00456EB9">
        <w:rPr>
          <w:rFonts w:ascii="Verdana" w:eastAsia="Times New Roman" w:hAnsi="Verdana" w:cs="Arial"/>
          <w:bCs/>
          <w:i/>
          <w:iCs/>
          <w:lang w:eastAsia="es-CO"/>
        </w:rPr>
        <w:t xml:space="preserve">Respuesta, </w:t>
      </w:r>
      <w:r w:rsidRPr="00456EB9">
        <w:rPr>
          <w:rFonts w:ascii="Verdana" w:eastAsia="Times New Roman" w:hAnsi="Verdana" w:cs="Arial"/>
          <w:bCs/>
          <w:lang w:eastAsia="es-CO"/>
        </w:rPr>
        <w:t>reguladas por la Ley 1523 de 2012 en el marco del Sistema Nacional de Gestión del Riesgo de Desastres y la Estrategia Nacional para la Respuesta a Emergencias</w:t>
      </w:r>
      <w:r w:rsidRPr="00456EB9">
        <w:rPr>
          <w:rStyle w:val="Refdenotaalpie"/>
          <w:rFonts w:ascii="Verdana" w:eastAsia="Times New Roman" w:hAnsi="Verdana" w:cs="Arial"/>
          <w:bCs/>
          <w:lang w:eastAsia="es-CO"/>
        </w:rPr>
        <w:footnoteReference w:id="32"/>
      </w:r>
      <w:r w:rsidRPr="00456EB9">
        <w:rPr>
          <w:rFonts w:ascii="Verdana" w:eastAsia="Times New Roman" w:hAnsi="Verdana" w:cs="Arial"/>
          <w:bCs/>
          <w:lang w:eastAsia="es-CO"/>
        </w:rPr>
        <w:t xml:space="preserve">. </w:t>
      </w:r>
    </w:p>
    <w:p w14:paraId="3E499D5F"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 xml:space="preserve"> Sin perjuicio de lo anterior, es importante considerar que, cuando la necesidad de celebrar el contrato no se presenta en función de la necesidad de atender una emergencia o desastre especifico efectivamente declarado, no resulta viable acudir a causales de contratación directa como la urgencia manifiesta ni a lo previsto en el artículo 66 de la Ley 1523 de 2012, por lo que, en principio, es necesario que la entidad estatal desarrolle un proceso competitivo para escoger el prestador del servicio, supuesto en el cual, por </w:t>
      </w:r>
      <w:r w:rsidRPr="00456EB9">
        <w:rPr>
          <w:rFonts w:ascii="Verdana" w:eastAsia="Times New Roman" w:hAnsi="Verdana" w:cs="Arial"/>
          <w:bCs/>
          <w:lang w:eastAsia="es-CO"/>
        </w:rPr>
        <w:lastRenderedPageBreak/>
        <w:t xml:space="preserve">sustracción de materia, no sería aplicable ninguna de las excepciones establecidas en el segundo inciso del artículo 33 de la Ley 996 de 2005. </w:t>
      </w:r>
    </w:p>
    <w:p w14:paraId="29271B3B" w14:textId="77777777" w:rsidR="00256BB2" w:rsidRPr="00456EB9" w:rsidRDefault="00256BB2" w:rsidP="00256BB2">
      <w:pPr>
        <w:tabs>
          <w:tab w:val="left" w:pos="426"/>
        </w:tabs>
        <w:spacing w:after="120" w:line="276" w:lineRule="auto"/>
        <w:ind w:firstLine="709"/>
        <w:jc w:val="both"/>
        <w:rPr>
          <w:rFonts w:ascii="Verdana" w:eastAsia="Times New Roman" w:hAnsi="Verdana" w:cs="Arial"/>
          <w:bCs/>
          <w:lang w:eastAsia="es-CO"/>
        </w:rPr>
      </w:pPr>
      <w:r w:rsidRPr="00456EB9">
        <w:rPr>
          <w:rFonts w:ascii="Verdana" w:eastAsia="Times New Roman" w:hAnsi="Verdana" w:cs="Arial"/>
          <w:bCs/>
          <w:lang w:eastAsia="es-CO"/>
        </w:rPr>
        <w:t xml:space="preserve">No obstante, en caso de que en el evento concreto se acrediten los presupuestos para la configuración de alguna de las causales de contratación directa previstas en el régimen aplicable, la entidad deberá evaluar su procedencia, garantizando en todo caso la debida motivación y justificación en los estudios y documentos previos, en armonía con las excepciones previstas en la Ley 996 de 2005.    </w:t>
      </w:r>
    </w:p>
    <w:p w14:paraId="5C4C787B" w14:textId="77777777" w:rsidR="00256BB2" w:rsidRPr="00AC0049" w:rsidRDefault="00256BB2" w:rsidP="00256BB2">
      <w:pPr>
        <w:spacing w:after="120" w:line="276" w:lineRule="auto"/>
        <w:ind w:firstLine="708"/>
        <w:jc w:val="both"/>
        <w:rPr>
          <w:rFonts w:ascii="Verdana" w:eastAsia="Times New Roman" w:hAnsi="Verdana" w:cs="Times New Roman"/>
          <w:lang w:eastAsia="es-ES"/>
        </w:rPr>
      </w:pPr>
      <w:bookmarkStart w:id="14" w:name="_Hlk102983874"/>
      <w:bookmarkStart w:id="15" w:name="_Hlk102388095"/>
      <w:r w:rsidRPr="00456EB9">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456EB9">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4"/>
      <w:bookmarkEnd w:id="15"/>
    </w:p>
    <w:p w14:paraId="7CB6DC8C" w14:textId="77777777" w:rsidR="00256BB2" w:rsidRPr="00AC0049" w:rsidRDefault="00256BB2" w:rsidP="00256BB2">
      <w:pPr>
        <w:spacing w:after="0" w:line="276" w:lineRule="auto"/>
        <w:ind w:firstLine="709"/>
        <w:jc w:val="both"/>
        <w:rPr>
          <w:rFonts w:ascii="Verdana" w:eastAsia="Times New Roman" w:hAnsi="Verdana" w:cs="Times New Roman"/>
          <w:lang w:eastAsia="es-ES"/>
        </w:rPr>
      </w:pPr>
    </w:p>
    <w:p w14:paraId="0E37ED36" w14:textId="77777777" w:rsidR="00256BB2" w:rsidRPr="00C124EB" w:rsidRDefault="00256BB2" w:rsidP="00256BB2">
      <w:pPr>
        <w:spacing w:after="120" w:line="276" w:lineRule="auto"/>
        <w:jc w:val="both"/>
        <w:rPr>
          <w:rFonts w:ascii="Verdana" w:eastAsia="Century Gothic" w:hAnsi="Verdana" w:cs="Century Gothic"/>
          <w:b/>
          <w:lang w:val="es-ES"/>
        </w:rPr>
      </w:pPr>
      <w:r w:rsidRPr="00AC0049">
        <w:rPr>
          <w:rFonts w:ascii="Verdana" w:eastAsia="Century Gothic" w:hAnsi="Verdana" w:cs="Century Gothic"/>
          <w:b/>
          <w:lang w:val="es-ES"/>
        </w:rPr>
        <w:t xml:space="preserve">4. </w:t>
      </w:r>
      <w:r w:rsidRPr="00C124EB">
        <w:rPr>
          <w:rFonts w:ascii="Verdana" w:eastAsia="Century Gothic" w:hAnsi="Verdana" w:cs="Century Gothic"/>
          <w:b/>
          <w:lang w:val="es-E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6BB2" w:rsidRPr="00C124EB" w14:paraId="6BC14EA3" w14:textId="77777777" w:rsidTr="008B2726">
        <w:trPr>
          <w:trHeight w:val="595"/>
        </w:trPr>
        <w:tc>
          <w:tcPr>
            <w:tcW w:w="8647" w:type="dxa"/>
          </w:tcPr>
          <w:p w14:paraId="1293D7F5" w14:textId="77777777" w:rsidR="00256BB2"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Constitución Política de Colombia. Artículo 127</w:t>
            </w:r>
            <w:r>
              <w:rPr>
                <w:rFonts w:ascii="Verdana" w:eastAsia="Arial MT" w:hAnsi="Verdana" w:cs="Arial"/>
                <w:bCs/>
                <w:lang w:eastAsia="es-ES" w:bidi="es-ES"/>
              </w:rPr>
              <w:t>.</w:t>
            </w:r>
          </w:p>
          <w:p w14:paraId="4CD09357"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3554DD">
              <w:rPr>
                <w:rFonts w:ascii="Verdana" w:eastAsia="Arial MT" w:hAnsi="Verdana" w:cs="Arial"/>
                <w:bCs/>
                <w:lang w:eastAsia="es-ES" w:bidi="es-ES"/>
              </w:rPr>
              <w:t>Ley 489 de 1998</w:t>
            </w:r>
            <w:r>
              <w:rPr>
                <w:rFonts w:ascii="Verdana" w:eastAsia="Arial MT" w:hAnsi="Verdana" w:cs="Arial"/>
                <w:bCs/>
                <w:lang w:eastAsia="es-ES" w:bidi="es-ES"/>
              </w:rPr>
              <w:t>. Artículo 96.</w:t>
            </w:r>
          </w:p>
          <w:p w14:paraId="78B1596D"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996 de 2005. Artículos 33 y 38.</w:t>
            </w:r>
          </w:p>
          <w:p w14:paraId="46C0AF38"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1150 de 2007. Artículo 2.</w:t>
            </w:r>
          </w:p>
          <w:p w14:paraId="690EE4A9"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Pr>
                <w:rFonts w:ascii="Verdana" w:eastAsia="Arial MT" w:hAnsi="Verdana" w:cs="Arial"/>
                <w:bCs/>
                <w:lang w:eastAsia="es-ES" w:bidi="es-ES"/>
              </w:rPr>
              <w:t>Ley 1523 de 2012. Artículos 4, 35 y 66.</w:t>
            </w:r>
          </w:p>
          <w:p w14:paraId="7B67281E" w14:textId="77777777" w:rsidR="00256BB2"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1575 de 2012. Artículos 1</w:t>
            </w:r>
            <w:r>
              <w:rPr>
                <w:rFonts w:ascii="Verdana" w:eastAsia="Arial MT" w:hAnsi="Verdana" w:cs="Arial"/>
                <w:bCs/>
                <w:lang w:eastAsia="es-ES" w:bidi="es-ES"/>
              </w:rPr>
              <w:t>, 2, 3,</w:t>
            </w:r>
            <w:r w:rsidRPr="00C124EB">
              <w:rPr>
                <w:rFonts w:ascii="Verdana" w:eastAsia="Arial MT" w:hAnsi="Verdana" w:cs="Arial"/>
                <w:bCs/>
                <w:lang w:eastAsia="es-ES" w:bidi="es-ES"/>
              </w:rPr>
              <w:t xml:space="preserve"> y 18</w:t>
            </w:r>
            <w:r>
              <w:rPr>
                <w:rFonts w:ascii="Verdana" w:eastAsia="Arial MT" w:hAnsi="Verdana" w:cs="Arial"/>
                <w:bCs/>
                <w:lang w:eastAsia="es-ES" w:bidi="es-ES"/>
              </w:rPr>
              <w:t>, 22</w:t>
            </w:r>
            <w:r w:rsidRPr="00C124EB">
              <w:rPr>
                <w:rFonts w:ascii="Verdana" w:eastAsia="Arial MT" w:hAnsi="Verdana" w:cs="Arial"/>
                <w:bCs/>
                <w:lang w:eastAsia="es-ES" w:bidi="es-ES"/>
              </w:rPr>
              <w:t>.</w:t>
            </w:r>
          </w:p>
          <w:p w14:paraId="3F7B0959"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Pr>
                <w:rFonts w:ascii="Verdana" w:eastAsia="Arial MT" w:hAnsi="Verdana" w:cs="Arial"/>
                <w:bCs/>
                <w:lang w:eastAsia="es-ES" w:bidi="es-ES"/>
              </w:rPr>
              <w:t>Decreto 1082 de 2015. A</w:t>
            </w:r>
            <w:r w:rsidRPr="00F00C93">
              <w:rPr>
                <w:rFonts w:ascii="Verdana" w:eastAsia="Arial MT" w:hAnsi="Verdana" w:cs="Arial"/>
                <w:bCs/>
                <w:lang w:eastAsia="es-ES" w:bidi="es-ES"/>
              </w:rPr>
              <w:t>rtículo 2.2.1.2.1.4.8</w:t>
            </w:r>
          </w:p>
          <w:p w14:paraId="6E227E4F"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Corte Constitucional, Sentencia C- 1153 de 2005. M.P. Marco Gerardo Monroy Cabra.</w:t>
            </w:r>
          </w:p>
          <w:p w14:paraId="3C549AE1"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14C67F16" w14:textId="77777777" w:rsidR="00256BB2" w:rsidRPr="00C124EB" w:rsidRDefault="00256BB2" w:rsidP="008B2726">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lastRenderedPageBreak/>
              <w:t>Consejo de Estado. Sala de Consulta y Servicio Civil. Concepto del 17 de febrero de 2015. C.P. William Zambrano Cetina. Radicación No. 11001-03-06-000-2015-00164-00 (2269).</w:t>
            </w:r>
          </w:p>
          <w:p w14:paraId="1E061E33" w14:textId="77777777" w:rsidR="00256BB2" w:rsidRPr="00C124EB" w:rsidRDefault="00256BB2" w:rsidP="008B2726">
            <w:pPr>
              <w:widowControl w:val="0"/>
              <w:numPr>
                <w:ilvl w:val="0"/>
                <w:numId w:val="16"/>
              </w:numPr>
              <w:autoSpaceDE w:val="0"/>
              <w:autoSpaceDN w:val="0"/>
              <w:spacing w:line="276" w:lineRule="auto"/>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r>
              <w:rPr>
                <w:rFonts w:ascii="Verdana" w:eastAsia="Arial MT" w:hAnsi="Verdana" w:cs="Arial"/>
                <w:bCs/>
                <w:lang w:eastAsia="es-ES" w:bidi="es-ES"/>
              </w:rPr>
              <w:t>.</w:t>
            </w:r>
          </w:p>
        </w:tc>
      </w:tr>
    </w:tbl>
    <w:p w14:paraId="71F2A152" w14:textId="77777777" w:rsidR="00256BB2" w:rsidRPr="009969AD" w:rsidRDefault="00256BB2" w:rsidP="00256BB2">
      <w:pPr>
        <w:widowControl w:val="0"/>
        <w:autoSpaceDE w:val="0"/>
        <w:autoSpaceDN w:val="0"/>
        <w:spacing w:after="0" w:line="276" w:lineRule="auto"/>
        <w:jc w:val="both"/>
        <w:rPr>
          <w:rFonts w:ascii="Verdana" w:hAnsi="Verdana" w:cs="Arial"/>
          <w:color w:val="ED7D31" w:themeColor="accent2"/>
          <w:lang w:val="es-ES"/>
        </w:rPr>
      </w:pPr>
    </w:p>
    <w:p w14:paraId="0423CC64" w14:textId="77777777" w:rsidR="00256BB2" w:rsidRPr="00AC0049" w:rsidRDefault="00256BB2" w:rsidP="00256BB2">
      <w:pPr>
        <w:tabs>
          <w:tab w:val="left" w:pos="142"/>
          <w:tab w:val="left" w:pos="284"/>
        </w:tabs>
        <w:spacing w:after="0" w:line="276" w:lineRule="auto"/>
        <w:jc w:val="both"/>
        <w:rPr>
          <w:rFonts w:ascii="Verdana" w:eastAsia="Century Gothic" w:hAnsi="Verdana" w:cs="Century Gothic"/>
          <w:b/>
          <w:lang w:val="es-ES"/>
        </w:rPr>
      </w:pPr>
      <w:r w:rsidRPr="00AC0049">
        <w:rPr>
          <w:rFonts w:ascii="Verdana" w:eastAsia="Century Gothic" w:hAnsi="Verdana" w:cs="Century Gothic"/>
          <w:b/>
          <w:lang w:val="es-ES"/>
        </w:rPr>
        <w:t>5. Doctrina de la Agencia Nacional de Contratación Pública:</w:t>
      </w:r>
    </w:p>
    <w:p w14:paraId="6C64C6B5" w14:textId="77777777" w:rsidR="00256BB2" w:rsidRPr="009969AD" w:rsidRDefault="00256BB2" w:rsidP="00256BB2">
      <w:pPr>
        <w:widowControl w:val="0"/>
        <w:autoSpaceDE w:val="0"/>
        <w:autoSpaceDN w:val="0"/>
        <w:spacing w:after="0" w:line="276" w:lineRule="auto"/>
        <w:jc w:val="both"/>
        <w:rPr>
          <w:rFonts w:ascii="Verdana" w:hAnsi="Verdana" w:cs="Arial"/>
          <w:color w:val="ED7D31" w:themeColor="accent2"/>
          <w:lang w:val="es-ES"/>
        </w:rPr>
      </w:pPr>
    </w:p>
    <w:p w14:paraId="7127F84D" w14:textId="77777777" w:rsidR="00256BB2" w:rsidRPr="00492128" w:rsidRDefault="00256BB2" w:rsidP="00256BB2">
      <w:pPr>
        <w:spacing w:after="0" w:line="276" w:lineRule="auto"/>
        <w:jc w:val="both"/>
        <w:rPr>
          <w:rFonts w:ascii="Verdana" w:hAnsi="Verdana"/>
          <w:color w:val="0000FF"/>
          <w:lang w:val="es-ES"/>
        </w:rPr>
      </w:pPr>
      <w:r w:rsidRPr="00064E6A">
        <w:rPr>
          <w:rFonts w:ascii="Verdana" w:eastAsia="Calibri" w:hAnsi="Verdana" w:cs="Arial"/>
          <w:lang w:val="es-ES"/>
        </w:rPr>
        <w:t xml:space="preserve">La Agencia Nacional de Contratación Pública – Colombia Compra Eficiente se ha referido </w:t>
      </w:r>
      <w:r w:rsidRPr="00064E6A">
        <w:rPr>
          <w:rFonts w:ascii="Verdana" w:hAnsi="Verdana" w:cs="Arial"/>
          <w:shd w:val="clear" w:color="auto" w:fill="FFFFFF"/>
          <w:lang w:val="es-ES"/>
        </w:rPr>
        <w:t xml:space="preserve">sobre </w:t>
      </w:r>
      <w:r w:rsidRPr="00064E6A">
        <w:rPr>
          <w:rFonts w:ascii="Verdana" w:hAnsi="Verdana" w:cs="Arial"/>
        </w:rPr>
        <w:t xml:space="preserve">sobre </w:t>
      </w:r>
      <w:r w:rsidRPr="00FC7D77">
        <w:rPr>
          <w:rFonts w:ascii="Verdana" w:hAnsi="Verdana" w:cs="Arial"/>
        </w:rPr>
        <w:t>la Ley de Garantías Electorales</w:t>
      </w:r>
      <w:r w:rsidRPr="009969AD">
        <w:rPr>
          <w:rFonts w:ascii="Verdana" w:hAnsi="Verdana" w:cs="Arial"/>
          <w:color w:val="ED7D31" w:themeColor="accent2"/>
          <w:shd w:val="clear" w:color="auto" w:fill="FFFFFF"/>
        </w:rPr>
        <w:t xml:space="preserve"> </w:t>
      </w:r>
      <w:r w:rsidRPr="00FC7D7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FC7D77">
        <w:rPr>
          <w:rFonts w:ascii="Verdana" w:hAnsi="Verdana" w:cs="Arial"/>
          <w:shd w:val="clear" w:color="auto" w:fill="FFFFFF"/>
        </w:rPr>
        <w:t xml:space="preserve"> C- 1236 del 27 de octubre de 2025</w:t>
      </w:r>
      <w:r>
        <w:rPr>
          <w:rFonts w:ascii="Verdana" w:hAnsi="Verdana" w:cs="Arial"/>
          <w:shd w:val="clear" w:color="auto" w:fill="FFFFFF"/>
        </w:rPr>
        <w:t xml:space="preserve"> y C-1835 del 21 de enero de 2026</w:t>
      </w:r>
      <w:r w:rsidRPr="00FC7D77">
        <w:rPr>
          <w:rFonts w:ascii="Verdana" w:hAnsi="Verdana" w:cs="Arial"/>
          <w:shd w:val="clear" w:color="auto" w:fill="FFFFFF"/>
        </w:rPr>
        <w:t xml:space="preserve">, </w:t>
      </w:r>
      <w:r w:rsidRPr="00FC7D77">
        <w:rPr>
          <w:rFonts w:ascii="Verdana" w:hAnsi="Verdana" w:cs="Arial"/>
        </w:rPr>
        <w:t>entre otros</w:t>
      </w:r>
      <w:r w:rsidRPr="00FC7D77">
        <w:rPr>
          <w:rFonts w:ascii="Verdana" w:hAnsi="Verdana" w:cs="Arial"/>
          <w:shd w:val="clear" w:color="auto" w:fill="FFFFFF"/>
        </w:rPr>
        <w:t>.</w:t>
      </w:r>
      <w:r>
        <w:rPr>
          <w:rFonts w:ascii="Verdana" w:hAnsi="Verdana" w:cs="Arial"/>
          <w:shd w:val="clear" w:color="auto" w:fill="FFFFFF"/>
          <w:lang w:val="es-ES"/>
        </w:rPr>
        <w:t xml:space="preserve"> </w:t>
      </w:r>
      <w:r w:rsidRPr="00AC0049">
        <w:rPr>
          <w:rFonts w:ascii="Verdana" w:hAnsi="Verdana" w:cs="Arial"/>
          <w:shd w:val="clear" w:color="auto" w:fill="FFFFFF"/>
          <w:lang w:val="es-ES"/>
        </w:rPr>
        <w:t>Estos</w:t>
      </w:r>
      <w:r w:rsidRPr="00AC0049">
        <w:rPr>
          <w:rFonts w:ascii="Verdana" w:hAnsi="Verdana"/>
          <w:lang w:val="es-ES"/>
        </w:rPr>
        <w:t xml:space="preserve"> y otros se encuentran disponibles para consulta en el Sistema de relatoría de la Agencia, al cual se puede acceder a través del siguiente enlace:</w:t>
      </w:r>
      <w:r w:rsidRPr="00AC0049">
        <w:rPr>
          <w:rFonts w:ascii="Verdana" w:hAnsi="Verdana" w:cs="Arial"/>
          <w:shd w:val="clear" w:color="auto" w:fill="FFFFFF"/>
          <w:lang w:val="es-ES"/>
        </w:rPr>
        <w:t xml:space="preserve"> </w:t>
      </w:r>
      <w:hyperlink r:id="rId13" w:history="1">
        <w:r w:rsidRPr="00492128">
          <w:rPr>
            <w:rStyle w:val="Hipervnculo"/>
            <w:rFonts w:ascii="Verdana" w:hAnsi="Verdana" w:cs="Arial"/>
            <w:shd w:val="clear" w:color="auto" w:fill="FFFFFF"/>
            <w:lang w:val="es-ES"/>
          </w:rPr>
          <w:t>https://relatoria.colombiacompra.gov.co/busqueda/conceptos</w:t>
        </w:r>
      </w:hyperlink>
    </w:p>
    <w:p w14:paraId="256D8734" w14:textId="77777777" w:rsidR="00256BB2" w:rsidRPr="009969AD" w:rsidRDefault="00256BB2" w:rsidP="00256BB2">
      <w:pPr>
        <w:spacing w:after="0"/>
        <w:jc w:val="both"/>
        <w:rPr>
          <w:rFonts w:ascii="Verdana" w:hAnsi="Verdana" w:cs="Arial"/>
          <w:color w:val="ED7D31" w:themeColor="accent2"/>
          <w:shd w:val="clear" w:color="auto" w:fill="FFFFFF"/>
          <w:lang w:val="es-ES"/>
        </w:rPr>
      </w:pPr>
    </w:p>
    <w:p w14:paraId="75E898A6" w14:textId="77777777" w:rsidR="00256BB2" w:rsidRPr="00AC0049" w:rsidRDefault="00256BB2" w:rsidP="00256BB2">
      <w:pPr>
        <w:spacing w:after="0"/>
        <w:jc w:val="both"/>
        <w:rPr>
          <w:rFonts w:ascii="Verdana" w:hAnsi="Verdana" w:cs="Arial"/>
          <w:shd w:val="clear" w:color="auto" w:fill="FFFFFF"/>
        </w:rPr>
      </w:pPr>
      <w:r w:rsidRPr="00AC0049">
        <w:rPr>
          <w:rFonts w:ascii="Verdana" w:hAnsi="Verdana" w:cs="Arial"/>
          <w:shd w:val="clear" w:color="auto" w:fill="FFFFFF"/>
        </w:rPr>
        <w:t>También le contamos que ya se encuentra disponible la </w:t>
      </w:r>
      <w:r w:rsidRPr="00AC004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004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C0049">
          <w:rPr>
            <w:rStyle w:val="Hipervnculo"/>
            <w:rFonts w:ascii="Verdana" w:hAnsi="Verdana"/>
          </w:rPr>
          <w:t>Guía de lineamientos de transparencia y selección objetiva para el departamento de La Guajira – Objetivo sexto constitucional de la Sentencia T-302 del 2017</w:t>
        </w:r>
      </w:hyperlink>
    </w:p>
    <w:p w14:paraId="7735126F" w14:textId="77777777" w:rsidR="00256BB2" w:rsidRPr="00AC0049" w:rsidRDefault="00256BB2" w:rsidP="00256BB2">
      <w:pPr>
        <w:spacing w:after="0"/>
        <w:jc w:val="both"/>
        <w:rPr>
          <w:rFonts w:ascii="Verdana" w:hAnsi="Verdana" w:cs="Arial"/>
          <w:shd w:val="clear" w:color="auto" w:fill="FFFFFF"/>
        </w:rPr>
      </w:pPr>
    </w:p>
    <w:p w14:paraId="4A112F86" w14:textId="77777777" w:rsidR="00256BB2" w:rsidRPr="00AC0049" w:rsidRDefault="00256BB2" w:rsidP="00256BB2">
      <w:pPr>
        <w:spacing w:after="0"/>
        <w:jc w:val="both"/>
        <w:rPr>
          <w:rFonts w:ascii="Verdana" w:hAnsi="Verdana" w:cs="Arial"/>
          <w:shd w:val="clear" w:color="auto" w:fill="FFFFFF"/>
        </w:rPr>
      </w:pPr>
      <w:r w:rsidRPr="00AC0049">
        <w:rPr>
          <w:rFonts w:ascii="Verdana" w:hAnsi="Verdana" w:cs="Arial"/>
          <w:shd w:val="clear" w:color="auto" w:fill="FFFFFF"/>
        </w:rPr>
        <w:lastRenderedPageBreak/>
        <w:t xml:space="preserve">Por último, lo invitamos a seguirnos en las redes sociales en las cuales se difunde información institucional: </w:t>
      </w:r>
    </w:p>
    <w:p w14:paraId="1059039F" w14:textId="77777777" w:rsidR="00256BB2" w:rsidRPr="00AC0049" w:rsidRDefault="00256BB2" w:rsidP="00256BB2">
      <w:pPr>
        <w:spacing w:after="0"/>
        <w:jc w:val="both"/>
        <w:rPr>
          <w:rFonts w:ascii="Verdana" w:hAnsi="Verdana" w:cs="Arial"/>
          <w:shd w:val="clear" w:color="auto" w:fill="FFFFFF"/>
        </w:rPr>
      </w:pPr>
    </w:p>
    <w:p w14:paraId="41EC995E" w14:textId="77777777" w:rsidR="00256BB2" w:rsidRPr="00AC0049" w:rsidRDefault="00256BB2" w:rsidP="00256BB2">
      <w:pPr>
        <w:spacing w:after="0"/>
        <w:jc w:val="both"/>
        <w:rPr>
          <w:rFonts w:ascii="Verdana" w:hAnsi="Verdana" w:cs="Arial"/>
          <w:shd w:val="clear" w:color="auto" w:fill="FFFFFF"/>
        </w:rPr>
      </w:pPr>
      <w:r w:rsidRPr="00AC0049">
        <w:rPr>
          <w:rFonts w:ascii="Verdana" w:hAnsi="Verdana" w:cs="Arial"/>
          <w:shd w:val="clear" w:color="auto" w:fill="FFFFFF"/>
        </w:rPr>
        <w:t xml:space="preserve">Twitter: </w:t>
      </w:r>
      <w:r w:rsidRPr="00AC0049">
        <w:rPr>
          <w:rStyle w:val="Hipervnculo"/>
          <w:rFonts w:ascii="Verdana" w:hAnsi="Verdana"/>
          <w:lang w:val="es-ES"/>
        </w:rPr>
        <w:t xml:space="preserve">@colombiacompra </w:t>
      </w:r>
    </w:p>
    <w:p w14:paraId="2CC4843D" w14:textId="77777777" w:rsidR="00256BB2" w:rsidRPr="00AC0049" w:rsidRDefault="00256BB2" w:rsidP="00256BB2">
      <w:pPr>
        <w:spacing w:after="0"/>
        <w:jc w:val="both"/>
        <w:rPr>
          <w:rFonts w:ascii="Verdana" w:hAnsi="Verdana" w:cs="Arial"/>
          <w:shd w:val="clear" w:color="auto" w:fill="FFFFFF"/>
        </w:rPr>
      </w:pPr>
      <w:r w:rsidRPr="00AC0049">
        <w:rPr>
          <w:rFonts w:ascii="Verdana" w:hAnsi="Verdana" w:cs="Arial"/>
          <w:shd w:val="clear" w:color="auto" w:fill="FFFFFF"/>
        </w:rPr>
        <w:t>Facebook:</w:t>
      </w:r>
      <w:r w:rsidRPr="00AC0049">
        <w:rPr>
          <w:rStyle w:val="Hipervnculo"/>
          <w:rFonts w:ascii="Verdana" w:hAnsi="Verdana"/>
          <w:color w:val="auto"/>
          <w:lang w:val="es-ES"/>
        </w:rPr>
        <w:t xml:space="preserve"> </w:t>
      </w:r>
      <w:r w:rsidRPr="00AC0049">
        <w:rPr>
          <w:rStyle w:val="Hipervnculo"/>
          <w:rFonts w:ascii="Verdana" w:hAnsi="Verdana"/>
          <w:lang w:val="es-ES"/>
        </w:rPr>
        <w:t>ColombiaCompraEficiente</w:t>
      </w:r>
    </w:p>
    <w:p w14:paraId="0A11F0E1" w14:textId="77777777" w:rsidR="00256BB2" w:rsidRPr="00AC0049" w:rsidRDefault="00256BB2" w:rsidP="00256BB2">
      <w:pPr>
        <w:spacing w:after="0"/>
        <w:jc w:val="both"/>
        <w:rPr>
          <w:rFonts w:ascii="Verdana" w:hAnsi="Verdana" w:cs="Arial"/>
          <w:color w:val="0000FF"/>
          <w:shd w:val="clear" w:color="auto" w:fill="FFFFFF"/>
        </w:rPr>
      </w:pPr>
      <w:r w:rsidRPr="00AC0049">
        <w:rPr>
          <w:rFonts w:ascii="Verdana" w:hAnsi="Verdana" w:cs="Arial"/>
          <w:shd w:val="clear" w:color="auto" w:fill="FFFFFF"/>
        </w:rPr>
        <w:t xml:space="preserve">LinkedIn: </w:t>
      </w:r>
      <w:r w:rsidRPr="00AC0049">
        <w:rPr>
          <w:rStyle w:val="Hipervnculo"/>
          <w:rFonts w:ascii="Verdana" w:hAnsi="Verdana"/>
          <w:lang w:val="es-ES"/>
        </w:rPr>
        <w:t>Agencia Nacional de Contratación Pública - Colombia Compra Eficiente</w:t>
      </w:r>
      <w:r w:rsidRPr="00AC0049">
        <w:rPr>
          <w:rFonts w:ascii="Verdana" w:hAnsi="Verdana" w:cs="Arial"/>
          <w:color w:val="0000FF"/>
          <w:shd w:val="clear" w:color="auto" w:fill="FFFFFF"/>
        </w:rPr>
        <w:t xml:space="preserve"> </w:t>
      </w:r>
    </w:p>
    <w:p w14:paraId="6D529D9C" w14:textId="77777777" w:rsidR="00256BB2" w:rsidRPr="00AC0049" w:rsidRDefault="00256BB2" w:rsidP="00256BB2">
      <w:pPr>
        <w:spacing w:after="0"/>
        <w:jc w:val="both"/>
        <w:rPr>
          <w:rFonts w:ascii="Verdana" w:hAnsi="Verdana" w:cs="Arial"/>
          <w:shd w:val="clear" w:color="auto" w:fill="FFFFFF"/>
        </w:rPr>
      </w:pPr>
      <w:r w:rsidRPr="00AC0049">
        <w:rPr>
          <w:rFonts w:ascii="Verdana" w:hAnsi="Verdana" w:cs="Arial"/>
          <w:shd w:val="clear" w:color="auto" w:fill="FFFFFF"/>
        </w:rPr>
        <w:t xml:space="preserve">Instagram: </w:t>
      </w:r>
      <w:r w:rsidRPr="00AC0049">
        <w:rPr>
          <w:rStyle w:val="Hipervnculo"/>
          <w:rFonts w:ascii="Verdana" w:hAnsi="Verdana"/>
          <w:lang w:val="es-ES"/>
        </w:rPr>
        <w:t>@colombiacompraeficiente_cce</w:t>
      </w:r>
    </w:p>
    <w:p w14:paraId="15755A84" w14:textId="77777777" w:rsidR="00256BB2" w:rsidRPr="00AC0049" w:rsidRDefault="00256BB2" w:rsidP="00256BB2">
      <w:pPr>
        <w:widowControl w:val="0"/>
        <w:autoSpaceDE w:val="0"/>
        <w:autoSpaceDN w:val="0"/>
        <w:spacing w:after="0" w:line="276" w:lineRule="auto"/>
        <w:jc w:val="both"/>
        <w:rPr>
          <w:rFonts w:ascii="Verdana" w:hAnsi="Verdana" w:cs="Arial"/>
          <w:lang w:val="es-ES"/>
        </w:rPr>
      </w:pPr>
    </w:p>
    <w:p w14:paraId="521E42B5" w14:textId="77777777" w:rsidR="00256BB2" w:rsidRPr="00AC0049" w:rsidRDefault="00256BB2" w:rsidP="00256BB2">
      <w:pPr>
        <w:widowControl w:val="0"/>
        <w:autoSpaceDE w:val="0"/>
        <w:autoSpaceDN w:val="0"/>
        <w:spacing w:after="0" w:line="276" w:lineRule="auto"/>
        <w:jc w:val="both"/>
        <w:rPr>
          <w:rFonts w:ascii="Verdana" w:hAnsi="Verdana" w:cs="Arial"/>
          <w:lang w:val="es-ES"/>
        </w:rPr>
      </w:pPr>
      <w:r w:rsidRPr="00AC004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DF201E7" w14:textId="77777777" w:rsidR="00256BB2" w:rsidRPr="009969AD" w:rsidRDefault="00256BB2" w:rsidP="00256BB2">
      <w:pPr>
        <w:widowControl w:val="0"/>
        <w:autoSpaceDE w:val="0"/>
        <w:autoSpaceDN w:val="0"/>
        <w:spacing w:after="0" w:line="276" w:lineRule="auto"/>
        <w:jc w:val="both"/>
        <w:rPr>
          <w:rFonts w:ascii="Verdana" w:hAnsi="Verdana" w:cs="Arial"/>
          <w:color w:val="ED7D31" w:themeColor="accent2"/>
          <w:lang w:val="es-ES"/>
        </w:rPr>
      </w:pPr>
    </w:p>
    <w:p w14:paraId="53268120" w14:textId="6BA1D5C7" w:rsidR="00687BDA" w:rsidRPr="00E71853" w:rsidRDefault="00256BB2" w:rsidP="00E71853">
      <w:pPr>
        <w:spacing w:after="0" w:line="276" w:lineRule="auto"/>
        <w:rPr>
          <w:rFonts w:ascii="Verdana" w:hAnsi="Verdana" w:cs="Arial"/>
          <w:lang w:val="es-ES" w:eastAsia="es-CO"/>
        </w:rPr>
      </w:pPr>
      <w:r w:rsidRPr="00AC0049">
        <w:rPr>
          <w:rFonts w:ascii="Verdana" w:eastAsia="Times New Roman" w:hAnsi="Verdana" w:cs="Arial"/>
          <w:lang w:val="es-ES" w:eastAsia="es-CO"/>
        </w:rPr>
        <w:t>Atentamente,</w:t>
      </w:r>
      <w:r w:rsidRPr="00AC0049">
        <w:rPr>
          <w:rFonts w:ascii="Verdana" w:hAnsi="Verdana" w:cs="Arial"/>
          <w:lang w:val="es-ES" w:eastAsia="es-CO"/>
        </w:rPr>
        <w:t xml:space="preserve"> </w:t>
      </w:r>
    </w:p>
    <w:p w14:paraId="1B284F09" w14:textId="6ED94CF4" w:rsidR="00256BB2" w:rsidRDefault="00891C67" w:rsidP="00891C67">
      <w:pPr>
        <w:spacing w:after="0" w:line="240" w:lineRule="auto"/>
        <w:jc w:val="center"/>
        <w:rPr>
          <w:rFonts w:ascii="Verdana" w:eastAsia="Verdana" w:hAnsi="Verdana" w:cs="Verdana"/>
          <w:lang w:val="es-MX"/>
        </w:rPr>
      </w:pPr>
      <w:r w:rsidRPr="00891C67">
        <w:rPr>
          <w:rFonts w:ascii="Verdana" w:eastAsia="Verdana" w:hAnsi="Verdana" w:cs="Verdana"/>
          <w:lang w:val="es-MX"/>
        </w:rPr>
        <w:drawing>
          <wp:inline distT="0" distB="0" distL="0" distR="0" wp14:anchorId="33D8E138" wp14:editId="2244E455">
            <wp:extent cx="2743583" cy="1162212"/>
            <wp:effectExtent l="0" t="0" r="0" b="0"/>
            <wp:docPr id="1470006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0681" name=""/>
                    <pic:cNvPicPr/>
                  </pic:nvPicPr>
                  <pic:blipFill>
                    <a:blip r:embed="rId15"/>
                    <a:stretch>
                      <a:fillRect/>
                    </a:stretch>
                  </pic:blipFill>
                  <pic:spPr>
                    <a:xfrm>
                      <a:off x="0" y="0"/>
                      <a:ext cx="2743583" cy="1162212"/>
                    </a:xfrm>
                    <a:prstGeom prst="rect">
                      <a:avLst/>
                    </a:prstGeom>
                  </pic:spPr>
                </pic:pic>
              </a:graphicData>
            </a:graphic>
          </wp:inline>
        </w:drawing>
      </w:r>
    </w:p>
    <w:p w14:paraId="396E0071" w14:textId="77777777" w:rsidR="00891C67" w:rsidRPr="00891C67" w:rsidRDefault="00891C67" w:rsidP="00891C67">
      <w:pPr>
        <w:spacing w:after="0" w:line="240" w:lineRule="auto"/>
        <w:jc w:val="center"/>
        <w:rPr>
          <w:rFonts w:ascii="Verdana" w:eastAsia="Verdana" w:hAnsi="Verdana" w:cs="Verdana"/>
          <w:lang w:val="es-MX"/>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6BB2" w:rsidRPr="00FD551E" w14:paraId="41656D35" w14:textId="77777777" w:rsidTr="008B2726">
        <w:trPr>
          <w:trHeight w:val="315"/>
        </w:trPr>
        <w:tc>
          <w:tcPr>
            <w:tcW w:w="893" w:type="dxa"/>
            <w:vAlign w:val="center"/>
            <w:hideMark/>
          </w:tcPr>
          <w:p w14:paraId="746CBDF2" w14:textId="77777777" w:rsidR="00256BB2" w:rsidRPr="00FD551E" w:rsidRDefault="00256BB2" w:rsidP="008B2726">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BFD72A" w14:textId="77777777" w:rsidR="00256BB2" w:rsidRPr="00FD551E" w:rsidRDefault="00256BB2" w:rsidP="008B2726">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7CAE2F9C" w14:textId="77777777" w:rsidR="00256BB2" w:rsidRPr="00FD551E" w:rsidRDefault="00256BB2" w:rsidP="008B2726">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256BB2" w:rsidRPr="00FD551E" w14:paraId="7A7A88E0" w14:textId="77777777" w:rsidTr="008B2726">
        <w:trPr>
          <w:trHeight w:val="330"/>
        </w:trPr>
        <w:tc>
          <w:tcPr>
            <w:tcW w:w="893" w:type="dxa"/>
            <w:vAlign w:val="center"/>
            <w:hideMark/>
          </w:tcPr>
          <w:p w14:paraId="6B1B55B4" w14:textId="77777777" w:rsidR="00256BB2" w:rsidRPr="00FD551E" w:rsidRDefault="00256BB2" w:rsidP="008B2726">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B3D739" w14:textId="77777777" w:rsidR="00256BB2" w:rsidRPr="00FD551E" w:rsidRDefault="00256BB2" w:rsidP="008B2726">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185470DD" w14:textId="77777777" w:rsidR="00256BB2" w:rsidRPr="00FD551E" w:rsidRDefault="00256BB2" w:rsidP="008B2726">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256BB2" w:rsidRPr="00FD551E" w14:paraId="2E6409D8" w14:textId="77777777" w:rsidTr="008B2726">
        <w:trPr>
          <w:trHeight w:val="300"/>
        </w:trPr>
        <w:tc>
          <w:tcPr>
            <w:tcW w:w="893" w:type="dxa"/>
            <w:vAlign w:val="center"/>
          </w:tcPr>
          <w:p w14:paraId="49E1FB3A" w14:textId="77777777" w:rsidR="00256BB2" w:rsidRPr="00FD551E" w:rsidRDefault="00256BB2" w:rsidP="008B2726">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6FB1AA" w14:textId="77777777" w:rsidR="00256BB2" w:rsidRPr="00FD551E" w:rsidRDefault="00256BB2" w:rsidP="008B2726">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40FFBF8B" w14:textId="77777777" w:rsidR="00256BB2" w:rsidRPr="00FD551E" w:rsidRDefault="00256BB2" w:rsidP="008B2726">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3FDD4F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D1285" w14:textId="77777777" w:rsidR="00967B58" w:rsidRDefault="00967B58" w:rsidP="004A1847">
      <w:pPr>
        <w:spacing w:after="0" w:line="240" w:lineRule="auto"/>
      </w:pPr>
      <w:r>
        <w:separator/>
      </w:r>
    </w:p>
  </w:endnote>
  <w:endnote w:type="continuationSeparator" w:id="0">
    <w:p w14:paraId="7A04647A" w14:textId="77777777" w:rsidR="00967B58" w:rsidRDefault="00967B5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Arial"/>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95200" w14:textId="77777777" w:rsidR="00967B58" w:rsidRDefault="00967B58" w:rsidP="004A1847">
      <w:pPr>
        <w:spacing w:after="0" w:line="240" w:lineRule="auto"/>
      </w:pPr>
      <w:r>
        <w:separator/>
      </w:r>
    </w:p>
  </w:footnote>
  <w:footnote w:type="continuationSeparator" w:id="0">
    <w:p w14:paraId="04D9CDB7" w14:textId="77777777" w:rsidR="00967B58" w:rsidRDefault="00967B58" w:rsidP="004A1847">
      <w:pPr>
        <w:spacing w:after="0" w:line="240" w:lineRule="auto"/>
      </w:pPr>
      <w:r>
        <w:continuationSeparator/>
      </w:r>
    </w:p>
  </w:footnote>
  <w:footnote w:id="1">
    <w:p w14:paraId="11EBEF03"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33D070E" w14:textId="77777777" w:rsidR="00256BB2" w:rsidRDefault="00256BB2" w:rsidP="00256BB2">
      <w:pPr>
        <w:pStyle w:val="Textonotapie"/>
        <w:ind w:firstLine="709"/>
        <w:jc w:val="both"/>
        <w:rPr>
          <w:rFonts w:ascii="Verdana" w:hAnsi="Verdana" w:cs="Arial"/>
          <w:sz w:val="16"/>
          <w:szCs w:val="16"/>
        </w:rPr>
      </w:pPr>
      <w:r w:rsidRPr="00E526D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7446A11" w14:textId="77777777" w:rsidR="00256BB2" w:rsidRPr="00E526D8" w:rsidRDefault="00256BB2" w:rsidP="00256BB2">
      <w:pPr>
        <w:pStyle w:val="Textonotapie"/>
        <w:ind w:firstLine="709"/>
        <w:jc w:val="both"/>
        <w:rPr>
          <w:rFonts w:ascii="Verdana" w:hAnsi="Verdana" w:cs="Arial"/>
          <w:sz w:val="16"/>
          <w:szCs w:val="16"/>
        </w:rPr>
      </w:pPr>
    </w:p>
  </w:footnote>
  <w:footnote w:id="2">
    <w:p w14:paraId="16A6010B"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Gaceta del Congreso de la República No. 71 del 2005.</w:t>
      </w:r>
    </w:p>
    <w:p w14:paraId="7982C800" w14:textId="77777777" w:rsidR="00256BB2" w:rsidRPr="00E526D8" w:rsidRDefault="00256BB2" w:rsidP="00256BB2">
      <w:pPr>
        <w:pStyle w:val="Textonotapie"/>
        <w:ind w:firstLine="709"/>
        <w:jc w:val="both"/>
        <w:rPr>
          <w:rFonts w:ascii="Verdana" w:hAnsi="Verdana" w:cs="Arial"/>
          <w:sz w:val="16"/>
          <w:szCs w:val="16"/>
        </w:rPr>
      </w:pPr>
    </w:p>
  </w:footnote>
  <w:footnote w:id="3">
    <w:p w14:paraId="293FB35E"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 C- 1153 de 2005, M.P. Marco Gerardo Monroy Cabra.</w:t>
      </w:r>
    </w:p>
    <w:p w14:paraId="0BD0F14C" w14:textId="77777777" w:rsidR="00256BB2" w:rsidRPr="00E526D8" w:rsidRDefault="00256BB2" w:rsidP="00256BB2">
      <w:pPr>
        <w:pStyle w:val="Textonotapie"/>
        <w:ind w:firstLine="709"/>
        <w:jc w:val="both"/>
        <w:rPr>
          <w:rFonts w:ascii="Verdana" w:hAnsi="Verdana" w:cs="Arial"/>
          <w:sz w:val="16"/>
          <w:szCs w:val="16"/>
        </w:rPr>
      </w:pPr>
    </w:p>
  </w:footnote>
  <w:footnote w:id="4">
    <w:p w14:paraId="69C5A369"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E1AD2D4" w14:textId="77777777" w:rsidR="00256BB2" w:rsidRPr="00E526D8" w:rsidRDefault="00256BB2" w:rsidP="00256BB2">
      <w:pPr>
        <w:pStyle w:val="Textonotapie"/>
        <w:ind w:firstLine="709"/>
        <w:jc w:val="both"/>
        <w:rPr>
          <w:rFonts w:ascii="Verdana" w:hAnsi="Verdana" w:cs="Arial"/>
          <w:sz w:val="16"/>
          <w:szCs w:val="16"/>
        </w:rPr>
      </w:pPr>
    </w:p>
  </w:footnote>
  <w:footnote w:id="5">
    <w:p w14:paraId="4616E722" w14:textId="77777777" w:rsidR="00256BB2" w:rsidRPr="00E526D8" w:rsidRDefault="00256BB2" w:rsidP="00256BB2">
      <w:pPr>
        <w:pStyle w:val="Textonotapie"/>
        <w:ind w:firstLine="708"/>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7ADCE34" w14:textId="77777777" w:rsidR="00256BB2" w:rsidRPr="00E526D8" w:rsidRDefault="00256BB2" w:rsidP="00256BB2">
      <w:pPr>
        <w:pStyle w:val="Textonotapie"/>
        <w:ind w:firstLine="708"/>
        <w:jc w:val="both"/>
        <w:rPr>
          <w:rFonts w:ascii="Verdana" w:hAnsi="Verdana" w:cs="Arial"/>
          <w:sz w:val="16"/>
          <w:szCs w:val="16"/>
          <w:lang w:val="es-CO"/>
        </w:rPr>
      </w:pPr>
    </w:p>
  </w:footnote>
  <w:footnote w:id="6">
    <w:p w14:paraId="61CC8C56"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de fecha 24 de julio de 2013, radicado 2166, Consejero Ponente: Álvaro Namén Vargas.  </w:t>
      </w:r>
    </w:p>
    <w:p w14:paraId="7F30AB5C" w14:textId="77777777" w:rsidR="00256BB2" w:rsidRPr="00E526D8" w:rsidRDefault="00256BB2" w:rsidP="00256BB2">
      <w:pPr>
        <w:pStyle w:val="Textonotapie"/>
        <w:ind w:firstLine="709"/>
        <w:jc w:val="both"/>
        <w:rPr>
          <w:rFonts w:ascii="Verdana" w:hAnsi="Verdana" w:cs="Arial"/>
          <w:sz w:val="16"/>
          <w:szCs w:val="16"/>
        </w:rPr>
      </w:pPr>
    </w:p>
  </w:footnote>
  <w:footnote w:id="7">
    <w:p w14:paraId="092AECC0" w14:textId="77777777" w:rsidR="00256BB2" w:rsidRPr="00E526D8" w:rsidRDefault="00256BB2" w:rsidP="00256BB2">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bCs/>
          <w:color w:val="000000"/>
          <w:sz w:val="16"/>
          <w:szCs w:val="16"/>
        </w:rPr>
        <w:t>“</w:t>
      </w:r>
      <w:r w:rsidRPr="00E526D8">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EC92CD5" w14:textId="77777777" w:rsidR="00256BB2" w:rsidRPr="00E526D8" w:rsidRDefault="00256BB2" w:rsidP="00256BB2">
      <w:pPr>
        <w:spacing w:after="0" w:line="240" w:lineRule="auto"/>
        <w:ind w:firstLine="709"/>
        <w:jc w:val="both"/>
        <w:rPr>
          <w:rFonts w:ascii="Verdana" w:hAnsi="Verdana" w:cs="Arial"/>
          <w:sz w:val="16"/>
          <w:szCs w:val="16"/>
        </w:rPr>
      </w:pPr>
      <w:r w:rsidRPr="00E526D8">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26D8">
        <w:rPr>
          <w:rFonts w:ascii="Verdana" w:hAnsi="Verdana" w:cs="Arial"/>
          <w:bCs/>
          <w:color w:val="000000"/>
          <w:sz w:val="16"/>
          <w:szCs w:val="16"/>
        </w:rPr>
        <w:t>”</w:t>
      </w:r>
      <w:r w:rsidRPr="00E526D8">
        <w:rPr>
          <w:rFonts w:ascii="Verdana" w:hAnsi="Verdana" w:cs="Arial"/>
          <w:sz w:val="16"/>
          <w:szCs w:val="16"/>
        </w:rPr>
        <w:t>.</w:t>
      </w:r>
    </w:p>
    <w:p w14:paraId="16C9D23B" w14:textId="77777777" w:rsidR="00256BB2" w:rsidRPr="00E526D8" w:rsidRDefault="00256BB2" w:rsidP="00256BB2">
      <w:pPr>
        <w:spacing w:after="0" w:line="240" w:lineRule="auto"/>
        <w:ind w:firstLine="709"/>
        <w:jc w:val="both"/>
        <w:rPr>
          <w:rFonts w:ascii="Verdana" w:hAnsi="Verdana" w:cs="Arial"/>
          <w:sz w:val="16"/>
          <w:szCs w:val="16"/>
        </w:rPr>
      </w:pPr>
    </w:p>
  </w:footnote>
  <w:footnote w:id="8">
    <w:p w14:paraId="5792D5A8" w14:textId="77777777" w:rsidR="00256BB2" w:rsidRPr="00E526D8" w:rsidRDefault="00256BB2" w:rsidP="00256BB2">
      <w:pPr>
        <w:pStyle w:val="NormalWeb"/>
        <w:spacing w:before="0" w:beforeAutospacing="0" w:after="0" w:afterAutospacing="0"/>
        <w:ind w:firstLine="709"/>
        <w:jc w:val="both"/>
        <w:rPr>
          <w:rFonts w:ascii="Verdana" w:hAnsi="Verdana" w:cs="Arial"/>
          <w:sz w:val="16"/>
          <w:szCs w:val="16"/>
          <w:lang w:val="es-MX"/>
        </w:rPr>
      </w:pPr>
      <w:r w:rsidRPr="00E526D8">
        <w:rPr>
          <w:rStyle w:val="Refdenotaalpie"/>
          <w:rFonts w:ascii="Verdana" w:hAnsi="Verdana" w:cs="Arial"/>
          <w:sz w:val="16"/>
          <w:szCs w:val="16"/>
        </w:rPr>
        <w:footnoteRef/>
      </w:r>
      <w:r w:rsidRPr="00E526D8">
        <w:rPr>
          <w:rFonts w:ascii="Verdana" w:hAnsi="Verdana" w:cs="Arial"/>
          <w:sz w:val="16"/>
          <w:szCs w:val="16"/>
        </w:rPr>
        <w:t xml:space="preserve"> </w:t>
      </w:r>
      <w:bookmarkStart w:id="3" w:name="38"/>
      <w:r w:rsidRPr="00E526D8">
        <w:rPr>
          <w:rFonts w:ascii="Verdana" w:hAnsi="Verdana" w:cs="Arial"/>
          <w:sz w:val="16"/>
          <w:szCs w:val="16"/>
        </w:rPr>
        <w:t>“</w:t>
      </w:r>
      <w:r w:rsidRPr="00E526D8">
        <w:rPr>
          <w:rFonts w:ascii="Verdana" w:hAnsi="Verdana" w:cs="Arial"/>
          <w:sz w:val="16"/>
          <w:szCs w:val="16"/>
          <w:lang w:val="es-MX"/>
        </w:rPr>
        <w:t>Artículo 38. Prohibiciones para los servidores públicos. A los empleados del Estado les está prohibido:</w:t>
      </w:r>
      <w:bookmarkEnd w:id="3"/>
      <w:r w:rsidRPr="00E526D8">
        <w:rPr>
          <w:rFonts w:ascii="Verdana" w:hAnsi="Verdana" w:cs="Arial"/>
          <w:sz w:val="16"/>
          <w:szCs w:val="16"/>
          <w:lang w:val="es-MX"/>
        </w:rPr>
        <w:t xml:space="preserve"> […] </w:t>
      </w:r>
      <w:r w:rsidRPr="00E526D8">
        <w:rPr>
          <w:rStyle w:val="baj"/>
          <w:rFonts w:ascii="Verdana" w:hAnsi="Verdana" w:cs="Arial"/>
          <w:sz w:val="16"/>
          <w:szCs w:val="16"/>
          <w:lang w:val="es-MX"/>
        </w:rPr>
        <w:t>Parágrafo.</w:t>
      </w:r>
      <w:r w:rsidRPr="00E526D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26D8">
        <w:rPr>
          <w:rFonts w:ascii="Verdana" w:eastAsia="Calibri" w:hAnsi="Verdana" w:cs="Arial"/>
          <w:bCs/>
          <w:color w:val="000000"/>
          <w:sz w:val="16"/>
          <w:szCs w:val="16"/>
        </w:rPr>
        <w:t>”</w:t>
      </w:r>
      <w:r w:rsidRPr="00E526D8">
        <w:rPr>
          <w:rFonts w:ascii="Verdana" w:hAnsi="Verdana" w:cs="Arial"/>
          <w:sz w:val="16"/>
          <w:szCs w:val="16"/>
          <w:lang w:val="es-MX"/>
        </w:rPr>
        <w:t>.</w:t>
      </w:r>
    </w:p>
    <w:p w14:paraId="371B7F06" w14:textId="77777777" w:rsidR="00256BB2" w:rsidRPr="00E526D8" w:rsidRDefault="00256BB2" w:rsidP="00256BB2">
      <w:pPr>
        <w:pStyle w:val="NormalWeb"/>
        <w:spacing w:before="0" w:beforeAutospacing="0" w:after="0" w:afterAutospacing="0"/>
        <w:ind w:firstLine="709"/>
        <w:jc w:val="both"/>
        <w:rPr>
          <w:rFonts w:ascii="Verdana" w:hAnsi="Verdana" w:cs="Arial"/>
          <w:sz w:val="16"/>
          <w:szCs w:val="16"/>
          <w:lang w:val="es-MX"/>
        </w:rPr>
      </w:pPr>
    </w:p>
  </w:footnote>
  <w:footnote w:id="9">
    <w:p w14:paraId="34E4DFB9" w14:textId="77777777" w:rsidR="00256BB2" w:rsidRPr="00E526D8" w:rsidRDefault="00256BB2" w:rsidP="00256BB2">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17 de febrero de 2015. C.P. William Zambrano Cetina. Radicación No. 11001-03-06-000-2015-00164-00(2269).</w:t>
      </w:r>
    </w:p>
    <w:p w14:paraId="4B678E2E" w14:textId="77777777" w:rsidR="00256BB2" w:rsidRPr="00E526D8" w:rsidRDefault="00256BB2" w:rsidP="00256BB2">
      <w:pPr>
        <w:spacing w:after="0" w:line="240" w:lineRule="auto"/>
        <w:ind w:firstLine="709"/>
        <w:jc w:val="both"/>
        <w:rPr>
          <w:rFonts w:ascii="Verdana" w:hAnsi="Verdana" w:cs="Arial"/>
          <w:sz w:val="16"/>
          <w:szCs w:val="16"/>
          <w:lang w:val="es-ES"/>
        </w:rPr>
      </w:pPr>
    </w:p>
  </w:footnote>
  <w:footnote w:id="10">
    <w:p w14:paraId="5EC6499C"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Sección Tercera. Sentencia de 3 de diciembre de 2007. Radicados: 24.715, 25.206, 25.409, 24.524, 27.834, 25.410, 26.105, 28.244, 31.447 -acumulados- “.</w:t>
      </w:r>
    </w:p>
    <w:p w14:paraId="7802C9C6" w14:textId="77777777" w:rsidR="00256BB2" w:rsidRPr="00E526D8" w:rsidRDefault="00256BB2" w:rsidP="00256BB2">
      <w:pPr>
        <w:pStyle w:val="Textonotapie"/>
        <w:ind w:firstLine="709"/>
        <w:jc w:val="both"/>
        <w:rPr>
          <w:rFonts w:ascii="Verdana" w:hAnsi="Verdana" w:cs="Arial"/>
          <w:sz w:val="16"/>
          <w:szCs w:val="16"/>
        </w:rPr>
      </w:pPr>
    </w:p>
  </w:footnote>
  <w:footnote w:id="11">
    <w:p w14:paraId="1E03A48C"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“Al respecto ver el concepto 1712 de 2 de febrero de 2006. Consejo de Estado Sala de Consulta y Servicio Civil”.</w:t>
      </w:r>
    </w:p>
    <w:p w14:paraId="0CCC4CD4" w14:textId="77777777" w:rsidR="00256BB2" w:rsidRPr="00E526D8" w:rsidRDefault="00256BB2" w:rsidP="00256BB2">
      <w:pPr>
        <w:pStyle w:val="Textonotapie"/>
        <w:ind w:firstLine="709"/>
        <w:jc w:val="both"/>
        <w:rPr>
          <w:rFonts w:ascii="Verdana" w:hAnsi="Verdana" w:cs="Arial"/>
          <w:sz w:val="16"/>
          <w:szCs w:val="16"/>
        </w:rPr>
      </w:pPr>
    </w:p>
  </w:footnote>
  <w:footnote w:id="12">
    <w:p w14:paraId="14AC1CD0"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29DA0917" w14:textId="77777777" w:rsidR="00256BB2" w:rsidRPr="00E526D8" w:rsidRDefault="00256BB2" w:rsidP="00256BB2">
      <w:pPr>
        <w:pStyle w:val="Textonotapie"/>
        <w:ind w:firstLine="709"/>
        <w:jc w:val="both"/>
        <w:rPr>
          <w:rFonts w:ascii="Verdana" w:hAnsi="Verdana" w:cs="Arial"/>
          <w:sz w:val="16"/>
          <w:szCs w:val="16"/>
        </w:rPr>
      </w:pPr>
    </w:p>
  </w:footnote>
  <w:footnote w:id="13">
    <w:p w14:paraId="2C9B93AB" w14:textId="77777777" w:rsidR="00256BB2" w:rsidRPr="00E526D8" w:rsidRDefault="00256BB2" w:rsidP="00256BB2">
      <w:pPr>
        <w:pStyle w:val="Textonotapie"/>
        <w:ind w:firstLine="708"/>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677CD891" w14:textId="77777777" w:rsidR="00256BB2" w:rsidRPr="00E526D8" w:rsidRDefault="00256BB2" w:rsidP="00256BB2">
      <w:pPr>
        <w:pStyle w:val="Textonotapie"/>
        <w:ind w:firstLine="708"/>
        <w:jc w:val="both"/>
        <w:rPr>
          <w:rFonts w:ascii="Verdana" w:hAnsi="Verdana" w:cs="Arial"/>
          <w:sz w:val="16"/>
          <w:szCs w:val="16"/>
        </w:rPr>
      </w:pPr>
      <w:r w:rsidRPr="00E526D8">
        <w:rPr>
          <w:rFonts w:ascii="Verdana" w:hAnsi="Verdana" w:cs="Arial"/>
          <w:sz w:val="16"/>
          <w:szCs w:val="16"/>
        </w:rPr>
        <w:t>[…]</w:t>
      </w:r>
    </w:p>
    <w:p w14:paraId="3B8D1D86" w14:textId="77777777" w:rsidR="00256BB2" w:rsidRPr="00E526D8" w:rsidRDefault="00256BB2" w:rsidP="00256BB2">
      <w:pPr>
        <w:pStyle w:val="Textonotapie"/>
        <w:ind w:firstLine="708"/>
        <w:jc w:val="both"/>
        <w:rPr>
          <w:rFonts w:ascii="Verdana" w:hAnsi="Verdana" w:cs="Arial"/>
          <w:sz w:val="16"/>
          <w:szCs w:val="16"/>
        </w:rPr>
      </w:pPr>
      <w:r w:rsidRPr="00E526D8">
        <w:rPr>
          <w:rFonts w:ascii="Verdana" w:hAnsi="Verdana" w:cs="Arial"/>
          <w:sz w:val="16"/>
          <w:szCs w:val="16"/>
        </w:rPr>
        <w:t>5. Contratación mínima cuantía. [Numeral modificado por el artículo 30 de la Ley 2069 de 2020]”.</w:t>
      </w:r>
    </w:p>
  </w:footnote>
  <w:footnote w:id="14">
    <w:p w14:paraId="2FB27845" w14:textId="77777777" w:rsidR="00256BB2" w:rsidRPr="00E526D8" w:rsidRDefault="00256BB2" w:rsidP="00256BB2">
      <w:pPr>
        <w:pStyle w:val="Textonotapie"/>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 xml:space="preserve">“[…] A este respecto, cabe recordar que el artículo 860 del Código de Comercio regula la licitación en el derecho privado”. </w:t>
      </w:r>
    </w:p>
    <w:p w14:paraId="6CBCB9B1" w14:textId="77777777" w:rsidR="00256BB2" w:rsidRPr="00E526D8" w:rsidRDefault="00256BB2" w:rsidP="00256BB2">
      <w:pPr>
        <w:pStyle w:val="Textonotapie"/>
        <w:ind w:firstLine="709"/>
        <w:jc w:val="both"/>
        <w:rPr>
          <w:rFonts w:ascii="Verdana" w:hAnsi="Verdana" w:cs="Arial"/>
          <w:sz w:val="16"/>
          <w:szCs w:val="16"/>
          <w:lang w:val="es-ES"/>
        </w:rPr>
      </w:pPr>
    </w:p>
  </w:footnote>
  <w:footnote w:id="15">
    <w:p w14:paraId="1F2CB835" w14:textId="77777777" w:rsidR="00256BB2" w:rsidRPr="00E526D8" w:rsidRDefault="00256BB2" w:rsidP="00256BB2">
      <w:pPr>
        <w:shd w:val="clear" w:color="auto" w:fill="FFFFFF"/>
        <w:spacing w:after="0" w:line="240" w:lineRule="auto"/>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11A39B4E" w14:textId="77777777" w:rsidR="00256BB2" w:rsidRPr="00E526D8" w:rsidRDefault="00256BB2" w:rsidP="00256BB2">
      <w:pPr>
        <w:shd w:val="clear" w:color="auto" w:fill="FFFFFF"/>
        <w:spacing w:after="0" w:line="240" w:lineRule="auto"/>
        <w:ind w:firstLine="709"/>
        <w:jc w:val="both"/>
        <w:rPr>
          <w:rFonts w:ascii="Verdana" w:hAnsi="Verdana" w:cs="Arial"/>
          <w:sz w:val="16"/>
          <w:szCs w:val="16"/>
          <w:lang w:val="es-ES"/>
        </w:rPr>
      </w:pPr>
    </w:p>
  </w:footnote>
  <w:footnote w:id="16">
    <w:p w14:paraId="4C89AED7"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08 de mayo de 2018. Exp. 2.382. C.P. Álvaro Namén Vargas.</w:t>
      </w:r>
    </w:p>
    <w:p w14:paraId="59054E16" w14:textId="77777777" w:rsidR="00256BB2" w:rsidRPr="00E526D8" w:rsidRDefault="00256BB2" w:rsidP="00256BB2">
      <w:pPr>
        <w:pStyle w:val="Textonotapie"/>
        <w:ind w:firstLine="709"/>
        <w:jc w:val="both"/>
        <w:rPr>
          <w:rFonts w:ascii="Verdana" w:hAnsi="Verdana" w:cs="Arial"/>
          <w:sz w:val="16"/>
          <w:szCs w:val="16"/>
        </w:rPr>
      </w:pPr>
    </w:p>
  </w:footnote>
  <w:footnote w:id="17">
    <w:p w14:paraId="3B9195FB" w14:textId="77777777" w:rsidR="00256BB2" w:rsidRPr="00E526D8" w:rsidRDefault="00256BB2" w:rsidP="00256BB2">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p w14:paraId="5B339EEA" w14:textId="77777777" w:rsidR="00256BB2" w:rsidRPr="00E526D8" w:rsidRDefault="00256BB2" w:rsidP="00256BB2">
      <w:pPr>
        <w:pStyle w:val="Textonotapie"/>
        <w:ind w:firstLine="709"/>
        <w:jc w:val="both"/>
        <w:rPr>
          <w:rFonts w:ascii="Verdana" w:hAnsi="Verdana" w:cs="Arial"/>
          <w:sz w:val="16"/>
          <w:szCs w:val="16"/>
        </w:rPr>
      </w:pPr>
    </w:p>
  </w:footnote>
  <w:footnote w:id="18">
    <w:p w14:paraId="666463F4" w14:textId="77777777" w:rsidR="00256BB2" w:rsidRPr="00E526D8" w:rsidRDefault="00256BB2" w:rsidP="00256BB2">
      <w:pPr>
        <w:spacing w:after="0" w:line="240" w:lineRule="auto"/>
        <w:ind w:firstLine="709"/>
        <w:jc w:val="both"/>
        <w:rPr>
          <w:rFonts w:ascii="Verdana" w:hAnsi="Verdana" w:cs="Arial"/>
          <w:color w:val="000000"/>
          <w:sz w:val="16"/>
          <w:szCs w:val="16"/>
        </w:rPr>
      </w:pPr>
      <w:r w:rsidRPr="00E526D8">
        <w:rPr>
          <w:rStyle w:val="Refdenotaalpie"/>
          <w:rFonts w:ascii="Verdana" w:hAnsi="Verdana" w:cs="Arial"/>
          <w:color w:val="000000"/>
          <w:sz w:val="16"/>
          <w:szCs w:val="16"/>
        </w:rPr>
        <w:footnoteRef/>
      </w:r>
      <w:r w:rsidRPr="00E526D8">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45B6587" w14:textId="77777777" w:rsidR="00256BB2" w:rsidRPr="00E526D8" w:rsidRDefault="00256BB2" w:rsidP="00256BB2">
      <w:pPr>
        <w:spacing w:after="0" w:line="240" w:lineRule="auto"/>
        <w:ind w:firstLine="709"/>
        <w:jc w:val="both"/>
        <w:rPr>
          <w:rFonts w:ascii="Verdana" w:hAnsi="Verdana" w:cs="Arial"/>
          <w:color w:val="000000"/>
          <w:sz w:val="16"/>
          <w:szCs w:val="16"/>
        </w:rPr>
      </w:pPr>
    </w:p>
  </w:footnote>
  <w:footnote w:id="19">
    <w:p w14:paraId="3152B660" w14:textId="77777777" w:rsidR="00256BB2" w:rsidRPr="00E526D8" w:rsidRDefault="00256BB2" w:rsidP="00256BB2">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lang w:val="es-CO"/>
        </w:rPr>
        <w:t xml:space="preserve"> Consejo de Estado, Sección Tercera. Auto del 4 de octubre de 2024. Exp. 70.313. C.P: Fredy Ibarra Martínez.</w:t>
      </w:r>
    </w:p>
    <w:p w14:paraId="4D2B3B8B" w14:textId="77777777" w:rsidR="00256BB2" w:rsidRPr="00E526D8" w:rsidRDefault="00256BB2" w:rsidP="00256BB2">
      <w:pPr>
        <w:pStyle w:val="Textonotapie"/>
        <w:ind w:firstLine="709"/>
        <w:jc w:val="both"/>
        <w:rPr>
          <w:rFonts w:ascii="Verdana" w:hAnsi="Verdana"/>
          <w:sz w:val="16"/>
          <w:szCs w:val="16"/>
          <w:lang w:val="es-CO"/>
        </w:rPr>
      </w:pPr>
    </w:p>
  </w:footnote>
  <w:footnote w:id="20">
    <w:p w14:paraId="0E9825F5" w14:textId="77777777" w:rsidR="00256BB2" w:rsidRPr="00E526D8" w:rsidRDefault="00256BB2" w:rsidP="00256BB2">
      <w:pPr>
        <w:spacing w:after="0" w:line="240" w:lineRule="auto"/>
        <w:ind w:firstLine="709"/>
        <w:jc w:val="both"/>
        <w:rPr>
          <w:rFonts w:ascii="Verdana" w:eastAsia="Times New Roman" w:hAnsi="Verdana" w:cs="Times New Roman"/>
          <w:sz w:val="16"/>
          <w:szCs w:val="16"/>
          <w:lang w:eastAsia="es-ES"/>
        </w:rPr>
      </w:pPr>
      <w:r w:rsidRPr="00E526D8">
        <w:rPr>
          <w:rStyle w:val="Refdenotaalpie"/>
          <w:rFonts w:ascii="Verdana" w:hAnsi="Verdana"/>
          <w:sz w:val="16"/>
          <w:szCs w:val="16"/>
        </w:rPr>
        <w:footnoteRef/>
      </w:r>
      <w:r w:rsidRPr="00E526D8">
        <w:rPr>
          <w:rFonts w:ascii="Verdana" w:hAnsi="Verdana"/>
          <w:sz w:val="16"/>
          <w:szCs w:val="16"/>
        </w:rPr>
        <w:t xml:space="preserve"> </w:t>
      </w:r>
      <w:r w:rsidRPr="00E526D8">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E526D8">
        <w:rPr>
          <w:rFonts w:ascii="Verdana" w:hAnsi="Verdana"/>
          <w:sz w:val="16"/>
          <w:szCs w:val="16"/>
        </w:rPr>
        <w:t xml:space="preserve">La parte de la providencia señala: </w:t>
      </w:r>
      <w:r w:rsidRPr="00E526D8">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7DF4CF0A" w14:textId="77777777" w:rsidR="00256BB2" w:rsidRPr="00E526D8" w:rsidRDefault="00256BB2" w:rsidP="00256BB2">
      <w:pPr>
        <w:spacing w:after="0" w:line="240" w:lineRule="auto"/>
        <w:ind w:firstLine="709"/>
        <w:jc w:val="both"/>
        <w:rPr>
          <w:rFonts w:ascii="Verdana" w:eastAsia="Times New Roman" w:hAnsi="Verdana" w:cs="Times New Roman"/>
          <w:sz w:val="16"/>
          <w:szCs w:val="16"/>
          <w:lang w:eastAsia="es-ES"/>
        </w:rPr>
      </w:pPr>
    </w:p>
  </w:footnote>
  <w:footnote w:id="21">
    <w:p w14:paraId="33B7A4D3" w14:textId="77777777" w:rsidR="00256BB2" w:rsidRPr="00E526D8" w:rsidRDefault="00256BB2" w:rsidP="00256BB2">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273B059A" w14:textId="77777777" w:rsidR="00256BB2" w:rsidRPr="00A0267C" w:rsidRDefault="00256BB2" w:rsidP="00256BB2">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3">
    <w:p w14:paraId="1E529B58" w14:textId="77777777" w:rsidR="00256BB2" w:rsidRPr="00A0267C" w:rsidRDefault="00256BB2" w:rsidP="00256BB2">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C-1153 de 2005 M.P. Marco Gerardo Monroy Cabra. </w:t>
      </w:r>
    </w:p>
  </w:footnote>
  <w:footnote w:id="24">
    <w:p w14:paraId="621E53DC" w14:textId="77777777" w:rsidR="00256BB2" w:rsidRPr="00A0267C" w:rsidRDefault="00256BB2" w:rsidP="00256BB2">
      <w:pPr>
        <w:pStyle w:val="Textonotapie"/>
        <w:ind w:firstLine="708"/>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0267C">
        <w:rPr>
          <w:rFonts w:ascii="Verdana" w:hAnsi="Verdana"/>
          <w:i/>
          <w:iCs/>
          <w:sz w:val="16"/>
          <w:szCs w:val="16"/>
        </w:rPr>
        <w:t>las palabras de la ley se entenderán en su sentido natural y obvio, según el uso general de las mismas palabras</w:t>
      </w:r>
      <w:r w:rsidRPr="00A0267C">
        <w:rPr>
          <w:rFonts w:ascii="Verdana" w:hAnsi="Verdana"/>
          <w:sz w:val="16"/>
          <w:szCs w:val="16"/>
        </w:rPr>
        <w:t>’, es decir, el uso de la gente educada. El Diccionario de la Lengua publicado por la Real Academia Española goza a este respecto de gran autoridad. ‘</w:t>
      </w:r>
      <w:r w:rsidRPr="00A0267C">
        <w:rPr>
          <w:rFonts w:ascii="Verdana" w:hAnsi="Verdana"/>
          <w:i/>
          <w:iCs/>
          <w:sz w:val="16"/>
          <w:szCs w:val="16"/>
        </w:rPr>
        <w:t>Pero cuando el legislador</w:t>
      </w:r>
      <w:r w:rsidRPr="00A0267C">
        <w:rPr>
          <w:rFonts w:ascii="Verdana" w:hAnsi="Verdana"/>
          <w:sz w:val="16"/>
          <w:szCs w:val="16"/>
        </w:rPr>
        <w:t xml:space="preserve">, agrega el artículo 20, </w:t>
      </w:r>
      <w:r w:rsidRPr="00A0267C">
        <w:rPr>
          <w:rFonts w:ascii="Verdana" w:hAnsi="Verdana"/>
          <w:i/>
          <w:iCs/>
          <w:sz w:val="16"/>
          <w:szCs w:val="16"/>
        </w:rPr>
        <w:t>las haya definido expresamente para ciertas materias se les dará en éstas su significado legal</w:t>
      </w:r>
      <w:r w:rsidRPr="00A0267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5">
    <w:p w14:paraId="40841768" w14:textId="77777777" w:rsidR="00256BB2" w:rsidRPr="00A0267C" w:rsidRDefault="00256BB2" w:rsidP="00256BB2">
      <w:pPr>
        <w:spacing w:after="0" w:line="240" w:lineRule="auto"/>
        <w:ind w:firstLine="708"/>
        <w:jc w:val="both"/>
        <w:rPr>
          <w:rFonts w:ascii="Verdana" w:eastAsia="Calibri" w:hAnsi="Verdana" w:cs="Arial"/>
          <w:sz w:val="16"/>
          <w:szCs w:val="16"/>
          <w:lang w:val="es-ES_tradnl"/>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_tradnl"/>
        </w:rPr>
        <w:t>La jurisprudencia delimita su sentido y alcance de la siguiente manera –</w:t>
      </w:r>
      <w:r w:rsidRPr="00A0267C">
        <w:rPr>
          <w:rFonts w:ascii="Verdana" w:hAnsi="Verdana" w:cs="Arial"/>
          <w:sz w:val="16"/>
          <w:szCs w:val="16"/>
          <w:lang w:val="es-ES"/>
        </w:rPr>
        <w:t>CORTE SUPREMA DE JUSTICIA. Sala de Casación Civil. Sentencia 20 de noviembre de 1989. MP. Alberto Ospina Botero. Publicada en la Gaceta Judicial. Tomo CXCVI. N° 2435. p. 93</w:t>
      </w:r>
      <w:r w:rsidRPr="00A0267C">
        <w:rPr>
          <w:rFonts w:ascii="Verdana" w:hAnsi="Verdana" w:cs="Arial"/>
          <w:sz w:val="16"/>
          <w:szCs w:val="16"/>
          <w:lang w:val="es-ES_tradnl"/>
        </w:rPr>
        <w:t>–:</w:t>
      </w:r>
    </w:p>
    <w:p w14:paraId="2682CD9F" w14:textId="77777777" w:rsidR="00256BB2" w:rsidRPr="00A0267C" w:rsidRDefault="00256BB2" w:rsidP="00256BB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“6. […] la fuerza mayor o caso fortuito se configura por la concurrencia de dos factores:</w:t>
      </w:r>
    </w:p>
    <w:p w14:paraId="03170244" w14:textId="77777777" w:rsidR="00256BB2" w:rsidRPr="00A0267C" w:rsidRDefault="00256BB2" w:rsidP="00256BB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24BE9258" w14:textId="77777777" w:rsidR="00256BB2" w:rsidRPr="00A0267C" w:rsidRDefault="00256BB2" w:rsidP="00256BB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b) Que el hecho sea irresistible, o sea, que el agente no pueda evitar su acaecimiento ni superar sus consecuencias.</w:t>
      </w:r>
    </w:p>
    <w:p w14:paraId="3E00F0D2" w14:textId="77777777" w:rsidR="00256BB2" w:rsidRPr="00A0267C" w:rsidRDefault="00256BB2" w:rsidP="00256BB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 xml:space="preserve">En este preciso punto es indispensable anotar la diferencia existente entre la imposibilidad para resistir o superar el hecho y la dificultad para enfrentarlo. Porque un hecho no constituye caso fortuito o fuerza mayor, por la sola circunstancia de que se haga </w:t>
      </w:r>
      <w:proofErr w:type="gramStart"/>
      <w:r w:rsidRPr="00A0267C">
        <w:rPr>
          <w:rFonts w:ascii="Verdana" w:eastAsia="Calibri" w:hAnsi="Verdana" w:cs="Arial"/>
          <w:sz w:val="16"/>
          <w:szCs w:val="16"/>
          <w:lang w:val="es-ES_tradnl"/>
        </w:rPr>
        <w:t>más difícil o más onerosa</w:t>
      </w:r>
      <w:proofErr w:type="gramEnd"/>
      <w:r w:rsidRPr="00A0267C">
        <w:rPr>
          <w:rFonts w:ascii="Verdana" w:eastAsia="Calibri" w:hAnsi="Verdana" w:cs="Arial"/>
          <w:sz w:val="16"/>
          <w:szCs w:val="16"/>
          <w:lang w:val="es-ES_tradnl"/>
        </w:rPr>
        <w:t xml:space="preserve"> de lo previsto inicialmente.</w:t>
      </w:r>
    </w:p>
    <w:p w14:paraId="45237145" w14:textId="77777777" w:rsidR="00256BB2" w:rsidRPr="00A0267C" w:rsidRDefault="00256BB2" w:rsidP="00256BB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7BBD3AC1" w14:textId="77777777" w:rsidR="00256BB2" w:rsidRPr="00A0267C" w:rsidRDefault="00256BB2" w:rsidP="00256BB2">
      <w:pPr>
        <w:spacing w:after="0" w:line="240" w:lineRule="auto"/>
        <w:ind w:right="49"/>
        <w:jc w:val="both"/>
        <w:rPr>
          <w:rFonts w:ascii="Verdana" w:eastAsia="Calibri" w:hAnsi="Verdana" w:cs="Arial"/>
          <w:sz w:val="16"/>
          <w:szCs w:val="16"/>
          <w:lang w:val="es-ES_tradnl"/>
        </w:rPr>
      </w:pPr>
      <w:r w:rsidRPr="00A0267C">
        <w:rPr>
          <w:rFonts w:ascii="Verdana" w:eastAsia="Calibri" w:hAnsi="Verdana" w:cs="Arial"/>
          <w:sz w:val="16"/>
          <w:szCs w:val="16"/>
          <w:lang w:val="es-ES_tradnl"/>
        </w:rPr>
        <w:t>[…]</w:t>
      </w:r>
    </w:p>
    <w:p w14:paraId="25840463" w14:textId="77777777" w:rsidR="00256BB2" w:rsidRPr="00A0267C" w:rsidRDefault="00256BB2" w:rsidP="00256BB2">
      <w:pPr>
        <w:pStyle w:val="Textonotapie"/>
        <w:ind w:right="49" w:firstLine="708"/>
        <w:jc w:val="both"/>
        <w:rPr>
          <w:rFonts w:ascii="Verdana" w:hAnsi="Verdana" w:cs="Arial"/>
          <w:sz w:val="16"/>
          <w:szCs w:val="16"/>
          <w:lang w:val="es-CO"/>
        </w:rPr>
      </w:pPr>
      <w:r w:rsidRPr="00A0267C">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6">
    <w:p w14:paraId="54A9109F" w14:textId="77777777" w:rsidR="00256BB2" w:rsidRPr="00A0267C" w:rsidRDefault="00256BB2" w:rsidP="00256BB2">
      <w:pPr>
        <w:pStyle w:val="Textonotapie"/>
        <w:ind w:firstLine="708"/>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74EF889D"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1. Nacional. Existirá una situación de desastre nacional:</w:t>
      </w:r>
    </w:p>
    <w:p w14:paraId="2458DB9C"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7FEDAAC9"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5BBDED49"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2044E48F"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0E011007" w14:textId="77777777" w:rsidR="00256BB2" w:rsidRPr="00A0267C" w:rsidRDefault="00256BB2" w:rsidP="00256BB2">
      <w:pPr>
        <w:pStyle w:val="Textonotapie"/>
        <w:ind w:firstLine="708"/>
        <w:jc w:val="both"/>
        <w:rPr>
          <w:rFonts w:ascii="Verdana" w:hAnsi="Verdana" w:cs="Arial"/>
          <w:sz w:val="16"/>
          <w:szCs w:val="16"/>
          <w:lang w:val="es-ES"/>
        </w:rPr>
      </w:pPr>
      <w:r w:rsidRPr="00A0267C">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7">
    <w:p w14:paraId="59D09A5C" w14:textId="77777777" w:rsidR="00256BB2" w:rsidRPr="00A0267C" w:rsidRDefault="00256BB2" w:rsidP="00256BB2">
      <w:pPr>
        <w:pStyle w:val="Textonotapie"/>
        <w:ind w:firstLine="708"/>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 xml:space="preserve">Artículo 57. Declaratoria de situación de calamidad pública. </w:t>
      </w:r>
      <w:bookmarkStart w:id="13" w:name="_Hlk132729568"/>
      <w:r w:rsidRPr="00A0267C">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3"/>
      <w:r w:rsidRPr="00A0267C">
        <w:rPr>
          <w:rFonts w:ascii="Verdana" w:hAnsi="Verdana" w:cs="Arial"/>
          <w:sz w:val="16"/>
          <w:szCs w:val="16"/>
          <w:lang w:val="es-ES"/>
        </w:rPr>
        <w:t>”.</w:t>
      </w:r>
    </w:p>
  </w:footnote>
  <w:footnote w:id="28">
    <w:p w14:paraId="32BE8FA4" w14:textId="77777777" w:rsidR="00256BB2" w:rsidRPr="00A0267C" w:rsidRDefault="00256BB2" w:rsidP="00256BB2">
      <w:pPr>
        <w:pStyle w:val="Textonotapie"/>
        <w:ind w:firstLine="708"/>
        <w:jc w:val="both"/>
        <w:rPr>
          <w:rStyle w:val="Refdenotaalpie"/>
          <w:rFonts w:ascii="Verdana" w:hAnsi="Verdana" w:cs="Arial"/>
          <w:sz w:val="16"/>
          <w:szCs w:val="16"/>
          <w:vertAlign w:val="baseline"/>
        </w:rPr>
      </w:pPr>
      <w:r w:rsidRPr="00A0267C">
        <w:rPr>
          <w:rStyle w:val="Refdenotaalpie"/>
          <w:rFonts w:ascii="Verdana" w:hAnsi="Verdana" w:cs="Arial"/>
          <w:sz w:val="16"/>
          <w:szCs w:val="16"/>
        </w:rPr>
        <w:footnoteRef/>
      </w:r>
      <w:r w:rsidRPr="00A0267C">
        <w:rPr>
          <w:rStyle w:val="Refdenotaalpie"/>
          <w:rFonts w:ascii="Verdana" w:hAnsi="Verdana" w:cs="Arial"/>
          <w:sz w:val="16"/>
          <w:szCs w:val="16"/>
          <w:vertAlign w:val="baseline"/>
        </w:rPr>
        <w:t xml:space="preserve"> Ley 1575 de 2012. </w:t>
      </w:r>
      <w:r w:rsidRPr="00A0267C">
        <w:rPr>
          <w:rFonts w:ascii="Verdana" w:hAnsi="Verdana" w:cs="Arial"/>
          <w:sz w:val="16"/>
          <w:szCs w:val="16"/>
        </w:rPr>
        <w:t>“</w:t>
      </w:r>
      <w:r w:rsidRPr="00A0267C">
        <w:rPr>
          <w:rStyle w:val="Refdenotaalpie"/>
          <w:rFonts w:ascii="Verdana" w:hAnsi="Verdana" w:cs="Arial"/>
          <w:sz w:val="16"/>
          <w:szCs w:val="16"/>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539966B6" w14:textId="77777777" w:rsidR="00256BB2" w:rsidRPr="00A0267C" w:rsidRDefault="00256BB2" w:rsidP="00256BB2">
      <w:pPr>
        <w:pStyle w:val="Textonotapie"/>
        <w:ind w:firstLine="708"/>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3F062FAE" w14:textId="77777777" w:rsidR="00256BB2" w:rsidRPr="00A0267C" w:rsidRDefault="00256BB2" w:rsidP="00256BB2">
      <w:pPr>
        <w:pStyle w:val="Textonotapie"/>
        <w:ind w:firstLine="707"/>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6B5FFEB3" w14:textId="77777777" w:rsidR="00256BB2" w:rsidRPr="00A0267C" w:rsidRDefault="00256BB2" w:rsidP="00256BB2">
      <w:pPr>
        <w:pStyle w:val="Textonotapie"/>
        <w:jc w:val="both"/>
        <w:rPr>
          <w:rFonts w:ascii="Verdana" w:hAnsi="Verdana" w:cs="Arial"/>
          <w:sz w:val="16"/>
          <w:szCs w:val="16"/>
          <w:lang w:val="es-ES"/>
        </w:rPr>
      </w:pPr>
    </w:p>
  </w:footnote>
  <w:footnote w:id="29">
    <w:p w14:paraId="5CBB06B9" w14:textId="77777777" w:rsidR="00256BB2" w:rsidRPr="00E526D8" w:rsidRDefault="00256BB2" w:rsidP="00256BB2">
      <w:pPr>
        <w:spacing w:after="0" w:line="240" w:lineRule="auto"/>
        <w:ind w:firstLine="707"/>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position w:val="6"/>
          <w:sz w:val="16"/>
          <w:szCs w:val="16"/>
        </w:rPr>
        <w:t xml:space="preserve"> </w:t>
      </w:r>
      <w:r w:rsidRPr="00E526D8">
        <w:rPr>
          <w:rFonts w:ascii="Verdana" w:hAnsi="Verdana" w:cs="Arial"/>
          <w:sz w:val="16"/>
          <w:szCs w:val="16"/>
        </w:rPr>
        <w:t xml:space="preserve">Colombia Compra Eficiente. Concepto 2201913000008606, del 19 de noviembre de 2019. </w:t>
      </w:r>
    </w:p>
    <w:p w14:paraId="0DFDBE0D" w14:textId="77777777" w:rsidR="00256BB2" w:rsidRPr="00E526D8" w:rsidRDefault="00256BB2" w:rsidP="00256BB2">
      <w:pPr>
        <w:spacing w:after="0" w:line="240" w:lineRule="auto"/>
        <w:ind w:firstLine="707"/>
        <w:jc w:val="both"/>
        <w:rPr>
          <w:rFonts w:ascii="Verdana" w:hAnsi="Verdana" w:cs="Arial"/>
          <w:sz w:val="16"/>
          <w:szCs w:val="16"/>
        </w:rPr>
      </w:pPr>
    </w:p>
  </w:footnote>
  <w:footnote w:id="30">
    <w:p w14:paraId="5A70C034" w14:textId="77777777" w:rsidR="00256BB2" w:rsidRPr="00E526D8" w:rsidRDefault="00256BB2" w:rsidP="00256BB2">
      <w:pPr>
        <w:pStyle w:val="Textonotapie"/>
        <w:ind w:firstLine="707"/>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328A6FAC" w14:textId="77777777" w:rsidR="00256BB2" w:rsidRPr="0076277C" w:rsidRDefault="00256BB2" w:rsidP="00256BB2">
      <w:pPr>
        <w:pStyle w:val="Textonotapie"/>
        <w:spacing w:line="276" w:lineRule="auto"/>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1575 de 2012: “Los cuerpos de bomberos no podrán cobrar suma alguna a la ciudadanía o exigir compensación de cualquier naturaleza en contraprestación a los servicios de emergencia”.</w:t>
      </w:r>
    </w:p>
  </w:footnote>
  <w:footnote w:id="32">
    <w:p w14:paraId="03EAD8BA" w14:textId="77777777" w:rsidR="00256BB2" w:rsidRPr="0076277C" w:rsidRDefault="00256BB2" w:rsidP="00256BB2">
      <w:pPr>
        <w:pStyle w:val="Textonotapie"/>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1523 de 2012: “</w:t>
      </w:r>
      <w:r w:rsidRPr="0076277C">
        <w:rPr>
          <w:rFonts w:ascii="Verdana" w:hAnsi="Verdana"/>
          <w:sz w:val="16"/>
          <w:szCs w:val="16"/>
          <w:lang w:val="es-CO"/>
        </w:rPr>
        <w:t>Artículo 4°. </w:t>
      </w:r>
      <w:r w:rsidRPr="0076277C">
        <w:rPr>
          <w:rFonts w:ascii="Verdana" w:hAnsi="Verdana"/>
          <w:i/>
          <w:iCs/>
          <w:sz w:val="16"/>
          <w:szCs w:val="16"/>
          <w:lang w:val="es-CO"/>
        </w:rPr>
        <w:t>Definiciones. </w:t>
      </w:r>
      <w:r w:rsidRPr="0076277C">
        <w:rPr>
          <w:rFonts w:ascii="Verdana" w:hAnsi="Verdana"/>
          <w:sz w:val="16"/>
          <w:szCs w:val="16"/>
          <w:lang w:val="es-CO"/>
        </w:rPr>
        <w:t>Para efectos de la presente ley se entenderá por:</w:t>
      </w:r>
      <w:r w:rsidRPr="0076277C">
        <w:rPr>
          <w:rFonts w:ascii="Verdana" w:hAnsi="Verdana"/>
          <w:sz w:val="16"/>
          <w:szCs w:val="16"/>
        </w:rPr>
        <w:t xml:space="preserve"> </w:t>
      </w:r>
    </w:p>
    <w:p w14:paraId="638916BC" w14:textId="77777777" w:rsidR="00256BB2" w:rsidRPr="0076277C" w:rsidRDefault="00256BB2" w:rsidP="00256BB2">
      <w:pPr>
        <w:pStyle w:val="Textonotapie"/>
        <w:ind w:firstLine="709"/>
        <w:jc w:val="both"/>
        <w:rPr>
          <w:rFonts w:ascii="Verdana" w:hAnsi="Verdana"/>
          <w:sz w:val="16"/>
          <w:szCs w:val="16"/>
        </w:rPr>
      </w:pPr>
      <w:r w:rsidRPr="0076277C">
        <w:rPr>
          <w:rFonts w:ascii="Verdana" w:hAnsi="Verdana"/>
          <w:sz w:val="16"/>
          <w:szCs w:val="16"/>
        </w:rPr>
        <w:t>[…]</w:t>
      </w:r>
    </w:p>
    <w:p w14:paraId="1D3A08DC" w14:textId="77777777" w:rsidR="00256BB2" w:rsidRPr="0076277C" w:rsidRDefault="00256BB2" w:rsidP="00256BB2">
      <w:pPr>
        <w:pStyle w:val="Textonotapie"/>
        <w:ind w:firstLine="709"/>
        <w:jc w:val="both"/>
        <w:rPr>
          <w:rFonts w:ascii="Verdana" w:hAnsi="Verdana"/>
          <w:sz w:val="16"/>
          <w:szCs w:val="16"/>
          <w:lang w:val="es-CO"/>
        </w:rPr>
      </w:pPr>
      <w:r w:rsidRPr="0076277C">
        <w:rPr>
          <w:rFonts w:ascii="Verdana" w:hAnsi="Verdana"/>
          <w:sz w:val="16"/>
          <w:szCs w:val="16"/>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56729C3D" w14:textId="77777777" w:rsidR="00256BB2" w:rsidRPr="0076277C" w:rsidRDefault="00256BB2" w:rsidP="00256BB2">
      <w:pPr>
        <w:pStyle w:val="Textonotapie"/>
        <w:ind w:firstLine="709"/>
        <w:jc w:val="both"/>
        <w:rPr>
          <w:rFonts w:ascii="Verdana" w:hAnsi="Verdana"/>
          <w:sz w:val="16"/>
          <w:szCs w:val="16"/>
        </w:rPr>
      </w:pPr>
      <w:r w:rsidRPr="0076277C">
        <w:rPr>
          <w:rFonts w:ascii="Verdana" w:hAnsi="Verdana"/>
          <w:sz w:val="16"/>
          <w:szCs w:val="16"/>
        </w:rPr>
        <w:t>[…]</w:t>
      </w:r>
    </w:p>
    <w:p w14:paraId="05E0B278" w14:textId="77777777" w:rsidR="00256BB2" w:rsidRPr="0076277C" w:rsidRDefault="00256BB2" w:rsidP="00256BB2">
      <w:pPr>
        <w:pStyle w:val="Textonotapie"/>
        <w:ind w:firstLine="709"/>
        <w:jc w:val="both"/>
        <w:rPr>
          <w:rFonts w:ascii="Verdana" w:hAnsi="Verdana"/>
          <w:sz w:val="16"/>
          <w:szCs w:val="16"/>
          <w:lang w:val="es-CO"/>
        </w:rPr>
      </w:pPr>
      <w:r w:rsidRPr="0076277C">
        <w:rPr>
          <w:rFonts w:ascii="Verdana" w:hAnsi="Verdana"/>
          <w:sz w:val="16"/>
          <w:szCs w:val="16"/>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182B6510" w14:textId="77777777" w:rsidR="00256BB2" w:rsidRPr="0076277C" w:rsidRDefault="00256BB2" w:rsidP="00256BB2">
      <w:pPr>
        <w:pStyle w:val="Textonotapie"/>
        <w:ind w:firstLine="709"/>
        <w:jc w:val="both"/>
        <w:rPr>
          <w:rFonts w:ascii="Verdana" w:hAnsi="Verdana"/>
          <w:sz w:val="16"/>
          <w:szCs w:val="16"/>
          <w:lang w:val="es-CO"/>
        </w:rPr>
      </w:pPr>
      <w:r w:rsidRPr="0076277C">
        <w:rPr>
          <w:rFonts w:ascii="Verdana" w:hAnsi="Verdana"/>
          <w:sz w:val="16"/>
          <w:szCs w:val="16"/>
          <w:lang w:val="es-CO"/>
        </w:rPr>
        <w:t>[…]</w:t>
      </w:r>
    </w:p>
    <w:p w14:paraId="53D0C485" w14:textId="77777777" w:rsidR="00256BB2" w:rsidRPr="0076277C" w:rsidRDefault="00256BB2" w:rsidP="00256BB2">
      <w:pPr>
        <w:pStyle w:val="Textonotapie"/>
        <w:ind w:firstLine="709"/>
        <w:jc w:val="both"/>
        <w:rPr>
          <w:rFonts w:ascii="Verdana" w:hAnsi="Verdana"/>
          <w:sz w:val="16"/>
          <w:szCs w:val="16"/>
        </w:rPr>
      </w:pPr>
      <w:r w:rsidRPr="0076277C">
        <w:rPr>
          <w:rFonts w:ascii="Verdana" w:hAnsi="Verdana"/>
          <w:sz w:val="16"/>
          <w:szCs w:val="16"/>
        </w:rPr>
        <w:t xml:space="preserve">Artículo 35. </w:t>
      </w:r>
      <w:r w:rsidRPr="0076277C">
        <w:rPr>
          <w:rFonts w:ascii="Verdana" w:hAnsi="Verdana"/>
          <w:i/>
          <w:iCs/>
          <w:sz w:val="16"/>
          <w:szCs w:val="16"/>
        </w:rPr>
        <w:t>Estrategia Nacional para la Respuesta a Emergencias. </w:t>
      </w:r>
      <w:r w:rsidRPr="0076277C">
        <w:rPr>
          <w:rFonts w:ascii="Verdana" w:hAnsi="Verdana"/>
          <w:sz w:val="16"/>
          <w:szCs w:val="16"/>
        </w:rPr>
        <w:t xml:space="preserve">La estrategia nacional para la respuesta a </w:t>
      </w:r>
      <w:proofErr w:type="gramStart"/>
      <w:r w:rsidRPr="0076277C">
        <w:rPr>
          <w:rFonts w:ascii="Verdana" w:hAnsi="Verdana"/>
          <w:sz w:val="16"/>
          <w:szCs w:val="16"/>
        </w:rPr>
        <w:t>emergencias,</w:t>
      </w:r>
      <w:proofErr w:type="gramEnd"/>
      <w:r w:rsidRPr="0076277C">
        <w:rPr>
          <w:rFonts w:ascii="Verdana" w:hAnsi="Verdana"/>
          <w:sz w:val="16"/>
          <w:szCs w:val="16"/>
        </w:rPr>
        <w:t xml:space="preserve">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0B0FF484" w14:textId="77777777" w:rsidR="00256BB2" w:rsidRPr="0076277C" w:rsidRDefault="00256BB2" w:rsidP="00256BB2">
      <w:pPr>
        <w:pStyle w:val="Textonotapie"/>
        <w:ind w:firstLine="709"/>
        <w:jc w:val="both"/>
        <w:rPr>
          <w:rFonts w:ascii="Verdana" w:hAnsi="Verdana"/>
          <w:sz w:val="16"/>
          <w:szCs w:val="16"/>
        </w:rPr>
      </w:pPr>
      <w:r w:rsidRPr="0076277C">
        <w:rPr>
          <w:rFonts w:ascii="Verdana" w:hAnsi="Verdana"/>
          <w:sz w:val="16"/>
          <w:szCs w:val="16"/>
        </w:rPr>
        <w:t>Parágrafo.</w:t>
      </w:r>
    </w:p>
    <w:p w14:paraId="7E242964" w14:textId="77777777" w:rsidR="00256BB2" w:rsidRPr="0076277C" w:rsidRDefault="00256BB2" w:rsidP="00256BB2">
      <w:pPr>
        <w:pStyle w:val="Textonotapie"/>
        <w:ind w:firstLine="709"/>
        <w:jc w:val="both"/>
        <w:rPr>
          <w:rFonts w:ascii="Verdana" w:hAnsi="Verdana"/>
          <w:sz w:val="16"/>
          <w:szCs w:val="16"/>
          <w:lang w:val="es-CO"/>
        </w:rPr>
      </w:pPr>
      <w:r w:rsidRPr="0076277C">
        <w:rPr>
          <w:rFonts w:ascii="Verdana" w:hAnsi="Verdana"/>
          <w:sz w:val="16"/>
          <w:szCs w:val="16"/>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p w14:paraId="4C54DF6F" w14:textId="77777777" w:rsidR="00256BB2" w:rsidRPr="0076277C" w:rsidRDefault="00256BB2" w:rsidP="00256BB2">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13E9"/>
    <w:rsid w:val="00125105"/>
    <w:rsid w:val="00127233"/>
    <w:rsid w:val="0015699B"/>
    <w:rsid w:val="001A33BF"/>
    <w:rsid w:val="001E4177"/>
    <w:rsid w:val="001F0B24"/>
    <w:rsid w:val="001F7DC6"/>
    <w:rsid w:val="0022400B"/>
    <w:rsid w:val="002421BB"/>
    <w:rsid w:val="00256BB2"/>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418B"/>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2C92"/>
    <w:rsid w:val="00574867"/>
    <w:rsid w:val="00591460"/>
    <w:rsid w:val="005A65E0"/>
    <w:rsid w:val="005C3777"/>
    <w:rsid w:val="005C5CDC"/>
    <w:rsid w:val="005D476C"/>
    <w:rsid w:val="006200BF"/>
    <w:rsid w:val="006219F8"/>
    <w:rsid w:val="006302F7"/>
    <w:rsid w:val="00646B9F"/>
    <w:rsid w:val="00665D70"/>
    <w:rsid w:val="006673BD"/>
    <w:rsid w:val="0067757D"/>
    <w:rsid w:val="00687BDA"/>
    <w:rsid w:val="006900D9"/>
    <w:rsid w:val="00706C16"/>
    <w:rsid w:val="007340C3"/>
    <w:rsid w:val="0075235A"/>
    <w:rsid w:val="00756841"/>
    <w:rsid w:val="007649AB"/>
    <w:rsid w:val="00771D0C"/>
    <w:rsid w:val="007833AC"/>
    <w:rsid w:val="007B268C"/>
    <w:rsid w:val="007B7171"/>
    <w:rsid w:val="007C0C0F"/>
    <w:rsid w:val="007C3DC2"/>
    <w:rsid w:val="007D6C00"/>
    <w:rsid w:val="007E5497"/>
    <w:rsid w:val="00806F5F"/>
    <w:rsid w:val="00820278"/>
    <w:rsid w:val="008258C9"/>
    <w:rsid w:val="00844AE9"/>
    <w:rsid w:val="00867F95"/>
    <w:rsid w:val="008843B6"/>
    <w:rsid w:val="00891928"/>
    <w:rsid w:val="00891C67"/>
    <w:rsid w:val="008A0262"/>
    <w:rsid w:val="008A446D"/>
    <w:rsid w:val="008B25F1"/>
    <w:rsid w:val="008D180B"/>
    <w:rsid w:val="008F0EA7"/>
    <w:rsid w:val="00923EEF"/>
    <w:rsid w:val="009419F9"/>
    <w:rsid w:val="0095685E"/>
    <w:rsid w:val="00961B09"/>
    <w:rsid w:val="00965334"/>
    <w:rsid w:val="00967B58"/>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77BF"/>
    <w:rsid w:val="00AB0ADB"/>
    <w:rsid w:val="00B00C0E"/>
    <w:rsid w:val="00B01B1A"/>
    <w:rsid w:val="00B0381D"/>
    <w:rsid w:val="00B44A47"/>
    <w:rsid w:val="00B70276"/>
    <w:rsid w:val="00B72CD3"/>
    <w:rsid w:val="00B72FFF"/>
    <w:rsid w:val="00BC3D36"/>
    <w:rsid w:val="00BD3BEB"/>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1853"/>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56BB2"/>
    <w:pPr>
      <w:spacing w:line="240" w:lineRule="exact"/>
    </w:pPr>
    <w:rPr>
      <w:vertAlign w:val="superscript"/>
    </w:rPr>
  </w:style>
  <w:style w:type="character" w:customStyle="1" w:styleId="baj">
    <w:name w:val="b_aj"/>
    <w:basedOn w:val="Fuentedeprrafopredeter"/>
    <w:rsid w:val="00256BB2"/>
  </w:style>
  <w:style w:type="character" w:customStyle="1" w:styleId="NormalWebCar">
    <w:name w:val="Normal (Web) Car"/>
    <w:link w:val="NormalWeb"/>
    <w:uiPriority w:val="99"/>
    <w:locked/>
    <w:rsid w:val="00256BB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rlandomurillo83@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A9710EA-390B-409B-BBCA-0C133490C177}"/>
</file>

<file path=customXml/itemProps3.xml><?xml version="1.0" encoding="utf-8"?>
<ds:datastoreItem xmlns:ds="http://schemas.openxmlformats.org/officeDocument/2006/customXml" ds:itemID="{A30E6600-19E4-4957-930B-DAAFD34C4B5D}">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34</Pages>
  <Words>11322</Words>
  <Characters>62274</Characters>
  <Application>Microsoft Office Word</Application>
  <DocSecurity>0</DocSecurity>
  <Lines>518</Lines>
  <Paragraphs>146</Paragraphs>
  <ScaleCrop>false</ScaleCrop>
  <Company/>
  <LinksUpToDate>false</LinksUpToDate>
  <CharactersWithSpaces>73450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2026-05-22T19:36:00Z</dcterms:created>
  <dcterms:modified xsi:type="dcterms:W3CDTF">2026-05-25T18:38:00Z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