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A0ECD"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bookmarkStart w:id="0" w:name="_Hlk143780582"/>
      <w:r w:rsidRPr="009D54B1">
        <w:rPr>
          <w:rFonts w:ascii="Verdana" w:eastAsia="Geomanist Light" w:hAnsi="Verdana" w:cs="Arial"/>
          <w:b/>
          <w:bCs/>
          <w:color w:val="000000"/>
          <w:lang w:val="es-MX"/>
        </w:rPr>
        <w:t xml:space="preserve">COLOMBIA COMPRA EFICIENTE – Finalidad – Función consultiva </w:t>
      </w:r>
    </w:p>
    <w:p w14:paraId="32569F06"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p>
    <w:p w14:paraId="401F66C5"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r w:rsidRPr="009D54B1">
        <w:rPr>
          <w:rFonts w:ascii="Verdana" w:eastAsia="Geomanist Light" w:hAnsi="Verdana" w:cs="Arial"/>
          <w:color w:val="000000"/>
          <w:sz w:val="20"/>
          <w:szCs w:val="20"/>
          <w:lang w:val="es-MX"/>
        </w:rPr>
        <w:t>[…]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0FB6793F"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p>
    <w:p w14:paraId="66562C05"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r w:rsidRPr="009D54B1">
        <w:rPr>
          <w:rFonts w:ascii="Verdana" w:eastAsia="Geomanist Light" w:hAnsi="Verdana" w:cs="Arial"/>
          <w:b/>
          <w:bCs/>
          <w:color w:val="000000"/>
          <w:sz w:val="20"/>
          <w:szCs w:val="20"/>
          <w:lang w:val="es-MX"/>
        </w:rPr>
        <w:t xml:space="preserve">COLOMBIA COMPRA EFICIENTE – No intervención – Gestión contractual - Otras entidades estatales </w:t>
      </w:r>
    </w:p>
    <w:p w14:paraId="12E39642"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p>
    <w:p w14:paraId="40081EAB"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r w:rsidRPr="009D54B1">
        <w:rPr>
          <w:rFonts w:ascii="Verdana" w:eastAsia="Geomanist Light" w:hAnsi="Verdana" w:cs="Arial"/>
          <w:color w:val="000000"/>
          <w:sz w:val="20"/>
          <w:szCs w:val="20"/>
          <w:lang w:val="es-MX"/>
        </w:rPr>
        <w:t>[…] el ejercicio de la función consultiva del artículo 28 de la Ley 1437 de 2011 no procede para la resolución de controversias en curso o de problemas cuyos efectos se concreten. De ahí que, inicialmente, el asunto debe manejarlo la propia entidad ante la que se presentan las inquietudes y/</w:t>
      </w:r>
      <w:proofErr w:type="spellStart"/>
      <w:r w:rsidRPr="009D54B1">
        <w:rPr>
          <w:rFonts w:ascii="Verdana" w:eastAsia="Geomanist Light" w:hAnsi="Verdana" w:cs="Arial"/>
          <w:color w:val="000000"/>
          <w:sz w:val="20"/>
          <w:szCs w:val="20"/>
          <w:lang w:val="es-MX"/>
        </w:rPr>
        <w:t>o</w:t>
      </w:r>
      <w:proofErr w:type="spellEnd"/>
      <w:r w:rsidRPr="009D54B1">
        <w:rPr>
          <w:rFonts w:ascii="Verdana" w:eastAsia="Geomanist Light" w:hAnsi="Verdana" w:cs="Arial"/>
          <w:color w:val="000000"/>
          <w:sz w:val="20"/>
          <w:szCs w:val="20"/>
          <w:lang w:val="es-MX"/>
        </w:rPr>
        <w:t xml:space="preserve"> observaciones por parte de los interesados en el proceso de contratación que esta se encuentra desarrollando y, en caso de proceder, el respectivo órgano de control competente. Así las cosas, Colombia Compra Eficiente considera que no hay lugar a emitir apreciaciones o interpretaciones destinadas a verificar, por ejemplo, que los documentos de un proceso de contratación de una Entidad Estatal se ciñan o no a los lineamientos que, de </w:t>
      </w:r>
      <w:proofErr w:type="spellStart"/>
      <w:r w:rsidRPr="009D54B1">
        <w:rPr>
          <w:rFonts w:ascii="Verdana" w:eastAsia="Geomanist Light" w:hAnsi="Verdana" w:cs="Arial"/>
          <w:color w:val="000000"/>
          <w:sz w:val="20"/>
          <w:szCs w:val="20"/>
          <w:lang w:val="es-MX"/>
        </w:rPr>
        <w:t>manara</w:t>
      </w:r>
      <w:proofErr w:type="spellEnd"/>
      <w:r w:rsidRPr="009D54B1">
        <w:rPr>
          <w:rFonts w:ascii="Verdana" w:eastAsia="Geomanist Light" w:hAnsi="Verdana" w:cs="Arial"/>
          <w:color w:val="000000"/>
          <w:sz w:val="20"/>
          <w:szCs w:val="20"/>
          <w:lang w:val="es-MX"/>
        </w:rPr>
        <w:t xml:space="preserve"> ilustrativa ha puesto a disposición de los partícipes del Sistema de Compras y Contratación Pública mediante las Guías, Manuales o Circulares que expide, pues el legislador no le otorgó tal competencia.</w:t>
      </w:r>
    </w:p>
    <w:p w14:paraId="128D64E9"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p>
    <w:p w14:paraId="5564E981"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r w:rsidRPr="009D54B1">
        <w:rPr>
          <w:rFonts w:ascii="Verdana" w:eastAsia="Geomanist Light" w:hAnsi="Verdana" w:cs="Arial"/>
          <w:b/>
          <w:bCs/>
          <w:color w:val="000000"/>
          <w:sz w:val="20"/>
          <w:szCs w:val="20"/>
          <w:lang w:val="es-MX"/>
        </w:rPr>
        <w:t>GUÍAS, MANUALES Y CIRCULARES EXTERNAS – Obligatoriedad – Verificación de aplicación – Decreto 1600 de 2024</w:t>
      </w:r>
    </w:p>
    <w:p w14:paraId="1B5ECFCF" w14:textId="77777777" w:rsidR="00D07950" w:rsidRPr="009D54B1" w:rsidRDefault="00D07950" w:rsidP="00D07950">
      <w:pPr>
        <w:spacing w:after="0" w:line="240" w:lineRule="auto"/>
        <w:jc w:val="both"/>
        <w:rPr>
          <w:rFonts w:ascii="Verdana" w:eastAsia="Geomanist Light" w:hAnsi="Verdana" w:cs="Arial"/>
          <w:b/>
          <w:bCs/>
          <w:color w:val="000000"/>
          <w:sz w:val="20"/>
          <w:szCs w:val="20"/>
          <w:lang w:val="es-MX"/>
        </w:rPr>
      </w:pPr>
    </w:p>
    <w:p w14:paraId="1F56F8CA"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r w:rsidRPr="009D54B1">
        <w:rPr>
          <w:rFonts w:ascii="Verdana" w:eastAsia="Geomanist Light" w:hAnsi="Verdana" w:cs="Arial"/>
          <w:color w:val="000000"/>
          <w:sz w:val="20"/>
          <w:szCs w:val="20"/>
          <w:lang w:val="es-MX"/>
        </w:rPr>
        <w:t>[…] pese a que desde el año 2017 Colombia Compra Eficiente acogió un enfoque sustantivo sobre el carácter obligatorio de los actos que expida, esto significa que con independencia de la forma en la que adopte una directriz o lineamiento, su carácter de obligatorio o no, se determinará por la existencia de una competencia legal o reglamentaria que de manera previa se le otorgue para un asunto en concreto. En síntesis, lo que definirá la obligatoria observancia de un documento expedido por esta Agencia no será que se adopte mediante circular externa, sino que su contenido devenga de aquellos cuya regulación haya sido encargada por el Legislador o el Presidente de la República.</w:t>
      </w:r>
    </w:p>
    <w:p w14:paraId="669326E3"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p>
    <w:p w14:paraId="3647B393" w14:textId="77777777" w:rsidR="00D07950" w:rsidRPr="009D54B1" w:rsidRDefault="00D07950" w:rsidP="00D07950">
      <w:pPr>
        <w:spacing w:after="0" w:line="240" w:lineRule="auto"/>
        <w:jc w:val="both"/>
        <w:rPr>
          <w:rFonts w:ascii="Verdana" w:eastAsia="Geomanist Light" w:hAnsi="Verdana" w:cs="Arial"/>
          <w:color w:val="000000"/>
          <w:sz w:val="20"/>
          <w:szCs w:val="20"/>
          <w:lang w:val="es-MX"/>
        </w:rPr>
      </w:pPr>
      <w:r w:rsidRPr="009D54B1">
        <w:rPr>
          <w:rFonts w:ascii="Verdana" w:eastAsia="Geomanist Light" w:hAnsi="Verdana" w:cs="Arial"/>
          <w:color w:val="000000"/>
          <w:sz w:val="20"/>
          <w:szCs w:val="20"/>
          <w:lang w:val="es-MX"/>
        </w:rPr>
        <w:t xml:space="preserve">Lo antes expuesto, no acarrea como se indicó, la obligación de que la Agencia Nacional de Contratación Pública – Colombia Compra Eficiente verifique si un proceso de contratación adelantado por una Entidad Estatal observó o no los lineamientos que haya relacionado en una guía, manual o circular externa, pues de acuerdo con lo dispuesto en el literal b) del artículo 2.1.4.3.2.1 del Decreto 1081 de 2015 modificado por el artículo </w:t>
      </w:r>
      <w:r w:rsidRPr="009D54B1">
        <w:rPr>
          <w:rFonts w:ascii="Verdana" w:eastAsia="Geomanist Light" w:hAnsi="Verdana" w:cs="Arial"/>
          <w:color w:val="000000"/>
          <w:sz w:val="20"/>
          <w:szCs w:val="20"/>
          <w:lang w:val="es-MX"/>
        </w:rPr>
        <w:lastRenderedPageBreak/>
        <w:t>2 del Decreto 1600 de 2024, las entidades deben dejar constancia en sus respectivos documentos del proceso, que “en la estructuración se tuvieron en cuenta las prácticas recomendadas por Colombia Compra Eficiente”.</w:t>
      </w:r>
    </w:p>
    <w:p w14:paraId="77C0D176" w14:textId="77777777" w:rsidR="00D07950" w:rsidRPr="009D54B1" w:rsidRDefault="00D07950" w:rsidP="00D07950">
      <w:pPr>
        <w:spacing w:after="0" w:line="240" w:lineRule="auto"/>
        <w:rPr>
          <w:rFonts w:ascii="Verdana" w:eastAsia="Aptos" w:hAnsi="Verdana" w:cs="Times New Roman"/>
          <w:sz w:val="20"/>
          <w:szCs w:val="20"/>
        </w:rPr>
      </w:pPr>
    </w:p>
    <w:p w14:paraId="3B308B83" w14:textId="77777777" w:rsidR="00D07950" w:rsidRPr="009D54B1" w:rsidRDefault="00D07950" w:rsidP="00D07950">
      <w:pPr>
        <w:spacing w:after="0" w:line="240" w:lineRule="auto"/>
        <w:rPr>
          <w:rFonts w:ascii="Verdana" w:eastAsia="Aptos" w:hAnsi="Verdana" w:cs="Times New Roman"/>
          <w:sz w:val="20"/>
          <w:szCs w:val="20"/>
        </w:rPr>
      </w:pPr>
    </w:p>
    <w:p w14:paraId="5064ECF1" w14:textId="77777777" w:rsidR="00D07950" w:rsidRPr="009D54B1" w:rsidRDefault="00D07950" w:rsidP="00D07950">
      <w:pPr>
        <w:spacing w:after="0" w:line="240" w:lineRule="auto"/>
        <w:rPr>
          <w:rFonts w:ascii="Verdana" w:eastAsia="Aptos" w:hAnsi="Verdana" w:cs="Times New Roman"/>
          <w:sz w:val="20"/>
          <w:szCs w:val="20"/>
        </w:rPr>
      </w:pPr>
    </w:p>
    <w:p w14:paraId="4AE2B6E9" w14:textId="77777777" w:rsidR="00D07950" w:rsidRPr="009D54B1" w:rsidRDefault="00D07950" w:rsidP="00D07950">
      <w:pPr>
        <w:spacing w:after="0" w:line="240" w:lineRule="auto"/>
        <w:rPr>
          <w:rFonts w:ascii="Verdana" w:eastAsia="Aptos" w:hAnsi="Verdana" w:cs="Times New Roman"/>
          <w:sz w:val="20"/>
          <w:szCs w:val="20"/>
        </w:rPr>
      </w:pPr>
    </w:p>
    <w:p w14:paraId="768FEEEB" w14:textId="77777777" w:rsidR="00D07950" w:rsidRPr="009D54B1" w:rsidRDefault="00D07950" w:rsidP="00D07950">
      <w:pPr>
        <w:spacing w:after="0" w:line="240" w:lineRule="auto"/>
        <w:rPr>
          <w:rFonts w:ascii="Verdana" w:eastAsia="Aptos" w:hAnsi="Verdana" w:cs="Times New Roman"/>
          <w:sz w:val="20"/>
          <w:szCs w:val="20"/>
        </w:rPr>
      </w:pPr>
    </w:p>
    <w:p w14:paraId="0ACDAB41" w14:textId="77777777" w:rsidR="00D07950" w:rsidRPr="009D54B1" w:rsidRDefault="00D07950" w:rsidP="00D07950">
      <w:pPr>
        <w:spacing w:after="0" w:line="240" w:lineRule="auto"/>
        <w:rPr>
          <w:rFonts w:ascii="Verdana" w:eastAsia="Aptos" w:hAnsi="Verdana" w:cs="Times New Roman"/>
          <w:sz w:val="20"/>
          <w:szCs w:val="20"/>
        </w:rPr>
      </w:pPr>
    </w:p>
    <w:p w14:paraId="0F2F9616" w14:textId="77777777" w:rsidR="00D07950" w:rsidRPr="009D54B1" w:rsidRDefault="00D07950" w:rsidP="00D07950">
      <w:pPr>
        <w:spacing w:after="0" w:line="240" w:lineRule="auto"/>
        <w:rPr>
          <w:rFonts w:ascii="Verdana" w:eastAsia="Aptos" w:hAnsi="Verdana" w:cs="Times New Roman"/>
          <w:sz w:val="20"/>
          <w:szCs w:val="20"/>
        </w:rPr>
      </w:pPr>
    </w:p>
    <w:p w14:paraId="2F9D89AF" w14:textId="77777777" w:rsidR="00D07950" w:rsidRPr="009D54B1" w:rsidRDefault="00D07950" w:rsidP="00D07950">
      <w:pPr>
        <w:spacing w:after="0" w:line="240" w:lineRule="auto"/>
        <w:rPr>
          <w:rFonts w:ascii="Verdana" w:eastAsia="Aptos" w:hAnsi="Verdana" w:cs="Times New Roman"/>
          <w:sz w:val="20"/>
          <w:szCs w:val="20"/>
        </w:rPr>
      </w:pPr>
    </w:p>
    <w:p w14:paraId="49B7C12F" w14:textId="77777777" w:rsidR="00D07950" w:rsidRPr="009D54B1" w:rsidRDefault="00D07950" w:rsidP="00D07950">
      <w:pPr>
        <w:spacing w:after="0" w:line="240" w:lineRule="auto"/>
        <w:rPr>
          <w:rFonts w:ascii="Verdana" w:eastAsia="Aptos" w:hAnsi="Verdana" w:cs="Times New Roman"/>
          <w:sz w:val="20"/>
          <w:szCs w:val="20"/>
        </w:rPr>
      </w:pPr>
    </w:p>
    <w:p w14:paraId="297B1446" w14:textId="77777777" w:rsidR="00D07950" w:rsidRPr="009D54B1" w:rsidRDefault="00D07950" w:rsidP="00D07950">
      <w:pPr>
        <w:spacing w:after="0" w:line="240" w:lineRule="auto"/>
        <w:rPr>
          <w:rFonts w:ascii="Verdana" w:eastAsia="Aptos" w:hAnsi="Verdana" w:cs="Times New Roman"/>
          <w:sz w:val="20"/>
          <w:szCs w:val="20"/>
        </w:rPr>
      </w:pPr>
    </w:p>
    <w:p w14:paraId="71C57FFE" w14:textId="77777777" w:rsidR="00D07950" w:rsidRPr="009D54B1" w:rsidRDefault="00D07950" w:rsidP="00D07950">
      <w:pPr>
        <w:spacing w:after="0" w:line="240" w:lineRule="auto"/>
        <w:rPr>
          <w:rFonts w:ascii="Verdana" w:eastAsia="Aptos" w:hAnsi="Verdana" w:cs="Times New Roman"/>
          <w:sz w:val="20"/>
          <w:szCs w:val="20"/>
        </w:rPr>
      </w:pPr>
    </w:p>
    <w:p w14:paraId="40CC26D0" w14:textId="77777777" w:rsidR="00D07950" w:rsidRPr="009D54B1" w:rsidRDefault="00D07950" w:rsidP="00D07950">
      <w:pPr>
        <w:spacing w:after="0" w:line="240" w:lineRule="auto"/>
        <w:rPr>
          <w:rFonts w:ascii="Verdana" w:eastAsia="Aptos" w:hAnsi="Verdana" w:cs="Times New Roman"/>
          <w:sz w:val="20"/>
          <w:szCs w:val="20"/>
        </w:rPr>
      </w:pPr>
    </w:p>
    <w:p w14:paraId="72F9D6FF" w14:textId="77777777" w:rsidR="00D07950" w:rsidRPr="009D54B1" w:rsidRDefault="00D07950" w:rsidP="00D07950">
      <w:pPr>
        <w:spacing w:after="0" w:line="240" w:lineRule="auto"/>
        <w:rPr>
          <w:rFonts w:ascii="Verdana" w:eastAsia="Aptos" w:hAnsi="Verdana" w:cs="Times New Roman"/>
          <w:sz w:val="20"/>
          <w:szCs w:val="20"/>
        </w:rPr>
      </w:pPr>
    </w:p>
    <w:p w14:paraId="75B9E1E1" w14:textId="77777777" w:rsidR="00D07950" w:rsidRPr="009D54B1" w:rsidRDefault="00D07950" w:rsidP="00D07950">
      <w:pPr>
        <w:spacing w:after="0" w:line="240" w:lineRule="auto"/>
        <w:rPr>
          <w:rFonts w:ascii="Verdana" w:eastAsia="Aptos" w:hAnsi="Verdana" w:cs="Times New Roman"/>
          <w:sz w:val="20"/>
          <w:szCs w:val="20"/>
        </w:rPr>
      </w:pPr>
    </w:p>
    <w:p w14:paraId="771B6EA5" w14:textId="77777777" w:rsidR="00D07950" w:rsidRPr="009D54B1" w:rsidRDefault="00D07950" w:rsidP="00D07950">
      <w:pPr>
        <w:spacing w:after="0" w:line="240" w:lineRule="auto"/>
        <w:rPr>
          <w:rFonts w:ascii="Verdana" w:eastAsia="Aptos" w:hAnsi="Verdana" w:cs="Times New Roman"/>
          <w:sz w:val="20"/>
          <w:szCs w:val="20"/>
        </w:rPr>
      </w:pPr>
    </w:p>
    <w:p w14:paraId="72709E28" w14:textId="77777777" w:rsidR="00D07950" w:rsidRPr="009D54B1" w:rsidRDefault="00D07950" w:rsidP="00D07950">
      <w:pPr>
        <w:spacing w:after="0" w:line="240" w:lineRule="auto"/>
        <w:rPr>
          <w:rFonts w:ascii="Verdana" w:eastAsia="Aptos" w:hAnsi="Verdana" w:cs="Times New Roman"/>
          <w:sz w:val="20"/>
          <w:szCs w:val="20"/>
        </w:rPr>
      </w:pPr>
    </w:p>
    <w:p w14:paraId="65706C39" w14:textId="77777777" w:rsidR="00D07950" w:rsidRPr="009D54B1" w:rsidRDefault="00D07950" w:rsidP="00D07950">
      <w:pPr>
        <w:spacing w:after="0" w:line="240" w:lineRule="auto"/>
        <w:rPr>
          <w:rFonts w:ascii="Verdana" w:eastAsia="Aptos" w:hAnsi="Verdana" w:cs="Times New Roman"/>
          <w:sz w:val="20"/>
          <w:szCs w:val="20"/>
        </w:rPr>
      </w:pPr>
    </w:p>
    <w:p w14:paraId="24F4C51D" w14:textId="77777777" w:rsidR="00D07950" w:rsidRPr="009D54B1" w:rsidRDefault="00D07950" w:rsidP="00D07950">
      <w:pPr>
        <w:spacing w:after="0" w:line="240" w:lineRule="auto"/>
        <w:rPr>
          <w:rFonts w:ascii="Verdana" w:eastAsia="Aptos" w:hAnsi="Verdana" w:cs="Times New Roman"/>
          <w:sz w:val="20"/>
          <w:szCs w:val="20"/>
        </w:rPr>
      </w:pPr>
    </w:p>
    <w:p w14:paraId="5D3AAD6B" w14:textId="77777777" w:rsidR="00D07950" w:rsidRPr="009D54B1" w:rsidRDefault="00D07950" w:rsidP="00D07950">
      <w:pPr>
        <w:spacing w:after="0" w:line="240" w:lineRule="auto"/>
        <w:rPr>
          <w:rFonts w:ascii="Verdana" w:eastAsia="Aptos" w:hAnsi="Verdana" w:cs="Times New Roman"/>
          <w:sz w:val="20"/>
          <w:szCs w:val="20"/>
        </w:rPr>
      </w:pPr>
    </w:p>
    <w:p w14:paraId="2F1BD171" w14:textId="77777777" w:rsidR="00D07950" w:rsidRPr="009D54B1" w:rsidRDefault="00D07950" w:rsidP="00D07950">
      <w:pPr>
        <w:spacing w:after="0" w:line="240" w:lineRule="auto"/>
        <w:rPr>
          <w:rFonts w:ascii="Verdana" w:eastAsia="Aptos" w:hAnsi="Verdana" w:cs="Times New Roman"/>
          <w:sz w:val="20"/>
          <w:szCs w:val="20"/>
        </w:rPr>
      </w:pPr>
    </w:p>
    <w:p w14:paraId="593EA149" w14:textId="77777777" w:rsidR="00D07950" w:rsidRPr="009D54B1" w:rsidRDefault="00D07950" w:rsidP="00D07950">
      <w:pPr>
        <w:spacing w:after="0" w:line="240" w:lineRule="auto"/>
        <w:rPr>
          <w:rFonts w:ascii="Verdana" w:eastAsia="Aptos" w:hAnsi="Verdana" w:cs="Times New Roman"/>
          <w:sz w:val="20"/>
          <w:szCs w:val="20"/>
        </w:rPr>
      </w:pPr>
    </w:p>
    <w:p w14:paraId="52BE4110" w14:textId="77777777" w:rsidR="00D07950" w:rsidRPr="009D54B1" w:rsidRDefault="00D07950" w:rsidP="00D07950">
      <w:pPr>
        <w:spacing w:after="0" w:line="240" w:lineRule="auto"/>
        <w:rPr>
          <w:rFonts w:ascii="Verdana" w:eastAsia="Aptos" w:hAnsi="Verdana" w:cs="Times New Roman"/>
          <w:sz w:val="20"/>
          <w:szCs w:val="20"/>
        </w:rPr>
      </w:pPr>
    </w:p>
    <w:p w14:paraId="67D2F0F4" w14:textId="77777777" w:rsidR="00D07950" w:rsidRPr="009D54B1" w:rsidRDefault="00D07950" w:rsidP="00D07950">
      <w:pPr>
        <w:spacing w:after="0" w:line="240" w:lineRule="auto"/>
        <w:rPr>
          <w:rFonts w:ascii="Verdana" w:eastAsia="Aptos" w:hAnsi="Verdana" w:cs="Times New Roman"/>
          <w:sz w:val="20"/>
          <w:szCs w:val="20"/>
        </w:rPr>
      </w:pPr>
    </w:p>
    <w:p w14:paraId="2272C14B" w14:textId="77777777" w:rsidR="00D07950" w:rsidRPr="009D54B1" w:rsidRDefault="00D07950" w:rsidP="00D07950">
      <w:pPr>
        <w:spacing w:after="0" w:line="240" w:lineRule="auto"/>
        <w:rPr>
          <w:rFonts w:ascii="Verdana" w:eastAsia="Aptos" w:hAnsi="Verdana" w:cs="Times New Roman"/>
          <w:sz w:val="20"/>
          <w:szCs w:val="20"/>
        </w:rPr>
      </w:pPr>
    </w:p>
    <w:p w14:paraId="276E2F5E" w14:textId="77777777" w:rsidR="00D07950" w:rsidRPr="009D54B1" w:rsidRDefault="00D07950" w:rsidP="00D07950">
      <w:pPr>
        <w:spacing w:after="0" w:line="240" w:lineRule="auto"/>
        <w:rPr>
          <w:rFonts w:ascii="Verdana" w:eastAsia="Aptos" w:hAnsi="Verdana" w:cs="Times New Roman"/>
          <w:sz w:val="20"/>
          <w:szCs w:val="20"/>
        </w:rPr>
      </w:pPr>
    </w:p>
    <w:p w14:paraId="491BE9D0" w14:textId="77777777" w:rsidR="00D07950" w:rsidRPr="009D54B1" w:rsidRDefault="00D07950" w:rsidP="00D07950">
      <w:pPr>
        <w:spacing w:after="0" w:line="240" w:lineRule="auto"/>
        <w:rPr>
          <w:rFonts w:ascii="Verdana" w:eastAsia="Aptos" w:hAnsi="Verdana" w:cs="Times New Roman"/>
          <w:sz w:val="20"/>
          <w:szCs w:val="20"/>
        </w:rPr>
      </w:pPr>
    </w:p>
    <w:p w14:paraId="4EE5A109" w14:textId="77777777" w:rsidR="00D07950" w:rsidRPr="009D54B1" w:rsidRDefault="00D07950" w:rsidP="00D07950">
      <w:pPr>
        <w:spacing w:after="0" w:line="240" w:lineRule="auto"/>
        <w:rPr>
          <w:rFonts w:ascii="Verdana" w:eastAsia="Aptos" w:hAnsi="Verdana" w:cs="Times New Roman"/>
          <w:sz w:val="20"/>
          <w:szCs w:val="20"/>
        </w:rPr>
      </w:pPr>
    </w:p>
    <w:p w14:paraId="5A5FB341" w14:textId="77777777" w:rsidR="00D07950" w:rsidRPr="009D54B1" w:rsidRDefault="00D07950" w:rsidP="00D07950">
      <w:pPr>
        <w:spacing w:after="0" w:line="240" w:lineRule="auto"/>
        <w:rPr>
          <w:rFonts w:ascii="Verdana" w:eastAsia="Aptos" w:hAnsi="Verdana" w:cs="Times New Roman"/>
          <w:sz w:val="20"/>
          <w:szCs w:val="20"/>
        </w:rPr>
      </w:pPr>
    </w:p>
    <w:p w14:paraId="246CAE6A" w14:textId="77777777" w:rsidR="00D07950" w:rsidRPr="009D54B1" w:rsidRDefault="00D07950" w:rsidP="00D07950">
      <w:pPr>
        <w:spacing w:after="0" w:line="240" w:lineRule="auto"/>
        <w:rPr>
          <w:rFonts w:ascii="Verdana" w:eastAsia="Aptos" w:hAnsi="Verdana" w:cs="Times New Roman"/>
          <w:sz w:val="20"/>
          <w:szCs w:val="20"/>
        </w:rPr>
      </w:pPr>
    </w:p>
    <w:p w14:paraId="786BDE43" w14:textId="77777777" w:rsidR="00D07950" w:rsidRPr="009D54B1" w:rsidRDefault="00D07950" w:rsidP="00D07950">
      <w:pPr>
        <w:spacing w:after="0" w:line="240" w:lineRule="auto"/>
        <w:rPr>
          <w:rFonts w:ascii="Verdana" w:eastAsia="Aptos" w:hAnsi="Verdana" w:cs="Times New Roman"/>
          <w:sz w:val="20"/>
          <w:szCs w:val="20"/>
        </w:rPr>
      </w:pPr>
    </w:p>
    <w:p w14:paraId="5D3AB4A9" w14:textId="77777777" w:rsidR="00D07950" w:rsidRPr="009D54B1" w:rsidRDefault="00D07950" w:rsidP="00D07950">
      <w:pPr>
        <w:spacing w:after="0" w:line="240" w:lineRule="auto"/>
        <w:rPr>
          <w:rFonts w:ascii="Verdana" w:eastAsia="Aptos" w:hAnsi="Verdana" w:cs="Times New Roman"/>
          <w:sz w:val="20"/>
          <w:szCs w:val="20"/>
        </w:rPr>
      </w:pPr>
    </w:p>
    <w:p w14:paraId="3031AF35" w14:textId="77777777" w:rsidR="00D07950" w:rsidRPr="009D54B1" w:rsidRDefault="00D07950" w:rsidP="00D07950">
      <w:pPr>
        <w:spacing w:after="0" w:line="240" w:lineRule="auto"/>
        <w:rPr>
          <w:rFonts w:ascii="Verdana" w:eastAsia="Aptos" w:hAnsi="Verdana" w:cs="Times New Roman"/>
          <w:sz w:val="20"/>
          <w:szCs w:val="20"/>
        </w:rPr>
      </w:pPr>
    </w:p>
    <w:p w14:paraId="7D1B48BC" w14:textId="77777777" w:rsidR="00D07950" w:rsidRPr="009D54B1" w:rsidRDefault="00D07950" w:rsidP="00D07950">
      <w:pPr>
        <w:spacing w:after="0" w:line="240" w:lineRule="auto"/>
        <w:rPr>
          <w:rFonts w:ascii="Verdana" w:eastAsia="Aptos" w:hAnsi="Verdana" w:cs="Times New Roman"/>
          <w:sz w:val="20"/>
          <w:szCs w:val="20"/>
        </w:rPr>
      </w:pPr>
    </w:p>
    <w:p w14:paraId="1AC25540" w14:textId="77777777" w:rsidR="00D07950" w:rsidRPr="009D54B1" w:rsidRDefault="00D07950" w:rsidP="00D07950">
      <w:pPr>
        <w:spacing w:after="0" w:line="240" w:lineRule="auto"/>
        <w:rPr>
          <w:rFonts w:ascii="Verdana" w:eastAsia="Aptos" w:hAnsi="Verdana" w:cs="Times New Roman"/>
          <w:sz w:val="20"/>
          <w:szCs w:val="20"/>
        </w:rPr>
      </w:pPr>
    </w:p>
    <w:p w14:paraId="2C4D42F4" w14:textId="77777777" w:rsidR="00D07950" w:rsidRPr="009D54B1" w:rsidRDefault="00D07950" w:rsidP="00D07950">
      <w:pPr>
        <w:spacing w:after="0" w:line="240" w:lineRule="auto"/>
        <w:rPr>
          <w:rFonts w:ascii="Verdana" w:eastAsia="Aptos" w:hAnsi="Verdana" w:cs="Times New Roman"/>
          <w:sz w:val="20"/>
          <w:szCs w:val="20"/>
        </w:rPr>
      </w:pPr>
    </w:p>
    <w:p w14:paraId="2B0E6827" w14:textId="77777777" w:rsidR="00D07950" w:rsidRPr="009D54B1" w:rsidRDefault="00D07950" w:rsidP="00D07950">
      <w:pPr>
        <w:spacing w:after="0" w:line="240" w:lineRule="auto"/>
        <w:rPr>
          <w:rFonts w:ascii="Verdana" w:eastAsia="Aptos" w:hAnsi="Verdana" w:cs="Times New Roman"/>
          <w:sz w:val="20"/>
          <w:szCs w:val="20"/>
        </w:rPr>
      </w:pPr>
    </w:p>
    <w:p w14:paraId="62BE6E04" w14:textId="77777777" w:rsidR="00D07950" w:rsidRPr="009D54B1" w:rsidRDefault="00D07950" w:rsidP="00D07950">
      <w:pPr>
        <w:spacing w:after="0" w:line="240" w:lineRule="auto"/>
        <w:rPr>
          <w:rFonts w:ascii="Verdana" w:eastAsia="Aptos" w:hAnsi="Verdana" w:cs="Times New Roman"/>
          <w:sz w:val="20"/>
          <w:szCs w:val="20"/>
        </w:rPr>
      </w:pPr>
    </w:p>
    <w:p w14:paraId="3E8F8517" w14:textId="77777777" w:rsidR="00D07950" w:rsidRPr="009D54B1" w:rsidRDefault="00D07950" w:rsidP="00D07950">
      <w:pPr>
        <w:spacing w:after="0" w:line="240" w:lineRule="auto"/>
        <w:rPr>
          <w:rFonts w:ascii="Verdana" w:eastAsia="Aptos" w:hAnsi="Verdana" w:cs="Times New Roman"/>
          <w:sz w:val="20"/>
          <w:szCs w:val="20"/>
        </w:rPr>
      </w:pPr>
    </w:p>
    <w:p w14:paraId="22F1A3F1" w14:textId="77777777" w:rsidR="00D07950" w:rsidRPr="009D54B1" w:rsidRDefault="00D07950" w:rsidP="00D07950">
      <w:pPr>
        <w:spacing w:after="0" w:line="240" w:lineRule="auto"/>
        <w:rPr>
          <w:rFonts w:ascii="Verdana" w:eastAsia="Aptos" w:hAnsi="Verdana" w:cs="Times New Roman"/>
          <w:sz w:val="20"/>
          <w:szCs w:val="20"/>
        </w:rPr>
      </w:pPr>
    </w:p>
    <w:p w14:paraId="2B2B0D33" w14:textId="77777777" w:rsidR="00D07950" w:rsidRPr="009D54B1" w:rsidRDefault="00D07950" w:rsidP="00D07950">
      <w:pPr>
        <w:spacing w:after="0" w:line="240" w:lineRule="auto"/>
        <w:rPr>
          <w:rFonts w:ascii="Verdana" w:eastAsia="Aptos" w:hAnsi="Verdana" w:cs="Times New Roman"/>
          <w:sz w:val="20"/>
          <w:szCs w:val="20"/>
        </w:rPr>
      </w:pPr>
    </w:p>
    <w:p w14:paraId="2DA61D4B" w14:textId="77777777" w:rsidR="00D07950" w:rsidRPr="009D54B1" w:rsidRDefault="00D07950" w:rsidP="00D07950">
      <w:pPr>
        <w:spacing w:after="0" w:line="240" w:lineRule="auto"/>
        <w:rPr>
          <w:rFonts w:ascii="Verdana" w:eastAsia="Aptos" w:hAnsi="Verdana" w:cs="Times New Roman"/>
          <w:sz w:val="20"/>
          <w:szCs w:val="20"/>
        </w:rPr>
      </w:pPr>
    </w:p>
    <w:p w14:paraId="58BE8FD3" w14:textId="77777777" w:rsidR="00D07950" w:rsidRPr="009D54B1" w:rsidRDefault="00D07950" w:rsidP="00D07950">
      <w:pPr>
        <w:spacing w:after="0" w:line="240" w:lineRule="auto"/>
        <w:rPr>
          <w:rFonts w:ascii="Verdana" w:eastAsia="Aptos" w:hAnsi="Verdana" w:cs="Times New Roman"/>
          <w:sz w:val="20"/>
          <w:szCs w:val="20"/>
        </w:rPr>
      </w:pPr>
    </w:p>
    <w:p w14:paraId="21A079BB" w14:textId="77777777" w:rsidR="00D07950" w:rsidRPr="009D54B1" w:rsidRDefault="00D07950" w:rsidP="00D07950">
      <w:pPr>
        <w:spacing w:after="0" w:line="240" w:lineRule="auto"/>
        <w:rPr>
          <w:rFonts w:ascii="Verdana" w:eastAsia="Aptos" w:hAnsi="Verdana" w:cs="Times New Roman"/>
          <w:sz w:val="20"/>
          <w:szCs w:val="20"/>
        </w:rPr>
      </w:pPr>
    </w:p>
    <w:bookmarkEnd w:id="0"/>
    <w:p w14:paraId="26D60548" w14:textId="2CC0B5EE" w:rsidR="00D07950" w:rsidRPr="009D54B1" w:rsidRDefault="00D07950" w:rsidP="00D07950">
      <w:pPr>
        <w:spacing w:after="0" w:line="240" w:lineRule="auto"/>
        <w:jc w:val="both"/>
        <w:rPr>
          <w:rFonts w:ascii="Verdana" w:eastAsia="Calibri" w:hAnsi="Verdana" w:cs="Arial"/>
          <w:lang w:val="es-ES"/>
        </w:rPr>
      </w:pPr>
      <w:r w:rsidRPr="006B7D03">
        <w:rPr>
          <w:rFonts w:ascii="Verdana" w:eastAsia="Geomanist Light" w:hAnsi="Verdana" w:cs="Arial"/>
          <w:lang w:val="es-MX"/>
        </w:rPr>
        <w:lastRenderedPageBreak/>
        <w:t>Bogotá D.C.,</w:t>
      </w:r>
      <w:r w:rsidR="006B7D03" w:rsidRPr="006B7D03">
        <w:rPr>
          <w:rFonts w:ascii="Verdana" w:eastAsia="Geomanist Light" w:hAnsi="Verdana" w:cs="Arial"/>
          <w:lang w:val="es-MX"/>
        </w:rPr>
        <w:t>19</w:t>
      </w:r>
      <w:r w:rsidR="00671588" w:rsidRPr="006B7D03">
        <w:rPr>
          <w:rFonts w:ascii="Verdana" w:eastAsia="Geomanist Light" w:hAnsi="Verdana" w:cs="Arial"/>
          <w:lang w:val="es-MX"/>
        </w:rPr>
        <w:t xml:space="preserve"> de mayo de 2026</w:t>
      </w:r>
    </w:p>
    <w:p w14:paraId="7B9569D4" w14:textId="77777777" w:rsidR="00D07950" w:rsidRPr="009D54B1" w:rsidRDefault="00D07950" w:rsidP="00D07950">
      <w:pPr>
        <w:spacing w:after="0" w:line="240" w:lineRule="auto"/>
        <w:jc w:val="both"/>
        <w:rPr>
          <w:rFonts w:ascii="Verdana" w:eastAsia="Calibri" w:hAnsi="Verdana" w:cs="Arial"/>
          <w:lang w:val="es-ES"/>
        </w:rPr>
      </w:pPr>
    </w:p>
    <w:p w14:paraId="2E09DF94" w14:textId="08696B6F" w:rsidR="00D07950" w:rsidRPr="009D54B1" w:rsidRDefault="002C661F" w:rsidP="00D07950">
      <w:pPr>
        <w:spacing w:after="0" w:line="240" w:lineRule="auto"/>
        <w:jc w:val="right"/>
        <w:rPr>
          <w:rFonts w:ascii="Verdana" w:eastAsia="Calibri" w:hAnsi="Verdana" w:cs="Arial"/>
          <w:lang w:val="es-ES"/>
        </w:rPr>
      </w:pPr>
      <w:r w:rsidRPr="002C661F">
        <w:rPr>
          <w:rFonts w:ascii="Verdana" w:eastAsia="Calibri" w:hAnsi="Verdana" w:cs="Arial"/>
          <w:lang w:val="es-ES"/>
        </w:rPr>
        <w:drawing>
          <wp:inline distT="0" distB="0" distL="0" distR="0" wp14:anchorId="4F4B2909" wp14:editId="11722274">
            <wp:extent cx="2467319" cy="704948"/>
            <wp:effectExtent l="0" t="0" r="9525" b="0"/>
            <wp:docPr id="18488925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892558" name=""/>
                    <pic:cNvPicPr/>
                  </pic:nvPicPr>
                  <pic:blipFill>
                    <a:blip r:embed="rId10"/>
                    <a:stretch>
                      <a:fillRect/>
                    </a:stretch>
                  </pic:blipFill>
                  <pic:spPr>
                    <a:xfrm>
                      <a:off x="0" y="0"/>
                      <a:ext cx="2467319" cy="704948"/>
                    </a:xfrm>
                    <a:prstGeom prst="rect">
                      <a:avLst/>
                    </a:prstGeom>
                  </pic:spPr>
                </pic:pic>
              </a:graphicData>
            </a:graphic>
          </wp:inline>
        </w:drawing>
      </w:r>
    </w:p>
    <w:p w14:paraId="4BD30A74" w14:textId="77777777" w:rsidR="00D07950" w:rsidRPr="009D54B1" w:rsidRDefault="00D07950" w:rsidP="00D07950">
      <w:pPr>
        <w:spacing w:after="0" w:line="240" w:lineRule="auto"/>
        <w:jc w:val="both"/>
        <w:rPr>
          <w:rFonts w:ascii="Verdana" w:eastAsia="Calibri" w:hAnsi="Verdana" w:cs="Arial"/>
          <w:lang w:val="es-ES" w:eastAsia="es-ES"/>
        </w:rPr>
      </w:pPr>
      <w:r w:rsidRPr="009D54B1">
        <w:rPr>
          <w:rFonts w:ascii="Verdana" w:eastAsia="Calibri" w:hAnsi="Verdana" w:cs="Arial"/>
          <w:lang w:val="es-ES" w:eastAsia="es-ES"/>
        </w:rPr>
        <w:t>Señor</w:t>
      </w:r>
    </w:p>
    <w:p w14:paraId="7A44EE3C" w14:textId="77777777" w:rsidR="00D07950" w:rsidRPr="009D54B1" w:rsidRDefault="00D07950" w:rsidP="00D07950">
      <w:pPr>
        <w:spacing w:after="0" w:line="240" w:lineRule="auto"/>
        <w:rPr>
          <w:rFonts w:ascii="Verdana" w:eastAsia="Calibri" w:hAnsi="Verdana" w:cs="Arial"/>
          <w:b/>
          <w:lang w:val="es-ES" w:eastAsia="es-ES"/>
        </w:rPr>
      </w:pPr>
      <w:r w:rsidRPr="009D54B1">
        <w:rPr>
          <w:rFonts w:ascii="Verdana" w:eastAsia="Calibri" w:hAnsi="Verdana" w:cs="Arial"/>
          <w:b/>
          <w:lang w:val="es-ES" w:eastAsia="es-ES"/>
        </w:rPr>
        <w:t>Henry Keep Morales</w:t>
      </w:r>
    </w:p>
    <w:p w14:paraId="41747BCB" w14:textId="77777777" w:rsidR="00D07950" w:rsidRPr="009D54B1" w:rsidRDefault="00D07950" w:rsidP="00D07950">
      <w:pPr>
        <w:spacing w:after="0" w:line="240" w:lineRule="auto"/>
        <w:rPr>
          <w:rFonts w:ascii="Verdana" w:eastAsia="Aptos" w:hAnsi="Verdana" w:cs="Arial"/>
        </w:rPr>
      </w:pPr>
      <w:hyperlink r:id="rId11" w:history="1">
        <w:r w:rsidRPr="009D54B1">
          <w:rPr>
            <w:rFonts w:ascii="Verdana" w:eastAsia="Aptos" w:hAnsi="Verdana" w:cs="Arial"/>
            <w:color w:val="0000FF"/>
            <w:u w:val="single"/>
          </w:rPr>
          <w:t>interveen@controlsocial.org</w:t>
        </w:r>
      </w:hyperlink>
    </w:p>
    <w:p w14:paraId="2CBDE84C" w14:textId="77777777" w:rsidR="00D07950" w:rsidRPr="009D54B1" w:rsidRDefault="00D07950" w:rsidP="00D07950">
      <w:pPr>
        <w:spacing w:after="0" w:line="240" w:lineRule="auto"/>
        <w:rPr>
          <w:rFonts w:ascii="Verdana" w:eastAsia="Calibri" w:hAnsi="Verdana" w:cs="Arial"/>
          <w:lang w:val="es-ES" w:eastAsia="es-ES"/>
        </w:rPr>
      </w:pPr>
      <w:hyperlink r:id="rId12" w:history="1">
        <w:r w:rsidRPr="009D54B1">
          <w:rPr>
            <w:rFonts w:ascii="Verdana" w:eastAsia="Calibri" w:hAnsi="Verdana" w:cs="Arial"/>
            <w:color w:val="0000FF"/>
            <w:u w:val="single"/>
            <w:lang w:val="es-ES" w:eastAsia="es-ES"/>
          </w:rPr>
          <w:t>interveennotificacion@gmail.com</w:t>
        </w:r>
      </w:hyperlink>
      <w:r w:rsidRPr="009D54B1">
        <w:rPr>
          <w:rFonts w:ascii="Verdana" w:eastAsia="Calibri" w:hAnsi="Verdana" w:cs="Arial"/>
          <w:lang w:val="es-ES" w:eastAsia="es-ES"/>
        </w:rPr>
        <w:t xml:space="preserve"> </w:t>
      </w:r>
    </w:p>
    <w:p w14:paraId="0C858560" w14:textId="77777777" w:rsidR="00D07950" w:rsidRPr="009D54B1" w:rsidRDefault="00D07950" w:rsidP="00D07950">
      <w:pPr>
        <w:spacing w:after="0" w:line="240" w:lineRule="auto"/>
        <w:rPr>
          <w:rFonts w:ascii="Verdana" w:eastAsia="Calibri" w:hAnsi="Verdana" w:cs="Arial"/>
          <w:b/>
          <w:bCs/>
          <w:lang w:val="es-ES" w:eastAsia="es-ES"/>
        </w:rPr>
      </w:pPr>
      <w:r w:rsidRPr="009D54B1">
        <w:rPr>
          <w:rFonts w:ascii="Verdana" w:eastAsia="Calibri" w:hAnsi="Verdana" w:cs="Arial"/>
          <w:lang w:val="es-ES" w:eastAsia="es-ES"/>
        </w:rPr>
        <w:t>Ciudad</w:t>
      </w:r>
    </w:p>
    <w:p w14:paraId="795A7E93" w14:textId="77777777" w:rsidR="00D07950" w:rsidRPr="009D54B1" w:rsidRDefault="00D07950" w:rsidP="00D0795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07950" w:rsidRPr="009D54B1" w14:paraId="21BCB191" w14:textId="77777777" w:rsidTr="005064A7">
        <w:trPr>
          <w:trHeight w:val="308"/>
        </w:trPr>
        <w:tc>
          <w:tcPr>
            <w:tcW w:w="2689" w:type="dxa"/>
          </w:tcPr>
          <w:p w14:paraId="1FB6D147" w14:textId="77777777" w:rsidR="00D07950" w:rsidRPr="009D54B1" w:rsidRDefault="00D07950" w:rsidP="005064A7">
            <w:pPr>
              <w:jc w:val="both"/>
              <w:rPr>
                <w:rFonts w:ascii="Verdana" w:eastAsia="Calibri" w:hAnsi="Verdana" w:cs="Arial"/>
                <w:b/>
                <w:bCs/>
                <w:lang w:val="es-ES_tradnl" w:eastAsia="es-ES_tradnl"/>
              </w:rPr>
            </w:pPr>
          </w:p>
        </w:tc>
        <w:tc>
          <w:tcPr>
            <w:tcW w:w="6100" w:type="dxa"/>
          </w:tcPr>
          <w:p w14:paraId="43875EA5" w14:textId="77777777" w:rsidR="00D07950" w:rsidRPr="009D54B1" w:rsidRDefault="00D07950" w:rsidP="005064A7">
            <w:pPr>
              <w:jc w:val="both"/>
              <w:rPr>
                <w:rFonts w:ascii="Verdana" w:eastAsia="Calibri" w:hAnsi="Verdana" w:cs="Arial"/>
                <w:b/>
                <w:bCs/>
                <w:lang w:val="es-ES" w:eastAsia="es-ES"/>
              </w:rPr>
            </w:pPr>
            <w:r w:rsidRPr="009D54B1">
              <w:rPr>
                <w:rFonts w:ascii="Verdana" w:eastAsia="Calibri" w:hAnsi="Verdana" w:cs="Arial"/>
                <w:b/>
                <w:bCs/>
                <w:lang w:val="es-ES" w:eastAsia="es-ES"/>
              </w:rPr>
              <w:t>Concepto C-593 de 2026</w:t>
            </w:r>
          </w:p>
          <w:p w14:paraId="3B46AF37" w14:textId="77777777" w:rsidR="00D07950" w:rsidRPr="009D54B1" w:rsidRDefault="00D07950" w:rsidP="005064A7">
            <w:pPr>
              <w:jc w:val="both"/>
              <w:rPr>
                <w:rFonts w:ascii="Verdana" w:eastAsia="Calibri" w:hAnsi="Verdana" w:cs="Arial"/>
                <w:b/>
                <w:bCs/>
                <w:lang w:val="es-ES" w:eastAsia="es-ES"/>
              </w:rPr>
            </w:pPr>
          </w:p>
        </w:tc>
      </w:tr>
      <w:tr w:rsidR="00D07950" w:rsidRPr="009D54B1" w14:paraId="303AD3F4" w14:textId="77777777" w:rsidTr="005064A7">
        <w:trPr>
          <w:trHeight w:val="884"/>
        </w:trPr>
        <w:tc>
          <w:tcPr>
            <w:tcW w:w="2689" w:type="dxa"/>
          </w:tcPr>
          <w:p w14:paraId="5EF4C052" w14:textId="77777777" w:rsidR="00D07950" w:rsidRPr="009D54B1" w:rsidRDefault="00D07950" w:rsidP="005064A7">
            <w:pPr>
              <w:jc w:val="both"/>
              <w:rPr>
                <w:rFonts w:ascii="Verdana" w:eastAsia="Calibri" w:hAnsi="Verdana" w:cs="Arial"/>
                <w:lang w:val="es-ES_tradnl" w:eastAsia="es-ES_tradnl"/>
              </w:rPr>
            </w:pPr>
            <w:r w:rsidRPr="009D54B1">
              <w:rPr>
                <w:rFonts w:ascii="Verdana" w:eastAsia="Calibri" w:hAnsi="Verdana" w:cs="Arial"/>
                <w:b/>
                <w:lang w:val="es-ES_tradnl" w:eastAsia="es-ES_tradnl"/>
              </w:rPr>
              <w:t>Temas:</w:t>
            </w:r>
            <w:r w:rsidRPr="009D54B1">
              <w:rPr>
                <w:rFonts w:ascii="Verdana" w:eastAsia="Calibri" w:hAnsi="Verdana" w:cs="Arial"/>
                <w:lang w:val="es-ES_tradnl" w:eastAsia="es-ES_tradnl"/>
              </w:rPr>
              <w:t xml:space="preserve">                   </w:t>
            </w:r>
          </w:p>
        </w:tc>
        <w:tc>
          <w:tcPr>
            <w:tcW w:w="6100" w:type="dxa"/>
          </w:tcPr>
          <w:p w14:paraId="6E82EFEA" w14:textId="77777777" w:rsidR="00D07950" w:rsidRPr="009D54B1" w:rsidRDefault="00D07950" w:rsidP="005064A7">
            <w:pPr>
              <w:spacing w:line="276" w:lineRule="auto"/>
              <w:jc w:val="both"/>
              <w:rPr>
                <w:rFonts w:ascii="Verdana" w:eastAsia="Calibri" w:hAnsi="Verdana" w:cs="Arial"/>
                <w:lang w:val="es-ES" w:eastAsia="es-ES"/>
              </w:rPr>
            </w:pPr>
            <w:r w:rsidRPr="009D54B1">
              <w:rPr>
                <w:rFonts w:ascii="Verdana" w:eastAsia="Calibri" w:hAnsi="Verdana" w:cs="Arial"/>
                <w:lang w:val="es-ES" w:eastAsia="es-ES"/>
              </w:rPr>
              <w:t>COLOMBIA COMPRA EFICIENTE – Finalidad – Función consultiva /</w:t>
            </w:r>
            <w:r w:rsidRPr="009D54B1">
              <w:rPr>
                <w:rFonts w:ascii="Aptos" w:eastAsia="Aptos" w:hAnsi="Aptos" w:cs="Arial"/>
              </w:rPr>
              <w:t xml:space="preserve"> </w:t>
            </w:r>
            <w:r w:rsidRPr="009D54B1">
              <w:rPr>
                <w:rFonts w:ascii="Verdana" w:eastAsia="Calibri" w:hAnsi="Verdana" w:cs="Arial"/>
                <w:lang w:val="es-ES" w:eastAsia="es-ES"/>
              </w:rPr>
              <w:t>COLOMBIA COMPRA EFICIENTE – No intervención – Gestión contractual - Otras entidades estatales /</w:t>
            </w:r>
            <w:r w:rsidRPr="009D54B1">
              <w:rPr>
                <w:rFonts w:ascii="Aptos" w:eastAsia="Aptos" w:hAnsi="Aptos" w:cs="Arial"/>
              </w:rPr>
              <w:t xml:space="preserve"> </w:t>
            </w:r>
            <w:r w:rsidRPr="009D54B1">
              <w:rPr>
                <w:rFonts w:ascii="Verdana" w:eastAsia="Calibri" w:hAnsi="Verdana" w:cs="Arial"/>
                <w:lang w:val="es-ES" w:eastAsia="es-ES"/>
              </w:rPr>
              <w:t>GUÍAS, MANUALES Y CIRCULARES EXTERNAS – Obligatoriedad – Verificación de aplicación – Decreto 1600 de 2024</w:t>
            </w:r>
          </w:p>
        </w:tc>
      </w:tr>
    </w:tbl>
    <w:p w14:paraId="5BE1F980" w14:textId="77777777" w:rsidR="00D07950" w:rsidRPr="009D54B1" w:rsidRDefault="00D07950" w:rsidP="00D07950">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07950" w:rsidRPr="009D54B1" w14:paraId="4C3C6A1E" w14:textId="77777777" w:rsidTr="005064A7">
        <w:tc>
          <w:tcPr>
            <w:tcW w:w="2689" w:type="dxa"/>
          </w:tcPr>
          <w:p w14:paraId="072D96BE" w14:textId="77777777" w:rsidR="00D07950" w:rsidRPr="009D54B1" w:rsidRDefault="00D07950" w:rsidP="005064A7">
            <w:pPr>
              <w:jc w:val="both"/>
              <w:rPr>
                <w:rFonts w:ascii="Verdana" w:eastAsia="Calibri" w:hAnsi="Verdana" w:cs="Arial"/>
                <w:b/>
                <w:lang w:val="es-ES_tradnl" w:eastAsia="es-ES_tradnl"/>
              </w:rPr>
            </w:pPr>
            <w:r w:rsidRPr="009D54B1">
              <w:rPr>
                <w:rFonts w:ascii="Verdana" w:eastAsia="Calibri" w:hAnsi="Verdana" w:cs="Arial"/>
                <w:b/>
                <w:lang w:val="es-ES_tradnl" w:eastAsia="es-ES_tradnl"/>
              </w:rPr>
              <w:t>Radicación:</w:t>
            </w:r>
            <w:r w:rsidRPr="009D54B1">
              <w:rPr>
                <w:rFonts w:ascii="Verdana" w:eastAsia="Calibri" w:hAnsi="Verdana" w:cs="Arial"/>
                <w:lang w:val="es-ES_tradnl" w:eastAsia="es-ES_tradnl"/>
              </w:rPr>
              <w:t xml:space="preserve">               </w:t>
            </w:r>
          </w:p>
        </w:tc>
        <w:tc>
          <w:tcPr>
            <w:tcW w:w="6100" w:type="dxa"/>
          </w:tcPr>
          <w:p w14:paraId="7AFCB86F" w14:textId="77777777" w:rsidR="00D07950" w:rsidRPr="009D54B1" w:rsidRDefault="00D07950" w:rsidP="005064A7">
            <w:pPr>
              <w:jc w:val="both"/>
              <w:rPr>
                <w:rFonts w:ascii="Verdana" w:eastAsia="Calibri" w:hAnsi="Verdana" w:cs="Arial"/>
                <w:lang w:val="es-ES_tradnl" w:eastAsia="es-ES_tradnl"/>
              </w:rPr>
            </w:pPr>
            <w:r w:rsidRPr="009D54B1">
              <w:rPr>
                <w:rFonts w:ascii="Verdana" w:eastAsia="Calibri" w:hAnsi="Verdana" w:cs="Arial"/>
                <w:lang w:val="es-ES_tradnl" w:eastAsia="es-ES_tradnl"/>
              </w:rPr>
              <w:t>Respuesta a consulta con radicado No. 1_2026_04_13_004920</w:t>
            </w:r>
          </w:p>
        </w:tc>
      </w:tr>
    </w:tbl>
    <w:p w14:paraId="44BFDB0A" w14:textId="77777777" w:rsidR="00D07950" w:rsidRPr="009D54B1" w:rsidRDefault="00D07950" w:rsidP="00D07950">
      <w:pPr>
        <w:spacing w:after="0" w:line="240" w:lineRule="auto"/>
        <w:jc w:val="both"/>
        <w:rPr>
          <w:rFonts w:ascii="Verdana" w:eastAsia="Calibri" w:hAnsi="Verdana" w:cs="Arial"/>
          <w:lang w:val="es-ES_tradnl" w:eastAsia="es-ES_tradnl"/>
        </w:rPr>
      </w:pPr>
    </w:p>
    <w:p w14:paraId="0F42D5D1" w14:textId="77777777" w:rsidR="00D07950" w:rsidRPr="009D54B1" w:rsidRDefault="00D07950" w:rsidP="00D07950">
      <w:pPr>
        <w:spacing w:after="0" w:line="240" w:lineRule="auto"/>
        <w:jc w:val="both"/>
        <w:rPr>
          <w:rFonts w:ascii="Verdana" w:eastAsia="Calibri" w:hAnsi="Verdana" w:cs="Arial"/>
          <w:lang w:val="es-ES_tradnl" w:eastAsia="es-ES_tradnl"/>
        </w:rPr>
      </w:pPr>
    </w:p>
    <w:p w14:paraId="12117BD6" w14:textId="77777777" w:rsidR="00D07950" w:rsidRPr="009D54B1" w:rsidRDefault="00D07950" w:rsidP="00D07950">
      <w:pPr>
        <w:spacing w:after="0" w:line="276" w:lineRule="auto"/>
        <w:jc w:val="both"/>
        <w:rPr>
          <w:rFonts w:ascii="Verdana" w:eastAsia="Calibri" w:hAnsi="Verdana" w:cs="Arial"/>
          <w:lang w:val="es-ES" w:eastAsia="es-ES"/>
        </w:rPr>
      </w:pPr>
      <w:r w:rsidRPr="009D54B1">
        <w:rPr>
          <w:rFonts w:ascii="Verdana" w:eastAsia="Calibri" w:hAnsi="Verdana" w:cs="Arial"/>
          <w:lang w:val="es-ES" w:eastAsia="es-ES"/>
        </w:rPr>
        <w:t xml:space="preserve">Estimado Señor Morales: </w:t>
      </w:r>
    </w:p>
    <w:p w14:paraId="43C86A1A" w14:textId="77777777" w:rsidR="00D07950" w:rsidRPr="009D54B1" w:rsidRDefault="00D07950" w:rsidP="00D07950">
      <w:pPr>
        <w:tabs>
          <w:tab w:val="left" w:pos="3768"/>
        </w:tabs>
        <w:spacing w:after="0" w:line="276" w:lineRule="auto"/>
        <w:jc w:val="both"/>
        <w:rPr>
          <w:rFonts w:ascii="Verdana" w:eastAsia="Calibri" w:hAnsi="Verdana" w:cs="Arial"/>
          <w:lang w:val="es-ES" w:eastAsia="es-ES"/>
        </w:rPr>
      </w:pPr>
    </w:p>
    <w:p w14:paraId="7A9B4B79" w14:textId="77777777" w:rsidR="00D07950" w:rsidRPr="009D54B1" w:rsidRDefault="00D07950" w:rsidP="00D07950">
      <w:pPr>
        <w:spacing w:after="0" w:line="276" w:lineRule="auto"/>
        <w:jc w:val="both"/>
        <w:rPr>
          <w:rFonts w:ascii="Verdana" w:eastAsia="Calibri" w:hAnsi="Verdana" w:cs="Arial"/>
          <w:lang w:val="es-ES" w:eastAsia="es-ES"/>
        </w:rPr>
      </w:pPr>
      <w:r w:rsidRPr="009D54B1">
        <w:rPr>
          <w:rFonts w:ascii="Verdana" w:eastAsia="Calibri" w:hAnsi="Verdana" w:cs="Arial"/>
          <w:lang w:val="es-ES" w:eastAsia="es-ES"/>
        </w:rPr>
        <w:t>En ejercicio de la competencia otorgada por los artículos 3, numeral 5º, y 11, numeral 8º, del Decreto Ley 4170 de 2011,</w:t>
      </w:r>
      <w:r w:rsidRPr="009D54B1">
        <w:rPr>
          <w:rFonts w:ascii="Verdana" w:eastAsia="Arial MT" w:hAnsi="Verdana" w:cs="Arial MT"/>
          <w:lang w:val="es-ES" w:eastAsia="es-ES"/>
        </w:rPr>
        <w:t xml:space="preserve"> </w:t>
      </w:r>
      <w:r w:rsidRPr="009D54B1">
        <w:rPr>
          <w:rFonts w:ascii="Verdana" w:eastAsia="Aptos" w:hAnsi="Verdana" w:cs="Arial"/>
        </w:rPr>
        <w:t xml:space="preserve">así como lo establecido en el artículo 4 de la Resolución 1707 de 2018 expedida por esta Entidad, </w:t>
      </w:r>
      <w:r w:rsidRPr="009D54B1">
        <w:rPr>
          <w:rFonts w:ascii="Verdana" w:eastAsia="Calibri" w:hAnsi="Verdana" w:cs="Arial"/>
          <w:lang w:val="es-ES" w:eastAsia="es-ES"/>
        </w:rPr>
        <w:t xml:space="preserve">la Agencia Nacional de Contratación Pública – Colombia Compra Eficiente– responde su petición del 13 de abril de 2026, que fue remitida parcialmente por la Secretaría de Integración Social mediante oficio con radicado No. S2026070268. Usted realiza la siguiente consulta: </w:t>
      </w:r>
    </w:p>
    <w:p w14:paraId="32AB4D9B" w14:textId="77777777" w:rsidR="00D07950" w:rsidRPr="009D54B1" w:rsidRDefault="00D07950" w:rsidP="00D07950">
      <w:pPr>
        <w:spacing w:after="0" w:line="276" w:lineRule="auto"/>
        <w:jc w:val="both"/>
        <w:rPr>
          <w:rFonts w:ascii="Verdana" w:eastAsia="Calibri" w:hAnsi="Verdana" w:cs="Arial"/>
          <w:lang w:val="es-ES" w:eastAsia="es-ES"/>
        </w:rPr>
      </w:pPr>
    </w:p>
    <w:p w14:paraId="70CCF578" w14:textId="77777777" w:rsidR="00D07950" w:rsidRPr="009D54B1" w:rsidRDefault="00D07950" w:rsidP="00D07950">
      <w:pPr>
        <w:spacing w:after="0" w:line="240" w:lineRule="auto"/>
        <w:ind w:left="709" w:right="709"/>
        <w:jc w:val="both"/>
        <w:rPr>
          <w:rFonts w:ascii="Verdana" w:eastAsia="Calibri" w:hAnsi="Verdana" w:cs="Arial"/>
          <w:sz w:val="20"/>
          <w:szCs w:val="20"/>
          <w:lang w:val="es-MX"/>
        </w:rPr>
      </w:pPr>
      <w:r w:rsidRPr="009D54B1">
        <w:rPr>
          <w:rFonts w:ascii="Verdana" w:eastAsia="Calibri" w:hAnsi="Verdana" w:cs="Arial"/>
          <w:sz w:val="20"/>
          <w:szCs w:val="20"/>
          <w:lang w:val="es-MX"/>
        </w:rPr>
        <w:t>“[…]</w:t>
      </w:r>
    </w:p>
    <w:p w14:paraId="01F1E559" w14:textId="77777777" w:rsidR="00D07950" w:rsidRPr="009D54B1" w:rsidRDefault="00D07950" w:rsidP="00D07950">
      <w:pPr>
        <w:numPr>
          <w:ilvl w:val="0"/>
          <w:numId w:val="2"/>
        </w:numPr>
        <w:spacing w:after="0" w:line="240" w:lineRule="auto"/>
        <w:ind w:right="709"/>
        <w:contextualSpacing/>
        <w:jc w:val="both"/>
        <w:rPr>
          <w:rFonts w:ascii="Verdana" w:eastAsia="Calibri" w:hAnsi="Verdana" w:cs="Arial"/>
          <w:sz w:val="20"/>
          <w:szCs w:val="20"/>
          <w:lang w:val="es-MX"/>
        </w:rPr>
      </w:pPr>
      <w:r w:rsidRPr="009D54B1">
        <w:rPr>
          <w:rFonts w:ascii="Verdana" w:eastAsia="Calibri" w:hAnsi="Verdana" w:cs="Arial"/>
          <w:sz w:val="20"/>
          <w:szCs w:val="20"/>
          <w:lang w:val="es-MX"/>
        </w:rPr>
        <w:t>Emitir concepto sobre la suficiencia de la Matriz de Riesgos FOR-GEC-035 Versión 0 conforme al CONPES 3714/2011.</w:t>
      </w:r>
    </w:p>
    <w:p w14:paraId="37F83869" w14:textId="77777777" w:rsidR="00D07950" w:rsidRPr="009D54B1" w:rsidRDefault="00D07950" w:rsidP="00D07950">
      <w:pPr>
        <w:numPr>
          <w:ilvl w:val="0"/>
          <w:numId w:val="2"/>
        </w:numPr>
        <w:spacing w:after="0" w:line="240" w:lineRule="auto"/>
        <w:ind w:right="709"/>
        <w:contextualSpacing/>
        <w:jc w:val="both"/>
        <w:rPr>
          <w:rFonts w:ascii="Verdana" w:eastAsia="Calibri" w:hAnsi="Verdana" w:cs="Arial"/>
          <w:sz w:val="20"/>
          <w:szCs w:val="20"/>
          <w:lang w:val="es-MX"/>
        </w:rPr>
      </w:pPr>
      <w:r w:rsidRPr="009D54B1">
        <w:rPr>
          <w:rFonts w:ascii="Verdana" w:eastAsia="Calibri" w:hAnsi="Verdana" w:cs="Arial"/>
          <w:sz w:val="20"/>
          <w:szCs w:val="20"/>
          <w:lang w:val="es-MX"/>
        </w:rPr>
        <w:lastRenderedPageBreak/>
        <w:t>Verificar si el formato en Versión 0 cumple los estándares del Manual para Determinación de Requisitos Habilitantes M-DVRHPC-05.</w:t>
      </w:r>
    </w:p>
    <w:p w14:paraId="4898ED03" w14:textId="77777777" w:rsidR="00D07950" w:rsidRPr="009D54B1" w:rsidRDefault="00D07950" w:rsidP="00D07950">
      <w:pPr>
        <w:numPr>
          <w:ilvl w:val="0"/>
          <w:numId w:val="2"/>
        </w:numPr>
        <w:spacing w:after="0" w:line="240" w:lineRule="auto"/>
        <w:ind w:right="709"/>
        <w:contextualSpacing/>
        <w:jc w:val="both"/>
        <w:rPr>
          <w:rFonts w:ascii="Verdana" w:eastAsia="Calibri" w:hAnsi="Verdana" w:cs="Arial"/>
          <w:sz w:val="20"/>
          <w:szCs w:val="20"/>
          <w:lang w:val="es-MX"/>
        </w:rPr>
      </w:pPr>
      <w:r w:rsidRPr="009D54B1">
        <w:rPr>
          <w:rFonts w:ascii="Verdana" w:eastAsia="Calibri" w:hAnsi="Verdana" w:cs="Arial"/>
          <w:sz w:val="20"/>
          <w:szCs w:val="20"/>
          <w:lang w:val="es-MX"/>
        </w:rPr>
        <w:t>Emitir concepto sobre la combinación de 4 códigos UNSPSC exigida simultáneamente restringe indebidamente la concurrencia.</w:t>
      </w:r>
    </w:p>
    <w:p w14:paraId="2DC966E8" w14:textId="77777777" w:rsidR="00D07950" w:rsidRPr="009D54B1" w:rsidRDefault="00D07950" w:rsidP="00D07950">
      <w:pPr>
        <w:numPr>
          <w:ilvl w:val="0"/>
          <w:numId w:val="2"/>
        </w:numPr>
        <w:spacing w:after="0" w:line="240" w:lineRule="auto"/>
        <w:ind w:right="709"/>
        <w:contextualSpacing/>
        <w:jc w:val="both"/>
        <w:rPr>
          <w:rFonts w:ascii="Verdana" w:eastAsia="Calibri" w:hAnsi="Verdana" w:cs="Arial"/>
          <w:sz w:val="20"/>
          <w:szCs w:val="20"/>
          <w:lang w:val="es-MX"/>
        </w:rPr>
      </w:pPr>
      <w:r w:rsidRPr="009D54B1">
        <w:rPr>
          <w:rFonts w:ascii="Verdana" w:eastAsia="Calibri" w:hAnsi="Verdana" w:cs="Arial"/>
          <w:sz w:val="20"/>
          <w:szCs w:val="20"/>
          <w:lang w:val="es-MX"/>
        </w:rPr>
        <w:t>Verificar si los indicadores financieros exigidos (especialmente liquidez de 1,37 vs. Mediana de 2,18) cumplen los lineamientos de la Circular Externa 4/2021”. [sic]</w:t>
      </w:r>
    </w:p>
    <w:p w14:paraId="227D8B74" w14:textId="77777777" w:rsidR="00D07950" w:rsidRPr="009D54B1" w:rsidRDefault="00D07950" w:rsidP="00D07950">
      <w:pPr>
        <w:spacing w:after="0" w:line="276" w:lineRule="auto"/>
        <w:jc w:val="both"/>
        <w:rPr>
          <w:rFonts w:ascii="Verdana" w:eastAsia="Calibri" w:hAnsi="Verdana" w:cs="Arial"/>
          <w:lang w:val="es-ES" w:eastAsia="es-ES"/>
        </w:rPr>
      </w:pPr>
    </w:p>
    <w:p w14:paraId="455BAB52" w14:textId="77777777" w:rsidR="00D07950" w:rsidRPr="009D54B1" w:rsidRDefault="00D07950" w:rsidP="00D07950">
      <w:pPr>
        <w:spacing w:after="120" w:line="276" w:lineRule="auto"/>
        <w:jc w:val="both"/>
        <w:rPr>
          <w:rFonts w:ascii="Verdana" w:eastAsia="Calibri" w:hAnsi="Verdana" w:cs="Arial"/>
          <w:lang w:val="es-ES" w:eastAsia="es-ES"/>
        </w:rPr>
      </w:pPr>
      <w:r w:rsidRPr="009D54B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8C83BE2" w14:textId="77777777" w:rsidR="00D07950" w:rsidRPr="009D54B1" w:rsidRDefault="00D07950" w:rsidP="00D07950">
      <w:pPr>
        <w:spacing w:after="0" w:line="276" w:lineRule="auto"/>
        <w:ind w:firstLine="709"/>
        <w:jc w:val="both"/>
        <w:rPr>
          <w:rFonts w:ascii="Verdana" w:eastAsia="Calibri" w:hAnsi="Verdana" w:cs="Arial"/>
          <w:lang w:val="es-ES" w:eastAsia="es-ES"/>
        </w:rPr>
      </w:pPr>
      <w:r w:rsidRPr="009D54B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4AE37CC" w14:textId="77777777" w:rsidR="00D07950" w:rsidRPr="009D54B1" w:rsidRDefault="00D07950" w:rsidP="00D07950">
      <w:pPr>
        <w:spacing w:after="0" w:line="276" w:lineRule="auto"/>
        <w:ind w:firstLine="709"/>
        <w:jc w:val="both"/>
        <w:rPr>
          <w:rFonts w:ascii="Verdana" w:eastAsia="Calibri" w:hAnsi="Verdana" w:cs="Arial"/>
          <w:lang w:val="es-ES" w:eastAsia="es-ES"/>
        </w:rPr>
      </w:pPr>
    </w:p>
    <w:p w14:paraId="0A9F8021" w14:textId="77777777" w:rsidR="00D07950" w:rsidRPr="009D54B1" w:rsidRDefault="00D07950" w:rsidP="00D07950">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9D54B1">
        <w:rPr>
          <w:rFonts w:ascii="Verdana" w:eastAsia="Arial" w:hAnsi="Verdana" w:cs="Arial"/>
          <w:b/>
          <w:bCs/>
          <w:lang w:val="es-ES"/>
        </w:rPr>
        <w:t>1. Problema planteado:</w:t>
      </w:r>
    </w:p>
    <w:p w14:paraId="24031E7F" w14:textId="77777777" w:rsidR="00D07950" w:rsidRPr="009D54B1" w:rsidRDefault="00D07950" w:rsidP="00D07950">
      <w:pPr>
        <w:tabs>
          <w:tab w:val="left" w:pos="426"/>
        </w:tabs>
        <w:spacing w:after="0" w:line="276" w:lineRule="auto"/>
        <w:jc w:val="both"/>
        <w:rPr>
          <w:rFonts w:ascii="Verdana" w:eastAsia="Century Gothic" w:hAnsi="Verdana" w:cs="Century Gothic"/>
          <w:lang w:val="es-ES"/>
        </w:rPr>
      </w:pPr>
    </w:p>
    <w:p w14:paraId="26B5C3EE" w14:textId="77777777" w:rsidR="00D07950" w:rsidRPr="009D54B1" w:rsidRDefault="00D07950" w:rsidP="00D07950">
      <w:pPr>
        <w:spacing w:after="0"/>
        <w:jc w:val="both"/>
        <w:rPr>
          <w:rFonts w:ascii="Verdana" w:eastAsia="Aptos" w:hAnsi="Verdana" w:cs="Arial"/>
        </w:rPr>
      </w:pPr>
      <w:r w:rsidRPr="009D54B1">
        <w:rPr>
          <w:rFonts w:ascii="Verdana" w:eastAsia="Century Gothic" w:hAnsi="Verdana" w:cs="Century Gothic"/>
        </w:rPr>
        <w:t xml:space="preserve">De acuerdo con el contenido de su solicitud, le informamos que la misma se resolverá desde los siguientes </w:t>
      </w:r>
      <w:bookmarkStart w:id="1" w:name="_Hlk171070029"/>
      <w:r w:rsidRPr="009D54B1">
        <w:rPr>
          <w:rFonts w:ascii="Verdana" w:eastAsia="Century Gothic" w:hAnsi="Verdana" w:cs="Century Gothic"/>
        </w:rPr>
        <w:t xml:space="preserve">interrogantes: i) ¿Cuál es el alcance de la función consultica de la Agencia Nacional de Contratación Pública – Colombia Compra Eficiente?; y, </w:t>
      </w:r>
      <w:proofErr w:type="spellStart"/>
      <w:r w:rsidRPr="009D54B1">
        <w:rPr>
          <w:rFonts w:ascii="Verdana" w:eastAsia="Century Gothic" w:hAnsi="Verdana" w:cs="Century Gothic"/>
        </w:rPr>
        <w:t>ii</w:t>
      </w:r>
      <w:proofErr w:type="spellEnd"/>
      <w:r w:rsidRPr="009D54B1">
        <w:rPr>
          <w:rFonts w:ascii="Verdana" w:eastAsia="Century Gothic" w:hAnsi="Verdana" w:cs="Century Gothic"/>
        </w:rPr>
        <w:t>) ¿Puede la Agencia Nacional de Contratación Pública – Colombia Compra Eficiente manifestarse sobre la estructuración de los procesos de contratación de otras Entidades Estatales, con el fin de verificar si aplicaron o no los lineamientos que haya señalado en una guía, manual o circular externa?</w:t>
      </w:r>
    </w:p>
    <w:p w14:paraId="262A5A7A" w14:textId="77777777" w:rsidR="00D07950" w:rsidRPr="009D54B1" w:rsidRDefault="00D07950" w:rsidP="00D07950">
      <w:pPr>
        <w:spacing w:after="0"/>
        <w:jc w:val="both"/>
        <w:rPr>
          <w:rFonts w:ascii="Verdana" w:eastAsia="Aptos" w:hAnsi="Verdana" w:cs="Arial"/>
        </w:rPr>
      </w:pPr>
    </w:p>
    <w:bookmarkEnd w:id="1"/>
    <w:p w14:paraId="41DDCC11" w14:textId="77777777" w:rsidR="00D07950" w:rsidRPr="009D54B1" w:rsidRDefault="00D07950" w:rsidP="00D07950">
      <w:pPr>
        <w:widowControl w:val="0"/>
        <w:autoSpaceDE w:val="0"/>
        <w:autoSpaceDN w:val="0"/>
        <w:spacing w:before="1" w:after="0" w:line="240" w:lineRule="auto"/>
        <w:jc w:val="both"/>
        <w:outlineLvl w:val="0"/>
        <w:rPr>
          <w:rFonts w:ascii="Verdana" w:eastAsia="Arial" w:hAnsi="Verdana" w:cs="Arial"/>
          <w:b/>
          <w:bCs/>
          <w:lang w:val="es-ES"/>
        </w:rPr>
      </w:pPr>
      <w:r w:rsidRPr="009D54B1">
        <w:rPr>
          <w:rFonts w:ascii="Verdana" w:eastAsia="Arial" w:hAnsi="Verdana" w:cs="Arial"/>
          <w:b/>
          <w:bCs/>
          <w:lang w:val="es-ES"/>
        </w:rPr>
        <w:t>2. Respuesta:</w:t>
      </w:r>
    </w:p>
    <w:p w14:paraId="74EA8888" w14:textId="77777777" w:rsidR="00D07950" w:rsidRPr="009D54B1" w:rsidRDefault="00D07950" w:rsidP="00D07950">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7950" w:rsidRPr="009D54B1" w14:paraId="371F1F72" w14:textId="77777777" w:rsidTr="005064A7">
        <w:tc>
          <w:tcPr>
            <w:tcW w:w="8828" w:type="dxa"/>
          </w:tcPr>
          <w:p w14:paraId="6484B9DF" w14:textId="77777777" w:rsidR="00D07950" w:rsidRPr="009D54B1" w:rsidRDefault="00D07950" w:rsidP="005064A7">
            <w:pPr>
              <w:spacing w:line="276" w:lineRule="auto"/>
              <w:jc w:val="both"/>
              <w:rPr>
                <w:rFonts w:ascii="Verdana" w:eastAsia="Geomanist Light" w:hAnsi="Verdana" w:cs="Arial"/>
                <w:color w:val="000000"/>
                <w:lang w:val="es-MX"/>
              </w:rPr>
            </w:pPr>
            <w:bookmarkStart w:id="2" w:name="_Hlk171067516"/>
            <w:r w:rsidRPr="009D54B1">
              <w:rPr>
                <w:rFonts w:ascii="Verdana" w:eastAsia="Times New Roman" w:hAnsi="Verdana" w:cs="Arial"/>
                <w:bdr w:val="none" w:sz="0" w:space="0" w:color="auto" w:frame="1"/>
                <w:shd w:val="clear" w:color="auto" w:fill="FFFFFF"/>
                <w:lang w:val="es-ES" w:eastAsia="es-ES_tradnl"/>
              </w:rPr>
              <w:t xml:space="preserve">i) </w:t>
            </w:r>
            <w:r w:rsidRPr="009D54B1">
              <w:rPr>
                <w:rFonts w:ascii="Verdana" w:eastAsia="Geomanist Light" w:hAnsi="Verdana" w:cs="Arial"/>
                <w:color w:val="000000"/>
                <w:lang w:val="es-MX"/>
              </w:rPr>
              <w:t>Sobre el particular debe precisarse que,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p>
          <w:p w14:paraId="52DB9294" w14:textId="77777777" w:rsidR="00D07950" w:rsidRPr="009D54B1" w:rsidRDefault="00D07950" w:rsidP="005064A7">
            <w:pPr>
              <w:spacing w:line="276" w:lineRule="auto"/>
              <w:jc w:val="both"/>
              <w:rPr>
                <w:rFonts w:ascii="Verdana" w:eastAsia="Geomanist Light" w:hAnsi="Verdana" w:cs="Arial"/>
                <w:color w:val="000000"/>
                <w:lang w:val="es-MX"/>
              </w:rPr>
            </w:pPr>
          </w:p>
          <w:p w14:paraId="4C930730" w14:textId="77777777" w:rsidR="00D07950" w:rsidRPr="009D54B1" w:rsidRDefault="00D07950" w:rsidP="005064A7">
            <w:pPr>
              <w:spacing w:line="276" w:lineRule="auto"/>
              <w:jc w:val="both"/>
              <w:rPr>
                <w:rFonts w:ascii="Verdana" w:eastAsia="Geomanist Light" w:hAnsi="Verdana" w:cs="Arial"/>
                <w:color w:val="000000"/>
                <w:lang w:val="es-MX"/>
              </w:rPr>
            </w:pPr>
            <w:proofErr w:type="spellStart"/>
            <w:r w:rsidRPr="009D54B1">
              <w:rPr>
                <w:rFonts w:ascii="Verdana" w:eastAsia="Geomanist Light" w:hAnsi="Verdana" w:cs="Arial"/>
                <w:color w:val="000000"/>
                <w:lang w:val="es-MX"/>
              </w:rPr>
              <w:t>ii</w:t>
            </w:r>
            <w:proofErr w:type="spellEnd"/>
            <w:r w:rsidRPr="009D54B1">
              <w:rPr>
                <w:rFonts w:ascii="Verdana" w:eastAsia="Geomanist Light" w:hAnsi="Verdana" w:cs="Arial"/>
                <w:color w:val="000000"/>
                <w:lang w:val="es-MX"/>
              </w:rPr>
              <w:t>) Inicialmente se aclara, que el ejercicio de la función consultiva del artículo 28 de la Ley 1437 de 2011 no procede para la resolución de controversias en curso o de problemas cuyos efectos se concreten. De ahí que, inicialmente, el asunto debe manejarlo la propia entidad ante la que se presentan las inquietudes y/</w:t>
            </w:r>
            <w:proofErr w:type="spellStart"/>
            <w:r w:rsidRPr="009D54B1">
              <w:rPr>
                <w:rFonts w:ascii="Verdana" w:eastAsia="Geomanist Light" w:hAnsi="Verdana" w:cs="Arial"/>
                <w:color w:val="000000"/>
                <w:lang w:val="es-MX"/>
              </w:rPr>
              <w:t>o</w:t>
            </w:r>
            <w:proofErr w:type="spellEnd"/>
            <w:r w:rsidRPr="009D54B1">
              <w:rPr>
                <w:rFonts w:ascii="Verdana" w:eastAsia="Geomanist Light" w:hAnsi="Verdana" w:cs="Arial"/>
                <w:color w:val="000000"/>
                <w:lang w:val="es-MX"/>
              </w:rPr>
              <w:t xml:space="preserve"> observaciones por parte de los interesados en el proceso de contratación que esta se encuentra desarrollando y, en caso de proceder, el respectivo órgano de control competente. Así las cosas, Colombia Compra Eficiente considera que no hay lugar a emitir apreciaciones o interpretaciones destinadas a verificar, por ejemplo, que los documentos de un proceso de contratación de una Entidad Estatal se ciñan o no a los lineamientos que, de </w:t>
            </w:r>
            <w:proofErr w:type="spellStart"/>
            <w:r w:rsidRPr="009D54B1">
              <w:rPr>
                <w:rFonts w:ascii="Verdana" w:eastAsia="Geomanist Light" w:hAnsi="Verdana" w:cs="Arial"/>
                <w:color w:val="000000"/>
                <w:lang w:val="es-MX"/>
              </w:rPr>
              <w:t>manara</w:t>
            </w:r>
            <w:proofErr w:type="spellEnd"/>
            <w:r w:rsidRPr="009D54B1">
              <w:rPr>
                <w:rFonts w:ascii="Verdana" w:eastAsia="Geomanist Light" w:hAnsi="Verdana" w:cs="Arial"/>
                <w:color w:val="000000"/>
                <w:lang w:val="es-MX"/>
              </w:rPr>
              <w:t xml:space="preserve"> ilustrativa ha puesto a disposición de los partícipes del Sistema de Compras y Contratación Pública mediante las Guías, Manuales o Circulares que expide, pues el legislador no le otorgó tal competencia.</w:t>
            </w:r>
          </w:p>
          <w:p w14:paraId="3F87AAF5" w14:textId="77777777" w:rsidR="00D07950" w:rsidRPr="009D54B1" w:rsidRDefault="00D07950" w:rsidP="005064A7">
            <w:pPr>
              <w:spacing w:before="120" w:line="276" w:lineRule="auto"/>
              <w:ind w:firstLine="709"/>
              <w:jc w:val="both"/>
              <w:rPr>
                <w:rFonts w:ascii="Verdana" w:eastAsia="Geomanist Light" w:hAnsi="Verdana" w:cs="Arial"/>
                <w:color w:val="000000"/>
                <w:lang w:val="es-MX"/>
              </w:rPr>
            </w:pPr>
            <w:r w:rsidRPr="009D54B1">
              <w:rPr>
                <w:rFonts w:ascii="Verdana" w:eastAsia="Geomanist Light" w:hAnsi="Verdana" w:cs="Arial"/>
                <w:color w:val="000000"/>
                <w:lang w:val="es-MX"/>
              </w:rPr>
              <w:t xml:space="preserve">Sin embargo, pese a que desde el año 2017 Colombia Compra Eficiente acogió un enfoque sustantivo sobre el carácter obligatorio de los actos que expida, esto significa que con independencia de la forma en la que adopte una directriz o lineamiento, su carácter de obligatorio o no, se determinará por la existencia de una competencia legal o reglamentaria que de manera previa se le otorgue para un asunto en concreto. En síntesis, lo que definirá la obligatoria observancia de un documento expedido por esta Agencia no será que se adopte mediante circular externa, sino que su contenido devenga de aquellos </w:t>
            </w:r>
            <w:r w:rsidRPr="009D54B1">
              <w:rPr>
                <w:rFonts w:ascii="Verdana" w:eastAsia="Geomanist Light" w:hAnsi="Verdana" w:cs="Arial"/>
                <w:color w:val="000000"/>
                <w:lang w:val="es-MX"/>
              </w:rPr>
              <w:lastRenderedPageBreak/>
              <w:t xml:space="preserve">cuya regulación haya sido encargada por el Legislador o el Presidente de la República. </w:t>
            </w:r>
          </w:p>
          <w:p w14:paraId="52B64FC5" w14:textId="77777777" w:rsidR="00D07950" w:rsidRPr="009D54B1" w:rsidRDefault="00D07950" w:rsidP="005064A7">
            <w:pPr>
              <w:spacing w:line="276" w:lineRule="auto"/>
              <w:jc w:val="both"/>
              <w:rPr>
                <w:rFonts w:ascii="Verdana" w:eastAsia="Geomanist Light" w:hAnsi="Verdana" w:cs="Arial"/>
                <w:color w:val="000000"/>
                <w:lang w:val="es-MX"/>
              </w:rPr>
            </w:pPr>
            <w:r w:rsidRPr="009D54B1">
              <w:rPr>
                <w:rFonts w:ascii="Verdana" w:eastAsia="Geomanist Light" w:hAnsi="Verdana" w:cs="Arial"/>
                <w:color w:val="000000"/>
                <w:lang w:val="es-MX"/>
              </w:rPr>
              <w:t>Lo antes expuesto no acarrea como se indicó, la obligación de que la Agencia Nacional de Contratación Pública – Colombia Compra Eficiente verifique si un proceso de contratación adelantado por una Entidad Estatal observó o no los lineamientos que haya relacionado en una guía, manual o circular externa, pues de acuerdo con lo dispuesto en el literal b) del artículo 2.1.4.3.2.1 del Decreto 1081 de 2015 modificado por el artículo 2 del Decreto 1600 de 2024, las entidades deben dejar constancia en sus respectivos documentos del proceso, que “en la estructuración se tuvieron en cuenta las prácticas recomendadas por Colombia Compra Eficiente”.</w:t>
            </w:r>
          </w:p>
        </w:tc>
      </w:tr>
      <w:bookmarkEnd w:id="2"/>
    </w:tbl>
    <w:p w14:paraId="40061AF3" w14:textId="77777777" w:rsidR="00D07950" w:rsidRPr="009D54B1" w:rsidRDefault="00D07950" w:rsidP="00D07950">
      <w:pPr>
        <w:widowControl w:val="0"/>
        <w:autoSpaceDE w:val="0"/>
        <w:autoSpaceDN w:val="0"/>
        <w:spacing w:before="1" w:after="0" w:line="240" w:lineRule="auto"/>
        <w:ind w:left="360" w:hanging="360"/>
        <w:outlineLvl w:val="0"/>
        <w:rPr>
          <w:rFonts w:ascii="Verdana" w:eastAsia="Arial" w:hAnsi="Verdana" w:cs="Arial"/>
          <w:b/>
        </w:rPr>
      </w:pPr>
    </w:p>
    <w:p w14:paraId="4544C181" w14:textId="77777777" w:rsidR="00D07950" w:rsidRPr="009D54B1" w:rsidRDefault="00D07950" w:rsidP="00D07950">
      <w:pPr>
        <w:widowControl w:val="0"/>
        <w:autoSpaceDE w:val="0"/>
        <w:autoSpaceDN w:val="0"/>
        <w:spacing w:before="1" w:after="0" w:line="240" w:lineRule="auto"/>
        <w:ind w:left="360" w:hanging="360"/>
        <w:outlineLvl w:val="0"/>
        <w:rPr>
          <w:rFonts w:ascii="Verdana" w:eastAsia="Arial" w:hAnsi="Verdana" w:cs="Arial"/>
          <w:b/>
          <w:bCs/>
          <w:lang w:val="es-ES"/>
        </w:rPr>
      </w:pPr>
      <w:r w:rsidRPr="009D54B1">
        <w:rPr>
          <w:rFonts w:ascii="Verdana" w:eastAsia="Arial" w:hAnsi="Verdana" w:cs="Arial"/>
          <w:b/>
          <w:bCs/>
          <w:lang w:val="es-ES"/>
        </w:rPr>
        <w:t>3. Razones de la respuesta</w:t>
      </w:r>
    </w:p>
    <w:p w14:paraId="79C05AE9" w14:textId="77777777" w:rsidR="00D07950" w:rsidRPr="009D54B1" w:rsidRDefault="00D07950" w:rsidP="00D07950">
      <w:pPr>
        <w:spacing w:after="0" w:line="276" w:lineRule="auto"/>
        <w:jc w:val="both"/>
        <w:rPr>
          <w:rFonts w:ascii="Verdana" w:eastAsia="Calibri" w:hAnsi="Verdana" w:cs="Arial"/>
          <w:lang w:val="es-ES"/>
        </w:rPr>
      </w:pPr>
    </w:p>
    <w:p w14:paraId="636C8FCF" w14:textId="77777777" w:rsidR="00D07950" w:rsidRPr="009D54B1" w:rsidRDefault="00D07950" w:rsidP="00D07950">
      <w:pPr>
        <w:spacing w:after="0" w:line="276" w:lineRule="auto"/>
        <w:jc w:val="both"/>
        <w:rPr>
          <w:rFonts w:ascii="Verdana" w:eastAsia="Calibri" w:hAnsi="Verdana" w:cs="Arial"/>
          <w:lang w:val="es-ES"/>
        </w:rPr>
      </w:pPr>
      <w:r w:rsidRPr="009D54B1">
        <w:rPr>
          <w:rFonts w:ascii="Verdana" w:eastAsia="Calibri" w:hAnsi="Verdana" w:cs="Arial"/>
          <w:lang w:val="es-ES"/>
        </w:rPr>
        <w:t xml:space="preserve">Las respuestas anteriores se sustentan en las siguientes consideraciones: </w:t>
      </w:r>
    </w:p>
    <w:p w14:paraId="56D5D915" w14:textId="77777777" w:rsidR="00D07950" w:rsidRPr="009D54B1" w:rsidRDefault="00D07950" w:rsidP="00D07950">
      <w:pPr>
        <w:spacing w:after="0" w:line="276" w:lineRule="auto"/>
        <w:jc w:val="both"/>
        <w:rPr>
          <w:rFonts w:ascii="Verdana" w:eastAsia="Calibri" w:hAnsi="Verdana" w:cs="Arial"/>
          <w:lang w:val="es-ES"/>
        </w:rPr>
      </w:pPr>
    </w:p>
    <w:p w14:paraId="64F5CF25" w14:textId="77777777" w:rsidR="00D07950" w:rsidRPr="009D54B1" w:rsidRDefault="00D07950" w:rsidP="00D07950">
      <w:pPr>
        <w:spacing w:after="0" w:line="276" w:lineRule="auto"/>
        <w:jc w:val="both"/>
        <w:rPr>
          <w:rFonts w:ascii="Verdana" w:eastAsia="Calibri" w:hAnsi="Verdana" w:cs="Arial"/>
          <w:lang w:val="es-ES"/>
        </w:rPr>
      </w:pPr>
      <w:r w:rsidRPr="009D54B1">
        <w:rPr>
          <w:rFonts w:ascii="Verdana" w:eastAsia="Calibri" w:hAnsi="Verdana" w:cs="Arial"/>
          <w:lang w:val="es-ES"/>
        </w:rPr>
        <w:t xml:space="preserve">De manera preliminar debe precisarse que, </w:t>
      </w:r>
      <w:bookmarkStart w:id="3" w:name="_1fob9te" w:colFirst="0" w:colLast="0"/>
      <w:bookmarkEnd w:id="3"/>
      <w:r w:rsidRPr="009D54B1">
        <w:rPr>
          <w:rFonts w:ascii="Verdana" w:eastAsia="Calibri" w:hAnsi="Verdana" w:cs="Arial"/>
          <w:lang w:val="es-ES"/>
        </w:rPr>
        <w:t>en ejercicio de las competencias consagradas en los artículos 3.5, 11.8, 12.6, 13.4 del Decreto 4170 de 2011, la Agencia Nacional de Contratación Pública – Colombia Compra Eficiente resuelve consultas sobre los asuntos de su competencia, esto es, sobre las normas que conforman el Sistema de Compras y Contratación Pública. Dicha competencia se relaciona con el artículo 28 de la Ley 1437 de 2011, sustituido por el artículo 1 de la Ley 1755 de 2015, que establece el alcance de los conceptos así: “[s]</w:t>
      </w:r>
      <w:proofErr w:type="spellStart"/>
      <w:r w:rsidRPr="009D54B1">
        <w:rPr>
          <w:rFonts w:ascii="Verdana" w:eastAsia="Calibri" w:hAnsi="Verdana" w:cs="Arial"/>
          <w:lang w:val="es-ES"/>
        </w:rPr>
        <w:t>alvo</w:t>
      </w:r>
      <w:proofErr w:type="spellEnd"/>
      <w:r w:rsidRPr="009D54B1">
        <w:rPr>
          <w:rFonts w:ascii="Verdana" w:eastAsia="Calibri" w:hAnsi="Verdana" w:cs="Arial"/>
          <w:lang w:val="es-ES"/>
        </w:rPr>
        <w:t xml:space="preserve"> disposición legal en contrario, los conceptos emitidos por las autoridades como respuesta a peticiones realizadas en ejercicio del derecho a formular consultas no serán de obligatorio cumplimiento o ejecución”.</w:t>
      </w:r>
    </w:p>
    <w:p w14:paraId="4518BA73"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iCs/>
        </w:rPr>
        <w:t xml:space="preserve">Al margen de lo anterior, </w:t>
      </w:r>
      <w:r w:rsidRPr="009D54B1">
        <w:rPr>
          <w:rFonts w:ascii="Verdana" w:eastAsia="Calibri" w:hAnsi="Verdana" w:cs="Arial"/>
        </w:rPr>
        <w:t>debe advertirse que 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Estatales con dicha función, tienen respecto del ordenamiento jurídico. Esto explica por qué esta Agencia reiteradamente, no resuelve controversias concretas, ni brinda asesorías puntuales sobre el desarrollo de los procesos contractuales que adelanten otras Entidades Estatales.</w:t>
      </w:r>
    </w:p>
    <w:p w14:paraId="60B598DB"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lastRenderedPageBreak/>
        <w:t xml:space="preserve">Esta postura es compartida por varias Entidades Estatales que ejercen la misma función. Por ejemplo, la Procuraduría General de la Nación aclaró que el concepto “sólo constituye un criterio auxiliar de interpretación y que no tiene </w:t>
      </w:r>
      <w:r w:rsidRPr="009D54B1">
        <w:rPr>
          <w:rFonts w:ascii="Verdana" w:eastAsia="Calibri" w:hAnsi="Verdana" w:cs="Arial"/>
          <w:bCs/>
          <w:lang w:val="es-ES_tradnl"/>
        </w:rPr>
        <w:t>carácter vinculante de acuerdo con lo dispuesto en los artículos 230 de la Constitución Política, 5° de la Ley 153 de 1887 y 28 de la ley 1437 de 2011”</w:t>
      </w:r>
      <w:r w:rsidRPr="009D54B1">
        <w:rPr>
          <w:rFonts w:ascii="Verdana" w:eastAsia="Calibri" w:hAnsi="Verdana" w:cs="Arial"/>
          <w:bCs/>
          <w:vertAlign w:val="superscript"/>
          <w:lang w:val="es-ES_tradnl"/>
        </w:rPr>
        <w:footnoteReference w:id="1"/>
      </w:r>
      <w:r w:rsidRPr="009D54B1">
        <w:rPr>
          <w:rFonts w:ascii="Verdana" w:eastAsia="Calibri" w:hAnsi="Verdana" w:cs="Arial"/>
          <w:bCs/>
          <w:lang w:val="es-ES_tradnl"/>
        </w:rPr>
        <w:t>. Igualmente, en concepto del año 2017</w:t>
      </w:r>
      <w:r w:rsidRPr="009D54B1">
        <w:rPr>
          <w:rFonts w:ascii="Verdana" w:eastAsia="Calibri" w:hAnsi="Verdana" w:cs="Arial"/>
          <w:bCs/>
          <w:vertAlign w:val="superscript"/>
          <w:lang w:val="es-ES_tradnl"/>
        </w:rPr>
        <w:footnoteReference w:id="2"/>
      </w:r>
      <w:r w:rsidRPr="009D54B1">
        <w:rPr>
          <w:rFonts w:ascii="Verdana" w:eastAsia="Calibri" w:hAnsi="Verdana" w:cs="Arial"/>
          <w:bCs/>
          <w:lang w:val="es-ES_tradnl"/>
        </w:rPr>
        <w:t>,</w:t>
      </w:r>
      <w:r w:rsidRPr="009D54B1">
        <w:rPr>
          <w:rFonts w:ascii="Aptos" w:eastAsia="Aptos" w:hAnsi="Aptos" w:cs="Arial"/>
        </w:rPr>
        <w:t xml:space="preserve"> </w:t>
      </w:r>
      <w:r w:rsidRPr="009D54B1">
        <w:rPr>
          <w:rFonts w:ascii="Verdana" w:eastAsia="Calibri" w:hAnsi="Verdana" w:cs="Arial"/>
          <w:bCs/>
          <w:lang w:val="es-ES_tradnl"/>
        </w:rPr>
        <w:t>la Contraloría General de la República precisó que los “[…]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p>
    <w:p w14:paraId="31B5E38C"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bCs/>
          <w:lang w:val="es-ES_tradnl"/>
        </w:rPr>
      </w:pPr>
      <w:r w:rsidRPr="009D54B1">
        <w:rPr>
          <w:rFonts w:ascii="Verdana" w:eastAsia="Calibri" w:hAnsi="Verdana" w:cs="Arial"/>
        </w:rPr>
        <w:t>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ejercer control a los procesos de contratación desarrollados por otras Entidades Estatales o asumir la única posible interpretación de una disposición normativa. Esto no descarta que, en la práctica, al emitirse la opinión sobre la interpretación del ordenamiento jurídico, exista coincidencia con el criterio que expone alguna de las partes o la persona que solicita la consulta, evento este, que no descarta interpretaciones diferentes</w:t>
      </w:r>
      <w:r w:rsidRPr="009D54B1">
        <w:rPr>
          <w:rFonts w:ascii="Verdana" w:eastAsia="Calibri" w:hAnsi="Verdana" w:cs="Arial"/>
          <w:bCs/>
          <w:vertAlign w:val="superscript"/>
          <w:lang w:val="es-ES_tradnl"/>
        </w:rPr>
        <w:footnoteReference w:id="3"/>
      </w:r>
      <w:r w:rsidRPr="009D54B1">
        <w:rPr>
          <w:rFonts w:ascii="Verdana" w:eastAsia="Calibri" w:hAnsi="Verdana" w:cs="Arial"/>
          <w:bCs/>
          <w:lang w:val="es-ES_tradnl"/>
        </w:rPr>
        <w:t>.</w:t>
      </w:r>
    </w:p>
    <w:p w14:paraId="29E75178" w14:textId="77777777" w:rsidR="00D07950" w:rsidRPr="009D54B1" w:rsidRDefault="00D07950" w:rsidP="00D07950">
      <w:pPr>
        <w:tabs>
          <w:tab w:val="left" w:pos="709"/>
        </w:tabs>
        <w:spacing w:before="120" w:line="276" w:lineRule="auto"/>
        <w:ind w:firstLine="709"/>
        <w:jc w:val="both"/>
        <w:rPr>
          <w:rFonts w:ascii="Verdana" w:eastAsia="Calibri" w:hAnsi="Verdana" w:cs="Arial"/>
          <w:bCs/>
          <w:lang w:val="es-ES_tradnl"/>
        </w:rPr>
      </w:pPr>
      <w:r w:rsidRPr="009D54B1">
        <w:rPr>
          <w:rFonts w:ascii="Verdana" w:eastAsia="Calibri" w:hAnsi="Verdana" w:cs="Arial"/>
        </w:rPr>
        <w:t xml:space="preserve">En ese contexto, 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w:t>
      </w:r>
      <w:r w:rsidRPr="009D54B1">
        <w:rPr>
          <w:rFonts w:ascii="Verdana" w:eastAsia="Calibri" w:hAnsi="Verdana" w:cs="Arial"/>
          <w:bCs/>
          <w:lang w:val="es-ES_tradnl"/>
        </w:rPr>
        <w:t xml:space="preserve">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w:t>
      </w:r>
      <w:r w:rsidRPr="009D54B1">
        <w:rPr>
          <w:rFonts w:ascii="Verdana" w:eastAsia="Calibri" w:hAnsi="Verdana" w:cs="Arial"/>
          <w:bCs/>
          <w:lang w:val="es-ES_tradnl"/>
        </w:rPr>
        <w:lastRenderedPageBreak/>
        <w:t xml:space="preserve">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tal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“no serán de obligatorio cumplimiento o ejecución”. </w:t>
      </w:r>
    </w:p>
    <w:p w14:paraId="2A2D39BE" w14:textId="77777777" w:rsidR="00D07950" w:rsidRPr="009D54B1" w:rsidRDefault="00D07950" w:rsidP="00D07950">
      <w:pPr>
        <w:tabs>
          <w:tab w:val="left" w:pos="709"/>
        </w:tabs>
        <w:spacing w:before="120" w:after="0" w:line="276" w:lineRule="auto"/>
        <w:jc w:val="both"/>
        <w:rPr>
          <w:rFonts w:ascii="Verdana" w:eastAsia="Calibri" w:hAnsi="Verdana" w:cs="Arial"/>
          <w:bCs/>
          <w:lang w:val="es-ES_tradnl"/>
        </w:rPr>
      </w:pPr>
      <w:r w:rsidRPr="009D54B1">
        <w:rPr>
          <w:rFonts w:ascii="Verdana" w:eastAsia="Calibri" w:hAnsi="Verdana" w:cs="Arial"/>
          <w:bCs/>
          <w:lang w:val="es-ES_tradnl"/>
        </w:rPr>
        <w:tab/>
        <w:t>En similares términos, el artículo 112 de la Ley 1437 de 2011 establece, en relación con la Sala de Consulta y Servicio Civil, que “los conceptos de la Sala no serán vinculantes, salvo que la ley disponga lo contrario”</w:t>
      </w:r>
      <w:r w:rsidRPr="009D54B1">
        <w:rPr>
          <w:rFonts w:ascii="Verdana" w:eastAsia="Calibri" w:hAnsi="Verdana" w:cs="Arial"/>
          <w:bCs/>
          <w:vertAlign w:val="superscript"/>
          <w:lang w:val="es-ES_tradnl"/>
        </w:rPr>
        <w:footnoteReference w:id="4"/>
      </w:r>
      <w:r w:rsidRPr="009D54B1">
        <w:rPr>
          <w:rFonts w:ascii="Verdana" w:eastAsia="Calibri" w:hAnsi="Verdana" w:cs="Arial"/>
          <w:bCs/>
          <w:lang w:val="es-ES_tradnl"/>
        </w:rPr>
        <w:t xml:space="preserve">. Se trata, </w:t>
      </w:r>
      <w:r w:rsidRPr="009D54B1">
        <w:rPr>
          <w:rFonts w:ascii="Verdana" w:eastAsia="Calibri" w:hAnsi="Verdana" w:cs="Arial"/>
          <w:bCs/>
          <w:i/>
          <w:iCs/>
          <w:lang w:val="es-ES_tradnl"/>
        </w:rPr>
        <w:t>mutatis mutandis</w:t>
      </w:r>
      <w:r w:rsidRPr="009D54B1">
        <w:rPr>
          <w:rFonts w:ascii="Verdana" w:eastAsia="Calibri" w:hAnsi="Verdana" w:cs="Arial"/>
          <w:bCs/>
          <w:lang w:val="es-ES_tradnl"/>
        </w:rPr>
        <w:t>,</w:t>
      </w:r>
      <w:r w:rsidRPr="009D54B1">
        <w:rPr>
          <w:rFonts w:ascii="Verdana" w:eastAsia="Calibri" w:hAnsi="Verdana" w:cs="Arial"/>
          <w:bCs/>
          <w:i/>
          <w:iCs/>
          <w:lang w:val="es-ES_tradnl"/>
        </w:rPr>
        <w:t xml:space="preserve"> </w:t>
      </w:r>
      <w:r w:rsidRPr="009D54B1">
        <w:rPr>
          <w:rFonts w:ascii="Verdana" w:eastAsia="Calibri" w:hAnsi="Verdana" w:cs="Arial"/>
          <w:bCs/>
          <w:lang w:val="es-ES_tradnl"/>
        </w:rPr>
        <w:t>del ejercicio de una función consultiva, cuyos efectos, por ende, serán los mismos: no vinculantes ni de obligatorio cumplimiento. En relación con el tema, la Sala de Consulta y Servicio Civil del Consejo de Estado, se pronunció en los siguientes términos:</w:t>
      </w:r>
    </w:p>
    <w:p w14:paraId="240CFD00" w14:textId="77777777" w:rsidR="00D07950" w:rsidRPr="009D54B1" w:rsidRDefault="00D07950" w:rsidP="00D07950">
      <w:pPr>
        <w:tabs>
          <w:tab w:val="left" w:pos="426"/>
        </w:tabs>
        <w:spacing w:after="0" w:line="276" w:lineRule="auto"/>
        <w:jc w:val="both"/>
        <w:rPr>
          <w:rFonts w:ascii="Verdana" w:eastAsia="Calibri" w:hAnsi="Verdana" w:cs="Arial"/>
          <w:bCs/>
          <w:lang w:val="es-ES_tradnl"/>
        </w:rPr>
      </w:pPr>
    </w:p>
    <w:p w14:paraId="2152ADB6" w14:textId="77777777" w:rsidR="00D07950" w:rsidRPr="009D54B1" w:rsidRDefault="00D07950" w:rsidP="00D07950">
      <w:pPr>
        <w:tabs>
          <w:tab w:val="left" w:pos="426"/>
        </w:tabs>
        <w:spacing w:after="120" w:line="240" w:lineRule="auto"/>
        <w:ind w:left="709" w:right="709"/>
        <w:jc w:val="both"/>
        <w:rPr>
          <w:rFonts w:ascii="Verdana" w:eastAsia="Calibri" w:hAnsi="Verdana" w:cs="Arial"/>
          <w:bCs/>
          <w:sz w:val="20"/>
          <w:szCs w:val="20"/>
          <w:lang w:val="es-ES_tradnl"/>
        </w:rPr>
      </w:pPr>
      <w:r w:rsidRPr="009D54B1">
        <w:rPr>
          <w:rFonts w:ascii="Verdana" w:eastAsia="Calibri" w:hAnsi="Verdana" w:cs="Arial"/>
          <w:bCs/>
          <w:sz w:val="20"/>
          <w:szCs w:val="20"/>
          <w:lang w:val="es-ES_tradnl"/>
        </w:rPr>
        <w:t xml:space="preserve">“De otra parte, recuerda la Sala que la función consultiva no constituye un trámite controversial de tipo judicial; se encuentra establecida como un mecanismo constitucional dirigido a asegurar que la actuación de la Administración se adecue al ordenamiento jurídico y al interés general por el que le corresponde velar en el ejercicio de sus funciones. La defensa del ordenamiento jurídico por esta vía se realiza a través de un órgano independiente y autónomo del poder judicial, que actúa por tanto con independencia de criterios, dentro de una lógica de colaboración armónica de poderes (art.113 C.P).  </w:t>
      </w:r>
    </w:p>
    <w:p w14:paraId="7BDEE83E" w14:textId="77777777" w:rsidR="00D07950" w:rsidRPr="009D54B1" w:rsidRDefault="00D07950" w:rsidP="00D07950">
      <w:pPr>
        <w:tabs>
          <w:tab w:val="left" w:pos="426"/>
        </w:tabs>
        <w:spacing w:after="0" w:line="240" w:lineRule="auto"/>
        <w:ind w:left="709" w:right="709"/>
        <w:jc w:val="both"/>
        <w:rPr>
          <w:rFonts w:ascii="Verdana" w:eastAsia="Calibri" w:hAnsi="Verdana" w:cs="Arial"/>
          <w:bCs/>
          <w:sz w:val="21"/>
          <w:szCs w:val="21"/>
          <w:lang w:val="es-ES_tradnl"/>
        </w:rPr>
      </w:pPr>
      <w:r w:rsidRPr="009D54B1">
        <w:rPr>
          <w:rFonts w:ascii="Verdana" w:eastAsia="Calibri" w:hAnsi="Verdana" w:cs="Arial"/>
          <w:bCs/>
          <w:sz w:val="20"/>
          <w:szCs w:val="20"/>
          <w:lang w:val="es-ES_tradnl"/>
        </w:rPr>
        <w:t xml:space="preserve">No se trata entonces de dar la razón a una u otra posición en temas controvertibles, sino de rendir un concepto jurídico que sirva a la </w:t>
      </w:r>
      <w:r w:rsidRPr="009D54B1">
        <w:rPr>
          <w:rFonts w:ascii="Verdana" w:eastAsia="Calibri" w:hAnsi="Verdana" w:cs="Arial"/>
          <w:bCs/>
          <w:sz w:val="20"/>
          <w:szCs w:val="20"/>
          <w:lang w:val="es-ES_tradnl"/>
        </w:rPr>
        <w:lastRenderedPageBreak/>
        <w:t>Administración en la búsqueda del cumplimiento de las finalidades esenciales del Estado”</w:t>
      </w:r>
      <w:r w:rsidRPr="009D54B1">
        <w:rPr>
          <w:rFonts w:ascii="Verdana" w:eastAsia="Calibri" w:hAnsi="Verdana" w:cs="Arial"/>
          <w:bCs/>
          <w:sz w:val="20"/>
          <w:szCs w:val="20"/>
          <w:vertAlign w:val="superscript"/>
          <w:lang w:val="es-ES_tradnl"/>
        </w:rPr>
        <w:footnoteReference w:id="5"/>
      </w:r>
      <w:r w:rsidRPr="009D54B1">
        <w:rPr>
          <w:rFonts w:ascii="Verdana" w:eastAsia="Calibri" w:hAnsi="Verdana" w:cs="Arial"/>
          <w:bCs/>
          <w:sz w:val="20"/>
          <w:szCs w:val="20"/>
          <w:lang w:val="es-ES_tradnl"/>
        </w:rPr>
        <w:t>.</w:t>
      </w:r>
    </w:p>
    <w:p w14:paraId="31809D84" w14:textId="77777777" w:rsidR="00D07950" w:rsidRPr="009D54B1" w:rsidRDefault="00D07950" w:rsidP="00D07950">
      <w:pPr>
        <w:tabs>
          <w:tab w:val="left" w:pos="426"/>
        </w:tabs>
        <w:spacing w:after="0" w:line="276" w:lineRule="auto"/>
        <w:jc w:val="both"/>
        <w:rPr>
          <w:rFonts w:ascii="Verdana" w:eastAsia="Calibri" w:hAnsi="Verdana" w:cs="Arial"/>
          <w:bCs/>
          <w:lang w:val="es-ES_tradnl"/>
        </w:rPr>
      </w:pPr>
    </w:p>
    <w:p w14:paraId="2E27A8B2" w14:textId="77777777" w:rsidR="00D07950" w:rsidRPr="009D54B1" w:rsidRDefault="00D07950" w:rsidP="00D07950">
      <w:pPr>
        <w:tabs>
          <w:tab w:val="left" w:pos="426"/>
        </w:tabs>
        <w:spacing w:after="0" w:line="276" w:lineRule="auto"/>
        <w:jc w:val="both"/>
        <w:rPr>
          <w:rFonts w:ascii="Verdana" w:eastAsia="Calibri" w:hAnsi="Verdana" w:cs="Arial"/>
          <w:bCs/>
          <w:lang w:val="es-ES_tradnl"/>
        </w:rPr>
      </w:pPr>
      <w:r w:rsidRPr="009D54B1">
        <w:rPr>
          <w:rFonts w:ascii="Verdana" w:eastAsia="Calibri" w:hAnsi="Verdana" w:cs="Arial"/>
          <w:bCs/>
          <w:lang w:val="es-ES_tradnl"/>
        </w:rPr>
        <w:t>Ahora bien, y por resultar pertinente, se aclara que el ejercicio de la función consultiva del artículo 28 de la Ley 1437 de 2011 no procede para la resolución de controversias en curso o de problemas cuyos efectos se concreten. De ahí que, inicialmente, el asunto debe manejarlo la propia entidad ante la que se presentan las inquietudes y/</w:t>
      </w:r>
      <w:proofErr w:type="spellStart"/>
      <w:r w:rsidRPr="009D54B1">
        <w:rPr>
          <w:rFonts w:ascii="Verdana" w:eastAsia="Calibri" w:hAnsi="Verdana" w:cs="Arial"/>
          <w:bCs/>
          <w:lang w:val="es-ES_tradnl"/>
        </w:rPr>
        <w:t>o</w:t>
      </w:r>
      <w:proofErr w:type="spellEnd"/>
      <w:r w:rsidRPr="009D54B1">
        <w:rPr>
          <w:rFonts w:ascii="Verdana" w:eastAsia="Calibri" w:hAnsi="Verdana" w:cs="Arial"/>
          <w:bCs/>
          <w:lang w:val="es-ES_tradnl"/>
        </w:rPr>
        <w:t xml:space="preserve"> observaciones por parte de los interesados en el proceso de contratación que esta se encuentra desarrollando y, en caso de proceder, el respectivo órgano de control competente. Así las cosas, Colombia Compra Eficiente considera que no hay lugar a emitir apreciaciones o interpretaciones destinadas a verificar, por ejemplo, que los documentos de un proceso de contratación de una Entidad Estatal se ciñan o no a los lineamientos que, de </w:t>
      </w:r>
      <w:proofErr w:type="spellStart"/>
      <w:r w:rsidRPr="009D54B1">
        <w:rPr>
          <w:rFonts w:ascii="Verdana" w:eastAsia="Calibri" w:hAnsi="Verdana" w:cs="Arial"/>
          <w:bCs/>
          <w:lang w:val="es-ES_tradnl"/>
        </w:rPr>
        <w:t>manara</w:t>
      </w:r>
      <w:proofErr w:type="spellEnd"/>
      <w:r w:rsidRPr="009D54B1">
        <w:rPr>
          <w:rFonts w:ascii="Verdana" w:eastAsia="Calibri" w:hAnsi="Verdana" w:cs="Arial"/>
          <w:bCs/>
          <w:lang w:val="es-ES_tradnl"/>
        </w:rPr>
        <w:t xml:space="preserve"> ilustrativa ha puesto a disposición de los partícipes del Sistema de Compras y Contratación Pública mediante las Guías, Manuales o Circulares que expide, pues el legislador no le otorgó tal competencia.</w:t>
      </w:r>
    </w:p>
    <w:p w14:paraId="427F830A"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t>Lo anterior, guarda su fundamento en que, si bien esta entidad tiene la competencia de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w:t>
      </w:r>
      <w:r w:rsidRPr="009D54B1">
        <w:rPr>
          <w:rFonts w:ascii="Verdana" w:eastAsia="Calibri" w:hAnsi="Verdana" w:cs="Arial"/>
          <w:vertAlign w:val="superscript"/>
        </w:rPr>
        <w:footnoteReference w:id="6"/>
      </w:r>
      <w:r w:rsidRPr="009D54B1">
        <w:rPr>
          <w:rFonts w:ascii="Verdana" w:eastAsia="Calibri" w:hAnsi="Verdana" w:cs="Arial"/>
        </w:rPr>
        <w:t>, así como de expedir circulares externas en materia de compras y contratación pública</w:t>
      </w:r>
      <w:r w:rsidRPr="009D54B1">
        <w:rPr>
          <w:rFonts w:ascii="Verdana" w:eastAsia="Calibri" w:hAnsi="Verdana" w:cs="Arial"/>
          <w:vertAlign w:val="superscript"/>
        </w:rPr>
        <w:footnoteReference w:id="7"/>
      </w:r>
      <w:r w:rsidRPr="009D54B1">
        <w:rPr>
          <w:rFonts w:ascii="Verdana" w:eastAsia="Calibri" w:hAnsi="Verdana" w:cs="Arial"/>
        </w:rPr>
        <w:t>, dichos documentos son considerados como herramientas de apoyo para los partícipes de contratación pública, pues estos se emiten con la finalidad de facilitar las compras y contrataciones públicas y promover las mejores prácticas contractuales, la eficiencia, transparencia y competitividad.</w:t>
      </w:r>
    </w:p>
    <w:p w14:paraId="30D2F053"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t xml:space="preserve">Sin embargo, pese a que desde el año 2017 Colombia Compra Eficiente acogió un enfoque sustantivo sobre el carácter obligatorio de los actos que expida, esto significa que con independencia de la forma en la que adopte una </w:t>
      </w:r>
      <w:r w:rsidRPr="009D54B1">
        <w:rPr>
          <w:rFonts w:ascii="Verdana" w:eastAsia="Calibri" w:hAnsi="Verdana" w:cs="Arial"/>
        </w:rPr>
        <w:lastRenderedPageBreak/>
        <w:t xml:space="preserve">directriz o lineamiento, su carácter de obligatorio o no, se determinará por la existencia de una competencia legal o reglamentaria que de manera previa se le otorgue para un asunto en concreto. En síntesis, lo que definirá la obligatoria observancia de un documento expedido por esta Agencia no será que se adopte mediante circular externa, sino que su contenido devenga de aquellos cuya regulación haya sido encargada por el Legislador o el Presidente de la República. </w:t>
      </w:r>
    </w:p>
    <w:p w14:paraId="275A63E4"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t>Lo antes expuesto, no acarrea como se indicó, la obligación de que la Agencia Nacional de Contratación Pública – Colombia Compra Eficiente verifique si un proceso de contratación adelantado por una Entidad Estatal observó o no los lineamientos que haya relacionado en una guía, manual o circular externa, pues de acuerdo con lo dispuesto en el literal b) del artículo 2.1.4.3.2.1 del Decreto 1081 de 2015 modificado por el artículo 2 del Decreto 1600 de 2024, las entidades deben dejar constancia en sus respectivos documentos del proceso, que “en la estructuración se tuvieron en cuenta las prácticas recomendadas por Colombia Compra Eficiente”.</w:t>
      </w:r>
    </w:p>
    <w:p w14:paraId="51B6DD18"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t xml:space="preserve">Finalmente se precisa, que el análisis sobre la estructuración de un proceso de contratación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6F4CD58E" w14:textId="77777777" w:rsidR="00D07950" w:rsidRPr="009D54B1" w:rsidRDefault="00D07950" w:rsidP="00D07950">
      <w:pPr>
        <w:widowControl w:val="0"/>
        <w:autoSpaceDE w:val="0"/>
        <w:autoSpaceDN w:val="0"/>
        <w:spacing w:before="120" w:after="0" w:line="276" w:lineRule="auto"/>
        <w:ind w:firstLine="709"/>
        <w:jc w:val="both"/>
        <w:rPr>
          <w:rFonts w:ascii="Verdana" w:eastAsia="Calibri" w:hAnsi="Verdana" w:cs="Arial"/>
        </w:rPr>
      </w:pPr>
      <w:r w:rsidRPr="009D54B1">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1A9A1BE" w14:textId="77777777" w:rsidR="00D07950" w:rsidRPr="009D54B1" w:rsidRDefault="00D07950" w:rsidP="00D07950">
      <w:pPr>
        <w:spacing w:after="0" w:line="276" w:lineRule="auto"/>
        <w:jc w:val="both"/>
        <w:rPr>
          <w:rFonts w:ascii="Verdana" w:eastAsia="Calibri" w:hAnsi="Verdana" w:cs="Arial"/>
          <w:lang w:val="es-ES" w:eastAsia="es-CO"/>
        </w:rPr>
      </w:pPr>
    </w:p>
    <w:p w14:paraId="13AEEB4A" w14:textId="77777777" w:rsidR="00D07950" w:rsidRPr="009D54B1" w:rsidRDefault="00D07950" w:rsidP="00D07950">
      <w:pPr>
        <w:widowControl w:val="0"/>
        <w:autoSpaceDE w:val="0"/>
        <w:autoSpaceDN w:val="0"/>
        <w:spacing w:before="1" w:after="0" w:line="240" w:lineRule="auto"/>
        <w:outlineLvl w:val="0"/>
        <w:rPr>
          <w:rFonts w:ascii="Verdana" w:eastAsia="Arial" w:hAnsi="Verdana" w:cs="Arial"/>
          <w:b/>
          <w:bCs/>
          <w:lang w:val="es-ES"/>
        </w:rPr>
      </w:pPr>
      <w:r w:rsidRPr="009D54B1">
        <w:rPr>
          <w:rFonts w:ascii="Verdana" w:eastAsia="Arial" w:hAnsi="Verdana" w:cs="Arial"/>
          <w:b/>
          <w:bCs/>
          <w:lang w:val="es-ES"/>
        </w:rPr>
        <w:t>4.Referencias normativas, jurisprudenciales y otras fuentes:</w:t>
      </w:r>
    </w:p>
    <w:p w14:paraId="388533B3" w14:textId="77777777" w:rsidR="00D07950" w:rsidRPr="009D54B1" w:rsidRDefault="00D07950" w:rsidP="00D07950">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07950" w:rsidRPr="009D54B1" w14:paraId="75132D6A" w14:textId="77777777" w:rsidTr="005064A7">
        <w:trPr>
          <w:trHeight w:val="870"/>
        </w:trPr>
        <w:tc>
          <w:tcPr>
            <w:tcW w:w="8647" w:type="dxa"/>
          </w:tcPr>
          <w:p w14:paraId="691D2E3F" w14:textId="77777777" w:rsidR="00D07950" w:rsidRPr="009D54B1" w:rsidRDefault="00D07950" w:rsidP="00D07950">
            <w:pPr>
              <w:numPr>
                <w:ilvl w:val="0"/>
                <w:numId w:val="1"/>
              </w:numPr>
              <w:contextualSpacing/>
              <w:jc w:val="both"/>
              <w:rPr>
                <w:rFonts w:ascii="Verdana" w:eastAsia="Geomanist Light" w:hAnsi="Verdana" w:cs="Arial"/>
                <w:color w:val="000000"/>
                <w:lang w:val="es-MX"/>
              </w:rPr>
            </w:pPr>
            <w:r w:rsidRPr="009D54B1">
              <w:rPr>
                <w:rFonts w:ascii="Verdana" w:eastAsia="Geomanist Light" w:hAnsi="Verdana" w:cs="Arial"/>
                <w:color w:val="000000"/>
                <w:lang w:val="es-MX"/>
              </w:rPr>
              <w:lastRenderedPageBreak/>
              <w:t>Decreto Ley 4170 de 2011. Artículos 3.2, 3.5, 11.8, 12.6, 13.4</w:t>
            </w:r>
          </w:p>
          <w:p w14:paraId="1F840706" w14:textId="77777777" w:rsidR="00D07950" w:rsidRPr="009D54B1" w:rsidRDefault="00D07950" w:rsidP="00D07950">
            <w:pPr>
              <w:numPr>
                <w:ilvl w:val="0"/>
                <w:numId w:val="1"/>
              </w:numPr>
              <w:contextualSpacing/>
              <w:jc w:val="both"/>
              <w:rPr>
                <w:rFonts w:ascii="Verdana" w:eastAsia="Geomanist Light" w:hAnsi="Verdana" w:cs="Arial"/>
                <w:color w:val="000000"/>
                <w:lang w:val="es-MX"/>
              </w:rPr>
            </w:pPr>
            <w:r w:rsidRPr="009D54B1">
              <w:rPr>
                <w:rFonts w:ascii="Verdana" w:eastAsia="Geomanist Light" w:hAnsi="Verdana" w:cs="Arial"/>
                <w:color w:val="000000"/>
                <w:lang w:val="es-MX"/>
              </w:rPr>
              <w:t>Ley 1437 de 2011. Artículo 112; Artículo 28.</w:t>
            </w:r>
          </w:p>
          <w:p w14:paraId="270E2661" w14:textId="77777777" w:rsidR="00D07950" w:rsidRPr="009D54B1" w:rsidRDefault="00D07950" w:rsidP="00D07950">
            <w:pPr>
              <w:numPr>
                <w:ilvl w:val="0"/>
                <w:numId w:val="1"/>
              </w:numPr>
              <w:contextualSpacing/>
              <w:jc w:val="both"/>
              <w:rPr>
                <w:rFonts w:ascii="Verdana" w:eastAsia="Geomanist Light" w:hAnsi="Verdana" w:cs="Arial"/>
                <w:color w:val="000000"/>
                <w:lang w:val="es-MX"/>
              </w:rPr>
            </w:pPr>
            <w:r w:rsidRPr="009D54B1">
              <w:rPr>
                <w:rFonts w:ascii="Verdana" w:eastAsia="Geomanist Light" w:hAnsi="Verdana" w:cs="Arial"/>
                <w:color w:val="000000"/>
                <w:lang w:val="es-MX"/>
              </w:rPr>
              <w:t xml:space="preserve">Decreto 1081 de 2015. Artículo </w:t>
            </w:r>
            <w:r w:rsidRPr="009D54B1">
              <w:rPr>
                <w:rFonts w:ascii="Verdana" w:eastAsia="Calibri" w:hAnsi="Verdana" w:cs="Arial"/>
              </w:rPr>
              <w:t>2.1.4.3.2.1, literal b).</w:t>
            </w:r>
          </w:p>
          <w:p w14:paraId="64E32FBA" w14:textId="77777777" w:rsidR="00D07950" w:rsidRPr="009D54B1" w:rsidRDefault="00D07950" w:rsidP="00D07950">
            <w:pPr>
              <w:numPr>
                <w:ilvl w:val="0"/>
                <w:numId w:val="1"/>
              </w:numPr>
              <w:contextualSpacing/>
              <w:jc w:val="both"/>
              <w:rPr>
                <w:rFonts w:ascii="Verdana" w:eastAsia="Geomanist Light" w:hAnsi="Verdana" w:cs="Arial"/>
                <w:color w:val="000000"/>
                <w:lang w:val="es-MX"/>
              </w:rPr>
            </w:pPr>
            <w:r w:rsidRPr="009D54B1">
              <w:rPr>
                <w:rFonts w:ascii="Verdana" w:eastAsia="Geomanist Light" w:hAnsi="Verdana" w:cs="Arial"/>
                <w:color w:val="000000"/>
                <w:lang w:val="es-MX"/>
              </w:rPr>
              <w:t>Procuraduría General de la Nación. Concepto del 15 de octubre de 2014. Procuraduría Delegada para Asuntos Disciplinarios. Radicado PAD C-114-2014.</w:t>
            </w:r>
          </w:p>
          <w:p w14:paraId="7AAAE043" w14:textId="77777777" w:rsidR="00D07950" w:rsidRPr="009D54B1" w:rsidRDefault="00D07950" w:rsidP="00D07950">
            <w:pPr>
              <w:numPr>
                <w:ilvl w:val="0"/>
                <w:numId w:val="1"/>
              </w:numPr>
              <w:contextualSpacing/>
              <w:jc w:val="both"/>
              <w:rPr>
                <w:rFonts w:ascii="Verdana" w:eastAsia="Geomanist Light" w:hAnsi="Verdana" w:cs="Arial"/>
                <w:color w:val="000000"/>
                <w:lang w:val="es-MX"/>
              </w:rPr>
            </w:pPr>
            <w:r w:rsidRPr="009D54B1">
              <w:rPr>
                <w:rFonts w:ascii="Verdana" w:eastAsia="Geomanist Light" w:hAnsi="Verdana" w:cs="Arial"/>
                <w:color w:val="000000"/>
                <w:lang w:val="es-MX"/>
              </w:rPr>
              <w:t>Contraloría General de la República. Oficina Jurídica. Concepto 80112-OJ-008 2017.</w:t>
            </w:r>
          </w:p>
          <w:p w14:paraId="086A678C" w14:textId="77777777" w:rsidR="00D07950" w:rsidRPr="009D54B1" w:rsidRDefault="00D07950" w:rsidP="00D07950">
            <w:pPr>
              <w:numPr>
                <w:ilvl w:val="0"/>
                <w:numId w:val="1"/>
              </w:numPr>
              <w:contextualSpacing/>
              <w:jc w:val="both"/>
              <w:rPr>
                <w:rFonts w:ascii="Verdana" w:eastAsia="Geomanist Light" w:hAnsi="Verdana" w:cs="Arial"/>
                <w:color w:val="000000"/>
                <w:sz w:val="20"/>
                <w:szCs w:val="20"/>
                <w:lang w:val="es-MX"/>
              </w:rPr>
            </w:pPr>
            <w:r w:rsidRPr="009D54B1">
              <w:rPr>
                <w:rFonts w:ascii="Verdana" w:eastAsia="Geomanist Light" w:hAnsi="Verdana" w:cs="Arial"/>
                <w:color w:val="000000"/>
                <w:lang w:val="es-MX"/>
              </w:rPr>
              <w:t>ARBOLEDA PERDONO, Enrique José. Comentarios al Nuevo Código de Procedimiento Administrativo y de lo Contencioso Administrativo (2ª ed.). Editorial Legis. Bogotá. 2012. p. 59.</w:t>
            </w:r>
          </w:p>
        </w:tc>
      </w:tr>
    </w:tbl>
    <w:p w14:paraId="7BC22740" w14:textId="77777777" w:rsidR="00D07950" w:rsidRPr="009D54B1" w:rsidRDefault="00D07950" w:rsidP="00D07950">
      <w:pPr>
        <w:widowControl w:val="0"/>
        <w:autoSpaceDE w:val="0"/>
        <w:autoSpaceDN w:val="0"/>
        <w:spacing w:after="0" w:line="276" w:lineRule="auto"/>
        <w:jc w:val="both"/>
        <w:rPr>
          <w:rFonts w:ascii="Verdana" w:eastAsia="Aptos" w:hAnsi="Verdana" w:cs="Arial"/>
        </w:rPr>
      </w:pPr>
    </w:p>
    <w:p w14:paraId="6268CA3E" w14:textId="77777777" w:rsidR="00D07950" w:rsidRPr="009D54B1" w:rsidRDefault="00D07950" w:rsidP="00D07950">
      <w:pPr>
        <w:widowControl w:val="0"/>
        <w:autoSpaceDE w:val="0"/>
        <w:autoSpaceDN w:val="0"/>
        <w:spacing w:before="1" w:after="0" w:line="276" w:lineRule="auto"/>
        <w:outlineLvl w:val="0"/>
        <w:rPr>
          <w:rFonts w:ascii="Verdana" w:eastAsia="Arial" w:hAnsi="Verdana" w:cs="Arial"/>
          <w:b/>
          <w:bCs/>
          <w:lang w:val="es-ES"/>
        </w:rPr>
      </w:pPr>
      <w:r w:rsidRPr="009D54B1">
        <w:rPr>
          <w:rFonts w:ascii="Verdana" w:eastAsia="Arial" w:hAnsi="Verdana" w:cs="Arial"/>
          <w:b/>
          <w:bCs/>
          <w:lang w:val="es-ES"/>
        </w:rPr>
        <w:t>5. Doctrina de la Agencia Nacional de Contratación Pública:</w:t>
      </w:r>
    </w:p>
    <w:p w14:paraId="6923A06F" w14:textId="77777777" w:rsidR="00D07950" w:rsidRPr="009D54B1" w:rsidRDefault="00D07950" w:rsidP="00D07950">
      <w:pPr>
        <w:widowControl w:val="0"/>
        <w:autoSpaceDE w:val="0"/>
        <w:autoSpaceDN w:val="0"/>
        <w:spacing w:after="0" w:line="276" w:lineRule="auto"/>
        <w:jc w:val="both"/>
        <w:rPr>
          <w:rFonts w:ascii="Verdana" w:eastAsia="Aptos" w:hAnsi="Verdana" w:cs="Arial"/>
        </w:rPr>
      </w:pPr>
    </w:p>
    <w:p w14:paraId="16CEC274" w14:textId="77777777" w:rsidR="00D07950" w:rsidRPr="009D54B1" w:rsidRDefault="00D07950" w:rsidP="00D07950">
      <w:pPr>
        <w:jc w:val="both"/>
        <w:rPr>
          <w:rFonts w:ascii="Verdana" w:eastAsia="Aptos" w:hAnsi="Verdana" w:cs="Arial"/>
          <w:shd w:val="clear" w:color="auto" w:fill="FFFFFF"/>
          <w:lang w:val="es-ES"/>
        </w:rPr>
      </w:pPr>
      <w:r w:rsidRPr="009D54B1">
        <w:rPr>
          <w:rFonts w:ascii="Verdana" w:eastAsia="Aptos" w:hAnsi="Verdana" w:cs="Arial"/>
          <w:shd w:val="clear" w:color="auto" w:fill="FFFFFF"/>
          <w:lang w:val="es-ES"/>
        </w:rPr>
        <w:t xml:space="preserve">Esta Subdirección estudió el alcance de su competencia consultiva, en el concepto C-1696 del 01 de diciembre de 2025. Igualmente, se ha pronunciado sobre la obligatoriedad instrumentos expedidos por Colombia Compra Eficiente en los conceptos C-238 del 5 de julio de 2023, C-888 del 27 de diciembre de 2024, C-531 del 9 de octubre de 2024, C-389 del 07 de mayo del 2025, C-260 del 26 de marzo de 2026, entre otros. </w:t>
      </w:r>
      <w:r w:rsidRPr="009D54B1">
        <w:rPr>
          <w:rFonts w:ascii="Verdana" w:eastAsia="Calibri" w:hAnsi="Verdana" w:cs="Arial"/>
          <w:bCs/>
          <w:shd w:val="clear" w:color="auto" w:fill="FFFFFF"/>
          <w:lang w:val="es-ES"/>
        </w:rPr>
        <w:t xml:space="preserve">En tal sentido, recoge los conceptos expuestos, sin perjuicio de otras consideraciones. </w:t>
      </w:r>
      <w:r w:rsidRPr="009D54B1">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9D54B1">
          <w:rPr>
            <w:rFonts w:ascii="Verdana" w:eastAsia="Aptos" w:hAnsi="Verdana" w:cs="Arial"/>
            <w:u w:val="single"/>
            <w:shd w:val="clear" w:color="auto" w:fill="FFFFFF"/>
            <w:lang w:val="es-ES"/>
          </w:rPr>
          <w:t>https://relatoria.colombiacompra.gov.co/</w:t>
        </w:r>
      </w:hyperlink>
      <w:r w:rsidRPr="009D54B1">
        <w:rPr>
          <w:rFonts w:ascii="Verdana" w:eastAsia="Aptos" w:hAnsi="Verdana" w:cs="Arial"/>
          <w:shd w:val="clear" w:color="auto" w:fill="FFFFFF"/>
          <w:lang w:val="es-ES"/>
        </w:rPr>
        <w:t xml:space="preserve">. </w:t>
      </w:r>
    </w:p>
    <w:p w14:paraId="1506A6D9" w14:textId="77777777" w:rsidR="00D07950" w:rsidRPr="009D54B1" w:rsidRDefault="00D07950" w:rsidP="00D07950">
      <w:pPr>
        <w:spacing w:before="120" w:after="120" w:line="276" w:lineRule="auto"/>
        <w:ind w:firstLine="709"/>
        <w:jc w:val="both"/>
        <w:rPr>
          <w:rFonts w:ascii="Verdana" w:eastAsia="Aptos" w:hAnsi="Verdana" w:cs="Times New Roman"/>
        </w:rPr>
      </w:pPr>
      <w:r w:rsidRPr="009D54B1">
        <w:rPr>
          <w:rFonts w:ascii="Verdana" w:eastAsia="Aptos" w:hAnsi="Verdana" w:cs="Times New Roman"/>
        </w:rPr>
        <w:t xml:space="preserve">La sostenibilidad no es una opción, es una obligación. Por ello, la Agencia Nacional de Contratación Pública –Colombia Compra Eficiente– te invita a realizar el </w:t>
      </w:r>
      <w:r w:rsidRPr="009D54B1">
        <w:rPr>
          <w:rFonts w:ascii="Verdana" w:eastAsia="Aptos" w:hAnsi="Verdana" w:cs="Times New Roman"/>
          <w:b/>
          <w:bCs/>
        </w:rPr>
        <w:t>Curso de Contratación Pública Sostenible y Socialmente Responsable</w:t>
      </w:r>
      <w:r w:rsidRPr="009D54B1">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D54B1">
        <w:rPr>
          <w:rFonts w:ascii="Verdana" w:eastAsia="Aptos" w:hAnsi="Verdana" w:cs="Times New Roman"/>
        </w:rPr>
        <w:br/>
      </w:r>
      <w:hyperlink r:id="rId14" w:tgtFrame="_new" w:history="1">
        <w:r w:rsidRPr="009D54B1">
          <w:rPr>
            <w:rFonts w:ascii="Verdana" w:eastAsia="Aptos" w:hAnsi="Verdana" w:cs="Times New Roman"/>
            <w:u w:val="single"/>
          </w:rPr>
          <w:t>https://formacionvirtual.colombiacompra.gov.co/mod/page/view.php?id=3718</w:t>
        </w:r>
      </w:hyperlink>
    </w:p>
    <w:p w14:paraId="3B3B89FB" w14:textId="77777777" w:rsidR="00D07950" w:rsidRPr="009D54B1" w:rsidRDefault="00D07950" w:rsidP="00D07950">
      <w:pPr>
        <w:spacing w:line="276" w:lineRule="auto"/>
        <w:ind w:firstLine="708"/>
        <w:jc w:val="both"/>
        <w:rPr>
          <w:rFonts w:ascii="Verdana" w:eastAsia="Aptos" w:hAnsi="Verdana" w:cs="Times New Roman"/>
        </w:rPr>
      </w:pPr>
      <w:r w:rsidRPr="009D54B1">
        <w:rPr>
          <w:rFonts w:ascii="Verdana" w:eastAsia="Aptos" w:hAnsi="Verdana" w:cs="Times New Roman"/>
        </w:rPr>
        <w:t xml:space="preserve">De otro lado, te contamos que esta Agencia ha da un paso decisivo en la estandarización y modernización del </w:t>
      </w:r>
      <w:r w:rsidRPr="009D54B1">
        <w:rPr>
          <w:rFonts w:ascii="Verdana" w:eastAsia="Aptos" w:hAnsi="Verdana" w:cs="Times New Roman"/>
          <w:b/>
          <w:bCs/>
        </w:rPr>
        <w:t>sector  social</w:t>
      </w:r>
      <w:r w:rsidRPr="009D54B1">
        <w:rPr>
          <w:rFonts w:ascii="Verdana" w:eastAsia="Aptos" w:hAnsi="Verdana" w:cs="Times New Roman"/>
        </w:rPr>
        <w:t xml:space="preserve"> con la expedición de las </w:t>
      </w:r>
      <w:r w:rsidRPr="009D54B1">
        <w:rPr>
          <w:rFonts w:ascii="Verdana" w:eastAsia="Aptos" w:hAnsi="Verdana" w:cs="Times New Roman"/>
          <w:b/>
          <w:bCs/>
        </w:rPr>
        <w:t>Resoluciones 539, 540, 541, 952 y 953 de 2025</w:t>
      </w:r>
      <w:r w:rsidRPr="009D54B1">
        <w:rPr>
          <w:rFonts w:ascii="Verdana" w:eastAsia="Aptos" w:hAnsi="Verdana" w:cs="Times New Roman"/>
        </w:rPr>
        <w:t xml:space="preserve">, </w:t>
      </w:r>
      <w:r w:rsidRPr="009D54B1">
        <w:rPr>
          <w:rFonts w:ascii="Verdana" w:eastAsia="Aptos" w:hAnsi="Verdana" w:cs="Times New Roman"/>
          <w:b/>
          <w:bCs/>
        </w:rPr>
        <w:t xml:space="preserve">mediante las cuales </w:t>
      </w:r>
      <w:r w:rsidRPr="009D54B1">
        <w:rPr>
          <w:rFonts w:ascii="Verdana" w:eastAsia="Aptos" w:hAnsi="Verdana" w:cs="Times New Roman"/>
          <w:b/>
          <w:bCs/>
        </w:rPr>
        <w:lastRenderedPageBreak/>
        <w:t>adoptó Documentos Tipo</w:t>
      </w:r>
      <w:r w:rsidRPr="009D54B1">
        <w:rPr>
          <w:rFonts w:ascii="Verdana" w:eastAsia="Aptos" w:hAnsi="Verdana" w:cs="Times New Roman"/>
        </w:rPr>
        <w:t xml:space="preserve"> para las modalidades de selección de</w:t>
      </w:r>
      <w:r w:rsidRPr="009D54B1">
        <w:rPr>
          <w:rFonts w:ascii="Verdana" w:eastAsia="Aptos" w:hAnsi="Verdana" w:cs="Times New Roman"/>
          <w:b/>
          <w:bCs/>
        </w:rPr>
        <w:t xml:space="preserve"> licitación pública (versión 2), selección abreviada de menor cuantía, mínima cuantía, consultoría e interventoría</w:t>
      </w:r>
      <w:r w:rsidRPr="009D54B1">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9D54B1">
          <w:rPr>
            <w:rFonts w:ascii="Verdana" w:eastAsia="Aptos" w:hAnsi="Verdana" w:cs="Times New Roman"/>
            <w:u w:val="single"/>
          </w:rPr>
          <w:t>https://www.colombiacompra.gov.co/normativa-y-relatoria/documentos-tipo</w:t>
        </w:r>
      </w:hyperlink>
    </w:p>
    <w:p w14:paraId="76293008" w14:textId="77777777" w:rsidR="00D07950" w:rsidRPr="009D54B1" w:rsidRDefault="00D07950" w:rsidP="00D07950">
      <w:pPr>
        <w:spacing w:after="0" w:line="276" w:lineRule="auto"/>
        <w:ind w:firstLine="708"/>
        <w:jc w:val="both"/>
        <w:rPr>
          <w:rFonts w:ascii="Verdana" w:eastAsia="Aptos" w:hAnsi="Verdana" w:cs="Times New Roman"/>
        </w:rPr>
      </w:pPr>
      <w:r w:rsidRPr="009D54B1">
        <w:rPr>
          <w:rFonts w:ascii="Verdana" w:eastAsia="Aptos" w:hAnsi="Verdana" w:cs="Times New Roman"/>
        </w:rPr>
        <w:t xml:space="preserve">Si quieres conocer más sobre la aplicación de Documentos Tipo puedes consultar la última versión de la </w:t>
      </w:r>
      <w:r w:rsidRPr="009D54B1">
        <w:rPr>
          <w:rFonts w:ascii="Verdana" w:eastAsia="Aptos" w:hAnsi="Verdana" w:cs="Times New Roman"/>
          <w:b/>
          <w:bCs/>
        </w:rPr>
        <w:t>Guía para la comprensión e implementación de los Documentos Tipo de obra pública de infraestructura de transporte</w:t>
      </w:r>
      <w:r w:rsidRPr="009D54B1">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D54B1">
        <w:rPr>
          <w:rFonts w:ascii="Verdana" w:eastAsia="Aptos" w:hAnsi="Verdana" w:cs="Times New Roman"/>
        </w:rPr>
        <w:br/>
      </w:r>
      <w:hyperlink r:id="rId16" w:tgtFrame="_new" w:history="1">
        <w:r w:rsidRPr="009D54B1">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2524988C" w14:textId="77777777" w:rsidR="00D07950" w:rsidRPr="009D54B1" w:rsidRDefault="00D07950" w:rsidP="00D07950">
      <w:pPr>
        <w:spacing w:before="120" w:after="0" w:line="276" w:lineRule="auto"/>
        <w:ind w:firstLine="708"/>
        <w:jc w:val="both"/>
        <w:rPr>
          <w:rFonts w:ascii="Verdana" w:eastAsia="Aptos" w:hAnsi="Verdana" w:cs="Times New Roman"/>
        </w:rPr>
      </w:pPr>
      <w:r w:rsidRPr="009D54B1">
        <w:rPr>
          <w:rFonts w:ascii="Verdana" w:eastAsia="Aptos" w:hAnsi="Verdana" w:cs="Times New Roman"/>
        </w:rPr>
        <w:t xml:space="preserve">Por último, lo invitamos a seguirnos en las redes sociales en las cuales se difunde información institucional: </w:t>
      </w:r>
    </w:p>
    <w:p w14:paraId="07FCED3B" w14:textId="77777777" w:rsidR="00D07950" w:rsidRPr="009D54B1" w:rsidRDefault="00D07950" w:rsidP="00D07950">
      <w:pPr>
        <w:spacing w:after="0" w:line="276" w:lineRule="auto"/>
        <w:jc w:val="both"/>
        <w:rPr>
          <w:rFonts w:ascii="Verdana" w:eastAsia="Aptos" w:hAnsi="Verdana" w:cs="Times New Roman"/>
        </w:rPr>
      </w:pPr>
    </w:p>
    <w:p w14:paraId="0D25B705" w14:textId="77777777" w:rsidR="00D07950" w:rsidRPr="009D54B1" w:rsidRDefault="00D07950" w:rsidP="00D07950">
      <w:pPr>
        <w:spacing w:after="0" w:line="276" w:lineRule="auto"/>
        <w:jc w:val="both"/>
        <w:rPr>
          <w:rFonts w:ascii="Verdana" w:eastAsia="Aptos" w:hAnsi="Verdana" w:cs="Times New Roman"/>
        </w:rPr>
      </w:pPr>
      <w:r w:rsidRPr="009D54B1">
        <w:rPr>
          <w:rFonts w:ascii="Verdana" w:eastAsia="Aptos" w:hAnsi="Verdana" w:cs="Times New Roman"/>
        </w:rPr>
        <w:t xml:space="preserve">Twitter: </w:t>
      </w:r>
      <w:r w:rsidRPr="009D54B1">
        <w:rPr>
          <w:rFonts w:ascii="Verdana" w:eastAsia="Aptos" w:hAnsi="Verdana" w:cs="Arial"/>
          <w:u w:val="single"/>
          <w:shd w:val="clear" w:color="auto" w:fill="FFFFFF"/>
          <w:lang w:val="es-ES"/>
        </w:rPr>
        <w:t>@colombiacompra</w:t>
      </w:r>
      <w:r w:rsidRPr="009D54B1">
        <w:rPr>
          <w:rFonts w:ascii="Verdana" w:eastAsia="Aptos" w:hAnsi="Verdana" w:cs="Times New Roman"/>
        </w:rPr>
        <w:t xml:space="preserve"> </w:t>
      </w:r>
    </w:p>
    <w:p w14:paraId="7AEAF256" w14:textId="77777777" w:rsidR="00D07950" w:rsidRPr="009D54B1" w:rsidRDefault="00D07950" w:rsidP="00D07950">
      <w:pPr>
        <w:spacing w:after="0" w:line="276" w:lineRule="auto"/>
        <w:jc w:val="both"/>
        <w:rPr>
          <w:rFonts w:ascii="Verdana" w:eastAsia="Aptos" w:hAnsi="Verdana" w:cs="Times New Roman"/>
        </w:rPr>
      </w:pPr>
      <w:r w:rsidRPr="009D54B1">
        <w:rPr>
          <w:rFonts w:ascii="Verdana" w:eastAsia="Aptos" w:hAnsi="Verdana" w:cs="Times New Roman"/>
        </w:rPr>
        <w:t xml:space="preserve">Facebook: </w:t>
      </w:r>
      <w:proofErr w:type="spellStart"/>
      <w:r w:rsidRPr="009D54B1">
        <w:rPr>
          <w:rFonts w:ascii="Verdana" w:eastAsia="Aptos" w:hAnsi="Verdana" w:cs="Arial"/>
          <w:u w:val="single"/>
          <w:shd w:val="clear" w:color="auto" w:fill="FFFFFF"/>
          <w:lang w:val="es-ES"/>
        </w:rPr>
        <w:t>ColombiaCompraEficiente</w:t>
      </w:r>
      <w:proofErr w:type="spellEnd"/>
    </w:p>
    <w:p w14:paraId="225FBDF0" w14:textId="77777777" w:rsidR="00D07950" w:rsidRPr="009D54B1" w:rsidRDefault="00D07950" w:rsidP="00D07950">
      <w:pPr>
        <w:spacing w:after="0" w:line="276" w:lineRule="auto"/>
        <w:jc w:val="both"/>
        <w:rPr>
          <w:rFonts w:ascii="Verdana" w:eastAsia="Aptos" w:hAnsi="Verdana" w:cs="Times New Roman"/>
        </w:rPr>
      </w:pPr>
      <w:r w:rsidRPr="009D54B1">
        <w:rPr>
          <w:rFonts w:ascii="Verdana" w:eastAsia="Aptos" w:hAnsi="Verdana" w:cs="Times New Roman"/>
        </w:rPr>
        <w:t xml:space="preserve">LinkedIn: </w:t>
      </w:r>
      <w:r w:rsidRPr="009D54B1">
        <w:rPr>
          <w:rFonts w:ascii="Verdana" w:eastAsia="Aptos" w:hAnsi="Verdana" w:cs="Arial"/>
          <w:u w:val="single"/>
          <w:shd w:val="clear" w:color="auto" w:fill="FFFFFF"/>
          <w:lang w:val="es-ES"/>
        </w:rPr>
        <w:t>Agencia Nacional de Contratación Pública - Colombia Compra Eficiente</w:t>
      </w:r>
      <w:r w:rsidRPr="009D54B1">
        <w:rPr>
          <w:rFonts w:ascii="Verdana" w:eastAsia="Aptos" w:hAnsi="Verdana" w:cs="Times New Roman"/>
        </w:rPr>
        <w:t xml:space="preserve"> Instagram: </w:t>
      </w:r>
      <w:r w:rsidRPr="009D54B1">
        <w:rPr>
          <w:rFonts w:ascii="Verdana" w:eastAsia="Aptos" w:hAnsi="Verdana" w:cs="Arial"/>
          <w:u w:val="single"/>
          <w:shd w:val="clear" w:color="auto" w:fill="FFFFFF"/>
          <w:lang w:val="es-ES"/>
        </w:rPr>
        <w:t>@colombiacompraeficiente_cce</w:t>
      </w:r>
    </w:p>
    <w:p w14:paraId="4E065ADB" w14:textId="77777777" w:rsidR="00D07950" w:rsidRPr="009D54B1" w:rsidRDefault="00D07950" w:rsidP="00D07950">
      <w:pPr>
        <w:widowControl w:val="0"/>
        <w:autoSpaceDE w:val="0"/>
        <w:autoSpaceDN w:val="0"/>
        <w:spacing w:after="0" w:line="276" w:lineRule="auto"/>
        <w:jc w:val="both"/>
        <w:rPr>
          <w:rFonts w:ascii="Verdana" w:eastAsia="Aptos" w:hAnsi="Verdana" w:cs="Arial"/>
        </w:rPr>
      </w:pPr>
    </w:p>
    <w:p w14:paraId="64D86603" w14:textId="77777777" w:rsidR="00D07950" w:rsidRPr="009D54B1" w:rsidRDefault="00D07950" w:rsidP="00D07950">
      <w:pPr>
        <w:widowControl w:val="0"/>
        <w:autoSpaceDE w:val="0"/>
        <w:autoSpaceDN w:val="0"/>
        <w:spacing w:after="0" w:line="276" w:lineRule="auto"/>
        <w:jc w:val="both"/>
        <w:rPr>
          <w:rFonts w:ascii="Verdana" w:eastAsia="Aptos" w:hAnsi="Verdana" w:cs="Arial"/>
          <w:lang w:val="es-ES_tradnl"/>
        </w:rPr>
      </w:pPr>
      <w:r w:rsidRPr="009D54B1">
        <w:rPr>
          <w:rFonts w:ascii="Verdana" w:eastAsia="Aptos" w:hAnsi="Verdana" w:cs="Arial"/>
        </w:rPr>
        <w:t xml:space="preserve">Este concepto tiene el alcance previsto en el artículo 28 del Código de Procedimiento Administrativo y de lo Contencioso Administrativo </w:t>
      </w:r>
      <w:r w:rsidRPr="009D54B1">
        <w:rPr>
          <w:rFonts w:ascii="Verdana" w:eastAsia="Aptos" w:hAnsi="Verdana" w:cs="Arial"/>
          <w:lang w:val="es-ES_tradnl"/>
        </w:rPr>
        <w:t>y las expresiones aquí utilizadas con mayúscula inicial deben ser entendidas con el significado que les otorga el artículo 2.2.1.1.1.3.1. del Decreto 1082 de 2015.</w:t>
      </w:r>
    </w:p>
    <w:p w14:paraId="5CCE74DA" w14:textId="77777777" w:rsidR="00D07950" w:rsidRPr="009D54B1" w:rsidRDefault="00D07950" w:rsidP="00D07950">
      <w:pPr>
        <w:widowControl w:val="0"/>
        <w:autoSpaceDE w:val="0"/>
        <w:autoSpaceDN w:val="0"/>
        <w:spacing w:after="0" w:line="276" w:lineRule="auto"/>
        <w:jc w:val="both"/>
        <w:rPr>
          <w:rFonts w:ascii="Verdana" w:eastAsia="Aptos" w:hAnsi="Verdana" w:cs="Arial"/>
        </w:rPr>
      </w:pPr>
    </w:p>
    <w:p w14:paraId="7765C162" w14:textId="77777777" w:rsidR="00D07950" w:rsidRPr="009D54B1" w:rsidRDefault="00D07950" w:rsidP="00D07950">
      <w:pPr>
        <w:spacing w:after="0" w:line="276" w:lineRule="auto"/>
        <w:rPr>
          <w:rFonts w:ascii="Verdana" w:eastAsia="Aptos" w:hAnsi="Verdana" w:cs="Arial"/>
          <w:lang w:eastAsia="es-CO"/>
        </w:rPr>
      </w:pPr>
      <w:r w:rsidRPr="009D54B1">
        <w:rPr>
          <w:rFonts w:ascii="Verdana" w:eastAsia="Times New Roman" w:hAnsi="Verdana" w:cs="Arial"/>
          <w:lang w:eastAsia="es-CO"/>
        </w:rPr>
        <w:t>Atentamente,</w:t>
      </w:r>
      <w:r w:rsidRPr="009D54B1">
        <w:rPr>
          <w:rFonts w:ascii="Verdana" w:eastAsia="Aptos" w:hAnsi="Verdana" w:cs="Arial"/>
          <w:lang w:eastAsia="es-CO"/>
        </w:rPr>
        <w:t xml:space="preserve"> </w:t>
      </w:r>
    </w:p>
    <w:p w14:paraId="15B8C5EA" w14:textId="77777777" w:rsidR="00D07950" w:rsidRPr="009D54B1" w:rsidRDefault="00D07950" w:rsidP="00D07950">
      <w:pPr>
        <w:spacing w:after="0" w:line="276" w:lineRule="auto"/>
        <w:jc w:val="center"/>
        <w:rPr>
          <w:rFonts w:ascii="Verdana" w:eastAsia="Aptos" w:hAnsi="Verdana" w:cs="Arial"/>
          <w:lang w:val="es-ES_tradnl" w:eastAsia="es-CO"/>
        </w:rPr>
      </w:pPr>
    </w:p>
    <w:p w14:paraId="6C8D587A" w14:textId="70D42E00" w:rsidR="00D07950" w:rsidRPr="009D54B1" w:rsidRDefault="004A4A37" w:rsidP="00D07950">
      <w:pPr>
        <w:spacing w:after="0" w:line="276" w:lineRule="auto"/>
        <w:jc w:val="center"/>
        <w:rPr>
          <w:rFonts w:ascii="Verdana" w:eastAsia="Aptos" w:hAnsi="Verdana" w:cs="Arial"/>
          <w:lang w:val="es-ES_tradnl" w:eastAsia="es-CO"/>
        </w:rPr>
      </w:pPr>
      <w:r>
        <w:rPr>
          <w:noProof/>
          <w:color w:val="000000"/>
        </w:rPr>
        <w:lastRenderedPageBreak/>
        <w:drawing>
          <wp:inline distT="0" distB="0" distL="0" distR="0" wp14:anchorId="16F5A1D3" wp14:editId="684DDDD0">
            <wp:extent cx="3254188" cy="1399177"/>
            <wp:effectExtent l="0" t="0" r="3810" b="0"/>
            <wp:docPr id="50643142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31420"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3264519" cy="1403619"/>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D07950" w:rsidRPr="009D54B1" w14:paraId="104A777A" w14:textId="77777777" w:rsidTr="005064A7">
        <w:trPr>
          <w:trHeight w:val="286"/>
        </w:trPr>
        <w:tc>
          <w:tcPr>
            <w:tcW w:w="901" w:type="dxa"/>
            <w:vAlign w:val="center"/>
            <w:hideMark/>
          </w:tcPr>
          <w:p w14:paraId="0588428D"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76DC302"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Nasly Yeana Mosquera Rivas</w:t>
            </w:r>
          </w:p>
          <w:p w14:paraId="28DF0EE0"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Analista T2–06 de la Subdirección de Gestión Contractual</w:t>
            </w:r>
          </w:p>
        </w:tc>
      </w:tr>
      <w:tr w:rsidR="00D07950" w:rsidRPr="009D54B1" w14:paraId="73D78FA1" w14:textId="77777777" w:rsidTr="005064A7">
        <w:trPr>
          <w:trHeight w:val="299"/>
        </w:trPr>
        <w:tc>
          <w:tcPr>
            <w:tcW w:w="901" w:type="dxa"/>
            <w:vAlign w:val="center"/>
          </w:tcPr>
          <w:p w14:paraId="13D63D78"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D00D646"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Juan David Cárdenas Cabeza</w:t>
            </w:r>
          </w:p>
          <w:p w14:paraId="4428FF51"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Contratista de la Subdirección de Gestión Contractual</w:t>
            </w:r>
          </w:p>
        </w:tc>
      </w:tr>
      <w:tr w:rsidR="00D07950" w:rsidRPr="009D54B1" w14:paraId="3FDEBE4C" w14:textId="77777777" w:rsidTr="005064A7">
        <w:trPr>
          <w:trHeight w:val="272"/>
        </w:trPr>
        <w:tc>
          <w:tcPr>
            <w:tcW w:w="901" w:type="dxa"/>
            <w:vAlign w:val="center"/>
            <w:hideMark/>
          </w:tcPr>
          <w:p w14:paraId="2FADFF16"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411FC28A"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Carolina Quintero Gacharná</w:t>
            </w:r>
          </w:p>
          <w:p w14:paraId="7A76EFE9" w14:textId="77777777" w:rsidR="00D07950" w:rsidRPr="009D54B1" w:rsidRDefault="00D07950" w:rsidP="005064A7">
            <w:pPr>
              <w:rPr>
                <w:rFonts w:ascii="Verdana" w:eastAsia="Aptos" w:hAnsi="Verdana" w:cs="Arial"/>
                <w:sz w:val="14"/>
                <w:szCs w:val="14"/>
                <w:lang w:eastAsia="es-ES"/>
              </w:rPr>
            </w:pPr>
            <w:r w:rsidRPr="009D54B1">
              <w:rPr>
                <w:rFonts w:ascii="Verdana" w:eastAsia="Aptos" w:hAnsi="Verdana" w:cs="Arial"/>
                <w:sz w:val="14"/>
                <w:szCs w:val="14"/>
                <w:lang w:eastAsia="es-ES"/>
              </w:rPr>
              <w:t>Subdirectora de Gestión Contractual ANCP – CCE</w:t>
            </w:r>
          </w:p>
        </w:tc>
      </w:tr>
    </w:tbl>
    <w:p w14:paraId="5F373ECD" w14:textId="77777777" w:rsidR="00D07950" w:rsidRPr="009D54B1" w:rsidRDefault="00D07950" w:rsidP="00D07950">
      <w:pPr>
        <w:spacing w:after="0" w:line="240" w:lineRule="auto"/>
        <w:rPr>
          <w:rFonts w:ascii="Verdana" w:eastAsia="Times New Roman" w:hAnsi="Verdana" w:cs="Arial"/>
          <w:sz w:val="24"/>
          <w:szCs w:val="24"/>
          <w:lang w:eastAsia="es-ES"/>
        </w:rPr>
      </w:pPr>
    </w:p>
    <w:p w14:paraId="65712C77" w14:textId="77777777" w:rsidR="00D07950" w:rsidRPr="009D54B1" w:rsidRDefault="00D07950" w:rsidP="00D07950">
      <w:pPr>
        <w:rPr>
          <w:rFonts w:ascii="Verdana" w:eastAsia="Aptos" w:hAnsi="Verdana" w:cs="Times New Roman"/>
        </w:rPr>
      </w:pPr>
    </w:p>
    <w:p w14:paraId="41C3C3F2" w14:textId="77777777" w:rsidR="00D07950" w:rsidRPr="009D54B1" w:rsidRDefault="00D07950" w:rsidP="00D07950">
      <w:pPr>
        <w:rPr>
          <w:rFonts w:ascii="Verdana" w:eastAsia="Aptos" w:hAnsi="Verdana" w:cs="Arial"/>
        </w:rPr>
      </w:pPr>
    </w:p>
    <w:sectPr w:rsidR="00D07950" w:rsidRPr="009D54B1" w:rsidSect="00D07950">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59304" w14:textId="77777777" w:rsidR="001960E3" w:rsidRDefault="001960E3" w:rsidP="00D07950">
      <w:pPr>
        <w:spacing w:after="0" w:line="240" w:lineRule="auto"/>
      </w:pPr>
      <w:r>
        <w:separator/>
      </w:r>
    </w:p>
  </w:endnote>
  <w:endnote w:type="continuationSeparator" w:id="0">
    <w:p w14:paraId="264F24D1" w14:textId="77777777" w:rsidR="001960E3" w:rsidRDefault="001960E3" w:rsidP="00D079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2000503000000020004"/>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49EF1" w14:textId="77777777" w:rsidR="00D07950" w:rsidRDefault="00D07950">
    <w:pPr>
      <w:pStyle w:val="Piedepgina"/>
    </w:pPr>
  </w:p>
  <w:p w14:paraId="79D23A78" w14:textId="77777777" w:rsidR="00D07950" w:rsidRPr="00174B77" w:rsidRDefault="00D07950"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11A1345" w14:textId="77777777" w:rsidR="00D07950" w:rsidRDefault="00D07950"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3061F357" w14:textId="77777777" w:rsidR="00D07950" w:rsidRPr="00E41027" w:rsidRDefault="00D07950"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8C13011" w14:textId="77777777" w:rsidR="00D07950" w:rsidRDefault="00D07950"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9D54B1">
      <w:rPr>
        <w:rFonts w:ascii="Verdana" w:eastAsia="Verdana" w:hAnsi="Verdana" w:cs="Verdana"/>
        <w:b/>
        <w:bCs/>
        <w:color w:val="000000"/>
        <w:sz w:val="18"/>
        <w:szCs w:val="18"/>
        <w:lang w:eastAsia="es-CO"/>
      </w:rPr>
      <w:t xml:space="preserve">Código: </w:t>
    </w:r>
    <w:r w:rsidRPr="009D54B1">
      <w:rPr>
        <w:rFonts w:ascii="Verdana" w:eastAsia="Verdana" w:hAnsi="Verdana" w:cs="Verdana"/>
        <w:color w:val="000000"/>
        <w:sz w:val="18"/>
        <w:szCs w:val="18"/>
        <w:lang w:eastAsia="es-CO"/>
      </w:rPr>
      <w:t xml:space="preserve">CCE-REC-FM-17 </w:t>
    </w:r>
    <w:r w:rsidRPr="009D54B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28096" w14:textId="77777777" w:rsidR="001960E3" w:rsidRDefault="001960E3" w:rsidP="00D07950">
      <w:pPr>
        <w:spacing w:after="0" w:line="240" w:lineRule="auto"/>
      </w:pPr>
      <w:r>
        <w:separator/>
      </w:r>
    </w:p>
  </w:footnote>
  <w:footnote w:type="continuationSeparator" w:id="0">
    <w:p w14:paraId="09DAA221" w14:textId="77777777" w:rsidR="001960E3" w:rsidRDefault="001960E3" w:rsidP="00D07950">
      <w:pPr>
        <w:spacing w:after="0" w:line="240" w:lineRule="auto"/>
      </w:pPr>
      <w:r>
        <w:continuationSeparator/>
      </w:r>
    </w:p>
  </w:footnote>
  <w:footnote w:id="1">
    <w:p w14:paraId="641C065A" w14:textId="77777777" w:rsidR="00D07950" w:rsidRPr="00D07950" w:rsidRDefault="00D07950" w:rsidP="00D07950">
      <w:pPr>
        <w:pStyle w:val="Textonotapie"/>
        <w:ind w:firstLine="709"/>
        <w:jc w:val="both"/>
        <w:rPr>
          <w:rFonts w:ascii="Verdana" w:hAnsi="Verdana" w:cs="Arial"/>
          <w:sz w:val="18"/>
          <w:szCs w:val="18"/>
        </w:rPr>
      </w:pPr>
      <w:r w:rsidRPr="00D07950">
        <w:rPr>
          <w:rStyle w:val="Refdenotaalpie"/>
          <w:rFonts w:ascii="Verdana" w:hAnsi="Verdana" w:cs="Arial"/>
          <w:sz w:val="18"/>
          <w:szCs w:val="18"/>
        </w:rPr>
        <w:footnoteRef/>
      </w:r>
      <w:r w:rsidRPr="00D07950">
        <w:rPr>
          <w:rFonts w:ascii="Verdana" w:hAnsi="Verdana" w:cs="Arial"/>
          <w:sz w:val="18"/>
          <w:szCs w:val="18"/>
        </w:rPr>
        <w:t xml:space="preserve"> Procuraduría General de la Nación. Concepto del 15 de octubre de 2014. Procuraduría Delegada para Asuntos Disciplinarios. Radicado PAD C-114-2014.</w:t>
      </w:r>
    </w:p>
  </w:footnote>
  <w:footnote w:id="2">
    <w:p w14:paraId="222C8FA0" w14:textId="77777777" w:rsidR="00D07950" w:rsidRPr="00D07950" w:rsidRDefault="00D07950" w:rsidP="00D07950">
      <w:pPr>
        <w:pStyle w:val="Textonotapie"/>
        <w:ind w:firstLine="708"/>
        <w:jc w:val="both"/>
        <w:rPr>
          <w:rFonts w:ascii="Verdana" w:hAnsi="Verdana" w:cs="Arial"/>
          <w:sz w:val="18"/>
          <w:szCs w:val="18"/>
        </w:rPr>
      </w:pPr>
      <w:r w:rsidRPr="00D07950">
        <w:rPr>
          <w:rStyle w:val="Refdenotaalpie"/>
          <w:rFonts w:ascii="Verdana" w:hAnsi="Verdana" w:cs="Arial"/>
          <w:sz w:val="18"/>
          <w:szCs w:val="18"/>
        </w:rPr>
        <w:footnoteRef/>
      </w:r>
      <w:r w:rsidRPr="00D07950">
        <w:rPr>
          <w:rFonts w:ascii="Verdana" w:hAnsi="Verdana" w:cs="Arial"/>
          <w:sz w:val="18"/>
          <w:szCs w:val="18"/>
        </w:rPr>
        <w:t xml:space="preserve"> Contraloría General de la República. Oficina Jurídica. Concepto 80112-OJ-008 2017.</w:t>
      </w:r>
    </w:p>
    <w:p w14:paraId="228EBA4E" w14:textId="77777777" w:rsidR="00D07950" w:rsidRPr="00D07950" w:rsidRDefault="00D07950" w:rsidP="00D07950">
      <w:pPr>
        <w:pStyle w:val="Textonotapie"/>
        <w:ind w:firstLine="708"/>
        <w:jc w:val="both"/>
        <w:rPr>
          <w:rFonts w:ascii="Verdana" w:hAnsi="Verdana" w:cs="Arial"/>
          <w:sz w:val="18"/>
          <w:szCs w:val="18"/>
        </w:rPr>
      </w:pPr>
    </w:p>
  </w:footnote>
  <w:footnote w:id="3">
    <w:p w14:paraId="588DF942" w14:textId="77777777" w:rsidR="00D07950" w:rsidRPr="00D07950" w:rsidRDefault="00D07950" w:rsidP="00D07950">
      <w:pPr>
        <w:pStyle w:val="Textonotapie"/>
        <w:ind w:firstLine="708"/>
        <w:jc w:val="both"/>
        <w:rPr>
          <w:rFonts w:ascii="Verdana" w:hAnsi="Verdana" w:cs="Arial"/>
          <w:sz w:val="18"/>
          <w:szCs w:val="18"/>
        </w:rPr>
      </w:pPr>
      <w:r w:rsidRPr="00D07950">
        <w:rPr>
          <w:rStyle w:val="Refdenotaalpie"/>
          <w:rFonts w:ascii="Verdana" w:hAnsi="Verdana" w:cs="Arial"/>
          <w:sz w:val="18"/>
          <w:szCs w:val="18"/>
        </w:rPr>
        <w:footnoteRef/>
      </w:r>
      <w:r w:rsidRPr="00D07950">
        <w:rPr>
          <w:rFonts w:ascii="Verdana" w:hAnsi="Verdana" w:cs="Arial"/>
          <w:sz w:val="18"/>
          <w:szCs w:val="18"/>
        </w:rPr>
        <w:t xml:space="preserve"> ARBOLEDA PERDONO, Enrique José. Comentarios al Nuevo Código de Procedimiento Administrativo y de lo Contencioso Administrativo (2ª ed.). Editorial Legis. Bogotá. 2012. p. 59.</w:t>
      </w:r>
    </w:p>
  </w:footnote>
  <w:footnote w:id="4">
    <w:p w14:paraId="59A03849" w14:textId="77777777" w:rsidR="00D07950" w:rsidRPr="00D07950" w:rsidRDefault="00D07950" w:rsidP="00D07950">
      <w:pPr>
        <w:pStyle w:val="Textonotapie"/>
        <w:ind w:firstLine="709"/>
        <w:jc w:val="both"/>
        <w:rPr>
          <w:rFonts w:ascii="Verdana" w:hAnsi="Verdana" w:cs="Arial"/>
          <w:sz w:val="18"/>
          <w:szCs w:val="18"/>
        </w:rPr>
      </w:pPr>
      <w:r w:rsidRPr="00D07950">
        <w:rPr>
          <w:rStyle w:val="Refdenotaalpie"/>
          <w:rFonts w:ascii="Verdana" w:hAnsi="Verdana" w:cs="Arial"/>
          <w:sz w:val="18"/>
          <w:szCs w:val="18"/>
        </w:rPr>
        <w:footnoteRef/>
      </w:r>
      <w:r w:rsidRPr="00D07950">
        <w:rPr>
          <w:rFonts w:ascii="Verdana" w:hAnsi="Verdana" w:cs="Arial"/>
          <w:sz w:val="18"/>
          <w:szCs w:val="18"/>
        </w:rPr>
        <w:t xml:space="preserve"> Cfr. HERNÁNDEZ BECERRA, Augusto. Función Consultiva y Consejo de Estado en Colombia. Ponencia presentada en las III Jornadas Internacionales de la Función Consultiva, organizadas por el Instituto de Investigaciones Jurídicas y el programa de Postgrado en Derecho de la Universidad Nacional Autónoma de México – UNAM. México. 2012. Pág. 9. Texto disponible para ser consultado en el siguiente hipervínculo: </w:t>
      </w:r>
      <w:hyperlink r:id="rId1" w:history="1">
        <w:r w:rsidRPr="00D07950">
          <w:rPr>
            <w:rStyle w:val="Hipervnculo"/>
            <w:rFonts w:ascii="Verdana" w:hAnsi="Verdana" w:cs="Arial"/>
            <w:sz w:val="18"/>
            <w:szCs w:val="18"/>
          </w:rPr>
          <w:t>https://issuu.com/estudiolegalhernandez/docs/ahb._funci__n_consultiva_y_consejo_</w:t>
        </w:r>
      </w:hyperlink>
      <w:r w:rsidRPr="00D07950">
        <w:rPr>
          <w:rFonts w:ascii="Verdana" w:hAnsi="Verdana" w:cs="Arial"/>
          <w:sz w:val="18"/>
          <w:szCs w:val="18"/>
        </w:rPr>
        <w:t>.</w:t>
      </w:r>
    </w:p>
  </w:footnote>
  <w:footnote w:id="5">
    <w:p w14:paraId="729C2427" w14:textId="77777777" w:rsidR="00D07950" w:rsidRPr="00D07950" w:rsidRDefault="00D07950" w:rsidP="00D07950">
      <w:pPr>
        <w:pStyle w:val="Textonotapie"/>
        <w:ind w:firstLine="708"/>
        <w:jc w:val="both"/>
        <w:rPr>
          <w:rFonts w:ascii="Verdana" w:hAnsi="Verdana" w:cs="Arial"/>
          <w:sz w:val="18"/>
          <w:szCs w:val="18"/>
        </w:rPr>
      </w:pPr>
      <w:r w:rsidRPr="00D07950">
        <w:rPr>
          <w:rStyle w:val="Refdenotaalpie"/>
          <w:rFonts w:ascii="Verdana" w:hAnsi="Verdana" w:cs="Arial"/>
          <w:sz w:val="18"/>
          <w:szCs w:val="18"/>
        </w:rPr>
        <w:footnoteRef/>
      </w:r>
      <w:r w:rsidRPr="00D07950">
        <w:rPr>
          <w:rFonts w:ascii="Verdana" w:hAnsi="Verdana" w:cs="Arial"/>
          <w:sz w:val="18"/>
          <w:szCs w:val="18"/>
        </w:rPr>
        <w:t xml:space="preserve"> Consejo de Estado. Sala de Consulta y Servicio Civil. Concepto del 5 de octubre de 2009. Expediente 11001-03-06-000-2009-00049-00(1966). C.P. William Zambrano Cetina.</w:t>
      </w:r>
    </w:p>
  </w:footnote>
  <w:footnote w:id="6">
    <w:p w14:paraId="6B23F1FD" w14:textId="77777777" w:rsidR="00D07950" w:rsidRPr="00D07950" w:rsidRDefault="00D07950" w:rsidP="00D07950">
      <w:pPr>
        <w:pStyle w:val="Textonotapie"/>
        <w:ind w:firstLine="708"/>
        <w:jc w:val="both"/>
        <w:rPr>
          <w:rFonts w:ascii="Verdana" w:hAnsi="Verdana"/>
          <w:sz w:val="18"/>
          <w:szCs w:val="18"/>
        </w:rPr>
      </w:pPr>
      <w:r w:rsidRPr="00D07950">
        <w:rPr>
          <w:rStyle w:val="Refdenotaalpie"/>
          <w:rFonts w:ascii="Verdana" w:hAnsi="Verdana"/>
          <w:sz w:val="18"/>
          <w:szCs w:val="18"/>
        </w:rPr>
        <w:footnoteRef/>
      </w:r>
      <w:r w:rsidRPr="00D07950">
        <w:rPr>
          <w:rFonts w:ascii="Verdana" w:hAnsi="Verdana"/>
          <w:sz w:val="18"/>
          <w:szCs w:val="18"/>
        </w:rPr>
        <w:t xml:space="preserve"> Decreto Ley 4170 de 2011. Artículo 3.2.</w:t>
      </w:r>
    </w:p>
    <w:p w14:paraId="5D0760A2" w14:textId="77777777" w:rsidR="00D07950" w:rsidRPr="00D07950" w:rsidRDefault="00D07950" w:rsidP="00D07950">
      <w:pPr>
        <w:pStyle w:val="Textonotapie"/>
        <w:ind w:firstLine="708"/>
        <w:jc w:val="both"/>
        <w:rPr>
          <w:rFonts w:ascii="Verdana" w:hAnsi="Verdana"/>
          <w:sz w:val="18"/>
          <w:szCs w:val="18"/>
          <w:lang w:val="es-CO"/>
        </w:rPr>
      </w:pPr>
    </w:p>
  </w:footnote>
  <w:footnote w:id="7">
    <w:p w14:paraId="7F130C13" w14:textId="77777777" w:rsidR="00D07950" w:rsidRPr="00D07950" w:rsidRDefault="00D07950" w:rsidP="00D07950">
      <w:pPr>
        <w:pStyle w:val="Textonotapie"/>
        <w:ind w:firstLine="708"/>
        <w:jc w:val="both"/>
        <w:rPr>
          <w:rFonts w:ascii="Verdana" w:hAnsi="Verdana"/>
          <w:sz w:val="18"/>
          <w:szCs w:val="18"/>
          <w:lang w:val="es-CO"/>
        </w:rPr>
      </w:pPr>
      <w:r w:rsidRPr="00D07950">
        <w:rPr>
          <w:rStyle w:val="Refdenotaalpie"/>
          <w:rFonts w:ascii="Verdana" w:hAnsi="Verdana"/>
          <w:sz w:val="18"/>
          <w:szCs w:val="18"/>
        </w:rPr>
        <w:footnoteRef/>
      </w:r>
      <w:r w:rsidRPr="00D07950">
        <w:rPr>
          <w:rFonts w:ascii="Verdana" w:hAnsi="Verdana"/>
          <w:sz w:val="18"/>
          <w:szCs w:val="18"/>
        </w:rPr>
        <w:t xml:space="preserve"> Decreto Ley 4170 de 2011. Artículo 3.5.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9E0F4" w14:textId="77777777" w:rsidR="00D07950" w:rsidRDefault="00D0795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34EA7CE" wp14:editId="5B8872CF">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CA95B66" wp14:editId="2824169F">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387DEA4" w14:textId="77777777" w:rsidR="00D07950" w:rsidRDefault="00D07950">
    <w:pPr>
      <w:pStyle w:val="Encabezado"/>
    </w:pPr>
  </w:p>
  <w:p w14:paraId="0E74DF92" w14:textId="77777777" w:rsidR="00D07950" w:rsidRPr="004A305D" w:rsidRDefault="00D07950" w:rsidP="00B01B1A">
    <w:pPr>
      <w:spacing w:after="0" w:line="120" w:lineRule="auto"/>
      <w:rPr>
        <w:rFonts w:ascii="Century Gothic" w:eastAsia="Geo" w:hAnsi="Century Gothic" w:cs="Geo"/>
        <w:sz w:val="16"/>
        <w:szCs w:val="16"/>
        <w:lang w:eastAsia="es-CO"/>
      </w:rPr>
    </w:pPr>
  </w:p>
  <w:p w14:paraId="34B19B0A" w14:textId="77777777" w:rsidR="00D07950" w:rsidRDefault="00D07950" w:rsidP="00844AE9">
    <w:pPr>
      <w:spacing w:after="0" w:line="240" w:lineRule="auto"/>
      <w:rPr>
        <w:rFonts w:ascii="Verdana" w:hAnsi="Verdana"/>
        <w:sz w:val="24"/>
        <w:szCs w:val="24"/>
      </w:rPr>
    </w:pPr>
  </w:p>
  <w:p w14:paraId="1C958E8D" w14:textId="77777777" w:rsidR="00D07950" w:rsidRPr="00C925AC" w:rsidRDefault="00D07950" w:rsidP="00844AE9">
    <w:pPr>
      <w:spacing w:after="0" w:line="240" w:lineRule="auto"/>
      <w:rPr>
        <w:rFonts w:ascii="Verdana" w:hAnsi="Verdana"/>
        <w:sz w:val="24"/>
        <w:szCs w:val="24"/>
      </w:rPr>
    </w:pPr>
  </w:p>
  <w:p w14:paraId="308A6860" w14:textId="77777777" w:rsidR="00D07950" w:rsidRPr="00C925AC" w:rsidRDefault="00D0795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F0D55"/>
    <w:multiLevelType w:val="hybridMultilevel"/>
    <w:tmpl w:val="56A46042"/>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1"/>
  </w:num>
  <w:num w:numId="2" w16cid:durableId="1846749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950"/>
    <w:rsid w:val="000972FB"/>
    <w:rsid w:val="001960E3"/>
    <w:rsid w:val="002C661F"/>
    <w:rsid w:val="0048166A"/>
    <w:rsid w:val="004A4A37"/>
    <w:rsid w:val="004C23D4"/>
    <w:rsid w:val="005727E1"/>
    <w:rsid w:val="005818E2"/>
    <w:rsid w:val="00671588"/>
    <w:rsid w:val="006B7D03"/>
    <w:rsid w:val="008E5C2E"/>
    <w:rsid w:val="00D04085"/>
    <w:rsid w:val="00D07950"/>
    <w:rsid w:val="00DC306B"/>
    <w:rsid w:val="00F50C47"/>
    <w:rsid w:val="00FF5E6D"/>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6F338"/>
  <w15:chartTrackingRefBased/>
  <w15:docId w15:val="{7AE8EF2B-B6F8-4C9B-9312-F6BC76D92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950"/>
    <w:rPr>
      <w:kern w:val="0"/>
      <w14:ligatures w14:val="none"/>
    </w:rPr>
  </w:style>
  <w:style w:type="paragraph" w:styleId="Ttulo1">
    <w:name w:val="heading 1"/>
    <w:basedOn w:val="Normal"/>
    <w:next w:val="Normal"/>
    <w:link w:val="Ttulo1Car"/>
    <w:uiPriority w:val="9"/>
    <w:qFormat/>
    <w:rsid w:val="00D079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079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0795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0795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0795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079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079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079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079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0795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0795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0795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0795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0795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079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079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079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07950"/>
    <w:rPr>
      <w:rFonts w:eastAsiaTheme="majorEastAsia" w:cstheme="majorBidi"/>
      <w:color w:val="272727" w:themeColor="text1" w:themeTint="D8"/>
    </w:rPr>
  </w:style>
  <w:style w:type="paragraph" w:styleId="Ttulo">
    <w:name w:val="Title"/>
    <w:basedOn w:val="Normal"/>
    <w:next w:val="Normal"/>
    <w:link w:val="TtuloCar"/>
    <w:uiPriority w:val="10"/>
    <w:qFormat/>
    <w:rsid w:val="00D079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079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079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079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07950"/>
    <w:pPr>
      <w:spacing w:before="160"/>
      <w:jc w:val="center"/>
    </w:pPr>
    <w:rPr>
      <w:i/>
      <w:iCs/>
      <w:color w:val="404040" w:themeColor="text1" w:themeTint="BF"/>
    </w:rPr>
  </w:style>
  <w:style w:type="character" w:customStyle="1" w:styleId="CitaCar">
    <w:name w:val="Cita Car"/>
    <w:basedOn w:val="Fuentedeprrafopredeter"/>
    <w:link w:val="Cita"/>
    <w:uiPriority w:val="29"/>
    <w:rsid w:val="00D07950"/>
    <w:rPr>
      <w:i/>
      <w:iCs/>
      <w:color w:val="404040" w:themeColor="text1" w:themeTint="BF"/>
    </w:rPr>
  </w:style>
  <w:style w:type="paragraph" w:styleId="Prrafodelista">
    <w:name w:val="List Paragraph"/>
    <w:basedOn w:val="Normal"/>
    <w:uiPriority w:val="34"/>
    <w:qFormat/>
    <w:rsid w:val="00D07950"/>
    <w:pPr>
      <w:ind w:left="720"/>
      <w:contextualSpacing/>
    </w:pPr>
  </w:style>
  <w:style w:type="character" w:styleId="nfasisintenso">
    <w:name w:val="Intense Emphasis"/>
    <w:basedOn w:val="Fuentedeprrafopredeter"/>
    <w:uiPriority w:val="21"/>
    <w:qFormat/>
    <w:rsid w:val="00D07950"/>
    <w:rPr>
      <w:i/>
      <w:iCs/>
      <w:color w:val="0F4761" w:themeColor="accent1" w:themeShade="BF"/>
    </w:rPr>
  </w:style>
  <w:style w:type="paragraph" w:styleId="Citadestacada">
    <w:name w:val="Intense Quote"/>
    <w:basedOn w:val="Normal"/>
    <w:next w:val="Normal"/>
    <w:link w:val="CitadestacadaCar"/>
    <w:uiPriority w:val="30"/>
    <w:qFormat/>
    <w:rsid w:val="00D079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07950"/>
    <w:rPr>
      <w:i/>
      <w:iCs/>
      <w:color w:val="0F4761" w:themeColor="accent1" w:themeShade="BF"/>
    </w:rPr>
  </w:style>
  <w:style w:type="character" w:styleId="Referenciaintensa">
    <w:name w:val="Intense Reference"/>
    <w:basedOn w:val="Fuentedeprrafopredeter"/>
    <w:uiPriority w:val="32"/>
    <w:qFormat/>
    <w:rsid w:val="00D07950"/>
    <w:rPr>
      <w:b/>
      <w:bCs/>
      <w:smallCaps/>
      <w:color w:val="0F4761" w:themeColor="accent1" w:themeShade="BF"/>
      <w:spacing w:val="5"/>
    </w:rPr>
  </w:style>
  <w:style w:type="paragraph" w:styleId="Encabezado">
    <w:name w:val="header"/>
    <w:basedOn w:val="Normal"/>
    <w:link w:val="EncabezadoCar"/>
    <w:uiPriority w:val="99"/>
    <w:unhideWhenUsed/>
    <w:rsid w:val="00D079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07950"/>
    <w:rPr>
      <w:kern w:val="0"/>
      <w14:ligatures w14:val="none"/>
    </w:rPr>
  </w:style>
  <w:style w:type="paragraph" w:styleId="Piedepgina">
    <w:name w:val="footer"/>
    <w:basedOn w:val="Normal"/>
    <w:link w:val="PiedepginaCar"/>
    <w:uiPriority w:val="99"/>
    <w:unhideWhenUsed/>
    <w:rsid w:val="00D079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07950"/>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0795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D0795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0795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07950"/>
    <w:rPr>
      <w:vertAlign w:val="superscript"/>
    </w:rPr>
  </w:style>
  <w:style w:type="table" w:styleId="Tablaconcuadrcula">
    <w:name w:val="Table Grid"/>
    <w:basedOn w:val="Tablanormal"/>
    <w:uiPriority w:val="39"/>
    <w:qFormat/>
    <w:rsid w:val="00D079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07950"/>
    <w:rPr>
      <w:color w:val="0000FF"/>
      <w:u w:val="single"/>
    </w:rPr>
  </w:style>
  <w:style w:type="paragraph" w:customStyle="1" w:styleId="Appelnotedebasde">
    <w:name w:val="Appel note de bas de..."/>
    <w:basedOn w:val="Normal"/>
    <w:link w:val="Refdenotaalpie"/>
    <w:uiPriority w:val="99"/>
    <w:rsid w:val="00D07950"/>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D0795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interveennotificacion@gmail.com"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terveen@controlsocial.org"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E884C6-1833-4714-9AE6-C58269F7AA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E73C0B-FEF1-4E1A-B737-9E1571A43D2C}">
  <ds:schemaRefs>
    <ds:schemaRef ds:uri="http://schemas.microsoft.com/sharepoint/v3/contenttype/forms"/>
  </ds:schemaRefs>
</ds:datastoreItem>
</file>

<file path=customXml/itemProps3.xml><?xml version="1.0" encoding="utf-8"?>
<ds:datastoreItem xmlns:ds="http://schemas.openxmlformats.org/officeDocument/2006/customXml" ds:itemID="{51CEB15D-CE7E-4B84-A34C-85B3ADFB905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3927</Words>
  <Characters>21599</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2</cp:revision>
  <dcterms:created xsi:type="dcterms:W3CDTF">2026-05-19T19:04:00Z</dcterms:created>
  <dcterms:modified xsi:type="dcterms:W3CDTF">2026-05-19T19:04:00Z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