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BB4ABF" w14:textId="16A99216" w:rsidR="00CE2169" w:rsidRPr="00CE2169" w:rsidRDefault="00CE2169" w:rsidP="00CE2169">
      <w:pPr>
        <w:spacing w:after="0"/>
        <w:jc w:val="both"/>
        <w:rPr>
          <w:rFonts w:ascii="Verdana" w:eastAsia="Verdana" w:hAnsi="Verdana" w:cs="Verdana"/>
        </w:rPr>
      </w:pPr>
      <w:bookmarkStart w:id="0" w:name="_Hlk143780582"/>
      <w:r w:rsidRPr="00CE2169">
        <w:rPr>
          <w:rFonts w:ascii="Verdana" w:eastAsia="Calibri" w:hAnsi="Verdana" w:cs="Times New Roman"/>
          <w:b/>
          <w:bCs/>
          <w:color w:val="000000"/>
        </w:rPr>
        <w:t xml:space="preserve">DOCUMENTOS TIPO – Fundamento normativo – Obligatoriedad </w:t>
      </w:r>
    </w:p>
    <w:p w14:paraId="1C2F5D8D" w14:textId="77777777" w:rsidR="00CE2169" w:rsidRPr="00CE2169" w:rsidRDefault="00CE2169" w:rsidP="00CE2169">
      <w:pPr>
        <w:spacing w:after="0" w:line="276" w:lineRule="auto"/>
        <w:jc w:val="both"/>
        <w:rPr>
          <w:rFonts w:ascii="Verdana" w:eastAsia="Calibri" w:hAnsi="Verdana" w:cs="Arial"/>
          <w:b/>
          <w:bCs/>
        </w:rPr>
      </w:pPr>
    </w:p>
    <w:p w14:paraId="6024ADBB" w14:textId="252C4A00" w:rsidR="00CE2169" w:rsidRPr="00CE2169" w:rsidRDefault="00F70299" w:rsidP="00CE2169">
      <w:pPr>
        <w:snapToGrid w:val="0"/>
        <w:spacing w:after="0" w:line="240" w:lineRule="auto"/>
        <w:jc w:val="both"/>
        <w:rPr>
          <w:rFonts w:ascii="Verdana" w:eastAsia="Times New Roman" w:hAnsi="Verdana" w:cs="Arial"/>
          <w:sz w:val="20"/>
          <w:szCs w:val="20"/>
          <w:shd w:val="clear" w:color="auto" w:fill="FFFFFF"/>
          <w:lang w:eastAsia="es-ES_tradnl"/>
        </w:rPr>
      </w:pPr>
      <w:r w:rsidRPr="00F70299">
        <w:rPr>
          <w:rFonts w:ascii="Verdana" w:eastAsia="Times New Roman" w:hAnsi="Verdana" w:cs="Arial"/>
          <w:sz w:val="20"/>
          <w:szCs w:val="20"/>
          <w:shd w:val="clear" w:color="auto" w:fill="FFFFFF"/>
          <w:lang w:eastAsia="es-ES_tradnl"/>
        </w:rPr>
        <w:t>Los documentos tipo expedidos por la Agencia Nacional de Contratación Pública -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7A29D205" w14:textId="77777777" w:rsidR="00CE2169" w:rsidRPr="00CE2169" w:rsidRDefault="00CE2169" w:rsidP="00CE2169">
      <w:pPr>
        <w:spacing w:after="0" w:line="276" w:lineRule="auto"/>
        <w:jc w:val="both"/>
        <w:rPr>
          <w:rFonts w:ascii="Verdana" w:eastAsia="Calibri" w:hAnsi="Verdana" w:cs="Arial"/>
          <w:b/>
          <w:bCs/>
        </w:rPr>
      </w:pPr>
    </w:p>
    <w:p w14:paraId="316B0A05" w14:textId="77777777" w:rsidR="00CE2169" w:rsidRPr="00CE2169" w:rsidRDefault="00CE2169" w:rsidP="00CE2169">
      <w:pPr>
        <w:spacing w:after="0" w:line="276" w:lineRule="auto"/>
        <w:jc w:val="both"/>
        <w:rPr>
          <w:rFonts w:ascii="Verdana" w:eastAsia="Calibri" w:hAnsi="Verdana" w:cs="Arial"/>
          <w:b/>
          <w:bCs/>
        </w:rPr>
      </w:pPr>
      <w:r w:rsidRPr="00CE2169">
        <w:rPr>
          <w:rFonts w:ascii="Verdana" w:eastAsia="Calibri" w:hAnsi="Verdana" w:cs="Arial"/>
          <w:b/>
          <w:bCs/>
        </w:rPr>
        <w:t>DOCUMENTOS TIPO DE INFRAESTRUCTURA SOCIAL – Alcance</w:t>
      </w:r>
    </w:p>
    <w:p w14:paraId="726C338F" w14:textId="77777777" w:rsidR="00CE2169" w:rsidRPr="00CE2169" w:rsidRDefault="00CE2169" w:rsidP="00CE2169">
      <w:pPr>
        <w:spacing w:after="0" w:line="240" w:lineRule="auto"/>
        <w:jc w:val="both"/>
        <w:rPr>
          <w:rFonts w:ascii="Verdana" w:eastAsia="Calibri" w:hAnsi="Verdana" w:cs="Arial"/>
          <w:b/>
          <w:bCs/>
        </w:rPr>
      </w:pPr>
    </w:p>
    <w:p w14:paraId="547F77FC" w14:textId="35A2A5AA" w:rsidR="00F70299" w:rsidRDefault="00F70299" w:rsidP="00F70299">
      <w:pPr>
        <w:snapToGrid w:val="0"/>
        <w:spacing w:after="0" w:line="240" w:lineRule="auto"/>
        <w:jc w:val="both"/>
        <w:rPr>
          <w:rFonts w:ascii="Verdana" w:eastAsia="Calibri" w:hAnsi="Verdana" w:cs="Times New Roman"/>
          <w:kern w:val="2"/>
          <w:sz w:val="20"/>
          <w:szCs w:val="20"/>
          <w:lang w:val="es-ES" w:eastAsia="es-MX"/>
          <w14:ligatures w14:val="standardContextual"/>
        </w:rPr>
      </w:pPr>
      <w:r w:rsidRPr="00F70299">
        <w:rPr>
          <w:rFonts w:ascii="Verdana" w:eastAsia="Calibri" w:hAnsi="Verdana" w:cs="Times New Roman"/>
          <w:kern w:val="2"/>
          <w:sz w:val="20"/>
          <w:szCs w:val="20"/>
          <w:lang w:val="es-ES" w:eastAsia="es-MX"/>
          <w14:ligatures w14:val="standardContextual"/>
        </w:rPr>
        <w:t>Recientemente, los documentos tipo del sector de infraestructura social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74734CEA" w14:textId="77777777" w:rsidR="00F70299" w:rsidRPr="00F70299" w:rsidRDefault="00F70299" w:rsidP="00F70299">
      <w:pPr>
        <w:snapToGrid w:val="0"/>
        <w:spacing w:after="0" w:line="240" w:lineRule="auto"/>
        <w:jc w:val="both"/>
        <w:rPr>
          <w:rFonts w:ascii="Verdana" w:eastAsia="Calibri" w:hAnsi="Verdana" w:cs="Times New Roman"/>
          <w:kern w:val="2"/>
          <w:sz w:val="20"/>
          <w:szCs w:val="20"/>
          <w:lang w:val="es-ES" w:eastAsia="es-MX"/>
          <w14:ligatures w14:val="standardContextual"/>
        </w:rPr>
      </w:pPr>
    </w:p>
    <w:p w14:paraId="392AE25A" w14:textId="77777777" w:rsidR="00F70299" w:rsidRDefault="00F70299" w:rsidP="00F70299">
      <w:pPr>
        <w:snapToGrid w:val="0"/>
        <w:spacing w:after="0" w:line="240" w:lineRule="auto"/>
        <w:jc w:val="both"/>
        <w:rPr>
          <w:rFonts w:ascii="Verdana" w:eastAsia="Calibri" w:hAnsi="Verdana" w:cs="Times New Roman"/>
          <w:kern w:val="2"/>
          <w:sz w:val="20"/>
          <w:szCs w:val="20"/>
          <w:lang w:val="es-ES" w:eastAsia="es-MX"/>
          <w14:ligatures w14:val="standardContextual"/>
        </w:rPr>
      </w:pPr>
      <w:r w:rsidRPr="00F70299">
        <w:rPr>
          <w:rFonts w:ascii="Verdana" w:eastAsia="Calibri" w:hAnsi="Verdana" w:cs="Times New Roman"/>
          <w:kern w:val="2"/>
          <w:sz w:val="20"/>
          <w:szCs w:val="20"/>
          <w:lang w:val="es-ES" w:eastAsia="es-MX"/>
          <w14:ligatures w14:val="standardContextual"/>
        </w:rPr>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5E1E74AC" w14:textId="77777777" w:rsidR="00F70299" w:rsidRPr="00F70299" w:rsidRDefault="00F70299" w:rsidP="00F70299">
      <w:pPr>
        <w:snapToGrid w:val="0"/>
        <w:spacing w:after="0" w:line="240" w:lineRule="auto"/>
        <w:jc w:val="both"/>
        <w:rPr>
          <w:rFonts w:ascii="Verdana" w:eastAsia="Calibri" w:hAnsi="Verdana" w:cs="Times New Roman"/>
          <w:kern w:val="2"/>
          <w:sz w:val="20"/>
          <w:szCs w:val="20"/>
          <w:lang w:val="es-ES" w:eastAsia="es-MX"/>
          <w14:ligatures w14:val="standardContextual"/>
        </w:rPr>
      </w:pPr>
    </w:p>
    <w:p w14:paraId="7702F60B" w14:textId="3D3A6E70" w:rsidR="00CE2169" w:rsidRPr="00CE2169" w:rsidRDefault="00F70299" w:rsidP="00F70299">
      <w:pPr>
        <w:snapToGrid w:val="0"/>
        <w:spacing w:after="0" w:line="240" w:lineRule="auto"/>
        <w:jc w:val="both"/>
        <w:rPr>
          <w:rFonts w:ascii="Verdana" w:eastAsia="Calibri" w:hAnsi="Verdana" w:cs="Times New Roman"/>
          <w:sz w:val="20"/>
          <w:szCs w:val="20"/>
        </w:rPr>
      </w:pPr>
      <w:r w:rsidRPr="00F70299">
        <w:rPr>
          <w:rFonts w:ascii="Verdana" w:eastAsia="Calibri" w:hAnsi="Verdana" w:cs="Times New Roman"/>
          <w:kern w:val="2"/>
          <w:sz w:val="20"/>
          <w:szCs w:val="20"/>
          <w:lang w:val="es-ES" w:eastAsia="es-MX"/>
          <w14:ligatures w14:val="standardContextual"/>
        </w:rPr>
        <w:t>En línea con lo anterior, esta Agencia expidió la versión 2 de los documentos tipo transversales para los procesos de concurso de méritos para contratar la interventoría de obras públicas de infraestructura social, y los documentos tipo complementarios relacionados con los sectores de educación, salud, cultura, recreación, deporte, institucional y vivienda, mediante la Resolución No. 953 del 15 de diciembre de 2025. Además, acogió los documentos tipo para los procesos de selección de concurso de méritos, para contratar la consultoría de estudios de ingeniería de infraestructura social; que agrupa los sectores de educación, salud, cultura, recreación y deporte, institucional y vivienda, a través de la Resolución No. 952 del 15 de diciembre de 2025. Estos documentos entraron en vigor para los procesos de contratación de interventoría y consultoría cuyo aviso de convocatoria se publique a partir del 16 de febrero de 2026.</w:t>
      </w:r>
    </w:p>
    <w:p w14:paraId="47A5F9B5" w14:textId="77777777" w:rsidR="00CE2169" w:rsidRPr="00CE2169" w:rsidRDefault="00CE2169" w:rsidP="00CE2169">
      <w:pPr>
        <w:snapToGrid w:val="0"/>
        <w:spacing w:after="0" w:line="276" w:lineRule="auto"/>
        <w:jc w:val="both"/>
        <w:rPr>
          <w:rFonts w:ascii="Verdana" w:eastAsia="Calibri" w:hAnsi="Verdana" w:cs="Times New Roman"/>
        </w:rPr>
      </w:pPr>
    </w:p>
    <w:p w14:paraId="45697C61" w14:textId="77777777" w:rsidR="00CE2169" w:rsidRPr="00CE2169" w:rsidRDefault="00CE2169" w:rsidP="00CE2169">
      <w:pPr>
        <w:spacing w:after="0" w:line="276" w:lineRule="auto"/>
        <w:jc w:val="both"/>
        <w:rPr>
          <w:rFonts w:ascii="Verdana" w:eastAsia="Aptos" w:hAnsi="Verdana" w:cs="Aptos"/>
          <w:b/>
          <w:bCs/>
          <w:kern w:val="2"/>
          <w:lang w:val="es-ES_tradnl"/>
          <w14:ligatures w14:val="standardContextual"/>
        </w:rPr>
      </w:pPr>
      <w:r w:rsidRPr="00CE2169">
        <w:rPr>
          <w:rFonts w:ascii="Verdana" w:eastAsia="Aptos" w:hAnsi="Verdana" w:cs="Aptos"/>
          <w:b/>
          <w:bCs/>
          <w:kern w:val="2"/>
          <w:lang w:val="es-ES_tradnl"/>
          <w14:ligatures w14:val="standardContextual"/>
        </w:rPr>
        <w:lastRenderedPageBreak/>
        <w:t>DOCUMENTOS TIPO DE INFRAESTRUCTURA SOCIAL – Experiencia</w:t>
      </w:r>
    </w:p>
    <w:p w14:paraId="7AD57717" w14:textId="77777777" w:rsidR="00CE2169" w:rsidRPr="00CE2169" w:rsidRDefault="00CE2169" w:rsidP="00CE2169">
      <w:pPr>
        <w:spacing w:after="0" w:line="276" w:lineRule="auto"/>
        <w:jc w:val="both"/>
        <w:rPr>
          <w:rFonts w:ascii="Verdana" w:eastAsia="Aptos" w:hAnsi="Verdana" w:cs="Aptos"/>
          <w:kern w:val="2"/>
          <w:lang w:val="es-ES_tradnl"/>
          <w14:ligatures w14:val="standardContextual"/>
        </w:rPr>
      </w:pPr>
    </w:p>
    <w:p w14:paraId="1F2346F3" w14:textId="77777777" w:rsidR="00F70299" w:rsidRDefault="00F70299" w:rsidP="00F70299">
      <w:pPr>
        <w:spacing w:after="0" w:line="240" w:lineRule="auto"/>
        <w:jc w:val="both"/>
        <w:rPr>
          <w:rFonts w:ascii="Verdana" w:eastAsia="Aptos" w:hAnsi="Verdana" w:cs="Aptos"/>
          <w:kern w:val="2"/>
          <w:sz w:val="20"/>
          <w:szCs w:val="20"/>
          <w:lang w:val="es-ES_tradnl"/>
          <w14:ligatures w14:val="standardContextual"/>
        </w:rPr>
      </w:pPr>
      <w:r w:rsidRPr="00F70299">
        <w:rPr>
          <w:rFonts w:ascii="Verdana" w:eastAsia="Aptos" w:hAnsi="Verdana" w:cs="Aptos"/>
          <w:kern w:val="2"/>
          <w:sz w:val="20"/>
          <w:szCs w:val="20"/>
          <w:lang w:val="es-ES_tradnl"/>
          <w14:ligatures w14:val="standardContextual"/>
        </w:rPr>
        <w:t>La Matriz 1 - Experiencia - Documento tipo de Licitación pública del "</w:t>
      </w:r>
      <w:r w:rsidRPr="00F70299">
        <w:rPr>
          <w:rFonts w:ascii="Verdana" w:eastAsia="Aptos" w:hAnsi="Verdana" w:cs="Aptos"/>
          <w:i/>
          <w:iCs/>
          <w:kern w:val="2"/>
          <w:sz w:val="20"/>
          <w:szCs w:val="20"/>
          <w:lang w:val="es-ES_tradnl"/>
          <w14:ligatures w14:val="standardContextual"/>
        </w:rPr>
        <w:t>Sector Institucional</w:t>
      </w:r>
      <w:r w:rsidRPr="00F70299">
        <w:rPr>
          <w:rFonts w:ascii="Verdana" w:eastAsia="Aptos" w:hAnsi="Verdana" w:cs="Aptos"/>
          <w:kern w:val="2"/>
          <w:sz w:val="20"/>
          <w:szCs w:val="20"/>
          <w:lang w:val="es-ES_tradnl"/>
          <w14:ligatures w14:val="standardContextual"/>
        </w:rPr>
        <w:t xml:space="preserve">" dentro del capítulo </w:t>
      </w:r>
      <w:r w:rsidRPr="00F70299">
        <w:rPr>
          <w:rFonts w:ascii="Verdana" w:eastAsia="Aptos" w:hAnsi="Verdana" w:cs="Aptos"/>
          <w:i/>
          <w:iCs/>
          <w:kern w:val="2"/>
          <w:sz w:val="20"/>
          <w:szCs w:val="20"/>
          <w:lang w:val="es-ES_tradnl"/>
          <w14:ligatures w14:val="standardContextual"/>
        </w:rPr>
        <w:t>2. OBRAS EN PROYECTOS DE INFRAESTRUCTURA INSTITUCIONAL DE SERVICIO PUBLICO</w:t>
      </w:r>
      <w:r w:rsidRPr="00F70299">
        <w:rPr>
          <w:rFonts w:ascii="Verdana" w:eastAsia="Aptos" w:hAnsi="Verdana" w:cs="Aptos"/>
          <w:kern w:val="2"/>
          <w:sz w:val="20"/>
          <w:szCs w:val="20"/>
          <w:lang w:val="es-ES_tradnl"/>
          <w14:ligatures w14:val="standardContextual"/>
        </w:rPr>
        <w:t>, incluye quince (15) actividades, que contienen intervenciones relacionadas con “</w:t>
      </w:r>
      <w:r w:rsidRPr="00F70299">
        <w:rPr>
          <w:rFonts w:ascii="Verdana" w:eastAsia="Aptos" w:hAnsi="Verdana" w:cs="Aptos"/>
          <w:i/>
          <w:iCs/>
          <w:kern w:val="2"/>
          <w:sz w:val="20"/>
          <w:szCs w:val="20"/>
          <w:lang w:val="es-ES_tradnl"/>
          <w14:ligatures w14:val="standardContextual"/>
        </w:rPr>
        <w:t>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w:t>
      </w:r>
      <w:r w:rsidRPr="00F70299">
        <w:rPr>
          <w:rFonts w:ascii="Verdana" w:eastAsia="Aptos" w:hAnsi="Verdana" w:cs="Aptos"/>
          <w:kern w:val="2"/>
          <w:sz w:val="20"/>
          <w:szCs w:val="20"/>
          <w:lang w:val="es-ES_tradnl"/>
          <w14:ligatures w14:val="standardContextual"/>
        </w:rPr>
        <w:t xml:space="preserve"> sobre alguna de las cuales se podría enmarcar el objeto del proceso de selección planteado en la petición.</w:t>
      </w:r>
    </w:p>
    <w:p w14:paraId="7C0E4B91" w14:textId="77777777" w:rsidR="00F70299" w:rsidRPr="00F70299" w:rsidRDefault="00F70299" w:rsidP="00F70299">
      <w:pPr>
        <w:spacing w:after="0" w:line="240" w:lineRule="auto"/>
        <w:jc w:val="both"/>
        <w:rPr>
          <w:rFonts w:ascii="Verdana" w:eastAsia="Aptos" w:hAnsi="Verdana" w:cs="Aptos"/>
          <w:kern w:val="2"/>
          <w:sz w:val="20"/>
          <w:szCs w:val="20"/>
          <w:lang w:val="es-ES_tradnl"/>
          <w14:ligatures w14:val="standardContextual"/>
        </w:rPr>
      </w:pPr>
    </w:p>
    <w:p w14:paraId="59846C8E" w14:textId="1F38D882" w:rsidR="00CE2169" w:rsidRPr="00CE2169" w:rsidRDefault="00F70299" w:rsidP="00F70299">
      <w:pPr>
        <w:spacing w:after="0" w:line="240" w:lineRule="auto"/>
        <w:jc w:val="both"/>
        <w:rPr>
          <w:rFonts w:ascii="Verdana" w:eastAsia="Aptos" w:hAnsi="Verdana" w:cs="Aptos"/>
          <w:kern w:val="2"/>
          <w:sz w:val="20"/>
          <w:szCs w:val="20"/>
          <w:lang w:val="es-ES_tradnl"/>
          <w14:ligatures w14:val="standardContextual"/>
        </w:rPr>
      </w:pPr>
      <w:r w:rsidRPr="00F70299">
        <w:rPr>
          <w:rFonts w:ascii="Verdana" w:eastAsia="Aptos" w:hAnsi="Verdana" w:cs="Aptos"/>
          <w:kern w:val="2"/>
          <w:sz w:val="20"/>
          <w:szCs w:val="20"/>
          <w:lang w:val="es-ES_tradnl"/>
          <w14:ligatures w14:val="standardContextual"/>
        </w:rPr>
        <w:t>Hay que recordar que la aplicación de los documentos tipo está determinada por la “Matriz 1 – Experiencia”, cuando el objeto del proceso de selección se enmarca en alguno de los capítulos y actividades contenidas en dicha matriz.</w:t>
      </w:r>
    </w:p>
    <w:p w14:paraId="48457866" w14:textId="77777777" w:rsidR="00CE2169" w:rsidRPr="00CE2169" w:rsidRDefault="00CE2169" w:rsidP="00CE2169">
      <w:pPr>
        <w:spacing w:after="0" w:line="276" w:lineRule="auto"/>
        <w:jc w:val="both"/>
        <w:rPr>
          <w:rFonts w:ascii="Verdana" w:eastAsia="Calibri" w:hAnsi="Verdana" w:cs="Times New Roman"/>
          <w:kern w:val="2"/>
          <w14:ligatures w14:val="standardContextual"/>
        </w:rPr>
      </w:pPr>
    </w:p>
    <w:p w14:paraId="2C28C1B7" w14:textId="77777777" w:rsidR="00CE2169" w:rsidRPr="00CE2169" w:rsidRDefault="00CE2169" w:rsidP="00CE2169">
      <w:pPr>
        <w:spacing w:after="0" w:line="276" w:lineRule="auto"/>
        <w:jc w:val="both"/>
        <w:rPr>
          <w:rFonts w:ascii="Verdana" w:eastAsia="Calibri" w:hAnsi="Verdana" w:cs="Arial"/>
          <w:b/>
          <w:color w:val="000000"/>
          <w:lang w:val="es-MX"/>
        </w:rPr>
      </w:pPr>
      <w:r w:rsidRPr="00CE2169">
        <w:rPr>
          <w:rFonts w:ascii="Verdana" w:eastAsia="Calibri" w:hAnsi="Verdana" w:cs="Arial"/>
          <w:b/>
          <w:bCs/>
        </w:rPr>
        <w:t xml:space="preserve">DOCUMENTOS TIPO DE INFRAESTRUCTURA SOCIAL – Sector Institucional – Ámbito de aplicación </w:t>
      </w:r>
    </w:p>
    <w:p w14:paraId="329C4919" w14:textId="77777777" w:rsidR="00CE2169" w:rsidRPr="00CE2169" w:rsidRDefault="00CE2169" w:rsidP="00CE2169">
      <w:pPr>
        <w:spacing w:after="0" w:line="240" w:lineRule="auto"/>
        <w:jc w:val="both"/>
        <w:rPr>
          <w:rFonts w:ascii="Verdana" w:eastAsia="Geomanist Light" w:hAnsi="Verdana" w:cs="Arial"/>
        </w:rPr>
      </w:pPr>
    </w:p>
    <w:p w14:paraId="30ACFFBA" w14:textId="4E92AD20" w:rsidR="00CE2169" w:rsidRPr="00F4433B" w:rsidRDefault="00F70299" w:rsidP="00F4433B">
      <w:pPr>
        <w:snapToGrid w:val="0"/>
        <w:spacing w:after="0" w:line="240" w:lineRule="auto"/>
        <w:jc w:val="both"/>
        <w:rPr>
          <w:rFonts w:ascii="Verdana" w:eastAsia="Aptos" w:hAnsi="Verdana" w:cs="Aptos"/>
          <w:kern w:val="2"/>
          <w:sz w:val="20"/>
          <w:szCs w:val="20"/>
          <w:lang w:val="es-ES_tradnl"/>
          <w14:ligatures w14:val="standardContextual"/>
        </w:rPr>
      </w:pPr>
      <w:r w:rsidRPr="00F4433B">
        <w:rPr>
          <w:rFonts w:ascii="Verdana" w:eastAsia="Aptos" w:hAnsi="Verdana" w:cs="Aptos"/>
          <w:kern w:val="2"/>
          <w:sz w:val="20"/>
          <w:szCs w:val="20"/>
          <w:lang w:val="es-ES_tradnl"/>
          <w14:ligatures w14:val="standardContextual"/>
        </w:rPr>
        <w:t>Los documentos tipo adicionales del Sector Institucional, en la modalidad de licitación pública, selección abreviada de menor cuantía y mínima cuantía, en la Matriz 1 – Experiencia, contienen los siguientes tipos de infraestructura: “</w:t>
      </w:r>
      <w:r w:rsidRPr="00F4433B">
        <w:rPr>
          <w:rFonts w:ascii="Verdana" w:eastAsia="Aptos" w:hAnsi="Verdana" w:cs="Aptos"/>
          <w:i/>
          <w:iCs/>
          <w:kern w:val="2"/>
          <w:sz w:val="20"/>
          <w:szCs w:val="20"/>
          <w:lang w:val="es-ES_tradnl"/>
          <w14:ligatures w14:val="standardContextual"/>
        </w:rPr>
        <w:t>1) Obras en proyectos de infraestructura institucional de seguridad pública,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y 5) Obras para atención, prevención o mitigación de emergencias diferentes a contratación directa para el sector institucional</w:t>
      </w:r>
      <w:r w:rsidRPr="00F4433B">
        <w:rPr>
          <w:rFonts w:ascii="Verdana" w:eastAsia="Aptos" w:hAnsi="Verdana" w:cs="Aptos"/>
          <w:kern w:val="2"/>
          <w:sz w:val="20"/>
          <w:szCs w:val="20"/>
          <w:lang w:val="es-ES_tradnl"/>
          <w14:ligatures w14:val="standardContextual"/>
        </w:rPr>
        <w:t xml:space="preserve">”. Particularmente, conforme a lo mencionado en la petición que relaciona el objeto del proceso de selección </w:t>
      </w:r>
      <w:r w:rsidRPr="00F4433B">
        <w:rPr>
          <w:rFonts w:ascii="Verdana" w:eastAsia="Aptos" w:hAnsi="Verdana" w:cs="Aptos"/>
          <w:i/>
          <w:iCs/>
          <w:kern w:val="2"/>
          <w:sz w:val="20"/>
          <w:szCs w:val="20"/>
          <w:lang w:val="es-ES_tradnl"/>
          <w14:ligatures w14:val="standardContextual"/>
        </w:rPr>
        <w:t xml:space="preserve">“Las intervenciones a contratar pueden comprender, según el caso, obras de </w:t>
      </w:r>
      <w:r w:rsidRPr="00F4433B">
        <w:rPr>
          <w:rFonts w:ascii="Verdana" w:eastAsia="Aptos" w:hAnsi="Verdana" w:cs="Aptos"/>
          <w:b/>
          <w:bCs/>
          <w:i/>
          <w:iCs/>
          <w:kern w:val="2"/>
          <w:sz w:val="20"/>
          <w:szCs w:val="20"/>
          <w:lang w:val="es-ES_tradnl"/>
          <w14:ligatures w14:val="standardContextual"/>
        </w:rPr>
        <w:t>adecuación, mejoramiento, mantenimiento o intervención</w:t>
      </w:r>
      <w:r w:rsidRPr="00F4433B">
        <w:rPr>
          <w:rFonts w:ascii="Verdana" w:eastAsia="Aptos" w:hAnsi="Verdana" w:cs="Aptos"/>
          <w:i/>
          <w:iCs/>
          <w:kern w:val="2"/>
          <w:sz w:val="20"/>
          <w:szCs w:val="20"/>
          <w:lang w:val="es-ES_tradnl"/>
          <w14:ligatures w14:val="standardContextual"/>
        </w:rPr>
        <w:t xml:space="preserve"> física de dichas edificaciones”</w:t>
      </w:r>
      <w:r w:rsidRPr="00F4433B">
        <w:rPr>
          <w:rFonts w:ascii="Verdana" w:eastAsia="Aptos" w:hAnsi="Verdana" w:cs="Aptos"/>
          <w:kern w:val="2"/>
          <w:sz w:val="20"/>
          <w:szCs w:val="20"/>
          <w:lang w:val="es-ES_tradnl"/>
          <w14:ligatures w14:val="standardContextual"/>
        </w:rPr>
        <w:t>, es importante advertir que, el Capítulo 2 “O</w:t>
      </w:r>
      <w:r w:rsidRPr="00F4433B">
        <w:rPr>
          <w:rFonts w:ascii="Verdana" w:eastAsia="Aptos" w:hAnsi="Verdana" w:cs="Aptos"/>
          <w:i/>
          <w:iCs/>
          <w:kern w:val="2"/>
          <w:sz w:val="20"/>
          <w:szCs w:val="20"/>
          <w:lang w:val="es-ES_tradnl"/>
          <w14:ligatures w14:val="standardContextual"/>
        </w:rPr>
        <w:t xml:space="preserve">bras en proyectos de infraestructura institucional de servicio </w:t>
      </w:r>
      <w:r w:rsidRPr="00F4433B">
        <w:rPr>
          <w:rFonts w:ascii="Verdana" w:eastAsia="Aptos" w:hAnsi="Verdana" w:cs="Aptos"/>
          <w:kern w:val="2"/>
          <w:sz w:val="20"/>
          <w:szCs w:val="20"/>
          <w:lang w:val="es-ES_tradnl"/>
          <w14:ligatures w14:val="standardContextual"/>
        </w:rPr>
        <w:t>público” de la Matriz 1, incluye la siguiente actividad en la cual podría enmarcarse el proyecto por el que se indaga:</w:t>
      </w:r>
      <w:r w:rsidR="00CE2169" w:rsidRPr="00F4433B">
        <w:rPr>
          <w:rFonts w:ascii="Verdana" w:eastAsia="Aptos" w:hAnsi="Verdana" w:cs="Aptos"/>
          <w:kern w:val="2"/>
          <w:sz w:val="20"/>
          <w:szCs w:val="20"/>
          <w:lang w:val="es-ES_tradnl"/>
          <w14:ligatures w14:val="standardContextual"/>
        </w:rPr>
        <w:t xml:space="preserve"> […]</w:t>
      </w:r>
    </w:p>
    <w:p w14:paraId="77DB4C85" w14:textId="77777777" w:rsidR="00CE2169" w:rsidRPr="00F4433B" w:rsidRDefault="00CE2169" w:rsidP="00F4433B">
      <w:pPr>
        <w:snapToGrid w:val="0"/>
        <w:spacing w:after="0" w:line="240" w:lineRule="auto"/>
        <w:ind w:left="709" w:right="709"/>
        <w:jc w:val="both"/>
        <w:rPr>
          <w:rFonts w:ascii="Verdana" w:eastAsia="Aptos" w:hAnsi="Verdana" w:cs="Aptos"/>
          <w:kern w:val="2"/>
          <w:sz w:val="20"/>
          <w:szCs w:val="20"/>
          <w:lang w:val="es-ES_tradnl"/>
          <w14:ligatures w14:val="standardContextual"/>
        </w:rPr>
      </w:pPr>
    </w:p>
    <w:p w14:paraId="4F00FDF2" w14:textId="77777777" w:rsidR="00F4433B" w:rsidRDefault="00F4433B" w:rsidP="00F4433B">
      <w:pPr>
        <w:snapToGrid w:val="0"/>
        <w:spacing w:after="0" w:line="240" w:lineRule="auto"/>
        <w:jc w:val="both"/>
        <w:rPr>
          <w:rFonts w:ascii="Verdana" w:eastAsia="Aptos" w:hAnsi="Verdana" w:cs="Aptos"/>
          <w:kern w:val="2"/>
          <w:sz w:val="20"/>
          <w:szCs w:val="20"/>
          <w:lang w:val="es-ES_tradnl"/>
          <w14:ligatures w14:val="standardContextual"/>
        </w:rPr>
      </w:pPr>
      <w:r w:rsidRPr="00F4433B">
        <w:rPr>
          <w:rFonts w:ascii="Verdana" w:eastAsia="Aptos" w:hAnsi="Verdana" w:cs="Aptos"/>
          <w:kern w:val="2"/>
          <w:sz w:val="20"/>
          <w:szCs w:val="20"/>
          <w:lang w:val="es-ES_tradnl"/>
          <w14:ligatures w14:val="standardContextual"/>
        </w:rPr>
        <w:t>De otro lado, hay que mencionar que la actividad señalada, contenida en la Matriz 1 – Experiencia de los documentos tipo del Sector Institucional, de manera general corresponde a proyectos de “</w:t>
      </w:r>
      <w:r w:rsidRPr="00F4433B">
        <w:rPr>
          <w:rFonts w:ascii="Verdana" w:eastAsia="Aptos" w:hAnsi="Verdana" w:cs="Aptos"/>
          <w:i/>
          <w:iCs/>
          <w:kern w:val="2"/>
          <w:sz w:val="20"/>
          <w:szCs w:val="20"/>
          <w:lang w:val="es-ES_tradnl"/>
          <w14:ligatures w14:val="standardContextual"/>
        </w:rPr>
        <w:t>adecuación o mejoramiento o mantenimiento</w:t>
      </w:r>
      <w:r w:rsidRPr="00F4433B">
        <w:rPr>
          <w:rFonts w:ascii="Verdana" w:eastAsia="Aptos" w:hAnsi="Verdana" w:cs="Aptos"/>
          <w:kern w:val="2"/>
          <w:sz w:val="20"/>
          <w:szCs w:val="20"/>
          <w:lang w:val="es-ES_tradnl"/>
          <w14:ligatures w14:val="standardContextual"/>
        </w:rPr>
        <w:t>” y otras intervenciones que allí se indican, relacionadas con “Infraestructura de Servicio Público”, situación que es importante para precisar el ámbito de aplicación de los Documentos Tipo de este sector adoptados en de las Resoluciones 539, 540 y 541 de 2025.</w:t>
      </w:r>
    </w:p>
    <w:p w14:paraId="43B7DD78" w14:textId="77777777" w:rsidR="00F4433B" w:rsidRPr="00F4433B" w:rsidRDefault="00F4433B" w:rsidP="00F4433B">
      <w:pPr>
        <w:snapToGrid w:val="0"/>
        <w:spacing w:after="0" w:line="240" w:lineRule="auto"/>
        <w:jc w:val="both"/>
        <w:rPr>
          <w:rFonts w:ascii="Verdana" w:eastAsia="Aptos" w:hAnsi="Verdana" w:cs="Aptos"/>
          <w:kern w:val="2"/>
          <w:sz w:val="20"/>
          <w:szCs w:val="20"/>
          <w:lang w:val="es-ES_tradnl"/>
          <w14:ligatures w14:val="standardContextual"/>
        </w:rPr>
      </w:pPr>
    </w:p>
    <w:p w14:paraId="741B0FF7" w14:textId="77777777" w:rsidR="00F4433B" w:rsidRDefault="00F4433B" w:rsidP="00F4433B">
      <w:pPr>
        <w:snapToGrid w:val="0"/>
        <w:spacing w:after="0" w:line="240" w:lineRule="auto"/>
        <w:jc w:val="both"/>
        <w:rPr>
          <w:rFonts w:ascii="Verdana" w:eastAsia="Aptos" w:hAnsi="Verdana" w:cs="Aptos"/>
          <w:kern w:val="2"/>
          <w:sz w:val="20"/>
          <w:szCs w:val="20"/>
          <w:lang w:val="es-ES_tradnl"/>
          <w14:ligatures w14:val="standardContextual"/>
        </w:rPr>
      </w:pPr>
      <w:r w:rsidRPr="00F4433B">
        <w:rPr>
          <w:rFonts w:ascii="Verdana" w:eastAsia="Aptos" w:hAnsi="Verdana" w:cs="Aptos"/>
          <w:kern w:val="2"/>
          <w:sz w:val="20"/>
          <w:szCs w:val="20"/>
          <w:lang w:val="es-ES_tradnl"/>
          <w14:ligatures w14:val="standardContextual"/>
        </w:rPr>
        <w:t xml:space="preserve">Los documentos tipo adoptados por la Agencia Nacional de Contratación Pública – Colombia Compra Eficiente en el sector de infraestructura social, aplican para los </w:t>
      </w:r>
      <w:r w:rsidRPr="00F4433B">
        <w:rPr>
          <w:rFonts w:ascii="Verdana" w:eastAsia="Aptos" w:hAnsi="Verdana" w:cs="Aptos"/>
          <w:kern w:val="2"/>
          <w:sz w:val="20"/>
          <w:szCs w:val="20"/>
          <w:lang w:val="es-ES_tradnl"/>
          <w14:ligatures w14:val="standardContextual"/>
        </w:rPr>
        <w:lastRenderedPageBreak/>
        <w:t>procesos de “obra pública” en las modalidades de selección acogidas: licitación pública, selección abreviada de menor cuantía y mínima cuantía.</w:t>
      </w:r>
    </w:p>
    <w:p w14:paraId="57C75F39" w14:textId="77777777" w:rsidR="00F4433B" w:rsidRPr="00F4433B" w:rsidRDefault="00F4433B" w:rsidP="00F4433B">
      <w:pPr>
        <w:snapToGrid w:val="0"/>
        <w:spacing w:after="0" w:line="240" w:lineRule="auto"/>
        <w:jc w:val="both"/>
        <w:rPr>
          <w:rFonts w:ascii="Verdana" w:eastAsia="Aptos" w:hAnsi="Verdana" w:cs="Aptos"/>
          <w:kern w:val="2"/>
          <w:sz w:val="20"/>
          <w:szCs w:val="20"/>
          <w:lang w:val="es-ES_tradnl"/>
          <w14:ligatures w14:val="standardContextual"/>
        </w:rPr>
      </w:pPr>
    </w:p>
    <w:p w14:paraId="4D407BE1" w14:textId="77777777" w:rsidR="00F4433B" w:rsidRDefault="00F4433B" w:rsidP="00F4433B">
      <w:pPr>
        <w:snapToGrid w:val="0"/>
        <w:spacing w:after="0" w:line="240" w:lineRule="auto"/>
        <w:jc w:val="both"/>
        <w:rPr>
          <w:rFonts w:ascii="Verdana" w:eastAsia="Aptos" w:hAnsi="Verdana" w:cs="Aptos"/>
          <w:i/>
          <w:iCs/>
          <w:kern w:val="2"/>
          <w:sz w:val="20"/>
          <w:szCs w:val="20"/>
          <w:lang w:val="es-ES_tradnl"/>
          <w14:ligatures w14:val="standardContextual"/>
        </w:rPr>
      </w:pPr>
      <w:r w:rsidRPr="00F4433B">
        <w:rPr>
          <w:rFonts w:ascii="Verdana" w:eastAsia="Aptos" w:hAnsi="Verdana" w:cs="Aptos"/>
          <w:kern w:val="2"/>
          <w:sz w:val="20"/>
          <w:szCs w:val="20"/>
          <w:lang w:val="es-ES_tradnl"/>
          <w14:ligatures w14:val="standardContextual"/>
        </w:rPr>
        <w:t xml:space="preserve">La Matriz 1 – Experiencia del Sector Institucional en las distintas modalidades de los Documentos Tipo adoptados por esta Agencia incluye una nota que indica que </w:t>
      </w:r>
      <w:r w:rsidRPr="00F4433B">
        <w:rPr>
          <w:rFonts w:ascii="Verdana" w:eastAsia="Aptos" w:hAnsi="Verdana" w:cs="Aptos"/>
          <w:i/>
          <w:iCs/>
          <w:kern w:val="2"/>
          <w:sz w:val="20"/>
          <w:szCs w:val="20"/>
          <w:lang w:val="es-ES_tradnl"/>
          <w14:ligatures w14:val="standardContextual"/>
        </w:rPr>
        <w:t>“(l)as definiciones contenidas en esta Matriz deben enmarcarse en la normativa vigente en la materia, así como en la NSR 10 o aquellas que los modifiquen, adicionen o sustituyan, así como a las definiciones contenidas en el "Anexo - Glosario del Sector Social"”.</w:t>
      </w:r>
    </w:p>
    <w:p w14:paraId="20C1459D" w14:textId="77777777" w:rsidR="00F4433B" w:rsidRPr="00F4433B" w:rsidRDefault="00F4433B" w:rsidP="00F4433B">
      <w:pPr>
        <w:snapToGrid w:val="0"/>
        <w:spacing w:after="0" w:line="240" w:lineRule="auto"/>
        <w:jc w:val="both"/>
        <w:rPr>
          <w:rFonts w:ascii="Verdana" w:eastAsia="Aptos" w:hAnsi="Verdana" w:cs="Aptos"/>
          <w:i/>
          <w:iCs/>
          <w:kern w:val="2"/>
          <w:sz w:val="20"/>
          <w:szCs w:val="20"/>
          <w:lang w:val="es-ES_tradnl"/>
          <w14:ligatures w14:val="standardContextual"/>
        </w:rPr>
      </w:pPr>
    </w:p>
    <w:p w14:paraId="3DDD3809" w14:textId="77777777" w:rsidR="00F4433B" w:rsidRPr="00F4433B" w:rsidRDefault="00F4433B" w:rsidP="00F4433B">
      <w:pPr>
        <w:snapToGrid w:val="0"/>
        <w:spacing w:after="0" w:line="240" w:lineRule="auto"/>
        <w:jc w:val="both"/>
        <w:rPr>
          <w:rFonts w:ascii="Verdana" w:eastAsia="Aptos" w:hAnsi="Verdana" w:cs="Aptos"/>
          <w:kern w:val="2"/>
          <w:sz w:val="20"/>
          <w:szCs w:val="20"/>
          <w:lang w:val="es-ES_tradnl"/>
          <w14:ligatures w14:val="standardContextual"/>
        </w:rPr>
      </w:pPr>
      <w:r w:rsidRPr="00F4433B">
        <w:rPr>
          <w:rFonts w:ascii="Verdana" w:eastAsia="Aptos" w:hAnsi="Verdana" w:cs="Aptos"/>
          <w:kern w:val="2"/>
          <w:sz w:val="20"/>
          <w:szCs w:val="20"/>
          <w:lang w:val="es-ES_tradnl"/>
          <w14:ligatures w14:val="standardContextual"/>
        </w:rPr>
        <w:t xml:space="preserve">Esta nota es congruente con el numeral 1.10 del documento base que dispone </w:t>
      </w:r>
      <w:r w:rsidRPr="00F4433B">
        <w:rPr>
          <w:rFonts w:ascii="Verdana" w:eastAsia="Aptos" w:hAnsi="Verdana" w:cs="Aptos"/>
          <w:i/>
          <w:iCs/>
          <w:kern w:val="2"/>
          <w:sz w:val="20"/>
          <w:szCs w:val="20"/>
          <w:lang w:val="es-ES_tradnl"/>
          <w14:ligatures w14:val="standardContextual"/>
        </w:rPr>
        <w:t>que “[p]ara los fines de este Pliego de Condiciones, a menos que expresamente se estipule de otra manera, los términos deben entenderse de acuerdo con la definición contenida en el artículo 2.2.1.1.1.3.1 del Decreto 1082 de 2015, la Ley 1682 de 2013 o la norma que la modifique, complemente o sustituya y el Anexo 5 – Glosario”.</w:t>
      </w:r>
    </w:p>
    <w:p w14:paraId="05B78D81" w14:textId="77777777" w:rsidR="00CE2169" w:rsidRPr="00CE2169" w:rsidRDefault="00CE2169" w:rsidP="00CE2169">
      <w:pPr>
        <w:spacing w:after="0" w:line="240" w:lineRule="auto"/>
        <w:jc w:val="both"/>
        <w:rPr>
          <w:rFonts w:ascii="Verdana" w:eastAsia="Geomanist Light" w:hAnsi="Verdana" w:cs="Arial"/>
          <w:sz w:val="20"/>
          <w:szCs w:val="20"/>
        </w:rPr>
      </w:pPr>
    </w:p>
    <w:p w14:paraId="6DBC3AE5" w14:textId="77777777" w:rsidR="00CE2169" w:rsidRPr="00CE2169" w:rsidRDefault="00CE2169" w:rsidP="00CE2169">
      <w:pPr>
        <w:spacing w:after="0" w:line="240" w:lineRule="auto"/>
        <w:jc w:val="both"/>
        <w:rPr>
          <w:rFonts w:ascii="Verdana" w:eastAsia="Geomanist Light" w:hAnsi="Verdana" w:cs="Arial"/>
        </w:rPr>
      </w:pPr>
    </w:p>
    <w:p w14:paraId="692C4366" w14:textId="77777777" w:rsidR="00CE2169" w:rsidRPr="00CE2169" w:rsidRDefault="00CE2169" w:rsidP="00CE2169">
      <w:pPr>
        <w:spacing w:after="0" w:line="240" w:lineRule="auto"/>
        <w:rPr>
          <w:rFonts w:ascii="Verdana" w:eastAsia="Geomanist Light" w:hAnsi="Verdana" w:cs="Arial"/>
        </w:rPr>
      </w:pPr>
    </w:p>
    <w:p w14:paraId="62228295" w14:textId="77777777" w:rsidR="00CE2169" w:rsidRPr="00CE2169" w:rsidRDefault="00CE2169" w:rsidP="00CE2169">
      <w:pPr>
        <w:spacing w:after="0" w:line="240" w:lineRule="auto"/>
        <w:rPr>
          <w:rFonts w:ascii="Verdana" w:eastAsia="Geomanist Light" w:hAnsi="Verdana" w:cs="Arial"/>
        </w:rPr>
      </w:pPr>
    </w:p>
    <w:p w14:paraId="60F888DC" w14:textId="77777777" w:rsidR="00CE2169" w:rsidRPr="00CE2169" w:rsidRDefault="00CE2169" w:rsidP="00CE2169">
      <w:pPr>
        <w:spacing w:after="0" w:line="240" w:lineRule="auto"/>
        <w:rPr>
          <w:rFonts w:ascii="Verdana" w:eastAsia="Geomanist Light" w:hAnsi="Verdana" w:cs="Arial"/>
        </w:rPr>
      </w:pPr>
    </w:p>
    <w:p w14:paraId="39A74DFE" w14:textId="77777777" w:rsidR="00CE2169" w:rsidRPr="00CE2169" w:rsidRDefault="00CE2169" w:rsidP="00CE2169">
      <w:pPr>
        <w:spacing w:after="0" w:line="240" w:lineRule="auto"/>
        <w:rPr>
          <w:rFonts w:ascii="Verdana" w:eastAsia="Geomanist Light" w:hAnsi="Verdana" w:cs="Arial"/>
        </w:rPr>
      </w:pPr>
    </w:p>
    <w:p w14:paraId="6267DC98" w14:textId="77777777" w:rsidR="00CE2169" w:rsidRPr="00CE2169" w:rsidRDefault="00CE2169" w:rsidP="00CE2169">
      <w:pPr>
        <w:spacing w:after="0" w:line="240" w:lineRule="auto"/>
        <w:rPr>
          <w:rFonts w:ascii="Verdana" w:eastAsia="Geomanist Light" w:hAnsi="Verdana" w:cs="Arial"/>
        </w:rPr>
      </w:pPr>
    </w:p>
    <w:p w14:paraId="45868C75" w14:textId="77777777" w:rsidR="00CE2169" w:rsidRPr="00CE2169" w:rsidRDefault="00CE2169" w:rsidP="00CE2169">
      <w:pPr>
        <w:spacing w:after="0" w:line="240" w:lineRule="auto"/>
        <w:rPr>
          <w:rFonts w:ascii="Verdana" w:eastAsia="Geomanist Light" w:hAnsi="Verdana" w:cs="Arial"/>
        </w:rPr>
      </w:pPr>
    </w:p>
    <w:p w14:paraId="55C74B28" w14:textId="77777777" w:rsidR="00CE2169" w:rsidRPr="00CE2169" w:rsidRDefault="00CE2169" w:rsidP="00CE2169">
      <w:pPr>
        <w:spacing w:after="0" w:line="240" w:lineRule="auto"/>
        <w:rPr>
          <w:rFonts w:ascii="Verdana" w:eastAsia="Geomanist Light" w:hAnsi="Verdana" w:cs="Arial"/>
        </w:rPr>
      </w:pPr>
    </w:p>
    <w:p w14:paraId="599B1186" w14:textId="77777777" w:rsidR="00CE2169" w:rsidRPr="00CE2169" w:rsidRDefault="00CE2169" w:rsidP="00CE2169">
      <w:pPr>
        <w:spacing w:after="0" w:line="240" w:lineRule="auto"/>
        <w:rPr>
          <w:rFonts w:ascii="Verdana" w:eastAsia="Geomanist Light" w:hAnsi="Verdana" w:cs="Arial"/>
        </w:rPr>
      </w:pPr>
    </w:p>
    <w:p w14:paraId="2CFC3346" w14:textId="77777777" w:rsidR="00CE2169" w:rsidRPr="00CE2169" w:rsidRDefault="00CE2169" w:rsidP="00CE2169">
      <w:pPr>
        <w:spacing w:after="0" w:line="240" w:lineRule="auto"/>
        <w:rPr>
          <w:rFonts w:ascii="Verdana" w:eastAsia="Geomanist Light" w:hAnsi="Verdana" w:cs="Arial"/>
        </w:rPr>
      </w:pPr>
    </w:p>
    <w:p w14:paraId="6247C5FD" w14:textId="77777777" w:rsidR="00CE2169" w:rsidRPr="00CE2169" w:rsidRDefault="00CE2169" w:rsidP="00CE2169">
      <w:pPr>
        <w:spacing w:after="0" w:line="240" w:lineRule="auto"/>
        <w:rPr>
          <w:rFonts w:ascii="Verdana" w:eastAsia="Geomanist Light" w:hAnsi="Verdana" w:cs="Arial"/>
        </w:rPr>
      </w:pPr>
    </w:p>
    <w:p w14:paraId="768378A3" w14:textId="77777777" w:rsidR="00CE2169" w:rsidRPr="00CE2169" w:rsidRDefault="00CE2169" w:rsidP="00CE2169">
      <w:pPr>
        <w:spacing w:after="0" w:line="240" w:lineRule="auto"/>
        <w:rPr>
          <w:rFonts w:ascii="Verdana" w:eastAsia="Geomanist Light" w:hAnsi="Verdana" w:cs="Arial"/>
        </w:rPr>
      </w:pPr>
    </w:p>
    <w:p w14:paraId="2CB7FD7A" w14:textId="77777777" w:rsidR="00CE2169" w:rsidRPr="00CE2169" w:rsidRDefault="00CE2169" w:rsidP="00CE2169">
      <w:pPr>
        <w:spacing w:after="0" w:line="240" w:lineRule="auto"/>
        <w:rPr>
          <w:rFonts w:ascii="Verdana" w:eastAsia="Geomanist Light" w:hAnsi="Verdana" w:cs="Arial"/>
        </w:rPr>
      </w:pPr>
    </w:p>
    <w:p w14:paraId="2983F954" w14:textId="77777777" w:rsidR="00CE2169" w:rsidRPr="00CE2169" w:rsidRDefault="00CE2169" w:rsidP="00CE2169">
      <w:pPr>
        <w:spacing w:after="0" w:line="240" w:lineRule="auto"/>
        <w:rPr>
          <w:rFonts w:ascii="Verdana" w:eastAsia="Geomanist Light" w:hAnsi="Verdana" w:cs="Arial"/>
        </w:rPr>
      </w:pPr>
    </w:p>
    <w:p w14:paraId="4700D459" w14:textId="77777777" w:rsidR="00CE2169" w:rsidRPr="00CE2169" w:rsidRDefault="00CE2169" w:rsidP="00CE2169">
      <w:pPr>
        <w:spacing w:after="0" w:line="240" w:lineRule="auto"/>
        <w:rPr>
          <w:rFonts w:ascii="Verdana" w:eastAsia="Geomanist Light" w:hAnsi="Verdana" w:cs="Arial"/>
        </w:rPr>
      </w:pPr>
    </w:p>
    <w:p w14:paraId="05DF2317" w14:textId="77777777" w:rsidR="00CE2169" w:rsidRPr="00CE2169" w:rsidRDefault="00CE2169" w:rsidP="00CE2169">
      <w:pPr>
        <w:spacing w:after="0" w:line="240" w:lineRule="auto"/>
        <w:rPr>
          <w:rFonts w:ascii="Verdana" w:eastAsia="Geomanist Light" w:hAnsi="Verdana" w:cs="Arial"/>
        </w:rPr>
      </w:pPr>
    </w:p>
    <w:p w14:paraId="5C51EB24" w14:textId="77777777" w:rsidR="00CE2169" w:rsidRPr="00CE2169" w:rsidRDefault="00CE2169" w:rsidP="00CE2169">
      <w:pPr>
        <w:spacing w:after="0" w:line="240" w:lineRule="auto"/>
        <w:rPr>
          <w:rFonts w:ascii="Verdana" w:eastAsia="Geomanist Light" w:hAnsi="Verdana" w:cs="Arial"/>
        </w:rPr>
      </w:pPr>
    </w:p>
    <w:p w14:paraId="4DB6B059" w14:textId="77777777" w:rsidR="00CE2169" w:rsidRPr="00CE2169" w:rsidRDefault="00CE2169" w:rsidP="00CE2169">
      <w:pPr>
        <w:spacing w:after="0" w:line="240" w:lineRule="auto"/>
        <w:rPr>
          <w:rFonts w:ascii="Verdana" w:eastAsia="Geomanist Light" w:hAnsi="Verdana" w:cs="Arial"/>
        </w:rPr>
      </w:pPr>
    </w:p>
    <w:p w14:paraId="7498323A" w14:textId="77777777" w:rsidR="00CE2169" w:rsidRPr="00CE2169" w:rsidRDefault="00CE2169" w:rsidP="00CE2169">
      <w:pPr>
        <w:spacing w:after="0" w:line="240" w:lineRule="auto"/>
        <w:rPr>
          <w:rFonts w:ascii="Verdana" w:eastAsia="Geomanist Light" w:hAnsi="Verdana" w:cs="Arial"/>
        </w:rPr>
      </w:pPr>
    </w:p>
    <w:p w14:paraId="0DCBCA7E" w14:textId="77777777" w:rsidR="00CE2169" w:rsidRPr="00CE2169" w:rsidRDefault="00CE2169" w:rsidP="00CE2169">
      <w:pPr>
        <w:spacing w:after="0" w:line="240" w:lineRule="auto"/>
        <w:rPr>
          <w:rFonts w:ascii="Verdana" w:eastAsia="Geomanist Light" w:hAnsi="Verdana" w:cs="Arial"/>
        </w:rPr>
      </w:pPr>
    </w:p>
    <w:p w14:paraId="5E23FB25" w14:textId="77777777" w:rsidR="00CE2169" w:rsidRPr="00CE2169" w:rsidRDefault="00CE2169" w:rsidP="00CE2169">
      <w:pPr>
        <w:spacing w:after="0" w:line="240" w:lineRule="auto"/>
        <w:rPr>
          <w:rFonts w:ascii="Verdana" w:eastAsia="Geomanist Light" w:hAnsi="Verdana" w:cs="Arial"/>
        </w:rPr>
      </w:pPr>
    </w:p>
    <w:p w14:paraId="25669D33" w14:textId="77777777" w:rsidR="00CE2169" w:rsidRPr="00CE2169" w:rsidRDefault="00CE2169" w:rsidP="00CE2169">
      <w:pPr>
        <w:spacing w:after="0" w:line="240" w:lineRule="auto"/>
        <w:rPr>
          <w:rFonts w:ascii="Verdana" w:eastAsia="Geomanist Light" w:hAnsi="Verdana" w:cs="Arial"/>
        </w:rPr>
      </w:pPr>
    </w:p>
    <w:p w14:paraId="6CA97070" w14:textId="77777777" w:rsidR="00CE2169" w:rsidRPr="00CE2169" w:rsidRDefault="00CE2169" w:rsidP="00CE2169">
      <w:pPr>
        <w:spacing w:after="0" w:line="240" w:lineRule="auto"/>
        <w:rPr>
          <w:rFonts w:ascii="Verdana" w:eastAsia="Geomanist Light" w:hAnsi="Verdana" w:cs="Arial"/>
        </w:rPr>
      </w:pPr>
    </w:p>
    <w:p w14:paraId="3B4B5A65" w14:textId="77777777" w:rsidR="00CE2169" w:rsidRPr="00CE2169" w:rsidRDefault="00CE2169" w:rsidP="00CE2169">
      <w:pPr>
        <w:spacing w:after="0" w:line="240" w:lineRule="auto"/>
        <w:rPr>
          <w:rFonts w:ascii="Verdana" w:eastAsia="Geomanist Light" w:hAnsi="Verdana" w:cs="Arial"/>
        </w:rPr>
      </w:pPr>
    </w:p>
    <w:p w14:paraId="54D7A922" w14:textId="77777777" w:rsidR="00CE2169" w:rsidRPr="00CE2169" w:rsidRDefault="00CE2169" w:rsidP="00CE2169">
      <w:pPr>
        <w:spacing w:after="0" w:line="240" w:lineRule="auto"/>
        <w:rPr>
          <w:rFonts w:ascii="Verdana" w:eastAsia="Geomanist Light" w:hAnsi="Verdana" w:cs="Arial"/>
        </w:rPr>
      </w:pPr>
    </w:p>
    <w:p w14:paraId="70807263" w14:textId="77777777" w:rsidR="00CE2169" w:rsidRPr="00CE2169" w:rsidRDefault="00CE2169" w:rsidP="00CE2169">
      <w:pPr>
        <w:spacing w:after="0" w:line="240" w:lineRule="auto"/>
        <w:rPr>
          <w:rFonts w:ascii="Verdana" w:eastAsia="Geomanist Light" w:hAnsi="Verdana" w:cs="Arial"/>
        </w:rPr>
      </w:pPr>
    </w:p>
    <w:p w14:paraId="01239D1A" w14:textId="77777777" w:rsidR="00CE2169" w:rsidRDefault="00CE2169" w:rsidP="00CE2169">
      <w:pPr>
        <w:spacing w:after="0" w:line="240" w:lineRule="auto"/>
        <w:rPr>
          <w:rFonts w:ascii="Verdana" w:eastAsia="Geomanist Light" w:hAnsi="Verdana" w:cs="Arial"/>
        </w:rPr>
      </w:pPr>
    </w:p>
    <w:p w14:paraId="11196A28" w14:textId="77777777" w:rsidR="00F4433B" w:rsidRPr="00CE2169" w:rsidRDefault="00F4433B" w:rsidP="00CE2169">
      <w:pPr>
        <w:spacing w:after="0" w:line="240" w:lineRule="auto"/>
        <w:rPr>
          <w:rFonts w:ascii="Verdana" w:eastAsia="Geomanist Light" w:hAnsi="Verdana" w:cs="Arial"/>
        </w:rPr>
      </w:pPr>
    </w:p>
    <w:p w14:paraId="030C63FD" w14:textId="39FEF96D" w:rsidR="00CE2169" w:rsidRPr="00CE2169" w:rsidRDefault="009512E4" w:rsidP="00CE2169">
      <w:pPr>
        <w:tabs>
          <w:tab w:val="left" w:pos="570"/>
        </w:tabs>
        <w:spacing w:after="0" w:line="240" w:lineRule="auto"/>
        <w:rPr>
          <w:rFonts w:ascii="Verdana" w:eastAsia="Calibri" w:hAnsi="Verdana" w:cs="Arial"/>
          <w:lang w:eastAsia="es-ES"/>
        </w:rPr>
      </w:pPr>
      <w:r w:rsidRPr="30821638">
        <w:rPr>
          <w:rFonts w:ascii="Verdana" w:eastAsia="Verdana" w:hAnsi="Verdana" w:cs="Verdana"/>
        </w:rPr>
        <w:lastRenderedPageBreak/>
        <w:t>Bogotá D.C.,</w:t>
      </w:r>
      <w:r w:rsidR="00CE2169" w:rsidRPr="00CE2169">
        <w:rPr>
          <w:rFonts w:ascii="Verdana" w:eastAsia="Calibri" w:hAnsi="Verdana" w:cs="Arial"/>
          <w:lang w:eastAsia="es-ES"/>
        </w:rPr>
        <w:tab/>
      </w:r>
      <w:r w:rsidR="00471D30">
        <w:rPr>
          <w:rFonts w:ascii="Verdana" w:eastAsia="Calibri" w:hAnsi="Verdana" w:cs="Arial"/>
          <w:lang w:eastAsia="es-ES"/>
        </w:rPr>
        <w:t xml:space="preserve"> 22 Mayo 2026</w:t>
      </w:r>
    </w:p>
    <w:p w14:paraId="00CDF5CF" w14:textId="761A3797" w:rsidR="009512E4" w:rsidRPr="00CE2169" w:rsidRDefault="00471D30" w:rsidP="00471D30">
      <w:pPr>
        <w:tabs>
          <w:tab w:val="left" w:pos="570"/>
        </w:tabs>
        <w:spacing w:after="0" w:line="240" w:lineRule="auto"/>
        <w:jc w:val="right"/>
        <w:rPr>
          <w:rFonts w:ascii="Verdana" w:eastAsia="Calibri" w:hAnsi="Verdana" w:cs="Arial"/>
          <w:lang w:eastAsia="es-ES"/>
        </w:rPr>
      </w:pPr>
      <w:r>
        <w:rPr>
          <w:rFonts w:ascii="Verdana" w:eastAsia="Calibri" w:hAnsi="Verdana" w:cs="Arial"/>
          <w:noProof/>
          <w:lang w:eastAsia="es-ES"/>
        </w:rPr>
        <w:drawing>
          <wp:inline distT="0" distB="0" distL="0" distR="0" wp14:anchorId="66D381AE" wp14:editId="5BEC7FF6">
            <wp:extent cx="2282355" cy="668822"/>
            <wp:effectExtent l="0" t="0" r="3810" b="4445"/>
            <wp:docPr id="5891296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129620" name="Imagen 589129620"/>
                    <pic:cNvPicPr/>
                  </pic:nvPicPr>
                  <pic:blipFill>
                    <a:blip r:embed="rId10">
                      <a:extLst>
                        <a:ext uri="{28A0092B-C50C-407E-A947-70E740481C1C}">
                          <a14:useLocalDpi xmlns:a14="http://schemas.microsoft.com/office/drawing/2010/main" val="0"/>
                        </a:ext>
                      </a:extLst>
                    </a:blip>
                    <a:stretch>
                      <a:fillRect/>
                    </a:stretch>
                  </pic:blipFill>
                  <pic:spPr>
                    <a:xfrm>
                      <a:off x="0" y="0"/>
                      <a:ext cx="2289608" cy="670948"/>
                    </a:xfrm>
                    <a:prstGeom prst="rect">
                      <a:avLst/>
                    </a:prstGeom>
                  </pic:spPr>
                </pic:pic>
              </a:graphicData>
            </a:graphic>
          </wp:inline>
        </w:drawing>
      </w:r>
    </w:p>
    <w:p w14:paraId="65727916" w14:textId="77777777" w:rsidR="00CE2169" w:rsidRPr="00CE2169" w:rsidRDefault="00CE2169" w:rsidP="00CE2169">
      <w:pPr>
        <w:spacing w:after="0" w:line="240" w:lineRule="auto"/>
        <w:rPr>
          <w:rFonts w:ascii="Verdana" w:eastAsia="Calibri" w:hAnsi="Verdana" w:cs="Arial"/>
          <w:lang w:eastAsia="es-ES"/>
        </w:rPr>
      </w:pPr>
      <w:r w:rsidRPr="00CE2169">
        <w:rPr>
          <w:rFonts w:ascii="Verdana" w:eastAsia="Calibri" w:hAnsi="Verdana" w:cs="Arial"/>
          <w:lang w:eastAsia="es-ES"/>
        </w:rPr>
        <w:t>Señor</w:t>
      </w:r>
    </w:p>
    <w:p w14:paraId="739C37FA" w14:textId="77777777" w:rsidR="00CE2169" w:rsidRPr="00CE2169" w:rsidRDefault="00CE2169" w:rsidP="00CE2169">
      <w:pPr>
        <w:spacing w:after="0" w:line="240" w:lineRule="auto"/>
        <w:rPr>
          <w:rFonts w:ascii="Verdana" w:eastAsia="Calibri" w:hAnsi="Verdana" w:cs="Arial"/>
          <w:b/>
          <w:bCs/>
          <w:lang w:eastAsia="es-ES"/>
        </w:rPr>
      </w:pPr>
      <w:r w:rsidRPr="00CE2169">
        <w:rPr>
          <w:rFonts w:ascii="Verdana" w:eastAsia="Calibri" w:hAnsi="Verdana" w:cs="Arial"/>
          <w:b/>
          <w:bCs/>
          <w:lang w:eastAsia="es-ES"/>
        </w:rPr>
        <w:t>Diego José Mendoza Santacruz</w:t>
      </w:r>
    </w:p>
    <w:p w14:paraId="4B1C5CBE" w14:textId="77777777" w:rsidR="00CE2169" w:rsidRPr="00CE2169" w:rsidRDefault="00CE2169" w:rsidP="00CE2169">
      <w:pPr>
        <w:spacing w:after="0" w:line="240" w:lineRule="auto"/>
        <w:rPr>
          <w:rFonts w:ascii="Verdana" w:eastAsia="Calibri" w:hAnsi="Verdana" w:cs="Arial"/>
          <w:lang w:eastAsia="es-ES"/>
        </w:rPr>
      </w:pPr>
      <w:r w:rsidRPr="00CE2169">
        <w:rPr>
          <w:rFonts w:ascii="Verdana" w:eastAsia="Calibri" w:hAnsi="Verdana" w:cs="Arial"/>
          <w:lang w:eastAsia="es-ES"/>
        </w:rPr>
        <w:t>Bogotá, D.C.</w:t>
      </w:r>
    </w:p>
    <w:p w14:paraId="1A1EC6A8" w14:textId="77777777" w:rsidR="00CE2169" w:rsidRPr="00CE2169" w:rsidRDefault="00CE2169" w:rsidP="00CE2169">
      <w:pPr>
        <w:spacing w:after="0" w:line="240" w:lineRule="auto"/>
        <w:rPr>
          <w:rFonts w:ascii="Verdana" w:eastAsia="Calibri" w:hAnsi="Verdana" w:cs="Arial"/>
          <w:b/>
          <w:bCs/>
          <w:lang w:eastAsia="es-ES_tradnl"/>
        </w:rPr>
      </w:pPr>
    </w:p>
    <w:p w14:paraId="29B7E882" w14:textId="77777777" w:rsidR="00CE2169" w:rsidRPr="00CE2169" w:rsidRDefault="00CE2169" w:rsidP="00CE2169">
      <w:pPr>
        <w:spacing w:after="0" w:line="240" w:lineRule="auto"/>
        <w:rPr>
          <w:rFonts w:ascii="Verdana" w:eastAsia="Calibri" w:hAnsi="Verdana" w:cs="Arial"/>
          <w:b/>
          <w:bCs/>
          <w:lang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CE2169" w:rsidRPr="00CE2169" w14:paraId="05B08A81" w14:textId="77777777" w:rsidTr="008A47D7">
        <w:trPr>
          <w:trHeight w:val="999"/>
        </w:trPr>
        <w:tc>
          <w:tcPr>
            <w:tcW w:w="3402" w:type="dxa"/>
          </w:tcPr>
          <w:p w14:paraId="0F5F9607" w14:textId="77777777" w:rsidR="00CE2169" w:rsidRPr="00CE2169" w:rsidRDefault="00CE2169" w:rsidP="00CE2169">
            <w:pPr>
              <w:jc w:val="both"/>
              <w:rPr>
                <w:rFonts w:ascii="Verdana" w:eastAsia="Calibri" w:hAnsi="Verdana" w:cs="Arial"/>
                <w:b/>
                <w:bCs/>
                <w:lang w:eastAsia="es-ES_tradnl"/>
              </w:rPr>
            </w:pPr>
          </w:p>
        </w:tc>
        <w:tc>
          <w:tcPr>
            <w:tcW w:w="5831" w:type="dxa"/>
            <w:hideMark/>
          </w:tcPr>
          <w:p w14:paraId="610B3301" w14:textId="77777777" w:rsidR="00CE2169" w:rsidRPr="00CE2169" w:rsidRDefault="00CE2169" w:rsidP="00CE2169">
            <w:pPr>
              <w:jc w:val="both"/>
              <w:rPr>
                <w:rFonts w:ascii="Verdana" w:eastAsia="Calibri" w:hAnsi="Verdana" w:cs="Arial"/>
                <w:b/>
                <w:bCs/>
                <w:lang w:eastAsia="es-ES"/>
              </w:rPr>
            </w:pPr>
            <w:r w:rsidRPr="00CE2169">
              <w:rPr>
                <w:rFonts w:ascii="Verdana" w:eastAsia="Calibri" w:hAnsi="Verdana" w:cs="Arial"/>
                <w:b/>
                <w:bCs/>
                <w:lang w:eastAsia="es-ES"/>
              </w:rPr>
              <w:t>Concepto C – 595 de 2026</w:t>
            </w:r>
          </w:p>
        </w:tc>
      </w:tr>
      <w:tr w:rsidR="00CE2169" w:rsidRPr="00CE2169" w14:paraId="4FFDA063" w14:textId="77777777" w:rsidTr="008A47D7">
        <w:trPr>
          <w:trHeight w:val="999"/>
        </w:trPr>
        <w:tc>
          <w:tcPr>
            <w:tcW w:w="3402" w:type="dxa"/>
            <w:hideMark/>
          </w:tcPr>
          <w:p w14:paraId="60BE21DF" w14:textId="77777777" w:rsidR="00CE2169" w:rsidRPr="00CE2169" w:rsidRDefault="00CE2169" w:rsidP="00CE2169">
            <w:pPr>
              <w:spacing w:line="276" w:lineRule="auto"/>
              <w:jc w:val="both"/>
              <w:rPr>
                <w:rFonts w:ascii="Verdana" w:eastAsia="Calibri" w:hAnsi="Verdana" w:cs="Arial"/>
                <w:lang w:eastAsia="es-ES_tradnl"/>
              </w:rPr>
            </w:pPr>
            <w:r w:rsidRPr="00CE2169">
              <w:rPr>
                <w:rFonts w:ascii="Verdana" w:eastAsia="Calibri" w:hAnsi="Verdana" w:cs="Arial"/>
                <w:b/>
                <w:lang w:eastAsia="es-ES_tradnl"/>
              </w:rPr>
              <w:t>Temas:</w:t>
            </w:r>
            <w:r w:rsidRPr="00CE2169">
              <w:rPr>
                <w:rFonts w:ascii="Verdana" w:eastAsia="Calibri" w:hAnsi="Verdana" w:cs="Arial"/>
                <w:lang w:eastAsia="es-ES_tradnl"/>
              </w:rPr>
              <w:t xml:space="preserve">                   </w:t>
            </w:r>
          </w:p>
        </w:tc>
        <w:tc>
          <w:tcPr>
            <w:tcW w:w="5831" w:type="dxa"/>
          </w:tcPr>
          <w:p w14:paraId="79264BE3" w14:textId="77777777" w:rsidR="00CE2169" w:rsidRPr="00CE2169" w:rsidRDefault="00CE2169" w:rsidP="00CE2169">
            <w:pPr>
              <w:spacing w:line="276" w:lineRule="auto"/>
              <w:jc w:val="both"/>
              <w:rPr>
                <w:rFonts w:ascii="Verdana" w:eastAsia="Calibri" w:hAnsi="Verdana" w:cs="Arial"/>
                <w:color w:val="000000"/>
                <w:lang w:val="es-MX"/>
              </w:rPr>
            </w:pPr>
            <w:r w:rsidRPr="00CE2169">
              <w:rPr>
                <w:rFonts w:ascii="Verdana" w:eastAsia="Calibri" w:hAnsi="Verdana" w:cs="Times New Roman"/>
                <w:color w:val="000000"/>
              </w:rPr>
              <w:t xml:space="preserve">DOCUMENTOS TIPO – Fundamento normativo – Obligatoriedad </w:t>
            </w:r>
            <w:r w:rsidRPr="00CE2169">
              <w:rPr>
                <w:rFonts w:ascii="Verdana" w:eastAsia="Calibri" w:hAnsi="Verdana" w:cs="Times New Roman"/>
              </w:rPr>
              <w:t xml:space="preserve">/ </w:t>
            </w:r>
            <w:r w:rsidRPr="00CE2169">
              <w:rPr>
                <w:rFonts w:ascii="Verdana" w:eastAsia="Calibri" w:hAnsi="Verdana" w:cs="Arial"/>
              </w:rPr>
              <w:t xml:space="preserve">DOCUMENTOS TIPO DE INFRAESTRUCTURA SOCIAL – Alcance / </w:t>
            </w:r>
            <w:r w:rsidRPr="00CE2169">
              <w:rPr>
                <w:rFonts w:ascii="Verdana" w:eastAsia="Aptos" w:hAnsi="Verdana" w:cs="Aptos"/>
                <w:lang w:val="es-ES_tradnl"/>
              </w:rPr>
              <w:t xml:space="preserve">DOCUMENTOS TIPO DE INFRAESTRUCTURA SOCIAL – Experiencia / </w:t>
            </w:r>
            <w:r w:rsidRPr="00CE2169">
              <w:rPr>
                <w:rFonts w:ascii="Verdana" w:eastAsia="Calibri" w:hAnsi="Verdana" w:cs="Arial"/>
              </w:rPr>
              <w:t xml:space="preserve">DOCUMENTOS TIPO DE INFRAESTRUCTURA SOCIAL – Sector Institucional – Ámbito de aplicación </w:t>
            </w:r>
          </w:p>
          <w:p w14:paraId="4D3A4889" w14:textId="77777777" w:rsidR="00CE2169" w:rsidRPr="00CE2169" w:rsidRDefault="00CE2169" w:rsidP="00CE2169">
            <w:pPr>
              <w:spacing w:line="276" w:lineRule="auto"/>
              <w:jc w:val="both"/>
              <w:rPr>
                <w:rFonts w:ascii="Verdana" w:eastAsia="Calibri" w:hAnsi="Verdana" w:cs="Arial"/>
              </w:rPr>
            </w:pPr>
          </w:p>
        </w:tc>
      </w:tr>
      <w:tr w:rsidR="00CE2169" w:rsidRPr="00CE2169" w14:paraId="1FD6094A" w14:textId="77777777" w:rsidTr="008A47D7">
        <w:trPr>
          <w:trHeight w:val="597"/>
        </w:trPr>
        <w:tc>
          <w:tcPr>
            <w:tcW w:w="3402" w:type="dxa"/>
            <w:hideMark/>
          </w:tcPr>
          <w:p w14:paraId="4FFED007" w14:textId="77777777" w:rsidR="00CE2169" w:rsidRPr="00CE2169" w:rsidRDefault="00CE2169" w:rsidP="00CE2169">
            <w:pPr>
              <w:spacing w:line="276" w:lineRule="auto"/>
              <w:jc w:val="both"/>
              <w:rPr>
                <w:rFonts w:ascii="Verdana" w:eastAsia="Calibri" w:hAnsi="Verdana" w:cs="Arial"/>
                <w:b/>
                <w:lang w:eastAsia="es-ES_tradnl"/>
              </w:rPr>
            </w:pPr>
            <w:r w:rsidRPr="00CE2169">
              <w:rPr>
                <w:rFonts w:ascii="Verdana" w:eastAsia="Calibri" w:hAnsi="Verdana" w:cs="Arial"/>
                <w:b/>
                <w:lang w:eastAsia="es-ES_tradnl"/>
              </w:rPr>
              <w:t>Radicación:</w:t>
            </w:r>
            <w:r w:rsidRPr="00CE2169">
              <w:rPr>
                <w:rFonts w:ascii="Verdana" w:eastAsia="Calibri" w:hAnsi="Verdana" w:cs="Arial"/>
                <w:lang w:eastAsia="es-ES_tradnl"/>
              </w:rPr>
              <w:t xml:space="preserve">               </w:t>
            </w:r>
          </w:p>
        </w:tc>
        <w:tc>
          <w:tcPr>
            <w:tcW w:w="5831" w:type="dxa"/>
          </w:tcPr>
          <w:p w14:paraId="7D7F831E" w14:textId="77777777" w:rsidR="00CE2169" w:rsidRPr="00CE2169" w:rsidRDefault="00CE2169" w:rsidP="00CE2169">
            <w:pPr>
              <w:spacing w:line="276" w:lineRule="auto"/>
              <w:jc w:val="both"/>
              <w:rPr>
                <w:rFonts w:ascii="Verdana" w:eastAsia="Calibri" w:hAnsi="Verdana" w:cs="Arial"/>
                <w:lang w:eastAsia="es-ES_tradnl"/>
              </w:rPr>
            </w:pPr>
            <w:r w:rsidRPr="00CE2169">
              <w:rPr>
                <w:rFonts w:ascii="Verdana" w:eastAsia="Calibri" w:hAnsi="Verdana" w:cs="Arial"/>
                <w:lang w:eastAsia="es-ES_tradnl"/>
              </w:rPr>
              <w:t>Respuesta a consulta con radicado No. 1_2026_04_11_004917</w:t>
            </w:r>
          </w:p>
        </w:tc>
      </w:tr>
    </w:tbl>
    <w:p w14:paraId="712F2B3B" w14:textId="77777777" w:rsidR="00CE2169" w:rsidRPr="00CE2169" w:rsidRDefault="00CE2169" w:rsidP="00CE2169">
      <w:pPr>
        <w:spacing w:after="0" w:line="240" w:lineRule="auto"/>
        <w:jc w:val="both"/>
        <w:rPr>
          <w:rFonts w:ascii="Verdana" w:eastAsia="Calibri" w:hAnsi="Verdana" w:cs="Arial"/>
          <w:lang w:eastAsia="es-ES_tradnl"/>
        </w:rPr>
      </w:pPr>
    </w:p>
    <w:p w14:paraId="399A5DFC" w14:textId="77777777" w:rsidR="00CE2169" w:rsidRPr="00CE2169" w:rsidRDefault="00CE2169" w:rsidP="00CE2169">
      <w:pPr>
        <w:spacing w:after="0" w:line="276" w:lineRule="auto"/>
        <w:jc w:val="both"/>
        <w:rPr>
          <w:rFonts w:ascii="Verdana" w:eastAsia="Calibri" w:hAnsi="Verdana" w:cs="Arial"/>
          <w:lang w:eastAsia="es-ES"/>
        </w:rPr>
      </w:pPr>
    </w:p>
    <w:p w14:paraId="72146795" w14:textId="77777777" w:rsidR="00CE2169" w:rsidRPr="00CE2169" w:rsidRDefault="00CE2169" w:rsidP="00CE2169">
      <w:pPr>
        <w:spacing w:after="0" w:line="276" w:lineRule="auto"/>
        <w:jc w:val="both"/>
        <w:rPr>
          <w:rFonts w:ascii="Verdana" w:eastAsia="Calibri" w:hAnsi="Verdana" w:cs="Arial"/>
          <w:lang w:eastAsia="es-ES"/>
        </w:rPr>
      </w:pPr>
      <w:r w:rsidRPr="00CE2169">
        <w:rPr>
          <w:rFonts w:ascii="Verdana" w:eastAsia="Calibri" w:hAnsi="Verdana" w:cs="Arial"/>
          <w:lang w:eastAsia="es-ES"/>
        </w:rPr>
        <w:t xml:space="preserve">Estimado señor Mendoza Santacruz:  </w:t>
      </w:r>
    </w:p>
    <w:p w14:paraId="13D6B392" w14:textId="77777777" w:rsidR="00CE2169" w:rsidRPr="00CE2169" w:rsidRDefault="00CE2169" w:rsidP="00CE2169">
      <w:pPr>
        <w:tabs>
          <w:tab w:val="left" w:pos="3768"/>
        </w:tabs>
        <w:spacing w:after="0" w:line="276" w:lineRule="auto"/>
        <w:jc w:val="both"/>
        <w:rPr>
          <w:rFonts w:ascii="Verdana" w:eastAsia="Calibri" w:hAnsi="Verdana" w:cs="Arial"/>
          <w:lang w:eastAsia="es-ES"/>
        </w:rPr>
      </w:pPr>
      <w:r w:rsidRPr="00CE2169">
        <w:rPr>
          <w:rFonts w:ascii="Verdana" w:eastAsia="Calibri" w:hAnsi="Verdana" w:cs="Arial"/>
          <w:lang w:eastAsia="es-ES"/>
        </w:rPr>
        <w:tab/>
      </w:r>
    </w:p>
    <w:p w14:paraId="2EB3A602" w14:textId="77777777" w:rsidR="00CE2169" w:rsidRPr="00CE2169" w:rsidRDefault="00CE2169" w:rsidP="00CE2169">
      <w:pPr>
        <w:spacing w:after="0" w:line="276" w:lineRule="auto"/>
        <w:jc w:val="both"/>
        <w:rPr>
          <w:rFonts w:ascii="Verdana" w:eastAsia="Calibri" w:hAnsi="Verdana" w:cs="Arial"/>
          <w:lang w:eastAsia="es-ES"/>
        </w:rPr>
      </w:pPr>
      <w:r w:rsidRPr="00CE2169">
        <w:rPr>
          <w:rFonts w:ascii="Verdana" w:eastAsia="Calibri" w:hAnsi="Verdana" w:cs="Arial"/>
          <w:lang w:eastAsia="es-ES"/>
        </w:rPr>
        <w:t>En ejercicio de la competencia otorgada por los artículos 3, numeral 5º, y 11, numeral 8º, del Decreto Ley 4170 de 2011,</w:t>
      </w:r>
      <w:r w:rsidRPr="00CE2169">
        <w:rPr>
          <w:rFonts w:ascii="Verdana" w:eastAsia="Arial MT" w:hAnsi="Verdana" w:cs="Arial MT"/>
          <w:lang w:eastAsia="es-ES"/>
        </w:rPr>
        <w:t xml:space="preserve"> </w:t>
      </w:r>
      <w:r w:rsidRPr="00CE2169">
        <w:rPr>
          <w:rFonts w:ascii="Verdana" w:eastAsia="Calibri" w:hAnsi="Verdana" w:cs="Arial"/>
        </w:rPr>
        <w:t xml:space="preserve">así como lo establecido en la </w:t>
      </w:r>
      <w:r w:rsidRPr="00CE2169">
        <w:rPr>
          <w:rFonts w:ascii="Verdana" w:eastAsia="Calibri" w:hAnsi="Verdana" w:cs="Arial"/>
          <w:kern w:val="2"/>
          <w:lang w:val="es-ES_tradnl" w:eastAsia="es-MX"/>
          <w14:ligatures w14:val="standardContextual"/>
        </w:rPr>
        <w:t xml:space="preserve">Resolución No. 469 de 2025 </w:t>
      </w:r>
      <w:r w:rsidRPr="00CE2169">
        <w:rPr>
          <w:rFonts w:ascii="Verdana" w:eastAsia="Calibri" w:hAnsi="Verdana" w:cs="Arial"/>
        </w:rPr>
        <w:t xml:space="preserve">expedida por esta Entidad, </w:t>
      </w:r>
      <w:r w:rsidRPr="00CE2169">
        <w:rPr>
          <w:rFonts w:ascii="Verdana" w:eastAsia="Calibri" w:hAnsi="Verdana" w:cs="Arial"/>
          <w:lang w:eastAsia="es-ES"/>
        </w:rPr>
        <w:t>la Agencia Nacional de Contratación Pública –Colombia Compra Eficiente– responde su solicitud de consulta de fecha 11 de abril de 2026</w:t>
      </w:r>
      <w:bookmarkStart w:id="1" w:name="_Hlk95313578"/>
      <w:r w:rsidRPr="00CE2169">
        <w:rPr>
          <w:rFonts w:ascii="Verdana" w:eastAsia="Calibri" w:hAnsi="Verdana" w:cs="Arial"/>
          <w:lang w:eastAsia="es-ES"/>
        </w:rPr>
        <w:t>, en la que manifiesta lo siguiente:</w:t>
      </w:r>
    </w:p>
    <w:p w14:paraId="3CF45685" w14:textId="77777777" w:rsidR="00CE2169" w:rsidRPr="00CE2169" w:rsidRDefault="00CE2169" w:rsidP="00CE2169">
      <w:pPr>
        <w:spacing w:after="0" w:line="276" w:lineRule="auto"/>
        <w:jc w:val="both"/>
        <w:rPr>
          <w:rFonts w:ascii="Verdana" w:eastAsia="Calibri" w:hAnsi="Verdana" w:cs="Arial"/>
          <w:sz w:val="21"/>
          <w:szCs w:val="21"/>
          <w:lang w:eastAsia="es-ES"/>
        </w:rPr>
      </w:pPr>
    </w:p>
    <w:bookmarkEnd w:id="1"/>
    <w:p w14:paraId="04A80436" w14:textId="77777777" w:rsidR="00CE2169" w:rsidRPr="00CE2169" w:rsidRDefault="00CE2169" w:rsidP="00CE2169">
      <w:pPr>
        <w:spacing w:after="0" w:line="240" w:lineRule="auto"/>
        <w:ind w:left="709" w:right="709"/>
        <w:jc w:val="both"/>
        <w:rPr>
          <w:rFonts w:ascii="Verdana" w:eastAsia="Calibri" w:hAnsi="Verdana" w:cs="Arial"/>
          <w:sz w:val="21"/>
          <w:szCs w:val="21"/>
          <w:lang w:eastAsia="es-ES"/>
        </w:rPr>
      </w:pPr>
      <w:r w:rsidRPr="00CE2169">
        <w:rPr>
          <w:rFonts w:ascii="Verdana" w:eastAsia="Calibri" w:hAnsi="Verdana" w:cs="Arial"/>
          <w:sz w:val="21"/>
          <w:szCs w:val="21"/>
          <w:lang w:eastAsia="es-ES"/>
        </w:rPr>
        <w:t>“1. Si la intervención de edificaciones donde funcionan entidades públicas, por el solo hecho de recaer sobre infraestructura física, implica la aplicación obligatoria de los documentos tipo de obra pública de infraestructura social sin importar el sector de la entidad.</w:t>
      </w:r>
    </w:p>
    <w:p w14:paraId="3CB64191" w14:textId="77777777" w:rsidR="00CE2169" w:rsidRPr="00CE2169" w:rsidRDefault="00CE2169" w:rsidP="00CE2169">
      <w:pPr>
        <w:spacing w:after="0" w:line="240" w:lineRule="auto"/>
        <w:ind w:left="709" w:right="709"/>
        <w:jc w:val="both"/>
        <w:rPr>
          <w:rFonts w:ascii="Verdana" w:eastAsia="Calibri" w:hAnsi="Verdana" w:cs="Arial"/>
          <w:sz w:val="21"/>
          <w:szCs w:val="21"/>
          <w:lang w:eastAsia="es-ES"/>
        </w:rPr>
      </w:pPr>
    </w:p>
    <w:p w14:paraId="36FE2920" w14:textId="77777777" w:rsidR="00CE2169" w:rsidRPr="00CE2169" w:rsidRDefault="00CE2169" w:rsidP="00CE2169">
      <w:pPr>
        <w:spacing w:after="0" w:line="240" w:lineRule="auto"/>
        <w:ind w:left="709" w:right="709"/>
        <w:jc w:val="both"/>
        <w:rPr>
          <w:rFonts w:ascii="Verdana" w:eastAsia="Calibri" w:hAnsi="Verdana" w:cs="Arial"/>
          <w:sz w:val="21"/>
          <w:szCs w:val="21"/>
          <w:lang w:eastAsia="es-ES"/>
        </w:rPr>
      </w:pPr>
      <w:r w:rsidRPr="00CE2169">
        <w:rPr>
          <w:rFonts w:ascii="Verdana" w:eastAsia="Calibri" w:hAnsi="Verdana" w:cs="Arial"/>
          <w:sz w:val="21"/>
          <w:szCs w:val="21"/>
          <w:lang w:eastAsia="es-ES"/>
        </w:rPr>
        <w:lastRenderedPageBreak/>
        <w:t>2. Conceptuar si la aplicación de dichos documentos tipo depende de que las actividades a contratar correspondan específicamente a aquellas definidas en la Matriz 1 – Experiencia del sector institucional en conjunto con el sector aplicable.</w:t>
      </w:r>
    </w:p>
    <w:p w14:paraId="4F7C751C" w14:textId="77777777" w:rsidR="00CE2169" w:rsidRPr="00CE2169" w:rsidRDefault="00CE2169" w:rsidP="00CE2169">
      <w:pPr>
        <w:spacing w:after="0" w:line="240" w:lineRule="auto"/>
        <w:ind w:left="709" w:right="709"/>
        <w:jc w:val="both"/>
        <w:rPr>
          <w:rFonts w:ascii="Verdana" w:eastAsia="Calibri" w:hAnsi="Verdana" w:cs="Arial"/>
          <w:sz w:val="21"/>
          <w:szCs w:val="21"/>
          <w:lang w:eastAsia="es-ES"/>
        </w:rPr>
      </w:pPr>
    </w:p>
    <w:p w14:paraId="74A58DC2" w14:textId="77777777" w:rsidR="00CE2169" w:rsidRPr="00CE2169" w:rsidRDefault="00CE2169" w:rsidP="00CE2169">
      <w:pPr>
        <w:spacing w:after="0" w:line="240" w:lineRule="auto"/>
        <w:ind w:left="709" w:right="709"/>
        <w:jc w:val="both"/>
        <w:rPr>
          <w:rFonts w:ascii="Verdana" w:eastAsia="Calibri" w:hAnsi="Verdana" w:cs="Arial"/>
          <w:sz w:val="21"/>
          <w:szCs w:val="21"/>
          <w:lang w:eastAsia="es-ES"/>
        </w:rPr>
      </w:pPr>
      <w:r w:rsidRPr="00CE2169">
        <w:rPr>
          <w:rFonts w:ascii="Verdana" w:eastAsia="Calibri" w:hAnsi="Verdana" w:cs="Arial"/>
          <w:sz w:val="21"/>
          <w:szCs w:val="21"/>
          <w:lang w:eastAsia="es-ES"/>
        </w:rPr>
        <w:t xml:space="preserve">3. Precisar </w:t>
      </w:r>
      <w:proofErr w:type="spellStart"/>
      <w:r w:rsidRPr="00CE2169">
        <w:rPr>
          <w:rFonts w:ascii="Verdana" w:eastAsia="Calibri" w:hAnsi="Verdana" w:cs="Arial"/>
          <w:sz w:val="21"/>
          <w:szCs w:val="21"/>
          <w:lang w:eastAsia="es-ES"/>
        </w:rPr>
        <w:t>que</w:t>
      </w:r>
      <w:proofErr w:type="spellEnd"/>
      <w:r w:rsidRPr="00CE2169">
        <w:rPr>
          <w:rFonts w:ascii="Verdana" w:eastAsia="Calibri" w:hAnsi="Verdana" w:cs="Arial"/>
          <w:sz w:val="21"/>
          <w:szCs w:val="21"/>
          <w:lang w:eastAsia="es-ES"/>
        </w:rPr>
        <w:t xml:space="preserve"> tipo de entidades comprenden el sector institucional</w:t>
      </w:r>
    </w:p>
    <w:p w14:paraId="0E3C3C79" w14:textId="77777777" w:rsidR="00CE2169" w:rsidRPr="00CE2169" w:rsidRDefault="00CE2169" w:rsidP="00CE2169">
      <w:pPr>
        <w:spacing w:after="0" w:line="240" w:lineRule="auto"/>
        <w:ind w:left="709" w:right="709"/>
        <w:jc w:val="both"/>
        <w:rPr>
          <w:rFonts w:ascii="Verdana" w:eastAsia="Calibri" w:hAnsi="Verdana" w:cs="Arial"/>
          <w:sz w:val="21"/>
          <w:szCs w:val="21"/>
          <w:lang w:eastAsia="es-ES"/>
        </w:rPr>
      </w:pPr>
    </w:p>
    <w:p w14:paraId="37E89E23" w14:textId="77777777" w:rsidR="00CE2169" w:rsidRPr="00CE2169" w:rsidRDefault="00CE2169" w:rsidP="00CE2169">
      <w:pPr>
        <w:spacing w:after="0" w:line="240" w:lineRule="auto"/>
        <w:ind w:left="709" w:right="709"/>
        <w:jc w:val="both"/>
        <w:rPr>
          <w:rFonts w:ascii="Verdana" w:eastAsia="Calibri" w:hAnsi="Verdana" w:cs="Arial"/>
          <w:sz w:val="21"/>
          <w:szCs w:val="21"/>
          <w:lang w:eastAsia="es-ES"/>
        </w:rPr>
      </w:pPr>
      <w:r w:rsidRPr="00CE2169">
        <w:rPr>
          <w:rFonts w:ascii="Verdana" w:eastAsia="Calibri" w:hAnsi="Verdana" w:cs="Arial"/>
          <w:sz w:val="21"/>
          <w:szCs w:val="21"/>
          <w:lang w:eastAsia="es-ES"/>
        </w:rPr>
        <w:t>4. Precisar si la aplicación del pliego tipo de infraestructura social y sus modalidades resultan únicamente aplicables a sector de Salud, Educación, recreación, cultura, deporte, vivienda e institucional.</w:t>
      </w:r>
    </w:p>
    <w:p w14:paraId="720776AF" w14:textId="77777777" w:rsidR="00CE2169" w:rsidRPr="00CE2169" w:rsidRDefault="00CE2169" w:rsidP="00CE2169">
      <w:pPr>
        <w:spacing w:after="0" w:line="240" w:lineRule="auto"/>
        <w:ind w:left="709" w:right="709"/>
        <w:jc w:val="both"/>
        <w:rPr>
          <w:rFonts w:ascii="Verdana" w:eastAsia="Calibri" w:hAnsi="Verdana" w:cs="Arial"/>
          <w:sz w:val="21"/>
          <w:szCs w:val="21"/>
          <w:lang w:eastAsia="es-ES"/>
        </w:rPr>
      </w:pPr>
    </w:p>
    <w:p w14:paraId="23610CD7" w14:textId="77777777" w:rsidR="00CE2169" w:rsidRPr="00CE2169" w:rsidRDefault="00CE2169" w:rsidP="00CE2169">
      <w:pPr>
        <w:spacing w:after="0" w:line="240" w:lineRule="auto"/>
        <w:ind w:left="709" w:right="709"/>
        <w:jc w:val="both"/>
        <w:rPr>
          <w:rFonts w:ascii="Verdana" w:eastAsia="Calibri" w:hAnsi="Verdana" w:cs="Arial"/>
          <w:sz w:val="21"/>
          <w:szCs w:val="21"/>
          <w:lang w:eastAsia="es-ES"/>
        </w:rPr>
      </w:pPr>
      <w:r w:rsidRPr="00CE2169">
        <w:rPr>
          <w:rFonts w:ascii="Verdana" w:eastAsia="Calibri" w:hAnsi="Verdana" w:cs="Arial"/>
          <w:sz w:val="21"/>
          <w:szCs w:val="21"/>
          <w:lang w:eastAsia="es-ES"/>
        </w:rPr>
        <w:t>5. Precisar si la intervención de edificaciones institucionales en el sector transporte no resultan aplicables los pliegos tipo expuestos en el sector social”.</w:t>
      </w:r>
    </w:p>
    <w:p w14:paraId="5D3651EB" w14:textId="77777777" w:rsidR="00CE2169" w:rsidRPr="00CE2169" w:rsidRDefault="00CE2169" w:rsidP="00CE2169">
      <w:pPr>
        <w:spacing w:after="0" w:line="240" w:lineRule="auto"/>
        <w:ind w:left="709" w:right="709"/>
        <w:jc w:val="both"/>
        <w:rPr>
          <w:rFonts w:ascii="Verdana" w:eastAsia="Times New Roman" w:hAnsi="Verdana" w:cs="Times New Roman"/>
          <w:sz w:val="21"/>
          <w:szCs w:val="21"/>
          <w:lang w:eastAsia="es-CO"/>
        </w:rPr>
      </w:pPr>
    </w:p>
    <w:p w14:paraId="07F19EF5" w14:textId="77777777" w:rsidR="00CE2169" w:rsidRPr="00CE2169" w:rsidRDefault="00CE2169" w:rsidP="00CE2169">
      <w:pPr>
        <w:spacing w:after="120" w:line="276" w:lineRule="auto"/>
        <w:ind w:firstLine="709"/>
        <w:jc w:val="both"/>
        <w:rPr>
          <w:rFonts w:ascii="Verdana" w:eastAsia="Calibri" w:hAnsi="Verdana" w:cs="Arial"/>
          <w:lang w:eastAsia="es-ES"/>
        </w:rPr>
      </w:pPr>
      <w:r w:rsidRPr="00CE2169">
        <w:rPr>
          <w:rFonts w:ascii="Verdana" w:eastAsia="Calibri" w:hAnsi="Verdana" w:cs="Arial"/>
          <w:lang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B6BD6C6" w14:textId="77777777" w:rsidR="00CE2169" w:rsidRPr="00CE2169" w:rsidRDefault="00CE2169" w:rsidP="00CE2169">
      <w:pPr>
        <w:spacing w:after="0" w:line="276" w:lineRule="auto"/>
        <w:jc w:val="both"/>
        <w:rPr>
          <w:rFonts w:ascii="Verdana" w:eastAsia="Calibri" w:hAnsi="Verdana" w:cs="Arial"/>
          <w:lang w:eastAsia="es-ES"/>
        </w:rPr>
      </w:pPr>
      <w:r w:rsidRPr="00CE2169">
        <w:rPr>
          <w:rFonts w:ascii="Verdana" w:eastAsia="Calibri" w:hAnsi="Verdana" w:cs="Arial"/>
          <w:lang w:eastAsia="es-ES_tradnl"/>
        </w:rPr>
        <w:tab/>
      </w:r>
      <w:r w:rsidRPr="00CE2169">
        <w:rPr>
          <w:rFonts w:ascii="Verdana" w:eastAsia="Calibri" w:hAnsi="Verdana" w:cs="Arial"/>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531B457E" w14:textId="77777777" w:rsidR="00CE2169" w:rsidRPr="00CE2169" w:rsidRDefault="00CE2169" w:rsidP="00CE2169">
      <w:pPr>
        <w:snapToGrid w:val="0"/>
        <w:spacing w:after="0" w:line="276" w:lineRule="auto"/>
        <w:ind w:firstLine="709"/>
        <w:jc w:val="both"/>
        <w:rPr>
          <w:rFonts w:ascii="Verdana" w:eastAsia="Calibri" w:hAnsi="Verdana" w:cs="Arial"/>
          <w:lang w:eastAsia="es-ES"/>
        </w:rPr>
      </w:pPr>
    </w:p>
    <w:p w14:paraId="5845CB43" w14:textId="77777777" w:rsidR="00CE2169" w:rsidRPr="00CE2169" w:rsidRDefault="00CE2169" w:rsidP="00CE216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rPr>
      </w:pPr>
      <w:r w:rsidRPr="00CE2169">
        <w:rPr>
          <w:rFonts w:ascii="Verdana" w:eastAsia="Century Gothic" w:hAnsi="Verdana" w:cs="Century Gothic"/>
          <w:b/>
          <w:bCs/>
        </w:rPr>
        <w:t>Problema planteado:</w:t>
      </w:r>
    </w:p>
    <w:p w14:paraId="0893B70A" w14:textId="77777777" w:rsidR="00CE2169" w:rsidRPr="00CE2169" w:rsidRDefault="00CE2169" w:rsidP="00CE2169">
      <w:pPr>
        <w:tabs>
          <w:tab w:val="left" w:pos="426"/>
        </w:tabs>
        <w:snapToGrid w:val="0"/>
        <w:spacing w:after="0" w:line="276" w:lineRule="auto"/>
        <w:jc w:val="both"/>
        <w:rPr>
          <w:rFonts w:ascii="Verdana" w:eastAsia="Century Gothic" w:hAnsi="Verdana" w:cs="Century Gothic"/>
        </w:rPr>
      </w:pPr>
    </w:p>
    <w:p w14:paraId="25E1AB1D" w14:textId="77777777" w:rsidR="00CE2169" w:rsidRPr="00CE2169" w:rsidRDefault="00CE2169" w:rsidP="00CE2169">
      <w:pPr>
        <w:snapToGrid w:val="0"/>
        <w:spacing w:after="0" w:line="276" w:lineRule="auto"/>
        <w:jc w:val="both"/>
        <w:rPr>
          <w:rFonts w:ascii="Verdana" w:eastAsia="Century Gothic" w:hAnsi="Verdana" w:cs="Century Gothic"/>
        </w:rPr>
      </w:pPr>
      <w:r w:rsidRPr="00CE2169">
        <w:rPr>
          <w:rFonts w:ascii="Verdana" w:eastAsia="Century Gothic" w:hAnsi="Verdana" w:cs="Century Gothic"/>
        </w:rPr>
        <w:t>De acuerdo con el contenido de su solicitud, esta Agencia resolverá el siguiente problema jurídico: ¿cuál es el alcance de la aplicación de los documentos tipo de infraestructura social – sector institucional?</w:t>
      </w:r>
    </w:p>
    <w:p w14:paraId="5D6E3F04" w14:textId="77777777" w:rsidR="00CE2169" w:rsidRPr="00CE2169" w:rsidRDefault="00CE2169" w:rsidP="00CE2169">
      <w:pPr>
        <w:snapToGrid w:val="0"/>
        <w:spacing w:after="0" w:line="276" w:lineRule="auto"/>
        <w:jc w:val="both"/>
        <w:rPr>
          <w:rFonts w:ascii="Verdana" w:eastAsia="Century Gothic" w:hAnsi="Verdana" w:cs="Century Gothic"/>
        </w:rPr>
      </w:pPr>
    </w:p>
    <w:p w14:paraId="6974613B" w14:textId="77777777" w:rsidR="00CE2169" w:rsidRPr="00CE2169" w:rsidRDefault="00CE2169" w:rsidP="00CE2169">
      <w:pPr>
        <w:numPr>
          <w:ilvl w:val="0"/>
          <w:numId w:val="16"/>
        </w:numPr>
        <w:tabs>
          <w:tab w:val="left" w:pos="142"/>
          <w:tab w:val="left" w:pos="284"/>
        </w:tabs>
        <w:snapToGrid w:val="0"/>
        <w:spacing w:after="0" w:line="276" w:lineRule="auto"/>
        <w:jc w:val="both"/>
        <w:rPr>
          <w:rFonts w:ascii="Verdana" w:eastAsia="Century Gothic" w:hAnsi="Verdana" w:cs="Century Gothic"/>
          <w:b/>
          <w:bCs/>
        </w:rPr>
      </w:pPr>
      <w:r w:rsidRPr="00CE2169">
        <w:rPr>
          <w:rFonts w:ascii="Verdana" w:eastAsia="Century Gothic" w:hAnsi="Verdana" w:cs="Century Gothic"/>
          <w:b/>
          <w:bCs/>
        </w:rPr>
        <w:t>Respuesta:</w:t>
      </w:r>
    </w:p>
    <w:p w14:paraId="30C2FA0A" w14:textId="77777777" w:rsidR="00CE2169" w:rsidRPr="00CE2169" w:rsidRDefault="00CE2169" w:rsidP="00CE2169">
      <w:pPr>
        <w:tabs>
          <w:tab w:val="left" w:pos="142"/>
          <w:tab w:val="left" w:pos="284"/>
        </w:tabs>
        <w:spacing w:after="0" w:line="276" w:lineRule="auto"/>
        <w:ind w:left="360"/>
        <w:contextualSpacing/>
        <w:jc w:val="both"/>
        <w:rPr>
          <w:rFonts w:ascii="Verdana" w:eastAsia="Century Gothic" w:hAnsi="Verdana" w:cs="Century Gothic"/>
          <w:b/>
          <w:bC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E2169" w:rsidRPr="00CE2169" w14:paraId="374D2494" w14:textId="77777777" w:rsidTr="008A47D7">
        <w:trPr>
          <w:trHeight w:val="2802"/>
        </w:trPr>
        <w:tc>
          <w:tcPr>
            <w:tcW w:w="8828" w:type="dxa"/>
            <w:tcBorders>
              <w:top w:val="dotted" w:sz="4" w:space="0" w:color="auto"/>
              <w:left w:val="dotted" w:sz="4" w:space="0" w:color="auto"/>
              <w:bottom w:val="dotted" w:sz="4" w:space="0" w:color="auto"/>
              <w:right w:val="dotted" w:sz="4" w:space="0" w:color="auto"/>
            </w:tcBorders>
          </w:tcPr>
          <w:p w14:paraId="42FF10CC" w14:textId="77777777" w:rsidR="00CE2169" w:rsidRPr="00CE2169" w:rsidRDefault="00CE2169" w:rsidP="00CE2169">
            <w:pPr>
              <w:spacing w:line="276" w:lineRule="auto"/>
              <w:jc w:val="both"/>
              <w:rPr>
                <w:rFonts w:ascii="Verdana" w:eastAsia="Aptos" w:hAnsi="Verdana" w:cs="Aptos"/>
                <w:lang w:val="es-ES_tradnl"/>
              </w:rPr>
            </w:pPr>
            <w:r w:rsidRPr="00CE2169">
              <w:rPr>
                <w:rFonts w:ascii="Verdana" w:eastAsia="Aptos" w:hAnsi="Verdana" w:cs="Aptos"/>
                <w:lang w:val="es-ES_tradnl"/>
              </w:rPr>
              <w:t>Los documentos tipo adicionales del Sector Institucional, en la modalidad de licitación pública, selección abreviada de menor cuantía y mínima cuantía, en la Matriz 1 – Experiencia, contienen los siguientes tipos de infraestructura: “</w:t>
            </w:r>
            <w:r w:rsidRPr="00CE2169">
              <w:rPr>
                <w:rFonts w:ascii="Verdana" w:eastAsia="Aptos" w:hAnsi="Verdana" w:cs="Aptos"/>
                <w:i/>
                <w:iCs/>
                <w:lang w:val="es-ES_tradnl"/>
              </w:rPr>
              <w:t>1) Obras en proyectos de infraestructura institucional de seguridad pública,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y 5) Obras para atención, prevención o mitigación de emergencias diferentes a contratación directa para el sector institucional</w:t>
            </w:r>
            <w:r w:rsidRPr="00CE2169">
              <w:rPr>
                <w:rFonts w:ascii="Verdana" w:eastAsia="Aptos" w:hAnsi="Verdana" w:cs="Aptos"/>
                <w:lang w:val="es-ES_tradnl"/>
              </w:rPr>
              <w:t xml:space="preserve">”. Particularmente, conforme a lo mencionado en la petición que relaciona el objeto del proceso de selección </w:t>
            </w:r>
            <w:r w:rsidRPr="00CE2169">
              <w:rPr>
                <w:rFonts w:ascii="Verdana" w:eastAsia="Aptos" w:hAnsi="Verdana" w:cs="Aptos"/>
                <w:i/>
                <w:iCs/>
                <w:lang w:val="es-ES_tradnl"/>
              </w:rPr>
              <w:t xml:space="preserve">“Las intervenciones a contratar pueden comprender, según el caso, obras de </w:t>
            </w:r>
            <w:r w:rsidRPr="00CE2169">
              <w:rPr>
                <w:rFonts w:ascii="Verdana" w:eastAsia="Aptos" w:hAnsi="Verdana" w:cs="Aptos"/>
                <w:b/>
                <w:bCs/>
                <w:i/>
                <w:iCs/>
                <w:lang w:val="es-ES_tradnl"/>
              </w:rPr>
              <w:t>adecuación, mejoramiento, mantenimiento o intervención</w:t>
            </w:r>
            <w:r w:rsidRPr="00CE2169">
              <w:rPr>
                <w:rFonts w:ascii="Verdana" w:eastAsia="Aptos" w:hAnsi="Verdana" w:cs="Aptos"/>
                <w:i/>
                <w:iCs/>
                <w:lang w:val="es-ES_tradnl"/>
              </w:rPr>
              <w:t xml:space="preserve"> física de dichas edificaciones”</w:t>
            </w:r>
            <w:r w:rsidRPr="00CE2169">
              <w:rPr>
                <w:rFonts w:ascii="Verdana" w:eastAsia="Aptos" w:hAnsi="Verdana" w:cs="Aptos"/>
                <w:lang w:val="es-ES_tradnl"/>
              </w:rPr>
              <w:t>, es importante advertir que, el Capítulo 2 “O</w:t>
            </w:r>
            <w:r w:rsidRPr="00CE2169">
              <w:rPr>
                <w:rFonts w:ascii="Verdana" w:eastAsia="Aptos" w:hAnsi="Verdana" w:cs="Aptos"/>
                <w:i/>
                <w:iCs/>
                <w:lang w:val="es-ES_tradnl"/>
              </w:rPr>
              <w:t xml:space="preserve">bras en proyectos de infraestructura institucional de servicio </w:t>
            </w:r>
            <w:r w:rsidRPr="00CE2169">
              <w:rPr>
                <w:rFonts w:ascii="Verdana" w:eastAsia="Aptos" w:hAnsi="Verdana" w:cs="Aptos"/>
                <w:lang w:val="es-ES_tradnl"/>
              </w:rPr>
              <w:t>público” de la Matriz 1, incluye la siguiente actividad en la cual podría enmarcarse el proyecto por el que se indaga:</w:t>
            </w:r>
          </w:p>
          <w:p w14:paraId="4E3440AB" w14:textId="77777777" w:rsidR="00CE2169" w:rsidRPr="00CE2169" w:rsidRDefault="00CE2169" w:rsidP="00CE2169">
            <w:pPr>
              <w:snapToGrid w:val="0"/>
              <w:spacing w:line="276" w:lineRule="auto"/>
              <w:ind w:left="709" w:right="709"/>
              <w:jc w:val="both"/>
              <w:rPr>
                <w:rFonts w:ascii="Verdana" w:eastAsia="Aptos" w:hAnsi="Verdana" w:cs="Aptos"/>
                <w:i/>
                <w:iCs/>
                <w:lang w:val="es-ES_tradnl"/>
              </w:rPr>
            </w:pPr>
          </w:p>
          <w:p w14:paraId="45A1C2CD" w14:textId="77777777" w:rsidR="00CE2169" w:rsidRPr="00CE2169" w:rsidRDefault="00CE2169" w:rsidP="00CE2169">
            <w:pPr>
              <w:snapToGrid w:val="0"/>
              <w:ind w:left="709" w:right="709"/>
              <w:jc w:val="both"/>
              <w:rPr>
                <w:rFonts w:ascii="Verdana" w:eastAsia="Aptos" w:hAnsi="Verdana" w:cs="Aptos"/>
                <w:i/>
                <w:iCs/>
                <w:sz w:val="21"/>
                <w:szCs w:val="21"/>
                <w:lang w:val="es-ES_tradnl"/>
              </w:rPr>
            </w:pPr>
            <w:r w:rsidRPr="00CE2169">
              <w:rPr>
                <w:rFonts w:ascii="Verdana" w:eastAsia="Aptos" w:hAnsi="Verdana" w:cs="Aptos"/>
                <w:i/>
                <w:iCs/>
                <w:sz w:val="21"/>
                <w:szCs w:val="21"/>
                <w:lang w:val="es-ES_tradnl"/>
              </w:rPr>
              <w:t xml:space="preserve">“2.2. PROYECTOS DE </w:t>
            </w:r>
            <w:r w:rsidRPr="00CE2169">
              <w:rPr>
                <w:rFonts w:ascii="Verdana" w:eastAsia="Aptos" w:hAnsi="Verdana" w:cs="Aptos"/>
                <w:b/>
                <w:bCs/>
                <w:i/>
                <w:iCs/>
                <w:sz w:val="21"/>
                <w:szCs w:val="21"/>
                <w:lang w:val="es-ES_tradnl"/>
              </w:rPr>
              <w:t xml:space="preserve">ADECUACIÓN </w:t>
            </w:r>
            <w:r w:rsidRPr="00CE2169">
              <w:rPr>
                <w:rFonts w:ascii="Verdana" w:eastAsia="Aptos" w:hAnsi="Verdana" w:cs="Aptos"/>
                <w:i/>
                <w:iCs/>
                <w:sz w:val="21"/>
                <w:szCs w:val="21"/>
                <w:lang w:val="es-ES_tradnl"/>
              </w:rPr>
              <w:t xml:space="preserve">Y/O CONSERVACIÓN Y/O </w:t>
            </w:r>
            <w:r w:rsidRPr="00CE2169">
              <w:rPr>
                <w:rFonts w:ascii="Verdana" w:eastAsia="Aptos" w:hAnsi="Verdana" w:cs="Aptos"/>
                <w:b/>
                <w:bCs/>
                <w:i/>
                <w:iCs/>
                <w:sz w:val="21"/>
                <w:szCs w:val="21"/>
                <w:lang w:val="es-ES_tradnl"/>
              </w:rPr>
              <w:t>INTERVENCIÓN</w:t>
            </w:r>
            <w:r w:rsidRPr="00CE2169">
              <w:rPr>
                <w:rFonts w:ascii="Verdana" w:eastAsia="Aptos" w:hAnsi="Verdana" w:cs="Aptos"/>
                <w:i/>
                <w:iCs/>
                <w:sz w:val="21"/>
                <w:szCs w:val="21"/>
                <w:lang w:val="es-ES_tradnl"/>
              </w:rPr>
              <w:t xml:space="preserve"> Y/O INSTALACIÓN Y/O </w:t>
            </w:r>
            <w:r w:rsidRPr="00CE2169">
              <w:rPr>
                <w:rFonts w:ascii="Verdana" w:eastAsia="Aptos" w:hAnsi="Verdana" w:cs="Aptos"/>
                <w:b/>
                <w:bCs/>
                <w:i/>
                <w:iCs/>
                <w:sz w:val="21"/>
                <w:szCs w:val="21"/>
                <w:lang w:val="es-ES_tradnl"/>
              </w:rPr>
              <w:t xml:space="preserve">MANTENIMIENTO </w:t>
            </w:r>
            <w:r w:rsidRPr="00CE2169">
              <w:rPr>
                <w:rFonts w:ascii="Verdana" w:eastAsia="Aptos" w:hAnsi="Verdana" w:cs="Aptos"/>
                <w:i/>
                <w:iCs/>
                <w:sz w:val="21"/>
                <w:szCs w:val="21"/>
                <w:lang w:val="es-ES_tradnl"/>
              </w:rPr>
              <w:t xml:space="preserve">Y/O </w:t>
            </w:r>
            <w:r w:rsidRPr="00CE2169">
              <w:rPr>
                <w:rFonts w:ascii="Verdana" w:eastAsia="Aptos" w:hAnsi="Verdana" w:cs="Aptos"/>
                <w:b/>
                <w:bCs/>
                <w:i/>
                <w:iCs/>
                <w:sz w:val="21"/>
                <w:szCs w:val="21"/>
                <w:lang w:val="es-ES_tradnl"/>
              </w:rPr>
              <w:t>MEJORAMIENTO</w:t>
            </w:r>
            <w:r w:rsidRPr="00CE2169">
              <w:rPr>
                <w:rFonts w:ascii="Verdana" w:eastAsia="Aptos" w:hAnsi="Verdana" w:cs="Aptos"/>
                <w:i/>
                <w:iCs/>
                <w:sz w:val="21"/>
                <w:szCs w:val="21"/>
                <w:lang w:val="es-ES_tradnl"/>
              </w:rPr>
              <w:t xml:space="preserve"> Y/O MODIFICACIÓN U OPTIMIZACIÓN Y/O REHABILITACIÓN Y/O REMODELACIÓN Y/O REPOSICIÓN Y/O REPARACIÓN LOCATIVA Y/O RESTAURACIÓN Y/O RESTITUCIÓN Y/O TERMINACIÓN DE INFRAESTRUCTURA DE SERVICIO PUBLICO”</w:t>
            </w:r>
          </w:p>
          <w:p w14:paraId="69BB14C7" w14:textId="77777777" w:rsidR="00CE2169" w:rsidRPr="00CE2169" w:rsidRDefault="00CE2169" w:rsidP="00CE2169">
            <w:pPr>
              <w:snapToGrid w:val="0"/>
              <w:spacing w:line="276" w:lineRule="auto"/>
              <w:ind w:left="709" w:right="709"/>
              <w:jc w:val="both"/>
              <w:rPr>
                <w:rFonts w:ascii="Verdana" w:eastAsia="Aptos" w:hAnsi="Verdana" w:cs="Aptos"/>
                <w:lang w:val="es-ES_tradnl"/>
              </w:rPr>
            </w:pPr>
          </w:p>
          <w:p w14:paraId="4918FC1F" w14:textId="77777777" w:rsidR="00CE2169" w:rsidRPr="00CE2169" w:rsidRDefault="00CE2169" w:rsidP="00CE2169">
            <w:pPr>
              <w:spacing w:after="120" w:line="276" w:lineRule="auto"/>
              <w:ind w:firstLine="709"/>
              <w:jc w:val="both"/>
              <w:rPr>
                <w:rFonts w:ascii="Verdana" w:eastAsia="Aptos" w:hAnsi="Verdana" w:cs="Aptos"/>
                <w:lang w:val="es-ES_tradnl"/>
              </w:rPr>
            </w:pPr>
            <w:r w:rsidRPr="00CE2169">
              <w:rPr>
                <w:rFonts w:ascii="Verdana" w:eastAsia="Aptos" w:hAnsi="Verdana" w:cs="Aptos"/>
                <w:lang w:val="es-ES_tradnl"/>
              </w:rPr>
              <w:t>De otro lado, hay que mencionar que la actividad señalada, contenida en la Matriz 1 – Experiencia de los documentos tipo del Sector Institucional, de manera general corresponde a proyectos de “</w:t>
            </w:r>
            <w:r w:rsidRPr="00CE2169">
              <w:rPr>
                <w:rFonts w:ascii="Verdana" w:eastAsia="Aptos" w:hAnsi="Verdana" w:cs="Aptos"/>
                <w:i/>
                <w:iCs/>
                <w:lang w:val="es-ES_tradnl"/>
              </w:rPr>
              <w:t>adecuación o mejoramiento o mantenimiento</w:t>
            </w:r>
            <w:r w:rsidRPr="00CE2169">
              <w:rPr>
                <w:rFonts w:ascii="Verdana" w:eastAsia="Aptos" w:hAnsi="Verdana" w:cs="Aptos"/>
                <w:lang w:val="es-ES_tradnl"/>
              </w:rPr>
              <w:t>” y otras intervenciones que allí se indican, relacionadas con “Infraestructura de Servicio Público”, situación que es importante para precisar el ámbito de aplicación de los Documentos Tipo de este sector adoptados en de las Resoluciones 539, 540 y 541 de 2025.</w:t>
            </w:r>
          </w:p>
          <w:p w14:paraId="5E8D0554" w14:textId="77777777" w:rsidR="00CE2169" w:rsidRPr="00CE2169" w:rsidRDefault="00CE2169" w:rsidP="00CE2169">
            <w:pPr>
              <w:spacing w:after="120" w:line="276" w:lineRule="auto"/>
              <w:ind w:firstLine="709"/>
              <w:jc w:val="both"/>
              <w:rPr>
                <w:rFonts w:ascii="Verdana" w:eastAsia="Aptos" w:hAnsi="Verdana" w:cs="Aptos"/>
                <w:i/>
                <w:iCs/>
                <w:lang w:val="es-ES_tradnl"/>
              </w:rPr>
            </w:pPr>
            <w:r w:rsidRPr="00CE2169">
              <w:rPr>
                <w:rFonts w:ascii="Verdana" w:eastAsia="Aptos" w:hAnsi="Verdana" w:cs="Aptos"/>
                <w:lang w:val="es-ES_tradnl"/>
              </w:rPr>
              <w:t xml:space="preserve">La Matriz 1 – Experiencia del Sector Institucional en las distintas modalidades de los Documentos Tipo adoptados por esta Agencia incluye una </w:t>
            </w:r>
            <w:r w:rsidRPr="00CE2169">
              <w:rPr>
                <w:rFonts w:ascii="Verdana" w:eastAsia="Aptos" w:hAnsi="Verdana" w:cs="Aptos"/>
                <w:lang w:val="es-ES_tradnl"/>
              </w:rPr>
              <w:lastRenderedPageBreak/>
              <w:t xml:space="preserve">nota que indica que </w:t>
            </w:r>
            <w:r w:rsidRPr="00CE2169">
              <w:rPr>
                <w:rFonts w:ascii="Verdana" w:eastAsia="Aptos" w:hAnsi="Verdana" w:cs="Aptos"/>
                <w:i/>
                <w:iCs/>
                <w:lang w:val="es-ES_tradnl"/>
              </w:rPr>
              <w:t>“(l)as definiciones contenidas en esta Matriz deben enmarcarse en la normativa vigente en la materia, así como en la NSR 10 o aquellas que los modifiquen, adicionen o sustituyan, así como a las definiciones contenidas en el "Anexo - Glosario del Sector Social"”.</w:t>
            </w:r>
          </w:p>
          <w:p w14:paraId="63126013" w14:textId="77777777" w:rsidR="00CE2169" w:rsidRPr="00CE2169" w:rsidRDefault="00CE2169" w:rsidP="00CE2169">
            <w:pPr>
              <w:spacing w:after="120" w:line="276" w:lineRule="auto"/>
              <w:ind w:firstLine="709"/>
              <w:jc w:val="both"/>
              <w:rPr>
                <w:rFonts w:ascii="Verdana" w:eastAsia="Aptos" w:hAnsi="Verdana" w:cs="Aptos"/>
                <w:lang w:val="es-ES_tradnl"/>
              </w:rPr>
            </w:pPr>
            <w:r w:rsidRPr="00CE2169">
              <w:rPr>
                <w:rFonts w:ascii="Verdana" w:eastAsia="Aptos" w:hAnsi="Verdana" w:cs="Aptos"/>
                <w:lang w:val="es-ES_tradnl"/>
              </w:rPr>
              <w:t xml:space="preserve">Esta nota es congruente con el numeral 1.10 del documento base que dispone </w:t>
            </w:r>
            <w:r w:rsidRPr="00CE2169">
              <w:rPr>
                <w:rFonts w:ascii="Verdana" w:eastAsia="Aptos" w:hAnsi="Verdana" w:cs="Aptos"/>
                <w:i/>
                <w:iCs/>
                <w:lang w:val="es-ES_tradnl"/>
              </w:rPr>
              <w:t>que “[p]ara los fines de este Pliego de Condiciones, a menos que expresamente se estipule de otra manera, los términos deben entenderse de acuerdo con la definición contenida en el artículo 2.2.1.1.1.3.1 del Decreto 1082 de 2015, la Ley 1682 de 2013 o la norma que la modifique, complemente o sustituya y el Anexo 5 – Glosario”.</w:t>
            </w:r>
          </w:p>
          <w:p w14:paraId="52FC9CB5" w14:textId="77777777" w:rsidR="00CE2169" w:rsidRPr="00CE2169" w:rsidRDefault="00CE2169" w:rsidP="00CE2169">
            <w:pPr>
              <w:spacing w:line="276" w:lineRule="auto"/>
              <w:ind w:firstLine="709"/>
              <w:jc w:val="both"/>
              <w:rPr>
                <w:rFonts w:ascii="Verdana" w:eastAsia="Aptos" w:hAnsi="Verdana" w:cs="Times New Roman"/>
                <w:lang w:val="es-ES"/>
              </w:rPr>
            </w:pPr>
            <w:r w:rsidRPr="4E74009F">
              <w:rPr>
                <w:rFonts w:ascii="Verdana" w:eastAsia="Aptos" w:hAnsi="Verdana" w:cs="Aptos"/>
                <w:lang w:val="es-ES"/>
              </w:rPr>
              <w:t xml:space="preserve">De esta forma, considerando que las actividades señaladas recaen sobre obras en proyectos de infraestructura de servicio público, para determinar qué abarca este tipo de infraestructura, debe indicarse que, de conformidad con el </w:t>
            </w:r>
            <w:r w:rsidRPr="4E74009F">
              <w:rPr>
                <w:rFonts w:ascii="Verdana" w:eastAsia="Aptos" w:hAnsi="Verdana" w:cs="Times New Roman"/>
                <w:lang w:val="es-ES"/>
              </w:rPr>
              <w:t>Reglamento Colombiano de Construcción Sismo Resistente NSR-10, en el capítulo K.2. “Clasificación de las edificaciones por grupos de ocupación”, se incluye e</w:t>
            </w:r>
            <w:r w:rsidRPr="4E74009F">
              <w:rPr>
                <w:rFonts w:ascii="Verdana" w:eastAsia="Aptos" w:hAnsi="Verdana" w:cs="Aptos"/>
                <w:lang w:val="es-ES"/>
              </w:rPr>
              <w:t xml:space="preserve">n el numeral </w:t>
            </w:r>
            <w:proofErr w:type="gramStart"/>
            <w:r w:rsidRPr="4E74009F">
              <w:rPr>
                <w:rFonts w:ascii="Verdana" w:eastAsia="Aptos" w:hAnsi="Verdana" w:cs="Aptos"/>
                <w:lang w:val="es-ES"/>
              </w:rPr>
              <w:t>K.2.6.6  el</w:t>
            </w:r>
            <w:proofErr w:type="gramEnd"/>
            <w:r w:rsidRPr="4E74009F">
              <w:rPr>
                <w:rFonts w:ascii="Verdana" w:eastAsia="Aptos" w:hAnsi="Verdana" w:cs="Aptos"/>
                <w:lang w:val="es-ES"/>
              </w:rPr>
              <w:t xml:space="preserve"> Subgrupo de Ocupación Institucional de Servicio Público (I-5), en donde se definen los edificios que lo conforman:</w:t>
            </w:r>
          </w:p>
          <w:p w14:paraId="4014A37F" w14:textId="77777777" w:rsidR="00CE2169" w:rsidRPr="00CE2169" w:rsidRDefault="00CE2169" w:rsidP="00CE2169">
            <w:pPr>
              <w:spacing w:line="276" w:lineRule="auto"/>
              <w:jc w:val="both"/>
              <w:rPr>
                <w:rFonts w:ascii="Verdana" w:eastAsia="Aptos" w:hAnsi="Verdana" w:cs="Aptos"/>
                <w:lang w:val="es-ES_tradnl"/>
              </w:rPr>
            </w:pPr>
          </w:p>
          <w:p w14:paraId="72D10D82" w14:textId="77777777" w:rsidR="00CE2169" w:rsidRPr="00CE2169" w:rsidRDefault="00CE2169" w:rsidP="00CE2169">
            <w:pPr>
              <w:ind w:left="709" w:right="709"/>
              <w:jc w:val="both"/>
              <w:rPr>
                <w:rFonts w:ascii="Verdana" w:eastAsia="Aptos" w:hAnsi="Verdana" w:cs="Aptos"/>
                <w:i/>
                <w:iCs/>
                <w:sz w:val="21"/>
                <w:szCs w:val="21"/>
                <w:lang w:val="es-ES_tradnl"/>
              </w:rPr>
            </w:pPr>
            <w:r w:rsidRPr="00CE2169">
              <w:rPr>
                <w:rFonts w:ascii="Verdana" w:eastAsia="Aptos" w:hAnsi="Verdana" w:cs="Aptos"/>
                <w:sz w:val="21"/>
                <w:szCs w:val="21"/>
                <w:lang w:val="es-ES_tradnl"/>
              </w:rPr>
              <w:t>“</w:t>
            </w:r>
            <w:r w:rsidRPr="00CE2169">
              <w:rPr>
                <w:rFonts w:ascii="Verdana" w:eastAsia="Aptos" w:hAnsi="Verdana" w:cs="Aptos"/>
                <w:i/>
                <w:iCs/>
                <w:sz w:val="21"/>
                <w:szCs w:val="21"/>
                <w:lang w:val="es-ES_tradnl"/>
              </w:rPr>
              <w:t>se clasifican las edificaciones o espacios destinados a funciones administrativas y prestación de servicios públicos necesarios para el buen funcionamiento de las ciudades”.</w:t>
            </w:r>
          </w:p>
          <w:p w14:paraId="59003447" w14:textId="77777777" w:rsidR="00CE2169" w:rsidRPr="00CE2169" w:rsidRDefault="00CE2169" w:rsidP="00CE2169">
            <w:pPr>
              <w:spacing w:line="276" w:lineRule="auto"/>
              <w:jc w:val="both"/>
              <w:rPr>
                <w:rFonts w:ascii="Verdana" w:eastAsia="Aptos" w:hAnsi="Verdana" w:cs="Aptos"/>
                <w:i/>
                <w:iCs/>
                <w:lang w:val="es-ES_tradnl"/>
              </w:rPr>
            </w:pPr>
          </w:p>
          <w:p w14:paraId="77E271F7" w14:textId="77777777" w:rsidR="00CE2169" w:rsidRPr="00CE2169" w:rsidRDefault="00CE2169" w:rsidP="00CE2169">
            <w:pPr>
              <w:snapToGrid w:val="0"/>
              <w:spacing w:after="120" w:line="276" w:lineRule="auto"/>
              <w:ind w:firstLine="709"/>
              <w:jc w:val="both"/>
              <w:rPr>
                <w:rFonts w:ascii="Verdana" w:eastAsia="Aptos" w:hAnsi="Verdana" w:cs="Aptos"/>
                <w:lang w:val="es-ES_tradnl"/>
              </w:rPr>
            </w:pPr>
            <w:r w:rsidRPr="00CE2169">
              <w:rPr>
                <w:rFonts w:ascii="Verdana" w:eastAsia="Aptos" w:hAnsi="Verdana" w:cs="Aptos"/>
                <w:lang w:val="es-ES_tradnl"/>
              </w:rPr>
              <w:t>Y, a su vez, se mencionan las edificaciones que hacen parte de este subgrupo</w:t>
            </w:r>
            <w:r w:rsidRPr="00CE2169">
              <w:rPr>
                <w:rFonts w:ascii="Verdana" w:eastAsia="Aptos" w:hAnsi="Verdana" w:cs="Aptos"/>
                <w:i/>
                <w:iCs/>
                <w:lang w:val="es-ES_tradnl"/>
              </w:rPr>
              <w:t>: “Centros de comunicación, centros administrativos municipales, distritales y gubernamentales, Centros de servicios públicos, juzgados y otros similares</w:t>
            </w:r>
            <w:r w:rsidRPr="00CE2169">
              <w:rPr>
                <w:rFonts w:ascii="Verdana" w:eastAsia="Aptos" w:hAnsi="Verdana" w:cs="Aptos"/>
                <w:lang w:val="es-ES_tradnl"/>
              </w:rPr>
              <w:t>”.</w:t>
            </w:r>
          </w:p>
          <w:p w14:paraId="453AF955" w14:textId="77777777" w:rsidR="00CE2169" w:rsidRPr="00CE2169" w:rsidRDefault="00CE2169" w:rsidP="00CE2169">
            <w:pPr>
              <w:snapToGrid w:val="0"/>
              <w:spacing w:after="120" w:line="276" w:lineRule="auto"/>
              <w:ind w:firstLine="709"/>
              <w:jc w:val="both"/>
              <w:rPr>
                <w:rFonts w:ascii="Verdana" w:eastAsia="Aptos" w:hAnsi="Verdana" w:cs="Aptos"/>
                <w:lang w:val="es-ES_tradnl"/>
              </w:rPr>
            </w:pPr>
            <w:r w:rsidRPr="00CE2169">
              <w:rPr>
                <w:rFonts w:ascii="Verdana" w:eastAsia="Aptos" w:hAnsi="Verdana" w:cs="Aptos"/>
                <w:lang w:val="es-ES_tradnl"/>
              </w:rPr>
              <w:t xml:space="preserve">En este sentido, el Subgrupo de Ocupación Institucional de Servicio Público corresponde a una categoría de clasificación establecida por la NSR-10 que agrupa aquellas edificaciones o espacios destinados al ejercicio de funciones administrativas y a la prestación de servicios públicos esenciales para el adecuado funcionamiento de las ciudades. Este subgrupo comprende centros de comunicación, administrativos y sedes de servicios en distintos niveles, juzgados y otros similares. La expresión “Otros similares” evidencia que la enumeración no es taxativa, sino enunciativa, por lo incluye todas aquellas edificaciones que, por su naturaleza y finalidad, están orientadas a la </w:t>
            </w:r>
            <w:r w:rsidRPr="00CE2169">
              <w:rPr>
                <w:rFonts w:ascii="Verdana" w:eastAsia="Aptos" w:hAnsi="Verdana" w:cs="Aptos"/>
                <w:lang w:val="es-ES_tradnl"/>
              </w:rPr>
              <w:lastRenderedPageBreak/>
              <w:t xml:space="preserve">prestación de servicios públicos y al desarrollo de funciones institucionales del Estado.  </w:t>
            </w:r>
          </w:p>
          <w:p w14:paraId="027BFB3D" w14:textId="77777777" w:rsidR="00CE2169" w:rsidRPr="00CE2169" w:rsidRDefault="00CE2169" w:rsidP="00CE2169">
            <w:pPr>
              <w:snapToGrid w:val="0"/>
              <w:spacing w:after="120" w:line="276" w:lineRule="auto"/>
              <w:ind w:firstLine="709"/>
              <w:jc w:val="both"/>
              <w:rPr>
                <w:rFonts w:ascii="Verdana" w:eastAsia="Aptos" w:hAnsi="Verdana" w:cs="Aptos"/>
                <w:lang w:val="es-ES_tradnl"/>
              </w:rPr>
            </w:pPr>
            <w:r w:rsidRPr="00CE2169">
              <w:rPr>
                <w:rFonts w:ascii="Verdana" w:eastAsia="Aptos" w:hAnsi="Verdana" w:cs="Aptos"/>
                <w:lang w:val="es-ES_tradnl"/>
              </w:rPr>
              <w:t>Por su parte, el artículo 4 “</w:t>
            </w:r>
            <w:r w:rsidRPr="00CE2169">
              <w:rPr>
                <w:rFonts w:ascii="Verdana" w:eastAsia="Aptos" w:hAnsi="Verdana" w:cs="Aptos"/>
                <w:i/>
                <w:iCs/>
                <w:lang w:val="es-ES_tradnl"/>
              </w:rPr>
              <w:t>prestación de este servicio público</w:t>
            </w:r>
            <w:r w:rsidRPr="00CE2169">
              <w:rPr>
                <w:rFonts w:ascii="Verdana" w:eastAsia="Aptos" w:hAnsi="Verdana" w:cs="Aptos"/>
                <w:lang w:val="es-ES_tradnl"/>
              </w:rPr>
              <w:t xml:space="preserve">” del Decreto 2762 de 2001, señala que “(…) </w:t>
            </w:r>
            <w:r w:rsidRPr="00CE2169">
              <w:rPr>
                <w:rFonts w:ascii="Verdana" w:eastAsia="Aptos" w:hAnsi="Verdana" w:cs="Aptos"/>
                <w:i/>
                <w:iCs/>
                <w:lang w:val="es-ES_tradnl"/>
              </w:rPr>
              <w:t>El servicio público a que se refiere este decreto será prestado por personas jurídicas que cumplan con los requisitos establecidos en el mismo y demás normas que lo complementen o adicionen</w:t>
            </w:r>
            <w:r w:rsidRPr="00CE2169">
              <w:rPr>
                <w:rFonts w:ascii="Verdana" w:eastAsia="Aptos" w:hAnsi="Verdana" w:cs="Aptos"/>
                <w:lang w:val="es-ES_tradnl"/>
              </w:rPr>
              <w:t xml:space="preserve">”. En este sentido, las edificaciones donde funcionan las entidades públicas, por el hecho de recaer sobre infraestructura física, deben utilizar los pliegos tipo del sector institucional. </w:t>
            </w:r>
          </w:p>
          <w:p w14:paraId="6961FFF7" w14:textId="77777777" w:rsidR="00CE2169" w:rsidRPr="00CE2169" w:rsidRDefault="00CE2169" w:rsidP="00CE2169">
            <w:pPr>
              <w:snapToGrid w:val="0"/>
              <w:spacing w:after="120" w:line="276" w:lineRule="auto"/>
              <w:ind w:firstLine="709"/>
              <w:jc w:val="both"/>
              <w:rPr>
                <w:rFonts w:ascii="Verdana" w:eastAsia="Aptos" w:hAnsi="Verdana" w:cs="Aptos"/>
                <w:lang w:val="es-ES_tradnl"/>
              </w:rPr>
            </w:pPr>
            <w:r w:rsidRPr="00CE2169">
              <w:rPr>
                <w:rFonts w:ascii="Verdana" w:eastAsia="Aptos" w:hAnsi="Verdana" w:cs="Aptos"/>
                <w:lang w:val="es-ES_tradnl"/>
              </w:rPr>
              <w:t>Por otra parte, hay que reiterar que la aplicación de los documentos tipo está dada en función de si el objeto del proceso de selección se enmarca en alguna de las actividades contenidas en las Matrices de Experiencia.</w:t>
            </w:r>
          </w:p>
          <w:p w14:paraId="6FA59865" w14:textId="77777777" w:rsidR="00CE2169" w:rsidRPr="00CE2169" w:rsidRDefault="00CE2169" w:rsidP="00CE2169">
            <w:pPr>
              <w:snapToGrid w:val="0"/>
              <w:spacing w:after="120" w:line="276" w:lineRule="auto"/>
              <w:ind w:firstLine="709"/>
              <w:jc w:val="both"/>
              <w:rPr>
                <w:rFonts w:ascii="Verdana" w:eastAsia="Aptos" w:hAnsi="Verdana" w:cs="Aptos"/>
                <w:lang w:val="es-ES"/>
              </w:rPr>
            </w:pPr>
            <w:r w:rsidRPr="4E74009F">
              <w:rPr>
                <w:rFonts w:ascii="Verdana" w:eastAsia="Aptos" w:hAnsi="Verdana" w:cs="Aptos"/>
                <w:lang w:val="es-ES"/>
              </w:rPr>
              <w:t>Para establecer si determinado objeto contractual se encuentra cobijado o no por los documentos tipo, es necesario determinar si el mismo se enmarca en los tipos de infraestructura, modalidades de selección y tipos de obra contenidos en las respectivas matrices de experiencia, de cada uno de los sectores para los cuales existen documentos tipo.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los documentos tipo.</w:t>
            </w:r>
          </w:p>
          <w:p w14:paraId="3ED46097" w14:textId="77777777" w:rsidR="00CE2169" w:rsidRPr="00CE2169" w:rsidRDefault="00CE2169" w:rsidP="00CE2169">
            <w:pPr>
              <w:snapToGrid w:val="0"/>
              <w:spacing w:after="120" w:line="276" w:lineRule="auto"/>
              <w:ind w:firstLine="709"/>
              <w:jc w:val="both"/>
              <w:rPr>
                <w:rFonts w:ascii="Verdana" w:eastAsia="Aptos" w:hAnsi="Verdana" w:cs="Aptos"/>
                <w:i/>
                <w:iCs/>
                <w:lang w:val="es-ES_tradnl"/>
              </w:rPr>
            </w:pPr>
            <w:r w:rsidRPr="00CE2169">
              <w:rPr>
                <w:rFonts w:ascii="Verdana" w:eastAsia="Aptos" w:hAnsi="Verdana" w:cs="Aptos"/>
                <w:lang w:val="es-ES_tradnl"/>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748A4B1B" w14:textId="77777777" w:rsidR="00CE2169" w:rsidRPr="00CE2169" w:rsidRDefault="00CE2169" w:rsidP="00CE2169">
            <w:pPr>
              <w:snapToGrid w:val="0"/>
              <w:spacing w:after="120" w:line="276" w:lineRule="auto"/>
              <w:ind w:firstLine="709"/>
              <w:jc w:val="both"/>
              <w:rPr>
                <w:rFonts w:ascii="Verdana" w:eastAsia="Aptos" w:hAnsi="Verdana" w:cs="Aptos"/>
                <w:lang w:val="es-ES_tradnl"/>
              </w:rPr>
            </w:pPr>
            <w:r w:rsidRPr="00CE2169">
              <w:rPr>
                <w:rFonts w:ascii="Verdana" w:eastAsia="Aptos" w:hAnsi="Verdana" w:cs="Aptos"/>
                <w:lang w:val="es-ES_tradnl"/>
              </w:rPr>
              <w:t xml:space="preserve">Además, conviene precisar que el objeto contractual planteado podría enmarcarse en la actividad </w:t>
            </w:r>
            <w:r w:rsidRPr="00CE2169">
              <w:rPr>
                <w:rFonts w:ascii="Verdana" w:eastAsia="Aptos" w:hAnsi="Verdana" w:cs="Aptos"/>
                <w:i/>
                <w:iCs/>
                <w:lang w:val="es-ES_tradnl"/>
              </w:rPr>
              <w:t xml:space="preserve">“2.2. PROYECTOS DE </w:t>
            </w:r>
            <w:r w:rsidRPr="00CE2169">
              <w:rPr>
                <w:rFonts w:ascii="Verdana" w:eastAsia="Aptos" w:hAnsi="Verdana" w:cs="Aptos"/>
                <w:b/>
                <w:bCs/>
                <w:i/>
                <w:iCs/>
                <w:lang w:val="es-ES_tradnl"/>
              </w:rPr>
              <w:t xml:space="preserve">ADECUACIÓN </w:t>
            </w:r>
            <w:r w:rsidRPr="00CE2169">
              <w:rPr>
                <w:rFonts w:ascii="Verdana" w:eastAsia="Aptos" w:hAnsi="Verdana" w:cs="Aptos"/>
                <w:i/>
                <w:iCs/>
                <w:lang w:val="es-ES_tradnl"/>
              </w:rPr>
              <w:t xml:space="preserve">Y/O CONSERVACIÓN Y/O </w:t>
            </w:r>
            <w:r w:rsidRPr="00CE2169">
              <w:rPr>
                <w:rFonts w:ascii="Verdana" w:eastAsia="Aptos" w:hAnsi="Verdana" w:cs="Aptos"/>
                <w:b/>
                <w:bCs/>
                <w:i/>
                <w:iCs/>
                <w:lang w:val="es-ES_tradnl"/>
              </w:rPr>
              <w:t>INTERVENCIÓN</w:t>
            </w:r>
            <w:r w:rsidRPr="00CE2169">
              <w:rPr>
                <w:rFonts w:ascii="Verdana" w:eastAsia="Aptos" w:hAnsi="Verdana" w:cs="Aptos"/>
                <w:i/>
                <w:iCs/>
                <w:lang w:val="es-ES_tradnl"/>
              </w:rPr>
              <w:t xml:space="preserve"> Y/O INSTALACIÓN Y/O </w:t>
            </w:r>
            <w:r w:rsidRPr="00CE2169">
              <w:rPr>
                <w:rFonts w:ascii="Verdana" w:eastAsia="Aptos" w:hAnsi="Verdana" w:cs="Aptos"/>
                <w:b/>
                <w:bCs/>
                <w:i/>
                <w:iCs/>
                <w:lang w:val="es-ES_tradnl"/>
              </w:rPr>
              <w:t xml:space="preserve">MANTENIMIENTO </w:t>
            </w:r>
            <w:r w:rsidRPr="00CE2169">
              <w:rPr>
                <w:rFonts w:ascii="Verdana" w:eastAsia="Aptos" w:hAnsi="Verdana" w:cs="Aptos"/>
                <w:i/>
                <w:iCs/>
                <w:lang w:val="es-ES_tradnl"/>
              </w:rPr>
              <w:t xml:space="preserve">Y/O </w:t>
            </w:r>
            <w:r w:rsidRPr="00CE2169">
              <w:rPr>
                <w:rFonts w:ascii="Verdana" w:eastAsia="Aptos" w:hAnsi="Verdana" w:cs="Aptos"/>
                <w:b/>
                <w:bCs/>
                <w:i/>
                <w:iCs/>
                <w:lang w:val="es-ES_tradnl"/>
              </w:rPr>
              <w:t>MEJORAMIENTO</w:t>
            </w:r>
            <w:r w:rsidRPr="00CE2169">
              <w:rPr>
                <w:rFonts w:ascii="Verdana" w:eastAsia="Aptos" w:hAnsi="Verdana" w:cs="Aptos"/>
                <w:i/>
                <w:iCs/>
                <w:lang w:val="es-ES_tradnl"/>
              </w:rPr>
              <w:t xml:space="preserve"> Y/O MODIFICACIÓN U OPTIMIZACIÓN Y/O REHABILITACIÓN Y/O REMODELACIÓN Y/O REPOSICIÓN Y/O REPARACIÓN LOCATIVA Y/O RESTAURACIÓN Y/O RESTITUCIÓN Y/O TERMINACIÓN DE INFRAESTRUCTURA DE SERVICIO PUBLICO”, </w:t>
            </w:r>
            <w:r w:rsidRPr="00CE2169">
              <w:rPr>
                <w:rFonts w:ascii="Verdana" w:eastAsia="Aptos" w:hAnsi="Verdana" w:cs="Aptos"/>
                <w:lang w:val="es-ES_tradnl"/>
              </w:rPr>
              <w:t xml:space="preserve">de forma tal </w:t>
            </w:r>
            <w:r w:rsidRPr="00CE2169">
              <w:rPr>
                <w:rFonts w:ascii="Verdana" w:eastAsia="Aptos" w:hAnsi="Verdana" w:cs="Aptos"/>
                <w:lang w:val="es-ES_tradnl"/>
              </w:rPr>
              <w:lastRenderedPageBreak/>
              <w:t>que a la entidad le correspondería la implementación de los documentos tipo de este sector.</w:t>
            </w:r>
          </w:p>
          <w:p w14:paraId="78704B3C" w14:textId="77777777" w:rsidR="00CE2169" w:rsidRPr="00CE2169" w:rsidRDefault="00CE2169" w:rsidP="00CE2169">
            <w:pPr>
              <w:snapToGrid w:val="0"/>
              <w:spacing w:line="276" w:lineRule="auto"/>
              <w:ind w:firstLine="709"/>
              <w:jc w:val="both"/>
              <w:rPr>
                <w:rFonts w:ascii="Verdana" w:eastAsia="Aptos" w:hAnsi="Verdana" w:cs="Aptos"/>
                <w:lang w:val="es-ES_tradnl"/>
              </w:rPr>
            </w:pPr>
            <w:r w:rsidRPr="00CE2169">
              <w:rPr>
                <w:rFonts w:ascii="Verdana" w:eastAsia="Aptos" w:hAnsi="Verdana" w:cs="Aptos"/>
                <w:lang w:val="es-ES_tradnl"/>
              </w:rPr>
              <w:t>Adicionalmente, la infraestructura social, de acuerdo con la definición 2.115 del glosario técnico, está relacionada con:</w:t>
            </w:r>
          </w:p>
          <w:p w14:paraId="07032387" w14:textId="77777777" w:rsidR="00CE2169" w:rsidRPr="00CE2169" w:rsidRDefault="00CE2169" w:rsidP="00CE2169">
            <w:pPr>
              <w:spacing w:line="276" w:lineRule="auto"/>
              <w:jc w:val="both"/>
              <w:rPr>
                <w:rFonts w:ascii="Verdana" w:eastAsia="Aptos" w:hAnsi="Verdana" w:cs="Aptos"/>
                <w:lang w:val="es-ES_tradnl"/>
              </w:rPr>
            </w:pPr>
          </w:p>
          <w:p w14:paraId="1E76A6B8" w14:textId="77777777" w:rsidR="00CE2169" w:rsidRPr="00CE2169" w:rsidRDefault="00CE2169" w:rsidP="00CE2169">
            <w:pPr>
              <w:ind w:left="709" w:right="709"/>
              <w:jc w:val="both"/>
              <w:rPr>
                <w:rFonts w:ascii="Verdana" w:eastAsia="Aptos" w:hAnsi="Verdana" w:cs="Aptos"/>
                <w:b/>
                <w:bCs/>
                <w:sz w:val="21"/>
                <w:szCs w:val="21"/>
                <w:lang w:val="es-ES"/>
              </w:rPr>
            </w:pPr>
            <w:r w:rsidRPr="00CE2169">
              <w:rPr>
                <w:rFonts w:ascii="Verdana" w:eastAsia="Aptos" w:hAnsi="Verdana" w:cs="Aptos"/>
                <w:b/>
                <w:bCs/>
                <w:sz w:val="21"/>
                <w:szCs w:val="21"/>
                <w:lang w:val="es-ES"/>
              </w:rPr>
              <w:t>“</w:t>
            </w:r>
            <w:r w:rsidRPr="00CE2169">
              <w:rPr>
                <w:rFonts w:ascii="Verdana" w:eastAsia="Aptos" w:hAnsi="Verdana" w:cs="Aptos"/>
                <w:b/>
                <w:bCs/>
                <w:i/>
                <w:iCs/>
                <w:sz w:val="21"/>
                <w:szCs w:val="21"/>
                <w:lang w:val="es-ES"/>
              </w:rPr>
              <w:t xml:space="preserve">Infraestructura Social. </w:t>
            </w:r>
            <w:r w:rsidRPr="00CE2169">
              <w:rPr>
                <w:rFonts w:ascii="Verdana" w:eastAsia="Aptos" w:hAnsi="Verdana" w:cs="Aptos"/>
                <w:i/>
                <w:iCs/>
                <w:sz w:val="21"/>
                <w:szCs w:val="21"/>
                <w:lang w:val="es-ES"/>
              </w:rPr>
              <w:t>Es el conjunto de equipamientos, elementos, instalaciones, edificaciones, dotaciones y espacios básicos, públicos y privados, destinados a la promoción de servicios y a la oferta social que demanda una comunidad para su desarrollo, funcionamiento y goce efectivo de los derechos fundamentales de sus integrantes, en áreas como educación, salud, esparcimiento, deporte y cultura, inclusión productiva, bienestar familiar, participación comunitaria, servicios públicos domiciliarios, etc., que se desarrollarán en el marco normativo previsto en cada uno de los sectores, y que contribuyen a brindar apoyo funcional a la administración pública. La responsabilidad de la ejecución de actividades, planes y programas en materia de infraestructura social y de servicios públicos domiciliarios estará exclusivamente en cabeza de cada una de las entidades públicas competentes. Lo anterior, sin perjuicio de la "financiación o cofinanciación que puedan brindar las entidades públicas o privadas, del orden internacional, nacional, departamental, distrital, distrito especial y municipal.”</w:t>
            </w:r>
          </w:p>
          <w:p w14:paraId="48E6AEEB" w14:textId="77777777" w:rsidR="00CE2169" w:rsidRPr="00CE2169" w:rsidRDefault="00CE2169" w:rsidP="00CE2169">
            <w:pPr>
              <w:spacing w:line="276" w:lineRule="auto"/>
              <w:jc w:val="both"/>
              <w:rPr>
                <w:rFonts w:ascii="Verdana" w:eastAsia="Aptos" w:hAnsi="Verdana" w:cs="Aptos"/>
                <w:b/>
                <w:bCs/>
                <w:lang w:val="es-ES"/>
              </w:rPr>
            </w:pPr>
          </w:p>
          <w:p w14:paraId="54D1518D" w14:textId="77777777" w:rsidR="00CE2169" w:rsidRPr="00CE2169" w:rsidRDefault="00CE2169" w:rsidP="00CE2169">
            <w:pPr>
              <w:snapToGrid w:val="0"/>
              <w:spacing w:after="120" w:line="276" w:lineRule="auto"/>
              <w:ind w:firstLine="709"/>
              <w:jc w:val="both"/>
              <w:rPr>
                <w:rFonts w:ascii="Verdana" w:eastAsia="Aptos" w:hAnsi="Verdana" w:cs="Aptos"/>
                <w:lang w:val="es-ES_tradnl"/>
              </w:rPr>
            </w:pPr>
            <w:r w:rsidRPr="00CE2169">
              <w:rPr>
                <w:rFonts w:ascii="Verdana" w:eastAsia="Aptos" w:hAnsi="Verdana" w:cs="Aptos"/>
                <w:lang w:val="es-ES_tradnl"/>
              </w:rPr>
              <w:t>Para el sector social, la Agencia Nacional de Contratación Pública – Colombia Compra Eficiente en el segundo semestre del año 2025 adoptó las siguientes resoluciones para contratar obra pública e interventoría y consultoría de estudios de ingeniería de infraestructura social:</w:t>
            </w:r>
          </w:p>
          <w:p w14:paraId="7D326270" w14:textId="77777777" w:rsidR="00CE2169" w:rsidRPr="00CE2169" w:rsidRDefault="00CE2169" w:rsidP="00CE2169">
            <w:pPr>
              <w:snapToGrid w:val="0"/>
              <w:spacing w:after="120" w:line="276" w:lineRule="auto"/>
              <w:ind w:firstLine="709"/>
              <w:jc w:val="both"/>
              <w:rPr>
                <w:rFonts w:ascii="Verdana" w:eastAsia="Aptos" w:hAnsi="Verdana" w:cs="Aptos"/>
                <w:lang w:val="es-ES"/>
              </w:rPr>
            </w:pPr>
            <w:r w:rsidRPr="4E74009F">
              <w:rPr>
                <w:rFonts w:ascii="Verdana" w:eastAsia="Aptos" w:hAnsi="Verdana" w:cs="Aptos"/>
                <w:lang w:val="es-ES"/>
              </w:rPr>
              <w:t>Tanto las Resoluciones 539, 540 y 541 del 21 de agosto de 2025,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 .</w:t>
            </w:r>
          </w:p>
          <w:p w14:paraId="10F76930" w14:textId="77777777" w:rsidR="00CE2169" w:rsidRPr="00CE2169" w:rsidRDefault="00CE2169" w:rsidP="00CE2169">
            <w:pPr>
              <w:snapToGrid w:val="0"/>
              <w:spacing w:after="120" w:line="276" w:lineRule="auto"/>
              <w:ind w:firstLine="709"/>
              <w:jc w:val="both"/>
              <w:rPr>
                <w:rFonts w:ascii="Verdana" w:eastAsia="Aptos" w:hAnsi="Verdana" w:cs="Aptos"/>
                <w:lang w:val="es-ES_tradnl"/>
              </w:rPr>
            </w:pPr>
            <w:r w:rsidRPr="00CE2169">
              <w:rPr>
                <w:rFonts w:ascii="Verdana" w:eastAsia="Aptos" w:hAnsi="Verdana" w:cs="Aptos"/>
                <w:lang w:val="es-ES_tradnl"/>
              </w:rPr>
              <w:t xml:space="preserve">De acuerdo con el artículo tercero de las Resoluciones 539, 540 y 541 del 21 de agosto de 2025, los Documentos Tipo que estas adoptan son de </w:t>
            </w:r>
            <w:r w:rsidRPr="00CE2169">
              <w:rPr>
                <w:rFonts w:ascii="Verdana" w:eastAsia="Aptos" w:hAnsi="Verdana" w:cs="Aptos"/>
                <w:lang w:val="es-ES_tradnl"/>
              </w:rPr>
              <w:lastRenderedPageBreak/>
              <w:t xml:space="preserve">carácter obligatorio en la actividad contractual de las Entidades Estatales sometidas al Estatuto General de Contratación de la Administración Pública. </w:t>
            </w:r>
          </w:p>
          <w:p w14:paraId="7E8B0BB5" w14:textId="77777777" w:rsidR="00CE2169" w:rsidRPr="00CE2169" w:rsidRDefault="00CE2169" w:rsidP="00CE2169">
            <w:pPr>
              <w:snapToGrid w:val="0"/>
              <w:spacing w:line="276" w:lineRule="auto"/>
              <w:ind w:firstLine="709"/>
              <w:jc w:val="both"/>
              <w:rPr>
                <w:rFonts w:ascii="Verdana" w:eastAsia="Aptos" w:hAnsi="Verdana" w:cs="Aptos"/>
                <w:lang w:val="es-ES_tradnl"/>
              </w:rPr>
            </w:pPr>
            <w:r w:rsidRPr="00CE2169">
              <w:rPr>
                <w:rFonts w:ascii="Verdana" w:eastAsia="Aptos" w:hAnsi="Verdana" w:cs="Aptos"/>
                <w:lang w:val="es-ES_tradnl"/>
              </w:rPr>
              <w:t>Finalmente, procede señalar que la determinación sobre la aplicación de los documentos tipo se da en función de las actividades contenidas en la Matriz de Experiencia. En tal sentido, la “</w:t>
            </w:r>
            <w:r w:rsidRPr="00CE2169">
              <w:rPr>
                <w:rFonts w:ascii="Verdana" w:eastAsia="Aptos" w:hAnsi="Verdana" w:cs="Aptos"/>
                <w:b/>
                <w:bCs/>
                <w:i/>
                <w:iCs/>
                <w:lang w:val="es-ES_tradnl"/>
              </w:rPr>
              <w:t>intervención de edificación institucional</w:t>
            </w:r>
            <w:r w:rsidRPr="00CE2169">
              <w:rPr>
                <w:rFonts w:ascii="Verdana" w:eastAsia="Aptos" w:hAnsi="Verdana" w:cs="Aptos"/>
                <w:lang w:val="es-ES_tradnl"/>
              </w:rPr>
              <w:t xml:space="preserve">”, independientemente de si dicha edificación se encuentra destinada a la prestación del servicio público en actividades relacionadas con el sector transporte, conlleva la obligación de aplicar los documentos tipo del sector social, específicamente del subsector institucional, toda vez que este objeto contractual podría enmarcarse en alguna de las actividades contenidas en el capítulo </w:t>
            </w:r>
            <w:r w:rsidRPr="00CE2169">
              <w:rPr>
                <w:rFonts w:ascii="Verdana" w:eastAsia="Aptos" w:hAnsi="Verdana" w:cs="Aptos"/>
                <w:i/>
                <w:iCs/>
                <w:lang w:val="es-ES_tradnl"/>
              </w:rPr>
              <w:t xml:space="preserve">2. OBRAS EN PROYECTOS DE INFRAESTRUCTURA INSTITUCIONAL DE SERVICIO PUBLICO </w:t>
            </w:r>
            <w:r w:rsidRPr="00CE2169">
              <w:rPr>
                <w:rFonts w:ascii="Verdana" w:eastAsia="Aptos" w:hAnsi="Verdana" w:cs="Aptos"/>
                <w:lang w:val="es-ES_tradnl"/>
              </w:rPr>
              <w:t>de estos documentos tipo.</w:t>
            </w:r>
          </w:p>
        </w:tc>
      </w:tr>
    </w:tbl>
    <w:p w14:paraId="25810521" w14:textId="77777777" w:rsidR="00CE2169" w:rsidRPr="00CE2169" w:rsidRDefault="00CE2169" w:rsidP="00CE2169">
      <w:pPr>
        <w:tabs>
          <w:tab w:val="left" w:pos="142"/>
          <w:tab w:val="left" w:pos="284"/>
        </w:tabs>
        <w:snapToGrid w:val="0"/>
        <w:spacing w:after="0" w:line="276" w:lineRule="auto"/>
        <w:jc w:val="both"/>
        <w:rPr>
          <w:rFonts w:ascii="Verdana" w:eastAsia="Century Gothic" w:hAnsi="Verdana" w:cs="Century Gothic"/>
          <w:b/>
          <w:bCs/>
        </w:rPr>
      </w:pPr>
    </w:p>
    <w:p w14:paraId="61AE81C7" w14:textId="77777777" w:rsidR="00CE2169" w:rsidRPr="00CE2169" w:rsidRDefault="00CE2169" w:rsidP="00CE2169">
      <w:pPr>
        <w:numPr>
          <w:ilvl w:val="0"/>
          <w:numId w:val="16"/>
        </w:numPr>
        <w:tabs>
          <w:tab w:val="left" w:pos="142"/>
          <w:tab w:val="left" w:pos="284"/>
        </w:tabs>
        <w:snapToGrid w:val="0"/>
        <w:spacing w:after="0" w:line="276" w:lineRule="auto"/>
        <w:jc w:val="both"/>
        <w:rPr>
          <w:rFonts w:ascii="Verdana" w:eastAsia="Century Gothic" w:hAnsi="Verdana" w:cs="Century Gothic"/>
          <w:b/>
          <w:bCs/>
        </w:rPr>
      </w:pPr>
      <w:r w:rsidRPr="00CE2169">
        <w:rPr>
          <w:rFonts w:ascii="Verdana" w:eastAsia="Century Gothic" w:hAnsi="Verdana" w:cs="Century Gothic"/>
          <w:b/>
          <w:bCs/>
        </w:rPr>
        <w:t>Razones de la respuesta:</w:t>
      </w:r>
    </w:p>
    <w:p w14:paraId="7EB5915F" w14:textId="77777777" w:rsidR="00CE2169" w:rsidRPr="00CE2169" w:rsidRDefault="00CE2169" w:rsidP="00CE2169">
      <w:pPr>
        <w:snapToGrid w:val="0"/>
        <w:spacing w:after="0" w:line="276" w:lineRule="auto"/>
        <w:jc w:val="both"/>
        <w:rPr>
          <w:rFonts w:ascii="Verdana" w:eastAsia="Calibri" w:hAnsi="Verdana" w:cs="Arial"/>
        </w:rPr>
      </w:pPr>
    </w:p>
    <w:p w14:paraId="1696E0CD" w14:textId="77777777" w:rsidR="00CE2169" w:rsidRPr="00CE2169" w:rsidRDefault="00CE2169" w:rsidP="00CE2169">
      <w:pPr>
        <w:snapToGrid w:val="0"/>
        <w:spacing w:after="0" w:line="276" w:lineRule="auto"/>
        <w:jc w:val="both"/>
        <w:rPr>
          <w:rFonts w:ascii="Verdana" w:eastAsia="Calibri" w:hAnsi="Verdana" w:cs="Arial"/>
        </w:rPr>
      </w:pPr>
      <w:r w:rsidRPr="00CE2169">
        <w:rPr>
          <w:rFonts w:ascii="Verdana" w:eastAsia="Calibri" w:hAnsi="Verdana" w:cs="Arial"/>
        </w:rPr>
        <w:t xml:space="preserve">Lo anterior se sustenta en las siguientes consideraciones: </w:t>
      </w:r>
    </w:p>
    <w:p w14:paraId="353AD28B" w14:textId="77777777" w:rsidR="00CE2169" w:rsidRPr="00CE2169" w:rsidRDefault="00CE2169" w:rsidP="00CE2169">
      <w:pPr>
        <w:snapToGrid w:val="0"/>
        <w:spacing w:after="0" w:line="276" w:lineRule="auto"/>
        <w:jc w:val="both"/>
        <w:rPr>
          <w:rFonts w:ascii="Verdana" w:eastAsia="Calibri" w:hAnsi="Verdana" w:cs="Arial"/>
        </w:rPr>
      </w:pPr>
    </w:p>
    <w:p w14:paraId="2CABEF92" w14:textId="77777777" w:rsidR="00CE2169" w:rsidRPr="00CE2169" w:rsidRDefault="00CE2169" w:rsidP="00CE2169">
      <w:pPr>
        <w:snapToGrid w:val="0"/>
        <w:spacing w:after="120" w:line="276" w:lineRule="auto"/>
        <w:jc w:val="both"/>
        <w:rPr>
          <w:rFonts w:ascii="Verdana" w:eastAsia="Calibri" w:hAnsi="Verdana" w:cs="Arial"/>
        </w:rPr>
      </w:pPr>
      <w:r w:rsidRPr="00CE2169">
        <w:rPr>
          <w:rFonts w:ascii="Verdana" w:eastAsia="Calibri" w:hAnsi="Verdana" w:cs="Arial"/>
        </w:rPr>
        <w:t xml:space="preserve">Los documentos tipo expedidos por la Agencia Nacional de Contratación Pública </w:t>
      </w:r>
      <w:r w:rsidRPr="00CE2169">
        <w:rPr>
          <w:rFonts w:ascii="Verdana" w:eastAsia="Symbol" w:hAnsi="Verdana" w:cs="Symbol"/>
        </w:rPr>
        <w:t>-</w:t>
      </w:r>
      <w:r w:rsidRPr="00CE2169">
        <w:rPr>
          <w:rFonts w:ascii="Verdana" w:eastAsia="Calibri" w:hAnsi="Verdana" w:cs="Aria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5B127C0B" w14:textId="77777777" w:rsidR="00CE2169" w:rsidRPr="00CE2169" w:rsidRDefault="00CE2169" w:rsidP="00CE2169">
      <w:pPr>
        <w:snapToGrid w:val="0"/>
        <w:spacing w:after="120" w:line="276" w:lineRule="auto"/>
        <w:ind w:firstLine="709"/>
        <w:jc w:val="both"/>
        <w:rPr>
          <w:rFonts w:ascii="Verdana" w:eastAsia="Calibri" w:hAnsi="Verdana" w:cs="Times New Roman"/>
        </w:rPr>
      </w:pPr>
      <w:r w:rsidRPr="00CE2169">
        <w:rPr>
          <w:rFonts w:ascii="Verdana" w:eastAsia="Calibri" w:hAnsi="Verdana" w:cs="Times New Roman"/>
        </w:rPr>
        <w:t>La Agencia Nacional de Contratación Pública – Colombia Compra Eficiente ha expedido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CE2169">
        <w:rPr>
          <w:rFonts w:ascii="Verdana" w:eastAsia="Calibri" w:hAnsi="Verdana" w:cs="Times New Roman"/>
          <w:vertAlign w:val="superscript"/>
        </w:rPr>
        <w:footnoteReference w:id="1"/>
      </w:r>
      <w:r w:rsidRPr="00CE2169">
        <w:rPr>
          <w:rFonts w:ascii="Verdana" w:eastAsia="Calibri" w:hAnsi="Verdana" w:cs="Times New Roman"/>
        </w:rPr>
        <w:t>.</w:t>
      </w:r>
    </w:p>
    <w:p w14:paraId="6F2DA130" w14:textId="77777777" w:rsidR="00CE2169" w:rsidRPr="00CE2169" w:rsidRDefault="00CE2169" w:rsidP="00CE2169">
      <w:pPr>
        <w:snapToGrid w:val="0"/>
        <w:spacing w:after="120" w:line="276" w:lineRule="auto"/>
        <w:ind w:firstLine="709"/>
        <w:jc w:val="both"/>
        <w:rPr>
          <w:rFonts w:ascii="Verdana" w:eastAsia="Calibri" w:hAnsi="Verdana" w:cs="Times New Roman"/>
          <w:kern w:val="2"/>
          <w:lang w:val="es-ES" w:eastAsia="es-MX"/>
          <w14:ligatures w14:val="standardContextual"/>
        </w:rPr>
      </w:pPr>
      <w:r w:rsidRPr="00CE2169">
        <w:rPr>
          <w:rFonts w:ascii="Verdana" w:eastAsia="Calibri" w:hAnsi="Verdana" w:cs="Times New Roman"/>
          <w:kern w:val="2"/>
          <w:lang w:val="es-ES" w:eastAsia="es-MX"/>
          <w14:ligatures w14:val="standardContextual"/>
        </w:rPr>
        <w:lastRenderedPageBreak/>
        <w:t>Recientemente, los documentos tipo del sector de infraestructura social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448D9D8E" w14:textId="77777777" w:rsidR="00CE2169" w:rsidRPr="00CE2169" w:rsidRDefault="00CE2169" w:rsidP="00CE2169">
      <w:pPr>
        <w:snapToGrid w:val="0"/>
        <w:spacing w:after="120" w:line="276" w:lineRule="auto"/>
        <w:ind w:firstLine="709"/>
        <w:jc w:val="both"/>
        <w:rPr>
          <w:rFonts w:ascii="Verdana" w:eastAsia="Calibri" w:hAnsi="Verdana" w:cs="Times New Roman"/>
          <w:kern w:val="2"/>
          <w:lang w:val="es-ES" w:eastAsia="es-MX"/>
          <w14:ligatures w14:val="standardContextual"/>
        </w:rPr>
      </w:pPr>
      <w:r w:rsidRPr="00CE2169">
        <w:rPr>
          <w:rFonts w:ascii="Verdana" w:eastAsia="Calibri" w:hAnsi="Verdana" w:cs="Times New Roman"/>
          <w:kern w:val="2"/>
          <w:lang w:val="es-ES" w:eastAsia="es-MX"/>
          <w14:ligatures w14:val="standardContextual"/>
        </w:rPr>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07E238D1" w14:textId="77777777" w:rsidR="00CE2169" w:rsidRPr="00CE2169" w:rsidRDefault="00CE2169" w:rsidP="00CE2169">
      <w:pPr>
        <w:snapToGrid w:val="0"/>
        <w:spacing w:after="120" w:line="276" w:lineRule="auto"/>
        <w:ind w:firstLine="709"/>
        <w:jc w:val="both"/>
        <w:rPr>
          <w:rFonts w:ascii="Verdana" w:eastAsia="Calibri" w:hAnsi="Verdana" w:cs="Times New Roman"/>
        </w:rPr>
      </w:pPr>
      <w:r w:rsidRPr="00CE2169">
        <w:rPr>
          <w:rFonts w:ascii="Verdana" w:eastAsia="Calibri" w:hAnsi="Verdana" w:cs="Times New Roman"/>
        </w:rPr>
        <w:t>En línea con lo anterior, esta Agencia expidió la versión 2 de los documentos tipo transversales para los procesos de concurso de méritos para contratar la interventoría de obras públicas de infraestructura social, y los documentos tipo complementarios relacionados con los sectores de educación, salud, cultura, recreación, deporte, institucional y vivienda, mediante la Resolución No. 953 del 15 de diciembre de 2025. Además, acogió los documentos tipo para los procesos de selección de concurso de méritos, para contratar la consultoría de estudios de ingeniería de infraestructura social; que agrupa los sectores de educación, salud, cultura, recreación y deporte, institucional y vivienda, a través de la Resolución No. 952 del 15 de diciembre de 2025. Estos documentos entraron en vigor para los procesos de contratación de interventoría y consultoría cuyo aviso de convocatoria se publique a partir del 16 de febrero de 2026.</w:t>
      </w:r>
    </w:p>
    <w:p w14:paraId="0CAA5071" w14:textId="77777777" w:rsidR="00CE2169" w:rsidRPr="00CE2169" w:rsidRDefault="00CE2169" w:rsidP="00CE2169">
      <w:pPr>
        <w:spacing w:after="120" w:line="276" w:lineRule="auto"/>
        <w:ind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lastRenderedPageBreak/>
        <w:t>La Matriz 1 - Experiencia - Documento tipo de Licitación pública del "</w:t>
      </w:r>
      <w:r w:rsidRPr="00CE2169">
        <w:rPr>
          <w:rFonts w:ascii="Verdana" w:eastAsia="Aptos" w:hAnsi="Verdana" w:cs="Aptos"/>
          <w:i/>
          <w:iCs/>
          <w:kern w:val="2"/>
          <w:lang w:val="es-ES_tradnl"/>
          <w14:ligatures w14:val="standardContextual"/>
        </w:rPr>
        <w:t>Sector Institucional</w:t>
      </w:r>
      <w:r w:rsidRPr="00CE2169">
        <w:rPr>
          <w:rFonts w:ascii="Verdana" w:eastAsia="Aptos" w:hAnsi="Verdana" w:cs="Aptos"/>
          <w:kern w:val="2"/>
          <w:lang w:val="es-ES_tradnl"/>
          <w14:ligatures w14:val="standardContextual"/>
        </w:rPr>
        <w:t xml:space="preserve">" dentro del capítulo </w:t>
      </w:r>
      <w:r w:rsidRPr="00CE2169">
        <w:rPr>
          <w:rFonts w:ascii="Verdana" w:eastAsia="Aptos" w:hAnsi="Verdana" w:cs="Aptos"/>
          <w:i/>
          <w:iCs/>
          <w:kern w:val="2"/>
          <w:lang w:val="es-ES_tradnl"/>
          <w14:ligatures w14:val="standardContextual"/>
        </w:rPr>
        <w:t>2. OBRAS EN PROYECTOS DE INFRAESTRUCTURA INSTITUCIONAL DE SERVICIO PUBLICO</w:t>
      </w:r>
      <w:r w:rsidRPr="00CE2169">
        <w:rPr>
          <w:rFonts w:ascii="Verdana" w:eastAsia="Aptos" w:hAnsi="Verdana" w:cs="Aptos"/>
          <w:kern w:val="2"/>
          <w:lang w:val="es-ES_tradnl"/>
          <w14:ligatures w14:val="standardContextual"/>
        </w:rPr>
        <w:t>, incluye quince (15) actividades, que contienen intervenciones relacionadas con “</w:t>
      </w:r>
      <w:r w:rsidRPr="00CE2169">
        <w:rPr>
          <w:rFonts w:ascii="Verdana" w:eastAsia="Aptos" w:hAnsi="Verdana" w:cs="Aptos"/>
          <w:i/>
          <w:iCs/>
          <w:kern w:val="2"/>
          <w:lang w:val="es-ES_tradnl"/>
          <w14:ligatures w14:val="standardContextual"/>
        </w:rPr>
        <w:t>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w:t>
      </w:r>
      <w:r w:rsidRPr="00CE2169">
        <w:rPr>
          <w:rFonts w:ascii="Verdana" w:eastAsia="Aptos" w:hAnsi="Verdana" w:cs="Aptos"/>
          <w:kern w:val="2"/>
          <w:lang w:val="es-ES_tradnl"/>
          <w14:ligatures w14:val="standardContextual"/>
        </w:rPr>
        <w:t xml:space="preserve"> sobre alguna de las cuales se podría enmarcar el objeto del proceso de selección planteado en la petición.</w:t>
      </w:r>
    </w:p>
    <w:p w14:paraId="7CDCC076" w14:textId="77777777" w:rsidR="00CE2169" w:rsidRPr="00CE2169" w:rsidRDefault="00CE2169" w:rsidP="00CE2169">
      <w:pPr>
        <w:spacing w:after="120" w:line="276" w:lineRule="auto"/>
        <w:ind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Hay que recordar que la aplicación de los documentos tipo está determinada por la “Matriz 1 – Experiencia”, cuando el objeto del proceso de selección se enmarca en alguno de los capítulos y actividades contenidas en dicha matriz.</w:t>
      </w:r>
    </w:p>
    <w:p w14:paraId="3BD05EA9" w14:textId="77777777" w:rsidR="00CE2169" w:rsidRPr="00CE2169" w:rsidRDefault="00CE2169" w:rsidP="00CE2169">
      <w:pPr>
        <w:spacing w:after="120" w:line="276" w:lineRule="auto"/>
        <w:ind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 xml:space="preserve">En tal sentido, conviene indicar que, los documentos tipo de infraestructura social – sector institucional resultan obligatorios en procesos de contratación relacionados con edificaciones, independientemente del sector de la entidad contratante, teniendo en cuenta que, conforme a las resoluciones mediante las cuales se adoptaron los precitados documentos tipo, estos aplican a los procesos contractuales que correspondan a las actividades definidas en la Matriz 1 – Experiencia del Sector Institucional. </w:t>
      </w:r>
    </w:p>
    <w:p w14:paraId="43CC5389" w14:textId="77777777" w:rsidR="00CE2169" w:rsidRPr="00CE2169" w:rsidRDefault="00CE2169" w:rsidP="00CE2169">
      <w:pPr>
        <w:spacing w:after="0" w:line="276" w:lineRule="auto"/>
        <w:ind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Los documentos tipo adicionales del Sector Institucional, en la modalidad de licitación pública, selección abreviada de menor cuantía y mínima cuantía, en la Matriz 1 – Experiencia, contienen los siguientes tipos de infraestructura: “</w:t>
      </w:r>
      <w:r w:rsidRPr="00CE2169">
        <w:rPr>
          <w:rFonts w:ascii="Verdana" w:eastAsia="Aptos" w:hAnsi="Verdana" w:cs="Aptos"/>
          <w:i/>
          <w:iCs/>
          <w:kern w:val="2"/>
          <w:lang w:val="es-ES_tradnl"/>
          <w14:ligatures w14:val="standardContextual"/>
        </w:rPr>
        <w:t>1) Obras en proyectos de infraestructura institucional de seguridad pública,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y 5) Obras para atención, prevención o mitigación de emergencias diferentes a contratación directa para el sector institucional</w:t>
      </w:r>
      <w:r w:rsidRPr="00CE2169">
        <w:rPr>
          <w:rFonts w:ascii="Verdana" w:eastAsia="Aptos" w:hAnsi="Verdana" w:cs="Aptos"/>
          <w:kern w:val="2"/>
          <w:lang w:val="es-ES_tradnl"/>
          <w14:ligatures w14:val="standardContextual"/>
        </w:rPr>
        <w:t xml:space="preserve">”. Particularmente, conforme a lo mencionado en la petición que relaciona el objeto del proceso de selección </w:t>
      </w:r>
      <w:r w:rsidRPr="00CE2169">
        <w:rPr>
          <w:rFonts w:ascii="Verdana" w:eastAsia="Aptos" w:hAnsi="Verdana" w:cs="Aptos"/>
          <w:i/>
          <w:iCs/>
          <w:kern w:val="2"/>
          <w:lang w:val="es-ES_tradnl"/>
          <w14:ligatures w14:val="standardContextual"/>
        </w:rPr>
        <w:t xml:space="preserve">“Las intervenciones a contratar pueden comprender, según el caso, obras de </w:t>
      </w:r>
      <w:r w:rsidRPr="00CE2169">
        <w:rPr>
          <w:rFonts w:ascii="Verdana" w:eastAsia="Aptos" w:hAnsi="Verdana" w:cs="Aptos"/>
          <w:b/>
          <w:bCs/>
          <w:i/>
          <w:iCs/>
          <w:kern w:val="2"/>
          <w:lang w:val="es-ES_tradnl"/>
          <w14:ligatures w14:val="standardContextual"/>
        </w:rPr>
        <w:t>adecuación, mejoramiento, mantenimiento o intervención</w:t>
      </w:r>
      <w:r w:rsidRPr="00CE2169">
        <w:rPr>
          <w:rFonts w:ascii="Verdana" w:eastAsia="Aptos" w:hAnsi="Verdana" w:cs="Aptos"/>
          <w:i/>
          <w:iCs/>
          <w:kern w:val="2"/>
          <w:lang w:val="es-ES_tradnl"/>
          <w14:ligatures w14:val="standardContextual"/>
        </w:rPr>
        <w:t xml:space="preserve"> física de dichas edificaciones”</w:t>
      </w:r>
      <w:r w:rsidRPr="00CE2169">
        <w:rPr>
          <w:rFonts w:ascii="Verdana" w:eastAsia="Aptos" w:hAnsi="Verdana" w:cs="Aptos"/>
          <w:kern w:val="2"/>
          <w:lang w:val="es-ES_tradnl"/>
          <w14:ligatures w14:val="standardContextual"/>
        </w:rPr>
        <w:t>, es importante advertir que, el Capítulo 2 “O</w:t>
      </w:r>
      <w:r w:rsidRPr="00CE2169">
        <w:rPr>
          <w:rFonts w:ascii="Verdana" w:eastAsia="Aptos" w:hAnsi="Verdana" w:cs="Aptos"/>
          <w:i/>
          <w:iCs/>
          <w:kern w:val="2"/>
          <w:lang w:val="es-ES_tradnl"/>
          <w14:ligatures w14:val="standardContextual"/>
        </w:rPr>
        <w:t xml:space="preserve">bras en proyectos de </w:t>
      </w:r>
      <w:r w:rsidRPr="00CE2169">
        <w:rPr>
          <w:rFonts w:ascii="Verdana" w:eastAsia="Aptos" w:hAnsi="Verdana" w:cs="Aptos"/>
          <w:i/>
          <w:iCs/>
          <w:kern w:val="2"/>
          <w:lang w:val="es-ES_tradnl"/>
          <w14:ligatures w14:val="standardContextual"/>
        </w:rPr>
        <w:lastRenderedPageBreak/>
        <w:t xml:space="preserve">infraestructura institucional de servicio </w:t>
      </w:r>
      <w:r w:rsidRPr="00CE2169">
        <w:rPr>
          <w:rFonts w:ascii="Verdana" w:eastAsia="Aptos" w:hAnsi="Verdana" w:cs="Aptos"/>
          <w:kern w:val="2"/>
          <w:lang w:val="es-ES_tradnl"/>
          <w14:ligatures w14:val="standardContextual"/>
        </w:rPr>
        <w:t>público” de la Matriz 1, incluye la siguiente actividad en la cual podría enmarcarse el proyecto por el que se indaga:</w:t>
      </w:r>
    </w:p>
    <w:p w14:paraId="10AD75F4" w14:textId="77777777" w:rsidR="00CE2169" w:rsidRPr="00CE2169" w:rsidRDefault="00CE2169" w:rsidP="00CE2169">
      <w:pPr>
        <w:snapToGrid w:val="0"/>
        <w:spacing w:after="0" w:line="276" w:lineRule="auto"/>
        <w:ind w:left="709" w:right="709"/>
        <w:jc w:val="both"/>
        <w:rPr>
          <w:rFonts w:ascii="Verdana" w:eastAsia="Aptos" w:hAnsi="Verdana" w:cs="Aptos"/>
          <w:i/>
          <w:iCs/>
          <w:kern w:val="2"/>
          <w:lang w:val="es-ES_tradnl"/>
          <w14:ligatures w14:val="standardContextual"/>
        </w:rPr>
      </w:pPr>
    </w:p>
    <w:p w14:paraId="6992DA8B" w14:textId="77777777" w:rsidR="00CE2169" w:rsidRPr="00CE2169" w:rsidRDefault="00CE2169" w:rsidP="00CE2169">
      <w:pPr>
        <w:snapToGrid w:val="0"/>
        <w:spacing w:after="0" w:line="240" w:lineRule="auto"/>
        <w:ind w:left="709" w:right="709"/>
        <w:jc w:val="both"/>
        <w:rPr>
          <w:rFonts w:ascii="Verdana" w:eastAsia="Aptos" w:hAnsi="Verdana" w:cs="Aptos"/>
          <w:i/>
          <w:iCs/>
          <w:kern w:val="2"/>
          <w:sz w:val="21"/>
          <w:szCs w:val="21"/>
          <w:lang w:val="es-ES_tradnl"/>
          <w14:ligatures w14:val="standardContextual"/>
        </w:rPr>
      </w:pPr>
      <w:r w:rsidRPr="00CE2169">
        <w:rPr>
          <w:rFonts w:ascii="Verdana" w:eastAsia="Aptos" w:hAnsi="Verdana" w:cs="Aptos"/>
          <w:i/>
          <w:iCs/>
          <w:kern w:val="2"/>
          <w:sz w:val="21"/>
          <w:szCs w:val="21"/>
          <w:lang w:val="es-ES_tradnl"/>
          <w14:ligatures w14:val="standardContextual"/>
        </w:rPr>
        <w:t xml:space="preserve">“2.2. PROYECTOS DE </w:t>
      </w:r>
      <w:r w:rsidRPr="00CE2169">
        <w:rPr>
          <w:rFonts w:ascii="Verdana" w:eastAsia="Aptos" w:hAnsi="Verdana" w:cs="Aptos"/>
          <w:b/>
          <w:bCs/>
          <w:i/>
          <w:iCs/>
          <w:kern w:val="2"/>
          <w:sz w:val="21"/>
          <w:szCs w:val="21"/>
          <w:lang w:val="es-ES_tradnl"/>
          <w14:ligatures w14:val="standardContextual"/>
        </w:rPr>
        <w:t xml:space="preserve">ADECUACIÓN </w:t>
      </w:r>
      <w:r w:rsidRPr="00CE2169">
        <w:rPr>
          <w:rFonts w:ascii="Verdana" w:eastAsia="Aptos" w:hAnsi="Verdana" w:cs="Aptos"/>
          <w:i/>
          <w:iCs/>
          <w:kern w:val="2"/>
          <w:sz w:val="21"/>
          <w:szCs w:val="21"/>
          <w:lang w:val="es-ES_tradnl"/>
          <w14:ligatures w14:val="standardContextual"/>
        </w:rPr>
        <w:t xml:space="preserve">Y/O CONSERVACIÓN Y/O </w:t>
      </w:r>
      <w:r w:rsidRPr="00CE2169">
        <w:rPr>
          <w:rFonts w:ascii="Verdana" w:eastAsia="Aptos" w:hAnsi="Verdana" w:cs="Aptos"/>
          <w:b/>
          <w:bCs/>
          <w:i/>
          <w:iCs/>
          <w:kern w:val="2"/>
          <w:sz w:val="21"/>
          <w:szCs w:val="21"/>
          <w:lang w:val="es-ES_tradnl"/>
          <w14:ligatures w14:val="standardContextual"/>
        </w:rPr>
        <w:t>INTERVENCIÓN</w:t>
      </w:r>
      <w:r w:rsidRPr="00CE2169">
        <w:rPr>
          <w:rFonts w:ascii="Verdana" w:eastAsia="Aptos" w:hAnsi="Verdana" w:cs="Aptos"/>
          <w:i/>
          <w:iCs/>
          <w:kern w:val="2"/>
          <w:sz w:val="21"/>
          <w:szCs w:val="21"/>
          <w:lang w:val="es-ES_tradnl"/>
          <w14:ligatures w14:val="standardContextual"/>
        </w:rPr>
        <w:t xml:space="preserve"> Y/O INSTALACIÓN Y/O </w:t>
      </w:r>
      <w:r w:rsidRPr="00CE2169">
        <w:rPr>
          <w:rFonts w:ascii="Verdana" w:eastAsia="Aptos" w:hAnsi="Verdana" w:cs="Aptos"/>
          <w:b/>
          <w:bCs/>
          <w:i/>
          <w:iCs/>
          <w:kern w:val="2"/>
          <w:sz w:val="21"/>
          <w:szCs w:val="21"/>
          <w:lang w:val="es-ES_tradnl"/>
          <w14:ligatures w14:val="standardContextual"/>
        </w:rPr>
        <w:t xml:space="preserve">MANTENIMIENTO </w:t>
      </w:r>
      <w:r w:rsidRPr="00CE2169">
        <w:rPr>
          <w:rFonts w:ascii="Verdana" w:eastAsia="Aptos" w:hAnsi="Verdana" w:cs="Aptos"/>
          <w:i/>
          <w:iCs/>
          <w:kern w:val="2"/>
          <w:sz w:val="21"/>
          <w:szCs w:val="21"/>
          <w:lang w:val="es-ES_tradnl"/>
          <w14:ligatures w14:val="standardContextual"/>
        </w:rPr>
        <w:t xml:space="preserve">Y/O </w:t>
      </w:r>
      <w:r w:rsidRPr="00CE2169">
        <w:rPr>
          <w:rFonts w:ascii="Verdana" w:eastAsia="Aptos" w:hAnsi="Verdana" w:cs="Aptos"/>
          <w:b/>
          <w:bCs/>
          <w:i/>
          <w:iCs/>
          <w:kern w:val="2"/>
          <w:sz w:val="21"/>
          <w:szCs w:val="21"/>
          <w:lang w:val="es-ES_tradnl"/>
          <w14:ligatures w14:val="standardContextual"/>
        </w:rPr>
        <w:t>MEJORAMIENTO</w:t>
      </w:r>
      <w:r w:rsidRPr="00CE2169">
        <w:rPr>
          <w:rFonts w:ascii="Verdana" w:eastAsia="Aptos" w:hAnsi="Verdana" w:cs="Aptos"/>
          <w:i/>
          <w:iCs/>
          <w:kern w:val="2"/>
          <w:sz w:val="21"/>
          <w:szCs w:val="21"/>
          <w:lang w:val="es-ES_tradnl"/>
          <w14:ligatures w14:val="standardContextual"/>
        </w:rPr>
        <w:t xml:space="preserve"> Y/O MODIFICACIÓN U OPTIMIZACIÓN Y/O REHABILITACIÓN Y/O REMODELACIÓN Y/O REPOSICIÓN Y/O REPARACIÓN LOCATIVA Y/O RESTAURACIÓN Y/O RESTITUCIÓN Y/O TERMINACIÓN DE INFRAESTRUCTURA DE SERVICIO PUBLICO”</w:t>
      </w:r>
    </w:p>
    <w:p w14:paraId="41D6FC95" w14:textId="77777777" w:rsidR="00CE2169" w:rsidRPr="00CE2169" w:rsidRDefault="00CE2169" w:rsidP="00CE2169">
      <w:pPr>
        <w:snapToGrid w:val="0"/>
        <w:spacing w:after="0" w:line="276" w:lineRule="auto"/>
        <w:ind w:left="709" w:right="709"/>
        <w:jc w:val="both"/>
        <w:rPr>
          <w:rFonts w:ascii="Verdana" w:eastAsia="Aptos" w:hAnsi="Verdana" w:cs="Aptos"/>
          <w:kern w:val="2"/>
          <w:lang w:val="es-ES_tradnl"/>
          <w14:ligatures w14:val="standardContextual"/>
        </w:rPr>
      </w:pPr>
    </w:p>
    <w:p w14:paraId="6FA4C428" w14:textId="77777777" w:rsidR="00CE2169" w:rsidRPr="00CE2169" w:rsidRDefault="00CE2169" w:rsidP="00CE2169">
      <w:pPr>
        <w:spacing w:after="120" w:line="276" w:lineRule="auto"/>
        <w:ind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De otro lado, hay que mencionar que la actividad señalada, contenida en la Matriz 1 – Experiencia de los documentos tipo del Sector Institucional, de manera general corresponde a proyectos de “</w:t>
      </w:r>
      <w:r w:rsidRPr="00CE2169">
        <w:rPr>
          <w:rFonts w:ascii="Verdana" w:eastAsia="Aptos" w:hAnsi="Verdana" w:cs="Aptos"/>
          <w:i/>
          <w:iCs/>
          <w:kern w:val="2"/>
          <w:lang w:val="es-ES_tradnl"/>
          <w14:ligatures w14:val="standardContextual"/>
        </w:rPr>
        <w:t>adecuación o mejoramiento o mantenimiento</w:t>
      </w:r>
      <w:r w:rsidRPr="00CE2169">
        <w:rPr>
          <w:rFonts w:ascii="Verdana" w:eastAsia="Aptos" w:hAnsi="Verdana" w:cs="Aptos"/>
          <w:kern w:val="2"/>
          <w:lang w:val="es-ES_tradnl"/>
          <w14:ligatures w14:val="standardContextual"/>
        </w:rPr>
        <w:t>” y otras intervenciones que allí se indican, relacionadas con “Infraestructura de Servicio Público”, situación que es importante para precisar el ámbito de aplicación de los Documentos Tipo de este sector adoptados en de las Resoluciones 539, 540 y 541 de 2025.</w:t>
      </w:r>
    </w:p>
    <w:p w14:paraId="1F061F2E" w14:textId="77777777" w:rsidR="00CE2169" w:rsidRPr="00CE2169" w:rsidRDefault="00CE2169" w:rsidP="00CE2169">
      <w:pPr>
        <w:spacing w:after="120" w:line="276" w:lineRule="auto"/>
        <w:ind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Los documentos tipo adoptados por la Agencia Nacional de Contratación Pública – Colombia Compra Eficiente en el sector de infraestructura social, aplican para los procesos de “obra pública” en las modalidades de selección acogidas: licitación pública, selección abreviada de menor cuantía y mínima cuantía.</w:t>
      </w:r>
    </w:p>
    <w:p w14:paraId="48E6E9DF" w14:textId="77777777" w:rsidR="00CE2169" w:rsidRPr="00CE2169" w:rsidRDefault="00CE2169" w:rsidP="00CE2169">
      <w:pPr>
        <w:spacing w:after="120" w:line="276" w:lineRule="auto"/>
        <w:ind w:firstLine="709"/>
        <w:jc w:val="both"/>
        <w:rPr>
          <w:rFonts w:ascii="Verdana" w:eastAsia="Aptos" w:hAnsi="Verdana" w:cs="Aptos"/>
          <w:i/>
          <w:iCs/>
          <w:kern w:val="2"/>
          <w:lang w:val="es-ES_tradnl"/>
          <w14:ligatures w14:val="standardContextual"/>
        </w:rPr>
      </w:pPr>
      <w:r w:rsidRPr="00CE2169">
        <w:rPr>
          <w:rFonts w:ascii="Verdana" w:eastAsia="Aptos" w:hAnsi="Verdana" w:cs="Aptos"/>
          <w:kern w:val="2"/>
          <w:lang w:val="es-ES_tradnl"/>
          <w14:ligatures w14:val="standardContextual"/>
        </w:rPr>
        <w:t xml:space="preserve">La Matriz 1 – Experiencia del Sector Institucional en las distintas modalidades de los Documentos Tipo adoptados por esta Agencia incluye una nota que indica que </w:t>
      </w:r>
      <w:r w:rsidRPr="00CE2169">
        <w:rPr>
          <w:rFonts w:ascii="Verdana" w:eastAsia="Aptos" w:hAnsi="Verdana" w:cs="Aptos"/>
          <w:i/>
          <w:iCs/>
          <w:kern w:val="2"/>
          <w:lang w:val="es-ES_tradnl"/>
          <w14:ligatures w14:val="standardContextual"/>
        </w:rPr>
        <w:t>“(l)as definiciones contenidas en esta Matriz deben enmarcarse en la normativa vigente en la materia, así como en la NSR 10 o aquellas que los modifiquen, adicionen o sustituyan, así como a las definiciones contenidas en el "Anexo - Glosario del Sector Social"”.</w:t>
      </w:r>
    </w:p>
    <w:p w14:paraId="5DA6F8C3" w14:textId="77777777" w:rsidR="00CE2169" w:rsidRPr="00CE2169" w:rsidRDefault="00CE2169" w:rsidP="00CE2169">
      <w:pPr>
        <w:spacing w:after="120" w:line="276" w:lineRule="auto"/>
        <w:ind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 xml:space="preserve">Esta nota es congruente con el numeral 1.10 del documento base que dispone </w:t>
      </w:r>
      <w:r w:rsidRPr="00CE2169">
        <w:rPr>
          <w:rFonts w:ascii="Verdana" w:eastAsia="Aptos" w:hAnsi="Verdana" w:cs="Aptos"/>
          <w:i/>
          <w:iCs/>
          <w:kern w:val="2"/>
          <w:lang w:val="es-ES_tradnl"/>
          <w14:ligatures w14:val="standardContextual"/>
        </w:rPr>
        <w:t>que “[p]ara los fines de este Pliego de Condiciones, a menos que expresamente se estipule de otra manera, los términos deben entenderse de acuerdo con la definición contenida en el artículo 2.2.1.1.1.3.1 del Decreto 1082 de 2015, la Ley 1682 de 2013 o la norma que la modifique, complemente o sustituya y el Anexo 5 – Glosario”.</w:t>
      </w:r>
    </w:p>
    <w:p w14:paraId="69A22821" w14:textId="77777777" w:rsidR="00CE2169" w:rsidRPr="00CE2169" w:rsidRDefault="00CE2169" w:rsidP="00CE2169">
      <w:pPr>
        <w:spacing w:after="0" w:line="276" w:lineRule="auto"/>
        <w:ind w:firstLine="709"/>
        <w:jc w:val="both"/>
        <w:rPr>
          <w:rFonts w:ascii="Verdana" w:eastAsia="Aptos" w:hAnsi="Verdana" w:cs="Times New Roman"/>
          <w:kern w:val="2"/>
          <w:lang w:val="es-ES"/>
          <w14:ligatures w14:val="standardContextual"/>
        </w:rPr>
      </w:pPr>
      <w:r w:rsidRPr="4E74009F">
        <w:rPr>
          <w:rFonts w:ascii="Verdana" w:eastAsia="Aptos" w:hAnsi="Verdana" w:cs="Aptos"/>
          <w:kern w:val="2"/>
          <w:lang w:val="es-ES"/>
          <w14:ligatures w14:val="standardContextual"/>
        </w:rPr>
        <w:lastRenderedPageBreak/>
        <w:t xml:space="preserve">De esta forma, considerando que las actividades señaladas recaen sobre obras en proyectos de infraestructura de servicio público, para determinar qué abarca este tipo de infraestructura, debe indicarse que, de conformidad con el </w:t>
      </w:r>
      <w:r w:rsidRPr="4E74009F">
        <w:rPr>
          <w:rFonts w:ascii="Verdana" w:eastAsia="Aptos" w:hAnsi="Verdana" w:cs="Times New Roman"/>
          <w:kern w:val="2"/>
          <w:lang w:val="es-ES"/>
          <w14:ligatures w14:val="standardContextual"/>
        </w:rPr>
        <w:t>Reglamento Colombiano de Construcción Sismo Resistente NSR-10, en el capítulo K.2. “Clasificación de las edificaciones por grupos de ocupación”, se incluye e</w:t>
      </w:r>
      <w:r w:rsidRPr="4E74009F">
        <w:rPr>
          <w:rFonts w:ascii="Verdana" w:eastAsia="Aptos" w:hAnsi="Verdana" w:cs="Aptos"/>
          <w:kern w:val="2"/>
          <w:lang w:val="es-ES"/>
          <w14:ligatures w14:val="standardContextual"/>
        </w:rPr>
        <w:t xml:space="preserve">n el numeral </w:t>
      </w:r>
      <w:proofErr w:type="gramStart"/>
      <w:r w:rsidRPr="4E74009F">
        <w:rPr>
          <w:rFonts w:ascii="Verdana" w:eastAsia="Aptos" w:hAnsi="Verdana" w:cs="Aptos"/>
          <w:kern w:val="2"/>
          <w:lang w:val="es-ES"/>
          <w14:ligatures w14:val="standardContextual"/>
        </w:rPr>
        <w:t>K.2.6.6  el</w:t>
      </w:r>
      <w:proofErr w:type="gramEnd"/>
      <w:r w:rsidRPr="4E74009F">
        <w:rPr>
          <w:rFonts w:ascii="Verdana" w:eastAsia="Aptos" w:hAnsi="Verdana" w:cs="Aptos"/>
          <w:kern w:val="2"/>
          <w:lang w:val="es-ES"/>
          <w14:ligatures w14:val="standardContextual"/>
        </w:rPr>
        <w:t xml:space="preserve"> Subgrupo de Ocupación Institucional de Servicio Público (I-5), en donde se definen los edificios que lo conforman:</w:t>
      </w:r>
    </w:p>
    <w:p w14:paraId="0CEA6B49" w14:textId="77777777" w:rsidR="00CE2169" w:rsidRPr="00CE2169" w:rsidRDefault="00CE2169" w:rsidP="00CE2169">
      <w:pPr>
        <w:spacing w:after="0" w:line="276" w:lineRule="auto"/>
        <w:jc w:val="both"/>
        <w:rPr>
          <w:rFonts w:ascii="Verdana" w:eastAsia="Aptos" w:hAnsi="Verdana" w:cs="Aptos"/>
          <w:kern w:val="2"/>
          <w:lang w:val="es-ES_tradnl"/>
          <w14:ligatures w14:val="standardContextual"/>
        </w:rPr>
      </w:pPr>
    </w:p>
    <w:p w14:paraId="18227536" w14:textId="77777777" w:rsidR="00CE2169" w:rsidRPr="00CE2169" w:rsidRDefault="00CE2169" w:rsidP="00CE2169">
      <w:pPr>
        <w:spacing w:after="0" w:line="240" w:lineRule="auto"/>
        <w:ind w:left="709" w:right="709"/>
        <w:jc w:val="both"/>
        <w:rPr>
          <w:rFonts w:ascii="Verdana" w:eastAsia="Aptos" w:hAnsi="Verdana" w:cs="Aptos"/>
          <w:i/>
          <w:iCs/>
          <w:kern w:val="2"/>
          <w:sz w:val="21"/>
          <w:szCs w:val="21"/>
          <w:lang w:val="es-ES_tradnl"/>
          <w14:ligatures w14:val="standardContextual"/>
        </w:rPr>
      </w:pPr>
      <w:r w:rsidRPr="00CE2169">
        <w:rPr>
          <w:rFonts w:ascii="Verdana" w:eastAsia="Aptos" w:hAnsi="Verdana" w:cs="Aptos"/>
          <w:kern w:val="2"/>
          <w:sz w:val="21"/>
          <w:szCs w:val="21"/>
          <w:lang w:val="es-ES_tradnl"/>
          <w14:ligatures w14:val="standardContextual"/>
        </w:rPr>
        <w:t>“</w:t>
      </w:r>
      <w:r w:rsidRPr="00CE2169">
        <w:rPr>
          <w:rFonts w:ascii="Verdana" w:eastAsia="Aptos" w:hAnsi="Verdana" w:cs="Aptos"/>
          <w:i/>
          <w:iCs/>
          <w:kern w:val="2"/>
          <w:sz w:val="21"/>
          <w:szCs w:val="21"/>
          <w:lang w:val="es-ES_tradnl"/>
          <w14:ligatures w14:val="standardContextual"/>
        </w:rPr>
        <w:t>se clasifican las edificaciones o espacios destinados a funciones administrativas y prestación de servicios públicos necesarios para el buen funcionamiento de las ciudades”.</w:t>
      </w:r>
    </w:p>
    <w:p w14:paraId="7CF75A1A" w14:textId="77777777" w:rsidR="00CE2169" w:rsidRPr="00CE2169" w:rsidRDefault="00CE2169" w:rsidP="00CE2169">
      <w:pPr>
        <w:spacing w:after="0" w:line="276" w:lineRule="auto"/>
        <w:jc w:val="both"/>
        <w:rPr>
          <w:rFonts w:ascii="Verdana" w:eastAsia="Aptos" w:hAnsi="Verdana" w:cs="Aptos"/>
          <w:i/>
          <w:iCs/>
          <w:kern w:val="2"/>
          <w:lang w:val="es-ES_tradnl"/>
          <w14:ligatures w14:val="standardContextual"/>
        </w:rPr>
      </w:pPr>
    </w:p>
    <w:p w14:paraId="38488E35" w14:textId="77777777" w:rsidR="00CE2169" w:rsidRPr="00CE2169" w:rsidRDefault="00CE2169" w:rsidP="00CE2169">
      <w:pPr>
        <w:snapToGrid w:val="0"/>
        <w:spacing w:after="120" w:line="276" w:lineRule="auto"/>
        <w:ind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Y, a su vez, se mencionan las edificaciones que hacen parte de este subgrupo</w:t>
      </w:r>
      <w:r w:rsidRPr="00CE2169">
        <w:rPr>
          <w:rFonts w:ascii="Verdana" w:eastAsia="Aptos" w:hAnsi="Verdana" w:cs="Aptos"/>
          <w:i/>
          <w:iCs/>
          <w:kern w:val="2"/>
          <w:lang w:val="es-ES_tradnl"/>
          <w14:ligatures w14:val="standardContextual"/>
        </w:rPr>
        <w:t>: “Centros de comunicación, centros administrativos municipales, distritales y gubernamentales, Centros de servicios públicos, juzgados y otros similares</w:t>
      </w:r>
      <w:r w:rsidRPr="00CE2169">
        <w:rPr>
          <w:rFonts w:ascii="Verdana" w:eastAsia="Aptos" w:hAnsi="Verdana" w:cs="Aptos"/>
          <w:kern w:val="2"/>
          <w:lang w:val="es-ES_tradnl"/>
          <w14:ligatures w14:val="standardContextual"/>
        </w:rPr>
        <w:t>”.</w:t>
      </w:r>
    </w:p>
    <w:p w14:paraId="52845D59" w14:textId="77777777" w:rsidR="00CE2169" w:rsidRPr="00CE2169" w:rsidRDefault="00CE2169" w:rsidP="00CE2169">
      <w:pPr>
        <w:snapToGrid w:val="0"/>
        <w:spacing w:after="120" w:line="276" w:lineRule="auto"/>
        <w:ind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 xml:space="preserve">En este sentido, el Subgrupo de Ocupación Institucional de Servicio Público corresponde a una categoría de clasificación establecida por la NSR-10 que agrupa aquellas edificaciones o espacios destinados al ejercicio de funciones administrativas y a la prestación de servicios públicos esenciales para el adecuado funcionamiento de las ciudades. Este subgrupo comprende centros de comunicación, administrativos y sedes de servicios en distintos niveles, juzgados y otros similares. La expresión “Otros similares” evidencia que la enumeración no es taxativa, sino enunciativa, por lo incluye todas aquellas edificaciones que, por su naturaleza y finalidad, están orientadas a la prestación de servicios públicos y al desarrollo de funciones institucionales del Estado.  </w:t>
      </w:r>
    </w:p>
    <w:p w14:paraId="3AFDEDDC" w14:textId="77777777" w:rsidR="00CE2169" w:rsidRPr="00CE2169" w:rsidRDefault="00CE2169" w:rsidP="00CE2169">
      <w:pPr>
        <w:snapToGrid w:val="0"/>
        <w:spacing w:after="120" w:line="276" w:lineRule="auto"/>
        <w:ind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Por su parte, el artículo 4 “</w:t>
      </w:r>
      <w:r w:rsidRPr="00CE2169">
        <w:rPr>
          <w:rFonts w:ascii="Verdana" w:eastAsia="Aptos" w:hAnsi="Verdana" w:cs="Aptos"/>
          <w:i/>
          <w:iCs/>
          <w:kern w:val="2"/>
          <w:lang w:val="es-ES_tradnl"/>
          <w14:ligatures w14:val="standardContextual"/>
        </w:rPr>
        <w:t>prestación de este servicio público</w:t>
      </w:r>
      <w:r w:rsidRPr="00CE2169">
        <w:rPr>
          <w:rFonts w:ascii="Verdana" w:eastAsia="Aptos" w:hAnsi="Verdana" w:cs="Aptos"/>
          <w:kern w:val="2"/>
          <w:lang w:val="es-ES_tradnl"/>
          <w14:ligatures w14:val="standardContextual"/>
        </w:rPr>
        <w:t xml:space="preserve">” del Decreto 2762 de 2001, señala que “(…) </w:t>
      </w:r>
      <w:r w:rsidRPr="00CE2169">
        <w:rPr>
          <w:rFonts w:ascii="Verdana" w:eastAsia="Aptos" w:hAnsi="Verdana" w:cs="Aptos"/>
          <w:i/>
          <w:iCs/>
          <w:kern w:val="2"/>
          <w:lang w:val="es-ES_tradnl"/>
          <w14:ligatures w14:val="standardContextual"/>
        </w:rPr>
        <w:t>El servicio público a que se refiere este decreto será prestado por personas jurídicas que cumplan con los requisitos establecidos en el mismo y demás normas que lo complementen o adicionen</w:t>
      </w:r>
      <w:r w:rsidRPr="00CE2169">
        <w:rPr>
          <w:rFonts w:ascii="Verdana" w:eastAsia="Aptos" w:hAnsi="Verdana" w:cs="Aptos"/>
          <w:kern w:val="2"/>
          <w:lang w:val="es-ES_tradnl"/>
          <w14:ligatures w14:val="standardContextual"/>
        </w:rPr>
        <w:t xml:space="preserve">”. En este sentido, las edificaciones donde funcionan las entidades públicas, por el hecho de recaer sobre infraestructura física, deben utilizar los pliegos tipo del sector institucional. </w:t>
      </w:r>
    </w:p>
    <w:p w14:paraId="3A9AD22F" w14:textId="77777777" w:rsidR="00CE2169" w:rsidRPr="00CE2169" w:rsidRDefault="00CE2169" w:rsidP="00CE2169">
      <w:pPr>
        <w:snapToGrid w:val="0"/>
        <w:spacing w:after="120" w:line="276" w:lineRule="auto"/>
        <w:ind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Por otra parte, hay que reiterar que la aplicación de los documentos tipo está dada en función de si el objeto del proceso de selección se enmarca en alguna de las actividades contenidas en las Matrices de Experiencia.</w:t>
      </w:r>
    </w:p>
    <w:p w14:paraId="607E36EE" w14:textId="77777777" w:rsidR="00CE2169" w:rsidRPr="00CE2169" w:rsidRDefault="00CE2169" w:rsidP="00CE2169">
      <w:pPr>
        <w:snapToGrid w:val="0"/>
        <w:spacing w:after="120" w:line="276" w:lineRule="auto"/>
        <w:ind w:firstLine="709"/>
        <w:jc w:val="both"/>
        <w:rPr>
          <w:rFonts w:ascii="Verdana" w:eastAsia="Aptos" w:hAnsi="Verdana" w:cs="Aptos"/>
          <w:kern w:val="2"/>
          <w:lang w:val="es-ES"/>
          <w14:ligatures w14:val="standardContextual"/>
        </w:rPr>
      </w:pPr>
      <w:r w:rsidRPr="4E74009F">
        <w:rPr>
          <w:rFonts w:ascii="Verdana" w:eastAsia="Aptos" w:hAnsi="Verdana" w:cs="Aptos"/>
          <w:kern w:val="2"/>
          <w:lang w:val="es-ES"/>
          <w14:ligatures w14:val="standardContextual"/>
        </w:rPr>
        <w:lastRenderedPageBreak/>
        <w:t>Para establecer si determinado objeto contractual se encuentra cobijado o no por los documentos tipo, es necesario determinar si el mismo se enmarca en los tipos de infraestructura, modalidades de selección y tipos de obra contenidos en las respectivas matrices de experiencia, de cada uno de los sectores para los cuales existen documentos tipo.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los documentos tipo.</w:t>
      </w:r>
    </w:p>
    <w:p w14:paraId="650E2AD7" w14:textId="77777777" w:rsidR="00CE2169" w:rsidRPr="00CE2169" w:rsidRDefault="00CE2169" w:rsidP="00CE2169">
      <w:pPr>
        <w:snapToGrid w:val="0"/>
        <w:spacing w:after="120" w:line="276" w:lineRule="auto"/>
        <w:ind w:firstLine="709"/>
        <w:jc w:val="both"/>
        <w:rPr>
          <w:rFonts w:ascii="Verdana" w:eastAsia="Aptos" w:hAnsi="Verdana" w:cs="Aptos"/>
          <w:i/>
          <w:iCs/>
          <w:kern w:val="2"/>
          <w:lang w:val="es-ES_tradnl"/>
          <w14:ligatures w14:val="standardContextual"/>
        </w:rPr>
      </w:pPr>
      <w:r w:rsidRPr="00CE2169">
        <w:rPr>
          <w:rFonts w:ascii="Verdana" w:eastAsia="Aptos" w:hAnsi="Verdana" w:cs="Aptos"/>
          <w:kern w:val="2"/>
          <w:lang w:val="es-ES_tradnl"/>
          <w14:ligatures w14:val="standardContextual"/>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6B8E66E6" w14:textId="77777777" w:rsidR="00CE2169" w:rsidRPr="00CE2169" w:rsidRDefault="00CE2169" w:rsidP="00CE2169">
      <w:pPr>
        <w:snapToGrid w:val="0"/>
        <w:spacing w:after="120" w:line="276" w:lineRule="auto"/>
        <w:ind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 xml:space="preserve">Además, conviene precisar que el objeto contractual planteado podría enmarcarse en la actividad </w:t>
      </w:r>
      <w:r w:rsidRPr="00CE2169">
        <w:rPr>
          <w:rFonts w:ascii="Verdana" w:eastAsia="Aptos" w:hAnsi="Verdana" w:cs="Aptos"/>
          <w:i/>
          <w:iCs/>
          <w:kern w:val="2"/>
          <w:lang w:val="es-ES_tradnl"/>
          <w14:ligatures w14:val="standardContextual"/>
        </w:rPr>
        <w:t xml:space="preserve">“2.2. PROYECTOS DE </w:t>
      </w:r>
      <w:r w:rsidRPr="00CE2169">
        <w:rPr>
          <w:rFonts w:ascii="Verdana" w:eastAsia="Aptos" w:hAnsi="Verdana" w:cs="Aptos"/>
          <w:b/>
          <w:bCs/>
          <w:i/>
          <w:iCs/>
          <w:kern w:val="2"/>
          <w:lang w:val="es-ES_tradnl"/>
          <w14:ligatures w14:val="standardContextual"/>
        </w:rPr>
        <w:t xml:space="preserve">ADECUACIÓN </w:t>
      </w:r>
      <w:r w:rsidRPr="00CE2169">
        <w:rPr>
          <w:rFonts w:ascii="Verdana" w:eastAsia="Aptos" w:hAnsi="Verdana" w:cs="Aptos"/>
          <w:i/>
          <w:iCs/>
          <w:kern w:val="2"/>
          <w:lang w:val="es-ES_tradnl"/>
          <w14:ligatures w14:val="standardContextual"/>
        </w:rPr>
        <w:t xml:space="preserve">Y/O CONSERVACIÓN Y/O </w:t>
      </w:r>
      <w:r w:rsidRPr="00CE2169">
        <w:rPr>
          <w:rFonts w:ascii="Verdana" w:eastAsia="Aptos" w:hAnsi="Verdana" w:cs="Aptos"/>
          <w:b/>
          <w:bCs/>
          <w:i/>
          <w:iCs/>
          <w:kern w:val="2"/>
          <w:lang w:val="es-ES_tradnl"/>
          <w14:ligatures w14:val="standardContextual"/>
        </w:rPr>
        <w:t>INTERVENCIÓN</w:t>
      </w:r>
      <w:r w:rsidRPr="00CE2169">
        <w:rPr>
          <w:rFonts w:ascii="Verdana" w:eastAsia="Aptos" w:hAnsi="Verdana" w:cs="Aptos"/>
          <w:i/>
          <w:iCs/>
          <w:kern w:val="2"/>
          <w:lang w:val="es-ES_tradnl"/>
          <w14:ligatures w14:val="standardContextual"/>
        </w:rPr>
        <w:t xml:space="preserve"> Y/O INSTALACIÓN Y/O </w:t>
      </w:r>
      <w:r w:rsidRPr="00CE2169">
        <w:rPr>
          <w:rFonts w:ascii="Verdana" w:eastAsia="Aptos" w:hAnsi="Verdana" w:cs="Aptos"/>
          <w:b/>
          <w:bCs/>
          <w:i/>
          <w:iCs/>
          <w:kern w:val="2"/>
          <w:lang w:val="es-ES_tradnl"/>
          <w14:ligatures w14:val="standardContextual"/>
        </w:rPr>
        <w:t xml:space="preserve">MANTENIMIENTO </w:t>
      </w:r>
      <w:r w:rsidRPr="00CE2169">
        <w:rPr>
          <w:rFonts w:ascii="Verdana" w:eastAsia="Aptos" w:hAnsi="Verdana" w:cs="Aptos"/>
          <w:i/>
          <w:iCs/>
          <w:kern w:val="2"/>
          <w:lang w:val="es-ES_tradnl"/>
          <w14:ligatures w14:val="standardContextual"/>
        </w:rPr>
        <w:t xml:space="preserve">Y/O </w:t>
      </w:r>
      <w:r w:rsidRPr="00CE2169">
        <w:rPr>
          <w:rFonts w:ascii="Verdana" w:eastAsia="Aptos" w:hAnsi="Verdana" w:cs="Aptos"/>
          <w:b/>
          <w:bCs/>
          <w:i/>
          <w:iCs/>
          <w:kern w:val="2"/>
          <w:lang w:val="es-ES_tradnl"/>
          <w14:ligatures w14:val="standardContextual"/>
        </w:rPr>
        <w:t>MEJORAMIENTO</w:t>
      </w:r>
      <w:r w:rsidRPr="00CE2169">
        <w:rPr>
          <w:rFonts w:ascii="Verdana" w:eastAsia="Aptos" w:hAnsi="Verdana" w:cs="Aptos"/>
          <w:i/>
          <w:iCs/>
          <w:kern w:val="2"/>
          <w:lang w:val="es-ES_tradnl"/>
          <w14:ligatures w14:val="standardContextual"/>
        </w:rPr>
        <w:t xml:space="preserve"> Y/O MODIFICACIÓN U OPTIMIZACIÓN Y/O REHABILITACIÓN Y/O REMODELACIÓN Y/O REPOSICIÓN Y/O REPARACIÓN LOCATIVA Y/O RESTAURACIÓN Y/O RESTITUCIÓN Y/O TERMINACIÓN DE INFRAESTRUCTURA DE SERVICIO PUBLICO”, </w:t>
      </w:r>
      <w:r w:rsidRPr="00CE2169">
        <w:rPr>
          <w:rFonts w:ascii="Verdana" w:eastAsia="Aptos" w:hAnsi="Verdana" w:cs="Aptos"/>
          <w:kern w:val="2"/>
          <w:lang w:val="es-ES_tradnl"/>
          <w14:ligatures w14:val="standardContextual"/>
        </w:rPr>
        <w:t>de forma tal que a la entidad le correspondería la implementación de los documentos tipo de este sector.</w:t>
      </w:r>
    </w:p>
    <w:p w14:paraId="510E7BDE" w14:textId="77777777" w:rsidR="00CE2169" w:rsidRPr="00CE2169" w:rsidRDefault="00CE2169" w:rsidP="00CE2169">
      <w:pPr>
        <w:snapToGrid w:val="0"/>
        <w:spacing w:after="0" w:line="276" w:lineRule="auto"/>
        <w:ind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Adicionalmente, la infraestructura social, de acuerdo con la definición 2.115 del glosario técnico, está relacionada con:</w:t>
      </w:r>
    </w:p>
    <w:p w14:paraId="33B2C64C" w14:textId="77777777" w:rsidR="00CE2169" w:rsidRPr="00CE2169" w:rsidRDefault="00CE2169" w:rsidP="00CE2169">
      <w:pPr>
        <w:spacing w:after="0" w:line="276" w:lineRule="auto"/>
        <w:jc w:val="both"/>
        <w:rPr>
          <w:rFonts w:ascii="Verdana" w:eastAsia="Aptos" w:hAnsi="Verdana" w:cs="Aptos"/>
          <w:kern w:val="2"/>
          <w:lang w:val="es-ES_tradnl"/>
          <w14:ligatures w14:val="standardContextual"/>
        </w:rPr>
      </w:pPr>
    </w:p>
    <w:p w14:paraId="6C6E127F" w14:textId="77777777" w:rsidR="00CE2169" w:rsidRPr="00CE2169" w:rsidRDefault="00CE2169" w:rsidP="00CE2169">
      <w:pPr>
        <w:spacing w:after="0" w:line="240" w:lineRule="auto"/>
        <w:ind w:left="709" w:right="709"/>
        <w:jc w:val="both"/>
        <w:rPr>
          <w:rFonts w:ascii="Verdana" w:eastAsia="Aptos" w:hAnsi="Verdana" w:cs="Aptos"/>
          <w:b/>
          <w:bCs/>
          <w:kern w:val="2"/>
          <w:sz w:val="21"/>
          <w:szCs w:val="21"/>
          <w:lang w:val="es-ES"/>
          <w14:ligatures w14:val="standardContextual"/>
        </w:rPr>
      </w:pPr>
      <w:r w:rsidRPr="00CE2169">
        <w:rPr>
          <w:rFonts w:ascii="Verdana" w:eastAsia="Aptos" w:hAnsi="Verdana" w:cs="Aptos"/>
          <w:b/>
          <w:bCs/>
          <w:kern w:val="2"/>
          <w:sz w:val="21"/>
          <w:szCs w:val="21"/>
          <w:lang w:val="es-ES"/>
          <w14:ligatures w14:val="standardContextual"/>
        </w:rPr>
        <w:t>“</w:t>
      </w:r>
      <w:r w:rsidRPr="00CE2169">
        <w:rPr>
          <w:rFonts w:ascii="Verdana" w:eastAsia="Aptos" w:hAnsi="Verdana" w:cs="Aptos"/>
          <w:b/>
          <w:bCs/>
          <w:i/>
          <w:iCs/>
          <w:kern w:val="2"/>
          <w:sz w:val="21"/>
          <w:szCs w:val="21"/>
          <w:lang w:val="es-ES"/>
          <w14:ligatures w14:val="standardContextual"/>
        </w:rPr>
        <w:t xml:space="preserve">Infraestructura Social. </w:t>
      </w:r>
      <w:r w:rsidRPr="00CE2169">
        <w:rPr>
          <w:rFonts w:ascii="Verdana" w:eastAsia="Aptos" w:hAnsi="Verdana" w:cs="Aptos"/>
          <w:i/>
          <w:iCs/>
          <w:kern w:val="2"/>
          <w:sz w:val="21"/>
          <w:szCs w:val="21"/>
          <w:lang w:val="es-ES"/>
          <w14:ligatures w14:val="standardContextual"/>
        </w:rPr>
        <w:t xml:space="preserve">Es el conjunto de equipamientos, elementos, instalaciones, edificaciones, dotaciones y espacios básicos, públicos y privados, destinados a la promoción de servicios y a la oferta social que demanda una comunidad para su desarrollo, funcionamiento y goce efectivo de los derechos fundamentales de sus integrantes, en áreas como educación, salud, esparcimiento, deporte y cultura, inclusión productiva, bienestar familiar, participación comunitaria, servicios públicos domiciliarios, etc., que se desarrollarán en el marco normativo previsto en cada uno de los sectores, y que contribuyen a brindar apoyo funcional a la administración pública. La responsabilidad </w:t>
      </w:r>
      <w:r w:rsidRPr="00CE2169">
        <w:rPr>
          <w:rFonts w:ascii="Verdana" w:eastAsia="Aptos" w:hAnsi="Verdana" w:cs="Aptos"/>
          <w:i/>
          <w:iCs/>
          <w:kern w:val="2"/>
          <w:sz w:val="21"/>
          <w:szCs w:val="21"/>
          <w:lang w:val="es-ES"/>
          <w14:ligatures w14:val="standardContextual"/>
        </w:rPr>
        <w:lastRenderedPageBreak/>
        <w:t>de la ejecución de actividades, planes y programas en materia de infraestructura social y de servicios públicos domiciliarios estará exclusivamente en cabeza de cada una de las entidades públicas competentes. Lo anterior, sin perjuicio de la "financiación o cofinanciación que puedan brindar las entidades públicas o privadas, del orden internacional, nacional, departamental, distrital, distrito especial y municipal.”</w:t>
      </w:r>
    </w:p>
    <w:p w14:paraId="55C87784" w14:textId="77777777" w:rsidR="00CE2169" w:rsidRPr="00CE2169" w:rsidRDefault="00CE2169" w:rsidP="00CE2169">
      <w:pPr>
        <w:spacing w:after="0" w:line="276" w:lineRule="auto"/>
        <w:jc w:val="both"/>
        <w:rPr>
          <w:rFonts w:ascii="Verdana" w:eastAsia="Aptos" w:hAnsi="Verdana" w:cs="Aptos"/>
          <w:b/>
          <w:bCs/>
          <w:kern w:val="2"/>
          <w:lang w:val="es-ES"/>
          <w14:ligatures w14:val="standardContextual"/>
        </w:rPr>
      </w:pPr>
    </w:p>
    <w:p w14:paraId="069DD3A8" w14:textId="77777777" w:rsidR="00CE2169" w:rsidRPr="00CE2169" w:rsidRDefault="00CE2169" w:rsidP="00CE2169">
      <w:pPr>
        <w:snapToGrid w:val="0"/>
        <w:spacing w:after="120" w:line="276" w:lineRule="auto"/>
        <w:ind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Para el sector social, la Agencia Nacional de Contratación Pública – Colombia Compra Eficiente en el segundo semestre del año 2025 adoptó las siguientes resoluciones para contratar obra pública e interventoría y consultoría de estudios de ingeniería de infraestructura social:</w:t>
      </w:r>
    </w:p>
    <w:p w14:paraId="6FCD7931" w14:textId="77777777" w:rsidR="00CE2169" w:rsidRPr="00CE2169" w:rsidRDefault="00CE2169" w:rsidP="00CE2169">
      <w:pPr>
        <w:numPr>
          <w:ilvl w:val="0"/>
          <w:numId w:val="20"/>
        </w:numPr>
        <w:snapToGrid w:val="0"/>
        <w:spacing w:after="120" w:line="276" w:lineRule="auto"/>
        <w:ind w:left="0"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38AF509A" w14:textId="77777777" w:rsidR="00CE2169" w:rsidRPr="00CE2169" w:rsidRDefault="00CE2169" w:rsidP="00CE2169">
      <w:pPr>
        <w:numPr>
          <w:ilvl w:val="0"/>
          <w:numId w:val="20"/>
        </w:numPr>
        <w:snapToGrid w:val="0"/>
        <w:spacing w:after="120" w:line="276" w:lineRule="auto"/>
        <w:ind w:left="0"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38B3EAE7" w14:textId="77777777" w:rsidR="00CE2169" w:rsidRPr="00CE2169" w:rsidRDefault="00CE2169" w:rsidP="00CE2169">
      <w:pPr>
        <w:numPr>
          <w:ilvl w:val="0"/>
          <w:numId w:val="20"/>
        </w:numPr>
        <w:snapToGrid w:val="0"/>
        <w:spacing w:after="120" w:line="276" w:lineRule="auto"/>
        <w:ind w:left="0"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 xml:space="preserve">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69477A47" w14:textId="77777777" w:rsidR="00CE2169" w:rsidRPr="00CE2169" w:rsidRDefault="00CE2169" w:rsidP="00CE2169">
      <w:pPr>
        <w:numPr>
          <w:ilvl w:val="0"/>
          <w:numId w:val="20"/>
        </w:numPr>
        <w:snapToGrid w:val="0"/>
        <w:spacing w:after="120" w:line="276" w:lineRule="auto"/>
        <w:ind w:left="0"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 xml:space="preserve">Resolución 952 del 15 de diciembre de 2025 “Por la cual se adoptan los documentos tipo para los procesos de selección de concurso de méritos, para contratar la consultoría de estudios de ingeniería de infraestructura social; que </w:t>
      </w:r>
      <w:r w:rsidRPr="00CE2169">
        <w:rPr>
          <w:rFonts w:ascii="Verdana" w:eastAsia="Aptos" w:hAnsi="Verdana" w:cs="Aptos"/>
          <w:kern w:val="2"/>
          <w:lang w:val="es-ES_tradnl"/>
          <w14:ligatures w14:val="standardContextual"/>
        </w:rPr>
        <w:lastRenderedPageBreak/>
        <w:t>agrupa los sectores de educación, salud, cultura, recreación y deporte, institucional y vivienda”.</w:t>
      </w:r>
    </w:p>
    <w:p w14:paraId="762AF83D" w14:textId="77777777" w:rsidR="00CE2169" w:rsidRPr="00CE2169" w:rsidRDefault="00CE2169" w:rsidP="00CE2169">
      <w:pPr>
        <w:numPr>
          <w:ilvl w:val="0"/>
          <w:numId w:val="20"/>
        </w:numPr>
        <w:snapToGrid w:val="0"/>
        <w:spacing w:after="120" w:line="276" w:lineRule="auto"/>
        <w:ind w:left="0"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 xml:space="preserve">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 </w:t>
      </w:r>
    </w:p>
    <w:p w14:paraId="6982456D" w14:textId="77777777" w:rsidR="00CE2169" w:rsidRPr="00CE2169" w:rsidRDefault="00CE2169" w:rsidP="00CE2169">
      <w:pPr>
        <w:snapToGrid w:val="0"/>
        <w:spacing w:after="120" w:line="276" w:lineRule="auto"/>
        <w:ind w:firstLine="709"/>
        <w:jc w:val="both"/>
        <w:rPr>
          <w:rFonts w:ascii="Verdana" w:eastAsia="Aptos" w:hAnsi="Verdana" w:cs="Aptos"/>
          <w:kern w:val="2"/>
          <w:lang w:val="es-ES"/>
          <w14:ligatures w14:val="standardContextual"/>
        </w:rPr>
      </w:pPr>
      <w:r w:rsidRPr="4E74009F">
        <w:rPr>
          <w:rFonts w:ascii="Verdana" w:eastAsia="Aptos" w:hAnsi="Verdana" w:cs="Aptos"/>
          <w:kern w:val="2"/>
          <w:lang w:val="es-ES"/>
          <w14:ligatures w14:val="standardContextual"/>
        </w:rPr>
        <w:t>Tanto las Resoluciones 539, 540 y 541 del 21 de agosto de 2025,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 .</w:t>
      </w:r>
    </w:p>
    <w:p w14:paraId="45AE5DCF" w14:textId="77777777" w:rsidR="00CE2169" w:rsidRPr="00CE2169" w:rsidRDefault="00CE2169" w:rsidP="00CE2169">
      <w:pPr>
        <w:snapToGrid w:val="0"/>
        <w:spacing w:after="120" w:line="276" w:lineRule="auto"/>
        <w:ind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 xml:space="preserve">De acuerdo con el artículo tercero de las Resoluciones 539, 540 y 541 del 21 de agosto de 2025, los Documentos Tipo que estas adoptan son de carácter obligatorio en la actividad contractual de las Entidades Estatales sometidas al Estatuto General de Contratación de la Administración Pública. </w:t>
      </w:r>
    </w:p>
    <w:p w14:paraId="4D51A7AA" w14:textId="77777777" w:rsidR="00CE2169" w:rsidRPr="00CE2169" w:rsidRDefault="00CE2169" w:rsidP="00CE2169">
      <w:pPr>
        <w:snapToGrid w:val="0"/>
        <w:spacing w:after="0" w:line="276" w:lineRule="auto"/>
        <w:ind w:firstLine="709"/>
        <w:jc w:val="both"/>
        <w:rPr>
          <w:rFonts w:ascii="Verdana" w:eastAsia="Aptos" w:hAnsi="Verdana" w:cs="Aptos"/>
          <w:kern w:val="2"/>
          <w:lang w:val="es-ES_tradnl"/>
          <w14:ligatures w14:val="standardContextual"/>
        </w:rPr>
      </w:pPr>
      <w:r w:rsidRPr="00CE2169">
        <w:rPr>
          <w:rFonts w:ascii="Verdana" w:eastAsia="Aptos" w:hAnsi="Verdana" w:cs="Aptos"/>
          <w:kern w:val="2"/>
          <w:lang w:val="es-ES_tradnl"/>
          <w14:ligatures w14:val="standardContextual"/>
        </w:rPr>
        <w:t>Finalmente, procede señalar que la determinación sobre la aplicación de los documentos tipo se da en función de las actividades contenidas en la Matriz de Experiencia. En tal sentido, la “</w:t>
      </w:r>
      <w:r w:rsidRPr="00CE2169">
        <w:rPr>
          <w:rFonts w:ascii="Verdana" w:eastAsia="Aptos" w:hAnsi="Verdana" w:cs="Aptos"/>
          <w:b/>
          <w:bCs/>
          <w:i/>
          <w:iCs/>
          <w:kern w:val="2"/>
          <w:lang w:val="es-ES_tradnl"/>
          <w14:ligatures w14:val="standardContextual"/>
        </w:rPr>
        <w:t>intervención de edificación institucional</w:t>
      </w:r>
      <w:r w:rsidRPr="00CE2169">
        <w:rPr>
          <w:rFonts w:ascii="Verdana" w:eastAsia="Aptos" w:hAnsi="Verdana" w:cs="Aptos"/>
          <w:kern w:val="2"/>
          <w:lang w:val="es-ES_tradnl"/>
          <w14:ligatures w14:val="standardContextual"/>
        </w:rPr>
        <w:t xml:space="preserve">”, independientemente de si dicha edificación se encuentra destinada a la prestación del servicio público en actividades relacionadas con el sector transporte, conlleva la obligación de aplicar los documentos tipo del sector social, específicamente del subsector institucional, toda vez que este objeto contractual podría enmarcarse en alguna de las actividades contenidas en el capítulo </w:t>
      </w:r>
      <w:r w:rsidRPr="00CE2169">
        <w:rPr>
          <w:rFonts w:ascii="Verdana" w:eastAsia="Aptos" w:hAnsi="Verdana" w:cs="Aptos"/>
          <w:i/>
          <w:iCs/>
          <w:kern w:val="2"/>
          <w:lang w:val="es-ES_tradnl"/>
          <w14:ligatures w14:val="standardContextual"/>
        </w:rPr>
        <w:t xml:space="preserve">2. OBRAS EN PROYECTOS DE INFRAESTRUCTURA INSTITUCIONAL DE SERVICIO PUBLICO </w:t>
      </w:r>
      <w:r w:rsidRPr="00CE2169">
        <w:rPr>
          <w:rFonts w:ascii="Verdana" w:eastAsia="Aptos" w:hAnsi="Verdana" w:cs="Aptos"/>
          <w:kern w:val="2"/>
          <w:lang w:val="es-ES_tradnl"/>
          <w14:ligatures w14:val="standardContextual"/>
        </w:rPr>
        <w:t>de estos documentos tipo.</w:t>
      </w:r>
    </w:p>
    <w:p w14:paraId="5099F9F3" w14:textId="77777777" w:rsidR="00CE2169" w:rsidRPr="00CE2169" w:rsidRDefault="00CE2169" w:rsidP="00CE2169">
      <w:pPr>
        <w:spacing w:after="0" w:line="276" w:lineRule="auto"/>
        <w:jc w:val="both"/>
        <w:rPr>
          <w:rFonts w:ascii="Verdana" w:eastAsia="Calibri" w:hAnsi="Verdana" w:cs="Times New Roman"/>
          <w:kern w:val="2"/>
          <w14:ligatures w14:val="standardContextual"/>
        </w:rPr>
      </w:pPr>
    </w:p>
    <w:p w14:paraId="3E16CD46" w14:textId="77777777" w:rsidR="00CE2169" w:rsidRPr="00CE2169" w:rsidRDefault="00CE2169" w:rsidP="00CE2169">
      <w:pPr>
        <w:numPr>
          <w:ilvl w:val="0"/>
          <w:numId w:val="18"/>
        </w:numPr>
        <w:tabs>
          <w:tab w:val="left" w:pos="142"/>
          <w:tab w:val="left" w:pos="284"/>
        </w:tabs>
        <w:spacing w:after="0" w:line="276" w:lineRule="auto"/>
        <w:ind w:left="357" w:hanging="357"/>
        <w:jc w:val="both"/>
        <w:rPr>
          <w:rFonts w:ascii="Verdana" w:eastAsia="Century Gothic" w:hAnsi="Verdana" w:cs="Century Gothic"/>
          <w:b/>
          <w:bCs/>
        </w:rPr>
      </w:pPr>
      <w:r w:rsidRPr="00CE2169">
        <w:rPr>
          <w:rFonts w:ascii="Verdana" w:eastAsia="Century Gothic" w:hAnsi="Verdana" w:cs="Century Gothic"/>
          <w:b/>
          <w:bCs/>
        </w:rPr>
        <w:t>Referencias normativas, jurisprudenciales y otras fuentes:</w:t>
      </w:r>
    </w:p>
    <w:p w14:paraId="0BCDC2C9" w14:textId="77777777" w:rsidR="00CE2169" w:rsidRPr="00CE2169" w:rsidRDefault="00CE2169" w:rsidP="00CE2169">
      <w:pPr>
        <w:spacing w:after="0"/>
        <w:ind w:left="-15840"/>
        <w:jc w:val="both"/>
        <w:rPr>
          <w:rFonts w:ascii="Verdana" w:eastAsia="Calibri" w:hAnsi="Verdana" w:cs="Arial"/>
          <w:b/>
          <w:bCs/>
        </w:rPr>
      </w:pPr>
      <w:r w:rsidRPr="00CE2169">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CE2169" w:rsidRPr="00CE2169" w14:paraId="6F1ED086" w14:textId="77777777" w:rsidTr="008A47D7">
        <w:trPr>
          <w:trHeight w:val="870"/>
        </w:trPr>
        <w:tc>
          <w:tcPr>
            <w:tcW w:w="8647" w:type="dxa"/>
            <w:tcBorders>
              <w:top w:val="dotted" w:sz="4" w:space="0" w:color="auto"/>
              <w:left w:val="dotted" w:sz="4" w:space="0" w:color="auto"/>
              <w:bottom w:val="dotted" w:sz="4" w:space="0" w:color="auto"/>
              <w:right w:val="dotted" w:sz="4" w:space="0" w:color="auto"/>
            </w:tcBorders>
          </w:tcPr>
          <w:p w14:paraId="6FB65004" w14:textId="77777777" w:rsidR="00CE2169" w:rsidRPr="00CE2169" w:rsidRDefault="00CE2169" w:rsidP="00CE2169">
            <w:pPr>
              <w:widowControl w:val="0"/>
              <w:numPr>
                <w:ilvl w:val="0"/>
                <w:numId w:val="19"/>
              </w:numPr>
              <w:autoSpaceDE w:val="0"/>
              <w:autoSpaceDN w:val="0"/>
              <w:adjustRightInd w:val="0"/>
              <w:snapToGrid w:val="0"/>
              <w:spacing w:after="120" w:line="276" w:lineRule="auto"/>
              <w:ind w:left="714" w:hanging="357"/>
              <w:jc w:val="both"/>
              <w:rPr>
                <w:rFonts w:ascii="Verdana" w:eastAsia="Calibri" w:hAnsi="Verdana" w:cs="Arial"/>
                <w:lang w:val="es-ES"/>
              </w:rPr>
            </w:pPr>
            <w:r w:rsidRPr="00CE2169">
              <w:rPr>
                <w:rFonts w:ascii="Verdana" w:eastAsia="Calibri" w:hAnsi="Verdana" w:cs="Arial"/>
                <w:lang w:val="es-ES"/>
              </w:rPr>
              <w:lastRenderedPageBreak/>
              <w:t xml:space="preserve">Ley 2022 de 2020, artículo 1. </w:t>
            </w:r>
          </w:p>
          <w:p w14:paraId="40288FBB" w14:textId="77777777" w:rsidR="00CE2169" w:rsidRPr="00CE2169" w:rsidRDefault="00CE2169" w:rsidP="00CE2169">
            <w:pPr>
              <w:widowControl w:val="0"/>
              <w:numPr>
                <w:ilvl w:val="0"/>
                <w:numId w:val="17"/>
              </w:numPr>
              <w:autoSpaceDE w:val="0"/>
              <w:autoSpaceDN w:val="0"/>
              <w:adjustRightInd w:val="0"/>
              <w:snapToGrid w:val="0"/>
              <w:spacing w:line="276" w:lineRule="auto"/>
              <w:ind w:left="714" w:hanging="357"/>
              <w:jc w:val="both"/>
              <w:rPr>
                <w:rFonts w:ascii="Verdana" w:eastAsia="Calibri" w:hAnsi="Verdana" w:cs="Arial"/>
              </w:rPr>
            </w:pPr>
            <w:r w:rsidRPr="00CE2169">
              <w:rPr>
                <w:rFonts w:ascii="Verdana" w:eastAsia="Calibri" w:hAnsi="Verdana" w:cs="Arial"/>
              </w:rPr>
              <w:t xml:space="preserve">Documentos tipo del sector de infraestructura social, y adicionales del sector institucional. Disponibles en: </w:t>
            </w:r>
            <w:hyperlink r:id="rId11" w:history="1">
              <w:r w:rsidRPr="00CE2169">
                <w:rPr>
                  <w:rFonts w:ascii="Verdana" w:eastAsia="Calibri" w:hAnsi="Verdana" w:cs="Arial"/>
                  <w:color w:val="0000FF"/>
                  <w:u w:val="single"/>
                </w:rPr>
                <w:t>https://www.colombiacompra.gov.co/normativa-y-relatoria/documentos-tipo</w:t>
              </w:r>
            </w:hyperlink>
            <w:r w:rsidRPr="00CE2169">
              <w:rPr>
                <w:rFonts w:ascii="Verdana" w:eastAsia="Calibri" w:hAnsi="Verdana" w:cs="Arial"/>
              </w:rPr>
              <w:t xml:space="preserve">. </w:t>
            </w:r>
          </w:p>
        </w:tc>
      </w:tr>
    </w:tbl>
    <w:p w14:paraId="0C328B7C" w14:textId="77777777" w:rsidR="00CE2169" w:rsidRPr="00CE2169" w:rsidRDefault="00CE2169" w:rsidP="00CE2169">
      <w:pPr>
        <w:tabs>
          <w:tab w:val="left" w:pos="142"/>
          <w:tab w:val="left" w:pos="284"/>
        </w:tabs>
        <w:spacing w:after="0" w:line="276" w:lineRule="auto"/>
        <w:jc w:val="both"/>
        <w:rPr>
          <w:rFonts w:ascii="Verdana" w:eastAsia="Calibri" w:hAnsi="Verdana" w:cs="Arial"/>
        </w:rPr>
      </w:pPr>
    </w:p>
    <w:p w14:paraId="0A1DCF9E" w14:textId="77777777" w:rsidR="00CE2169" w:rsidRPr="00CE2169" w:rsidRDefault="00CE2169" w:rsidP="00CE2169">
      <w:pPr>
        <w:numPr>
          <w:ilvl w:val="0"/>
          <w:numId w:val="18"/>
        </w:numPr>
        <w:tabs>
          <w:tab w:val="left" w:pos="142"/>
          <w:tab w:val="left" w:pos="284"/>
        </w:tabs>
        <w:spacing w:after="0" w:line="276" w:lineRule="auto"/>
        <w:contextualSpacing/>
        <w:jc w:val="both"/>
        <w:rPr>
          <w:rFonts w:ascii="Verdana" w:eastAsia="Century Gothic" w:hAnsi="Verdana" w:cs="Century Gothic"/>
          <w:b/>
          <w:bCs/>
        </w:rPr>
      </w:pPr>
      <w:r w:rsidRPr="00CE2169">
        <w:rPr>
          <w:rFonts w:ascii="Verdana" w:eastAsia="Century Gothic" w:hAnsi="Verdana" w:cs="Century Gothic"/>
          <w:b/>
          <w:bCs/>
        </w:rPr>
        <w:t>Doctrina de la Agencia Nacional de Contratación Pública:</w:t>
      </w:r>
    </w:p>
    <w:p w14:paraId="34B2A363" w14:textId="77777777" w:rsidR="00CE2169" w:rsidRPr="00CE2169" w:rsidRDefault="00CE2169" w:rsidP="00CE2169">
      <w:pPr>
        <w:widowControl w:val="0"/>
        <w:autoSpaceDE w:val="0"/>
        <w:autoSpaceDN w:val="0"/>
        <w:spacing w:after="0" w:line="276" w:lineRule="auto"/>
        <w:jc w:val="both"/>
        <w:rPr>
          <w:rFonts w:ascii="Verdana" w:eastAsia="Calibri" w:hAnsi="Verdana" w:cs="Arial"/>
        </w:rPr>
      </w:pPr>
    </w:p>
    <w:p w14:paraId="4432CF47" w14:textId="77777777" w:rsidR="00CE2169" w:rsidRPr="00CE2169" w:rsidRDefault="00CE2169" w:rsidP="00CE2169">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CE2169">
        <w:rPr>
          <w:rFonts w:ascii="Verdana" w:eastAsia="Times New Roman" w:hAnsi="Verdana" w:cs="Arial"/>
          <w:color w:val="000000"/>
          <w:lang w:val="es-ES_tradnl" w:eastAsia="es-ES_tradnl"/>
        </w:rPr>
        <w:t>La Agencia Nacional de Contratación Pública – Colombia Compra Eficiente se pronunció 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C-1474 del 24 de noviembre de 2025, C-179 del 13 de marzo de 2026, entre otros.</w:t>
      </w:r>
      <w:r w:rsidRPr="00CE2169">
        <w:rPr>
          <w:rFonts w:ascii="Verdana" w:eastAsia="Calibri" w:hAnsi="Verdana" w:cs="Arial"/>
          <w:shd w:val="clear" w:color="auto" w:fill="FFFFFF"/>
        </w:rPr>
        <w:t xml:space="preserve"> </w:t>
      </w:r>
      <w:r w:rsidRPr="00CE2169">
        <w:rPr>
          <w:rFonts w:ascii="Verdana" w:eastAsia="Calibri" w:hAnsi="Verdana" w:cs="Arial"/>
          <w:color w:val="000000"/>
          <w:kern w:val="2"/>
          <w:shd w:val="clear" w:color="auto" w:fill="FFFFFF"/>
          <w:lang w:val="es-ES_tradnl"/>
          <w14:ligatures w14:val="standardContextual"/>
        </w:rPr>
        <w:t xml:space="preserve">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history="1">
        <w:r w:rsidRPr="00CE2169">
          <w:rPr>
            <w:rFonts w:ascii="Verdana" w:eastAsia="Aptos" w:hAnsi="Verdana" w:cs="Arial"/>
            <w:color w:val="0000FF"/>
            <w:kern w:val="2"/>
            <w:u w:val="single"/>
            <w:shd w:val="clear" w:color="auto" w:fill="FFFFFF"/>
            <w:lang w:val="es-ES_tradnl"/>
            <w14:ligatures w14:val="standardContextual"/>
          </w:rPr>
          <w:t>https://relatoria.colombiacompra.gov.co/busqueda/conceptos</w:t>
        </w:r>
      </w:hyperlink>
      <w:r w:rsidRPr="00CE2169">
        <w:rPr>
          <w:rFonts w:ascii="Verdana" w:eastAsia="Aptos" w:hAnsi="Verdana" w:cs="Arial"/>
          <w:kern w:val="2"/>
          <w:shd w:val="clear" w:color="auto" w:fill="FFFFFF"/>
          <w:lang w:val="es-ES_tradnl"/>
          <w14:ligatures w14:val="standardContextual"/>
        </w:rPr>
        <w:t xml:space="preserve">. </w:t>
      </w:r>
      <w:r w:rsidRPr="00CE2169">
        <w:rPr>
          <w:rFonts w:ascii="Verdana" w:eastAsia="Aptos" w:hAnsi="Verdana" w:cs="Arial"/>
          <w:color w:val="FF0000"/>
          <w:kern w:val="2"/>
          <w:shd w:val="clear" w:color="auto" w:fill="FFFFFF"/>
          <w:lang w:val="es-ES"/>
          <w14:ligatures w14:val="standardContextual"/>
        </w:rPr>
        <w:t xml:space="preserve">  </w:t>
      </w:r>
    </w:p>
    <w:p w14:paraId="6C46A71D" w14:textId="77777777" w:rsidR="00CE2169" w:rsidRPr="00CE2169" w:rsidRDefault="00CE2169" w:rsidP="00CE2169">
      <w:pPr>
        <w:spacing w:after="0" w:line="240" w:lineRule="auto"/>
        <w:jc w:val="both"/>
        <w:rPr>
          <w:rFonts w:ascii="Verdana" w:eastAsia="Calibri" w:hAnsi="Verdana" w:cs="Arial"/>
          <w:color w:val="000000"/>
          <w:kern w:val="2"/>
          <w:shd w:val="clear" w:color="auto" w:fill="FFFFFF"/>
          <w:lang w:val="es-ES_tradnl"/>
          <w14:ligatures w14:val="standardContextual"/>
        </w:rPr>
      </w:pPr>
    </w:p>
    <w:p w14:paraId="6D85F8F2" w14:textId="77777777" w:rsidR="00CE2169" w:rsidRPr="00CE2169" w:rsidRDefault="00CE2169" w:rsidP="00CE2169">
      <w:pPr>
        <w:spacing w:after="0" w:line="276" w:lineRule="auto"/>
        <w:jc w:val="both"/>
        <w:rPr>
          <w:rFonts w:ascii="Verdana" w:eastAsia="Times New Roman" w:hAnsi="Verdana" w:cs="Arial"/>
          <w:kern w:val="2"/>
          <w:lang w:val="es-ES_tradnl" w:eastAsia="es-MX"/>
          <w14:ligatures w14:val="standardContextual"/>
        </w:rPr>
      </w:pPr>
      <w:r w:rsidRPr="00CE2169">
        <w:rPr>
          <w:rFonts w:ascii="Verdana" w:eastAsia="Times New Roman" w:hAnsi="Verdana" w:cs="Arial"/>
          <w:kern w:val="2"/>
          <w:lang w:val="es-ES_tradnl" w:eastAsia="es-MX"/>
          <w14:ligatures w14:val="standardContextual"/>
        </w:rPr>
        <w:lastRenderedPageBreak/>
        <w:t xml:space="preserve">La sostenibilidad no es una opción, es una obligación. Por ello, la Agencia Nacional de Contratación Pública –Colombia Compra Eficiente– le invita a realizar el </w:t>
      </w:r>
      <w:r w:rsidRPr="00CE2169">
        <w:rPr>
          <w:rFonts w:ascii="Verdana" w:eastAsia="Times New Roman" w:hAnsi="Verdana" w:cs="Arial"/>
          <w:b/>
          <w:bCs/>
          <w:kern w:val="2"/>
          <w:lang w:val="es-ES_tradnl" w:eastAsia="es-MX"/>
          <w14:ligatures w14:val="standardContextual"/>
        </w:rPr>
        <w:t>Curso de Contratación Pública Sostenible y Socialmente Responsable</w:t>
      </w:r>
      <w:r w:rsidRPr="00CE2169">
        <w:rPr>
          <w:rFonts w:ascii="Verdana" w:eastAsia="Times New Roman" w:hAnsi="Verdana" w:cs="Arial"/>
          <w:kern w:val="2"/>
          <w:lang w:val="es-ES_tradnl" w:eastAsia="es-MX"/>
          <w14:ligatures w14:val="standardContextual"/>
        </w:rPr>
        <w:t>, una herramienta clave para fortalecer las capacidades de todos los compradores públicos, proveedores, servidores públicos y para generar mayor valor público. Acceda al curso y aprenda como implementar criterios sociales y ambientales en las diferentes etapas del proceso de contratación:</w:t>
      </w:r>
      <w:r w:rsidRPr="00CE2169">
        <w:rPr>
          <w:rFonts w:ascii="Verdana" w:eastAsia="Times New Roman" w:hAnsi="Verdana" w:cs="Arial"/>
          <w:kern w:val="2"/>
          <w:lang w:val="es-ES_tradnl" w:eastAsia="es-MX"/>
          <w14:ligatures w14:val="standardContextual"/>
        </w:rPr>
        <w:br/>
      </w:r>
      <w:hyperlink r:id="rId13" w:tgtFrame="_new" w:history="1">
        <w:r w:rsidRPr="00CE2169">
          <w:rPr>
            <w:rFonts w:ascii="Verdana" w:eastAsia="Times New Roman" w:hAnsi="Verdana" w:cs="Arial"/>
            <w:color w:val="0000FF"/>
            <w:kern w:val="2"/>
            <w:u w:val="single"/>
            <w:lang w:val="es-ES_tradnl" w:eastAsia="es-MX"/>
            <w14:ligatures w14:val="standardContextual"/>
          </w:rPr>
          <w:t>https://formacionvirtual.colombiacompra.gov.co/mod/page/view.php?id=3718</w:t>
        </w:r>
      </w:hyperlink>
    </w:p>
    <w:p w14:paraId="47AC4E08" w14:textId="77777777" w:rsidR="00CE2169" w:rsidRPr="00CE2169" w:rsidRDefault="00CE2169" w:rsidP="00CE2169">
      <w:pPr>
        <w:spacing w:after="0" w:line="276" w:lineRule="auto"/>
        <w:jc w:val="both"/>
        <w:rPr>
          <w:rFonts w:ascii="Verdana" w:eastAsia="Times New Roman" w:hAnsi="Verdana" w:cs="Arial"/>
          <w:kern w:val="2"/>
          <w:lang w:val="es-ES_tradnl" w:eastAsia="es-MX"/>
          <w14:ligatures w14:val="standardContextual"/>
        </w:rPr>
      </w:pPr>
    </w:p>
    <w:p w14:paraId="383A54F6" w14:textId="77777777" w:rsidR="00CE2169" w:rsidRPr="00CE2169" w:rsidRDefault="00CE2169" w:rsidP="00CE2169">
      <w:pPr>
        <w:spacing w:after="0" w:line="276" w:lineRule="auto"/>
        <w:jc w:val="both"/>
        <w:rPr>
          <w:rFonts w:ascii="Verdana" w:eastAsia="Times New Roman" w:hAnsi="Verdana" w:cs="Arial"/>
          <w:kern w:val="2"/>
          <w:lang w:val="es-ES_tradnl" w:eastAsia="es-MX"/>
          <w14:ligatures w14:val="standardContextual"/>
        </w:rPr>
      </w:pPr>
      <w:r w:rsidRPr="00CE2169">
        <w:rPr>
          <w:rFonts w:ascii="Verdana" w:eastAsia="Times New Roman" w:hAnsi="Verdana" w:cs="Arial"/>
          <w:kern w:val="2"/>
          <w:lang w:val="es-ES_tradnl" w:eastAsia="es-MX"/>
          <w14:ligatures w14:val="standardContextual"/>
        </w:rPr>
        <w:t xml:space="preserve">De otro lado, le contamos que esta Agencia ha da un paso decisivo en la estandarización y modernización del </w:t>
      </w:r>
      <w:r w:rsidRPr="00CE2169">
        <w:rPr>
          <w:rFonts w:ascii="Verdana" w:eastAsia="Times New Roman" w:hAnsi="Verdana" w:cs="Arial"/>
          <w:b/>
          <w:bCs/>
          <w:kern w:val="2"/>
          <w:lang w:val="es-ES_tradnl" w:eastAsia="es-MX"/>
          <w14:ligatures w14:val="standardContextual"/>
        </w:rPr>
        <w:t>sector  social</w:t>
      </w:r>
      <w:r w:rsidRPr="00CE2169">
        <w:rPr>
          <w:rFonts w:ascii="Verdana" w:eastAsia="Times New Roman" w:hAnsi="Verdana" w:cs="Arial"/>
          <w:kern w:val="2"/>
          <w:lang w:val="es-ES_tradnl" w:eastAsia="es-MX"/>
          <w14:ligatures w14:val="standardContextual"/>
        </w:rPr>
        <w:t xml:space="preserve"> con la expedición de las </w:t>
      </w:r>
      <w:r w:rsidRPr="00CE2169">
        <w:rPr>
          <w:rFonts w:ascii="Verdana" w:eastAsia="Times New Roman" w:hAnsi="Verdana" w:cs="Arial"/>
          <w:b/>
          <w:bCs/>
          <w:kern w:val="2"/>
          <w:lang w:val="es-ES_tradnl" w:eastAsia="es-MX"/>
          <w14:ligatures w14:val="standardContextual"/>
        </w:rPr>
        <w:t>Resoluciones 539, 540, 541, 952 y 953 de 2025</w:t>
      </w:r>
      <w:r w:rsidRPr="00CE2169">
        <w:rPr>
          <w:rFonts w:ascii="Verdana" w:eastAsia="Times New Roman" w:hAnsi="Verdana" w:cs="Arial"/>
          <w:kern w:val="2"/>
          <w:lang w:val="es-ES_tradnl" w:eastAsia="es-MX"/>
          <w14:ligatures w14:val="standardContextual"/>
        </w:rPr>
        <w:t xml:space="preserve">, </w:t>
      </w:r>
      <w:r w:rsidRPr="00CE2169">
        <w:rPr>
          <w:rFonts w:ascii="Verdana" w:eastAsia="Times New Roman" w:hAnsi="Verdana" w:cs="Arial"/>
          <w:b/>
          <w:bCs/>
          <w:kern w:val="2"/>
          <w:lang w:val="es-ES_tradnl" w:eastAsia="es-MX"/>
          <w14:ligatures w14:val="standardContextual"/>
        </w:rPr>
        <w:t>mediante las cuales adoptó Documentos Tipo</w:t>
      </w:r>
      <w:r w:rsidRPr="00CE2169">
        <w:rPr>
          <w:rFonts w:ascii="Verdana" w:eastAsia="Times New Roman" w:hAnsi="Verdana" w:cs="Arial"/>
          <w:kern w:val="2"/>
          <w:lang w:val="es-ES_tradnl" w:eastAsia="es-MX"/>
          <w14:ligatures w14:val="standardContextual"/>
        </w:rPr>
        <w:t xml:space="preserve"> para las modalidades de selección de</w:t>
      </w:r>
      <w:r w:rsidRPr="00CE2169">
        <w:rPr>
          <w:rFonts w:ascii="Verdana" w:eastAsia="Times New Roman" w:hAnsi="Verdana" w:cs="Arial"/>
          <w:b/>
          <w:bCs/>
          <w:kern w:val="2"/>
          <w:lang w:val="es-ES_tradnl" w:eastAsia="es-MX"/>
          <w14:ligatures w14:val="standardContextual"/>
        </w:rPr>
        <w:t xml:space="preserve"> licitación pública (versión 2), selección abreviada de menor cuantía, mínima cuantía, consultoría e interventoría</w:t>
      </w:r>
      <w:r w:rsidRPr="00CE2169">
        <w:rPr>
          <w:rFonts w:ascii="Verdana" w:eastAsia="Times New Roman" w:hAnsi="Verdana" w:cs="Arial"/>
          <w:kern w:val="2"/>
          <w:lang w:val="es-ES_tradnl" w:eastAsia="es-MX"/>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CE2169">
          <w:rPr>
            <w:rFonts w:ascii="Verdana" w:eastAsia="Times New Roman" w:hAnsi="Verdana" w:cs="Arial"/>
            <w:color w:val="0000FF"/>
            <w:kern w:val="2"/>
            <w:u w:val="single"/>
            <w:lang w:val="es-ES_tradnl" w:eastAsia="es-MX"/>
            <w14:ligatures w14:val="standardContextual"/>
          </w:rPr>
          <w:t>https://www.colombiacompra.gov.co/normativa-y-relatoria/documentos-tipo</w:t>
        </w:r>
      </w:hyperlink>
    </w:p>
    <w:p w14:paraId="30DA22DB" w14:textId="77777777" w:rsidR="00CE2169" w:rsidRPr="00CE2169" w:rsidRDefault="00CE2169" w:rsidP="00CE2169">
      <w:pPr>
        <w:spacing w:after="0" w:line="276" w:lineRule="auto"/>
        <w:jc w:val="both"/>
        <w:rPr>
          <w:rFonts w:ascii="Verdana" w:eastAsia="Times New Roman" w:hAnsi="Verdana" w:cs="Arial"/>
          <w:kern w:val="2"/>
          <w:lang w:val="es-ES_tradnl" w:eastAsia="es-MX"/>
          <w14:ligatures w14:val="standardContextual"/>
        </w:rPr>
      </w:pPr>
    </w:p>
    <w:p w14:paraId="3B77FBF5" w14:textId="77777777" w:rsidR="00CE2169" w:rsidRPr="00CE2169" w:rsidRDefault="00CE2169" w:rsidP="00CE2169">
      <w:pPr>
        <w:spacing w:after="0" w:line="276" w:lineRule="auto"/>
        <w:jc w:val="both"/>
        <w:rPr>
          <w:rFonts w:ascii="Verdana" w:eastAsia="Times New Roman" w:hAnsi="Verdana" w:cs="Arial"/>
          <w:kern w:val="2"/>
          <w:lang w:val="es-ES_tradnl" w:eastAsia="es-MX"/>
          <w14:ligatures w14:val="standardContextual"/>
        </w:rPr>
      </w:pPr>
      <w:r w:rsidRPr="00CE2169">
        <w:rPr>
          <w:rFonts w:ascii="Verdana" w:eastAsia="Times New Roman" w:hAnsi="Verdana" w:cs="Arial"/>
          <w:kern w:val="2"/>
          <w:lang w:val="es-ES_tradnl" w:eastAsia="es-MX"/>
          <w14:ligatures w14:val="standardContextual"/>
        </w:rPr>
        <w:t xml:space="preserve">Si quiere conocer más sobre la aplicación de Documentos Tipo puedes consultar la última versión de la </w:t>
      </w:r>
      <w:r w:rsidRPr="00CE2169">
        <w:rPr>
          <w:rFonts w:ascii="Verdana" w:eastAsia="Times New Roman" w:hAnsi="Verdana" w:cs="Arial"/>
          <w:b/>
          <w:bCs/>
          <w:kern w:val="2"/>
          <w:lang w:val="es-ES_tradnl" w:eastAsia="es-MX"/>
          <w14:ligatures w14:val="standardContextual"/>
        </w:rPr>
        <w:t>Guía para la comprensión e implementación de los Documentos Tipo de obra pública de infraestructura de transporte</w:t>
      </w:r>
      <w:r w:rsidRPr="00CE2169">
        <w:rPr>
          <w:rFonts w:ascii="Verdana" w:eastAsia="Times New Roman" w:hAnsi="Verdana" w:cs="Arial"/>
          <w:kern w:val="2"/>
          <w:lang w:val="es-ES_tradnl" w:eastAsia="es-MX"/>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Consulte la guía aquí:</w:t>
      </w:r>
      <w:r w:rsidRPr="00CE2169">
        <w:rPr>
          <w:rFonts w:ascii="Verdana" w:eastAsia="Times New Roman" w:hAnsi="Verdana" w:cs="Arial"/>
          <w:kern w:val="2"/>
          <w:lang w:val="es-ES_tradnl" w:eastAsia="es-MX"/>
          <w14:ligatures w14:val="standardContextual"/>
        </w:rPr>
        <w:br/>
      </w:r>
      <w:hyperlink r:id="rId15" w:tgtFrame="_new" w:history="1">
        <w:r w:rsidRPr="00CE2169">
          <w:rPr>
            <w:rFonts w:ascii="Verdana" w:eastAsia="Times New Roman" w:hAnsi="Verdana" w:cs="Arial"/>
            <w:color w:val="0000FF"/>
            <w:kern w:val="2"/>
            <w:u w:val="single"/>
            <w:lang w:val="es-ES_tradnl" w:eastAsia="es-MX"/>
            <w14:ligatures w14:val="standardContextual"/>
          </w:rPr>
          <w:t>https://www.colombiacompra.gov.co/archivos/manual/guia-para-la-comprension-e-implementacion-de-los-documentos-tipo-de-obra-publica-de-infraestructura-de-transporte-bajo-las-diferentes-modalidades-de-contratacion-vigentes</w:t>
        </w:r>
      </w:hyperlink>
    </w:p>
    <w:p w14:paraId="0509BC07" w14:textId="77777777" w:rsidR="00CE2169" w:rsidRPr="00CE2169" w:rsidRDefault="00CE2169" w:rsidP="00CE2169">
      <w:pPr>
        <w:spacing w:after="0" w:line="240" w:lineRule="auto"/>
        <w:jc w:val="both"/>
        <w:rPr>
          <w:rFonts w:ascii="Verdana" w:eastAsia="Aptos" w:hAnsi="Verdana" w:cs="Times New Roman"/>
          <w:color w:val="212121"/>
          <w:kern w:val="2"/>
          <w:lang w:val="es-ES_tradnl" w:eastAsia="es-MX"/>
          <w14:ligatures w14:val="standardContextual"/>
        </w:rPr>
      </w:pPr>
    </w:p>
    <w:p w14:paraId="617EF9BC" w14:textId="77777777" w:rsidR="00CE2169" w:rsidRPr="00CE2169" w:rsidRDefault="00CE2169" w:rsidP="00CE2169">
      <w:pPr>
        <w:spacing w:after="0" w:line="240" w:lineRule="auto"/>
        <w:jc w:val="both"/>
        <w:rPr>
          <w:rFonts w:ascii="Verdana" w:eastAsia="Calibri" w:hAnsi="Verdana" w:cs="Times New Roman"/>
          <w:kern w:val="2"/>
          <w:lang w:val="es-ES_tradnl" w:eastAsia="es-MX"/>
          <w14:ligatures w14:val="standardContextual"/>
        </w:rPr>
      </w:pPr>
      <w:r w:rsidRPr="00CE2169">
        <w:rPr>
          <w:rFonts w:ascii="Verdana" w:eastAsia="Aptos" w:hAnsi="Verdana" w:cs="Times New Roman"/>
          <w:kern w:val="2"/>
          <w:lang w:val="es-ES_tradnl" w:eastAsia="es-MX"/>
          <w14:ligatures w14:val="standardContextual"/>
        </w:rPr>
        <w:t xml:space="preserve">Por último, le invitamos a seguirnos en las redes sociales en las cuales se difunde información institucional: </w:t>
      </w:r>
    </w:p>
    <w:p w14:paraId="5F3F8D0B" w14:textId="77777777" w:rsidR="00CE2169" w:rsidRPr="00CE2169" w:rsidRDefault="00CE2169" w:rsidP="00CE2169">
      <w:pPr>
        <w:spacing w:after="0" w:line="276" w:lineRule="auto"/>
        <w:jc w:val="both"/>
        <w:textAlignment w:val="baseline"/>
        <w:rPr>
          <w:rFonts w:ascii="Verdana" w:eastAsia="Calibri" w:hAnsi="Verdana" w:cs="Times New Roman"/>
          <w:lang w:val="es-ES_tradnl"/>
        </w:rPr>
      </w:pPr>
    </w:p>
    <w:p w14:paraId="71137832" w14:textId="3E336D85" w:rsidR="00CE2169" w:rsidRPr="00CE2169" w:rsidRDefault="00CE2169" w:rsidP="00CE2169">
      <w:pPr>
        <w:spacing w:after="0" w:line="240" w:lineRule="auto"/>
        <w:jc w:val="both"/>
        <w:rPr>
          <w:rFonts w:ascii="Verdana" w:eastAsia="Calibri" w:hAnsi="Verdana" w:cs="Times New Roman"/>
          <w:lang w:val="es-ES_tradnl"/>
        </w:rPr>
      </w:pPr>
      <w:r w:rsidRPr="00CE2169">
        <w:rPr>
          <w:rFonts w:ascii="Verdana" w:eastAsia="Calibri" w:hAnsi="Verdana" w:cs="Times New Roman"/>
          <w:lang w:val="es-ES_tradnl"/>
        </w:rPr>
        <w:lastRenderedPageBreak/>
        <w:t xml:space="preserve">X: </w:t>
      </w:r>
      <w:r w:rsidRPr="00CE2169">
        <w:rPr>
          <w:rFonts w:ascii="Verdana" w:eastAsia="Calibri" w:hAnsi="Verdana" w:cs="Times New Roman"/>
          <w:u w:val="single"/>
          <w:lang w:val="es-ES_tradnl"/>
        </w:rPr>
        <w:t>@colombiacompra</w:t>
      </w:r>
      <w:r w:rsidRPr="00CE2169">
        <w:rPr>
          <w:rFonts w:ascii="Verdana" w:eastAsia="Calibri" w:hAnsi="Verdana" w:cs="Times New Roman"/>
          <w:lang w:val="es-ES_tradnl"/>
        </w:rPr>
        <w:t xml:space="preserve"> </w:t>
      </w:r>
    </w:p>
    <w:p w14:paraId="12F704C3" w14:textId="77777777" w:rsidR="00CE2169" w:rsidRPr="00CE2169" w:rsidRDefault="00CE2169" w:rsidP="00CE2169">
      <w:pPr>
        <w:spacing w:after="0" w:line="240" w:lineRule="auto"/>
        <w:jc w:val="both"/>
        <w:rPr>
          <w:rFonts w:ascii="Verdana" w:eastAsia="Calibri" w:hAnsi="Verdana" w:cs="Times New Roman"/>
          <w:lang w:val="es-ES"/>
        </w:rPr>
      </w:pPr>
      <w:r w:rsidRPr="00CE2169">
        <w:rPr>
          <w:rFonts w:ascii="Verdana" w:eastAsia="Calibri" w:hAnsi="Verdana" w:cs="Times New Roman"/>
          <w:lang w:val="es-ES"/>
        </w:rPr>
        <w:t xml:space="preserve">Facebook: </w:t>
      </w:r>
      <w:proofErr w:type="spellStart"/>
      <w:r w:rsidRPr="00CE2169">
        <w:rPr>
          <w:rFonts w:ascii="Verdana" w:eastAsia="Calibri" w:hAnsi="Verdana" w:cs="Times New Roman"/>
          <w:u w:val="single"/>
          <w:lang w:val="es-ES"/>
        </w:rPr>
        <w:t>ColombiaCompraEficiente</w:t>
      </w:r>
      <w:proofErr w:type="spellEnd"/>
    </w:p>
    <w:p w14:paraId="297E6437" w14:textId="77777777" w:rsidR="00CE2169" w:rsidRPr="00CE2169" w:rsidRDefault="00CE2169" w:rsidP="00CE2169">
      <w:pPr>
        <w:spacing w:after="0" w:line="240" w:lineRule="auto"/>
        <w:jc w:val="both"/>
        <w:rPr>
          <w:rFonts w:ascii="Verdana" w:eastAsia="Calibri" w:hAnsi="Verdana" w:cs="Times New Roman"/>
          <w:lang w:val="es-ES_tradnl"/>
        </w:rPr>
      </w:pPr>
      <w:r w:rsidRPr="00CE2169">
        <w:rPr>
          <w:rFonts w:ascii="Verdana" w:eastAsia="Calibri" w:hAnsi="Verdana" w:cs="Times New Roman"/>
          <w:lang w:val="es-ES_tradnl"/>
        </w:rPr>
        <w:t xml:space="preserve">LinkedIn: </w:t>
      </w:r>
      <w:r w:rsidRPr="00CE2169">
        <w:rPr>
          <w:rFonts w:ascii="Verdana" w:eastAsia="Calibri" w:hAnsi="Verdana" w:cs="Times New Roman"/>
          <w:u w:val="single"/>
          <w:lang w:val="es-ES_tradnl"/>
        </w:rPr>
        <w:t>Agencia Nacional de Contratación Pública - Colombia Compra Eficiente</w:t>
      </w:r>
      <w:r w:rsidRPr="00CE2169">
        <w:rPr>
          <w:rFonts w:ascii="Verdana" w:eastAsia="Calibri" w:hAnsi="Verdana" w:cs="Times New Roman"/>
          <w:lang w:val="es-ES_tradnl"/>
        </w:rPr>
        <w:t xml:space="preserve"> Instagram: </w:t>
      </w:r>
      <w:r w:rsidRPr="00CE2169">
        <w:rPr>
          <w:rFonts w:ascii="Verdana" w:eastAsia="Calibri" w:hAnsi="Verdana" w:cs="Times New Roman"/>
          <w:u w:val="single"/>
          <w:lang w:val="es-ES_tradnl"/>
        </w:rPr>
        <w:t>@colombiacompraeficiente_cce</w:t>
      </w:r>
    </w:p>
    <w:p w14:paraId="70D74E5F" w14:textId="77777777" w:rsidR="00CE2169" w:rsidRPr="00CE2169" w:rsidRDefault="00CE2169" w:rsidP="00CE2169">
      <w:pPr>
        <w:widowControl w:val="0"/>
        <w:autoSpaceDE w:val="0"/>
        <w:autoSpaceDN w:val="0"/>
        <w:spacing w:after="0" w:line="276" w:lineRule="auto"/>
        <w:jc w:val="both"/>
        <w:rPr>
          <w:rFonts w:ascii="Verdana" w:eastAsia="Calibri" w:hAnsi="Verdana" w:cs="Arial"/>
          <w:lang w:val="es-ES_tradnl"/>
        </w:rPr>
      </w:pPr>
    </w:p>
    <w:p w14:paraId="55D3FEEB" w14:textId="77777777" w:rsidR="00CE2169" w:rsidRPr="00CE2169" w:rsidRDefault="00CE2169" w:rsidP="00CE2169">
      <w:pPr>
        <w:widowControl w:val="0"/>
        <w:autoSpaceDE w:val="0"/>
        <w:autoSpaceDN w:val="0"/>
        <w:spacing w:after="0" w:line="276" w:lineRule="auto"/>
        <w:jc w:val="both"/>
        <w:rPr>
          <w:rFonts w:ascii="Verdana" w:eastAsia="Calibri" w:hAnsi="Verdana" w:cs="Arial"/>
          <w:lang w:val="es-ES_tradnl"/>
        </w:rPr>
      </w:pPr>
      <w:r w:rsidRPr="00CE2169">
        <w:rPr>
          <w:rFonts w:ascii="Verdana" w:eastAsia="Calibri" w:hAnsi="Verdana"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0E758EF" w14:textId="77777777" w:rsidR="00CE2169" w:rsidRPr="00CE2169" w:rsidRDefault="00CE2169" w:rsidP="00CE2169">
      <w:pPr>
        <w:widowControl w:val="0"/>
        <w:autoSpaceDE w:val="0"/>
        <w:autoSpaceDN w:val="0"/>
        <w:spacing w:after="0" w:line="276" w:lineRule="auto"/>
        <w:jc w:val="both"/>
        <w:rPr>
          <w:rFonts w:ascii="Verdana" w:eastAsia="Calibri" w:hAnsi="Verdana" w:cs="Arial"/>
        </w:rPr>
      </w:pPr>
    </w:p>
    <w:p w14:paraId="064BA152" w14:textId="77777777" w:rsidR="00CE2169" w:rsidRPr="00CE2169" w:rsidRDefault="00CE2169" w:rsidP="00CE2169">
      <w:pPr>
        <w:spacing w:after="0" w:line="240" w:lineRule="auto"/>
        <w:rPr>
          <w:rFonts w:ascii="Verdana" w:eastAsia="Calibri" w:hAnsi="Verdana" w:cs="Arial"/>
          <w:lang w:eastAsia="es-CO"/>
        </w:rPr>
      </w:pPr>
      <w:r w:rsidRPr="00CE2169">
        <w:rPr>
          <w:rFonts w:ascii="Verdana" w:eastAsia="Times New Roman" w:hAnsi="Verdana" w:cs="Arial"/>
          <w:lang w:eastAsia="es-CO"/>
        </w:rPr>
        <w:t>Atentamente,</w:t>
      </w:r>
      <w:r w:rsidRPr="00CE2169">
        <w:rPr>
          <w:rFonts w:ascii="Verdana" w:eastAsia="Calibri" w:hAnsi="Verdana" w:cs="Arial"/>
          <w:lang w:eastAsia="es-CO"/>
        </w:rPr>
        <w:t xml:space="preserve"> </w:t>
      </w:r>
    </w:p>
    <w:p w14:paraId="1E7867C3" w14:textId="56C34FCE" w:rsidR="00CE2169" w:rsidRPr="00CE2169" w:rsidRDefault="00F071D4" w:rsidP="00CE2169">
      <w:pPr>
        <w:tabs>
          <w:tab w:val="left" w:pos="1320"/>
        </w:tabs>
        <w:jc w:val="center"/>
        <w:rPr>
          <w:rFonts w:ascii="Verdana" w:eastAsia="Calibri" w:hAnsi="Verdana" w:cs="Times New Roman"/>
        </w:rPr>
      </w:pPr>
      <w:r>
        <w:rPr>
          <w:noProof/>
        </w:rPr>
        <w:drawing>
          <wp:inline distT="0" distB="0" distL="0" distR="0" wp14:anchorId="1DD96FF3" wp14:editId="39A87626">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6"/>
                    <a:stretch>
                      <a:fillRect/>
                    </a:stretch>
                  </pic:blipFill>
                  <pic:spPr>
                    <a:xfrm>
                      <a:off x="0" y="0"/>
                      <a:ext cx="3380831" cy="125500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E2169" w:rsidRPr="00CE2169" w14:paraId="7D3CD2BB" w14:textId="77777777" w:rsidTr="008A47D7">
        <w:trPr>
          <w:trHeight w:val="315"/>
        </w:trPr>
        <w:tc>
          <w:tcPr>
            <w:tcW w:w="893" w:type="dxa"/>
            <w:vAlign w:val="center"/>
            <w:hideMark/>
          </w:tcPr>
          <w:p w14:paraId="0C315452" w14:textId="77777777" w:rsidR="00CE2169" w:rsidRPr="00CE2169" w:rsidRDefault="00CE2169" w:rsidP="00CE2169">
            <w:pPr>
              <w:rPr>
                <w:rFonts w:ascii="Verdana" w:eastAsia="Calibri" w:hAnsi="Verdana" w:cs="Arial"/>
                <w:sz w:val="16"/>
                <w:szCs w:val="16"/>
                <w:lang w:eastAsia="es-ES"/>
              </w:rPr>
            </w:pPr>
            <w:r w:rsidRPr="00CE2169">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5B7C9545" w14:textId="77777777" w:rsidR="00CE2169" w:rsidRPr="00CE2169" w:rsidRDefault="00CE2169" w:rsidP="00CE2169">
            <w:pPr>
              <w:rPr>
                <w:rFonts w:ascii="Verdana" w:eastAsia="Arial" w:hAnsi="Verdana" w:cs="Arial"/>
                <w:sz w:val="16"/>
                <w:szCs w:val="16"/>
              </w:rPr>
            </w:pPr>
            <w:r w:rsidRPr="00CE2169">
              <w:rPr>
                <w:rFonts w:ascii="Verdana" w:eastAsia="Arial" w:hAnsi="Verdana" w:cs="Arial"/>
                <w:sz w:val="16"/>
                <w:szCs w:val="16"/>
              </w:rPr>
              <w:t>Kevin Arlid Herrera Santa</w:t>
            </w:r>
          </w:p>
          <w:p w14:paraId="55775CD8" w14:textId="77777777" w:rsidR="00CE2169" w:rsidRPr="00CE2169" w:rsidRDefault="00CE2169" w:rsidP="00CE2169">
            <w:pPr>
              <w:rPr>
                <w:rFonts w:ascii="Verdana" w:eastAsia="Arial" w:hAnsi="Verdana" w:cs="Arial"/>
                <w:sz w:val="16"/>
                <w:szCs w:val="16"/>
              </w:rPr>
            </w:pPr>
            <w:r w:rsidRPr="00CE2169">
              <w:rPr>
                <w:rFonts w:ascii="Verdana" w:eastAsia="Arial" w:hAnsi="Verdana" w:cs="Arial"/>
                <w:sz w:val="16"/>
                <w:szCs w:val="16"/>
              </w:rPr>
              <w:t>Contratista de la Subdirección de Gestión Contractual</w:t>
            </w:r>
          </w:p>
          <w:p w14:paraId="5F31B012" w14:textId="77777777" w:rsidR="00CE2169" w:rsidRPr="00CE2169" w:rsidRDefault="00CE2169" w:rsidP="00CE2169">
            <w:pPr>
              <w:rPr>
                <w:rFonts w:ascii="Verdana" w:eastAsia="Arial" w:hAnsi="Verdana" w:cs="Arial"/>
                <w:sz w:val="16"/>
                <w:szCs w:val="16"/>
              </w:rPr>
            </w:pPr>
            <w:r w:rsidRPr="00CE2169">
              <w:rPr>
                <w:rFonts w:ascii="Verdana" w:eastAsia="Arial" w:hAnsi="Verdana" w:cs="Arial"/>
                <w:sz w:val="16"/>
                <w:szCs w:val="16"/>
              </w:rPr>
              <w:t xml:space="preserve">Lida Milena </w:t>
            </w:r>
            <w:proofErr w:type="spellStart"/>
            <w:r w:rsidRPr="00CE2169">
              <w:rPr>
                <w:rFonts w:ascii="Verdana" w:eastAsia="Arial" w:hAnsi="Verdana" w:cs="Arial"/>
                <w:sz w:val="16"/>
                <w:szCs w:val="16"/>
              </w:rPr>
              <w:t>Guanumen</w:t>
            </w:r>
            <w:proofErr w:type="spellEnd"/>
            <w:r w:rsidRPr="00CE2169">
              <w:rPr>
                <w:rFonts w:ascii="Verdana" w:eastAsia="Arial" w:hAnsi="Verdana" w:cs="Arial"/>
                <w:sz w:val="16"/>
                <w:szCs w:val="16"/>
              </w:rPr>
              <w:t xml:space="preserve"> Pacheco</w:t>
            </w:r>
          </w:p>
          <w:p w14:paraId="103C8812" w14:textId="77777777" w:rsidR="00CE2169" w:rsidRPr="00CE2169" w:rsidRDefault="00CE2169" w:rsidP="00CE2169">
            <w:pPr>
              <w:rPr>
                <w:rFonts w:ascii="Verdana" w:eastAsia="Arial" w:hAnsi="Verdana" w:cs="Arial"/>
                <w:sz w:val="16"/>
                <w:szCs w:val="16"/>
              </w:rPr>
            </w:pPr>
            <w:r w:rsidRPr="00CE2169">
              <w:rPr>
                <w:rFonts w:ascii="Verdana" w:eastAsia="Arial" w:hAnsi="Verdana" w:cs="Arial"/>
                <w:sz w:val="16"/>
                <w:szCs w:val="16"/>
              </w:rPr>
              <w:t>Contratista de la Subdirección de Gestión Contractual</w:t>
            </w:r>
          </w:p>
        </w:tc>
      </w:tr>
      <w:tr w:rsidR="00CE2169" w:rsidRPr="00CE2169" w14:paraId="0837861B" w14:textId="77777777" w:rsidTr="008A47D7">
        <w:trPr>
          <w:trHeight w:val="330"/>
        </w:trPr>
        <w:tc>
          <w:tcPr>
            <w:tcW w:w="893" w:type="dxa"/>
            <w:vAlign w:val="center"/>
            <w:hideMark/>
          </w:tcPr>
          <w:p w14:paraId="216D58FB" w14:textId="77777777" w:rsidR="00CE2169" w:rsidRPr="00CE2169" w:rsidRDefault="00CE2169" w:rsidP="00CE2169">
            <w:pPr>
              <w:rPr>
                <w:rFonts w:ascii="Verdana" w:eastAsia="Calibri" w:hAnsi="Verdana" w:cs="Arial"/>
                <w:sz w:val="16"/>
                <w:szCs w:val="16"/>
                <w:lang w:eastAsia="es-ES"/>
              </w:rPr>
            </w:pPr>
            <w:r w:rsidRPr="00CE2169">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7AFB5133" w14:textId="77777777" w:rsidR="00CE2169" w:rsidRPr="00CE2169" w:rsidRDefault="00CE2169" w:rsidP="00CE2169">
            <w:pPr>
              <w:textAlignment w:val="baseline"/>
              <w:rPr>
                <w:rFonts w:ascii="Verdana" w:eastAsia="Times New Roman" w:hAnsi="Verdana" w:cs="Segoe UI"/>
                <w:sz w:val="16"/>
                <w:szCs w:val="16"/>
                <w:lang w:val="es-ES_tradnl" w:eastAsia="es-ES_tradnl"/>
              </w:rPr>
            </w:pPr>
            <w:r w:rsidRPr="00CE2169">
              <w:rPr>
                <w:rFonts w:ascii="Verdana" w:eastAsia="Times New Roman" w:hAnsi="Verdana" w:cs="Segoe UI"/>
                <w:sz w:val="16"/>
                <w:szCs w:val="16"/>
                <w:lang w:val="es-ES_tradnl" w:eastAsia="es-ES_tradnl"/>
              </w:rPr>
              <w:t xml:space="preserve">Adriana </w:t>
            </w:r>
            <w:proofErr w:type="spellStart"/>
            <w:r w:rsidRPr="00CE2169">
              <w:rPr>
                <w:rFonts w:ascii="Verdana" w:eastAsia="Times New Roman" w:hAnsi="Verdana" w:cs="Segoe UI"/>
                <w:sz w:val="16"/>
                <w:szCs w:val="16"/>
                <w:lang w:val="es-ES_tradnl" w:eastAsia="es-ES_tradnl"/>
              </w:rPr>
              <w:t>Katerine</w:t>
            </w:r>
            <w:proofErr w:type="spellEnd"/>
            <w:r w:rsidRPr="00CE2169">
              <w:rPr>
                <w:rFonts w:ascii="Verdana" w:eastAsia="Times New Roman" w:hAnsi="Verdana" w:cs="Segoe UI"/>
                <w:sz w:val="16"/>
                <w:szCs w:val="16"/>
                <w:lang w:val="es-ES_tradnl" w:eastAsia="es-ES_tradnl"/>
              </w:rPr>
              <w:t xml:space="preserve"> López Rodríguez</w:t>
            </w:r>
          </w:p>
          <w:p w14:paraId="1666FE53" w14:textId="77777777" w:rsidR="00CE2169" w:rsidRPr="00CE2169" w:rsidRDefault="00CE2169" w:rsidP="00CE2169">
            <w:pPr>
              <w:textAlignment w:val="baseline"/>
              <w:rPr>
                <w:rFonts w:ascii="Verdana" w:eastAsia="Times New Roman" w:hAnsi="Verdana" w:cs="Segoe UI"/>
                <w:sz w:val="16"/>
                <w:szCs w:val="16"/>
                <w:lang w:eastAsia="es-ES_tradnl"/>
              </w:rPr>
            </w:pPr>
            <w:r w:rsidRPr="00CE2169">
              <w:rPr>
                <w:rFonts w:ascii="Verdana" w:eastAsia="Times New Roman" w:hAnsi="Verdana" w:cs="Arial"/>
                <w:sz w:val="16"/>
                <w:szCs w:val="16"/>
                <w:lang w:val="es-ES_tradnl" w:eastAsia="es-ES_tradnl"/>
              </w:rPr>
              <w:t>Contratista de la Subdirección de Gestión Contractual </w:t>
            </w:r>
          </w:p>
        </w:tc>
      </w:tr>
      <w:tr w:rsidR="00CE2169" w:rsidRPr="00CE2169" w14:paraId="1471025C" w14:textId="77777777" w:rsidTr="008A47D7">
        <w:trPr>
          <w:trHeight w:val="300"/>
        </w:trPr>
        <w:tc>
          <w:tcPr>
            <w:tcW w:w="893" w:type="dxa"/>
            <w:vAlign w:val="center"/>
          </w:tcPr>
          <w:p w14:paraId="55206604" w14:textId="77777777" w:rsidR="00CE2169" w:rsidRPr="00CE2169" w:rsidRDefault="00CE2169" w:rsidP="00CE2169">
            <w:pPr>
              <w:rPr>
                <w:rFonts w:ascii="Verdana" w:eastAsia="Calibri" w:hAnsi="Verdana" w:cs="Arial"/>
                <w:sz w:val="16"/>
                <w:szCs w:val="16"/>
                <w:lang w:eastAsia="es-ES"/>
              </w:rPr>
            </w:pPr>
            <w:r w:rsidRPr="00CE2169">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56F687BC" w14:textId="77777777" w:rsidR="00CE2169" w:rsidRPr="00CE2169" w:rsidRDefault="00CE2169" w:rsidP="00CE2169">
            <w:pPr>
              <w:rPr>
                <w:rFonts w:ascii="Verdana" w:eastAsia="Calibri" w:hAnsi="Verdana" w:cs="Arial"/>
                <w:sz w:val="16"/>
                <w:szCs w:val="16"/>
                <w:lang w:eastAsia="es-ES"/>
              </w:rPr>
            </w:pPr>
            <w:r w:rsidRPr="00CE2169">
              <w:rPr>
                <w:rFonts w:ascii="Verdana" w:eastAsia="Calibri" w:hAnsi="Verdana" w:cs="Arial"/>
                <w:sz w:val="16"/>
                <w:szCs w:val="16"/>
                <w:lang w:eastAsia="es-ES"/>
              </w:rPr>
              <w:t>Carolina Quintero Gacharná</w:t>
            </w:r>
          </w:p>
          <w:p w14:paraId="4AC220CC" w14:textId="77777777" w:rsidR="00CE2169" w:rsidRPr="00CE2169" w:rsidRDefault="00CE2169" w:rsidP="00CE2169">
            <w:pPr>
              <w:rPr>
                <w:rFonts w:ascii="Verdana" w:eastAsia="Calibri" w:hAnsi="Verdana" w:cs="Arial"/>
                <w:sz w:val="16"/>
                <w:szCs w:val="16"/>
                <w:lang w:eastAsia="es-ES"/>
              </w:rPr>
            </w:pPr>
            <w:r w:rsidRPr="00CE2169">
              <w:rPr>
                <w:rFonts w:ascii="Verdana" w:eastAsia="Calibri" w:hAnsi="Verdana" w:cs="Arial"/>
                <w:sz w:val="16"/>
                <w:szCs w:val="16"/>
                <w:lang w:eastAsia="es-ES"/>
              </w:rPr>
              <w:t>Subdirectora de Gestión Contractual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69BC4D14" w14:textId="0454C7A7"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6BD59C" w14:textId="77777777" w:rsidR="004F4BCC" w:rsidRDefault="004F4BCC" w:rsidP="004A1847">
      <w:pPr>
        <w:spacing w:after="0" w:line="240" w:lineRule="auto"/>
      </w:pPr>
      <w:r>
        <w:separator/>
      </w:r>
    </w:p>
  </w:endnote>
  <w:endnote w:type="continuationSeparator" w:id="0">
    <w:p w14:paraId="73899388" w14:textId="77777777" w:rsidR="004F4BCC" w:rsidRDefault="004F4BC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9A25A2" w14:textId="77777777" w:rsidR="004F4BCC" w:rsidRDefault="004F4BCC" w:rsidP="004A1847">
      <w:pPr>
        <w:spacing w:after="0" w:line="240" w:lineRule="auto"/>
      </w:pPr>
      <w:r>
        <w:separator/>
      </w:r>
    </w:p>
  </w:footnote>
  <w:footnote w:type="continuationSeparator" w:id="0">
    <w:p w14:paraId="7899DD8B" w14:textId="77777777" w:rsidR="004F4BCC" w:rsidRDefault="004F4BCC" w:rsidP="004A1847">
      <w:pPr>
        <w:spacing w:after="0" w:line="240" w:lineRule="auto"/>
      </w:pPr>
      <w:r>
        <w:continuationSeparator/>
      </w:r>
    </w:p>
  </w:footnote>
  <w:footnote w:id="1">
    <w:p w14:paraId="6DD304F1" w14:textId="77777777" w:rsidR="00CE2169" w:rsidRPr="002B464E" w:rsidRDefault="00CE2169" w:rsidP="00CE2169">
      <w:pPr>
        <w:pStyle w:val="Textonotapie"/>
        <w:ind w:firstLine="709"/>
        <w:jc w:val="both"/>
        <w:rPr>
          <w:rFonts w:ascii="Verdana" w:hAnsi="Verdana"/>
          <w:sz w:val="18"/>
          <w:szCs w:val="18"/>
          <w:lang w:val="es-CO"/>
        </w:rPr>
      </w:pPr>
      <w:r w:rsidRPr="002B464E">
        <w:rPr>
          <w:rStyle w:val="Refdenotaalpie"/>
          <w:rFonts w:ascii="Verdana" w:hAnsi="Verdana"/>
          <w:sz w:val="18"/>
          <w:szCs w:val="18"/>
          <w:lang w:val="es-CO"/>
        </w:rPr>
        <w:footnoteRef/>
      </w:r>
      <w:r w:rsidRPr="002B464E">
        <w:rPr>
          <w:rFonts w:ascii="Verdana" w:hAnsi="Verdana"/>
          <w:sz w:val="18"/>
          <w:szCs w:val="18"/>
          <w:lang w:val="es-CO"/>
        </w:rPr>
        <w:t xml:space="preserve"> Estos Documentos Tipo pueden ser consultados en la página web de Colombia Compra Eficiente, a través del siguiente enlace: </w:t>
      </w:r>
      <w:hyperlink r:id="rId1" w:history="1">
        <w:r w:rsidRPr="002B464E">
          <w:rPr>
            <w:rStyle w:val="Hipervnculo"/>
            <w:rFonts w:ascii="Verdana" w:hAnsi="Verdana"/>
            <w:sz w:val="18"/>
            <w:szCs w:val="18"/>
            <w:lang w:val="es-CO"/>
          </w:rPr>
          <w:t>https://www.colombiacompra.gov.co/documentos-tipo/documentos-tipo</w:t>
        </w:r>
      </w:hyperlink>
      <w:r w:rsidRPr="002B464E">
        <w:rPr>
          <w:rFonts w:ascii="Verdana" w:hAnsi="Verdana"/>
          <w:sz w:val="18"/>
          <w:szCs w:val="18"/>
          <w:lang w:val="es-CO"/>
        </w:rPr>
        <w:t xml:space="preserve"> </w:t>
      </w:r>
    </w:p>
    <w:p w14:paraId="53718F34" w14:textId="77777777" w:rsidR="00CE2169" w:rsidRPr="002B464E" w:rsidRDefault="00CE2169" w:rsidP="00CE2169">
      <w:pPr>
        <w:pStyle w:val="Textonotapie"/>
        <w:ind w:firstLine="709"/>
        <w:jc w:val="both"/>
        <w:rPr>
          <w:rFonts w:ascii="Verdana" w:hAnsi="Verdana"/>
          <w:sz w:val="18"/>
          <w:szCs w:val="18"/>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15pt;height:8.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2E75EF7"/>
    <w:multiLevelType w:val="hybridMultilevel"/>
    <w:tmpl w:val="041601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9841A7"/>
    <w:multiLevelType w:val="hybridMultilevel"/>
    <w:tmpl w:val="E940F132"/>
    <w:lvl w:ilvl="0" w:tplc="080A001B">
      <w:start w:val="1"/>
      <w:numFmt w:val="low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11"/>
  </w:num>
  <w:num w:numId="18" w16cid:durableId="341274352">
    <w:abstractNumId w:val="0"/>
  </w:num>
  <w:num w:numId="19" w16cid:durableId="585072548">
    <w:abstractNumId w:val="3"/>
  </w:num>
  <w:num w:numId="20" w16cid:durableId="104687848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733C"/>
    <w:rsid w:val="000A683E"/>
    <w:rsid w:val="000B19B9"/>
    <w:rsid w:val="000D0334"/>
    <w:rsid w:val="000D5DA7"/>
    <w:rsid w:val="000F6486"/>
    <w:rsid w:val="00116940"/>
    <w:rsid w:val="00125105"/>
    <w:rsid w:val="00127233"/>
    <w:rsid w:val="00140ACA"/>
    <w:rsid w:val="0015699B"/>
    <w:rsid w:val="00164AD1"/>
    <w:rsid w:val="001A33BF"/>
    <w:rsid w:val="001E4177"/>
    <w:rsid w:val="001F0B24"/>
    <w:rsid w:val="001F7DC6"/>
    <w:rsid w:val="00217228"/>
    <w:rsid w:val="002179EA"/>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87028"/>
    <w:rsid w:val="003A779E"/>
    <w:rsid w:val="003D0F4D"/>
    <w:rsid w:val="003D5B0D"/>
    <w:rsid w:val="003E0499"/>
    <w:rsid w:val="003E4F80"/>
    <w:rsid w:val="003E6439"/>
    <w:rsid w:val="003F3941"/>
    <w:rsid w:val="00406575"/>
    <w:rsid w:val="00414C74"/>
    <w:rsid w:val="0042722E"/>
    <w:rsid w:val="0044528D"/>
    <w:rsid w:val="00466E39"/>
    <w:rsid w:val="00471D30"/>
    <w:rsid w:val="004A1847"/>
    <w:rsid w:val="004A305D"/>
    <w:rsid w:val="004D1A59"/>
    <w:rsid w:val="004F21C4"/>
    <w:rsid w:val="004F4BCC"/>
    <w:rsid w:val="004F685F"/>
    <w:rsid w:val="00520045"/>
    <w:rsid w:val="005566E8"/>
    <w:rsid w:val="00574867"/>
    <w:rsid w:val="00591460"/>
    <w:rsid w:val="005A65E0"/>
    <w:rsid w:val="005C0B8A"/>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51B30"/>
    <w:rsid w:val="00867F95"/>
    <w:rsid w:val="008843B6"/>
    <w:rsid w:val="00891928"/>
    <w:rsid w:val="008A446D"/>
    <w:rsid w:val="008A47D7"/>
    <w:rsid w:val="008B25F1"/>
    <w:rsid w:val="008B3088"/>
    <w:rsid w:val="008D180B"/>
    <w:rsid w:val="008F0EA7"/>
    <w:rsid w:val="00923EEF"/>
    <w:rsid w:val="009419F9"/>
    <w:rsid w:val="009512E4"/>
    <w:rsid w:val="0095685E"/>
    <w:rsid w:val="00961B09"/>
    <w:rsid w:val="00965334"/>
    <w:rsid w:val="0097093E"/>
    <w:rsid w:val="009A0DFA"/>
    <w:rsid w:val="009A1C6F"/>
    <w:rsid w:val="009A7A6C"/>
    <w:rsid w:val="009B2D26"/>
    <w:rsid w:val="009C71FA"/>
    <w:rsid w:val="009C72E7"/>
    <w:rsid w:val="009C7F7E"/>
    <w:rsid w:val="009D3058"/>
    <w:rsid w:val="009F3A13"/>
    <w:rsid w:val="00A122D3"/>
    <w:rsid w:val="00A14468"/>
    <w:rsid w:val="00A17F13"/>
    <w:rsid w:val="00A20739"/>
    <w:rsid w:val="00A23AF9"/>
    <w:rsid w:val="00A33C78"/>
    <w:rsid w:val="00AB0ADB"/>
    <w:rsid w:val="00AF0BD5"/>
    <w:rsid w:val="00AF5FAF"/>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96F83"/>
    <w:rsid w:val="00CB6357"/>
    <w:rsid w:val="00CC1B26"/>
    <w:rsid w:val="00CE2169"/>
    <w:rsid w:val="00D361FD"/>
    <w:rsid w:val="00D423A2"/>
    <w:rsid w:val="00D44E26"/>
    <w:rsid w:val="00D520D8"/>
    <w:rsid w:val="00D63AC2"/>
    <w:rsid w:val="00D7383B"/>
    <w:rsid w:val="00D7788A"/>
    <w:rsid w:val="00DA231B"/>
    <w:rsid w:val="00DC39FC"/>
    <w:rsid w:val="00DF5254"/>
    <w:rsid w:val="00DF746D"/>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071D4"/>
    <w:rsid w:val="00F23FEA"/>
    <w:rsid w:val="00F31EDC"/>
    <w:rsid w:val="00F4433B"/>
    <w:rsid w:val="00F462B3"/>
    <w:rsid w:val="00F5664F"/>
    <w:rsid w:val="00F666C4"/>
    <w:rsid w:val="00F70299"/>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4E74009F"/>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91D54507-8366-9946-80A1-F0C7DEAAE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E2169"/>
    <w:pPr>
      <w:spacing w:line="240" w:lineRule="exact"/>
    </w:pPr>
    <w:rPr>
      <w:vertAlign w:val="superscript"/>
    </w:rPr>
  </w:style>
  <w:style w:type="table" w:customStyle="1" w:styleId="Tablaconcuadrcula1">
    <w:name w:val="Tabla con cuadrícula1"/>
    <w:basedOn w:val="Tablanormal"/>
    <w:next w:val="Tablaconcuadrcula"/>
    <w:uiPriority w:val="39"/>
    <w:qFormat/>
    <w:rsid w:val="00CE21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1F1E41-FF2D-4A13-BB6A-2E09EF2B638C}"/>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3</TotalTime>
  <Pages>20</Pages>
  <Words>6784</Words>
  <Characters>37316</Characters>
  <Application>Microsoft Office Word</Application>
  <DocSecurity>0</DocSecurity>
  <Lines>310</Lines>
  <Paragraphs>88</Paragraphs>
  <ScaleCrop>false</ScaleCrop>
  <Company/>
  <LinksUpToDate>false</LinksUpToDate>
  <CharactersWithSpaces>44012</CharactersWithSpaces>
  <SharedDoc>false</SharedDoc>
  <HLinks>
    <vt:vector size="36" baseType="variant">
      <vt:variant>
        <vt:i4>5505101</vt:i4>
      </vt:variant>
      <vt:variant>
        <vt:i4>12</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3735661</vt:i4>
      </vt:variant>
      <vt:variant>
        <vt:i4>0</vt:i4>
      </vt:variant>
      <vt:variant>
        <vt:i4>0</vt:i4>
      </vt:variant>
      <vt:variant>
        <vt:i4>5</vt:i4>
      </vt:variant>
      <vt:variant>
        <vt:lpwstr>https://www.colombiacompra.gov.co/normativa-y-relatoria/documentos-tipo</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4</cp:revision>
  <cp:lastPrinted>2023-01-10T21:18:00Z</cp:lastPrinted>
  <dcterms:created xsi:type="dcterms:W3CDTF">2026-05-22T17:29:00Z</dcterms:created>
  <dcterms:modified xsi:type="dcterms:W3CDTF">2026-05-22T23:15:00Z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