
<file path=[Content_Types].xml><?xml version="1.0" encoding="utf-8"?>
<Types xmlns="http://schemas.openxmlformats.org/package/2006/content-types">
  <Default Extension="gif" ContentType="image/gif"/>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docMetadata/LabelInfo.xml" ContentType="application/vnd.ms-office.classificationlabel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5" Type="http://schemas.microsoft.com/office/2020/02/relationships/classificationlabels" Target="docMetadata/LabelInfo.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5BFB022" w14:textId="77777777" w:rsidR="00FA1FD6" w:rsidRPr="00052F7C" w:rsidRDefault="00FA1FD6" w:rsidP="00FA1FD6">
      <w:pPr>
        <w:spacing w:after="0" w:line="240" w:lineRule="auto"/>
        <w:contextualSpacing/>
        <w:jc w:val="both"/>
        <w:rPr>
          <w:rFonts w:ascii="Verdana" w:eastAsia="Calibri" w:hAnsi="Verdana" w:cs="Arial"/>
          <w:b/>
          <w:bCs/>
          <w:lang w:val="es-ES_tradnl"/>
        </w:rPr>
      </w:pPr>
      <w:bookmarkStart w:id="0" w:name="_Hlk143780582"/>
      <w:r w:rsidRPr="00052F7C">
        <w:rPr>
          <w:rFonts w:ascii="Verdana" w:eastAsia="Calibri" w:hAnsi="Verdana" w:cs="Arial"/>
          <w:b/>
          <w:bCs/>
        </w:rPr>
        <w:t xml:space="preserve">CONTRATO DE PRESTACIÓN DE SERVICIOS – Concepto </w:t>
      </w:r>
      <w:r w:rsidRPr="00052F7C">
        <w:rPr>
          <w:rFonts w:ascii="Verdana" w:eastAsia="Calibri" w:hAnsi="Verdana" w:cs="Arial"/>
          <w:b/>
          <w:bCs/>
          <w:lang w:val="es-ES_tradnl"/>
        </w:rPr>
        <w:t xml:space="preserve"> </w:t>
      </w:r>
    </w:p>
    <w:p w14:paraId="65D4DA2C" w14:textId="77777777" w:rsidR="00FA1FD6" w:rsidRPr="00052F7C" w:rsidRDefault="00FA1FD6" w:rsidP="00FA1FD6">
      <w:pPr>
        <w:spacing w:after="0" w:line="240" w:lineRule="auto"/>
        <w:contextualSpacing/>
        <w:jc w:val="both"/>
        <w:rPr>
          <w:rFonts w:ascii="Verdana" w:eastAsia="Calibri" w:hAnsi="Verdana" w:cs="Arial"/>
          <w:sz w:val="20"/>
          <w:szCs w:val="20"/>
          <w:lang w:val="es-ES_tradnl"/>
        </w:rPr>
      </w:pPr>
    </w:p>
    <w:p w14:paraId="31C2B150" w14:textId="77777777" w:rsidR="00FA1FD6" w:rsidRPr="00ED6610" w:rsidRDefault="00FA1FD6" w:rsidP="00FA1FD6">
      <w:pPr>
        <w:spacing w:after="0" w:line="240" w:lineRule="auto"/>
        <w:contextualSpacing/>
        <w:jc w:val="both"/>
        <w:rPr>
          <w:rFonts w:ascii="Verdana" w:eastAsia="Calibri" w:hAnsi="Verdana" w:cs="Arial"/>
          <w:sz w:val="20"/>
          <w:szCs w:val="20"/>
          <w:lang w:val="es-ES_tradnl"/>
        </w:rPr>
      </w:pPr>
      <w:r w:rsidRPr="00052F7C">
        <w:rPr>
          <w:rFonts w:ascii="Verdana" w:eastAsia="Calibri" w:hAnsi="Verdana" w:cs="Arial"/>
          <w:sz w:val="20"/>
          <w:szCs w:val="20"/>
        </w:rPr>
        <w:t>El contrato de prestación de servicios es uno de los tipos contractuales consagrados en el Estatuto General de Contratación de la Administración Pública, que pueden celebrar las entidades estatales. Se trata de un contrato típico, ya que se encuentra definido en la ley. Concretamente, el artículo 32, numeral 3º, de la Ley 80 de 1993, establece:</w:t>
      </w:r>
      <w:r w:rsidRPr="00052F7C">
        <w:rPr>
          <w:rFonts w:ascii="Verdana" w:eastAsia="Calibri" w:hAnsi="Verdana" w:cs="Arial"/>
          <w:sz w:val="20"/>
          <w:szCs w:val="20"/>
          <w:lang w:val="es-ES_tradnl"/>
        </w:rPr>
        <w:t xml:space="preserve"> </w:t>
      </w:r>
      <w:r w:rsidRPr="00052F7C">
        <w:rPr>
          <w:rFonts w:ascii="Verdana" w:eastAsia="Calibri" w:hAnsi="Verdana" w:cs="Arial"/>
          <w:sz w:val="20"/>
          <w:szCs w:val="20"/>
        </w:rPr>
        <w:t>Son contratos de prestación de servicios los que celebren las entidades estatales para desarrollar actividades relacionadas con la administración o funcionamiento de la entidad. Estos contratos sólo podrán celebrarse con personas naturales cuando dichas actividades no puedan realizarse con personal de planta o requieran conocimientos especializados.</w:t>
      </w:r>
      <w:r w:rsidRPr="00052F7C">
        <w:rPr>
          <w:rFonts w:ascii="Verdana" w:eastAsia="Calibri" w:hAnsi="Verdana" w:cs="Arial"/>
          <w:sz w:val="20"/>
          <w:szCs w:val="20"/>
          <w:lang w:val="es-ES_tradnl"/>
        </w:rPr>
        <w:t xml:space="preserve"> </w:t>
      </w:r>
      <w:r w:rsidRPr="00052F7C">
        <w:rPr>
          <w:rFonts w:ascii="Verdana" w:eastAsia="Calibri" w:hAnsi="Verdana" w:cs="Arial"/>
          <w:sz w:val="20"/>
          <w:szCs w:val="20"/>
        </w:rPr>
        <w:t>En ningún caso estos contratos generan relación laboral ni prestaciones sociales y se celebrarán por el término estrictamente indispensable.</w:t>
      </w:r>
    </w:p>
    <w:p w14:paraId="1519100C" w14:textId="77777777" w:rsidR="00FA1FD6" w:rsidRPr="00252D09" w:rsidRDefault="00FA1FD6" w:rsidP="00FA1FD6">
      <w:pPr>
        <w:spacing w:after="0"/>
        <w:jc w:val="both"/>
        <w:rPr>
          <w:rFonts w:ascii="Verdana" w:eastAsia="Verdana" w:hAnsi="Verdana" w:cs="Verdana"/>
          <w:b/>
          <w:highlight w:val="lightGray"/>
          <w:lang w:val="es-ES_tradnl"/>
        </w:rPr>
      </w:pPr>
    </w:p>
    <w:p w14:paraId="7D8968DC" w14:textId="77777777" w:rsidR="00FA1FD6" w:rsidRPr="00592DC4" w:rsidRDefault="00FA1FD6" w:rsidP="00FA1FD6">
      <w:pPr>
        <w:spacing w:after="0" w:line="240" w:lineRule="auto"/>
        <w:contextualSpacing/>
        <w:jc w:val="both"/>
        <w:rPr>
          <w:rFonts w:ascii="Verdana" w:eastAsia="Calibri" w:hAnsi="Verdana" w:cs="Arial"/>
          <w:b/>
          <w:bCs/>
          <w:lang w:val="es-ES_tradnl"/>
        </w:rPr>
      </w:pPr>
      <w:r w:rsidRPr="00592DC4">
        <w:rPr>
          <w:rFonts w:ascii="Verdana" w:eastAsia="Calibri" w:hAnsi="Verdana" w:cs="Arial"/>
          <w:b/>
          <w:bCs/>
          <w:lang w:val="es-ES_tradnl"/>
        </w:rPr>
        <w:t>CONTRATO DE PRESTACIÓN DE SERVICIOS – Características</w:t>
      </w:r>
    </w:p>
    <w:p w14:paraId="1B88AB39" w14:textId="77777777" w:rsidR="00FA1FD6" w:rsidRPr="00592DC4" w:rsidRDefault="00FA1FD6" w:rsidP="00FA1FD6">
      <w:pPr>
        <w:spacing w:after="0" w:line="240" w:lineRule="auto"/>
        <w:contextualSpacing/>
        <w:jc w:val="both"/>
        <w:rPr>
          <w:rFonts w:ascii="Verdana" w:eastAsia="Calibri" w:hAnsi="Verdana" w:cs="Arial"/>
          <w:b/>
          <w:bCs/>
          <w:sz w:val="20"/>
          <w:szCs w:val="20"/>
          <w:lang w:val="es-ES_tradnl"/>
        </w:rPr>
      </w:pPr>
    </w:p>
    <w:p w14:paraId="651D6160" w14:textId="77777777" w:rsidR="00FA1FD6" w:rsidRPr="00DC4CF3" w:rsidRDefault="00FA1FD6" w:rsidP="00FA1FD6">
      <w:pPr>
        <w:spacing w:after="0" w:line="240" w:lineRule="auto"/>
        <w:jc w:val="both"/>
        <w:rPr>
          <w:rFonts w:ascii="Verdana" w:eastAsia="Verdana" w:hAnsi="Verdana" w:cs="Verdana"/>
          <w:color w:val="EE0000"/>
          <w:sz w:val="20"/>
          <w:szCs w:val="20"/>
          <w:lang w:val="es-MX"/>
        </w:rPr>
      </w:pPr>
      <w:r w:rsidRPr="00592DC4">
        <w:rPr>
          <w:rFonts w:ascii="Verdana" w:eastAsia="Times New Roman" w:hAnsi="Verdana" w:cs="Times New Roman"/>
          <w:sz w:val="20"/>
          <w:szCs w:val="20"/>
          <w:lang w:val="es-ES_tradnl" w:eastAsia="es-ES_tradnl"/>
        </w:rPr>
        <w:t>a) Solo puede celebrarse para realizar “actividades relacionadas con la administración o funcionamiento de la entidad”; b) Admite que se suscriba tanto con personas naturales, como con personas jurídicas; c) se diferencian del contrato de trabajo, de acuerdo con los argumentos expuesto en este concepto; d) Deben ser temporales, por lo que no puede referirse a un contrato de prestación de servicios indefinido que resulta contrario a su naturaleza; e) Como especies del género prestación de servicios, se incluyen los contratos de prestación de servicios profesionales, los contratos de prestación de servicios apoyo a la gestión y los contratos de prestación de servicios artísticos que solo pueden encomendarse a determinadas personas naturales; f) Su celebración debe realizarse a través de la modalidad de contratación directa; g) Para su celebración no se requiere la expedición del acto administrativo de justificación de la contratación directa; h) Admiten el pacto de cláusulas excepcionales; i) No es obligatoria la liquidación, sin perjuicio de que esta se pueda efectuar de manera facultativa cuando así se considere necesario; j) Para su celebración no se requiere inscripción en el Registro Único de Proponentes (RUP); k) No son necesarias las garantías.</w:t>
      </w:r>
    </w:p>
    <w:p w14:paraId="332D9E81" w14:textId="77777777" w:rsidR="00FA1FD6" w:rsidRPr="00DC4CF3" w:rsidRDefault="00FA1FD6" w:rsidP="00FA1FD6">
      <w:pPr>
        <w:spacing w:after="0"/>
        <w:jc w:val="both"/>
        <w:rPr>
          <w:rFonts w:ascii="Verdana" w:eastAsia="Verdana" w:hAnsi="Verdana" w:cs="Verdana"/>
          <w:color w:val="EE0000"/>
          <w:sz w:val="20"/>
          <w:szCs w:val="20"/>
          <w:lang w:val="es-MX"/>
        </w:rPr>
      </w:pPr>
    </w:p>
    <w:p w14:paraId="782693A6" w14:textId="77777777" w:rsidR="00FA1FD6" w:rsidRPr="0030751E" w:rsidRDefault="00FA1FD6" w:rsidP="00FA1FD6">
      <w:pPr>
        <w:spacing w:after="0" w:line="240" w:lineRule="auto"/>
        <w:jc w:val="both"/>
        <w:rPr>
          <w:rFonts w:ascii="Verdana" w:eastAsia="Aptos" w:hAnsi="Verdana" w:cs="Arial"/>
          <w:b/>
          <w:bCs/>
          <w:kern w:val="2"/>
          <w14:ligatures w14:val="standardContextual"/>
        </w:rPr>
      </w:pPr>
      <w:r w:rsidRPr="0030751E">
        <w:rPr>
          <w:rFonts w:ascii="Verdana" w:eastAsia="Aptos" w:hAnsi="Verdana" w:cs="Arial"/>
          <w:b/>
          <w:bCs/>
          <w:kern w:val="2"/>
          <w14:ligatures w14:val="standardContextual"/>
        </w:rPr>
        <w:t>VIGILANCIA DE LOS CONTRATOS ESTATALES – Marco jurídico – Obligación de la entidad – Objetivo</w:t>
      </w:r>
    </w:p>
    <w:p w14:paraId="7AFB50DF" w14:textId="77777777" w:rsidR="00FA1FD6" w:rsidRPr="0030751E" w:rsidRDefault="00FA1FD6" w:rsidP="00FA1FD6">
      <w:pPr>
        <w:spacing w:after="0" w:line="240" w:lineRule="auto"/>
        <w:jc w:val="both"/>
        <w:rPr>
          <w:rFonts w:ascii="Verdana" w:eastAsia="Aptos" w:hAnsi="Verdana" w:cs="Arial"/>
          <w:b/>
          <w:bCs/>
          <w:kern w:val="2"/>
          <w14:ligatures w14:val="standardContextual"/>
        </w:rPr>
      </w:pPr>
    </w:p>
    <w:p w14:paraId="165A67BC" w14:textId="77777777" w:rsidR="00FA1FD6" w:rsidRDefault="00FA1FD6" w:rsidP="00FA1FD6">
      <w:pPr>
        <w:spacing w:after="0" w:line="240" w:lineRule="auto"/>
        <w:jc w:val="both"/>
        <w:rPr>
          <w:rFonts w:ascii="Verdana" w:eastAsia="Aptos" w:hAnsi="Verdana" w:cs="Arial"/>
          <w:sz w:val="20"/>
          <w:szCs w:val="20"/>
        </w:rPr>
      </w:pPr>
      <w:r w:rsidRPr="00BE0225">
        <w:rPr>
          <w:rFonts w:ascii="Verdana" w:eastAsia="Aptos" w:hAnsi="Verdana" w:cs="Arial"/>
          <w:sz w:val="20"/>
          <w:szCs w:val="20"/>
        </w:rPr>
        <w:t xml:space="preserve"> […] en el marco de lo dispuesto en los artículos 4, 5, 12, 14 y 26 de la Ley 80 de 1993, las Entidades Estatales tienen la obligación de velar por el correcto y oportuno cumplimiento de las prestaciones del contrato,</w:t>
      </w:r>
      <w:r w:rsidRPr="00BE0225">
        <w:rPr>
          <w:rFonts w:ascii="Aptos" w:eastAsia="Aptos" w:hAnsi="Aptos" w:cs="Arial"/>
          <w:sz w:val="20"/>
          <w:szCs w:val="20"/>
        </w:rPr>
        <w:t xml:space="preserve"> </w:t>
      </w:r>
      <w:r w:rsidRPr="00BE0225">
        <w:rPr>
          <w:rFonts w:ascii="Verdana" w:eastAsia="Aptos" w:hAnsi="Verdana" w:cs="Arial"/>
          <w:sz w:val="20"/>
          <w:szCs w:val="20"/>
        </w:rPr>
        <w:t xml:space="preserve">las especificaciones de los bienes, obras y servicios de este, las condiciones de calidad ofrecidas, etc. Esta obligación se predica, en principio, del jefe o representante legal de la entidad, por tener la responsabilidad de la dirección y manejo de la actividad contractual, pero también de los servidores públicos que intervienen en ella. En ese sentido, las Entidades Estatales deben ejercer el control de la ejecución del contrato y, de ser el caso, tomar medidas para exigir su adecuado cumplimiento. En ese sentido, las Leyes 1150 de 2007 y 1474 de 2011, complementan el régimen jurídico de la obligación de vigilar la correcta ejecución de los contratos estatales. En dichas normas se impone el debido proceso como principio rector en </w:t>
      </w:r>
      <w:r w:rsidRPr="00BE0225">
        <w:rPr>
          <w:rFonts w:ascii="Verdana" w:eastAsia="Aptos" w:hAnsi="Verdana" w:cs="Arial"/>
          <w:sz w:val="20"/>
          <w:szCs w:val="20"/>
        </w:rPr>
        <w:lastRenderedPageBreak/>
        <w:t>materia sancionatoria contractual, entre otros, para la imposición de multas y la decisión de hacer efectiva la cláusula penal, principio que se debe respetar en el ejercicio del control y vigilancia de la ejecución contractual</w:t>
      </w:r>
      <w:r w:rsidRPr="00BE0225">
        <w:rPr>
          <w:rFonts w:ascii="Verdana" w:eastAsia="Aptos" w:hAnsi="Verdana" w:cs="Arial"/>
          <w:sz w:val="20"/>
          <w:szCs w:val="20"/>
          <w:lang w:val="es-ES_tradnl" w:eastAsia="es-MX"/>
        </w:rPr>
        <w:t>.</w:t>
      </w:r>
      <w:r w:rsidRPr="00BE0225">
        <w:rPr>
          <w:rFonts w:ascii="Verdana" w:eastAsia="Aptos" w:hAnsi="Verdana" w:cs="Arial"/>
          <w:sz w:val="20"/>
          <w:szCs w:val="20"/>
        </w:rPr>
        <w:t xml:space="preserve"> También se establecen los límites de la responsabilidad del representante legal ante la delegación de sus funciones en materia contractual </w:t>
      </w:r>
      <w:r w:rsidRPr="00BE0225">
        <w:rPr>
          <w:rFonts w:ascii="Verdana" w:eastAsia="Aptos" w:hAnsi="Verdana" w:cs="Arial"/>
          <w:sz w:val="20"/>
          <w:szCs w:val="20"/>
          <w:lang w:val="es-ES_tradnl" w:eastAsia="es-MX"/>
        </w:rPr>
        <w:t>y se regula la supervisión y la interventoría de los contratos estatales.</w:t>
      </w:r>
      <w:r>
        <w:rPr>
          <w:rFonts w:ascii="Verdana" w:eastAsia="Aptos" w:hAnsi="Verdana" w:cs="Arial"/>
          <w:sz w:val="20"/>
          <w:szCs w:val="20"/>
          <w:lang w:val="es-ES_tradnl" w:eastAsia="es-MX"/>
        </w:rPr>
        <w:t xml:space="preserve"> […]</w:t>
      </w:r>
    </w:p>
    <w:p w14:paraId="254A605B" w14:textId="77777777" w:rsidR="00FA1FD6" w:rsidRPr="00AD596D" w:rsidRDefault="00FA1FD6" w:rsidP="00FA1FD6">
      <w:pPr>
        <w:spacing w:after="0" w:line="240" w:lineRule="auto"/>
        <w:jc w:val="both"/>
        <w:rPr>
          <w:rFonts w:ascii="Verdana" w:eastAsia="Aptos" w:hAnsi="Verdana" w:cs="Arial"/>
          <w:sz w:val="20"/>
          <w:szCs w:val="20"/>
        </w:rPr>
      </w:pPr>
    </w:p>
    <w:p w14:paraId="315F3A5B" w14:textId="77777777" w:rsidR="00FA1FD6" w:rsidRPr="00AD596D" w:rsidRDefault="00FA1FD6" w:rsidP="00FA1FD6">
      <w:pPr>
        <w:jc w:val="both"/>
        <w:rPr>
          <w:rFonts w:ascii="Verdana" w:hAnsi="Verdana"/>
          <w:b/>
          <w:bCs/>
        </w:rPr>
      </w:pPr>
      <w:r w:rsidRPr="00AD596D">
        <w:rPr>
          <w:rFonts w:ascii="Verdana" w:hAnsi="Verdana"/>
          <w:b/>
          <w:bCs/>
          <w:lang w:val="es-ES_tradnl" w:eastAsia="es-ES_tradnl"/>
        </w:rPr>
        <w:t xml:space="preserve">CONTRATO DE PRESTACIÓN DE SERVICIOS – Estudios previos – Condiciones del contrato - </w:t>
      </w:r>
      <w:r w:rsidRPr="00AD596D">
        <w:rPr>
          <w:rFonts w:ascii="Verdana" w:hAnsi="Verdana"/>
          <w:b/>
          <w:bCs/>
        </w:rPr>
        <w:t xml:space="preserve">Principio De Autonomía </w:t>
      </w:r>
    </w:p>
    <w:p w14:paraId="2D4E90D9" w14:textId="77777777" w:rsidR="00FA1FD6" w:rsidRPr="009D4217" w:rsidRDefault="00FA1FD6" w:rsidP="00FA1FD6">
      <w:pPr>
        <w:spacing w:after="0" w:line="240" w:lineRule="auto"/>
        <w:jc w:val="both"/>
        <w:rPr>
          <w:rFonts w:ascii="Verdana" w:eastAsia="Calibri" w:hAnsi="Verdana" w:cs="Arial"/>
          <w:bCs/>
          <w:color w:val="000000"/>
          <w:kern w:val="2"/>
          <w:sz w:val="20"/>
          <w:szCs w:val="20"/>
          <w14:ligatures w14:val="standardContextual"/>
        </w:rPr>
      </w:pPr>
      <w:r>
        <w:rPr>
          <w:rFonts w:ascii="Verdana" w:eastAsia="Calibri" w:hAnsi="Verdana" w:cs="Arial"/>
          <w:bCs/>
          <w:color w:val="000000"/>
          <w:kern w:val="2"/>
          <w:sz w:val="20"/>
          <w:szCs w:val="20"/>
          <w14:ligatures w14:val="standardContextual"/>
        </w:rPr>
        <w:t xml:space="preserve">[…] </w:t>
      </w:r>
      <w:r w:rsidRPr="009D4217">
        <w:rPr>
          <w:rFonts w:ascii="Verdana" w:eastAsia="Calibri" w:hAnsi="Verdana" w:cs="Arial"/>
          <w:bCs/>
          <w:color w:val="000000"/>
          <w:kern w:val="2"/>
          <w:sz w:val="20"/>
          <w:szCs w:val="20"/>
          <w14:ligatures w14:val="standardContextual"/>
        </w:rPr>
        <w:t xml:space="preserve">las Entidades Públicas desde los estudios previos definirán las condiciones del contrato de prestación de servicios a celebrar, plasmado en la minuta del contrato de prestación de servicios profesionales, de apoyo a la gestión y trabajos artísticos. Finalmente, se resalta que en la Ley 80 de 1993, Ley 1150 de 2007 y en el Decreto 1082 de 2015 no se encuentran disposiciones que establezcan la forma en que deben presentarse las cuentas de cobro, tales como el informe de ejecución o el informe y certificación de cumplimiento, así como las fechas para su presentación, por cuanto esto dependerá de las directrices fijadas al interior de la entidad estatal en su guías, circulares o manuales, que se verán reflejados en las cláusulas contenidas en la minuta del contrato de prestación de servicios. </w:t>
      </w:r>
      <w:r>
        <w:rPr>
          <w:rFonts w:ascii="Verdana" w:eastAsia="Calibri" w:hAnsi="Verdana" w:cs="Arial"/>
          <w:bCs/>
          <w:color w:val="000000"/>
          <w:kern w:val="2"/>
          <w:sz w:val="20"/>
          <w:szCs w:val="20"/>
          <w14:ligatures w14:val="standardContextual"/>
        </w:rPr>
        <w:t>[…]</w:t>
      </w:r>
    </w:p>
    <w:p w14:paraId="3A179BDD" w14:textId="77777777" w:rsidR="00FA1FD6" w:rsidRPr="00F47E2F" w:rsidRDefault="00FA1FD6" w:rsidP="00FA1FD6">
      <w:pPr>
        <w:spacing w:after="0"/>
        <w:jc w:val="both"/>
        <w:rPr>
          <w:rFonts w:ascii="Verdana" w:eastAsia="Verdana" w:hAnsi="Verdana" w:cs="Verdana"/>
          <w:color w:val="EE0000"/>
          <w:sz w:val="20"/>
          <w:szCs w:val="20"/>
        </w:rPr>
      </w:pPr>
    </w:p>
    <w:p w14:paraId="36C34E9E" w14:textId="77777777" w:rsidR="00FA1FD6" w:rsidRPr="00DC4CF3" w:rsidRDefault="00FA1FD6" w:rsidP="00FA1FD6">
      <w:pPr>
        <w:spacing w:after="0"/>
        <w:jc w:val="both"/>
        <w:rPr>
          <w:rFonts w:ascii="Verdana" w:eastAsia="Verdana" w:hAnsi="Verdana" w:cs="Verdana"/>
          <w:color w:val="EE0000"/>
          <w:sz w:val="20"/>
          <w:szCs w:val="20"/>
          <w:lang w:val="es-MX"/>
        </w:rPr>
      </w:pPr>
    </w:p>
    <w:p w14:paraId="7DABDB5C" w14:textId="77777777" w:rsidR="00FA1FD6" w:rsidRPr="00DC4CF3" w:rsidRDefault="00FA1FD6" w:rsidP="00FA1FD6">
      <w:pPr>
        <w:spacing w:after="0"/>
        <w:jc w:val="both"/>
        <w:rPr>
          <w:rFonts w:ascii="Verdana" w:eastAsia="Verdana" w:hAnsi="Verdana" w:cs="Verdana"/>
          <w:color w:val="EE0000"/>
          <w:sz w:val="20"/>
          <w:szCs w:val="20"/>
          <w:lang w:val="es-MX"/>
        </w:rPr>
      </w:pPr>
    </w:p>
    <w:p w14:paraId="450B6211" w14:textId="77777777" w:rsidR="00FA1FD6" w:rsidRPr="00DC4CF3" w:rsidRDefault="00FA1FD6" w:rsidP="00FA1FD6">
      <w:pPr>
        <w:spacing w:after="0"/>
        <w:jc w:val="both"/>
        <w:rPr>
          <w:rFonts w:ascii="Verdana" w:eastAsia="Verdana" w:hAnsi="Verdana" w:cs="Verdana"/>
          <w:color w:val="EE0000"/>
          <w:sz w:val="20"/>
          <w:szCs w:val="20"/>
          <w:lang w:val="es-MX"/>
        </w:rPr>
      </w:pPr>
    </w:p>
    <w:p w14:paraId="60BDF393" w14:textId="77777777" w:rsidR="00FA1FD6" w:rsidRPr="00DC4CF3" w:rsidRDefault="00FA1FD6" w:rsidP="00FA1FD6">
      <w:pPr>
        <w:spacing w:after="0"/>
        <w:jc w:val="both"/>
        <w:rPr>
          <w:rFonts w:ascii="Verdana" w:eastAsia="Verdana" w:hAnsi="Verdana" w:cs="Verdana"/>
          <w:color w:val="EE0000"/>
          <w:sz w:val="20"/>
          <w:szCs w:val="20"/>
          <w:lang w:val="es-MX"/>
        </w:rPr>
      </w:pPr>
    </w:p>
    <w:p w14:paraId="72364097" w14:textId="77777777" w:rsidR="00FA1FD6" w:rsidRPr="00DC4CF3" w:rsidRDefault="00FA1FD6" w:rsidP="00FA1FD6">
      <w:pPr>
        <w:spacing w:after="0"/>
        <w:jc w:val="both"/>
        <w:rPr>
          <w:rFonts w:ascii="Verdana" w:eastAsia="Verdana" w:hAnsi="Verdana" w:cs="Verdana"/>
          <w:color w:val="EE0000"/>
          <w:sz w:val="20"/>
          <w:szCs w:val="20"/>
          <w:lang w:val="es-MX"/>
        </w:rPr>
      </w:pPr>
    </w:p>
    <w:p w14:paraId="2658DA2B" w14:textId="77777777" w:rsidR="00FA1FD6" w:rsidRPr="00DC4CF3" w:rsidRDefault="00FA1FD6" w:rsidP="00FA1FD6">
      <w:pPr>
        <w:spacing w:after="0"/>
        <w:jc w:val="both"/>
        <w:rPr>
          <w:rFonts w:ascii="Verdana" w:eastAsia="Verdana" w:hAnsi="Verdana" w:cs="Verdana"/>
          <w:color w:val="EE0000"/>
          <w:sz w:val="20"/>
          <w:szCs w:val="20"/>
          <w:lang w:val="es-MX"/>
        </w:rPr>
      </w:pPr>
    </w:p>
    <w:p w14:paraId="39B65A18" w14:textId="77777777" w:rsidR="00FA1FD6" w:rsidRPr="00DC4CF3" w:rsidRDefault="00FA1FD6" w:rsidP="00FA1FD6">
      <w:pPr>
        <w:spacing w:after="0"/>
        <w:jc w:val="both"/>
        <w:rPr>
          <w:rFonts w:ascii="Verdana" w:eastAsia="Verdana" w:hAnsi="Verdana" w:cs="Verdana"/>
          <w:color w:val="EE0000"/>
          <w:sz w:val="20"/>
          <w:szCs w:val="20"/>
          <w:lang w:val="es-MX"/>
        </w:rPr>
      </w:pPr>
    </w:p>
    <w:p w14:paraId="23AB2695" w14:textId="77777777" w:rsidR="00FA1FD6" w:rsidRPr="00DC4CF3" w:rsidRDefault="00FA1FD6" w:rsidP="00FA1FD6">
      <w:pPr>
        <w:spacing w:after="0"/>
        <w:jc w:val="both"/>
        <w:rPr>
          <w:rFonts w:ascii="Verdana" w:eastAsia="Verdana" w:hAnsi="Verdana" w:cs="Verdana"/>
          <w:color w:val="EE0000"/>
          <w:sz w:val="20"/>
          <w:szCs w:val="20"/>
          <w:lang w:val="es-MX"/>
        </w:rPr>
      </w:pPr>
    </w:p>
    <w:p w14:paraId="77F3F020" w14:textId="77777777" w:rsidR="00FA1FD6" w:rsidRPr="00DC4CF3" w:rsidRDefault="00FA1FD6" w:rsidP="00FA1FD6">
      <w:pPr>
        <w:spacing w:after="0"/>
        <w:jc w:val="both"/>
        <w:rPr>
          <w:rFonts w:ascii="Verdana" w:eastAsia="Verdana" w:hAnsi="Verdana" w:cs="Verdana"/>
          <w:color w:val="EE0000"/>
          <w:sz w:val="20"/>
          <w:szCs w:val="20"/>
          <w:lang w:val="es-MX"/>
        </w:rPr>
      </w:pPr>
    </w:p>
    <w:p w14:paraId="644FFF32" w14:textId="77777777" w:rsidR="00FA1FD6" w:rsidRPr="00DC4CF3" w:rsidRDefault="00FA1FD6" w:rsidP="00FA1FD6">
      <w:pPr>
        <w:spacing w:after="0"/>
        <w:jc w:val="both"/>
        <w:rPr>
          <w:rFonts w:ascii="Verdana" w:eastAsia="Verdana" w:hAnsi="Verdana" w:cs="Verdana"/>
          <w:color w:val="EE0000"/>
          <w:sz w:val="20"/>
          <w:szCs w:val="20"/>
          <w:lang w:val="es-MX"/>
        </w:rPr>
      </w:pPr>
    </w:p>
    <w:p w14:paraId="6BFE1FDE" w14:textId="77777777" w:rsidR="00FA1FD6" w:rsidRPr="00DC4CF3" w:rsidRDefault="00FA1FD6" w:rsidP="00FA1FD6">
      <w:pPr>
        <w:spacing w:after="0"/>
        <w:jc w:val="both"/>
        <w:rPr>
          <w:rFonts w:ascii="Verdana" w:eastAsia="Verdana" w:hAnsi="Verdana" w:cs="Verdana"/>
          <w:color w:val="EE0000"/>
          <w:sz w:val="20"/>
          <w:szCs w:val="20"/>
          <w:lang w:val="es-MX"/>
        </w:rPr>
      </w:pPr>
    </w:p>
    <w:p w14:paraId="0F196769" w14:textId="77777777" w:rsidR="00FA1FD6" w:rsidRPr="00DC4CF3" w:rsidRDefault="00FA1FD6" w:rsidP="00FA1FD6">
      <w:pPr>
        <w:spacing w:after="0"/>
        <w:jc w:val="both"/>
        <w:rPr>
          <w:rFonts w:ascii="Verdana" w:eastAsia="Verdana" w:hAnsi="Verdana" w:cs="Verdana"/>
          <w:color w:val="EE0000"/>
          <w:sz w:val="20"/>
          <w:szCs w:val="20"/>
          <w:lang w:val="es-MX"/>
        </w:rPr>
      </w:pPr>
    </w:p>
    <w:p w14:paraId="5CA0E004" w14:textId="77777777" w:rsidR="00FA1FD6" w:rsidRPr="00DC4CF3" w:rsidRDefault="00FA1FD6" w:rsidP="00FA1FD6">
      <w:pPr>
        <w:spacing w:after="0"/>
        <w:jc w:val="both"/>
        <w:rPr>
          <w:rFonts w:ascii="Verdana" w:eastAsia="Verdana" w:hAnsi="Verdana" w:cs="Verdana"/>
          <w:color w:val="EE0000"/>
          <w:sz w:val="20"/>
          <w:szCs w:val="20"/>
          <w:lang w:val="es-MX"/>
        </w:rPr>
      </w:pPr>
    </w:p>
    <w:p w14:paraId="22BECE20" w14:textId="77777777" w:rsidR="00FA1FD6" w:rsidRPr="00DC4CF3" w:rsidRDefault="00FA1FD6" w:rsidP="00FA1FD6">
      <w:pPr>
        <w:spacing w:after="0"/>
        <w:jc w:val="both"/>
        <w:rPr>
          <w:rFonts w:ascii="Verdana" w:eastAsia="Verdana" w:hAnsi="Verdana" w:cs="Verdana"/>
          <w:color w:val="EE0000"/>
          <w:sz w:val="20"/>
          <w:szCs w:val="20"/>
          <w:lang w:val="es-MX"/>
        </w:rPr>
      </w:pPr>
    </w:p>
    <w:p w14:paraId="0CF65ED8" w14:textId="77777777" w:rsidR="00FA1FD6" w:rsidRPr="00DC4CF3" w:rsidRDefault="00FA1FD6" w:rsidP="00FA1FD6">
      <w:pPr>
        <w:spacing w:after="0"/>
        <w:jc w:val="both"/>
        <w:rPr>
          <w:rFonts w:ascii="Verdana" w:eastAsia="Verdana" w:hAnsi="Verdana" w:cs="Verdana"/>
          <w:color w:val="EE0000"/>
          <w:sz w:val="20"/>
          <w:szCs w:val="20"/>
          <w:lang w:val="es-MX"/>
        </w:rPr>
      </w:pPr>
    </w:p>
    <w:p w14:paraId="62A1474E" w14:textId="77777777" w:rsidR="00FA1FD6" w:rsidRPr="00DC4CF3" w:rsidRDefault="00FA1FD6" w:rsidP="00FA1FD6">
      <w:pPr>
        <w:spacing w:after="0"/>
        <w:jc w:val="both"/>
        <w:rPr>
          <w:rFonts w:ascii="Verdana" w:eastAsia="Verdana" w:hAnsi="Verdana" w:cs="Verdana"/>
          <w:color w:val="EE0000"/>
          <w:sz w:val="20"/>
          <w:szCs w:val="20"/>
          <w:lang w:val="es-MX"/>
        </w:rPr>
      </w:pPr>
    </w:p>
    <w:p w14:paraId="60395613" w14:textId="77777777" w:rsidR="00FA1FD6" w:rsidRPr="00DC4CF3" w:rsidRDefault="00FA1FD6" w:rsidP="00FA1FD6">
      <w:pPr>
        <w:spacing w:after="0"/>
        <w:jc w:val="both"/>
        <w:rPr>
          <w:rFonts w:ascii="Verdana" w:eastAsia="Verdana" w:hAnsi="Verdana" w:cs="Verdana"/>
          <w:color w:val="EE0000"/>
          <w:sz w:val="20"/>
          <w:szCs w:val="20"/>
          <w:lang w:val="es-MX"/>
        </w:rPr>
      </w:pPr>
    </w:p>
    <w:p w14:paraId="12A7EF78" w14:textId="77777777" w:rsidR="00FA1FD6" w:rsidRPr="00DC4CF3" w:rsidRDefault="00FA1FD6" w:rsidP="00FA1FD6">
      <w:pPr>
        <w:spacing w:after="0"/>
        <w:jc w:val="both"/>
        <w:rPr>
          <w:rFonts w:ascii="Verdana" w:eastAsia="Verdana" w:hAnsi="Verdana" w:cs="Verdana"/>
          <w:color w:val="EE0000"/>
          <w:sz w:val="20"/>
          <w:szCs w:val="20"/>
          <w:lang w:val="es-MX"/>
        </w:rPr>
      </w:pPr>
    </w:p>
    <w:p w14:paraId="4F9A9CE5" w14:textId="77777777" w:rsidR="00FA1FD6" w:rsidRPr="00DC4CF3" w:rsidRDefault="00FA1FD6" w:rsidP="00FA1FD6">
      <w:pPr>
        <w:spacing w:after="0"/>
        <w:jc w:val="both"/>
        <w:rPr>
          <w:rFonts w:ascii="Verdana" w:eastAsia="Verdana" w:hAnsi="Verdana" w:cs="Verdana"/>
          <w:color w:val="EE0000"/>
          <w:sz w:val="20"/>
          <w:szCs w:val="20"/>
          <w:lang w:val="es-MX"/>
        </w:rPr>
      </w:pPr>
    </w:p>
    <w:p w14:paraId="7981CFE9" w14:textId="77777777" w:rsidR="00FA1FD6" w:rsidRPr="00DC4CF3" w:rsidRDefault="00FA1FD6" w:rsidP="00FA1FD6">
      <w:pPr>
        <w:spacing w:after="0"/>
        <w:jc w:val="both"/>
        <w:rPr>
          <w:rFonts w:ascii="Verdana" w:eastAsia="Verdana" w:hAnsi="Verdana" w:cs="Verdana"/>
          <w:color w:val="EE0000"/>
          <w:sz w:val="20"/>
          <w:szCs w:val="20"/>
          <w:lang w:val="es-MX"/>
        </w:rPr>
      </w:pPr>
    </w:p>
    <w:p w14:paraId="04120BDE" w14:textId="77777777" w:rsidR="00FA1FD6" w:rsidRPr="00DC4CF3" w:rsidRDefault="00FA1FD6" w:rsidP="00FA1FD6">
      <w:pPr>
        <w:spacing w:after="0"/>
        <w:jc w:val="both"/>
        <w:rPr>
          <w:rFonts w:ascii="Verdana" w:eastAsia="Verdana" w:hAnsi="Verdana" w:cs="Verdana"/>
          <w:color w:val="EE0000"/>
          <w:sz w:val="20"/>
          <w:szCs w:val="20"/>
          <w:lang w:val="es-MX"/>
        </w:rPr>
      </w:pPr>
    </w:p>
    <w:p w14:paraId="435DFE9E" w14:textId="77777777" w:rsidR="00FA1FD6" w:rsidRPr="00DC4CF3" w:rsidRDefault="00FA1FD6" w:rsidP="00FA1FD6">
      <w:pPr>
        <w:spacing w:after="0"/>
        <w:jc w:val="both"/>
        <w:rPr>
          <w:rFonts w:ascii="Verdana" w:eastAsia="Verdana" w:hAnsi="Verdana" w:cs="Verdana"/>
          <w:color w:val="EE0000"/>
          <w:sz w:val="20"/>
          <w:szCs w:val="20"/>
          <w:lang w:val="es-MX"/>
        </w:rPr>
      </w:pPr>
    </w:p>
    <w:p w14:paraId="07FDCB5E" w14:textId="77777777" w:rsidR="00FA1FD6" w:rsidRPr="00DC4CF3" w:rsidRDefault="00FA1FD6" w:rsidP="00FA1FD6">
      <w:pPr>
        <w:spacing w:after="0"/>
        <w:jc w:val="both"/>
        <w:rPr>
          <w:rFonts w:ascii="Verdana" w:eastAsia="Verdana" w:hAnsi="Verdana" w:cs="Verdana"/>
          <w:color w:val="EE0000"/>
          <w:sz w:val="20"/>
          <w:szCs w:val="20"/>
          <w:lang w:val="es-MX"/>
        </w:rPr>
      </w:pPr>
    </w:p>
    <w:p w14:paraId="2E6F9211" w14:textId="77777777" w:rsidR="00FA1FD6" w:rsidRPr="00DC4CF3" w:rsidRDefault="00FA1FD6" w:rsidP="00FA1FD6">
      <w:pPr>
        <w:spacing w:after="0"/>
        <w:jc w:val="both"/>
        <w:rPr>
          <w:rFonts w:ascii="Verdana" w:eastAsia="Verdana" w:hAnsi="Verdana" w:cs="Verdana"/>
          <w:color w:val="EE0000"/>
          <w:sz w:val="20"/>
          <w:szCs w:val="20"/>
          <w:lang w:val="es-MX"/>
        </w:rPr>
      </w:pPr>
    </w:p>
    <w:p w14:paraId="09436381" w14:textId="375381D9" w:rsidR="00FA1FD6" w:rsidRPr="006447EC" w:rsidRDefault="00FA1FD6" w:rsidP="00FA1FD6">
      <w:pPr>
        <w:spacing w:after="0"/>
        <w:rPr>
          <w:rFonts w:ascii="Verdana" w:hAnsi="Verdana"/>
        </w:rPr>
      </w:pPr>
      <w:r w:rsidRPr="006447EC">
        <w:rPr>
          <w:rFonts w:ascii="Verdana" w:hAnsi="Verdana"/>
        </w:rPr>
        <w:lastRenderedPageBreak/>
        <w:t xml:space="preserve">Bogotá D.C., </w:t>
      </w:r>
      <w:r w:rsidR="00A3155E">
        <w:rPr>
          <w:rFonts w:ascii="Verdana" w:hAnsi="Verdana"/>
        </w:rPr>
        <w:t>25 Mayo 2026</w:t>
      </w:r>
    </w:p>
    <w:p w14:paraId="794D10B8" w14:textId="1AFE3F16" w:rsidR="00FA1FD6" w:rsidRPr="006447EC" w:rsidRDefault="00FA1FD6" w:rsidP="00FA1FD6">
      <w:pPr>
        <w:spacing w:after="0"/>
        <w:rPr>
          <w:rFonts w:ascii="Verdana" w:hAnsi="Verdana"/>
          <w:lang w:val="es-ES"/>
        </w:rPr>
      </w:pPr>
    </w:p>
    <w:p w14:paraId="1C876047" w14:textId="26C6ED09" w:rsidR="00FA1FD6" w:rsidRPr="006447EC" w:rsidRDefault="005364A2" w:rsidP="00FA1FD6">
      <w:pPr>
        <w:spacing w:after="0" w:line="240" w:lineRule="auto"/>
        <w:rPr>
          <w:rFonts w:ascii="Verdana" w:hAnsi="Verdana"/>
          <w:lang w:val="es-ES"/>
        </w:rPr>
      </w:pPr>
      <w:r w:rsidRPr="005364A2">
        <w:rPr>
          <w:rFonts w:ascii="Verdana" w:eastAsia="Calibri" w:hAnsi="Verdana" w:cs="Arial"/>
          <w:lang w:val="es-ES" w:eastAsia="es-ES"/>
        </w:rPr>
        <w:drawing>
          <wp:anchor distT="0" distB="0" distL="114300" distR="114300" simplePos="0" relativeHeight="251660288" behindDoc="1" locked="0" layoutInCell="1" allowOverlap="1" wp14:anchorId="6B33EC6E" wp14:editId="726CBE27">
            <wp:simplePos x="0" y="0"/>
            <wp:positionH relativeFrom="column">
              <wp:posOffset>3320415</wp:posOffset>
            </wp:positionH>
            <wp:positionV relativeFrom="paragraph">
              <wp:posOffset>10160</wp:posOffset>
            </wp:positionV>
            <wp:extent cx="2447925" cy="718504"/>
            <wp:effectExtent l="0" t="0" r="0" b="5715"/>
            <wp:wrapNone/>
            <wp:docPr id="1462414267"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62414267" name=""/>
                    <pic:cNvPicPr/>
                  </pic:nvPicPr>
                  <pic:blipFill>
                    <a:blip r:embed="rId10">
                      <a:extLst>
                        <a:ext uri="{28A0092B-C50C-407E-A947-70E740481C1C}">
                          <a14:useLocalDpi xmlns:a14="http://schemas.microsoft.com/office/drawing/2010/main" val="0"/>
                        </a:ext>
                      </a:extLst>
                    </a:blip>
                    <a:stretch>
                      <a:fillRect/>
                    </a:stretch>
                  </pic:blipFill>
                  <pic:spPr>
                    <a:xfrm>
                      <a:off x="0" y="0"/>
                      <a:ext cx="2447925" cy="718504"/>
                    </a:xfrm>
                    <a:prstGeom prst="rect">
                      <a:avLst/>
                    </a:prstGeom>
                  </pic:spPr>
                </pic:pic>
              </a:graphicData>
            </a:graphic>
            <wp14:sizeRelH relativeFrom="margin">
              <wp14:pctWidth>0</wp14:pctWidth>
            </wp14:sizeRelH>
            <wp14:sizeRelV relativeFrom="margin">
              <wp14:pctHeight>0</wp14:pctHeight>
            </wp14:sizeRelV>
          </wp:anchor>
        </w:drawing>
      </w:r>
      <w:r w:rsidR="00FA1FD6" w:rsidRPr="006447EC">
        <w:rPr>
          <w:rFonts w:ascii="Verdana" w:eastAsia="Calibri" w:hAnsi="Verdana" w:cs="Arial"/>
          <w:lang w:val="es-ES" w:eastAsia="es-ES"/>
        </w:rPr>
        <w:t>Señora</w:t>
      </w:r>
    </w:p>
    <w:p w14:paraId="108539F8" w14:textId="77777777" w:rsidR="00FA1FD6" w:rsidRPr="006447EC" w:rsidRDefault="00FA1FD6" w:rsidP="00FA1FD6">
      <w:pPr>
        <w:spacing w:after="0"/>
        <w:rPr>
          <w:rFonts w:ascii="Verdana" w:eastAsia="Calibri" w:hAnsi="Verdana" w:cs="Arial"/>
          <w:lang w:eastAsia="es-ES"/>
        </w:rPr>
      </w:pPr>
      <w:r w:rsidRPr="006447EC">
        <w:rPr>
          <w:rFonts w:ascii="Verdana" w:eastAsia="Calibri" w:hAnsi="Verdana" w:cs="Arial"/>
          <w:b/>
          <w:bCs/>
          <w:lang w:eastAsia="es-ES"/>
        </w:rPr>
        <w:t>Sandra Lorena Blanco Bocarejo</w:t>
      </w:r>
    </w:p>
    <w:p w14:paraId="620D9F15" w14:textId="77777777" w:rsidR="00FA1FD6" w:rsidRPr="006447EC" w:rsidRDefault="00FA1FD6" w:rsidP="00FA1FD6">
      <w:pPr>
        <w:spacing w:after="0"/>
        <w:rPr>
          <w:rFonts w:ascii="Verdana" w:eastAsia="Calibri" w:hAnsi="Verdana" w:cs="Arial"/>
          <w:color w:val="EE0000"/>
          <w:lang w:eastAsia="es-ES"/>
        </w:rPr>
      </w:pPr>
      <w:hyperlink r:id="rId11" w:history="1">
        <w:r w:rsidRPr="006447EC">
          <w:rPr>
            <w:rStyle w:val="Hipervnculo"/>
            <w:rFonts w:ascii="Verdana" w:hAnsi="Verdana"/>
          </w:rPr>
          <w:t>abglorenablanco@gmail.com</w:t>
        </w:r>
      </w:hyperlink>
      <w:r w:rsidRPr="006447EC">
        <w:rPr>
          <w:rFonts w:ascii="Verdana" w:hAnsi="Verdana"/>
          <w:color w:val="EE0000"/>
        </w:rPr>
        <w:t xml:space="preserve"> </w:t>
      </w:r>
    </w:p>
    <w:p w14:paraId="3F9CC71D" w14:textId="77777777" w:rsidR="00FA1FD6" w:rsidRPr="006447EC" w:rsidRDefault="00FA1FD6" w:rsidP="00FA1FD6">
      <w:pPr>
        <w:spacing w:after="0"/>
        <w:rPr>
          <w:rFonts w:ascii="Verdana" w:eastAsia="Calibri" w:hAnsi="Verdana" w:cs="Arial"/>
          <w:lang w:eastAsia="es-ES"/>
        </w:rPr>
      </w:pPr>
      <w:r w:rsidRPr="006447EC">
        <w:rPr>
          <w:rFonts w:ascii="Verdana" w:eastAsia="Calibri" w:hAnsi="Verdana" w:cs="Arial"/>
          <w:lang w:eastAsia="es-ES"/>
        </w:rPr>
        <w:t>Yopal, Casanare</w:t>
      </w:r>
    </w:p>
    <w:p w14:paraId="7C8F7F3E" w14:textId="77777777" w:rsidR="00FA1FD6" w:rsidRPr="006447EC" w:rsidRDefault="00FA1FD6" w:rsidP="00FA1FD6">
      <w:pPr>
        <w:spacing w:after="0"/>
        <w:rPr>
          <w:rFonts w:ascii="Verdana" w:eastAsia="Calibri" w:hAnsi="Verdana" w:cs="Arial"/>
          <w:color w:val="EE0000"/>
          <w:lang w:val="es-ES" w:eastAsia="es-ES"/>
        </w:rPr>
      </w:pPr>
    </w:p>
    <w:p w14:paraId="28117A51" w14:textId="77777777" w:rsidR="00FA1FD6" w:rsidRPr="006447EC" w:rsidRDefault="00FA1FD6" w:rsidP="00FA1FD6">
      <w:pPr>
        <w:spacing w:after="0" w:line="240" w:lineRule="auto"/>
        <w:rPr>
          <w:rFonts w:ascii="Verdana" w:eastAsia="Calibri" w:hAnsi="Verdana" w:cs="Arial"/>
          <w:b/>
          <w:bCs/>
          <w:color w:val="EE0000"/>
          <w:lang w:val="es-ES" w:eastAsia="es-ES"/>
        </w:rPr>
      </w:pPr>
    </w:p>
    <w:tbl>
      <w:tblPr>
        <w:tblStyle w:val="Tablaconcuadrcula"/>
        <w:tblW w:w="8510" w:type="dxa"/>
        <w:tblInd w:w="-142"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4A0" w:firstRow="1" w:lastRow="0" w:firstColumn="1" w:lastColumn="0" w:noHBand="0" w:noVBand="1"/>
      </w:tblPr>
      <w:tblGrid>
        <w:gridCol w:w="2410"/>
        <w:gridCol w:w="6100"/>
      </w:tblGrid>
      <w:tr w:rsidR="00FA1FD6" w:rsidRPr="006447EC" w14:paraId="3ACE5FBE" w14:textId="77777777" w:rsidTr="00205A8F">
        <w:trPr>
          <w:trHeight w:val="300"/>
        </w:trPr>
        <w:tc>
          <w:tcPr>
            <w:tcW w:w="2410" w:type="dxa"/>
          </w:tcPr>
          <w:p w14:paraId="418E3497" w14:textId="77777777" w:rsidR="00FA1FD6" w:rsidRPr="006447EC" w:rsidRDefault="00FA1FD6" w:rsidP="00205A8F">
            <w:pPr>
              <w:ind w:left="-142"/>
              <w:jc w:val="both"/>
              <w:rPr>
                <w:rFonts w:ascii="Verdana" w:eastAsia="Calibri" w:hAnsi="Verdana" w:cs="Arial"/>
                <w:b/>
                <w:bCs/>
                <w:color w:val="EE0000"/>
                <w:lang w:val="es-ES" w:eastAsia="es-ES_tradnl"/>
              </w:rPr>
            </w:pPr>
          </w:p>
        </w:tc>
        <w:tc>
          <w:tcPr>
            <w:tcW w:w="6100" w:type="dxa"/>
          </w:tcPr>
          <w:p w14:paraId="0784636B" w14:textId="77777777" w:rsidR="00FA1FD6" w:rsidRPr="006447EC" w:rsidRDefault="00FA1FD6" w:rsidP="00205A8F">
            <w:pPr>
              <w:ind w:left="3"/>
              <w:jc w:val="both"/>
              <w:rPr>
                <w:rFonts w:ascii="Verdana" w:eastAsia="Calibri" w:hAnsi="Verdana" w:cs="Arial"/>
                <w:b/>
                <w:bCs/>
                <w:lang w:val="es-ES" w:eastAsia="es-ES"/>
              </w:rPr>
            </w:pPr>
            <w:r w:rsidRPr="006447EC">
              <w:rPr>
                <w:rFonts w:ascii="Verdana" w:eastAsia="Calibri" w:hAnsi="Verdana" w:cs="Arial"/>
                <w:b/>
                <w:bCs/>
                <w:lang w:val="es-ES" w:eastAsia="es-ES"/>
              </w:rPr>
              <w:t>Concepto C-596 de 2026</w:t>
            </w:r>
          </w:p>
          <w:p w14:paraId="7CE6BC2F" w14:textId="77777777" w:rsidR="00FA1FD6" w:rsidRPr="006447EC" w:rsidRDefault="00FA1FD6" w:rsidP="00205A8F">
            <w:pPr>
              <w:ind w:left="3"/>
              <w:jc w:val="both"/>
              <w:rPr>
                <w:rFonts w:ascii="Verdana" w:eastAsia="Calibri" w:hAnsi="Verdana" w:cs="Arial"/>
                <w:b/>
                <w:bCs/>
                <w:color w:val="EE0000"/>
                <w:lang w:val="es-ES" w:eastAsia="es-ES"/>
              </w:rPr>
            </w:pPr>
          </w:p>
        </w:tc>
      </w:tr>
      <w:tr w:rsidR="00FA1FD6" w:rsidRPr="006447EC" w14:paraId="4946315C" w14:textId="77777777" w:rsidTr="00205A8F">
        <w:trPr>
          <w:trHeight w:val="300"/>
        </w:trPr>
        <w:tc>
          <w:tcPr>
            <w:tcW w:w="2410" w:type="dxa"/>
          </w:tcPr>
          <w:p w14:paraId="1A3BE1DB" w14:textId="77777777" w:rsidR="00FA1FD6" w:rsidRPr="006447EC" w:rsidRDefault="00FA1FD6" w:rsidP="00205A8F">
            <w:pPr>
              <w:ind w:left="424" w:firstLine="137"/>
              <w:jc w:val="both"/>
              <w:rPr>
                <w:rFonts w:ascii="Verdana" w:eastAsia="Calibri" w:hAnsi="Verdana" w:cs="Arial"/>
                <w:lang w:val="es-ES" w:eastAsia="es-ES_tradnl"/>
              </w:rPr>
            </w:pPr>
            <w:r w:rsidRPr="006447EC">
              <w:rPr>
                <w:rFonts w:ascii="Verdana" w:eastAsia="Calibri" w:hAnsi="Verdana" w:cs="Arial"/>
                <w:b/>
                <w:lang w:val="es-ES" w:eastAsia="es-ES_tradnl"/>
              </w:rPr>
              <w:t>Temas:</w:t>
            </w:r>
            <w:r w:rsidRPr="006447EC">
              <w:rPr>
                <w:rFonts w:ascii="Verdana" w:eastAsia="Calibri" w:hAnsi="Verdana" w:cs="Arial"/>
                <w:lang w:val="es-ES" w:eastAsia="es-ES_tradnl"/>
              </w:rPr>
              <w:t xml:space="preserve">                  </w:t>
            </w:r>
          </w:p>
        </w:tc>
        <w:tc>
          <w:tcPr>
            <w:tcW w:w="6100" w:type="dxa"/>
          </w:tcPr>
          <w:p w14:paraId="06543C45" w14:textId="77777777" w:rsidR="00FA1FD6" w:rsidRPr="006447EC" w:rsidRDefault="00FA1FD6" w:rsidP="00205A8F">
            <w:pPr>
              <w:jc w:val="both"/>
              <w:rPr>
                <w:rFonts w:ascii="Verdana" w:eastAsia="Verdana" w:hAnsi="Verdana" w:cs="Verdana"/>
                <w:lang w:val="es-ES"/>
              </w:rPr>
            </w:pPr>
            <w:r w:rsidRPr="006447EC">
              <w:rPr>
                <w:rFonts w:ascii="Verdana" w:eastAsia="Verdana" w:hAnsi="Verdana" w:cs="Verdana"/>
                <w:lang w:val="es-ES"/>
              </w:rPr>
              <w:t xml:space="preserve">CONTRATO DE PRESTACIÓN DE SERVICIOS – Concepto / CONTRATO DE PRESTACIÓN DE SERVICIOS – Características / VIGILANCIA DE LOS CONTRATOS ESTATALES – Marco jurídico – Obligación de la entidad – Objetivo / CONTRATO DE PRESTACIÓN DE SERVICIOS – Estudios previos – Condiciones del contrato - Principio De Autonomía </w:t>
            </w:r>
          </w:p>
          <w:p w14:paraId="6898CEE6" w14:textId="77777777" w:rsidR="00FA1FD6" w:rsidRPr="006447EC" w:rsidRDefault="00FA1FD6" w:rsidP="00205A8F">
            <w:pPr>
              <w:jc w:val="both"/>
              <w:rPr>
                <w:rFonts w:ascii="Verdana" w:hAnsi="Verdana"/>
              </w:rPr>
            </w:pPr>
          </w:p>
        </w:tc>
      </w:tr>
      <w:tr w:rsidR="00FA1FD6" w:rsidRPr="006447EC" w14:paraId="7E37938A" w14:textId="77777777" w:rsidTr="00205A8F">
        <w:trPr>
          <w:trHeight w:val="316"/>
        </w:trPr>
        <w:tc>
          <w:tcPr>
            <w:tcW w:w="2410" w:type="dxa"/>
          </w:tcPr>
          <w:p w14:paraId="24E06E2A" w14:textId="77777777" w:rsidR="00FA1FD6" w:rsidRPr="006447EC" w:rsidRDefault="00FA1FD6" w:rsidP="00205A8F">
            <w:pPr>
              <w:ind w:left="561"/>
              <w:jc w:val="both"/>
              <w:rPr>
                <w:rFonts w:ascii="Verdana" w:eastAsia="Calibri" w:hAnsi="Verdana" w:cs="Arial"/>
                <w:b/>
                <w:lang w:val="es-ES" w:eastAsia="es-ES_tradnl"/>
              </w:rPr>
            </w:pPr>
            <w:r w:rsidRPr="006447EC">
              <w:rPr>
                <w:rFonts w:ascii="Verdana" w:eastAsia="Calibri" w:hAnsi="Verdana" w:cs="Arial"/>
                <w:b/>
                <w:lang w:val="es-ES" w:eastAsia="es-ES_tradnl"/>
              </w:rPr>
              <w:t>Radicación:</w:t>
            </w:r>
            <w:r w:rsidRPr="006447EC">
              <w:rPr>
                <w:rFonts w:ascii="Verdana" w:eastAsia="Calibri" w:hAnsi="Verdana" w:cs="Arial"/>
                <w:lang w:val="es-ES" w:eastAsia="es-ES_tradnl"/>
              </w:rPr>
              <w:t xml:space="preserve">              </w:t>
            </w:r>
          </w:p>
        </w:tc>
        <w:tc>
          <w:tcPr>
            <w:tcW w:w="6100" w:type="dxa"/>
          </w:tcPr>
          <w:p w14:paraId="50EF0FA2" w14:textId="77777777" w:rsidR="00FA1FD6" w:rsidRPr="006447EC" w:rsidRDefault="00FA1FD6" w:rsidP="00205A8F">
            <w:pPr>
              <w:ind w:left="3"/>
              <w:jc w:val="both"/>
              <w:rPr>
                <w:rFonts w:ascii="Verdana" w:hAnsi="Verdana"/>
                <w:lang w:val="es-ES"/>
              </w:rPr>
            </w:pPr>
            <w:r w:rsidRPr="006447EC">
              <w:rPr>
                <w:rFonts w:ascii="Verdana" w:eastAsia="Calibri" w:hAnsi="Verdana" w:cs="Arial"/>
                <w:lang w:val="es-ES" w:eastAsia="es-ES"/>
              </w:rPr>
              <w:t xml:space="preserve">Respuesta a consulta con radicado No. </w:t>
            </w:r>
            <w:r w:rsidRPr="006447EC">
              <w:rPr>
                <w:rFonts w:ascii="Verdana" w:eastAsia="Calibri" w:hAnsi="Verdana" w:cs="Arial"/>
                <w:lang w:eastAsia="es-ES"/>
              </w:rPr>
              <w:t>1_2026_04_11_004919</w:t>
            </w:r>
          </w:p>
        </w:tc>
      </w:tr>
    </w:tbl>
    <w:p w14:paraId="3523FF3B" w14:textId="77777777" w:rsidR="00FA1FD6" w:rsidRPr="00C73A2E" w:rsidRDefault="00FA1FD6" w:rsidP="00FA1FD6">
      <w:pPr>
        <w:spacing w:after="0" w:line="276" w:lineRule="auto"/>
        <w:jc w:val="both"/>
        <w:rPr>
          <w:rFonts w:ascii="Verdana" w:eastAsia="Calibri" w:hAnsi="Verdana" w:cs="Arial"/>
          <w:lang w:val="es-ES" w:eastAsia="es-ES"/>
        </w:rPr>
      </w:pPr>
    </w:p>
    <w:p w14:paraId="41035C11" w14:textId="77777777" w:rsidR="00FA1FD6" w:rsidRPr="00C73A2E" w:rsidRDefault="00FA1FD6" w:rsidP="00FA1FD6">
      <w:pPr>
        <w:spacing w:after="0" w:line="276" w:lineRule="auto"/>
        <w:jc w:val="both"/>
        <w:rPr>
          <w:rFonts w:ascii="Verdana" w:eastAsia="Calibri" w:hAnsi="Verdana" w:cs="Arial"/>
          <w:lang w:val="es-ES" w:eastAsia="es-ES"/>
        </w:rPr>
      </w:pPr>
    </w:p>
    <w:p w14:paraId="38EFC5A7" w14:textId="77777777" w:rsidR="00FA1FD6" w:rsidRPr="00C73A2E" w:rsidRDefault="00FA1FD6" w:rsidP="00FA1FD6">
      <w:pPr>
        <w:spacing w:after="0" w:line="276" w:lineRule="auto"/>
        <w:jc w:val="both"/>
        <w:rPr>
          <w:rFonts w:ascii="Verdana" w:eastAsia="Calibri" w:hAnsi="Verdana" w:cs="Arial"/>
          <w:lang w:val="es-ES" w:eastAsia="es-ES"/>
        </w:rPr>
      </w:pPr>
      <w:r w:rsidRPr="00C73A2E">
        <w:rPr>
          <w:rFonts w:ascii="Verdana" w:eastAsia="Calibri" w:hAnsi="Verdana" w:cs="Arial"/>
          <w:lang w:val="es-ES" w:eastAsia="es-ES"/>
        </w:rPr>
        <w:t>Estimada señora Blanco,</w:t>
      </w:r>
    </w:p>
    <w:p w14:paraId="617E6A76" w14:textId="77777777" w:rsidR="00FA1FD6" w:rsidRPr="00C73A2E" w:rsidRDefault="00FA1FD6" w:rsidP="00FA1FD6">
      <w:pPr>
        <w:spacing w:after="0" w:line="276" w:lineRule="auto"/>
        <w:jc w:val="both"/>
        <w:rPr>
          <w:rFonts w:ascii="Verdana" w:eastAsia="Calibri" w:hAnsi="Verdana" w:cs="Arial"/>
          <w:lang w:val="es-ES" w:eastAsia="es-ES"/>
        </w:rPr>
      </w:pPr>
      <w:r w:rsidRPr="00C73A2E">
        <w:rPr>
          <w:rFonts w:ascii="Verdana" w:eastAsia="Calibri" w:hAnsi="Verdana" w:cs="Arial"/>
          <w:lang w:val="es-ES" w:eastAsia="es-ES"/>
        </w:rPr>
        <w:t xml:space="preserve"> </w:t>
      </w:r>
    </w:p>
    <w:p w14:paraId="49C7260E" w14:textId="77777777" w:rsidR="00FA1FD6" w:rsidRPr="00C73A2E" w:rsidRDefault="00FA1FD6" w:rsidP="00FA1FD6">
      <w:pPr>
        <w:tabs>
          <w:tab w:val="left" w:pos="3768"/>
        </w:tabs>
        <w:spacing w:after="0" w:line="276" w:lineRule="auto"/>
        <w:jc w:val="both"/>
        <w:rPr>
          <w:rFonts w:ascii="Verdana" w:eastAsia="Calibri" w:hAnsi="Verdana" w:cs="Arial"/>
          <w:lang w:eastAsia="es-ES"/>
        </w:rPr>
      </w:pPr>
      <w:r w:rsidRPr="00C73A2E">
        <w:rPr>
          <w:rFonts w:ascii="Verdana" w:eastAsia="Calibri" w:hAnsi="Verdana" w:cs="Arial"/>
          <w:lang w:eastAsia="es-ES"/>
        </w:rPr>
        <w:t xml:space="preserve">En ejercicio de la competencia otorgada por los artículos 3, numeral 5º, y 11, numeral 8º, del Decreto Ley 4170 de 2011, así como lo establecido por la Resolución 469 de 2025 expedida por esta Entidad, la Agencia Nacional de Contratación Pública – Colombia Compra Eficiente– responde su solicitud de consulta de fecha 11 de abril de 2026, en la cual manifiesta lo siguiente: </w:t>
      </w:r>
    </w:p>
    <w:p w14:paraId="780BC438" w14:textId="77777777" w:rsidR="00FA1FD6" w:rsidRPr="009A240D" w:rsidRDefault="00FA1FD6" w:rsidP="00FA1FD6">
      <w:pPr>
        <w:tabs>
          <w:tab w:val="left" w:pos="142"/>
          <w:tab w:val="left" w:pos="284"/>
        </w:tabs>
        <w:spacing w:after="0" w:line="276" w:lineRule="auto"/>
        <w:contextualSpacing/>
        <w:jc w:val="both"/>
        <w:rPr>
          <w:rFonts w:ascii="Verdana" w:eastAsia="Century Gothic" w:hAnsi="Verdana" w:cs="Century Gothic"/>
          <w:b/>
          <w:bCs/>
        </w:rPr>
      </w:pPr>
    </w:p>
    <w:p w14:paraId="76739014" w14:textId="77777777" w:rsidR="00FA1FD6" w:rsidRPr="009A240D" w:rsidRDefault="00FA1FD6" w:rsidP="00FA1FD6">
      <w:pPr>
        <w:spacing w:after="0" w:line="240" w:lineRule="auto"/>
        <w:ind w:left="709" w:right="709"/>
        <w:jc w:val="both"/>
        <w:rPr>
          <w:rFonts w:ascii="Verdana" w:eastAsia="Calibri" w:hAnsi="Verdana" w:cs="Arial"/>
          <w:sz w:val="20"/>
          <w:szCs w:val="20"/>
          <w:lang w:eastAsia="es-ES"/>
        </w:rPr>
      </w:pPr>
      <w:r w:rsidRPr="009A240D">
        <w:rPr>
          <w:rFonts w:ascii="Verdana" w:eastAsia="Century Gothic" w:hAnsi="Verdana" w:cs="Century Gothic"/>
          <w:i/>
          <w:iCs/>
          <w:sz w:val="20"/>
          <w:szCs w:val="20"/>
          <w:lang w:val="es-ES"/>
        </w:rPr>
        <w:t>“</w:t>
      </w:r>
      <w:r w:rsidRPr="009A240D">
        <w:rPr>
          <w:rFonts w:ascii="Verdana" w:eastAsia="Calibri" w:hAnsi="Verdana" w:cs="Arial"/>
          <w:sz w:val="20"/>
          <w:szCs w:val="20"/>
          <w:lang w:eastAsia="es-ES"/>
        </w:rPr>
        <w:t>[…] En atención a las disposiciones legales vigentes en materia de contratación, me permito solicitar lo siguiente ¿En el marco de ejecución de un contrato de prestación de servicios, el supervisor puede reservarse</w:t>
      </w:r>
    </w:p>
    <w:p w14:paraId="4A6B334B" w14:textId="77777777" w:rsidR="00FA1FD6" w:rsidRPr="009A240D" w:rsidRDefault="00FA1FD6" w:rsidP="00FA1FD6">
      <w:pPr>
        <w:spacing w:after="0" w:line="240" w:lineRule="auto"/>
        <w:ind w:left="709" w:right="709"/>
        <w:jc w:val="both"/>
        <w:rPr>
          <w:rFonts w:ascii="Verdana" w:eastAsia="Calibri" w:hAnsi="Verdana" w:cs="Arial"/>
          <w:sz w:val="20"/>
          <w:szCs w:val="20"/>
          <w:lang w:eastAsia="es-ES"/>
        </w:rPr>
      </w:pPr>
      <w:r w:rsidRPr="009A240D">
        <w:rPr>
          <w:rFonts w:ascii="Verdana" w:eastAsia="Calibri" w:hAnsi="Verdana" w:cs="Arial"/>
          <w:sz w:val="20"/>
          <w:szCs w:val="20"/>
          <w:lang w:eastAsia="es-ES"/>
        </w:rPr>
        <w:t>un término para revisar los informes de ejecución de actividades mensuales? ¿Es obligatorio suscribir un plan de trabajo para ejecutar un contrato de prestación de servicios? ¿Cuántos requerimientos debe hacer</w:t>
      </w:r>
    </w:p>
    <w:p w14:paraId="0D9BB0F8" w14:textId="77777777" w:rsidR="00FA1FD6" w:rsidRPr="009A240D" w:rsidRDefault="00FA1FD6" w:rsidP="00FA1FD6">
      <w:pPr>
        <w:spacing w:after="0" w:line="240" w:lineRule="auto"/>
        <w:ind w:left="709" w:right="709"/>
        <w:jc w:val="both"/>
        <w:rPr>
          <w:rFonts w:ascii="Verdana" w:eastAsia="Calibri" w:hAnsi="Verdana" w:cs="Arial"/>
          <w:sz w:val="20"/>
          <w:szCs w:val="20"/>
          <w:lang w:eastAsia="es-ES"/>
        </w:rPr>
      </w:pPr>
      <w:r w:rsidRPr="009A240D">
        <w:rPr>
          <w:rFonts w:ascii="Verdana" w:eastAsia="Calibri" w:hAnsi="Verdana" w:cs="Arial"/>
          <w:sz w:val="20"/>
          <w:szCs w:val="20"/>
          <w:lang w:eastAsia="es-ES"/>
        </w:rPr>
        <w:t>un supervisor para que el contratista entregue su informe mensual de actividades en un contrato de prestación de servicios, para llegar a un presunto incumplimiento de contrato? […]”</w:t>
      </w:r>
    </w:p>
    <w:p w14:paraId="28E0E313" w14:textId="77777777" w:rsidR="00FA1FD6" w:rsidRPr="00DC4CF3" w:rsidRDefault="00FA1FD6" w:rsidP="00FA1FD6">
      <w:pPr>
        <w:spacing w:after="0" w:line="240" w:lineRule="auto"/>
        <w:ind w:left="709" w:right="709"/>
        <w:jc w:val="both"/>
        <w:rPr>
          <w:rFonts w:ascii="Verdana" w:eastAsia="Calibri" w:hAnsi="Verdana" w:cs="Arial"/>
          <w:color w:val="EE0000"/>
          <w:sz w:val="20"/>
          <w:szCs w:val="20"/>
          <w:lang w:eastAsia="es-ES"/>
        </w:rPr>
      </w:pPr>
    </w:p>
    <w:p w14:paraId="56742698" w14:textId="6482E9C3" w:rsidR="00FA1FD6" w:rsidRPr="0060415C" w:rsidRDefault="00FA1FD6" w:rsidP="00FA1FD6">
      <w:pPr>
        <w:spacing w:after="120" w:line="276" w:lineRule="auto"/>
        <w:ind w:firstLine="708"/>
        <w:jc w:val="both"/>
        <w:rPr>
          <w:rFonts w:ascii="Verdana" w:eastAsia="Calibri" w:hAnsi="Verdana" w:cs="Arial"/>
          <w:lang w:val="es-ES" w:eastAsia="es-ES"/>
        </w:rPr>
      </w:pPr>
      <w:r w:rsidRPr="0060415C">
        <w:rPr>
          <w:rFonts w:ascii="Verdana" w:eastAsia="Calibri" w:hAnsi="Verdana" w:cs="Arial"/>
          <w:lang w:val="es-ES" w:eastAsia="es-ES"/>
        </w:rPr>
        <w:lastRenderedPageBreak/>
        <w:t xml:space="preserve">De manera preliminar, resulta necesario acotar que esta entidad solo tiene competencia para responder consultas sobre la aplicación de normas de carácter general en materia de compras y contratación pública. En ese sentido, resolver casos particulares desborda las atribuciones asignadas por el legislador extraordinario, que no concibió a </w:t>
      </w:r>
      <w:r w:rsidR="006447EC">
        <w:rPr>
          <w:rFonts w:ascii="Verdana" w:eastAsia="Calibri" w:hAnsi="Verdana" w:cs="Arial"/>
          <w:lang w:val="es-ES" w:eastAsia="es-ES"/>
        </w:rPr>
        <w:t xml:space="preserve">la Agencia Nacional de Contratación Pública - </w:t>
      </w:r>
      <w:r w:rsidRPr="0060415C">
        <w:rPr>
          <w:rFonts w:ascii="Verdana" w:eastAsia="Calibri" w:hAnsi="Verdana" w:cs="Arial"/>
          <w:lang w:val="es-ES" w:eastAsia="es-ES"/>
        </w:rPr>
        <w:t xml:space="preserve">Colombia Compra Eficiente como una autoridad para solucionar problemas jurídicos particulares de todos los partícipes del sistema de compra pública. La competencia de esta entidad se fija con límites claros, con el objeto de evitar que la Agencia actúe como una instancia de validación de las actuaciones de las entidades sujetas a la Ley 80 de 1993 o de los demás participantes de la contratación pública. Esta competencia de interpretación de normas generales, por definición, no puede extenderse a la resolución de controversias, ni a brindar asesorías sobre casos puntuales.  </w:t>
      </w:r>
      <w:r w:rsidRPr="0060415C">
        <w:rPr>
          <w:rFonts w:ascii="Verdana" w:hAnsi="Verdana"/>
          <w:lang w:val="es-ES"/>
        </w:rPr>
        <w:tab/>
      </w:r>
    </w:p>
    <w:p w14:paraId="40F97521" w14:textId="77777777" w:rsidR="00FA1FD6" w:rsidRPr="0060415C" w:rsidRDefault="00FA1FD6" w:rsidP="00FA1FD6">
      <w:pPr>
        <w:spacing w:after="0" w:line="276" w:lineRule="auto"/>
        <w:ind w:firstLine="709"/>
        <w:jc w:val="both"/>
        <w:rPr>
          <w:rFonts w:ascii="Verdana" w:eastAsia="Calibri" w:hAnsi="Verdana" w:cs="Arial"/>
          <w:lang w:val="es-ES" w:eastAsia="es-ES"/>
        </w:rPr>
      </w:pPr>
      <w:r w:rsidRPr="0060415C">
        <w:rPr>
          <w:rFonts w:ascii="Verdana" w:eastAsia="Calibri" w:hAnsi="Verdana" w:cs="Arial"/>
          <w:lang w:val="es-ES" w:eastAsia="es-ES"/>
        </w:rPr>
        <w:t xml:space="preserve">Conforme lo expuesto, en aras de satisfacer el derecho fundamental de petición se resolverá su consulta dentro de los límites de la referida competencia consultiva, esto es, haciendo abstracción de las circunstancias particulares y concretas mencionadas en su petición, </w:t>
      </w:r>
      <w:r w:rsidRPr="0060415C">
        <w:rPr>
          <w:rFonts w:ascii="Verdana" w:eastAsia="Calibri" w:hAnsi="Verdana" w:cs="Arial"/>
          <w:lang w:eastAsia="es-ES"/>
        </w:rPr>
        <w:t xml:space="preserve">pero señalando algunas </w:t>
      </w:r>
      <w:r w:rsidRPr="0060415C">
        <w:rPr>
          <w:rFonts w:ascii="Verdana" w:eastAsia="Calibri" w:hAnsi="Verdana" w:cs="Arial"/>
          <w:lang w:val="es-ES" w:eastAsia="es-ES"/>
        </w:rPr>
        <w:t xml:space="preserve">consideraciones sobre las normas generales relacionadas con el problema jurídico de su consulta. </w:t>
      </w:r>
    </w:p>
    <w:p w14:paraId="3D0F39A5" w14:textId="77777777" w:rsidR="00FA1FD6" w:rsidRPr="00DC4CF3" w:rsidRDefault="00FA1FD6" w:rsidP="00E54223">
      <w:pPr>
        <w:spacing w:after="0" w:line="276" w:lineRule="auto"/>
        <w:ind w:firstLine="709"/>
        <w:jc w:val="both"/>
        <w:rPr>
          <w:rFonts w:ascii="Verdana" w:eastAsia="Calibri" w:hAnsi="Verdana" w:cs="Arial"/>
          <w:color w:val="EE0000"/>
          <w:lang w:val="es-ES" w:eastAsia="es-ES"/>
        </w:rPr>
      </w:pPr>
    </w:p>
    <w:p w14:paraId="0C2353CC" w14:textId="77777777" w:rsidR="00FA1FD6" w:rsidRPr="0060415C" w:rsidRDefault="00FA1FD6" w:rsidP="00E54223">
      <w:pPr>
        <w:tabs>
          <w:tab w:val="left" w:pos="142"/>
          <w:tab w:val="left" w:pos="284"/>
        </w:tabs>
        <w:spacing w:after="0" w:line="276" w:lineRule="auto"/>
        <w:contextualSpacing/>
        <w:jc w:val="both"/>
        <w:rPr>
          <w:rFonts w:ascii="Verdana" w:eastAsia="Century Gothic" w:hAnsi="Verdana" w:cs="Century Gothic"/>
          <w:b/>
          <w:lang w:val="es-ES"/>
        </w:rPr>
      </w:pPr>
      <w:r w:rsidRPr="0060415C">
        <w:rPr>
          <w:rFonts w:ascii="Verdana" w:eastAsia="Century Gothic" w:hAnsi="Verdana" w:cs="Century Gothic"/>
          <w:b/>
          <w:lang w:val="es-ES"/>
        </w:rPr>
        <w:t>1. Problema planteado:</w:t>
      </w:r>
    </w:p>
    <w:p w14:paraId="42527F51" w14:textId="77777777" w:rsidR="00FA1FD6" w:rsidRPr="0060415C" w:rsidRDefault="00FA1FD6" w:rsidP="00E54223">
      <w:pPr>
        <w:tabs>
          <w:tab w:val="left" w:pos="426"/>
        </w:tabs>
        <w:spacing w:after="0" w:line="276" w:lineRule="auto"/>
        <w:jc w:val="both"/>
        <w:rPr>
          <w:rFonts w:ascii="Verdana" w:eastAsia="Century Gothic" w:hAnsi="Verdana" w:cs="Century Gothic"/>
          <w:lang w:val="es-ES"/>
        </w:rPr>
      </w:pPr>
    </w:p>
    <w:p w14:paraId="71EB27D4" w14:textId="77777777" w:rsidR="00FA1FD6" w:rsidRPr="00DC4CF3" w:rsidRDefault="00FA1FD6" w:rsidP="00E54223">
      <w:pPr>
        <w:spacing w:after="0" w:line="276" w:lineRule="auto"/>
        <w:jc w:val="both"/>
        <w:rPr>
          <w:rFonts w:ascii="Verdana" w:eastAsia="Century Gothic" w:hAnsi="Verdana" w:cs="Century Gothic"/>
          <w:color w:val="EE0000"/>
        </w:rPr>
      </w:pPr>
      <w:r w:rsidRPr="0060415C">
        <w:rPr>
          <w:rFonts w:ascii="Verdana" w:eastAsia="Century Gothic" w:hAnsi="Verdana" w:cs="Century Gothic"/>
          <w:lang w:val="es-ES"/>
        </w:rPr>
        <w:t xml:space="preserve">De </w:t>
      </w:r>
      <w:r w:rsidRPr="00554ED7">
        <w:rPr>
          <w:rFonts w:ascii="Verdana" w:eastAsia="Century Gothic" w:hAnsi="Verdana" w:cs="Century Gothic"/>
          <w:lang w:val="es-ES"/>
        </w:rPr>
        <w:t xml:space="preserve">acuerdo con el contenido de su solicitud, esta Agencia resolverá el siguiente problema jurídico: </w:t>
      </w:r>
      <w:r w:rsidRPr="00554ED7">
        <w:rPr>
          <w:rFonts w:ascii="Verdana" w:eastAsia="Century Gothic" w:hAnsi="Verdana" w:cs="Century Gothic"/>
        </w:rPr>
        <w:t>¿Cuál es el alcance de la supervisión frente a la revisión de informes de actividades, la exigencia de</w:t>
      </w:r>
      <w:r>
        <w:rPr>
          <w:rFonts w:ascii="Verdana" w:eastAsia="Century Gothic" w:hAnsi="Verdana" w:cs="Century Gothic"/>
        </w:rPr>
        <w:t xml:space="preserve"> suscribir</w:t>
      </w:r>
      <w:r w:rsidRPr="00554ED7">
        <w:rPr>
          <w:rFonts w:ascii="Verdana" w:eastAsia="Century Gothic" w:hAnsi="Verdana" w:cs="Century Gothic"/>
        </w:rPr>
        <w:t xml:space="preserve"> planes de trabajo y los requerimientos necesarios para determinar un posible incumplimiento en un contrato de prestación de servicios?</w:t>
      </w:r>
    </w:p>
    <w:p w14:paraId="6563F550" w14:textId="77777777" w:rsidR="00FA1FD6" w:rsidRPr="00DC4CF3" w:rsidRDefault="00FA1FD6" w:rsidP="00E54223">
      <w:pPr>
        <w:spacing w:after="0" w:line="276" w:lineRule="auto"/>
        <w:jc w:val="both"/>
        <w:rPr>
          <w:rFonts w:ascii="Verdana" w:eastAsia="Century Gothic" w:hAnsi="Verdana" w:cs="Century Gothic"/>
          <w:color w:val="EE0000"/>
        </w:rPr>
      </w:pPr>
    </w:p>
    <w:p w14:paraId="46C6DD4C" w14:textId="77777777" w:rsidR="00FA1FD6" w:rsidRPr="0060415C" w:rsidRDefault="00FA1FD6" w:rsidP="00E54223">
      <w:pPr>
        <w:tabs>
          <w:tab w:val="left" w:pos="142"/>
          <w:tab w:val="left" w:pos="284"/>
        </w:tabs>
        <w:spacing w:after="0" w:line="276" w:lineRule="auto"/>
        <w:jc w:val="both"/>
        <w:rPr>
          <w:rFonts w:ascii="Verdana" w:eastAsia="Century Gothic" w:hAnsi="Verdana" w:cs="Century Gothic"/>
          <w:b/>
          <w:lang w:val="es-ES"/>
        </w:rPr>
      </w:pPr>
      <w:r w:rsidRPr="0060415C">
        <w:rPr>
          <w:rFonts w:ascii="Verdana" w:eastAsia="Century Gothic" w:hAnsi="Verdana" w:cs="Century Gothic"/>
          <w:b/>
          <w:lang w:val="es-ES"/>
        </w:rPr>
        <w:t>2. Respuesta:</w:t>
      </w:r>
    </w:p>
    <w:p w14:paraId="56248147" w14:textId="77777777" w:rsidR="00FA1FD6" w:rsidRPr="00DC4CF3" w:rsidRDefault="00FA1FD6" w:rsidP="00E54223">
      <w:pPr>
        <w:tabs>
          <w:tab w:val="left" w:pos="142"/>
          <w:tab w:val="left" w:pos="284"/>
        </w:tabs>
        <w:spacing w:after="0" w:line="276" w:lineRule="auto"/>
        <w:jc w:val="both"/>
        <w:rPr>
          <w:rFonts w:ascii="Verdana" w:eastAsia="Century Gothic" w:hAnsi="Verdana" w:cs="Century Gothic"/>
          <w:b/>
          <w:bCs/>
          <w:color w:val="EE0000"/>
          <w:lang w:val="es-ES"/>
        </w:rPr>
      </w:pPr>
    </w:p>
    <w:tbl>
      <w:tblPr>
        <w:tblStyle w:val="Tablaconcuadrcula"/>
        <w:tblW w:w="8852" w:type="dxa"/>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ook w:val="04A0" w:firstRow="1" w:lastRow="0" w:firstColumn="1" w:lastColumn="0" w:noHBand="0" w:noVBand="1"/>
      </w:tblPr>
      <w:tblGrid>
        <w:gridCol w:w="8852"/>
      </w:tblGrid>
      <w:tr w:rsidR="00FA1FD6" w:rsidRPr="00DC4CF3" w14:paraId="19B31626" w14:textId="77777777" w:rsidTr="00205A8F">
        <w:tc>
          <w:tcPr>
            <w:tcW w:w="8852" w:type="dxa"/>
          </w:tcPr>
          <w:p w14:paraId="5180645F" w14:textId="3262430E" w:rsidR="00FA1FD6" w:rsidRPr="001722E0" w:rsidRDefault="00FA1FD6" w:rsidP="00205A8F">
            <w:pPr>
              <w:spacing w:before="120" w:after="120" w:line="276" w:lineRule="auto"/>
              <w:jc w:val="both"/>
              <w:rPr>
                <w:rFonts w:ascii="Verdana" w:eastAsia="Calibri" w:hAnsi="Verdana" w:cs="Arial"/>
              </w:rPr>
            </w:pPr>
            <w:r w:rsidRPr="006625BA">
              <w:rPr>
                <w:rFonts w:ascii="Verdana" w:eastAsia="Calibri" w:hAnsi="Verdana" w:cs="Arial"/>
              </w:rPr>
              <w:t xml:space="preserve">Para dar respuesta al problema jurídico planteado, es importante señalar que, </w:t>
            </w:r>
            <w:r w:rsidRPr="001722E0">
              <w:rPr>
                <w:rFonts w:ascii="Verdana" w:eastAsia="Calibri" w:hAnsi="Verdana" w:cs="Arial"/>
              </w:rPr>
              <w:t xml:space="preserve">en relación con los informes en los contratos de prestación de servicios y el término para su presentación, no existe en el Sistema de Compra y Contratación Pública una disposición normativa que regule específicamente dichos aspectos. Lo anterior, en virtud del principio de autonomía de la voluntad, conforme al cual las partes pueden determinar el contenido de los </w:t>
            </w:r>
            <w:r w:rsidRPr="001722E0">
              <w:rPr>
                <w:rFonts w:ascii="Verdana" w:eastAsia="Calibri" w:hAnsi="Verdana" w:cs="Arial"/>
              </w:rPr>
              <w:lastRenderedPageBreak/>
              <w:t>contratos estatales e incorporar las condiciones, cláusulas y estipulaciones que consideren necesarias para el desarrollo del objeto contractual, la forma de ejecución, los documentos requeridos para el trámite de pago de honorarios,</w:t>
            </w:r>
            <w:r w:rsidR="00D454EB">
              <w:rPr>
                <w:rFonts w:ascii="Verdana" w:eastAsia="Calibri" w:hAnsi="Verdana" w:cs="Arial"/>
              </w:rPr>
              <w:t xml:space="preserve"> inclusos los procedimientos y tiempos para adelantar los pagos,</w:t>
            </w:r>
            <w:r w:rsidRPr="001722E0">
              <w:rPr>
                <w:rFonts w:ascii="Verdana" w:eastAsia="Calibri" w:hAnsi="Verdana" w:cs="Arial"/>
              </w:rPr>
              <w:t xml:space="preserve"> entre otros aspectos, de acuerdo con las necesidades identificadas en la etapa de planeación y reflejadas en los estudios y documentos previos.</w:t>
            </w:r>
          </w:p>
          <w:p w14:paraId="459779B6" w14:textId="06F946C5" w:rsidR="00FA1FD6" w:rsidRPr="001722E0" w:rsidRDefault="00FA1FD6" w:rsidP="00205A8F">
            <w:pPr>
              <w:spacing w:before="120" w:after="120" w:line="276" w:lineRule="auto"/>
              <w:ind w:firstLine="709"/>
              <w:jc w:val="both"/>
              <w:rPr>
                <w:rFonts w:ascii="Verdana" w:eastAsia="Calibri" w:hAnsi="Verdana" w:cs="Arial"/>
                <w:lang w:val="es-ES_tradnl"/>
              </w:rPr>
            </w:pPr>
            <w:r>
              <w:rPr>
                <w:rFonts w:ascii="Verdana" w:eastAsia="Calibri" w:hAnsi="Verdana" w:cs="Arial"/>
                <w:lang w:val="es-ES_tradnl"/>
              </w:rPr>
              <w:t xml:space="preserve">En este sentido, </w:t>
            </w:r>
            <w:r w:rsidR="00B654DD">
              <w:rPr>
                <w:rFonts w:ascii="Verdana" w:eastAsia="Calibri" w:hAnsi="Verdana" w:cs="Arial"/>
                <w:lang w:val="es-ES_tradnl"/>
              </w:rPr>
              <w:t>l</w:t>
            </w:r>
            <w:r w:rsidRPr="001722E0">
              <w:rPr>
                <w:rFonts w:ascii="Verdana" w:eastAsia="Calibri" w:hAnsi="Verdana" w:cs="Arial"/>
                <w:lang w:val="es-ES_tradnl"/>
              </w:rPr>
              <w:t>os entes estatales durante la etapa de planeación, tienen el deber de realizar el análisis del sector y justificar la modalidad de contratación en los documentos del proceso, que para el caso de los procesos que impliquen una contratación directa y en lo concerniente a los contratos de prestación de servicios profesionales, de apoyo a la gestión y de trabajos artísticos, se constata en los estudios y documentos previos, los cuales deben indicar, entre otras, las condiciones mínimas exigidas para suplir la necesidad de la entidad</w:t>
            </w:r>
            <w:r w:rsidR="000C23B5">
              <w:rPr>
                <w:rFonts w:ascii="Verdana" w:eastAsia="Calibri" w:hAnsi="Verdana" w:cs="Arial"/>
                <w:lang w:val="es-ES_tradnl"/>
              </w:rPr>
              <w:t>,</w:t>
            </w:r>
            <w:r w:rsidRPr="001722E0">
              <w:rPr>
                <w:rFonts w:ascii="Verdana" w:eastAsia="Calibri" w:hAnsi="Verdana" w:cs="Arial"/>
                <w:lang w:val="es-ES_tradnl"/>
              </w:rPr>
              <w:t xml:space="preserve"> así como los requisitos que debe acreditar el futuro contratista para el cumplimiento del objeto contractual.</w:t>
            </w:r>
          </w:p>
          <w:p w14:paraId="5F2515DB" w14:textId="77777777" w:rsidR="00FA1FD6" w:rsidRPr="001722E0" w:rsidRDefault="00FA1FD6" w:rsidP="00205A8F">
            <w:pPr>
              <w:spacing w:before="120" w:after="120" w:line="276" w:lineRule="auto"/>
              <w:ind w:firstLine="709"/>
              <w:jc w:val="both"/>
              <w:rPr>
                <w:rFonts w:ascii="Verdana" w:eastAsia="Calibri" w:hAnsi="Verdana" w:cs="Arial"/>
              </w:rPr>
            </w:pPr>
            <w:r w:rsidRPr="001722E0">
              <w:rPr>
                <w:rFonts w:ascii="Verdana" w:eastAsia="Calibri" w:hAnsi="Verdana" w:cs="Arial"/>
                <w:lang w:val="es-ES_tradnl"/>
              </w:rPr>
              <w:t xml:space="preserve">Lo anterior, </w:t>
            </w:r>
            <w:r w:rsidRPr="00DA6355">
              <w:rPr>
                <w:rFonts w:ascii="Verdana" w:eastAsia="Calibri" w:hAnsi="Verdana" w:cs="Arial"/>
              </w:rPr>
              <w:t>obedece a que el Estatuto General de Contratación de la Administración Pública</w:t>
            </w:r>
            <w:r>
              <w:rPr>
                <w:rFonts w:ascii="Verdana" w:eastAsia="Calibri" w:hAnsi="Verdana" w:cs="Arial"/>
              </w:rPr>
              <w:t xml:space="preserve"> -</w:t>
            </w:r>
            <w:r w:rsidRPr="001722E0">
              <w:rPr>
                <w:rFonts w:ascii="Verdana" w:eastAsia="Calibri" w:hAnsi="Verdana" w:cs="Arial"/>
                <w:lang w:val="es-ES_tradnl"/>
              </w:rPr>
              <w:t>EGCAP</w:t>
            </w:r>
            <w:r>
              <w:rPr>
                <w:rFonts w:ascii="Verdana" w:eastAsia="Calibri" w:hAnsi="Verdana" w:cs="Arial"/>
                <w:lang w:val="es-ES_tradnl"/>
              </w:rPr>
              <w:t>-</w:t>
            </w:r>
            <w:r w:rsidRPr="001722E0">
              <w:rPr>
                <w:rFonts w:ascii="Verdana" w:eastAsia="Calibri" w:hAnsi="Verdana" w:cs="Arial"/>
                <w:lang w:val="es-ES_tradnl"/>
              </w:rPr>
              <w:t xml:space="preserve"> contiene disposiciones que exigen a las Entidades Estatales del deber de realizar planeación en la etapa precontractual, </w:t>
            </w:r>
            <w:r w:rsidRPr="0028646D">
              <w:rPr>
                <w:rFonts w:ascii="Verdana" w:eastAsia="Calibri" w:hAnsi="Verdana" w:cs="Arial"/>
              </w:rPr>
              <w:t>con el propósito de que</w:t>
            </w:r>
            <w:r>
              <w:rPr>
                <w:rFonts w:ascii="Verdana" w:eastAsia="Calibri" w:hAnsi="Verdana" w:cs="Arial"/>
              </w:rPr>
              <w:t xml:space="preserve"> los </w:t>
            </w:r>
            <w:r w:rsidRPr="001722E0">
              <w:rPr>
                <w:rFonts w:ascii="Verdana" w:eastAsia="Calibri" w:hAnsi="Verdana" w:cs="Arial"/>
                <w:lang w:val="es-ES_tradnl"/>
              </w:rPr>
              <w:t xml:space="preserve">Procesos de Contratación satisfagan las necesidades de la Administración, cumplan sus fines, logren la continua y eficiente prestación de los servicios y permitan la efectividad de los derechos e intereses de los administrados que colaboraran en la consecución. </w:t>
            </w:r>
          </w:p>
          <w:p w14:paraId="2CC44B20" w14:textId="434C5D34" w:rsidR="00FA1FD6" w:rsidRDefault="00FA1FD6" w:rsidP="00205A8F">
            <w:pPr>
              <w:spacing w:before="120" w:line="276" w:lineRule="auto"/>
              <w:ind w:firstLine="708"/>
              <w:jc w:val="both"/>
              <w:rPr>
                <w:rFonts w:ascii="Verdana" w:eastAsia="Calibri" w:hAnsi="Verdana" w:cs="Arial"/>
                <w:lang w:val="es-ES_tradnl"/>
              </w:rPr>
            </w:pPr>
            <w:r w:rsidRPr="001722E0">
              <w:rPr>
                <w:rFonts w:ascii="Verdana" w:eastAsia="Calibri" w:hAnsi="Verdana" w:cs="Arial"/>
                <w:lang w:val="es-ES_tradnl"/>
              </w:rPr>
              <w:t xml:space="preserve">Ahora bien, pese a que la normativa en materia de contratación estatal establece la obligatoriedad de realizar el análisis necesario para conocer el sector relativo al objeto del Proceso de Contratación, no determinan un procedimiento específico para efectuar dicho estudio, por lo que las entidades son autónomas para estructurarlo, para lo cual deberán cumplir lo dispuesto en el artículo 2.2.1.1.1.6.1 del Decreto 1082 de 2015 y realizar un análisis integral de planeación que sirva de sustento a la decisión de realizar un Proceso de Contratación. </w:t>
            </w:r>
          </w:p>
          <w:p w14:paraId="6A83D567" w14:textId="2A67D0BA" w:rsidR="006E5E24" w:rsidRPr="006E5E24" w:rsidRDefault="006E5E24" w:rsidP="006E5E24">
            <w:pPr>
              <w:spacing w:before="120" w:line="276" w:lineRule="auto"/>
              <w:ind w:firstLine="708"/>
              <w:jc w:val="both"/>
              <w:rPr>
                <w:rFonts w:ascii="Verdana" w:eastAsia="Calibri" w:hAnsi="Verdana" w:cs="Arial"/>
                <w:lang w:val="es-ES_tradnl"/>
              </w:rPr>
            </w:pPr>
            <w:r w:rsidRPr="006E5E24">
              <w:rPr>
                <w:rFonts w:ascii="Verdana" w:eastAsia="Calibri" w:hAnsi="Verdana" w:cs="Arial"/>
                <w:lang w:val="es-ES_tradnl"/>
              </w:rPr>
              <w:t>Respecto del objeto de su consulta, es importante señalar que, por lo general e</w:t>
            </w:r>
            <w:r w:rsidRPr="006E5E24">
              <w:rPr>
                <w:rFonts w:ascii="Verdana" w:hAnsi="Verdana" w:cs="Segoe UI"/>
              </w:rPr>
              <w:t xml:space="preserve">l procedimiento de pago de honorarios, sus tiempos y requisitos, se rige conforme a lo establecido en el Manual de Supervisión e Interventoría adoptado por cada Entidad Estatal, el cual define los lineamientos, requisitos y controles necesarios para la correcta gestión, verificación y autorización de </w:t>
            </w:r>
            <w:r w:rsidRPr="006E5E24">
              <w:rPr>
                <w:rFonts w:ascii="Verdana" w:hAnsi="Verdana" w:cs="Segoe UI"/>
              </w:rPr>
              <w:lastRenderedPageBreak/>
              <w:t xml:space="preserve">los pagos a los contratistas, en aras de, entre otros aspectos, aspectos asegurar la correcta ejecución de los contratos y garantizar los derechos  y obligaciones de la Entidad Estatal y de los contratistas. </w:t>
            </w:r>
          </w:p>
          <w:p w14:paraId="0182D8EE" w14:textId="77777777" w:rsidR="00FA1FD6" w:rsidRPr="0030751E" w:rsidRDefault="00FA1FD6" w:rsidP="00205A8F">
            <w:pPr>
              <w:spacing w:before="120" w:line="276" w:lineRule="auto"/>
              <w:ind w:firstLine="708"/>
              <w:jc w:val="both"/>
              <w:rPr>
                <w:rFonts w:ascii="Verdana" w:eastAsia="Calibri" w:hAnsi="Verdana" w:cs="Arial"/>
              </w:rPr>
            </w:pPr>
            <w:r w:rsidRPr="0030751E">
              <w:rPr>
                <w:rFonts w:ascii="Verdana" w:eastAsia="Calibri" w:hAnsi="Verdana" w:cs="Arial"/>
              </w:rPr>
              <w:t xml:space="preserve">Finalmente, debe advertirse que el análisis requerido para resolver problemas específicos en torno a la planeación contractual, supervisión de contratos y declaratorias de incumplimientos contractuales, debe ser realizado por quienes tengan interés en ello. De esta manera, las afirmaciones aquí realizadas no pueden ser interpretadas como juicios de valor sobre circunstancias concretas relacionadas con los hechos que motivan la consulta. Por lo anterior, previo concepto de sus asesores, la solución de situaciones particulares corresponde a los interesados de adoptar la decisión y, en caso de conflicto, a las autoridades judiciales, fiscales y disciplinarias.  </w:t>
            </w:r>
          </w:p>
          <w:p w14:paraId="13C8CED2" w14:textId="77777777" w:rsidR="00FA1FD6" w:rsidRPr="00491B99" w:rsidRDefault="00FA1FD6" w:rsidP="00205A8F">
            <w:pPr>
              <w:spacing w:before="120" w:line="276" w:lineRule="auto"/>
              <w:ind w:firstLine="709"/>
              <w:jc w:val="both"/>
              <w:rPr>
                <w:rFonts w:ascii="Verdana" w:eastAsia="Calibri" w:hAnsi="Verdana" w:cs="Arial"/>
              </w:rPr>
            </w:pPr>
            <w:r w:rsidRPr="0030751E">
              <w:rPr>
                <w:rFonts w:ascii="Verdana" w:eastAsia="Calibri" w:hAnsi="Verdana" w:cs="Arial"/>
              </w:rPr>
              <w:t xml:space="preserve">Dentro de este marco, la entidad contratante definirá en cada caso concreto lo relacionado con el tema objeto de consulta. Al tratarse de un análisis que debe realizarse a un asunto particular y concreto, esta Agencia no puede definir un criterio universal y absoluto por vía consultiva, sino que brinda elementos de carácter general para que los partícipes del Sistema de Compras y Contratación Pública adopten la decisión que corresponda, lo cual es acorde con el principio de juridicidad. Así, cada Entidad definirá la forma de adelantar su gestión contractual, sin que sea atribución de la Agencia Nacional de Contratación Pública - Colombia Compra Eficiente validar sus actuaciones.  </w:t>
            </w:r>
          </w:p>
        </w:tc>
      </w:tr>
    </w:tbl>
    <w:p w14:paraId="06657634" w14:textId="77777777" w:rsidR="00FA1FD6" w:rsidRPr="00DC4CF3" w:rsidRDefault="00FA1FD6" w:rsidP="00FA1FD6">
      <w:pPr>
        <w:tabs>
          <w:tab w:val="left" w:pos="142"/>
          <w:tab w:val="left" w:pos="284"/>
        </w:tabs>
        <w:spacing w:after="0" w:line="276" w:lineRule="auto"/>
        <w:jc w:val="both"/>
        <w:rPr>
          <w:rFonts w:ascii="Verdana" w:eastAsia="Century Gothic" w:hAnsi="Verdana" w:cs="Century Gothic"/>
          <w:b/>
          <w:bCs/>
          <w:color w:val="EE0000"/>
          <w:lang w:val="es-ES"/>
        </w:rPr>
      </w:pPr>
    </w:p>
    <w:p w14:paraId="7D74622B" w14:textId="77777777" w:rsidR="00FA1FD6" w:rsidRPr="00F93BFC" w:rsidRDefault="00FA1FD6" w:rsidP="00FA1FD6">
      <w:pPr>
        <w:tabs>
          <w:tab w:val="left" w:pos="142"/>
          <w:tab w:val="left" w:pos="284"/>
        </w:tabs>
        <w:spacing w:after="0" w:line="276" w:lineRule="auto"/>
        <w:jc w:val="both"/>
        <w:rPr>
          <w:rFonts w:ascii="Verdana" w:eastAsia="Century Gothic" w:hAnsi="Verdana" w:cs="Century Gothic"/>
          <w:b/>
          <w:lang w:val="es-ES"/>
        </w:rPr>
      </w:pPr>
      <w:r w:rsidRPr="00F93BFC">
        <w:rPr>
          <w:rFonts w:ascii="Verdana" w:eastAsia="Century Gothic" w:hAnsi="Verdana" w:cs="Century Gothic"/>
          <w:b/>
          <w:lang w:val="es-ES"/>
        </w:rPr>
        <w:t>3. Razones de la respuesta:</w:t>
      </w:r>
    </w:p>
    <w:p w14:paraId="74E719CB" w14:textId="77777777" w:rsidR="00FA1FD6" w:rsidRPr="00F93BFC" w:rsidRDefault="00FA1FD6" w:rsidP="00FA1FD6">
      <w:pPr>
        <w:tabs>
          <w:tab w:val="left" w:pos="142"/>
          <w:tab w:val="left" w:pos="284"/>
        </w:tabs>
        <w:spacing w:after="0" w:line="276" w:lineRule="auto"/>
        <w:jc w:val="both"/>
        <w:rPr>
          <w:rFonts w:ascii="Verdana" w:eastAsia="Century Gothic" w:hAnsi="Verdana" w:cs="Century Gothic"/>
          <w:b/>
          <w:lang w:val="es-ES"/>
        </w:rPr>
      </w:pPr>
    </w:p>
    <w:p w14:paraId="60D5873E" w14:textId="77777777" w:rsidR="00FA1FD6" w:rsidRPr="00F93BFC" w:rsidRDefault="00FA1FD6" w:rsidP="00FA1FD6">
      <w:pPr>
        <w:spacing w:after="0" w:line="276" w:lineRule="auto"/>
        <w:jc w:val="both"/>
        <w:rPr>
          <w:rFonts w:ascii="Verdana" w:eastAsia="Calibri" w:hAnsi="Verdana" w:cs="Arial"/>
          <w:lang w:val="es-ES"/>
        </w:rPr>
      </w:pPr>
      <w:r w:rsidRPr="00F93BFC">
        <w:rPr>
          <w:rFonts w:ascii="Verdana" w:eastAsia="Calibri" w:hAnsi="Verdana" w:cs="Arial"/>
          <w:lang w:val="es-ES"/>
        </w:rPr>
        <w:t>Lo anterior se sustenta en las siguientes consideraciones:</w:t>
      </w:r>
      <w:bookmarkStart w:id="1" w:name="_Hlk102983874"/>
      <w:bookmarkStart w:id="2" w:name="_Hlk102388095"/>
    </w:p>
    <w:p w14:paraId="7AB23128" w14:textId="77777777" w:rsidR="00FA1FD6" w:rsidRPr="00DC4CF3" w:rsidRDefault="00FA1FD6" w:rsidP="00FA1FD6">
      <w:pPr>
        <w:spacing w:after="0" w:line="276" w:lineRule="auto"/>
        <w:jc w:val="both"/>
        <w:rPr>
          <w:rFonts w:ascii="Verdana" w:eastAsia="Calibri" w:hAnsi="Verdana" w:cs="Arial"/>
          <w:color w:val="EE0000"/>
          <w:lang w:val="es-ES"/>
        </w:rPr>
      </w:pPr>
    </w:p>
    <w:bookmarkEnd w:id="1"/>
    <w:bookmarkEnd w:id="2"/>
    <w:p w14:paraId="2114D15B" w14:textId="77777777" w:rsidR="00FA1FD6" w:rsidRDefault="00FA1FD6" w:rsidP="00FA1FD6">
      <w:pPr>
        <w:spacing w:after="0" w:line="276" w:lineRule="auto"/>
        <w:jc w:val="both"/>
        <w:rPr>
          <w:rFonts w:ascii="Verdana" w:eastAsia="Calibri" w:hAnsi="Verdana" w:cs="Arial"/>
        </w:rPr>
      </w:pPr>
      <w:r w:rsidRPr="00666643">
        <w:rPr>
          <w:rFonts w:ascii="Verdana" w:hAnsi="Verdana" w:cs="Arial"/>
          <w:bCs/>
          <w:lang w:val="es-ES_tradnl" w:eastAsia="es-ES" w:bidi="es-ES"/>
        </w:rPr>
        <w:t>i</w:t>
      </w:r>
      <w:r>
        <w:rPr>
          <w:rFonts w:ascii="Verdana" w:hAnsi="Verdana" w:cs="Arial"/>
          <w:bCs/>
          <w:lang w:val="es-ES_tradnl" w:eastAsia="es-ES" w:bidi="es-ES"/>
        </w:rPr>
        <w:t>.</w:t>
      </w:r>
      <w:r w:rsidRPr="00121E43">
        <w:rPr>
          <w:rFonts w:ascii="Verdana" w:eastAsia="Calibri" w:hAnsi="Verdana" w:cs="Arial"/>
        </w:rPr>
        <w:t xml:space="preserve"> </w:t>
      </w:r>
      <w:r w:rsidRPr="006A4D62">
        <w:rPr>
          <w:rFonts w:ascii="Verdana" w:eastAsia="Calibri" w:hAnsi="Verdana" w:cs="Arial"/>
        </w:rPr>
        <w:t>El contrato de prestación de servicios es uno de los tipos contractuales consagrados en el Estatuto General de Contratación de la Administración Pública, que pueden celebrar las entidades estatales. Se trata de un contrato típico, ya que se encuentra definido en la ley. Concretamente, el artículo 32, numeral 3º, de la Ley 80 de 1993, establece:</w:t>
      </w:r>
    </w:p>
    <w:p w14:paraId="36B0536C" w14:textId="77777777" w:rsidR="00FA1FD6" w:rsidRPr="006A4D62" w:rsidRDefault="00FA1FD6" w:rsidP="00FA1FD6">
      <w:pPr>
        <w:spacing w:after="0" w:line="276" w:lineRule="auto"/>
        <w:jc w:val="both"/>
        <w:rPr>
          <w:rFonts w:ascii="Verdana" w:eastAsia="Calibri" w:hAnsi="Verdana" w:cs="Arial"/>
        </w:rPr>
      </w:pPr>
    </w:p>
    <w:p w14:paraId="257D1507" w14:textId="77777777" w:rsidR="00FA1FD6" w:rsidRPr="006A4D62" w:rsidRDefault="00FA1FD6" w:rsidP="00FA1FD6">
      <w:pPr>
        <w:spacing w:after="0" w:line="240" w:lineRule="auto"/>
        <w:ind w:left="709" w:right="709"/>
        <w:jc w:val="both"/>
        <w:rPr>
          <w:rFonts w:ascii="Verdana" w:eastAsia="Calibri" w:hAnsi="Verdana" w:cs="Arial"/>
          <w:sz w:val="20"/>
          <w:szCs w:val="20"/>
        </w:rPr>
      </w:pPr>
      <w:r w:rsidRPr="006A4D62">
        <w:rPr>
          <w:rFonts w:ascii="Verdana" w:eastAsia="Calibri" w:hAnsi="Verdana" w:cs="Arial"/>
          <w:sz w:val="20"/>
          <w:szCs w:val="20"/>
        </w:rPr>
        <w:t xml:space="preserve">“Son contratos de prestación de servicios los que celebren las entidades estatales para desarrollar actividades relacionadas con la administración o funcionamiento de la entidad. Estos contratos sólo podrán celebrarse con </w:t>
      </w:r>
      <w:r w:rsidRPr="006A4D62">
        <w:rPr>
          <w:rFonts w:ascii="Verdana" w:eastAsia="Calibri" w:hAnsi="Verdana" w:cs="Arial"/>
          <w:sz w:val="20"/>
          <w:szCs w:val="20"/>
        </w:rPr>
        <w:lastRenderedPageBreak/>
        <w:t>personas naturales cuando dichas actividades no puedan realizarse con personal de planta o requieran conocimientos especializados.</w:t>
      </w:r>
    </w:p>
    <w:p w14:paraId="4A9C6943" w14:textId="77777777" w:rsidR="00FA1FD6" w:rsidRPr="006A4D62" w:rsidRDefault="00FA1FD6" w:rsidP="00FA1FD6">
      <w:pPr>
        <w:spacing w:after="0" w:line="240" w:lineRule="auto"/>
        <w:ind w:left="709" w:right="709"/>
        <w:jc w:val="both"/>
        <w:rPr>
          <w:rFonts w:ascii="Verdana" w:eastAsia="Calibri" w:hAnsi="Verdana" w:cs="Arial"/>
          <w:sz w:val="20"/>
          <w:szCs w:val="20"/>
        </w:rPr>
      </w:pPr>
    </w:p>
    <w:p w14:paraId="6D7F0043" w14:textId="77777777" w:rsidR="00FA1FD6" w:rsidRPr="006A4D62" w:rsidRDefault="00FA1FD6" w:rsidP="00FA1FD6">
      <w:pPr>
        <w:spacing w:after="0" w:line="240" w:lineRule="auto"/>
        <w:ind w:left="709" w:right="709"/>
        <w:jc w:val="both"/>
        <w:rPr>
          <w:rFonts w:ascii="Verdana" w:eastAsia="Calibri" w:hAnsi="Verdana" w:cs="Arial"/>
          <w:sz w:val="20"/>
          <w:szCs w:val="20"/>
        </w:rPr>
      </w:pPr>
      <w:r w:rsidRPr="006A4D62">
        <w:rPr>
          <w:rFonts w:ascii="Verdana" w:eastAsia="Calibri" w:hAnsi="Verdana" w:cs="Arial"/>
          <w:sz w:val="20"/>
          <w:szCs w:val="20"/>
        </w:rPr>
        <w:t>En ningún caso estos contratos generan relación laboral ni prestaciones sociales y se celebrarán por el término estrictamente indispensable.”</w:t>
      </w:r>
    </w:p>
    <w:p w14:paraId="3C39EAC6" w14:textId="77777777" w:rsidR="00FA1FD6" w:rsidRPr="007E6742" w:rsidRDefault="00FA1FD6" w:rsidP="00FA1FD6">
      <w:pPr>
        <w:spacing w:after="0" w:line="276" w:lineRule="auto"/>
        <w:ind w:left="709" w:right="709"/>
        <w:jc w:val="both"/>
        <w:rPr>
          <w:rFonts w:ascii="Verdana" w:eastAsia="Calibri" w:hAnsi="Verdana" w:cs="Arial"/>
          <w:color w:val="ED7D31" w:themeColor="accent2"/>
          <w:sz w:val="20"/>
          <w:szCs w:val="20"/>
        </w:rPr>
      </w:pPr>
    </w:p>
    <w:p w14:paraId="14F07F14" w14:textId="77777777" w:rsidR="00FA1FD6" w:rsidRPr="00D2247B" w:rsidRDefault="00FA1FD6" w:rsidP="00FA1FD6">
      <w:pPr>
        <w:spacing w:after="0" w:line="276" w:lineRule="auto"/>
        <w:ind w:firstLine="709"/>
        <w:jc w:val="both"/>
        <w:rPr>
          <w:rFonts w:ascii="Verdana" w:eastAsia="Calibri" w:hAnsi="Verdana" w:cs="Arial"/>
        </w:rPr>
      </w:pPr>
      <w:r>
        <w:rPr>
          <w:rFonts w:ascii="Verdana" w:eastAsia="Calibri" w:hAnsi="Verdana" w:cs="Arial"/>
        </w:rPr>
        <w:t>L</w:t>
      </w:r>
      <w:r w:rsidRPr="00D2247B">
        <w:rPr>
          <w:rFonts w:ascii="Verdana" w:eastAsia="Calibri" w:hAnsi="Verdana" w:cs="Arial"/>
        </w:rPr>
        <w:t>a celebración de dicho contrato debe efectuarse mediante la modalidad de la contratación directa. Así lo prevé el artículo 2, numeral 4º, literal h) de la Ley 1150 de 2007, que dispone:</w:t>
      </w:r>
    </w:p>
    <w:p w14:paraId="6947F13D" w14:textId="77777777" w:rsidR="00FA1FD6" w:rsidRPr="00D2247B" w:rsidRDefault="00FA1FD6" w:rsidP="00FA1FD6">
      <w:pPr>
        <w:spacing w:after="0" w:line="276" w:lineRule="auto"/>
        <w:ind w:firstLine="709"/>
        <w:jc w:val="both"/>
        <w:rPr>
          <w:rFonts w:ascii="Verdana" w:eastAsia="Calibri" w:hAnsi="Verdana" w:cs="Arial"/>
        </w:rPr>
      </w:pPr>
    </w:p>
    <w:p w14:paraId="07FE9C3D" w14:textId="77777777" w:rsidR="00FA1FD6" w:rsidRPr="00D2247B" w:rsidRDefault="00FA1FD6" w:rsidP="00FA1FD6">
      <w:pPr>
        <w:spacing w:after="0" w:line="240" w:lineRule="auto"/>
        <w:ind w:left="709" w:right="709"/>
        <w:jc w:val="both"/>
        <w:rPr>
          <w:rFonts w:ascii="Verdana" w:eastAsia="Calibri" w:hAnsi="Verdana" w:cs="Arial"/>
          <w:sz w:val="20"/>
          <w:szCs w:val="20"/>
        </w:rPr>
      </w:pPr>
      <w:r w:rsidRPr="00D2247B">
        <w:rPr>
          <w:rFonts w:ascii="Verdana" w:eastAsia="Calibri" w:hAnsi="Verdana" w:cs="Arial"/>
          <w:sz w:val="20"/>
          <w:szCs w:val="20"/>
        </w:rPr>
        <w:t>“[…]</w:t>
      </w:r>
      <w:r>
        <w:rPr>
          <w:rFonts w:ascii="Verdana" w:eastAsia="Calibri" w:hAnsi="Verdana" w:cs="Arial"/>
          <w:sz w:val="20"/>
          <w:szCs w:val="20"/>
        </w:rPr>
        <w:t xml:space="preserve"> </w:t>
      </w:r>
      <w:r w:rsidRPr="00D2247B">
        <w:rPr>
          <w:rFonts w:ascii="Verdana" w:eastAsia="Calibri" w:hAnsi="Verdana" w:cs="Arial"/>
          <w:sz w:val="20"/>
          <w:szCs w:val="20"/>
        </w:rPr>
        <w:t>Contratación directa. La modalidad de selección de contratación directa solamente procederá en los siguientes casos:</w:t>
      </w:r>
    </w:p>
    <w:p w14:paraId="4DBC72ED" w14:textId="77777777" w:rsidR="00FA1FD6" w:rsidRDefault="00FA1FD6" w:rsidP="00FA1FD6">
      <w:pPr>
        <w:spacing w:after="0" w:line="240" w:lineRule="auto"/>
        <w:ind w:left="709" w:right="709"/>
        <w:jc w:val="both"/>
        <w:rPr>
          <w:rFonts w:ascii="Verdana" w:eastAsia="Calibri" w:hAnsi="Verdana" w:cs="Arial"/>
          <w:sz w:val="20"/>
          <w:szCs w:val="20"/>
        </w:rPr>
      </w:pPr>
      <w:r w:rsidRPr="00D2247B">
        <w:rPr>
          <w:rFonts w:ascii="Verdana" w:eastAsia="Calibri" w:hAnsi="Verdana" w:cs="Arial"/>
          <w:sz w:val="20"/>
          <w:szCs w:val="20"/>
        </w:rPr>
        <w:t>[…]</w:t>
      </w:r>
    </w:p>
    <w:p w14:paraId="5191D2BA" w14:textId="77777777" w:rsidR="00FA1FD6" w:rsidRPr="00D2247B" w:rsidRDefault="00FA1FD6" w:rsidP="00FA1FD6">
      <w:pPr>
        <w:spacing w:after="0" w:line="240" w:lineRule="auto"/>
        <w:ind w:left="709" w:right="709"/>
        <w:jc w:val="both"/>
        <w:rPr>
          <w:rFonts w:ascii="Verdana" w:eastAsia="Calibri" w:hAnsi="Verdana" w:cs="Arial"/>
          <w:sz w:val="20"/>
          <w:szCs w:val="20"/>
        </w:rPr>
      </w:pPr>
    </w:p>
    <w:p w14:paraId="624E013C" w14:textId="77777777" w:rsidR="00FA1FD6" w:rsidRPr="00D2247B" w:rsidRDefault="00FA1FD6" w:rsidP="00FA1FD6">
      <w:pPr>
        <w:spacing w:after="0" w:line="240" w:lineRule="auto"/>
        <w:ind w:left="709" w:right="709"/>
        <w:jc w:val="both"/>
        <w:rPr>
          <w:rFonts w:ascii="Verdana" w:eastAsia="Calibri" w:hAnsi="Verdana" w:cs="Arial"/>
          <w:sz w:val="20"/>
          <w:szCs w:val="20"/>
        </w:rPr>
      </w:pPr>
      <w:r w:rsidRPr="00D2247B">
        <w:rPr>
          <w:rFonts w:ascii="Verdana" w:eastAsia="Calibri" w:hAnsi="Verdana" w:cs="Arial"/>
          <w:sz w:val="20"/>
          <w:szCs w:val="20"/>
        </w:rPr>
        <w:t>h) Para la prestación de servicios profesionales y de apoyo a la gestión, o para la ejecución de trabajos artísticos que sólo puedan encomendarse a determinadas personas naturales;”</w:t>
      </w:r>
    </w:p>
    <w:p w14:paraId="65924891" w14:textId="77777777" w:rsidR="00FA1FD6" w:rsidRPr="004C0B72" w:rsidRDefault="00FA1FD6" w:rsidP="00FA1FD6">
      <w:pPr>
        <w:spacing w:after="0" w:line="276" w:lineRule="auto"/>
        <w:ind w:right="709"/>
        <w:jc w:val="both"/>
        <w:rPr>
          <w:rFonts w:ascii="Verdana" w:eastAsia="Calibri" w:hAnsi="Verdana" w:cs="Arial"/>
          <w:color w:val="ED7D31" w:themeColor="accent2"/>
        </w:rPr>
      </w:pPr>
    </w:p>
    <w:p w14:paraId="37F6C07D" w14:textId="77777777" w:rsidR="00FA1FD6" w:rsidRPr="00D2247B" w:rsidRDefault="00FA1FD6" w:rsidP="00FA1FD6">
      <w:pPr>
        <w:spacing w:after="120" w:line="276" w:lineRule="auto"/>
        <w:ind w:firstLine="709"/>
        <w:jc w:val="both"/>
        <w:rPr>
          <w:rFonts w:ascii="Verdana" w:eastAsia="Calibri" w:hAnsi="Verdana" w:cs="Arial"/>
        </w:rPr>
      </w:pPr>
      <w:r w:rsidRPr="00D2247B">
        <w:rPr>
          <w:rFonts w:ascii="Verdana" w:eastAsia="Calibri" w:hAnsi="Verdana" w:cs="Arial"/>
        </w:rPr>
        <w:t>A partir de estos enunciados normativos, así como de otros, de carácter legal y reglamentario, que complementan su regulación, y de los pronunciamientos judiciales más destacados sobre el tema, es posible señalar las siguientes características del contrato de prestación de servicios:</w:t>
      </w:r>
    </w:p>
    <w:p w14:paraId="10433EC6" w14:textId="77777777" w:rsidR="00FA1FD6" w:rsidRPr="00D2247B" w:rsidRDefault="00FA1FD6" w:rsidP="00FA1FD6">
      <w:pPr>
        <w:spacing w:after="120" w:line="276" w:lineRule="auto"/>
        <w:ind w:firstLine="709"/>
        <w:jc w:val="both"/>
        <w:rPr>
          <w:rFonts w:ascii="Verdana" w:eastAsia="Calibri" w:hAnsi="Verdana" w:cs="Arial"/>
        </w:rPr>
      </w:pPr>
      <w:r w:rsidRPr="00D2247B">
        <w:rPr>
          <w:rFonts w:ascii="Verdana" w:eastAsia="Calibri" w:hAnsi="Verdana" w:cs="Arial"/>
        </w:rPr>
        <w:t>a) Solo puede celebrarse para realizar “actividades relacionadas con la administración o funcionamiento de la entidad”, es decir, que hagan parte de su giro ordinario o quehacer cotidiano</w:t>
      </w:r>
      <w:r w:rsidRPr="008677DE">
        <w:rPr>
          <w:rStyle w:val="Refdenotaalpie"/>
          <w:rFonts w:ascii="Verdana" w:hAnsi="Verdana" w:cs="Arial"/>
          <w:noProof/>
          <w:lang w:val="es-ES_tradnl"/>
        </w:rPr>
        <w:footnoteReference w:id="1"/>
      </w:r>
      <w:r w:rsidRPr="00D2247B">
        <w:rPr>
          <w:rFonts w:ascii="Verdana" w:eastAsia="Calibri" w:hAnsi="Verdana" w:cs="Arial"/>
        </w:rPr>
        <w:t>.</w:t>
      </w:r>
    </w:p>
    <w:p w14:paraId="7ECBF0B7" w14:textId="77777777" w:rsidR="00FA1FD6" w:rsidRPr="00BE7986" w:rsidRDefault="00FA1FD6" w:rsidP="00FA1FD6">
      <w:pPr>
        <w:spacing w:after="120" w:line="276" w:lineRule="auto"/>
        <w:ind w:firstLine="709"/>
        <w:jc w:val="both"/>
        <w:rPr>
          <w:rFonts w:ascii="Verdana" w:eastAsia="Calibri" w:hAnsi="Verdana" w:cs="Arial"/>
        </w:rPr>
      </w:pPr>
      <w:r w:rsidRPr="00D2247B">
        <w:rPr>
          <w:rFonts w:ascii="Verdana" w:eastAsia="Calibri" w:hAnsi="Verdana" w:cs="Arial"/>
        </w:rPr>
        <w:t>b) Admite que se suscriba tanto con personas naturales, como con personas jurídicas. Sin embargo, cuando pretenda celebrarse con una persona natural, la entidad estatal debe justificar</w:t>
      </w:r>
      <w:r>
        <w:rPr>
          <w:rFonts w:ascii="Verdana" w:eastAsia="Calibri" w:hAnsi="Verdana" w:cs="Arial"/>
        </w:rPr>
        <w:t>,</w:t>
      </w:r>
      <w:r w:rsidRPr="00D2247B">
        <w:rPr>
          <w:rFonts w:ascii="Verdana" w:eastAsia="Calibri" w:hAnsi="Verdana" w:cs="Arial"/>
        </w:rPr>
        <w:t xml:space="preserve"> en los estudios previos</w:t>
      </w:r>
      <w:r>
        <w:rPr>
          <w:rFonts w:ascii="Verdana" w:eastAsia="Calibri" w:hAnsi="Verdana" w:cs="Arial"/>
        </w:rPr>
        <w:t>,</w:t>
      </w:r>
      <w:r w:rsidRPr="00D2247B">
        <w:rPr>
          <w:rFonts w:ascii="Verdana" w:eastAsia="Calibri" w:hAnsi="Verdana" w:cs="Arial"/>
        </w:rPr>
        <w:t xml:space="preserve"> que las actividades que buscan encomendarse a aquella “no puedan realizarse con personal de planta o requieran conocimientos especializados”. Esto puede suceder en varios eventos, por ejemplo, que, efectivamente, no exista el personal de planta para encargarse de dichas labores; que exista, pero que está sobrecargado de trabajo, requiriéndose, por tanto, un apoyo externo; o que haya personal de planta, pero no tenga la experticia o conocimiento especializado en la materia, y que, por esta razón, sea necesario contratar los </w:t>
      </w:r>
      <w:r w:rsidRPr="00D2247B">
        <w:rPr>
          <w:rFonts w:ascii="Verdana" w:eastAsia="Calibri" w:hAnsi="Verdana" w:cs="Arial"/>
        </w:rPr>
        <w:lastRenderedPageBreak/>
        <w:t xml:space="preserve">servicios de una persona natural que posea conocimiento y experiencia en el </w:t>
      </w:r>
      <w:r w:rsidRPr="00BE7986">
        <w:rPr>
          <w:rFonts w:ascii="Verdana" w:eastAsia="Calibri" w:hAnsi="Verdana" w:cs="Arial"/>
        </w:rPr>
        <w:t>tema.</w:t>
      </w:r>
    </w:p>
    <w:p w14:paraId="70DEA4EC" w14:textId="77777777" w:rsidR="00FA1FD6" w:rsidRDefault="00FA1FD6" w:rsidP="00FA1FD6">
      <w:pPr>
        <w:spacing w:after="120" w:line="276" w:lineRule="auto"/>
        <w:ind w:firstLine="709"/>
        <w:jc w:val="both"/>
        <w:rPr>
          <w:rFonts w:ascii="Verdana" w:eastAsia="Calibri" w:hAnsi="Verdana" w:cs="Arial"/>
        </w:rPr>
      </w:pPr>
      <w:r w:rsidRPr="00BE7986">
        <w:rPr>
          <w:rFonts w:ascii="Verdana" w:eastAsia="Calibri" w:hAnsi="Verdana" w:cs="Arial"/>
        </w:rPr>
        <w:t>c) Si bien se celebran para obtener la prestación personal de un servicio, se diferencian del contrato de trabajo</w:t>
      </w:r>
      <w:r w:rsidRPr="00BE7986">
        <w:rPr>
          <w:rFonts w:ascii="Verdana" w:eastAsia="Calibri" w:hAnsi="Verdana" w:cs="Arial"/>
          <w:vertAlign w:val="superscript"/>
        </w:rPr>
        <w:footnoteReference w:id="2"/>
      </w:r>
      <w:r w:rsidRPr="00BE7986">
        <w:rPr>
          <w:rFonts w:ascii="Verdana" w:eastAsia="Calibri" w:hAnsi="Verdana" w:cs="Arial"/>
        </w:rPr>
        <w:t xml:space="preserve"> en que quien celebra el contrato de prestación de servicios profesionales debe mantener autonomía e independencia en la ejecución de la labor, lo que significa que no puede existir la </w:t>
      </w:r>
      <w:r w:rsidRPr="00BE7986">
        <w:rPr>
          <w:rFonts w:ascii="Verdana" w:eastAsia="Calibri" w:hAnsi="Verdana" w:cs="Arial"/>
          <w:i/>
        </w:rPr>
        <w:t>subordinación y dependencia</w:t>
      </w:r>
      <w:r w:rsidRPr="00BE7986">
        <w:rPr>
          <w:rFonts w:ascii="Verdana" w:eastAsia="Calibri" w:hAnsi="Verdana" w:cs="Arial"/>
          <w:iCs/>
        </w:rPr>
        <w:t>,</w:t>
      </w:r>
      <w:r w:rsidRPr="00BE7986">
        <w:rPr>
          <w:rFonts w:ascii="Verdana" w:eastAsia="Calibri" w:hAnsi="Verdana" w:cs="Arial"/>
        </w:rPr>
        <w:t xml:space="preserve"> que es uno de los elementos constitutivos del vínculo laboral. Por ello el artículo 32, numeral 3º, de la Ley 80 de 1993 establece que “En ningún caso estos contratos generan relación laboral ni prestaciones sociales”</w:t>
      </w:r>
      <w:r>
        <w:rPr>
          <w:rFonts w:ascii="Verdana" w:eastAsia="Calibri" w:hAnsi="Verdana" w:cs="Arial"/>
        </w:rPr>
        <w:t xml:space="preserve">. </w:t>
      </w:r>
    </w:p>
    <w:p w14:paraId="2869E919" w14:textId="77777777" w:rsidR="00FA1FD6" w:rsidRPr="00BE7986" w:rsidRDefault="00FA1FD6" w:rsidP="00FA1FD6">
      <w:pPr>
        <w:spacing w:after="120" w:line="276" w:lineRule="auto"/>
        <w:ind w:firstLine="709"/>
        <w:jc w:val="both"/>
        <w:rPr>
          <w:rFonts w:ascii="Verdana" w:eastAsia="Calibri" w:hAnsi="Verdana" w:cs="Arial"/>
        </w:rPr>
      </w:pPr>
      <w:r>
        <w:rPr>
          <w:rFonts w:ascii="Verdana" w:eastAsia="Calibri" w:hAnsi="Verdana" w:cs="Arial"/>
        </w:rPr>
        <w:t xml:space="preserve">Este </w:t>
      </w:r>
      <w:r w:rsidRPr="00BE7986">
        <w:rPr>
          <w:rFonts w:ascii="Verdana" w:eastAsia="Calibri" w:hAnsi="Verdana" w:cs="Arial"/>
        </w:rPr>
        <w:t xml:space="preserve">inciso que más que un enunciado que aluda al “ser” se refiere al “deber ser”, pues debe interpretarse en el sentido de que los contratos de prestación de servicios profesionales </w:t>
      </w:r>
      <w:r w:rsidRPr="00BE7986">
        <w:rPr>
          <w:rFonts w:ascii="Verdana" w:eastAsia="Calibri" w:hAnsi="Verdana" w:cs="Arial"/>
          <w:i/>
        </w:rPr>
        <w:t>no pueden</w:t>
      </w:r>
      <w:r w:rsidRPr="00BE7986">
        <w:rPr>
          <w:rFonts w:ascii="Verdana" w:eastAsia="Calibri" w:hAnsi="Verdana" w:cs="Arial"/>
        </w:rPr>
        <w:t xml:space="preserve"> generar relación laboral, ni dar lugar a que las entidades estatales paguen por su cuenta los aportes al Sistema de Seguridad Social Integral del contratista. Ello por cuanto, según se indicó, en dichos contratos no puede existir subordinación y dependencia; entonces, la relación laboral está proscrita y es el contratista quien, como “trabajador independiente” –como lo califican las normas en materia de seguridad social– debe cotizar por su cuenta y riesgo al Sistema de Seguridad Social Integral</w:t>
      </w:r>
      <w:r w:rsidRPr="00BE7986">
        <w:rPr>
          <w:rFonts w:ascii="Verdana" w:eastAsia="Calibri" w:hAnsi="Verdana" w:cs="Arial"/>
          <w:vertAlign w:val="superscript"/>
        </w:rPr>
        <w:footnoteReference w:id="3"/>
      </w:r>
      <w:r w:rsidRPr="00BE7986">
        <w:rPr>
          <w:rFonts w:ascii="Verdana" w:eastAsia="Calibri" w:hAnsi="Verdana" w:cs="Arial"/>
        </w:rPr>
        <w:t xml:space="preserve">. Pero es posible que, a pesar de este mandato deontológico, en la práctica surja la relación laboral, pues, como se sabe, el contrato de trabajo es un </w:t>
      </w:r>
      <w:r w:rsidRPr="00BE7986">
        <w:rPr>
          <w:rFonts w:ascii="Verdana" w:eastAsia="Calibri" w:hAnsi="Verdana" w:cs="Arial"/>
          <w:i/>
        </w:rPr>
        <w:t>contrato realidad</w:t>
      </w:r>
      <w:r w:rsidRPr="00BE7986">
        <w:rPr>
          <w:rFonts w:ascii="Verdana" w:eastAsia="Calibri" w:hAnsi="Verdana" w:cs="Arial"/>
        </w:rPr>
        <w:t xml:space="preserve">, ya que para su perfeccionamiento rige el principio de la prevalencia de la realidad sobre las formalidades. </w:t>
      </w:r>
    </w:p>
    <w:p w14:paraId="02202533" w14:textId="77777777" w:rsidR="00FA1FD6" w:rsidRDefault="00FA1FD6" w:rsidP="00FA1FD6">
      <w:pPr>
        <w:tabs>
          <w:tab w:val="left" w:pos="3276"/>
        </w:tabs>
        <w:spacing w:after="120" w:line="276" w:lineRule="auto"/>
        <w:ind w:firstLine="709"/>
        <w:jc w:val="both"/>
        <w:rPr>
          <w:rFonts w:ascii="Verdana" w:eastAsia="Calibri" w:hAnsi="Verdana" w:cs="Arial"/>
        </w:rPr>
      </w:pPr>
      <w:r w:rsidRPr="006741FA">
        <w:rPr>
          <w:rFonts w:ascii="Verdana" w:eastAsia="Calibri" w:hAnsi="Verdana" w:cs="Arial"/>
        </w:rPr>
        <w:t xml:space="preserve">En esa perspectiva, la Corte Constitucional declaró la constitucionalidad condicionada del segundo inciso del numeral 3º del artículo 32, indicando que </w:t>
      </w:r>
      <w:r w:rsidRPr="006741FA">
        <w:rPr>
          <w:rFonts w:ascii="Verdana" w:eastAsia="Calibri" w:hAnsi="Verdana" w:cs="Arial"/>
        </w:rPr>
        <w:lastRenderedPageBreak/>
        <w:t>“las expresiones acusadas del numeral 3o. del artículo 32 de la Ley 80 de 1993, no vulneran los preceptos constitucionales, razón por la cual deberán ser declaradas exequibles, salvo que se acredite por parte del contratista la existencia de una relación laboral subordinada”</w:t>
      </w:r>
      <w:r w:rsidRPr="006741FA">
        <w:rPr>
          <w:rStyle w:val="Refdenotaalpie"/>
          <w:rFonts w:ascii="Verdana" w:eastAsia="Calibri" w:hAnsi="Verdana" w:cs="Arial"/>
        </w:rPr>
        <w:footnoteReference w:id="4"/>
      </w:r>
      <w:r w:rsidRPr="006741FA">
        <w:rPr>
          <w:rFonts w:ascii="Verdana" w:eastAsia="Calibri" w:hAnsi="Verdana" w:cs="Arial"/>
        </w:rPr>
        <w:t>. En esta misma línea, la Corte Constitucional en el control de constitucionalidad a un aparte del artículo 2° del Decreto Ley 2400 de 1968 modificado por el Decreto Ley 3074 de 1968 señaló que el indebido uso del contrato de prestación de servicios, constituye una violación del derecho a la igualdad, pues tratándose de funciones de carácter permanentes, los trabajadores que se presentan en esos supuestos, podrían encontrarse en la práctica, bajo una continuada dependencia o subordinación, características que eventualmente configurarían una vinculación legal y reglamentaria y/o un contrato de trabajo, según sea la naturaleza jurídica de la entidad pública y el tipo de cargo</w:t>
      </w:r>
      <w:r w:rsidRPr="006741FA">
        <w:rPr>
          <w:rFonts w:ascii="Verdana" w:eastAsia="Calibri" w:hAnsi="Verdana" w:cs="Arial"/>
          <w:vertAlign w:val="superscript"/>
        </w:rPr>
        <w:footnoteReference w:id="5"/>
      </w:r>
      <w:r w:rsidRPr="006741FA">
        <w:rPr>
          <w:rFonts w:ascii="Verdana" w:eastAsia="Calibri" w:hAnsi="Verdana" w:cs="Arial"/>
        </w:rPr>
        <w:t>. De modo que, bajo la perspectiva indicada, se podría invocar la presunción de la existencia de una relación laboral; siendo contrario a uno de los aspectos más relevantes del contrato de prestación de servicio, la autonomía e independencia en la ejecución de este.</w:t>
      </w:r>
    </w:p>
    <w:p w14:paraId="263FC316" w14:textId="77777777" w:rsidR="00FA1FD6" w:rsidRPr="004C0B72" w:rsidRDefault="00FA1FD6" w:rsidP="00FA1FD6">
      <w:pPr>
        <w:spacing w:after="120" w:line="276" w:lineRule="auto"/>
        <w:ind w:firstLine="709"/>
        <w:jc w:val="both"/>
        <w:rPr>
          <w:rFonts w:ascii="Verdana" w:hAnsi="Verdana" w:cs="Arial"/>
          <w:noProof/>
          <w:lang w:val="es-ES_tradnl"/>
        </w:rPr>
      </w:pPr>
      <w:r w:rsidRPr="008677DE">
        <w:rPr>
          <w:rFonts w:ascii="Verdana" w:hAnsi="Verdana" w:cs="Arial"/>
          <w:noProof/>
          <w:lang w:val="es-ES_tradnl"/>
        </w:rPr>
        <w:t>Por su parte, el Consejo de Estado</w:t>
      </w:r>
      <w:r>
        <w:rPr>
          <w:rFonts w:ascii="Verdana" w:hAnsi="Verdana" w:cs="Arial"/>
          <w:noProof/>
          <w:lang w:val="es-ES_tradnl"/>
        </w:rPr>
        <w:t>,</w:t>
      </w:r>
      <w:r w:rsidRPr="008677DE">
        <w:rPr>
          <w:rFonts w:ascii="Verdana" w:hAnsi="Verdana" w:cs="Arial"/>
          <w:noProof/>
          <w:lang w:val="es-ES_tradnl"/>
        </w:rPr>
        <w:t xml:space="preserve"> en sentencia de unificación jurisprudencial del 9 de septiembre de 2021</w:t>
      </w:r>
      <w:r>
        <w:rPr>
          <w:rFonts w:ascii="Verdana" w:hAnsi="Verdana" w:cs="Arial"/>
          <w:noProof/>
          <w:lang w:val="es-ES_tradnl"/>
        </w:rPr>
        <w:t>,</w:t>
      </w:r>
      <w:r w:rsidRPr="008677DE">
        <w:rPr>
          <w:rFonts w:ascii="Verdana" w:hAnsi="Verdana" w:cs="Arial"/>
          <w:noProof/>
          <w:lang w:val="es-ES_tradnl"/>
        </w:rPr>
        <w:t xml:space="preserve"> se pronunció respecto de los criterios para identificar la existencia de una relación laboral encubierta o subyacente por contratos de </w:t>
      </w:r>
      <w:r>
        <w:rPr>
          <w:rFonts w:ascii="Verdana" w:hAnsi="Verdana" w:cs="Arial"/>
          <w:noProof/>
          <w:lang w:val="es-ES_tradnl"/>
        </w:rPr>
        <w:t>p</w:t>
      </w:r>
      <w:r w:rsidRPr="008677DE">
        <w:rPr>
          <w:rFonts w:ascii="Verdana" w:hAnsi="Verdana" w:cs="Arial"/>
          <w:noProof/>
          <w:lang w:val="es-ES_tradnl"/>
        </w:rPr>
        <w:t>restación de servicios y definó tres reglas para el</w:t>
      </w:r>
      <w:r>
        <w:rPr>
          <w:rFonts w:ascii="Verdana" w:hAnsi="Verdana" w:cs="Arial"/>
          <w:noProof/>
          <w:lang w:val="es-ES_tradnl"/>
        </w:rPr>
        <w:t xml:space="preserve"> </w:t>
      </w:r>
      <w:r w:rsidRPr="008677DE">
        <w:rPr>
          <w:rFonts w:ascii="Verdana" w:hAnsi="Verdana" w:cs="Arial"/>
          <w:noProof/>
          <w:lang w:val="es-ES_tradnl"/>
        </w:rPr>
        <w:t>efecto</w:t>
      </w:r>
      <w:r w:rsidRPr="008677DE">
        <w:rPr>
          <w:rFonts w:ascii="Verdana" w:hAnsi="Verdana"/>
          <w:vertAlign w:val="superscript"/>
          <w:lang w:val="es-ES_tradnl"/>
        </w:rPr>
        <w:footnoteReference w:id="6"/>
      </w:r>
      <w:r w:rsidRPr="008677DE">
        <w:rPr>
          <w:rFonts w:ascii="Verdana" w:hAnsi="Verdana" w:cs="Arial"/>
          <w:noProof/>
          <w:lang w:val="es-ES_tradnl"/>
        </w:rPr>
        <w:t>, aspectos que fueron aclarados posteriormente por Auto del 11 de noviembre de 2021</w:t>
      </w:r>
      <w:r w:rsidRPr="008677DE">
        <w:rPr>
          <w:rStyle w:val="Refdenotaalpie"/>
          <w:rFonts w:ascii="Verdana" w:hAnsi="Verdana" w:cs="Arial"/>
          <w:noProof/>
          <w:lang w:val="es-ES_tradnl"/>
        </w:rPr>
        <w:footnoteReference w:id="7"/>
      </w:r>
      <w:r w:rsidRPr="008677DE">
        <w:rPr>
          <w:rFonts w:ascii="Verdana" w:hAnsi="Verdana" w:cs="Arial"/>
          <w:noProof/>
          <w:lang w:val="es-ES_tradnl"/>
        </w:rPr>
        <w:t>.</w:t>
      </w:r>
    </w:p>
    <w:p w14:paraId="772BE740" w14:textId="77777777" w:rsidR="00FA1FD6" w:rsidRPr="004C0B72" w:rsidRDefault="00FA1FD6" w:rsidP="00FA1FD6">
      <w:pPr>
        <w:spacing w:after="120" w:line="276" w:lineRule="auto"/>
        <w:ind w:firstLine="709"/>
        <w:jc w:val="both"/>
        <w:rPr>
          <w:rFonts w:ascii="Verdana" w:hAnsi="Verdana" w:cs="Arial"/>
        </w:rPr>
      </w:pPr>
      <w:r w:rsidRPr="00E4437B">
        <w:rPr>
          <w:rFonts w:ascii="Verdana" w:eastAsia="Calibri" w:hAnsi="Verdana" w:cs="Arial"/>
        </w:rPr>
        <w:lastRenderedPageBreak/>
        <w:t xml:space="preserve">d) Deben ser temporales. </w:t>
      </w:r>
      <w:r w:rsidRPr="008677DE">
        <w:rPr>
          <w:rFonts w:ascii="Verdana" w:hAnsi="Verdana" w:cs="Arial"/>
          <w:noProof/>
          <w:lang w:val="es-ES_tradnl"/>
        </w:rPr>
        <w:t xml:space="preserve">La sentencia de unificacion jurisprudencial del Consejo de Estado mencionada, frente a la duración del contrato de prestación de servicios señaló que solo puede celebrarse por un </w:t>
      </w:r>
      <w:r>
        <w:rPr>
          <w:rFonts w:ascii="Verdana" w:hAnsi="Verdana" w:cs="Arial"/>
          <w:noProof/>
          <w:lang w:val="es-ES_tradnl"/>
        </w:rPr>
        <w:t>“</w:t>
      </w:r>
      <w:r w:rsidRPr="008677DE">
        <w:rPr>
          <w:rFonts w:ascii="Verdana" w:hAnsi="Verdana" w:cs="Arial"/>
          <w:noProof/>
          <w:lang w:val="es-ES_tradnl"/>
        </w:rPr>
        <w:t>término estrictamente indispensable</w:t>
      </w:r>
      <w:r>
        <w:rPr>
          <w:rFonts w:ascii="Verdana" w:hAnsi="Verdana" w:cs="Arial"/>
          <w:noProof/>
          <w:lang w:val="es-ES_tradnl"/>
        </w:rPr>
        <w:t>”</w:t>
      </w:r>
      <w:r w:rsidRPr="008677DE">
        <w:rPr>
          <w:rFonts w:ascii="Verdana" w:hAnsi="Verdana" w:cs="Arial"/>
          <w:noProof/>
          <w:lang w:val="es-ES_tradnl"/>
        </w:rPr>
        <w:t xml:space="preserve">. En ese entendido, unificó el sentido y alcance del término estrictamente indispensable como </w:t>
      </w:r>
      <w:r>
        <w:rPr>
          <w:rFonts w:ascii="Verdana" w:hAnsi="Verdana" w:cs="Arial"/>
          <w:noProof/>
          <w:lang w:val="es-ES_tradnl"/>
        </w:rPr>
        <w:t>“</w:t>
      </w:r>
      <w:r w:rsidRPr="008677DE">
        <w:rPr>
          <w:rFonts w:ascii="Verdana" w:hAnsi="Verdana" w:cs="Arial"/>
          <w:noProof/>
          <w:lang w:val="es-ES_tradnl"/>
        </w:rPr>
        <w:t>aquel que aparece expresamente estipulado en la minuta del contrato de prestación de servicios, que de acuerdo con los razonamientos contenidos en los estudios previos, representa el lapso durante el cual se espera que el contratista cumpla a cabalidad el objeto del contrato y las obligaciones que de él se derivan, sin perjuicio de las prórrogas excepcionales que puedan acordarse para garantizar su cumplimiento</w:t>
      </w:r>
      <w:r>
        <w:rPr>
          <w:rFonts w:ascii="Verdana" w:hAnsi="Verdana" w:cs="Arial"/>
          <w:noProof/>
          <w:lang w:val="es-ES_tradnl"/>
        </w:rPr>
        <w:t>”</w:t>
      </w:r>
      <w:r w:rsidRPr="008677DE">
        <w:rPr>
          <w:rFonts w:ascii="Verdana" w:hAnsi="Verdana" w:cs="Arial"/>
          <w:noProof/>
          <w:lang w:val="es-ES_tradnl"/>
        </w:rPr>
        <w:t>.</w:t>
      </w:r>
      <w:r w:rsidRPr="008677DE">
        <w:rPr>
          <w:rFonts w:ascii="Verdana" w:hAnsi="Verdana" w:cs="Arial"/>
        </w:rPr>
        <w:t xml:space="preserve"> </w:t>
      </w:r>
    </w:p>
    <w:p w14:paraId="6A53854C" w14:textId="77777777" w:rsidR="00FA1FD6" w:rsidRPr="00E4437B" w:rsidRDefault="00FA1FD6" w:rsidP="00FA1FD6">
      <w:pPr>
        <w:spacing w:after="0" w:line="276" w:lineRule="auto"/>
        <w:ind w:firstLine="709"/>
        <w:jc w:val="both"/>
        <w:rPr>
          <w:rFonts w:ascii="Verdana" w:eastAsia="Calibri" w:hAnsi="Verdana" w:cs="Arial"/>
        </w:rPr>
      </w:pPr>
      <w:r>
        <w:rPr>
          <w:rFonts w:ascii="Verdana" w:eastAsia="Calibri" w:hAnsi="Verdana" w:cs="Arial"/>
        </w:rPr>
        <w:t>De igual manera,</w:t>
      </w:r>
      <w:r w:rsidRPr="00E4437B">
        <w:rPr>
          <w:rFonts w:ascii="Verdana" w:eastAsia="Calibri" w:hAnsi="Verdana" w:cs="Arial"/>
        </w:rPr>
        <w:t xml:space="preserve"> la Corte Constitucional</w:t>
      </w:r>
      <w:r>
        <w:rPr>
          <w:rFonts w:ascii="Verdana" w:eastAsia="Calibri" w:hAnsi="Verdana" w:cs="Arial"/>
        </w:rPr>
        <w:t>,</w:t>
      </w:r>
      <w:r w:rsidRPr="00E4437B">
        <w:rPr>
          <w:rFonts w:ascii="Verdana" w:eastAsia="Calibri" w:hAnsi="Verdana" w:cs="Arial"/>
        </w:rPr>
        <w:t xml:space="preserve"> en la </w:t>
      </w:r>
      <w:r>
        <w:rPr>
          <w:rFonts w:ascii="Verdana" w:eastAsia="Calibri" w:hAnsi="Verdana" w:cs="Arial"/>
        </w:rPr>
        <w:t xml:space="preserve">Sentencia C-154 de 1997 señaló </w:t>
      </w:r>
      <w:r w:rsidRPr="00E4437B">
        <w:rPr>
          <w:rFonts w:ascii="Verdana" w:eastAsia="Calibri" w:hAnsi="Verdana" w:cs="Arial"/>
        </w:rPr>
        <w:t>que:</w:t>
      </w:r>
    </w:p>
    <w:p w14:paraId="212DA8FA" w14:textId="77777777" w:rsidR="00FA1FD6" w:rsidRPr="00E4437B" w:rsidRDefault="00FA1FD6" w:rsidP="00FA1FD6">
      <w:pPr>
        <w:spacing w:after="0" w:line="276" w:lineRule="auto"/>
        <w:ind w:firstLine="709"/>
        <w:jc w:val="both"/>
        <w:rPr>
          <w:rFonts w:ascii="Verdana" w:eastAsia="Calibri" w:hAnsi="Verdana" w:cs="Arial"/>
        </w:rPr>
      </w:pPr>
    </w:p>
    <w:p w14:paraId="6FB835AA" w14:textId="77777777" w:rsidR="00FA1FD6" w:rsidRPr="004C0B72" w:rsidRDefault="00FA1FD6" w:rsidP="00FA1FD6">
      <w:pPr>
        <w:spacing w:after="0" w:line="240" w:lineRule="auto"/>
        <w:ind w:left="709" w:right="709"/>
        <w:jc w:val="both"/>
        <w:rPr>
          <w:rFonts w:ascii="Verdana" w:eastAsia="Calibri" w:hAnsi="Verdana" w:cs="Arial"/>
          <w:sz w:val="20"/>
          <w:szCs w:val="20"/>
        </w:rPr>
      </w:pPr>
      <w:r w:rsidRPr="0003707A">
        <w:rPr>
          <w:rFonts w:ascii="Verdana" w:eastAsia="Calibri" w:hAnsi="Verdana" w:cs="Arial"/>
          <w:sz w:val="20"/>
          <w:szCs w:val="20"/>
        </w:rPr>
        <w:t>“La vigencia del contrato es temporal y, por lo tanto, su duración debe ser por tiempo limitado y el indispensable para ejecutar el objeto contractual convenido. En el caso de que las actividades con ellos atendidas demanden una permanencia mayor e indefinida, e</w:t>
      </w:r>
      <w:r w:rsidRPr="00DD61C7">
        <w:rPr>
          <w:rFonts w:ascii="Verdana" w:eastAsia="Calibri" w:hAnsi="Verdana" w:cs="Arial"/>
          <w:sz w:val="20"/>
          <w:szCs w:val="20"/>
        </w:rPr>
        <w:t>xcediendo su carácter excepcional y temporal para convertirse en ordinario y permanente, será necesario que la respectiva entidad adopte las medidas y provisiones pertinentes a fin de que se dé cabal cumplimiento a lo previsto en el artículo 122 de la Cart</w:t>
      </w:r>
      <w:r w:rsidRPr="00255E89">
        <w:rPr>
          <w:rFonts w:ascii="Verdana" w:eastAsia="Calibri" w:hAnsi="Verdana" w:cs="Arial"/>
          <w:sz w:val="20"/>
          <w:szCs w:val="20"/>
        </w:rPr>
        <w:t>a Política, según el cual se requiere que el empleo público quede contemplado en la respectiva planta y previstos sus emolumentos en el presupuesto correspondiente</w:t>
      </w:r>
      <w:r w:rsidRPr="000940A2">
        <w:rPr>
          <w:rFonts w:ascii="Verdana" w:eastAsia="Calibri" w:hAnsi="Verdana" w:cs="Arial"/>
          <w:sz w:val="20"/>
          <w:szCs w:val="20"/>
        </w:rPr>
        <w:t>”</w:t>
      </w:r>
      <w:r w:rsidRPr="004C0B72">
        <w:rPr>
          <w:rFonts w:ascii="Verdana" w:eastAsia="Calibri" w:hAnsi="Verdana" w:cs="Arial"/>
          <w:sz w:val="20"/>
          <w:szCs w:val="20"/>
          <w:vertAlign w:val="superscript"/>
        </w:rPr>
        <w:footnoteReference w:id="8"/>
      </w:r>
      <w:r w:rsidRPr="004C0B72">
        <w:rPr>
          <w:rFonts w:ascii="Verdana" w:eastAsia="Calibri" w:hAnsi="Verdana" w:cs="Arial"/>
          <w:sz w:val="20"/>
          <w:szCs w:val="20"/>
        </w:rPr>
        <w:t>.</w:t>
      </w:r>
    </w:p>
    <w:p w14:paraId="08EFB977" w14:textId="77777777" w:rsidR="00FA1FD6" w:rsidRPr="00780417" w:rsidRDefault="00FA1FD6" w:rsidP="00FA1FD6">
      <w:pPr>
        <w:spacing w:after="0" w:line="276" w:lineRule="auto"/>
        <w:ind w:firstLine="709"/>
        <w:jc w:val="both"/>
        <w:rPr>
          <w:rFonts w:ascii="Verdana" w:eastAsia="Calibri" w:hAnsi="Verdana" w:cs="Arial"/>
        </w:rPr>
      </w:pPr>
    </w:p>
    <w:p w14:paraId="6FAAC3B3" w14:textId="77777777" w:rsidR="00FA1FD6" w:rsidRPr="009D6505" w:rsidRDefault="00FA1FD6" w:rsidP="00FA1FD6">
      <w:pPr>
        <w:tabs>
          <w:tab w:val="left" w:pos="3276"/>
        </w:tabs>
        <w:spacing w:after="120" w:line="276" w:lineRule="auto"/>
        <w:ind w:firstLine="709"/>
        <w:jc w:val="both"/>
        <w:rPr>
          <w:rFonts w:ascii="Verdana" w:eastAsia="Calibri" w:hAnsi="Verdana" w:cs="Arial"/>
          <w:lang w:val="es-ES_tradnl" w:eastAsia="es-ES_tradnl"/>
        </w:rPr>
      </w:pPr>
      <w:r w:rsidRPr="00780417">
        <w:rPr>
          <w:rFonts w:ascii="Verdana" w:eastAsia="Calibri" w:hAnsi="Verdana" w:cs="Arial"/>
          <w:lang w:eastAsia="es-ES"/>
        </w:rPr>
        <w:t>e</w:t>
      </w:r>
      <w:r w:rsidRPr="00780417">
        <w:rPr>
          <w:rFonts w:ascii="Verdana" w:eastAsia="Calibri" w:hAnsi="Verdana" w:cs="Arial"/>
          <w:lang w:val="es-ES" w:eastAsia="es-ES"/>
        </w:rPr>
        <w:t xml:space="preserve">) Los contratos de prestación de servicios constituyen un </w:t>
      </w:r>
      <w:r w:rsidRPr="00780417">
        <w:rPr>
          <w:rFonts w:ascii="Verdana" w:eastAsia="Calibri" w:hAnsi="Verdana" w:cs="Arial"/>
          <w:i/>
          <w:iCs/>
          <w:lang w:val="es-ES" w:eastAsia="es-ES"/>
        </w:rPr>
        <w:t>género</w:t>
      </w:r>
      <w:r w:rsidRPr="00780417">
        <w:rPr>
          <w:rFonts w:ascii="Verdana" w:eastAsia="Calibri" w:hAnsi="Verdana" w:cs="Arial"/>
          <w:lang w:val="es-ES" w:eastAsia="es-ES"/>
        </w:rPr>
        <w:t xml:space="preserve"> que incluye, como </w:t>
      </w:r>
      <w:r w:rsidRPr="00780417">
        <w:rPr>
          <w:rFonts w:ascii="Verdana" w:eastAsia="Calibri" w:hAnsi="Verdana" w:cs="Arial"/>
          <w:i/>
          <w:iCs/>
          <w:lang w:val="es-ES" w:eastAsia="es-ES"/>
        </w:rPr>
        <w:t>especies</w:t>
      </w:r>
      <w:r w:rsidRPr="00780417">
        <w:rPr>
          <w:rFonts w:ascii="Verdana" w:eastAsia="Calibri" w:hAnsi="Verdana" w:cs="Arial"/>
          <w:lang w:val="es-ES" w:eastAsia="es-ES"/>
        </w:rPr>
        <w:t>, los contratos de prestación de servicios profesionales, los contratos de prestación de servicios de apoyo a la gestión y los contratos de prestación de servicios artísticos que solo pueden encomendarse a determinadas personas naturales</w:t>
      </w:r>
      <w:r w:rsidRPr="00780417">
        <w:rPr>
          <w:rFonts w:ascii="Verdana" w:eastAsia="Calibri" w:hAnsi="Verdana" w:cs="Arial"/>
          <w:vertAlign w:val="superscript"/>
          <w:lang w:val="es-ES" w:eastAsia="es-ES"/>
        </w:rPr>
        <w:footnoteReference w:id="9"/>
      </w:r>
      <w:r w:rsidRPr="00780417">
        <w:rPr>
          <w:rFonts w:ascii="Verdana" w:eastAsia="Calibri" w:hAnsi="Verdana" w:cs="Arial"/>
          <w:lang w:val="es-ES" w:eastAsia="es-ES"/>
        </w:rPr>
        <w:t xml:space="preserve">. La diferencia entre el contrato de prestación de servicios </w:t>
      </w:r>
      <w:r w:rsidRPr="00780417">
        <w:rPr>
          <w:rFonts w:ascii="Verdana" w:eastAsia="Calibri" w:hAnsi="Verdana" w:cs="Arial"/>
          <w:i/>
          <w:iCs/>
          <w:lang w:val="es-ES" w:eastAsia="es-ES"/>
        </w:rPr>
        <w:lastRenderedPageBreak/>
        <w:t>profesionales</w:t>
      </w:r>
      <w:r w:rsidRPr="00780417">
        <w:rPr>
          <w:rFonts w:ascii="Verdana" w:eastAsia="Calibri" w:hAnsi="Verdana" w:cs="Arial"/>
          <w:lang w:val="es-ES" w:eastAsia="es-ES"/>
        </w:rPr>
        <w:t xml:space="preserve"> con las otras dos especies del género en el cual se ubican radica en su contenido intelectual intangible y, al mismo tiempo, en la formación profesional que se exige para desempeñar la labor</w:t>
      </w:r>
      <w:r w:rsidRPr="00780417">
        <w:rPr>
          <w:rFonts w:ascii="Verdana" w:eastAsia="Calibri" w:hAnsi="Verdana" w:cs="Arial"/>
          <w:vertAlign w:val="superscript"/>
          <w:lang w:val="es-ES" w:eastAsia="es-ES"/>
        </w:rPr>
        <w:footnoteReference w:id="10"/>
      </w:r>
      <w:r w:rsidRPr="00780417">
        <w:rPr>
          <w:rFonts w:ascii="Verdana" w:eastAsia="Calibri" w:hAnsi="Verdana" w:cs="Arial"/>
          <w:lang w:val="es-ES" w:eastAsia="es-ES"/>
        </w:rPr>
        <w:t>.</w:t>
      </w:r>
    </w:p>
    <w:p w14:paraId="05229015" w14:textId="77777777" w:rsidR="00FA1FD6" w:rsidRDefault="00FA1FD6" w:rsidP="00FA1FD6">
      <w:pPr>
        <w:spacing w:after="120" w:line="276" w:lineRule="auto"/>
        <w:ind w:firstLine="709"/>
        <w:jc w:val="both"/>
        <w:rPr>
          <w:rFonts w:ascii="Verdana" w:eastAsia="Calibri" w:hAnsi="Verdana" w:cs="Arial"/>
        </w:rPr>
      </w:pPr>
      <w:r w:rsidRPr="009D6505">
        <w:rPr>
          <w:rFonts w:ascii="Verdana" w:eastAsia="Calibri" w:hAnsi="Verdana" w:cs="Arial"/>
        </w:rPr>
        <w:t>f) Su celebración debe realizarse a través de la modalidad de contratación directa, independientemente de la cuantía y del tipo de servicio profesional, siempre que este no ingrese dentro del objeto del contrato de consultoría</w:t>
      </w:r>
      <w:r>
        <w:rPr>
          <w:rFonts w:ascii="Verdana" w:eastAsia="Calibri" w:hAnsi="Verdana" w:cs="Arial"/>
        </w:rPr>
        <w:t>. Lo anterior, pues</w:t>
      </w:r>
      <w:r w:rsidRPr="009D6505">
        <w:rPr>
          <w:rFonts w:ascii="Verdana" w:eastAsia="Calibri" w:hAnsi="Verdana" w:cs="Arial"/>
        </w:rPr>
        <w:t xml:space="preserve"> como lo indicó el Consejo de Estado en la sentencia de unificación jurisprudencial a la que se hizo referencia, si bien en ambos existe un componente intelectual, profesional e intangible, el objeto del contrato de consultoría es especial y debe celebrarse, por regla general, precedido de un concurso de méritos</w:t>
      </w:r>
      <w:r w:rsidRPr="009D6505">
        <w:rPr>
          <w:rFonts w:ascii="Verdana" w:eastAsia="Calibri" w:hAnsi="Verdana" w:cs="Arial"/>
          <w:vertAlign w:val="superscript"/>
        </w:rPr>
        <w:footnoteReference w:id="11"/>
      </w:r>
      <w:r w:rsidRPr="009D6505">
        <w:rPr>
          <w:rFonts w:ascii="Verdana" w:eastAsia="Calibri" w:hAnsi="Verdana" w:cs="Arial"/>
        </w:rPr>
        <w:t>. Pero, tampoco puede suscribirse un contrato de prestación de servicios profesionales para que el contratista ejecute labores que se enmarcan en los otros contratos tipificados en el artículo 32 de la Ley 80 de 1993, como, por ejemplo, para que el contratista de prestación de servicios construya una obra.</w:t>
      </w:r>
    </w:p>
    <w:p w14:paraId="19FE3865" w14:textId="77777777" w:rsidR="00FA1FD6" w:rsidRPr="0050628A" w:rsidRDefault="00FA1FD6" w:rsidP="00FA1FD6">
      <w:pPr>
        <w:spacing w:after="0" w:line="276" w:lineRule="auto"/>
        <w:ind w:firstLine="709"/>
        <w:jc w:val="both"/>
        <w:rPr>
          <w:rFonts w:ascii="Verdana" w:eastAsia="Calibri" w:hAnsi="Verdana" w:cs="Arial"/>
        </w:rPr>
      </w:pPr>
      <w:r w:rsidRPr="0050628A">
        <w:rPr>
          <w:rFonts w:ascii="Verdana" w:eastAsia="Calibri" w:hAnsi="Verdana" w:cs="Arial"/>
        </w:rPr>
        <w:t>g) Para su celebración no se requiere la expedición del acto administrativo de justificación de la contratación directa</w:t>
      </w:r>
      <w:r w:rsidRPr="0050628A">
        <w:rPr>
          <w:rFonts w:ascii="Verdana" w:eastAsia="Calibri" w:hAnsi="Verdana" w:cs="Arial"/>
          <w:vertAlign w:val="superscript"/>
        </w:rPr>
        <w:footnoteReference w:id="12"/>
      </w:r>
      <w:r w:rsidRPr="0050628A">
        <w:rPr>
          <w:rFonts w:ascii="Verdana" w:eastAsia="Calibri" w:hAnsi="Verdana" w:cs="Arial"/>
        </w:rPr>
        <w:t xml:space="preserve">. </w:t>
      </w:r>
    </w:p>
    <w:p w14:paraId="48C62819" w14:textId="77777777" w:rsidR="00FA1FD6" w:rsidRPr="0050628A" w:rsidRDefault="00FA1FD6" w:rsidP="00FA1FD6">
      <w:pPr>
        <w:spacing w:before="120" w:after="120" w:line="276" w:lineRule="auto"/>
        <w:ind w:firstLine="709"/>
        <w:jc w:val="both"/>
        <w:rPr>
          <w:rFonts w:ascii="Verdana" w:eastAsia="Calibri" w:hAnsi="Verdana" w:cs="Arial"/>
        </w:rPr>
      </w:pPr>
      <w:r w:rsidRPr="0050628A">
        <w:rPr>
          <w:rFonts w:ascii="Verdana" w:eastAsia="Calibri" w:hAnsi="Verdana" w:cs="Arial"/>
        </w:rPr>
        <w:t xml:space="preserve">h) Admiten el pacto de cláusulas excepcionales. Es decir, en los contratos de prestación de servicios puede </w:t>
      </w:r>
      <w:r>
        <w:rPr>
          <w:rFonts w:ascii="Verdana" w:eastAsia="Calibri" w:hAnsi="Verdana" w:cs="Arial"/>
        </w:rPr>
        <w:t>pactar</w:t>
      </w:r>
      <w:r w:rsidRPr="0050628A">
        <w:rPr>
          <w:rFonts w:ascii="Verdana" w:eastAsia="Calibri" w:hAnsi="Verdana" w:cs="Arial"/>
        </w:rPr>
        <w:t>se la caducidad, así como la modificación, interpretación o terminación unilaterales, como</w:t>
      </w:r>
      <w:r>
        <w:rPr>
          <w:rFonts w:ascii="Verdana" w:eastAsia="Calibri" w:hAnsi="Verdana" w:cs="Arial"/>
        </w:rPr>
        <w:t xml:space="preserve"> acuerdos o</w:t>
      </w:r>
      <w:r w:rsidRPr="0050628A">
        <w:rPr>
          <w:rFonts w:ascii="Verdana" w:eastAsia="Calibri" w:hAnsi="Verdana" w:cs="Arial"/>
        </w:rPr>
        <w:t xml:space="preserve"> elementos accidentales</w:t>
      </w:r>
      <w:r>
        <w:rPr>
          <w:rFonts w:ascii="Verdana" w:eastAsia="Calibri" w:hAnsi="Verdana" w:cs="Arial"/>
        </w:rPr>
        <w:t>. O</w:t>
      </w:r>
      <w:r w:rsidRPr="0050628A">
        <w:rPr>
          <w:rFonts w:ascii="Verdana" w:eastAsia="Calibri" w:hAnsi="Verdana" w:cs="Arial"/>
        </w:rPr>
        <w:t xml:space="preserve"> sea que para que puedan ejercerse dichas exorbitancias han </w:t>
      </w:r>
      <w:r w:rsidRPr="0050628A">
        <w:rPr>
          <w:rFonts w:ascii="Verdana" w:eastAsia="Calibri" w:hAnsi="Verdana" w:cs="Arial"/>
        </w:rPr>
        <w:lastRenderedPageBreak/>
        <w:t>debido quedar incluidas expresamente en el contrato, ya que no se entienden pactadas por naturaleza. Así se infiere del artículo 14°, numeral 2º, de la Ley 80 de 1993</w:t>
      </w:r>
      <w:r w:rsidRPr="0050628A">
        <w:rPr>
          <w:rFonts w:ascii="Verdana" w:eastAsia="Calibri" w:hAnsi="Verdana" w:cs="Arial"/>
          <w:vertAlign w:val="superscript"/>
        </w:rPr>
        <w:footnoteReference w:id="13"/>
      </w:r>
      <w:r w:rsidRPr="0050628A">
        <w:rPr>
          <w:rFonts w:ascii="Verdana" w:eastAsia="Calibri" w:hAnsi="Verdana" w:cs="Arial"/>
        </w:rPr>
        <w:t>.</w:t>
      </w:r>
    </w:p>
    <w:p w14:paraId="74FD23C4" w14:textId="77777777" w:rsidR="00FA1FD6" w:rsidRPr="007A6EE5" w:rsidRDefault="00FA1FD6" w:rsidP="00FA1FD6">
      <w:pPr>
        <w:spacing w:before="120" w:after="120" w:line="276" w:lineRule="auto"/>
        <w:ind w:firstLine="709"/>
        <w:jc w:val="both"/>
        <w:rPr>
          <w:rFonts w:ascii="Verdana" w:eastAsia="Calibri" w:hAnsi="Verdana" w:cs="Arial"/>
        </w:rPr>
      </w:pPr>
      <w:r w:rsidRPr="007A6EE5">
        <w:rPr>
          <w:rFonts w:ascii="Verdana" w:eastAsia="Calibri" w:hAnsi="Verdana" w:cs="Arial"/>
        </w:rPr>
        <w:t>i) En ellos no es obligatoria la liquidación, pues así lo estableció el artículo 217 del Decreto 019 de 2012, que modificó el artículo 60 de la Ley 80 de 1993</w:t>
      </w:r>
      <w:r w:rsidRPr="007A6EE5">
        <w:rPr>
          <w:rFonts w:ascii="Verdana" w:eastAsia="Calibri" w:hAnsi="Verdana" w:cs="Arial"/>
          <w:vertAlign w:val="superscript"/>
        </w:rPr>
        <w:footnoteReference w:id="14"/>
      </w:r>
      <w:r w:rsidRPr="007A6EE5">
        <w:rPr>
          <w:rFonts w:ascii="Verdana" w:eastAsia="Calibri" w:hAnsi="Verdana" w:cs="Arial"/>
        </w:rPr>
        <w:t xml:space="preserve">, </w:t>
      </w:r>
      <w:r w:rsidRPr="007A6EE5">
        <w:rPr>
          <w:rFonts w:ascii="Verdana" w:eastAsia="Calibri" w:hAnsi="Verdana" w:cs="Arial"/>
          <w:lang w:val="es-ES" w:eastAsia="es-ES"/>
        </w:rPr>
        <w:t>refiriéndose expresamente a los contratos de prestación de servicios profesionales y de apoyo a la gestión.</w:t>
      </w:r>
    </w:p>
    <w:p w14:paraId="2E520A7E" w14:textId="77777777" w:rsidR="00FA1FD6" w:rsidRPr="007A6EE5" w:rsidRDefault="00FA1FD6" w:rsidP="00FA1FD6">
      <w:pPr>
        <w:spacing w:after="120" w:line="276" w:lineRule="auto"/>
        <w:ind w:firstLine="709"/>
        <w:jc w:val="both"/>
        <w:rPr>
          <w:rFonts w:ascii="Verdana" w:eastAsia="Calibri" w:hAnsi="Verdana" w:cs="Arial"/>
        </w:rPr>
      </w:pPr>
      <w:r w:rsidRPr="007A6EE5">
        <w:rPr>
          <w:rFonts w:ascii="Verdana" w:eastAsia="Calibri" w:hAnsi="Verdana" w:cs="Arial"/>
        </w:rPr>
        <w:t>j) Para su celebración no se requiere inscripción en el Registro Único de Proponentes (RUP), según lo prevé el artículo 6 de la Ley 1150 de 2007</w:t>
      </w:r>
      <w:r w:rsidRPr="007A6EE5">
        <w:rPr>
          <w:rFonts w:ascii="Verdana" w:eastAsia="Calibri" w:hAnsi="Verdana" w:cs="Arial"/>
          <w:vertAlign w:val="superscript"/>
        </w:rPr>
        <w:footnoteReference w:id="15"/>
      </w:r>
      <w:r w:rsidRPr="007A6EE5">
        <w:rPr>
          <w:rFonts w:ascii="Verdana" w:eastAsia="Calibri" w:hAnsi="Verdana" w:cs="Arial"/>
        </w:rPr>
        <w:t>.</w:t>
      </w:r>
    </w:p>
    <w:p w14:paraId="1C695A05" w14:textId="77777777" w:rsidR="00FA1FD6" w:rsidRDefault="00FA1FD6" w:rsidP="00FA1FD6">
      <w:pPr>
        <w:spacing w:after="0" w:line="276" w:lineRule="auto"/>
        <w:ind w:firstLine="709"/>
        <w:jc w:val="both"/>
        <w:rPr>
          <w:rFonts w:ascii="Verdana" w:eastAsia="Calibri" w:hAnsi="Verdana" w:cs="Arial"/>
        </w:rPr>
      </w:pPr>
      <w:r w:rsidRPr="007A6EE5">
        <w:rPr>
          <w:rFonts w:ascii="Verdana" w:eastAsia="Calibri" w:hAnsi="Verdana" w:cs="Arial"/>
        </w:rPr>
        <w:t>k) En ellos no son necesarias las garantías</w:t>
      </w:r>
      <w:r w:rsidRPr="007A6EE5">
        <w:rPr>
          <w:rFonts w:ascii="Verdana" w:eastAsia="Calibri" w:hAnsi="Verdana" w:cs="Arial"/>
          <w:vertAlign w:val="superscript"/>
        </w:rPr>
        <w:footnoteReference w:id="16"/>
      </w:r>
      <w:r w:rsidRPr="007A6EE5">
        <w:rPr>
          <w:rFonts w:ascii="Verdana" w:eastAsia="Calibri" w:hAnsi="Verdana" w:cs="Arial"/>
        </w:rPr>
        <w:t>.</w:t>
      </w:r>
    </w:p>
    <w:p w14:paraId="10AF27EB" w14:textId="77777777" w:rsidR="00FA1FD6" w:rsidRPr="00361222" w:rsidRDefault="00FA1FD6" w:rsidP="00FA1FD6">
      <w:pPr>
        <w:spacing w:after="0" w:line="276" w:lineRule="auto"/>
        <w:ind w:firstLine="709"/>
        <w:jc w:val="both"/>
        <w:rPr>
          <w:rFonts w:ascii="Verdana" w:eastAsia="Calibri" w:hAnsi="Verdana" w:cs="Arial"/>
        </w:rPr>
      </w:pPr>
    </w:p>
    <w:p w14:paraId="2A9B1B65" w14:textId="77777777" w:rsidR="00FA1FD6" w:rsidRPr="00731AD6" w:rsidRDefault="00FA1FD6" w:rsidP="00FA1FD6">
      <w:pPr>
        <w:spacing w:after="0" w:line="276" w:lineRule="auto"/>
        <w:jc w:val="both"/>
        <w:rPr>
          <w:rFonts w:ascii="Verdana" w:eastAsia="Aptos" w:hAnsi="Verdana" w:cs="Arial"/>
        </w:rPr>
      </w:pPr>
      <w:r w:rsidRPr="007B228F">
        <w:rPr>
          <w:rFonts w:ascii="Verdana" w:eastAsia="Calibri" w:hAnsi="Verdana" w:cs="Arial"/>
        </w:rPr>
        <w:t>ii.</w:t>
      </w:r>
      <w:r w:rsidRPr="007B228F">
        <w:rPr>
          <w:rFonts w:ascii="Verdana" w:eastAsia="Calibri" w:hAnsi="Verdana" w:cs="Arial"/>
          <w:color w:val="EE0000"/>
        </w:rPr>
        <w:t xml:space="preserve"> </w:t>
      </w:r>
      <w:r w:rsidRPr="007B228F">
        <w:rPr>
          <w:rFonts w:ascii="Verdana" w:eastAsia="Aptos" w:hAnsi="Verdana" w:cs="Arial"/>
        </w:rPr>
        <w:t>Por otra parte, en el marco de lo dispuesto en los artículos 4, 5, 12, 14 y 26 de la Ley 80 de 1993, las Entidades Estatales tienen la obligación de velar por</w:t>
      </w:r>
      <w:r w:rsidRPr="00731AD6">
        <w:rPr>
          <w:rFonts w:ascii="Verdana" w:eastAsia="Aptos" w:hAnsi="Verdana" w:cs="Arial"/>
        </w:rPr>
        <w:t xml:space="preserve"> el correcto y oportuno cumplimiento de las prestaciones del contrato,</w:t>
      </w:r>
      <w:r w:rsidRPr="00731AD6">
        <w:rPr>
          <w:rFonts w:ascii="Aptos" w:eastAsia="Aptos" w:hAnsi="Aptos" w:cs="Arial"/>
        </w:rPr>
        <w:t xml:space="preserve"> </w:t>
      </w:r>
      <w:r w:rsidRPr="00731AD6">
        <w:rPr>
          <w:rFonts w:ascii="Verdana" w:eastAsia="Aptos" w:hAnsi="Verdana" w:cs="Arial"/>
        </w:rPr>
        <w:t xml:space="preserve">las especificaciones de los bienes, obras y servicios de este, las condiciones de calidad ofrecidas, etc. Esta obligación se predica, en principio, del jefe o representante legal de la entidad, por tener la responsabilidad de la dirección y manejo de la actividad contractual, pero también de los servidores públicos que </w:t>
      </w:r>
      <w:r w:rsidRPr="00731AD6">
        <w:rPr>
          <w:rFonts w:ascii="Verdana" w:eastAsia="Aptos" w:hAnsi="Verdana" w:cs="Arial"/>
        </w:rPr>
        <w:lastRenderedPageBreak/>
        <w:t xml:space="preserve">intervienen en ella. En ese sentido, las Entidades Estatales deben ejercer el control de la ejecución del contrato y, de ser el caso, tomar medidas para exigir su adecuado cumplimiento. </w:t>
      </w:r>
    </w:p>
    <w:p w14:paraId="1B76ADF0" w14:textId="77777777" w:rsidR="00FA1FD6" w:rsidRPr="00731AD6" w:rsidRDefault="00FA1FD6" w:rsidP="00FA1FD6">
      <w:pPr>
        <w:spacing w:before="120" w:after="0" w:line="276" w:lineRule="auto"/>
        <w:ind w:firstLine="709"/>
        <w:jc w:val="both"/>
        <w:rPr>
          <w:rFonts w:ascii="Verdana" w:eastAsia="Aptos" w:hAnsi="Verdana" w:cs="Arial"/>
          <w:lang w:val="es-ES_tradnl" w:eastAsia="es-MX"/>
        </w:rPr>
      </w:pPr>
      <w:r w:rsidRPr="00731AD6">
        <w:rPr>
          <w:rFonts w:ascii="Verdana" w:eastAsia="Aptos" w:hAnsi="Verdana" w:cs="Arial"/>
        </w:rPr>
        <w:t>En ese sentido, las Leyes 1150 de 2007 y 1474 de 2011, complementan el régimen jurídico de la obligación de vigilar la correcta ejecución de los contratos estatales. En dichas normas se impone el debido proceso como principio rector en materia sancionatoria contractual, entre otros, para la imposición de multas y la decisión de hacer efectiva la cláusula penal, principio que se debe respetar en el ejercicio del control y vigilancia de la ejecución contractual</w:t>
      </w:r>
      <w:r w:rsidRPr="00731AD6">
        <w:rPr>
          <w:rFonts w:ascii="Verdana" w:eastAsia="Aptos" w:hAnsi="Verdana" w:cs="Arial"/>
          <w:vertAlign w:val="superscript"/>
          <w:lang w:val="es-ES_tradnl" w:eastAsia="es-MX"/>
        </w:rPr>
        <w:footnoteReference w:id="17"/>
      </w:r>
      <w:r w:rsidRPr="00731AD6">
        <w:rPr>
          <w:rFonts w:ascii="Verdana" w:eastAsia="Aptos" w:hAnsi="Verdana" w:cs="Arial"/>
          <w:lang w:val="es-ES_tradnl" w:eastAsia="es-MX"/>
        </w:rPr>
        <w:t>.</w:t>
      </w:r>
      <w:r w:rsidRPr="00731AD6">
        <w:rPr>
          <w:rFonts w:ascii="Verdana" w:eastAsia="Aptos" w:hAnsi="Verdana" w:cs="Arial"/>
        </w:rPr>
        <w:t xml:space="preserve"> También se establecen los límites de la responsabilidad del representante legal ante la delegación de sus funciones en materia contractual</w:t>
      </w:r>
      <w:r w:rsidRPr="00731AD6">
        <w:rPr>
          <w:rFonts w:ascii="Verdana" w:eastAsia="Aptos" w:hAnsi="Verdana" w:cs="Arial"/>
          <w:vertAlign w:val="superscript"/>
          <w:lang w:val="es-ES_tradnl" w:eastAsia="es-MX"/>
        </w:rPr>
        <w:footnoteReference w:id="18"/>
      </w:r>
      <w:r w:rsidRPr="00731AD6">
        <w:rPr>
          <w:rFonts w:ascii="Verdana" w:eastAsia="Aptos" w:hAnsi="Verdana" w:cs="Arial"/>
        </w:rPr>
        <w:t xml:space="preserve"> </w:t>
      </w:r>
      <w:r w:rsidRPr="00731AD6">
        <w:rPr>
          <w:rFonts w:ascii="Verdana" w:eastAsia="Aptos" w:hAnsi="Verdana" w:cs="Arial"/>
          <w:lang w:val="es-ES_tradnl" w:eastAsia="es-MX"/>
        </w:rPr>
        <w:t>y se regula la supervisión y la interventoría de los contratos estatales</w:t>
      </w:r>
      <w:r w:rsidRPr="00731AD6">
        <w:rPr>
          <w:rFonts w:ascii="Verdana" w:eastAsia="Aptos" w:hAnsi="Verdana" w:cs="Arial"/>
          <w:vertAlign w:val="superscript"/>
          <w:lang w:val="es-ES_tradnl" w:eastAsia="es-MX"/>
        </w:rPr>
        <w:footnoteReference w:id="19"/>
      </w:r>
      <w:r w:rsidRPr="00731AD6">
        <w:rPr>
          <w:rFonts w:ascii="Verdana" w:eastAsia="Aptos" w:hAnsi="Verdana" w:cs="Arial"/>
          <w:lang w:val="es-ES_tradnl" w:eastAsia="es-MX"/>
        </w:rPr>
        <w:t>.</w:t>
      </w:r>
    </w:p>
    <w:p w14:paraId="32FB852A" w14:textId="77777777" w:rsidR="00FA1FD6" w:rsidRPr="00731AD6" w:rsidRDefault="00FA1FD6" w:rsidP="00FA1FD6">
      <w:pPr>
        <w:spacing w:before="120" w:after="0" w:line="276" w:lineRule="auto"/>
        <w:ind w:firstLine="708"/>
        <w:jc w:val="both"/>
        <w:textAlignment w:val="baseline"/>
        <w:rPr>
          <w:rFonts w:ascii="Verdana" w:eastAsia="Aptos" w:hAnsi="Verdana" w:cs="Arial"/>
          <w:lang w:val="es-ES_tradnl" w:eastAsia="es-MX"/>
        </w:rPr>
      </w:pPr>
      <w:r w:rsidRPr="00731AD6">
        <w:rPr>
          <w:rFonts w:ascii="Verdana" w:eastAsia="Aptos" w:hAnsi="Verdana" w:cs="Arial"/>
        </w:rPr>
        <w:t xml:space="preserve">En consecuencia, </w:t>
      </w:r>
      <w:r w:rsidRPr="00731AD6">
        <w:rPr>
          <w:rFonts w:ascii="Verdana" w:eastAsia="Aptos" w:hAnsi="Verdana" w:cs="Arial"/>
          <w:lang w:val="es-ES_tradnl" w:eastAsia="es-MX"/>
        </w:rPr>
        <w:t xml:space="preserve">se tiene que, la jurisprudencia contencioso-administrativa, por su parte, ha considerado que la obligación de vigilar la correcta ejecución del objeto contractual es una función de la entidad contratante, en los siguientes términos: </w:t>
      </w:r>
    </w:p>
    <w:p w14:paraId="76305FD7" w14:textId="77777777" w:rsidR="00FA1FD6" w:rsidRPr="00731AD6" w:rsidRDefault="00FA1FD6" w:rsidP="00FA1FD6">
      <w:pPr>
        <w:spacing w:after="0"/>
        <w:ind w:left="709" w:rightChars="125" w:right="275"/>
        <w:contextualSpacing/>
        <w:jc w:val="both"/>
        <w:rPr>
          <w:rFonts w:ascii="Verdana" w:eastAsia="Aptos" w:hAnsi="Verdana" w:cs="Arial"/>
          <w:lang w:val="es-ES_tradnl" w:eastAsia="es-MX"/>
        </w:rPr>
      </w:pPr>
    </w:p>
    <w:p w14:paraId="38D9B52A" w14:textId="77777777" w:rsidR="00FA1FD6" w:rsidRPr="00731AD6" w:rsidRDefault="00FA1FD6" w:rsidP="00FA1FD6">
      <w:pPr>
        <w:spacing w:after="0" w:line="240" w:lineRule="auto"/>
        <w:ind w:left="709" w:right="709"/>
        <w:contextualSpacing/>
        <w:jc w:val="both"/>
        <w:rPr>
          <w:rFonts w:ascii="Verdana" w:eastAsia="Aptos" w:hAnsi="Verdana" w:cs="Arial"/>
          <w:sz w:val="20"/>
          <w:szCs w:val="20"/>
          <w:lang w:val="es-ES_tradnl" w:eastAsia="es-MX"/>
        </w:rPr>
      </w:pPr>
      <w:bookmarkStart w:id="3" w:name="_Hlk178671999"/>
      <w:r w:rsidRPr="00731AD6">
        <w:rPr>
          <w:rFonts w:ascii="Verdana" w:eastAsia="Aptos" w:hAnsi="Verdana" w:cs="Arial"/>
          <w:sz w:val="20"/>
          <w:szCs w:val="20"/>
          <w:lang w:val="es-ES_tradnl" w:eastAsia="es-MX"/>
        </w:rPr>
        <w:t>“La función de vigilancia y control del contrato estatal supone el cuidado y la supervisión, de forma tal que en ejercicio de esa función</w:t>
      </w:r>
      <w:bookmarkEnd w:id="3"/>
      <w:r w:rsidRPr="00731AD6">
        <w:rPr>
          <w:rFonts w:ascii="Verdana" w:eastAsia="Aptos" w:hAnsi="Verdana" w:cs="Arial"/>
          <w:sz w:val="20"/>
          <w:szCs w:val="20"/>
          <w:lang w:val="es-ES_tradnl" w:eastAsia="es-MX"/>
        </w:rPr>
        <w:t>, quien administra la adecuada y oportuna ejecución del contrato no sólo debe velar por que las partes den cumplimiento a las obligaciones contractuales, sino que el contrato se ejecute en el tiempo y la forma convenidos, para esta forma garantizar la satisfacción de las necesidades que la administración buscaba alcanzar con la celebración del respectivo contrato”</w:t>
      </w:r>
      <w:r w:rsidRPr="00731AD6">
        <w:rPr>
          <w:rFonts w:ascii="Verdana" w:eastAsia="Aptos" w:hAnsi="Verdana" w:cs="Arial"/>
          <w:sz w:val="20"/>
          <w:szCs w:val="20"/>
          <w:vertAlign w:val="superscript"/>
          <w:lang w:val="es-ES_tradnl" w:eastAsia="es-MX"/>
        </w:rPr>
        <w:footnoteReference w:id="20"/>
      </w:r>
      <w:r w:rsidRPr="00731AD6">
        <w:rPr>
          <w:rFonts w:ascii="Verdana" w:eastAsia="Aptos" w:hAnsi="Verdana" w:cs="Arial"/>
          <w:sz w:val="20"/>
          <w:szCs w:val="20"/>
          <w:lang w:val="es-ES_tradnl" w:eastAsia="es-MX"/>
        </w:rPr>
        <w:t>.</w:t>
      </w:r>
    </w:p>
    <w:p w14:paraId="1307E20E" w14:textId="77777777" w:rsidR="00FA1FD6" w:rsidRPr="00731AD6" w:rsidRDefault="00FA1FD6" w:rsidP="00FA1FD6">
      <w:pPr>
        <w:spacing w:after="0" w:line="276" w:lineRule="auto"/>
        <w:ind w:firstLine="708"/>
        <w:jc w:val="both"/>
        <w:rPr>
          <w:rFonts w:ascii="Verdana" w:eastAsia="Aptos" w:hAnsi="Verdana" w:cs="Arial"/>
        </w:rPr>
      </w:pPr>
    </w:p>
    <w:p w14:paraId="3077E5BD" w14:textId="25412360" w:rsidR="00FA1FD6" w:rsidRDefault="00FA1FD6" w:rsidP="00435BFA">
      <w:pPr>
        <w:spacing w:after="0" w:line="276" w:lineRule="auto"/>
        <w:jc w:val="both"/>
        <w:rPr>
          <w:rFonts w:ascii="Verdana" w:eastAsia="Aptos" w:hAnsi="Verdana" w:cs="Arial"/>
          <w:lang w:eastAsia="es-MX"/>
        </w:rPr>
      </w:pPr>
      <w:r w:rsidRPr="00731AD6">
        <w:rPr>
          <w:rFonts w:ascii="Verdana" w:eastAsia="Aptos" w:hAnsi="Verdana" w:cs="Arial"/>
        </w:rPr>
        <w:t xml:space="preserve">De esta forma, </w:t>
      </w:r>
      <w:r w:rsidRPr="00731AD6">
        <w:rPr>
          <w:rFonts w:ascii="Verdana" w:eastAsia="Aptos" w:hAnsi="Verdana" w:cs="Arial"/>
          <w:lang w:eastAsia="es-MX"/>
        </w:rPr>
        <w:t xml:space="preserve">la Ley 1474 de 2011 enmarcó el seguimiento, control y vigilancia de la ejecución del contrato estatal dentro del principio de moralidad administrativa. El artículo 83 de la referida ley, establece que “con el fin de proteger la moralidad administrativa, de prevenir la ocurrencia de actos de corrupción y tutelar la transparencia de la actividad contractual, las entidades públicas están obligadas a vigilar permanentemente la correcta ejecución del </w:t>
      </w:r>
      <w:r w:rsidRPr="00731AD6">
        <w:rPr>
          <w:rFonts w:ascii="Verdana" w:eastAsia="Aptos" w:hAnsi="Verdana" w:cs="Arial"/>
          <w:lang w:eastAsia="es-MX"/>
        </w:rPr>
        <w:lastRenderedPageBreak/>
        <w:t>objeto contratado a través de un supervisor o un interventor, según corresponda”.</w:t>
      </w:r>
    </w:p>
    <w:p w14:paraId="4EF6D42B" w14:textId="77777777" w:rsidR="00435BFA" w:rsidRDefault="00435BFA" w:rsidP="00435BFA">
      <w:pPr>
        <w:spacing w:after="0" w:line="276" w:lineRule="auto"/>
        <w:jc w:val="both"/>
        <w:rPr>
          <w:rFonts w:ascii="Verdana" w:eastAsia="Calibri" w:hAnsi="Verdana" w:cs="Arial"/>
          <w:color w:val="EE0000"/>
        </w:rPr>
      </w:pPr>
    </w:p>
    <w:p w14:paraId="02B55569" w14:textId="77777777" w:rsidR="00FA1FD6" w:rsidRPr="00683384" w:rsidRDefault="00FA1FD6" w:rsidP="00FA1FD6">
      <w:pPr>
        <w:spacing w:after="120" w:line="276" w:lineRule="auto"/>
        <w:jc w:val="both"/>
        <w:rPr>
          <w:rFonts w:ascii="Verdana" w:eastAsia="Calibri" w:hAnsi="Verdana" w:cs="Arial"/>
          <w:color w:val="EE0000"/>
        </w:rPr>
      </w:pPr>
      <w:r w:rsidRPr="007B228F">
        <w:rPr>
          <w:rFonts w:ascii="Verdana" w:eastAsia="Calibri" w:hAnsi="Verdana" w:cs="Arial"/>
        </w:rPr>
        <w:t xml:space="preserve">iii. Ahora bien, </w:t>
      </w:r>
      <w:r w:rsidRPr="007B228F">
        <w:rPr>
          <w:rFonts w:ascii="Verdana" w:eastAsia="Arial" w:hAnsi="Verdana" w:cs="Arial"/>
          <w:iCs/>
          <w:lang w:val="es-ES"/>
        </w:rPr>
        <w:t>e</w:t>
      </w:r>
      <w:r w:rsidRPr="00DD350F">
        <w:rPr>
          <w:rFonts w:ascii="Verdana" w:eastAsia="Arial" w:hAnsi="Verdana" w:cs="Arial"/>
          <w:iCs/>
          <w:lang w:val="es-ES"/>
        </w:rPr>
        <w:t xml:space="preserve">n relación </w:t>
      </w:r>
      <w:r>
        <w:rPr>
          <w:rFonts w:ascii="Verdana" w:eastAsia="Arial" w:hAnsi="Verdana" w:cs="Arial"/>
          <w:iCs/>
          <w:lang w:val="es-ES"/>
        </w:rPr>
        <w:t xml:space="preserve">con los informes </w:t>
      </w:r>
      <w:r>
        <w:rPr>
          <w:rFonts w:ascii="Verdana" w:eastAsia="Century Gothic" w:hAnsi="Verdana" w:cs="Century Gothic"/>
        </w:rPr>
        <w:t>en los contratos de prestación de servicios</w:t>
      </w:r>
      <w:r>
        <w:rPr>
          <w:rFonts w:ascii="Verdana" w:eastAsia="Arial" w:hAnsi="Verdana" w:cs="Arial"/>
          <w:iCs/>
          <w:lang w:val="es-ES"/>
        </w:rPr>
        <w:t xml:space="preserve"> y el tiempo </w:t>
      </w:r>
      <w:r>
        <w:rPr>
          <w:rFonts w:ascii="Verdana" w:eastAsia="Century Gothic" w:hAnsi="Verdana" w:cs="Century Gothic"/>
        </w:rPr>
        <w:t>en que debe presentarse</w:t>
      </w:r>
      <w:r w:rsidRPr="00DD350F">
        <w:rPr>
          <w:rFonts w:ascii="Verdana" w:eastAsia="Arial" w:hAnsi="Verdana" w:cs="Arial"/>
          <w:iCs/>
          <w:lang w:val="es-ES"/>
        </w:rPr>
        <w:t xml:space="preserve">, </w:t>
      </w:r>
      <w:r w:rsidRPr="00DD350F">
        <w:rPr>
          <w:rFonts w:ascii="Verdana" w:eastAsia="Calibri" w:hAnsi="Verdana" w:cs="Arial"/>
          <w:bCs/>
          <w:color w:val="000000"/>
          <w:kern w:val="2"/>
          <w14:ligatures w14:val="standardContextual"/>
        </w:rPr>
        <w:t xml:space="preserve">es pertinente precisar que no existe en el Sistema de Compra y Contratación Pública una disposición </w:t>
      </w:r>
      <w:r>
        <w:rPr>
          <w:rFonts w:ascii="Verdana" w:eastAsia="Calibri" w:hAnsi="Verdana" w:cs="Arial"/>
          <w:bCs/>
          <w:color w:val="000000"/>
          <w:kern w:val="2"/>
          <w14:ligatures w14:val="standardContextual"/>
        </w:rPr>
        <w:t>normativa que lo indique</w:t>
      </w:r>
      <w:r w:rsidRPr="00DD350F">
        <w:rPr>
          <w:rFonts w:ascii="Verdana" w:eastAsia="Calibri" w:hAnsi="Verdana" w:cs="Arial"/>
          <w:bCs/>
          <w:color w:val="000000"/>
          <w:kern w:val="2"/>
          <w14:ligatures w14:val="standardContextual"/>
        </w:rPr>
        <w:t xml:space="preserve">, pues en virtud del principio de autonomía de la voluntad, las partes pueden determinar el contenido de los contratos estatales e incluir las condiciones, cláusulas o estipulaciones que consideren necesarias para desarrollar el objeto contractual, </w:t>
      </w:r>
      <w:r>
        <w:rPr>
          <w:rFonts w:ascii="Verdana" w:eastAsia="Calibri" w:hAnsi="Verdana" w:cs="Arial"/>
          <w:bCs/>
          <w:color w:val="000000"/>
          <w:kern w:val="2"/>
          <w14:ligatures w14:val="standardContextual"/>
        </w:rPr>
        <w:t xml:space="preserve">la forma de ejecución, los documentos necesarios para cancelar los honorarios, entre otros aspectos, siempre en consideración de lo que arroja la etapa de planeación a través de los documentos previos. </w:t>
      </w:r>
    </w:p>
    <w:p w14:paraId="019A5725" w14:textId="77777777" w:rsidR="00FA1FD6" w:rsidRPr="00F31A35" w:rsidRDefault="00FA1FD6" w:rsidP="00FA1FD6">
      <w:pPr>
        <w:spacing w:after="120" w:line="276" w:lineRule="auto"/>
        <w:ind w:firstLine="709"/>
        <w:jc w:val="both"/>
        <w:rPr>
          <w:rFonts w:ascii="Verdana" w:eastAsia="Calibri" w:hAnsi="Verdana" w:cs="Arial"/>
          <w:bCs/>
          <w:color w:val="000000"/>
          <w:kern w:val="2"/>
          <w14:ligatures w14:val="standardContextual"/>
        </w:rPr>
      </w:pPr>
      <w:r w:rsidRPr="00F31A35">
        <w:rPr>
          <w:rFonts w:ascii="Verdana" w:eastAsia="Calibri" w:hAnsi="Verdana" w:cs="Arial"/>
          <w:bCs/>
          <w:color w:val="000000"/>
          <w:kern w:val="2"/>
          <w14:ligatures w14:val="standardContextual"/>
        </w:rPr>
        <w:t>Los entes estatales durante la etapa de planeación, tienen el deber de realizar el análisis del sector y justificar la modalidad de contratación en los documentos del proceso, que para el caso de los procesos que impliquen una contratación directa y en lo concerniente a los contratos de prestación de servicios profesionales, de apoyo a la gestión y de trabajos artísticos, se constata en los estudios y documentos previos, los cuales deben indicar, entre otras, las condiciones mínimas exigidas para suplir la necesidad de la entidad así como los requisitos que debe acreditar el futuro contratista para el cumplimiento del objeto contractual.</w:t>
      </w:r>
    </w:p>
    <w:p w14:paraId="190DCA30" w14:textId="77777777" w:rsidR="00FA1FD6" w:rsidRDefault="00FA1FD6" w:rsidP="00FA1FD6">
      <w:pPr>
        <w:spacing w:after="120" w:line="276" w:lineRule="auto"/>
        <w:ind w:firstLine="709"/>
        <w:jc w:val="both"/>
        <w:rPr>
          <w:rFonts w:ascii="Verdana" w:eastAsia="Calibri" w:hAnsi="Verdana" w:cs="Arial"/>
          <w:bCs/>
          <w:color w:val="000000"/>
          <w:kern w:val="2"/>
          <w14:ligatures w14:val="standardContextual"/>
        </w:rPr>
      </w:pPr>
      <w:r w:rsidRPr="00F31A35">
        <w:rPr>
          <w:rFonts w:ascii="Verdana" w:eastAsia="Calibri" w:hAnsi="Verdana" w:cs="Arial"/>
          <w:bCs/>
          <w:color w:val="000000"/>
          <w:kern w:val="2"/>
          <w14:ligatures w14:val="standardContextual"/>
        </w:rPr>
        <w:t xml:space="preserve">Lo anterior, en razón a que, el EGCAP contiene disposiciones que exigen a las Entidades Estatales del deber de realizar planeación en la etapa precontractual, para que los Procesos de Contratación satisfagan las necesidades de la Administración, cumplan sus fines, logren la continua y eficiente prestación de los servicios y permitan la efectividad de los derechos e intereses de los administrados que colaboraran en la consecución. </w:t>
      </w:r>
    </w:p>
    <w:p w14:paraId="41125033" w14:textId="77777777" w:rsidR="00FA1FD6" w:rsidRDefault="00FA1FD6" w:rsidP="00FA1FD6">
      <w:pPr>
        <w:spacing w:after="120" w:line="276" w:lineRule="auto"/>
        <w:ind w:firstLine="709"/>
        <w:jc w:val="both"/>
        <w:rPr>
          <w:rFonts w:ascii="Verdana" w:hAnsi="Verdana" w:cs="Arial"/>
        </w:rPr>
      </w:pPr>
      <w:r w:rsidRPr="00F31A35">
        <w:rPr>
          <w:rFonts w:ascii="Verdana" w:hAnsi="Verdana" w:cs="Arial"/>
        </w:rPr>
        <w:t xml:space="preserve">Ahora bien, pese a que la normativa en materia de contratación estatal establece la obligatoriedad de realizar el análisis necesario para conocer el sector relativo al objeto del Proceso de Contratación, no determinan un procedimiento específico para efectuar dicho </w:t>
      </w:r>
      <w:r>
        <w:rPr>
          <w:rFonts w:ascii="Verdana" w:hAnsi="Verdana" w:cs="Arial"/>
        </w:rPr>
        <w:t>estudio,</w:t>
      </w:r>
      <w:r w:rsidRPr="00F31A35">
        <w:rPr>
          <w:rFonts w:ascii="Verdana" w:hAnsi="Verdana" w:cs="Arial"/>
        </w:rPr>
        <w:t xml:space="preserve"> por lo que las entidades son autónomas para estructurarlo, para lo cual deberán cumplir lo dispuesto en el artículo 2.2.1.1.1.6.1 del Decreto 1082 de 2015 y realizar un análisis integral de </w:t>
      </w:r>
      <w:r w:rsidRPr="00F31A35">
        <w:rPr>
          <w:rFonts w:ascii="Verdana" w:hAnsi="Verdana" w:cs="Arial"/>
        </w:rPr>
        <w:lastRenderedPageBreak/>
        <w:t xml:space="preserve">planeación que sirva de sustento a la decisión de realizar un Proceso de Contratación. </w:t>
      </w:r>
    </w:p>
    <w:p w14:paraId="769B8727" w14:textId="77777777" w:rsidR="00FA1FD6" w:rsidRDefault="00FA1FD6" w:rsidP="00FA1FD6">
      <w:pPr>
        <w:spacing w:after="120" w:line="276" w:lineRule="auto"/>
        <w:ind w:firstLine="709"/>
        <w:jc w:val="both"/>
        <w:rPr>
          <w:rFonts w:ascii="Verdana" w:hAnsi="Verdana" w:cs="Arial"/>
        </w:rPr>
      </w:pPr>
      <w:r w:rsidRPr="00F31A35">
        <w:rPr>
          <w:rFonts w:ascii="Verdana" w:hAnsi="Verdana" w:cs="Arial"/>
        </w:rPr>
        <w:t>En línea con lo anterior, la Agencia Nacional de Contratación Pública – Colombia Compra Eficiente elaboró la “Guía para la Elaboración de Estudios del Sector”</w:t>
      </w:r>
      <w:r w:rsidRPr="00F31A35">
        <w:rPr>
          <w:rStyle w:val="Refdenotaalpie"/>
          <w:rFonts w:ascii="Verdana" w:hAnsi="Verdana" w:cs="Arial"/>
        </w:rPr>
        <w:footnoteReference w:id="21"/>
      </w:r>
      <w:r w:rsidRPr="00F31A35">
        <w:rPr>
          <w:rFonts w:ascii="Verdana" w:hAnsi="Verdana" w:cs="Arial"/>
        </w:rPr>
        <w:t>, instrumento que sirve de apoyo para entender el mercado del bien, obra o servicio que la Entidad Estatal pretende adquirir para diseñar el Proceso de Contratación con la información necesaria para alcanzar los objetivos de eficacia, eficiencia, economía, promoción de la competencia y manejo del riesgo. Esta Guía es un insumo para realizar el estudio del sector relativo al Proceso de Contratación, ya que comprende pautas sobre los aspectos generales del mercado, el análisis de la demanda y de la oferta y constituye un instrumento de orientación, por lo que –al carecer de fuerza vinculante– su aplicación no exime a las entidades de acatar las normas vigentes. De este modo, la Guía contiene recomendaciones generales por lo que no debe aplicarse de manera mecánica, pues la profundidad del estudio del sector depende de la complejidad y particularidades de cada Proceso de Contratación.</w:t>
      </w:r>
    </w:p>
    <w:p w14:paraId="479CD249" w14:textId="77777777" w:rsidR="00FA1FD6" w:rsidRPr="00F252D7" w:rsidRDefault="00FA1FD6" w:rsidP="00FA1FD6">
      <w:pPr>
        <w:spacing w:after="120" w:line="276" w:lineRule="auto"/>
        <w:ind w:firstLine="708"/>
        <w:contextualSpacing/>
        <w:jc w:val="both"/>
        <w:rPr>
          <w:rFonts w:ascii="Verdana" w:eastAsia="Calibri" w:hAnsi="Verdana" w:cs="Arial"/>
          <w:szCs w:val="24"/>
          <w:lang w:val="es-ES" w:eastAsia="es-ES_tradnl"/>
        </w:rPr>
      </w:pPr>
      <w:r w:rsidRPr="00F252D7">
        <w:rPr>
          <w:rFonts w:ascii="Verdana" w:eastAsia="Calibri" w:hAnsi="Verdana" w:cs="Arial"/>
          <w:bCs/>
          <w:lang w:val="es-ES_tradnl" w:eastAsia="es-MX"/>
        </w:rPr>
        <w:t xml:space="preserve">En este instrumento se recomienda, particularmente para la contratación directa y los contratos de prestación de servicios que: </w:t>
      </w:r>
    </w:p>
    <w:p w14:paraId="663C22BE" w14:textId="77777777" w:rsidR="00FA1FD6" w:rsidRPr="00F252D7" w:rsidRDefault="00FA1FD6" w:rsidP="00FA1FD6">
      <w:pPr>
        <w:ind w:left="720"/>
        <w:contextualSpacing/>
        <w:rPr>
          <w:rFonts w:ascii="Verdana" w:eastAsia="Calibri" w:hAnsi="Verdana" w:cs="Arial"/>
          <w:szCs w:val="24"/>
          <w:lang w:val="es-ES" w:eastAsia="es-ES_tradnl"/>
        </w:rPr>
      </w:pPr>
    </w:p>
    <w:p w14:paraId="2C0DC644" w14:textId="77777777" w:rsidR="00FA1FD6" w:rsidRPr="006B27A4" w:rsidRDefault="00FA1FD6" w:rsidP="00FA1FD6">
      <w:pPr>
        <w:spacing w:after="0" w:line="240" w:lineRule="auto"/>
        <w:ind w:left="709" w:right="709"/>
        <w:jc w:val="both"/>
        <w:rPr>
          <w:rFonts w:ascii="Verdana" w:eastAsia="Times New Roman" w:hAnsi="Verdana" w:cs="Arial"/>
          <w:sz w:val="20"/>
          <w:szCs w:val="20"/>
          <w:lang w:val="es-MX" w:eastAsia="es-ES_tradnl"/>
        </w:rPr>
      </w:pPr>
      <w:r w:rsidRPr="006B27A4">
        <w:rPr>
          <w:rFonts w:ascii="Verdana" w:eastAsia="Times New Roman" w:hAnsi="Verdana" w:cs="Arial"/>
          <w:sz w:val="20"/>
          <w:szCs w:val="20"/>
          <w:lang w:val="es-ES" w:eastAsia="es-ES_tradnl"/>
        </w:rPr>
        <w:t>“</w:t>
      </w:r>
      <w:r w:rsidRPr="006B27A4">
        <w:rPr>
          <w:rFonts w:ascii="Verdana" w:eastAsia="Times New Roman" w:hAnsi="Verdana" w:cs="Arial"/>
          <w:sz w:val="20"/>
          <w:szCs w:val="20"/>
          <w:lang w:val="es-MX" w:eastAsia="es-ES_tradnl"/>
        </w:rPr>
        <w:t>en la contratación directa, el estudio del sector debe tener en cuenta el objeto del proceso de contratación, particularmente las condiciones del contrato, como los plazos y formas de entrega y de pago. El estudio del sector debe permitir a la Entidad Estatal sustentar su decisión de hacer una contratación directa, la elección del proveedor y la forma en que se pacta el contrato desde el punto de vista de la eficiencia, eficacia y economía.</w:t>
      </w:r>
    </w:p>
    <w:p w14:paraId="277BE01E" w14:textId="77777777" w:rsidR="00FA1FD6" w:rsidRPr="006B27A4" w:rsidRDefault="00FA1FD6" w:rsidP="00FA1FD6">
      <w:pPr>
        <w:spacing w:after="0" w:line="240" w:lineRule="auto"/>
        <w:ind w:left="709" w:right="709"/>
        <w:jc w:val="both"/>
        <w:rPr>
          <w:rFonts w:ascii="Verdana" w:eastAsia="Times New Roman" w:hAnsi="Verdana" w:cs="Arial"/>
          <w:sz w:val="20"/>
          <w:szCs w:val="20"/>
          <w:lang w:val="es-MX" w:eastAsia="es-ES_tradnl"/>
        </w:rPr>
      </w:pPr>
    </w:p>
    <w:p w14:paraId="5651A854" w14:textId="77777777" w:rsidR="00FA1FD6" w:rsidRDefault="00FA1FD6" w:rsidP="00FA1FD6">
      <w:pPr>
        <w:spacing w:after="0" w:line="240" w:lineRule="auto"/>
        <w:ind w:left="709" w:right="709"/>
        <w:jc w:val="both"/>
        <w:rPr>
          <w:rFonts w:ascii="Verdana" w:eastAsia="Times New Roman" w:hAnsi="Verdana" w:cs="Arial"/>
          <w:sz w:val="20"/>
          <w:szCs w:val="20"/>
          <w:lang w:val="es-MX" w:eastAsia="es-ES_tradnl"/>
        </w:rPr>
      </w:pPr>
      <w:r w:rsidRPr="006B27A4">
        <w:rPr>
          <w:rFonts w:ascii="Verdana" w:eastAsia="Times New Roman" w:hAnsi="Verdana" w:cs="Arial"/>
          <w:sz w:val="20"/>
          <w:szCs w:val="20"/>
          <w:lang w:val="es-MX" w:eastAsia="es-ES_tradnl"/>
        </w:rPr>
        <w:t xml:space="preserve">La entidad debe consignar en los Documentos del Proceso, bien sea en los estudios previos o en la información de soporte de estos, los aspectos de que trata el artículo 2.2.1.1.1.6.1 del Decreto 1082 de 2015, esto es, el análisis desde la perspectiva legal, comercial, financiera, organizacional, técnica y de análisis de riesgo. En un contrato de prestación de servicios profesionales, el estudio del sector depende del objeto del contrato y de las condiciones de idoneidad y/o experiencia que llevan a contratar a la persona natural o jurídica que está en condiciones de desarrollar dicho objeto. Por ejemplo, si se trata de la contratación de un abogado para llevar un proceso judicial, la Entidad debe analizar la necesidad de </w:t>
      </w:r>
      <w:r w:rsidRPr="006B27A4">
        <w:rPr>
          <w:rFonts w:ascii="Verdana" w:eastAsia="Times New Roman" w:hAnsi="Verdana" w:cs="Arial"/>
          <w:sz w:val="20"/>
          <w:szCs w:val="20"/>
          <w:lang w:val="es-MX" w:eastAsia="es-ES_tradnl"/>
        </w:rPr>
        <w:lastRenderedPageBreak/>
        <w:t>contratar el servicio, de forma esencialmente temporal y las condiciones de los Procesos de Contratación que ha adelantado en el pasado para contratar este tipo de servicios, teniendo en cuenta plazos valor y forma de pago”</w:t>
      </w:r>
      <w:r w:rsidRPr="006B27A4">
        <w:rPr>
          <w:rFonts w:ascii="Verdana" w:eastAsia="Times New Roman" w:hAnsi="Verdana" w:cs="Arial"/>
          <w:sz w:val="20"/>
          <w:szCs w:val="20"/>
          <w:vertAlign w:val="superscript"/>
          <w:lang w:val="es-MX" w:eastAsia="es-ES_tradnl"/>
        </w:rPr>
        <w:footnoteReference w:id="22"/>
      </w:r>
      <w:r w:rsidRPr="006B27A4">
        <w:rPr>
          <w:rFonts w:ascii="Verdana" w:eastAsia="Times New Roman" w:hAnsi="Verdana" w:cs="Arial"/>
          <w:sz w:val="20"/>
          <w:szCs w:val="20"/>
          <w:lang w:val="es-MX" w:eastAsia="es-ES_tradnl"/>
        </w:rPr>
        <w:t>.</w:t>
      </w:r>
    </w:p>
    <w:p w14:paraId="15B378A8" w14:textId="77777777" w:rsidR="00FA1FD6" w:rsidRPr="002D6661" w:rsidRDefault="00FA1FD6" w:rsidP="00FA1FD6">
      <w:pPr>
        <w:spacing w:after="0" w:line="276" w:lineRule="auto"/>
        <w:ind w:left="709" w:right="709"/>
        <w:jc w:val="both"/>
        <w:rPr>
          <w:rFonts w:ascii="Verdana" w:eastAsia="Times New Roman" w:hAnsi="Verdana" w:cs="Arial"/>
          <w:lang w:val="es-MX" w:eastAsia="es-ES_tradnl"/>
        </w:rPr>
      </w:pPr>
    </w:p>
    <w:p w14:paraId="21288C37" w14:textId="231CE214" w:rsidR="00FA1FD6" w:rsidRDefault="00FA1FD6" w:rsidP="00BB07DD">
      <w:pPr>
        <w:spacing w:after="0" w:line="276" w:lineRule="auto"/>
        <w:ind w:firstLine="709"/>
        <w:jc w:val="both"/>
        <w:rPr>
          <w:rFonts w:ascii="Verdana" w:eastAsia="Calibri" w:hAnsi="Verdana" w:cs="Arial"/>
          <w:bCs/>
          <w:color w:val="000000"/>
          <w:kern w:val="2"/>
          <w14:ligatures w14:val="standardContextual"/>
        </w:rPr>
      </w:pPr>
      <w:r w:rsidRPr="00F31A35">
        <w:rPr>
          <w:rFonts w:ascii="Verdana" w:eastAsia="Calibri" w:hAnsi="Verdana" w:cs="Arial"/>
          <w:bCs/>
          <w:color w:val="000000"/>
          <w:kern w:val="2"/>
          <w14:ligatures w14:val="standardContextual"/>
        </w:rPr>
        <w:t xml:space="preserve">En ese sentido, las Entidades Públicas </w:t>
      </w:r>
      <w:r>
        <w:rPr>
          <w:rFonts w:ascii="Verdana" w:eastAsia="Calibri" w:hAnsi="Verdana" w:cs="Arial"/>
          <w:bCs/>
          <w:color w:val="000000"/>
          <w:kern w:val="2"/>
          <w14:ligatures w14:val="standardContextual"/>
        </w:rPr>
        <w:t xml:space="preserve">desde los estudios previos definirán las condiciones del contrato de prestación de servicios a celebrar, plasmado en la minuta del contrato </w:t>
      </w:r>
      <w:r w:rsidRPr="00F31A35">
        <w:rPr>
          <w:rFonts w:ascii="Verdana" w:eastAsia="Calibri" w:hAnsi="Verdana" w:cs="Arial"/>
          <w:bCs/>
          <w:color w:val="000000"/>
          <w:kern w:val="2"/>
          <w14:ligatures w14:val="standardContextual"/>
        </w:rPr>
        <w:t xml:space="preserve">de prestación de servicios profesionales, de apoyo a la gestión y trabajos artísticos. </w:t>
      </w:r>
      <w:bookmarkStart w:id="4" w:name="_Hlk139612360"/>
      <w:r w:rsidRPr="00F31A35">
        <w:rPr>
          <w:rFonts w:ascii="Verdana" w:eastAsia="Calibri" w:hAnsi="Verdana" w:cs="Arial"/>
          <w:bCs/>
          <w:color w:val="000000"/>
          <w:kern w:val="2"/>
          <w14:ligatures w14:val="standardContextual"/>
        </w:rPr>
        <w:t xml:space="preserve">Finalmente, se resalta que en la Ley 80 de 1993, Ley 1150 de 2007 y en el Decreto 1082 de 2015 no se encuentran disposiciones que establezcan </w:t>
      </w:r>
      <w:r>
        <w:rPr>
          <w:rFonts w:ascii="Verdana" w:eastAsia="Calibri" w:hAnsi="Verdana" w:cs="Arial"/>
          <w:bCs/>
          <w:color w:val="000000"/>
          <w:kern w:val="2"/>
          <w14:ligatures w14:val="standardContextual"/>
        </w:rPr>
        <w:t xml:space="preserve">la forma en que deben presentarse las cuentas de cobro, tales como el informe de ejecución </w:t>
      </w:r>
      <w:r w:rsidRPr="001153C9">
        <w:rPr>
          <w:rFonts w:ascii="Verdana" w:eastAsia="Calibri" w:hAnsi="Verdana" w:cs="Arial"/>
          <w:bCs/>
          <w:color w:val="000000"/>
          <w:kern w:val="2"/>
          <w14:ligatures w14:val="standardContextual"/>
        </w:rPr>
        <w:t>o el informe y certificación de cumplimiento</w:t>
      </w:r>
      <w:r>
        <w:rPr>
          <w:rFonts w:ascii="Verdana" w:eastAsia="Calibri" w:hAnsi="Verdana" w:cs="Arial"/>
          <w:bCs/>
          <w:color w:val="000000"/>
          <w:kern w:val="2"/>
          <w14:ligatures w14:val="standardContextual"/>
        </w:rPr>
        <w:t>, así como las fechas para su presentación</w:t>
      </w:r>
      <w:r w:rsidRPr="0037766C">
        <w:rPr>
          <w:rFonts w:ascii="Verdana" w:eastAsia="Calibri" w:hAnsi="Verdana" w:cs="Arial"/>
          <w:bCs/>
          <w:color w:val="000000"/>
          <w:kern w:val="2"/>
          <w14:ligatures w14:val="standardContextual"/>
        </w:rPr>
        <w:t xml:space="preserve">, </w:t>
      </w:r>
      <w:r>
        <w:rPr>
          <w:rFonts w:ascii="Verdana" w:eastAsia="Calibri" w:hAnsi="Verdana" w:cs="Arial"/>
          <w:bCs/>
          <w:color w:val="000000"/>
          <w:kern w:val="2"/>
          <w14:ligatures w14:val="standardContextual"/>
        </w:rPr>
        <w:t>por cuanto esto dependerá de las directrices fijadas al interior de la entidad estatal en su guías, circulares o manuales, que se verán reflejados en las cláusulas contenidas en la minuta del contrato de prestación de servicios</w:t>
      </w:r>
      <w:r w:rsidRPr="00F31A35">
        <w:rPr>
          <w:rFonts w:ascii="Verdana" w:eastAsia="Calibri" w:hAnsi="Verdana" w:cs="Arial"/>
          <w:bCs/>
          <w:color w:val="000000"/>
          <w:kern w:val="2"/>
          <w14:ligatures w14:val="standardContextual"/>
        </w:rPr>
        <w:t>.</w:t>
      </w:r>
      <w:bookmarkEnd w:id="4"/>
    </w:p>
    <w:p w14:paraId="2619E638" w14:textId="3122F146" w:rsidR="006E5E24" w:rsidRPr="006E5E24" w:rsidRDefault="006E5E24" w:rsidP="006E5E24">
      <w:pPr>
        <w:spacing w:before="120" w:line="276" w:lineRule="auto"/>
        <w:ind w:firstLine="708"/>
        <w:jc w:val="both"/>
        <w:rPr>
          <w:rFonts w:ascii="Verdana" w:eastAsia="Calibri" w:hAnsi="Verdana" w:cs="Arial"/>
          <w:lang w:val="es-ES_tradnl"/>
        </w:rPr>
      </w:pPr>
      <w:r w:rsidRPr="006E5E24">
        <w:rPr>
          <w:rFonts w:ascii="Verdana" w:eastAsia="Calibri" w:hAnsi="Verdana" w:cs="Arial"/>
          <w:lang w:val="es-ES_tradnl"/>
        </w:rPr>
        <w:t>Respecto del objeto de su consulta, es importante señalar que, por lo general e</w:t>
      </w:r>
      <w:r w:rsidRPr="006E5E24">
        <w:rPr>
          <w:rFonts w:ascii="Verdana" w:hAnsi="Verdana" w:cs="Segoe UI"/>
        </w:rPr>
        <w:t xml:space="preserve">l procedimiento de pago de honorarios, sus tiempos y requisitos, se rige conforme a lo establecido en el Manual de Supervisión e Interventoría adoptado por cada Entidad Estatal, el cual define los lineamientos, requisitos y controles necesarios para la correcta gestión, verificación y autorización de los pagos a los contratistas, en aras de, entre otros aspectos, aspectos asegurar la correcta ejecución de los contratos y garantizar los derechos  y obligaciones de la Entidad Estatal y de los contratistas. </w:t>
      </w:r>
    </w:p>
    <w:p w14:paraId="7D5B0B8E" w14:textId="77777777" w:rsidR="00BB07DD" w:rsidRPr="007B40EC" w:rsidRDefault="00BB07DD" w:rsidP="00BB07DD">
      <w:pPr>
        <w:spacing w:after="0" w:line="276" w:lineRule="auto"/>
        <w:ind w:firstLine="709"/>
        <w:jc w:val="both"/>
        <w:rPr>
          <w:rFonts w:ascii="Verdana" w:eastAsia="Calibri" w:hAnsi="Verdana" w:cs="Arial"/>
          <w:color w:val="EE0000"/>
        </w:rPr>
      </w:pPr>
    </w:p>
    <w:p w14:paraId="2B97E2E3" w14:textId="77777777" w:rsidR="00FA1FD6" w:rsidRPr="0030751E" w:rsidRDefault="00FA1FD6" w:rsidP="00FA1FD6">
      <w:pPr>
        <w:spacing w:after="120" w:line="276" w:lineRule="auto"/>
        <w:jc w:val="both"/>
        <w:rPr>
          <w:rFonts w:ascii="Verdana" w:eastAsia="Calibri" w:hAnsi="Verdana" w:cs="Arial"/>
        </w:rPr>
      </w:pPr>
      <w:r w:rsidRPr="008D6288">
        <w:rPr>
          <w:rFonts w:ascii="Verdana" w:eastAsia="Calibri" w:hAnsi="Verdana" w:cs="Arial"/>
        </w:rPr>
        <w:t xml:space="preserve">iv. </w:t>
      </w:r>
      <w:r w:rsidRPr="0030751E">
        <w:rPr>
          <w:rFonts w:ascii="Verdana" w:eastAsia="Calibri" w:hAnsi="Verdana" w:cs="Arial"/>
        </w:rPr>
        <w:t xml:space="preserve">Finalmente, debe advertirse que el análisis requerido para resolver problemas específicos en torno a la planeación contractual, supervisión de contratos y declaratorias de incumplimientos contractuales, debe ser realizado por quienes tengan interés en ello. De esta manera, las afirmaciones aquí realizadas no pueden ser interpretadas como juicios de valor sobre circunstancias concretas relacionadas con los hechos que motivan la consulta. Por lo anterior, previo concepto de sus asesores, la solución de situaciones particulares corresponde a </w:t>
      </w:r>
      <w:r w:rsidRPr="0030751E">
        <w:rPr>
          <w:rFonts w:ascii="Verdana" w:eastAsia="Calibri" w:hAnsi="Verdana" w:cs="Arial"/>
        </w:rPr>
        <w:lastRenderedPageBreak/>
        <w:t xml:space="preserve">los interesados de adoptar la decisión y, en caso de conflicto, a las autoridades judiciales, fiscales y disciplinarias.  </w:t>
      </w:r>
    </w:p>
    <w:p w14:paraId="7CE7EE2F" w14:textId="77777777" w:rsidR="00FA1FD6" w:rsidRPr="0030751E" w:rsidRDefault="00FA1FD6" w:rsidP="00FA1FD6">
      <w:pPr>
        <w:spacing w:before="120" w:after="0" w:line="276" w:lineRule="auto"/>
        <w:ind w:firstLine="709"/>
        <w:jc w:val="both"/>
        <w:rPr>
          <w:rFonts w:ascii="Verdana" w:eastAsia="Calibri" w:hAnsi="Verdana" w:cs="Arial"/>
        </w:rPr>
      </w:pPr>
      <w:r w:rsidRPr="0030751E">
        <w:rPr>
          <w:rFonts w:ascii="Verdana" w:eastAsia="Calibri" w:hAnsi="Verdana" w:cs="Arial"/>
        </w:rPr>
        <w:t xml:space="preserve">Dentro de este marco, la entidad contratante definirá en cada caso concreto lo relacionado con el tema objeto de consulta. Al tratarse de un análisis que debe realizarse a un asunto particular y concreto, esta Agencia no puede definir un criterio universal y absoluto por vía consultiva, sino que brinda elementos de carácter general para que los partícipes del Sistema de Compras y Contratación Pública adopten la decisión que corresponda, lo cual es acorde con el principio de juridicidad. Así, cada Entidad definirá la forma de adelantar su gestión contractual, sin que sea atribución de la Agencia Nacional de Contratación Pública - Colombia Compra Eficiente validar sus actuaciones.  </w:t>
      </w:r>
    </w:p>
    <w:p w14:paraId="68A98B77" w14:textId="77777777" w:rsidR="00FA1FD6" w:rsidRPr="00DC4CF3" w:rsidRDefault="00FA1FD6" w:rsidP="00FA1FD6">
      <w:pPr>
        <w:spacing w:after="0" w:line="276" w:lineRule="auto"/>
        <w:ind w:firstLine="709"/>
        <w:jc w:val="both"/>
        <w:rPr>
          <w:rFonts w:ascii="Verdana" w:eastAsia="Times New Roman" w:hAnsi="Verdana" w:cs="Times New Roman"/>
          <w:color w:val="EE0000"/>
          <w:lang w:eastAsia="es-ES"/>
        </w:rPr>
      </w:pPr>
    </w:p>
    <w:p w14:paraId="4B5840F3" w14:textId="77777777" w:rsidR="00FA1FD6" w:rsidRPr="000978A4" w:rsidRDefault="00FA1FD6" w:rsidP="00FA1FD6">
      <w:pPr>
        <w:spacing w:after="0" w:line="276" w:lineRule="auto"/>
        <w:jc w:val="both"/>
        <w:rPr>
          <w:rFonts w:ascii="Verdana" w:eastAsia="Century Gothic" w:hAnsi="Verdana" w:cs="Century Gothic"/>
          <w:b/>
          <w:lang w:val="es-ES"/>
        </w:rPr>
      </w:pPr>
      <w:r w:rsidRPr="000978A4">
        <w:rPr>
          <w:rFonts w:ascii="Verdana" w:eastAsia="Century Gothic" w:hAnsi="Verdana" w:cs="Century Gothic"/>
          <w:b/>
          <w:lang w:val="es-ES"/>
        </w:rPr>
        <w:t>4. Referencias normativas, jurisprudenciales y otras fuentes:</w:t>
      </w:r>
    </w:p>
    <w:p w14:paraId="13C099A0" w14:textId="77777777" w:rsidR="00FA1FD6" w:rsidRPr="00DC4CF3" w:rsidRDefault="00FA1FD6" w:rsidP="00FA1FD6">
      <w:pPr>
        <w:spacing w:after="0" w:line="276" w:lineRule="auto"/>
        <w:jc w:val="both"/>
        <w:rPr>
          <w:rFonts w:ascii="Verdana" w:eastAsia="Century Gothic" w:hAnsi="Verdana" w:cs="Century Gothic"/>
          <w:b/>
          <w:color w:val="EE0000"/>
          <w:lang w:val="es-ES"/>
        </w:rPr>
      </w:pPr>
    </w:p>
    <w:tbl>
      <w:tblPr>
        <w:tblStyle w:val="Tablaconcuadrcula"/>
        <w:tblW w:w="8647" w:type="dxa"/>
        <w:tblInd w:w="137" w:type="dxa"/>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ayout w:type="fixed"/>
        <w:tblLook w:val="04A0" w:firstRow="1" w:lastRow="0" w:firstColumn="1" w:lastColumn="0" w:noHBand="0" w:noVBand="1"/>
      </w:tblPr>
      <w:tblGrid>
        <w:gridCol w:w="8647"/>
      </w:tblGrid>
      <w:tr w:rsidR="00FA1FD6" w:rsidRPr="00DC4CF3" w14:paraId="091C2FBF" w14:textId="77777777" w:rsidTr="00205A8F">
        <w:trPr>
          <w:trHeight w:val="453"/>
        </w:trPr>
        <w:tc>
          <w:tcPr>
            <w:tcW w:w="8647" w:type="dxa"/>
          </w:tcPr>
          <w:p w14:paraId="5ED23F74" w14:textId="77777777" w:rsidR="00FA1FD6" w:rsidRPr="00DE2882" w:rsidRDefault="00FA1FD6" w:rsidP="00205A8F">
            <w:pPr>
              <w:widowControl w:val="0"/>
              <w:numPr>
                <w:ilvl w:val="0"/>
                <w:numId w:val="16"/>
              </w:numPr>
              <w:autoSpaceDE w:val="0"/>
              <w:autoSpaceDN w:val="0"/>
              <w:spacing w:line="276" w:lineRule="auto"/>
              <w:jc w:val="both"/>
              <w:rPr>
                <w:rFonts w:ascii="Verdana" w:eastAsia="Arial MT" w:hAnsi="Verdana" w:cs="Arial"/>
                <w:bCs/>
                <w:lang w:eastAsia="es-ES" w:bidi="es-ES"/>
              </w:rPr>
            </w:pPr>
            <w:r w:rsidRPr="00DE2882">
              <w:rPr>
                <w:rFonts w:ascii="Verdana" w:eastAsia="Arial MT" w:hAnsi="Verdana" w:cs="Arial"/>
                <w:bCs/>
                <w:lang w:eastAsia="es-ES" w:bidi="es-ES"/>
              </w:rPr>
              <w:t>Ley 80 de 1993. 4, 5, 12, 14, 26 y 32</w:t>
            </w:r>
          </w:p>
          <w:p w14:paraId="42D9250D" w14:textId="77777777" w:rsidR="00FA1FD6" w:rsidRPr="00DE2882" w:rsidRDefault="00FA1FD6" w:rsidP="00205A8F">
            <w:pPr>
              <w:widowControl w:val="0"/>
              <w:numPr>
                <w:ilvl w:val="0"/>
                <w:numId w:val="16"/>
              </w:numPr>
              <w:autoSpaceDE w:val="0"/>
              <w:autoSpaceDN w:val="0"/>
              <w:spacing w:line="276" w:lineRule="auto"/>
              <w:jc w:val="both"/>
              <w:rPr>
                <w:rFonts w:ascii="Verdana" w:eastAsia="Arial MT" w:hAnsi="Verdana" w:cs="Arial"/>
                <w:bCs/>
                <w:lang w:eastAsia="es-ES" w:bidi="es-ES"/>
              </w:rPr>
            </w:pPr>
            <w:r w:rsidRPr="00DE2882">
              <w:rPr>
                <w:rFonts w:ascii="Verdana" w:eastAsia="Arial MT" w:hAnsi="Verdana" w:cs="Arial"/>
                <w:bCs/>
                <w:lang w:eastAsia="es-ES" w:bidi="es-ES"/>
              </w:rPr>
              <w:t>Ley 1150 de 2007. Artículos 2, 17, 21</w:t>
            </w:r>
          </w:p>
          <w:p w14:paraId="1F6F2A62" w14:textId="77777777" w:rsidR="00FA1FD6" w:rsidRPr="00DE2882" w:rsidRDefault="00FA1FD6" w:rsidP="00205A8F">
            <w:pPr>
              <w:widowControl w:val="0"/>
              <w:numPr>
                <w:ilvl w:val="0"/>
                <w:numId w:val="16"/>
              </w:numPr>
              <w:autoSpaceDE w:val="0"/>
              <w:autoSpaceDN w:val="0"/>
              <w:spacing w:line="276" w:lineRule="auto"/>
              <w:jc w:val="both"/>
              <w:rPr>
                <w:rFonts w:ascii="Verdana" w:eastAsia="Arial MT" w:hAnsi="Verdana" w:cs="Arial"/>
                <w:bCs/>
                <w:lang w:eastAsia="es-ES" w:bidi="es-ES"/>
              </w:rPr>
            </w:pPr>
            <w:r w:rsidRPr="00DE2882">
              <w:rPr>
                <w:rFonts w:ascii="Verdana" w:eastAsia="Arial MT" w:hAnsi="Verdana" w:cs="Arial"/>
                <w:bCs/>
                <w:lang w:eastAsia="es-ES" w:bidi="es-ES"/>
              </w:rPr>
              <w:t>Ley 1474 de 2011. Artículos 83, 84, 85 y 86</w:t>
            </w:r>
          </w:p>
          <w:p w14:paraId="06B9B018" w14:textId="77777777" w:rsidR="00FA1FD6" w:rsidRPr="00DE2882" w:rsidRDefault="00FA1FD6" w:rsidP="00205A8F">
            <w:pPr>
              <w:widowControl w:val="0"/>
              <w:numPr>
                <w:ilvl w:val="0"/>
                <w:numId w:val="16"/>
              </w:numPr>
              <w:autoSpaceDE w:val="0"/>
              <w:autoSpaceDN w:val="0"/>
              <w:spacing w:line="276" w:lineRule="auto"/>
              <w:jc w:val="both"/>
              <w:rPr>
                <w:rFonts w:ascii="Verdana" w:eastAsia="Arial MT" w:hAnsi="Verdana" w:cs="Arial"/>
                <w:bCs/>
                <w:lang w:eastAsia="es-ES" w:bidi="es-ES"/>
              </w:rPr>
            </w:pPr>
            <w:r w:rsidRPr="00DE2882">
              <w:rPr>
                <w:rFonts w:ascii="Verdana" w:eastAsia="Arial MT" w:hAnsi="Verdana" w:cs="Arial"/>
                <w:bCs/>
                <w:lang w:eastAsia="es-ES" w:bidi="es-ES"/>
              </w:rPr>
              <w:t>Decreto 1082 de 2015. Artículos 2.2.1.2.1.4.1, 2.2.1.2.1.4.5</w:t>
            </w:r>
          </w:p>
          <w:p w14:paraId="1CA54EEE" w14:textId="77777777" w:rsidR="00FA1FD6" w:rsidRPr="001621C4" w:rsidRDefault="00FA1FD6" w:rsidP="00205A8F">
            <w:pPr>
              <w:widowControl w:val="0"/>
              <w:numPr>
                <w:ilvl w:val="0"/>
                <w:numId w:val="16"/>
              </w:numPr>
              <w:autoSpaceDE w:val="0"/>
              <w:autoSpaceDN w:val="0"/>
              <w:spacing w:line="276" w:lineRule="auto"/>
              <w:jc w:val="both"/>
              <w:rPr>
                <w:rFonts w:ascii="Verdana" w:eastAsia="Arial MT" w:hAnsi="Verdana" w:cs="Arial"/>
                <w:bCs/>
                <w:lang w:eastAsia="es-ES" w:bidi="es-ES"/>
              </w:rPr>
            </w:pPr>
            <w:r w:rsidRPr="001621C4">
              <w:rPr>
                <w:rFonts w:ascii="Verdana" w:eastAsia="Arial MT" w:hAnsi="Verdana" w:cs="Arial"/>
                <w:bCs/>
                <w:lang w:eastAsia="es-ES" w:bidi="es-ES"/>
              </w:rPr>
              <w:t>Corte Constitucional. Sentencia C-154 de 1997. M.P. Hernando Herrera Vergara.</w:t>
            </w:r>
          </w:p>
          <w:p w14:paraId="0CD1BB82" w14:textId="77777777" w:rsidR="00FA1FD6" w:rsidRPr="001621C4" w:rsidRDefault="00FA1FD6" w:rsidP="00205A8F">
            <w:pPr>
              <w:widowControl w:val="0"/>
              <w:numPr>
                <w:ilvl w:val="0"/>
                <w:numId w:val="16"/>
              </w:numPr>
              <w:autoSpaceDE w:val="0"/>
              <w:autoSpaceDN w:val="0"/>
              <w:spacing w:line="276" w:lineRule="auto"/>
              <w:jc w:val="both"/>
              <w:rPr>
                <w:rFonts w:ascii="Verdana" w:eastAsia="Arial MT" w:hAnsi="Verdana" w:cs="Arial"/>
                <w:bCs/>
                <w:lang w:eastAsia="es-ES" w:bidi="es-ES"/>
              </w:rPr>
            </w:pPr>
            <w:r w:rsidRPr="001621C4">
              <w:rPr>
                <w:rFonts w:ascii="Verdana" w:eastAsia="Arial MT" w:hAnsi="Verdana" w:cs="Arial"/>
                <w:bCs/>
                <w:lang w:eastAsia="es-ES" w:bidi="es-ES"/>
              </w:rPr>
              <w:t>Corte Constitucional. Sentencia C-614 de 2009. M.P. Jorge Ignacio Pretelt Chaljub.</w:t>
            </w:r>
          </w:p>
          <w:p w14:paraId="651322CC" w14:textId="77777777" w:rsidR="00FA1FD6" w:rsidRPr="001621C4" w:rsidRDefault="00FA1FD6" w:rsidP="00205A8F">
            <w:pPr>
              <w:widowControl w:val="0"/>
              <w:numPr>
                <w:ilvl w:val="0"/>
                <w:numId w:val="16"/>
              </w:numPr>
              <w:autoSpaceDE w:val="0"/>
              <w:autoSpaceDN w:val="0"/>
              <w:spacing w:line="276" w:lineRule="auto"/>
              <w:jc w:val="both"/>
              <w:rPr>
                <w:rFonts w:ascii="Verdana" w:eastAsia="Arial MT" w:hAnsi="Verdana" w:cs="Arial"/>
                <w:bCs/>
                <w:lang w:eastAsia="es-ES" w:bidi="es-ES"/>
              </w:rPr>
            </w:pPr>
            <w:r w:rsidRPr="001621C4">
              <w:rPr>
                <w:rFonts w:ascii="Verdana" w:eastAsia="Arial MT" w:hAnsi="Verdana" w:cs="Arial"/>
                <w:bCs/>
                <w:lang w:eastAsia="es-ES" w:bidi="es-ES"/>
              </w:rPr>
              <w:t>Corte Constitucional. Sentencia C-154 de 1997. Magistrado Ponente: Hernando Herrera Vergara.</w:t>
            </w:r>
          </w:p>
          <w:p w14:paraId="2A2ACB45" w14:textId="77777777" w:rsidR="00FA1FD6" w:rsidRPr="001621C4" w:rsidRDefault="00FA1FD6" w:rsidP="00205A8F">
            <w:pPr>
              <w:widowControl w:val="0"/>
              <w:numPr>
                <w:ilvl w:val="0"/>
                <w:numId w:val="16"/>
              </w:numPr>
              <w:autoSpaceDE w:val="0"/>
              <w:autoSpaceDN w:val="0"/>
              <w:spacing w:line="276" w:lineRule="auto"/>
              <w:jc w:val="both"/>
              <w:rPr>
                <w:rFonts w:ascii="Verdana" w:eastAsia="Arial MT" w:hAnsi="Verdana" w:cs="Arial"/>
                <w:bCs/>
                <w:lang w:eastAsia="es-ES" w:bidi="es-ES"/>
              </w:rPr>
            </w:pPr>
            <w:r w:rsidRPr="001621C4">
              <w:rPr>
                <w:rFonts w:ascii="Verdana" w:eastAsia="Arial MT" w:hAnsi="Verdana" w:cs="Arial"/>
                <w:bCs/>
                <w:lang w:eastAsia="es-ES" w:bidi="es-ES"/>
              </w:rPr>
              <w:t xml:space="preserve">Consejo de Estado. Sección Segunda. Sentencia de Unificación Jurisprudencial SUJ-025-CE-S2-2021. Radicado (1317-2016). </w:t>
            </w:r>
          </w:p>
          <w:p w14:paraId="46C4E3C4" w14:textId="77777777" w:rsidR="00FA1FD6" w:rsidRPr="001621C4" w:rsidRDefault="00FA1FD6" w:rsidP="00205A8F">
            <w:pPr>
              <w:widowControl w:val="0"/>
              <w:numPr>
                <w:ilvl w:val="0"/>
                <w:numId w:val="16"/>
              </w:numPr>
              <w:autoSpaceDE w:val="0"/>
              <w:autoSpaceDN w:val="0"/>
              <w:spacing w:line="276" w:lineRule="auto"/>
              <w:jc w:val="both"/>
              <w:rPr>
                <w:rFonts w:ascii="Verdana" w:eastAsia="Arial MT" w:hAnsi="Verdana" w:cs="Arial"/>
                <w:bCs/>
                <w:color w:val="EE0000"/>
                <w:lang w:eastAsia="es-ES" w:bidi="es-ES"/>
              </w:rPr>
            </w:pPr>
            <w:r w:rsidRPr="001621C4">
              <w:rPr>
                <w:rFonts w:ascii="Verdana" w:eastAsia="Arial MT" w:hAnsi="Verdana" w:cs="Arial"/>
                <w:bCs/>
                <w:lang w:eastAsia="es-ES" w:bidi="es-ES"/>
              </w:rPr>
              <w:t>Consejo de Estado. Sección Tercera. Subsección C. Sentencia del 2 de diciembre de 2013. Exp. 41719. C.P. Jaime Orlando Santofimio Gamboa.</w:t>
            </w:r>
          </w:p>
          <w:p w14:paraId="0A62BDE8" w14:textId="77777777" w:rsidR="00FA1FD6" w:rsidRPr="00DC4CF3" w:rsidRDefault="00FA1FD6" w:rsidP="00205A8F">
            <w:pPr>
              <w:widowControl w:val="0"/>
              <w:numPr>
                <w:ilvl w:val="0"/>
                <w:numId w:val="16"/>
              </w:numPr>
              <w:autoSpaceDE w:val="0"/>
              <w:autoSpaceDN w:val="0"/>
              <w:spacing w:line="276" w:lineRule="auto"/>
              <w:jc w:val="both"/>
              <w:rPr>
                <w:rFonts w:ascii="Verdana" w:eastAsia="Arial MT" w:hAnsi="Verdana" w:cs="Arial"/>
                <w:bCs/>
                <w:color w:val="EE0000"/>
                <w:lang w:eastAsia="es-ES" w:bidi="es-ES"/>
              </w:rPr>
            </w:pPr>
            <w:r w:rsidRPr="001621C4">
              <w:rPr>
                <w:rFonts w:ascii="Verdana" w:hAnsi="Verdana" w:cs="Arial"/>
              </w:rPr>
              <w:t xml:space="preserve">Agencia Nacional de Contratación Pública – Colombia Compra Eficiente. Guía de Elaboración de Estudios del Sector. Disponible en: </w:t>
            </w:r>
            <w:hyperlink r:id="rId12" w:history="1">
              <w:r w:rsidRPr="001621C4">
                <w:rPr>
                  <w:rStyle w:val="Hipervnculo"/>
                  <w:rFonts w:ascii="Verdana" w:hAnsi="Verdana" w:cs="Arial"/>
                </w:rPr>
                <w:t>https://www.colombiacompra.gov.co/manualesguias-y-pliegos-tipo/manuales-y-guias</w:t>
              </w:r>
            </w:hyperlink>
            <w:r w:rsidRPr="00D171F5">
              <w:rPr>
                <w:rFonts w:ascii="Verdana" w:hAnsi="Verdana" w:cs="Arial"/>
                <w:sz w:val="14"/>
                <w:szCs w:val="14"/>
              </w:rPr>
              <w:t>.</w:t>
            </w:r>
          </w:p>
        </w:tc>
      </w:tr>
    </w:tbl>
    <w:p w14:paraId="19606A49" w14:textId="77777777" w:rsidR="00FA1FD6" w:rsidRPr="00DC4CF3" w:rsidRDefault="00FA1FD6" w:rsidP="00FA1FD6">
      <w:pPr>
        <w:widowControl w:val="0"/>
        <w:autoSpaceDE w:val="0"/>
        <w:autoSpaceDN w:val="0"/>
        <w:spacing w:after="0" w:line="276" w:lineRule="auto"/>
        <w:jc w:val="both"/>
        <w:rPr>
          <w:rFonts w:ascii="Verdana" w:hAnsi="Verdana" w:cs="Arial"/>
          <w:color w:val="EE0000"/>
          <w:lang w:val="es-ES"/>
        </w:rPr>
      </w:pPr>
    </w:p>
    <w:p w14:paraId="22DA3954" w14:textId="77777777" w:rsidR="00FA1FD6" w:rsidRPr="00DC4CF3" w:rsidRDefault="00FA1FD6" w:rsidP="00FA1FD6">
      <w:pPr>
        <w:tabs>
          <w:tab w:val="left" w:pos="142"/>
          <w:tab w:val="left" w:pos="284"/>
        </w:tabs>
        <w:spacing w:after="0" w:line="276" w:lineRule="auto"/>
        <w:jc w:val="both"/>
        <w:rPr>
          <w:rFonts w:ascii="Verdana" w:eastAsia="Century Gothic" w:hAnsi="Verdana" w:cs="Century Gothic"/>
          <w:b/>
          <w:color w:val="EE0000"/>
          <w:lang w:val="es-ES"/>
        </w:rPr>
      </w:pPr>
      <w:r w:rsidRPr="001C015A">
        <w:rPr>
          <w:rFonts w:ascii="Verdana" w:eastAsia="Century Gothic" w:hAnsi="Verdana" w:cs="Century Gothic"/>
          <w:b/>
          <w:lang w:val="es-ES"/>
        </w:rPr>
        <w:t>5. Doctrina de la Agencia Nacional de Contratación Pública:</w:t>
      </w:r>
    </w:p>
    <w:p w14:paraId="28D617F2" w14:textId="77777777" w:rsidR="00FA1FD6" w:rsidRPr="00016B29" w:rsidRDefault="00FA1FD6" w:rsidP="00FA1FD6">
      <w:pPr>
        <w:widowControl w:val="0"/>
        <w:autoSpaceDE w:val="0"/>
        <w:autoSpaceDN w:val="0"/>
        <w:spacing w:after="0" w:line="276" w:lineRule="auto"/>
        <w:jc w:val="both"/>
        <w:rPr>
          <w:rFonts w:ascii="Verdana" w:hAnsi="Verdana" w:cs="Arial"/>
          <w:lang w:val="es-ES"/>
        </w:rPr>
      </w:pPr>
    </w:p>
    <w:p w14:paraId="38615CE1" w14:textId="77777777" w:rsidR="00FA1FD6" w:rsidRPr="0092681C" w:rsidRDefault="00FA1FD6" w:rsidP="00FA1FD6">
      <w:pPr>
        <w:spacing w:after="0" w:line="276" w:lineRule="auto"/>
        <w:jc w:val="both"/>
        <w:rPr>
          <w:rStyle w:val="normaltextrun"/>
          <w:rFonts w:ascii="Verdana" w:hAnsi="Verdana" w:cs="Arial"/>
          <w:shd w:val="clear" w:color="auto" w:fill="FFFFFF"/>
          <w:lang w:val="es-ES"/>
        </w:rPr>
      </w:pPr>
      <w:r w:rsidRPr="00016B29">
        <w:rPr>
          <w:rFonts w:ascii="Verdana" w:eastAsia="Calibri" w:hAnsi="Verdana" w:cs="Arial"/>
          <w:lang w:val="es-ES"/>
        </w:rPr>
        <w:lastRenderedPageBreak/>
        <w:t xml:space="preserve">La Agencia Nacional de Contratación Pública – Colombia Compra Eficiente se ha referido </w:t>
      </w:r>
      <w:r w:rsidRPr="00016B29">
        <w:rPr>
          <w:rFonts w:ascii="Verdana" w:hAnsi="Verdana" w:cs="Arial"/>
          <w:shd w:val="clear" w:color="auto" w:fill="FFFFFF"/>
          <w:lang w:val="es-ES"/>
        </w:rPr>
        <w:t>sobre</w:t>
      </w:r>
      <w:r w:rsidRPr="00C33EF9">
        <w:rPr>
          <w:rFonts w:ascii="Verdana" w:hAnsi="Verdana" w:cs="Arial"/>
          <w:shd w:val="clear" w:color="auto" w:fill="FFFFFF"/>
          <w:lang w:val="es-ES"/>
        </w:rPr>
        <w:t xml:space="preserve"> la naturaleza y características del contrato de prestación de servicios</w:t>
      </w:r>
      <w:r>
        <w:rPr>
          <w:rFonts w:ascii="Verdana" w:hAnsi="Verdana" w:cs="Arial"/>
          <w:shd w:val="clear" w:color="auto" w:fill="FFFFFF"/>
          <w:lang w:val="es-ES"/>
        </w:rPr>
        <w:t xml:space="preserve"> </w:t>
      </w:r>
      <w:r w:rsidRPr="00C33EF9">
        <w:rPr>
          <w:rFonts w:ascii="Verdana" w:hAnsi="Verdana" w:cs="Arial"/>
          <w:shd w:val="clear" w:color="auto" w:fill="FFFFFF"/>
          <w:lang w:val="es-ES"/>
        </w:rPr>
        <w:t xml:space="preserve">en los </w:t>
      </w:r>
      <w:r>
        <w:rPr>
          <w:rFonts w:ascii="Verdana" w:hAnsi="Verdana" w:cs="Arial"/>
          <w:shd w:val="clear" w:color="auto" w:fill="FFFFFF"/>
          <w:lang w:val="es-ES"/>
        </w:rPr>
        <w:t>c</w:t>
      </w:r>
      <w:r w:rsidRPr="00C33EF9">
        <w:rPr>
          <w:rFonts w:ascii="Verdana" w:hAnsi="Verdana" w:cs="Arial"/>
          <w:shd w:val="clear" w:color="auto" w:fill="FFFFFF"/>
          <w:lang w:val="es-ES"/>
        </w:rPr>
        <w:t xml:space="preserve">onceptos </w:t>
      </w:r>
      <w:r w:rsidRPr="009A05DA">
        <w:rPr>
          <w:rStyle w:val="normaltextrun"/>
          <w:rFonts w:ascii="Verdana" w:hAnsi="Verdana" w:cs="Arial"/>
          <w:shd w:val="clear" w:color="auto" w:fill="FFFFFF"/>
          <w:lang w:val="es-ES"/>
        </w:rPr>
        <w:t xml:space="preserve">C–071 del 4 de marzo de 2020, C–188 del 13 de abril de 2020, C–005, 006, 018 y 138 del 11 de mayo de 2020, C–053, 175, 255, 282, 293 y 320 del 12 de mayo de 2020, C–288 del 27 de mayo de 2020, C–345 del 23 de junio de 2020, C–484 del 6 de agosto de 2020, C–608 del 1 de octubre de 2020, C-145 del 8 de abril del 2021, C-491 del 14 de septiembre de 2021, C-517 del 30 de septiembre de 2021, C – 654 de 22 de noviembre de, C-181 del 7 de abril de 2022, C-773 del 17 de noviembre de 2022, </w:t>
      </w:r>
      <w:r w:rsidRPr="00C33EF9">
        <w:rPr>
          <w:rStyle w:val="normaltextrun"/>
          <w:rFonts w:ascii="Verdana" w:hAnsi="Verdana" w:cs="Arial"/>
          <w:shd w:val="clear" w:color="auto" w:fill="FFFFFF"/>
          <w:lang w:val="es-ES"/>
        </w:rPr>
        <w:t xml:space="preserve">C- 953 del 25 de enero de 2023 y C-966 del 1 de febrero de 2023, C-135 del 25 de mayo de 2023, C-414 del 11 de septiembre de 2024, </w:t>
      </w:r>
      <w:r w:rsidRPr="00C33EF9">
        <w:rPr>
          <w:rFonts w:ascii="Verdana" w:hAnsi="Verdana" w:cs="Arial"/>
          <w:shd w:val="clear" w:color="auto" w:fill="FFFFFF"/>
          <w:lang w:val="es-ES"/>
        </w:rPr>
        <w:t>C-079 del 4 de marzo de 2025,</w:t>
      </w:r>
      <w:r>
        <w:rPr>
          <w:rFonts w:ascii="Verdana" w:hAnsi="Verdana" w:cs="Arial"/>
          <w:shd w:val="clear" w:color="auto" w:fill="FFFFFF"/>
          <w:lang w:val="es-ES"/>
        </w:rPr>
        <w:t xml:space="preserve"> C-441 del 16 de mayo de 2025, C-1838 del 16 de diciembre de 2025, C-491 del 25 de marzo de 2026 y C-550 del 15 de mayo de 2025, </w:t>
      </w:r>
      <w:r w:rsidRPr="00C33EF9">
        <w:rPr>
          <w:rFonts w:ascii="Verdana" w:hAnsi="Verdana" w:cs="Arial"/>
          <w:shd w:val="clear" w:color="auto" w:fill="FFFFFF"/>
          <w:lang w:val="es-ES"/>
        </w:rPr>
        <w:t xml:space="preserve">entre otros. </w:t>
      </w:r>
    </w:p>
    <w:p w14:paraId="0A3505E6" w14:textId="77777777" w:rsidR="00FA1FD6" w:rsidRPr="00DC4CF3" w:rsidRDefault="00FA1FD6" w:rsidP="00FA1FD6">
      <w:pPr>
        <w:spacing w:after="0" w:line="276" w:lineRule="auto"/>
        <w:jc w:val="both"/>
        <w:rPr>
          <w:rStyle w:val="normaltextrun"/>
          <w:rFonts w:ascii="Verdana" w:hAnsi="Verdana" w:cs="Arial"/>
          <w:color w:val="EE0000"/>
          <w:shd w:val="clear" w:color="auto" w:fill="FFFFFF"/>
          <w:lang w:val="es-ES"/>
        </w:rPr>
      </w:pPr>
    </w:p>
    <w:p w14:paraId="2F2FFA15" w14:textId="77777777" w:rsidR="00FA1FD6" w:rsidRPr="0076466E" w:rsidRDefault="00FA1FD6" w:rsidP="00FA1FD6">
      <w:pPr>
        <w:spacing w:after="0" w:line="276" w:lineRule="auto"/>
        <w:jc w:val="both"/>
        <w:rPr>
          <w:rFonts w:ascii="Verdana" w:hAnsi="Verdana"/>
          <w:color w:val="EE0000"/>
        </w:rPr>
      </w:pPr>
      <w:r w:rsidRPr="00FD551E">
        <w:rPr>
          <w:rFonts w:ascii="Verdana" w:hAnsi="Verdana" w:cs="Arial"/>
          <w:shd w:val="clear" w:color="auto" w:fill="FFFFFF"/>
          <w:lang w:val="es-ES"/>
        </w:rPr>
        <w:t>Estos</w:t>
      </w:r>
      <w:r w:rsidRPr="00FD551E">
        <w:rPr>
          <w:rFonts w:ascii="Verdana" w:hAnsi="Verdana"/>
          <w:lang w:val="es-ES"/>
        </w:rPr>
        <w:t xml:space="preserve"> y otros se encuentran disponibles para consulta en el Sistema de relatoría de la Agencia, al cual se puede acceder a través del siguiente enlace:</w:t>
      </w:r>
      <w:r w:rsidRPr="00FD551E">
        <w:rPr>
          <w:rFonts w:ascii="Verdana" w:hAnsi="Verdana" w:cs="Arial"/>
          <w:shd w:val="clear" w:color="auto" w:fill="FFFFFF"/>
          <w:lang w:val="es-ES"/>
        </w:rPr>
        <w:t xml:space="preserve"> </w:t>
      </w:r>
      <w:hyperlink r:id="rId13" w:history="1">
        <w:r w:rsidRPr="00FD551E">
          <w:rPr>
            <w:rStyle w:val="Hipervnculo"/>
            <w:rFonts w:ascii="Verdana" w:hAnsi="Verdana" w:cs="Arial"/>
            <w:shd w:val="clear" w:color="auto" w:fill="FFFFFF"/>
            <w:lang w:val="es-ES"/>
          </w:rPr>
          <w:t>https://relatoria.colombiacompra.gov.co/busqueda/conceptos</w:t>
        </w:r>
      </w:hyperlink>
    </w:p>
    <w:p w14:paraId="5E99D3F0" w14:textId="77777777" w:rsidR="00FA1FD6" w:rsidRPr="0076466E" w:rsidRDefault="00FA1FD6" w:rsidP="00FA1FD6">
      <w:pPr>
        <w:spacing w:after="0" w:line="276" w:lineRule="auto"/>
        <w:jc w:val="both"/>
        <w:rPr>
          <w:rStyle w:val="normaltextrun"/>
          <w:rFonts w:ascii="Verdana" w:hAnsi="Verdana" w:cs="Arial"/>
          <w:color w:val="EE0000"/>
          <w:shd w:val="clear" w:color="auto" w:fill="FFFFFF"/>
        </w:rPr>
      </w:pPr>
    </w:p>
    <w:p w14:paraId="4E6495FF" w14:textId="77777777" w:rsidR="00FA1FD6" w:rsidRPr="0076466E" w:rsidRDefault="00FA1FD6" w:rsidP="00FA1FD6">
      <w:pPr>
        <w:spacing w:after="0" w:line="276" w:lineRule="auto"/>
        <w:jc w:val="both"/>
        <w:rPr>
          <w:rFonts w:ascii="Verdana" w:hAnsi="Verdana"/>
          <w:color w:val="EE0000"/>
        </w:rPr>
      </w:pPr>
      <w:r w:rsidRPr="00FD551E">
        <w:rPr>
          <w:rFonts w:ascii="Verdana" w:hAnsi="Verdana"/>
        </w:rPr>
        <w:t xml:space="preserve">La sostenibilidad no es una opción, es una obligación. Por ello, la Agencia Nacional de Contratación Pública –Colombia Compra Eficiente– te invita a realizar el </w:t>
      </w:r>
      <w:r w:rsidRPr="00FD551E">
        <w:rPr>
          <w:rFonts w:ascii="Verdana" w:hAnsi="Verdana"/>
          <w:b/>
          <w:bCs/>
        </w:rPr>
        <w:t>Curso de Contratación Pública Sostenible y Socialmente Responsable</w:t>
      </w:r>
      <w:r w:rsidRPr="00FD551E">
        <w:rPr>
          <w:rFonts w:ascii="Verdana" w:hAnsi="Verdana"/>
        </w:rPr>
        <w:t>, una herramienta clave para fortalecer las capacidades de todos los compradores públicos, proveedores, servidores públicos v para generar mayor valor público. Accede al curso y aprende como implementar criterios sociales y ambientales en las diferentes etapas del proceso de contratación:</w:t>
      </w:r>
      <w:r w:rsidRPr="0076466E">
        <w:rPr>
          <w:rFonts w:ascii="Verdana" w:hAnsi="Verdana"/>
          <w:color w:val="EE0000"/>
        </w:rPr>
        <w:br/>
      </w:r>
      <w:hyperlink r:id="rId14" w:tgtFrame="_new" w:history="1">
        <w:r w:rsidRPr="00FD551E">
          <w:rPr>
            <w:rStyle w:val="Hipervnculo"/>
            <w:rFonts w:ascii="Verdana" w:hAnsi="Verdana"/>
          </w:rPr>
          <w:t>https://formacionvirtual.colombiacompra.gov.co/mod/page/view.php?id=3718</w:t>
        </w:r>
      </w:hyperlink>
    </w:p>
    <w:p w14:paraId="03DB427D" w14:textId="77777777" w:rsidR="00FA1FD6" w:rsidRPr="0076466E" w:rsidRDefault="00FA1FD6" w:rsidP="00FA1FD6">
      <w:pPr>
        <w:spacing w:after="0" w:line="276" w:lineRule="auto"/>
        <w:jc w:val="both"/>
        <w:rPr>
          <w:rFonts w:ascii="Verdana" w:hAnsi="Verdana"/>
          <w:color w:val="EE0000"/>
        </w:rPr>
      </w:pPr>
    </w:p>
    <w:p w14:paraId="0D9269A3" w14:textId="77777777" w:rsidR="00FA1FD6" w:rsidRPr="0076466E" w:rsidRDefault="00FA1FD6" w:rsidP="00FA1FD6">
      <w:pPr>
        <w:spacing w:after="0" w:line="276" w:lineRule="auto"/>
        <w:jc w:val="both"/>
        <w:rPr>
          <w:rFonts w:ascii="Verdana" w:hAnsi="Verdana"/>
          <w:color w:val="EE0000"/>
        </w:rPr>
      </w:pPr>
      <w:r w:rsidRPr="00FD551E">
        <w:rPr>
          <w:rFonts w:ascii="Verdana" w:hAnsi="Verdana"/>
        </w:rPr>
        <w:t xml:space="preserve">De otro lado, te contamos que esta Agencia ha da un paso decisivo en la estandarización y modernización del </w:t>
      </w:r>
      <w:r w:rsidRPr="00FD551E">
        <w:rPr>
          <w:rFonts w:ascii="Verdana" w:hAnsi="Verdana"/>
          <w:b/>
          <w:bCs/>
        </w:rPr>
        <w:t>sector  social</w:t>
      </w:r>
      <w:r w:rsidRPr="00FD551E">
        <w:rPr>
          <w:rFonts w:ascii="Verdana" w:hAnsi="Verdana"/>
        </w:rPr>
        <w:t xml:space="preserve"> con la expedición de las </w:t>
      </w:r>
      <w:r w:rsidRPr="00FD551E">
        <w:rPr>
          <w:rFonts w:ascii="Verdana" w:hAnsi="Verdana"/>
          <w:b/>
          <w:bCs/>
        </w:rPr>
        <w:t>Resoluciones 539, 540, 541, 952 y 953 de 2025</w:t>
      </w:r>
      <w:r w:rsidRPr="00FD551E">
        <w:rPr>
          <w:rFonts w:ascii="Verdana" w:hAnsi="Verdana"/>
        </w:rPr>
        <w:t xml:space="preserve">, </w:t>
      </w:r>
      <w:r w:rsidRPr="00FD551E">
        <w:rPr>
          <w:rFonts w:ascii="Verdana" w:hAnsi="Verdana"/>
          <w:b/>
          <w:bCs/>
        </w:rPr>
        <w:t>mediante las cuales adoptó Documentos Tipo</w:t>
      </w:r>
      <w:r w:rsidRPr="00FD551E">
        <w:rPr>
          <w:rFonts w:ascii="Verdana" w:hAnsi="Verdana"/>
        </w:rPr>
        <w:t xml:space="preserve"> para las modalidades de selección de</w:t>
      </w:r>
      <w:r w:rsidRPr="00FD551E">
        <w:rPr>
          <w:rFonts w:ascii="Verdana" w:hAnsi="Verdana"/>
          <w:b/>
          <w:bCs/>
        </w:rPr>
        <w:t xml:space="preserve"> licitación pública (versión 2), selección abreviada de menor cuantía, mínima cuantía, consultoría e interventoría</w:t>
      </w:r>
      <w:r w:rsidRPr="00FD551E">
        <w:rPr>
          <w:rFonts w:ascii="Verdana" w:hAnsi="Verdana"/>
        </w:rPr>
        <w:t xml:space="preserve">, promoviendo procesos más transparentes, eficientes  competitivos y sostenibles en sectores estratégicos como educación, salud, cultura, recreación, deporte, institucional y vivienda. </w:t>
      </w:r>
      <w:r w:rsidRPr="00FD551E">
        <w:rPr>
          <w:rFonts w:ascii="Verdana" w:hAnsi="Verdana"/>
        </w:rPr>
        <w:lastRenderedPageBreak/>
        <w:t xml:space="preserve">Consulta y descarga los documentos aquí: </w:t>
      </w:r>
      <w:hyperlink r:id="rId15" w:tgtFrame="_new" w:history="1">
        <w:r w:rsidRPr="00FD551E">
          <w:rPr>
            <w:rStyle w:val="Hipervnculo"/>
            <w:rFonts w:ascii="Verdana" w:hAnsi="Verdana"/>
          </w:rPr>
          <w:t>https://www.colombiacompra.gov.co/normativa-y-relatoria/documentos-tipo</w:t>
        </w:r>
      </w:hyperlink>
    </w:p>
    <w:p w14:paraId="44EB5CD8" w14:textId="77777777" w:rsidR="00FA1FD6" w:rsidRPr="0076466E" w:rsidRDefault="00FA1FD6" w:rsidP="00FA1FD6">
      <w:pPr>
        <w:spacing w:after="0" w:line="276" w:lineRule="auto"/>
        <w:jc w:val="both"/>
        <w:rPr>
          <w:rFonts w:ascii="Verdana" w:hAnsi="Verdana"/>
          <w:color w:val="EE0000"/>
        </w:rPr>
      </w:pPr>
    </w:p>
    <w:p w14:paraId="1455A104" w14:textId="77777777" w:rsidR="00FA1FD6" w:rsidRPr="0076466E" w:rsidRDefault="00FA1FD6" w:rsidP="00FA1FD6">
      <w:pPr>
        <w:spacing w:after="0" w:line="276" w:lineRule="auto"/>
        <w:jc w:val="both"/>
        <w:rPr>
          <w:rFonts w:ascii="Verdana" w:hAnsi="Verdana"/>
          <w:color w:val="EE0000"/>
        </w:rPr>
      </w:pPr>
      <w:r w:rsidRPr="00FD551E">
        <w:rPr>
          <w:rFonts w:ascii="Verdana" w:hAnsi="Verdana"/>
        </w:rPr>
        <w:t xml:space="preserve">Si quieres conocer más sobre la aplicación de Documentos Tipo puedes consultar la última versión de la </w:t>
      </w:r>
      <w:r w:rsidRPr="00FD551E">
        <w:rPr>
          <w:rFonts w:ascii="Verdana" w:hAnsi="Verdana"/>
          <w:b/>
          <w:bCs/>
        </w:rPr>
        <w:t>Guía para la comprensión e implementación de los Documentos Tipo de obra pública de infraestructura de transporte</w:t>
      </w:r>
      <w:r w:rsidRPr="00FD551E">
        <w:rPr>
          <w:rFonts w:ascii="Verdana" w:hAnsi="Verdana"/>
        </w:rPr>
        <w:t>. En esta actualización se incorporaron orientaciones prácticas dirigidas a entidades públicas, proveedores, organismos de control y demás interesados, con el propósito de facilitar la adecuada implementación de estos instrumentos en los procesos contractuales. Además se incluyeron lineamientos que orientan la implementación de los criterios ambientales y sociales incluidos en los documentos tipo: Consulta la guía aquí:</w:t>
      </w:r>
      <w:r w:rsidRPr="0076466E">
        <w:rPr>
          <w:rFonts w:ascii="Verdana" w:hAnsi="Verdana"/>
          <w:color w:val="EE0000"/>
        </w:rPr>
        <w:br/>
      </w:r>
      <w:hyperlink r:id="rId16" w:tgtFrame="_new" w:history="1">
        <w:r w:rsidRPr="00FD551E">
          <w:rPr>
            <w:rStyle w:val="Hipervnculo"/>
            <w:rFonts w:ascii="Verdana" w:hAnsi="Verdana"/>
          </w:rPr>
          <w:t>https://www.colombiacompra.gov.co/archivos/manual/guia-para-la-comprension-e-implementacion-de-los-documentos-tipo-de-obra-publica-de-infraestructura-de-transporte-bajo-las-diferentes-modalidades-de-contratacion-vigentes</w:t>
        </w:r>
      </w:hyperlink>
    </w:p>
    <w:p w14:paraId="340EC210" w14:textId="77777777" w:rsidR="00FA1FD6" w:rsidRPr="0076466E" w:rsidRDefault="00FA1FD6" w:rsidP="00FA1FD6">
      <w:pPr>
        <w:spacing w:after="0" w:line="276" w:lineRule="auto"/>
        <w:jc w:val="both"/>
        <w:rPr>
          <w:rFonts w:ascii="Verdana" w:hAnsi="Verdana" w:cs="Arial"/>
          <w:color w:val="EE0000"/>
          <w:shd w:val="clear" w:color="auto" w:fill="FFFFFF"/>
        </w:rPr>
      </w:pPr>
    </w:p>
    <w:p w14:paraId="3537AEB7" w14:textId="77777777" w:rsidR="00FA1FD6" w:rsidRPr="00116940" w:rsidRDefault="00FA1FD6" w:rsidP="00FA1FD6">
      <w:pPr>
        <w:spacing w:after="0"/>
        <w:jc w:val="both"/>
        <w:rPr>
          <w:rFonts w:ascii="Verdana" w:hAnsi="Verdana"/>
        </w:rPr>
      </w:pPr>
      <w:r>
        <w:rPr>
          <w:rFonts w:ascii="Verdana" w:hAnsi="Verdana"/>
        </w:rPr>
        <w:t>A</w:t>
      </w:r>
      <w:r w:rsidRPr="00E02524">
        <w:rPr>
          <w:rFonts w:ascii="Verdana" w:hAnsi="Verdana"/>
        </w:rPr>
        <w:t xml:space="preserve">provechamos la oportunidad de manifestar la entera disposición de la </w:t>
      </w:r>
      <w:r w:rsidRPr="00116940">
        <w:rPr>
          <w:rFonts w:ascii="Verdana" w:hAnsi="Verdana"/>
        </w:rPr>
        <w:t xml:space="preserve">Agencia Nacional de Contratación Pública –Colombia Compra Eficiente– para atender las peticiones o solicitudes, así como para brindar el apoyo que se requiera en el marco de nuestras funciones a través de nuestros diferentes canales de atención: </w:t>
      </w:r>
    </w:p>
    <w:p w14:paraId="34366039" w14:textId="77777777" w:rsidR="00FA1FD6" w:rsidRPr="00116940" w:rsidRDefault="00FA1FD6" w:rsidP="00FA1FD6">
      <w:pPr>
        <w:spacing w:after="0"/>
        <w:jc w:val="both"/>
        <w:rPr>
          <w:rFonts w:ascii="Verdana" w:hAnsi="Verdana"/>
        </w:rPr>
      </w:pPr>
    </w:p>
    <w:p w14:paraId="251637F6" w14:textId="77777777" w:rsidR="00FA1FD6" w:rsidRPr="00116940" w:rsidRDefault="00FA1FD6" w:rsidP="00FA1FD6">
      <w:pPr>
        <w:pStyle w:val="Prrafodelista"/>
        <w:numPr>
          <w:ilvl w:val="0"/>
          <w:numId w:val="15"/>
        </w:numPr>
        <w:spacing w:after="0" w:line="240" w:lineRule="auto"/>
        <w:jc w:val="both"/>
        <w:rPr>
          <w:rFonts w:ascii="Verdana" w:eastAsia="Verdana" w:hAnsi="Verdana" w:cs="Verdana"/>
          <w:color w:val="4472C4" w:themeColor="accent1"/>
          <w:u w:val="single"/>
          <w:lang w:val="es-MX"/>
        </w:rPr>
      </w:pPr>
      <w:r w:rsidRPr="00116940">
        <w:rPr>
          <w:rFonts w:ascii="Verdana" w:eastAsia="Verdana" w:hAnsi="Verdana" w:cs="Verdana"/>
          <w:lang w:val="es-MX"/>
        </w:rPr>
        <w:t xml:space="preserve">Línea nacional gratuita o servicio a la ciudadanía (Mesa de servicio): </w:t>
      </w:r>
      <w:r w:rsidRPr="00116940">
        <w:rPr>
          <w:rStyle w:val="Hipervnculo"/>
          <w:rFonts w:ascii="Verdana" w:hAnsi="Verdana"/>
        </w:rPr>
        <w:t>01800 0520808</w:t>
      </w:r>
    </w:p>
    <w:p w14:paraId="606D9642" w14:textId="77777777" w:rsidR="00FA1FD6" w:rsidRPr="00116940" w:rsidRDefault="00FA1FD6" w:rsidP="00FA1FD6">
      <w:pPr>
        <w:pStyle w:val="Prrafodelista"/>
        <w:numPr>
          <w:ilvl w:val="0"/>
          <w:numId w:val="15"/>
        </w:numPr>
        <w:spacing w:after="0"/>
        <w:rPr>
          <w:rFonts w:ascii="Verdana" w:eastAsia="Verdana" w:hAnsi="Verdana" w:cs="Verdana"/>
          <w:color w:val="4472C4" w:themeColor="accent1"/>
          <w:u w:val="single"/>
          <w:lang w:val="es-MX"/>
        </w:rPr>
      </w:pPr>
      <w:r w:rsidRPr="00116940">
        <w:rPr>
          <w:rFonts w:ascii="Verdana" w:eastAsia="Verdana" w:hAnsi="Verdana" w:cs="Verdana"/>
          <w:lang w:val="es-MX"/>
        </w:rPr>
        <w:t>Línea en Bogotá (Mesa de servicio):</w:t>
      </w:r>
      <w:r w:rsidRPr="00116940">
        <w:rPr>
          <w:rStyle w:val="Hipervnculo"/>
          <w:rFonts w:ascii="Verdana" w:hAnsi="Verdana"/>
        </w:rPr>
        <w:t>+57 601 7456788</w:t>
      </w:r>
    </w:p>
    <w:p w14:paraId="672A3D2A" w14:textId="77777777" w:rsidR="00FA1FD6" w:rsidRPr="00116940" w:rsidRDefault="00FA1FD6" w:rsidP="00FA1FD6">
      <w:pPr>
        <w:pStyle w:val="Prrafodelista"/>
        <w:numPr>
          <w:ilvl w:val="0"/>
          <w:numId w:val="15"/>
        </w:numPr>
        <w:spacing w:after="0"/>
        <w:rPr>
          <w:rFonts w:ascii="Verdana" w:eastAsia="Verdana" w:hAnsi="Verdana" w:cs="Verdana"/>
          <w:color w:val="0000FF"/>
          <w:u w:val="single"/>
          <w:lang w:val="es-MX"/>
        </w:rPr>
      </w:pPr>
      <w:r w:rsidRPr="00116940">
        <w:rPr>
          <w:rFonts w:ascii="Verdana" w:eastAsia="Verdana" w:hAnsi="Verdana" w:cs="Verdana"/>
          <w:lang w:val="es-MX"/>
        </w:rPr>
        <w:t xml:space="preserve">Correo de radicación de correspondencia: </w:t>
      </w:r>
      <w:hyperlink r:id="rId17">
        <w:r w:rsidRPr="00116940">
          <w:rPr>
            <w:rStyle w:val="Hipervnculo"/>
            <w:rFonts w:ascii="Verdana" w:eastAsia="Verdana" w:hAnsi="Verdana" w:cs="Verdana"/>
            <w:lang w:val="es-MX"/>
          </w:rPr>
          <w:t>ventanilladeradicacion@colombiacompra.gov.co</w:t>
        </w:r>
      </w:hyperlink>
    </w:p>
    <w:p w14:paraId="5A795045" w14:textId="77777777" w:rsidR="00FA1FD6" w:rsidRPr="00116940" w:rsidRDefault="00FA1FD6" w:rsidP="00FA1FD6">
      <w:pPr>
        <w:pStyle w:val="Prrafodelista"/>
        <w:numPr>
          <w:ilvl w:val="0"/>
          <w:numId w:val="15"/>
        </w:numPr>
        <w:spacing w:after="0"/>
        <w:rPr>
          <w:rFonts w:ascii="Verdana" w:eastAsia="Verdana" w:hAnsi="Verdana" w:cs="Verdana"/>
          <w:color w:val="0000FF"/>
          <w:u w:val="single"/>
          <w:lang w:val="es-MX"/>
        </w:rPr>
      </w:pPr>
      <w:r w:rsidRPr="00116940">
        <w:rPr>
          <w:rFonts w:ascii="Verdana" w:eastAsia="Verdana" w:hAnsi="Verdana" w:cs="Verdana"/>
        </w:rPr>
        <w:t>Formulario web para</w:t>
      </w:r>
      <w:r w:rsidRPr="00116940">
        <w:rPr>
          <w:rFonts w:ascii="Verdana" w:eastAsia="Verdana" w:hAnsi="Verdana" w:cs="Verdana"/>
          <w:lang w:val="es"/>
        </w:rPr>
        <w:t xml:space="preserve"> PQRSD: </w:t>
      </w:r>
      <w:hyperlink r:id="rId18">
        <w:r w:rsidRPr="00116940">
          <w:rPr>
            <w:rStyle w:val="Hipervnculo"/>
            <w:rFonts w:ascii="Verdana" w:eastAsia="Verdana" w:hAnsi="Verdana" w:cs="Verdana"/>
            <w:lang w:val="es-MX"/>
          </w:rPr>
          <w:t>https://www.colombiacompra.gov.co/pqrsd/informacion-importante-antes-de-formular-una-pqrsd</w:t>
        </w:r>
      </w:hyperlink>
    </w:p>
    <w:p w14:paraId="7B094300" w14:textId="77777777" w:rsidR="00FA1FD6" w:rsidRPr="00116940" w:rsidRDefault="00FA1FD6" w:rsidP="00FA1FD6">
      <w:pPr>
        <w:spacing w:after="0" w:line="240" w:lineRule="auto"/>
        <w:ind w:left="720"/>
        <w:jc w:val="both"/>
        <w:rPr>
          <w:rFonts w:ascii="Verdana" w:hAnsi="Verdana"/>
        </w:rPr>
      </w:pPr>
    </w:p>
    <w:p w14:paraId="2D5C5255" w14:textId="77777777" w:rsidR="00FA1FD6" w:rsidRPr="00116940" w:rsidRDefault="00FA1FD6" w:rsidP="00FA1FD6">
      <w:pPr>
        <w:spacing w:after="0" w:line="240" w:lineRule="auto"/>
        <w:jc w:val="both"/>
        <w:rPr>
          <w:rFonts w:ascii="Verdana" w:hAnsi="Verdana"/>
        </w:rPr>
      </w:pPr>
      <w:r w:rsidRPr="00116940">
        <w:rPr>
          <w:rFonts w:ascii="Verdana" w:hAnsi="Verdana"/>
        </w:rPr>
        <w:t>Evalúa el servicio que ofrece la Agencia por el canal de atención de PQRSD en el siguiente enlace:</w:t>
      </w:r>
      <w:r>
        <w:rPr>
          <w:rFonts w:ascii="Verdana" w:hAnsi="Verdana"/>
        </w:rPr>
        <w:t xml:space="preserve"> </w:t>
      </w:r>
      <w:hyperlink r:id="rId19" w:history="1">
        <w:r w:rsidRPr="00FB4AC0">
          <w:rPr>
            <w:rStyle w:val="Hipervnculo"/>
            <w:rFonts w:ascii="Verdana" w:hAnsi="Verdana"/>
          </w:rPr>
          <w:t>https://forms.office.com/r/pPHyWVs2SZ</w:t>
        </w:r>
      </w:hyperlink>
      <w:r w:rsidRPr="00116940">
        <w:rPr>
          <w:rFonts w:ascii="Verdana" w:hAnsi="Verdana"/>
        </w:rPr>
        <w:t xml:space="preserve"> .¡Ayúdanos a</w:t>
      </w:r>
      <w:r>
        <w:rPr>
          <w:rFonts w:ascii="Verdana" w:hAnsi="Verdana"/>
        </w:rPr>
        <w:t xml:space="preserve"> </w:t>
      </w:r>
      <w:r w:rsidRPr="00116940">
        <w:rPr>
          <w:rFonts w:ascii="Verdana" w:hAnsi="Verdana"/>
        </w:rPr>
        <w:t>mejorar porque el compromiso es de todos!</w:t>
      </w:r>
    </w:p>
    <w:p w14:paraId="49CF601E" w14:textId="77777777" w:rsidR="00FA1FD6" w:rsidRPr="00116940" w:rsidRDefault="00FA1FD6" w:rsidP="00FA1FD6">
      <w:pPr>
        <w:spacing w:after="0" w:line="240" w:lineRule="auto"/>
        <w:rPr>
          <w:rFonts w:ascii="Verdana" w:hAnsi="Verdana"/>
        </w:rPr>
      </w:pPr>
    </w:p>
    <w:p w14:paraId="33A7458D" w14:textId="77777777" w:rsidR="00FA1FD6" w:rsidRPr="00116940" w:rsidRDefault="00FA1FD6" w:rsidP="00FA1FD6">
      <w:pPr>
        <w:spacing w:after="0" w:line="240" w:lineRule="auto"/>
        <w:jc w:val="both"/>
        <w:rPr>
          <w:rFonts w:ascii="Verdana" w:hAnsi="Verdana"/>
        </w:rPr>
      </w:pPr>
      <w:r w:rsidRPr="00116940">
        <w:rPr>
          <w:rFonts w:ascii="Verdana" w:hAnsi="Verdana"/>
        </w:rPr>
        <w:t xml:space="preserve">Por último, lo invitamos a seguirnos en las redes sociales en las cuales se difunde información institucional: </w:t>
      </w:r>
    </w:p>
    <w:p w14:paraId="33240638" w14:textId="77777777" w:rsidR="00FA1FD6" w:rsidRPr="00116940" w:rsidRDefault="00FA1FD6" w:rsidP="00FA1FD6">
      <w:pPr>
        <w:spacing w:after="0" w:line="240" w:lineRule="auto"/>
        <w:jc w:val="both"/>
        <w:rPr>
          <w:rFonts w:ascii="Verdana" w:hAnsi="Verdana"/>
        </w:rPr>
      </w:pPr>
    </w:p>
    <w:p w14:paraId="080F5D93" w14:textId="77777777" w:rsidR="00FA1FD6" w:rsidRPr="00116940" w:rsidRDefault="00FA1FD6" w:rsidP="00FA1FD6">
      <w:pPr>
        <w:spacing w:after="0" w:line="240" w:lineRule="auto"/>
        <w:jc w:val="both"/>
        <w:rPr>
          <w:rFonts w:ascii="Verdana" w:hAnsi="Verdana"/>
        </w:rPr>
      </w:pPr>
      <w:r w:rsidRPr="00116940">
        <w:rPr>
          <w:rFonts w:ascii="Verdana" w:hAnsi="Verdana"/>
        </w:rPr>
        <w:t xml:space="preserve">Twitter: </w:t>
      </w:r>
      <w:r w:rsidRPr="00116940">
        <w:rPr>
          <w:rStyle w:val="Hipervnculo"/>
          <w:rFonts w:ascii="Verdana" w:hAnsi="Verdana"/>
        </w:rPr>
        <w:t>@colombiacompra</w:t>
      </w:r>
      <w:r w:rsidRPr="00116940">
        <w:rPr>
          <w:rFonts w:ascii="Verdana" w:hAnsi="Verdana"/>
        </w:rPr>
        <w:t xml:space="preserve"> </w:t>
      </w:r>
    </w:p>
    <w:p w14:paraId="508591F7" w14:textId="77777777" w:rsidR="00FA1FD6" w:rsidRPr="00116940" w:rsidRDefault="00FA1FD6" w:rsidP="00FA1FD6">
      <w:pPr>
        <w:spacing w:after="0" w:line="240" w:lineRule="auto"/>
        <w:jc w:val="both"/>
        <w:rPr>
          <w:rFonts w:ascii="Verdana" w:hAnsi="Verdana"/>
        </w:rPr>
      </w:pPr>
      <w:r w:rsidRPr="00116940">
        <w:rPr>
          <w:rFonts w:ascii="Verdana" w:hAnsi="Verdana"/>
        </w:rPr>
        <w:t xml:space="preserve">Facebook: </w:t>
      </w:r>
      <w:r w:rsidRPr="00116940">
        <w:rPr>
          <w:rStyle w:val="Hipervnculo"/>
          <w:rFonts w:ascii="Verdana" w:hAnsi="Verdana"/>
        </w:rPr>
        <w:t>ColombiaCompraEficiente</w:t>
      </w:r>
    </w:p>
    <w:p w14:paraId="2F3D8819" w14:textId="77777777" w:rsidR="00FA1FD6" w:rsidRPr="00116940" w:rsidRDefault="00FA1FD6" w:rsidP="00FA1FD6">
      <w:pPr>
        <w:spacing w:after="0" w:line="240" w:lineRule="auto"/>
        <w:jc w:val="both"/>
        <w:rPr>
          <w:rFonts w:ascii="Verdana" w:hAnsi="Verdana"/>
        </w:rPr>
      </w:pPr>
      <w:r w:rsidRPr="00116940">
        <w:rPr>
          <w:rFonts w:ascii="Verdana" w:hAnsi="Verdana"/>
        </w:rPr>
        <w:t xml:space="preserve">LinkedIn: </w:t>
      </w:r>
      <w:r w:rsidRPr="00116940">
        <w:rPr>
          <w:rStyle w:val="Hipervnculo"/>
          <w:rFonts w:ascii="Verdana" w:hAnsi="Verdana"/>
        </w:rPr>
        <w:t>Agencia Nacional de Contratación Pública - Colombia Compra Eficiente</w:t>
      </w:r>
      <w:r w:rsidRPr="00116940">
        <w:rPr>
          <w:rFonts w:ascii="Verdana" w:hAnsi="Verdana"/>
        </w:rPr>
        <w:t xml:space="preserve"> Instagram: </w:t>
      </w:r>
      <w:r w:rsidRPr="00116940">
        <w:rPr>
          <w:rStyle w:val="Hipervnculo"/>
          <w:rFonts w:ascii="Verdana" w:hAnsi="Verdana"/>
        </w:rPr>
        <w:t>@colombiacompraeficiente_cce</w:t>
      </w:r>
    </w:p>
    <w:p w14:paraId="669AF8FA" w14:textId="77777777" w:rsidR="00FA1FD6" w:rsidRPr="00CC060C" w:rsidRDefault="00FA1FD6" w:rsidP="00FA1FD6">
      <w:pPr>
        <w:widowControl w:val="0"/>
        <w:autoSpaceDE w:val="0"/>
        <w:autoSpaceDN w:val="0"/>
        <w:spacing w:after="0" w:line="276" w:lineRule="auto"/>
        <w:jc w:val="both"/>
        <w:rPr>
          <w:rFonts w:ascii="Verdana" w:hAnsi="Verdana" w:cs="Arial"/>
        </w:rPr>
      </w:pPr>
    </w:p>
    <w:p w14:paraId="624E7D1D" w14:textId="77777777" w:rsidR="00FA1FD6" w:rsidRPr="00FD551E" w:rsidRDefault="00FA1FD6" w:rsidP="00FA1FD6">
      <w:pPr>
        <w:widowControl w:val="0"/>
        <w:autoSpaceDE w:val="0"/>
        <w:autoSpaceDN w:val="0"/>
        <w:spacing w:after="0" w:line="276" w:lineRule="auto"/>
        <w:jc w:val="both"/>
        <w:rPr>
          <w:rFonts w:ascii="Verdana" w:hAnsi="Verdana" w:cs="Arial"/>
          <w:lang w:val="es-ES"/>
        </w:rPr>
      </w:pPr>
      <w:r w:rsidRPr="00FD551E">
        <w:rPr>
          <w:rFonts w:ascii="Verdana" w:hAnsi="Verdana" w:cs="Arial"/>
          <w:lang w:val="es-ES"/>
        </w:rPr>
        <w:t>Este concepto tiene el alcance previsto en el artículo 28 del Código de Procedimiento Administrativo y de lo Contencioso Administrativo y las expresiones aquí utilizadas con mayúscula inicial deben ser entendidas con el significado que les otorga el artículo 2.2.1.1.1.3.1. del Decreto 1082 de 2015.</w:t>
      </w:r>
    </w:p>
    <w:p w14:paraId="7822A9C2" w14:textId="77777777" w:rsidR="00FA1FD6" w:rsidRPr="00FD551E" w:rsidRDefault="00FA1FD6" w:rsidP="00FA1FD6">
      <w:pPr>
        <w:widowControl w:val="0"/>
        <w:autoSpaceDE w:val="0"/>
        <w:autoSpaceDN w:val="0"/>
        <w:spacing w:after="0" w:line="276" w:lineRule="auto"/>
        <w:jc w:val="both"/>
        <w:rPr>
          <w:rFonts w:ascii="Verdana" w:hAnsi="Verdana" w:cs="Arial"/>
          <w:lang w:val="es-ES"/>
        </w:rPr>
      </w:pPr>
    </w:p>
    <w:p w14:paraId="4E0B1B52" w14:textId="241362C4" w:rsidR="00FA1FD6" w:rsidRDefault="00FA1FD6" w:rsidP="00BB1D72">
      <w:pPr>
        <w:spacing w:after="0" w:line="276" w:lineRule="auto"/>
        <w:rPr>
          <w:rFonts w:ascii="Verdana" w:hAnsi="Verdana" w:cs="Arial"/>
          <w:lang w:val="es-ES" w:eastAsia="es-CO"/>
        </w:rPr>
      </w:pPr>
      <w:r w:rsidRPr="00FD551E">
        <w:rPr>
          <w:rFonts w:ascii="Verdana" w:eastAsia="Times New Roman" w:hAnsi="Verdana" w:cs="Arial"/>
          <w:lang w:val="es-ES" w:eastAsia="es-CO"/>
        </w:rPr>
        <w:t>Atentamente,</w:t>
      </w:r>
      <w:r w:rsidRPr="00FD551E">
        <w:rPr>
          <w:rFonts w:ascii="Verdana" w:hAnsi="Verdana" w:cs="Arial"/>
          <w:lang w:val="es-ES" w:eastAsia="es-CO"/>
        </w:rPr>
        <w:t xml:space="preserve"> </w:t>
      </w:r>
    </w:p>
    <w:p w14:paraId="6E5B2503" w14:textId="77777777" w:rsidR="00386ABF" w:rsidRPr="00BB1D72" w:rsidRDefault="00386ABF" w:rsidP="00BB1D72">
      <w:pPr>
        <w:spacing w:after="0" w:line="276" w:lineRule="auto"/>
        <w:rPr>
          <w:rFonts w:ascii="Verdana" w:hAnsi="Verdana" w:cs="Arial"/>
          <w:lang w:val="es-ES" w:eastAsia="es-CO"/>
        </w:rPr>
      </w:pPr>
    </w:p>
    <w:p w14:paraId="1B240104" w14:textId="0E76A78C" w:rsidR="00FA1FD6" w:rsidRPr="0076466E" w:rsidRDefault="00BB1D72" w:rsidP="00FA1FD6">
      <w:pPr>
        <w:spacing w:after="0" w:line="276" w:lineRule="auto"/>
        <w:jc w:val="center"/>
        <w:rPr>
          <w:rFonts w:ascii="Verdana" w:hAnsi="Verdana" w:cs="Arial"/>
          <w:color w:val="EE0000"/>
          <w:lang w:val="es-ES" w:eastAsia="es-CO"/>
        </w:rPr>
      </w:pPr>
      <w:r w:rsidRPr="00BB1D72">
        <w:rPr>
          <w:rFonts w:ascii="Verdana" w:hAnsi="Verdana" w:cs="Arial"/>
          <w:color w:val="EE0000"/>
          <w:lang w:val="es-ES" w:eastAsia="es-CO"/>
        </w:rPr>
        <w:drawing>
          <wp:inline distT="0" distB="0" distL="0" distR="0" wp14:anchorId="79065FDA" wp14:editId="04981EAB">
            <wp:extent cx="2829320" cy="1038370"/>
            <wp:effectExtent l="0" t="0" r="9525" b="9525"/>
            <wp:docPr id="1837434210"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37434210" name=""/>
                    <pic:cNvPicPr/>
                  </pic:nvPicPr>
                  <pic:blipFill>
                    <a:blip r:embed="rId20"/>
                    <a:stretch>
                      <a:fillRect/>
                    </a:stretch>
                  </pic:blipFill>
                  <pic:spPr>
                    <a:xfrm>
                      <a:off x="0" y="0"/>
                      <a:ext cx="2829320" cy="1038370"/>
                    </a:xfrm>
                    <a:prstGeom prst="rect">
                      <a:avLst/>
                    </a:prstGeom>
                  </pic:spPr>
                </pic:pic>
              </a:graphicData>
            </a:graphic>
          </wp:inline>
        </w:drawing>
      </w:r>
    </w:p>
    <w:p w14:paraId="735DE7AC" w14:textId="77777777" w:rsidR="00FA1FD6" w:rsidRPr="0076466E" w:rsidRDefault="00FA1FD6" w:rsidP="00FA1FD6">
      <w:pPr>
        <w:spacing w:after="0" w:line="276" w:lineRule="auto"/>
        <w:rPr>
          <w:rFonts w:ascii="Verdana" w:hAnsi="Verdana" w:cs="Arial"/>
          <w:color w:val="EE0000"/>
          <w:lang w:val="es-ES" w:eastAsia="es-CO"/>
        </w:rPr>
      </w:pPr>
    </w:p>
    <w:tbl>
      <w:tblPr>
        <w:tblStyle w:val="Tablaconcuadrcula"/>
        <w:tblW w:w="6521"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893"/>
        <w:gridCol w:w="5628"/>
      </w:tblGrid>
      <w:tr w:rsidR="00FA1FD6" w:rsidRPr="0076466E" w14:paraId="7F4DBEAE" w14:textId="77777777" w:rsidTr="00205A8F">
        <w:trPr>
          <w:trHeight w:val="315"/>
        </w:trPr>
        <w:tc>
          <w:tcPr>
            <w:tcW w:w="893" w:type="dxa"/>
            <w:vAlign w:val="center"/>
            <w:hideMark/>
          </w:tcPr>
          <w:p w14:paraId="748DB1FC" w14:textId="77777777" w:rsidR="00FA1FD6" w:rsidRPr="00FD551E" w:rsidRDefault="00FA1FD6" w:rsidP="00205A8F">
            <w:pPr>
              <w:contextualSpacing/>
              <w:rPr>
                <w:rFonts w:ascii="Verdana" w:hAnsi="Verdana" w:cs="Arial"/>
                <w:sz w:val="16"/>
                <w:szCs w:val="16"/>
                <w:lang w:val="es-ES" w:eastAsia="es-ES"/>
              </w:rPr>
            </w:pPr>
            <w:r w:rsidRPr="00FD551E">
              <w:rPr>
                <w:rFonts w:ascii="Verdana" w:hAnsi="Verdana" w:cs="Arial"/>
                <w:sz w:val="16"/>
                <w:szCs w:val="16"/>
                <w:lang w:val="es-ES" w:eastAsia="es-ES"/>
              </w:rPr>
              <w:t>Elaboró:</w:t>
            </w:r>
          </w:p>
        </w:tc>
        <w:tc>
          <w:tcPr>
            <w:tcW w:w="5628" w:type="dxa"/>
            <w:tcBorders>
              <w:top w:val="nil"/>
              <w:left w:val="nil"/>
              <w:bottom w:val="dotted" w:sz="4" w:space="0" w:color="7F7F7F" w:themeColor="text1" w:themeTint="80"/>
              <w:right w:val="nil"/>
            </w:tcBorders>
            <w:vAlign w:val="center"/>
            <w:hideMark/>
          </w:tcPr>
          <w:p w14:paraId="7AF1FE2A" w14:textId="77777777" w:rsidR="00FA1FD6" w:rsidRPr="00FD551E" w:rsidRDefault="00FA1FD6" w:rsidP="00205A8F">
            <w:pPr>
              <w:rPr>
                <w:rFonts w:ascii="Verdana" w:eastAsia="Times New Roman" w:hAnsi="Verdana" w:cs="Arial"/>
                <w:sz w:val="16"/>
                <w:szCs w:val="16"/>
                <w:lang w:eastAsia="es-ES"/>
              </w:rPr>
            </w:pPr>
            <w:r w:rsidRPr="00FD551E">
              <w:rPr>
                <w:rFonts w:ascii="Verdana" w:eastAsia="Times New Roman" w:hAnsi="Verdana" w:cs="Arial"/>
                <w:sz w:val="16"/>
                <w:szCs w:val="16"/>
                <w:lang w:eastAsia="es-ES"/>
              </w:rPr>
              <w:t>Camila Alejandra Naranjo Gómez</w:t>
            </w:r>
          </w:p>
          <w:p w14:paraId="30B08792" w14:textId="77777777" w:rsidR="00FA1FD6" w:rsidRPr="00FD551E" w:rsidRDefault="00FA1FD6" w:rsidP="00205A8F">
            <w:pPr>
              <w:contextualSpacing/>
              <w:rPr>
                <w:rFonts w:ascii="Verdana" w:eastAsia="Arial" w:hAnsi="Verdana" w:cs="Arial"/>
                <w:sz w:val="16"/>
                <w:szCs w:val="16"/>
                <w:lang w:val="es-ES"/>
              </w:rPr>
            </w:pPr>
            <w:r w:rsidRPr="00FD551E">
              <w:rPr>
                <w:rFonts w:ascii="Verdana" w:eastAsia="Times New Roman" w:hAnsi="Verdana" w:cs="Arial"/>
                <w:sz w:val="16"/>
                <w:szCs w:val="16"/>
                <w:lang w:eastAsia="es-ES"/>
              </w:rPr>
              <w:t>Analista T2-02 de la Subdirección de Gestión Contractual</w:t>
            </w:r>
          </w:p>
        </w:tc>
      </w:tr>
      <w:tr w:rsidR="00FA1FD6" w:rsidRPr="0076466E" w14:paraId="7E4C72BE" w14:textId="77777777" w:rsidTr="00205A8F">
        <w:trPr>
          <w:trHeight w:val="330"/>
        </w:trPr>
        <w:tc>
          <w:tcPr>
            <w:tcW w:w="893" w:type="dxa"/>
            <w:vAlign w:val="center"/>
            <w:hideMark/>
          </w:tcPr>
          <w:p w14:paraId="649926D3" w14:textId="77777777" w:rsidR="00FA1FD6" w:rsidRPr="00FD551E" w:rsidRDefault="00FA1FD6" w:rsidP="00205A8F">
            <w:pPr>
              <w:contextualSpacing/>
              <w:rPr>
                <w:rFonts w:ascii="Verdana" w:hAnsi="Verdana" w:cs="Arial"/>
                <w:sz w:val="16"/>
                <w:szCs w:val="16"/>
                <w:lang w:val="es-ES" w:eastAsia="es-ES"/>
              </w:rPr>
            </w:pPr>
            <w:r w:rsidRPr="00FD551E">
              <w:rPr>
                <w:rFonts w:ascii="Verdana" w:hAnsi="Verdana" w:cs="Arial"/>
                <w:sz w:val="16"/>
                <w:szCs w:val="16"/>
                <w:lang w:val="es-ES" w:eastAsia="es-ES"/>
              </w:rPr>
              <w:t>Revisó:</w:t>
            </w:r>
          </w:p>
        </w:tc>
        <w:tc>
          <w:tcPr>
            <w:tcW w:w="5628" w:type="dxa"/>
            <w:tcBorders>
              <w:top w:val="dotted" w:sz="4" w:space="0" w:color="7F7F7F" w:themeColor="text1" w:themeTint="80"/>
              <w:left w:val="nil"/>
              <w:bottom w:val="dotted" w:sz="4" w:space="0" w:color="7F7F7F" w:themeColor="text1" w:themeTint="80"/>
              <w:right w:val="nil"/>
            </w:tcBorders>
            <w:vAlign w:val="center"/>
            <w:hideMark/>
          </w:tcPr>
          <w:p w14:paraId="6273522E" w14:textId="77777777" w:rsidR="00FA1FD6" w:rsidRPr="00FD551E" w:rsidRDefault="00FA1FD6" w:rsidP="00205A8F">
            <w:pPr>
              <w:rPr>
                <w:rFonts w:ascii="Verdana" w:eastAsia="Times New Roman" w:hAnsi="Verdana" w:cs="Arial"/>
                <w:sz w:val="16"/>
                <w:szCs w:val="16"/>
                <w:lang w:eastAsia="es-ES"/>
              </w:rPr>
            </w:pPr>
            <w:r>
              <w:rPr>
                <w:rFonts w:ascii="Verdana" w:eastAsia="Times New Roman" w:hAnsi="Verdana" w:cs="Arial"/>
                <w:sz w:val="16"/>
                <w:szCs w:val="16"/>
                <w:lang w:eastAsia="es-ES"/>
              </w:rPr>
              <w:t>Diana Lucía Saavedra Castañeda</w:t>
            </w:r>
          </w:p>
          <w:p w14:paraId="7D248D44" w14:textId="77777777" w:rsidR="00FA1FD6" w:rsidRPr="00FD551E" w:rsidRDefault="00FA1FD6" w:rsidP="00205A8F">
            <w:pPr>
              <w:pStyle w:val="paragraph"/>
              <w:spacing w:before="0" w:beforeAutospacing="0" w:after="0" w:afterAutospacing="0"/>
              <w:contextualSpacing/>
              <w:textAlignment w:val="baseline"/>
              <w:rPr>
                <w:rFonts w:ascii="Verdana" w:hAnsi="Verdana" w:cs="Segoe UI"/>
                <w:sz w:val="16"/>
                <w:szCs w:val="16"/>
                <w:lang w:val="es-ES"/>
              </w:rPr>
            </w:pPr>
            <w:r w:rsidRPr="00FD551E">
              <w:rPr>
                <w:rFonts w:ascii="Verdana" w:hAnsi="Verdana" w:cs="Arial"/>
                <w:sz w:val="16"/>
                <w:szCs w:val="16"/>
                <w:lang w:eastAsia="es-ES"/>
              </w:rPr>
              <w:t>Contratista de la Subdirección de Gestión Contractual</w:t>
            </w:r>
          </w:p>
        </w:tc>
      </w:tr>
      <w:tr w:rsidR="00FA1FD6" w:rsidRPr="0076466E" w14:paraId="6C091CBD" w14:textId="77777777" w:rsidTr="00205A8F">
        <w:trPr>
          <w:trHeight w:val="300"/>
        </w:trPr>
        <w:tc>
          <w:tcPr>
            <w:tcW w:w="893" w:type="dxa"/>
            <w:vAlign w:val="center"/>
          </w:tcPr>
          <w:p w14:paraId="55DAEBC4" w14:textId="77777777" w:rsidR="00FA1FD6" w:rsidRPr="00FD551E" w:rsidRDefault="00FA1FD6" w:rsidP="00205A8F">
            <w:pPr>
              <w:contextualSpacing/>
              <w:rPr>
                <w:rFonts w:ascii="Verdana" w:hAnsi="Verdana" w:cs="Arial"/>
                <w:sz w:val="16"/>
                <w:szCs w:val="16"/>
                <w:lang w:val="es-ES" w:eastAsia="es-ES"/>
              </w:rPr>
            </w:pPr>
            <w:r w:rsidRPr="00FD551E">
              <w:rPr>
                <w:rFonts w:ascii="Verdana" w:hAnsi="Verdana" w:cs="Arial"/>
                <w:sz w:val="16"/>
                <w:szCs w:val="16"/>
                <w:lang w:val="es-ES" w:eastAsia="es-ES"/>
              </w:rPr>
              <w:t>Aprobó:</w:t>
            </w:r>
          </w:p>
        </w:tc>
        <w:tc>
          <w:tcPr>
            <w:tcW w:w="5628" w:type="dxa"/>
            <w:tcBorders>
              <w:top w:val="dotted" w:sz="4" w:space="0" w:color="7F7F7F" w:themeColor="text1" w:themeTint="80"/>
              <w:left w:val="nil"/>
              <w:bottom w:val="dotted" w:sz="4" w:space="0" w:color="7F7F7F" w:themeColor="text1" w:themeTint="80"/>
              <w:right w:val="nil"/>
            </w:tcBorders>
            <w:vAlign w:val="center"/>
          </w:tcPr>
          <w:p w14:paraId="4A93AB13" w14:textId="77777777" w:rsidR="00FA1FD6" w:rsidRPr="00FD551E" w:rsidRDefault="00FA1FD6" w:rsidP="00205A8F">
            <w:pPr>
              <w:contextualSpacing/>
              <w:rPr>
                <w:rFonts w:ascii="Verdana" w:eastAsia="Calibri" w:hAnsi="Verdana" w:cs="Arial"/>
                <w:sz w:val="16"/>
                <w:szCs w:val="16"/>
                <w:lang w:val="es-ES" w:eastAsia="es-ES"/>
              </w:rPr>
            </w:pPr>
            <w:r w:rsidRPr="00FD551E">
              <w:rPr>
                <w:rFonts w:ascii="Verdana" w:eastAsia="Calibri" w:hAnsi="Verdana" w:cs="Arial"/>
                <w:sz w:val="16"/>
                <w:szCs w:val="16"/>
                <w:lang w:val="es-ES" w:eastAsia="es-ES"/>
              </w:rPr>
              <w:t>Carolina Quintero Gacharná</w:t>
            </w:r>
          </w:p>
          <w:p w14:paraId="1E16CED2" w14:textId="77777777" w:rsidR="00FA1FD6" w:rsidRPr="00FD551E" w:rsidRDefault="00FA1FD6" w:rsidP="00205A8F">
            <w:pPr>
              <w:contextualSpacing/>
              <w:rPr>
                <w:rFonts w:ascii="Verdana" w:eastAsia="Calibri" w:hAnsi="Verdana" w:cs="Arial"/>
                <w:sz w:val="16"/>
                <w:szCs w:val="16"/>
                <w:lang w:val="es-ES" w:eastAsia="es-ES"/>
              </w:rPr>
            </w:pPr>
            <w:r w:rsidRPr="00FD551E">
              <w:rPr>
                <w:rFonts w:ascii="Verdana" w:eastAsia="Calibri" w:hAnsi="Verdana" w:cs="Arial"/>
                <w:sz w:val="16"/>
                <w:szCs w:val="16"/>
                <w:lang w:val="es-ES" w:eastAsia="es-ES"/>
              </w:rPr>
              <w:t>Subdirectora de Gestión Contractual ANCP – CCE</w:t>
            </w:r>
          </w:p>
        </w:tc>
      </w:tr>
    </w:tbl>
    <w:p w14:paraId="34A05F52" w14:textId="77777777" w:rsidR="00FA1FD6" w:rsidRPr="0076466E" w:rsidRDefault="00FA1FD6" w:rsidP="00FA1FD6">
      <w:pPr>
        <w:spacing w:after="0" w:line="240" w:lineRule="auto"/>
        <w:jc w:val="both"/>
        <w:textAlignment w:val="baseline"/>
        <w:rPr>
          <w:rFonts w:ascii="Verdana" w:eastAsia="Verdana" w:hAnsi="Verdana" w:cs="Verdana"/>
          <w:color w:val="EE0000"/>
          <w:lang w:eastAsia="es-CO"/>
        </w:rPr>
      </w:pPr>
    </w:p>
    <w:p w14:paraId="07758C8F" w14:textId="297F47AE" w:rsidR="00FA1FD6" w:rsidRPr="0084775B" w:rsidRDefault="00FA1FD6" w:rsidP="00FA1FD6">
      <w:pPr>
        <w:spacing w:after="0" w:line="240" w:lineRule="auto"/>
        <w:textAlignment w:val="baseline"/>
        <w:rPr>
          <w:rFonts w:ascii="Verdana" w:eastAsia="Verdana" w:hAnsi="Verdana" w:cs="Verdana"/>
          <w:color w:val="EE0000"/>
          <w:lang w:eastAsia="es-CO"/>
        </w:rPr>
      </w:pPr>
      <w:r w:rsidRPr="0076466E">
        <w:rPr>
          <w:rFonts w:ascii="Verdana" w:eastAsia="Verdana" w:hAnsi="Verdana" w:cs="Verdana"/>
          <w:color w:val="EE0000"/>
          <w:lang w:eastAsia="es-CO"/>
        </w:rPr>
        <w:t> </w:t>
      </w:r>
      <w:bookmarkEnd w:id="0"/>
    </w:p>
    <w:p w14:paraId="0F293BF4" w14:textId="2003085E" w:rsidR="00127233" w:rsidRPr="00FA1FD6" w:rsidRDefault="00127233" w:rsidP="00FA1FD6"/>
    <w:sectPr w:rsidR="00127233" w:rsidRPr="00FA1FD6" w:rsidSect="007C0C0F">
      <w:headerReference w:type="default" r:id="rId21"/>
      <w:footerReference w:type="default" r:id="rId22"/>
      <w:pgSz w:w="12240" w:h="15840" w:code="1"/>
      <w:pgMar w:top="1417" w:right="1701" w:bottom="1417" w:left="1701"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AA43288" w14:textId="77777777" w:rsidR="00187CC3" w:rsidRDefault="00187CC3" w:rsidP="004A1847">
      <w:pPr>
        <w:spacing w:after="0" w:line="240" w:lineRule="auto"/>
      </w:pPr>
      <w:r>
        <w:separator/>
      </w:r>
    </w:p>
  </w:endnote>
  <w:endnote w:type="continuationSeparator" w:id="0">
    <w:p w14:paraId="75BA5F53" w14:textId="77777777" w:rsidR="00187CC3" w:rsidRDefault="00187CC3" w:rsidP="004A184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Geomanist Light">
    <w:altName w:val="Calibri"/>
    <w:panose1 w:val="02000503000000020004"/>
    <w:charset w:val="00"/>
    <w:family w:val="modern"/>
    <w:notTrueType/>
    <w:pitch w:val="variable"/>
    <w:sig w:usb0="A000002F" w:usb1="1000004A" w:usb2="00000000" w:usb3="00000000" w:csb0="00000193" w:csb1="00000000"/>
  </w:font>
  <w:font w:name="Geomanist">
    <w:altName w:val="Arial"/>
    <w:panose1 w:val="02000503000000020004"/>
    <w:charset w:val="00"/>
    <w:family w:val="modern"/>
    <w:notTrueType/>
    <w:pitch w:val="variable"/>
    <w:sig w:usb0="A000002F" w:usb1="1000004A" w:usb2="00000000" w:usb3="00000000" w:csb0="00000193" w:csb1="00000000"/>
  </w:font>
  <w:font w:name="Verdana">
    <w:panose1 w:val="020B0604030504040204"/>
    <w:charset w:val="00"/>
    <w:family w:val="swiss"/>
    <w:pitch w:val="variable"/>
    <w:sig w:usb0="A00006FF" w:usb1="4000205B" w:usb2="00000010" w:usb3="00000000" w:csb0="0000019F" w:csb1="00000000"/>
  </w:font>
  <w:font w:name="Aptos">
    <w:charset w:val="00"/>
    <w:family w:val="swiss"/>
    <w:pitch w:val="variable"/>
    <w:sig w:usb0="20000287" w:usb1="00000003" w:usb2="00000000" w:usb3="00000000" w:csb0="0000019F" w:csb1="00000000"/>
  </w:font>
  <w:font w:name="Century Gothic">
    <w:panose1 w:val="020B0502020202020204"/>
    <w:charset w:val="00"/>
    <w:family w:val="swiss"/>
    <w:pitch w:val="variable"/>
    <w:sig w:usb0="00000287" w:usb1="00000000" w:usb2="00000000" w:usb3="00000000" w:csb0="0000009F" w:csb1="00000000"/>
  </w:font>
  <w:font w:name="Segoe UI">
    <w:panose1 w:val="020B0502040204020203"/>
    <w:charset w:val="00"/>
    <w:family w:val="swiss"/>
    <w:pitch w:val="variable"/>
    <w:sig w:usb0="E4002EFF" w:usb1="C000E47F" w:usb2="00000009" w:usb3="00000000" w:csb0="000001FF" w:csb1="00000000"/>
  </w:font>
  <w:font w:name="Arial Nova">
    <w:charset w:val="00"/>
    <w:family w:val="swiss"/>
    <w:pitch w:val="variable"/>
    <w:sig w:usb0="0000028F" w:usb1="00000002" w:usb2="00000000" w:usb3="00000000" w:csb0="0000019F" w:csb1="00000000"/>
  </w:font>
  <w:font w:name="Arial MT">
    <w:altName w:val="Arial"/>
    <w:charset w:val="01"/>
    <w:family w:val="swiss"/>
    <w:pitch w:val="variable"/>
  </w:font>
  <w:font w:name="Geomanist Bold">
    <w:altName w:val="Calibri"/>
    <w:panose1 w:val="02000503000000020004"/>
    <w:charset w:val="00"/>
    <w:family w:val="modern"/>
    <w:notTrueType/>
    <w:pitch w:val="variable"/>
    <w:sig w:usb0="A000002F" w:usb1="1000004A" w:usb2="00000000" w:usb3="00000000" w:csb0="00000193" w:csb1="00000000"/>
  </w:font>
  <w:font w:name="Geo">
    <w:altName w:val="Calibri"/>
    <w:charset w:val="00"/>
    <w:family w:val="auto"/>
    <w:pitch w:val="variable"/>
    <w:sig w:usb0="8000002F" w:usb1="40000048" w:usb2="00000000" w:usb3="00000000" w:csb0="00000001"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8911A32" w14:textId="6CE791A4" w:rsidR="004A1847" w:rsidRDefault="004A1847">
    <w:pPr>
      <w:pStyle w:val="Piedepgina"/>
    </w:pPr>
  </w:p>
  <w:p w14:paraId="594D6D9F" w14:textId="77777777" w:rsidR="00D520D8" w:rsidRPr="00174B77" w:rsidRDefault="07C73DD1" w:rsidP="07C73DD1">
    <w:pPr>
      <w:pBdr>
        <w:top w:val="single" w:sz="4" w:space="1" w:color="000000"/>
      </w:pBdr>
      <w:spacing w:after="0"/>
      <w:rPr>
        <w:rFonts w:ascii="Verdana" w:eastAsia="Verdana" w:hAnsi="Verdana" w:cs="Verdana"/>
        <w:b/>
        <w:bCs/>
        <w:sz w:val="18"/>
        <w:szCs w:val="18"/>
      </w:rPr>
    </w:pPr>
    <w:r w:rsidRPr="07C73DD1">
      <w:rPr>
        <w:rFonts w:ascii="Verdana" w:eastAsia="Verdana" w:hAnsi="Verdana" w:cs="Verdana"/>
        <w:b/>
        <w:bCs/>
        <w:sz w:val="18"/>
        <w:szCs w:val="18"/>
      </w:rPr>
      <w:t xml:space="preserve">Agencia Nacional de Contratación Pública                                              </w:t>
    </w:r>
    <w:r w:rsidRPr="07C73DD1">
      <w:rPr>
        <w:rFonts w:ascii="Verdana" w:eastAsia="Verdana" w:hAnsi="Verdana" w:cs="Verdana"/>
        <w:b/>
        <w:bCs/>
        <w:sz w:val="18"/>
        <w:szCs w:val="18"/>
        <w:lang w:val="es-ES"/>
      </w:rPr>
      <w:t xml:space="preserve">pág. </w:t>
    </w:r>
    <w:r w:rsidR="00D520D8" w:rsidRPr="07C73DD1">
      <w:rPr>
        <w:rFonts w:ascii="Verdana" w:eastAsia="Verdana" w:hAnsi="Verdana" w:cs="Verdana"/>
        <w:b/>
        <w:bCs/>
        <w:sz w:val="18"/>
        <w:szCs w:val="18"/>
      </w:rPr>
      <w:fldChar w:fldCharType="begin"/>
    </w:r>
    <w:r w:rsidR="00D520D8" w:rsidRPr="07C73DD1">
      <w:rPr>
        <w:rFonts w:ascii="Verdana" w:hAnsi="Verdana"/>
        <w:b/>
        <w:bCs/>
        <w:sz w:val="16"/>
        <w:szCs w:val="16"/>
      </w:rPr>
      <w:instrText>PAGE    \* MERGEFORMAT</w:instrText>
    </w:r>
    <w:r w:rsidR="00D520D8" w:rsidRPr="07C73DD1">
      <w:rPr>
        <w:rFonts w:ascii="Verdana" w:eastAsiaTheme="minorEastAsia" w:hAnsi="Verdana"/>
        <w:b/>
        <w:bCs/>
        <w:sz w:val="16"/>
        <w:szCs w:val="16"/>
      </w:rPr>
      <w:fldChar w:fldCharType="separate"/>
    </w:r>
    <w:r w:rsidRPr="07C73DD1">
      <w:rPr>
        <w:rFonts w:ascii="Verdana" w:eastAsia="Verdana" w:hAnsi="Verdana" w:cs="Verdana"/>
        <w:b/>
        <w:bCs/>
        <w:sz w:val="18"/>
        <w:szCs w:val="18"/>
      </w:rPr>
      <w:t>1</w:t>
    </w:r>
    <w:r w:rsidR="00D520D8" w:rsidRPr="07C73DD1">
      <w:rPr>
        <w:rFonts w:ascii="Verdana" w:eastAsia="Verdana" w:hAnsi="Verdana" w:cs="Verdana"/>
        <w:b/>
        <w:bCs/>
        <w:sz w:val="18"/>
        <w:szCs w:val="18"/>
      </w:rPr>
      <w:fldChar w:fldCharType="end"/>
    </w:r>
    <w:r w:rsidRPr="07C73DD1">
      <w:rPr>
        <w:rFonts w:ascii="Verdana" w:eastAsia="Verdana" w:hAnsi="Verdana" w:cs="Verdana"/>
        <w:b/>
        <w:bCs/>
        <w:sz w:val="18"/>
        <w:szCs w:val="18"/>
      </w:rPr>
      <w:t xml:space="preserve">              Colombia Compra Eficiente         </w:t>
    </w:r>
    <w:r w:rsidRPr="07C73DD1">
      <w:rPr>
        <w:rFonts w:ascii="Verdana" w:eastAsia="Verdana" w:hAnsi="Verdana" w:cs="Verdana"/>
        <w:b/>
        <w:bCs/>
        <w:sz w:val="18"/>
        <w:szCs w:val="18"/>
        <w:lang w:val="es-ES"/>
      </w:rPr>
      <w:t xml:space="preserve"> </w:t>
    </w:r>
    <w:r w:rsidRPr="07C73DD1">
      <w:rPr>
        <w:rFonts w:ascii="Verdana" w:eastAsia="Verdana" w:hAnsi="Verdana" w:cs="Verdana"/>
        <w:b/>
        <w:bCs/>
        <w:sz w:val="18"/>
        <w:szCs w:val="18"/>
      </w:rPr>
      <w:t xml:space="preserve">                                                  </w:t>
    </w:r>
  </w:p>
  <w:p w14:paraId="0A735DD5" w14:textId="77777777" w:rsidR="00D520D8" w:rsidRDefault="07C73DD1" w:rsidP="07C73DD1">
    <w:pPr>
      <w:spacing w:after="0"/>
      <w:jc w:val="both"/>
      <w:rPr>
        <w:rFonts w:ascii="Verdana" w:eastAsia="Verdana" w:hAnsi="Verdana" w:cs="Verdana"/>
        <w:sz w:val="18"/>
        <w:szCs w:val="18"/>
      </w:rPr>
    </w:pPr>
    <w:r w:rsidRPr="07C73DD1">
      <w:rPr>
        <w:rFonts w:ascii="Verdana" w:eastAsia="Verdana" w:hAnsi="Verdana" w:cs="Verdana"/>
        <w:sz w:val="18"/>
        <w:szCs w:val="18"/>
      </w:rPr>
      <w:t>Dirección: Carrera 7 # 26 – 20 - Bogotá, Colombia</w:t>
    </w:r>
  </w:p>
  <w:p w14:paraId="06E36B88" w14:textId="77777777" w:rsidR="00D520D8" w:rsidRPr="00E41027" w:rsidRDefault="07C73DD1" w:rsidP="07C73DD1">
    <w:pPr>
      <w:spacing w:after="0"/>
      <w:jc w:val="both"/>
      <w:rPr>
        <w:rFonts w:ascii="Verdana" w:eastAsia="Verdana" w:hAnsi="Verdana" w:cs="Verdana"/>
        <w:sz w:val="18"/>
        <w:szCs w:val="18"/>
      </w:rPr>
    </w:pPr>
    <w:r w:rsidRPr="07C73DD1">
      <w:rPr>
        <w:rFonts w:ascii="Verdana" w:eastAsia="Verdana" w:hAnsi="Verdana" w:cs="Verdana"/>
        <w:sz w:val="18"/>
        <w:szCs w:val="18"/>
      </w:rPr>
      <w:t>Mesa de servicio: (+57) 601 7456788</w:t>
    </w:r>
  </w:p>
  <w:p w14:paraId="744661F5" w14:textId="22B9E88F" w:rsidR="006219F8" w:rsidRDefault="07C73DD1" w:rsidP="07C73DD1">
    <w:pPr>
      <w:pBdr>
        <w:top w:val="nil"/>
        <w:left w:val="nil"/>
        <w:bottom w:val="nil"/>
        <w:right w:val="nil"/>
        <w:between w:val="nil"/>
      </w:pBdr>
      <w:tabs>
        <w:tab w:val="center" w:pos="4419"/>
        <w:tab w:val="right" w:pos="8838"/>
        <w:tab w:val="center" w:pos="5400"/>
      </w:tabs>
      <w:spacing w:after="0"/>
      <w:jc w:val="right"/>
      <w:rPr>
        <w:rFonts w:ascii="Verdana" w:eastAsia="Verdana" w:hAnsi="Verdana" w:cs="Verdana"/>
        <w:sz w:val="18"/>
        <w:szCs w:val="18"/>
        <w:lang w:eastAsia="es-CO"/>
      </w:rPr>
    </w:pPr>
    <w:r w:rsidRPr="07C73DD1">
      <w:rPr>
        <w:rFonts w:ascii="Verdana" w:eastAsia="Verdana" w:hAnsi="Verdana" w:cs="Verdana"/>
        <w:b/>
        <w:bCs/>
        <w:color w:val="000000" w:themeColor="text1"/>
        <w:sz w:val="18"/>
        <w:szCs w:val="18"/>
        <w:lang w:eastAsia="es-CO"/>
      </w:rPr>
      <w:t xml:space="preserve">Código: </w:t>
    </w:r>
    <w:r w:rsidRPr="07C73DD1">
      <w:rPr>
        <w:rFonts w:ascii="Verdana" w:eastAsia="Verdana" w:hAnsi="Verdana" w:cs="Verdana"/>
        <w:color w:val="000000" w:themeColor="text1"/>
        <w:sz w:val="18"/>
        <w:szCs w:val="18"/>
        <w:lang w:eastAsia="es-CO"/>
      </w:rPr>
      <w:t xml:space="preserve">CCE-REC-FM-17 </w:t>
    </w:r>
    <w:r w:rsidRPr="07C73DD1">
      <w:rPr>
        <w:rFonts w:ascii="Verdana" w:eastAsia="Verdana" w:hAnsi="Verdana" w:cs="Verdana"/>
        <w:b/>
        <w:bCs/>
        <w:color w:val="000000" w:themeColor="text1"/>
        <w:sz w:val="18"/>
        <w:szCs w:val="18"/>
        <w:lang w:eastAsia="es-CO"/>
      </w:rPr>
      <w:t xml:space="preserve">V: </w:t>
    </w:r>
    <w:r w:rsidRPr="07C73DD1">
      <w:rPr>
        <w:rFonts w:ascii="Verdana" w:eastAsia="Verdana" w:hAnsi="Verdana" w:cs="Verdana"/>
        <w:sz w:val="18"/>
        <w:szCs w:val="18"/>
        <w:lang w:eastAsia="es-CO"/>
      </w:rPr>
      <w:t>03 Fecha: 21-10-2025</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2A217BCB" w14:textId="77777777" w:rsidR="00187CC3" w:rsidRDefault="00187CC3" w:rsidP="004A1847">
      <w:pPr>
        <w:spacing w:after="0" w:line="240" w:lineRule="auto"/>
      </w:pPr>
      <w:r>
        <w:separator/>
      </w:r>
    </w:p>
  </w:footnote>
  <w:footnote w:type="continuationSeparator" w:id="0">
    <w:p w14:paraId="73A59907" w14:textId="77777777" w:rsidR="00187CC3" w:rsidRDefault="00187CC3" w:rsidP="004A1847">
      <w:pPr>
        <w:spacing w:after="0" w:line="240" w:lineRule="auto"/>
      </w:pPr>
      <w:r>
        <w:continuationSeparator/>
      </w:r>
    </w:p>
  </w:footnote>
  <w:footnote w:id="1">
    <w:p w14:paraId="6310809D" w14:textId="77777777" w:rsidR="00FA1FD6" w:rsidRPr="00BB1D72" w:rsidRDefault="00FA1FD6" w:rsidP="00FA1FD6">
      <w:pPr>
        <w:pStyle w:val="Textonotapie"/>
        <w:ind w:firstLine="709"/>
        <w:jc w:val="both"/>
        <w:rPr>
          <w:rFonts w:ascii="Verdana" w:hAnsi="Verdana" w:cs="Arial"/>
          <w:sz w:val="14"/>
          <w:szCs w:val="14"/>
        </w:rPr>
      </w:pPr>
      <w:r w:rsidRPr="00BB1D72">
        <w:rPr>
          <w:rStyle w:val="Refdenotaalpie"/>
          <w:rFonts w:ascii="Verdana" w:hAnsi="Verdana" w:cs="Arial"/>
          <w:sz w:val="14"/>
          <w:szCs w:val="14"/>
        </w:rPr>
        <w:footnoteRef/>
      </w:r>
      <w:r w:rsidRPr="00BB1D72">
        <w:rPr>
          <w:rFonts w:ascii="Verdana" w:hAnsi="Verdana" w:cs="Arial"/>
          <w:sz w:val="14"/>
          <w:szCs w:val="14"/>
        </w:rPr>
        <w:t xml:space="preserve"> Así lo señaló el Consejo de Estado en la sentencia de unificación en mención, al indicar que “cualquier contrato de prestación de servicios tiene por objeto genérico “desarrollar actividades relacionadas con la administración o funcionamiento de la entidad”.</w:t>
      </w:r>
    </w:p>
    <w:p w14:paraId="0B22E838" w14:textId="77777777" w:rsidR="00FA1FD6" w:rsidRPr="00BB1D72" w:rsidRDefault="00FA1FD6" w:rsidP="00FA1FD6">
      <w:pPr>
        <w:pStyle w:val="Textonotapie"/>
        <w:ind w:firstLine="709"/>
        <w:jc w:val="both"/>
        <w:rPr>
          <w:rFonts w:ascii="Verdana" w:hAnsi="Verdana" w:cs="Arial"/>
          <w:sz w:val="14"/>
          <w:szCs w:val="14"/>
          <w:lang w:val="es-ES_tradnl"/>
        </w:rPr>
      </w:pPr>
    </w:p>
  </w:footnote>
  <w:footnote w:id="2">
    <w:p w14:paraId="5533765F" w14:textId="77777777" w:rsidR="00FA1FD6" w:rsidRPr="00BB1D72" w:rsidRDefault="00FA1FD6" w:rsidP="00FA1FD6">
      <w:pPr>
        <w:pStyle w:val="Textonotapie"/>
        <w:ind w:firstLine="709"/>
        <w:jc w:val="both"/>
        <w:rPr>
          <w:rFonts w:ascii="Verdana" w:hAnsi="Verdana" w:cs="Arial"/>
          <w:color w:val="000000"/>
          <w:sz w:val="14"/>
          <w:szCs w:val="14"/>
          <w:lang w:val="es-ES"/>
        </w:rPr>
      </w:pPr>
      <w:r w:rsidRPr="00BB1D72">
        <w:rPr>
          <w:rStyle w:val="Refdenotaalpie"/>
          <w:rFonts w:ascii="Verdana" w:hAnsi="Verdana"/>
          <w:sz w:val="14"/>
          <w:szCs w:val="14"/>
        </w:rPr>
        <w:footnoteRef/>
      </w:r>
      <w:r w:rsidRPr="00BB1D72">
        <w:rPr>
          <w:rFonts w:ascii="Verdana" w:hAnsi="Verdana"/>
          <w:sz w:val="14"/>
          <w:szCs w:val="14"/>
        </w:rPr>
        <w:t xml:space="preserve"> </w:t>
      </w:r>
      <w:r w:rsidRPr="00BB1D72">
        <w:rPr>
          <w:rFonts w:ascii="Verdana" w:hAnsi="Verdana" w:cs="Arial"/>
          <w:color w:val="000000"/>
          <w:sz w:val="14"/>
          <w:szCs w:val="14"/>
          <w:lang w:val="es-ES"/>
        </w:rPr>
        <w:t>El artículo 22 del Código Sustantivo del Trabajo establece: “1. Contrato de trabajo es aquel por el cual una persona natural se obliga a prestar un servicio personal a otra persona, natural o jurídica, bajo la continuada dependencia o subordinación de la segunda y mediante remuneración. Quien presta el servicio se denomina trabajador, quien lo recibe y remunera, empleador, y la remuneración, cualquiera que sea su forma, salario”.</w:t>
      </w:r>
    </w:p>
    <w:p w14:paraId="32510609" w14:textId="77777777" w:rsidR="00FA1FD6" w:rsidRPr="00BB1D72" w:rsidRDefault="00FA1FD6" w:rsidP="00FA1FD6">
      <w:pPr>
        <w:pStyle w:val="Textonotapie"/>
        <w:ind w:firstLine="709"/>
        <w:jc w:val="both"/>
        <w:rPr>
          <w:rFonts w:ascii="Verdana" w:hAnsi="Verdana" w:cs="Arial"/>
          <w:color w:val="000000"/>
          <w:sz w:val="14"/>
          <w:szCs w:val="14"/>
          <w:lang w:val="es-ES"/>
        </w:rPr>
      </w:pPr>
    </w:p>
  </w:footnote>
  <w:footnote w:id="3">
    <w:p w14:paraId="696153D8" w14:textId="77777777" w:rsidR="00FA1FD6" w:rsidRPr="00BB1D72" w:rsidRDefault="00FA1FD6" w:rsidP="00FA1FD6">
      <w:pPr>
        <w:pStyle w:val="Textonotapie"/>
        <w:ind w:firstLine="709"/>
        <w:jc w:val="both"/>
        <w:rPr>
          <w:rFonts w:ascii="Verdana" w:hAnsi="Verdana" w:cs="Arial"/>
          <w:color w:val="000000"/>
          <w:sz w:val="14"/>
          <w:szCs w:val="14"/>
          <w:lang w:val="es-ES"/>
        </w:rPr>
      </w:pPr>
      <w:r w:rsidRPr="00BB1D72">
        <w:rPr>
          <w:rStyle w:val="Refdenotaalpie"/>
          <w:rFonts w:ascii="Verdana" w:hAnsi="Verdana"/>
          <w:sz w:val="14"/>
          <w:szCs w:val="14"/>
        </w:rPr>
        <w:footnoteRef/>
      </w:r>
      <w:r w:rsidRPr="00BB1D72">
        <w:rPr>
          <w:rFonts w:ascii="Verdana" w:hAnsi="Verdana"/>
          <w:sz w:val="14"/>
          <w:szCs w:val="14"/>
        </w:rPr>
        <w:t xml:space="preserve"> </w:t>
      </w:r>
      <w:r w:rsidRPr="00BB1D72">
        <w:rPr>
          <w:rFonts w:ascii="Verdana" w:hAnsi="Verdana" w:cs="Arial"/>
          <w:color w:val="000000"/>
          <w:sz w:val="14"/>
          <w:szCs w:val="14"/>
          <w:lang w:val="es-ES"/>
        </w:rPr>
        <w:t>En efecto, el artículo 244 de la Ley 1955 de 2015 dispone, en lo pertinente: “Los trabajadores independientes con ingresos netos iguales o superiores a 1 salario mínimo legal mensual vigente que celebren contratos de prestación de servicios personales, cotizarán mes vencido al Sistema de Seguridad Social Integral, sobre una base mínima del 40% del valor mensualizado del contrato, sin incluir el valor del Impuesto al Valor Agregado (IVA).</w:t>
      </w:r>
    </w:p>
    <w:p w14:paraId="55DA77BC" w14:textId="77777777" w:rsidR="00FA1FD6" w:rsidRPr="00BB1D72" w:rsidRDefault="00FA1FD6" w:rsidP="00FA1FD6">
      <w:pPr>
        <w:pStyle w:val="Textonotapie"/>
        <w:ind w:firstLine="709"/>
        <w:jc w:val="both"/>
        <w:rPr>
          <w:rFonts w:ascii="Verdana" w:hAnsi="Verdana" w:cs="Arial"/>
          <w:color w:val="000000"/>
          <w:sz w:val="14"/>
          <w:szCs w:val="14"/>
          <w:lang w:val="es-ES"/>
        </w:rPr>
      </w:pPr>
      <w:r w:rsidRPr="00BB1D72">
        <w:rPr>
          <w:rFonts w:ascii="Verdana" w:hAnsi="Verdana" w:cs="Arial"/>
          <w:color w:val="000000"/>
          <w:sz w:val="14"/>
          <w:szCs w:val="14"/>
          <w:lang w:val="es-ES"/>
        </w:rPr>
        <w:t>Los independientes por cuenta propia y los trabajadores independientes con contratos diferentes a prestación de servicios personales con ingresos netos iguales o superiores a un (1) salario mínimo legal mensual vigente efectuarán su cotización mes vencido, sobre una base mínima de cotización del 40% del valor mensualizado de los ingresos, sin incluir el valor del Impuesto al Valor Agregado (IVA). En estos casos será procedente la imputación de costos y deducciones siempre que se cumplan los criterios determinados en el artículo 107 del Estatuto Tributario y sin exceder los valores incluidos en la declaración de renta de la respectiva vigencia.</w:t>
      </w:r>
    </w:p>
    <w:p w14:paraId="39304136" w14:textId="77777777" w:rsidR="00FA1FD6" w:rsidRPr="00BB1D72" w:rsidRDefault="00FA1FD6" w:rsidP="00FA1FD6">
      <w:pPr>
        <w:pStyle w:val="Textonotapie"/>
        <w:ind w:firstLine="709"/>
        <w:jc w:val="both"/>
        <w:rPr>
          <w:rFonts w:ascii="Verdana" w:hAnsi="Verdana" w:cs="Arial"/>
          <w:color w:val="000000"/>
          <w:sz w:val="14"/>
          <w:szCs w:val="14"/>
          <w:lang w:val="es-ES"/>
        </w:rPr>
      </w:pPr>
      <w:r w:rsidRPr="00BB1D72">
        <w:rPr>
          <w:rFonts w:ascii="Verdana" w:hAnsi="Verdana" w:cs="Arial"/>
          <w:color w:val="000000"/>
          <w:sz w:val="14"/>
          <w:szCs w:val="14"/>
          <w:lang w:val="es-ES"/>
        </w:rPr>
        <w:t>El Gobierno nacional reglamentará el mecanismo para realizar la mensualización de que trata el presente artículo.</w:t>
      </w:r>
    </w:p>
    <w:p w14:paraId="0B428D43" w14:textId="77777777" w:rsidR="00FA1FD6" w:rsidRPr="00BB1D72" w:rsidRDefault="00FA1FD6" w:rsidP="00FA1FD6">
      <w:pPr>
        <w:pStyle w:val="Textonotapie"/>
        <w:ind w:firstLine="709"/>
        <w:jc w:val="both"/>
        <w:rPr>
          <w:rFonts w:ascii="Verdana" w:hAnsi="Verdana" w:cs="Arial"/>
          <w:color w:val="000000"/>
          <w:sz w:val="14"/>
          <w:szCs w:val="14"/>
          <w:lang w:val="es-ES"/>
        </w:rPr>
      </w:pPr>
      <w:r w:rsidRPr="00BB1D72">
        <w:rPr>
          <w:rFonts w:ascii="Verdana" w:hAnsi="Verdana" w:cs="Arial"/>
          <w:color w:val="000000"/>
          <w:sz w:val="14"/>
          <w:szCs w:val="14"/>
          <w:lang w:val="es-ES"/>
        </w:rPr>
        <w:t>[…]”.</w:t>
      </w:r>
    </w:p>
    <w:p w14:paraId="1331F23F" w14:textId="77777777" w:rsidR="00FA1FD6" w:rsidRPr="00BB1D72" w:rsidRDefault="00FA1FD6" w:rsidP="00FA1FD6">
      <w:pPr>
        <w:pStyle w:val="Textonotapie"/>
        <w:ind w:firstLine="709"/>
        <w:jc w:val="both"/>
        <w:rPr>
          <w:rFonts w:ascii="Verdana" w:hAnsi="Verdana" w:cs="Arial"/>
          <w:color w:val="000000"/>
          <w:sz w:val="14"/>
          <w:szCs w:val="14"/>
          <w:lang w:val="es-ES"/>
        </w:rPr>
      </w:pPr>
    </w:p>
  </w:footnote>
  <w:footnote w:id="4">
    <w:p w14:paraId="7E27297C" w14:textId="77777777" w:rsidR="00FA1FD6" w:rsidRPr="00BB1D72" w:rsidRDefault="00FA1FD6" w:rsidP="00FA1FD6">
      <w:pPr>
        <w:pStyle w:val="Textonotapie"/>
        <w:ind w:firstLine="708"/>
        <w:rPr>
          <w:rFonts w:ascii="Verdana" w:hAnsi="Verdana" w:cs="Arial"/>
          <w:color w:val="000000"/>
          <w:sz w:val="14"/>
          <w:szCs w:val="14"/>
          <w:lang w:val="pt-BR"/>
        </w:rPr>
      </w:pPr>
      <w:r w:rsidRPr="00BB1D72">
        <w:rPr>
          <w:rStyle w:val="Refdenotaalpie"/>
          <w:rFonts w:ascii="Verdana" w:hAnsi="Verdana"/>
          <w:sz w:val="14"/>
          <w:szCs w:val="14"/>
        </w:rPr>
        <w:footnoteRef/>
      </w:r>
      <w:r w:rsidRPr="00BB1D72">
        <w:rPr>
          <w:rFonts w:ascii="Verdana" w:hAnsi="Verdana"/>
          <w:sz w:val="14"/>
          <w:szCs w:val="14"/>
          <w:lang w:val="pt-BR"/>
        </w:rPr>
        <w:t xml:space="preserve"> </w:t>
      </w:r>
      <w:r w:rsidRPr="00BB1D72">
        <w:rPr>
          <w:rFonts w:ascii="Verdana" w:hAnsi="Verdana" w:cs="Arial"/>
          <w:color w:val="000000"/>
          <w:sz w:val="14"/>
          <w:szCs w:val="14"/>
          <w:lang w:val="pt-BR"/>
        </w:rPr>
        <w:t>Corte Constitucional. Sentencia C-154 de 1997. M.P. Hernando Herrera Vergara.</w:t>
      </w:r>
    </w:p>
    <w:p w14:paraId="3F6F68A4" w14:textId="77777777" w:rsidR="00FA1FD6" w:rsidRPr="00BB1D72" w:rsidRDefault="00FA1FD6" w:rsidP="00FA1FD6">
      <w:pPr>
        <w:pStyle w:val="Textonotapie"/>
        <w:ind w:firstLine="708"/>
        <w:rPr>
          <w:rFonts w:ascii="Verdana" w:hAnsi="Verdana"/>
          <w:sz w:val="14"/>
          <w:szCs w:val="14"/>
          <w:lang w:val="pt-BR"/>
        </w:rPr>
      </w:pPr>
    </w:p>
  </w:footnote>
  <w:footnote w:id="5">
    <w:p w14:paraId="300E3951" w14:textId="77777777" w:rsidR="00FA1FD6" w:rsidRPr="00BB1D72" w:rsidRDefault="00FA1FD6" w:rsidP="00FA1FD6">
      <w:pPr>
        <w:spacing w:after="0" w:line="240" w:lineRule="auto"/>
        <w:ind w:firstLine="708"/>
        <w:jc w:val="both"/>
        <w:rPr>
          <w:rFonts w:ascii="Verdana" w:eastAsia="Arial Nova" w:hAnsi="Verdana" w:cs="Arial"/>
          <w:sz w:val="14"/>
          <w:szCs w:val="14"/>
          <w:lang w:val="pt-BR"/>
        </w:rPr>
      </w:pPr>
      <w:r w:rsidRPr="00BB1D72">
        <w:rPr>
          <w:rStyle w:val="Refdenotaalpie"/>
          <w:rFonts w:ascii="Verdana" w:hAnsi="Verdana" w:cs="Arial"/>
          <w:sz w:val="14"/>
          <w:szCs w:val="14"/>
        </w:rPr>
        <w:footnoteRef/>
      </w:r>
      <w:r w:rsidRPr="00BB1D72">
        <w:rPr>
          <w:rFonts w:ascii="Verdana" w:hAnsi="Verdana" w:cs="Arial"/>
          <w:sz w:val="14"/>
          <w:szCs w:val="14"/>
          <w:lang w:val="pt-BR"/>
        </w:rPr>
        <w:t xml:space="preserve"> </w:t>
      </w:r>
      <w:r w:rsidRPr="00BB1D72">
        <w:rPr>
          <w:rFonts w:ascii="Verdana" w:eastAsia="Arial Nova" w:hAnsi="Verdana" w:cs="Arial"/>
          <w:sz w:val="14"/>
          <w:szCs w:val="14"/>
          <w:lang w:val="pt-BR"/>
        </w:rPr>
        <w:t>Corte Constitucional. Sentencia C-614 de 2009. M.P. Jorge Ignacio Pretelt Chaljub.</w:t>
      </w:r>
    </w:p>
    <w:p w14:paraId="2CB994D2" w14:textId="77777777" w:rsidR="00FA1FD6" w:rsidRPr="00BB1D72" w:rsidDel="00A37FEF" w:rsidRDefault="00FA1FD6" w:rsidP="00FA1FD6">
      <w:pPr>
        <w:spacing w:after="0" w:line="240" w:lineRule="auto"/>
        <w:ind w:firstLine="708"/>
        <w:jc w:val="both"/>
        <w:rPr>
          <w:rFonts w:ascii="Verdana" w:eastAsia="Arial Nova" w:hAnsi="Verdana" w:cs="Arial"/>
          <w:sz w:val="14"/>
          <w:szCs w:val="14"/>
          <w:lang w:val="pt-BR"/>
        </w:rPr>
      </w:pPr>
    </w:p>
  </w:footnote>
  <w:footnote w:id="6">
    <w:p w14:paraId="668EFF33" w14:textId="77777777" w:rsidR="00FA1FD6" w:rsidRPr="00BB1D72" w:rsidRDefault="00FA1FD6" w:rsidP="00FA1FD6">
      <w:pPr>
        <w:pStyle w:val="Textonotapie"/>
        <w:ind w:firstLine="709"/>
        <w:jc w:val="both"/>
        <w:rPr>
          <w:rFonts w:ascii="Verdana" w:hAnsi="Verdana" w:cs="Arial"/>
          <w:color w:val="000000" w:themeColor="text1"/>
          <w:sz w:val="14"/>
          <w:szCs w:val="14"/>
          <w:lang w:val="es-CO"/>
        </w:rPr>
      </w:pPr>
      <w:r w:rsidRPr="00BB1D72">
        <w:rPr>
          <w:rStyle w:val="Refdenotaalpie"/>
          <w:rFonts w:ascii="Verdana" w:hAnsi="Verdana"/>
          <w:sz w:val="14"/>
          <w:szCs w:val="14"/>
        </w:rPr>
        <w:footnoteRef/>
      </w:r>
      <w:r w:rsidRPr="00BB1D72">
        <w:rPr>
          <w:rFonts w:ascii="Verdana" w:hAnsi="Verdana"/>
          <w:sz w:val="14"/>
          <w:szCs w:val="14"/>
        </w:rPr>
        <w:t xml:space="preserve"> </w:t>
      </w:r>
      <w:r w:rsidRPr="00BB1D72">
        <w:rPr>
          <w:rFonts w:ascii="Verdana" w:hAnsi="Verdana" w:cs="Arial"/>
          <w:color w:val="000000" w:themeColor="text1"/>
          <w:sz w:val="14"/>
          <w:szCs w:val="14"/>
          <w:lang w:val="es-ES"/>
        </w:rPr>
        <w:t xml:space="preserve">Consejo de Estado. Sección Segunda. Sentencia de Unificación Jurisprudencial </w:t>
      </w:r>
      <w:r w:rsidRPr="00BB1D72">
        <w:rPr>
          <w:rFonts w:ascii="Verdana" w:hAnsi="Verdana" w:cs="Arial"/>
          <w:color w:val="000000" w:themeColor="text1"/>
          <w:sz w:val="14"/>
          <w:szCs w:val="14"/>
          <w:lang w:val="es-CO"/>
        </w:rPr>
        <w:t>SUJ-025-CE-S2-2021.</w:t>
      </w:r>
      <w:r w:rsidRPr="00BB1D72">
        <w:rPr>
          <w:rFonts w:ascii="Verdana" w:hAnsi="Verdana" w:cs="Arial"/>
          <w:color w:val="000000" w:themeColor="text1"/>
          <w:sz w:val="14"/>
          <w:szCs w:val="14"/>
          <w:lang w:val="es-ES"/>
        </w:rPr>
        <w:t xml:space="preserve"> Radicado (1317-2016). El numeral primero de la parte resolutiva de la sentencia señala lo siguiente:</w:t>
      </w:r>
      <w:r w:rsidRPr="00BB1D72">
        <w:rPr>
          <w:rFonts w:ascii="Verdana" w:eastAsia="Times New Roman" w:hAnsi="Verdana" w:cs="Times New Roman"/>
          <w:sz w:val="14"/>
          <w:szCs w:val="14"/>
          <w:lang w:val="es-CO" w:eastAsia="es-ES_tradnl"/>
        </w:rPr>
        <w:t xml:space="preserve"> </w:t>
      </w:r>
      <w:r w:rsidRPr="00BB1D72">
        <w:rPr>
          <w:rFonts w:ascii="Verdana" w:hAnsi="Verdana" w:cs="Arial"/>
          <w:noProof/>
          <w:sz w:val="14"/>
          <w:szCs w:val="14"/>
          <w:lang w:val="es-ES_tradnl"/>
        </w:rPr>
        <w:t>“</w:t>
      </w:r>
      <w:r w:rsidRPr="00BB1D72">
        <w:rPr>
          <w:rFonts w:ascii="Verdana" w:hAnsi="Verdana" w:cs="Arial"/>
          <w:color w:val="000000" w:themeColor="text1"/>
          <w:sz w:val="14"/>
          <w:szCs w:val="14"/>
          <w:lang w:val="es-CO"/>
        </w:rPr>
        <w:t xml:space="preserve">Unificar la jurisprudencia de la Sección Segunda del Consejo de Estado, en el sentido de precisar las siguientes reglas en las relaciones laborales encubiertas o subyacentes: </w:t>
      </w:r>
    </w:p>
    <w:p w14:paraId="16E1293D" w14:textId="77777777" w:rsidR="00FA1FD6" w:rsidRPr="00BB1D72" w:rsidRDefault="00FA1FD6" w:rsidP="00FA1FD6">
      <w:pPr>
        <w:pStyle w:val="Textonotapie"/>
        <w:ind w:firstLine="709"/>
        <w:jc w:val="both"/>
        <w:rPr>
          <w:rFonts w:ascii="Verdana" w:hAnsi="Verdana" w:cs="Arial"/>
          <w:color w:val="000000" w:themeColor="text1"/>
          <w:sz w:val="14"/>
          <w:szCs w:val="14"/>
          <w:lang w:val="es-CO"/>
        </w:rPr>
      </w:pPr>
      <w:r w:rsidRPr="00BB1D72">
        <w:rPr>
          <w:rFonts w:ascii="Verdana" w:hAnsi="Verdana" w:cs="Arial"/>
          <w:color w:val="000000" w:themeColor="text1"/>
          <w:sz w:val="14"/>
          <w:szCs w:val="14"/>
          <w:lang w:val="es-CO"/>
        </w:rPr>
        <w:t xml:space="preserve">(i) La primera regla define que el concepto de “término estrictamente indispensable”, al que alude el numeral 3.º del artículo 32 de la Ley 80 de 1993, es el señalado en los estudios previos y en el objeto del contrato, el cual, de acuerdo con el principio de planeación, tiene que estar justificado en la necesidad de la prestación del servicio a favor de la Administración, de forma esencialmente temporal y, de ninguna manera, con ánimo de permanencia. </w:t>
      </w:r>
    </w:p>
    <w:p w14:paraId="56F7B73D" w14:textId="77777777" w:rsidR="00FA1FD6" w:rsidRPr="00BB1D72" w:rsidRDefault="00FA1FD6" w:rsidP="00FA1FD6">
      <w:pPr>
        <w:pStyle w:val="Textonotapie"/>
        <w:ind w:firstLine="709"/>
        <w:jc w:val="both"/>
        <w:rPr>
          <w:rFonts w:ascii="Verdana" w:hAnsi="Verdana" w:cs="Arial"/>
          <w:color w:val="000000" w:themeColor="text1"/>
          <w:sz w:val="14"/>
          <w:szCs w:val="14"/>
          <w:lang w:val="es-CO"/>
        </w:rPr>
      </w:pPr>
      <w:r w:rsidRPr="00BB1D72">
        <w:rPr>
          <w:rFonts w:ascii="Verdana" w:hAnsi="Verdana" w:cs="Arial"/>
          <w:color w:val="000000" w:themeColor="text1"/>
          <w:sz w:val="14"/>
          <w:szCs w:val="14"/>
          <w:lang w:val="es-CO"/>
        </w:rPr>
        <w:t xml:space="preserve">(ii) La segunda regla establece un periodo de treinta (30) días hábiles, entre la finalización de un contrato y la ejecución del siguiente, como término de la no solución de continuidad, el cual, en los casos que se exceda, podrá flexibilizarse en atención a las especiales circunstancias que el juez encuentre probadas dentro del expediente. </w:t>
      </w:r>
    </w:p>
    <w:p w14:paraId="783D9432" w14:textId="77777777" w:rsidR="00FA1FD6" w:rsidRPr="00BB1D72" w:rsidRDefault="00FA1FD6" w:rsidP="00FA1FD6">
      <w:pPr>
        <w:pStyle w:val="Textonotapie"/>
        <w:ind w:firstLine="709"/>
        <w:jc w:val="both"/>
        <w:rPr>
          <w:rFonts w:ascii="Verdana" w:hAnsi="Verdana" w:cs="Arial"/>
          <w:sz w:val="14"/>
          <w:szCs w:val="14"/>
          <w:lang w:val="pt-BR"/>
        </w:rPr>
      </w:pPr>
      <w:r w:rsidRPr="00BB1D72">
        <w:rPr>
          <w:rFonts w:ascii="Verdana" w:hAnsi="Verdana" w:cs="Arial"/>
          <w:color w:val="000000" w:themeColor="text1"/>
          <w:sz w:val="14"/>
          <w:szCs w:val="14"/>
          <w:lang w:val="es-CO"/>
        </w:rPr>
        <w:t>(iii) La tercera regla determina que frente a la no afiliación al sistema de la Seguridad Social en salud, por parte de la Administración, es improcedente la devolución de los valores que el contratista hubiese asumido de más, en tanto se recaudaron como recursos de naturaleza parafiscal</w:t>
      </w:r>
      <w:r w:rsidRPr="00BB1D72">
        <w:rPr>
          <w:rFonts w:ascii="Verdana" w:hAnsi="Verdana" w:cs="Arial"/>
          <w:sz w:val="14"/>
          <w:szCs w:val="14"/>
          <w:lang w:val="pt-BR"/>
        </w:rPr>
        <w:t>”.</w:t>
      </w:r>
    </w:p>
    <w:p w14:paraId="6D6B37B9" w14:textId="77777777" w:rsidR="00FA1FD6" w:rsidRPr="00BB1D72" w:rsidRDefault="00FA1FD6" w:rsidP="00FA1FD6">
      <w:pPr>
        <w:pStyle w:val="Textonotapie"/>
        <w:ind w:firstLine="709"/>
        <w:jc w:val="both"/>
        <w:rPr>
          <w:rFonts w:ascii="Verdana" w:hAnsi="Verdana"/>
          <w:sz w:val="14"/>
          <w:szCs w:val="14"/>
          <w:lang w:val="es-CO"/>
        </w:rPr>
      </w:pPr>
    </w:p>
  </w:footnote>
  <w:footnote w:id="7">
    <w:p w14:paraId="4545B442" w14:textId="77777777" w:rsidR="00FA1FD6" w:rsidRPr="00BB1D72" w:rsidRDefault="00FA1FD6" w:rsidP="00FA1FD6">
      <w:pPr>
        <w:pStyle w:val="Textonotapie"/>
        <w:ind w:firstLine="709"/>
        <w:jc w:val="both"/>
        <w:rPr>
          <w:rFonts w:ascii="Verdana" w:hAnsi="Verdana" w:cs="Arial"/>
          <w:sz w:val="14"/>
          <w:szCs w:val="14"/>
        </w:rPr>
      </w:pPr>
      <w:r w:rsidRPr="00BB1D72">
        <w:rPr>
          <w:rStyle w:val="Refdenotaalpie"/>
          <w:rFonts w:ascii="Verdana" w:hAnsi="Verdana" w:cs="Arial"/>
          <w:sz w:val="14"/>
          <w:szCs w:val="14"/>
        </w:rPr>
        <w:footnoteRef/>
      </w:r>
      <w:r w:rsidRPr="00BB1D72">
        <w:rPr>
          <w:rFonts w:ascii="Verdana" w:hAnsi="Verdana" w:cs="Arial"/>
          <w:sz w:val="14"/>
          <w:szCs w:val="14"/>
        </w:rPr>
        <w:t xml:space="preserve"> Particularmente, sobre la regla de unificación número 2, el Consejo de Estado explica que “[…] si no están dados los presupuestos establecidos en el artículo 23 del Código Sustantivo del Trabajo, no puede hablarse de una relación laboral encubierta. Por lo tanto, el término de treinta (30) días hábiles, a que alude la segunda regla de unificación, tal como se dijo en la sentencia del 9 de septiembre de 2021, debe entenderse como un indicador temporal para inferir que no hay solución de continuidad entre un contrato y otro sucedáneo, y </w:t>
      </w:r>
      <w:r w:rsidRPr="00BB1D72">
        <w:rPr>
          <w:rFonts w:ascii="Verdana" w:hAnsi="Verdana" w:cs="Arial"/>
          <w:b/>
          <w:bCs/>
          <w:sz w:val="14"/>
          <w:szCs w:val="14"/>
        </w:rPr>
        <w:t>solo para efectos de la prescripción de derechos laborales</w:t>
      </w:r>
      <w:r w:rsidRPr="00BB1D72">
        <w:rPr>
          <w:rFonts w:ascii="Verdana" w:hAnsi="Verdana" w:cs="Arial"/>
          <w:sz w:val="14"/>
          <w:szCs w:val="14"/>
        </w:rPr>
        <w:t>” (Énfasis dentro del texto).</w:t>
      </w:r>
    </w:p>
    <w:p w14:paraId="1E213227" w14:textId="77777777" w:rsidR="00FA1FD6" w:rsidRPr="00BB1D72" w:rsidRDefault="00FA1FD6" w:rsidP="00FA1FD6">
      <w:pPr>
        <w:pStyle w:val="Textonotapie"/>
        <w:ind w:firstLine="709"/>
        <w:jc w:val="both"/>
        <w:rPr>
          <w:rFonts w:ascii="Verdana" w:hAnsi="Verdana"/>
          <w:sz w:val="14"/>
          <w:szCs w:val="14"/>
        </w:rPr>
      </w:pPr>
    </w:p>
  </w:footnote>
  <w:footnote w:id="8">
    <w:p w14:paraId="7A8DC467" w14:textId="77777777" w:rsidR="00FA1FD6" w:rsidRPr="00BB1D72" w:rsidRDefault="00FA1FD6" w:rsidP="00FA1FD6">
      <w:pPr>
        <w:pStyle w:val="Textonotapie"/>
        <w:ind w:firstLine="708"/>
        <w:rPr>
          <w:rFonts w:ascii="Verdana" w:hAnsi="Verdana" w:cs="Arial"/>
          <w:color w:val="000000"/>
          <w:sz w:val="14"/>
          <w:szCs w:val="14"/>
          <w:lang w:val="es-ES"/>
        </w:rPr>
      </w:pPr>
      <w:r w:rsidRPr="00BB1D72">
        <w:rPr>
          <w:rStyle w:val="Refdenotaalpie"/>
          <w:rFonts w:ascii="Verdana" w:hAnsi="Verdana"/>
          <w:sz w:val="14"/>
          <w:szCs w:val="14"/>
        </w:rPr>
        <w:footnoteRef/>
      </w:r>
      <w:r w:rsidRPr="00BB1D72">
        <w:rPr>
          <w:rFonts w:ascii="Verdana" w:hAnsi="Verdana"/>
          <w:sz w:val="14"/>
          <w:szCs w:val="14"/>
        </w:rPr>
        <w:t xml:space="preserve"> </w:t>
      </w:r>
      <w:r w:rsidRPr="00BB1D72">
        <w:rPr>
          <w:rFonts w:ascii="Verdana" w:hAnsi="Verdana" w:cs="Arial"/>
          <w:color w:val="000000"/>
          <w:sz w:val="14"/>
          <w:szCs w:val="14"/>
          <w:lang w:val="es-ES"/>
        </w:rPr>
        <w:t>Corte Constitucional. Sentencia C-154 de 1997. Magistrado Ponente: Hernando Herrera Vergara.</w:t>
      </w:r>
    </w:p>
    <w:p w14:paraId="2BB49323" w14:textId="77777777" w:rsidR="00FA1FD6" w:rsidRPr="00BB1D72" w:rsidRDefault="00FA1FD6" w:rsidP="00FA1FD6">
      <w:pPr>
        <w:pStyle w:val="Textonotapie"/>
        <w:ind w:firstLine="708"/>
        <w:rPr>
          <w:rFonts w:ascii="Verdana" w:hAnsi="Verdana" w:cs="Arial"/>
          <w:color w:val="000000"/>
          <w:sz w:val="14"/>
          <w:szCs w:val="14"/>
          <w:lang w:val="es-ES"/>
        </w:rPr>
      </w:pPr>
    </w:p>
  </w:footnote>
  <w:footnote w:id="9">
    <w:p w14:paraId="497D78F6" w14:textId="77777777" w:rsidR="00FA1FD6" w:rsidRPr="00BB1D72" w:rsidRDefault="00FA1FD6" w:rsidP="00FA1FD6">
      <w:pPr>
        <w:pStyle w:val="Textonotapie"/>
        <w:ind w:firstLine="709"/>
        <w:jc w:val="both"/>
        <w:rPr>
          <w:rFonts w:ascii="Verdana" w:hAnsi="Verdana" w:cs="Arial"/>
          <w:color w:val="000000"/>
          <w:sz w:val="14"/>
          <w:szCs w:val="14"/>
          <w:lang w:val="es-ES"/>
        </w:rPr>
      </w:pPr>
      <w:r w:rsidRPr="00BB1D72">
        <w:rPr>
          <w:rStyle w:val="Refdenotaalpie"/>
          <w:rFonts w:ascii="Verdana" w:hAnsi="Verdana" w:cs="Arial"/>
          <w:color w:val="000000"/>
          <w:sz w:val="14"/>
          <w:szCs w:val="14"/>
        </w:rPr>
        <w:footnoteRef/>
      </w:r>
      <w:r w:rsidRPr="00BB1D72">
        <w:rPr>
          <w:rFonts w:ascii="Verdana" w:hAnsi="Verdana" w:cs="Arial"/>
          <w:color w:val="000000"/>
          <w:sz w:val="14"/>
          <w:szCs w:val="14"/>
        </w:rPr>
        <w:t xml:space="preserve"> </w:t>
      </w:r>
      <w:r w:rsidRPr="00BB1D72">
        <w:rPr>
          <w:rFonts w:ascii="Verdana" w:hAnsi="Verdana" w:cs="Arial"/>
          <w:color w:val="000000"/>
          <w:sz w:val="14"/>
          <w:szCs w:val="14"/>
          <w:lang w:val="es-ES"/>
        </w:rPr>
        <w:t>El Decreto 1082 de 2015 lo establece así: “Artículo 2.2.1.2.1.4.9. Contratos de prestación de servicios profesionales y de apoyo a la gestión, o para la ejecución de trabajos artísticos que solo pueden encomendarse a determinadas personas naturales. Las Entidades Estatales pueden contratar bajo la modalidad de contratación directa la prestación de servicios profesionales y de apoyo a la gestión con la persona natural o jurídica que esté en capacidad de ejecutar el objeto del contrato, siempre y cuando la Entidad Estatal verifique la idoneidad o experiencia requerida y relacionada con el área de que se trate. […]</w:t>
      </w:r>
    </w:p>
    <w:p w14:paraId="6D9647A3" w14:textId="77777777" w:rsidR="00FA1FD6" w:rsidRPr="00BB1D72" w:rsidRDefault="00FA1FD6" w:rsidP="00FA1FD6">
      <w:pPr>
        <w:pStyle w:val="Textonotapie"/>
        <w:ind w:firstLine="709"/>
        <w:jc w:val="both"/>
        <w:rPr>
          <w:rFonts w:ascii="Verdana" w:hAnsi="Verdana" w:cs="Arial"/>
          <w:color w:val="000000" w:themeColor="text1"/>
          <w:sz w:val="14"/>
          <w:szCs w:val="14"/>
          <w:lang w:val="es-ES"/>
        </w:rPr>
      </w:pPr>
      <w:r w:rsidRPr="00BB1D72">
        <w:rPr>
          <w:rFonts w:ascii="Verdana" w:hAnsi="Verdana" w:cs="Arial"/>
          <w:color w:val="000000"/>
          <w:sz w:val="14"/>
          <w:szCs w:val="14"/>
          <w:lang w:val="es-ES"/>
        </w:rPr>
        <w:t xml:space="preserve"> En este caso, no es necesario que la Entidad Estatal haya obtenido previamente varias ofertas, de lo cual el ordenador del gasto debe dejar constancia escrita. </w:t>
      </w:r>
      <w:r w:rsidRPr="00BB1D72">
        <w:rPr>
          <w:rFonts w:ascii="Verdana" w:hAnsi="Verdana" w:cs="Arial"/>
          <w:color w:val="000000" w:themeColor="text1"/>
          <w:sz w:val="14"/>
          <w:szCs w:val="14"/>
          <w:lang w:val="es-ES"/>
        </w:rPr>
        <w:t>Los servicios profesionales y de apoyo a la gestión corresponden a aquellos de naturaleza intelectual diferentes a los de consultoría que se derivan del cumplimiento de las funciones de la Entidad Estatal, así como los relacionados con actividades operativas, logísticas, o asistenciales.</w:t>
      </w:r>
      <w:r w:rsidRPr="00BB1D72">
        <w:rPr>
          <w:rFonts w:ascii="Verdana" w:hAnsi="Verdana" w:cs="Arial"/>
          <w:color w:val="000000"/>
          <w:sz w:val="14"/>
          <w:szCs w:val="14"/>
          <w:lang w:val="es-ES"/>
        </w:rPr>
        <w:t xml:space="preserve"> </w:t>
      </w:r>
      <w:r w:rsidRPr="00BB1D72">
        <w:rPr>
          <w:rFonts w:ascii="Verdana" w:hAnsi="Verdana" w:cs="Arial"/>
          <w:color w:val="000000" w:themeColor="text1"/>
          <w:sz w:val="14"/>
          <w:szCs w:val="14"/>
          <w:lang w:val="es-ES"/>
        </w:rPr>
        <w:t>La Entidad Estatal, para la contratación de trabajos artísticos que solamente puedan en­comendarse a determinadas personas naturales, debe justificar esta situación en los estudios y documentos previos”.</w:t>
      </w:r>
    </w:p>
    <w:p w14:paraId="394722FD" w14:textId="77777777" w:rsidR="00FA1FD6" w:rsidRPr="00BB1D72" w:rsidRDefault="00FA1FD6" w:rsidP="00FA1FD6">
      <w:pPr>
        <w:pStyle w:val="Textonotapie"/>
        <w:ind w:firstLine="709"/>
        <w:jc w:val="both"/>
        <w:rPr>
          <w:rFonts w:ascii="Verdana" w:hAnsi="Verdana" w:cs="Arial"/>
          <w:color w:val="000000"/>
          <w:sz w:val="14"/>
          <w:szCs w:val="14"/>
          <w:lang w:val="es-ES"/>
        </w:rPr>
      </w:pPr>
    </w:p>
  </w:footnote>
  <w:footnote w:id="10">
    <w:p w14:paraId="7916179A" w14:textId="77777777" w:rsidR="00FA1FD6" w:rsidRPr="00BB1D72" w:rsidRDefault="00FA1FD6" w:rsidP="00FA1FD6">
      <w:pPr>
        <w:pStyle w:val="Textonotapie"/>
        <w:ind w:firstLine="709"/>
        <w:jc w:val="both"/>
        <w:rPr>
          <w:rFonts w:ascii="Verdana" w:hAnsi="Verdana" w:cs="Arial"/>
          <w:color w:val="000000"/>
          <w:sz w:val="14"/>
          <w:szCs w:val="14"/>
          <w:lang w:val="es-ES"/>
        </w:rPr>
      </w:pPr>
      <w:r w:rsidRPr="00BB1D72">
        <w:rPr>
          <w:rStyle w:val="Refdenotaalpie"/>
          <w:rFonts w:ascii="Verdana" w:hAnsi="Verdana" w:cs="Arial"/>
          <w:color w:val="000000"/>
          <w:sz w:val="14"/>
          <w:szCs w:val="14"/>
        </w:rPr>
        <w:footnoteRef/>
      </w:r>
      <w:r w:rsidRPr="00BB1D72">
        <w:rPr>
          <w:rFonts w:ascii="Verdana" w:hAnsi="Verdana" w:cs="Arial"/>
          <w:color w:val="000000"/>
          <w:sz w:val="14"/>
          <w:szCs w:val="14"/>
        </w:rPr>
        <w:t xml:space="preserve"> </w:t>
      </w:r>
      <w:r w:rsidRPr="00BB1D72">
        <w:rPr>
          <w:rFonts w:ascii="Verdana" w:hAnsi="Verdana" w:cs="Arial"/>
          <w:color w:val="000000"/>
          <w:sz w:val="14"/>
          <w:szCs w:val="14"/>
          <w:lang w:val="es-ES"/>
        </w:rPr>
        <w:t>Consejo de Estado. Sección Tercera. Subsección C. Sentencia del 2 de diciembre de 2013. Exp. 41719. C.P. Jaime Orlando Santofimio Gamboa.</w:t>
      </w:r>
    </w:p>
    <w:p w14:paraId="5F946B06" w14:textId="77777777" w:rsidR="00FA1FD6" w:rsidRPr="00BB1D72" w:rsidDel="00A37FEF" w:rsidRDefault="00FA1FD6" w:rsidP="00FA1FD6">
      <w:pPr>
        <w:pStyle w:val="Textonotapie"/>
        <w:ind w:firstLine="709"/>
        <w:jc w:val="both"/>
        <w:rPr>
          <w:rFonts w:ascii="Verdana" w:hAnsi="Verdana" w:cs="Arial"/>
          <w:color w:val="000000"/>
          <w:sz w:val="14"/>
          <w:szCs w:val="14"/>
          <w:lang w:val="es-ES"/>
        </w:rPr>
      </w:pPr>
    </w:p>
  </w:footnote>
  <w:footnote w:id="11">
    <w:p w14:paraId="5BDABD97" w14:textId="77777777" w:rsidR="00FA1FD6" w:rsidRPr="00BB1D72" w:rsidRDefault="00FA1FD6" w:rsidP="00FA1FD6">
      <w:pPr>
        <w:pStyle w:val="Textonotapie"/>
        <w:ind w:firstLine="709"/>
        <w:jc w:val="both"/>
        <w:rPr>
          <w:rFonts w:ascii="Verdana" w:hAnsi="Verdana" w:cs="Arial"/>
          <w:color w:val="000000"/>
          <w:sz w:val="14"/>
          <w:szCs w:val="14"/>
          <w:lang w:val="es-ES"/>
        </w:rPr>
      </w:pPr>
      <w:r w:rsidRPr="00BB1D72">
        <w:rPr>
          <w:rStyle w:val="Refdenotaalpie"/>
          <w:rFonts w:ascii="Verdana" w:hAnsi="Verdana"/>
          <w:sz w:val="14"/>
          <w:szCs w:val="14"/>
        </w:rPr>
        <w:footnoteRef/>
      </w:r>
      <w:r w:rsidRPr="00BB1D72">
        <w:rPr>
          <w:rFonts w:ascii="Verdana" w:hAnsi="Verdana"/>
          <w:sz w:val="14"/>
          <w:szCs w:val="14"/>
        </w:rPr>
        <w:t xml:space="preserve"> </w:t>
      </w:r>
      <w:r w:rsidRPr="00BB1D72">
        <w:rPr>
          <w:rFonts w:ascii="Verdana" w:hAnsi="Verdana" w:cs="Arial"/>
          <w:color w:val="000000"/>
          <w:sz w:val="14"/>
          <w:szCs w:val="14"/>
          <w:lang w:val="es-ES"/>
        </w:rPr>
        <w:t>Ibid.- En efecto, el numeral 2º del artículo 32 de la Ley 80 de 1993 define el contrato de consultoría así: “Son contratos de consultoría los que celebren las entidades estatales referidos a los estudios necesarios para la ejecución de proyectos de inversión, estudios de diagnóstico, prefactibilidad o factibilidad para programas o proyectos específicos, así como a las asesorías técnicas de coordinación, control y supervisión.</w:t>
      </w:r>
    </w:p>
    <w:p w14:paraId="71A81FB8" w14:textId="77777777" w:rsidR="00FA1FD6" w:rsidRPr="00BB1D72" w:rsidRDefault="00FA1FD6" w:rsidP="00FA1FD6">
      <w:pPr>
        <w:pStyle w:val="Textonotapie"/>
        <w:ind w:firstLine="709"/>
        <w:jc w:val="both"/>
        <w:rPr>
          <w:rFonts w:ascii="Verdana" w:hAnsi="Verdana" w:cs="Arial"/>
          <w:color w:val="000000"/>
          <w:sz w:val="14"/>
          <w:szCs w:val="14"/>
          <w:lang w:val="es-ES"/>
        </w:rPr>
      </w:pPr>
      <w:r w:rsidRPr="00BB1D72">
        <w:rPr>
          <w:rFonts w:ascii="Verdana" w:hAnsi="Verdana" w:cs="Arial"/>
          <w:color w:val="000000"/>
          <w:sz w:val="14"/>
          <w:szCs w:val="14"/>
          <w:lang w:val="es-ES"/>
        </w:rPr>
        <w:t>Son también contratos de consultoría los que tienen por objeto la interventoría, asesoría, gerencia de obra o de proyectos, dirección, programación y la ejecución de diseños, planos, anteproyectos y proyectos.</w:t>
      </w:r>
    </w:p>
    <w:p w14:paraId="59D5DC30" w14:textId="77777777" w:rsidR="00FA1FD6" w:rsidRPr="00BB1D72" w:rsidRDefault="00FA1FD6" w:rsidP="00FA1FD6">
      <w:pPr>
        <w:pStyle w:val="Textonotapie"/>
        <w:ind w:firstLine="709"/>
        <w:jc w:val="both"/>
        <w:rPr>
          <w:rFonts w:ascii="Verdana" w:hAnsi="Verdana" w:cs="Arial"/>
          <w:color w:val="000000"/>
          <w:sz w:val="14"/>
          <w:szCs w:val="14"/>
          <w:lang w:val="es-ES"/>
        </w:rPr>
      </w:pPr>
      <w:r w:rsidRPr="00BB1D72">
        <w:rPr>
          <w:rFonts w:ascii="Verdana" w:hAnsi="Verdana" w:cs="Arial"/>
          <w:color w:val="000000"/>
          <w:sz w:val="14"/>
          <w:szCs w:val="14"/>
          <w:lang w:val="es-ES"/>
        </w:rPr>
        <w:t xml:space="preserve">Ninguna orden del interventor de una obra podrá darse verbalmente. Es obligatorio para el interventor entregar por escrito sus órdenes o sugerencias y ellas deben enmarcarse dentro de los términos del respectivo contrato”. </w:t>
      </w:r>
    </w:p>
    <w:p w14:paraId="7C6D1180" w14:textId="77777777" w:rsidR="00FA1FD6" w:rsidRPr="00BB1D72" w:rsidRDefault="00FA1FD6" w:rsidP="00FA1FD6">
      <w:pPr>
        <w:pStyle w:val="Textonotapie"/>
        <w:ind w:firstLine="709"/>
        <w:jc w:val="both"/>
        <w:rPr>
          <w:rFonts w:ascii="Verdana" w:hAnsi="Verdana" w:cs="Arial"/>
          <w:color w:val="000000"/>
          <w:sz w:val="14"/>
          <w:szCs w:val="14"/>
          <w:lang w:val="es-ES"/>
        </w:rPr>
      </w:pPr>
    </w:p>
  </w:footnote>
  <w:footnote w:id="12">
    <w:p w14:paraId="7F454332" w14:textId="77777777" w:rsidR="00FA1FD6" w:rsidRPr="00BB1D72" w:rsidRDefault="00FA1FD6" w:rsidP="00FA1FD6">
      <w:pPr>
        <w:pStyle w:val="Textonotapie"/>
        <w:ind w:firstLine="709"/>
        <w:jc w:val="both"/>
        <w:rPr>
          <w:rFonts w:ascii="Verdana" w:hAnsi="Verdana" w:cs="Arial"/>
          <w:color w:val="000000"/>
          <w:sz w:val="14"/>
          <w:szCs w:val="14"/>
          <w:lang w:val="es-ES"/>
        </w:rPr>
      </w:pPr>
      <w:r w:rsidRPr="00BB1D72">
        <w:rPr>
          <w:rStyle w:val="Refdenotaalpie"/>
          <w:rFonts w:ascii="Verdana" w:hAnsi="Verdana"/>
          <w:sz w:val="14"/>
          <w:szCs w:val="14"/>
        </w:rPr>
        <w:footnoteRef/>
      </w:r>
      <w:r w:rsidRPr="00BB1D72">
        <w:rPr>
          <w:rFonts w:ascii="Verdana" w:hAnsi="Verdana"/>
          <w:sz w:val="14"/>
          <w:szCs w:val="14"/>
        </w:rPr>
        <w:t xml:space="preserve"> </w:t>
      </w:r>
      <w:r w:rsidRPr="00BB1D72">
        <w:rPr>
          <w:rFonts w:ascii="Verdana" w:hAnsi="Verdana" w:cs="Arial"/>
          <w:color w:val="000000"/>
          <w:sz w:val="14"/>
          <w:szCs w:val="14"/>
          <w:lang w:val="es-ES"/>
        </w:rPr>
        <w:t>Así lo prevé el artículo 2.2.1.2.1.4.1. del Decreto 1082 de 2015: “La Entidad Estatal debe señalar en un acto administrativo la justificación para contratar bajo la modalidad de contratación directa, el cual debe contener:</w:t>
      </w:r>
    </w:p>
    <w:p w14:paraId="1F2FE45B" w14:textId="77777777" w:rsidR="00FA1FD6" w:rsidRPr="00BB1D72" w:rsidRDefault="00FA1FD6" w:rsidP="00FA1FD6">
      <w:pPr>
        <w:pStyle w:val="Textonotapie"/>
        <w:ind w:firstLine="709"/>
        <w:jc w:val="both"/>
        <w:rPr>
          <w:rFonts w:ascii="Verdana" w:hAnsi="Verdana" w:cs="Arial"/>
          <w:color w:val="000000"/>
          <w:sz w:val="14"/>
          <w:szCs w:val="14"/>
          <w:lang w:val="es-ES"/>
        </w:rPr>
      </w:pPr>
      <w:r w:rsidRPr="00BB1D72">
        <w:rPr>
          <w:rFonts w:ascii="Verdana" w:hAnsi="Verdana" w:cs="Arial"/>
          <w:color w:val="000000"/>
          <w:sz w:val="14"/>
          <w:szCs w:val="14"/>
          <w:lang w:val="es-ES"/>
        </w:rPr>
        <w:t>1. La causal que invoca para contratar directamente.</w:t>
      </w:r>
    </w:p>
    <w:p w14:paraId="0B582F09" w14:textId="77777777" w:rsidR="00FA1FD6" w:rsidRPr="00BB1D72" w:rsidRDefault="00FA1FD6" w:rsidP="00FA1FD6">
      <w:pPr>
        <w:pStyle w:val="Textonotapie"/>
        <w:ind w:firstLine="709"/>
        <w:jc w:val="both"/>
        <w:rPr>
          <w:rFonts w:ascii="Verdana" w:hAnsi="Verdana" w:cs="Arial"/>
          <w:color w:val="000000"/>
          <w:sz w:val="14"/>
          <w:szCs w:val="14"/>
          <w:lang w:val="es-ES"/>
        </w:rPr>
      </w:pPr>
      <w:r w:rsidRPr="00BB1D72">
        <w:rPr>
          <w:rFonts w:ascii="Verdana" w:hAnsi="Verdana" w:cs="Arial"/>
          <w:color w:val="000000"/>
          <w:sz w:val="14"/>
          <w:szCs w:val="14"/>
          <w:lang w:val="es-ES"/>
        </w:rPr>
        <w:t>2. El objeto del contrato.</w:t>
      </w:r>
    </w:p>
    <w:p w14:paraId="511113AE" w14:textId="77777777" w:rsidR="00FA1FD6" w:rsidRPr="00BB1D72" w:rsidRDefault="00FA1FD6" w:rsidP="00FA1FD6">
      <w:pPr>
        <w:pStyle w:val="Textonotapie"/>
        <w:ind w:firstLine="709"/>
        <w:jc w:val="both"/>
        <w:rPr>
          <w:rFonts w:ascii="Verdana" w:hAnsi="Verdana" w:cs="Arial"/>
          <w:color w:val="000000"/>
          <w:sz w:val="14"/>
          <w:szCs w:val="14"/>
          <w:lang w:val="es-ES"/>
        </w:rPr>
      </w:pPr>
      <w:r w:rsidRPr="00BB1D72">
        <w:rPr>
          <w:rFonts w:ascii="Verdana" w:hAnsi="Verdana" w:cs="Arial"/>
          <w:color w:val="000000"/>
          <w:sz w:val="14"/>
          <w:szCs w:val="14"/>
          <w:lang w:val="es-ES"/>
        </w:rPr>
        <w:t>3. El presupuesto para la contratación y las condiciones que exigirá al contratista.</w:t>
      </w:r>
    </w:p>
    <w:p w14:paraId="172CE8E2" w14:textId="77777777" w:rsidR="00FA1FD6" w:rsidRPr="00BB1D72" w:rsidRDefault="00FA1FD6" w:rsidP="00FA1FD6">
      <w:pPr>
        <w:pStyle w:val="Textonotapie"/>
        <w:ind w:firstLine="709"/>
        <w:jc w:val="both"/>
        <w:rPr>
          <w:rFonts w:ascii="Verdana" w:hAnsi="Verdana" w:cs="Arial"/>
          <w:color w:val="000000"/>
          <w:sz w:val="14"/>
          <w:szCs w:val="14"/>
          <w:lang w:val="es-ES"/>
        </w:rPr>
      </w:pPr>
      <w:r w:rsidRPr="00BB1D72">
        <w:rPr>
          <w:rFonts w:ascii="Verdana" w:hAnsi="Verdana" w:cs="Arial"/>
          <w:color w:val="000000"/>
          <w:sz w:val="14"/>
          <w:szCs w:val="14"/>
          <w:lang w:val="es-ES"/>
        </w:rPr>
        <w:t>4. El lugar en el cual los interesados pueden consultar los estudios y documentos previos.</w:t>
      </w:r>
    </w:p>
    <w:p w14:paraId="30EEE471" w14:textId="77777777" w:rsidR="00FA1FD6" w:rsidRPr="00BB1D72" w:rsidRDefault="00FA1FD6" w:rsidP="00FA1FD6">
      <w:pPr>
        <w:pStyle w:val="Textonotapie"/>
        <w:ind w:firstLine="709"/>
        <w:jc w:val="both"/>
        <w:rPr>
          <w:rFonts w:ascii="Verdana" w:hAnsi="Verdana" w:cs="Arial"/>
          <w:color w:val="000000"/>
          <w:sz w:val="14"/>
          <w:szCs w:val="14"/>
          <w:lang w:val="es-ES"/>
        </w:rPr>
      </w:pPr>
      <w:r w:rsidRPr="00BB1D72">
        <w:rPr>
          <w:rFonts w:ascii="Verdana" w:hAnsi="Verdana" w:cs="Arial"/>
          <w:color w:val="000000"/>
          <w:sz w:val="14"/>
          <w:szCs w:val="14"/>
          <w:lang w:val="es-ES"/>
        </w:rPr>
        <w:t>Este acto administrativo no es necesario cuando el contrato a celebrar es de prestación de servicios profesionales y de apoyo a la gestión, y para los contratos de que tratan los literales (a) y (b) del artículo 2.2.1.2.1.4.3 del presente decreto”.</w:t>
      </w:r>
    </w:p>
    <w:p w14:paraId="57BEA1AF" w14:textId="77777777" w:rsidR="00FA1FD6" w:rsidRPr="00BB1D72" w:rsidRDefault="00FA1FD6" w:rsidP="00FA1FD6">
      <w:pPr>
        <w:pStyle w:val="Textonotapie"/>
        <w:ind w:firstLine="709"/>
        <w:jc w:val="both"/>
        <w:rPr>
          <w:rFonts w:ascii="Verdana" w:hAnsi="Verdana" w:cs="Arial"/>
          <w:color w:val="000000"/>
          <w:sz w:val="14"/>
          <w:szCs w:val="14"/>
          <w:lang w:val="es-ES"/>
        </w:rPr>
      </w:pPr>
    </w:p>
  </w:footnote>
  <w:footnote w:id="13">
    <w:p w14:paraId="474DA039" w14:textId="77777777" w:rsidR="00FA1FD6" w:rsidRPr="00BB1D72" w:rsidRDefault="00FA1FD6" w:rsidP="00FA1FD6">
      <w:pPr>
        <w:pStyle w:val="Textonotapie"/>
        <w:ind w:firstLine="709"/>
        <w:jc w:val="both"/>
        <w:rPr>
          <w:rFonts w:ascii="Verdana" w:hAnsi="Verdana" w:cs="Arial"/>
          <w:color w:val="000000"/>
          <w:sz w:val="14"/>
          <w:szCs w:val="14"/>
          <w:lang w:val="es-ES"/>
        </w:rPr>
      </w:pPr>
      <w:r w:rsidRPr="00BB1D72">
        <w:rPr>
          <w:rStyle w:val="Refdenotaalpie"/>
          <w:rFonts w:ascii="Verdana" w:hAnsi="Verdana"/>
          <w:sz w:val="14"/>
          <w:szCs w:val="14"/>
        </w:rPr>
        <w:footnoteRef/>
      </w:r>
      <w:r w:rsidRPr="00BB1D72">
        <w:rPr>
          <w:rFonts w:ascii="Verdana" w:hAnsi="Verdana"/>
          <w:sz w:val="14"/>
          <w:szCs w:val="14"/>
        </w:rPr>
        <w:t xml:space="preserve"> </w:t>
      </w:r>
      <w:r w:rsidRPr="00BB1D72">
        <w:rPr>
          <w:rFonts w:ascii="Verdana" w:hAnsi="Verdana" w:cs="Arial"/>
          <w:color w:val="000000"/>
          <w:sz w:val="14"/>
          <w:szCs w:val="14"/>
          <w:lang w:val="es-ES"/>
        </w:rPr>
        <w:t>Esta norma expresa: “</w:t>
      </w:r>
      <w:r w:rsidRPr="00BB1D72">
        <w:rPr>
          <w:rFonts w:ascii="Verdana" w:hAnsi="Verdana" w:cs="Arial"/>
          <w:color w:val="000000"/>
          <w:sz w:val="14"/>
          <w:szCs w:val="14"/>
        </w:rPr>
        <w:t>P</w:t>
      </w:r>
      <w:r w:rsidRPr="00BB1D72">
        <w:rPr>
          <w:rFonts w:ascii="Verdana" w:hAnsi="Verdana" w:cs="Arial"/>
          <w:color w:val="000000"/>
          <w:sz w:val="14"/>
          <w:szCs w:val="14"/>
          <w:lang w:val="es-ES"/>
        </w:rPr>
        <w:t>ara el cumplimiento de los fines de la contratación, las entidades estatales al celebrar un contrato:</w:t>
      </w:r>
    </w:p>
    <w:p w14:paraId="080888E5" w14:textId="77777777" w:rsidR="00FA1FD6" w:rsidRPr="00BB1D72" w:rsidRDefault="00FA1FD6" w:rsidP="00FA1FD6">
      <w:pPr>
        <w:pStyle w:val="Textonotapie"/>
        <w:ind w:firstLine="709"/>
        <w:jc w:val="both"/>
        <w:rPr>
          <w:rFonts w:ascii="Verdana" w:hAnsi="Verdana" w:cs="Arial"/>
          <w:color w:val="000000"/>
          <w:sz w:val="14"/>
          <w:szCs w:val="14"/>
          <w:lang w:val="es-ES"/>
        </w:rPr>
      </w:pPr>
      <w:r w:rsidRPr="00BB1D72">
        <w:rPr>
          <w:rFonts w:ascii="Verdana" w:hAnsi="Verdana" w:cs="Arial"/>
          <w:color w:val="000000"/>
          <w:sz w:val="14"/>
          <w:szCs w:val="14"/>
          <w:lang w:val="es-ES"/>
        </w:rPr>
        <w:t>[…]</w:t>
      </w:r>
    </w:p>
    <w:p w14:paraId="4A787908" w14:textId="77777777" w:rsidR="00FA1FD6" w:rsidRPr="00BB1D72" w:rsidRDefault="00FA1FD6" w:rsidP="00FA1FD6">
      <w:pPr>
        <w:pStyle w:val="Textonotapie"/>
        <w:ind w:firstLine="709"/>
        <w:jc w:val="both"/>
        <w:rPr>
          <w:rFonts w:ascii="Verdana" w:hAnsi="Verdana" w:cs="Arial"/>
          <w:color w:val="000000"/>
          <w:sz w:val="14"/>
          <w:szCs w:val="14"/>
          <w:lang w:val="es-ES"/>
        </w:rPr>
      </w:pPr>
      <w:r w:rsidRPr="00BB1D72">
        <w:rPr>
          <w:rFonts w:ascii="Verdana" w:hAnsi="Verdana" w:cs="Arial"/>
          <w:color w:val="000000"/>
          <w:sz w:val="14"/>
          <w:szCs w:val="14"/>
          <w:lang w:val="es-ES"/>
        </w:rPr>
        <w:t>2o. Pactarán las cláusulas excepcionales al derecho común de terminación, interpretación y modificación unilaterales, de sometimiento a las leyes nacionales y de caducidad en los contratos que tengan por objeto el ejercicio de una actividad que constituya monopolio estatal, la prestación de servicios públicos o la explotación y concesión de bienes del Estado, así como en los contratos de obra. En los contratos de explotación y concesión de bienes del Estado se incluirá la cláusula de reversión.</w:t>
      </w:r>
    </w:p>
    <w:p w14:paraId="0AC7F875" w14:textId="77777777" w:rsidR="00FA1FD6" w:rsidRPr="00BB1D72" w:rsidRDefault="00FA1FD6" w:rsidP="00FA1FD6">
      <w:pPr>
        <w:pStyle w:val="Textonotapie"/>
        <w:ind w:firstLine="709"/>
        <w:jc w:val="both"/>
        <w:rPr>
          <w:rFonts w:ascii="Verdana" w:hAnsi="Verdana" w:cs="Arial"/>
          <w:color w:val="000000"/>
          <w:sz w:val="14"/>
          <w:szCs w:val="14"/>
          <w:lang w:val="es-ES"/>
        </w:rPr>
      </w:pPr>
      <w:r w:rsidRPr="00BB1D72">
        <w:rPr>
          <w:rFonts w:ascii="Verdana" w:hAnsi="Verdana" w:cs="Arial"/>
          <w:color w:val="000000"/>
          <w:sz w:val="14"/>
          <w:szCs w:val="14"/>
          <w:lang w:val="es-ES"/>
        </w:rPr>
        <w:t>Las entidades estatales podrán pactar estas cláusulas en los contratos de suministro y de prestación de servicios.</w:t>
      </w:r>
    </w:p>
    <w:p w14:paraId="34935E19" w14:textId="77777777" w:rsidR="00FA1FD6" w:rsidRPr="00BB1D72" w:rsidRDefault="00FA1FD6" w:rsidP="00FA1FD6">
      <w:pPr>
        <w:pStyle w:val="Textonotapie"/>
        <w:ind w:firstLine="709"/>
        <w:jc w:val="both"/>
        <w:rPr>
          <w:rFonts w:ascii="Verdana" w:hAnsi="Verdana" w:cs="Arial"/>
          <w:color w:val="000000"/>
          <w:sz w:val="14"/>
          <w:szCs w:val="14"/>
          <w:lang w:val="es-ES"/>
        </w:rPr>
      </w:pPr>
      <w:r w:rsidRPr="00BB1D72">
        <w:rPr>
          <w:rFonts w:ascii="Verdana" w:hAnsi="Verdana" w:cs="Arial"/>
          <w:color w:val="000000"/>
          <w:sz w:val="14"/>
          <w:szCs w:val="14"/>
          <w:lang w:val="es-ES"/>
        </w:rPr>
        <w:t>[…]”.</w:t>
      </w:r>
    </w:p>
    <w:p w14:paraId="148DA466" w14:textId="77777777" w:rsidR="00FA1FD6" w:rsidRPr="00BB1D72" w:rsidRDefault="00FA1FD6" w:rsidP="00FA1FD6">
      <w:pPr>
        <w:pStyle w:val="Textonotapie"/>
        <w:ind w:firstLine="709"/>
        <w:jc w:val="both"/>
        <w:rPr>
          <w:rFonts w:ascii="Verdana" w:hAnsi="Verdana" w:cs="Arial"/>
          <w:color w:val="000000"/>
          <w:sz w:val="14"/>
          <w:szCs w:val="14"/>
          <w:lang w:val="es-ES"/>
        </w:rPr>
      </w:pPr>
    </w:p>
  </w:footnote>
  <w:footnote w:id="14">
    <w:p w14:paraId="18E8A331" w14:textId="77777777" w:rsidR="00FA1FD6" w:rsidRPr="00BB1D72" w:rsidRDefault="00FA1FD6" w:rsidP="00FA1FD6">
      <w:pPr>
        <w:pStyle w:val="Textonotapie"/>
        <w:ind w:firstLine="708"/>
        <w:rPr>
          <w:rFonts w:ascii="Verdana" w:hAnsi="Verdana" w:cs="Arial"/>
          <w:color w:val="000000"/>
          <w:sz w:val="14"/>
          <w:szCs w:val="14"/>
          <w:lang w:val="es-ES"/>
        </w:rPr>
      </w:pPr>
      <w:r w:rsidRPr="00BB1D72">
        <w:rPr>
          <w:rStyle w:val="Refdenotaalpie"/>
          <w:rFonts w:ascii="Verdana" w:hAnsi="Verdana"/>
          <w:sz w:val="14"/>
          <w:szCs w:val="14"/>
        </w:rPr>
        <w:footnoteRef/>
      </w:r>
      <w:r w:rsidRPr="00BB1D72">
        <w:rPr>
          <w:rFonts w:ascii="Verdana" w:hAnsi="Verdana"/>
          <w:sz w:val="14"/>
          <w:szCs w:val="14"/>
        </w:rPr>
        <w:t xml:space="preserve"> </w:t>
      </w:r>
      <w:r w:rsidRPr="00BB1D72">
        <w:rPr>
          <w:rFonts w:ascii="Verdana" w:hAnsi="Verdana" w:cs="Arial"/>
          <w:color w:val="000000"/>
          <w:sz w:val="14"/>
          <w:szCs w:val="14"/>
          <w:lang w:val="es-ES"/>
        </w:rPr>
        <w:t>La norma dispone: “La liquidación a que se refiere el presente artículo no será obligatoria en los contratos de prestación de servicios profesionales y de apoyo a la gestión”.</w:t>
      </w:r>
    </w:p>
  </w:footnote>
  <w:footnote w:id="15">
    <w:p w14:paraId="2FC942E1" w14:textId="77777777" w:rsidR="00FA1FD6" w:rsidRPr="00BB1D72" w:rsidRDefault="00FA1FD6" w:rsidP="00FA1FD6">
      <w:pPr>
        <w:pStyle w:val="Textonotapie"/>
        <w:ind w:firstLine="709"/>
        <w:jc w:val="both"/>
        <w:rPr>
          <w:rFonts w:ascii="Verdana" w:hAnsi="Verdana" w:cs="Arial"/>
          <w:color w:val="000000"/>
          <w:sz w:val="14"/>
          <w:szCs w:val="14"/>
        </w:rPr>
      </w:pPr>
      <w:r w:rsidRPr="00BB1D72">
        <w:rPr>
          <w:rStyle w:val="Refdenotaalpie"/>
          <w:rFonts w:ascii="Verdana" w:hAnsi="Verdana"/>
          <w:sz w:val="14"/>
          <w:szCs w:val="14"/>
        </w:rPr>
        <w:footnoteRef/>
      </w:r>
      <w:r w:rsidRPr="00BB1D72">
        <w:rPr>
          <w:rFonts w:ascii="Verdana" w:hAnsi="Verdana"/>
          <w:sz w:val="14"/>
          <w:szCs w:val="14"/>
        </w:rPr>
        <w:t xml:space="preserve"> </w:t>
      </w:r>
      <w:r w:rsidRPr="00BB1D72">
        <w:rPr>
          <w:rFonts w:ascii="Verdana" w:hAnsi="Verdana" w:cs="Arial"/>
          <w:color w:val="000000"/>
          <w:sz w:val="14"/>
          <w:szCs w:val="14"/>
        </w:rPr>
        <w:t>Según dicho artículo “Todas las personas naturales o jurídicas nacionales o extranjeras domiciliadas o con sucursal en Colombia, que aspiren a celebrar contratos con las entidades estatales, se inscribirán en el Registro Único de Proponentes del Registro Único Empresarial de la Cámara de Comercio con jurisdicción en su domicilio principal.</w:t>
      </w:r>
    </w:p>
    <w:p w14:paraId="57176E6E" w14:textId="77777777" w:rsidR="00FA1FD6" w:rsidRPr="00BB1D72" w:rsidRDefault="00FA1FD6" w:rsidP="00FA1FD6">
      <w:pPr>
        <w:pStyle w:val="Textonotapie"/>
        <w:ind w:firstLine="709"/>
        <w:jc w:val="both"/>
        <w:rPr>
          <w:rFonts w:ascii="Verdana" w:hAnsi="Verdana" w:cs="Arial"/>
          <w:color w:val="000000"/>
          <w:sz w:val="14"/>
          <w:szCs w:val="14"/>
        </w:rPr>
      </w:pPr>
      <w:r w:rsidRPr="00BB1D72">
        <w:rPr>
          <w:rFonts w:ascii="Verdana" w:hAnsi="Verdana" w:cs="Arial"/>
          <w:color w:val="000000"/>
          <w:sz w:val="14"/>
          <w:szCs w:val="14"/>
        </w:rPr>
        <w:t>No se requerirá de este registro, ni de clasificación, en los casos de contratación directa; contratos para la prestación de servicios de salud; contratos de mínima cuantía; enajenación de bienes del Estado; contratos que tengan por objeto la adquisición de productos de origen o destinación agropecuaria que se ofrezcan en bolsas de productos legalmente constituidas; los actos y contratos que tengan por objeto directo las actividades comerciales e industriales propias de las empresas industriales y comerciales del Estado y las sociedades de economía mixta y los contratos de concesión de cualquier índole. En los casos anteriormente señalados, corresponderá a las entidades contratantes cumplir con la labor de verificación de las condiciones de los proponentes.</w:t>
      </w:r>
    </w:p>
    <w:p w14:paraId="38F450BF" w14:textId="77777777" w:rsidR="00FA1FD6" w:rsidRPr="00BB1D72" w:rsidRDefault="00FA1FD6" w:rsidP="00FA1FD6">
      <w:pPr>
        <w:pStyle w:val="Textonotapie"/>
        <w:ind w:firstLine="709"/>
        <w:jc w:val="both"/>
        <w:rPr>
          <w:rFonts w:ascii="Verdana" w:hAnsi="Verdana" w:cs="Arial"/>
          <w:color w:val="000000"/>
          <w:sz w:val="14"/>
          <w:szCs w:val="14"/>
        </w:rPr>
      </w:pPr>
      <w:r w:rsidRPr="00BB1D72">
        <w:rPr>
          <w:rFonts w:ascii="Verdana" w:hAnsi="Verdana" w:cs="Arial"/>
          <w:color w:val="000000"/>
          <w:sz w:val="14"/>
          <w:szCs w:val="14"/>
        </w:rPr>
        <w:t>[…]”.</w:t>
      </w:r>
    </w:p>
    <w:p w14:paraId="0FCA809D" w14:textId="77777777" w:rsidR="00FA1FD6" w:rsidRPr="00BB1D72" w:rsidRDefault="00FA1FD6" w:rsidP="00FA1FD6">
      <w:pPr>
        <w:pStyle w:val="Textonotapie"/>
        <w:ind w:firstLine="709"/>
        <w:jc w:val="both"/>
        <w:rPr>
          <w:rFonts w:ascii="Verdana" w:hAnsi="Verdana" w:cs="Arial"/>
          <w:color w:val="000000"/>
          <w:sz w:val="14"/>
          <w:szCs w:val="14"/>
        </w:rPr>
      </w:pPr>
    </w:p>
  </w:footnote>
  <w:footnote w:id="16">
    <w:p w14:paraId="66B4B69D" w14:textId="77777777" w:rsidR="00FA1FD6" w:rsidRPr="00BB1D72" w:rsidRDefault="00FA1FD6" w:rsidP="00FA1FD6">
      <w:pPr>
        <w:pStyle w:val="Textonotapie"/>
        <w:ind w:firstLine="709"/>
        <w:jc w:val="both"/>
        <w:rPr>
          <w:rFonts w:ascii="Verdana" w:hAnsi="Verdana" w:cs="Arial"/>
          <w:color w:val="000000"/>
          <w:sz w:val="14"/>
          <w:szCs w:val="14"/>
          <w:lang w:val="es-ES"/>
        </w:rPr>
      </w:pPr>
      <w:r w:rsidRPr="00BB1D72">
        <w:rPr>
          <w:rStyle w:val="Refdenotaalpie"/>
          <w:rFonts w:ascii="Verdana" w:hAnsi="Verdana"/>
          <w:sz w:val="14"/>
          <w:szCs w:val="14"/>
        </w:rPr>
        <w:footnoteRef/>
      </w:r>
      <w:r w:rsidRPr="00BB1D72">
        <w:rPr>
          <w:rFonts w:ascii="Verdana" w:hAnsi="Verdana"/>
          <w:sz w:val="14"/>
          <w:szCs w:val="14"/>
        </w:rPr>
        <w:t xml:space="preserve"> </w:t>
      </w:r>
      <w:r w:rsidRPr="00BB1D72">
        <w:rPr>
          <w:rFonts w:ascii="Verdana" w:hAnsi="Verdana" w:cs="Arial"/>
          <w:color w:val="000000"/>
          <w:sz w:val="14"/>
          <w:szCs w:val="14"/>
          <w:lang w:val="es-ES"/>
        </w:rPr>
        <w:t>Es esto lo que establece el Decreto 1082 de 2015: “Artículo 2.2.1.2.1.4.5. No obligatoriedad de garantías. En la contratación directa la exigencia de garantías establecidas en la Sección 3, que comprende los artículos 2.2.1.2.3.1.1 al 2.2.1.2.3.5.1.del presente decreto no es obligatoria y la justificación para exigirlas o no debe estar en los estudios y documentos previos”.</w:t>
      </w:r>
    </w:p>
    <w:p w14:paraId="3DCE8BFD" w14:textId="77777777" w:rsidR="00FA1FD6" w:rsidRPr="00BB1D72" w:rsidRDefault="00FA1FD6" w:rsidP="00FA1FD6">
      <w:pPr>
        <w:pStyle w:val="Textonotapie"/>
        <w:ind w:firstLine="709"/>
        <w:jc w:val="both"/>
        <w:rPr>
          <w:rFonts w:ascii="Verdana" w:hAnsi="Verdana" w:cs="Arial"/>
          <w:color w:val="000000"/>
          <w:sz w:val="14"/>
          <w:szCs w:val="14"/>
          <w:lang w:val="es-ES"/>
        </w:rPr>
      </w:pPr>
    </w:p>
  </w:footnote>
  <w:footnote w:id="17">
    <w:p w14:paraId="37DD326A" w14:textId="77777777" w:rsidR="00FA1FD6" w:rsidRPr="00BB1D72" w:rsidRDefault="00FA1FD6" w:rsidP="00FA1FD6">
      <w:pPr>
        <w:pStyle w:val="Textonotapie"/>
        <w:ind w:firstLine="708"/>
        <w:jc w:val="both"/>
        <w:rPr>
          <w:rFonts w:ascii="Verdana" w:hAnsi="Verdana"/>
          <w:sz w:val="14"/>
          <w:szCs w:val="14"/>
        </w:rPr>
      </w:pPr>
      <w:r w:rsidRPr="00BB1D72">
        <w:rPr>
          <w:rStyle w:val="Refdenotaalpie"/>
          <w:rFonts w:ascii="Verdana" w:hAnsi="Verdana"/>
          <w:sz w:val="14"/>
          <w:szCs w:val="14"/>
        </w:rPr>
        <w:footnoteRef/>
      </w:r>
      <w:r w:rsidRPr="00BB1D72">
        <w:rPr>
          <w:rFonts w:ascii="Verdana" w:hAnsi="Verdana"/>
          <w:sz w:val="14"/>
          <w:szCs w:val="14"/>
        </w:rPr>
        <w:t xml:space="preserve"> Artículo 17 de la Ley 1150 de 2007</w:t>
      </w:r>
    </w:p>
    <w:p w14:paraId="3BE3ED9E" w14:textId="77777777" w:rsidR="00FA1FD6" w:rsidRPr="00BB1D72" w:rsidRDefault="00FA1FD6" w:rsidP="00FA1FD6">
      <w:pPr>
        <w:pStyle w:val="Textonotapie"/>
        <w:ind w:firstLine="708"/>
        <w:jc w:val="both"/>
        <w:rPr>
          <w:rFonts w:ascii="Verdana" w:hAnsi="Verdana"/>
          <w:sz w:val="14"/>
          <w:szCs w:val="14"/>
          <w:lang w:val="es-CO"/>
        </w:rPr>
      </w:pPr>
    </w:p>
  </w:footnote>
  <w:footnote w:id="18">
    <w:p w14:paraId="321F8976" w14:textId="77777777" w:rsidR="00FA1FD6" w:rsidRPr="00BB1D72" w:rsidRDefault="00FA1FD6" w:rsidP="00FA1FD6">
      <w:pPr>
        <w:pStyle w:val="Textonotapie"/>
        <w:ind w:firstLine="708"/>
        <w:jc w:val="both"/>
        <w:rPr>
          <w:rFonts w:ascii="Verdana" w:hAnsi="Verdana"/>
          <w:sz w:val="14"/>
          <w:szCs w:val="14"/>
        </w:rPr>
      </w:pPr>
      <w:r w:rsidRPr="00BB1D72">
        <w:rPr>
          <w:rStyle w:val="Refdenotaalpie"/>
          <w:rFonts w:ascii="Verdana" w:hAnsi="Verdana"/>
          <w:sz w:val="14"/>
          <w:szCs w:val="14"/>
        </w:rPr>
        <w:footnoteRef/>
      </w:r>
      <w:r w:rsidRPr="00BB1D72">
        <w:rPr>
          <w:rFonts w:ascii="Verdana" w:hAnsi="Verdana"/>
          <w:sz w:val="14"/>
          <w:szCs w:val="14"/>
        </w:rPr>
        <w:t xml:space="preserve"> Artículo 21 de la Ley 1150 de 2007</w:t>
      </w:r>
    </w:p>
    <w:p w14:paraId="7EE93D25" w14:textId="77777777" w:rsidR="00FA1FD6" w:rsidRPr="00BB1D72" w:rsidRDefault="00FA1FD6" w:rsidP="00FA1FD6">
      <w:pPr>
        <w:pStyle w:val="Textonotapie"/>
        <w:ind w:firstLine="708"/>
        <w:jc w:val="both"/>
        <w:rPr>
          <w:rFonts w:ascii="Verdana" w:hAnsi="Verdana"/>
          <w:sz w:val="14"/>
          <w:szCs w:val="14"/>
          <w:lang w:val="es-CO"/>
        </w:rPr>
      </w:pPr>
    </w:p>
  </w:footnote>
  <w:footnote w:id="19">
    <w:p w14:paraId="54DBA701" w14:textId="77777777" w:rsidR="00FA1FD6" w:rsidRPr="00BB1D72" w:rsidRDefault="00FA1FD6" w:rsidP="00FA1FD6">
      <w:pPr>
        <w:pStyle w:val="Textonotapie"/>
        <w:ind w:firstLine="708"/>
        <w:jc w:val="both"/>
        <w:rPr>
          <w:rFonts w:ascii="Verdana" w:hAnsi="Verdana"/>
          <w:sz w:val="14"/>
          <w:szCs w:val="14"/>
        </w:rPr>
      </w:pPr>
      <w:r w:rsidRPr="00BB1D72">
        <w:rPr>
          <w:rStyle w:val="Refdenotaalpie"/>
          <w:rFonts w:ascii="Verdana" w:hAnsi="Verdana"/>
          <w:sz w:val="14"/>
          <w:szCs w:val="14"/>
        </w:rPr>
        <w:footnoteRef/>
      </w:r>
      <w:r w:rsidRPr="00BB1D72">
        <w:rPr>
          <w:rFonts w:ascii="Verdana" w:hAnsi="Verdana"/>
          <w:sz w:val="14"/>
          <w:szCs w:val="14"/>
        </w:rPr>
        <w:t xml:space="preserve"> Artículos 83 a 86 de la Ley 1474 de 2011</w:t>
      </w:r>
    </w:p>
    <w:p w14:paraId="09A2C73B" w14:textId="77777777" w:rsidR="00FA1FD6" w:rsidRPr="00BB1D72" w:rsidRDefault="00FA1FD6" w:rsidP="00FA1FD6">
      <w:pPr>
        <w:pStyle w:val="Textonotapie"/>
        <w:ind w:firstLine="708"/>
        <w:jc w:val="both"/>
        <w:rPr>
          <w:rFonts w:ascii="Verdana" w:hAnsi="Verdana"/>
          <w:sz w:val="14"/>
          <w:szCs w:val="14"/>
        </w:rPr>
      </w:pPr>
    </w:p>
  </w:footnote>
  <w:footnote w:id="20">
    <w:p w14:paraId="44C1CB32" w14:textId="77777777" w:rsidR="00FA1FD6" w:rsidRPr="00BB1D72" w:rsidRDefault="00FA1FD6" w:rsidP="00FA1FD6">
      <w:pPr>
        <w:pStyle w:val="Textonotapie"/>
        <w:ind w:firstLine="708"/>
        <w:jc w:val="both"/>
        <w:rPr>
          <w:rFonts w:ascii="Verdana" w:hAnsi="Verdana"/>
          <w:sz w:val="14"/>
          <w:szCs w:val="14"/>
        </w:rPr>
      </w:pPr>
      <w:r w:rsidRPr="00BB1D72">
        <w:rPr>
          <w:rStyle w:val="Refdenotaalpie"/>
          <w:rFonts w:ascii="Verdana" w:hAnsi="Verdana"/>
          <w:sz w:val="14"/>
          <w:szCs w:val="14"/>
        </w:rPr>
        <w:footnoteRef/>
      </w:r>
      <w:r w:rsidRPr="00BB1D72">
        <w:rPr>
          <w:rFonts w:ascii="Verdana" w:hAnsi="Verdana"/>
          <w:sz w:val="14"/>
          <w:szCs w:val="14"/>
        </w:rPr>
        <w:t xml:space="preserve"> Consejo de Estado. Sección 3ª. Sentencia del 27 de noviembre de 2017. M.P. Jaime Orlando Santofimio. Exp. 51.802</w:t>
      </w:r>
    </w:p>
  </w:footnote>
  <w:footnote w:id="21">
    <w:p w14:paraId="599D0FCF" w14:textId="77777777" w:rsidR="00FA1FD6" w:rsidRPr="00BB1D72" w:rsidRDefault="00FA1FD6" w:rsidP="00FA1FD6">
      <w:pPr>
        <w:pStyle w:val="Textonotapie"/>
        <w:ind w:firstLine="708"/>
        <w:jc w:val="both"/>
        <w:rPr>
          <w:rFonts w:ascii="Verdana" w:hAnsi="Verdana" w:cs="Arial"/>
          <w:sz w:val="14"/>
          <w:szCs w:val="14"/>
          <w:lang w:val="es-CO"/>
        </w:rPr>
      </w:pPr>
      <w:r w:rsidRPr="00BB1D72">
        <w:rPr>
          <w:rStyle w:val="Refdenotaalpie"/>
          <w:rFonts w:ascii="Verdana" w:hAnsi="Verdana" w:cs="Arial"/>
          <w:sz w:val="14"/>
          <w:szCs w:val="14"/>
        </w:rPr>
        <w:footnoteRef/>
      </w:r>
      <w:r w:rsidRPr="00BB1D72">
        <w:rPr>
          <w:rFonts w:ascii="Verdana" w:hAnsi="Verdana" w:cs="Arial"/>
          <w:sz w:val="14"/>
          <w:szCs w:val="14"/>
        </w:rPr>
        <w:t xml:space="preserve"> Agencia Nacional de Contratación Pública – Colombia Compra Eficiente. Guía de Elaboración de Estudios del Sector. Disponible en: </w:t>
      </w:r>
      <w:hyperlink r:id="rId1" w:history="1">
        <w:r w:rsidRPr="00BB1D72">
          <w:rPr>
            <w:rStyle w:val="Hipervnculo"/>
            <w:rFonts w:ascii="Verdana" w:hAnsi="Verdana" w:cs="Arial"/>
            <w:sz w:val="14"/>
            <w:szCs w:val="14"/>
          </w:rPr>
          <w:t>https://www.colombiacompra.gov.co/manualesguias-y-pliegos-tipo/manuales-y-guias</w:t>
        </w:r>
      </w:hyperlink>
      <w:r w:rsidRPr="00BB1D72">
        <w:rPr>
          <w:rFonts w:ascii="Verdana" w:hAnsi="Verdana" w:cs="Arial"/>
          <w:sz w:val="14"/>
          <w:szCs w:val="14"/>
        </w:rPr>
        <w:t xml:space="preserve">. </w:t>
      </w:r>
    </w:p>
  </w:footnote>
  <w:footnote w:id="22">
    <w:p w14:paraId="79745F72" w14:textId="77777777" w:rsidR="00FA1FD6" w:rsidRPr="00BB1D72" w:rsidRDefault="00FA1FD6" w:rsidP="00FA1FD6">
      <w:pPr>
        <w:pStyle w:val="Textonotapie"/>
        <w:ind w:firstLine="708"/>
        <w:jc w:val="both"/>
        <w:rPr>
          <w:rFonts w:ascii="Verdana" w:hAnsi="Verdana"/>
          <w:sz w:val="14"/>
          <w:szCs w:val="14"/>
          <w:lang w:val="es-CO"/>
        </w:rPr>
      </w:pPr>
      <w:r w:rsidRPr="00BB1D72">
        <w:rPr>
          <w:rStyle w:val="Refdenotaalpie"/>
          <w:rFonts w:ascii="Verdana" w:hAnsi="Verdana"/>
          <w:sz w:val="14"/>
          <w:szCs w:val="14"/>
        </w:rPr>
        <w:footnoteRef/>
      </w:r>
      <w:r w:rsidRPr="00BB1D72">
        <w:rPr>
          <w:rFonts w:ascii="Verdana" w:hAnsi="Verdana"/>
          <w:sz w:val="14"/>
          <w:szCs w:val="14"/>
        </w:rPr>
        <w:t xml:space="preserve"> Colombia Compra Eficiente, Guía de Elaboración de Estudios de Sector. </w:t>
      </w:r>
      <w:hyperlink r:id="rId2" w:history="1">
        <w:r w:rsidRPr="00BB1D72">
          <w:rPr>
            <w:rStyle w:val="Hipervnculo"/>
            <w:rFonts w:ascii="Verdana" w:hAnsi="Verdana"/>
            <w:sz w:val="14"/>
            <w:szCs w:val="14"/>
            <w:lang w:val="es-CO"/>
          </w:rPr>
          <w:t>https://colombiacompra.gov.co/wp-content/uploads/2024/08/cce-eicp-gi-18._gees_v.2_2.pdf</w:t>
        </w:r>
      </w:hyperlink>
    </w:p>
    <w:p w14:paraId="007EA429" w14:textId="77777777" w:rsidR="00FA1FD6" w:rsidRPr="00BB1D72" w:rsidRDefault="00FA1FD6" w:rsidP="00FA1FD6">
      <w:pPr>
        <w:pStyle w:val="Textonotapie"/>
        <w:ind w:firstLine="708"/>
        <w:jc w:val="both"/>
        <w:rPr>
          <w:rFonts w:ascii="Verdana" w:hAnsi="Verdana"/>
          <w:sz w:val="14"/>
          <w:szCs w:val="14"/>
          <w:lang w:val="es-CO"/>
        </w:rPr>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35F4D03" w14:textId="0903BF04" w:rsidR="00756841" w:rsidRDefault="009D3058" w:rsidP="00844AE9">
    <w:pPr>
      <w:pStyle w:val="Encabezado"/>
      <w:spacing w:line="120" w:lineRule="auto"/>
    </w:pPr>
    <w:r>
      <w:rPr>
        <w:rFonts w:ascii="Geomanist Bold" w:hAnsi="Geomanist Bold"/>
        <w:b/>
        <w:bCs/>
        <w:noProof/>
        <w:color w:val="002060"/>
        <w:sz w:val="24"/>
        <w:szCs w:val="24"/>
      </w:rPr>
      <w:drawing>
        <wp:anchor distT="0" distB="0" distL="114300" distR="114300" simplePos="0" relativeHeight="251665408" behindDoc="1" locked="0" layoutInCell="1" allowOverlap="1" wp14:anchorId="6FC3B35F" wp14:editId="51872E67">
          <wp:simplePos x="0" y="0"/>
          <wp:positionH relativeFrom="margin">
            <wp:align>center</wp:align>
          </wp:positionH>
          <wp:positionV relativeFrom="paragraph">
            <wp:posOffset>-256388</wp:posOffset>
          </wp:positionV>
          <wp:extent cx="1924050" cy="856004"/>
          <wp:effectExtent l="0" t="0" r="0" b="1270"/>
          <wp:wrapNone/>
          <wp:docPr id="1309089902" name="Imagen 1" descr="Imagen que contiene Interfaz de usuario gráfica&#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09089902" name="Imagen 1" descr="Imagen que contiene Interfaz de usuario gráfica&#10;&#10;Descripción generada automáticamente"/>
                  <pic:cNvPicPr/>
                </pic:nvPicPr>
                <pic:blipFill>
                  <a:blip r:embed="rId1">
                    <a:extLst>
                      <a:ext uri="{28A0092B-C50C-407E-A947-70E740481C1C}">
                        <a14:useLocalDpi xmlns:a14="http://schemas.microsoft.com/office/drawing/2010/main" val="0"/>
                      </a:ext>
                    </a:extLst>
                  </a:blip>
                  <a:stretch>
                    <a:fillRect/>
                  </a:stretch>
                </pic:blipFill>
                <pic:spPr>
                  <a:xfrm>
                    <a:off x="0" y="0"/>
                    <a:ext cx="1924050" cy="856004"/>
                  </a:xfrm>
                  <a:prstGeom prst="rect">
                    <a:avLst/>
                  </a:prstGeom>
                </pic:spPr>
              </pic:pic>
            </a:graphicData>
          </a:graphic>
          <wp14:sizeRelH relativeFrom="margin">
            <wp14:pctWidth>0</wp14:pctWidth>
          </wp14:sizeRelH>
          <wp14:sizeRelV relativeFrom="margin">
            <wp14:pctHeight>0</wp14:pctHeight>
          </wp14:sizeRelV>
        </wp:anchor>
      </w:drawing>
    </w:r>
    <w:r w:rsidR="00E90F6B">
      <w:rPr>
        <w:rFonts w:ascii="Geomanist Bold" w:hAnsi="Geomanist Bold"/>
        <w:b/>
        <w:bCs/>
        <w:noProof/>
        <w:color w:val="002060"/>
        <w:sz w:val="24"/>
        <w:szCs w:val="24"/>
      </w:rPr>
      <w:drawing>
        <wp:anchor distT="0" distB="0" distL="114300" distR="114300" simplePos="0" relativeHeight="251663360" behindDoc="0" locked="0" layoutInCell="1" allowOverlap="1" wp14:anchorId="4F745D08" wp14:editId="02405FCC">
          <wp:simplePos x="0" y="0"/>
          <wp:positionH relativeFrom="margin">
            <wp:posOffset>8420100</wp:posOffset>
          </wp:positionH>
          <wp:positionV relativeFrom="margin">
            <wp:posOffset>-1377950</wp:posOffset>
          </wp:positionV>
          <wp:extent cx="665480" cy="3098800"/>
          <wp:effectExtent l="0" t="0" r="0" b="0"/>
          <wp:wrapThrough wrapText="bothSides">
            <wp:wrapPolygon edited="0">
              <wp:start x="6183" y="0"/>
              <wp:lineTo x="0" y="1416"/>
              <wp:lineTo x="5359" y="2833"/>
              <wp:lineTo x="2061" y="4249"/>
              <wp:lineTo x="412" y="4780"/>
              <wp:lineTo x="824" y="5134"/>
              <wp:lineTo x="3298" y="5666"/>
              <wp:lineTo x="4534" y="7082"/>
              <wp:lineTo x="412" y="7967"/>
              <wp:lineTo x="0" y="8233"/>
              <wp:lineTo x="5771" y="9915"/>
              <wp:lineTo x="0" y="11508"/>
              <wp:lineTo x="0" y="11685"/>
              <wp:lineTo x="4122" y="12748"/>
              <wp:lineTo x="2061" y="14164"/>
              <wp:lineTo x="0" y="14872"/>
              <wp:lineTo x="0" y="15049"/>
              <wp:lineTo x="2061" y="15580"/>
              <wp:lineTo x="4534" y="16997"/>
              <wp:lineTo x="0" y="18059"/>
              <wp:lineTo x="0" y="18413"/>
              <wp:lineTo x="10718" y="21246"/>
              <wp:lineTo x="12366" y="21511"/>
              <wp:lineTo x="14427" y="21511"/>
              <wp:lineTo x="14840" y="21511"/>
              <wp:lineTo x="17313" y="20980"/>
              <wp:lineTo x="20611" y="20007"/>
              <wp:lineTo x="20198" y="19830"/>
              <wp:lineTo x="13603" y="18413"/>
              <wp:lineTo x="21023" y="16643"/>
              <wp:lineTo x="16489" y="15580"/>
              <wp:lineTo x="17313" y="14164"/>
              <wp:lineTo x="21023" y="13279"/>
              <wp:lineTo x="18962" y="12748"/>
              <wp:lineTo x="15664" y="11331"/>
              <wp:lineTo x="21023" y="10003"/>
              <wp:lineTo x="21023" y="9826"/>
              <wp:lineTo x="18137" y="9207"/>
              <wp:lineTo x="15664" y="8498"/>
              <wp:lineTo x="19374" y="7082"/>
              <wp:lineTo x="21023" y="6639"/>
              <wp:lineTo x="21023" y="6374"/>
              <wp:lineTo x="18137" y="5666"/>
              <wp:lineTo x="16901" y="4249"/>
              <wp:lineTo x="21023" y="3275"/>
              <wp:lineTo x="21023" y="3098"/>
              <wp:lineTo x="20611" y="2833"/>
              <wp:lineTo x="8244" y="0"/>
              <wp:lineTo x="6183" y="0"/>
            </wp:wrapPolygon>
          </wp:wrapThrough>
          <wp:docPr id="962149914" name="Imagen 9621499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87974706" name="Imagen 1987974706"/>
                  <pic:cNvPicPr/>
                </pic:nvPicPr>
                <pic:blipFill>
                  <a:blip r:embed="rId2" cstate="print">
                    <a:extLst>
                      <a:ext uri="{28A0092B-C50C-407E-A947-70E740481C1C}">
                        <a14:useLocalDpi xmlns:a14="http://schemas.microsoft.com/office/drawing/2010/main" val="0"/>
                      </a:ext>
                    </a:extLst>
                  </a:blip>
                  <a:stretch>
                    <a:fillRect/>
                  </a:stretch>
                </pic:blipFill>
                <pic:spPr>
                  <a:xfrm>
                    <a:off x="0" y="0"/>
                    <a:ext cx="665480" cy="3098800"/>
                  </a:xfrm>
                  <a:prstGeom prst="rect">
                    <a:avLst/>
                  </a:prstGeom>
                </pic:spPr>
              </pic:pic>
            </a:graphicData>
          </a:graphic>
          <wp14:sizeRelH relativeFrom="margin">
            <wp14:pctWidth>0</wp14:pctWidth>
          </wp14:sizeRelH>
          <wp14:sizeRelV relativeFrom="margin">
            <wp14:pctHeight>0</wp14:pctHeight>
          </wp14:sizeRelV>
        </wp:anchor>
      </w:drawing>
    </w:r>
  </w:p>
  <w:p w14:paraId="1BE2B9AE" w14:textId="4B94DB3B" w:rsidR="00756841" w:rsidRDefault="00756841">
    <w:pPr>
      <w:pStyle w:val="Encabezado"/>
    </w:pPr>
  </w:p>
  <w:p w14:paraId="5E18350A" w14:textId="705F7B76" w:rsidR="004A305D" w:rsidRPr="004A305D" w:rsidRDefault="004A305D" w:rsidP="00B01B1A">
    <w:pPr>
      <w:spacing w:after="0" w:line="120" w:lineRule="auto"/>
      <w:rPr>
        <w:rFonts w:ascii="Century Gothic" w:eastAsia="Geo" w:hAnsi="Century Gothic" w:cs="Geo"/>
        <w:sz w:val="16"/>
        <w:szCs w:val="16"/>
        <w:lang w:eastAsia="es-CO"/>
      </w:rPr>
    </w:pPr>
  </w:p>
  <w:p w14:paraId="211B7F5D" w14:textId="77777777" w:rsidR="00C925AC" w:rsidRDefault="00C925AC" w:rsidP="00844AE9">
    <w:pPr>
      <w:spacing w:after="0" w:line="240" w:lineRule="auto"/>
      <w:rPr>
        <w:rFonts w:ascii="Verdana" w:hAnsi="Verdana"/>
        <w:sz w:val="24"/>
        <w:szCs w:val="24"/>
      </w:rPr>
    </w:pPr>
  </w:p>
  <w:p w14:paraId="5A0054B1" w14:textId="77777777" w:rsidR="00A14468" w:rsidRPr="00C925AC" w:rsidRDefault="00A14468" w:rsidP="00844AE9">
    <w:pPr>
      <w:spacing w:after="0" w:line="240" w:lineRule="auto"/>
      <w:rPr>
        <w:rFonts w:ascii="Verdana" w:hAnsi="Verdana"/>
        <w:sz w:val="24"/>
        <w:szCs w:val="24"/>
      </w:rPr>
    </w:pPr>
  </w:p>
  <w:p w14:paraId="1FD1C243" w14:textId="37C5500A" w:rsidR="008A446D" w:rsidRPr="00C925AC" w:rsidRDefault="00C925AC" w:rsidP="000D5DA7">
    <w:pPr>
      <w:spacing w:after="0" w:line="480" w:lineRule="auto"/>
      <w:rPr>
        <w:rFonts w:ascii="Verdana" w:hAnsi="Verdana"/>
        <w:b/>
        <w:bCs/>
        <w:sz w:val="24"/>
        <w:szCs w:val="24"/>
      </w:rPr>
    </w:pPr>
    <w:r w:rsidRPr="00C925AC">
      <w:rPr>
        <w:rFonts w:ascii="Verdana" w:hAnsi="Verdana"/>
        <w:b/>
        <w:bCs/>
        <w:sz w:val="24"/>
        <w:szCs w:val="24"/>
      </w:rPr>
      <w:t>FORMATO</w:t>
    </w:r>
    <w:r w:rsidR="00BF7425">
      <w:rPr>
        <w:rFonts w:ascii="Verdana" w:hAnsi="Verdana"/>
        <w:b/>
        <w:bCs/>
        <w:sz w:val="24"/>
        <w:szCs w:val="24"/>
      </w:rPr>
      <w:t xml:space="preserve"> DE RESPUESTA </w:t>
    </w:r>
    <w:r w:rsidRPr="00C925AC">
      <w:rPr>
        <w:rFonts w:ascii="Verdana" w:hAnsi="Verdana"/>
        <w:b/>
        <w:bCs/>
        <w:sz w:val="24"/>
        <w:szCs w:val="24"/>
      </w:rPr>
      <w:t>PQRSD</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11.35pt;height:11.35pt" o:bullet="t">
        <v:imagedata r:id="rId1" o:title="mso1B13"/>
      </v:shape>
    </w:pict>
  </w:numPicBullet>
  <w:abstractNum w:abstractNumId="0" w15:restartNumberingAfterBreak="0">
    <w:nsid w:val="0337782A"/>
    <w:multiLevelType w:val="multilevel"/>
    <w:tmpl w:val="90D242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 w15:restartNumberingAfterBreak="0">
    <w:nsid w:val="06D30BDC"/>
    <w:multiLevelType w:val="hybridMultilevel"/>
    <w:tmpl w:val="734ED3EC"/>
    <w:lvl w:ilvl="0" w:tplc="834431CA">
      <w:numFmt w:val="bullet"/>
      <w:lvlText w:val="-"/>
      <w:lvlJc w:val="left"/>
      <w:pPr>
        <w:ind w:left="1080" w:hanging="360"/>
      </w:pPr>
      <w:rPr>
        <w:rFonts w:ascii="Arial" w:eastAsia="Times New Roman" w:hAnsi="Arial" w:cs="Arial" w:hint="default"/>
        <w:b/>
      </w:rPr>
    </w:lvl>
    <w:lvl w:ilvl="1" w:tplc="0C0A0003" w:tentative="1">
      <w:start w:val="1"/>
      <w:numFmt w:val="bullet"/>
      <w:lvlText w:val="o"/>
      <w:lvlJc w:val="left"/>
      <w:pPr>
        <w:ind w:left="1800" w:hanging="360"/>
      </w:pPr>
      <w:rPr>
        <w:rFonts w:ascii="Courier New" w:hAnsi="Courier New" w:cs="Courier New" w:hint="default"/>
      </w:rPr>
    </w:lvl>
    <w:lvl w:ilvl="2" w:tplc="0C0A0005" w:tentative="1">
      <w:start w:val="1"/>
      <w:numFmt w:val="bullet"/>
      <w:lvlText w:val=""/>
      <w:lvlJc w:val="left"/>
      <w:pPr>
        <w:ind w:left="2520" w:hanging="360"/>
      </w:pPr>
      <w:rPr>
        <w:rFonts w:ascii="Wingdings" w:hAnsi="Wingdings" w:hint="default"/>
      </w:rPr>
    </w:lvl>
    <w:lvl w:ilvl="3" w:tplc="0C0A0001" w:tentative="1">
      <w:start w:val="1"/>
      <w:numFmt w:val="bullet"/>
      <w:lvlText w:val=""/>
      <w:lvlJc w:val="left"/>
      <w:pPr>
        <w:ind w:left="3240" w:hanging="360"/>
      </w:pPr>
      <w:rPr>
        <w:rFonts w:ascii="Symbol" w:hAnsi="Symbol" w:hint="default"/>
      </w:rPr>
    </w:lvl>
    <w:lvl w:ilvl="4" w:tplc="0C0A0003" w:tentative="1">
      <w:start w:val="1"/>
      <w:numFmt w:val="bullet"/>
      <w:lvlText w:val="o"/>
      <w:lvlJc w:val="left"/>
      <w:pPr>
        <w:ind w:left="3960" w:hanging="360"/>
      </w:pPr>
      <w:rPr>
        <w:rFonts w:ascii="Courier New" w:hAnsi="Courier New" w:cs="Courier New" w:hint="default"/>
      </w:rPr>
    </w:lvl>
    <w:lvl w:ilvl="5" w:tplc="0C0A0005" w:tentative="1">
      <w:start w:val="1"/>
      <w:numFmt w:val="bullet"/>
      <w:lvlText w:val=""/>
      <w:lvlJc w:val="left"/>
      <w:pPr>
        <w:ind w:left="4680" w:hanging="360"/>
      </w:pPr>
      <w:rPr>
        <w:rFonts w:ascii="Wingdings" w:hAnsi="Wingdings" w:hint="default"/>
      </w:rPr>
    </w:lvl>
    <w:lvl w:ilvl="6" w:tplc="0C0A0001" w:tentative="1">
      <w:start w:val="1"/>
      <w:numFmt w:val="bullet"/>
      <w:lvlText w:val=""/>
      <w:lvlJc w:val="left"/>
      <w:pPr>
        <w:ind w:left="5400" w:hanging="360"/>
      </w:pPr>
      <w:rPr>
        <w:rFonts w:ascii="Symbol" w:hAnsi="Symbol" w:hint="default"/>
      </w:rPr>
    </w:lvl>
    <w:lvl w:ilvl="7" w:tplc="0C0A0003" w:tentative="1">
      <w:start w:val="1"/>
      <w:numFmt w:val="bullet"/>
      <w:lvlText w:val="o"/>
      <w:lvlJc w:val="left"/>
      <w:pPr>
        <w:ind w:left="6120" w:hanging="360"/>
      </w:pPr>
      <w:rPr>
        <w:rFonts w:ascii="Courier New" w:hAnsi="Courier New" w:cs="Courier New" w:hint="default"/>
      </w:rPr>
    </w:lvl>
    <w:lvl w:ilvl="8" w:tplc="0C0A0005" w:tentative="1">
      <w:start w:val="1"/>
      <w:numFmt w:val="bullet"/>
      <w:lvlText w:val=""/>
      <w:lvlJc w:val="left"/>
      <w:pPr>
        <w:ind w:left="6840" w:hanging="360"/>
      </w:pPr>
      <w:rPr>
        <w:rFonts w:ascii="Wingdings" w:hAnsi="Wingdings" w:hint="default"/>
      </w:rPr>
    </w:lvl>
  </w:abstractNum>
  <w:abstractNum w:abstractNumId="2" w15:restartNumberingAfterBreak="0">
    <w:nsid w:val="25352E86"/>
    <w:multiLevelType w:val="multilevel"/>
    <w:tmpl w:val="E81277DA"/>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 w15:restartNumberingAfterBreak="0">
    <w:nsid w:val="31280020"/>
    <w:multiLevelType w:val="hybridMultilevel"/>
    <w:tmpl w:val="DA8CAD24"/>
    <w:lvl w:ilvl="0" w:tplc="240A000F">
      <w:start w:val="1"/>
      <w:numFmt w:val="decimal"/>
      <w:lvlText w:val="%1."/>
      <w:lvlJc w:val="left"/>
      <w:pPr>
        <w:ind w:left="720" w:hanging="36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4" w15:restartNumberingAfterBreak="0">
    <w:nsid w:val="320B0C74"/>
    <w:multiLevelType w:val="multilevel"/>
    <w:tmpl w:val="FCE0A7DE"/>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 w15:restartNumberingAfterBreak="0">
    <w:nsid w:val="33614460"/>
    <w:multiLevelType w:val="hybridMultilevel"/>
    <w:tmpl w:val="7FC88522"/>
    <w:lvl w:ilvl="0" w:tplc="A22AAB2E">
      <w:start w:val="1"/>
      <w:numFmt w:val="decimal"/>
      <w:lvlText w:val="%1)"/>
      <w:lvlJc w:val="left"/>
      <w:pPr>
        <w:ind w:left="720" w:hanging="360"/>
      </w:pPr>
      <w:rPr>
        <w:rFonts w:hint="default"/>
        <w:b/>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6" w15:restartNumberingAfterBreak="0">
    <w:nsid w:val="370F0516"/>
    <w:multiLevelType w:val="multilevel"/>
    <w:tmpl w:val="BAD28BB2"/>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 w15:restartNumberingAfterBreak="0">
    <w:nsid w:val="37D933EA"/>
    <w:multiLevelType w:val="multilevel"/>
    <w:tmpl w:val="8BFCD550"/>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 w15:restartNumberingAfterBreak="0">
    <w:nsid w:val="418679D0"/>
    <w:multiLevelType w:val="hybridMultilevel"/>
    <w:tmpl w:val="2C6ECA9C"/>
    <w:lvl w:ilvl="0" w:tplc="240A0001">
      <w:start w:val="1"/>
      <w:numFmt w:val="bullet"/>
      <w:lvlText w:val=""/>
      <w:lvlJc w:val="left"/>
      <w:pPr>
        <w:ind w:left="720" w:hanging="360"/>
      </w:pPr>
      <w:rPr>
        <w:rFonts w:ascii="Symbol" w:hAnsi="Symbol" w:hint="default"/>
        <w:color w:val="auto"/>
        <w:sz w:val="22"/>
        <w:szCs w:val="22"/>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9" w15:restartNumberingAfterBreak="0">
    <w:nsid w:val="636C03B0"/>
    <w:multiLevelType w:val="hybridMultilevel"/>
    <w:tmpl w:val="53AC8484"/>
    <w:lvl w:ilvl="0" w:tplc="1F14B5D2">
      <w:start w:val="1"/>
      <w:numFmt w:val="bullet"/>
      <w:lvlText w:val="·"/>
      <w:lvlJc w:val="left"/>
      <w:pPr>
        <w:ind w:left="785" w:hanging="360"/>
      </w:pPr>
      <w:rPr>
        <w:rFonts w:ascii="Symbol" w:hAnsi="Symbol" w:hint="default"/>
        <w:color w:val="auto"/>
      </w:rPr>
    </w:lvl>
    <w:lvl w:ilvl="1" w:tplc="240A0003" w:tentative="1">
      <w:start w:val="1"/>
      <w:numFmt w:val="bullet"/>
      <w:lvlText w:val="o"/>
      <w:lvlJc w:val="left"/>
      <w:pPr>
        <w:ind w:left="1505" w:hanging="360"/>
      </w:pPr>
      <w:rPr>
        <w:rFonts w:ascii="Courier New" w:hAnsi="Courier New" w:cs="Courier New" w:hint="default"/>
      </w:rPr>
    </w:lvl>
    <w:lvl w:ilvl="2" w:tplc="240A0005" w:tentative="1">
      <w:start w:val="1"/>
      <w:numFmt w:val="bullet"/>
      <w:lvlText w:val=""/>
      <w:lvlJc w:val="left"/>
      <w:pPr>
        <w:ind w:left="2225" w:hanging="360"/>
      </w:pPr>
      <w:rPr>
        <w:rFonts w:ascii="Wingdings" w:hAnsi="Wingdings" w:hint="default"/>
      </w:rPr>
    </w:lvl>
    <w:lvl w:ilvl="3" w:tplc="240A0001" w:tentative="1">
      <w:start w:val="1"/>
      <w:numFmt w:val="bullet"/>
      <w:lvlText w:val=""/>
      <w:lvlJc w:val="left"/>
      <w:pPr>
        <w:ind w:left="2945" w:hanging="360"/>
      </w:pPr>
      <w:rPr>
        <w:rFonts w:ascii="Symbol" w:hAnsi="Symbol" w:hint="default"/>
      </w:rPr>
    </w:lvl>
    <w:lvl w:ilvl="4" w:tplc="240A0003" w:tentative="1">
      <w:start w:val="1"/>
      <w:numFmt w:val="bullet"/>
      <w:lvlText w:val="o"/>
      <w:lvlJc w:val="left"/>
      <w:pPr>
        <w:ind w:left="3665" w:hanging="360"/>
      </w:pPr>
      <w:rPr>
        <w:rFonts w:ascii="Courier New" w:hAnsi="Courier New" w:cs="Courier New" w:hint="default"/>
      </w:rPr>
    </w:lvl>
    <w:lvl w:ilvl="5" w:tplc="240A0005" w:tentative="1">
      <w:start w:val="1"/>
      <w:numFmt w:val="bullet"/>
      <w:lvlText w:val=""/>
      <w:lvlJc w:val="left"/>
      <w:pPr>
        <w:ind w:left="4385" w:hanging="360"/>
      </w:pPr>
      <w:rPr>
        <w:rFonts w:ascii="Wingdings" w:hAnsi="Wingdings" w:hint="default"/>
      </w:rPr>
    </w:lvl>
    <w:lvl w:ilvl="6" w:tplc="240A0001" w:tentative="1">
      <w:start w:val="1"/>
      <w:numFmt w:val="bullet"/>
      <w:lvlText w:val=""/>
      <w:lvlJc w:val="left"/>
      <w:pPr>
        <w:ind w:left="5105" w:hanging="360"/>
      </w:pPr>
      <w:rPr>
        <w:rFonts w:ascii="Symbol" w:hAnsi="Symbol" w:hint="default"/>
      </w:rPr>
    </w:lvl>
    <w:lvl w:ilvl="7" w:tplc="240A0003" w:tentative="1">
      <w:start w:val="1"/>
      <w:numFmt w:val="bullet"/>
      <w:lvlText w:val="o"/>
      <w:lvlJc w:val="left"/>
      <w:pPr>
        <w:ind w:left="5825" w:hanging="360"/>
      </w:pPr>
      <w:rPr>
        <w:rFonts w:ascii="Courier New" w:hAnsi="Courier New" w:cs="Courier New" w:hint="default"/>
      </w:rPr>
    </w:lvl>
    <w:lvl w:ilvl="8" w:tplc="240A0005" w:tentative="1">
      <w:start w:val="1"/>
      <w:numFmt w:val="bullet"/>
      <w:lvlText w:val=""/>
      <w:lvlJc w:val="left"/>
      <w:pPr>
        <w:ind w:left="6545" w:hanging="360"/>
      </w:pPr>
      <w:rPr>
        <w:rFonts w:ascii="Wingdings" w:hAnsi="Wingdings" w:hint="default"/>
      </w:rPr>
    </w:lvl>
  </w:abstractNum>
  <w:abstractNum w:abstractNumId="10" w15:restartNumberingAfterBreak="0">
    <w:nsid w:val="6BF97060"/>
    <w:multiLevelType w:val="multilevel"/>
    <w:tmpl w:val="B3E004E0"/>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1" w15:restartNumberingAfterBreak="0">
    <w:nsid w:val="6C3C082A"/>
    <w:multiLevelType w:val="multilevel"/>
    <w:tmpl w:val="A80420EA"/>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2" w15:restartNumberingAfterBreak="0">
    <w:nsid w:val="6F4922CE"/>
    <w:multiLevelType w:val="multilevel"/>
    <w:tmpl w:val="E5E6373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3" w15:restartNumberingAfterBreak="0">
    <w:nsid w:val="6FB367B7"/>
    <w:multiLevelType w:val="multilevel"/>
    <w:tmpl w:val="4E0EF642"/>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16cid:durableId="588537974">
    <w:abstractNumId w:val="5"/>
  </w:num>
  <w:num w:numId="2" w16cid:durableId="1216315153">
    <w:abstractNumId w:val="1"/>
  </w:num>
  <w:num w:numId="3" w16cid:durableId="385489403">
    <w:abstractNumId w:val="3"/>
  </w:num>
  <w:num w:numId="4" w16cid:durableId="1033312907">
    <w:abstractNumId w:val="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16cid:durableId="934944773">
    <w:abstractNumId w:val="1"/>
  </w:num>
  <w:num w:numId="6" w16cid:durableId="430513112">
    <w:abstractNumId w:val="12"/>
  </w:num>
  <w:num w:numId="7" w16cid:durableId="324435011">
    <w:abstractNumId w:val="4"/>
  </w:num>
  <w:num w:numId="8" w16cid:durableId="1750694284">
    <w:abstractNumId w:val="11"/>
  </w:num>
  <w:num w:numId="9" w16cid:durableId="317997103">
    <w:abstractNumId w:val="6"/>
  </w:num>
  <w:num w:numId="10" w16cid:durableId="1507551239">
    <w:abstractNumId w:val="10"/>
  </w:num>
  <w:num w:numId="11" w16cid:durableId="943607869">
    <w:abstractNumId w:val="7"/>
  </w:num>
  <w:num w:numId="12" w16cid:durableId="1923953848">
    <w:abstractNumId w:val="0"/>
  </w:num>
  <w:num w:numId="13" w16cid:durableId="1345983750">
    <w:abstractNumId w:val="2"/>
  </w:num>
  <w:num w:numId="14" w16cid:durableId="970475323">
    <w:abstractNumId w:val="13"/>
  </w:num>
  <w:num w:numId="15" w16cid:durableId="2063551496">
    <w:abstractNumId w:val="9"/>
  </w:num>
  <w:num w:numId="16" w16cid:durableId="2046517968">
    <w:abstractNumId w:val="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40"/>
  <w:proofState w:spelling="clean" w:grammar="clean"/>
  <w:defaultTabStop w:val="708"/>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A1847"/>
    <w:rsid w:val="00016F78"/>
    <w:rsid w:val="00046945"/>
    <w:rsid w:val="00061B2A"/>
    <w:rsid w:val="00082362"/>
    <w:rsid w:val="000A683E"/>
    <w:rsid w:val="000B19B9"/>
    <w:rsid w:val="000C23B5"/>
    <w:rsid w:val="000D0334"/>
    <w:rsid w:val="000D5DA7"/>
    <w:rsid w:val="000F6486"/>
    <w:rsid w:val="00116940"/>
    <w:rsid w:val="00125105"/>
    <w:rsid w:val="00127233"/>
    <w:rsid w:val="0015699B"/>
    <w:rsid w:val="00187CC3"/>
    <w:rsid w:val="001A33BF"/>
    <w:rsid w:val="001E4177"/>
    <w:rsid w:val="001F0B24"/>
    <w:rsid w:val="001F7DC6"/>
    <w:rsid w:val="0022400B"/>
    <w:rsid w:val="002421BB"/>
    <w:rsid w:val="0025796E"/>
    <w:rsid w:val="002707A2"/>
    <w:rsid w:val="002951A0"/>
    <w:rsid w:val="002962BC"/>
    <w:rsid w:val="002A093D"/>
    <w:rsid w:val="002A0DD0"/>
    <w:rsid w:val="002A49AC"/>
    <w:rsid w:val="002A64FD"/>
    <w:rsid w:val="002C7A84"/>
    <w:rsid w:val="002E2BF8"/>
    <w:rsid w:val="002E4FD9"/>
    <w:rsid w:val="0030657A"/>
    <w:rsid w:val="003177E4"/>
    <w:rsid w:val="00322A85"/>
    <w:rsid w:val="00324168"/>
    <w:rsid w:val="00330834"/>
    <w:rsid w:val="003448F4"/>
    <w:rsid w:val="00374F5E"/>
    <w:rsid w:val="00377E3E"/>
    <w:rsid w:val="00386ABF"/>
    <w:rsid w:val="003A779E"/>
    <w:rsid w:val="003D0F4D"/>
    <w:rsid w:val="003D5B0D"/>
    <w:rsid w:val="003E0499"/>
    <w:rsid w:val="003E4F80"/>
    <w:rsid w:val="003E6439"/>
    <w:rsid w:val="003F3941"/>
    <w:rsid w:val="00406575"/>
    <w:rsid w:val="00414C74"/>
    <w:rsid w:val="0042722E"/>
    <w:rsid w:val="00435BFA"/>
    <w:rsid w:val="0044528D"/>
    <w:rsid w:val="00466E39"/>
    <w:rsid w:val="004A1847"/>
    <w:rsid w:val="004A305D"/>
    <w:rsid w:val="004F21C4"/>
    <w:rsid w:val="004F685F"/>
    <w:rsid w:val="005364A2"/>
    <w:rsid w:val="005566E8"/>
    <w:rsid w:val="00574867"/>
    <w:rsid w:val="00591460"/>
    <w:rsid w:val="005A65E0"/>
    <w:rsid w:val="005C3777"/>
    <w:rsid w:val="005C5CDC"/>
    <w:rsid w:val="005D476C"/>
    <w:rsid w:val="006200BF"/>
    <w:rsid w:val="006219F8"/>
    <w:rsid w:val="006302F7"/>
    <w:rsid w:val="006447EC"/>
    <w:rsid w:val="00646B9F"/>
    <w:rsid w:val="00665D70"/>
    <w:rsid w:val="0067757D"/>
    <w:rsid w:val="006900D9"/>
    <w:rsid w:val="006E5E24"/>
    <w:rsid w:val="00706C16"/>
    <w:rsid w:val="007340C3"/>
    <w:rsid w:val="0075235A"/>
    <w:rsid w:val="00756841"/>
    <w:rsid w:val="007649AB"/>
    <w:rsid w:val="00771D0C"/>
    <w:rsid w:val="007833AC"/>
    <w:rsid w:val="007B268C"/>
    <w:rsid w:val="007B7171"/>
    <w:rsid w:val="007C0C0F"/>
    <w:rsid w:val="007C3DC2"/>
    <w:rsid w:val="007E5497"/>
    <w:rsid w:val="00806F5F"/>
    <w:rsid w:val="00820278"/>
    <w:rsid w:val="008258C9"/>
    <w:rsid w:val="00844AE9"/>
    <w:rsid w:val="00867F95"/>
    <w:rsid w:val="008843B6"/>
    <w:rsid w:val="00891928"/>
    <w:rsid w:val="008A446D"/>
    <w:rsid w:val="008B25F1"/>
    <w:rsid w:val="008D180B"/>
    <w:rsid w:val="008F0EA7"/>
    <w:rsid w:val="00922529"/>
    <w:rsid w:val="00923EEF"/>
    <w:rsid w:val="009419F9"/>
    <w:rsid w:val="0095685E"/>
    <w:rsid w:val="00961B09"/>
    <w:rsid w:val="00965334"/>
    <w:rsid w:val="0097093E"/>
    <w:rsid w:val="009A0DFA"/>
    <w:rsid w:val="009A1C6F"/>
    <w:rsid w:val="009B2D26"/>
    <w:rsid w:val="009C71FA"/>
    <w:rsid w:val="009C72E7"/>
    <w:rsid w:val="009C7F7E"/>
    <w:rsid w:val="009D3058"/>
    <w:rsid w:val="009F3A13"/>
    <w:rsid w:val="00A122D3"/>
    <w:rsid w:val="00A14468"/>
    <w:rsid w:val="00A17F13"/>
    <w:rsid w:val="00A20739"/>
    <w:rsid w:val="00A23AF9"/>
    <w:rsid w:val="00A255B9"/>
    <w:rsid w:val="00A30503"/>
    <w:rsid w:val="00A3155E"/>
    <w:rsid w:val="00A33C78"/>
    <w:rsid w:val="00AB0ADB"/>
    <w:rsid w:val="00B00C0E"/>
    <w:rsid w:val="00B01B1A"/>
    <w:rsid w:val="00B0381D"/>
    <w:rsid w:val="00B30886"/>
    <w:rsid w:val="00B44A47"/>
    <w:rsid w:val="00B654DD"/>
    <w:rsid w:val="00B72CD3"/>
    <w:rsid w:val="00B72FFF"/>
    <w:rsid w:val="00BB07DD"/>
    <w:rsid w:val="00BB1D72"/>
    <w:rsid w:val="00BC3D36"/>
    <w:rsid w:val="00BD54A6"/>
    <w:rsid w:val="00BD7F72"/>
    <w:rsid w:val="00BF7425"/>
    <w:rsid w:val="00C04FB3"/>
    <w:rsid w:val="00C11D8B"/>
    <w:rsid w:val="00C15139"/>
    <w:rsid w:val="00C330EB"/>
    <w:rsid w:val="00C50D69"/>
    <w:rsid w:val="00C5365C"/>
    <w:rsid w:val="00C754BE"/>
    <w:rsid w:val="00C76B1C"/>
    <w:rsid w:val="00C925AC"/>
    <w:rsid w:val="00CB6357"/>
    <w:rsid w:val="00CC1B26"/>
    <w:rsid w:val="00D361FD"/>
    <w:rsid w:val="00D423A2"/>
    <w:rsid w:val="00D44E26"/>
    <w:rsid w:val="00D454EB"/>
    <w:rsid w:val="00D520D8"/>
    <w:rsid w:val="00D63AC2"/>
    <w:rsid w:val="00D7383B"/>
    <w:rsid w:val="00D7788A"/>
    <w:rsid w:val="00DA231B"/>
    <w:rsid w:val="00DC39FC"/>
    <w:rsid w:val="00DF5254"/>
    <w:rsid w:val="00E02524"/>
    <w:rsid w:val="00E16408"/>
    <w:rsid w:val="00E20894"/>
    <w:rsid w:val="00E245AB"/>
    <w:rsid w:val="00E2764C"/>
    <w:rsid w:val="00E27F2E"/>
    <w:rsid w:val="00E359CC"/>
    <w:rsid w:val="00E50AFE"/>
    <w:rsid w:val="00E54223"/>
    <w:rsid w:val="00E75C92"/>
    <w:rsid w:val="00E771DC"/>
    <w:rsid w:val="00E8772A"/>
    <w:rsid w:val="00E90F6B"/>
    <w:rsid w:val="00E92C27"/>
    <w:rsid w:val="00EA0E3D"/>
    <w:rsid w:val="00EC38A7"/>
    <w:rsid w:val="00EE1AA8"/>
    <w:rsid w:val="00F23FEA"/>
    <w:rsid w:val="00F31EDC"/>
    <w:rsid w:val="00F462B3"/>
    <w:rsid w:val="00F5664F"/>
    <w:rsid w:val="00F666C4"/>
    <w:rsid w:val="00F76AFC"/>
    <w:rsid w:val="00FA1FD6"/>
    <w:rsid w:val="00FA47C0"/>
    <w:rsid w:val="00FB5DD1"/>
    <w:rsid w:val="00FC2B5D"/>
    <w:rsid w:val="00FF1449"/>
    <w:rsid w:val="00FF7963"/>
    <w:rsid w:val="071B8F93"/>
    <w:rsid w:val="07C73DD1"/>
    <w:rsid w:val="09908A09"/>
    <w:rsid w:val="0EFE6349"/>
    <w:rsid w:val="0FF4CCA8"/>
    <w:rsid w:val="13CFC91B"/>
    <w:rsid w:val="19A2EC2C"/>
    <w:rsid w:val="21779BE6"/>
    <w:rsid w:val="2859CA1B"/>
    <w:rsid w:val="2C4D2425"/>
    <w:rsid w:val="2EE1E026"/>
    <w:rsid w:val="2F44F38F"/>
    <w:rsid w:val="30821638"/>
    <w:rsid w:val="32A4F9CF"/>
    <w:rsid w:val="33A1FF93"/>
    <w:rsid w:val="356CEDFD"/>
    <w:rsid w:val="3C591AFD"/>
    <w:rsid w:val="42183F0A"/>
    <w:rsid w:val="545B112A"/>
    <w:rsid w:val="5BEB1497"/>
    <w:rsid w:val="69614A15"/>
    <w:rsid w:val="74BA017B"/>
    <w:rsid w:val="7677286E"/>
    <w:rsid w:val="79A64A20"/>
    <w:rsid w:val="7BB183BC"/>
  </w:rsids>
  <m:mathPr>
    <m:mathFont m:val="Cambria Math"/>
    <m:brkBin m:val="before"/>
    <m:brkBinSub m:val="--"/>
    <m:smallFrac m:val="0"/>
    <m:dispDef/>
    <m:lMargin m:val="0"/>
    <m:rMargin m:val="0"/>
    <m:defJc m:val="centerGroup"/>
    <m:wrapIndent m:val="1440"/>
    <m:intLim m:val="subSup"/>
    <m:naryLim m:val="undOvr"/>
  </m:mathPr>
  <w:themeFontLang w:val="es-CO"/>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279607BD"/>
  <w15:chartTrackingRefBased/>
  <w15:docId w15:val="{AA18BD11-F4B5-4A67-BA3F-63EFCCB41AF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s-CO"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qFormat="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qFormat="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qFormat="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E245AB"/>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4A1847"/>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4A1847"/>
  </w:style>
  <w:style w:type="paragraph" w:styleId="Piedepgina">
    <w:name w:val="footer"/>
    <w:basedOn w:val="Normal"/>
    <w:link w:val="PiedepginaCar"/>
    <w:uiPriority w:val="99"/>
    <w:unhideWhenUsed/>
    <w:rsid w:val="004A1847"/>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4A1847"/>
  </w:style>
  <w:style w:type="paragraph" w:customStyle="1" w:styleId="Default">
    <w:name w:val="Default"/>
    <w:rsid w:val="006219F8"/>
    <w:pPr>
      <w:autoSpaceDE w:val="0"/>
      <w:autoSpaceDN w:val="0"/>
      <w:adjustRightInd w:val="0"/>
      <w:spacing w:after="0" w:line="240" w:lineRule="auto"/>
    </w:pPr>
    <w:rPr>
      <w:rFonts w:ascii="Arial" w:hAnsi="Arial" w:cs="Arial"/>
      <w:color w:val="000000"/>
      <w:sz w:val="24"/>
      <w:szCs w:val="24"/>
    </w:rPr>
  </w:style>
  <w:style w:type="character" w:customStyle="1" w:styleId="TextonotapieCar">
    <w:name w:val="Texto nota pie Car"/>
    <w:aliases w:val="Ref. de nota al pie1 Car,Texto de nota al pie Car,referencia nota al pie Car,Appel note de bas de page Car,Footnotes refss Car,Footnote number Car,BVI fnr Car,Footnote Text Char Char Char Char Char Car,Footnote reference Car,FA Fu Car"/>
    <w:basedOn w:val="Fuentedeprrafopredeter"/>
    <w:link w:val="Textonotapie"/>
    <w:uiPriority w:val="99"/>
    <w:qFormat/>
    <w:locked/>
    <w:rsid w:val="006219F8"/>
    <w:rPr>
      <w:sz w:val="20"/>
      <w:szCs w:val="20"/>
      <w:lang w:val="es-MX"/>
    </w:rPr>
  </w:style>
  <w:style w:type="paragraph" w:styleId="Textonotapie">
    <w:name w:val="footnote text"/>
    <w:aliases w:val="Ref. de nota al pie1,Texto de nota al pie,referencia nota al pie,Appel note de bas de page,Footnotes refss,Footnote number,BVI fnr,Footnote Text Char Char Char Char Char,Footnote Text Char Char Char Char,Footnote reference,FA Fu,ft,fn,Car"/>
    <w:basedOn w:val="Normal"/>
    <w:link w:val="TextonotapieCar"/>
    <w:uiPriority w:val="99"/>
    <w:unhideWhenUsed/>
    <w:qFormat/>
    <w:rsid w:val="006219F8"/>
    <w:pPr>
      <w:spacing w:after="0" w:line="240" w:lineRule="auto"/>
    </w:pPr>
    <w:rPr>
      <w:sz w:val="20"/>
      <w:szCs w:val="20"/>
      <w:lang w:val="es-MX"/>
    </w:rPr>
  </w:style>
  <w:style w:type="character" w:customStyle="1" w:styleId="TextonotapieCar1">
    <w:name w:val="Texto nota pie Car1"/>
    <w:basedOn w:val="Fuentedeprrafopredeter"/>
    <w:uiPriority w:val="99"/>
    <w:semiHidden/>
    <w:rsid w:val="006219F8"/>
    <w:rPr>
      <w:sz w:val="20"/>
      <w:szCs w:val="20"/>
    </w:rPr>
  </w:style>
  <w:style w:type="character" w:styleId="Refdenotaalpie">
    <w:name w:val="footnote reference"/>
    <w:aliases w:val="Ref. de nota al pie 2,Ref,de nota al pie,FC,Appel note de bas de p,f,4_G,16 Point,Superscript 6 Point,Texto nota al pie,Pie de Página,Texto de nota al pi,Nota de pie,Texto de nota al p,Footnote Reference Char3,Texto nota pie Car2,F,R"/>
    <w:basedOn w:val="Fuentedeprrafopredeter"/>
    <w:link w:val="Appelnotedebasde"/>
    <w:uiPriority w:val="99"/>
    <w:unhideWhenUsed/>
    <w:qFormat/>
    <w:rsid w:val="006219F8"/>
    <w:rPr>
      <w:vertAlign w:val="superscript"/>
    </w:rPr>
  </w:style>
  <w:style w:type="character" w:customStyle="1" w:styleId="normaltextrun">
    <w:name w:val="normaltextrun"/>
    <w:basedOn w:val="Fuentedeprrafopredeter"/>
    <w:rsid w:val="006219F8"/>
  </w:style>
  <w:style w:type="table" w:styleId="Tablaconcuadrcula">
    <w:name w:val="Table Grid"/>
    <w:basedOn w:val="Tablanormal"/>
    <w:uiPriority w:val="39"/>
    <w:qFormat/>
    <w:rsid w:val="006219F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Prrafodelista">
    <w:name w:val="List Paragraph"/>
    <w:basedOn w:val="Normal"/>
    <w:uiPriority w:val="34"/>
    <w:qFormat/>
    <w:rsid w:val="005566E8"/>
    <w:pPr>
      <w:ind w:left="720"/>
      <w:contextualSpacing/>
    </w:pPr>
    <w:rPr>
      <w:rFonts w:ascii="Geomanist Light" w:hAnsi="Geomanist Light"/>
      <w:lang w:val="es-ES"/>
    </w:rPr>
  </w:style>
  <w:style w:type="paragraph" w:styleId="Ttulo">
    <w:name w:val="Title"/>
    <w:basedOn w:val="Normal"/>
    <w:next w:val="Normal"/>
    <w:link w:val="TtuloCar"/>
    <w:uiPriority w:val="10"/>
    <w:qFormat/>
    <w:rsid w:val="005566E8"/>
    <w:pPr>
      <w:spacing w:after="0" w:line="240" w:lineRule="auto"/>
      <w:contextualSpacing/>
    </w:pPr>
    <w:rPr>
      <w:rFonts w:ascii="Geomanist" w:eastAsiaTheme="majorEastAsia" w:hAnsi="Geomanist" w:cstheme="majorBidi"/>
      <w:spacing w:val="-10"/>
      <w:kern w:val="28"/>
      <w:szCs w:val="56"/>
      <w:lang w:val="es-ES"/>
    </w:rPr>
  </w:style>
  <w:style w:type="character" w:customStyle="1" w:styleId="TtuloCar">
    <w:name w:val="Título Car"/>
    <w:basedOn w:val="Fuentedeprrafopredeter"/>
    <w:link w:val="Ttulo"/>
    <w:uiPriority w:val="10"/>
    <w:rsid w:val="005566E8"/>
    <w:rPr>
      <w:rFonts w:ascii="Geomanist" w:eastAsiaTheme="majorEastAsia" w:hAnsi="Geomanist" w:cstheme="majorBidi"/>
      <w:spacing w:val="-10"/>
      <w:kern w:val="28"/>
      <w:szCs w:val="56"/>
      <w:lang w:val="es-ES"/>
    </w:rPr>
  </w:style>
  <w:style w:type="character" w:customStyle="1" w:styleId="ui-provider">
    <w:name w:val="ui-provider"/>
    <w:basedOn w:val="Fuentedeprrafopredeter"/>
    <w:rsid w:val="00DA231B"/>
  </w:style>
  <w:style w:type="character" w:styleId="Hipervnculo">
    <w:name w:val="Hyperlink"/>
    <w:basedOn w:val="Fuentedeprrafopredeter"/>
    <w:uiPriority w:val="99"/>
    <w:unhideWhenUsed/>
    <w:rsid w:val="00125105"/>
    <w:rPr>
      <w:color w:val="0000FF"/>
      <w:u w:val="single"/>
    </w:rPr>
  </w:style>
  <w:style w:type="character" w:styleId="Hipervnculovisitado">
    <w:name w:val="FollowedHyperlink"/>
    <w:basedOn w:val="Fuentedeprrafopredeter"/>
    <w:uiPriority w:val="99"/>
    <w:semiHidden/>
    <w:unhideWhenUsed/>
    <w:rsid w:val="00125105"/>
    <w:rPr>
      <w:color w:val="954F72" w:themeColor="followedHyperlink"/>
      <w:u w:val="single"/>
    </w:rPr>
  </w:style>
  <w:style w:type="paragraph" w:customStyle="1" w:styleId="paragraph">
    <w:name w:val="paragraph"/>
    <w:basedOn w:val="Normal"/>
    <w:rsid w:val="00322A85"/>
    <w:pPr>
      <w:spacing w:before="100" w:beforeAutospacing="1" w:after="100" w:afterAutospacing="1" w:line="240" w:lineRule="auto"/>
    </w:pPr>
    <w:rPr>
      <w:rFonts w:ascii="Times New Roman" w:eastAsia="Times New Roman" w:hAnsi="Times New Roman" w:cs="Times New Roman"/>
      <w:sz w:val="24"/>
      <w:szCs w:val="24"/>
      <w:lang w:eastAsia="es-CO"/>
    </w:rPr>
  </w:style>
  <w:style w:type="character" w:customStyle="1" w:styleId="tabchar">
    <w:name w:val="tabchar"/>
    <w:basedOn w:val="Fuentedeprrafopredeter"/>
    <w:rsid w:val="00322A85"/>
  </w:style>
  <w:style w:type="character" w:customStyle="1" w:styleId="eop">
    <w:name w:val="eop"/>
    <w:basedOn w:val="Fuentedeprrafopredeter"/>
    <w:rsid w:val="00322A85"/>
  </w:style>
  <w:style w:type="character" w:styleId="Mencinsinresolver">
    <w:name w:val="Unresolved Mention"/>
    <w:basedOn w:val="Fuentedeprrafopredeter"/>
    <w:uiPriority w:val="99"/>
    <w:semiHidden/>
    <w:unhideWhenUsed/>
    <w:rsid w:val="001F7DC6"/>
    <w:rPr>
      <w:color w:val="605E5C"/>
      <w:shd w:val="clear" w:color="auto" w:fill="E1DFDD"/>
    </w:rPr>
  </w:style>
  <w:style w:type="paragraph" w:styleId="NormalWeb">
    <w:name w:val="Normal (Web)"/>
    <w:basedOn w:val="Normal"/>
    <w:uiPriority w:val="99"/>
    <w:semiHidden/>
    <w:unhideWhenUsed/>
    <w:rsid w:val="00DF5254"/>
    <w:pPr>
      <w:spacing w:before="100" w:beforeAutospacing="1" w:after="100" w:afterAutospacing="1" w:line="240" w:lineRule="auto"/>
    </w:pPr>
    <w:rPr>
      <w:rFonts w:ascii="Times New Roman" w:eastAsia="Times New Roman" w:hAnsi="Times New Roman" w:cs="Times New Roman"/>
      <w:sz w:val="24"/>
      <w:szCs w:val="24"/>
      <w:lang w:eastAsia="es-CO"/>
    </w:rPr>
  </w:style>
  <w:style w:type="paragraph" w:customStyle="1" w:styleId="blanco">
    <w:name w:val="blanco"/>
    <w:basedOn w:val="Normal"/>
    <w:rsid w:val="00C76B1C"/>
    <w:pPr>
      <w:spacing w:before="100" w:beforeAutospacing="1" w:after="100" w:afterAutospacing="1" w:line="240" w:lineRule="auto"/>
    </w:pPr>
    <w:rPr>
      <w:rFonts w:ascii="Times New Roman" w:eastAsia="Times New Roman" w:hAnsi="Times New Roman" w:cs="Times New Roman"/>
      <w:sz w:val="24"/>
      <w:szCs w:val="24"/>
      <w:lang w:eastAsia="es-CO"/>
    </w:rPr>
  </w:style>
  <w:style w:type="paragraph" w:styleId="Revisin">
    <w:name w:val="Revision"/>
    <w:hidden/>
    <w:uiPriority w:val="99"/>
    <w:semiHidden/>
    <w:rsid w:val="009F3A13"/>
    <w:pPr>
      <w:spacing w:after="0" w:line="240" w:lineRule="auto"/>
    </w:pPr>
  </w:style>
  <w:style w:type="paragraph" w:customStyle="1" w:styleId="Appelnotedebasde">
    <w:name w:val="Appel note de bas de..."/>
    <w:basedOn w:val="Normal"/>
    <w:link w:val="Refdenotaalpie"/>
    <w:uiPriority w:val="99"/>
    <w:rsid w:val="00FA1FD6"/>
    <w:pPr>
      <w:spacing w:line="240" w:lineRule="exact"/>
    </w:pPr>
    <w:rPr>
      <w:vertAlign w:val="superscript"/>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66370121">
      <w:bodyDiv w:val="1"/>
      <w:marLeft w:val="0"/>
      <w:marRight w:val="0"/>
      <w:marTop w:val="0"/>
      <w:marBottom w:val="0"/>
      <w:divBdr>
        <w:top w:val="none" w:sz="0" w:space="0" w:color="auto"/>
        <w:left w:val="none" w:sz="0" w:space="0" w:color="auto"/>
        <w:bottom w:val="none" w:sz="0" w:space="0" w:color="auto"/>
        <w:right w:val="none" w:sz="0" w:space="0" w:color="auto"/>
      </w:divBdr>
      <w:divsChild>
        <w:div w:id="82772222">
          <w:marLeft w:val="0"/>
          <w:marRight w:val="0"/>
          <w:marTop w:val="0"/>
          <w:marBottom w:val="0"/>
          <w:divBdr>
            <w:top w:val="none" w:sz="0" w:space="0" w:color="auto"/>
            <w:left w:val="none" w:sz="0" w:space="0" w:color="auto"/>
            <w:bottom w:val="none" w:sz="0" w:space="0" w:color="auto"/>
            <w:right w:val="none" w:sz="0" w:space="0" w:color="auto"/>
          </w:divBdr>
        </w:div>
      </w:divsChild>
    </w:div>
    <w:div w:id="621767828">
      <w:bodyDiv w:val="1"/>
      <w:marLeft w:val="0"/>
      <w:marRight w:val="0"/>
      <w:marTop w:val="0"/>
      <w:marBottom w:val="0"/>
      <w:divBdr>
        <w:top w:val="none" w:sz="0" w:space="0" w:color="auto"/>
        <w:left w:val="none" w:sz="0" w:space="0" w:color="auto"/>
        <w:bottom w:val="none" w:sz="0" w:space="0" w:color="auto"/>
        <w:right w:val="none" w:sz="0" w:space="0" w:color="auto"/>
      </w:divBdr>
    </w:div>
    <w:div w:id="755788902">
      <w:bodyDiv w:val="1"/>
      <w:marLeft w:val="0"/>
      <w:marRight w:val="0"/>
      <w:marTop w:val="0"/>
      <w:marBottom w:val="0"/>
      <w:divBdr>
        <w:top w:val="none" w:sz="0" w:space="0" w:color="auto"/>
        <w:left w:val="none" w:sz="0" w:space="0" w:color="auto"/>
        <w:bottom w:val="none" w:sz="0" w:space="0" w:color="auto"/>
        <w:right w:val="none" w:sz="0" w:space="0" w:color="auto"/>
      </w:divBdr>
    </w:div>
    <w:div w:id="940262218">
      <w:bodyDiv w:val="1"/>
      <w:marLeft w:val="0"/>
      <w:marRight w:val="0"/>
      <w:marTop w:val="0"/>
      <w:marBottom w:val="0"/>
      <w:divBdr>
        <w:top w:val="none" w:sz="0" w:space="0" w:color="auto"/>
        <w:left w:val="none" w:sz="0" w:space="0" w:color="auto"/>
        <w:bottom w:val="none" w:sz="0" w:space="0" w:color="auto"/>
        <w:right w:val="none" w:sz="0" w:space="0" w:color="auto"/>
      </w:divBdr>
      <w:divsChild>
        <w:div w:id="619529065">
          <w:marLeft w:val="0"/>
          <w:marRight w:val="0"/>
          <w:marTop w:val="0"/>
          <w:marBottom w:val="0"/>
          <w:divBdr>
            <w:top w:val="none" w:sz="0" w:space="0" w:color="auto"/>
            <w:left w:val="none" w:sz="0" w:space="0" w:color="auto"/>
            <w:bottom w:val="none" w:sz="0" w:space="0" w:color="auto"/>
            <w:right w:val="none" w:sz="0" w:space="0" w:color="auto"/>
          </w:divBdr>
        </w:div>
      </w:divsChild>
    </w:div>
    <w:div w:id="1132796275">
      <w:bodyDiv w:val="1"/>
      <w:marLeft w:val="0"/>
      <w:marRight w:val="0"/>
      <w:marTop w:val="0"/>
      <w:marBottom w:val="0"/>
      <w:divBdr>
        <w:top w:val="none" w:sz="0" w:space="0" w:color="auto"/>
        <w:left w:val="none" w:sz="0" w:space="0" w:color="auto"/>
        <w:bottom w:val="none" w:sz="0" w:space="0" w:color="auto"/>
        <w:right w:val="none" w:sz="0" w:space="0" w:color="auto"/>
      </w:divBdr>
    </w:div>
    <w:div w:id="1270429918">
      <w:bodyDiv w:val="1"/>
      <w:marLeft w:val="0"/>
      <w:marRight w:val="0"/>
      <w:marTop w:val="0"/>
      <w:marBottom w:val="0"/>
      <w:divBdr>
        <w:top w:val="none" w:sz="0" w:space="0" w:color="auto"/>
        <w:left w:val="none" w:sz="0" w:space="0" w:color="auto"/>
        <w:bottom w:val="none" w:sz="0" w:space="0" w:color="auto"/>
        <w:right w:val="none" w:sz="0" w:space="0" w:color="auto"/>
      </w:divBdr>
    </w:div>
    <w:div w:id="1291863859">
      <w:bodyDiv w:val="1"/>
      <w:marLeft w:val="0"/>
      <w:marRight w:val="0"/>
      <w:marTop w:val="0"/>
      <w:marBottom w:val="0"/>
      <w:divBdr>
        <w:top w:val="none" w:sz="0" w:space="0" w:color="auto"/>
        <w:left w:val="none" w:sz="0" w:space="0" w:color="auto"/>
        <w:bottom w:val="none" w:sz="0" w:space="0" w:color="auto"/>
        <w:right w:val="none" w:sz="0" w:space="0" w:color="auto"/>
      </w:divBdr>
      <w:divsChild>
        <w:div w:id="1814251553">
          <w:marLeft w:val="0"/>
          <w:marRight w:val="0"/>
          <w:marTop w:val="0"/>
          <w:marBottom w:val="0"/>
          <w:divBdr>
            <w:top w:val="none" w:sz="0" w:space="0" w:color="auto"/>
            <w:left w:val="none" w:sz="0" w:space="0" w:color="auto"/>
            <w:bottom w:val="none" w:sz="0" w:space="0" w:color="auto"/>
            <w:right w:val="none" w:sz="0" w:space="0" w:color="auto"/>
          </w:divBdr>
        </w:div>
        <w:div w:id="1098216012">
          <w:marLeft w:val="0"/>
          <w:marRight w:val="0"/>
          <w:marTop w:val="0"/>
          <w:marBottom w:val="0"/>
          <w:divBdr>
            <w:top w:val="none" w:sz="0" w:space="0" w:color="auto"/>
            <w:left w:val="none" w:sz="0" w:space="0" w:color="auto"/>
            <w:bottom w:val="none" w:sz="0" w:space="0" w:color="auto"/>
            <w:right w:val="none" w:sz="0" w:space="0" w:color="auto"/>
          </w:divBdr>
        </w:div>
        <w:div w:id="2036272205">
          <w:marLeft w:val="0"/>
          <w:marRight w:val="0"/>
          <w:marTop w:val="0"/>
          <w:marBottom w:val="0"/>
          <w:divBdr>
            <w:top w:val="none" w:sz="0" w:space="0" w:color="auto"/>
            <w:left w:val="none" w:sz="0" w:space="0" w:color="auto"/>
            <w:bottom w:val="none" w:sz="0" w:space="0" w:color="auto"/>
            <w:right w:val="none" w:sz="0" w:space="0" w:color="auto"/>
          </w:divBdr>
        </w:div>
        <w:div w:id="1963534490">
          <w:marLeft w:val="0"/>
          <w:marRight w:val="0"/>
          <w:marTop w:val="0"/>
          <w:marBottom w:val="0"/>
          <w:divBdr>
            <w:top w:val="none" w:sz="0" w:space="0" w:color="auto"/>
            <w:left w:val="none" w:sz="0" w:space="0" w:color="auto"/>
            <w:bottom w:val="none" w:sz="0" w:space="0" w:color="auto"/>
            <w:right w:val="none" w:sz="0" w:space="0" w:color="auto"/>
          </w:divBdr>
        </w:div>
        <w:div w:id="1009718320">
          <w:marLeft w:val="0"/>
          <w:marRight w:val="0"/>
          <w:marTop w:val="0"/>
          <w:marBottom w:val="0"/>
          <w:divBdr>
            <w:top w:val="none" w:sz="0" w:space="0" w:color="auto"/>
            <w:left w:val="none" w:sz="0" w:space="0" w:color="auto"/>
            <w:bottom w:val="none" w:sz="0" w:space="0" w:color="auto"/>
            <w:right w:val="none" w:sz="0" w:space="0" w:color="auto"/>
          </w:divBdr>
        </w:div>
        <w:div w:id="2075656958">
          <w:marLeft w:val="0"/>
          <w:marRight w:val="0"/>
          <w:marTop w:val="0"/>
          <w:marBottom w:val="0"/>
          <w:divBdr>
            <w:top w:val="none" w:sz="0" w:space="0" w:color="auto"/>
            <w:left w:val="none" w:sz="0" w:space="0" w:color="auto"/>
            <w:bottom w:val="none" w:sz="0" w:space="0" w:color="auto"/>
            <w:right w:val="none" w:sz="0" w:space="0" w:color="auto"/>
          </w:divBdr>
        </w:div>
        <w:div w:id="1227495006">
          <w:marLeft w:val="0"/>
          <w:marRight w:val="0"/>
          <w:marTop w:val="0"/>
          <w:marBottom w:val="0"/>
          <w:divBdr>
            <w:top w:val="none" w:sz="0" w:space="0" w:color="auto"/>
            <w:left w:val="none" w:sz="0" w:space="0" w:color="auto"/>
            <w:bottom w:val="none" w:sz="0" w:space="0" w:color="auto"/>
            <w:right w:val="none" w:sz="0" w:space="0" w:color="auto"/>
          </w:divBdr>
        </w:div>
        <w:div w:id="390231839">
          <w:marLeft w:val="0"/>
          <w:marRight w:val="0"/>
          <w:marTop w:val="0"/>
          <w:marBottom w:val="0"/>
          <w:divBdr>
            <w:top w:val="none" w:sz="0" w:space="0" w:color="auto"/>
            <w:left w:val="none" w:sz="0" w:space="0" w:color="auto"/>
            <w:bottom w:val="none" w:sz="0" w:space="0" w:color="auto"/>
            <w:right w:val="none" w:sz="0" w:space="0" w:color="auto"/>
          </w:divBdr>
        </w:div>
        <w:div w:id="117142684">
          <w:marLeft w:val="0"/>
          <w:marRight w:val="0"/>
          <w:marTop w:val="0"/>
          <w:marBottom w:val="0"/>
          <w:divBdr>
            <w:top w:val="none" w:sz="0" w:space="0" w:color="auto"/>
            <w:left w:val="none" w:sz="0" w:space="0" w:color="auto"/>
            <w:bottom w:val="none" w:sz="0" w:space="0" w:color="auto"/>
            <w:right w:val="none" w:sz="0" w:space="0" w:color="auto"/>
          </w:divBdr>
        </w:div>
        <w:div w:id="882060613">
          <w:marLeft w:val="0"/>
          <w:marRight w:val="0"/>
          <w:marTop w:val="0"/>
          <w:marBottom w:val="0"/>
          <w:divBdr>
            <w:top w:val="none" w:sz="0" w:space="0" w:color="auto"/>
            <w:left w:val="none" w:sz="0" w:space="0" w:color="auto"/>
            <w:bottom w:val="none" w:sz="0" w:space="0" w:color="auto"/>
            <w:right w:val="none" w:sz="0" w:space="0" w:color="auto"/>
          </w:divBdr>
        </w:div>
        <w:div w:id="1343312156">
          <w:marLeft w:val="0"/>
          <w:marRight w:val="0"/>
          <w:marTop w:val="0"/>
          <w:marBottom w:val="0"/>
          <w:divBdr>
            <w:top w:val="none" w:sz="0" w:space="0" w:color="auto"/>
            <w:left w:val="none" w:sz="0" w:space="0" w:color="auto"/>
            <w:bottom w:val="none" w:sz="0" w:space="0" w:color="auto"/>
            <w:right w:val="none" w:sz="0" w:space="0" w:color="auto"/>
          </w:divBdr>
        </w:div>
        <w:div w:id="807745514">
          <w:marLeft w:val="0"/>
          <w:marRight w:val="0"/>
          <w:marTop w:val="0"/>
          <w:marBottom w:val="0"/>
          <w:divBdr>
            <w:top w:val="none" w:sz="0" w:space="0" w:color="auto"/>
            <w:left w:val="none" w:sz="0" w:space="0" w:color="auto"/>
            <w:bottom w:val="none" w:sz="0" w:space="0" w:color="auto"/>
            <w:right w:val="none" w:sz="0" w:space="0" w:color="auto"/>
          </w:divBdr>
        </w:div>
        <w:div w:id="688798703">
          <w:marLeft w:val="0"/>
          <w:marRight w:val="0"/>
          <w:marTop w:val="0"/>
          <w:marBottom w:val="0"/>
          <w:divBdr>
            <w:top w:val="none" w:sz="0" w:space="0" w:color="auto"/>
            <w:left w:val="none" w:sz="0" w:space="0" w:color="auto"/>
            <w:bottom w:val="none" w:sz="0" w:space="0" w:color="auto"/>
            <w:right w:val="none" w:sz="0" w:space="0" w:color="auto"/>
          </w:divBdr>
        </w:div>
        <w:div w:id="1324310022">
          <w:marLeft w:val="0"/>
          <w:marRight w:val="0"/>
          <w:marTop w:val="0"/>
          <w:marBottom w:val="0"/>
          <w:divBdr>
            <w:top w:val="none" w:sz="0" w:space="0" w:color="auto"/>
            <w:left w:val="none" w:sz="0" w:space="0" w:color="auto"/>
            <w:bottom w:val="none" w:sz="0" w:space="0" w:color="auto"/>
            <w:right w:val="none" w:sz="0" w:space="0" w:color="auto"/>
          </w:divBdr>
        </w:div>
        <w:div w:id="715542045">
          <w:marLeft w:val="0"/>
          <w:marRight w:val="0"/>
          <w:marTop w:val="0"/>
          <w:marBottom w:val="0"/>
          <w:divBdr>
            <w:top w:val="none" w:sz="0" w:space="0" w:color="auto"/>
            <w:left w:val="none" w:sz="0" w:space="0" w:color="auto"/>
            <w:bottom w:val="none" w:sz="0" w:space="0" w:color="auto"/>
            <w:right w:val="none" w:sz="0" w:space="0" w:color="auto"/>
          </w:divBdr>
        </w:div>
        <w:div w:id="1065952338">
          <w:marLeft w:val="0"/>
          <w:marRight w:val="0"/>
          <w:marTop w:val="0"/>
          <w:marBottom w:val="0"/>
          <w:divBdr>
            <w:top w:val="none" w:sz="0" w:space="0" w:color="auto"/>
            <w:left w:val="none" w:sz="0" w:space="0" w:color="auto"/>
            <w:bottom w:val="none" w:sz="0" w:space="0" w:color="auto"/>
            <w:right w:val="none" w:sz="0" w:space="0" w:color="auto"/>
          </w:divBdr>
        </w:div>
        <w:div w:id="2092659859">
          <w:marLeft w:val="0"/>
          <w:marRight w:val="0"/>
          <w:marTop w:val="0"/>
          <w:marBottom w:val="0"/>
          <w:divBdr>
            <w:top w:val="none" w:sz="0" w:space="0" w:color="auto"/>
            <w:left w:val="none" w:sz="0" w:space="0" w:color="auto"/>
            <w:bottom w:val="none" w:sz="0" w:space="0" w:color="auto"/>
            <w:right w:val="none" w:sz="0" w:space="0" w:color="auto"/>
          </w:divBdr>
        </w:div>
        <w:div w:id="1134103737">
          <w:marLeft w:val="0"/>
          <w:marRight w:val="0"/>
          <w:marTop w:val="0"/>
          <w:marBottom w:val="0"/>
          <w:divBdr>
            <w:top w:val="none" w:sz="0" w:space="0" w:color="auto"/>
            <w:left w:val="none" w:sz="0" w:space="0" w:color="auto"/>
            <w:bottom w:val="none" w:sz="0" w:space="0" w:color="auto"/>
            <w:right w:val="none" w:sz="0" w:space="0" w:color="auto"/>
          </w:divBdr>
        </w:div>
        <w:div w:id="511727059">
          <w:marLeft w:val="0"/>
          <w:marRight w:val="0"/>
          <w:marTop w:val="0"/>
          <w:marBottom w:val="0"/>
          <w:divBdr>
            <w:top w:val="none" w:sz="0" w:space="0" w:color="auto"/>
            <w:left w:val="none" w:sz="0" w:space="0" w:color="auto"/>
            <w:bottom w:val="none" w:sz="0" w:space="0" w:color="auto"/>
            <w:right w:val="none" w:sz="0" w:space="0" w:color="auto"/>
          </w:divBdr>
        </w:div>
        <w:div w:id="860240521">
          <w:marLeft w:val="0"/>
          <w:marRight w:val="0"/>
          <w:marTop w:val="0"/>
          <w:marBottom w:val="0"/>
          <w:divBdr>
            <w:top w:val="none" w:sz="0" w:space="0" w:color="auto"/>
            <w:left w:val="none" w:sz="0" w:space="0" w:color="auto"/>
            <w:bottom w:val="none" w:sz="0" w:space="0" w:color="auto"/>
            <w:right w:val="none" w:sz="0" w:space="0" w:color="auto"/>
          </w:divBdr>
        </w:div>
        <w:div w:id="892691556">
          <w:marLeft w:val="0"/>
          <w:marRight w:val="0"/>
          <w:marTop w:val="0"/>
          <w:marBottom w:val="0"/>
          <w:divBdr>
            <w:top w:val="none" w:sz="0" w:space="0" w:color="auto"/>
            <w:left w:val="none" w:sz="0" w:space="0" w:color="auto"/>
            <w:bottom w:val="none" w:sz="0" w:space="0" w:color="auto"/>
            <w:right w:val="none" w:sz="0" w:space="0" w:color="auto"/>
          </w:divBdr>
        </w:div>
        <w:div w:id="24454764">
          <w:marLeft w:val="0"/>
          <w:marRight w:val="0"/>
          <w:marTop w:val="0"/>
          <w:marBottom w:val="0"/>
          <w:divBdr>
            <w:top w:val="none" w:sz="0" w:space="0" w:color="auto"/>
            <w:left w:val="none" w:sz="0" w:space="0" w:color="auto"/>
            <w:bottom w:val="none" w:sz="0" w:space="0" w:color="auto"/>
            <w:right w:val="none" w:sz="0" w:space="0" w:color="auto"/>
          </w:divBdr>
        </w:div>
        <w:div w:id="541678020">
          <w:marLeft w:val="0"/>
          <w:marRight w:val="0"/>
          <w:marTop w:val="0"/>
          <w:marBottom w:val="0"/>
          <w:divBdr>
            <w:top w:val="none" w:sz="0" w:space="0" w:color="auto"/>
            <w:left w:val="none" w:sz="0" w:space="0" w:color="auto"/>
            <w:bottom w:val="none" w:sz="0" w:space="0" w:color="auto"/>
            <w:right w:val="none" w:sz="0" w:space="0" w:color="auto"/>
          </w:divBdr>
        </w:div>
        <w:div w:id="1404261026">
          <w:marLeft w:val="0"/>
          <w:marRight w:val="0"/>
          <w:marTop w:val="0"/>
          <w:marBottom w:val="0"/>
          <w:divBdr>
            <w:top w:val="none" w:sz="0" w:space="0" w:color="auto"/>
            <w:left w:val="none" w:sz="0" w:space="0" w:color="auto"/>
            <w:bottom w:val="none" w:sz="0" w:space="0" w:color="auto"/>
            <w:right w:val="none" w:sz="0" w:space="0" w:color="auto"/>
          </w:divBdr>
        </w:div>
        <w:div w:id="638808706">
          <w:marLeft w:val="0"/>
          <w:marRight w:val="0"/>
          <w:marTop w:val="0"/>
          <w:marBottom w:val="0"/>
          <w:divBdr>
            <w:top w:val="none" w:sz="0" w:space="0" w:color="auto"/>
            <w:left w:val="none" w:sz="0" w:space="0" w:color="auto"/>
            <w:bottom w:val="none" w:sz="0" w:space="0" w:color="auto"/>
            <w:right w:val="none" w:sz="0" w:space="0" w:color="auto"/>
          </w:divBdr>
        </w:div>
        <w:div w:id="238516275">
          <w:marLeft w:val="0"/>
          <w:marRight w:val="0"/>
          <w:marTop w:val="0"/>
          <w:marBottom w:val="0"/>
          <w:divBdr>
            <w:top w:val="none" w:sz="0" w:space="0" w:color="auto"/>
            <w:left w:val="none" w:sz="0" w:space="0" w:color="auto"/>
            <w:bottom w:val="none" w:sz="0" w:space="0" w:color="auto"/>
            <w:right w:val="none" w:sz="0" w:space="0" w:color="auto"/>
          </w:divBdr>
        </w:div>
        <w:div w:id="1694109704">
          <w:marLeft w:val="0"/>
          <w:marRight w:val="0"/>
          <w:marTop w:val="0"/>
          <w:marBottom w:val="0"/>
          <w:divBdr>
            <w:top w:val="none" w:sz="0" w:space="0" w:color="auto"/>
            <w:left w:val="none" w:sz="0" w:space="0" w:color="auto"/>
            <w:bottom w:val="none" w:sz="0" w:space="0" w:color="auto"/>
            <w:right w:val="none" w:sz="0" w:space="0" w:color="auto"/>
          </w:divBdr>
        </w:div>
        <w:div w:id="2120836280">
          <w:marLeft w:val="0"/>
          <w:marRight w:val="0"/>
          <w:marTop w:val="0"/>
          <w:marBottom w:val="0"/>
          <w:divBdr>
            <w:top w:val="none" w:sz="0" w:space="0" w:color="auto"/>
            <w:left w:val="none" w:sz="0" w:space="0" w:color="auto"/>
            <w:bottom w:val="none" w:sz="0" w:space="0" w:color="auto"/>
            <w:right w:val="none" w:sz="0" w:space="0" w:color="auto"/>
          </w:divBdr>
        </w:div>
        <w:div w:id="455296425">
          <w:marLeft w:val="0"/>
          <w:marRight w:val="0"/>
          <w:marTop w:val="0"/>
          <w:marBottom w:val="0"/>
          <w:divBdr>
            <w:top w:val="none" w:sz="0" w:space="0" w:color="auto"/>
            <w:left w:val="none" w:sz="0" w:space="0" w:color="auto"/>
            <w:bottom w:val="none" w:sz="0" w:space="0" w:color="auto"/>
            <w:right w:val="none" w:sz="0" w:space="0" w:color="auto"/>
          </w:divBdr>
        </w:div>
        <w:div w:id="1932930429">
          <w:marLeft w:val="0"/>
          <w:marRight w:val="0"/>
          <w:marTop w:val="0"/>
          <w:marBottom w:val="0"/>
          <w:divBdr>
            <w:top w:val="none" w:sz="0" w:space="0" w:color="auto"/>
            <w:left w:val="none" w:sz="0" w:space="0" w:color="auto"/>
            <w:bottom w:val="none" w:sz="0" w:space="0" w:color="auto"/>
            <w:right w:val="none" w:sz="0" w:space="0" w:color="auto"/>
          </w:divBdr>
        </w:div>
        <w:div w:id="538082317">
          <w:marLeft w:val="0"/>
          <w:marRight w:val="0"/>
          <w:marTop w:val="0"/>
          <w:marBottom w:val="0"/>
          <w:divBdr>
            <w:top w:val="none" w:sz="0" w:space="0" w:color="auto"/>
            <w:left w:val="none" w:sz="0" w:space="0" w:color="auto"/>
            <w:bottom w:val="none" w:sz="0" w:space="0" w:color="auto"/>
            <w:right w:val="none" w:sz="0" w:space="0" w:color="auto"/>
          </w:divBdr>
        </w:div>
        <w:div w:id="679356651">
          <w:marLeft w:val="0"/>
          <w:marRight w:val="0"/>
          <w:marTop w:val="0"/>
          <w:marBottom w:val="0"/>
          <w:divBdr>
            <w:top w:val="none" w:sz="0" w:space="0" w:color="auto"/>
            <w:left w:val="none" w:sz="0" w:space="0" w:color="auto"/>
            <w:bottom w:val="none" w:sz="0" w:space="0" w:color="auto"/>
            <w:right w:val="none" w:sz="0" w:space="0" w:color="auto"/>
          </w:divBdr>
        </w:div>
        <w:div w:id="1638532409">
          <w:marLeft w:val="0"/>
          <w:marRight w:val="0"/>
          <w:marTop w:val="0"/>
          <w:marBottom w:val="0"/>
          <w:divBdr>
            <w:top w:val="none" w:sz="0" w:space="0" w:color="auto"/>
            <w:left w:val="none" w:sz="0" w:space="0" w:color="auto"/>
            <w:bottom w:val="none" w:sz="0" w:space="0" w:color="auto"/>
            <w:right w:val="none" w:sz="0" w:space="0" w:color="auto"/>
          </w:divBdr>
        </w:div>
        <w:div w:id="1464275602">
          <w:marLeft w:val="0"/>
          <w:marRight w:val="0"/>
          <w:marTop w:val="0"/>
          <w:marBottom w:val="0"/>
          <w:divBdr>
            <w:top w:val="none" w:sz="0" w:space="0" w:color="auto"/>
            <w:left w:val="none" w:sz="0" w:space="0" w:color="auto"/>
            <w:bottom w:val="none" w:sz="0" w:space="0" w:color="auto"/>
            <w:right w:val="none" w:sz="0" w:space="0" w:color="auto"/>
          </w:divBdr>
        </w:div>
        <w:div w:id="1916237550">
          <w:marLeft w:val="0"/>
          <w:marRight w:val="0"/>
          <w:marTop w:val="0"/>
          <w:marBottom w:val="0"/>
          <w:divBdr>
            <w:top w:val="none" w:sz="0" w:space="0" w:color="auto"/>
            <w:left w:val="none" w:sz="0" w:space="0" w:color="auto"/>
            <w:bottom w:val="none" w:sz="0" w:space="0" w:color="auto"/>
            <w:right w:val="none" w:sz="0" w:space="0" w:color="auto"/>
          </w:divBdr>
        </w:div>
        <w:div w:id="2095541977">
          <w:marLeft w:val="0"/>
          <w:marRight w:val="0"/>
          <w:marTop w:val="0"/>
          <w:marBottom w:val="0"/>
          <w:divBdr>
            <w:top w:val="none" w:sz="0" w:space="0" w:color="auto"/>
            <w:left w:val="none" w:sz="0" w:space="0" w:color="auto"/>
            <w:bottom w:val="none" w:sz="0" w:space="0" w:color="auto"/>
            <w:right w:val="none" w:sz="0" w:space="0" w:color="auto"/>
          </w:divBdr>
          <w:divsChild>
            <w:div w:id="1488938398">
              <w:marLeft w:val="-75"/>
              <w:marRight w:val="0"/>
              <w:marTop w:val="30"/>
              <w:marBottom w:val="30"/>
              <w:divBdr>
                <w:top w:val="none" w:sz="0" w:space="0" w:color="auto"/>
                <w:left w:val="none" w:sz="0" w:space="0" w:color="auto"/>
                <w:bottom w:val="none" w:sz="0" w:space="0" w:color="auto"/>
                <w:right w:val="none" w:sz="0" w:space="0" w:color="auto"/>
              </w:divBdr>
              <w:divsChild>
                <w:div w:id="283007184">
                  <w:marLeft w:val="0"/>
                  <w:marRight w:val="0"/>
                  <w:marTop w:val="0"/>
                  <w:marBottom w:val="0"/>
                  <w:divBdr>
                    <w:top w:val="none" w:sz="0" w:space="0" w:color="auto"/>
                    <w:left w:val="none" w:sz="0" w:space="0" w:color="auto"/>
                    <w:bottom w:val="none" w:sz="0" w:space="0" w:color="auto"/>
                    <w:right w:val="none" w:sz="0" w:space="0" w:color="auto"/>
                  </w:divBdr>
                  <w:divsChild>
                    <w:div w:id="928538327">
                      <w:marLeft w:val="0"/>
                      <w:marRight w:val="0"/>
                      <w:marTop w:val="0"/>
                      <w:marBottom w:val="0"/>
                      <w:divBdr>
                        <w:top w:val="none" w:sz="0" w:space="0" w:color="auto"/>
                        <w:left w:val="none" w:sz="0" w:space="0" w:color="auto"/>
                        <w:bottom w:val="none" w:sz="0" w:space="0" w:color="auto"/>
                        <w:right w:val="none" w:sz="0" w:space="0" w:color="auto"/>
                      </w:divBdr>
                    </w:div>
                  </w:divsChild>
                </w:div>
                <w:div w:id="1080567943">
                  <w:marLeft w:val="0"/>
                  <w:marRight w:val="0"/>
                  <w:marTop w:val="0"/>
                  <w:marBottom w:val="0"/>
                  <w:divBdr>
                    <w:top w:val="none" w:sz="0" w:space="0" w:color="auto"/>
                    <w:left w:val="none" w:sz="0" w:space="0" w:color="auto"/>
                    <w:bottom w:val="none" w:sz="0" w:space="0" w:color="auto"/>
                    <w:right w:val="none" w:sz="0" w:space="0" w:color="auto"/>
                  </w:divBdr>
                  <w:divsChild>
                    <w:div w:id="1112624978">
                      <w:marLeft w:val="0"/>
                      <w:marRight w:val="0"/>
                      <w:marTop w:val="0"/>
                      <w:marBottom w:val="0"/>
                      <w:divBdr>
                        <w:top w:val="none" w:sz="0" w:space="0" w:color="auto"/>
                        <w:left w:val="none" w:sz="0" w:space="0" w:color="auto"/>
                        <w:bottom w:val="none" w:sz="0" w:space="0" w:color="auto"/>
                        <w:right w:val="none" w:sz="0" w:space="0" w:color="auto"/>
                      </w:divBdr>
                    </w:div>
                    <w:div w:id="539319864">
                      <w:marLeft w:val="0"/>
                      <w:marRight w:val="0"/>
                      <w:marTop w:val="0"/>
                      <w:marBottom w:val="0"/>
                      <w:divBdr>
                        <w:top w:val="none" w:sz="0" w:space="0" w:color="auto"/>
                        <w:left w:val="none" w:sz="0" w:space="0" w:color="auto"/>
                        <w:bottom w:val="none" w:sz="0" w:space="0" w:color="auto"/>
                        <w:right w:val="none" w:sz="0" w:space="0" w:color="auto"/>
                      </w:divBdr>
                    </w:div>
                  </w:divsChild>
                </w:div>
                <w:div w:id="344208591">
                  <w:marLeft w:val="0"/>
                  <w:marRight w:val="0"/>
                  <w:marTop w:val="0"/>
                  <w:marBottom w:val="0"/>
                  <w:divBdr>
                    <w:top w:val="none" w:sz="0" w:space="0" w:color="auto"/>
                    <w:left w:val="none" w:sz="0" w:space="0" w:color="auto"/>
                    <w:bottom w:val="none" w:sz="0" w:space="0" w:color="auto"/>
                    <w:right w:val="none" w:sz="0" w:space="0" w:color="auto"/>
                  </w:divBdr>
                  <w:divsChild>
                    <w:div w:id="1723020549">
                      <w:marLeft w:val="0"/>
                      <w:marRight w:val="0"/>
                      <w:marTop w:val="0"/>
                      <w:marBottom w:val="0"/>
                      <w:divBdr>
                        <w:top w:val="none" w:sz="0" w:space="0" w:color="auto"/>
                        <w:left w:val="none" w:sz="0" w:space="0" w:color="auto"/>
                        <w:bottom w:val="none" w:sz="0" w:space="0" w:color="auto"/>
                        <w:right w:val="none" w:sz="0" w:space="0" w:color="auto"/>
                      </w:divBdr>
                    </w:div>
                  </w:divsChild>
                </w:div>
                <w:div w:id="233929418">
                  <w:marLeft w:val="0"/>
                  <w:marRight w:val="0"/>
                  <w:marTop w:val="0"/>
                  <w:marBottom w:val="0"/>
                  <w:divBdr>
                    <w:top w:val="none" w:sz="0" w:space="0" w:color="auto"/>
                    <w:left w:val="none" w:sz="0" w:space="0" w:color="auto"/>
                    <w:bottom w:val="none" w:sz="0" w:space="0" w:color="auto"/>
                    <w:right w:val="none" w:sz="0" w:space="0" w:color="auto"/>
                  </w:divBdr>
                  <w:divsChild>
                    <w:div w:id="193542531">
                      <w:marLeft w:val="0"/>
                      <w:marRight w:val="0"/>
                      <w:marTop w:val="0"/>
                      <w:marBottom w:val="0"/>
                      <w:divBdr>
                        <w:top w:val="none" w:sz="0" w:space="0" w:color="auto"/>
                        <w:left w:val="none" w:sz="0" w:space="0" w:color="auto"/>
                        <w:bottom w:val="none" w:sz="0" w:space="0" w:color="auto"/>
                        <w:right w:val="none" w:sz="0" w:space="0" w:color="auto"/>
                      </w:divBdr>
                    </w:div>
                    <w:div w:id="2029217062">
                      <w:marLeft w:val="0"/>
                      <w:marRight w:val="0"/>
                      <w:marTop w:val="0"/>
                      <w:marBottom w:val="0"/>
                      <w:divBdr>
                        <w:top w:val="none" w:sz="0" w:space="0" w:color="auto"/>
                        <w:left w:val="none" w:sz="0" w:space="0" w:color="auto"/>
                        <w:bottom w:val="none" w:sz="0" w:space="0" w:color="auto"/>
                        <w:right w:val="none" w:sz="0" w:space="0" w:color="auto"/>
                      </w:divBdr>
                    </w:div>
                  </w:divsChild>
                </w:div>
                <w:div w:id="231042282">
                  <w:marLeft w:val="0"/>
                  <w:marRight w:val="0"/>
                  <w:marTop w:val="0"/>
                  <w:marBottom w:val="0"/>
                  <w:divBdr>
                    <w:top w:val="none" w:sz="0" w:space="0" w:color="auto"/>
                    <w:left w:val="none" w:sz="0" w:space="0" w:color="auto"/>
                    <w:bottom w:val="none" w:sz="0" w:space="0" w:color="auto"/>
                    <w:right w:val="none" w:sz="0" w:space="0" w:color="auto"/>
                  </w:divBdr>
                  <w:divsChild>
                    <w:div w:id="1200582818">
                      <w:marLeft w:val="0"/>
                      <w:marRight w:val="0"/>
                      <w:marTop w:val="0"/>
                      <w:marBottom w:val="0"/>
                      <w:divBdr>
                        <w:top w:val="none" w:sz="0" w:space="0" w:color="auto"/>
                        <w:left w:val="none" w:sz="0" w:space="0" w:color="auto"/>
                        <w:bottom w:val="none" w:sz="0" w:space="0" w:color="auto"/>
                        <w:right w:val="none" w:sz="0" w:space="0" w:color="auto"/>
                      </w:divBdr>
                    </w:div>
                  </w:divsChild>
                </w:div>
                <w:div w:id="431166015">
                  <w:marLeft w:val="0"/>
                  <w:marRight w:val="0"/>
                  <w:marTop w:val="0"/>
                  <w:marBottom w:val="0"/>
                  <w:divBdr>
                    <w:top w:val="none" w:sz="0" w:space="0" w:color="auto"/>
                    <w:left w:val="none" w:sz="0" w:space="0" w:color="auto"/>
                    <w:bottom w:val="none" w:sz="0" w:space="0" w:color="auto"/>
                    <w:right w:val="none" w:sz="0" w:space="0" w:color="auto"/>
                  </w:divBdr>
                  <w:divsChild>
                    <w:div w:id="633837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16871884">
          <w:marLeft w:val="0"/>
          <w:marRight w:val="0"/>
          <w:marTop w:val="0"/>
          <w:marBottom w:val="0"/>
          <w:divBdr>
            <w:top w:val="none" w:sz="0" w:space="0" w:color="auto"/>
            <w:left w:val="none" w:sz="0" w:space="0" w:color="auto"/>
            <w:bottom w:val="none" w:sz="0" w:space="0" w:color="auto"/>
            <w:right w:val="none" w:sz="0" w:space="0" w:color="auto"/>
          </w:divBdr>
        </w:div>
        <w:div w:id="1002320289">
          <w:marLeft w:val="0"/>
          <w:marRight w:val="0"/>
          <w:marTop w:val="0"/>
          <w:marBottom w:val="0"/>
          <w:divBdr>
            <w:top w:val="none" w:sz="0" w:space="0" w:color="auto"/>
            <w:left w:val="none" w:sz="0" w:space="0" w:color="auto"/>
            <w:bottom w:val="none" w:sz="0" w:space="0" w:color="auto"/>
            <w:right w:val="none" w:sz="0" w:space="0" w:color="auto"/>
          </w:divBdr>
        </w:div>
        <w:div w:id="2033648475">
          <w:marLeft w:val="0"/>
          <w:marRight w:val="0"/>
          <w:marTop w:val="0"/>
          <w:marBottom w:val="0"/>
          <w:divBdr>
            <w:top w:val="none" w:sz="0" w:space="0" w:color="auto"/>
            <w:left w:val="none" w:sz="0" w:space="0" w:color="auto"/>
            <w:bottom w:val="none" w:sz="0" w:space="0" w:color="auto"/>
            <w:right w:val="none" w:sz="0" w:space="0" w:color="auto"/>
          </w:divBdr>
        </w:div>
        <w:div w:id="1053582647">
          <w:marLeft w:val="0"/>
          <w:marRight w:val="0"/>
          <w:marTop w:val="0"/>
          <w:marBottom w:val="0"/>
          <w:divBdr>
            <w:top w:val="none" w:sz="0" w:space="0" w:color="auto"/>
            <w:left w:val="none" w:sz="0" w:space="0" w:color="auto"/>
            <w:bottom w:val="none" w:sz="0" w:space="0" w:color="auto"/>
            <w:right w:val="none" w:sz="0" w:space="0" w:color="auto"/>
          </w:divBdr>
        </w:div>
        <w:div w:id="165822881">
          <w:marLeft w:val="0"/>
          <w:marRight w:val="0"/>
          <w:marTop w:val="0"/>
          <w:marBottom w:val="0"/>
          <w:divBdr>
            <w:top w:val="none" w:sz="0" w:space="0" w:color="auto"/>
            <w:left w:val="none" w:sz="0" w:space="0" w:color="auto"/>
            <w:bottom w:val="none" w:sz="0" w:space="0" w:color="auto"/>
            <w:right w:val="none" w:sz="0" w:space="0" w:color="auto"/>
          </w:divBdr>
        </w:div>
        <w:div w:id="1919947877">
          <w:marLeft w:val="0"/>
          <w:marRight w:val="0"/>
          <w:marTop w:val="0"/>
          <w:marBottom w:val="0"/>
          <w:divBdr>
            <w:top w:val="none" w:sz="0" w:space="0" w:color="auto"/>
            <w:left w:val="none" w:sz="0" w:space="0" w:color="auto"/>
            <w:bottom w:val="none" w:sz="0" w:space="0" w:color="auto"/>
            <w:right w:val="none" w:sz="0" w:space="0" w:color="auto"/>
          </w:divBdr>
          <w:divsChild>
            <w:div w:id="1192113255">
              <w:marLeft w:val="0"/>
              <w:marRight w:val="0"/>
              <w:marTop w:val="0"/>
              <w:marBottom w:val="0"/>
              <w:divBdr>
                <w:top w:val="none" w:sz="0" w:space="0" w:color="auto"/>
                <w:left w:val="none" w:sz="0" w:space="0" w:color="auto"/>
                <w:bottom w:val="none" w:sz="0" w:space="0" w:color="auto"/>
                <w:right w:val="none" w:sz="0" w:space="0" w:color="auto"/>
              </w:divBdr>
            </w:div>
            <w:div w:id="524707673">
              <w:marLeft w:val="0"/>
              <w:marRight w:val="0"/>
              <w:marTop w:val="0"/>
              <w:marBottom w:val="0"/>
              <w:divBdr>
                <w:top w:val="none" w:sz="0" w:space="0" w:color="auto"/>
                <w:left w:val="none" w:sz="0" w:space="0" w:color="auto"/>
                <w:bottom w:val="none" w:sz="0" w:space="0" w:color="auto"/>
                <w:right w:val="none" w:sz="0" w:space="0" w:color="auto"/>
              </w:divBdr>
            </w:div>
            <w:div w:id="1477457551">
              <w:marLeft w:val="0"/>
              <w:marRight w:val="0"/>
              <w:marTop w:val="0"/>
              <w:marBottom w:val="0"/>
              <w:divBdr>
                <w:top w:val="none" w:sz="0" w:space="0" w:color="auto"/>
                <w:left w:val="none" w:sz="0" w:space="0" w:color="auto"/>
                <w:bottom w:val="none" w:sz="0" w:space="0" w:color="auto"/>
                <w:right w:val="none" w:sz="0" w:space="0" w:color="auto"/>
              </w:divBdr>
            </w:div>
            <w:div w:id="1905212490">
              <w:marLeft w:val="0"/>
              <w:marRight w:val="0"/>
              <w:marTop w:val="0"/>
              <w:marBottom w:val="0"/>
              <w:divBdr>
                <w:top w:val="none" w:sz="0" w:space="0" w:color="auto"/>
                <w:left w:val="none" w:sz="0" w:space="0" w:color="auto"/>
                <w:bottom w:val="none" w:sz="0" w:space="0" w:color="auto"/>
                <w:right w:val="none" w:sz="0" w:space="0" w:color="auto"/>
              </w:divBdr>
            </w:div>
            <w:div w:id="1960529064">
              <w:marLeft w:val="0"/>
              <w:marRight w:val="0"/>
              <w:marTop w:val="0"/>
              <w:marBottom w:val="0"/>
              <w:divBdr>
                <w:top w:val="none" w:sz="0" w:space="0" w:color="auto"/>
                <w:left w:val="none" w:sz="0" w:space="0" w:color="auto"/>
                <w:bottom w:val="none" w:sz="0" w:space="0" w:color="auto"/>
                <w:right w:val="none" w:sz="0" w:space="0" w:color="auto"/>
              </w:divBdr>
            </w:div>
          </w:divsChild>
        </w:div>
        <w:div w:id="1791318772">
          <w:marLeft w:val="0"/>
          <w:marRight w:val="0"/>
          <w:marTop w:val="0"/>
          <w:marBottom w:val="0"/>
          <w:divBdr>
            <w:top w:val="none" w:sz="0" w:space="0" w:color="auto"/>
            <w:left w:val="none" w:sz="0" w:space="0" w:color="auto"/>
            <w:bottom w:val="none" w:sz="0" w:space="0" w:color="auto"/>
            <w:right w:val="none" w:sz="0" w:space="0" w:color="auto"/>
          </w:divBdr>
        </w:div>
        <w:div w:id="1672679863">
          <w:marLeft w:val="0"/>
          <w:marRight w:val="0"/>
          <w:marTop w:val="0"/>
          <w:marBottom w:val="0"/>
          <w:divBdr>
            <w:top w:val="none" w:sz="0" w:space="0" w:color="auto"/>
            <w:left w:val="none" w:sz="0" w:space="0" w:color="auto"/>
            <w:bottom w:val="none" w:sz="0" w:space="0" w:color="auto"/>
            <w:right w:val="none" w:sz="0" w:space="0" w:color="auto"/>
          </w:divBdr>
        </w:div>
        <w:div w:id="896629501">
          <w:marLeft w:val="0"/>
          <w:marRight w:val="0"/>
          <w:marTop w:val="0"/>
          <w:marBottom w:val="0"/>
          <w:divBdr>
            <w:top w:val="none" w:sz="0" w:space="0" w:color="auto"/>
            <w:left w:val="none" w:sz="0" w:space="0" w:color="auto"/>
            <w:bottom w:val="none" w:sz="0" w:space="0" w:color="auto"/>
            <w:right w:val="none" w:sz="0" w:space="0" w:color="auto"/>
          </w:divBdr>
        </w:div>
        <w:div w:id="1492059971">
          <w:marLeft w:val="0"/>
          <w:marRight w:val="0"/>
          <w:marTop w:val="0"/>
          <w:marBottom w:val="0"/>
          <w:divBdr>
            <w:top w:val="none" w:sz="0" w:space="0" w:color="auto"/>
            <w:left w:val="none" w:sz="0" w:space="0" w:color="auto"/>
            <w:bottom w:val="none" w:sz="0" w:space="0" w:color="auto"/>
            <w:right w:val="none" w:sz="0" w:space="0" w:color="auto"/>
          </w:divBdr>
        </w:div>
        <w:div w:id="743262102">
          <w:marLeft w:val="0"/>
          <w:marRight w:val="0"/>
          <w:marTop w:val="0"/>
          <w:marBottom w:val="0"/>
          <w:divBdr>
            <w:top w:val="none" w:sz="0" w:space="0" w:color="auto"/>
            <w:left w:val="none" w:sz="0" w:space="0" w:color="auto"/>
            <w:bottom w:val="none" w:sz="0" w:space="0" w:color="auto"/>
            <w:right w:val="none" w:sz="0" w:space="0" w:color="auto"/>
          </w:divBdr>
        </w:div>
        <w:div w:id="1966614619">
          <w:marLeft w:val="0"/>
          <w:marRight w:val="0"/>
          <w:marTop w:val="0"/>
          <w:marBottom w:val="0"/>
          <w:divBdr>
            <w:top w:val="none" w:sz="0" w:space="0" w:color="auto"/>
            <w:left w:val="none" w:sz="0" w:space="0" w:color="auto"/>
            <w:bottom w:val="none" w:sz="0" w:space="0" w:color="auto"/>
            <w:right w:val="none" w:sz="0" w:space="0" w:color="auto"/>
          </w:divBdr>
          <w:divsChild>
            <w:div w:id="1375154655">
              <w:marLeft w:val="0"/>
              <w:marRight w:val="0"/>
              <w:marTop w:val="0"/>
              <w:marBottom w:val="0"/>
              <w:divBdr>
                <w:top w:val="none" w:sz="0" w:space="0" w:color="auto"/>
                <w:left w:val="none" w:sz="0" w:space="0" w:color="auto"/>
                <w:bottom w:val="none" w:sz="0" w:space="0" w:color="auto"/>
                <w:right w:val="none" w:sz="0" w:space="0" w:color="auto"/>
              </w:divBdr>
            </w:div>
            <w:div w:id="1193155926">
              <w:marLeft w:val="0"/>
              <w:marRight w:val="0"/>
              <w:marTop w:val="0"/>
              <w:marBottom w:val="0"/>
              <w:divBdr>
                <w:top w:val="none" w:sz="0" w:space="0" w:color="auto"/>
                <w:left w:val="none" w:sz="0" w:space="0" w:color="auto"/>
                <w:bottom w:val="none" w:sz="0" w:space="0" w:color="auto"/>
                <w:right w:val="none" w:sz="0" w:space="0" w:color="auto"/>
              </w:divBdr>
            </w:div>
            <w:div w:id="152644634">
              <w:marLeft w:val="0"/>
              <w:marRight w:val="0"/>
              <w:marTop w:val="0"/>
              <w:marBottom w:val="0"/>
              <w:divBdr>
                <w:top w:val="none" w:sz="0" w:space="0" w:color="auto"/>
                <w:left w:val="none" w:sz="0" w:space="0" w:color="auto"/>
                <w:bottom w:val="none" w:sz="0" w:space="0" w:color="auto"/>
                <w:right w:val="none" w:sz="0" w:space="0" w:color="auto"/>
              </w:divBdr>
            </w:div>
            <w:div w:id="1745906066">
              <w:marLeft w:val="0"/>
              <w:marRight w:val="0"/>
              <w:marTop w:val="0"/>
              <w:marBottom w:val="0"/>
              <w:divBdr>
                <w:top w:val="none" w:sz="0" w:space="0" w:color="auto"/>
                <w:left w:val="none" w:sz="0" w:space="0" w:color="auto"/>
                <w:bottom w:val="none" w:sz="0" w:space="0" w:color="auto"/>
                <w:right w:val="none" w:sz="0" w:space="0" w:color="auto"/>
              </w:divBdr>
            </w:div>
            <w:div w:id="293171294">
              <w:marLeft w:val="0"/>
              <w:marRight w:val="0"/>
              <w:marTop w:val="0"/>
              <w:marBottom w:val="0"/>
              <w:divBdr>
                <w:top w:val="none" w:sz="0" w:space="0" w:color="auto"/>
                <w:left w:val="none" w:sz="0" w:space="0" w:color="auto"/>
                <w:bottom w:val="none" w:sz="0" w:space="0" w:color="auto"/>
                <w:right w:val="none" w:sz="0" w:space="0" w:color="auto"/>
              </w:divBdr>
            </w:div>
          </w:divsChild>
        </w:div>
        <w:div w:id="1836526458">
          <w:marLeft w:val="0"/>
          <w:marRight w:val="0"/>
          <w:marTop w:val="0"/>
          <w:marBottom w:val="0"/>
          <w:divBdr>
            <w:top w:val="none" w:sz="0" w:space="0" w:color="auto"/>
            <w:left w:val="none" w:sz="0" w:space="0" w:color="auto"/>
            <w:bottom w:val="none" w:sz="0" w:space="0" w:color="auto"/>
            <w:right w:val="none" w:sz="0" w:space="0" w:color="auto"/>
          </w:divBdr>
          <w:divsChild>
            <w:div w:id="1153059618">
              <w:marLeft w:val="0"/>
              <w:marRight w:val="0"/>
              <w:marTop w:val="0"/>
              <w:marBottom w:val="0"/>
              <w:divBdr>
                <w:top w:val="none" w:sz="0" w:space="0" w:color="auto"/>
                <w:left w:val="none" w:sz="0" w:space="0" w:color="auto"/>
                <w:bottom w:val="none" w:sz="0" w:space="0" w:color="auto"/>
                <w:right w:val="none" w:sz="0" w:space="0" w:color="auto"/>
              </w:divBdr>
            </w:div>
            <w:div w:id="252974095">
              <w:marLeft w:val="0"/>
              <w:marRight w:val="0"/>
              <w:marTop w:val="0"/>
              <w:marBottom w:val="0"/>
              <w:divBdr>
                <w:top w:val="none" w:sz="0" w:space="0" w:color="auto"/>
                <w:left w:val="none" w:sz="0" w:space="0" w:color="auto"/>
                <w:bottom w:val="none" w:sz="0" w:space="0" w:color="auto"/>
                <w:right w:val="none" w:sz="0" w:space="0" w:color="auto"/>
              </w:divBdr>
            </w:div>
            <w:div w:id="465974370">
              <w:marLeft w:val="0"/>
              <w:marRight w:val="0"/>
              <w:marTop w:val="0"/>
              <w:marBottom w:val="0"/>
              <w:divBdr>
                <w:top w:val="none" w:sz="0" w:space="0" w:color="auto"/>
                <w:left w:val="none" w:sz="0" w:space="0" w:color="auto"/>
                <w:bottom w:val="none" w:sz="0" w:space="0" w:color="auto"/>
                <w:right w:val="none" w:sz="0" w:space="0" w:color="auto"/>
              </w:divBdr>
            </w:div>
            <w:div w:id="762535188">
              <w:marLeft w:val="0"/>
              <w:marRight w:val="0"/>
              <w:marTop w:val="0"/>
              <w:marBottom w:val="0"/>
              <w:divBdr>
                <w:top w:val="none" w:sz="0" w:space="0" w:color="auto"/>
                <w:left w:val="none" w:sz="0" w:space="0" w:color="auto"/>
                <w:bottom w:val="none" w:sz="0" w:space="0" w:color="auto"/>
                <w:right w:val="none" w:sz="0" w:space="0" w:color="auto"/>
              </w:divBdr>
            </w:div>
            <w:div w:id="1513228375">
              <w:marLeft w:val="0"/>
              <w:marRight w:val="0"/>
              <w:marTop w:val="0"/>
              <w:marBottom w:val="0"/>
              <w:divBdr>
                <w:top w:val="none" w:sz="0" w:space="0" w:color="auto"/>
                <w:left w:val="none" w:sz="0" w:space="0" w:color="auto"/>
                <w:bottom w:val="none" w:sz="0" w:space="0" w:color="auto"/>
                <w:right w:val="none" w:sz="0" w:space="0" w:color="auto"/>
              </w:divBdr>
            </w:div>
          </w:divsChild>
        </w:div>
        <w:div w:id="1128550095">
          <w:marLeft w:val="0"/>
          <w:marRight w:val="0"/>
          <w:marTop w:val="0"/>
          <w:marBottom w:val="0"/>
          <w:divBdr>
            <w:top w:val="none" w:sz="0" w:space="0" w:color="auto"/>
            <w:left w:val="none" w:sz="0" w:space="0" w:color="auto"/>
            <w:bottom w:val="none" w:sz="0" w:space="0" w:color="auto"/>
            <w:right w:val="none" w:sz="0" w:space="0" w:color="auto"/>
          </w:divBdr>
          <w:divsChild>
            <w:div w:id="407390849">
              <w:marLeft w:val="0"/>
              <w:marRight w:val="0"/>
              <w:marTop w:val="0"/>
              <w:marBottom w:val="0"/>
              <w:divBdr>
                <w:top w:val="none" w:sz="0" w:space="0" w:color="auto"/>
                <w:left w:val="none" w:sz="0" w:space="0" w:color="auto"/>
                <w:bottom w:val="none" w:sz="0" w:space="0" w:color="auto"/>
                <w:right w:val="none" w:sz="0" w:space="0" w:color="auto"/>
              </w:divBdr>
            </w:div>
            <w:div w:id="1142380584">
              <w:marLeft w:val="0"/>
              <w:marRight w:val="0"/>
              <w:marTop w:val="0"/>
              <w:marBottom w:val="0"/>
              <w:divBdr>
                <w:top w:val="none" w:sz="0" w:space="0" w:color="auto"/>
                <w:left w:val="none" w:sz="0" w:space="0" w:color="auto"/>
                <w:bottom w:val="none" w:sz="0" w:space="0" w:color="auto"/>
                <w:right w:val="none" w:sz="0" w:space="0" w:color="auto"/>
              </w:divBdr>
            </w:div>
            <w:div w:id="1192953861">
              <w:marLeft w:val="0"/>
              <w:marRight w:val="0"/>
              <w:marTop w:val="0"/>
              <w:marBottom w:val="0"/>
              <w:divBdr>
                <w:top w:val="none" w:sz="0" w:space="0" w:color="auto"/>
                <w:left w:val="none" w:sz="0" w:space="0" w:color="auto"/>
                <w:bottom w:val="none" w:sz="0" w:space="0" w:color="auto"/>
                <w:right w:val="none" w:sz="0" w:space="0" w:color="auto"/>
              </w:divBdr>
            </w:div>
          </w:divsChild>
        </w:div>
        <w:div w:id="953637238">
          <w:marLeft w:val="0"/>
          <w:marRight w:val="0"/>
          <w:marTop w:val="0"/>
          <w:marBottom w:val="0"/>
          <w:divBdr>
            <w:top w:val="none" w:sz="0" w:space="0" w:color="auto"/>
            <w:left w:val="none" w:sz="0" w:space="0" w:color="auto"/>
            <w:bottom w:val="none" w:sz="0" w:space="0" w:color="auto"/>
            <w:right w:val="none" w:sz="0" w:space="0" w:color="auto"/>
          </w:divBdr>
          <w:divsChild>
            <w:div w:id="330067371">
              <w:marLeft w:val="0"/>
              <w:marRight w:val="0"/>
              <w:marTop w:val="0"/>
              <w:marBottom w:val="0"/>
              <w:divBdr>
                <w:top w:val="none" w:sz="0" w:space="0" w:color="auto"/>
                <w:left w:val="none" w:sz="0" w:space="0" w:color="auto"/>
                <w:bottom w:val="none" w:sz="0" w:space="0" w:color="auto"/>
                <w:right w:val="none" w:sz="0" w:space="0" w:color="auto"/>
              </w:divBdr>
            </w:div>
            <w:div w:id="1721204122">
              <w:marLeft w:val="0"/>
              <w:marRight w:val="0"/>
              <w:marTop w:val="0"/>
              <w:marBottom w:val="0"/>
              <w:divBdr>
                <w:top w:val="none" w:sz="0" w:space="0" w:color="auto"/>
                <w:left w:val="none" w:sz="0" w:space="0" w:color="auto"/>
                <w:bottom w:val="none" w:sz="0" w:space="0" w:color="auto"/>
                <w:right w:val="none" w:sz="0" w:space="0" w:color="auto"/>
              </w:divBdr>
            </w:div>
            <w:div w:id="543758897">
              <w:marLeft w:val="0"/>
              <w:marRight w:val="0"/>
              <w:marTop w:val="0"/>
              <w:marBottom w:val="0"/>
              <w:divBdr>
                <w:top w:val="none" w:sz="0" w:space="0" w:color="auto"/>
                <w:left w:val="none" w:sz="0" w:space="0" w:color="auto"/>
                <w:bottom w:val="none" w:sz="0" w:space="0" w:color="auto"/>
                <w:right w:val="none" w:sz="0" w:space="0" w:color="auto"/>
              </w:divBdr>
            </w:div>
            <w:div w:id="1286548090">
              <w:marLeft w:val="0"/>
              <w:marRight w:val="0"/>
              <w:marTop w:val="0"/>
              <w:marBottom w:val="0"/>
              <w:divBdr>
                <w:top w:val="none" w:sz="0" w:space="0" w:color="auto"/>
                <w:left w:val="none" w:sz="0" w:space="0" w:color="auto"/>
                <w:bottom w:val="none" w:sz="0" w:space="0" w:color="auto"/>
                <w:right w:val="none" w:sz="0" w:space="0" w:color="auto"/>
              </w:divBdr>
            </w:div>
            <w:div w:id="220364327">
              <w:marLeft w:val="0"/>
              <w:marRight w:val="0"/>
              <w:marTop w:val="0"/>
              <w:marBottom w:val="0"/>
              <w:divBdr>
                <w:top w:val="none" w:sz="0" w:space="0" w:color="auto"/>
                <w:left w:val="none" w:sz="0" w:space="0" w:color="auto"/>
                <w:bottom w:val="none" w:sz="0" w:space="0" w:color="auto"/>
                <w:right w:val="none" w:sz="0" w:space="0" w:color="auto"/>
              </w:divBdr>
            </w:div>
          </w:divsChild>
        </w:div>
        <w:div w:id="568075362">
          <w:marLeft w:val="0"/>
          <w:marRight w:val="0"/>
          <w:marTop w:val="0"/>
          <w:marBottom w:val="0"/>
          <w:divBdr>
            <w:top w:val="none" w:sz="0" w:space="0" w:color="auto"/>
            <w:left w:val="none" w:sz="0" w:space="0" w:color="auto"/>
            <w:bottom w:val="none" w:sz="0" w:space="0" w:color="auto"/>
            <w:right w:val="none" w:sz="0" w:space="0" w:color="auto"/>
          </w:divBdr>
        </w:div>
        <w:div w:id="1538200560">
          <w:marLeft w:val="0"/>
          <w:marRight w:val="0"/>
          <w:marTop w:val="0"/>
          <w:marBottom w:val="0"/>
          <w:divBdr>
            <w:top w:val="none" w:sz="0" w:space="0" w:color="auto"/>
            <w:left w:val="none" w:sz="0" w:space="0" w:color="auto"/>
            <w:bottom w:val="none" w:sz="0" w:space="0" w:color="auto"/>
            <w:right w:val="none" w:sz="0" w:space="0" w:color="auto"/>
          </w:divBdr>
          <w:divsChild>
            <w:div w:id="1030690503">
              <w:marLeft w:val="-75"/>
              <w:marRight w:val="0"/>
              <w:marTop w:val="30"/>
              <w:marBottom w:val="30"/>
              <w:divBdr>
                <w:top w:val="none" w:sz="0" w:space="0" w:color="auto"/>
                <w:left w:val="none" w:sz="0" w:space="0" w:color="auto"/>
                <w:bottom w:val="none" w:sz="0" w:space="0" w:color="auto"/>
                <w:right w:val="none" w:sz="0" w:space="0" w:color="auto"/>
              </w:divBdr>
              <w:divsChild>
                <w:div w:id="439450645">
                  <w:marLeft w:val="0"/>
                  <w:marRight w:val="0"/>
                  <w:marTop w:val="0"/>
                  <w:marBottom w:val="0"/>
                  <w:divBdr>
                    <w:top w:val="none" w:sz="0" w:space="0" w:color="auto"/>
                    <w:left w:val="none" w:sz="0" w:space="0" w:color="auto"/>
                    <w:bottom w:val="none" w:sz="0" w:space="0" w:color="auto"/>
                    <w:right w:val="none" w:sz="0" w:space="0" w:color="auto"/>
                  </w:divBdr>
                  <w:divsChild>
                    <w:div w:id="1359618204">
                      <w:marLeft w:val="0"/>
                      <w:marRight w:val="0"/>
                      <w:marTop w:val="0"/>
                      <w:marBottom w:val="0"/>
                      <w:divBdr>
                        <w:top w:val="none" w:sz="0" w:space="0" w:color="auto"/>
                        <w:left w:val="none" w:sz="0" w:space="0" w:color="auto"/>
                        <w:bottom w:val="none" w:sz="0" w:space="0" w:color="auto"/>
                        <w:right w:val="none" w:sz="0" w:space="0" w:color="auto"/>
                      </w:divBdr>
                    </w:div>
                  </w:divsChild>
                </w:div>
                <w:div w:id="835262197">
                  <w:marLeft w:val="0"/>
                  <w:marRight w:val="0"/>
                  <w:marTop w:val="0"/>
                  <w:marBottom w:val="0"/>
                  <w:divBdr>
                    <w:top w:val="none" w:sz="0" w:space="0" w:color="auto"/>
                    <w:left w:val="none" w:sz="0" w:space="0" w:color="auto"/>
                    <w:bottom w:val="none" w:sz="0" w:space="0" w:color="auto"/>
                    <w:right w:val="none" w:sz="0" w:space="0" w:color="auto"/>
                  </w:divBdr>
                  <w:divsChild>
                    <w:div w:id="1468469984">
                      <w:marLeft w:val="0"/>
                      <w:marRight w:val="0"/>
                      <w:marTop w:val="0"/>
                      <w:marBottom w:val="0"/>
                      <w:divBdr>
                        <w:top w:val="none" w:sz="0" w:space="0" w:color="auto"/>
                        <w:left w:val="none" w:sz="0" w:space="0" w:color="auto"/>
                        <w:bottom w:val="none" w:sz="0" w:space="0" w:color="auto"/>
                        <w:right w:val="none" w:sz="0" w:space="0" w:color="auto"/>
                      </w:divBdr>
                    </w:div>
                  </w:divsChild>
                </w:div>
                <w:div w:id="1874032042">
                  <w:marLeft w:val="0"/>
                  <w:marRight w:val="0"/>
                  <w:marTop w:val="0"/>
                  <w:marBottom w:val="0"/>
                  <w:divBdr>
                    <w:top w:val="none" w:sz="0" w:space="0" w:color="auto"/>
                    <w:left w:val="none" w:sz="0" w:space="0" w:color="auto"/>
                    <w:bottom w:val="none" w:sz="0" w:space="0" w:color="auto"/>
                    <w:right w:val="none" w:sz="0" w:space="0" w:color="auto"/>
                  </w:divBdr>
                  <w:divsChild>
                    <w:div w:id="1346664389">
                      <w:marLeft w:val="0"/>
                      <w:marRight w:val="0"/>
                      <w:marTop w:val="0"/>
                      <w:marBottom w:val="0"/>
                      <w:divBdr>
                        <w:top w:val="none" w:sz="0" w:space="0" w:color="auto"/>
                        <w:left w:val="none" w:sz="0" w:space="0" w:color="auto"/>
                        <w:bottom w:val="none" w:sz="0" w:space="0" w:color="auto"/>
                        <w:right w:val="none" w:sz="0" w:space="0" w:color="auto"/>
                      </w:divBdr>
                    </w:div>
                  </w:divsChild>
                </w:div>
                <w:div w:id="1896239809">
                  <w:marLeft w:val="0"/>
                  <w:marRight w:val="0"/>
                  <w:marTop w:val="0"/>
                  <w:marBottom w:val="0"/>
                  <w:divBdr>
                    <w:top w:val="none" w:sz="0" w:space="0" w:color="auto"/>
                    <w:left w:val="none" w:sz="0" w:space="0" w:color="auto"/>
                    <w:bottom w:val="none" w:sz="0" w:space="0" w:color="auto"/>
                    <w:right w:val="none" w:sz="0" w:space="0" w:color="auto"/>
                  </w:divBdr>
                  <w:divsChild>
                    <w:div w:id="385639604">
                      <w:marLeft w:val="0"/>
                      <w:marRight w:val="0"/>
                      <w:marTop w:val="0"/>
                      <w:marBottom w:val="0"/>
                      <w:divBdr>
                        <w:top w:val="none" w:sz="0" w:space="0" w:color="auto"/>
                        <w:left w:val="none" w:sz="0" w:space="0" w:color="auto"/>
                        <w:bottom w:val="none" w:sz="0" w:space="0" w:color="auto"/>
                        <w:right w:val="none" w:sz="0" w:space="0" w:color="auto"/>
                      </w:divBdr>
                    </w:div>
                  </w:divsChild>
                </w:div>
                <w:div w:id="738094220">
                  <w:marLeft w:val="0"/>
                  <w:marRight w:val="0"/>
                  <w:marTop w:val="0"/>
                  <w:marBottom w:val="0"/>
                  <w:divBdr>
                    <w:top w:val="none" w:sz="0" w:space="0" w:color="auto"/>
                    <w:left w:val="none" w:sz="0" w:space="0" w:color="auto"/>
                    <w:bottom w:val="none" w:sz="0" w:space="0" w:color="auto"/>
                    <w:right w:val="none" w:sz="0" w:space="0" w:color="auto"/>
                  </w:divBdr>
                  <w:divsChild>
                    <w:div w:id="1453859116">
                      <w:marLeft w:val="0"/>
                      <w:marRight w:val="0"/>
                      <w:marTop w:val="0"/>
                      <w:marBottom w:val="0"/>
                      <w:divBdr>
                        <w:top w:val="none" w:sz="0" w:space="0" w:color="auto"/>
                        <w:left w:val="none" w:sz="0" w:space="0" w:color="auto"/>
                        <w:bottom w:val="none" w:sz="0" w:space="0" w:color="auto"/>
                        <w:right w:val="none" w:sz="0" w:space="0" w:color="auto"/>
                      </w:divBdr>
                    </w:div>
                  </w:divsChild>
                </w:div>
                <w:div w:id="1785539217">
                  <w:marLeft w:val="0"/>
                  <w:marRight w:val="0"/>
                  <w:marTop w:val="0"/>
                  <w:marBottom w:val="0"/>
                  <w:divBdr>
                    <w:top w:val="none" w:sz="0" w:space="0" w:color="auto"/>
                    <w:left w:val="none" w:sz="0" w:space="0" w:color="auto"/>
                    <w:bottom w:val="none" w:sz="0" w:space="0" w:color="auto"/>
                    <w:right w:val="none" w:sz="0" w:space="0" w:color="auto"/>
                  </w:divBdr>
                  <w:divsChild>
                    <w:div w:id="1682002375">
                      <w:marLeft w:val="0"/>
                      <w:marRight w:val="0"/>
                      <w:marTop w:val="0"/>
                      <w:marBottom w:val="0"/>
                      <w:divBdr>
                        <w:top w:val="none" w:sz="0" w:space="0" w:color="auto"/>
                        <w:left w:val="none" w:sz="0" w:space="0" w:color="auto"/>
                        <w:bottom w:val="none" w:sz="0" w:space="0" w:color="auto"/>
                        <w:right w:val="none" w:sz="0" w:space="0" w:color="auto"/>
                      </w:divBdr>
                    </w:div>
                  </w:divsChild>
                </w:div>
                <w:div w:id="618798070">
                  <w:marLeft w:val="0"/>
                  <w:marRight w:val="0"/>
                  <w:marTop w:val="0"/>
                  <w:marBottom w:val="0"/>
                  <w:divBdr>
                    <w:top w:val="none" w:sz="0" w:space="0" w:color="auto"/>
                    <w:left w:val="none" w:sz="0" w:space="0" w:color="auto"/>
                    <w:bottom w:val="none" w:sz="0" w:space="0" w:color="auto"/>
                    <w:right w:val="none" w:sz="0" w:space="0" w:color="auto"/>
                  </w:divBdr>
                  <w:divsChild>
                    <w:div w:id="429785129">
                      <w:marLeft w:val="0"/>
                      <w:marRight w:val="0"/>
                      <w:marTop w:val="0"/>
                      <w:marBottom w:val="0"/>
                      <w:divBdr>
                        <w:top w:val="none" w:sz="0" w:space="0" w:color="auto"/>
                        <w:left w:val="none" w:sz="0" w:space="0" w:color="auto"/>
                        <w:bottom w:val="none" w:sz="0" w:space="0" w:color="auto"/>
                        <w:right w:val="none" w:sz="0" w:space="0" w:color="auto"/>
                      </w:divBdr>
                    </w:div>
                  </w:divsChild>
                </w:div>
                <w:div w:id="252473224">
                  <w:marLeft w:val="0"/>
                  <w:marRight w:val="0"/>
                  <w:marTop w:val="0"/>
                  <w:marBottom w:val="0"/>
                  <w:divBdr>
                    <w:top w:val="none" w:sz="0" w:space="0" w:color="auto"/>
                    <w:left w:val="none" w:sz="0" w:space="0" w:color="auto"/>
                    <w:bottom w:val="none" w:sz="0" w:space="0" w:color="auto"/>
                    <w:right w:val="none" w:sz="0" w:space="0" w:color="auto"/>
                  </w:divBdr>
                  <w:divsChild>
                    <w:div w:id="1209220644">
                      <w:marLeft w:val="0"/>
                      <w:marRight w:val="0"/>
                      <w:marTop w:val="0"/>
                      <w:marBottom w:val="0"/>
                      <w:divBdr>
                        <w:top w:val="none" w:sz="0" w:space="0" w:color="auto"/>
                        <w:left w:val="none" w:sz="0" w:space="0" w:color="auto"/>
                        <w:bottom w:val="none" w:sz="0" w:space="0" w:color="auto"/>
                        <w:right w:val="none" w:sz="0" w:space="0" w:color="auto"/>
                      </w:divBdr>
                    </w:div>
                  </w:divsChild>
                </w:div>
                <w:div w:id="837228363">
                  <w:marLeft w:val="0"/>
                  <w:marRight w:val="0"/>
                  <w:marTop w:val="0"/>
                  <w:marBottom w:val="0"/>
                  <w:divBdr>
                    <w:top w:val="none" w:sz="0" w:space="0" w:color="auto"/>
                    <w:left w:val="none" w:sz="0" w:space="0" w:color="auto"/>
                    <w:bottom w:val="none" w:sz="0" w:space="0" w:color="auto"/>
                    <w:right w:val="none" w:sz="0" w:space="0" w:color="auto"/>
                  </w:divBdr>
                  <w:divsChild>
                    <w:div w:id="1391149772">
                      <w:marLeft w:val="0"/>
                      <w:marRight w:val="0"/>
                      <w:marTop w:val="0"/>
                      <w:marBottom w:val="0"/>
                      <w:divBdr>
                        <w:top w:val="none" w:sz="0" w:space="0" w:color="auto"/>
                        <w:left w:val="none" w:sz="0" w:space="0" w:color="auto"/>
                        <w:bottom w:val="none" w:sz="0" w:space="0" w:color="auto"/>
                        <w:right w:val="none" w:sz="0" w:space="0" w:color="auto"/>
                      </w:divBdr>
                    </w:div>
                  </w:divsChild>
                </w:div>
                <w:div w:id="1081558220">
                  <w:marLeft w:val="0"/>
                  <w:marRight w:val="0"/>
                  <w:marTop w:val="0"/>
                  <w:marBottom w:val="0"/>
                  <w:divBdr>
                    <w:top w:val="none" w:sz="0" w:space="0" w:color="auto"/>
                    <w:left w:val="none" w:sz="0" w:space="0" w:color="auto"/>
                    <w:bottom w:val="none" w:sz="0" w:space="0" w:color="auto"/>
                    <w:right w:val="none" w:sz="0" w:space="0" w:color="auto"/>
                  </w:divBdr>
                  <w:divsChild>
                    <w:div w:id="520363348">
                      <w:marLeft w:val="0"/>
                      <w:marRight w:val="0"/>
                      <w:marTop w:val="0"/>
                      <w:marBottom w:val="0"/>
                      <w:divBdr>
                        <w:top w:val="none" w:sz="0" w:space="0" w:color="auto"/>
                        <w:left w:val="none" w:sz="0" w:space="0" w:color="auto"/>
                        <w:bottom w:val="none" w:sz="0" w:space="0" w:color="auto"/>
                        <w:right w:val="none" w:sz="0" w:space="0" w:color="auto"/>
                      </w:divBdr>
                    </w:div>
                  </w:divsChild>
                </w:div>
                <w:div w:id="784075614">
                  <w:marLeft w:val="0"/>
                  <w:marRight w:val="0"/>
                  <w:marTop w:val="0"/>
                  <w:marBottom w:val="0"/>
                  <w:divBdr>
                    <w:top w:val="none" w:sz="0" w:space="0" w:color="auto"/>
                    <w:left w:val="none" w:sz="0" w:space="0" w:color="auto"/>
                    <w:bottom w:val="none" w:sz="0" w:space="0" w:color="auto"/>
                    <w:right w:val="none" w:sz="0" w:space="0" w:color="auto"/>
                  </w:divBdr>
                  <w:divsChild>
                    <w:div w:id="1669867117">
                      <w:marLeft w:val="0"/>
                      <w:marRight w:val="0"/>
                      <w:marTop w:val="0"/>
                      <w:marBottom w:val="0"/>
                      <w:divBdr>
                        <w:top w:val="none" w:sz="0" w:space="0" w:color="auto"/>
                        <w:left w:val="none" w:sz="0" w:space="0" w:color="auto"/>
                        <w:bottom w:val="none" w:sz="0" w:space="0" w:color="auto"/>
                        <w:right w:val="none" w:sz="0" w:space="0" w:color="auto"/>
                      </w:divBdr>
                    </w:div>
                    <w:div w:id="1061059177">
                      <w:marLeft w:val="0"/>
                      <w:marRight w:val="0"/>
                      <w:marTop w:val="0"/>
                      <w:marBottom w:val="0"/>
                      <w:divBdr>
                        <w:top w:val="none" w:sz="0" w:space="0" w:color="auto"/>
                        <w:left w:val="none" w:sz="0" w:space="0" w:color="auto"/>
                        <w:bottom w:val="none" w:sz="0" w:space="0" w:color="auto"/>
                        <w:right w:val="none" w:sz="0" w:space="0" w:color="auto"/>
                      </w:divBdr>
                    </w:div>
                  </w:divsChild>
                </w:div>
                <w:div w:id="1620144540">
                  <w:marLeft w:val="0"/>
                  <w:marRight w:val="0"/>
                  <w:marTop w:val="0"/>
                  <w:marBottom w:val="0"/>
                  <w:divBdr>
                    <w:top w:val="none" w:sz="0" w:space="0" w:color="auto"/>
                    <w:left w:val="none" w:sz="0" w:space="0" w:color="auto"/>
                    <w:bottom w:val="none" w:sz="0" w:space="0" w:color="auto"/>
                    <w:right w:val="none" w:sz="0" w:space="0" w:color="auto"/>
                  </w:divBdr>
                  <w:divsChild>
                    <w:div w:id="419764345">
                      <w:marLeft w:val="0"/>
                      <w:marRight w:val="0"/>
                      <w:marTop w:val="0"/>
                      <w:marBottom w:val="0"/>
                      <w:divBdr>
                        <w:top w:val="none" w:sz="0" w:space="0" w:color="auto"/>
                        <w:left w:val="none" w:sz="0" w:space="0" w:color="auto"/>
                        <w:bottom w:val="none" w:sz="0" w:space="0" w:color="auto"/>
                        <w:right w:val="none" w:sz="0" w:space="0" w:color="auto"/>
                      </w:divBdr>
                    </w:div>
                  </w:divsChild>
                </w:div>
                <w:div w:id="851533023">
                  <w:marLeft w:val="0"/>
                  <w:marRight w:val="0"/>
                  <w:marTop w:val="0"/>
                  <w:marBottom w:val="0"/>
                  <w:divBdr>
                    <w:top w:val="none" w:sz="0" w:space="0" w:color="auto"/>
                    <w:left w:val="none" w:sz="0" w:space="0" w:color="auto"/>
                    <w:bottom w:val="none" w:sz="0" w:space="0" w:color="auto"/>
                    <w:right w:val="none" w:sz="0" w:space="0" w:color="auto"/>
                  </w:divBdr>
                  <w:divsChild>
                    <w:div w:id="421223715">
                      <w:marLeft w:val="0"/>
                      <w:marRight w:val="0"/>
                      <w:marTop w:val="0"/>
                      <w:marBottom w:val="0"/>
                      <w:divBdr>
                        <w:top w:val="none" w:sz="0" w:space="0" w:color="auto"/>
                        <w:left w:val="none" w:sz="0" w:space="0" w:color="auto"/>
                        <w:bottom w:val="none" w:sz="0" w:space="0" w:color="auto"/>
                        <w:right w:val="none" w:sz="0" w:space="0" w:color="auto"/>
                      </w:divBdr>
                    </w:div>
                  </w:divsChild>
                </w:div>
                <w:div w:id="300615503">
                  <w:marLeft w:val="0"/>
                  <w:marRight w:val="0"/>
                  <w:marTop w:val="0"/>
                  <w:marBottom w:val="0"/>
                  <w:divBdr>
                    <w:top w:val="none" w:sz="0" w:space="0" w:color="auto"/>
                    <w:left w:val="none" w:sz="0" w:space="0" w:color="auto"/>
                    <w:bottom w:val="none" w:sz="0" w:space="0" w:color="auto"/>
                    <w:right w:val="none" w:sz="0" w:space="0" w:color="auto"/>
                  </w:divBdr>
                  <w:divsChild>
                    <w:div w:id="1767268462">
                      <w:marLeft w:val="0"/>
                      <w:marRight w:val="0"/>
                      <w:marTop w:val="0"/>
                      <w:marBottom w:val="0"/>
                      <w:divBdr>
                        <w:top w:val="none" w:sz="0" w:space="0" w:color="auto"/>
                        <w:left w:val="none" w:sz="0" w:space="0" w:color="auto"/>
                        <w:bottom w:val="none" w:sz="0" w:space="0" w:color="auto"/>
                        <w:right w:val="none" w:sz="0" w:space="0" w:color="auto"/>
                      </w:divBdr>
                    </w:div>
                    <w:div w:id="2067948171">
                      <w:marLeft w:val="0"/>
                      <w:marRight w:val="0"/>
                      <w:marTop w:val="0"/>
                      <w:marBottom w:val="0"/>
                      <w:divBdr>
                        <w:top w:val="none" w:sz="0" w:space="0" w:color="auto"/>
                        <w:left w:val="none" w:sz="0" w:space="0" w:color="auto"/>
                        <w:bottom w:val="none" w:sz="0" w:space="0" w:color="auto"/>
                        <w:right w:val="none" w:sz="0" w:space="0" w:color="auto"/>
                      </w:divBdr>
                    </w:div>
                  </w:divsChild>
                </w:div>
                <w:div w:id="1439057601">
                  <w:marLeft w:val="0"/>
                  <w:marRight w:val="0"/>
                  <w:marTop w:val="0"/>
                  <w:marBottom w:val="0"/>
                  <w:divBdr>
                    <w:top w:val="none" w:sz="0" w:space="0" w:color="auto"/>
                    <w:left w:val="none" w:sz="0" w:space="0" w:color="auto"/>
                    <w:bottom w:val="none" w:sz="0" w:space="0" w:color="auto"/>
                    <w:right w:val="none" w:sz="0" w:space="0" w:color="auto"/>
                  </w:divBdr>
                  <w:divsChild>
                    <w:div w:id="1578132383">
                      <w:marLeft w:val="0"/>
                      <w:marRight w:val="0"/>
                      <w:marTop w:val="0"/>
                      <w:marBottom w:val="0"/>
                      <w:divBdr>
                        <w:top w:val="none" w:sz="0" w:space="0" w:color="auto"/>
                        <w:left w:val="none" w:sz="0" w:space="0" w:color="auto"/>
                        <w:bottom w:val="none" w:sz="0" w:space="0" w:color="auto"/>
                        <w:right w:val="none" w:sz="0" w:space="0" w:color="auto"/>
                      </w:divBdr>
                    </w:div>
                    <w:div w:id="1578437451">
                      <w:marLeft w:val="0"/>
                      <w:marRight w:val="0"/>
                      <w:marTop w:val="0"/>
                      <w:marBottom w:val="0"/>
                      <w:divBdr>
                        <w:top w:val="none" w:sz="0" w:space="0" w:color="auto"/>
                        <w:left w:val="none" w:sz="0" w:space="0" w:color="auto"/>
                        <w:bottom w:val="none" w:sz="0" w:space="0" w:color="auto"/>
                        <w:right w:val="none" w:sz="0" w:space="0" w:color="auto"/>
                      </w:divBdr>
                    </w:div>
                  </w:divsChild>
                </w:div>
                <w:div w:id="1259679740">
                  <w:marLeft w:val="0"/>
                  <w:marRight w:val="0"/>
                  <w:marTop w:val="0"/>
                  <w:marBottom w:val="0"/>
                  <w:divBdr>
                    <w:top w:val="none" w:sz="0" w:space="0" w:color="auto"/>
                    <w:left w:val="none" w:sz="0" w:space="0" w:color="auto"/>
                    <w:bottom w:val="none" w:sz="0" w:space="0" w:color="auto"/>
                    <w:right w:val="none" w:sz="0" w:space="0" w:color="auto"/>
                  </w:divBdr>
                  <w:divsChild>
                    <w:div w:id="54084858">
                      <w:marLeft w:val="0"/>
                      <w:marRight w:val="0"/>
                      <w:marTop w:val="0"/>
                      <w:marBottom w:val="0"/>
                      <w:divBdr>
                        <w:top w:val="none" w:sz="0" w:space="0" w:color="auto"/>
                        <w:left w:val="none" w:sz="0" w:space="0" w:color="auto"/>
                        <w:bottom w:val="none" w:sz="0" w:space="0" w:color="auto"/>
                        <w:right w:val="none" w:sz="0" w:space="0" w:color="auto"/>
                      </w:divBdr>
                    </w:div>
                  </w:divsChild>
                </w:div>
                <w:div w:id="440225636">
                  <w:marLeft w:val="0"/>
                  <w:marRight w:val="0"/>
                  <w:marTop w:val="0"/>
                  <w:marBottom w:val="0"/>
                  <w:divBdr>
                    <w:top w:val="none" w:sz="0" w:space="0" w:color="auto"/>
                    <w:left w:val="none" w:sz="0" w:space="0" w:color="auto"/>
                    <w:bottom w:val="none" w:sz="0" w:space="0" w:color="auto"/>
                    <w:right w:val="none" w:sz="0" w:space="0" w:color="auto"/>
                  </w:divBdr>
                  <w:divsChild>
                    <w:div w:id="1617329362">
                      <w:marLeft w:val="0"/>
                      <w:marRight w:val="0"/>
                      <w:marTop w:val="0"/>
                      <w:marBottom w:val="0"/>
                      <w:divBdr>
                        <w:top w:val="none" w:sz="0" w:space="0" w:color="auto"/>
                        <w:left w:val="none" w:sz="0" w:space="0" w:color="auto"/>
                        <w:bottom w:val="none" w:sz="0" w:space="0" w:color="auto"/>
                        <w:right w:val="none" w:sz="0" w:space="0" w:color="auto"/>
                      </w:divBdr>
                    </w:div>
                    <w:div w:id="521668105">
                      <w:marLeft w:val="0"/>
                      <w:marRight w:val="0"/>
                      <w:marTop w:val="0"/>
                      <w:marBottom w:val="0"/>
                      <w:divBdr>
                        <w:top w:val="none" w:sz="0" w:space="0" w:color="auto"/>
                        <w:left w:val="none" w:sz="0" w:space="0" w:color="auto"/>
                        <w:bottom w:val="none" w:sz="0" w:space="0" w:color="auto"/>
                        <w:right w:val="none" w:sz="0" w:space="0" w:color="auto"/>
                      </w:divBdr>
                    </w:div>
                  </w:divsChild>
                </w:div>
                <w:div w:id="1393964384">
                  <w:marLeft w:val="0"/>
                  <w:marRight w:val="0"/>
                  <w:marTop w:val="0"/>
                  <w:marBottom w:val="0"/>
                  <w:divBdr>
                    <w:top w:val="none" w:sz="0" w:space="0" w:color="auto"/>
                    <w:left w:val="none" w:sz="0" w:space="0" w:color="auto"/>
                    <w:bottom w:val="none" w:sz="0" w:space="0" w:color="auto"/>
                    <w:right w:val="none" w:sz="0" w:space="0" w:color="auto"/>
                  </w:divBdr>
                  <w:divsChild>
                    <w:div w:id="12248765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02491009">
          <w:marLeft w:val="0"/>
          <w:marRight w:val="0"/>
          <w:marTop w:val="0"/>
          <w:marBottom w:val="0"/>
          <w:divBdr>
            <w:top w:val="none" w:sz="0" w:space="0" w:color="auto"/>
            <w:left w:val="none" w:sz="0" w:space="0" w:color="auto"/>
            <w:bottom w:val="none" w:sz="0" w:space="0" w:color="auto"/>
            <w:right w:val="none" w:sz="0" w:space="0" w:color="auto"/>
          </w:divBdr>
        </w:div>
        <w:div w:id="1668825297">
          <w:marLeft w:val="0"/>
          <w:marRight w:val="0"/>
          <w:marTop w:val="0"/>
          <w:marBottom w:val="0"/>
          <w:divBdr>
            <w:top w:val="none" w:sz="0" w:space="0" w:color="auto"/>
            <w:left w:val="none" w:sz="0" w:space="0" w:color="auto"/>
            <w:bottom w:val="none" w:sz="0" w:space="0" w:color="auto"/>
            <w:right w:val="none" w:sz="0" w:space="0" w:color="auto"/>
          </w:divBdr>
        </w:div>
        <w:div w:id="596713425">
          <w:marLeft w:val="0"/>
          <w:marRight w:val="0"/>
          <w:marTop w:val="0"/>
          <w:marBottom w:val="0"/>
          <w:divBdr>
            <w:top w:val="none" w:sz="0" w:space="0" w:color="auto"/>
            <w:left w:val="none" w:sz="0" w:space="0" w:color="auto"/>
            <w:bottom w:val="none" w:sz="0" w:space="0" w:color="auto"/>
            <w:right w:val="none" w:sz="0" w:space="0" w:color="auto"/>
          </w:divBdr>
        </w:div>
        <w:div w:id="355544057">
          <w:marLeft w:val="0"/>
          <w:marRight w:val="0"/>
          <w:marTop w:val="0"/>
          <w:marBottom w:val="0"/>
          <w:divBdr>
            <w:top w:val="none" w:sz="0" w:space="0" w:color="auto"/>
            <w:left w:val="none" w:sz="0" w:space="0" w:color="auto"/>
            <w:bottom w:val="none" w:sz="0" w:space="0" w:color="auto"/>
            <w:right w:val="none" w:sz="0" w:space="0" w:color="auto"/>
          </w:divBdr>
        </w:div>
        <w:div w:id="210045895">
          <w:marLeft w:val="0"/>
          <w:marRight w:val="0"/>
          <w:marTop w:val="0"/>
          <w:marBottom w:val="0"/>
          <w:divBdr>
            <w:top w:val="none" w:sz="0" w:space="0" w:color="auto"/>
            <w:left w:val="none" w:sz="0" w:space="0" w:color="auto"/>
            <w:bottom w:val="none" w:sz="0" w:space="0" w:color="auto"/>
            <w:right w:val="none" w:sz="0" w:space="0" w:color="auto"/>
          </w:divBdr>
        </w:div>
        <w:div w:id="1252810003">
          <w:marLeft w:val="0"/>
          <w:marRight w:val="0"/>
          <w:marTop w:val="0"/>
          <w:marBottom w:val="0"/>
          <w:divBdr>
            <w:top w:val="none" w:sz="0" w:space="0" w:color="auto"/>
            <w:left w:val="none" w:sz="0" w:space="0" w:color="auto"/>
            <w:bottom w:val="none" w:sz="0" w:space="0" w:color="auto"/>
            <w:right w:val="none" w:sz="0" w:space="0" w:color="auto"/>
          </w:divBdr>
        </w:div>
      </w:divsChild>
    </w:div>
    <w:div w:id="213425382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hyperlink" Target="https://relatoria.colombiacompra.gov.co/busqueda/conceptos" TargetMode="External"/><Relationship Id="rId18" Type="http://schemas.openxmlformats.org/officeDocument/2006/relationships/hyperlink" Target="https://www.colombiacompra.gov.co/pqrsd/informacion-importante-antes-de-formular-una-pqrsd" TargetMode="External"/><Relationship Id="rId3" Type="http://schemas.openxmlformats.org/officeDocument/2006/relationships/customXml" Target="../customXml/item3.xml"/><Relationship Id="rId21" Type="http://schemas.openxmlformats.org/officeDocument/2006/relationships/header" Target="header1.xml"/><Relationship Id="rId7" Type="http://schemas.openxmlformats.org/officeDocument/2006/relationships/webSettings" Target="webSettings.xml"/><Relationship Id="rId12" Type="http://schemas.openxmlformats.org/officeDocument/2006/relationships/hyperlink" Target="https://www.colombiacompra.gov.co/manualesguias-y-pliegos-tipo/manuales-y-guias" TargetMode="External"/><Relationship Id="rId17" Type="http://schemas.openxmlformats.org/officeDocument/2006/relationships/hyperlink" Target="mailto:ventanilladeradicacion@colombiacompra.gov.co" TargetMode="External"/><Relationship Id="rId2" Type="http://schemas.openxmlformats.org/officeDocument/2006/relationships/customXml" Target="../customXml/item2.xml"/><Relationship Id="rId16" Type="http://schemas.openxmlformats.org/officeDocument/2006/relationships/hyperlink" Target="https://www.colombiacompra.gov.co/archivos/manual/guia-para-la-comprension-e-implementacion-de-los-documentos-tipo-de-obra-publica-de-infraestructura-de-transporte-bajo-las-diferentes-modalidades-de-contratacion-vigentes" TargetMode="External"/><Relationship Id="rId20" Type="http://schemas.openxmlformats.org/officeDocument/2006/relationships/image" Target="media/image3.png"/><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yperlink" Target="mailto:abglorenablanco@gmail.com" TargetMode="External"/><Relationship Id="rId24" Type="http://schemas.openxmlformats.org/officeDocument/2006/relationships/theme" Target="theme/theme1.xml"/><Relationship Id="rId5" Type="http://schemas.openxmlformats.org/officeDocument/2006/relationships/styles" Target="styles.xml"/><Relationship Id="rId15" Type="http://schemas.openxmlformats.org/officeDocument/2006/relationships/hyperlink" Target="https://www.colombiacompra.gov.co/normativa-y-relatoria/documentos-tipo" TargetMode="External"/><Relationship Id="rId23" Type="http://schemas.openxmlformats.org/officeDocument/2006/relationships/fontTable" Target="fontTable.xml"/><Relationship Id="rId10" Type="http://schemas.openxmlformats.org/officeDocument/2006/relationships/image" Target="media/image2.png"/><Relationship Id="rId19" Type="http://schemas.openxmlformats.org/officeDocument/2006/relationships/hyperlink" Target="https://forms.office.com/r/pPHyWVs2SZ" TargetMode="External"/><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hyperlink" Target="https://formacionvirtual.colombiacompra.gov.co/mod/page/view.php?id=3718" TargetMode="External"/><Relationship Id="rId22" Type="http://schemas.openxmlformats.org/officeDocument/2006/relationships/footer" Target="footer1.xml"/></Relationships>
</file>

<file path=word/_rels/footnotes.xml.rels><?xml version="1.0" encoding="UTF-8" standalone="yes"?>
<Relationships xmlns="http://schemas.openxmlformats.org/package/2006/relationships"><Relationship Id="rId2" Type="http://schemas.openxmlformats.org/officeDocument/2006/relationships/hyperlink" Target="https://colombiacompra.gov.co/wp-content/uploads/2024/08/cce-eicp-gi-18._gees_v.2_2.pdf" TargetMode="External"/><Relationship Id="rId1" Type="http://schemas.openxmlformats.org/officeDocument/2006/relationships/hyperlink" Target="https://www.colombiacompra.gov.co/manualesguias-y-pliegos-tipo/manuales-y-guias" TargetMode="External"/></Relationships>
</file>

<file path=word/_rels/header1.xml.rels><?xml version="1.0" encoding="UTF-8" standalone="yes"?>
<Relationships xmlns="http://schemas.openxmlformats.org/package/2006/relationships"><Relationship Id="rId2" Type="http://schemas.openxmlformats.org/officeDocument/2006/relationships/image" Target="media/image5.png"/><Relationship Id="rId1" Type="http://schemas.openxmlformats.org/officeDocument/2006/relationships/image" Target="media/image4.png"/></Relationships>
</file>

<file path=word/_rels/numbering.xml.rels><?xml version="1.0" encoding="UTF-8" standalone="yes"?>
<Relationships xmlns="http://schemas.openxmlformats.org/package/2006/relationships"><Relationship Id="rId1" Type="http://schemas.openxmlformats.org/officeDocument/2006/relationships/image" Target="media/image1.gif"/></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p:properties xmlns:p="http://schemas.microsoft.com/office/2006/metadata/properties" xmlns:xsi="http://www.w3.org/2001/XMLSchema-instance" xmlns:pc="http://schemas.microsoft.com/office/infopath/2007/PartnerControls">
  <documentManagement>
    <No xmlns="9d85dbaf-23eb-4e57-a637-93dcacc8b1a1" xsi:nil="true"/>
    <TaxCatchAll xmlns="a6cb9e4b-f1d1-4245-83ec-6cad768d538a" xsi:nil="true"/>
    <_Flow_SignoffStatus xmlns="9d85dbaf-23eb-4e57-a637-93dcacc8b1a1" xsi:nil="true"/>
    <lcf76f155ced4ddcb4097134ff3c332f xmlns="9d85dbaf-23eb-4e57-a637-93dcacc8b1a1">
      <Terms xmlns="http://schemas.microsoft.com/office/infopath/2007/PartnerControls"/>
    </lcf76f155ced4ddcb4097134ff3c332f>
  </documentManagement>
</p:properties>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ct:contentTypeSchema xmlns:ct="http://schemas.microsoft.com/office/2006/metadata/contentType" xmlns:ma="http://schemas.microsoft.com/office/2006/metadata/properties/metaAttributes" ct:_="" ma:_="" ma:contentTypeName="Documento" ma:contentTypeID="0x010100F2E0F32964D9B84EA054B84E5D4157A0" ma:contentTypeVersion="20" ma:contentTypeDescription="Crear nuevo documento." ma:contentTypeScope="" ma:versionID="3aa158c1e2510b50ba9620437d74e4ff">
  <xsd:schema xmlns:xsd="http://www.w3.org/2001/XMLSchema" xmlns:xs="http://www.w3.org/2001/XMLSchema" xmlns:p="http://schemas.microsoft.com/office/2006/metadata/properties" xmlns:ns2="9d85dbaf-23eb-4e57-a637-93dcacc8b1a1" xmlns:ns3="a6cb9e4b-f1d1-4245-83ec-6cad768d538a" targetNamespace="http://schemas.microsoft.com/office/2006/metadata/properties" ma:root="true" ma:fieldsID="41aa8ca4bdcfc2e304923d637cfc37a1" ns2:_="" ns3:_="">
    <xsd:import namespace="9d85dbaf-23eb-4e57-a637-93dcacc8b1a1"/>
    <xsd:import namespace="a6cb9e4b-f1d1-4245-83ec-6cad768d538a"/>
    <xsd:element name="properties">
      <xsd:complexType>
        <xsd:sequence>
          <xsd:element name="documentManagement">
            <xsd:complexType>
              <xsd:all>
                <xsd:element ref="ns2:MediaServiceMetadata" minOccurs="0"/>
                <xsd:element ref="ns2:MediaServiceFastMetadata" minOccurs="0"/>
                <xsd:element ref="ns2:MediaServiceEventHashCode" minOccurs="0"/>
                <xsd:element ref="ns2:MediaServiceGenerationTime" minOccurs="0"/>
                <xsd:element ref="ns3:SharedWithUsers" minOccurs="0"/>
                <xsd:element ref="ns3:SharedWithDetails" minOccurs="0"/>
                <xsd:element ref="ns2:MediaServiceAutoTags" minOccurs="0"/>
                <xsd:element ref="ns2:MediaServiceOCR" minOccurs="0"/>
                <xsd:element ref="ns2:MediaServiceDateTaken" minOccurs="0"/>
                <xsd:element ref="ns2:MediaServiceAutoKeyPoints" minOccurs="0"/>
                <xsd:element ref="ns2:MediaServiceKeyPoints" minOccurs="0"/>
                <xsd:element ref="ns2:No" minOccurs="0"/>
                <xsd:element ref="ns2:MediaLengthInSeconds" minOccurs="0"/>
                <xsd:element ref="ns2:lcf76f155ced4ddcb4097134ff3c332f" minOccurs="0"/>
                <xsd:element ref="ns3:TaxCatchAll" minOccurs="0"/>
                <xsd:element ref="ns2:MediaServiceObjectDetectorVersions" minOccurs="0"/>
                <xsd:element ref="ns2:_Flow_SignoffStatus" minOccurs="0"/>
                <xsd:element ref="ns2:MediaServiceLocation"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9d85dbaf-23eb-4e57-a637-93dcacc8b1a1"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EventHashCode" ma:index="10" nillable="true" ma:displayName="MediaServiceEventHashCode" ma:hidden="true" ma:internalName="MediaServiceEventHashCode" ma:readOnly="true">
      <xsd:simpleType>
        <xsd:restriction base="dms:Text"/>
      </xsd:simpleType>
    </xsd:element>
    <xsd:element name="MediaServiceGenerationTime" ma:index="11" nillable="true" ma:displayName="MediaServiceGenerationTime" ma:hidden="true" ma:internalName="MediaServiceGenerationTime" ma:readOnly="true">
      <xsd:simpleType>
        <xsd:restriction base="dms:Text"/>
      </xsd:simpleType>
    </xsd:element>
    <xsd:element name="MediaServiceAutoTags" ma:index="14" nillable="true" ma:displayName="Tags" ma:internalName="MediaServiceAutoTags"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MediaServiceDateTaken" ma:index="16" nillable="true" ma:displayName="MediaServiceDateTaken" ma:hidden="true" ma:internalName="MediaServiceDateTaken" ma:readOnly="true">
      <xsd:simpleType>
        <xsd:restriction base="dms:Text"/>
      </xsd:simpleType>
    </xsd:element>
    <xsd:element name="MediaServiceAutoKeyPoints" ma:index="17" nillable="true" ma:displayName="MediaServiceAutoKeyPoints" ma:hidden="true" ma:internalName="MediaServiceAutoKeyPoints" ma:readOnly="true">
      <xsd:simpleType>
        <xsd:restriction base="dms:Note"/>
      </xsd:simpleType>
    </xsd:element>
    <xsd:element name="MediaServiceKeyPoints" ma:index="18" nillable="true" ma:displayName="KeyPoints" ma:internalName="MediaServiceKeyPoints" ma:readOnly="true">
      <xsd:simpleType>
        <xsd:restriction base="dms:Note">
          <xsd:maxLength value="255"/>
        </xsd:restriction>
      </xsd:simpleType>
    </xsd:element>
    <xsd:element name="No" ma:index="19" nillable="true" ma:displayName="No" ma:format="Dropdown" ma:internalName="No" ma:percentage="FALSE">
      <xsd:simpleType>
        <xsd:restriction base="dms:Number"/>
      </xsd:simpleType>
    </xsd:element>
    <xsd:element name="MediaLengthInSeconds" ma:index="20" nillable="true" ma:displayName="Length (seconds)" ma:internalName="MediaLengthInSeconds" ma:readOnly="true">
      <xsd:simpleType>
        <xsd:restriction base="dms:Unknown"/>
      </xsd:simpleType>
    </xsd:element>
    <xsd:element name="lcf76f155ced4ddcb4097134ff3c332f" ma:index="22" nillable="true" ma:taxonomy="true" ma:internalName="lcf76f155ced4ddcb4097134ff3c332f" ma:taxonomyFieldName="MediaServiceImageTags" ma:displayName="Etiquetas de imagen" ma:readOnly="false" ma:fieldId="{5cf76f15-5ced-4ddc-b409-7134ff3c332f}" ma:taxonomyMulti="true" ma:sspId="d11a0eb6-ad86-4071-a759-4f0356bdcc6a"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4" nillable="true" ma:displayName="MediaServiceObjectDetectorVersions" ma:description="" ma:hidden="true" ma:indexed="true" ma:internalName="MediaServiceObjectDetectorVersions" ma:readOnly="true">
      <xsd:simpleType>
        <xsd:restriction base="dms:Text"/>
      </xsd:simpleType>
    </xsd:element>
    <xsd:element name="_Flow_SignoffStatus" ma:index="25" nillable="true" ma:displayName="Estado de aprobación" ma:internalName="Estado_x0020_de_x0020_aprobaci_x00f3_n">
      <xsd:simpleType>
        <xsd:restriction base="dms:Text"/>
      </xsd:simpleType>
    </xsd:element>
    <xsd:element name="MediaServiceLocation" ma:index="26" nillable="true" ma:displayName="Location" ma:description="" ma:indexed="true" ma:internalName="MediaServiceLocation" ma:readOnly="true">
      <xsd:simpleType>
        <xsd:restriction base="dms:Text"/>
      </xsd:simpleType>
    </xsd:element>
    <xsd:element name="MediaServiceSearchProperties" ma:index="27"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a6cb9e4b-f1d1-4245-83ec-6cad768d538a" elementFormDefault="qualified">
    <xsd:import namespace="http://schemas.microsoft.com/office/2006/documentManagement/types"/>
    <xsd:import namespace="http://schemas.microsoft.com/office/infopath/2007/PartnerControls"/>
    <xsd:element name="SharedWithUsers" ma:index="12" nillable="true" ma:displayName="Compartido c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Detalles de uso compartido" ma:internalName="SharedWithDetails" ma:readOnly="true">
      <xsd:simpleType>
        <xsd:restriction base="dms:Note">
          <xsd:maxLength value="255"/>
        </xsd:restriction>
      </xsd:simpleType>
    </xsd:element>
    <xsd:element name="TaxCatchAll" ma:index="23" nillable="true" ma:displayName="Taxonomy Catch All Column" ma:hidden="true" ma:list="{1105a6f2-09f1-4f7d-bab9-e03f1dc4ac6e}" ma:internalName="TaxCatchAll" ma:showField="CatchAllData" ma:web="a6cb9e4b-f1d1-4245-83ec-6cad768d538a">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ipo de contenido"/>
        <xsd:element ref="dc:title" minOccurs="0" maxOccurs="1" ma:index="4" ma:displayName="Título"/>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163618BE-28CB-4D69-955E-CDA788483BED}">
  <ds:schemaRefs>
    <ds:schemaRef ds:uri="http://schemas.microsoft.com/office/2006/metadata/properties"/>
    <ds:schemaRef ds:uri="http://schemas.microsoft.com/office/infopath/2007/PartnerControls"/>
  </ds:schemaRefs>
</ds:datastoreItem>
</file>

<file path=customXml/itemProps2.xml><?xml version="1.0" encoding="utf-8"?>
<ds:datastoreItem xmlns:ds="http://schemas.openxmlformats.org/officeDocument/2006/customXml" ds:itemID="{19B0637E-D058-473B-8FE7-AA861F69C797}">
  <ds:schemaRefs>
    <ds:schemaRef ds:uri="http://schemas.microsoft.com/sharepoint/v3/contenttype/forms"/>
  </ds:schemaRefs>
</ds:datastoreItem>
</file>

<file path=customXml/itemProps3.xml><?xml version="1.0" encoding="utf-8"?>
<ds:datastoreItem xmlns:ds="http://schemas.openxmlformats.org/officeDocument/2006/customXml" ds:itemID="{731D4070-F4D5-415D-BB06-6DDED462FDB8}"/>
</file>

<file path=docMetadata/LabelInfo.xml><?xml version="1.0" encoding="utf-8"?>
<clbl:labelList xmlns:clbl="http://schemas.microsoft.com/office/2020/mipLabelMetadata">
  <clbl:label id="{7b09041e-2451-49d0-8cb1-79d5e3d8c1be}" enabled="0" method="" siteId="{7b09041e-2451-49d0-8cb1-79d5e3d8c1be}" removed="1"/>
</clbl:labelList>
</file>

<file path=docProps/app.xml><?xml version="1.0" encoding="utf-8"?>
<Properties xmlns="http://schemas.openxmlformats.org/officeDocument/2006/extended-properties" xmlns:vt="http://schemas.openxmlformats.org/officeDocument/2006/docPropsVTypes">
  <Template>Normal</Template>
  <TotalTime>6</TotalTime>
  <Pages>20</Pages>
  <Words>6157</Words>
  <Characters>33867</Characters>
  <Application>Microsoft Office Word</Application>
  <DocSecurity>0</DocSecurity>
  <Lines>282</Lines>
  <Paragraphs>79</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39945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Andrés Felipe Ospina Acosta</dc:creator>
  <cp:keywords/>
  <dc:description/>
  <cp:lastModifiedBy>Camila Alejandra Naranjo Gómez</cp:lastModifiedBy>
  <cp:revision>6</cp:revision>
  <cp:lastPrinted>2023-01-10T21:18:00Z</cp:lastPrinted>
  <dcterms:created xsi:type="dcterms:W3CDTF">2026-05-25T13:31:00Z</dcterms:created>
  <dcterms:modified xsi:type="dcterms:W3CDTF">2026-05-25T18:48:00Z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0x010100F2E0F32964D9B84EA054B84E5D4157A0</vt:lpwstr>
  </property>
  <property fmtid="{D5CDD505-2E9C-101B-9397-08002B2CF9AE}" pid="3" name="MediaServiceImageTags">
    <vt:lpwstr/>
  </property>
</Properties>
</file>