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8F894E" w14:textId="77777777" w:rsidR="00AB4CEF" w:rsidRPr="00E031A9" w:rsidRDefault="00AB4CEF" w:rsidP="00AB4CEF">
      <w:pPr>
        <w:spacing w:after="0" w:line="276" w:lineRule="auto"/>
        <w:jc w:val="both"/>
        <w:rPr>
          <w:rFonts w:ascii="Verdana" w:eastAsia="Calibri" w:hAnsi="Verdana" w:cs="Arial"/>
          <w:b/>
          <w:kern w:val="2"/>
          <w:lang w:val="es-ES_tradnl"/>
          <w14:ligatures w14:val="standardContextual"/>
        </w:rPr>
      </w:pPr>
      <w:r w:rsidRPr="00E031A9">
        <w:rPr>
          <w:rFonts w:ascii="Verdana" w:eastAsia="Calibri" w:hAnsi="Verdana" w:cs="Arial"/>
          <w:b/>
          <w:kern w:val="2"/>
          <w:lang w:val="es-ES_tradnl"/>
          <w14:ligatures w14:val="standardContextual"/>
        </w:rPr>
        <w:t>SOCIEDADES NUEVAS ‒ Experiencia ‒ Inferior a tres a</w:t>
      </w:r>
      <w:r w:rsidRPr="00E031A9">
        <w:rPr>
          <w:rFonts w:ascii="Verdana" w:eastAsia="Calibri" w:hAnsi="Verdana" w:cs="Century Gothic"/>
          <w:b/>
          <w:kern w:val="2"/>
          <w:lang w:val="es-ES_tradnl"/>
          <w14:ligatures w14:val="standardContextual"/>
        </w:rPr>
        <w:t>ñ</w:t>
      </w:r>
      <w:r w:rsidRPr="00E031A9">
        <w:rPr>
          <w:rFonts w:ascii="Verdana" w:eastAsia="Calibri" w:hAnsi="Verdana" w:cs="Arial"/>
          <w:b/>
          <w:kern w:val="2"/>
          <w:lang w:val="es-ES_tradnl"/>
          <w14:ligatures w14:val="standardContextual"/>
        </w:rPr>
        <w:t>os ‒ Requisitos habilitantes ‒ Desarrollo de la empresa</w:t>
      </w:r>
    </w:p>
    <w:p w14:paraId="2B9366EE" w14:textId="77777777" w:rsidR="00AB4CEF" w:rsidRPr="00E031A9" w:rsidRDefault="00AB4CEF" w:rsidP="00AB4CEF">
      <w:pPr>
        <w:spacing w:after="0" w:line="276" w:lineRule="auto"/>
        <w:jc w:val="both"/>
        <w:rPr>
          <w:rFonts w:ascii="Verdana" w:eastAsia="Calibri" w:hAnsi="Verdana" w:cs="Arial"/>
          <w:kern w:val="2"/>
          <w:lang w:val="es-ES_tradnl"/>
          <w14:ligatures w14:val="standardContextual"/>
        </w:rPr>
      </w:pPr>
    </w:p>
    <w:p w14:paraId="50E07A06" w14:textId="77777777" w:rsidR="00AB4CEF" w:rsidRDefault="00AB4CEF" w:rsidP="00AB4CEF">
      <w:pPr>
        <w:tabs>
          <w:tab w:val="left" w:pos="483"/>
        </w:tabs>
        <w:spacing w:after="0" w:line="240" w:lineRule="auto"/>
        <w:jc w:val="both"/>
        <w:rPr>
          <w:rFonts w:ascii="Verdana" w:eastAsia="Calibri" w:hAnsi="Verdana" w:cs="Arial"/>
          <w:color w:val="000000"/>
          <w:sz w:val="20"/>
          <w:szCs w:val="20"/>
          <w:shd w:val="clear" w:color="auto" w:fill="FFFFFF"/>
          <w:lang w:val="es-ES"/>
        </w:rPr>
      </w:pPr>
      <w:r w:rsidRPr="00E031A9">
        <w:rPr>
          <w:rFonts w:ascii="Verdana" w:eastAsia="Calibri" w:hAnsi="Verdana" w:cs="Arial"/>
          <w:kern w:val="2"/>
          <w:sz w:val="20"/>
          <w:szCs w:val="20"/>
          <w:lang w:val="es-ES_tradnl"/>
          <w14:ligatures w14:val="standardContextual"/>
        </w:rPr>
        <w:t xml:space="preserve">[…] </w:t>
      </w:r>
      <w:r w:rsidRPr="00EF714C">
        <w:rPr>
          <w:rFonts w:ascii="Verdana" w:eastAsia="Calibri" w:hAnsi="Verdana" w:cs="Arial"/>
          <w:color w:val="000000"/>
          <w:sz w:val="20"/>
          <w:szCs w:val="20"/>
          <w:shd w:val="clear" w:color="auto" w:fill="FFFFFF"/>
          <w:lang w:val="es-ES"/>
        </w:rPr>
        <w:t>se evidencia que la parte final del numeral 2.5 del artículo citado incluye una medida diferenciada para las personas jurídicas cuya constitución sea menor a tres (3) años al momento del registro. Esta prerrogativa, que puede entenderse como una medida de fomento a la participación de pequeños oferentes en la contratación estatal, permite que las sociedades relativamente nuevas –con menos de tres (3) años de constitución– puedan acreditar como experiencia en el RUP la de sus accionistas, socios o constituyentes. Pese a que la experiencia es inherente a la persona que la ha obtenido, razón por la cual es, en principio, intransferible en virtud de su carácter personalísimo, por disposición legal o reglamentaria, en casos excepcionales, como el descrito en el artículo mencionado, se aplica de otra manera.</w:t>
      </w:r>
    </w:p>
    <w:p w14:paraId="4EB60F8C" w14:textId="77777777" w:rsidR="00AB4CEF" w:rsidRPr="00EF714C" w:rsidRDefault="00AB4CEF" w:rsidP="00AB4CEF">
      <w:pPr>
        <w:tabs>
          <w:tab w:val="left" w:pos="483"/>
        </w:tabs>
        <w:spacing w:after="0" w:line="240" w:lineRule="auto"/>
        <w:jc w:val="both"/>
        <w:rPr>
          <w:rFonts w:ascii="Verdana" w:eastAsia="Calibri" w:hAnsi="Verdana" w:cs="Arial"/>
          <w:color w:val="000000"/>
          <w:sz w:val="20"/>
          <w:szCs w:val="20"/>
          <w:shd w:val="clear" w:color="auto" w:fill="FFFFFF"/>
          <w:lang w:val="es-ES"/>
        </w:rPr>
      </w:pPr>
    </w:p>
    <w:p w14:paraId="397F3FC2" w14:textId="77777777" w:rsidR="00AB4CEF" w:rsidRPr="00E031A9" w:rsidRDefault="00AB4CEF" w:rsidP="00AB4CEF">
      <w:pPr>
        <w:tabs>
          <w:tab w:val="left" w:pos="483"/>
        </w:tabs>
        <w:spacing w:after="0" w:line="240" w:lineRule="auto"/>
        <w:jc w:val="both"/>
        <w:rPr>
          <w:rFonts w:ascii="Verdana" w:eastAsia="Calibri" w:hAnsi="Verdana" w:cs="Arial"/>
          <w:color w:val="000000"/>
          <w:sz w:val="20"/>
          <w:szCs w:val="20"/>
          <w:shd w:val="clear" w:color="auto" w:fill="FFFFFF"/>
          <w:lang w:val="es-ES"/>
        </w:rPr>
      </w:pPr>
      <w:r w:rsidRPr="00EF714C">
        <w:rPr>
          <w:rFonts w:ascii="Verdana" w:eastAsia="Calibri" w:hAnsi="Verdana" w:cs="Arial"/>
          <w:color w:val="000000"/>
          <w:sz w:val="20"/>
          <w:szCs w:val="20"/>
          <w:shd w:val="clear" w:color="auto" w:fill="FFFFFF"/>
          <w:lang w:val="es-ES"/>
        </w:rPr>
        <w:t>La finalidad de esta norma es permitir que las sociedades que no cuentan con la experiencia suficiente para contratar con el Estado puedan apoyarse en la experiencia de sus accionistas, socios o constituyentes con el fin de incentivar la competencia en la contratación estatal. Así las cosas, el socio transfiere la experiencia adquirida directamente a la sociedad de la que es parte, para que esta, como persona jurídica independiente, pueda cumplir con los requisitos habilitantes o puntuables que establezcan las Entidades Estatales en sus Procesos de Contratación, y de esta forma promover el desarrollo de la empresa y la pluralidad de oferentes en la contratación pública.</w:t>
      </w:r>
    </w:p>
    <w:p w14:paraId="61BDBD68" w14:textId="77777777" w:rsidR="00AB4CEF" w:rsidRPr="00E031A9" w:rsidRDefault="00AB4CEF" w:rsidP="00AB4CEF">
      <w:pPr>
        <w:spacing w:after="0" w:line="276" w:lineRule="auto"/>
        <w:jc w:val="both"/>
        <w:rPr>
          <w:rFonts w:ascii="Verdana" w:eastAsia="Calibri" w:hAnsi="Verdana" w:cs="Arial"/>
          <w:b/>
          <w:kern w:val="2"/>
          <w:lang w:val="es-ES_tradnl"/>
          <w14:ligatures w14:val="standardContextual"/>
        </w:rPr>
      </w:pPr>
    </w:p>
    <w:p w14:paraId="47182702" w14:textId="77777777" w:rsidR="00AB4CEF" w:rsidRPr="00E031A9" w:rsidRDefault="00AB4CEF" w:rsidP="00AB4CEF">
      <w:pPr>
        <w:spacing w:after="0" w:line="276" w:lineRule="auto"/>
        <w:jc w:val="both"/>
        <w:rPr>
          <w:rFonts w:ascii="Verdana" w:eastAsia="Calibri" w:hAnsi="Verdana" w:cs="Arial"/>
          <w:b/>
          <w:bCs/>
          <w:kern w:val="2"/>
          <w:lang w:val="es-ES_tradnl"/>
          <w14:ligatures w14:val="standardContextual"/>
        </w:rPr>
      </w:pPr>
      <w:r w:rsidRPr="00E031A9">
        <w:rPr>
          <w:rFonts w:ascii="Verdana" w:eastAsia="Calibri" w:hAnsi="Verdana" w:cs="Arial"/>
          <w:b/>
          <w:bCs/>
          <w:kern w:val="2"/>
          <w:lang w:val="es-ES_tradnl"/>
          <w14:ligatures w14:val="standardContextual"/>
        </w:rPr>
        <w:t>EXPERIENCIA ‒ Conservaci</w:t>
      </w:r>
      <w:r w:rsidRPr="00E031A9">
        <w:rPr>
          <w:rFonts w:ascii="Verdana" w:eastAsia="Calibri" w:hAnsi="Verdana" w:cs="Century Gothic"/>
          <w:b/>
          <w:bCs/>
          <w:kern w:val="2"/>
          <w:lang w:val="es-ES_tradnl"/>
          <w14:ligatures w14:val="standardContextual"/>
        </w:rPr>
        <w:t>ó</w:t>
      </w:r>
      <w:r w:rsidRPr="00E031A9">
        <w:rPr>
          <w:rFonts w:ascii="Verdana" w:eastAsia="Calibri" w:hAnsi="Verdana" w:cs="Arial"/>
          <w:b/>
          <w:bCs/>
          <w:kern w:val="2"/>
          <w:lang w:val="es-ES_tradnl"/>
          <w14:ligatures w14:val="standardContextual"/>
        </w:rPr>
        <w:t>n ‒ Renovaci</w:t>
      </w:r>
      <w:r w:rsidRPr="00E031A9">
        <w:rPr>
          <w:rFonts w:ascii="Verdana" w:eastAsia="Calibri" w:hAnsi="Verdana" w:cs="Century Gothic"/>
          <w:b/>
          <w:bCs/>
          <w:kern w:val="2"/>
          <w:lang w:val="es-ES_tradnl"/>
          <w14:ligatures w14:val="standardContextual"/>
        </w:rPr>
        <w:t>ó</w:t>
      </w:r>
      <w:r w:rsidRPr="00E031A9">
        <w:rPr>
          <w:rFonts w:ascii="Verdana" w:eastAsia="Calibri" w:hAnsi="Verdana" w:cs="Arial"/>
          <w:b/>
          <w:bCs/>
          <w:kern w:val="2"/>
          <w:lang w:val="es-ES_tradnl"/>
          <w14:ligatures w14:val="standardContextual"/>
        </w:rPr>
        <w:t>n RUP ‒ Cesaci</w:t>
      </w:r>
      <w:r w:rsidRPr="00E031A9">
        <w:rPr>
          <w:rFonts w:ascii="Verdana" w:eastAsia="Calibri" w:hAnsi="Verdana" w:cs="Century Gothic"/>
          <w:b/>
          <w:bCs/>
          <w:kern w:val="2"/>
          <w:lang w:val="es-ES_tradnl"/>
          <w14:ligatures w14:val="standardContextual"/>
        </w:rPr>
        <w:t>ó</w:t>
      </w:r>
      <w:r w:rsidRPr="00E031A9">
        <w:rPr>
          <w:rFonts w:ascii="Verdana" w:eastAsia="Calibri" w:hAnsi="Verdana" w:cs="Arial"/>
          <w:b/>
          <w:bCs/>
          <w:kern w:val="2"/>
          <w:lang w:val="es-ES_tradnl"/>
          <w14:ligatures w14:val="standardContextual"/>
        </w:rPr>
        <w:t>n efectos RUP</w:t>
      </w:r>
    </w:p>
    <w:p w14:paraId="049D449B" w14:textId="77777777" w:rsidR="00AB4CEF" w:rsidRPr="00EF714C" w:rsidRDefault="00AB4CEF" w:rsidP="00AB4CEF">
      <w:pPr>
        <w:spacing w:after="0" w:line="276" w:lineRule="auto"/>
        <w:contextualSpacing/>
        <w:jc w:val="both"/>
        <w:rPr>
          <w:rFonts w:ascii="Verdana" w:eastAsia="Calibri" w:hAnsi="Verdana" w:cs="Arial"/>
          <w:kern w:val="2"/>
          <w:lang w:val="es-ES_tradnl"/>
          <w14:ligatures w14:val="standardContextual"/>
        </w:rPr>
      </w:pPr>
    </w:p>
    <w:p w14:paraId="205DAFB9" w14:textId="77777777" w:rsidR="00AB4CEF" w:rsidRPr="00E031A9" w:rsidRDefault="00AB4CEF" w:rsidP="00AB4CEF">
      <w:pPr>
        <w:spacing w:after="0" w:line="240" w:lineRule="auto"/>
        <w:contextualSpacing/>
        <w:jc w:val="both"/>
        <w:rPr>
          <w:rFonts w:ascii="Verdana" w:eastAsia="Times New Roman" w:hAnsi="Verdana" w:cs="Arial"/>
          <w:sz w:val="20"/>
          <w:szCs w:val="20"/>
          <w:lang w:val="es-ES" w:eastAsia="es-ES"/>
        </w:rPr>
      </w:pPr>
      <w:r w:rsidRPr="00EF714C">
        <w:rPr>
          <w:rFonts w:ascii="Verdana" w:eastAsia="Times New Roman" w:hAnsi="Verdana" w:cs="Arial"/>
          <w:sz w:val="20"/>
          <w:szCs w:val="20"/>
          <w:lang w:val="es-ES" w:eastAsia="es-ES"/>
        </w:rPr>
        <w:t xml:space="preserve">Para esta Agencia, si la persona jurídica con menos de tres (3) años de constituida registra la experiencia de sus socios, accionistas o constituyentes en el RUP, y este es renovado, puede continuar utilizando la experiencia inscrita mientras no cesen los efectos del RUP. Por el contrario, si no se renueva y la persona jurídica supera los tres (3) años de constituida, la experiencia que registró de sus socios, accionistas o constituyentes no puede ser inscrita nuevamente, puesto que el RUP ha cesado sus efectos y la cámara de comercio tiene que hacer nuevamente la verificación documental de la información presentada al momento de inscribirse en el registro. […] </w:t>
      </w:r>
    </w:p>
    <w:p w14:paraId="452B15A3" w14:textId="77777777" w:rsidR="00AB4CEF" w:rsidRDefault="00AB4CEF" w:rsidP="00AB4CEF">
      <w:pPr>
        <w:spacing w:after="0" w:line="276" w:lineRule="auto"/>
        <w:jc w:val="both"/>
        <w:rPr>
          <w:rFonts w:ascii="Verdana" w:eastAsia="Calibri" w:hAnsi="Verdana" w:cs="Arial"/>
          <w:b/>
          <w:bCs/>
          <w:kern w:val="2"/>
          <w:lang w:val="es-ES_tradnl"/>
          <w14:ligatures w14:val="standardContextual"/>
        </w:rPr>
      </w:pPr>
    </w:p>
    <w:p w14:paraId="4671E20E" w14:textId="54EEFE86" w:rsidR="00013659" w:rsidRPr="00013659" w:rsidRDefault="00013659" w:rsidP="00AB4CEF">
      <w:pPr>
        <w:spacing w:after="0" w:line="276" w:lineRule="auto"/>
        <w:jc w:val="both"/>
        <w:rPr>
          <w:rFonts w:ascii="Verdana" w:eastAsia="Calibri" w:hAnsi="Verdana" w:cs="Arial"/>
          <w:b/>
          <w:kern w:val="2"/>
          <w:lang w:val="es-ES_tradnl"/>
          <w14:ligatures w14:val="standardContextual"/>
        </w:rPr>
      </w:pPr>
      <w:r w:rsidRPr="00013659">
        <w:rPr>
          <w:rFonts w:ascii="Verdana" w:eastAsia="Calibri" w:hAnsi="Verdana" w:cs="Arial"/>
          <w:b/>
          <w:lang w:val="es-ES_tradnl"/>
        </w:rPr>
        <w:t xml:space="preserve">SOCIEDADES NUEVAS – Experiencia – </w:t>
      </w:r>
      <w:r>
        <w:rPr>
          <w:rFonts w:ascii="Verdana" w:eastAsia="Calibri" w:hAnsi="Verdana" w:cs="Arial"/>
          <w:b/>
          <w:lang w:val="es-ES_tradnl"/>
        </w:rPr>
        <w:t xml:space="preserve">Inferior a tres años - </w:t>
      </w:r>
      <w:r w:rsidRPr="00013659">
        <w:rPr>
          <w:rFonts w:ascii="Verdana" w:eastAsia="Calibri" w:hAnsi="Verdana" w:cs="Arial"/>
          <w:b/>
          <w:lang w:val="es-ES_tradnl"/>
        </w:rPr>
        <w:t>No exigencia RUP</w:t>
      </w:r>
    </w:p>
    <w:p w14:paraId="056F1D98" w14:textId="77777777" w:rsidR="00AB4CEF" w:rsidRPr="00E031A9" w:rsidRDefault="00AB4CEF" w:rsidP="00AB4CEF">
      <w:pPr>
        <w:spacing w:after="0" w:line="276" w:lineRule="auto"/>
        <w:jc w:val="both"/>
        <w:rPr>
          <w:rFonts w:ascii="Verdana" w:eastAsia="Calibri" w:hAnsi="Verdana" w:cs="Arial"/>
          <w:bCs/>
          <w:lang w:val="es-ES_tradnl"/>
        </w:rPr>
      </w:pPr>
    </w:p>
    <w:p w14:paraId="73AE42E2" w14:textId="4E77BA90" w:rsidR="00013659" w:rsidRPr="00013659" w:rsidRDefault="00013659" w:rsidP="00013659">
      <w:pPr>
        <w:spacing w:after="0" w:line="276" w:lineRule="auto"/>
        <w:contextualSpacing/>
        <w:jc w:val="both"/>
        <w:rPr>
          <w:rFonts w:ascii="Verdana" w:eastAsia="Calibri" w:hAnsi="Verdana"/>
          <w:color w:val="7030A0"/>
          <w:sz w:val="20"/>
          <w:szCs w:val="20"/>
          <w:lang w:val="es-ES"/>
        </w:rPr>
      </w:pPr>
      <w:r w:rsidRPr="00013659">
        <w:rPr>
          <w:rFonts w:ascii="Verdana" w:eastAsia="Calibri" w:hAnsi="Verdana" w:cs="Arial"/>
          <w:color w:val="000000" w:themeColor="text1"/>
          <w:sz w:val="20"/>
          <w:szCs w:val="20"/>
        </w:rPr>
        <w:t xml:space="preserve">Ahora bien, cuando del proceso de selección por su causal o </w:t>
      </w:r>
      <w:r>
        <w:rPr>
          <w:rFonts w:ascii="Verdana" w:eastAsia="Calibri" w:hAnsi="Verdana" w:cs="Arial"/>
          <w:color w:val="000000" w:themeColor="text1"/>
          <w:sz w:val="20"/>
          <w:szCs w:val="20"/>
        </w:rPr>
        <w:t xml:space="preserve">tipo de </w:t>
      </w:r>
      <w:r w:rsidRPr="00013659">
        <w:rPr>
          <w:rFonts w:ascii="Verdana" w:eastAsia="Calibri" w:hAnsi="Verdana" w:cs="Arial"/>
          <w:color w:val="000000" w:themeColor="text1"/>
          <w:sz w:val="20"/>
          <w:szCs w:val="20"/>
        </w:rPr>
        <w:t xml:space="preserve">contrato no se exija RUP por efectos del </w:t>
      </w:r>
      <w:r w:rsidRPr="00013659">
        <w:rPr>
          <w:rFonts w:ascii="Verdana" w:eastAsia="Calibri" w:hAnsi="Verdana" w:cs="Arial"/>
          <w:sz w:val="20"/>
          <w:szCs w:val="20"/>
          <w:lang w:eastAsia="es-ES"/>
        </w:rPr>
        <w:t>artículo 6 de la ley 1150</w:t>
      </w:r>
      <w:r w:rsidRPr="00013659">
        <w:rPr>
          <w:rFonts w:ascii="Verdana" w:eastAsia="Calibri" w:hAnsi="Verdana" w:cs="Arial"/>
          <w:color w:val="000000" w:themeColor="text1"/>
          <w:sz w:val="20"/>
          <w:szCs w:val="20"/>
        </w:rPr>
        <w:t xml:space="preserve">, la entidad puede seguir aplicando la regla </w:t>
      </w:r>
      <w:r w:rsidRPr="00013659">
        <w:rPr>
          <w:rFonts w:ascii="Verdana" w:eastAsia="Times New Roman" w:hAnsi="Verdana" w:cs="Arial"/>
          <w:sz w:val="20"/>
          <w:szCs w:val="20"/>
          <w:lang w:val="es-ES_tradnl" w:eastAsia="es-ES_tradnl"/>
        </w:rPr>
        <w:t xml:space="preserve">del numeral 2.5 del artículo 2.2.1.1.1.5.2 del Decreto 1082 de 2015. </w:t>
      </w:r>
      <w:r w:rsidRPr="00013659">
        <w:rPr>
          <w:rFonts w:ascii="Verdana" w:eastAsia="Calibri" w:hAnsi="Verdana" w:cs="Arial"/>
          <w:color w:val="000000" w:themeColor="text1"/>
          <w:sz w:val="20"/>
          <w:szCs w:val="20"/>
        </w:rPr>
        <w:t xml:space="preserve">De tal manera que, cuando la contratación no exija RUP, le corresponderá a la entidad contratante definir </w:t>
      </w:r>
      <w:r w:rsidRPr="00013659">
        <w:rPr>
          <w:rFonts w:ascii="Verdana" w:eastAsia="Calibri" w:hAnsi="Verdana" w:cs="Arial"/>
          <w:color w:val="000000" w:themeColor="text1"/>
          <w:sz w:val="20"/>
          <w:szCs w:val="20"/>
        </w:rPr>
        <w:lastRenderedPageBreak/>
        <w:t>en su pliego de condiciones los requisitos para evaluar la habilitación del contratista y su idoneidad.</w:t>
      </w:r>
    </w:p>
    <w:p w14:paraId="12CF123C" w14:textId="77777777" w:rsidR="00AB4CEF" w:rsidRPr="00013659" w:rsidRDefault="00AB4CEF" w:rsidP="00AB4CEF">
      <w:pPr>
        <w:spacing w:after="0"/>
        <w:rPr>
          <w:rFonts w:ascii="Verdana" w:eastAsia="Aptos" w:hAnsi="Verdana" w:cs="Times New Roman"/>
          <w:b/>
          <w:bCs/>
          <w:sz w:val="20"/>
          <w:szCs w:val="20"/>
          <w:lang w:val="es-ES_tradnl"/>
        </w:rPr>
      </w:pPr>
    </w:p>
    <w:p w14:paraId="2CFB3C40" w14:textId="77777777" w:rsidR="00AB4CEF" w:rsidRDefault="00AB4CEF" w:rsidP="00AB4CEF">
      <w:pPr>
        <w:spacing w:after="0"/>
        <w:rPr>
          <w:rFonts w:ascii="Verdana" w:eastAsia="Aptos" w:hAnsi="Verdana" w:cs="Times New Roman"/>
          <w:b/>
          <w:bCs/>
          <w:lang w:val="es-ES_tradnl"/>
        </w:rPr>
      </w:pPr>
    </w:p>
    <w:p w14:paraId="3D431C6C" w14:textId="77777777" w:rsidR="00AB4CEF" w:rsidRDefault="00AB4CEF" w:rsidP="00AB4CEF">
      <w:pPr>
        <w:spacing w:after="0"/>
        <w:rPr>
          <w:rFonts w:ascii="Verdana" w:eastAsia="Aptos" w:hAnsi="Verdana" w:cs="Times New Roman"/>
          <w:b/>
          <w:bCs/>
          <w:lang w:val="es-ES_tradnl"/>
        </w:rPr>
      </w:pPr>
    </w:p>
    <w:p w14:paraId="52A6256A" w14:textId="77777777" w:rsidR="00AB4CEF" w:rsidRDefault="00AB4CEF" w:rsidP="00AB4CEF">
      <w:pPr>
        <w:spacing w:after="0"/>
        <w:rPr>
          <w:rFonts w:ascii="Verdana" w:eastAsia="Aptos" w:hAnsi="Verdana" w:cs="Times New Roman"/>
          <w:b/>
          <w:bCs/>
          <w:lang w:val="es-ES_tradnl"/>
        </w:rPr>
      </w:pPr>
    </w:p>
    <w:p w14:paraId="6B515DF8" w14:textId="77777777" w:rsidR="0064273B" w:rsidRDefault="0064273B" w:rsidP="00AB4CEF">
      <w:pPr>
        <w:spacing w:after="0"/>
        <w:rPr>
          <w:rFonts w:ascii="Verdana" w:eastAsia="Aptos" w:hAnsi="Verdana" w:cs="Times New Roman"/>
          <w:b/>
          <w:bCs/>
          <w:lang w:val="es-ES_tradnl"/>
        </w:rPr>
      </w:pPr>
    </w:p>
    <w:p w14:paraId="24AE4CA7" w14:textId="77777777" w:rsidR="0064273B" w:rsidRDefault="0064273B" w:rsidP="00AB4CEF">
      <w:pPr>
        <w:spacing w:after="0"/>
        <w:rPr>
          <w:rFonts w:ascii="Verdana" w:eastAsia="Aptos" w:hAnsi="Verdana" w:cs="Times New Roman"/>
          <w:b/>
          <w:bCs/>
          <w:lang w:val="es-ES_tradnl"/>
        </w:rPr>
      </w:pPr>
    </w:p>
    <w:p w14:paraId="44664C6D" w14:textId="77777777" w:rsidR="0064273B" w:rsidRDefault="0064273B" w:rsidP="00AB4CEF">
      <w:pPr>
        <w:spacing w:after="0"/>
        <w:rPr>
          <w:rFonts w:ascii="Verdana" w:eastAsia="Aptos" w:hAnsi="Verdana" w:cs="Times New Roman"/>
          <w:b/>
          <w:bCs/>
          <w:lang w:val="es-ES_tradnl"/>
        </w:rPr>
      </w:pPr>
    </w:p>
    <w:p w14:paraId="3952EB86" w14:textId="77777777" w:rsidR="0064273B" w:rsidRDefault="0064273B" w:rsidP="00AB4CEF">
      <w:pPr>
        <w:spacing w:after="0"/>
        <w:rPr>
          <w:rFonts w:ascii="Verdana" w:eastAsia="Aptos" w:hAnsi="Verdana" w:cs="Times New Roman"/>
          <w:b/>
          <w:bCs/>
          <w:lang w:val="es-ES_tradnl"/>
        </w:rPr>
      </w:pPr>
    </w:p>
    <w:p w14:paraId="651C3A7B" w14:textId="77777777" w:rsidR="0064273B" w:rsidRDefault="0064273B" w:rsidP="00AB4CEF">
      <w:pPr>
        <w:spacing w:after="0"/>
        <w:rPr>
          <w:rFonts w:ascii="Verdana" w:eastAsia="Aptos" w:hAnsi="Verdana" w:cs="Times New Roman"/>
          <w:b/>
          <w:bCs/>
          <w:lang w:val="es-ES_tradnl"/>
        </w:rPr>
      </w:pPr>
    </w:p>
    <w:p w14:paraId="1ED282AF" w14:textId="77777777" w:rsidR="0064273B" w:rsidRDefault="0064273B" w:rsidP="00AB4CEF">
      <w:pPr>
        <w:spacing w:after="0"/>
        <w:rPr>
          <w:rFonts w:ascii="Verdana" w:eastAsia="Aptos" w:hAnsi="Verdana" w:cs="Times New Roman"/>
          <w:b/>
          <w:bCs/>
          <w:lang w:val="es-ES_tradnl"/>
        </w:rPr>
      </w:pPr>
    </w:p>
    <w:p w14:paraId="5CFBB45D" w14:textId="77777777" w:rsidR="0064273B" w:rsidRDefault="0064273B" w:rsidP="00AB4CEF">
      <w:pPr>
        <w:spacing w:after="0"/>
        <w:rPr>
          <w:rFonts w:ascii="Verdana" w:eastAsia="Aptos" w:hAnsi="Verdana" w:cs="Times New Roman"/>
          <w:b/>
          <w:bCs/>
          <w:lang w:val="es-ES_tradnl"/>
        </w:rPr>
      </w:pPr>
    </w:p>
    <w:p w14:paraId="1250A13C" w14:textId="77777777" w:rsidR="0064273B" w:rsidRDefault="0064273B" w:rsidP="00AB4CEF">
      <w:pPr>
        <w:spacing w:after="0"/>
        <w:rPr>
          <w:rFonts w:ascii="Verdana" w:eastAsia="Aptos" w:hAnsi="Verdana" w:cs="Times New Roman"/>
          <w:b/>
          <w:bCs/>
          <w:lang w:val="es-ES_tradnl"/>
        </w:rPr>
      </w:pPr>
    </w:p>
    <w:p w14:paraId="33FC477D" w14:textId="77777777" w:rsidR="0064273B" w:rsidRDefault="0064273B" w:rsidP="00AB4CEF">
      <w:pPr>
        <w:spacing w:after="0"/>
        <w:rPr>
          <w:rFonts w:ascii="Verdana" w:eastAsia="Aptos" w:hAnsi="Verdana" w:cs="Times New Roman"/>
          <w:b/>
          <w:bCs/>
          <w:lang w:val="es-ES_tradnl"/>
        </w:rPr>
      </w:pPr>
    </w:p>
    <w:p w14:paraId="2CA89167" w14:textId="77777777" w:rsidR="0064273B" w:rsidRDefault="0064273B" w:rsidP="00AB4CEF">
      <w:pPr>
        <w:spacing w:after="0"/>
        <w:rPr>
          <w:rFonts w:ascii="Verdana" w:eastAsia="Aptos" w:hAnsi="Verdana" w:cs="Times New Roman"/>
          <w:b/>
          <w:bCs/>
          <w:lang w:val="es-ES_tradnl"/>
        </w:rPr>
      </w:pPr>
    </w:p>
    <w:p w14:paraId="5760ED41" w14:textId="77777777" w:rsidR="0064273B" w:rsidRDefault="0064273B" w:rsidP="00AB4CEF">
      <w:pPr>
        <w:spacing w:after="0"/>
        <w:rPr>
          <w:rFonts w:ascii="Verdana" w:eastAsia="Aptos" w:hAnsi="Verdana" w:cs="Times New Roman"/>
          <w:b/>
          <w:bCs/>
          <w:lang w:val="es-ES_tradnl"/>
        </w:rPr>
      </w:pPr>
    </w:p>
    <w:p w14:paraId="4B4B92BE" w14:textId="77777777" w:rsidR="0064273B" w:rsidRDefault="0064273B" w:rsidP="00AB4CEF">
      <w:pPr>
        <w:spacing w:after="0"/>
        <w:rPr>
          <w:rFonts w:ascii="Verdana" w:eastAsia="Aptos" w:hAnsi="Verdana" w:cs="Times New Roman"/>
          <w:b/>
          <w:bCs/>
          <w:lang w:val="es-ES_tradnl"/>
        </w:rPr>
      </w:pPr>
    </w:p>
    <w:p w14:paraId="7162A8A1" w14:textId="77777777" w:rsidR="0064273B" w:rsidRDefault="0064273B" w:rsidP="00AB4CEF">
      <w:pPr>
        <w:spacing w:after="0"/>
        <w:rPr>
          <w:rFonts w:ascii="Verdana" w:eastAsia="Aptos" w:hAnsi="Verdana" w:cs="Times New Roman"/>
          <w:b/>
          <w:bCs/>
          <w:lang w:val="es-ES_tradnl"/>
        </w:rPr>
      </w:pPr>
    </w:p>
    <w:p w14:paraId="2C19001F" w14:textId="77777777" w:rsidR="0064273B" w:rsidRDefault="0064273B" w:rsidP="00AB4CEF">
      <w:pPr>
        <w:spacing w:after="0"/>
        <w:rPr>
          <w:rFonts w:ascii="Verdana" w:eastAsia="Aptos" w:hAnsi="Verdana" w:cs="Times New Roman"/>
          <w:b/>
          <w:bCs/>
          <w:lang w:val="es-ES_tradnl"/>
        </w:rPr>
      </w:pPr>
    </w:p>
    <w:p w14:paraId="1CD2E689" w14:textId="77777777" w:rsidR="0064273B" w:rsidRDefault="0064273B" w:rsidP="00AB4CEF">
      <w:pPr>
        <w:spacing w:after="0"/>
        <w:rPr>
          <w:rFonts w:ascii="Verdana" w:eastAsia="Aptos" w:hAnsi="Verdana" w:cs="Times New Roman"/>
          <w:b/>
          <w:bCs/>
          <w:lang w:val="es-ES_tradnl"/>
        </w:rPr>
      </w:pPr>
    </w:p>
    <w:p w14:paraId="5609F3A4" w14:textId="77777777" w:rsidR="0064273B" w:rsidRDefault="0064273B" w:rsidP="00AB4CEF">
      <w:pPr>
        <w:spacing w:after="0"/>
        <w:rPr>
          <w:rFonts w:ascii="Verdana" w:eastAsia="Aptos" w:hAnsi="Verdana" w:cs="Times New Roman"/>
          <w:b/>
          <w:bCs/>
          <w:lang w:val="es-ES_tradnl"/>
        </w:rPr>
      </w:pPr>
    </w:p>
    <w:p w14:paraId="3BA9A10F" w14:textId="77777777" w:rsidR="0064273B" w:rsidRDefault="0064273B" w:rsidP="00AB4CEF">
      <w:pPr>
        <w:spacing w:after="0"/>
        <w:rPr>
          <w:rFonts w:ascii="Verdana" w:eastAsia="Aptos" w:hAnsi="Verdana" w:cs="Times New Roman"/>
          <w:b/>
          <w:bCs/>
          <w:lang w:val="es-ES_tradnl"/>
        </w:rPr>
      </w:pPr>
    </w:p>
    <w:p w14:paraId="5D70C7EB" w14:textId="77777777" w:rsidR="0064273B" w:rsidRDefault="0064273B" w:rsidP="00AB4CEF">
      <w:pPr>
        <w:spacing w:after="0"/>
        <w:rPr>
          <w:rFonts w:ascii="Verdana" w:eastAsia="Aptos" w:hAnsi="Verdana" w:cs="Times New Roman"/>
          <w:b/>
          <w:bCs/>
          <w:lang w:val="es-ES_tradnl"/>
        </w:rPr>
      </w:pPr>
    </w:p>
    <w:p w14:paraId="3B9326BB" w14:textId="77777777" w:rsidR="0064273B" w:rsidRDefault="0064273B" w:rsidP="00AB4CEF">
      <w:pPr>
        <w:spacing w:after="0"/>
        <w:rPr>
          <w:rFonts w:ascii="Verdana" w:eastAsia="Aptos" w:hAnsi="Verdana" w:cs="Times New Roman"/>
          <w:b/>
          <w:bCs/>
          <w:lang w:val="es-ES_tradnl"/>
        </w:rPr>
      </w:pPr>
    </w:p>
    <w:p w14:paraId="4F8601A6" w14:textId="77777777" w:rsidR="0064273B" w:rsidRDefault="0064273B" w:rsidP="00AB4CEF">
      <w:pPr>
        <w:spacing w:after="0"/>
        <w:rPr>
          <w:rFonts w:ascii="Verdana" w:eastAsia="Aptos" w:hAnsi="Verdana" w:cs="Times New Roman"/>
          <w:b/>
          <w:bCs/>
          <w:lang w:val="es-ES_tradnl"/>
        </w:rPr>
      </w:pPr>
    </w:p>
    <w:p w14:paraId="32B51151" w14:textId="77777777" w:rsidR="0064273B" w:rsidRDefault="0064273B" w:rsidP="00AB4CEF">
      <w:pPr>
        <w:spacing w:after="0"/>
        <w:rPr>
          <w:rFonts w:ascii="Verdana" w:eastAsia="Aptos" w:hAnsi="Verdana" w:cs="Times New Roman"/>
          <w:b/>
          <w:bCs/>
          <w:lang w:val="es-ES_tradnl"/>
        </w:rPr>
      </w:pPr>
    </w:p>
    <w:p w14:paraId="54119427" w14:textId="77777777" w:rsidR="0064273B" w:rsidRDefault="0064273B" w:rsidP="00AB4CEF">
      <w:pPr>
        <w:spacing w:after="0"/>
        <w:rPr>
          <w:rFonts w:ascii="Verdana" w:eastAsia="Aptos" w:hAnsi="Verdana" w:cs="Times New Roman"/>
          <w:b/>
          <w:bCs/>
          <w:lang w:val="es-ES_tradnl"/>
        </w:rPr>
      </w:pPr>
    </w:p>
    <w:p w14:paraId="1FDEF631" w14:textId="77777777" w:rsidR="0064273B" w:rsidRDefault="0064273B" w:rsidP="00AB4CEF">
      <w:pPr>
        <w:spacing w:after="0"/>
        <w:rPr>
          <w:rFonts w:ascii="Verdana" w:eastAsia="Aptos" w:hAnsi="Verdana" w:cs="Times New Roman"/>
          <w:b/>
          <w:bCs/>
          <w:lang w:val="es-ES_tradnl"/>
        </w:rPr>
      </w:pPr>
    </w:p>
    <w:p w14:paraId="1B772360" w14:textId="77777777" w:rsidR="0064273B" w:rsidRDefault="0064273B" w:rsidP="00AB4CEF">
      <w:pPr>
        <w:spacing w:after="0"/>
        <w:rPr>
          <w:rFonts w:ascii="Verdana" w:eastAsia="Aptos" w:hAnsi="Verdana" w:cs="Times New Roman"/>
          <w:b/>
          <w:bCs/>
          <w:lang w:val="es-ES_tradnl"/>
        </w:rPr>
      </w:pPr>
    </w:p>
    <w:p w14:paraId="1CE4385E" w14:textId="77777777" w:rsidR="0064273B" w:rsidRDefault="0064273B" w:rsidP="00AB4CEF">
      <w:pPr>
        <w:spacing w:after="0"/>
        <w:rPr>
          <w:rFonts w:ascii="Verdana" w:eastAsia="Aptos" w:hAnsi="Verdana" w:cs="Times New Roman"/>
          <w:b/>
          <w:bCs/>
          <w:lang w:val="es-ES_tradnl"/>
        </w:rPr>
      </w:pPr>
    </w:p>
    <w:p w14:paraId="6545E5E0" w14:textId="77777777" w:rsidR="0064273B" w:rsidRDefault="0064273B" w:rsidP="00AB4CEF">
      <w:pPr>
        <w:spacing w:after="0"/>
        <w:rPr>
          <w:rFonts w:ascii="Verdana" w:eastAsia="Aptos" w:hAnsi="Verdana" w:cs="Times New Roman"/>
          <w:b/>
          <w:bCs/>
          <w:lang w:val="es-ES_tradnl"/>
        </w:rPr>
      </w:pPr>
    </w:p>
    <w:p w14:paraId="5D6E7A78" w14:textId="77777777" w:rsidR="0064273B" w:rsidRDefault="0064273B" w:rsidP="00AB4CEF">
      <w:pPr>
        <w:spacing w:after="0"/>
        <w:rPr>
          <w:rFonts w:ascii="Verdana" w:eastAsia="Aptos" w:hAnsi="Verdana" w:cs="Times New Roman"/>
          <w:b/>
          <w:bCs/>
          <w:lang w:val="es-ES_tradnl"/>
        </w:rPr>
      </w:pPr>
    </w:p>
    <w:p w14:paraId="7F9E26DD" w14:textId="77777777" w:rsidR="0064273B" w:rsidRDefault="0064273B" w:rsidP="00AB4CEF">
      <w:pPr>
        <w:spacing w:after="0"/>
        <w:rPr>
          <w:rFonts w:ascii="Verdana" w:eastAsia="Aptos" w:hAnsi="Verdana" w:cs="Times New Roman"/>
          <w:b/>
          <w:bCs/>
          <w:lang w:val="es-ES_tradnl"/>
        </w:rPr>
      </w:pPr>
    </w:p>
    <w:p w14:paraId="24AAB0D8" w14:textId="77777777" w:rsidR="0064273B" w:rsidRDefault="0064273B" w:rsidP="00AB4CEF">
      <w:pPr>
        <w:spacing w:after="0"/>
        <w:rPr>
          <w:rFonts w:ascii="Verdana" w:eastAsia="Aptos" w:hAnsi="Verdana" w:cs="Times New Roman"/>
          <w:b/>
          <w:bCs/>
          <w:lang w:val="es-ES_tradnl"/>
        </w:rPr>
      </w:pPr>
    </w:p>
    <w:p w14:paraId="4EA7B1EC" w14:textId="77777777" w:rsidR="0064273B" w:rsidRDefault="0064273B" w:rsidP="00AB4CEF">
      <w:pPr>
        <w:spacing w:after="0"/>
        <w:rPr>
          <w:rFonts w:ascii="Verdana" w:eastAsia="Aptos" w:hAnsi="Verdana" w:cs="Times New Roman"/>
          <w:b/>
          <w:bCs/>
          <w:lang w:val="es-ES_tradnl"/>
        </w:rPr>
      </w:pPr>
    </w:p>
    <w:p w14:paraId="4AF6269A" w14:textId="77777777" w:rsidR="00AB4CEF" w:rsidRDefault="00AB4CEF" w:rsidP="00AB4CEF">
      <w:pPr>
        <w:spacing w:after="0"/>
        <w:rPr>
          <w:rFonts w:ascii="Verdana" w:eastAsia="Aptos" w:hAnsi="Verdana" w:cs="Times New Roman"/>
          <w:b/>
          <w:bCs/>
          <w:lang w:val="es-ES_tradnl"/>
        </w:rPr>
      </w:pPr>
    </w:p>
    <w:p w14:paraId="6033CCA4" w14:textId="77777777" w:rsidR="00AB4CEF" w:rsidRDefault="00AB4CEF" w:rsidP="00AB4CEF">
      <w:pPr>
        <w:spacing w:after="0"/>
        <w:rPr>
          <w:rFonts w:ascii="Verdana" w:eastAsia="Aptos" w:hAnsi="Verdana" w:cs="Times New Roman"/>
          <w:b/>
          <w:bCs/>
          <w:lang w:val="es-ES_tradnl"/>
        </w:rPr>
      </w:pPr>
    </w:p>
    <w:p w14:paraId="3E3EA298" w14:textId="77777777" w:rsidR="00AB4CEF" w:rsidRDefault="00AB4CEF" w:rsidP="00AB4CEF">
      <w:pPr>
        <w:spacing w:after="0"/>
        <w:rPr>
          <w:rFonts w:ascii="Verdana" w:eastAsia="Aptos" w:hAnsi="Verdana" w:cs="Times New Roman"/>
          <w:b/>
          <w:bCs/>
          <w:lang w:val="es-ES_tradnl"/>
        </w:rPr>
      </w:pPr>
    </w:p>
    <w:p w14:paraId="58DEAA48" w14:textId="32DACE99" w:rsidR="00AB4CEF" w:rsidRPr="00E13AC4" w:rsidRDefault="00AB4CEF" w:rsidP="00FD4928">
      <w:pPr>
        <w:spacing w:after="0" w:line="240" w:lineRule="auto"/>
        <w:jc w:val="both"/>
        <w:rPr>
          <w:rFonts w:ascii="Verdana" w:eastAsia="Calibri" w:hAnsi="Verdana" w:cs="Arial"/>
          <w:bCs/>
          <w:lang w:eastAsia="es-ES_tradnl"/>
        </w:rPr>
      </w:pPr>
      <w:r w:rsidRPr="00013659">
        <w:rPr>
          <w:rFonts w:ascii="Verdana" w:eastAsia="Geomanist Light" w:hAnsi="Verdana" w:cs="Arial"/>
        </w:rPr>
        <w:lastRenderedPageBreak/>
        <w:t>Bogotá D.C., </w:t>
      </w:r>
      <w:r w:rsidR="0064273B">
        <w:rPr>
          <w:rFonts w:ascii="Verdana" w:eastAsia="Geomanist Light" w:hAnsi="Verdana" w:cs="Arial"/>
        </w:rPr>
        <w:t>24</w:t>
      </w:r>
      <w:r w:rsidRPr="00013659">
        <w:rPr>
          <w:rFonts w:ascii="Verdana" w:eastAsia="Geomanist Light" w:hAnsi="Verdana" w:cs="Arial"/>
        </w:rPr>
        <w:t xml:space="preserve"> de </w:t>
      </w:r>
      <w:r w:rsidR="0064273B">
        <w:rPr>
          <w:rFonts w:ascii="Verdana" w:eastAsia="Geomanist Light" w:hAnsi="Verdana" w:cs="Arial"/>
        </w:rPr>
        <w:t>Mayo</w:t>
      </w:r>
      <w:r w:rsidRPr="00013659">
        <w:rPr>
          <w:rFonts w:ascii="Verdana" w:eastAsia="Geomanist Light" w:hAnsi="Verdana" w:cs="Arial"/>
        </w:rPr>
        <w:t xml:space="preserve"> de</w:t>
      </w:r>
      <w:r w:rsidR="0064273B">
        <w:rPr>
          <w:rFonts w:ascii="Verdana" w:eastAsia="Geomanist Light" w:hAnsi="Verdana" w:cs="Arial"/>
        </w:rPr>
        <w:t xml:space="preserve"> 2026 </w:t>
      </w:r>
    </w:p>
    <w:p w14:paraId="7137694A" w14:textId="27DADCA1" w:rsidR="00AB4CEF" w:rsidRDefault="00AB4CEF" w:rsidP="00AB4CEF">
      <w:pPr>
        <w:spacing w:after="0" w:line="240" w:lineRule="auto"/>
        <w:jc w:val="both"/>
        <w:rPr>
          <w:rFonts w:ascii="Verdana" w:eastAsia="Calibri" w:hAnsi="Verdana" w:cs="Arial"/>
          <w:lang w:eastAsia="es-ES"/>
        </w:rPr>
      </w:pPr>
    </w:p>
    <w:p w14:paraId="43BFFAB6" w14:textId="77777777" w:rsidR="0064273B" w:rsidRDefault="0064273B" w:rsidP="00AB4CEF">
      <w:pPr>
        <w:spacing w:after="0" w:line="240" w:lineRule="auto"/>
        <w:jc w:val="both"/>
        <w:rPr>
          <w:rFonts w:ascii="Verdana" w:eastAsia="Calibri" w:hAnsi="Verdana" w:cs="Arial"/>
          <w:lang w:eastAsia="es-ES"/>
        </w:rPr>
      </w:pPr>
    </w:p>
    <w:p w14:paraId="5F252743" w14:textId="1FCE2D14" w:rsidR="0064273B" w:rsidRDefault="0064273B" w:rsidP="0064273B">
      <w:pPr>
        <w:spacing w:after="0" w:line="240" w:lineRule="auto"/>
        <w:jc w:val="right"/>
        <w:rPr>
          <w:rFonts w:ascii="Verdana" w:eastAsia="Calibri" w:hAnsi="Verdana" w:cs="Arial"/>
          <w:lang w:eastAsia="es-ES"/>
        </w:rPr>
      </w:pPr>
    </w:p>
    <w:p w14:paraId="1C991D46" w14:textId="43A40EBD" w:rsidR="00EE3C3D" w:rsidRDefault="00B15487" w:rsidP="00AB4CEF">
      <w:pPr>
        <w:spacing w:after="0" w:line="240" w:lineRule="auto"/>
        <w:jc w:val="both"/>
        <w:rPr>
          <w:rFonts w:ascii="Verdana" w:eastAsia="Calibri" w:hAnsi="Verdana" w:cs="Arial"/>
          <w:lang w:eastAsia="es-ES"/>
        </w:rPr>
      </w:pPr>
      <w:r w:rsidRPr="0064273B">
        <w:rPr>
          <w:rFonts w:ascii="Verdana" w:eastAsia="Calibri" w:hAnsi="Verdana" w:cs="Arial"/>
          <w:noProof/>
          <w:lang w:eastAsia="es-ES"/>
        </w:rPr>
        <w:drawing>
          <wp:anchor distT="0" distB="0" distL="114300" distR="114300" simplePos="0" relativeHeight="251658240" behindDoc="0" locked="0" layoutInCell="1" allowOverlap="1" wp14:anchorId="4E0C605F" wp14:editId="07D64487">
            <wp:simplePos x="0" y="0"/>
            <wp:positionH relativeFrom="margin">
              <wp:align>right</wp:align>
            </wp:positionH>
            <wp:positionV relativeFrom="paragraph">
              <wp:posOffset>5715</wp:posOffset>
            </wp:positionV>
            <wp:extent cx="2718435" cy="815340"/>
            <wp:effectExtent l="0" t="0" r="5715" b="3810"/>
            <wp:wrapSquare wrapText="bothSides"/>
            <wp:docPr id="34305888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058880" name=""/>
                    <pic:cNvPicPr/>
                  </pic:nvPicPr>
                  <pic:blipFill>
                    <a:blip r:embed="rId11">
                      <a:extLst>
                        <a:ext uri="{28A0092B-C50C-407E-A947-70E740481C1C}">
                          <a14:useLocalDpi xmlns:a14="http://schemas.microsoft.com/office/drawing/2010/main" val="0"/>
                        </a:ext>
                      </a:extLst>
                    </a:blip>
                    <a:stretch>
                      <a:fillRect/>
                    </a:stretch>
                  </pic:blipFill>
                  <pic:spPr>
                    <a:xfrm>
                      <a:off x="0" y="0"/>
                      <a:ext cx="2718435" cy="815340"/>
                    </a:xfrm>
                    <a:prstGeom prst="rect">
                      <a:avLst/>
                    </a:prstGeom>
                  </pic:spPr>
                </pic:pic>
              </a:graphicData>
            </a:graphic>
            <wp14:sizeRelH relativeFrom="margin">
              <wp14:pctWidth>0</wp14:pctWidth>
            </wp14:sizeRelH>
            <wp14:sizeRelV relativeFrom="margin">
              <wp14:pctHeight>0</wp14:pctHeight>
            </wp14:sizeRelV>
          </wp:anchor>
        </w:drawing>
      </w:r>
    </w:p>
    <w:p w14:paraId="75CF339E" w14:textId="03883EAE" w:rsidR="00AB4CEF" w:rsidRPr="00013659" w:rsidRDefault="00AB4CEF" w:rsidP="00AB4CEF">
      <w:pPr>
        <w:spacing w:after="0" w:line="240" w:lineRule="auto"/>
        <w:jc w:val="both"/>
        <w:rPr>
          <w:rFonts w:ascii="Verdana" w:eastAsia="Calibri" w:hAnsi="Verdana" w:cs="Arial"/>
          <w:lang w:eastAsia="es-ES"/>
        </w:rPr>
      </w:pPr>
      <w:r w:rsidRPr="00013659">
        <w:rPr>
          <w:rFonts w:ascii="Verdana" w:eastAsia="Calibri" w:hAnsi="Verdana" w:cs="Arial"/>
          <w:lang w:eastAsia="es-ES"/>
        </w:rPr>
        <w:t>Señor</w:t>
      </w:r>
    </w:p>
    <w:p w14:paraId="3D03A1E7" w14:textId="77777777" w:rsidR="005B336B" w:rsidRPr="00013659" w:rsidRDefault="005B336B" w:rsidP="00AB4CEF">
      <w:pPr>
        <w:spacing w:after="0" w:line="240" w:lineRule="auto"/>
        <w:jc w:val="both"/>
        <w:rPr>
          <w:rFonts w:ascii="Verdana" w:eastAsia="Calibri" w:hAnsi="Verdana" w:cs="Arial"/>
          <w:b/>
          <w:bCs/>
          <w:lang w:eastAsia="es-ES"/>
        </w:rPr>
      </w:pPr>
      <w:r w:rsidRPr="00013659">
        <w:rPr>
          <w:rFonts w:ascii="Verdana" w:eastAsia="Calibri" w:hAnsi="Verdana" w:cs="Arial"/>
          <w:b/>
          <w:bCs/>
          <w:lang w:eastAsia="es-ES"/>
        </w:rPr>
        <w:t>Rodolfo Antonio Albarracín Medina</w:t>
      </w:r>
    </w:p>
    <w:p w14:paraId="2620F5AC" w14:textId="77777777" w:rsidR="00302790" w:rsidRPr="00013659" w:rsidRDefault="005B336B" w:rsidP="00AB4CEF">
      <w:pPr>
        <w:spacing w:after="0" w:line="240" w:lineRule="auto"/>
        <w:jc w:val="both"/>
        <w:rPr>
          <w:rFonts w:ascii="Verdana" w:hAnsi="Verdana"/>
        </w:rPr>
      </w:pPr>
      <w:hyperlink r:id="rId12" w:history="1">
        <w:r w:rsidRPr="00013659">
          <w:rPr>
            <w:rStyle w:val="Hipervnculo"/>
            <w:rFonts w:ascii="Verdana" w:hAnsi="Verdana"/>
          </w:rPr>
          <w:t>gerencia@serlecomsas.com</w:t>
        </w:r>
      </w:hyperlink>
      <w:r w:rsidRPr="00013659">
        <w:rPr>
          <w:rFonts w:ascii="Verdana" w:hAnsi="Verdana"/>
        </w:rPr>
        <w:t xml:space="preserve">   </w:t>
      </w:r>
    </w:p>
    <w:p w14:paraId="3A428D97" w14:textId="77777777" w:rsidR="00302790" w:rsidRPr="00013659" w:rsidRDefault="00302790" w:rsidP="00AB4CEF">
      <w:pPr>
        <w:spacing w:after="0" w:line="240" w:lineRule="auto"/>
        <w:jc w:val="both"/>
        <w:rPr>
          <w:rFonts w:ascii="Verdana" w:hAnsi="Verdana"/>
        </w:rPr>
      </w:pPr>
      <w:hyperlink r:id="rId13" w:history="1">
        <w:r w:rsidRPr="00013659">
          <w:rPr>
            <w:rStyle w:val="Hipervnculo"/>
            <w:rFonts w:ascii="Verdana" w:hAnsi="Verdana"/>
          </w:rPr>
          <w:t>direccioncomercial@serlecomsas.com</w:t>
        </w:r>
      </w:hyperlink>
      <w:r w:rsidR="005B336B" w:rsidRPr="00013659">
        <w:rPr>
          <w:rFonts w:ascii="Verdana" w:hAnsi="Verdana"/>
        </w:rPr>
        <w:t xml:space="preserve">  </w:t>
      </w:r>
    </w:p>
    <w:p w14:paraId="102C1FBC" w14:textId="56C7AA9C" w:rsidR="005B336B" w:rsidRPr="00013659" w:rsidRDefault="00302790" w:rsidP="00AB4CEF">
      <w:pPr>
        <w:spacing w:after="0" w:line="240" w:lineRule="auto"/>
        <w:jc w:val="both"/>
        <w:rPr>
          <w:rFonts w:ascii="Verdana" w:hAnsi="Verdana"/>
        </w:rPr>
      </w:pPr>
      <w:hyperlink r:id="rId14" w:history="1">
        <w:r w:rsidRPr="00013659">
          <w:rPr>
            <w:rStyle w:val="Hipervnculo"/>
            <w:rFonts w:ascii="Verdana" w:hAnsi="Verdana"/>
          </w:rPr>
          <w:t>af.albarracin@serlecomsas.com</w:t>
        </w:r>
      </w:hyperlink>
    </w:p>
    <w:p w14:paraId="4C8714E0" w14:textId="3324E4A2" w:rsidR="005B336B" w:rsidRPr="00302790" w:rsidRDefault="005B336B" w:rsidP="00AB4CEF">
      <w:pPr>
        <w:spacing w:after="0" w:line="240" w:lineRule="auto"/>
        <w:jc w:val="both"/>
        <w:rPr>
          <w:rFonts w:ascii="Verdana" w:hAnsi="Verdana"/>
        </w:rPr>
      </w:pPr>
      <w:r w:rsidRPr="00013659">
        <w:rPr>
          <w:rFonts w:ascii="Verdana" w:hAnsi="Verdana"/>
        </w:rPr>
        <w:t>Bogotá</w:t>
      </w:r>
    </w:p>
    <w:p w14:paraId="55513042" w14:textId="00C4652F" w:rsidR="00AB4CEF" w:rsidRPr="00FD4928" w:rsidRDefault="00AB4CEF" w:rsidP="00AB4CEF">
      <w:pPr>
        <w:spacing w:after="0" w:line="240" w:lineRule="auto"/>
        <w:jc w:val="both"/>
        <w:rPr>
          <w:rFonts w:ascii="Verdana" w:eastAsia="Calibri" w:hAnsi="Verdana" w:cs="Arial"/>
          <w:b/>
          <w:lang w:val="it-IT" w:eastAsia="es-ES_tradnl"/>
        </w:rPr>
      </w:pPr>
    </w:p>
    <w:p w14:paraId="26B533E3" w14:textId="779E40C8" w:rsidR="00AB4CEF" w:rsidRPr="00FD4928" w:rsidRDefault="00AB4CEF" w:rsidP="00AB4CEF">
      <w:pPr>
        <w:spacing w:after="0" w:line="240" w:lineRule="auto"/>
        <w:jc w:val="both"/>
        <w:rPr>
          <w:rFonts w:ascii="Verdana" w:eastAsia="Calibri" w:hAnsi="Verdana" w:cs="Arial"/>
          <w:b/>
          <w:lang w:val="it-IT" w:eastAsia="es-ES_tradnl"/>
        </w:rPr>
      </w:pPr>
    </w:p>
    <w:tbl>
      <w:tblPr>
        <w:tblStyle w:val="Tablaconcuadrcula"/>
        <w:tblW w:w="8789" w:type="dxa"/>
        <w:tblCellMar>
          <w:left w:w="0" w:type="dxa"/>
          <w:right w:w="0" w:type="dxa"/>
        </w:tblCellMar>
        <w:tblLook w:val="04A0" w:firstRow="1" w:lastRow="0" w:firstColumn="1" w:lastColumn="0" w:noHBand="0" w:noVBand="1"/>
      </w:tblPr>
      <w:tblGrid>
        <w:gridCol w:w="2127"/>
        <w:gridCol w:w="6662"/>
      </w:tblGrid>
      <w:tr w:rsidR="00AB4CEF" w:rsidRPr="00073A28" w14:paraId="56C78DC3" w14:textId="77777777" w:rsidTr="00AB4CEF">
        <w:trPr>
          <w:trHeight w:val="190"/>
        </w:trPr>
        <w:tc>
          <w:tcPr>
            <w:tcW w:w="2127" w:type="dxa"/>
          </w:tcPr>
          <w:p w14:paraId="10946083" w14:textId="77777777" w:rsidR="00AB4CEF" w:rsidRPr="00FD4928" w:rsidRDefault="00AB4CEF" w:rsidP="009E0ECF">
            <w:pPr>
              <w:jc w:val="both"/>
              <w:rPr>
                <w:rFonts w:ascii="Verdana" w:eastAsia="Calibri" w:hAnsi="Verdana" w:cs="Arial"/>
                <w:b/>
                <w:lang w:val="it-IT" w:eastAsia="es-ES_tradnl"/>
              </w:rPr>
            </w:pPr>
          </w:p>
        </w:tc>
        <w:tc>
          <w:tcPr>
            <w:tcW w:w="6662" w:type="dxa"/>
          </w:tcPr>
          <w:p w14:paraId="27473B49" w14:textId="2B39D4F8" w:rsidR="00AB4CEF" w:rsidRPr="00013659" w:rsidRDefault="00AB4CEF" w:rsidP="009E0ECF">
            <w:pPr>
              <w:jc w:val="both"/>
              <w:rPr>
                <w:rFonts w:ascii="Verdana" w:eastAsia="Calibri" w:hAnsi="Verdana" w:cs="Arial"/>
                <w:b/>
                <w:bCs/>
                <w:lang w:eastAsia="es-ES"/>
              </w:rPr>
            </w:pPr>
            <w:r w:rsidRPr="00013659">
              <w:rPr>
                <w:rFonts w:ascii="Verdana" w:eastAsia="Calibri" w:hAnsi="Verdana" w:cs="Arial"/>
                <w:b/>
                <w:bCs/>
                <w:lang w:eastAsia="es-ES"/>
              </w:rPr>
              <w:t xml:space="preserve">Concepto C- </w:t>
            </w:r>
            <w:r w:rsidR="00122034" w:rsidRPr="00013659">
              <w:rPr>
                <w:rFonts w:ascii="Verdana" w:eastAsia="Calibri" w:hAnsi="Verdana" w:cs="Arial"/>
                <w:b/>
                <w:bCs/>
                <w:lang w:eastAsia="es-ES"/>
              </w:rPr>
              <w:t>601</w:t>
            </w:r>
            <w:r w:rsidRPr="00013659">
              <w:rPr>
                <w:rFonts w:ascii="Verdana" w:eastAsia="Calibri" w:hAnsi="Verdana" w:cs="Arial"/>
                <w:b/>
                <w:bCs/>
                <w:lang w:eastAsia="es-ES"/>
              </w:rPr>
              <w:t xml:space="preserve"> de 202</w:t>
            </w:r>
            <w:r w:rsidR="005B336B" w:rsidRPr="00013659">
              <w:rPr>
                <w:rFonts w:ascii="Verdana" w:eastAsia="Calibri" w:hAnsi="Verdana" w:cs="Arial"/>
                <w:b/>
                <w:bCs/>
                <w:lang w:eastAsia="es-ES"/>
              </w:rPr>
              <w:t>6</w:t>
            </w:r>
          </w:p>
          <w:p w14:paraId="6C6E1925" w14:textId="77777777" w:rsidR="00AB4CEF" w:rsidRPr="00013659" w:rsidRDefault="00AB4CEF" w:rsidP="009E0ECF">
            <w:pPr>
              <w:jc w:val="both"/>
              <w:rPr>
                <w:rFonts w:ascii="Verdana" w:eastAsia="Calibri" w:hAnsi="Verdana" w:cs="Arial"/>
                <w:b/>
                <w:bCs/>
                <w:lang w:eastAsia="es-ES"/>
              </w:rPr>
            </w:pPr>
          </w:p>
        </w:tc>
      </w:tr>
      <w:tr w:rsidR="00AB4CEF" w:rsidRPr="00013659" w14:paraId="2541D4B5" w14:textId="77777777" w:rsidTr="00AB4CEF">
        <w:trPr>
          <w:trHeight w:val="884"/>
        </w:trPr>
        <w:tc>
          <w:tcPr>
            <w:tcW w:w="2127" w:type="dxa"/>
          </w:tcPr>
          <w:p w14:paraId="40964C47" w14:textId="77777777" w:rsidR="00AB4CEF" w:rsidRPr="00073A28" w:rsidRDefault="00AB4CEF" w:rsidP="009E0ECF">
            <w:pPr>
              <w:jc w:val="both"/>
              <w:rPr>
                <w:rFonts w:ascii="Verdana" w:eastAsia="Calibri" w:hAnsi="Verdana" w:cs="Arial"/>
                <w:lang w:eastAsia="es-ES_tradnl"/>
              </w:rPr>
            </w:pPr>
            <w:r w:rsidRPr="00073A28">
              <w:rPr>
                <w:rFonts w:ascii="Verdana" w:eastAsia="Calibri" w:hAnsi="Verdana" w:cs="Arial"/>
                <w:b/>
                <w:lang w:eastAsia="es-ES_tradnl"/>
              </w:rPr>
              <w:t>Tema:</w:t>
            </w:r>
            <w:r w:rsidRPr="00073A28">
              <w:rPr>
                <w:rFonts w:ascii="Verdana" w:eastAsia="Calibri" w:hAnsi="Verdana" w:cs="Arial"/>
                <w:lang w:eastAsia="es-ES_tradnl"/>
              </w:rPr>
              <w:t xml:space="preserve">                   </w:t>
            </w:r>
          </w:p>
        </w:tc>
        <w:tc>
          <w:tcPr>
            <w:tcW w:w="6662" w:type="dxa"/>
          </w:tcPr>
          <w:p w14:paraId="60F922D9" w14:textId="19BFF1DC" w:rsidR="00AB4CEF" w:rsidRPr="00013659" w:rsidRDefault="00AB4CEF" w:rsidP="00FD4928">
            <w:pPr>
              <w:jc w:val="both"/>
              <w:rPr>
                <w:rFonts w:ascii="Verdana" w:eastAsia="Aptos" w:hAnsi="Verdana" w:cs="Times New Roman"/>
                <w:b/>
                <w:bCs/>
                <w:lang w:val="es-ES_tradnl"/>
              </w:rPr>
            </w:pPr>
            <w:r w:rsidRPr="00013659">
              <w:rPr>
                <w:rFonts w:ascii="Verdana" w:eastAsia="Calibri" w:hAnsi="Verdana" w:cs="Arial"/>
                <w:bCs/>
                <w:lang w:val="es-ES_tradnl"/>
              </w:rPr>
              <w:t>SOCIEDADES NUEVAS ‒ Experiencia ‒ Inferior a tres a</w:t>
            </w:r>
            <w:r w:rsidRPr="00013659">
              <w:rPr>
                <w:rFonts w:ascii="Verdana" w:eastAsia="Calibri" w:hAnsi="Verdana" w:cs="Century Gothic"/>
                <w:bCs/>
                <w:lang w:val="es-ES_tradnl"/>
              </w:rPr>
              <w:t>ñ</w:t>
            </w:r>
            <w:r w:rsidRPr="00013659">
              <w:rPr>
                <w:rFonts w:ascii="Verdana" w:eastAsia="Calibri" w:hAnsi="Verdana" w:cs="Arial"/>
                <w:bCs/>
                <w:lang w:val="es-ES_tradnl"/>
              </w:rPr>
              <w:t>os ‒ Requisitos habilitantes ‒ Desarrollo de la empresa / EXPERIENCIA ‒ Conservaci</w:t>
            </w:r>
            <w:r w:rsidRPr="00013659">
              <w:rPr>
                <w:rFonts w:ascii="Verdana" w:eastAsia="Calibri" w:hAnsi="Verdana" w:cs="Century Gothic"/>
                <w:bCs/>
                <w:lang w:val="es-ES_tradnl"/>
              </w:rPr>
              <w:t>ó</w:t>
            </w:r>
            <w:r w:rsidRPr="00013659">
              <w:rPr>
                <w:rFonts w:ascii="Verdana" w:eastAsia="Calibri" w:hAnsi="Verdana" w:cs="Arial"/>
                <w:bCs/>
                <w:lang w:val="es-ES_tradnl"/>
              </w:rPr>
              <w:t>n ‒ Renovaci</w:t>
            </w:r>
            <w:r w:rsidRPr="00013659">
              <w:rPr>
                <w:rFonts w:ascii="Verdana" w:eastAsia="Calibri" w:hAnsi="Verdana" w:cs="Century Gothic"/>
                <w:bCs/>
                <w:lang w:val="es-ES_tradnl"/>
              </w:rPr>
              <w:t>ó</w:t>
            </w:r>
            <w:r w:rsidRPr="00013659">
              <w:rPr>
                <w:rFonts w:ascii="Verdana" w:eastAsia="Calibri" w:hAnsi="Verdana" w:cs="Arial"/>
                <w:bCs/>
                <w:lang w:val="es-ES_tradnl"/>
              </w:rPr>
              <w:t>n RUP ‒ Cesaci</w:t>
            </w:r>
            <w:r w:rsidRPr="00013659">
              <w:rPr>
                <w:rFonts w:ascii="Verdana" w:eastAsia="Calibri" w:hAnsi="Verdana" w:cs="Century Gothic"/>
                <w:bCs/>
                <w:lang w:val="es-ES_tradnl"/>
              </w:rPr>
              <w:t>ó</w:t>
            </w:r>
            <w:r w:rsidRPr="00013659">
              <w:rPr>
                <w:rFonts w:ascii="Verdana" w:eastAsia="Calibri" w:hAnsi="Verdana" w:cs="Arial"/>
                <w:bCs/>
                <w:lang w:val="es-ES_tradnl"/>
              </w:rPr>
              <w:t>n efectos RUP</w:t>
            </w:r>
            <w:r w:rsidR="00741A4E" w:rsidRPr="00013659">
              <w:rPr>
                <w:rFonts w:ascii="Verdana" w:eastAsia="Calibri" w:hAnsi="Verdana" w:cs="Arial"/>
                <w:bCs/>
                <w:lang w:val="es-ES_tradnl"/>
              </w:rPr>
              <w:t>/</w:t>
            </w:r>
            <w:r w:rsidR="00013659" w:rsidRPr="00013659">
              <w:rPr>
                <w:rFonts w:ascii="Verdana" w:eastAsia="Calibri" w:hAnsi="Verdana" w:cs="Arial"/>
                <w:bCs/>
                <w:lang w:val="es-ES_tradnl"/>
              </w:rPr>
              <w:t xml:space="preserve"> SOCIEDADES NUEVAS – Experiencia – No exigencia RUP </w:t>
            </w:r>
          </w:p>
          <w:p w14:paraId="2709279F" w14:textId="77777777" w:rsidR="00AB4CEF" w:rsidRPr="00013659" w:rsidRDefault="00AB4CEF" w:rsidP="009E0ECF">
            <w:pPr>
              <w:jc w:val="both"/>
              <w:rPr>
                <w:rFonts w:ascii="Verdana" w:eastAsia="Calibri" w:hAnsi="Verdana" w:cs="Arial"/>
                <w:lang w:eastAsia="es-ES"/>
              </w:rPr>
            </w:pPr>
          </w:p>
        </w:tc>
      </w:tr>
      <w:tr w:rsidR="00AB4CEF" w:rsidRPr="00013659" w14:paraId="151C7C11" w14:textId="77777777" w:rsidTr="00AB4CEF">
        <w:tc>
          <w:tcPr>
            <w:tcW w:w="2127" w:type="dxa"/>
          </w:tcPr>
          <w:p w14:paraId="6989E457" w14:textId="77777777" w:rsidR="00AB4CEF" w:rsidRPr="00073A28" w:rsidRDefault="00AB4CEF" w:rsidP="009E0ECF">
            <w:pPr>
              <w:jc w:val="both"/>
              <w:rPr>
                <w:rFonts w:ascii="Verdana" w:eastAsia="Calibri" w:hAnsi="Verdana" w:cs="Arial"/>
                <w:b/>
                <w:lang w:eastAsia="es-ES_tradnl"/>
              </w:rPr>
            </w:pPr>
            <w:r w:rsidRPr="00073A28">
              <w:rPr>
                <w:rFonts w:ascii="Verdana" w:eastAsia="Calibri" w:hAnsi="Verdana" w:cs="Arial"/>
                <w:b/>
                <w:lang w:eastAsia="es-ES_tradnl"/>
              </w:rPr>
              <w:t>Radicación:</w:t>
            </w:r>
            <w:r w:rsidRPr="00073A28">
              <w:rPr>
                <w:rFonts w:ascii="Verdana" w:eastAsia="Calibri" w:hAnsi="Verdana" w:cs="Arial"/>
                <w:lang w:eastAsia="es-ES_tradnl"/>
              </w:rPr>
              <w:t xml:space="preserve">               </w:t>
            </w:r>
          </w:p>
        </w:tc>
        <w:tc>
          <w:tcPr>
            <w:tcW w:w="6662" w:type="dxa"/>
          </w:tcPr>
          <w:p w14:paraId="6A09CD79" w14:textId="2FBCC77C" w:rsidR="00AB4CEF" w:rsidRPr="00013659" w:rsidRDefault="00AB4CEF" w:rsidP="009E0ECF">
            <w:pPr>
              <w:jc w:val="both"/>
              <w:rPr>
                <w:rFonts w:ascii="Verdana" w:eastAsia="Calibri" w:hAnsi="Verdana" w:cs="Arial"/>
                <w:lang w:eastAsia="es-ES_tradnl"/>
              </w:rPr>
            </w:pPr>
            <w:r w:rsidRPr="00013659">
              <w:rPr>
                <w:rFonts w:ascii="Verdana" w:eastAsia="Calibri" w:hAnsi="Verdana" w:cs="Arial"/>
                <w:lang w:eastAsia="es-ES_tradnl"/>
              </w:rPr>
              <w:t xml:space="preserve">Respuesta a consulta con radicado </w:t>
            </w:r>
            <w:r w:rsidR="0066197B" w:rsidRPr="00013659">
              <w:rPr>
                <w:rFonts w:ascii="Verdana" w:eastAsia="Calibri" w:hAnsi="Verdana" w:cs="Arial"/>
                <w:lang w:eastAsia="es-ES_tradnl"/>
              </w:rPr>
              <w:t xml:space="preserve">No. </w:t>
            </w:r>
            <w:r w:rsidR="005B336B" w:rsidRPr="00013659">
              <w:rPr>
                <w:rFonts w:ascii="Verdana" w:eastAsia="Calibri" w:hAnsi="Verdana" w:cs="Arial"/>
                <w:lang w:eastAsia="es-ES_tradnl"/>
              </w:rPr>
              <w:t>1_2026_04_13_004950</w:t>
            </w:r>
          </w:p>
        </w:tc>
      </w:tr>
    </w:tbl>
    <w:p w14:paraId="00D05B3E" w14:textId="77777777" w:rsidR="00AB4CEF" w:rsidRPr="00073A28" w:rsidRDefault="00AB4CEF" w:rsidP="00FD4928">
      <w:pPr>
        <w:spacing w:after="0" w:line="276" w:lineRule="auto"/>
        <w:jc w:val="both"/>
        <w:rPr>
          <w:rFonts w:ascii="Verdana" w:eastAsia="Calibri" w:hAnsi="Verdana" w:cs="Arial"/>
          <w:lang w:eastAsia="es-ES_tradnl"/>
        </w:rPr>
      </w:pPr>
    </w:p>
    <w:p w14:paraId="5448FC70" w14:textId="77777777" w:rsidR="00AB4CEF" w:rsidRPr="00073A28" w:rsidRDefault="00AB4CEF" w:rsidP="00FD4928">
      <w:pPr>
        <w:spacing w:after="0" w:line="276" w:lineRule="auto"/>
        <w:jc w:val="both"/>
        <w:rPr>
          <w:rFonts w:ascii="Verdana" w:eastAsia="Calibri" w:hAnsi="Verdana" w:cs="Arial"/>
          <w:lang w:eastAsia="es-ES_tradnl"/>
        </w:rPr>
      </w:pPr>
    </w:p>
    <w:p w14:paraId="0F094742" w14:textId="77777777" w:rsidR="00AB4CEF" w:rsidRPr="00073A28" w:rsidRDefault="00AB4CEF" w:rsidP="00AB4CEF">
      <w:pPr>
        <w:spacing w:after="0" w:line="276" w:lineRule="auto"/>
        <w:jc w:val="both"/>
        <w:rPr>
          <w:rFonts w:ascii="Verdana" w:eastAsia="Calibri" w:hAnsi="Verdana" w:cs="Arial"/>
          <w:lang w:eastAsia="es-ES"/>
        </w:rPr>
      </w:pPr>
      <w:r w:rsidRPr="00073A28">
        <w:rPr>
          <w:rFonts w:ascii="Verdana" w:eastAsia="Calibri" w:hAnsi="Verdana" w:cs="Arial"/>
          <w:lang w:eastAsia="es-ES"/>
        </w:rPr>
        <w:t>Estimad</w:t>
      </w:r>
      <w:r>
        <w:rPr>
          <w:rFonts w:ascii="Verdana" w:eastAsia="Calibri" w:hAnsi="Verdana" w:cs="Arial"/>
          <w:lang w:eastAsia="es-ES"/>
        </w:rPr>
        <w:t>a</w:t>
      </w:r>
      <w:r w:rsidRPr="00073A28">
        <w:rPr>
          <w:rFonts w:ascii="Verdana" w:eastAsia="Calibri" w:hAnsi="Verdana" w:cs="Arial"/>
          <w:lang w:eastAsia="es-ES"/>
        </w:rPr>
        <w:t xml:space="preserve"> señor</w:t>
      </w:r>
      <w:r>
        <w:rPr>
          <w:rFonts w:ascii="Verdana" w:eastAsia="Calibri" w:hAnsi="Verdana" w:cs="Arial"/>
          <w:lang w:eastAsia="es-ES"/>
        </w:rPr>
        <w:t>a</w:t>
      </w:r>
      <w:r w:rsidRPr="00073A28">
        <w:rPr>
          <w:rFonts w:ascii="Verdana" w:eastAsia="Calibri" w:hAnsi="Verdana" w:cs="Arial"/>
          <w:lang w:eastAsia="es-ES"/>
        </w:rPr>
        <w:t xml:space="preserve"> </w:t>
      </w:r>
      <w:r>
        <w:rPr>
          <w:rFonts w:ascii="Verdana" w:eastAsia="Calibri" w:hAnsi="Verdana" w:cs="Arial"/>
          <w:lang w:eastAsia="es-ES"/>
        </w:rPr>
        <w:t>Gómez</w:t>
      </w:r>
      <w:r w:rsidRPr="00073A28">
        <w:rPr>
          <w:rFonts w:ascii="Verdana" w:eastAsia="Calibri" w:hAnsi="Verdana" w:cs="Arial"/>
          <w:lang w:eastAsia="es-ES"/>
        </w:rPr>
        <w:t xml:space="preserve">: </w:t>
      </w:r>
    </w:p>
    <w:p w14:paraId="71FF6380" w14:textId="77777777" w:rsidR="00AB4CEF" w:rsidRPr="00073A28" w:rsidRDefault="00AB4CEF" w:rsidP="00AB4CEF">
      <w:pPr>
        <w:tabs>
          <w:tab w:val="left" w:pos="3768"/>
        </w:tabs>
        <w:spacing w:after="0" w:line="276" w:lineRule="auto"/>
        <w:jc w:val="both"/>
        <w:rPr>
          <w:rFonts w:ascii="Verdana" w:eastAsia="Calibri" w:hAnsi="Verdana" w:cs="Arial"/>
          <w:lang w:eastAsia="es-ES"/>
        </w:rPr>
      </w:pPr>
    </w:p>
    <w:p w14:paraId="6D990C00" w14:textId="369054B6" w:rsidR="00AB4CEF" w:rsidRPr="00245F51" w:rsidRDefault="00AB4CEF" w:rsidP="00AB4CEF">
      <w:pPr>
        <w:spacing w:after="0" w:line="276" w:lineRule="auto"/>
        <w:jc w:val="both"/>
        <w:rPr>
          <w:rFonts w:ascii="Verdana" w:eastAsia="Calibri" w:hAnsi="Verdana" w:cs="Arial"/>
          <w:sz w:val="20"/>
          <w:szCs w:val="20"/>
          <w:lang w:eastAsia="es-ES"/>
        </w:rPr>
      </w:pPr>
      <w:r w:rsidRPr="00073A28">
        <w:rPr>
          <w:rFonts w:ascii="Verdana" w:eastAsia="Calibri" w:hAnsi="Verdana" w:cs="Arial"/>
          <w:lang w:eastAsia="es-ES"/>
        </w:rPr>
        <w:t>En ejercicio de la competencia otorgada por los artículos 3, numeral 5º, y 11, numeral 8º, del Decreto Ley 4170 de 2011,</w:t>
      </w:r>
      <w:r w:rsidRPr="00073A28">
        <w:rPr>
          <w:rFonts w:ascii="Verdana" w:eastAsia="Arial MT" w:hAnsi="Verdana" w:cs="Arial MT"/>
          <w:lang w:eastAsia="es-ES"/>
        </w:rPr>
        <w:t xml:space="preserve"> </w:t>
      </w:r>
      <w:r w:rsidRPr="00073A28">
        <w:rPr>
          <w:rFonts w:ascii="Verdana" w:hAnsi="Verdana" w:cs="Arial"/>
        </w:rPr>
        <w:t xml:space="preserve">así como lo establecido en el artículo 4 de la Resolución 1707 de 2018 expedida por esta Entidad, </w:t>
      </w:r>
      <w:r w:rsidRPr="00073A28">
        <w:rPr>
          <w:rFonts w:ascii="Verdana" w:eastAsia="Calibri" w:hAnsi="Verdana" w:cs="Arial"/>
          <w:lang w:eastAsia="es-ES"/>
        </w:rPr>
        <w:t xml:space="preserve">la Agencia Nacional de Contratación Pública – Colombia Compra Eficiente– responde su solicitud de consulta de fecha del </w:t>
      </w:r>
      <w:r w:rsidR="00B6616C">
        <w:rPr>
          <w:rFonts w:ascii="Verdana" w:eastAsia="Calibri" w:hAnsi="Verdana" w:cs="Arial"/>
          <w:lang w:eastAsia="es-ES"/>
        </w:rPr>
        <w:t>13</w:t>
      </w:r>
      <w:r w:rsidRPr="00073A28">
        <w:rPr>
          <w:rFonts w:ascii="Verdana" w:eastAsia="Calibri" w:hAnsi="Verdana" w:cs="Arial"/>
          <w:lang w:eastAsia="es-ES"/>
        </w:rPr>
        <w:t xml:space="preserve"> de </w:t>
      </w:r>
      <w:r w:rsidR="00B6616C">
        <w:rPr>
          <w:rFonts w:ascii="Verdana" w:eastAsia="Calibri" w:hAnsi="Verdana" w:cs="Arial"/>
          <w:lang w:eastAsia="es-ES"/>
        </w:rPr>
        <w:t>abril</w:t>
      </w:r>
      <w:r w:rsidRPr="00073A28">
        <w:rPr>
          <w:rFonts w:ascii="Verdana" w:eastAsia="Calibri" w:hAnsi="Verdana" w:cs="Arial"/>
          <w:lang w:eastAsia="es-ES"/>
        </w:rPr>
        <w:t xml:space="preserve"> de 202</w:t>
      </w:r>
      <w:r w:rsidR="00B6616C">
        <w:rPr>
          <w:rFonts w:ascii="Verdana" w:eastAsia="Calibri" w:hAnsi="Verdana" w:cs="Arial"/>
          <w:lang w:eastAsia="es-ES"/>
        </w:rPr>
        <w:t>6</w:t>
      </w:r>
      <w:r w:rsidRPr="00073A28">
        <w:rPr>
          <w:rFonts w:ascii="Verdana" w:eastAsia="Calibri" w:hAnsi="Verdana" w:cs="Arial"/>
          <w:lang w:eastAsia="es-ES"/>
        </w:rPr>
        <w:t xml:space="preserve">, en la cual manifiesta lo siguiente: </w:t>
      </w:r>
    </w:p>
    <w:p w14:paraId="236E486C" w14:textId="77777777" w:rsidR="00AB4CEF" w:rsidRPr="00245F51" w:rsidRDefault="00AB4CEF" w:rsidP="00AB4CEF">
      <w:pPr>
        <w:spacing w:after="0" w:line="276" w:lineRule="auto"/>
        <w:jc w:val="both"/>
        <w:rPr>
          <w:rFonts w:ascii="Verdana" w:eastAsia="Calibri" w:hAnsi="Verdana" w:cs="Arial"/>
          <w:sz w:val="20"/>
          <w:szCs w:val="20"/>
          <w:lang w:eastAsia="es-ES"/>
        </w:rPr>
      </w:pPr>
    </w:p>
    <w:p w14:paraId="571A0E6E" w14:textId="77777777" w:rsidR="005B336B" w:rsidRDefault="00AB4CEF" w:rsidP="005B336B">
      <w:pPr>
        <w:spacing w:after="0" w:line="240" w:lineRule="auto"/>
        <w:ind w:left="709" w:right="709"/>
        <w:jc w:val="both"/>
        <w:rPr>
          <w:rFonts w:ascii="Verdana" w:eastAsia="Calibri" w:hAnsi="Verdana" w:cs="Arial"/>
          <w:i/>
          <w:iCs/>
          <w:sz w:val="20"/>
          <w:szCs w:val="20"/>
          <w:lang w:eastAsia="es-ES"/>
        </w:rPr>
      </w:pPr>
      <w:r w:rsidRPr="005B336B">
        <w:rPr>
          <w:rFonts w:ascii="Verdana" w:eastAsia="Calibri" w:hAnsi="Verdana" w:cs="Arial"/>
          <w:i/>
          <w:iCs/>
          <w:sz w:val="20"/>
          <w:szCs w:val="20"/>
          <w:lang w:eastAsia="es-ES"/>
        </w:rPr>
        <w:t>“</w:t>
      </w:r>
      <w:r w:rsidR="005B336B" w:rsidRPr="005B336B">
        <w:rPr>
          <w:rFonts w:ascii="Verdana" w:eastAsia="Calibri" w:hAnsi="Verdana" w:cs="Arial"/>
          <w:i/>
          <w:iCs/>
          <w:sz w:val="20"/>
          <w:szCs w:val="20"/>
          <w:lang w:eastAsia="es-ES"/>
        </w:rPr>
        <w:t xml:space="preserve">¿Es jurídicamente procedente que una sociedad por acciones simplificada (S.A.S.) continúe acreditando la experiencia de uno de sus socios, cuando han transcurrido más de tres (3) años desde la constitución de la sociedad, teniendo en cuenta que dicha experiencia se encuentra inscrita en el Registro Único de Proponentes (RUP) y, por tanto, corresponde originalmente a </w:t>
      </w:r>
      <w:r w:rsidR="005B336B" w:rsidRPr="005B336B">
        <w:rPr>
          <w:i/>
          <w:iCs/>
          <w:lang w:eastAsia="es-ES"/>
        </w:rPr>
        <w:t>la trayectoria</w:t>
      </w:r>
      <w:r w:rsidR="005B336B" w:rsidRPr="005B336B">
        <w:rPr>
          <w:rFonts w:ascii="Verdana" w:eastAsia="Calibri" w:hAnsi="Verdana" w:cs="Arial"/>
          <w:i/>
          <w:iCs/>
          <w:sz w:val="20"/>
          <w:szCs w:val="20"/>
          <w:lang w:eastAsia="es-ES"/>
        </w:rPr>
        <w:t xml:space="preserve"> del socio y no de la persona jurídica?</w:t>
      </w:r>
    </w:p>
    <w:p w14:paraId="3E2A2E75" w14:textId="64102CD8" w:rsidR="00A9413D" w:rsidRDefault="005B336B" w:rsidP="00302790">
      <w:pPr>
        <w:spacing w:after="0" w:line="240" w:lineRule="auto"/>
        <w:ind w:left="709" w:right="709"/>
        <w:jc w:val="both"/>
        <w:rPr>
          <w:rFonts w:ascii="Verdana" w:eastAsia="Calibri" w:hAnsi="Verdana" w:cs="Arial"/>
          <w:i/>
          <w:iCs/>
          <w:sz w:val="20"/>
          <w:szCs w:val="20"/>
          <w:lang w:eastAsia="es-ES"/>
        </w:rPr>
      </w:pPr>
      <w:r w:rsidRPr="005B336B">
        <w:rPr>
          <w:rFonts w:ascii="Verdana" w:eastAsia="Calibri" w:hAnsi="Verdana" w:cs="Arial"/>
          <w:i/>
          <w:iCs/>
          <w:sz w:val="20"/>
          <w:szCs w:val="20"/>
          <w:lang w:eastAsia="es-ES"/>
        </w:rPr>
        <w:t xml:space="preserve">Así mismo, solicitamos se indique si dicha posibilidad resulta aplicable en procesos de selección tales </w:t>
      </w:r>
      <w:r w:rsidRPr="00B6616C">
        <w:rPr>
          <w:rFonts w:ascii="Verdana" w:eastAsia="Calibri" w:hAnsi="Verdana" w:cs="Arial"/>
          <w:i/>
          <w:iCs/>
          <w:sz w:val="20"/>
          <w:szCs w:val="20"/>
          <w:lang w:eastAsia="es-ES"/>
        </w:rPr>
        <w:t>como subasta inversa y mínima cuantía,</w:t>
      </w:r>
      <w:r w:rsidRPr="005B336B">
        <w:rPr>
          <w:rFonts w:ascii="Verdana" w:eastAsia="Calibri" w:hAnsi="Verdana" w:cs="Arial"/>
          <w:i/>
          <w:iCs/>
          <w:sz w:val="20"/>
          <w:szCs w:val="20"/>
          <w:lang w:eastAsia="es-ES"/>
        </w:rPr>
        <w:t xml:space="preserve"> o si </w:t>
      </w:r>
      <w:r w:rsidRPr="005B336B">
        <w:rPr>
          <w:rFonts w:ascii="Verdana" w:eastAsia="Calibri" w:hAnsi="Verdana" w:cs="Arial"/>
          <w:i/>
          <w:iCs/>
          <w:sz w:val="20"/>
          <w:szCs w:val="20"/>
          <w:lang w:eastAsia="es-ES"/>
        </w:rPr>
        <w:lastRenderedPageBreak/>
        <w:t xml:space="preserve">existe alguna restricción normativa </w:t>
      </w:r>
      <w:r w:rsidRPr="005B336B">
        <w:rPr>
          <w:i/>
          <w:iCs/>
          <w:lang w:eastAsia="es-ES"/>
        </w:rPr>
        <w:t>o</w:t>
      </w:r>
      <w:r>
        <w:rPr>
          <w:i/>
          <w:iCs/>
          <w:lang w:eastAsia="es-ES"/>
        </w:rPr>
        <w:t xml:space="preserve"> </w:t>
      </w:r>
      <w:r w:rsidRPr="005B336B">
        <w:rPr>
          <w:i/>
          <w:iCs/>
          <w:lang w:eastAsia="es-ES"/>
        </w:rPr>
        <w:t>interpretativa</w:t>
      </w:r>
      <w:r w:rsidRPr="005B336B">
        <w:rPr>
          <w:rFonts w:ascii="Verdana" w:eastAsia="Calibri" w:hAnsi="Verdana" w:cs="Arial"/>
          <w:i/>
          <w:iCs/>
          <w:sz w:val="20"/>
          <w:szCs w:val="20"/>
          <w:lang w:eastAsia="es-ES"/>
        </w:rPr>
        <w:t xml:space="preserve"> vigente que limite dicha acreditación en estos procedimientos.</w:t>
      </w:r>
      <w:r w:rsidR="00AB4CEF" w:rsidRPr="005B336B">
        <w:rPr>
          <w:rFonts w:ascii="Verdana" w:eastAsia="Calibri" w:hAnsi="Verdana" w:cs="Arial"/>
          <w:i/>
          <w:iCs/>
          <w:sz w:val="20"/>
          <w:szCs w:val="20"/>
          <w:lang w:eastAsia="es-ES"/>
        </w:rPr>
        <w:t>”.</w:t>
      </w:r>
      <w:r w:rsidR="00A9413D">
        <w:rPr>
          <w:rFonts w:ascii="Verdana" w:eastAsia="Calibri" w:hAnsi="Verdana" w:cs="Arial"/>
          <w:i/>
          <w:iCs/>
          <w:sz w:val="20"/>
          <w:szCs w:val="20"/>
          <w:lang w:eastAsia="es-ES"/>
        </w:rPr>
        <w:t xml:space="preserve"> </w:t>
      </w:r>
    </w:p>
    <w:p w14:paraId="59AE205B" w14:textId="77777777" w:rsidR="00A9413D" w:rsidRPr="005B336B" w:rsidRDefault="00A9413D" w:rsidP="00302790">
      <w:pPr>
        <w:spacing w:after="0" w:line="240" w:lineRule="auto"/>
        <w:ind w:right="709"/>
        <w:jc w:val="both"/>
        <w:rPr>
          <w:rFonts w:ascii="Verdana" w:eastAsia="Calibri" w:hAnsi="Verdana" w:cs="Arial"/>
          <w:i/>
          <w:iCs/>
          <w:sz w:val="20"/>
          <w:szCs w:val="20"/>
          <w:lang w:eastAsia="es-ES"/>
        </w:rPr>
      </w:pPr>
    </w:p>
    <w:p w14:paraId="2274B7F1" w14:textId="77777777" w:rsidR="00AB4CEF" w:rsidRPr="00073A28" w:rsidRDefault="00AB4CEF" w:rsidP="000452D5">
      <w:pPr>
        <w:spacing w:after="120" w:line="276" w:lineRule="auto"/>
        <w:ind w:firstLine="709"/>
        <w:jc w:val="both"/>
        <w:rPr>
          <w:rFonts w:ascii="Verdana" w:eastAsia="Calibri" w:hAnsi="Verdana" w:cs="Arial"/>
          <w:lang w:eastAsia="es-ES_tradnl"/>
        </w:rPr>
      </w:pPr>
      <w:r w:rsidRPr="00073A28">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73A28">
        <w:rPr>
          <w:rFonts w:ascii="Verdana" w:eastAsia="Calibri" w:hAnsi="Verdana" w:cs="Arial"/>
          <w:lang w:eastAsia="es-ES_tradnl"/>
        </w:rPr>
        <w:tab/>
      </w:r>
    </w:p>
    <w:p w14:paraId="72C15936" w14:textId="77777777" w:rsidR="00AB4CEF" w:rsidRPr="00073A28" w:rsidRDefault="00AB4CEF" w:rsidP="000452D5">
      <w:pPr>
        <w:spacing w:after="0" w:line="276" w:lineRule="auto"/>
        <w:ind w:firstLine="709"/>
        <w:jc w:val="both"/>
        <w:rPr>
          <w:rFonts w:ascii="Verdana" w:eastAsia="Calibri" w:hAnsi="Verdana" w:cs="Arial"/>
          <w:lang w:eastAsia="es-ES"/>
        </w:rPr>
      </w:pPr>
      <w:r w:rsidRPr="00073A28">
        <w:rPr>
          <w:rFonts w:ascii="Verdana" w:eastAsia="Calibri" w:hAnsi="Verdana" w:cs="Arial"/>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E886373" w14:textId="77777777" w:rsidR="00AB4CEF" w:rsidRPr="00073A28" w:rsidRDefault="00AB4CEF" w:rsidP="000452D5">
      <w:pPr>
        <w:spacing w:after="0" w:line="276" w:lineRule="auto"/>
        <w:ind w:firstLine="709"/>
        <w:jc w:val="both"/>
        <w:rPr>
          <w:rFonts w:ascii="Verdana" w:eastAsia="Calibri" w:hAnsi="Verdana" w:cs="Arial"/>
          <w:lang w:eastAsia="es-ES"/>
        </w:rPr>
      </w:pPr>
    </w:p>
    <w:p w14:paraId="515C3647" w14:textId="77777777" w:rsidR="00AB4CEF" w:rsidRPr="00073A28" w:rsidRDefault="00AB4CEF" w:rsidP="000452D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073A28">
        <w:rPr>
          <w:rFonts w:ascii="Verdana" w:eastAsia="Century Gothic" w:hAnsi="Verdana" w:cs="Century Gothic"/>
          <w:b/>
          <w:bCs/>
          <w:lang w:val="es-CO"/>
        </w:rPr>
        <w:t>Problema planteado:</w:t>
      </w:r>
    </w:p>
    <w:p w14:paraId="599B133D" w14:textId="77777777" w:rsidR="00AB4CEF" w:rsidRPr="00073A28" w:rsidRDefault="00AB4CEF" w:rsidP="000452D5">
      <w:pPr>
        <w:tabs>
          <w:tab w:val="left" w:pos="426"/>
        </w:tabs>
        <w:spacing w:after="0" w:line="276" w:lineRule="auto"/>
        <w:jc w:val="both"/>
        <w:rPr>
          <w:rFonts w:ascii="Verdana" w:eastAsia="Century Gothic" w:hAnsi="Verdana" w:cs="Century Gothic"/>
        </w:rPr>
      </w:pPr>
    </w:p>
    <w:p w14:paraId="5901EA63" w14:textId="174B21FD" w:rsidR="005B336B" w:rsidRPr="005B336B" w:rsidRDefault="00AB4CEF" w:rsidP="000452D5">
      <w:pPr>
        <w:spacing w:after="0" w:line="276" w:lineRule="auto"/>
        <w:jc w:val="both"/>
        <w:rPr>
          <w:rFonts w:ascii="Verdana" w:eastAsia="Calibri" w:hAnsi="Verdana" w:cs="Arial"/>
          <w:lang w:eastAsia="es-ES"/>
        </w:rPr>
      </w:pPr>
      <w:r w:rsidRPr="00073A28">
        <w:rPr>
          <w:rFonts w:ascii="Verdana" w:eastAsia="Century Gothic" w:hAnsi="Verdana" w:cs="Century Gothic"/>
        </w:rPr>
        <w:t xml:space="preserve">De acuerdo </w:t>
      </w:r>
      <w:r w:rsidRPr="005B336B">
        <w:rPr>
          <w:rFonts w:ascii="Verdana" w:eastAsia="Century Gothic" w:hAnsi="Verdana" w:cs="Century Gothic"/>
        </w:rPr>
        <w:t xml:space="preserve">con el contenido de su solicitud, esta Agencia resolverá </w:t>
      </w:r>
      <w:r w:rsidR="005B336B">
        <w:rPr>
          <w:rFonts w:ascii="Verdana" w:eastAsia="Century Gothic" w:hAnsi="Verdana" w:cs="Century Gothic"/>
        </w:rPr>
        <w:t>los</w:t>
      </w:r>
      <w:r w:rsidRPr="005B336B">
        <w:rPr>
          <w:rFonts w:ascii="Verdana" w:eastAsia="Century Gothic" w:hAnsi="Verdana" w:cs="Century Gothic"/>
        </w:rPr>
        <w:t xml:space="preserve"> siguiente</w:t>
      </w:r>
      <w:r w:rsidR="005B336B">
        <w:rPr>
          <w:rFonts w:ascii="Verdana" w:eastAsia="Century Gothic" w:hAnsi="Verdana" w:cs="Century Gothic"/>
        </w:rPr>
        <w:t>s</w:t>
      </w:r>
      <w:r w:rsidRPr="005B336B">
        <w:rPr>
          <w:rFonts w:ascii="Verdana" w:eastAsia="Century Gothic" w:hAnsi="Verdana" w:cs="Century Gothic"/>
        </w:rPr>
        <w:t xml:space="preserve"> problema</w:t>
      </w:r>
      <w:r w:rsidR="005B336B">
        <w:rPr>
          <w:rFonts w:ascii="Verdana" w:eastAsia="Century Gothic" w:hAnsi="Verdana" w:cs="Century Gothic"/>
        </w:rPr>
        <w:t>s</w:t>
      </w:r>
      <w:r w:rsidRPr="005B336B">
        <w:rPr>
          <w:rFonts w:ascii="Verdana" w:eastAsia="Century Gothic" w:hAnsi="Verdana" w:cs="Century Gothic"/>
        </w:rPr>
        <w:t xml:space="preserve"> jurídico</w:t>
      </w:r>
      <w:r w:rsidR="005B336B">
        <w:rPr>
          <w:rFonts w:ascii="Verdana" w:eastAsia="Century Gothic" w:hAnsi="Verdana" w:cs="Century Gothic"/>
        </w:rPr>
        <w:t>s</w:t>
      </w:r>
      <w:r w:rsidRPr="005B336B">
        <w:rPr>
          <w:rFonts w:ascii="Verdana" w:eastAsia="Century Gothic" w:hAnsi="Verdana" w:cs="Century Gothic"/>
        </w:rPr>
        <w:t>:</w:t>
      </w:r>
      <w:r w:rsidR="005B336B" w:rsidRPr="005B336B">
        <w:rPr>
          <w:rFonts w:ascii="Verdana" w:eastAsia="Century Gothic" w:hAnsi="Verdana" w:cs="Century Gothic"/>
        </w:rPr>
        <w:t xml:space="preserve"> i. </w:t>
      </w:r>
      <w:r w:rsidR="005B336B" w:rsidRPr="005B336B">
        <w:rPr>
          <w:rFonts w:ascii="Verdana" w:eastAsia="Calibri" w:hAnsi="Verdana" w:cs="Arial"/>
          <w:lang w:eastAsia="es-ES"/>
        </w:rPr>
        <w:t xml:space="preserve">¿Es jurídicamente procedente que una sociedad por acciones simplificada (S.A.S.) continúe acreditando la experiencia de uno de sus socios, cuando han transcurrido más de tres (3) años desde la constitución de la sociedad, teniendo en cuenta que dicha experiencia se </w:t>
      </w:r>
      <w:r w:rsidR="005B336B" w:rsidRPr="00302790">
        <w:rPr>
          <w:rFonts w:ascii="Verdana" w:eastAsia="Calibri" w:hAnsi="Verdana" w:cs="Arial"/>
          <w:lang w:eastAsia="es-ES"/>
        </w:rPr>
        <w:t xml:space="preserve">encuentra inscrita en el Registro Único de Proponentes (RUP) y, por tanto, corresponde originalmente a </w:t>
      </w:r>
      <w:r w:rsidR="005B336B" w:rsidRPr="00302790">
        <w:rPr>
          <w:rFonts w:ascii="Verdana" w:hAnsi="Verdana"/>
          <w:lang w:eastAsia="es-ES"/>
        </w:rPr>
        <w:t>la trayectoria</w:t>
      </w:r>
      <w:r w:rsidR="005B336B" w:rsidRPr="00302790">
        <w:rPr>
          <w:rFonts w:ascii="Verdana" w:eastAsia="Calibri" w:hAnsi="Verdana" w:cs="Arial"/>
          <w:lang w:eastAsia="es-ES"/>
        </w:rPr>
        <w:t xml:space="preserve"> del socio y no de la persona jurídica? </w:t>
      </w:r>
      <w:proofErr w:type="spellStart"/>
      <w:r w:rsidR="005B336B" w:rsidRPr="00302790">
        <w:rPr>
          <w:rFonts w:ascii="Verdana" w:eastAsia="Calibri" w:hAnsi="Verdana" w:cs="Arial"/>
          <w:lang w:eastAsia="es-ES"/>
        </w:rPr>
        <w:t>ii</w:t>
      </w:r>
      <w:proofErr w:type="spellEnd"/>
      <w:r w:rsidR="005B336B" w:rsidRPr="00302790">
        <w:rPr>
          <w:rFonts w:ascii="Verdana" w:eastAsia="Calibri" w:hAnsi="Verdana" w:cs="Arial"/>
          <w:lang w:eastAsia="es-ES"/>
        </w:rPr>
        <w:t xml:space="preserve">. ¿Dicha </w:t>
      </w:r>
      <w:r w:rsidR="00614529" w:rsidRPr="00302790">
        <w:rPr>
          <w:rFonts w:ascii="Verdana" w:eastAsia="Calibri" w:hAnsi="Verdana" w:cs="Arial"/>
          <w:lang w:eastAsia="es-ES"/>
        </w:rPr>
        <w:t>prerrogativa</w:t>
      </w:r>
      <w:r w:rsidR="005B336B" w:rsidRPr="00302790">
        <w:rPr>
          <w:rFonts w:ascii="Verdana" w:eastAsia="Calibri" w:hAnsi="Verdana" w:cs="Arial"/>
          <w:lang w:eastAsia="es-ES"/>
        </w:rPr>
        <w:t xml:space="preserve"> resulta aplicable en procesos de selección tales como subasta inversa y mínima cuantía, o si existe alguna restricción normativa </w:t>
      </w:r>
      <w:r w:rsidR="005B336B" w:rsidRPr="00302790">
        <w:rPr>
          <w:rFonts w:ascii="Verdana" w:hAnsi="Verdana"/>
          <w:lang w:eastAsia="es-ES"/>
        </w:rPr>
        <w:t>o interpretativa</w:t>
      </w:r>
      <w:r w:rsidR="005B336B" w:rsidRPr="00302790">
        <w:rPr>
          <w:rFonts w:ascii="Verdana" w:eastAsia="Calibri" w:hAnsi="Verdana" w:cs="Arial"/>
          <w:lang w:eastAsia="es-ES"/>
        </w:rPr>
        <w:t xml:space="preserve"> vigente que limite dicha acreditación en estos procedimientos?</w:t>
      </w:r>
    </w:p>
    <w:p w14:paraId="301FA1A1" w14:textId="77777777" w:rsidR="00537A1F" w:rsidRPr="00073A28" w:rsidRDefault="00537A1F" w:rsidP="000452D5">
      <w:pPr>
        <w:spacing w:after="0" w:line="276" w:lineRule="auto"/>
        <w:jc w:val="both"/>
        <w:rPr>
          <w:rFonts w:ascii="Verdana" w:eastAsia="Century Gothic" w:hAnsi="Verdana" w:cs="Century Gothic"/>
        </w:rPr>
      </w:pPr>
    </w:p>
    <w:p w14:paraId="779E3C75" w14:textId="77777777" w:rsidR="00AB4CEF" w:rsidRPr="00073A28" w:rsidRDefault="00AB4CEF" w:rsidP="000452D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073A28">
        <w:rPr>
          <w:rFonts w:ascii="Verdana" w:eastAsia="Century Gothic" w:hAnsi="Verdana" w:cs="Century Gothic"/>
          <w:b/>
          <w:bCs/>
          <w:lang w:val="es-CO"/>
        </w:rPr>
        <w:t>Respuesta:</w:t>
      </w:r>
    </w:p>
    <w:p w14:paraId="0C8249C5" w14:textId="77777777" w:rsidR="00AB4CEF" w:rsidRPr="00073A28" w:rsidRDefault="00AB4CEF" w:rsidP="000452D5">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B4CEF" w:rsidRPr="00073A28" w14:paraId="6C8DFB99" w14:textId="77777777" w:rsidTr="009E0ECF">
        <w:tc>
          <w:tcPr>
            <w:tcW w:w="8828" w:type="dxa"/>
          </w:tcPr>
          <w:p w14:paraId="7D54C861" w14:textId="29C9453D" w:rsidR="00AB4CEF" w:rsidRPr="00302790" w:rsidRDefault="00614529" w:rsidP="000452D5">
            <w:pPr>
              <w:snapToGrid w:val="0"/>
              <w:spacing w:after="120" w:line="276" w:lineRule="auto"/>
              <w:jc w:val="both"/>
              <w:rPr>
                <w:rFonts w:ascii="Verdana" w:eastAsia="Calibri" w:hAnsi="Verdana" w:cs="Arial"/>
                <w:lang w:val="es-ES_tradnl"/>
              </w:rPr>
            </w:pPr>
            <w:r w:rsidRPr="00302790">
              <w:rPr>
                <w:rFonts w:ascii="Verdana" w:eastAsia="Calibri" w:hAnsi="Verdana" w:cs="Arial"/>
                <w:b/>
                <w:bCs/>
                <w:lang w:val="es-ES_tradnl"/>
              </w:rPr>
              <w:t>i.</w:t>
            </w:r>
            <w:r w:rsidRPr="00302790">
              <w:rPr>
                <w:rFonts w:ascii="Verdana" w:eastAsia="Calibri" w:hAnsi="Verdana" w:cs="Arial"/>
                <w:lang w:val="es-ES_tradnl"/>
              </w:rPr>
              <w:t xml:space="preserve"> </w:t>
            </w:r>
            <w:r w:rsidR="00AB4CEF" w:rsidRPr="00302790">
              <w:rPr>
                <w:rFonts w:ascii="Verdana" w:eastAsia="Calibri" w:hAnsi="Verdana" w:cs="Arial"/>
                <w:lang w:val="es-ES_tradnl"/>
              </w:rPr>
              <w:t xml:space="preserve">El numeral 2.5 del artículo 2.2.1.1.1.5.2 del Decreto 1082 de 2015 indica de forma clara que una sociedad con menos de tres (3) años de constituida puede aportar la experiencia de sus accionistas, socios o constituyentes. Esta prerrogativa, que puede entenderse como una medida de fomento a la participación de pequeños oferentes en la contratación estatal, permite que las sociedades relativamente nuevas ─con menos de </w:t>
            </w:r>
            <w:r w:rsidR="00D147DC" w:rsidRPr="00302790">
              <w:rPr>
                <w:rFonts w:ascii="Verdana" w:eastAsia="Calibri" w:hAnsi="Verdana" w:cs="Arial"/>
                <w:lang w:val="es-ES_tradnl"/>
              </w:rPr>
              <w:t>tres (</w:t>
            </w:r>
            <w:r w:rsidR="00AB4CEF" w:rsidRPr="00302790">
              <w:rPr>
                <w:rFonts w:ascii="Verdana" w:eastAsia="Calibri" w:hAnsi="Verdana" w:cs="Arial"/>
                <w:lang w:val="es-ES_tradnl"/>
              </w:rPr>
              <w:t>3</w:t>
            </w:r>
            <w:r w:rsidR="00D147DC" w:rsidRPr="00302790">
              <w:rPr>
                <w:rFonts w:ascii="Verdana" w:eastAsia="Calibri" w:hAnsi="Verdana" w:cs="Arial"/>
                <w:lang w:val="es-ES_tradnl"/>
              </w:rPr>
              <w:t>)</w:t>
            </w:r>
            <w:r w:rsidR="00AB4CEF" w:rsidRPr="00302790">
              <w:rPr>
                <w:rFonts w:ascii="Verdana" w:eastAsia="Calibri" w:hAnsi="Verdana" w:cs="Arial"/>
                <w:lang w:val="es-ES_tradnl"/>
              </w:rPr>
              <w:t xml:space="preserve"> años de constitución─ puedan acreditar como experiencia en el RUP la de sus accionistas, socios o constituyentes. </w:t>
            </w:r>
          </w:p>
          <w:p w14:paraId="38982BD2" w14:textId="6DCEDA2B" w:rsidR="00AB4CEF" w:rsidRPr="00302790" w:rsidRDefault="00AB4CEF" w:rsidP="000452D5">
            <w:pPr>
              <w:snapToGrid w:val="0"/>
              <w:spacing w:afterLines="120" w:after="288" w:line="276" w:lineRule="auto"/>
              <w:ind w:firstLine="709"/>
              <w:jc w:val="both"/>
              <w:rPr>
                <w:rFonts w:ascii="Verdana" w:eastAsia="Calibri" w:hAnsi="Verdana" w:cs="Arial"/>
                <w:lang w:val="es-ES"/>
              </w:rPr>
            </w:pPr>
            <w:r w:rsidRPr="00302790">
              <w:rPr>
                <w:rFonts w:ascii="Verdana" w:eastAsia="Calibri" w:hAnsi="Verdana" w:cs="Arial"/>
                <w:lang w:val="es-ES"/>
              </w:rPr>
              <w:t xml:space="preserve">De conformidad con lo expuesto, esta Agencia considera que, si la persona jurídica con menos de tres </w:t>
            </w:r>
            <w:r w:rsidR="001A2DAF" w:rsidRPr="00302790">
              <w:rPr>
                <w:rFonts w:ascii="Verdana" w:eastAsia="Calibri" w:hAnsi="Verdana" w:cs="Arial"/>
                <w:lang w:val="es-ES"/>
              </w:rPr>
              <w:t>(3)</w:t>
            </w:r>
            <w:r w:rsidRPr="00302790">
              <w:rPr>
                <w:rFonts w:ascii="Verdana" w:eastAsia="Calibri" w:hAnsi="Verdana" w:cs="Arial"/>
                <w:lang w:val="es-ES"/>
              </w:rPr>
              <w:t xml:space="preserve"> años de constituida registra la experiencia de sus socios en el RUP, y este es renovado constantemente de forma oportuna, una vez transcurridos estos tres </w:t>
            </w:r>
            <w:r w:rsidR="00D66B71" w:rsidRPr="00302790">
              <w:rPr>
                <w:rFonts w:ascii="Verdana" w:eastAsia="Calibri" w:hAnsi="Verdana" w:cs="Arial"/>
                <w:lang w:val="es-ES"/>
              </w:rPr>
              <w:t>(3)</w:t>
            </w:r>
            <w:r w:rsidRPr="00302790">
              <w:rPr>
                <w:rFonts w:ascii="Verdana" w:eastAsia="Calibri" w:hAnsi="Verdana" w:cs="Arial"/>
                <w:lang w:val="es-ES"/>
              </w:rPr>
              <w:t xml:space="preserve"> años, el proponente podrá seguir acreditando la experiencia inscrita de los socios mientras no cesen los efectos del RUP. Por el contrario, si no se renueva oportunamente y la persona jurídica supera los tres </w:t>
            </w:r>
            <w:r w:rsidR="00D66B71" w:rsidRPr="00302790">
              <w:rPr>
                <w:rFonts w:ascii="Verdana" w:eastAsia="Calibri" w:hAnsi="Verdana" w:cs="Arial"/>
                <w:lang w:val="es-ES"/>
              </w:rPr>
              <w:t xml:space="preserve">(3) </w:t>
            </w:r>
            <w:r w:rsidRPr="00302790">
              <w:rPr>
                <w:rFonts w:ascii="Verdana" w:eastAsia="Calibri" w:hAnsi="Verdana" w:cs="Arial"/>
                <w:lang w:val="es-ES"/>
              </w:rPr>
              <w:t>años de constituida, la experiencia que registró de sus socios no puede ser inscrita nuevamente, puesto que el RUP habría cesado en sus efectos y la cámara de comercio tendría que hacer nuevamente la verificación documental de la información presentada al momento de inscribirse en el registro.</w:t>
            </w:r>
          </w:p>
          <w:p w14:paraId="61CD3BC4" w14:textId="77777777" w:rsidR="00A21311" w:rsidRPr="00302790" w:rsidRDefault="00A21311" w:rsidP="000452D5">
            <w:pPr>
              <w:snapToGrid w:val="0"/>
              <w:spacing w:line="276" w:lineRule="auto"/>
              <w:ind w:firstLine="709"/>
              <w:jc w:val="both"/>
              <w:rPr>
                <w:rFonts w:ascii="Verdana" w:eastAsia="Calibri" w:hAnsi="Verdana" w:cs="Arial"/>
              </w:rPr>
            </w:pPr>
          </w:p>
          <w:p w14:paraId="25D098CE" w14:textId="03BA4A26" w:rsidR="00164EBD" w:rsidRPr="00302790" w:rsidRDefault="00614529" w:rsidP="000452D5">
            <w:pPr>
              <w:spacing w:line="276" w:lineRule="auto"/>
              <w:jc w:val="both"/>
              <w:rPr>
                <w:rFonts w:ascii="Verdana" w:eastAsia="Calibri" w:hAnsi="Verdana" w:cs="Arial"/>
                <w:lang w:eastAsia="es-ES"/>
              </w:rPr>
            </w:pPr>
            <w:proofErr w:type="spellStart"/>
            <w:r w:rsidRPr="00302790">
              <w:rPr>
                <w:rFonts w:ascii="Verdana" w:eastAsia="Calibri" w:hAnsi="Verdana" w:cs="Arial"/>
                <w:b/>
                <w:bCs/>
                <w:lang w:eastAsia="es-ES"/>
              </w:rPr>
              <w:t>ii</w:t>
            </w:r>
            <w:proofErr w:type="spellEnd"/>
            <w:r w:rsidRPr="00302790">
              <w:rPr>
                <w:rFonts w:ascii="Verdana" w:eastAsia="Calibri" w:hAnsi="Verdana" w:cs="Arial"/>
                <w:b/>
                <w:bCs/>
                <w:lang w:eastAsia="es-ES"/>
              </w:rPr>
              <w:t>.</w:t>
            </w:r>
            <w:r w:rsidRPr="00302790">
              <w:rPr>
                <w:rFonts w:ascii="Verdana" w:eastAsia="Calibri" w:hAnsi="Verdana" w:cs="Arial"/>
                <w:lang w:eastAsia="es-ES"/>
              </w:rPr>
              <w:t xml:space="preserve"> </w:t>
            </w:r>
            <w:r w:rsidR="00164EBD" w:rsidRPr="00302790">
              <w:rPr>
                <w:rFonts w:ascii="Verdana" w:eastAsia="Calibri" w:hAnsi="Verdana" w:cs="Arial"/>
                <w:lang w:eastAsia="es-ES"/>
              </w:rPr>
              <w:t>De conformidad con el artículo 6 de la Ley 1150 de 2007, se establece que “todas las personas naturales o jurídicas, nacionales o extranjeras, domiciliadas o con sucursal en Colombia, que aspiren celebrar contratos con las entidades estatales, deberán estar inscritas en el Registro Único de Proponentes (RUP)”. En dicho registro constará la información relacionada con la experiencia, capacidad jurídica, financiera y de organización del proponente y su clasificación.</w:t>
            </w:r>
          </w:p>
          <w:p w14:paraId="0C80DAC1" w14:textId="77777777" w:rsidR="00164EBD" w:rsidRPr="00302790" w:rsidRDefault="00164EBD" w:rsidP="000452D5">
            <w:pPr>
              <w:spacing w:line="276" w:lineRule="auto"/>
              <w:jc w:val="both"/>
              <w:rPr>
                <w:rFonts w:ascii="Verdana" w:eastAsia="Calibri" w:hAnsi="Verdana" w:cs="Arial"/>
                <w:lang w:eastAsia="es-ES"/>
              </w:rPr>
            </w:pPr>
          </w:p>
          <w:p w14:paraId="08BFBF0F" w14:textId="3EAC4D05" w:rsidR="00164EBD" w:rsidRPr="00302790" w:rsidRDefault="00164EBD" w:rsidP="000452D5">
            <w:pPr>
              <w:spacing w:line="276" w:lineRule="auto"/>
              <w:jc w:val="both"/>
              <w:rPr>
                <w:rFonts w:ascii="Verdana" w:eastAsia="Calibri" w:hAnsi="Verdana" w:cs="Arial"/>
                <w:lang w:eastAsia="es-ES"/>
              </w:rPr>
            </w:pPr>
            <w:r w:rsidRPr="00302790">
              <w:rPr>
                <w:rFonts w:ascii="Verdana" w:eastAsia="Calibri" w:hAnsi="Verdana" w:cs="Arial"/>
                <w:lang w:eastAsia="es-ES"/>
              </w:rPr>
              <w:t>Sin embargo, la misma norma en su segundo inciso establece excepciones a la exigencia del RUP,</w:t>
            </w:r>
            <w:r w:rsidR="00CE6A36" w:rsidRPr="00302790">
              <w:rPr>
                <w:rFonts w:ascii="Verdana" w:eastAsia="Calibri" w:hAnsi="Verdana" w:cs="Arial"/>
                <w:lang w:eastAsia="es-ES"/>
              </w:rPr>
              <w:t xml:space="preserve"> del siguiente </w:t>
            </w:r>
            <w:r w:rsidRPr="00302790">
              <w:rPr>
                <w:rFonts w:ascii="Verdana" w:eastAsia="Calibri" w:hAnsi="Verdana" w:cs="Arial"/>
                <w:lang w:eastAsia="es-ES"/>
              </w:rPr>
              <w:t xml:space="preserve">tenor: </w:t>
            </w:r>
          </w:p>
          <w:p w14:paraId="19F455EC" w14:textId="77777777" w:rsidR="00164EBD" w:rsidRPr="00302790" w:rsidRDefault="00164EBD" w:rsidP="000452D5">
            <w:pPr>
              <w:spacing w:line="276" w:lineRule="auto"/>
              <w:ind w:right="709"/>
              <w:jc w:val="both"/>
              <w:rPr>
                <w:rFonts w:ascii="Verdana" w:eastAsia="Calibri" w:hAnsi="Verdana" w:cs="Arial"/>
                <w:sz w:val="20"/>
                <w:szCs w:val="20"/>
                <w:lang w:eastAsia="es-ES"/>
              </w:rPr>
            </w:pPr>
          </w:p>
          <w:p w14:paraId="2E7854F0" w14:textId="404F718C" w:rsidR="00164EBD" w:rsidRPr="00302790" w:rsidRDefault="00164EBD" w:rsidP="000452D5">
            <w:pPr>
              <w:ind w:left="709" w:right="709"/>
              <w:jc w:val="both"/>
              <w:rPr>
                <w:rFonts w:ascii="Verdana" w:eastAsia="Calibri" w:hAnsi="Verdana" w:cs="Arial"/>
                <w:sz w:val="21"/>
                <w:szCs w:val="21"/>
                <w:lang w:eastAsia="es-ES"/>
              </w:rPr>
            </w:pPr>
            <w:r w:rsidRPr="00302790">
              <w:rPr>
                <w:rFonts w:ascii="Verdana" w:eastAsia="Calibri" w:hAnsi="Verdana" w:cs="Arial"/>
                <w:sz w:val="21"/>
                <w:szCs w:val="21"/>
                <w:lang w:eastAsia="es-ES"/>
              </w:rPr>
              <w:t xml:space="preserve">“No se requerirá de este registro, ni de clasificación, en los casos de contratación directa; </w:t>
            </w:r>
            <w:r w:rsidRPr="00544965">
              <w:rPr>
                <w:rFonts w:ascii="Verdana" w:eastAsia="Calibri" w:hAnsi="Verdana" w:cs="Arial"/>
                <w:sz w:val="21"/>
                <w:szCs w:val="21"/>
                <w:lang w:eastAsia="es-ES"/>
              </w:rPr>
              <w:t>contratos para la prestación de servicios de salud; contratos de mínima cuantí</w:t>
            </w:r>
            <w:r w:rsidRPr="00302790">
              <w:rPr>
                <w:rFonts w:ascii="Verdana" w:eastAsia="Calibri" w:hAnsi="Verdana" w:cs="Arial"/>
                <w:i/>
                <w:iCs/>
                <w:sz w:val="21"/>
                <w:szCs w:val="21"/>
                <w:lang w:eastAsia="es-ES"/>
              </w:rPr>
              <w:t>a</w:t>
            </w:r>
            <w:r w:rsidRPr="00302790">
              <w:rPr>
                <w:rFonts w:ascii="Verdana" w:eastAsia="Calibri" w:hAnsi="Verdana" w:cs="Arial"/>
                <w:sz w:val="21"/>
                <w:szCs w:val="21"/>
                <w:lang w:eastAsia="es-ES"/>
              </w:rPr>
              <w:t xml:space="preserve">; enajenación de bienes del </w:t>
            </w:r>
            <w:r w:rsidRPr="00302790">
              <w:rPr>
                <w:rFonts w:ascii="Verdana" w:eastAsia="Calibri" w:hAnsi="Verdana" w:cs="Arial"/>
                <w:sz w:val="21"/>
                <w:szCs w:val="21"/>
                <w:lang w:eastAsia="es-ES"/>
              </w:rPr>
              <w:lastRenderedPageBreak/>
              <w:t xml:space="preserve">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w:t>
            </w:r>
          </w:p>
          <w:p w14:paraId="15560092" w14:textId="77777777" w:rsidR="00CE6A36" w:rsidRPr="00302790" w:rsidRDefault="00CE6A36" w:rsidP="000452D5">
            <w:pPr>
              <w:spacing w:line="276" w:lineRule="auto"/>
              <w:jc w:val="both"/>
              <w:rPr>
                <w:rFonts w:ascii="Verdana" w:eastAsia="Calibri" w:hAnsi="Verdana" w:cs="Arial"/>
                <w:lang w:eastAsia="es-ES"/>
              </w:rPr>
            </w:pPr>
          </w:p>
          <w:p w14:paraId="5B4D88D7" w14:textId="77777777" w:rsidR="00F37066" w:rsidRPr="00302790" w:rsidRDefault="00CE6A36" w:rsidP="000452D5">
            <w:pPr>
              <w:spacing w:line="276" w:lineRule="auto"/>
              <w:jc w:val="both"/>
              <w:rPr>
                <w:rFonts w:ascii="Verdana" w:eastAsia="Calibri" w:hAnsi="Verdana" w:cs="Arial"/>
                <w:lang w:eastAsia="es-ES"/>
              </w:rPr>
            </w:pPr>
            <w:r w:rsidRPr="00302790">
              <w:rPr>
                <w:rFonts w:ascii="Verdana" w:eastAsia="Calibri" w:hAnsi="Verdana" w:cs="Arial"/>
                <w:lang w:eastAsia="es-ES"/>
              </w:rPr>
              <w:t>Como se denota en la norma, e</w:t>
            </w:r>
            <w:r w:rsidR="000C335D" w:rsidRPr="00302790">
              <w:rPr>
                <w:rFonts w:ascii="Verdana" w:eastAsia="Calibri" w:hAnsi="Verdana" w:cs="Arial"/>
                <w:lang w:eastAsia="es-ES"/>
              </w:rPr>
              <w:t xml:space="preserve">l procedimiento de selección de </w:t>
            </w:r>
            <w:r w:rsidR="00A21311" w:rsidRPr="00302790">
              <w:rPr>
                <w:rFonts w:ascii="Verdana" w:eastAsia="Calibri" w:hAnsi="Verdana" w:cs="Arial"/>
                <w:lang w:eastAsia="es-ES"/>
              </w:rPr>
              <w:t xml:space="preserve">mínima </w:t>
            </w:r>
            <w:r w:rsidR="000C335D" w:rsidRPr="00302790">
              <w:rPr>
                <w:rFonts w:ascii="Verdana" w:eastAsia="Calibri" w:hAnsi="Verdana" w:cs="Arial"/>
                <w:lang w:eastAsia="es-ES"/>
              </w:rPr>
              <w:t xml:space="preserve">cuantía </w:t>
            </w:r>
            <w:r w:rsidR="00A21311" w:rsidRPr="00302790">
              <w:rPr>
                <w:rFonts w:ascii="Verdana" w:eastAsia="Calibri" w:hAnsi="Verdana" w:cs="Arial"/>
                <w:lang w:eastAsia="es-ES"/>
              </w:rPr>
              <w:t xml:space="preserve">es un procedimiento exceptuado del </w:t>
            </w:r>
            <w:r w:rsidR="00D427A9" w:rsidRPr="00302790">
              <w:rPr>
                <w:rFonts w:ascii="Verdana" w:eastAsia="Calibri" w:hAnsi="Verdana" w:cs="Arial"/>
                <w:lang w:eastAsia="es-ES"/>
              </w:rPr>
              <w:t>RUP</w:t>
            </w:r>
            <w:r w:rsidRPr="00302790">
              <w:rPr>
                <w:rFonts w:ascii="Verdana" w:eastAsia="Calibri" w:hAnsi="Verdana" w:cs="Arial"/>
                <w:lang w:eastAsia="es-ES"/>
              </w:rPr>
              <w:t xml:space="preserve">. </w:t>
            </w:r>
            <w:r w:rsidR="0093791C" w:rsidRPr="00302790">
              <w:rPr>
                <w:rFonts w:ascii="Verdana" w:eastAsia="Calibri" w:hAnsi="Verdana" w:cs="Arial"/>
                <w:lang w:eastAsia="es-ES"/>
              </w:rPr>
              <w:t>No obstante,</w:t>
            </w:r>
            <w:r w:rsidR="000C335D" w:rsidRPr="00302790">
              <w:rPr>
                <w:rFonts w:ascii="Verdana" w:eastAsia="Calibri" w:hAnsi="Verdana" w:cs="Arial"/>
                <w:lang w:eastAsia="es-ES"/>
              </w:rPr>
              <w:t xml:space="preserve"> surge la pregunta de </w:t>
            </w:r>
            <w:r w:rsidR="00F37066" w:rsidRPr="00302790">
              <w:rPr>
                <w:rFonts w:ascii="Verdana" w:eastAsia="Calibri" w:hAnsi="Verdana" w:cs="Arial"/>
                <w:lang w:eastAsia="es-ES"/>
              </w:rPr>
              <w:t>¿</w:t>
            </w:r>
            <w:r w:rsidR="000C335D" w:rsidRPr="00302790">
              <w:rPr>
                <w:rFonts w:ascii="Verdana" w:eastAsia="Calibri" w:hAnsi="Verdana" w:cs="Arial"/>
                <w:lang w:eastAsia="es-ES"/>
              </w:rPr>
              <w:t>qué sucede con la prerrogativa contenida en el numeral 2.5 del artículo 2.2.1.1.1.5.2 del Decreto 1082 de 2015 que indica que toda persona jurídica</w:t>
            </w:r>
            <w:r w:rsidR="00F37066" w:rsidRPr="00302790">
              <w:rPr>
                <w:rFonts w:ascii="Verdana" w:eastAsia="Calibri" w:hAnsi="Verdana" w:cs="Arial"/>
                <w:lang w:eastAsia="es-ES"/>
              </w:rPr>
              <w:t xml:space="preserve"> con</w:t>
            </w:r>
            <w:r w:rsidR="000C335D" w:rsidRPr="00302790">
              <w:rPr>
                <w:rFonts w:ascii="Verdana" w:eastAsia="Calibri" w:hAnsi="Verdana" w:cs="Arial"/>
                <w:lang w:eastAsia="es-ES"/>
              </w:rPr>
              <w:t xml:space="preserve"> </w:t>
            </w:r>
            <w:r w:rsidR="00F37066" w:rsidRPr="00302790">
              <w:rPr>
                <w:rFonts w:ascii="Verdana" w:eastAsia="Calibri" w:hAnsi="Verdana" w:cs="Arial"/>
                <w:lang w:eastAsia="es-ES"/>
              </w:rPr>
              <w:t xml:space="preserve">menos de tres años de </w:t>
            </w:r>
            <w:r w:rsidR="000C335D" w:rsidRPr="00302790">
              <w:rPr>
                <w:rFonts w:ascii="Verdana" w:eastAsia="Calibri" w:hAnsi="Verdana" w:cs="Arial"/>
                <w:lang w:eastAsia="es-ES"/>
              </w:rPr>
              <w:t xml:space="preserve">constituida “puede acreditar la experiencia de sus accionistas, socios o constituyentes” cuando el interesado participe </w:t>
            </w:r>
            <w:r w:rsidRPr="00302790">
              <w:rPr>
                <w:rFonts w:ascii="Verdana" w:eastAsia="Calibri" w:hAnsi="Verdana" w:cs="Arial"/>
                <w:lang w:eastAsia="es-ES"/>
              </w:rPr>
              <w:t>en</w:t>
            </w:r>
            <w:r w:rsidR="000C335D" w:rsidRPr="00302790">
              <w:rPr>
                <w:rFonts w:ascii="Verdana" w:eastAsia="Calibri" w:hAnsi="Verdana" w:cs="Arial"/>
                <w:lang w:eastAsia="es-ES"/>
              </w:rPr>
              <w:t xml:space="preserve"> procesos de selección </w:t>
            </w:r>
            <w:r w:rsidR="0093791C" w:rsidRPr="00302790">
              <w:rPr>
                <w:rFonts w:ascii="Verdana" w:eastAsia="Calibri" w:hAnsi="Verdana" w:cs="Arial"/>
                <w:lang w:eastAsia="es-ES"/>
              </w:rPr>
              <w:t>exceptuados</w:t>
            </w:r>
            <w:r w:rsidR="000C335D" w:rsidRPr="00302790">
              <w:rPr>
                <w:rFonts w:ascii="Verdana" w:eastAsia="Calibri" w:hAnsi="Verdana" w:cs="Arial"/>
                <w:lang w:eastAsia="es-ES"/>
              </w:rPr>
              <w:t xml:space="preserve"> del RUP como en el caso de la mínima cuantía</w:t>
            </w:r>
            <w:r w:rsidR="00F37066" w:rsidRPr="00302790">
              <w:rPr>
                <w:rFonts w:ascii="Verdana" w:eastAsia="Calibri" w:hAnsi="Verdana" w:cs="Arial"/>
                <w:lang w:eastAsia="es-ES"/>
              </w:rPr>
              <w:t>?</w:t>
            </w:r>
          </w:p>
          <w:p w14:paraId="129CF0B9" w14:textId="77777777" w:rsidR="00F37066" w:rsidRPr="00302790" w:rsidRDefault="00F37066" w:rsidP="000452D5">
            <w:pPr>
              <w:spacing w:line="276" w:lineRule="auto"/>
              <w:jc w:val="both"/>
              <w:rPr>
                <w:rFonts w:ascii="Verdana" w:eastAsia="Calibri" w:hAnsi="Verdana" w:cs="Arial"/>
                <w:lang w:eastAsia="es-ES"/>
              </w:rPr>
            </w:pPr>
          </w:p>
          <w:p w14:paraId="722C8492" w14:textId="05C0764E" w:rsidR="00A21311" w:rsidRPr="00302790" w:rsidRDefault="00F37066" w:rsidP="000452D5">
            <w:pPr>
              <w:spacing w:line="276" w:lineRule="auto"/>
              <w:jc w:val="both"/>
              <w:rPr>
                <w:rFonts w:ascii="Verdana" w:eastAsia="Calibri" w:hAnsi="Verdana" w:cs="Arial"/>
                <w:color w:val="000000" w:themeColor="text1"/>
                <w:lang w:eastAsia="es-ES"/>
              </w:rPr>
            </w:pPr>
            <w:r w:rsidRPr="00302790">
              <w:rPr>
                <w:rFonts w:ascii="Verdana" w:eastAsia="Calibri" w:hAnsi="Verdana" w:cs="Arial"/>
                <w:lang w:eastAsia="es-ES"/>
              </w:rPr>
              <w:t xml:space="preserve">Para esta Agencia, </w:t>
            </w:r>
            <w:r w:rsidR="005D4E07" w:rsidRPr="00302790">
              <w:rPr>
                <w:rFonts w:ascii="Verdana" w:eastAsia="Calibri" w:hAnsi="Verdana" w:cs="Arial"/>
                <w:lang w:eastAsia="es-ES"/>
              </w:rPr>
              <w:t xml:space="preserve">la prerrogativa o beneficio a las personas jurídicas de menos de tres </w:t>
            </w:r>
            <w:r w:rsidR="00242FE4" w:rsidRPr="00302790">
              <w:rPr>
                <w:rFonts w:ascii="Verdana" w:eastAsia="Calibri" w:hAnsi="Verdana" w:cs="Arial"/>
                <w:lang w:eastAsia="es-ES"/>
              </w:rPr>
              <w:t xml:space="preserve">(3) </w:t>
            </w:r>
            <w:r w:rsidR="005D4E07" w:rsidRPr="00302790">
              <w:rPr>
                <w:rFonts w:ascii="Verdana" w:eastAsia="Calibri" w:hAnsi="Verdana" w:cs="Arial"/>
                <w:lang w:eastAsia="es-ES"/>
              </w:rPr>
              <w:t xml:space="preserve">años de acreditar la experiencia de accionistas, socios o constituyentes cumple con la finalidad </w:t>
            </w:r>
            <w:r w:rsidR="00242FE4" w:rsidRPr="00302790">
              <w:rPr>
                <w:rFonts w:ascii="Verdana" w:eastAsia="Calibri" w:hAnsi="Verdana" w:cs="Arial"/>
                <w:lang w:eastAsia="es-ES"/>
              </w:rPr>
              <w:t xml:space="preserve">normativa de </w:t>
            </w:r>
            <w:r w:rsidR="005D4E07" w:rsidRPr="00302790">
              <w:rPr>
                <w:rFonts w:ascii="Verdana" w:eastAsia="Calibri" w:hAnsi="Verdana" w:cs="Arial"/>
                <w:lang w:eastAsia="es-ES"/>
              </w:rPr>
              <w:t xml:space="preserve">incentivar la pluralidad de proponentes, fomentar la competencia y aumentar las ofertas de mercado para las entidades públicas. </w:t>
            </w:r>
            <w:r w:rsidR="00096FD5" w:rsidRPr="00096FD5">
              <w:rPr>
                <w:rFonts w:ascii="Verdana" w:eastAsia="Calibri" w:hAnsi="Verdana" w:cs="Arial"/>
                <w:lang w:eastAsia="es-ES"/>
              </w:rPr>
              <w:t>Este propósito de la política legal no se cumpliría si las entidades se negasen a acreditar la experiencia de accionistas, socios o constituyentes por el hecho de que ciertos procesos de selección —como la mínima cuantía— no exigen RUP.</w:t>
            </w:r>
            <w:r w:rsidR="00242FE4" w:rsidRPr="00302790">
              <w:rPr>
                <w:rFonts w:ascii="Verdana" w:eastAsia="Calibri" w:hAnsi="Verdana" w:cs="Arial"/>
                <w:lang w:eastAsia="es-ES"/>
              </w:rPr>
              <w:t xml:space="preserve"> Por lo tanto, es de criterio de esta Agencia que las entidades no deben negar la habilitación de esta experiencia, </w:t>
            </w:r>
            <w:r w:rsidR="00242FE4" w:rsidRPr="00302790">
              <w:rPr>
                <w:rFonts w:ascii="Verdana" w:eastAsia="Calibri" w:hAnsi="Verdana" w:cs="Arial"/>
                <w:color w:val="000000" w:themeColor="text1"/>
                <w:lang w:eastAsia="es-ES"/>
              </w:rPr>
              <w:t xml:space="preserve">pues esto implicaría que se estaría haciendo una distinción donde la ley no la hace, y como consecuencia, se truncaría </w:t>
            </w:r>
            <w:r w:rsidR="00096FD5">
              <w:rPr>
                <w:rFonts w:ascii="Verdana" w:eastAsia="Calibri" w:hAnsi="Verdana" w:cs="Arial"/>
                <w:color w:val="000000" w:themeColor="text1"/>
                <w:lang w:eastAsia="es-ES"/>
              </w:rPr>
              <w:t xml:space="preserve">el </w:t>
            </w:r>
            <w:r w:rsidR="00242FE4" w:rsidRPr="00302790">
              <w:rPr>
                <w:rFonts w:ascii="Verdana" w:eastAsia="Calibri" w:hAnsi="Verdana" w:cs="Arial"/>
                <w:color w:val="000000" w:themeColor="text1"/>
                <w:lang w:eastAsia="es-ES"/>
              </w:rPr>
              <w:t>propósito</w:t>
            </w:r>
            <w:r w:rsidR="00096FD5">
              <w:rPr>
                <w:rFonts w:ascii="Verdana" w:eastAsia="Calibri" w:hAnsi="Verdana" w:cs="Arial"/>
                <w:color w:val="000000" w:themeColor="text1"/>
                <w:lang w:eastAsia="es-ES"/>
              </w:rPr>
              <w:t xml:space="preserve"> </w:t>
            </w:r>
            <w:r w:rsidR="00242FE4" w:rsidRPr="00302790">
              <w:rPr>
                <w:rFonts w:ascii="Verdana" w:eastAsia="Calibri" w:hAnsi="Verdana" w:cs="Arial"/>
                <w:color w:val="000000" w:themeColor="text1"/>
                <w:lang w:eastAsia="es-ES"/>
              </w:rPr>
              <w:t xml:space="preserve">que </w:t>
            </w:r>
            <w:r w:rsidR="00096FD5" w:rsidRPr="00302790">
              <w:rPr>
                <w:rFonts w:ascii="Verdana" w:eastAsia="Calibri" w:hAnsi="Verdana" w:cs="Arial"/>
                <w:color w:val="000000" w:themeColor="text1"/>
                <w:lang w:eastAsia="es-ES"/>
              </w:rPr>
              <w:t>persigue</w:t>
            </w:r>
            <w:r w:rsidR="00096FD5">
              <w:rPr>
                <w:rFonts w:ascii="Verdana" w:eastAsia="Calibri" w:hAnsi="Verdana" w:cs="Arial"/>
                <w:color w:val="000000" w:themeColor="text1"/>
                <w:lang w:eastAsia="es-ES"/>
              </w:rPr>
              <w:t xml:space="preserve"> </w:t>
            </w:r>
            <w:r w:rsidR="00242FE4" w:rsidRPr="00302790">
              <w:rPr>
                <w:rFonts w:ascii="Verdana" w:eastAsia="Calibri" w:hAnsi="Verdana" w:cs="Arial"/>
                <w:color w:val="000000" w:themeColor="text1"/>
                <w:lang w:eastAsia="es-ES"/>
              </w:rPr>
              <w:t xml:space="preserve">el artículo 6 de la ley 1150 de 2007 </w:t>
            </w:r>
          </w:p>
          <w:p w14:paraId="003EC83F" w14:textId="77777777" w:rsidR="00CE6A36" w:rsidRPr="00302790" w:rsidRDefault="00CE6A36" w:rsidP="000452D5">
            <w:pPr>
              <w:spacing w:line="276" w:lineRule="auto"/>
              <w:jc w:val="both"/>
              <w:rPr>
                <w:rFonts w:ascii="Verdana" w:eastAsia="Calibri" w:hAnsi="Verdana" w:cs="Arial"/>
                <w:color w:val="000000" w:themeColor="text1"/>
                <w:lang w:eastAsia="es-ES"/>
              </w:rPr>
            </w:pPr>
          </w:p>
          <w:p w14:paraId="381353DC" w14:textId="66443B2A" w:rsidR="005D4E07" w:rsidRPr="00302790" w:rsidRDefault="005D4E07" w:rsidP="000452D5">
            <w:pPr>
              <w:tabs>
                <w:tab w:val="left" w:pos="483"/>
              </w:tabs>
              <w:spacing w:after="120" w:line="276" w:lineRule="auto"/>
              <w:jc w:val="both"/>
              <w:rPr>
                <w:rFonts w:ascii="Verdana" w:eastAsia="Calibri" w:hAnsi="Verdana" w:cs="Arial"/>
                <w:color w:val="000000" w:themeColor="text1"/>
                <w:shd w:val="clear" w:color="auto" w:fill="FFFFFF"/>
                <w:lang w:val="es-ES"/>
              </w:rPr>
            </w:pPr>
            <w:r w:rsidRPr="00302790">
              <w:rPr>
                <w:rFonts w:ascii="Verdana" w:eastAsia="Calibri" w:hAnsi="Verdana" w:cs="Arial"/>
                <w:color w:val="000000" w:themeColor="text1"/>
                <w:shd w:val="clear" w:color="auto" w:fill="FFFFFF"/>
                <w:lang w:val="es-ES"/>
              </w:rPr>
              <w:t>Así las cosas,</w:t>
            </w:r>
            <w:r w:rsidR="00242FE4" w:rsidRPr="00302790">
              <w:rPr>
                <w:rFonts w:ascii="Verdana" w:eastAsia="Calibri" w:hAnsi="Verdana" w:cs="Arial"/>
                <w:color w:val="000000" w:themeColor="text1"/>
                <w:shd w:val="clear" w:color="auto" w:fill="FFFFFF"/>
                <w:lang w:val="es-ES"/>
              </w:rPr>
              <w:t xml:space="preserve"> es admisible y perfectamente viable</w:t>
            </w:r>
            <w:r w:rsidR="00096FD5">
              <w:rPr>
                <w:rFonts w:ascii="Verdana" w:eastAsia="Calibri" w:hAnsi="Verdana" w:cs="Arial"/>
                <w:color w:val="000000" w:themeColor="text1"/>
                <w:shd w:val="clear" w:color="auto" w:fill="FFFFFF"/>
                <w:lang w:val="es-ES"/>
              </w:rPr>
              <w:t xml:space="preserve"> </w:t>
            </w:r>
            <w:r w:rsidR="00242FE4" w:rsidRPr="00302790">
              <w:rPr>
                <w:rFonts w:ascii="Verdana" w:eastAsia="Calibri" w:hAnsi="Verdana" w:cs="Arial"/>
                <w:color w:val="000000" w:themeColor="text1"/>
                <w:shd w:val="clear" w:color="auto" w:fill="FFFFFF"/>
                <w:lang w:val="es-ES"/>
              </w:rPr>
              <w:t>que los efectos de la prerrogativa del numeral</w:t>
            </w:r>
            <w:r w:rsidR="00242FE4" w:rsidRPr="00302790">
              <w:rPr>
                <w:rFonts w:ascii="Verdana" w:eastAsia="Calibri" w:hAnsi="Verdana" w:cs="Arial"/>
                <w:color w:val="000000" w:themeColor="text1"/>
                <w:lang w:eastAsia="es-ES"/>
              </w:rPr>
              <w:t xml:space="preserve"> 2.5 del artículo 2.2.1.1.1.5.2 del Decreto 1082 de 2015 se cumplan plenamente también en aquellos procesos de selección que estén exentos de RUP conforme al artículo 6 de la Ley 1150 de 2007. De esta manera, lo que sucede es que </w:t>
            </w:r>
            <w:r w:rsidRPr="00302790">
              <w:rPr>
                <w:rFonts w:ascii="Verdana" w:eastAsia="Calibri" w:hAnsi="Verdana" w:cs="Arial"/>
                <w:color w:val="000000" w:themeColor="text1"/>
                <w:shd w:val="clear" w:color="auto" w:fill="FFFFFF"/>
                <w:lang w:val="es-ES"/>
              </w:rPr>
              <w:t xml:space="preserve">el socio transfiere la experiencia adquirida directamente a la sociedad de la que es parte, para que esta, como persona jurídica independiente, pueda cumplir con los requisitos habilitantes o </w:t>
            </w:r>
            <w:r w:rsidRPr="00302790">
              <w:rPr>
                <w:rFonts w:ascii="Verdana" w:eastAsia="Calibri" w:hAnsi="Verdana" w:cs="Arial"/>
                <w:color w:val="000000" w:themeColor="text1"/>
                <w:shd w:val="clear" w:color="auto" w:fill="FFFFFF"/>
                <w:lang w:val="es-ES"/>
              </w:rPr>
              <w:lastRenderedPageBreak/>
              <w:t>puntuables que establezcan las Entidades Estatales en sus Procesos de Contratación, y de esta forma promover el desarrollo de la empresa y la pluralidad de oferentes en la contratación pública.</w:t>
            </w:r>
          </w:p>
          <w:p w14:paraId="7BFB59C7" w14:textId="77777777" w:rsidR="00CE6A36" w:rsidRPr="00302790" w:rsidRDefault="00CE6A36" w:rsidP="000452D5">
            <w:pPr>
              <w:spacing w:line="276" w:lineRule="auto"/>
              <w:jc w:val="both"/>
              <w:rPr>
                <w:rFonts w:ascii="Verdana" w:eastAsia="Calibri" w:hAnsi="Verdana" w:cs="Arial"/>
                <w:lang w:eastAsia="es-ES"/>
              </w:rPr>
            </w:pPr>
          </w:p>
          <w:p w14:paraId="0531DBAC" w14:textId="2433FC52" w:rsidR="00CE6A36" w:rsidRPr="00302790" w:rsidRDefault="00242FE4" w:rsidP="000452D5">
            <w:pPr>
              <w:spacing w:line="276" w:lineRule="auto"/>
              <w:jc w:val="both"/>
              <w:rPr>
                <w:rFonts w:ascii="Verdana" w:hAnsi="Verdana"/>
              </w:rPr>
            </w:pPr>
            <w:r w:rsidRPr="00302790">
              <w:rPr>
                <w:rFonts w:ascii="Verdana" w:eastAsia="Calibri" w:hAnsi="Verdana" w:cs="Arial"/>
                <w:lang w:eastAsia="es-ES"/>
              </w:rPr>
              <w:t>En el mismo</w:t>
            </w:r>
            <w:r w:rsidR="00C05B9F" w:rsidRPr="00302790">
              <w:rPr>
                <w:rFonts w:ascii="Verdana" w:eastAsia="Calibri" w:hAnsi="Verdana" w:cs="Arial"/>
                <w:lang w:eastAsia="es-ES"/>
              </w:rPr>
              <w:t xml:space="preserve"> </w:t>
            </w:r>
            <w:r w:rsidRPr="00302790">
              <w:rPr>
                <w:rFonts w:ascii="Verdana" w:eastAsia="Calibri" w:hAnsi="Verdana" w:cs="Arial"/>
                <w:lang w:eastAsia="es-ES"/>
              </w:rPr>
              <w:t>artículo 6 de la ley 1150 se señala que “</w:t>
            </w:r>
            <w:r w:rsidR="00C05B9F" w:rsidRPr="00302790">
              <w:rPr>
                <w:rFonts w:ascii="Verdana" w:eastAsia="Calibri" w:hAnsi="Verdana" w:cs="Arial"/>
                <w:lang w:eastAsia="es-ES"/>
              </w:rPr>
              <w:sym w:font="Symbol" w:char="F05B"/>
            </w:r>
            <w:r w:rsidR="00C05B9F" w:rsidRPr="00302790">
              <w:rPr>
                <w:rFonts w:ascii="Verdana" w:eastAsia="Calibri" w:hAnsi="Verdana" w:cs="Arial"/>
                <w:lang w:eastAsia="es-ES"/>
              </w:rPr>
              <w:t>…</w:t>
            </w:r>
            <w:r w:rsidR="00C05B9F" w:rsidRPr="00302790">
              <w:rPr>
                <w:rFonts w:ascii="Verdana" w:eastAsia="Calibri" w:hAnsi="Verdana" w:cs="Arial"/>
                <w:lang w:eastAsia="es-ES"/>
              </w:rPr>
              <w:sym w:font="Symbol" w:char="F05D"/>
            </w:r>
            <w:r w:rsidRPr="00302790">
              <w:rPr>
                <w:rFonts w:ascii="Verdana" w:eastAsia="Calibri" w:hAnsi="Verdana" w:cs="Arial"/>
                <w:lang w:eastAsia="es-ES"/>
              </w:rPr>
              <w:t xml:space="preserve">En los casos anteriormente señalados, corresponderá a las entidades contratantes cumplir con la labor de verificación de las condiciones de los proponentes.” </w:t>
            </w:r>
            <w:r w:rsidR="00C05B9F" w:rsidRPr="00302790">
              <w:rPr>
                <w:rFonts w:ascii="Verdana" w:eastAsia="Calibri" w:hAnsi="Verdana" w:cs="Arial"/>
                <w:lang w:eastAsia="es-ES"/>
              </w:rPr>
              <w:t xml:space="preserve"> </w:t>
            </w:r>
            <w:r w:rsidR="00096FD5">
              <w:rPr>
                <w:rFonts w:ascii="Verdana" w:eastAsia="Calibri" w:hAnsi="Verdana" w:cs="Arial"/>
                <w:lang w:eastAsia="es-ES"/>
              </w:rPr>
              <w:t xml:space="preserve">Conforme a la anterior preceptiva, </w:t>
            </w:r>
            <w:r w:rsidR="00C05B9F" w:rsidRPr="00302790">
              <w:rPr>
                <w:rFonts w:ascii="Verdana" w:eastAsia="Calibri" w:hAnsi="Verdana" w:cs="Arial"/>
                <w:lang w:eastAsia="es-ES"/>
              </w:rPr>
              <w:t xml:space="preserve">las entidades estatales en los documentos precontractuales deberán definir las condiciones de </w:t>
            </w:r>
            <w:r w:rsidR="00CE6A36" w:rsidRPr="00302790">
              <w:rPr>
                <w:rFonts w:ascii="Verdana" w:hAnsi="Verdana"/>
              </w:rPr>
              <w:t>las certificaciones que aport</w:t>
            </w:r>
            <w:r w:rsidR="009D5B2F" w:rsidRPr="00302790">
              <w:rPr>
                <w:rFonts w:ascii="Verdana" w:hAnsi="Verdana"/>
              </w:rPr>
              <w:t xml:space="preserve">en </w:t>
            </w:r>
            <w:r w:rsidR="00CE6A36" w:rsidRPr="00302790">
              <w:rPr>
                <w:rFonts w:ascii="Verdana" w:hAnsi="Verdana"/>
              </w:rPr>
              <w:t>los interesados en el proceso de contratación indicando los datos que requiere para validar la experiencia solicitada</w:t>
            </w:r>
            <w:r w:rsidR="00C05B9F" w:rsidRPr="00302790">
              <w:rPr>
                <w:rFonts w:ascii="Verdana" w:hAnsi="Verdana"/>
              </w:rPr>
              <w:t xml:space="preserve">. Es decir, allí donde no sea exigible el RUP, </w:t>
            </w:r>
            <w:r w:rsidR="00CE6A36" w:rsidRPr="00302790">
              <w:rPr>
                <w:rFonts w:ascii="Verdana" w:hAnsi="Verdana"/>
              </w:rPr>
              <w:t xml:space="preserve">le corresponde a la Entidad contratante establecer las condiciones relacionadas con la acreditación de la experiencia y </w:t>
            </w:r>
            <w:r w:rsidR="00C05B9F" w:rsidRPr="00302790">
              <w:rPr>
                <w:rFonts w:ascii="Verdana" w:hAnsi="Verdana"/>
              </w:rPr>
              <w:t>llevar a cabo la respectiva verificación de los documentos del proponente conforme a los documentos precontractuales</w:t>
            </w:r>
            <w:r w:rsidR="00C77DFF">
              <w:rPr>
                <w:rFonts w:ascii="Verdana" w:hAnsi="Verdana"/>
              </w:rPr>
              <w:t>, permitiendo en todo caso la acreditación de la experiencia de los socios en una empresa con menos de 3 años de constitución</w:t>
            </w:r>
            <w:r w:rsidR="00C05B9F" w:rsidRPr="00302790">
              <w:rPr>
                <w:rFonts w:ascii="Verdana" w:hAnsi="Verdana"/>
              </w:rPr>
              <w:t xml:space="preserve">.  </w:t>
            </w:r>
          </w:p>
          <w:p w14:paraId="7A68B72C" w14:textId="77777777" w:rsidR="00C05B9F" w:rsidRPr="00302790" w:rsidRDefault="00C05B9F" w:rsidP="000452D5">
            <w:pPr>
              <w:spacing w:line="276" w:lineRule="auto"/>
              <w:jc w:val="both"/>
              <w:rPr>
                <w:rFonts w:ascii="Verdana" w:hAnsi="Verdana"/>
              </w:rPr>
            </w:pPr>
          </w:p>
          <w:p w14:paraId="6B81C5CB" w14:textId="229F3031" w:rsidR="00A21311" w:rsidRPr="00302790" w:rsidRDefault="00C05B9F" w:rsidP="00302790">
            <w:pPr>
              <w:spacing w:line="276" w:lineRule="auto"/>
              <w:jc w:val="both"/>
              <w:rPr>
                <w:rFonts w:ascii="Verdana" w:hAnsi="Verdana"/>
              </w:rPr>
            </w:pPr>
            <w:r w:rsidRPr="00302790">
              <w:rPr>
                <w:rFonts w:ascii="Verdana" w:hAnsi="Verdana"/>
              </w:rPr>
              <w:t xml:space="preserve">Por </w:t>
            </w:r>
            <w:r w:rsidR="009D5B2F" w:rsidRPr="00302790">
              <w:rPr>
                <w:rFonts w:ascii="Verdana" w:hAnsi="Verdana"/>
              </w:rPr>
              <w:t>último</w:t>
            </w:r>
            <w:r w:rsidRPr="00302790">
              <w:rPr>
                <w:rFonts w:ascii="Verdana" w:hAnsi="Verdana"/>
              </w:rPr>
              <w:t>, respondiendo puntualmente al apartad</w:t>
            </w:r>
            <w:r w:rsidR="00544965">
              <w:rPr>
                <w:rFonts w:ascii="Verdana" w:hAnsi="Verdana"/>
              </w:rPr>
              <w:t xml:space="preserve">o sobre </w:t>
            </w:r>
            <w:r w:rsidR="00C77DFF">
              <w:rPr>
                <w:rFonts w:ascii="Verdana" w:hAnsi="Verdana"/>
              </w:rPr>
              <w:t xml:space="preserve">subasta inversa como mecanismo aplicable a la </w:t>
            </w:r>
            <w:r w:rsidRPr="00302790">
              <w:rPr>
                <w:rFonts w:ascii="Verdana" w:hAnsi="Verdana"/>
              </w:rPr>
              <w:t>selección abreviada</w:t>
            </w:r>
            <w:r w:rsidR="00544965">
              <w:rPr>
                <w:rFonts w:ascii="Verdana" w:hAnsi="Verdana"/>
              </w:rPr>
              <w:t xml:space="preserve"> contenida en el problema jurídico</w:t>
            </w:r>
            <w:r w:rsidRPr="00302790">
              <w:rPr>
                <w:rFonts w:ascii="Verdana" w:hAnsi="Verdana"/>
              </w:rPr>
              <w:t>, esta</w:t>
            </w:r>
            <w:r w:rsidR="00C77DFF">
              <w:rPr>
                <w:rFonts w:ascii="Verdana" w:hAnsi="Verdana"/>
              </w:rPr>
              <w:t>s</w:t>
            </w:r>
            <w:r w:rsidRPr="00302790">
              <w:rPr>
                <w:rFonts w:ascii="Verdana" w:hAnsi="Verdana"/>
              </w:rPr>
              <w:t xml:space="preserve"> última</w:t>
            </w:r>
            <w:r w:rsidR="000452D5" w:rsidRPr="00302790">
              <w:rPr>
                <w:rFonts w:ascii="Verdana" w:hAnsi="Verdana"/>
              </w:rPr>
              <w:t xml:space="preserve">s </w:t>
            </w:r>
            <w:r w:rsidRPr="00302790">
              <w:rPr>
                <w:rFonts w:ascii="Verdana" w:hAnsi="Verdana"/>
              </w:rPr>
              <w:t>regla</w:t>
            </w:r>
            <w:r w:rsidR="000452D5" w:rsidRPr="00302790">
              <w:rPr>
                <w:rFonts w:ascii="Verdana" w:hAnsi="Verdana"/>
              </w:rPr>
              <w:t>s</w:t>
            </w:r>
            <w:r w:rsidRPr="00302790">
              <w:rPr>
                <w:rFonts w:ascii="Verdana" w:hAnsi="Verdana"/>
              </w:rPr>
              <w:t xml:space="preserve"> también aplica</w:t>
            </w:r>
            <w:r w:rsidR="000452D5" w:rsidRPr="00302790">
              <w:rPr>
                <w:rFonts w:ascii="Verdana" w:hAnsi="Verdana"/>
              </w:rPr>
              <w:t>n</w:t>
            </w:r>
            <w:r w:rsidRPr="00302790">
              <w:rPr>
                <w:rFonts w:ascii="Verdana" w:hAnsi="Verdana"/>
              </w:rPr>
              <w:t xml:space="preserve"> en aquellas causales y/o contratos que </w:t>
            </w:r>
            <w:r w:rsidR="000452D5" w:rsidRPr="00302790">
              <w:rPr>
                <w:rFonts w:ascii="Verdana" w:hAnsi="Verdana"/>
              </w:rPr>
              <w:t>implique</w:t>
            </w:r>
            <w:r w:rsidR="00C77DFF">
              <w:rPr>
                <w:rFonts w:ascii="Verdana" w:hAnsi="Verdana"/>
              </w:rPr>
              <w:t>n</w:t>
            </w:r>
            <w:r w:rsidR="000452D5" w:rsidRPr="00302790">
              <w:rPr>
                <w:rFonts w:ascii="Verdana" w:hAnsi="Verdana"/>
              </w:rPr>
              <w:t xml:space="preserve"> el trámite de la selección abreviada </w:t>
            </w:r>
            <w:r w:rsidR="00C77DFF">
              <w:rPr>
                <w:rFonts w:ascii="Verdana" w:hAnsi="Verdana"/>
              </w:rPr>
              <w:t xml:space="preserve">mediante subasta inversa </w:t>
            </w:r>
            <w:r w:rsidR="000452D5" w:rsidRPr="00302790">
              <w:rPr>
                <w:rFonts w:ascii="Verdana" w:hAnsi="Verdana"/>
              </w:rPr>
              <w:t xml:space="preserve">y </w:t>
            </w:r>
            <w:r w:rsidR="009D5B2F" w:rsidRPr="00302790">
              <w:rPr>
                <w:rFonts w:ascii="Verdana" w:hAnsi="Verdana"/>
              </w:rPr>
              <w:t>no se exija RUP. Por ejemplo, en los contratos para la prestación de servicios de salud y en la enajenación de bienes del Estado</w:t>
            </w:r>
            <w:r w:rsidR="000452D5" w:rsidRPr="00302790">
              <w:rPr>
                <w:rFonts w:ascii="Verdana" w:hAnsi="Verdana"/>
              </w:rPr>
              <w:t xml:space="preserve"> exceptuados del RUP y</w:t>
            </w:r>
            <w:r w:rsidR="009D5B2F" w:rsidRPr="00302790">
              <w:rPr>
                <w:rFonts w:ascii="Verdana" w:hAnsi="Verdana"/>
              </w:rPr>
              <w:t xml:space="preserve"> donde es posible </w:t>
            </w:r>
            <w:r w:rsidR="000452D5" w:rsidRPr="00302790">
              <w:rPr>
                <w:rFonts w:ascii="Verdana" w:hAnsi="Verdana"/>
              </w:rPr>
              <w:t>aplicar</w:t>
            </w:r>
            <w:r w:rsidR="009D5B2F" w:rsidRPr="00302790">
              <w:rPr>
                <w:rFonts w:ascii="Verdana" w:hAnsi="Verdana"/>
              </w:rPr>
              <w:t xml:space="preserve"> las normas de la selección abreviada</w:t>
            </w:r>
            <w:r w:rsidR="000452D5" w:rsidRPr="00302790">
              <w:rPr>
                <w:rFonts w:ascii="Verdana" w:hAnsi="Verdana"/>
              </w:rPr>
              <w:t xml:space="preserve">, se deberá aplicar plenamente la prerrogativa del numeral 2.5 del artículo 2.2.1.1.1.5.2 del Decreto 1082 de 2015, y ante la falta del RUP por excepción, serán las entidades estatales quienes deban </w:t>
            </w:r>
            <w:r w:rsidR="00302790" w:rsidRPr="00302790">
              <w:rPr>
                <w:rFonts w:ascii="Verdana" w:hAnsi="Verdana"/>
              </w:rPr>
              <w:t>construir las condiciones de experiencia en sus documentos precontractuales y realizar la respectiva verificación.</w:t>
            </w:r>
            <w:r w:rsidR="00302790">
              <w:rPr>
                <w:rFonts w:ascii="Verdana" w:hAnsi="Verdana"/>
              </w:rPr>
              <w:t xml:space="preserve"> </w:t>
            </w:r>
          </w:p>
        </w:tc>
      </w:tr>
    </w:tbl>
    <w:p w14:paraId="1C6BFC95" w14:textId="77777777" w:rsidR="00AB4CEF" w:rsidRDefault="00AB4CEF" w:rsidP="00AB4CEF">
      <w:pPr>
        <w:tabs>
          <w:tab w:val="left" w:pos="142"/>
          <w:tab w:val="left" w:pos="284"/>
        </w:tabs>
        <w:spacing w:after="0" w:line="276" w:lineRule="auto"/>
        <w:jc w:val="both"/>
        <w:rPr>
          <w:rFonts w:ascii="Verdana" w:eastAsia="Century Gothic" w:hAnsi="Verdana" w:cs="Century Gothic"/>
          <w:b/>
          <w:bCs/>
        </w:rPr>
      </w:pPr>
    </w:p>
    <w:p w14:paraId="670106E5" w14:textId="77777777" w:rsidR="00302790" w:rsidRPr="00073A28" w:rsidRDefault="00302790" w:rsidP="00AB4CEF">
      <w:pPr>
        <w:tabs>
          <w:tab w:val="left" w:pos="142"/>
          <w:tab w:val="left" w:pos="284"/>
        </w:tabs>
        <w:spacing w:after="0" w:line="276" w:lineRule="auto"/>
        <w:jc w:val="both"/>
        <w:rPr>
          <w:rFonts w:ascii="Verdana" w:eastAsia="Century Gothic" w:hAnsi="Verdana" w:cs="Century Gothic"/>
          <w:b/>
          <w:bCs/>
        </w:rPr>
      </w:pPr>
    </w:p>
    <w:p w14:paraId="75C5AA74" w14:textId="77777777" w:rsidR="00AB4CEF" w:rsidRPr="00073A28" w:rsidRDefault="00AB4CEF" w:rsidP="00AB4CE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073A28">
        <w:rPr>
          <w:rFonts w:ascii="Verdana" w:eastAsia="Century Gothic" w:hAnsi="Verdana" w:cs="Century Gothic"/>
          <w:b/>
          <w:bCs/>
          <w:lang w:val="es-CO"/>
        </w:rPr>
        <w:t>Razones de la respuesta:</w:t>
      </w:r>
    </w:p>
    <w:p w14:paraId="3B292B89" w14:textId="77777777" w:rsidR="00AB4CEF" w:rsidRPr="00073A28" w:rsidRDefault="00AB4CEF" w:rsidP="00AB4CEF">
      <w:pPr>
        <w:spacing w:after="0" w:line="276" w:lineRule="auto"/>
        <w:jc w:val="both"/>
        <w:rPr>
          <w:rFonts w:ascii="Verdana" w:eastAsia="Calibri" w:hAnsi="Verdana" w:cs="Arial"/>
        </w:rPr>
      </w:pPr>
    </w:p>
    <w:p w14:paraId="3578094D" w14:textId="77777777" w:rsidR="00AB4CEF" w:rsidRPr="00073A28" w:rsidRDefault="00AB4CEF" w:rsidP="00AB4CEF">
      <w:pPr>
        <w:spacing w:after="0" w:line="276" w:lineRule="auto"/>
        <w:jc w:val="both"/>
        <w:rPr>
          <w:rFonts w:ascii="Verdana" w:eastAsia="Calibri" w:hAnsi="Verdana" w:cs="Arial"/>
        </w:rPr>
      </w:pPr>
      <w:r w:rsidRPr="00073A28">
        <w:rPr>
          <w:rFonts w:ascii="Verdana" w:eastAsia="Calibri" w:hAnsi="Verdana" w:cs="Arial"/>
        </w:rPr>
        <w:t xml:space="preserve">Lo anterior se sustenta en las siguientes consideraciones: </w:t>
      </w:r>
    </w:p>
    <w:p w14:paraId="5909A357" w14:textId="77777777" w:rsidR="00AB4CEF" w:rsidRPr="00073A28" w:rsidRDefault="00AB4CEF" w:rsidP="00AB4CEF">
      <w:pPr>
        <w:spacing w:after="0" w:line="276" w:lineRule="auto"/>
        <w:jc w:val="both"/>
        <w:rPr>
          <w:rFonts w:ascii="Verdana" w:eastAsia="Calibri" w:hAnsi="Verdana" w:cs="Arial"/>
        </w:rPr>
      </w:pPr>
    </w:p>
    <w:p w14:paraId="61CC2EAC" w14:textId="724788BE" w:rsidR="00AB4CEF" w:rsidRPr="002A000A" w:rsidRDefault="00AB4CEF" w:rsidP="00AB4CEF">
      <w:pPr>
        <w:snapToGrid w:val="0"/>
        <w:spacing w:after="0" w:line="276" w:lineRule="auto"/>
        <w:contextualSpacing/>
        <w:jc w:val="both"/>
        <w:rPr>
          <w:rFonts w:ascii="Verdana" w:eastAsia="Calibri" w:hAnsi="Verdana" w:cs="Arial"/>
          <w:lang w:val="es-ES"/>
        </w:rPr>
      </w:pPr>
      <w:r w:rsidRPr="38FACAB2">
        <w:rPr>
          <w:rFonts w:ascii="Verdana" w:eastAsia="Calibri" w:hAnsi="Verdana" w:cs="Arial"/>
          <w:kern w:val="2"/>
          <w:lang w:val="es-ES"/>
          <w14:ligatures w14:val="standardContextual"/>
        </w:rPr>
        <w:lastRenderedPageBreak/>
        <w:t>La Ley 1150 de 2007, en el artículo 5, establece los requisitos habilitantes para participar en un procedimiento contractual, dentro de los cuales se destaca la experiencia</w:t>
      </w:r>
      <w:r w:rsidR="007D6543">
        <w:rPr>
          <w:rFonts w:ascii="Verdana" w:eastAsia="Calibri" w:hAnsi="Verdana" w:cs="Arial"/>
          <w:kern w:val="2"/>
          <w:lang w:val="es-ES"/>
          <w14:ligatures w14:val="standardContextual"/>
        </w:rPr>
        <w:t xml:space="preserve">. Su </w:t>
      </w:r>
      <w:r w:rsidRPr="38FACAB2">
        <w:rPr>
          <w:rFonts w:ascii="Verdana" w:eastAsia="Calibri" w:hAnsi="Verdana" w:cs="Arial"/>
          <w:kern w:val="2"/>
          <w:lang w:val="es-ES"/>
          <w14:ligatures w14:val="standardContextual"/>
        </w:rPr>
        <w:t>propósito es que las entidades fijen unos requisitos mínimos que debe tener y acreditar el proponente, para que la entidad pueda verificar su aptitud para participar en el procedimiento de contratación y, si se le adjudica, ejecutar el contrato estatal</w:t>
      </w:r>
      <w:r w:rsidRPr="38FACAB2">
        <w:rPr>
          <w:rFonts w:ascii="Aptos" w:eastAsia="Aptos" w:hAnsi="Aptos" w:cs="Times New Roman"/>
          <w:kern w:val="2"/>
          <w:sz w:val="24"/>
          <w:szCs w:val="24"/>
          <w:vertAlign w:val="superscript"/>
          <w:lang w:val="es-ES"/>
          <w14:ligatures w14:val="standardContextual"/>
        </w:rPr>
        <w:footnoteReference w:id="2"/>
      </w:r>
      <w:r w:rsidRPr="38FACAB2">
        <w:rPr>
          <w:rFonts w:ascii="Verdana" w:eastAsia="Calibri" w:hAnsi="Verdana" w:cs="Arial"/>
          <w:kern w:val="2"/>
          <w:lang w:val="es-ES"/>
          <w14:ligatures w14:val="standardContextual"/>
        </w:rPr>
        <w:t xml:space="preserve">. En ese sentido, la entidad, como responsable de la estructuración de su procedimiento de contratación, es autónoma para requerir la experiencia necesaria para </w:t>
      </w:r>
      <w:r w:rsidR="007D6543">
        <w:rPr>
          <w:rFonts w:ascii="Verdana" w:eastAsia="Calibri" w:hAnsi="Verdana" w:cs="Arial"/>
          <w:kern w:val="2"/>
          <w:lang w:val="es-ES"/>
          <w14:ligatures w14:val="standardContextual"/>
        </w:rPr>
        <w:t xml:space="preserve">ejecutar </w:t>
      </w:r>
      <w:r w:rsidRPr="38FACAB2">
        <w:rPr>
          <w:rFonts w:ascii="Verdana" w:eastAsia="Calibri" w:hAnsi="Verdana" w:cs="Arial"/>
          <w:kern w:val="2"/>
          <w:lang w:val="es-ES"/>
          <w14:ligatures w14:val="standardContextual"/>
        </w:rPr>
        <w:t>el objeto contractual que se pretende satisfacer con el procedimiento, para lo cual, de acuerdo con el artículo 2.2.1.1.1.6.2. del Decreto 1082 de 2015, debe tener en cuenta el estudio del sector y sus componentes, como la identificación de riesgos, así como el mercado y precio del bien, obra o servicio a contratar</w:t>
      </w:r>
      <w:r w:rsidRPr="38FACAB2">
        <w:rPr>
          <w:rFonts w:ascii="Aptos" w:eastAsia="Aptos" w:hAnsi="Aptos" w:cs="Times New Roman"/>
          <w:kern w:val="2"/>
          <w:sz w:val="24"/>
          <w:szCs w:val="24"/>
          <w:vertAlign w:val="superscript"/>
          <w:lang w:val="es-ES"/>
          <w14:ligatures w14:val="standardContextual"/>
        </w:rPr>
        <w:footnoteReference w:id="3"/>
      </w:r>
      <w:r w:rsidRPr="38FACAB2">
        <w:rPr>
          <w:rFonts w:ascii="Verdana" w:eastAsia="Calibri" w:hAnsi="Verdana" w:cs="Arial"/>
          <w:kern w:val="2"/>
          <w:lang w:val="es-ES"/>
          <w14:ligatures w14:val="standardContextual"/>
        </w:rPr>
        <w:t>.</w:t>
      </w:r>
    </w:p>
    <w:p w14:paraId="7127762A" w14:textId="77777777" w:rsidR="00AB4CEF" w:rsidRPr="002A000A" w:rsidRDefault="00AB4CEF" w:rsidP="00AB4CEF">
      <w:pPr>
        <w:snapToGrid w:val="0"/>
        <w:spacing w:before="120" w:after="120" w:line="276" w:lineRule="auto"/>
        <w:ind w:firstLine="709"/>
        <w:jc w:val="both"/>
        <w:rPr>
          <w:rFonts w:ascii="Verdana" w:eastAsia="Calibri" w:hAnsi="Verdana" w:cs="Arial"/>
          <w:lang w:val="es-ES_tradnl"/>
        </w:rPr>
      </w:pPr>
      <w:r w:rsidRPr="002A000A">
        <w:rPr>
          <w:rFonts w:ascii="Verdana" w:eastAsia="Calibri" w:hAnsi="Verdana" w:cs="Arial"/>
          <w:kern w:val="2"/>
          <w:lang w:val="es-ES_tradnl"/>
          <w14:ligatures w14:val="standardContextual"/>
        </w:rPr>
        <w:t>La experiencia que se deriva de los contratos que el proponente ha celebrado y ejecutado con diferentes contratantes, sin importar la naturaleza de estos, se verifica con el Registro Único de Proponentes –RUP–</w:t>
      </w:r>
      <w:r w:rsidRPr="002A000A">
        <w:rPr>
          <w:rFonts w:ascii="Verdana" w:eastAsia="Aptos" w:hAnsi="Verdana" w:cs="Times New Roman"/>
          <w:kern w:val="2"/>
          <w:vertAlign w:val="superscript"/>
          <w:lang w:val="es-ES_tradnl"/>
          <w14:ligatures w14:val="standardContextual"/>
        </w:rPr>
        <w:footnoteReference w:id="4"/>
      </w:r>
      <w:r w:rsidRPr="002A000A">
        <w:rPr>
          <w:rFonts w:ascii="Verdana" w:eastAsia="Calibri" w:hAnsi="Verdana" w:cs="Arial"/>
          <w:kern w:val="2"/>
          <w:lang w:val="es-ES_tradnl"/>
          <w14:ligatures w14:val="standardContextual"/>
        </w:rPr>
        <w:t xml:space="preserve">, cuando este certificado sea exigible de acuerdo con la ley. En el RUP constan los requisitos habilitantes que se evalúan exclusivamente con este documento, que es su plena </w:t>
      </w:r>
      <w:r w:rsidRPr="002A000A">
        <w:rPr>
          <w:rFonts w:ascii="Verdana" w:eastAsia="Calibri" w:hAnsi="Verdana" w:cs="Arial"/>
          <w:kern w:val="2"/>
          <w:lang w:val="es-ES_tradnl"/>
          <w14:ligatures w14:val="standardContextual"/>
        </w:rPr>
        <w:lastRenderedPageBreak/>
        <w:t>prueba, sin que la entidad o el proponente puedan solicitar o aportar otra documentación</w:t>
      </w:r>
      <w:r w:rsidRPr="002A000A">
        <w:rPr>
          <w:rFonts w:ascii="Verdana" w:eastAsia="Aptos" w:hAnsi="Verdana" w:cs="Times New Roman"/>
          <w:kern w:val="2"/>
          <w:vertAlign w:val="superscript"/>
          <w:lang w:val="es-ES_tradnl"/>
          <w14:ligatures w14:val="standardContextual"/>
        </w:rPr>
        <w:footnoteReference w:id="5"/>
      </w:r>
      <w:r w:rsidRPr="002A000A">
        <w:rPr>
          <w:rFonts w:ascii="Verdana" w:eastAsia="Calibri" w:hAnsi="Verdana" w:cs="Arial"/>
          <w:kern w:val="2"/>
          <w:lang w:val="es-ES_tradnl"/>
          <w14:ligatures w14:val="standardContextual"/>
        </w:rPr>
        <w:t>.</w:t>
      </w:r>
    </w:p>
    <w:p w14:paraId="11ED28DD" w14:textId="77777777" w:rsidR="00AB4CEF" w:rsidRPr="002A000A" w:rsidRDefault="00AB4CEF" w:rsidP="00AB4CEF">
      <w:pPr>
        <w:spacing w:after="120" w:line="276" w:lineRule="auto"/>
        <w:ind w:firstLine="709"/>
        <w:jc w:val="both"/>
        <w:rPr>
          <w:rFonts w:ascii="Verdana" w:eastAsia="Calibri" w:hAnsi="Verdana" w:cs="Arial"/>
          <w:kern w:val="2"/>
          <w:lang w:val="es-ES_tradnl"/>
          <w14:ligatures w14:val="standardContextual"/>
        </w:rPr>
      </w:pPr>
      <w:r w:rsidRPr="002A000A">
        <w:rPr>
          <w:rFonts w:ascii="Verdana" w:eastAsia="Calibri" w:hAnsi="Verdana" w:cs="Arial"/>
          <w:kern w:val="2"/>
          <w:lang w:val="es-ES_tradnl"/>
          <w14:ligatures w14:val="standardContextual"/>
        </w:rPr>
        <w:t>Respecto de la experiencia, esta debe inscribirse, renovarse o actualizarse en el RUP con copia de los contratos o con certificados de los contratos celebrados por el proponente con diferentes contratantes, quienes son terceros que los expiden cuando el contrato fue ejecutado y recibieron los bienes, obras o servicios de parte del proponente</w:t>
      </w:r>
      <w:r w:rsidRPr="002A000A">
        <w:rPr>
          <w:rFonts w:ascii="Verdana" w:eastAsia="Aptos" w:hAnsi="Verdana" w:cs="Times New Roman"/>
          <w:kern w:val="2"/>
          <w:vertAlign w:val="superscript"/>
          <w:lang w:val="es-ES_tradnl"/>
          <w14:ligatures w14:val="standardContextual"/>
        </w:rPr>
        <w:footnoteReference w:id="6"/>
      </w:r>
      <w:r w:rsidRPr="002A000A">
        <w:rPr>
          <w:rFonts w:ascii="Verdana" w:eastAsia="Calibri" w:hAnsi="Verdana" w:cs="Arial"/>
          <w:kern w:val="2"/>
          <w:lang w:val="es-ES_tradnl"/>
          <w14:ligatures w14:val="standardContextual"/>
        </w:rPr>
        <w:t xml:space="preserve">. De esta manera, con el RUP se verifica que el proponente tenga experiencia en la ejecución del objeto que pretende contratar la entidad, esto es, que haya celebrado y ejecutado contratos que se asimilen a la necesidad que la entidad requiere satisfacer con el procedimiento contractual, sin que sea necesario que su objeto sea idéntico, lo que dependerá de la forma como la entidad solicite la experiencia en el pliego de condiciones o documento equivalente. </w:t>
      </w:r>
    </w:p>
    <w:p w14:paraId="524566A6" w14:textId="77777777" w:rsidR="00AB4CEF" w:rsidRPr="002A000A" w:rsidRDefault="00AB4CEF" w:rsidP="00AB4CEF">
      <w:pPr>
        <w:spacing w:before="120" w:after="0" w:line="276" w:lineRule="auto"/>
        <w:ind w:firstLine="709"/>
        <w:jc w:val="both"/>
        <w:rPr>
          <w:rFonts w:ascii="Verdana" w:eastAsia="Calibri" w:hAnsi="Verdana" w:cs="Arial"/>
          <w:lang w:val="es-ES"/>
        </w:rPr>
      </w:pPr>
      <w:r w:rsidRPr="38FACAB2">
        <w:rPr>
          <w:rFonts w:ascii="Verdana" w:eastAsia="Calibri" w:hAnsi="Verdana" w:cs="Arial"/>
          <w:lang w:val="es-ES"/>
        </w:rPr>
        <w:t xml:space="preserve">Esta Agencia puso a disposición de los interesados el “Manual para determinar y verificar los requisitos habilitantes en los Procesos de </w:t>
      </w:r>
      <w:r w:rsidRPr="38FACAB2">
        <w:rPr>
          <w:rFonts w:ascii="Verdana" w:eastAsia="Calibri" w:hAnsi="Verdana" w:cs="Arial"/>
          <w:lang w:val="es-ES"/>
        </w:rPr>
        <w:lastRenderedPageBreak/>
        <w:t>Contratación”</w:t>
      </w:r>
      <w:r w:rsidRPr="38FACAB2">
        <w:rPr>
          <w:rFonts w:ascii="Verdana" w:eastAsia="Calibri" w:hAnsi="Verdana" w:cs="Arial"/>
          <w:vertAlign w:val="superscript"/>
          <w:lang w:val="es-ES"/>
        </w:rPr>
        <w:footnoteReference w:id="7"/>
      </w:r>
      <w:r w:rsidRPr="38FACAB2">
        <w:rPr>
          <w:rFonts w:ascii="Verdana" w:eastAsia="Calibri" w:hAnsi="Verdana" w:cs="Arial"/>
          <w:lang w:val="es-ES"/>
        </w:rPr>
        <w:t xml:space="preserve">, en el que se establecen las definiciones de cada requisito habilitante y se dan lineamientos orientadores sobre lo que las entidades deben y pueden hacer para configurarlos. En particular, sobre el requisito habilitante de experiencia, el Manual se centra en una de sus cualidades, y es que, es </w:t>
      </w:r>
      <w:r w:rsidRPr="38FACAB2">
        <w:rPr>
          <w:rFonts w:ascii="Verdana" w:eastAsia="Calibri" w:hAnsi="Verdana" w:cs="Arial"/>
          <w:i/>
          <w:iCs/>
          <w:lang w:val="es-ES"/>
        </w:rPr>
        <w:t>personal</w:t>
      </w:r>
      <w:r w:rsidRPr="38FACAB2">
        <w:rPr>
          <w:rFonts w:ascii="Verdana" w:eastAsia="Calibri" w:hAnsi="Verdana" w:cs="Arial"/>
          <w:lang w:val="es-ES"/>
        </w:rPr>
        <w:t xml:space="preserve">; lo que significa que quien tiene la experiencia lo hace </w:t>
      </w:r>
      <w:proofErr w:type="gramStart"/>
      <w:r w:rsidRPr="38FACAB2">
        <w:rPr>
          <w:rFonts w:ascii="Verdana" w:eastAsia="Calibri" w:hAnsi="Verdana" w:cs="Arial"/>
          <w:lang w:val="es-ES"/>
        </w:rPr>
        <w:t>en razón de</w:t>
      </w:r>
      <w:proofErr w:type="gramEnd"/>
      <w:r w:rsidRPr="38FACAB2">
        <w:rPr>
          <w:rFonts w:ascii="Verdana" w:eastAsia="Calibri" w:hAnsi="Verdana" w:cs="Arial"/>
          <w:lang w:val="es-ES"/>
        </w:rPr>
        <w:t xml:space="preserve"> su participación, con anterioridad, en actividades que le permitieron conocer cómo ejecutar el objeto contractual que la entidad pretende satisfacer mediante el Proceso de Contratación.</w:t>
      </w:r>
    </w:p>
    <w:p w14:paraId="4B7FC944" w14:textId="77777777" w:rsidR="00AB4CEF" w:rsidRPr="002A000A" w:rsidRDefault="00AB4CEF" w:rsidP="00AB4CEF">
      <w:pPr>
        <w:spacing w:before="120" w:after="120" w:line="276" w:lineRule="auto"/>
        <w:ind w:firstLine="708"/>
        <w:jc w:val="both"/>
        <w:rPr>
          <w:rFonts w:ascii="Verdana" w:eastAsia="Calibri" w:hAnsi="Verdana" w:cs="Arial"/>
          <w:lang w:val="es-ES_tradnl"/>
        </w:rPr>
      </w:pPr>
      <w:r w:rsidRPr="002A000A">
        <w:rPr>
          <w:rFonts w:ascii="Verdana" w:eastAsia="Calibri" w:hAnsi="Verdana" w:cs="Arial"/>
          <w:lang w:val="es-ES_tradnl"/>
        </w:rPr>
        <w:t xml:space="preserve">Lo anterior es determinante, porque no es posible tener experiencia si en la práctica no se han ejecutado actividades similares previas. Precisamente, de la experiencia se deriva el conocimiento del proponente, y para la contratación pública es importante, ya que garantiza que no habrá improvisación ni mayores costos por errores o dificultades originadas en realizar una actividad por primera vez. </w:t>
      </w:r>
    </w:p>
    <w:p w14:paraId="0059232D" w14:textId="77777777" w:rsidR="00AB4CEF" w:rsidRPr="002A000A" w:rsidRDefault="00AB4CEF" w:rsidP="00AB4CEF">
      <w:pPr>
        <w:tabs>
          <w:tab w:val="left" w:pos="709"/>
        </w:tabs>
        <w:spacing w:after="120" w:line="276" w:lineRule="auto"/>
        <w:jc w:val="both"/>
        <w:rPr>
          <w:rFonts w:ascii="Verdana" w:eastAsia="Calibri" w:hAnsi="Verdana" w:cs="Arial"/>
          <w:color w:val="000000"/>
          <w:shd w:val="clear" w:color="auto" w:fill="FFFFFF"/>
          <w:lang w:val="es-ES"/>
        </w:rPr>
      </w:pPr>
      <w:r w:rsidRPr="002A000A">
        <w:rPr>
          <w:rFonts w:ascii="Arial" w:eastAsia="Calibri" w:hAnsi="Arial" w:cs="Arial"/>
          <w:color w:val="000000"/>
          <w:shd w:val="clear" w:color="auto" w:fill="FFFFFF"/>
          <w:lang w:val="es-ES_tradnl"/>
        </w:rPr>
        <w:tab/>
      </w:r>
      <w:r w:rsidRPr="38FACAB2">
        <w:rPr>
          <w:rFonts w:ascii="Verdana" w:eastAsia="Calibri" w:hAnsi="Verdana" w:cs="Arial"/>
          <w:color w:val="000000"/>
          <w:shd w:val="clear" w:color="auto" w:fill="FFFFFF"/>
          <w:lang w:val="es-ES"/>
        </w:rPr>
        <w:t xml:space="preserve">En ese orden, se tiene que el artículo 6 de la Ley 1150 de 2007 señala que todas las personas naturales o jurídicas, nacionales o extranjeras, domiciliadas o con sucursal en Colombia que aspiren a celebrar contratos con las entidades, como se indicó en líneas anteriores, deberán estar inscritas en el RUP. En este registro constará la información relacionada con la experiencia, capacidad jurídica, financiera y de organización del proponente y su clasificación. De esta forma, </w:t>
      </w:r>
      <w:r w:rsidRPr="38FACAB2">
        <w:rPr>
          <w:rFonts w:ascii="Verdana" w:eastAsia="Times New Roman" w:hAnsi="Verdana" w:cs="Arial"/>
          <w:lang w:val="es-ES" w:eastAsia="es-ES"/>
        </w:rPr>
        <w:t>el numeral 2.5 del artículo 2.2.1.1.1.5.2 del Decreto 1082 de 2015, señala que la persona jurídica se registrará aportando los certificados de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w:t>
      </w:r>
      <w:r w:rsidRPr="38FACAB2">
        <w:rPr>
          <w:rFonts w:ascii="Verdana" w:eastAsia="Calibri" w:hAnsi="Verdana" w:cs="Arial"/>
          <w:vertAlign w:val="superscript"/>
          <w:lang w:val="es-ES" w:eastAsia="es-ES"/>
        </w:rPr>
        <w:footnoteReference w:id="8"/>
      </w:r>
      <w:r w:rsidRPr="38FACAB2">
        <w:rPr>
          <w:rFonts w:ascii="Verdana" w:eastAsia="Times New Roman" w:hAnsi="Verdana" w:cs="Arial"/>
          <w:lang w:val="es-ES" w:eastAsia="es-ES"/>
        </w:rPr>
        <w:t xml:space="preserve">. </w:t>
      </w:r>
    </w:p>
    <w:p w14:paraId="76A73748" w14:textId="77777777" w:rsidR="00AB4CEF" w:rsidRPr="002A000A" w:rsidRDefault="00AB4CEF" w:rsidP="00AB4CEF">
      <w:pPr>
        <w:spacing w:before="120" w:after="120" w:line="276" w:lineRule="auto"/>
        <w:ind w:firstLine="708"/>
        <w:jc w:val="both"/>
        <w:rPr>
          <w:rFonts w:ascii="Verdana" w:eastAsia="Times New Roman" w:hAnsi="Verdana" w:cs="Arial"/>
          <w:lang w:val="es-ES" w:eastAsia="es-ES"/>
        </w:rPr>
      </w:pPr>
      <w:r w:rsidRPr="1508AF59">
        <w:rPr>
          <w:rFonts w:ascii="Verdana" w:eastAsia="Times New Roman" w:hAnsi="Verdana" w:cs="Arial"/>
          <w:lang w:val="es-ES" w:eastAsia="es-ES"/>
        </w:rPr>
        <w:lastRenderedPageBreak/>
        <w:t xml:space="preserve">Por ello, el interesado debe indicar en cada certificado, o en cada copia de los contratos, los bienes, obras y servicios a los cuales corresponde la experiencia que pretende acreditar, identificándolos con el Clasificador de Bienes y Servicios, en el tercer nivel. Sin embargo, es menester destacar que la parte final del numeral 2.5 del referido artículo indica que </w:t>
      </w:r>
      <w:r w:rsidRPr="1508AF59">
        <w:rPr>
          <w:rFonts w:ascii="Verdana" w:eastAsia="Calibri" w:hAnsi="Verdana" w:cs="Arial"/>
          <w:lang w:val="es-ES" w:eastAsia="es-ES"/>
        </w:rPr>
        <w:t>“</w:t>
      </w:r>
      <w:r w:rsidRPr="1508AF59">
        <w:rPr>
          <w:rFonts w:ascii="Verdana" w:eastAsia="Times New Roman" w:hAnsi="Verdana" w:cs="Arial"/>
          <w:lang w:val="es-ES" w:eastAsia="es-ES"/>
        </w:rPr>
        <w:t>[s]i la constitución del interesado es menor a tres (3) años, puede acreditar la experiencia de sus accionistas, socios o constituyentes</w:t>
      </w:r>
      <w:r w:rsidRPr="1508AF59">
        <w:rPr>
          <w:rFonts w:ascii="Verdana" w:eastAsia="Calibri" w:hAnsi="Verdana" w:cs="Arial"/>
          <w:lang w:val="es-ES" w:eastAsia="es-ES"/>
        </w:rPr>
        <w:t>”</w:t>
      </w:r>
      <w:r w:rsidRPr="1508AF59">
        <w:rPr>
          <w:rFonts w:ascii="Verdana" w:eastAsia="Times New Roman" w:hAnsi="Verdana" w:cs="Arial"/>
          <w:lang w:val="es-ES" w:eastAsia="es-ES"/>
        </w:rPr>
        <w:t>.</w:t>
      </w:r>
    </w:p>
    <w:p w14:paraId="0800BF5F" w14:textId="77777777" w:rsidR="00AB4CEF" w:rsidRPr="000A6B85" w:rsidRDefault="00AB4CEF" w:rsidP="00AB4CEF">
      <w:pPr>
        <w:tabs>
          <w:tab w:val="left" w:pos="483"/>
        </w:tabs>
        <w:spacing w:after="120" w:line="276" w:lineRule="auto"/>
        <w:jc w:val="both"/>
        <w:rPr>
          <w:rFonts w:ascii="Verdana" w:eastAsia="Calibri" w:hAnsi="Verdana" w:cs="Arial"/>
          <w:shd w:val="clear" w:color="auto" w:fill="FFFFFF"/>
          <w:lang w:val="es-ES"/>
        </w:rPr>
      </w:pPr>
      <w:r w:rsidRPr="002A000A">
        <w:rPr>
          <w:rFonts w:ascii="Verdana" w:eastAsia="Calibri" w:hAnsi="Verdana" w:cs="Arial"/>
          <w:color w:val="000000"/>
          <w:shd w:val="clear" w:color="auto" w:fill="FFFFFF"/>
          <w:lang w:val="es-ES_tradnl"/>
        </w:rPr>
        <w:tab/>
      </w:r>
      <w:r w:rsidRPr="002A000A">
        <w:rPr>
          <w:rFonts w:ascii="Verdana" w:eastAsia="Calibri" w:hAnsi="Verdana" w:cs="Arial"/>
          <w:color w:val="000000"/>
          <w:shd w:val="clear" w:color="auto" w:fill="FFFFFF"/>
          <w:lang w:val="es-ES_tradnl"/>
        </w:rPr>
        <w:tab/>
      </w:r>
      <w:r w:rsidRPr="38FACAB2">
        <w:rPr>
          <w:rFonts w:ascii="Verdana" w:eastAsia="Calibri" w:hAnsi="Verdana" w:cs="Arial"/>
          <w:color w:val="000000"/>
          <w:shd w:val="clear" w:color="auto" w:fill="FFFFFF"/>
          <w:lang w:val="es-ES"/>
        </w:rPr>
        <w:t>De este modo, se evidencia que la parte final del numeral 2.5 del artículo citado incluye una medida diferenciada para las personas jurídicas cuya constitución sea menor a tres (3) años al momento del registro. Esta prerrogativa, que puede entenderse como una medida de fomento a la participación de pequeños oferentes en la contratación estatal, permite que las sociedades relativamente nuevas –con menos de tres (3) años de constitución– puedan acreditar como experiencia en el RUP la de sus accionistas, socios o constituyentes. Pese a que la experiencia es inherente a la persona que la ha obtenido, razón por la cual es, en principio, intransferible en virtud de su carácter personalísimo</w:t>
      </w:r>
      <w:r w:rsidRPr="000A6B85">
        <w:rPr>
          <w:rFonts w:ascii="Verdana" w:eastAsia="Calibri" w:hAnsi="Verdana" w:cs="Arial"/>
          <w:shd w:val="clear" w:color="auto" w:fill="FFFFFF"/>
          <w:lang w:val="es-ES"/>
        </w:rPr>
        <w:t>, por disposición legal o reglamentaria, en casos excepcionales, como el descrito en el artículo mencionado, se aplica de otra manera.</w:t>
      </w:r>
    </w:p>
    <w:p w14:paraId="1FBA44E7" w14:textId="77777777" w:rsidR="00AB4CEF" w:rsidRPr="000A6B85" w:rsidRDefault="00AB4CEF" w:rsidP="00AB4CEF">
      <w:pPr>
        <w:tabs>
          <w:tab w:val="left" w:pos="483"/>
        </w:tabs>
        <w:spacing w:after="120" w:line="276" w:lineRule="auto"/>
        <w:jc w:val="both"/>
        <w:rPr>
          <w:rFonts w:ascii="Verdana" w:eastAsia="Calibri" w:hAnsi="Verdana" w:cs="Arial"/>
          <w:shd w:val="clear" w:color="auto" w:fill="FFFFFF"/>
          <w:lang w:val="es-ES"/>
        </w:rPr>
      </w:pPr>
      <w:r w:rsidRPr="000A6B85">
        <w:rPr>
          <w:rFonts w:ascii="Verdana" w:eastAsia="Calibri" w:hAnsi="Verdana" w:cs="Arial"/>
          <w:shd w:val="clear" w:color="auto" w:fill="FFFFFF"/>
          <w:lang w:val="es-ES_tradnl"/>
        </w:rPr>
        <w:tab/>
      </w:r>
      <w:r w:rsidRPr="000A6B85">
        <w:rPr>
          <w:rFonts w:ascii="Verdana" w:eastAsia="Calibri" w:hAnsi="Verdana" w:cs="Arial"/>
          <w:shd w:val="clear" w:color="auto" w:fill="FFFFFF"/>
          <w:lang w:val="es-ES_tradnl"/>
        </w:rPr>
        <w:tab/>
      </w:r>
      <w:r w:rsidRPr="000A6B85">
        <w:rPr>
          <w:rFonts w:ascii="Verdana" w:eastAsia="Calibri" w:hAnsi="Verdana" w:cs="Arial"/>
          <w:shd w:val="clear" w:color="auto" w:fill="FFFFFF"/>
          <w:lang w:val="es-ES"/>
        </w:rPr>
        <w:t>La finalidad de esta norma es permitir que las sociedades que no cuentan con la experiencia suficiente para contratar con el Estado puedan apoyarse en la experiencia de sus accionistas, socios o constituyentes con el fin de incentivar la competencia en la contratación estatal. Así las cosas, el socio transfiere la experiencia adquirida directamente a la sociedad de la que es parte, para que esta, como persona jurídica independiente, pueda cumplir con los requisitos habilitantes o puntuables que establezcan las Entidades Estatales en sus Procesos de Contratación, y de esta forma promover el desarrollo de la empresa y la pluralidad de oferentes en la contratación pública.</w:t>
      </w:r>
    </w:p>
    <w:p w14:paraId="47F21DE5" w14:textId="07D394E5" w:rsidR="00AB4CEF" w:rsidRPr="002A000A" w:rsidRDefault="00AB4CEF" w:rsidP="00AB4CEF">
      <w:pPr>
        <w:spacing w:before="120" w:after="120" w:line="276" w:lineRule="auto"/>
        <w:ind w:firstLine="708"/>
        <w:jc w:val="both"/>
        <w:rPr>
          <w:rFonts w:ascii="Verdana" w:eastAsia="Times New Roman" w:hAnsi="Verdana" w:cs="Arial"/>
          <w:lang w:val="es-ES_tradnl" w:eastAsia="es-ES_tradnl"/>
        </w:rPr>
      </w:pPr>
      <w:r w:rsidRPr="002A000A">
        <w:rPr>
          <w:rFonts w:ascii="Verdana" w:eastAsia="Times New Roman" w:hAnsi="Verdana" w:cs="Arial"/>
          <w:lang w:val="es-ES_tradnl" w:eastAsia="es-ES_tradnl"/>
        </w:rPr>
        <w:t xml:space="preserve">Este aspecto ofrece meridiana claridad en cuanto a su aplicación, pero el interrogante que ha generado la norma es el siguiente: ¿qué pasa después de que la sociedad a la que le ha sido permitido certificar la experiencia de sus socios, accionistas o constituyentes cumple tres (3) años de su constitución?, ¿puede seguir siendo beneficiaria de la prerrogativa del numeral 2.5 del artículo </w:t>
      </w:r>
      <w:r w:rsidRPr="002A000A">
        <w:rPr>
          <w:rFonts w:ascii="Verdana" w:eastAsia="Times New Roman" w:hAnsi="Verdana" w:cs="Arial"/>
          <w:lang w:val="es-ES_tradnl" w:eastAsia="es-ES_tradnl"/>
        </w:rPr>
        <w:lastRenderedPageBreak/>
        <w:t xml:space="preserve">2.2.1.1.1.5.2 del Decreto 1082 de 2015? Estos interrogantes han sido planteados a la Subdirección de Gestión Contractual de esta Agencia y se han desarrollado </w:t>
      </w:r>
      <w:r w:rsidR="00013659">
        <w:rPr>
          <w:rFonts w:ascii="Verdana" w:eastAsia="Times New Roman" w:hAnsi="Verdana" w:cs="Arial"/>
          <w:lang w:val="es-ES_tradnl" w:eastAsia="es-ES_tradnl"/>
        </w:rPr>
        <w:t xml:space="preserve">a la siguiente </w:t>
      </w:r>
      <w:r w:rsidR="00013659" w:rsidRPr="00013659">
        <w:rPr>
          <w:rFonts w:ascii="Verdana" w:eastAsia="Times New Roman" w:hAnsi="Verdana" w:cs="Arial"/>
          <w:lang w:val="es-ES_tradnl" w:eastAsia="es-ES_tradnl"/>
        </w:rPr>
        <w:t>posición</w:t>
      </w:r>
      <w:r w:rsidRPr="00013659">
        <w:rPr>
          <w:rFonts w:ascii="Verdana" w:eastAsia="Times New Roman" w:hAnsi="Verdana" w:cs="Arial"/>
          <w:lang w:val="es-ES_tradnl" w:eastAsia="es-ES_tradnl"/>
        </w:rPr>
        <w:t>:</w:t>
      </w:r>
      <w:r w:rsidRPr="002A000A">
        <w:rPr>
          <w:rFonts w:ascii="Verdana" w:eastAsia="Times New Roman" w:hAnsi="Verdana" w:cs="Arial"/>
          <w:lang w:val="es-ES_tradnl" w:eastAsia="es-ES_tradnl"/>
        </w:rPr>
        <w:t xml:space="preserve"> </w:t>
      </w:r>
    </w:p>
    <w:p w14:paraId="2E71BB13" w14:textId="6C82F8C1" w:rsidR="00AB4CEF" w:rsidRPr="002A000A" w:rsidRDefault="00AB4CEF" w:rsidP="00AB4CEF">
      <w:pPr>
        <w:spacing w:after="0" w:line="276" w:lineRule="auto"/>
        <w:ind w:firstLine="708"/>
        <w:contextualSpacing/>
        <w:jc w:val="both"/>
        <w:rPr>
          <w:rFonts w:ascii="Verdana" w:eastAsia="Times New Roman" w:hAnsi="Verdana" w:cs="Arial"/>
          <w:lang w:val="es-ES" w:eastAsia="es-ES"/>
        </w:rPr>
      </w:pPr>
      <w:r w:rsidRPr="38FACAB2">
        <w:rPr>
          <w:rFonts w:ascii="Verdana" w:eastAsia="Times New Roman" w:hAnsi="Verdana" w:cs="Arial"/>
          <w:lang w:val="es-ES" w:eastAsia="es-ES"/>
        </w:rPr>
        <w:t xml:space="preserve">Para esta Agencia, </w:t>
      </w:r>
      <w:bookmarkStart w:id="0" w:name="_Hlk67498604"/>
      <w:r w:rsidRPr="38FACAB2">
        <w:rPr>
          <w:rFonts w:ascii="Verdana" w:eastAsia="Times New Roman" w:hAnsi="Verdana" w:cs="Arial"/>
          <w:lang w:val="es-ES" w:eastAsia="es-ES"/>
        </w:rPr>
        <w:t xml:space="preserve">si la persona jurídica con menos de tres (3) años de constituida registra la experiencia de sus socios, accionistas o constituyentes en el RUP, y este es renovado, puede continuar utilizando la experiencia inscrita mientras no cesen los efectos del RUP. Por el contrario, si no se renueva y la persona jurídica supera los tres (3) años de constituida, la experiencia que registró de sus socios, accionistas o constituyentes no puede ser inscrita nuevamente, puesto que el RUP ha cesado </w:t>
      </w:r>
      <w:r w:rsidR="00F83A22">
        <w:rPr>
          <w:rFonts w:ascii="Verdana" w:eastAsia="Times New Roman" w:hAnsi="Verdana" w:cs="Arial"/>
          <w:lang w:val="es-ES" w:eastAsia="es-ES"/>
        </w:rPr>
        <w:t xml:space="preserve">en </w:t>
      </w:r>
      <w:r w:rsidRPr="38FACAB2">
        <w:rPr>
          <w:rFonts w:ascii="Verdana" w:eastAsia="Times New Roman" w:hAnsi="Verdana" w:cs="Arial"/>
          <w:lang w:val="es-ES" w:eastAsia="es-ES"/>
        </w:rPr>
        <w:t xml:space="preserve">sus efectos y la cámara de comercio tiene que hacer nuevamente la verificación documental de la información presentada al momento de inscribirse en el registro. </w:t>
      </w:r>
      <w:bookmarkEnd w:id="0"/>
      <w:r w:rsidRPr="38FACAB2">
        <w:rPr>
          <w:rFonts w:ascii="Verdana" w:eastAsia="Times New Roman" w:hAnsi="Verdana" w:cs="Arial"/>
          <w:lang w:val="es-ES" w:eastAsia="es-ES"/>
        </w:rPr>
        <w:t xml:space="preserve">Lo anterior, tiene fundamento en la Circular Única de la Superintendencia de Industria y Comercio, cuyo numeral 4.2 del capítulo cuarto del título VIII, sobre el procedimiento para llevar el Registro Único de Proponentes, dispone lo siguiente:  </w:t>
      </w:r>
    </w:p>
    <w:p w14:paraId="5C229C6C" w14:textId="77777777" w:rsidR="00AB4CEF" w:rsidRPr="002A000A" w:rsidRDefault="00AB4CEF" w:rsidP="00AB4CEF">
      <w:pPr>
        <w:spacing w:after="0" w:line="276" w:lineRule="auto"/>
        <w:ind w:firstLine="708"/>
        <w:contextualSpacing/>
        <w:jc w:val="both"/>
        <w:rPr>
          <w:rFonts w:ascii="Verdana" w:eastAsia="Times New Roman" w:hAnsi="Verdana" w:cs="Arial"/>
          <w:lang w:val="es-ES_tradnl" w:eastAsia="es-ES_tradnl"/>
        </w:rPr>
      </w:pPr>
    </w:p>
    <w:p w14:paraId="36D7B0E1" w14:textId="77777777" w:rsidR="00AB4CEF" w:rsidRPr="00FD4928" w:rsidRDefault="00AB4CEF" w:rsidP="00AB4CEF">
      <w:pPr>
        <w:spacing w:after="0" w:line="240" w:lineRule="auto"/>
        <w:ind w:left="709" w:right="709"/>
        <w:contextualSpacing/>
        <w:jc w:val="both"/>
        <w:rPr>
          <w:rFonts w:ascii="Verdana" w:eastAsia="Times New Roman" w:hAnsi="Verdana" w:cs="Arial"/>
          <w:sz w:val="20"/>
          <w:szCs w:val="20"/>
          <w:lang w:val="es-ES_tradnl" w:eastAsia="es-ES_tradnl"/>
        </w:rPr>
      </w:pPr>
      <w:r w:rsidRPr="00FD4928">
        <w:rPr>
          <w:rFonts w:ascii="Verdana" w:eastAsia="Times New Roman" w:hAnsi="Verdana" w:cs="Arial"/>
          <w:sz w:val="20"/>
          <w:szCs w:val="20"/>
          <w:lang w:val="es-ES_tradnl" w:eastAsia="es-ES_tradnl"/>
        </w:rPr>
        <w:t xml:space="preserve">“4.2.5. Vigencia de los documentos. Para efectos de renovación y actualización se considera que los documentos no pierden su vigencia salvo disposición legal en contrario. Por lo anterior, las Cámaras de Comercio no podrán abstenerse de realizar la inscripción argumentando el vencimiento de los documentos de soporte”. </w:t>
      </w:r>
    </w:p>
    <w:p w14:paraId="0BA972D2" w14:textId="77777777" w:rsidR="00AB4CEF" w:rsidRPr="002A000A" w:rsidRDefault="00AB4CEF" w:rsidP="00AB4CEF">
      <w:pPr>
        <w:spacing w:after="0" w:line="276" w:lineRule="auto"/>
        <w:ind w:left="709" w:right="709"/>
        <w:contextualSpacing/>
        <w:jc w:val="both"/>
        <w:rPr>
          <w:rFonts w:ascii="Verdana" w:eastAsia="Times New Roman" w:hAnsi="Verdana" w:cs="Arial"/>
          <w:lang w:val="es-ES_tradnl" w:eastAsia="es-ES_tradnl"/>
        </w:rPr>
      </w:pPr>
    </w:p>
    <w:p w14:paraId="7EA695E9" w14:textId="77777777" w:rsidR="00AB4CEF" w:rsidRPr="002A000A" w:rsidRDefault="00AB4CEF" w:rsidP="00AB4CEF">
      <w:pPr>
        <w:spacing w:after="0" w:line="276" w:lineRule="auto"/>
        <w:ind w:firstLine="708"/>
        <w:jc w:val="both"/>
        <w:rPr>
          <w:rFonts w:ascii="Verdana" w:eastAsia="Times New Roman" w:hAnsi="Verdana" w:cs="Arial"/>
          <w:lang w:val="es-ES_tradnl" w:eastAsia="es-ES_tradnl"/>
        </w:rPr>
      </w:pPr>
      <w:r w:rsidRPr="002A000A">
        <w:rPr>
          <w:rFonts w:ascii="Verdana" w:eastAsia="Times New Roman" w:hAnsi="Verdana" w:cs="Arial"/>
          <w:lang w:val="es-ES_tradnl" w:eastAsia="es-ES_tradnl"/>
        </w:rPr>
        <w:t xml:space="preserve">Así las cosas, con el fin de incentivar la participación continua y constante de los proponentes, las Entidades Estatales, en sus Procesos de Contratación, aceptarán como válida la experiencia de los socios, accionistas o constituyentes incluso después de cumplidos los tres (3) años de constitución de la sociedad, siempre y cuando se renueve constantemente el RUP, pues esta interpretación permite incentivar la creación de empresa y generar una mayor participación de las empresas recién constituidas. En este sentido, si bien la norma no dispone qué sucede con la experiencia aportada por los socios, accionistas o constituyentes, después de los tres (3) años de constituida la persona jurídica, para esta Subdirección sigue siendo válida, por lo que la entidad la debe tener en cuenta. De esta forma se garantiza la pluralidad de oferentes en los Procesos de Contratación. </w:t>
      </w:r>
    </w:p>
    <w:p w14:paraId="57D2119D" w14:textId="77777777" w:rsidR="00AB4CEF" w:rsidRPr="002A000A" w:rsidRDefault="00AB4CEF" w:rsidP="00AB4CEF">
      <w:pPr>
        <w:spacing w:before="120" w:after="120" w:line="276" w:lineRule="auto"/>
        <w:ind w:firstLine="708"/>
        <w:jc w:val="both"/>
        <w:rPr>
          <w:rFonts w:ascii="Verdana" w:eastAsia="Times New Roman" w:hAnsi="Verdana" w:cs="Arial"/>
          <w:lang w:val="es-ES_tradnl" w:eastAsia="es-ES_tradnl"/>
        </w:rPr>
      </w:pPr>
      <w:r w:rsidRPr="002A000A">
        <w:rPr>
          <w:rFonts w:ascii="Verdana" w:eastAsia="Times New Roman" w:hAnsi="Verdana" w:cs="Arial"/>
          <w:lang w:val="es-ES_tradnl" w:eastAsia="es-ES_tradnl"/>
        </w:rPr>
        <w:t xml:space="preserve">En línea con lo anterior, el numeral 2.5. del artículo 2.2.1.1.1.5.2 del Decreto 1082 de 2015 consagra una prerrogativa para las sociedades nuevas, </w:t>
      </w:r>
      <w:r w:rsidRPr="002A000A">
        <w:rPr>
          <w:rFonts w:ascii="Verdana" w:eastAsia="Times New Roman" w:hAnsi="Verdana" w:cs="Arial"/>
          <w:lang w:val="es-ES_tradnl" w:eastAsia="es-ES_tradnl"/>
        </w:rPr>
        <w:lastRenderedPageBreak/>
        <w:t xml:space="preserve">que busca fomentar su competencia en el campo de la contratación estatal, sin establecer limitantes en relación con las entidades o Procesos de Contratación en los que las personas jurídicas con menos de tres (3) años de constitución pueden acreditar la experiencia transferida por sus socios en virtud de la referida prerrogativa. </w:t>
      </w:r>
    </w:p>
    <w:p w14:paraId="30FAAB8C" w14:textId="77777777" w:rsidR="00AB4CEF" w:rsidRPr="002A000A" w:rsidRDefault="00AB4CEF" w:rsidP="00AB4CEF">
      <w:pPr>
        <w:spacing w:before="120" w:after="0" w:line="276" w:lineRule="auto"/>
        <w:ind w:firstLine="709"/>
        <w:jc w:val="both"/>
        <w:rPr>
          <w:rFonts w:ascii="Verdana" w:eastAsia="Times New Roman" w:hAnsi="Verdana" w:cs="Arial"/>
          <w:lang w:val="es-ES_tradnl" w:eastAsia="es-ES_tradnl"/>
        </w:rPr>
      </w:pPr>
      <w:r w:rsidRPr="002A000A">
        <w:rPr>
          <w:rFonts w:ascii="Verdana" w:eastAsia="Times New Roman" w:hAnsi="Verdana" w:cs="Arial"/>
          <w:lang w:val="es-ES_tradnl" w:eastAsia="es-ES_tradnl"/>
        </w:rPr>
        <w:t>Por tanto, en atención al principio general de interpretación según el cual donde el legislador no distingue no le es dado hacerlo al intérprete, el hecho de que una sociedad con menos de tres (3) años de constitución haya hecho uso de la referida prerrogativa en determinado Proceso de Contratación o entidad, no excluye la posibilidad de que dicha sociedad siga haciendo uso del beneficio en otros procesos de contratación adelantados por otras entidades, incluso una vez vencidos los tres (3) años de constitución, siempre que no hayan cesado los efectos del RUP por el incumplimiento del deber de renovación.</w:t>
      </w:r>
    </w:p>
    <w:p w14:paraId="1B93E8D6" w14:textId="77777777" w:rsidR="00AB4CEF" w:rsidRPr="002A000A" w:rsidRDefault="00AB4CEF" w:rsidP="00AB4CEF">
      <w:pPr>
        <w:spacing w:before="120" w:after="120" w:line="276" w:lineRule="auto"/>
        <w:ind w:firstLine="709"/>
        <w:jc w:val="both"/>
        <w:rPr>
          <w:rFonts w:ascii="Verdana" w:eastAsia="Times New Roman" w:hAnsi="Verdana" w:cs="Arial"/>
          <w:lang w:val="es-ES" w:eastAsia="es-ES"/>
        </w:rPr>
      </w:pPr>
      <w:r w:rsidRPr="38FACAB2">
        <w:rPr>
          <w:rFonts w:ascii="Verdana" w:eastAsia="Calibri" w:hAnsi="Verdana" w:cs="Arial"/>
          <w:color w:val="000000"/>
          <w:shd w:val="clear" w:color="auto" w:fill="FFFFFF"/>
          <w:lang w:val="es-ES"/>
        </w:rPr>
        <w:t xml:space="preserve">Ahora bien, debe aclararse que </w:t>
      </w:r>
      <w:r w:rsidRPr="38FACAB2">
        <w:rPr>
          <w:rFonts w:ascii="Verdana" w:eastAsia="Times New Roman" w:hAnsi="Verdana" w:cs="Arial"/>
          <w:lang w:val="es-ES" w:eastAsia="es-ES"/>
        </w:rPr>
        <w:t xml:space="preserve">el Decreto 1082 de 2015 solo permite que una sociedad acredite la experiencia de quienes tienen la calidad de accionistas, socios o constituyentes </w:t>
      </w:r>
      <w:r w:rsidRPr="38FACAB2">
        <w:rPr>
          <w:rFonts w:ascii="Verdana" w:eastAsia="Calibri" w:hAnsi="Verdana" w:cs="Arial"/>
          <w:lang w:val="es-ES"/>
        </w:rPr>
        <w:t>cuando tiene menos de tres (3) años de constitución</w:t>
      </w:r>
      <w:r w:rsidRPr="38FACAB2">
        <w:rPr>
          <w:rFonts w:ascii="Verdana" w:eastAsia="Times New Roman" w:hAnsi="Verdana" w:cs="Arial"/>
          <w:lang w:val="es-ES" w:eastAsia="es-ES"/>
        </w:rPr>
        <w:t>. De esta forma, en caso de que la sociedad haya superado el referido término de haberse constituido, no podrá acreditar la experiencia obtenida por un nuevo socio o accionista, con el fin de beneficiarse de la prerrogativa señalada en el numeral 2.5 del artículo 2.2.1.1.1.5.2 del citado decreto.</w:t>
      </w:r>
    </w:p>
    <w:p w14:paraId="14581E74" w14:textId="77777777" w:rsidR="00AB4CEF" w:rsidRPr="002A000A" w:rsidRDefault="00AB4CEF" w:rsidP="00AB4CEF">
      <w:pPr>
        <w:shd w:val="clear" w:color="auto" w:fill="FFFFFF" w:themeFill="background1"/>
        <w:snapToGrid w:val="0"/>
        <w:spacing w:after="120" w:line="276" w:lineRule="auto"/>
        <w:ind w:firstLine="709"/>
        <w:jc w:val="both"/>
        <w:rPr>
          <w:rFonts w:ascii="Verdana" w:eastAsia="Times New Roman" w:hAnsi="Verdana" w:cs="Arial"/>
          <w:lang w:val="es-ES" w:eastAsia="es-ES"/>
        </w:rPr>
      </w:pPr>
      <w:r w:rsidRPr="38FACAB2">
        <w:rPr>
          <w:rFonts w:ascii="Verdana" w:eastAsia="Times New Roman" w:hAnsi="Verdana" w:cs="Arial"/>
          <w:lang w:val="es-ES" w:eastAsia="es-ES"/>
        </w:rPr>
        <w:t xml:space="preserve">En este sentido, la experiencia transferida de los accionistas, socios o constituyentes a la persona jurídica que </w:t>
      </w:r>
      <w:r w:rsidRPr="00013659">
        <w:rPr>
          <w:rFonts w:ascii="Verdana" w:eastAsia="Times New Roman" w:hAnsi="Verdana" w:cs="Arial"/>
          <w:lang w:val="es-ES" w:eastAsia="es-ES"/>
        </w:rPr>
        <w:t>tiene menos de tres (3) años de constitución solo puede verificarse con el registro, sin que sea posible para la entidad contratante solicitar documentos adicionales a los oferentes. Ahora bien, si la persona jurídica con menos de tres (3) años de constituida registra la experiencia de sus socios en el RUP, y este es renovado constantemente de forma oportuna, puede continuar utilizando la experiencia inscrita mientras</w:t>
      </w:r>
      <w:r w:rsidRPr="38FACAB2">
        <w:rPr>
          <w:rFonts w:ascii="Verdana" w:eastAsia="Times New Roman" w:hAnsi="Verdana" w:cs="Arial"/>
          <w:lang w:val="es-ES" w:eastAsia="es-ES"/>
        </w:rPr>
        <w:t xml:space="preserve"> no cesen los efectos del RUP, incluso después de transcurridos los tres (3) años. Por el contrario, si no se renueva y la persona jurídica supera los tres (3) años de constituida, la experiencia que registró de sus socios no puede ser inscrita nuevamente, puesto que el RUP ha cesado sus efectos y la Cámara de Comercio tiene que hacer nuevamente la verificación documental de la información presentada al momento de inscribirse en el registro.  </w:t>
      </w:r>
    </w:p>
    <w:p w14:paraId="72F2CF3C" w14:textId="16069BEB" w:rsidR="005D4E07" w:rsidRPr="00F83A22" w:rsidRDefault="00AB4CEF" w:rsidP="00F83A22">
      <w:pPr>
        <w:snapToGrid w:val="0"/>
        <w:spacing w:after="120" w:line="276" w:lineRule="auto"/>
        <w:ind w:firstLine="709"/>
        <w:jc w:val="both"/>
        <w:rPr>
          <w:rFonts w:ascii="Verdana" w:eastAsia="Calibri" w:hAnsi="Verdana" w:cs="Arial"/>
          <w:lang w:val="es-ES"/>
        </w:rPr>
      </w:pPr>
      <w:r w:rsidRPr="38FACAB2">
        <w:rPr>
          <w:rFonts w:ascii="Verdana" w:eastAsia="Calibri" w:hAnsi="Verdana" w:cs="Arial"/>
          <w:lang w:val="es-ES"/>
        </w:rPr>
        <w:t xml:space="preserve">Esta es la aplicación de la norma que se impone con la finalidad de evitar prácticas corruptas o que atenten contra la transparencia en la contratación </w:t>
      </w:r>
      <w:r w:rsidRPr="38FACAB2">
        <w:rPr>
          <w:rFonts w:ascii="Verdana" w:eastAsia="Calibri" w:hAnsi="Verdana" w:cs="Arial"/>
          <w:lang w:val="es-ES"/>
        </w:rPr>
        <w:lastRenderedPageBreak/>
        <w:t>estatal, por lo que la experiencia aportada por quien se retira no deberá ser tenida en cuenta por las entidades estatales, y no debería ser utilizada por el proponente en procesos de contratación, ya que es inherente a la persona que la ha obtenido. En ese sentido, si el socio se retira de la sociedad, por ejemplo, por venta o cesión de su participación accionaria, no puede vender o ceder su experiencia para que el adquirente o cesionario de la participación accionaria la aporte a la sociedad. En consecuencia, el proponente debería actualizar la experiencia en el RUP, actuando de buena fe en los procesos de contratación.</w:t>
      </w:r>
    </w:p>
    <w:p w14:paraId="5CB1AEA9" w14:textId="10EE848A" w:rsidR="005D4E07" w:rsidRPr="00F83A22" w:rsidRDefault="00F83A22" w:rsidP="005D4E07">
      <w:pPr>
        <w:spacing w:after="0" w:line="276" w:lineRule="auto"/>
        <w:ind w:firstLine="708"/>
        <w:contextualSpacing/>
        <w:jc w:val="both"/>
        <w:rPr>
          <w:rFonts w:ascii="Verdana" w:eastAsia="Calibri" w:hAnsi="Verdana"/>
          <w:color w:val="7030A0"/>
          <w:lang w:val="es-ES"/>
        </w:rPr>
      </w:pPr>
      <w:r w:rsidRPr="00F83A22">
        <w:rPr>
          <w:rFonts w:ascii="Verdana" w:eastAsia="Calibri" w:hAnsi="Verdana" w:cs="Arial"/>
          <w:color w:val="000000" w:themeColor="text1"/>
        </w:rPr>
        <w:t>Ahora bien, cuando del proceso de selección por su causal o contrato no</w:t>
      </w:r>
      <w:r>
        <w:rPr>
          <w:rFonts w:ascii="Verdana" w:eastAsia="Calibri" w:hAnsi="Verdana" w:cs="Arial"/>
          <w:color w:val="000000" w:themeColor="text1"/>
        </w:rPr>
        <w:t xml:space="preserve"> </w:t>
      </w:r>
      <w:r w:rsidRPr="00F83A22">
        <w:rPr>
          <w:rFonts w:ascii="Verdana" w:eastAsia="Calibri" w:hAnsi="Verdana" w:cs="Arial"/>
          <w:color w:val="000000" w:themeColor="text1"/>
        </w:rPr>
        <w:t>s</w:t>
      </w:r>
      <w:r>
        <w:rPr>
          <w:rFonts w:ascii="Verdana" w:eastAsia="Calibri" w:hAnsi="Verdana" w:cs="Arial"/>
          <w:color w:val="000000" w:themeColor="text1"/>
        </w:rPr>
        <w:t>e</w:t>
      </w:r>
      <w:r w:rsidRPr="00F83A22">
        <w:rPr>
          <w:rFonts w:ascii="Verdana" w:eastAsia="Calibri" w:hAnsi="Verdana" w:cs="Arial"/>
          <w:color w:val="000000" w:themeColor="text1"/>
        </w:rPr>
        <w:t xml:space="preserve"> exija RUP</w:t>
      </w:r>
      <w:r>
        <w:rPr>
          <w:rFonts w:ascii="Verdana" w:eastAsia="Calibri" w:hAnsi="Verdana" w:cs="Arial"/>
          <w:color w:val="000000" w:themeColor="text1"/>
        </w:rPr>
        <w:t xml:space="preserve"> por efectos del </w:t>
      </w:r>
      <w:r w:rsidRPr="00302790">
        <w:rPr>
          <w:rFonts w:ascii="Verdana" w:eastAsia="Calibri" w:hAnsi="Verdana" w:cs="Arial"/>
          <w:lang w:eastAsia="es-ES"/>
        </w:rPr>
        <w:t>artículo 6 de la ley 1150</w:t>
      </w:r>
      <w:r w:rsidRPr="00F83A22">
        <w:rPr>
          <w:rFonts w:ascii="Verdana" w:eastAsia="Calibri" w:hAnsi="Verdana" w:cs="Arial"/>
          <w:color w:val="000000" w:themeColor="text1"/>
        </w:rPr>
        <w:t xml:space="preserve">, la entidad puede seguir aplicando la regla </w:t>
      </w:r>
      <w:r w:rsidRPr="00F83A22">
        <w:rPr>
          <w:rFonts w:ascii="Verdana" w:eastAsia="Times New Roman" w:hAnsi="Verdana" w:cs="Arial"/>
          <w:lang w:val="es-ES_tradnl" w:eastAsia="es-ES_tradnl"/>
        </w:rPr>
        <w:t xml:space="preserve">del numeral 2.5 del artículo 2.2.1.1.1.5.2 del Decreto 1082 de 2015. </w:t>
      </w:r>
      <w:r w:rsidR="005D4E07" w:rsidRPr="00F83A22">
        <w:rPr>
          <w:rFonts w:ascii="Verdana" w:eastAsia="Calibri" w:hAnsi="Verdana" w:cs="Arial"/>
          <w:color w:val="000000" w:themeColor="text1"/>
        </w:rPr>
        <w:t>De tal manera que, cuando la contratación no exija RUP, le corresponderá a la entidad contratante definir en su pliego de condiciones los requisitos para evaluar la habilitación del contratista y su idoneidad.</w:t>
      </w:r>
    </w:p>
    <w:p w14:paraId="27866EED" w14:textId="77777777" w:rsidR="005D4E07" w:rsidRPr="00F83A22" w:rsidRDefault="005D4E07" w:rsidP="005D4E07">
      <w:pPr>
        <w:spacing w:after="0" w:line="276" w:lineRule="auto"/>
        <w:jc w:val="both"/>
        <w:rPr>
          <w:rFonts w:ascii="Verdana" w:eastAsia="Calibri" w:hAnsi="Verdana"/>
          <w:color w:val="7030A0"/>
          <w:lang w:val="es-ES"/>
        </w:rPr>
      </w:pPr>
    </w:p>
    <w:p w14:paraId="27755E5C" w14:textId="45E1BC51" w:rsidR="005D4E07" w:rsidRPr="00F83A22" w:rsidRDefault="005D4E07" w:rsidP="00F83A22">
      <w:pPr>
        <w:widowControl w:val="0"/>
        <w:autoSpaceDE w:val="0"/>
        <w:autoSpaceDN w:val="0"/>
        <w:spacing w:after="0" w:line="276" w:lineRule="auto"/>
        <w:ind w:firstLine="708"/>
        <w:contextualSpacing/>
        <w:jc w:val="both"/>
        <w:rPr>
          <w:rFonts w:ascii="Verdana" w:hAnsi="Verdana"/>
        </w:rPr>
      </w:pPr>
      <w:r w:rsidRPr="00F83A22">
        <w:rPr>
          <w:rFonts w:ascii="Verdana" w:hAnsi="Verdana" w:cs="Arial"/>
        </w:rPr>
        <w:t xml:space="preserve">En conclusión, la experiencia se acreditará en los casos que exija la norma con el RUP en firme y por el contrario en los casos de </w:t>
      </w:r>
      <w:r w:rsidR="00F83A22">
        <w:rPr>
          <w:rFonts w:ascii="Verdana" w:hAnsi="Verdana" w:cs="Arial"/>
        </w:rPr>
        <w:t xml:space="preserve"> indicados en el artículo 6 de la ley 1150 de 2007 […] </w:t>
      </w:r>
      <w:r w:rsidRPr="00F83A22">
        <w:rPr>
          <w:rFonts w:ascii="Verdana" w:hAnsi="Verdana" w:cs="Arial"/>
        </w:rPr>
        <w:t>“contratación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w:t>
      </w:r>
      <w:r w:rsidR="00F83A22">
        <w:rPr>
          <w:rFonts w:ascii="Verdana" w:hAnsi="Verdana" w:cs="Arial"/>
        </w:rPr>
        <w:t xml:space="preserve">  […]</w:t>
      </w:r>
      <w:r w:rsidRPr="00F83A22">
        <w:rPr>
          <w:rFonts w:ascii="Verdana" w:hAnsi="Verdana" w:cs="Arial"/>
        </w:rPr>
        <w:t xml:space="preserve"> , le corresponderá a la entidad contratante definir en su pliego de condiciones los requisitos para evaluar la habilitación del contratista y su idoneidad </w:t>
      </w:r>
      <w:r w:rsidRPr="00F83A22">
        <w:rPr>
          <w:rFonts w:ascii="Verdana" w:hAnsi="Verdana"/>
        </w:rPr>
        <w:t>y de esta forma le corresponderá al oferente cumplir con lo señalado en el pliego de condiciones</w:t>
      </w:r>
      <w:r w:rsidR="00F83A22">
        <w:rPr>
          <w:rFonts w:ascii="Verdana" w:hAnsi="Verdana"/>
        </w:rPr>
        <w:t>.</w:t>
      </w:r>
    </w:p>
    <w:p w14:paraId="6AD5874B" w14:textId="5C0C7F96" w:rsidR="00AB4CEF" w:rsidRDefault="00AB4CEF" w:rsidP="00F83A22">
      <w:pPr>
        <w:snapToGrid w:val="0"/>
        <w:spacing w:after="0" w:line="276" w:lineRule="auto"/>
        <w:ind w:firstLine="708"/>
        <w:jc w:val="both"/>
        <w:rPr>
          <w:rFonts w:ascii="Verdana" w:eastAsia="Calibri" w:hAnsi="Verdana" w:cs="Arial"/>
        </w:rPr>
      </w:pPr>
      <w:r w:rsidRPr="00E06F3A">
        <w:rPr>
          <w:rFonts w:ascii="Verdana" w:eastAsia="Calibri" w:hAnsi="Verdana" w:cs="Arial"/>
        </w:rPr>
        <w:t>En consecuencia, la norma no limita la transferencia de experiencia únicamente a los contratos ejecutados con anterioridad a la constitución de la sociedad. Lo relevante es que, al momento de la inscripción en el Registro Único de Proponentes (RUP), el socio, accionista o constituyente ostente formalmente dicha calidad dentro de la persona jurídica beneficiaria, y que la experiencia a transferir le pertenezca legítimamente, según su propio historial contractual.</w:t>
      </w:r>
    </w:p>
    <w:p w14:paraId="16A4CCC5" w14:textId="77777777" w:rsidR="00F83A22" w:rsidRDefault="00F83A22" w:rsidP="00F83A22">
      <w:pPr>
        <w:snapToGrid w:val="0"/>
        <w:spacing w:after="0" w:line="276" w:lineRule="auto"/>
        <w:ind w:firstLine="708"/>
        <w:jc w:val="both"/>
        <w:rPr>
          <w:rFonts w:ascii="Verdana" w:eastAsia="Calibri" w:hAnsi="Verdana" w:cs="Arial"/>
        </w:rPr>
      </w:pPr>
    </w:p>
    <w:p w14:paraId="1CB43AF7" w14:textId="77777777" w:rsidR="00AB4CEF" w:rsidRPr="002F2341" w:rsidRDefault="00AB4CEF" w:rsidP="00FD4928">
      <w:pPr>
        <w:snapToGrid w:val="0"/>
        <w:spacing w:after="0" w:line="276" w:lineRule="auto"/>
        <w:ind w:firstLine="708"/>
        <w:jc w:val="both"/>
        <w:rPr>
          <w:rFonts w:ascii="Verdana" w:eastAsia="Times New Roman" w:hAnsi="Verdana" w:cs="Times New Roman"/>
          <w:color w:val="000000"/>
          <w:lang w:val="es-ES" w:eastAsia="es-CO"/>
        </w:rPr>
      </w:pPr>
    </w:p>
    <w:p w14:paraId="4946CCCD" w14:textId="77777777" w:rsidR="00AB4CEF" w:rsidRPr="002A000A" w:rsidRDefault="00AB4CEF" w:rsidP="00FD4928">
      <w:pPr>
        <w:widowControl w:val="0"/>
        <w:autoSpaceDE w:val="0"/>
        <w:autoSpaceDN w:val="0"/>
        <w:spacing w:after="0" w:line="276" w:lineRule="auto"/>
        <w:outlineLvl w:val="0"/>
        <w:rPr>
          <w:rFonts w:ascii="Verdana" w:eastAsia="Arial" w:hAnsi="Verdana" w:cs="Arial"/>
          <w:b/>
          <w:bCs/>
          <w:lang w:val="es-ES_tradnl"/>
        </w:rPr>
      </w:pPr>
      <w:r w:rsidRPr="002A000A">
        <w:rPr>
          <w:rFonts w:ascii="Verdana" w:eastAsia="Arial" w:hAnsi="Verdana" w:cs="Arial"/>
          <w:b/>
          <w:bCs/>
          <w:lang w:val="es-ES_tradnl"/>
        </w:rPr>
        <w:lastRenderedPageBreak/>
        <w:t>4.Referencias normativas, jurisprudenciales y otras fuentes:</w:t>
      </w:r>
    </w:p>
    <w:p w14:paraId="3C2BC1B8" w14:textId="77777777" w:rsidR="00AB4CEF" w:rsidRPr="002A000A" w:rsidRDefault="00AB4CEF" w:rsidP="00AB4CEF">
      <w:pPr>
        <w:widowControl w:val="0"/>
        <w:autoSpaceDE w:val="0"/>
        <w:autoSpaceDN w:val="0"/>
        <w:spacing w:after="0" w:line="276" w:lineRule="auto"/>
        <w:jc w:val="both"/>
        <w:rPr>
          <w:rFonts w:ascii="Verdana" w:eastAsia="Aptos" w:hAnsi="Verdana" w:cs="Arial"/>
          <w:lang w:val="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B4CEF" w:rsidRPr="002A000A" w14:paraId="6B9D197C" w14:textId="77777777" w:rsidTr="009E0ECF">
        <w:trPr>
          <w:trHeight w:val="870"/>
        </w:trPr>
        <w:tc>
          <w:tcPr>
            <w:tcW w:w="8647" w:type="dxa"/>
          </w:tcPr>
          <w:p w14:paraId="75B3833C" w14:textId="77777777" w:rsidR="00AB4CEF" w:rsidRPr="002A000A" w:rsidRDefault="00AB4CEF" w:rsidP="009E0ECF">
            <w:pPr>
              <w:widowControl w:val="0"/>
              <w:numPr>
                <w:ilvl w:val="0"/>
                <w:numId w:val="17"/>
              </w:numPr>
              <w:autoSpaceDE w:val="0"/>
              <w:autoSpaceDN w:val="0"/>
              <w:snapToGrid w:val="0"/>
              <w:spacing w:line="276" w:lineRule="auto"/>
              <w:ind w:left="714" w:hanging="357"/>
              <w:jc w:val="both"/>
              <w:rPr>
                <w:rFonts w:ascii="Verdana" w:eastAsia="Aptos" w:hAnsi="Verdana" w:cs="Arial"/>
                <w:lang w:val="es-ES_tradnl"/>
              </w:rPr>
            </w:pPr>
            <w:r w:rsidRPr="002A000A">
              <w:rPr>
                <w:rFonts w:ascii="Verdana" w:eastAsia="Aptos" w:hAnsi="Verdana" w:cs="Arial"/>
                <w:lang w:val="es-ES_tradnl"/>
              </w:rPr>
              <w:t>Código de Comercio, artículos 10, 20, 21, 26, 33 y 37.</w:t>
            </w:r>
          </w:p>
          <w:p w14:paraId="66C59368" w14:textId="77777777" w:rsidR="008874B8" w:rsidRPr="008874B8" w:rsidRDefault="008874B8" w:rsidP="008874B8">
            <w:pPr>
              <w:widowControl w:val="0"/>
              <w:numPr>
                <w:ilvl w:val="0"/>
                <w:numId w:val="17"/>
              </w:numPr>
              <w:autoSpaceDE w:val="0"/>
              <w:autoSpaceDN w:val="0"/>
              <w:snapToGrid w:val="0"/>
              <w:spacing w:line="276" w:lineRule="auto"/>
              <w:ind w:left="714" w:hanging="357"/>
              <w:jc w:val="both"/>
              <w:rPr>
                <w:rFonts w:ascii="Verdana" w:eastAsia="Aptos" w:hAnsi="Verdana" w:cs="Arial"/>
                <w:lang w:val="es-ES_tradnl"/>
              </w:rPr>
            </w:pPr>
            <w:r w:rsidRPr="008874B8">
              <w:rPr>
                <w:rFonts w:ascii="Verdana" w:eastAsia="Aptos" w:hAnsi="Verdana" w:cs="Arial"/>
                <w:lang w:val="es-ES_tradnl"/>
              </w:rPr>
              <w:t>Ley 80 de 1993, artículos 6 y 8.</w:t>
            </w:r>
          </w:p>
          <w:p w14:paraId="02BE9B5F" w14:textId="77777777" w:rsidR="00AB4CEF" w:rsidRPr="002A000A" w:rsidRDefault="00AB4CEF" w:rsidP="009E0ECF">
            <w:pPr>
              <w:widowControl w:val="0"/>
              <w:numPr>
                <w:ilvl w:val="0"/>
                <w:numId w:val="17"/>
              </w:numPr>
              <w:autoSpaceDE w:val="0"/>
              <w:autoSpaceDN w:val="0"/>
              <w:snapToGrid w:val="0"/>
              <w:spacing w:line="276" w:lineRule="auto"/>
              <w:ind w:left="714" w:hanging="357"/>
              <w:jc w:val="both"/>
              <w:rPr>
                <w:rFonts w:ascii="Verdana" w:eastAsia="Aptos" w:hAnsi="Verdana" w:cs="Arial"/>
                <w:lang w:val="es-ES_tradnl"/>
              </w:rPr>
            </w:pPr>
            <w:r w:rsidRPr="002A000A">
              <w:rPr>
                <w:rFonts w:ascii="Verdana" w:eastAsia="Aptos" w:hAnsi="Verdana" w:cs="Arial"/>
                <w:lang w:val="es-ES_tradnl"/>
              </w:rPr>
              <w:t>Ley 1150 de 2007, artículos 5 y 6.</w:t>
            </w:r>
          </w:p>
          <w:p w14:paraId="79D9B294" w14:textId="77777777" w:rsidR="00AB4CEF" w:rsidRPr="002A000A" w:rsidRDefault="00AB4CEF" w:rsidP="009E0ECF">
            <w:pPr>
              <w:widowControl w:val="0"/>
              <w:numPr>
                <w:ilvl w:val="0"/>
                <w:numId w:val="17"/>
              </w:numPr>
              <w:autoSpaceDE w:val="0"/>
              <w:autoSpaceDN w:val="0"/>
              <w:snapToGrid w:val="0"/>
              <w:spacing w:line="276" w:lineRule="auto"/>
              <w:ind w:left="714" w:hanging="357"/>
              <w:jc w:val="both"/>
              <w:rPr>
                <w:rFonts w:ascii="Verdana" w:eastAsia="Aptos" w:hAnsi="Verdana" w:cs="Arial"/>
                <w:lang w:val="es-ES_tradnl"/>
              </w:rPr>
            </w:pPr>
            <w:r w:rsidRPr="002A000A">
              <w:rPr>
                <w:rFonts w:ascii="Verdana" w:eastAsia="Aptos" w:hAnsi="Verdana" w:cs="Arial"/>
                <w:lang w:val="es-ES_tradnl"/>
              </w:rPr>
              <w:t xml:space="preserve">Decreto 1082 de 2015, artículos </w:t>
            </w:r>
            <w:r w:rsidRPr="002A000A">
              <w:rPr>
                <w:rFonts w:ascii="Verdana" w:eastAsia="Times New Roman" w:hAnsi="Verdana" w:cs="Arial"/>
                <w:lang w:val="es-ES_tradnl" w:eastAsia="es-ES_tradnl"/>
              </w:rPr>
              <w:t xml:space="preserve">2.2.1.1.1.5.2, </w:t>
            </w:r>
            <w:r w:rsidRPr="002A000A">
              <w:rPr>
                <w:rFonts w:ascii="Verdana" w:eastAsia="Aptos" w:hAnsi="Verdana" w:cs="Arial"/>
                <w:lang w:val="es-ES_tradnl"/>
              </w:rPr>
              <w:t>2.2.1.1.1.6.2 y 2.2.1.1.1.5.3.</w:t>
            </w:r>
          </w:p>
          <w:p w14:paraId="2FA4DCD7" w14:textId="77777777" w:rsidR="00AB4CEF" w:rsidRPr="002A000A" w:rsidRDefault="00AB4CEF" w:rsidP="009E0ECF">
            <w:pPr>
              <w:widowControl w:val="0"/>
              <w:numPr>
                <w:ilvl w:val="0"/>
                <w:numId w:val="17"/>
              </w:numPr>
              <w:autoSpaceDE w:val="0"/>
              <w:autoSpaceDN w:val="0"/>
              <w:snapToGrid w:val="0"/>
              <w:spacing w:line="276" w:lineRule="auto"/>
              <w:ind w:left="714" w:hanging="357"/>
              <w:jc w:val="both"/>
              <w:rPr>
                <w:rFonts w:ascii="Verdana" w:eastAsia="Aptos" w:hAnsi="Verdana" w:cs="Arial"/>
                <w:lang w:val="es-ES_tradnl"/>
              </w:rPr>
            </w:pPr>
            <w:r w:rsidRPr="002A000A">
              <w:rPr>
                <w:rFonts w:ascii="Verdana" w:eastAsia="Aptos" w:hAnsi="Verdana" w:cs="Arial"/>
                <w:lang w:val="es-ES_tradnl"/>
              </w:rPr>
              <w:t xml:space="preserve">Manual para determinar y verificar los requisitos habilitantes en los Procesos de Contratación. Disponible en: </w:t>
            </w:r>
            <w:hyperlink r:id="rId15" w:history="1">
              <w:r w:rsidRPr="002A000A">
                <w:rPr>
                  <w:rFonts w:ascii="Verdana" w:eastAsia="Aptos" w:hAnsi="Verdana" w:cs="Arial"/>
                  <w:color w:val="0000FF"/>
                  <w:u w:val="single"/>
                  <w:lang w:val="es-ES_tradnl"/>
                </w:rPr>
                <w:t>https://www.colombiacompra.gov.co/archivos/manual/manual-para-determinar-y-verificar-los-requisitos-habilitantes-en-los-procesos-de-contratacion</w:t>
              </w:r>
            </w:hyperlink>
            <w:r w:rsidRPr="002A000A">
              <w:rPr>
                <w:rFonts w:ascii="Verdana" w:eastAsia="Aptos" w:hAnsi="Verdana" w:cs="Arial"/>
                <w:lang w:val="es-ES_tradnl"/>
              </w:rPr>
              <w:t xml:space="preserve">. </w:t>
            </w:r>
          </w:p>
          <w:p w14:paraId="62B8EE5C" w14:textId="77777777" w:rsidR="00AB4CEF" w:rsidRPr="002A000A" w:rsidRDefault="00AB4CEF" w:rsidP="009E0ECF">
            <w:pPr>
              <w:widowControl w:val="0"/>
              <w:numPr>
                <w:ilvl w:val="0"/>
                <w:numId w:val="17"/>
              </w:numPr>
              <w:autoSpaceDE w:val="0"/>
              <w:autoSpaceDN w:val="0"/>
              <w:snapToGrid w:val="0"/>
              <w:spacing w:line="276" w:lineRule="auto"/>
              <w:ind w:left="714" w:hanging="357"/>
              <w:jc w:val="both"/>
              <w:rPr>
                <w:rFonts w:ascii="Verdana" w:eastAsia="Aptos" w:hAnsi="Verdana" w:cs="Arial"/>
                <w:lang w:val="es-ES_tradnl"/>
              </w:rPr>
            </w:pPr>
            <w:r w:rsidRPr="002A000A">
              <w:rPr>
                <w:rFonts w:ascii="Verdana" w:eastAsia="Aptos" w:hAnsi="Verdana" w:cs="Arial"/>
                <w:lang w:val="es-ES_tradnl"/>
              </w:rPr>
              <w:t>Circular Única de la Superintendencia de Industria y Comercio.</w:t>
            </w:r>
          </w:p>
        </w:tc>
      </w:tr>
    </w:tbl>
    <w:p w14:paraId="04E790A1" w14:textId="77777777" w:rsidR="00AB4CEF" w:rsidRDefault="00AB4CEF" w:rsidP="00AB4CEF">
      <w:pPr>
        <w:widowControl w:val="0"/>
        <w:autoSpaceDE w:val="0"/>
        <w:autoSpaceDN w:val="0"/>
        <w:spacing w:after="0" w:line="276" w:lineRule="auto"/>
        <w:jc w:val="both"/>
        <w:rPr>
          <w:rFonts w:ascii="Verdana" w:eastAsia="Aptos" w:hAnsi="Verdana" w:cs="Arial"/>
          <w:lang w:val="es-ES_tradnl"/>
        </w:rPr>
      </w:pPr>
    </w:p>
    <w:p w14:paraId="42A4173A" w14:textId="77777777" w:rsidR="00AB4CEF" w:rsidRPr="002A000A" w:rsidRDefault="00AB4CEF" w:rsidP="00AB4CEF">
      <w:pPr>
        <w:widowControl w:val="0"/>
        <w:autoSpaceDE w:val="0"/>
        <w:autoSpaceDN w:val="0"/>
        <w:spacing w:after="0" w:line="276" w:lineRule="auto"/>
        <w:jc w:val="both"/>
        <w:rPr>
          <w:rFonts w:ascii="Verdana" w:eastAsia="Aptos" w:hAnsi="Verdana" w:cs="Arial"/>
          <w:lang w:val="es-ES_tradnl"/>
        </w:rPr>
      </w:pPr>
    </w:p>
    <w:p w14:paraId="2C1BE264" w14:textId="77777777" w:rsidR="00AB4CEF" w:rsidRPr="002A000A" w:rsidRDefault="00AB4CEF" w:rsidP="00FD4928">
      <w:pPr>
        <w:widowControl w:val="0"/>
        <w:autoSpaceDE w:val="0"/>
        <w:autoSpaceDN w:val="0"/>
        <w:spacing w:after="0" w:line="276" w:lineRule="auto"/>
        <w:outlineLvl w:val="0"/>
        <w:rPr>
          <w:rFonts w:ascii="Verdana" w:eastAsia="Arial" w:hAnsi="Verdana" w:cs="Arial"/>
          <w:b/>
          <w:bCs/>
          <w:lang w:val="es-ES_tradnl"/>
        </w:rPr>
      </w:pPr>
      <w:r w:rsidRPr="002A000A">
        <w:rPr>
          <w:rFonts w:ascii="Verdana" w:eastAsia="Arial" w:hAnsi="Verdana" w:cs="Arial"/>
          <w:b/>
          <w:bCs/>
          <w:lang w:val="es-ES_tradnl"/>
        </w:rPr>
        <w:t>5. Doctrina de la Agencia Nacional de Contratación Pública:</w:t>
      </w:r>
    </w:p>
    <w:p w14:paraId="44C8D365" w14:textId="77777777" w:rsidR="00AB4CEF" w:rsidRPr="002A000A" w:rsidRDefault="00AB4CEF" w:rsidP="00AB4CEF">
      <w:pPr>
        <w:widowControl w:val="0"/>
        <w:autoSpaceDE w:val="0"/>
        <w:autoSpaceDN w:val="0"/>
        <w:spacing w:after="0" w:line="276" w:lineRule="auto"/>
        <w:jc w:val="both"/>
        <w:rPr>
          <w:rFonts w:ascii="Verdana" w:eastAsia="Aptos" w:hAnsi="Verdana" w:cs="Arial"/>
          <w:lang w:val="es-ES_tradnl"/>
        </w:rPr>
      </w:pPr>
    </w:p>
    <w:p w14:paraId="6762A4F4" w14:textId="27157A8A" w:rsidR="00AB4CEF" w:rsidRPr="002A000A" w:rsidRDefault="00AB4CEF" w:rsidP="00AB4CEF">
      <w:pPr>
        <w:widowControl w:val="0"/>
        <w:autoSpaceDE w:val="0"/>
        <w:autoSpaceDN w:val="0"/>
        <w:spacing w:after="0" w:line="276" w:lineRule="auto"/>
        <w:jc w:val="both"/>
        <w:rPr>
          <w:rFonts w:ascii="Verdana" w:eastAsia="Times New Roman" w:hAnsi="Verdana" w:cs="Arial"/>
          <w:shd w:val="clear" w:color="auto" w:fill="FFFFFF"/>
          <w:lang w:val="es-ES"/>
        </w:rPr>
      </w:pPr>
      <w:r w:rsidRPr="38FACAB2">
        <w:rPr>
          <w:rFonts w:ascii="Verdana" w:eastAsia="Calibri" w:hAnsi="Verdana" w:cs="Arial"/>
          <w:color w:val="000000"/>
          <w:kern w:val="2"/>
          <w:lang w:val="es-ES"/>
          <w14:ligatures w14:val="standardContextual"/>
        </w:rPr>
        <w:t>La Agencia Nacional de Contratación Pública ‒ Colombia Compra Eficiente,</w:t>
      </w:r>
      <w:r>
        <w:rPr>
          <w:rFonts w:ascii="Verdana" w:eastAsia="Calibri" w:hAnsi="Verdana" w:cs="Arial"/>
          <w:color w:val="000000"/>
          <w:kern w:val="2"/>
          <w:lang w:val="es-ES"/>
          <w14:ligatures w14:val="standardContextual"/>
        </w:rPr>
        <w:t xml:space="preserve"> se ha pronunciado </w:t>
      </w:r>
      <w:r w:rsidRPr="38FACAB2">
        <w:rPr>
          <w:rFonts w:ascii="Verdana" w:eastAsia="Calibri" w:hAnsi="Verdana" w:cs="Arial"/>
          <w:color w:val="000000"/>
          <w:kern w:val="2"/>
          <w:lang w:val="es-ES"/>
          <w14:ligatures w14:val="standardContextual"/>
        </w:rPr>
        <w:t>la acreditación de la experiencia de los socios por una sociedad nueva con menos de 3 años de constitución</w:t>
      </w:r>
      <w:r>
        <w:rPr>
          <w:rFonts w:ascii="Verdana" w:eastAsia="Calibri" w:hAnsi="Verdana" w:cs="Arial"/>
          <w:color w:val="000000"/>
          <w:kern w:val="2"/>
          <w:lang w:val="es-ES"/>
          <w14:ligatures w14:val="standardContextual"/>
        </w:rPr>
        <w:t xml:space="preserve"> </w:t>
      </w:r>
      <w:r w:rsidRPr="38FACAB2">
        <w:rPr>
          <w:rFonts w:ascii="Verdana" w:eastAsia="Calibri" w:hAnsi="Verdana" w:cs="Arial"/>
          <w:color w:val="000000"/>
          <w:kern w:val="2"/>
          <w:lang w:val="es-ES"/>
          <w14:ligatures w14:val="standardContextual"/>
        </w:rPr>
        <w:t>en los conceptos C-025 del 16 de marzo de 2020, C-051 del 2 de marzo de 2020, C-165 del 1 de abril de 2020, C-233 del 16 de abril de 2020, C-407 de 12 de junio de 2020, C-398 de 30 de junio de 2020, C-470 del 14 de julio de 2020, C-511 del 18 de agosto de 2020, C-584 de 31 de agosto 2020, C-619 de 21 de septiembre 2020, C-710 del 9 de diciembre de 2020, C-717 del 10 de diciembre de 2020, C-729 del 11 de diciembre de 2020, C-103 del 24 de marzo del 2021, C-140 del 9 de abril del 2021, C-230 del 25 de mayo de 2021, C-316 del 29 de junio de 2021, C-318 del 29 de junio de 2021, C-326 del 2 de julio de 2021, C-593 del 11 de diciembre de 2024, C-1006 del 30 de diciembre de 2024, C-093 del 17 de febrero de 2025, C-121 del 6 de marzo de 2025, C-200 del 25 de marzo de 2025</w:t>
      </w:r>
      <w:r>
        <w:rPr>
          <w:rFonts w:ascii="Verdana" w:eastAsia="Calibri" w:hAnsi="Verdana" w:cs="Arial"/>
          <w:color w:val="000000"/>
          <w:kern w:val="2"/>
          <w:lang w:val="es-ES"/>
          <w14:ligatures w14:val="standardContextual"/>
        </w:rPr>
        <w:t xml:space="preserve">, </w:t>
      </w:r>
      <w:r w:rsidRPr="38FACAB2">
        <w:rPr>
          <w:rFonts w:ascii="Verdana" w:eastAsia="Calibri" w:hAnsi="Verdana" w:cs="Arial"/>
          <w:color w:val="000000"/>
          <w:kern w:val="2"/>
          <w:lang w:val="es-ES"/>
          <w14:ligatures w14:val="standardContextual"/>
        </w:rPr>
        <w:t>C-204 del 26 de marzo de 2025</w:t>
      </w:r>
      <w:r w:rsidR="00013659">
        <w:rPr>
          <w:rFonts w:ascii="Verdana" w:eastAsia="Calibri" w:hAnsi="Verdana" w:cs="Arial"/>
          <w:color w:val="000000"/>
          <w:kern w:val="2"/>
          <w:lang w:val="es-ES"/>
          <w14:ligatures w14:val="standardContextual"/>
        </w:rPr>
        <w:t xml:space="preserve">, </w:t>
      </w:r>
      <w:r>
        <w:rPr>
          <w:rFonts w:ascii="Verdana" w:eastAsia="Calibri" w:hAnsi="Verdana" w:cs="Arial"/>
          <w:color w:val="000000"/>
          <w:kern w:val="2"/>
          <w:lang w:val="es-ES"/>
          <w14:ligatures w14:val="standardContextual"/>
        </w:rPr>
        <w:t>C-830 de 2025</w:t>
      </w:r>
      <w:r w:rsidR="00013659">
        <w:rPr>
          <w:rFonts w:ascii="Verdana" w:eastAsia="Calibri" w:hAnsi="Verdana" w:cs="Arial"/>
          <w:color w:val="000000"/>
          <w:kern w:val="2"/>
          <w:lang w:val="es-ES"/>
          <w14:ligatures w14:val="standardContextual"/>
        </w:rPr>
        <w:t xml:space="preserve"> y C- 3191 de 2025. </w:t>
      </w:r>
    </w:p>
    <w:p w14:paraId="4E5F079F" w14:textId="77777777" w:rsidR="00AB4CEF" w:rsidRPr="002A000A" w:rsidRDefault="00AB4CEF" w:rsidP="00AB4CEF">
      <w:pPr>
        <w:widowControl w:val="0"/>
        <w:autoSpaceDE w:val="0"/>
        <w:autoSpaceDN w:val="0"/>
        <w:spacing w:after="0" w:line="276" w:lineRule="auto"/>
        <w:jc w:val="both"/>
        <w:rPr>
          <w:rFonts w:ascii="Verdana" w:eastAsia="Times New Roman" w:hAnsi="Verdana" w:cs="Arial"/>
          <w:shd w:val="clear" w:color="auto" w:fill="FFFFFF"/>
          <w:lang w:val="es-ES_tradnl"/>
        </w:rPr>
      </w:pPr>
    </w:p>
    <w:p w14:paraId="2EB43694" w14:textId="4E11F5BF" w:rsidR="00AB4CEF" w:rsidRPr="002A000A" w:rsidRDefault="00AB4CEF" w:rsidP="00AB4CEF">
      <w:pPr>
        <w:widowControl w:val="0"/>
        <w:autoSpaceDE w:val="0"/>
        <w:autoSpaceDN w:val="0"/>
        <w:spacing w:after="0" w:line="276" w:lineRule="auto"/>
        <w:jc w:val="both"/>
        <w:rPr>
          <w:rFonts w:ascii="Verdana" w:eastAsia="Calibri" w:hAnsi="Verdana" w:cs="Arial"/>
          <w:shd w:val="clear" w:color="auto" w:fill="FFFFFF"/>
          <w:lang w:val="es-ES"/>
        </w:rPr>
      </w:pPr>
      <w:r w:rsidRPr="38FACAB2">
        <w:rPr>
          <w:rFonts w:ascii="Verdana" w:eastAsia="Times New Roman" w:hAnsi="Verdana" w:cs="Arial"/>
          <w:shd w:val="clear" w:color="auto" w:fill="FFFFFF"/>
          <w:lang w:val="es-ES"/>
        </w:rPr>
        <w:t xml:space="preserve">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w:t>
      </w:r>
      <w:r w:rsidRPr="38FACAB2">
        <w:rPr>
          <w:rFonts w:ascii="Verdana" w:eastAsia="Times New Roman" w:hAnsi="Verdana" w:cs="Arial"/>
          <w:shd w:val="clear" w:color="auto" w:fill="FFFFFF"/>
          <w:lang w:val="es-ES"/>
        </w:rPr>
        <w:lastRenderedPageBreak/>
        <w:t>través del siguiente enlace: </w:t>
      </w:r>
      <w:hyperlink r:id="rId16" w:tgtFrame="_blank" w:tooltip="Dirección URL original: https://relatoria.colombiacompra.gov.co/. Haga clic o pulse si confía en este vínculo." w:history="1">
        <w:r w:rsidRPr="38FACAB2">
          <w:rPr>
            <w:rFonts w:ascii="Verdana" w:eastAsia="Times New Roman" w:hAnsi="Verdana" w:cs="Arial"/>
            <w:shd w:val="clear" w:color="auto" w:fill="FFFFFF"/>
            <w:lang w:val="es-ES"/>
          </w:rPr>
          <w:t>https://relatoria.colombiacompra.gov.co/</w:t>
        </w:r>
      </w:hyperlink>
      <w:r w:rsidR="00013659">
        <w:t xml:space="preserve">  </w:t>
      </w:r>
      <w:r w:rsidR="008874B8">
        <w:rPr>
          <w:rFonts w:ascii="Verdana" w:eastAsia="Times New Roman" w:hAnsi="Verdana" w:cs="Arial"/>
          <w:shd w:val="clear" w:color="auto" w:fill="FFFFFF"/>
          <w:lang w:val="es-ES"/>
        </w:rPr>
        <w:t xml:space="preserve"> </w:t>
      </w:r>
    </w:p>
    <w:p w14:paraId="529EA11C" w14:textId="77777777" w:rsidR="00AB4CEF" w:rsidRPr="00073A28" w:rsidRDefault="00AB4CEF" w:rsidP="00AB4CEF">
      <w:pPr>
        <w:widowControl w:val="0"/>
        <w:autoSpaceDE w:val="0"/>
        <w:autoSpaceDN w:val="0"/>
        <w:spacing w:after="0" w:line="276" w:lineRule="auto"/>
        <w:jc w:val="both"/>
        <w:rPr>
          <w:rFonts w:ascii="Verdana" w:hAnsi="Verdana" w:cs="Arial"/>
          <w:color w:val="000000" w:themeColor="text1"/>
          <w:shd w:val="clear" w:color="auto" w:fill="FFFFFF"/>
        </w:rPr>
      </w:pPr>
    </w:p>
    <w:p w14:paraId="2A9784BE" w14:textId="77777777" w:rsidR="00AB4CEF" w:rsidRPr="00073A28" w:rsidRDefault="00AB4CEF" w:rsidP="00AB4CEF">
      <w:pPr>
        <w:widowControl w:val="0"/>
        <w:autoSpaceDE w:val="0"/>
        <w:autoSpaceDN w:val="0"/>
        <w:spacing w:after="0" w:line="276" w:lineRule="auto"/>
        <w:jc w:val="both"/>
        <w:rPr>
          <w:rFonts w:ascii="Verdana" w:hAnsi="Verdana"/>
        </w:rPr>
      </w:pPr>
      <w:r w:rsidRPr="00073A28">
        <w:rPr>
          <w:rFonts w:ascii="Verdana" w:hAnsi="Verdana" w:cs="Arial"/>
          <w:color w:val="000000" w:themeColor="text1"/>
          <w:shd w:val="clear" w:color="auto" w:fill="FFFFFF"/>
        </w:rPr>
        <w:t xml:space="preserve">También, te contamos que ya publicamos la nueva </w:t>
      </w:r>
      <w:r w:rsidRPr="00073A28">
        <w:rPr>
          <w:rFonts w:ascii="Verdana" w:hAnsi="Verdana" w:cs="Arial"/>
          <w:b/>
          <w:bCs/>
          <w:color w:val="000000" w:themeColor="text1"/>
          <w:shd w:val="clear" w:color="auto" w:fill="FFFFFF"/>
        </w:rPr>
        <w:t>Guía de Contratación Pública Sostenible y Socialmente Responsable</w:t>
      </w:r>
      <w:r w:rsidRPr="00073A28">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7" w:tgtFrame="_blank" w:tooltip="Dirección URL original: https://www.colombiacompra.gov.co/manuales-guias-y-pliegos-tipo/manuales-y-guias/guia-de-contratacion-publica-sostenible-y-socialmente. Haga clic o pulse si confía en este vínculo." w:history="1">
        <w:r w:rsidRPr="00073A28">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073A28">
        <w:rPr>
          <w:rFonts w:ascii="Verdana" w:hAnsi="Verdana"/>
        </w:rPr>
        <w:t>.</w:t>
      </w:r>
    </w:p>
    <w:p w14:paraId="11CC3123" w14:textId="77777777" w:rsidR="00AB4CEF" w:rsidRDefault="00AB4CEF" w:rsidP="00AB4CEF">
      <w:pPr>
        <w:widowControl w:val="0"/>
        <w:autoSpaceDE w:val="0"/>
        <w:autoSpaceDN w:val="0"/>
        <w:spacing w:after="0" w:line="276" w:lineRule="auto"/>
        <w:jc w:val="both"/>
        <w:rPr>
          <w:rFonts w:ascii="Verdana" w:hAnsi="Verdana"/>
        </w:rPr>
      </w:pPr>
    </w:p>
    <w:p w14:paraId="68878BEB" w14:textId="77777777" w:rsidR="00013659" w:rsidRPr="009A385A" w:rsidRDefault="00013659" w:rsidP="00013659">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8" w:tgtFrame="_new" w:history="1">
        <w:r w:rsidRPr="009A385A">
          <w:rPr>
            <w:rStyle w:val="Hipervnculo"/>
            <w:rFonts w:ascii="Verdana" w:hAnsi="Verdana"/>
          </w:rPr>
          <w:t>https://formacionvirtual.colombiacompra.gov.co/mod/page/view.php?id=3718</w:t>
        </w:r>
      </w:hyperlink>
    </w:p>
    <w:p w14:paraId="330F9635" w14:textId="77777777" w:rsidR="00013659" w:rsidRDefault="00013659" w:rsidP="00013659">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9" w:tgtFrame="_new" w:history="1">
        <w:r w:rsidRPr="00635F16">
          <w:rPr>
            <w:rStyle w:val="Hipervnculo"/>
            <w:rFonts w:ascii="Verdana" w:hAnsi="Verdana"/>
          </w:rPr>
          <w:t>https://www.colombiacompra.gov.co/normativa-y-relatoria/documentos-tipo</w:t>
        </w:r>
      </w:hyperlink>
    </w:p>
    <w:p w14:paraId="5ECD707E" w14:textId="078B6D28" w:rsidR="00013659" w:rsidRDefault="00013659" w:rsidP="00013659">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w:t>
      </w:r>
      <w:r w:rsidRPr="00797327">
        <w:rPr>
          <w:rFonts w:ascii="Verdana" w:hAnsi="Verdana"/>
        </w:rPr>
        <w:lastRenderedPageBreak/>
        <w:t xml:space="preserve">documentos tipo: </w:t>
      </w:r>
      <w:r w:rsidRPr="009A385A">
        <w:rPr>
          <w:rFonts w:ascii="Verdana" w:hAnsi="Verdana"/>
        </w:rPr>
        <w:t>Consulta la guía aquí:</w:t>
      </w:r>
      <w:r w:rsidRPr="009A385A">
        <w:rPr>
          <w:rFonts w:ascii="Verdana" w:hAnsi="Verdana"/>
        </w:rPr>
        <w:br/>
      </w:r>
      <w:hyperlink r:id="rId20"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07B29194" w14:textId="77777777" w:rsidR="00013659" w:rsidRPr="00073A28" w:rsidRDefault="00013659" w:rsidP="00AB4CEF">
      <w:pPr>
        <w:widowControl w:val="0"/>
        <w:autoSpaceDE w:val="0"/>
        <w:autoSpaceDN w:val="0"/>
        <w:spacing w:after="0" w:line="276" w:lineRule="auto"/>
        <w:jc w:val="both"/>
        <w:rPr>
          <w:rFonts w:ascii="Verdana" w:hAnsi="Verdana"/>
        </w:rPr>
      </w:pPr>
    </w:p>
    <w:p w14:paraId="6185C376" w14:textId="77777777" w:rsidR="00AB4CEF" w:rsidRPr="00073A28" w:rsidRDefault="00AB4CEF" w:rsidP="00AB4CEF">
      <w:pPr>
        <w:widowControl w:val="0"/>
        <w:autoSpaceDE w:val="0"/>
        <w:autoSpaceDN w:val="0"/>
        <w:spacing w:after="0" w:line="276" w:lineRule="auto"/>
        <w:jc w:val="both"/>
        <w:rPr>
          <w:rFonts w:ascii="Verdana" w:hAnsi="Verdana" w:cs="Arial"/>
          <w:lang w:val="es-ES_tradnl"/>
        </w:rPr>
      </w:pPr>
      <w:r w:rsidRPr="00073A28">
        <w:rPr>
          <w:rFonts w:ascii="Verdana" w:hAnsi="Verdana" w:cs="Arial"/>
        </w:rPr>
        <w:t xml:space="preserve">Este concepto tiene el alcance previsto en el artículo 28 del Código de Procedimiento Administrativo y de lo Contencioso Administrativo </w:t>
      </w:r>
      <w:r w:rsidRPr="00073A28">
        <w:rPr>
          <w:rFonts w:ascii="Verdana" w:hAnsi="Verdana" w:cs="Arial"/>
          <w:lang w:val="es-ES_tradnl"/>
        </w:rPr>
        <w:t>y las expresiones aquí utilizadas con mayúscula inicial deben ser entendidas con el significado que les otorga el artículo 2.2.1.1.1.3.1. del Decreto 1082 de 2015.</w:t>
      </w:r>
    </w:p>
    <w:p w14:paraId="63A86519" w14:textId="77777777" w:rsidR="00AB4CEF" w:rsidRPr="00073A28" w:rsidRDefault="00AB4CEF" w:rsidP="00AB4CEF">
      <w:pPr>
        <w:spacing w:after="0" w:line="276" w:lineRule="auto"/>
        <w:jc w:val="both"/>
        <w:rPr>
          <w:rFonts w:ascii="Verdana" w:eastAsia="Times New Roman" w:hAnsi="Verdana" w:cs="Arial"/>
          <w:lang w:eastAsia="es-CO"/>
        </w:rPr>
      </w:pPr>
    </w:p>
    <w:p w14:paraId="43B12064" w14:textId="4989F07A" w:rsidR="0064273B" w:rsidRDefault="00AB4CEF" w:rsidP="0064273B">
      <w:pPr>
        <w:spacing w:after="0" w:line="276" w:lineRule="auto"/>
        <w:jc w:val="both"/>
        <w:rPr>
          <w:rFonts w:ascii="Verdana" w:hAnsi="Verdana"/>
          <w:noProof/>
        </w:rPr>
      </w:pPr>
      <w:r w:rsidRPr="00073A28">
        <w:rPr>
          <w:rFonts w:ascii="Verdana" w:eastAsia="Times New Roman" w:hAnsi="Verdana" w:cs="Arial"/>
          <w:lang w:eastAsia="es-CO"/>
        </w:rPr>
        <w:t>Atentamente,</w:t>
      </w:r>
      <w:r w:rsidRPr="00073A28">
        <w:rPr>
          <w:rFonts w:ascii="Verdana" w:hAnsi="Verdana" w:cs="Arial"/>
          <w:lang w:eastAsia="es-CO"/>
        </w:rPr>
        <w:t xml:space="preserve"> </w:t>
      </w:r>
    </w:p>
    <w:p w14:paraId="5E309D9D" w14:textId="14E68BD3" w:rsidR="0064273B" w:rsidRPr="00073A28" w:rsidRDefault="0064273B" w:rsidP="00013659">
      <w:pPr>
        <w:spacing w:line="276" w:lineRule="auto"/>
        <w:jc w:val="center"/>
        <w:rPr>
          <w:rFonts w:ascii="Verdana" w:hAnsi="Verdana"/>
        </w:rPr>
      </w:pPr>
      <w:r w:rsidRPr="002C3AD6">
        <w:rPr>
          <w:rFonts w:ascii="Century Gothic" w:hAnsi="Century Gothic"/>
          <w:noProof/>
        </w:rPr>
        <w:drawing>
          <wp:inline distT="0" distB="0" distL="0" distR="0" wp14:anchorId="6B8EE641" wp14:editId="64244C30">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1"/>
                    <a:stretch>
                      <a:fillRect/>
                    </a:stretch>
                  </pic:blipFill>
                  <pic:spPr>
                    <a:xfrm>
                      <a:off x="0" y="0"/>
                      <a:ext cx="3772426" cy="1400370"/>
                    </a:xfrm>
                    <a:prstGeom prst="rect">
                      <a:avLst/>
                    </a:prstGeom>
                  </pic:spPr>
                </pic:pic>
              </a:graphicData>
            </a:graphic>
          </wp:inline>
        </w:drawing>
      </w:r>
    </w:p>
    <w:tbl>
      <w:tblPr>
        <w:tblStyle w:val="Tablaconcuadrcula"/>
        <w:tblW w:w="6521" w:type="dxa"/>
        <w:tblLook w:val="04A0" w:firstRow="1" w:lastRow="0" w:firstColumn="1" w:lastColumn="0" w:noHBand="0" w:noVBand="1"/>
      </w:tblPr>
      <w:tblGrid>
        <w:gridCol w:w="893"/>
        <w:gridCol w:w="5628"/>
      </w:tblGrid>
      <w:tr w:rsidR="00AB4CEF" w:rsidRPr="004B0DF3" w14:paraId="47E67C0B" w14:textId="77777777" w:rsidTr="00AB4CEF">
        <w:trPr>
          <w:trHeight w:val="315"/>
        </w:trPr>
        <w:tc>
          <w:tcPr>
            <w:tcW w:w="893" w:type="dxa"/>
            <w:vAlign w:val="center"/>
            <w:hideMark/>
          </w:tcPr>
          <w:p w14:paraId="1EE210BD" w14:textId="77777777" w:rsidR="00AB4CEF" w:rsidRPr="004B0DF3" w:rsidRDefault="00AB4CEF" w:rsidP="009E0ECF">
            <w:pPr>
              <w:contextualSpacing/>
              <w:jc w:val="both"/>
              <w:rPr>
                <w:rFonts w:ascii="Verdana" w:hAnsi="Verdana" w:cs="Arial"/>
                <w:sz w:val="16"/>
                <w:szCs w:val="16"/>
                <w:lang w:eastAsia="es-ES"/>
              </w:rPr>
            </w:pPr>
            <w:bookmarkStart w:id="1" w:name="_Hlk210670112"/>
            <w:r w:rsidRPr="004B0DF3">
              <w:rPr>
                <w:rFonts w:ascii="Verdana" w:hAnsi="Verdana" w:cs="Arial"/>
                <w:sz w:val="16"/>
                <w:szCs w:val="16"/>
                <w:lang w:eastAsia="es-ES"/>
              </w:rPr>
              <w:t>Elaboró:</w:t>
            </w:r>
          </w:p>
        </w:tc>
        <w:tc>
          <w:tcPr>
            <w:tcW w:w="5628" w:type="dxa"/>
            <w:vAlign w:val="center"/>
            <w:hideMark/>
          </w:tcPr>
          <w:p w14:paraId="5D7BC9F5" w14:textId="72CA7995" w:rsidR="00013659" w:rsidRDefault="00013659" w:rsidP="009E0ECF">
            <w:pPr>
              <w:contextualSpacing/>
              <w:jc w:val="both"/>
              <w:rPr>
                <w:rFonts w:ascii="Verdana" w:hAnsi="Verdana"/>
                <w:sz w:val="16"/>
                <w:szCs w:val="16"/>
              </w:rPr>
            </w:pPr>
            <w:r>
              <w:rPr>
                <w:rFonts w:ascii="Verdana" w:hAnsi="Verdana"/>
                <w:sz w:val="16"/>
                <w:szCs w:val="16"/>
              </w:rPr>
              <w:t xml:space="preserve">Camilo José Martínez </w:t>
            </w:r>
            <w:proofErr w:type="spellStart"/>
            <w:r>
              <w:rPr>
                <w:rFonts w:ascii="Verdana" w:hAnsi="Verdana"/>
                <w:sz w:val="16"/>
                <w:szCs w:val="16"/>
              </w:rPr>
              <w:t>Martínez</w:t>
            </w:r>
            <w:proofErr w:type="spellEnd"/>
            <w:r>
              <w:rPr>
                <w:rFonts w:ascii="Verdana" w:hAnsi="Verdana"/>
                <w:sz w:val="16"/>
                <w:szCs w:val="16"/>
              </w:rPr>
              <w:t xml:space="preserve"> </w:t>
            </w:r>
          </w:p>
          <w:p w14:paraId="254E4CD6" w14:textId="7D4865F1" w:rsidR="00AB4CEF" w:rsidRPr="004B0DF3" w:rsidRDefault="00AB4CEF" w:rsidP="009E0ECF">
            <w:pPr>
              <w:contextualSpacing/>
              <w:jc w:val="both"/>
              <w:rPr>
                <w:rFonts w:ascii="Verdana" w:eastAsia="Arial" w:hAnsi="Verdana" w:cs="Arial"/>
                <w:sz w:val="16"/>
                <w:szCs w:val="16"/>
              </w:rPr>
            </w:pPr>
            <w:r w:rsidRPr="004B0DF3">
              <w:rPr>
                <w:rFonts w:ascii="Verdana" w:hAnsi="Verdana"/>
                <w:sz w:val="16"/>
                <w:szCs w:val="16"/>
              </w:rPr>
              <w:t>Contratista de la Subdirección de Gestión Contractual</w:t>
            </w:r>
          </w:p>
        </w:tc>
      </w:tr>
      <w:tr w:rsidR="00AB4CEF" w:rsidRPr="004B0DF3" w14:paraId="4C774363" w14:textId="77777777" w:rsidTr="00AB4CEF">
        <w:trPr>
          <w:trHeight w:val="330"/>
        </w:trPr>
        <w:tc>
          <w:tcPr>
            <w:tcW w:w="893" w:type="dxa"/>
            <w:vAlign w:val="center"/>
            <w:hideMark/>
          </w:tcPr>
          <w:p w14:paraId="703184B7" w14:textId="77777777" w:rsidR="00AB4CEF" w:rsidRPr="004B0DF3" w:rsidRDefault="00AB4CEF" w:rsidP="009E0ECF">
            <w:pPr>
              <w:contextualSpacing/>
              <w:jc w:val="both"/>
              <w:rPr>
                <w:rFonts w:ascii="Verdana" w:hAnsi="Verdana" w:cs="Arial"/>
                <w:sz w:val="16"/>
                <w:szCs w:val="16"/>
                <w:lang w:eastAsia="es-ES"/>
              </w:rPr>
            </w:pPr>
            <w:r w:rsidRPr="004B0DF3">
              <w:rPr>
                <w:rFonts w:ascii="Verdana" w:hAnsi="Verdana" w:cs="Arial"/>
                <w:sz w:val="16"/>
                <w:szCs w:val="16"/>
                <w:lang w:eastAsia="es-ES"/>
              </w:rPr>
              <w:t>Revisó:</w:t>
            </w:r>
          </w:p>
        </w:tc>
        <w:tc>
          <w:tcPr>
            <w:tcW w:w="5628" w:type="dxa"/>
            <w:vAlign w:val="center"/>
            <w:hideMark/>
          </w:tcPr>
          <w:p w14:paraId="36BD4EB3" w14:textId="77777777" w:rsidR="00AB4CEF" w:rsidRPr="004B0DF3" w:rsidRDefault="00AB4CEF" w:rsidP="009E0ECF">
            <w:pPr>
              <w:spacing w:line="276" w:lineRule="auto"/>
              <w:contextualSpacing/>
              <w:jc w:val="both"/>
              <w:rPr>
                <w:rFonts w:ascii="Verdana" w:hAnsi="Verdana"/>
                <w:sz w:val="16"/>
                <w:szCs w:val="16"/>
              </w:rPr>
            </w:pPr>
            <w:r w:rsidRPr="004B0DF3">
              <w:rPr>
                <w:rFonts w:ascii="Verdana" w:hAnsi="Verdana"/>
                <w:sz w:val="16"/>
                <w:szCs w:val="16"/>
              </w:rPr>
              <w:t>Diana Lucía Saavedra Castañeda</w:t>
            </w:r>
          </w:p>
          <w:p w14:paraId="17810A5D" w14:textId="77777777" w:rsidR="00AB4CEF" w:rsidRPr="004B0DF3" w:rsidRDefault="00AB4CEF" w:rsidP="009E0ECF">
            <w:pPr>
              <w:spacing w:line="276" w:lineRule="auto"/>
              <w:contextualSpacing/>
              <w:jc w:val="both"/>
              <w:rPr>
                <w:rFonts w:ascii="Verdana" w:hAnsi="Verdana" w:cstheme="minorHAnsi"/>
                <w:sz w:val="16"/>
                <w:szCs w:val="16"/>
              </w:rPr>
            </w:pPr>
            <w:r w:rsidRPr="004B0DF3">
              <w:rPr>
                <w:rStyle w:val="normaltextrun"/>
                <w:rFonts w:ascii="Verdana" w:eastAsia="Arial" w:hAnsi="Verdana"/>
                <w:sz w:val="16"/>
                <w:szCs w:val="16"/>
              </w:rPr>
              <w:t>Contratita de la</w:t>
            </w:r>
            <w:r w:rsidRPr="004B0DF3">
              <w:rPr>
                <w:rStyle w:val="normaltextrun"/>
                <w:rFonts w:ascii="Verdana" w:eastAsia="Arial" w:hAnsi="Verdana" w:cs="Arial"/>
                <w:sz w:val="16"/>
                <w:szCs w:val="16"/>
              </w:rPr>
              <w:t xml:space="preserve"> Subdirección de Gestión Contractual</w:t>
            </w:r>
          </w:p>
        </w:tc>
      </w:tr>
      <w:tr w:rsidR="00AB4CEF" w:rsidRPr="004B0DF3" w14:paraId="76BCC72B" w14:textId="77777777" w:rsidTr="00AB4CEF">
        <w:trPr>
          <w:trHeight w:val="330"/>
        </w:trPr>
        <w:tc>
          <w:tcPr>
            <w:tcW w:w="893" w:type="dxa"/>
            <w:vAlign w:val="center"/>
          </w:tcPr>
          <w:p w14:paraId="1661103F" w14:textId="77777777" w:rsidR="00AB4CEF" w:rsidRPr="004B0DF3" w:rsidRDefault="00AB4CEF" w:rsidP="009E0ECF">
            <w:pPr>
              <w:contextualSpacing/>
              <w:jc w:val="both"/>
              <w:rPr>
                <w:rFonts w:ascii="Verdana" w:hAnsi="Verdana" w:cs="Arial"/>
                <w:sz w:val="16"/>
                <w:szCs w:val="16"/>
                <w:lang w:eastAsia="es-ES"/>
              </w:rPr>
            </w:pPr>
            <w:r w:rsidRPr="004B0DF3">
              <w:rPr>
                <w:rFonts w:ascii="Verdana" w:hAnsi="Verdana" w:cs="Arial"/>
                <w:sz w:val="16"/>
                <w:szCs w:val="16"/>
                <w:lang w:eastAsia="es-ES"/>
              </w:rPr>
              <w:t>Aprobó:</w:t>
            </w:r>
          </w:p>
        </w:tc>
        <w:tc>
          <w:tcPr>
            <w:tcW w:w="5628" w:type="dxa"/>
            <w:vAlign w:val="center"/>
          </w:tcPr>
          <w:p w14:paraId="24B90E37" w14:textId="77777777" w:rsidR="00AB4CEF" w:rsidRPr="004B0DF3" w:rsidRDefault="00AB4CEF" w:rsidP="009E0ECF">
            <w:pPr>
              <w:contextualSpacing/>
              <w:jc w:val="both"/>
              <w:rPr>
                <w:rFonts w:ascii="Verdana" w:eastAsia="Calibri" w:hAnsi="Verdana" w:cs="Arial"/>
                <w:sz w:val="16"/>
                <w:szCs w:val="16"/>
                <w:lang w:eastAsia="es-ES"/>
              </w:rPr>
            </w:pPr>
            <w:r w:rsidRPr="004B0DF3">
              <w:rPr>
                <w:rFonts w:ascii="Verdana" w:eastAsia="Calibri" w:hAnsi="Verdana" w:cs="Arial"/>
                <w:sz w:val="16"/>
                <w:szCs w:val="16"/>
                <w:lang w:eastAsia="es-ES"/>
              </w:rPr>
              <w:t>Carolina Quintero Gacharná</w:t>
            </w:r>
          </w:p>
          <w:p w14:paraId="6A6318D6" w14:textId="77777777" w:rsidR="00AB4CEF" w:rsidRPr="004B0DF3" w:rsidRDefault="00AB4CEF" w:rsidP="009E0ECF">
            <w:pPr>
              <w:spacing w:line="276" w:lineRule="auto"/>
              <w:contextualSpacing/>
              <w:jc w:val="both"/>
              <w:rPr>
                <w:rFonts w:ascii="Verdana" w:hAnsi="Verdana"/>
                <w:sz w:val="16"/>
                <w:szCs w:val="16"/>
              </w:rPr>
            </w:pPr>
            <w:r w:rsidRPr="004B0DF3">
              <w:rPr>
                <w:rFonts w:ascii="Verdana" w:eastAsia="Calibri" w:hAnsi="Verdana" w:cs="Arial"/>
                <w:sz w:val="16"/>
                <w:szCs w:val="16"/>
                <w:lang w:eastAsia="es-ES"/>
              </w:rPr>
              <w:t xml:space="preserve">Subdirectora de Gestión </w:t>
            </w:r>
            <w:proofErr w:type="spellStart"/>
            <w:r w:rsidRPr="004B0DF3">
              <w:rPr>
                <w:rFonts w:ascii="Verdana" w:eastAsia="Calibri" w:hAnsi="Verdana" w:cs="Arial"/>
                <w:sz w:val="16"/>
                <w:szCs w:val="16"/>
                <w:lang w:eastAsia="es-ES"/>
              </w:rPr>
              <w:t>Contratual</w:t>
            </w:r>
            <w:proofErr w:type="spellEnd"/>
            <w:r w:rsidRPr="004B0DF3">
              <w:rPr>
                <w:rFonts w:ascii="Verdana" w:eastAsia="Calibri" w:hAnsi="Verdana" w:cs="Arial"/>
                <w:sz w:val="16"/>
                <w:szCs w:val="16"/>
                <w:lang w:eastAsia="es-ES"/>
              </w:rPr>
              <w:t xml:space="preserve"> - ANCP – CCE</w:t>
            </w:r>
          </w:p>
        </w:tc>
      </w:tr>
      <w:bookmarkEnd w:id="1"/>
    </w:tbl>
    <w:p w14:paraId="4331BF5F" w14:textId="77777777" w:rsidR="00AB4CEF" w:rsidRPr="00073A28" w:rsidRDefault="00AB4CEF" w:rsidP="00AB4CEF">
      <w:pPr>
        <w:jc w:val="both"/>
        <w:rPr>
          <w:rFonts w:ascii="Verdana" w:hAnsi="Verdana"/>
        </w:rPr>
      </w:pPr>
    </w:p>
    <w:p w14:paraId="613FCF75" w14:textId="77777777" w:rsidR="00AB4CEF" w:rsidRPr="00073A28" w:rsidRDefault="00AB4CEF" w:rsidP="00AB4CEF">
      <w:pPr>
        <w:jc w:val="both"/>
        <w:rPr>
          <w:rFonts w:ascii="Verdana" w:hAnsi="Verdana"/>
        </w:rPr>
      </w:pPr>
    </w:p>
    <w:p w14:paraId="6806968A" w14:textId="77777777" w:rsidR="00AB4CEF" w:rsidRPr="00A7247D" w:rsidRDefault="00AB4CEF" w:rsidP="00AB4CEF"/>
    <w:p w14:paraId="0F293BF4" w14:textId="402EF7AC" w:rsidR="00127233" w:rsidRPr="00AB4CEF" w:rsidRDefault="00127233" w:rsidP="00AB4CEF"/>
    <w:sectPr w:rsidR="00127233" w:rsidRPr="00AB4CEF" w:rsidSect="007C0C0F">
      <w:headerReference w:type="default" r:id="rId22"/>
      <w:footerReference w:type="default" r:id="rId23"/>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514014" w14:textId="77777777" w:rsidR="000E5663" w:rsidRDefault="000E5663" w:rsidP="004A1847">
      <w:pPr>
        <w:spacing w:after="0" w:line="240" w:lineRule="auto"/>
      </w:pPr>
      <w:r>
        <w:separator/>
      </w:r>
    </w:p>
  </w:endnote>
  <w:endnote w:type="continuationSeparator" w:id="0">
    <w:p w14:paraId="4D6C34FF" w14:textId="77777777" w:rsidR="000E5663" w:rsidRDefault="000E5663" w:rsidP="004A1847">
      <w:pPr>
        <w:spacing w:after="0" w:line="240" w:lineRule="auto"/>
      </w:pPr>
      <w:r>
        <w:continuationSeparator/>
      </w:r>
    </w:p>
  </w:endnote>
  <w:endnote w:type="continuationNotice" w:id="1">
    <w:p w14:paraId="099B5B8A" w14:textId="77777777" w:rsidR="000E5663" w:rsidRDefault="000E566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22FA6B" w14:textId="77777777" w:rsidR="000E5663" w:rsidRDefault="000E5663" w:rsidP="004A1847">
      <w:pPr>
        <w:spacing w:after="0" w:line="240" w:lineRule="auto"/>
      </w:pPr>
      <w:r>
        <w:separator/>
      </w:r>
    </w:p>
  </w:footnote>
  <w:footnote w:type="continuationSeparator" w:id="0">
    <w:p w14:paraId="13E97CE2" w14:textId="77777777" w:rsidR="000E5663" w:rsidRDefault="000E5663" w:rsidP="004A1847">
      <w:pPr>
        <w:spacing w:after="0" w:line="240" w:lineRule="auto"/>
      </w:pPr>
      <w:r>
        <w:continuationSeparator/>
      </w:r>
    </w:p>
  </w:footnote>
  <w:footnote w:type="continuationNotice" w:id="1">
    <w:p w14:paraId="6D40D39D" w14:textId="77777777" w:rsidR="000E5663" w:rsidRDefault="000E5663">
      <w:pPr>
        <w:spacing w:after="0" w:line="240" w:lineRule="auto"/>
      </w:pPr>
    </w:p>
  </w:footnote>
  <w:footnote w:id="2">
    <w:p w14:paraId="6F47E990" w14:textId="77777777" w:rsidR="00AB4CEF" w:rsidRPr="00595F31" w:rsidRDefault="00AB4CEF" w:rsidP="00AB4CEF">
      <w:pPr>
        <w:pStyle w:val="Textonotapie"/>
        <w:snapToGrid w:val="0"/>
        <w:ind w:firstLine="709"/>
        <w:jc w:val="both"/>
        <w:rPr>
          <w:rFonts w:ascii="Verdana" w:hAnsi="Verdana" w:cs="Arial"/>
          <w:sz w:val="16"/>
          <w:szCs w:val="16"/>
        </w:rPr>
      </w:pPr>
      <w:r w:rsidRPr="00595F31">
        <w:rPr>
          <w:rStyle w:val="Refdenotaalpie"/>
          <w:rFonts w:ascii="Verdana" w:hAnsi="Verdana" w:cs="Arial"/>
          <w:sz w:val="16"/>
          <w:szCs w:val="16"/>
        </w:rPr>
        <w:footnoteRef/>
      </w:r>
      <w:r w:rsidRPr="00595F31">
        <w:rPr>
          <w:rFonts w:ascii="Verdana" w:hAnsi="Verdana" w:cs="Arial"/>
          <w:sz w:val="16"/>
          <w:szCs w:val="16"/>
        </w:rPr>
        <w:t xml:space="preserve"> Ley 1150 de 2007: “Artículo 5. De la selección objetiva. 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equivalentes, tendrán en cuenta los siguientes criterios:</w:t>
      </w:r>
    </w:p>
    <w:p w14:paraId="34D81972" w14:textId="77777777" w:rsidR="00AB4CEF" w:rsidRPr="00595F31" w:rsidRDefault="00AB4CEF" w:rsidP="00AB4CEF">
      <w:pPr>
        <w:pStyle w:val="Textonotapie"/>
        <w:snapToGrid w:val="0"/>
        <w:ind w:firstLine="709"/>
        <w:jc w:val="both"/>
        <w:rPr>
          <w:rFonts w:ascii="Verdana" w:hAnsi="Verdana" w:cs="Arial"/>
          <w:sz w:val="16"/>
          <w:szCs w:val="16"/>
        </w:rPr>
      </w:pPr>
      <w:r w:rsidRPr="00595F31">
        <w:rPr>
          <w:rFonts w:ascii="Verdana" w:hAnsi="Verdana" w:cs="Arial"/>
          <w:sz w:val="16"/>
          <w:szCs w:val="16"/>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p>
  </w:footnote>
  <w:footnote w:id="3">
    <w:p w14:paraId="6155060D" w14:textId="77777777" w:rsidR="00AB4CEF" w:rsidRPr="00595F31" w:rsidRDefault="00AB4CEF" w:rsidP="00AB4CEF">
      <w:pPr>
        <w:pStyle w:val="Textonotapie"/>
        <w:snapToGrid w:val="0"/>
        <w:ind w:firstLine="709"/>
        <w:jc w:val="both"/>
        <w:rPr>
          <w:rFonts w:ascii="Verdana" w:hAnsi="Verdana" w:cs="Arial"/>
          <w:sz w:val="16"/>
          <w:szCs w:val="16"/>
        </w:rPr>
      </w:pPr>
      <w:r w:rsidRPr="00595F31">
        <w:rPr>
          <w:rStyle w:val="Refdenotaalpie"/>
          <w:rFonts w:ascii="Verdana" w:hAnsi="Verdana" w:cs="Arial"/>
          <w:sz w:val="16"/>
          <w:szCs w:val="16"/>
        </w:rPr>
        <w:footnoteRef/>
      </w:r>
      <w:r w:rsidRPr="00595F31">
        <w:rPr>
          <w:rFonts w:ascii="Verdana" w:hAnsi="Verdana" w:cs="Arial"/>
          <w:sz w:val="16"/>
          <w:szCs w:val="16"/>
        </w:rPr>
        <w:t xml:space="preserve"> Decreto 1082 de 2015: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footnote>
  <w:footnote w:id="4">
    <w:p w14:paraId="15D6002F" w14:textId="77777777" w:rsidR="00AB4CEF" w:rsidRPr="00595F31" w:rsidRDefault="00AB4CEF" w:rsidP="00AB4CEF">
      <w:pPr>
        <w:pStyle w:val="Textonotapie"/>
        <w:snapToGrid w:val="0"/>
        <w:ind w:firstLine="709"/>
        <w:jc w:val="both"/>
        <w:rPr>
          <w:rFonts w:ascii="Verdana" w:hAnsi="Verdana" w:cs="Arial"/>
          <w:sz w:val="16"/>
          <w:szCs w:val="16"/>
        </w:rPr>
      </w:pPr>
      <w:r w:rsidRPr="00595F31">
        <w:rPr>
          <w:rStyle w:val="Refdenotaalpie"/>
          <w:rFonts w:ascii="Verdana" w:hAnsi="Verdana" w:cs="Arial"/>
          <w:sz w:val="16"/>
          <w:szCs w:val="16"/>
        </w:rPr>
        <w:footnoteRef/>
      </w:r>
      <w:r w:rsidRPr="00595F31">
        <w:rPr>
          <w:rFonts w:ascii="Verdana" w:hAnsi="Verdana" w:cs="Arial"/>
          <w:sz w:val="16"/>
          <w:szCs w:val="16"/>
        </w:rPr>
        <w:t xml:space="preserve"> Decreto 1082 de 2015: “Artículo 2.2.1.1.1.5.3. Requisitos habilitantes contenidos en el RUP. Las cámaras de comercio, con base en la información a la que hace referencia el artículo anterior, deben verificar y certificar los siguientes requisitos habilitantes:</w:t>
      </w:r>
    </w:p>
    <w:p w14:paraId="4DD1CE49" w14:textId="77777777" w:rsidR="00AB4CEF" w:rsidRPr="00595F31" w:rsidRDefault="00AB4CEF" w:rsidP="00AB4CEF">
      <w:pPr>
        <w:pStyle w:val="Textonotapie"/>
        <w:snapToGrid w:val="0"/>
        <w:ind w:firstLine="709"/>
        <w:jc w:val="both"/>
        <w:rPr>
          <w:rFonts w:ascii="Verdana" w:hAnsi="Verdana" w:cs="Arial"/>
          <w:sz w:val="16"/>
          <w:szCs w:val="16"/>
        </w:rPr>
      </w:pPr>
      <w:r w:rsidRPr="00595F31">
        <w:rPr>
          <w:rFonts w:ascii="Verdana" w:hAnsi="Verdana" w:cs="Arial"/>
          <w:sz w:val="16"/>
          <w:szCs w:val="16"/>
        </w:rPr>
        <w:t>1. Experiencia – Los contratos celebrados por el interesado para cada uno de los bienes, obras y servicios que ofrecerá a las Entidades Estatales, identificados con el Clasificador de Bienes y Servicios en el tercer nivel y su valor expresado en SMMLV.</w:t>
      </w:r>
    </w:p>
    <w:p w14:paraId="04E39DBD" w14:textId="77777777" w:rsidR="00AB4CEF" w:rsidRPr="00595F31" w:rsidRDefault="00AB4CEF" w:rsidP="00AB4CEF">
      <w:pPr>
        <w:pStyle w:val="Textonotapie"/>
        <w:snapToGrid w:val="0"/>
        <w:ind w:firstLine="709"/>
        <w:jc w:val="both"/>
        <w:rPr>
          <w:rFonts w:ascii="Verdana" w:hAnsi="Verdana" w:cs="Arial"/>
          <w:sz w:val="16"/>
          <w:szCs w:val="16"/>
        </w:rPr>
      </w:pPr>
      <w:r w:rsidRPr="00595F31">
        <w:rPr>
          <w:rFonts w:ascii="Verdana" w:hAnsi="Verdana" w:cs="Arial"/>
          <w:sz w:val="16"/>
          <w:szCs w:val="16"/>
        </w:rPr>
        <w:t>[...]”.</w:t>
      </w:r>
    </w:p>
  </w:footnote>
  <w:footnote w:id="5">
    <w:p w14:paraId="2B271F9F" w14:textId="77777777" w:rsidR="00AB4CEF" w:rsidRPr="00595F31" w:rsidRDefault="00AB4CEF" w:rsidP="00AB4CEF">
      <w:pPr>
        <w:pStyle w:val="Textonotapie"/>
        <w:snapToGrid w:val="0"/>
        <w:ind w:firstLine="709"/>
        <w:jc w:val="both"/>
        <w:rPr>
          <w:rFonts w:ascii="Verdana" w:hAnsi="Verdana" w:cs="Arial"/>
          <w:sz w:val="16"/>
          <w:szCs w:val="16"/>
        </w:rPr>
      </w:pPr>
      <w:r w:rsidRPr="00595F31">
        <w:rPr>
          <w:rStyle w:val="Refdenotaalpie"/>
          <w:rFonts w:ascii="Verdana" w:hAnsi="Verdana" w:cs="Arial"/>
          <w:sz w:val="16"/>
          <w:szCs w:val="16"/>
        </w:rPr>
        <w:footnoteRef/>
      </w:r>
      <w:r w:rsidRPr="00595F31">
        <w:rPr>
          <w:rFonts w:ascii="Verdana" w:hAnsi="Verdana" w:cs="Arial"/>
          <w:sz w:val="16"/>
          <w:szCs w:val="16"/>
        </w:rPr>
        <w:t xml:space="preserve"> 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16F4E6F0" w14:textId="77777777" w:rsidR="00AB4CEF" w:rsidRPr="00595F31" w:rsidRDefault="00AB4CEF" w:rsidP="00AB4CEF">
      <w:pPr>
        <w:pStyle w:val="Textonotapie"/>
        <w:snapToGrid w:val="0"/>
        <w:ind w:firstLine="709"/>
        <w:jc w:val="both"/>
        <w:rPr>
          <w:rFonts w:ascii="Verdana" w:hAnsi="Verdana" w:cs="Arial"/>
          <w:sz w:val="16"/>
          <w:szCs w:val="16"/>
        </w:rPr>
      </w:pPr>
      <w:r w:rsidRPr="00595F31">
        <w:rPr>
          <w:rFonts w:ascii="Verdana" w:hAnsi="Verdana" w:cs="Arial"/>
          <w:sz w:val="16"/>
          <w:szCs w:val="16"/>
        </w:rPr>
        <w:t>[...]</w:t>
      </w:r>
    </w:p>
    <w:p w14:paraId="4C4C464D" w14:textId="77777777" w:rsidR="00AB4CEF" w:rsidRPr="00595F31" w:rsidRDefault="00AB4CEF" w:rsidP="00AB4CEF">
      <w:pPr>
        <w:pStyle w:val="Textonotapie"/>
        <w:snapToGrid w:val="0"/>
        <w:ind w:firstLine="709"/>
        <w:jc w:val="both"/>
        <w:rPr>
          <w:rFonts w:ascii="Verdana" w:hAnsi="Verdana" w:cs="Arial"/>
          <w:sz w:val="16"/>
          <w:szCs w:val="16"/>
        </w:rPr>
      </w:pPr>
      <w:r w:rsidRPr="00595F31">
        <w:rPr>
          <w:rFonts w:ascii="Verdana" w:hAnsi="Verdana" w:cs="Arial"/>
          <w:sz w:val="16"/>
          <w:szCs w:val="16"/>
        </w:rPr>
        <w:t>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2531CBE5" w14:textId="77777777" w:rsidR="00AB4CEF" w:rsidRPr="00595F31" w:rsidRDefault="00AB4CEF" w:rsidP="00AB4CEF">
      <w:pPr>
        <w:pStyle w:val="Textonotapie"/>
        <w:snapToGrid w:val="0"/>
        <w:ind w:firstLine="709"/>
        <w:jc w:val="both"/>
        <w:rPr>
          <w:rFonts w:ascii="Verdana" w:hAnsi="Verdana" w:cs="Arial"/>
          <w:sz w:val="16"/>
          <w:szCs w:val="16"/>
        </w:rPr>
      </w:pPr>
      <w:r w:rsidRPr="00595F31">
        <w:rPr>
          <w:rFonts w:ascii="Verdana" w:hAnsi="Verdana" w:cs="Arial"/>
          <w:sz w:val="16"/>
          <w:szCs w:val="16"/>
        </w:rPr>
        <w:t>No obstante lo anterior, sólo en aquellos casos en que por las características del objeto a contratar se requiera la verificación de requisitos del proponente adicionales a los contenidos en el Registro, la entidad podrá hacer tal verificación en forma directa”.</w:t>
      </w:r>
    </w:p>
  </w:footnote>
  <w:footnote w:id="6">
    <w:p w14:paraId="0267D475" w14:textId="77777777" w:rsidR="00AB4CEF" w:rsidRPr="00595F31" w:rsidRDefault="00AB4CEF" w:rsidP="00AB4CEF">
      <w:pPr>
        <w:pStyle w:val="Textonotapie"/>
        <w:snapToGrid w:val="0"/>
        <w:ind w:firstLine="709"/>
        <w:jc w:val="both"/>
        <w:rPr>
          <w:rFonts w:ascii="Verdana" w:hAnsi="Verdana" w:cs="Arial"/>
          <w:sz w:val="16"/>
          <w:szCs w:val="16"/>
        </w:rPr>
      </w:pPr>
    </w:p>
    <w:p w14:paraId="644E2BD2" w14:textId="77777777" w:rsidR="00AB4CEF" w:rsidRPr="00595F31" w:rsidRDefault="00AB4CEF" w:rsidP="00AB4CEF">
      <w:pPr>
        <w:pStyle w:val="Textonotapie"/>
        <w:snapToGrid w:val="0"/>
        <w:ind w:firstLine="709"/>
        <w:jc w:val="both"/>
        <w:rPr>
          <w:rFonts w:ascii="Verdana" w:hAnsi="Verdana" w:cs="Arial"/>
          <w:sz w:val="16"/>
          <w:szCs w:val="16"/>
        </w:rPr>
      </w:pPr>
      <w:r w:rsidRPr="00595F31">
        <w:rPr>
          <w:rStyle w:val="Refdenotaalpie"/>
          <w:rFonts w:ascii="Verdana" w:hAnsi="Verdana" w:cs="Arial"/>
          <w:sz w:val="16"/>
          <w:szCs w:val="16"/>
        </w:rPr>
        <w:footnoteRef/>
      </w:r>
      <w:r w:rsidRPr="00595F31">
        <w:rPr>
          <w:rFonts w:ascii="Verdana" w:hAnsi="Verdana" w:cs="Arial"/>
          <w:sz w:val="16"/>
          <w:szCs w:val="16"/>
        </w:rPr>
        <w:t xml:space="preserve"> Decreto 1082 de 2015: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25F414A6" w14:textId="77777777" w:rsidR="00AB4CEF" w:rsidRPr="00595F31" w:rsidRDefault="00AB4CEF" w:rsidP="00AB4CEF">
      <w:pPr>
        <w:pStyle w:val="Textonotapie"/>
        <w:snapToGrid w:val="0"/>
        <w:ind w:firstLine="709"/>
        <w:jc w:val="both"/>
        <w:rPr>
          <w:rFonts w:ascii="Verdana" w:hAnsi="Verdana" w:cs="Arial"/>
          <w:sz w:val="16"/>
          <w:szCs w:val="16"/>
        </w:rPr>
      </w:pPr>
      <w:r w:rsidRPr="00595F31">
        <w:rPr>
          <w:rFonts w:ascii="Verdana" w:hAnsi="Verdana" w:cs="Arial"/>
          <w:sz w:val="16"/>
          <w:szCs w:val="16"/>
        </w:rPr>
        <w:t>1. Si es una persona natural:</w:t>
      </w:r>
    </w:p>
    <w:p w14:paraId="1FC8EA5D" w14:textId="77777777" w:rsidR="00AB4CEF" w:rsidRPr="00595F31" w:rsidRDefault="00AB4CEF" w:rsidP="00AB4CEF">
      <w:pPr>
        <w:pStyle w:val="Textonotapie"/>
        <w:snapToGrid w:val="0"/>
        <w:ind w:firstLine="709"/>
        <w:jc w:val="both"/>
        <w:rPr>
          <w:rFonts w:ascii="Verdana" w:hAnsi="Verdana" w:cs="Arial"/>
          <w:sz w:val="16"/>
          <w:szCs w:val="16"/>
        </w:rPr>
      </w:pPr>
      <w:r w:rsidRPr="00595F31">
        <w:rPr>
          <w:rFonts w:ascii="Verdana" w:hAnsi="Verdana" w:cs="Arial"/>
          <w:sz w:val="16"/>
          <w:szCs w:val="16"/>
        </w:rPr>
        <w:t>1.1. Bienes, obras y servicios que ofrecerá a las Entidades Estatales, identificados con el Clasificador de Bienes y Servicios en el tercer nivel.</w:t>
      </w:r>
    </w:p>
    <w:p w14:paraId="79D3C541" w14:textId="77777777" w:rsidR="00AB4CEF" w:rsidRPr="00595F31" w:rsidRDefault="00AB4CEF" w:rsidP="00AB4CEF">
      <w:pPr>
        <w:pStyle w:val="Textonotapie"/>
        <w:snapToGrid w:val="0"/>
        <w:ind w:firstLine="709"/>
        <w:jc w:val="both"/>
        <w:rPr>
          <w:rFonts w:ascii="Verdana" w:hAnsi="Verdana" w:cs="Arial"/>
          <w:sz w:val="16"/>
          <w:szCs w:val="16"/>
        </w:rPr>
      </w:pPr>
      <w:r w:rsidRPr="00595F31">
        <w:rPr>
          <w:rFonts w:ascii="Verdana" w:hAnsi="Verdana" w:cs="Arial"/>
          <w:sz w:val="16"/>
          <w:szCs w:val="16"/>
        </w:rPr>
        <w:t>1.2.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w:t>
      </w:r>
    </w:p>
    <w:p w14:paraId="4C4335CA" w14:textId="77777777" w:rsidR="00AB4CEF" w:rsidRPr="00595F31" w:rsidRDefault="00AB4CEF" w:rsidP="00AB4CEF">
      <w:pPr>
        <w:pStyle w:val="Textonotapie"/>
        <w:snapToGrid w:val="0"/>
        <w:ind w:firstLine="709"/>
        <w:jc w:val="both"/>
        <w:rPr>
          <w:rFonts w:ascii="Verdana" w:hAnsi="Verdana" w:cs="Arial"/>
          <w:sz w:val="16"/>
          <w:szCs w:val="16"/>
          <w:lang w:val="es-ES"/>
        </w:rPr>
      </w:pPr>
    </w:p>
  </w:footnote>
  <w:footnote w:id="7">
    <w:p w14:paraId="497364DE" w14:textId="77777777" w:rsidR="00AB4CEF" w:rsidRPr="00595F31" w:rsidRDefault="00AB4CEF" w:rsidP="00AB4CEF">
      <w:pPr>
        <w:pStyle w:val="Textonotapie"/>
        <w:snapToGrid w:val="0"/>
        <w:ind w:firstLine="709"/>
        <w:jc w:val="both"/>
        <w:rPr>
          <w:rFonts w:ascii="Verdana" w:hAnsi="Verdana"/>
          <w:sz w:val="16"/>
          <w:szCs w:val="16"/>
          <w:lang w:val="es-CO"/>
        </w:rPr>
      </w:pPr>
      <w:r w:rsidRPr="00595F31">
        <w:rPr>
          <w:rStyle w:val="Refdenotaalpie"/>
          <w:rFonts w:ascii="Verdana" w:hAnsi="Verdana"/>
          <w:sz w:val="16"/>
          <w:szCs w:val="16"/>
        </w:rPr>
        <w:footnoteRef/>
      </w:r>
      <w:r w:rsidRPr="00595F31">
        <w:rPr>
          <w:rFonts w:ascii="Verdana" w:hAnsi="Verdana"/>
          <w:sz w:val="16"/>
          <w:szCs w:val="16"/>
        </w:rPr>
        <w:t xml:space="preserve"> Disponible en el siguiente enlace: </w:t>
      </w:r>
      <w:hyperlink r:id="rId1" w:history="1">
        <w:r w:rsidRPr="00595F31">
          <w:rPr>
            <w:rStyle w:val="Hipervnculo"/>
            <w:rFonts w:ascii="Verdana" w:hAnsi="Verdana"/>
            <w:sz w:val="16"/>
            <w:szCs w:val="16"/>
          </w:rPr>
          <w:t>https://colombiacompra.gov.co/manuales-guias-y-pliegos-tipo/manuales-y-guias/manual-para-determinar-y-verificar-los-requisitos</w:t>
        </w:r>
      </w:hyperlink>
      <w:r w:rsidRPr="00595F31">
        <w:rPr>
          <w:rFonts w:ascii="Verdana" w:hAnsi="Verdana"/>
          <w:sz w:val="16"/>
          <w:szCs w:val="16"/>
        </w:rPr>
        <w:t xml:space="preserve">  </w:t>
      </w:r>
    </w:p>
  </w:footnote>
  <w:footnote w:id="8">
    <w:p w14:paraId="6AF1745C" w14:textId="77777777" w:rsidR="00AB4CEF" w:rsidRPr="00595F31" w:rsidRDefault="00AB4CEF" w:rsidP="00AB4CEF">
      <w:pPr>
        <w:pStyle w:val="Car1"/>
        <w:snapToGrid w:val="0"/>
        <w:ind w:firstLine="709"/>
        <w:jc w:val="both"/>
        <w:rPr>
          <w:rFonts w:ascii="Verdana" w:hAnsi="Verdana" w:cs="Arial"/>
          <w:sz w:val="16"/>
          <w:szCs w:val="16"/>
        </w:rPr>
      </w:pPr>
      <w:r w:rsidRPr="00595F31">
        <w:rPr>
          <w:rStyle w:val="Refdenotaalpie"/>
          <w:rFonts w:ascii="Verdana" w:hAnsi="Verdana" w:cs="Arial"/>
          <w:sz w:val="16"/>
          <w:szCs w:val="16"/>
        </w:rPr>
        <w:footnoteRef/>
      </w:r>
      <w:r w:rsidRPr="00595F31">
        <w:rPr>
          <w:rFonts w:ascii="Verdana" w:hAnsi="Verdana" w:cs="Arial"/>
          <w:sz w:val="16"/>
          <w:szCs w:val="16"/>
        </w:rPr>
        <w:t xml:space="preserve">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4C09D3D9" w14:textId="77777777" w:rsidR="00AB4CEF" w:rsidRPr="00595F31" w:rsidRDefault="00AB4CEF" w:rsidP="00AB4CEF">
      <w:pPr>
        <w:pStyle w:val="Car1"/>
        <w:snapToGrid w:val="0"/>
        <w:ind w:firstLine="709"/>
        <w:jc w:val="both"/>
        <w:rPr>
          <w:rFonts w:ascii="Verdana" w:hAnsi="Verdana" w:cs="Arial"/>
          <w:sz w:val="16"/>
          <w:szCs w:val="16"/>
        </w:rPr>
      </w:pPr>
      <w:r w:rsidRPr="00595F31">
        <w:rPr>
          <w:rFonts w:ascii="Verdana" w:hAnsi="Verdana" w:cs="Arial"/>
          <w:sz w:val="16"/>
          <w:szCs w:val="16"/>
        </w:rPr>
        <w:t>[…]</w:t>
      </w:r>
    </w:p>
    <w:p w14:paraId="3011115C" w14:textId="77777777" w:rsidR="00AB4CEF" w:rsidRPr="00595F31" w:rsidRDefault="00AB4CEF" w:rsidP="00AB4CEF">
      <w:pPr>
        <w:pStyle w:val="Car1"/>
        <w:snapToGrid w:val="0"/>
        <w:ind w:firstLine="709"/>
        <w:jc w:val="both"/>
        <w:rPr>
          <w:rFonts w:ascii="Verdana" w:hAnsi="Verdana" w:cs="Arial"/>
          <w:sz w:val="16"/>
          <w:szCs w:val="16"/>
          <w:lang w:val="es-CO"/>
        </w:rPr>
      </w:pPr>
      <w:r w:rsidRPr="00595F31">
        <w:rPr>
          <w:rFonts w:ascii="Verdana" w:hAnsi="Verdana" w:cs="Arial"/>
          <w:sz w:val="16"/>
          <w:szCs w:val="16"/>
          <w:shd w:val="clear" w:color="auto" w:fill="FFFFFF"/>
        </w:rPr>
        <w:t>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w:t>
      </w:r>
      <w:r w:rsidRPr="00595F31">
        <w:rPr>
          <w:rFonts w:ascii="Verdana" w:hAnsi="Verdana" w:cs="Arial"/>
          <w:sz w:val="16"/>
          <w:szCs w:val="16"/>
          <w:shd w:val="clear" w:color="auto" w:fill="FFFFFF"/>
        </w:rPr>
        <w:softHyphen/>
        <w:t>ficador de Bienes y Servicios en el tercer nivel. Si la constitución del interesado es menor a 3 años, puede acreditar la experiencia de sus accionistas, socios o constituyentes</w:t>
      </w:r>
      <w:r w:rsidRPr="00595F31">
        <w:rPr>
          <w:rFonts w:ascii="Verdana" w:hAnsi="Verdana" w:cs="Arial"/>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567F0F38"/>
    <w:multiLevelType w:val="hybridMultilevel"/>
    <w:tmpl w:val="0382052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228268696">
    <w:abstractNumId w:val="9"/>
  </w:num>
  <w:num w:numId="18" w16cid:durableId="11365327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262B"/>
    <w:rsid w:val="00013659"/>
    <w:rsid w:val="00015B89"/>
    <w:rsid w:val="00016F78"/>
    <w:rsid w:val="00024485"/>
    <w:rsid w:val="00037699"/>
    <w:rsid w:val="000452D5"/>
    <w:rsid w:val="00046945"/>
    <w:rsid w:val="00061B2A"/>
    <w:rsid w:val="00082362"/>
    <w:rsid w:val="00092D97"/>
    <w:rsid w:val="00096FD5"/>
    <w:rsid w:val="000A683E"/>
    <w:rsid w:val="000A6B85"/>
    <w:rsid w:val="000B19B9"/>
    <w:rsid w:val="000C335D"/>
    <w:rsid w:val="000D0334"/>
    <w:rsid w:val="000D5DA7"/>
    <w:rsid w:val="000E5663"/>
    <w:rsid w:val="000F6486"/>
    <w:rsid w:val="00116940"/>
    <w:rsid w:val="00122034"/>
    <w:rsid w:val="00125105"/>
    <w:rsid w:val="00127233"/>
    <w:rsid w:val="0014487C"/>
    <w:rsid w:val="0015699B"/>
    <w:rsid w:val="00164EBD"/>
    <w:rsid w:val="001A2DAF"/>
    <w:rsid w:val="001A33BF"/>
    <w:rsid w:val="001D23AA"/>
    <w:rsid w:val="001E4177"/>
    <w:rsid w:val="001F0B24"/>
    <w:rsid w:val="001F7DC6"/>
    <w:rsid w:val="00204E4A"/>
    <w:rsid w:val="0022400B"/>
    <w:rsid w:val="00233828"/>
    <w:rsid w:val="002421BB"/>
    <w:rsid w:val="00242FE4"/>
    <w:rsid w:val="00255DEA"/>
    <w:rsid w:val="0025796E"/>
    <w:rsid w:val="002707A2"/>
    <w:rsid w:val="002951A0"/>
    <w:rsid w:val="002962BC"/>
    <w:rsid w:val="002A093D"/>
    <w:rsid w:val="002A0DD0"/>
    <w:rsid w:val="002A118B"/>
    <w:rsid w:val="002A49AC"/>
    <w:rsid w:val="002A64FD"/>
    <w:rsid w:val="002B0B5B"/>
    <w:rsid w:val="002B1E73"/>
    <w:rsid w:val="002C7A84"/>
    <w:rsid w:val="002E12D5"/>
    <w:rsid w:val="002E2BF8"/>
    <w:rsid w:val="002E4FD9"/>
    <w:rsid w:val="002F494C"/>
    <w:rsid w:val="00302790"/>
    <w:rsid w:val="0030657A"/>
    <w:rsid w:val="00322A85"/>
    <w:rsid w:val="00324168"/>
    <w:rsid w:val="00330834"/>
    <w:rsid w:val="003448F4"/>
    <w:rsid w:val="00355346"/>
    <w:rsid w:val="00374F5E"/>
    <w:rsid w:val="00377E3E"/>
    <w:rsid w:val="003A779E"/>
    <w:rsid w:val="003D0F4D"/>
    <w:rsid w:val="003D5B0D"/>
    <w:rsid w:val="003E0499"/>
    <w:rsid w:val="003E4F80"/>
    <w:rsid w:val="003E5D4C"/>
    <w:rsid w:val="003E6439"/>
    <w:rsid w:val="003F3941"/>
    <w:rsid w:val="00406575"/>
    <w:rsid w:val="004146A3"/>
    <w:rsid w:val="00414C74"/>
    <w:rsid w:val="0042722E"/>
    <w:rsid w:val="0044528D"/>
    <w:rsid w:val="0046420E"/>
    <w:rsid w:val="00464E2F"/>
    <w:rsid w:val="00466E39"/>
    <w:rsid w:val="004A1847"/>
    <w:rsid w:val="004A305D"/>
    <w:rsid w:val="004F21C4"/>
    <w:rsid w:val="004F685F"/>
    <w:rsid w:val="00537A1F"/>
    <w:rsid w:val="00544965"/>
    <w:rsid w:val="005566E8"/>
    <w:rsid w:val="00574867"/>
    <w:rsid w:val="00581282"/>
    <w:rsid w:val="00591460"/>
    <w:rsid w:val="005A65E0"/>
    <w:rsid w:val="005B336B"/>
    <w:rsid w:val="005C3777"/>
    <w:rsid w:val="005C5CDC"/>
    <w:rsid w:val="005D476C"/>
    <w:rsid w:val="005D4E07"/>
    <w:rsid w:val="005F6874"/>
    <w:rsid w:val="00614529"/>
    <w:rsid w:val="006200BF"/>
    <w:rsid w:val="006219F8"/>
    <w:rsid w:val="006302F7"/>
    <w:rsid w:val="0063517F"/>
    <w:rsid w:val="0064273B"/>
    <w:rsid w:val="00646B9F"/>
    <w:rsid w:val="0066197B"/>
    <w:rsid w:val="00665D70"/>
    <w:rsid w:val="00686E0B"/>
    <w:rsid w:val="006900D9"/>
    <w:rsid w:val="006D700C"/>
    <w:rsid w:val="00706C16"/>
    <w:rsid w:val="007340C3"/>
    <w:rsid w:val="00741A4E"/>
    <w:rsid w:val="007461CE"/>
    <w:rsid w:val="0075235A"/>
    <w:rsid w:val="00756841"/>
    <w:rsid w:val="007649AB"/>
    <w:rsid w:val="00771D0C"/>
    <w:rsid w:val="007833AC"/>
    <w:rsid w:val="007B268C"/>
    <w:rsid w:val="007B7171"/>
    <w:rsid w:val="007C0C0F"/>
    <w:rsid w:val="007C3DC2"/>
    <w:rsid w:val="007D6543"/>
    <w:rsid w:val="007E5497"/>
    <w:rsid w:val="00806F5F"/>
    <w:rsid w:val="00820278"/>
    <w:rsid w:val="008258C9"/>
    <w:rsid w:val="00844AE9"/>
    <w:rsid w:val="00851D09"/>
    <w:rsid w:val="0086629D"/>
    <w:rsid w:val="00867F95"/>
    <w:rsid w:val="008843B6"/>
    <w:rsid w:val="008874B8"/>
    <w:rsid w:val="00891928"/>
    <w:rsid w:val="008A446D"/>
    <w:rsid w:val="008B25F1"/>
    <w:rsid w:val="008D180B"/>
    <w:rsid w:val="008D381C"/>
    <w:rsid w:val="008F0EA7"/>
    <w:rsid w:val="00923EEF"/>
    <w:rsid w:val="009267A7"/>
    <w:rsid w:val="0093791C"/>
    <w:rsid w:val="009419F9"/>
    <w:rsid w:val="0095685E"/>
    <w:rsid w:val="00961B09"/>
    <w:rsid w:val="00964C43"/>
    <w:rsid w:val="00965334"/>
    <w:rsid w:val="0097093E"/>
    <w:rsid w:val="009A0DFA"/>
    <w:rsid w:val="009A1C6F"/>
    <w:rsid w:val="009B2D26"/>
    <w:rsid w:val="009C71FA"/>
    <w:rsid w:val="009C72E7"/>
    <w:rsid w:val="009C7F7E"/>
    <w:rsid w:val="009D3058"/>
    <w:rsid w:val="009D5937"/>
    <w:rsid w:val="009D5B2F"/>
    <w:rsid w:val="009F3A13"/>
    <w:rsid w:val="00A1021C"/>
    <w:rsid w:val="00A122D3"/>
    <w:rsid w:val="00A14468"/>
    <w:rsid w:val="00A17F13"/>
    <w:rsid w:val="00A20739"/>
    <w:rsid w:val="00A21311"/>
    <w:rsid w:val="00A23AF9"/>
    <w:rsid w:val="00A33C78"/>
    <w:rsid w:val="00A8428C"/>
    <w:rsid w:val="00A9413D"/>
    <w:rsid w:val="00AB0ADB"/>
    <w:rsid w:val="00AB4CEF"/>
    <w:rsid w:val="00AC25C4"/>
    <w:rsid w:val="00AC33C0"/>
    <w:rsid w:val="00B00C0E"/>
    <w:rsid w:val="00B01B1A"/>
    <w:rsid w:val="00B0381D"/>
    <w:rsid w:val="00B15487"/>
    <w:rsid w:val="00B437F9"/>
    <w:rsid w:val="00B44A47"/>
    <w:rsid w:val="00B6616C"/>
    <w:rsid w:val="00B67664"/>
    <w:rsid w:val="00B72CD3"/>
    <w:rsid w:val="00B72FFF"/>
    <w:rsid w:val="00B93175"/>
    <w:rsid w:val="00BC3D36"/>
    <w:rsid w:val="00BD54A6"/>
    <w:rsid w:val="00BD7F72"/>
    <w:rsid w:val="00BF7425"/>
    <w:rsid w:val="00C04FB3"/>
    <w:rsid w:val="00C05B9F"/>
    <w:rsid w:val="00C11D8B"/>
    <w:rsid w:val="00C15139"/>
    <w:rsid w:val="00C330EB"/>
    <w:rsid w:val="00C470B2"/>
    <w:rsid w:val="00C50D69"/>
    <w:rsid w:val="00C5365C"/>
    <w:rsid w:val="00C754BE"/>
    <w:rsid w:val="00C76B1C"/>
    <w:rsid w:val="00C77DFF"/>
    <w:rsid w:val="00C925AC"/>
    <w:rsid w:val="00CA275E"/>
    <w:rsid w:val="00CA62CB"/>
    <w:rsid w:val="00CB34FE"/>
    <w:rsid w:val="00CB6357"/>
    <w:rsid w:val="00CC1B26"/>
    <w:rsid w:val="00CE05C9"/>
    <w:rsid w:val="00CE6A36"/>
    <w:rsid w:val="00D147DC"/>
    <w:rsid w:val="00D361FD"/>
    <w:rsid w:val="00D423A2"/>
    <w:rsid w:val="00D427A9"/>
    <w:rsid w:val="00D44E26"/>
    <w:rsid w:val="00D520D8"/>
    <w:rsid w:val="00D63AC2"/>
    <w:rsid w:val="00D66B71"/>
    <w:rsid w:val="00D7383B"/>
    <w:rsid w:val="00D7788A"/>
    <w:rsid w:val="00D815DD"/>
    <w:rsid w:val="00DA231B"/>
    <w:rsid w:val="00DC39FC"/>
    <w:rsid w:val="00DD573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16A5"/>
    <w:rsid w:val="00EC38A7"/>
    <w:rsid w:val="00EE1AA8"/>
    <w:rsid w:val="00EE3C3D"/>
    <w:rsid w:val="00F23FEA"/>
    <w:rsid w:val="00F31EDC"/>
    <w:rsid w:val="00F37066"/>
    <w:rsid w:val="00F462B3"/>
    <w:rsid w:val="00F5664F"/>
    <w:rsid w:val="00F666C4"/>
    <w:rsid w:val="00F76AFC"/>
    <w:rsid w:val="00F83A22"/>
    <w:rsid w:val="00FA47C0"/>
    <w:rsid w:val="00FB5DD1"/>
    <w:rsid w:val="00FC2B5D"/>
    <w:rsid w:val="00FD4928"/>
    <w:rsid w:val="00FF1449"/>
    <w:rsid w:val="00FF4088"/>
    <w:rsid w:val="00FF7963"/>
    <w:rsid w:val="09908A09"/>
    <w:rsid w:val="13CFC91B"/>
    <w:rsid w:val="1508AF59"/>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B4CEF"/>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B4CEF"/>
    <w:rPr>
      <w:rFonts w:ascii="Geomanist Light" w:hAnsi="Geomanist Light"/>
      <w:lang w:val="es-ES"/>
    </w:rPr>
  </w:style>
  <w:style w:type="paragraph" w:customStyle="1" w:styleId="Car1">
    <w:name w:val="Car1"/>
    <w:basedOn w:val="Normal"/>
    <w:next w:val="Textonotapie"/>
    <w:uiPriority w:val="99"/>
    <w:unhideWhenUsed/>
    <w:qFormat/>
    <w:rsid w:val="00AB4CEF"/>
    <w:pPr>
      <w:spacing w:after="0" w:line="240" w:lineRule="auto"/>
    </w:pPr>
    <w:rPr>
      <w:sz w:val="20"/>
      <w:szCs w:val="20"/>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direccioncomercial@serlecomsas.com" TargetMode="External"/><Relationship Id="rId18" Type="http://schemas.openxmlformats.org/officeDocument/2006/relationships/hyperlink" Target="https://formacionvirtual.colombiacompra.gov.co/mod/page/view.php?id=3718" TargetMode="External"/><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settings" Target="settings.xml"/><Relationship Id="rId12" Type="http://schemas.openxmlformats.org/officeDocument/2006/relationships/hyperlink" Target="mailto:gerencia@serlecomsas.com" TargetMode="External"/><Relationship Id="rId17"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20"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colombiacompra.gov.co/archivos/manual/manual-para-determinar-y-verificar-los-requisitos-habilitantes-en-los-procesos-de-contratacion" TargetMode="External"/><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www.colombiacompra.gov.co/normativa-y-relatoria/documentos-tipo"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af.albarracin@serlecomsas.com" TargetMode="External"/><Relationship Id="rId22"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colombiacompra.gov.co/manuales-guias-y-pliegos-tipo/manuales-y-guias/manual-para-determinar-y-verificar-los-requisi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96BB4D07-94B4-4711-9E8B-0A992800F4D6}">
  <ds:schemaRefs>
    <ds:schemaRef ds:uri="http://schemas.openxmlformats.org/officeDocument/2006/bibliography"/>
  </ds:schemaRefs>
</ds:datastoreItem>
</file>

<file path=customXml/itemProps4.xml><?xml version="1.0" encoding="utf-8"?>
<ds:datastoreItem xmlns:ds="http://schemas.openxmlformats.org/officeDocument/2006/customXml" ds:itemID="{C5557A24-A664-42D1-BDDF-D23F510562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396</TotalTime>
  <Pages>17</Pages>
  <Words>5372</Words>
  <Characters>29552</Characters>
  <Application>Microsoft Office Word</Application>
  <DocSecurity>0</DocSecurity>
  <Lines>246</Lines>
  <Paragraphs>69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34855</CharactersWithSpaces>
  <SharedDoc>false</SharedDoc>
  <HLinks>
    <vt:vector size="30" baseType="variant">
      <vt:variant>
        <vt:i4>7733357</vt:i4>
      </vt:variant>
      <vt:variant>
        <vt:i4>9</vt:i4>
      </vt:variant>
      <vt:variant>
        <vt:i4>0</vt:i4>
      </vt:variant>
      <vt:variant>
        <vt:i4>5</vt:i4>
      </vt:variant>
      <vt:variant>
        <vt:lpwstr>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vt:lpwstr>
      </vt:variant>
      <vt:variant>
        <vt:lpwstr/>
      </vt:variant>
      <vt:variant>
        <vt:i4>2162739</vt:i4>
      </vt:variant>
      <vt:variant>
        <vt:i4>6</vt:i4>
      </vt:variant>
      <vt:variant>
        <vt:i4>0</vt:i4>
      </vt:variant>
      <vt:variant>
        <vt:i4>5</vt:i4>
      </vt:variant>
      <vt:variant>
        <vt:lpwstr>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vt:lpwstr>
      </vt:variant>
      <vt:variant>
        <vt:lpwstr/>
      </vt:variant>
      <vt:variant>
        <vt:i4>65617</vt:i4>
      </vt:variant>
      <vt:variant>
        <vt:i4>3</vt:i4>
      </vt:variant>
      <vt:variant>
        <vt:i4>0</vt:i4>
      </vt:variant>
      <vt:variant>
        <vt:i4>5</vt:i4>
      </vt:variant>
      <vt:variant>
        <vt:lpwstr>https://www.colombiacompra.gov.co/archivos/manual/manual-para-determinar-y-verificar-los-requisitos-habilitantes-en-los-procesos-de-contratacion</vt:lpwstr>
      </vt:variant>
      <vt:variant>
        <vt:lpwstr/>
      </vt:variant>
      <vt:variant>
        <vt:i4>3997769</vt:i4>
      </vt:variant>
      <vt:variant>
        <vt:i4>0</vt:i4>
      </vt:variant>
      <vt:variant>
        <vt:i4>0</vt:i4>
      </vt:variant>
      <vt:variant>
        <vt:i4>5</vt:i4>
      </vt:variant>
      <vt:variant>
        <vt:lpwstr>mailto:Gerencia.eficacia@gmail.com</vt:lpwstr>
      </vt:variant>
      <vt:variant>
        <vt:lpwstr/>
      </vt:variant>
      <vt:variant>
        <vt:i4>3997735</vt:i4>
      </vt:variant>
      <vt:variant>
        <vt:i4>0</vt:i4>
      </vt:variant>
      <vt:variant>
        <vt:i4>0</vt:i4>
      </vt:variant>
      <vt:variant>
        <vt:i4>5</vt:i4>
      </vt:variant>
      <vt:variant>
        <vt:lpwstr>https://colombiacompra.gov.co/manuales-guias-y-pliegos-tipo/manuales-y-guias/manual-para-determinar-y-verificar-los-requisitos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9</cp:revision>
  <cp:lastPrinted>2023-01-10T21:18:00Z</cp:lastPrinted>
  <dcterms:created xsi:type="dcterms:W3CDTF">2025-11-05T13:58:00Z</dcterms:created>
  <dcterms:modified xsi:type="dcterms:W3CDTF">2026-05-27T22:56:00Z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