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FA225" w14:textId="77777777" w:rsidR="00C62CF2" w:rsidRPr="00DE2AC7" w:rsidRDefault="00C62CF2" w:rsidP="00C62CF2">
      <w:pPr>
        <w:spacing w:after="0" w:line="240" w:lineRule="auto"/>
        <w:rPr>
          <w:rFonts w:ascii="Verdana" w:eastAsia="Calibri" w:hAnsi="Verdana" w:cs="Arial"/>
          <w:b/>
          <w:sz w:val="20"/>
          <w:szCs w:val="20"/>
          <w:lang w:val="es-ES_tradnl" w:eastAsia="es-ES_tradnl"/>
        </w:rPr>
      </w:pPr>
      <w:bookmarkStart w:id="0" w:name="_Hlk143780582"/>
    </w:p>
    <w:p w14:paraId="572C6352" w14:textId="77777777" w:rsidR="00C62CF2" w:rsidRPr="007D0816" w:rsidRDefault="00C62CF2" w:rsidP="00C62CF2">
      <w:pPr>
        <w:spacing w:after="0" w:line="240" w:lineRule="auto"/>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Noción </w:t>
      </w:r>
    </w:p>
    <w:p w14:paraId="5CEB209F" w14:textId="77777777" w:rsidR="00C62CF2" w:rsidRPr="00DE2AC7" w:rsidRDefault="00C62CF2" w:rsidP="00C62CF2">
      <w:pPr>
        <w:spacing w:after="0" w:line="240" w:lineRule="auto"/>
        <w:rPr>
          <w:rFonts w:ascii="Verdana" w:eastAsia="Calibri" w:hAnsi="Verdana" w:cs="Arial"/>
          <w:bCs/>
          <w:sz w:val="20"/>
          <w:szCs w:val="20"/>
          <w:lang w:val="es-ES_tradnl" w:eastAsia="es-ES_tradnl"/>
        </w:rPr>
      </w:pPr>
    </w:p>
    <w:p w14:paraId="434F59D0" w14:textId="77777777" w:rsidR="00C62CF2" w:rsidRPr="00DE2AC7" w:rsidRDefault="00C62CF2" w:rsidP="00C62CF2">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DE2AC7">
        <w:rPr>
          <w:rFonts w:ascii="Verdana" w:eastAsia="Calibri" w:hAnsi="Verdana" w:cs="Arial"/>
          <w:color w:val="000000" w:themeColor="text1"/>
          <w:sz w:val="20"/>
          <w:szCs w:val="20"/>
        </w:rPr>
        <w:t>subentra</w:t>
      </w:r>
      <w:proofErr w:type="spellEnd"/>
      <w:r w:rsidRPr="00DE2AC7">
        <w:rPr>
          <w:rFonts w:ascii="Verdana" w:eastAsia="Calibri" w:hAnsi="Verdana" w:cs="Arial"/>
          <w:color w:val="000000" w:themeColor="text1"/>
          <w:sz w:val="20"/>
          <w:szCs w:val="20"/>
        </w:rPr>
        <w:t xml:space="preserve"> en la relación con el cedido […]”. Por otro, “[…] es la transferencia de la posición contractual de un contratante a otro sujeto, que le </w:t>
      </w:r>
      <w:proofErr w:type="spellStart"/>
      <w:r w:rsidRPr="00DE2AC7">
        <w:rPr>
          <w:rFonts w:ascii="Verdana" w:eastAsia="Calibri" w:hAnsi="Verdana" w:cs="Arial"/>
          <w:color w:val="000000" w:themeColor="text1"/>
          <w:sz w:val="20"/>
          <w:szCs w:val="20"/>
        </w:rPr>
        <w:t>subentra</w:t>
      </w:r>
      <w:proofErr w:type="spellEnd"/>
      <w:r w:rsidRPr="00DE2AC7">
        <w:rPr>
          <w:rFonts w:ascii="Verdana" w:eastAsia="Calibri" w:hAnsi="Verdana" w:cs="Arial"/>
          <w:color w:val="000000" w:themeColor="text1"/>
          <w:sz w:val="20"/>
          <w:szCs w:val="20"/>
        </w:rPr>
        <w:t xml:space="preserve"> en la relación con la contraparte […]”. De esta manera, </w:t>
      </w:r>
      <w:r w:rsidRPr="00DE2AC7">
        <w:rPr>
          <w:rFonts w:ascii="Verdana" w:hAnsi="Verdana" w:cs="Arial"/>
          <w:color w:val="000000" w:themeColor="text1"/>
          <w:sz w:val="20"/>
          <w:szCs w:val="20"/>
        </w:rPr>
        <w:t xml:space="preserve">concurren tres (3) sujetos: i) el cedente, esto es, el contratista inicial; </w:t>
      </w:r>
      <w:proofErr w:type="spellStart"/>
      <w:r w:rsidRPr="00DE2AC7">
        <w:rPr>
          <w:rFonts w:ascii="Verdana" w:hAnsi="Verdana" w:cs="Arial"/>
          <w:color w:val="000000" w:themeColor="text1"/>
          <w:sz w:val="20"/>
          <w:szCs w:val="20"/>
        </w:rPr>
        <w:t>ii</w:t>
      </w:r>
      <w:proofErr w:type="spellEnd"/>
      <w:r w:rsidRPr="00DE2AC7">
        <w:rPr>
          <w:rFonts w:ascii="Verdana" w:hAnsi="Verdana" w:cs="Arial"/>
          <w:color w:val="000000" w:themeColor="text1"/>
          <w:sz w:val="20"/>
          <w:szCs w:val="20"/>
        </w:rPr>
        <w:t xml:space="preserve">) el cesionario, es decir, quien asume total o parcialmente los derechos y obligaciones de este último; y </w:t>
      </w:r>
      <w:proofErr w:type="spellStart"/>
      <w:r w:rsidRPr="00DE2AC7">
        <w:rPr>
          <w:rFonts w:ascii="Verdana" w:hAnsi="Verdana" w:cs="Arial"/>
          <w:color w:val="000000" w:themeColor="text1"/>
          <w:sz w:val="20"/>
          <w:szCs w:val="20"/>
        </w:rPr>
        <w:t>iii</w:t>
      </w:r>
      <w:proofErr w:type="spellEnd"/>
      <w:r w:rsidRPr="00DE2AC7">
        <w:rPr>
          <w:rFonts w:ascii="Verdana" w:hAnsi="Verdana" w:cs="Arial"/>
          <w:color w:val="000000" w:themeColor="text1"/>
          <w:sz w:val="20"/>
          <w:szCs w:val="20"/>
        </w:rPr>
        <w:t xml:space="preserve">) el cedido que, en el caso de los contratos estatales, sería la entidad que suscribió el contrato. </w:t>
      </w:r>
      <w:r w:rsidRPr="00DE2AC7">
        <w:rPr>
          <w:rFonts w:ascii="Verdana" w:eastAsia="Calibri" w:hAnsi="Verdana" w:cs="Arial"/>
          <w:color w:val="000000" w:themeColor="text1"/>
          <w:sz w:val="20"/>
          <w:szCs w:val="20"/>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14:paraId="56356989" w14:textId="77777777" w:rsidR="00C62CF2" w:rsidRPr="00DE2AC7" w:rsidRDefault="00C62CF2" w:rsidP="00C62CF2">
      <w:pPr>
        <w:spacing w:after="0" w:line="240" w:lineRule="auto"/>
        <w:jc w:val="both"/>
        <w:rPr>
          <w:rFonts w:ascii="Verdana" w:eastAsia="Calibri" w:hAnsi="Verdana" w:cs="Arial"/>
          <w:color w:val="000000" w:themeColor="text1"/>
          <w:sz w:val="20"/>
          <w:szCs w:val="20"/>
        </w:rPr>
      </w:pPr>
    </w:p>
    <w:p w14:paraId="5A1E98F7" w14:textId="77777777" w:rsidR="00C62CF2" w:rsidRPr="007D0816" w:rsidRDefault="00C62CF2" w:rsidP="00C62CF2">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Régimen jurídico aplicable – EGCAP – Código de </w:t>
      </w:r>
      <w:r>
        <w:rPr>
          <w:rFonts w:ascii="Verdana" w:eastAsia="Calibri" w:hAnsi="Verdana" w:cs="Arial"/>
          <w:b/>
          <w:lang w:val="es-ES_tradnl" w:eastAsia="es-ES_tradnl"/>
        </w:rPr>
        <w:t>C</w:t>
      </w:r>
      <w:r w:rsidRPr="007D0816">
        <w:rPr>
          <w:rFonts w:ascii="Verdana" w:eastAsia="Calibri" w:hAnsi="Verdana" w:cs="Arial"/>
          <w:b/>
          <w:lang w:val="es-ES_tradnl" w:eastAsia="es-ES_tradnl"/>
        </w:rPr>
        <w:t>omercio</w:t>
      </w:r>
    </w:p>
    <w:p w14:paraId="62DF20A8" w14:textId="77777777" w:rsidR="00C62CF2" w:rsidRPr="00DE2AC7" w:rsidRDefault="00C62CF2" w:rsidP="00C62CF2">
      <w:pPr>
        <w:spacing w:after="0" w:line="240" w:lineRule="auto"/>
        <w:jc w:val="both"/>
        <w:rPr>
          <w:rFonts w:ascii="Verdana" w:eastAsia="Calibri" w:hAnsi="Verdana" w:cs="Arial"/>
          <w:bCs/>
          <w:sz w:val="20"/>
          <w:szCs w:val="20"/>
          <w:lang w:val="es-ES_tradnl" w:eastAsia="es-ES_tradnl"/>
        </w:rPr>
      </w:pPr>
    </w:p>
    <w:p w14:paraId="24F4C093" w14:textId="77777777" w:rsidR="00C62CF2" w:rsidRPr="00DE2AC7" w:rsidRDefault="00C62CF2" w:rsidP="00C62CF2">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DE2AC7">
        <w:rPr>
          <w:rFonts w:ascii="Verdana" w:eastAsia="Calibri" w:hAnsi="Verdana" w:cs="Arial"/>
          <w:color w:val="000000" w:themeColor="text1"/>
          <w:sz w:val="20"/>
          <w:szCs w:val="20"/>
        </w:rPr>
        <w:t>ii</w:t>
      </w:r>
      <w:proofErr w:type="spellEnd"/>
      <w:r w:rsidRPr="00DE2AC7">
        <w:rPr>
          <w:rFonts w:ascii="Verdana" w:eastAsia="Calibri" w:hAnsi="Verdana" w:cs="Arial"/>
          <w:color w:val="000000" w:themeColor="text1"/>
          <w:sz w:val="20"/>
          <w:szCs w:val="20"/>
        </w:rPr>
        <w:t xml:space="preserve">) corresponderán como actos jurídicos bilaterales generadores de obligaciones, entre otros, a los previstos en el derecho privado, en los términos del artículo 32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y </w:t>
      </w:r>
      <w:proofErr w:type="spellStart"/>
      <w:r w:rsidRPr="00DE2AC7">
        <w:rPr>
          <w:rFonts w:ascii="Verdana" w:eastAsia="Calibri" w:hAnsi="Verdana" w:cs="Arial"/>
          <w:color w:val="000000" w:themeColor="text1"/>
          <w:sz w:val="20"/>
          <w:szCs w:val="20"/>
        </w:rPr>
        <w:t>iii</w:t>
      </w:r>
      <w:proofErr w:type="spellEnd"/>
      <w:r w:rsidRPr="00DE2AC7">
        <w:rPr>
          <w:rFonts w:ascii="Verdana" w:eastAsia="Calibri" w:hAnsi="Verdana" w:cs="Arial"/>
          <w:color w:val="000000" w:themeColor="text1"/>
          <w:sz w:val="20"/>
          <w:szCs w:val="20"/>
        </w:rPr>
        <w:t xml:space="preserve">) contendrán las estipulaciones que, de acuerdo con las normas civiles, comerciales y las previstas en esta ley, correspondan a su esencia y naturaleza, conforme a lo dispuesto por el artículo 40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w:t>
      </w:r>
    </w:p>
    <w:p w14:paraId="5C8C7E53" w14:textId="77777777" w:rsidR="00C62CF2" w:rsidRPr="00DE2AC7" w:rsidRDefault="00C62CF2" w:rsidP="00C62CF2">
      <w:pPr>
        <w:spacing w:after="0" w:line="240" w:lineRule="auto"/>
        <w:jc w:val="both"/>
        <w:rPr>
          <w:rFonts w:ascii="Verdana" w:eastAsia="Calibri" w:hAnsi="Verdana" w:cs="Arial"/>
          <w:color w:val="000000" w:themeColor="text1"/>
          <w:sz w:val="20"/>
          <w:szCs w:val="20"/>
        </w:rPr>
      </w:pPr>
    </w:p>
    <w:p w14:paraId="14D71577" w14:textId="77777777" w:rsidR="00C62CF2" w:rsidRPr="007D0816" w:rsidRDefault="00C62CF2" w:rsidP="00C62CF2">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CESIÓN DEL CONTRATO ESTATAL – Requisitos – Restricciones</w:t>
      </w:r>
    </w:p>
    <w:p w14:paraId="1A5F2B82" w14:textId="77777777" w:rsidR="00C62CF2" w:rsidRPr="00DE2AC7" w:rsidRDefault="00C62CF2" w:rsidP="00C62CF2">
      <w:pPr>
        <w:spacing w:after="0" w:line="240" w:lineRule="auto"/>
        <w:jc w:val="both"/>
        <w:rPr>
          <w:rFonts w:ascii="Verdana" w:eastAsia="Calibri" w:hAnsi="Verdana" w:cs="Arial"/>
          <w:color w:val="000000" w:themeColor="text1"/>
          <w:sz w:val="20"/>
          <w:szCs w:val="20"/>
        </w:rPr>
      </w:pPr>
    </w:p>
    <w:p w14:paraId="5014D352" w14:textId="77777777" w:rsidR="00C62CF2" w:rsidRPr="00DE2AC7" w:rsidRDefault="00C62CF2" w:rsidP="00C62CF2">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 el Consejo de Estado ha precisado como requisitos de la cesión del contrato estatal los siguientes: i) debe recaer en un tercero; </w:t>
      </w:r>
      <w:proofErr w:type="spellStart"/>
      <w:r w:rsidRPr="00DE2AC7">
        <w:rPr>
          <w:rFonts w:ascii="Verdana" w:eastAsia="Calibri" w:hAnsi="Verdana" w:cs="Arial"/>
          <w:color w:val="000000" w:themeColor="text1"/>
          <w:sz w:val="20"/>
          <w:szCs w:val="20"/>
        </w:rPr>
        <w:t>ii</w:t>
      </w:r>
      <w:proofErr w:type="spellEnd"/>
      <w:r w:rsidRPr="00DE2AC7">
        <w:rPr>
          <w:rFonts w:ascii="Verdana" w:eastAsia="Calibri" w:hAnsi="Verdana" w:cs="Arial"/>
          <w:color w:val="000000" w:themeColor="text1"/>
          <w:sz w:val="20"/>
          <w:szCs w:val="20"/>
        </w:rPr>
        <w:t xml:space="preserve">) el cesionario debe tener capacidad jurídica para continuar con la ejecución del objeto contractual y no estar incurso en causales de inhabilidad e incompatibilidad para contratar; y </w:t>
      </w:r>
      <w:proofErr w:type="spellStart"/>
      <w:r w:rsidRPr="00DE2AC7">
        <w:rPr>
          <w:rFonts w:ascii="Verdana" w:eastAsia="Calibri" w:hAnsi="Verdana" w:cs="Arial"/>
          <w:color w:val="000000" w:themeColor="text1"/>
          <w:sz w:val="20"/>
          <w:szCs w:val="20"/>
        </w:rPr>
        <w:t>iii</w:t>
      </w:r>
      <w:proofErr w:type="spellEnd"/>
      <w:r w:rsidRPr="00DE2AC7">
        <w:rPr>
          <w:rFonts w:ascii="Verdana" w:eastAsia="Calibri" w:hAnsi="Verdana" w:cs="Arial"/>
          <w:color w:val="000000" w:themeColor="text1"/>
          <w:sz w:val="20"/>
          <w:szCs w:val="20"/>
        </w:rPr>
        <w:t xml:space="preserve">)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w:t>
      </w:r>
      <w:r w:rsidRPr="00DE2AC7">
        <w:rPr>
          <w:rFonts w:ascii="Verdana" w:eastAsia="Calibri" w:hAnsi="Verdana" w:cs="Arial"/>
          <w:color w:val="000000" w:themeColor="text1"/>
          <w:sz w:val="20"/>
          <w:szCs w:val="20"/>
        </w:rPr>
        <w:lastRenderedPageBreak/>
        <w:t>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p>
    <w:p w14:paraId="49FBDA5D" w14:textId="77777777" w:rsidR="00C62CF2" w:rsidRPr="00DE2AC7" w:rsidRDefault="00C62CF2" w:rsidP="00C62CF2">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w:t>
      </w:r>
    </w:p>
    <w:p w14:paraId="5DF4F900" w14:textId="77777777" w:rsidR="00C62CF2" w:rsidRPr="00DE2AC7" w:rsidRDefault="00C62CF2" w:rsidP="00C62CF2">
      <w:pPr>
        <w:tabs>
          <w:tab w:val="left" w:pos="709"/>
        </w:tabs>
        <w:spacing w:after="0" w:line="240" w:lineRule="auto"/>
        <w:jc w:val="both"/>
        <w:rPr>
          <w:rFonts w:ascii="Verdana" w:eastAsia="Calibri" w:hAnsi="Verdana" w:cs="Arial"/>
          <w:color w:val="000000" w:themeColor="text1"/>
          <w:sz w:val="20"/>
          <w:szCs w:val="20"/>
        </w:rPr>
      </w:pPr>
    </w:p>
    <w:p w14:paraId="1A015F53" w14:textId="77777777" w:rsidR="00C62CF2" w:rsidRPr="00DE2AC7" w:rsidRDefault="00C62CF2" w:rsidP="00C62CF2">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 </w:t>
      </w:r>
    </w:p>
    <w:p w14:paraId="41B2C353" w14:textId="77777777" w:rsidR="00C62CF2" w:rsidRPr="00DE2AC7" w:rsidRDefault="00C62CF2" w:rsidP="00C62CF2">
      <w:pPr>
        <w:spacing w:after="0" w:line="240" w:lineRule="auto"/>
        <w:rPr>
          <w:rFonts w:ascii="Verdana" w:eastAsia="Geomanist Light" w:hAnsi="Verdana" w:cs="Arial"/>
          <w:color w:val="000000" w:themeColor="text1"/>
        </w:rPr>
      </w:pPr>
    </w:p>
    <w:p w14:paraId="01FC2EA2" w14:textId="77777777" w:rsidR="00C62CF2" w:rsidRPr="0062347A" w:rsidRDefault="00C62CF2" w:rsidP="00C62CF2">
      <w:pPr>
        <w:spacing w:after="0"/>
        <w:rPr>
          <w:rFonts w:ascii="Verdana" w:eastAsia="Calibri" w:hAnsi="Verdana" w:cs="Arial"/>
          <w:b/>
          <w:lang w:val="es-ES" w:eastAsia="es-ES"/>
        </w:rPr>
      </w:pPr>
      <w:r w:rsidRPr="0062347A">
        <w:rPr>
          <w:rFonts w:ascii="Verdana" w:hAnsi="Verdana" w:cs="Arial"/>
          <w:b/>
          <w:lang w:val="es-ES_tradnl" w:eastAsia="es-ES"/>
        </w:rPr>
        <w:t>EMPRESAS SOCIALES DEL ESTADO</w:t>
      </w:r>
      <w:r>
        <w:rPr>
          <w:rFonts w:ascii="Verdana" w:hAnsi="Verdana" w:cs="Arial"/>
          <w:b/>
          <w:lang w:val="es-ES_tradnl" w:eastAsia="es-ES"/>
        </w:rPr>
        <w:t xml:space="preserve"> </w:t>
      </w:r>
      <w:r w:rsidRPr="0062347A">
        <w:rPr>
          <w:rFonts w:ascii="Verdana" w:eastAsia="Calibri" w:hAnsi="Verdana" w:cs="Arial"/>
          <w:b/>
          <w:lang w:val="es-ES"/>
        </w:rPr>
        <w:t xml:space="preserve">– Naturaleza </w:t>
      </w:r>
      <w:r w:rsidRPr="002B7EF2">
        <w:rPr>
          <w:rFonts w:ascii="Verdana" w:eastAsia="Calibri" w:hAnsi="Verdana" w:cs="Arial"/>
          <w:b/>
          <w:bCs/>
          <w:lang w:val="es-ES"/>
        </w:rPr>
        <w:t>–</w:t>
      </w:r>
      <w:r w:rsidRPr="0062347A">
        <w:rPr>
          <w:rFonts w:ascii="Verdana" w:eastAsia="Calibri" w:hAnsi="Verdana" w:cs="Arial"/>
          <w:b/>
          <w:lang w:val="es-ES"/>
        </w:rPr>
        <w:t xml:space="preserve"> Régimen legal </w:t>
      </w:r>
    </w:p>
    <w:p w14:paraId="4295AA68" w14:textId="77777777" w:rsidR="00C62CF2" w:rsidRDefault="00C62CF2" w:rsidP="00C62CF2">
      <w:pPr>
        <w:spacing w:after="0"/>
        <w:rPr>
          <w:rFonts w:ascii="Verdana" w:eastAsia="Calibri" w:hAnsi="Verdana" w:cs="Arial"/>
          <w:lang w:val="es-ES" w:eastAsia="es-ES"/>
        </w:rPr>
      </w:pPr>
    </w:p>
    <w:p w14:paraId="02B74269" w14:textId="77777777" w:rsidR="00C62CF2" w:rsidRPr="0062347A" w:rsidRDefault="00C62CF2" w:rsidP="00C62CF2">
      <w:pPr>
        <w:spacing w:after="0" w:line="240" w:lineRule="auto"/>
        <w:jc w:val="both"/>
        <w:rPr>
          <w:rFonts w:ascii="Verdana" w:hAnsi="Verdana" w:cs="Arial"/>
          <w:sz w:val="20"/>
          <w:szCs w:val="20"/>
          <w:lang w:val="es-MX"/>
        </w:rPr>
      </w:pPr>
      <w:r w:rsidRPr="0062347A">
        <w:rPr>
          <w:rFonts w:ascii="Verdana" w:hAnsi="Verdana" w:cs="Arial"/>
          <w:sz w:val="20"/>
          <w:szCs w:val="20"/>
          <w:lang w:val="es-MX"/>
        </w:rPr>
        <w:t>[…] 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w:t>
      </w:r>
    </w:p>
    <w:p w14:paraId="4B7B6C78" w14:textId="77777777" w:rsidR="00C62CF2" w:rsidRPr="0062347A" w:rsidRDefault="00C62CF2" w:rsidP="00C62CF2">
      <w:pPr>
        <w:spacing w:after="0" w:line="240" w:lineRule="auto"/>
        <w:jc w:val="both"/>
        <w:rPr>
          <w:rFonts w:ascii="Verdana" w:hAnsi="Verdana" w:cs="Arial"/>
          <w:sz w:val="20"/>
          <w:szCs w:val="20"/>
          <w:lang w:val="es-MX"/>
        </w:rPr>
      </w:pPr>
    </w:p>
    <w:p w14:paraId="58FD0585" w14:textId="77777777" w:rsidR="00C62CF2" w:rsidRPr="0062347A" w:rsidRDefault="00C62CF2" w:rsidP="00C62CF2">
      <w:pPr>
        <w:pStyle w:val="Textoindependiente"/>
        <w:spacing w:after="120" w:line="240" w:lineRule="auto"/>
        <w:ind w:right="102"/>
        <w:jc w:val="both"/>
        <w:rPr>
          <w:rFonts w:ascii="Verdana" w:hAnsi="Verdana"/>
          <w:sz w:val="20"/>
          <w:szCs w:val="20"/>
        </w:rPr>
      </w:pPr>
      <w:r w:rsidRPr="0062347A">
        <w:rPr>
          <w:rFonts w:ascii="Verdana" w:hAnsi="Verdana"/>
          <w:sz w:val="20"/>
          <w:szCs w:val="20"/>
        </w:rPr>
        <w:t xml:space="preserv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7DC9AC8F" w14:textId="77777777" w:rsidR="00C62CF2" w:rsidRPr="0062347A" w:rsidRDefault="00C62CF2" w:rsidP="00C62CF2">
      <w:pPr>
        <w:spacing w:after="120" w:line="240" w:lineRule="auto"/>
        <w:ind w:firstLine="709"/>
        <w:jc w:val="both"/>
        <w:rPr>
          <w:rFonts w:ascii="Verdana" w:hAnsi="Verdana" w:cs="Arial"/>
          <w:sz w:val="20"/>
          <w:szCs w:val="20"/>
        </w:rPr>
      </w:pPr>
      <w:r w:rsidRPr="0062347A">
        <w:rPr>
          <w:rFonts w:ascii="Verdana" w:hAnsi="Verdana" w:cs="Arial"/>
          <w:sz w:val="20"/>
          <w:szCs w:val="20"/>
        </w:rPr>
        <w:t xml:space="preserve">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w:t>
      </w:r>
      <w:r w:rsidRPr="0062347A">
        <w:rPr>
          <w:rFonts w:ascii="Verdana" w:eastAsia="Calibri" w:hAnsi="Verdana" w:cs="Arial"/>
          <w:sz w:val="20"/>
          <w:szCs w:val="20"/>
        </w:rPr>
        <w:t xml:space="preserve">por el derecho público. </w:t>
      </w:r>
      <w:r w:rsidRPr="0062347A">
        <w:rPr>
          <w:rFonts w:ascii="Verdana" w:hAnsi="Verdana" w:cs="Arial"/>
          <w:sz w:val="20"/>
          <w:szCs w:val="20"/>
        </w:rPr>
        <w:t>La norma referida prescribe que: “En materia contractual se regirá por el derecho privado, pero podrá discrecionalmente utilizar las cláusulas exorbitantes previstas en el Estatuto General de Contratación de la Administración Pública”.</w:t>
      </w:r>
    </w:p>
    <w:p w14:paraId="3CEDE3B5" w14:textId="77777777" w:rsidR="00C62CF2" w:rsidRPr="0062347A" w:rsidRDefault="00C62CF2" w:rsidP="00C62CF2">
      <w:pPr>
        <w:spacing w:after="120" w:line="240" w:lineRule="auto"/>
        <w:jc w:val="both"/>
        <w:rPr>
          <w:rFonts w:ascii="Verdana" w:eastAsia="Arial" w:hAnsi="Verdana" w:cs="Arial"/>
          <w:sz w:val="20"/>
          <w:szCs w:val="20"/>
        </w:rPr>
      </w:pPr>
      <w:r w:rsidRPr="0062347A">
        <w:rPr>
          <w:rFonts w:ascii="Verdana" w:hAnsi="Verdana"/>
          <w:sz w:val="20"/>
          <w:szCs w:val="20"/>
        </w:rPr>
        <w:t xml:space="preserve">En consecuencia, </w:t>
      </w:r>
      <w:r w:rsidRPr="0062347A">
        <w:rPr>
          <w:rFonts w:ascii="Verdana" w:eastAsia="Calibri" w:hAnsi="Verdana"/>
          <w:color w:val="000000" w:themeColor="text1"/>
          <w:sz w:val="20"/>
          <w:szCs w:val="20"/>
          <w:lang w:val="es-MX"/>
        </w:rPr>
        <w:t xml:space="preserve">las Empresas Sociales del Estado no están sometidas al EGCAP ni a las normas que lo reglamentan o complementan, ya que, por disposición expresa de la norma transcrita, sus </w:t>
      </w:r>
      <w:r w:rsidRPr="0062347A">
        <w:rPr>
          <w:rFonts w:ascii="Verdana" w:hAnsi="Verdana"/>
          <w:sz w:val="20"/>
          <w:szCs w:val="20"/>
        </w:rPr>
        <w:t xml:space="preserve">contratos se rigen por el derecho privado. </w:t>
      </w:r>
      <w:r w:rsidRPr="0062347A">
        <w:rPr>
          <w:rFonts w:ascii="Verdana" w:eastAsia="Arial" w:hAnsi="Verdana" w:cs="Arial"/>
          <w:sz w:val="20"/>
          <w:szCs w:val="20"/>
        </w:rPr>
        <w:t xml:space="preserve">Ahora bien, puede </w:t>
      </w:r>
      <w:r w:rsidRPr="0062347A">
        <w:rPr>
          <w:rFonts w:ascii="Verdana" w:eastAsia="Arial" w:hAnsi="Verdana" w:cs="Arial"/>
          <w:sz w:val="20"/>
          <w:szCs w:val="20"/>
        </w:rPr>
        <w:lastRenderedPageBreak/>
        <w:t>decirse que una de las reglas para las Empresas Sociales del Estado, derivada de las normas de derecho público,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0D45770A" w14:textId="77777777" w:rsidR="00C62CF2" w:rsidRPr="0062347A" w:rsidRDefault="00C62CF2" w:rsidP="00C62CF2">
      <w:pPr>
        <w:spacing w:after="0" w:line="240" w:lineRule="auto"/>
        <w:rPr>
          <w:rFonts w:ascii="Verdana" w:eastAsia="Calibri" w:hAnsi="Verdana" w:cs="Arial"/>
          <w:sz w:val="20"/>
          <w:szCs w:val="20"/>
          <w:lang w:eastAsia="es-ES"/>
        </w:rPr>
      </w:pPr>
    </w:p>
    <w:p w14:paraId="3CF47DC5" w14:textId="77777777" w:rsidR="00C62CF2" w:rsidRPr="0062347A" w:rsidRDefault="00C62CF2" w:rsidP="00C62CF2">
      <w:pPr>
        <w:spacing w:after="0"/>
        <w:jc w:val="both"/>
        <w:rPr>
          <w:rFonts w:ascii="Verdana" w:eastAsia="Calibri" w:hAnsi="Verdana" w:cs="Arial"/>
          <w:b/>
          <w:bCs/>
          <w:lang w:val="es-ES" w:eastAsia="es-ES"/>
        </w:rPr>
      </w:pPr>
      <w:r w:rsidRPr="0062347A">
        <w:rPr>
          <w:rFonts w:ascii="Verdana" w:eastAsia="Calibri" w:hAnsi="Verdana" w:cs="Arial"/>
          <w:b/>
          <w:bCs/>
          <w:lang w:val="es-ES" w:eastAsia="es-ES"/>
        </w:rPr>
        <w:t xml:space="preserve">CESIÓN DEL CONTRATO – Régimen especial - Régimen jurídico aplicable – EGCAP – Código de comercio </w:t>
      </w:r>
    </w:p>
    <w:p w14:paraId="0A89BED1" w14:textId="77777777" w:rsidR="00C62CF2" w:rsidRDefault="00C62CF2" w:rsidP="00C62CF2">
      <w:pPr>
        <w:spacing w:after="0"/>
        <w:rPr>
          <w:rFonts w:ascii="Verdana" w:eastAsia="Calibri" w:hAnsi="Verdana" w:cs="Arial"/>
          <w:lang w:val="es-ES" w:eastAsia="es-ES"/>
        </w:rPr>
      </w:pPr>
    </w:p>
    <w:p w14:paraId="616A2001" w14:textId="77777777" w:rsidR="00C62CF2" w:rsidRPr="007863CD" w:rsidRDefault="00C62CF2" w:rsidP="00C62CF2">
      <w:pPr>
        <w:spacing w:after="0" w:line="240" w:lineRule="auto"/>
        <w:jc w:val="both"/>
        <w:rPr>
          <w:rFonts w:ascii="Verdana" w:eastAsia="Calibri" w:hAnsi="Verdana" w:cs="Arial"/>
          <w:color w:val="000000" w:themeColor="text1"/>
          <w:sz w:val="20"/>
          <w:szCs w:val="20"/>
        </w:rPr>
      </w:pPr>
      <w:r w:rsidRPr="007863CD">
        <w:rPr>
          <w:rFonts w:ascii="Verdana" w:eastAsia="Calibri" w:hAnsi="Verdana" w:cs="Arial"/>
          <w:color w:val="000000" w:themeColor="text1"/>
          <w:sz w:val="20"/>
          <w:szCs w:val="20"/>
        </w:rPr>
        <w:t>el Decreto Ley 410 de 1971 contempla ciertas disposiciones que no se encuentran en la Ley 80 de 1993-que para el caso objeto de consulta no resultaría aplicable, pues las ESE tienen un régimen especial, lo que conlleva su aplicación en materia de contratos estatales al regirse por el derecho privado. Por ejemplo, el artículo 890 establece lo relativo a la responsabilidad del cedente frente al cesionario y en torno a la existencia, validez y garantías del contrato cedido. Por otra parte, el artículo 891 obliga al cesionario a avisar al cedente de la mora o el incumplimiento dentro de los 10 días siguientes, siempre y cuando este se haya obligado a garantizar el cumplimiento por parte del contratante cedido</w:t>
      </w:r>
      <w:r w:rsidRPr="007863CD">
        <w:rPr>
          <w:rFonts w:ascii="Verdana" w:eastAsia="Calibri" w:hAnsi="Verdana" w:cs="Arial"/>
          <w:color w:val="000000" w:themeColor="text1"/>
          <w:sz w:val="20"/>
          <w:szCs w:val="20"/>
          <w:vertAlign w:val="superscript"/>
        </w:rPr>
        <w:t>.</w:t>
      </w:r>
      <w:r w:rsidRPr="007863CD">
        <w:rPr>
          <w:rFonts w:ascii="Verdana" w:eastAsia="Calibri" w:hAnsi="Verdana" w:cs="Arial"/>
          <w:color w:val="000000" w:themeColor="text1"/>
          <w:sz w:val="20"/>
          <w:szCs w:val="20"/>
        </w:rPr>
        <w:t xml:space="preserve">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p>
    <w:p w14:paraId="3F5ABC87" w14:textId="77777777" w:rsidR="00C62CF2" w:rsidRPr="0062347A" w:rsidRDefault="00C62CF2" w:rsidP="00C62CF2">
      <w:pPr>
        <w:spacing w:after="0"/>
        <w:jc w:val="both"/>
        <w:rPr>
          <w:rFonts w:ascii="Verdana" w:eastAsia="Calibri" w:hAnsi="Verdana" w:cs="Arial"/>
          <w:b/>
          <w:bCs/>
          <w:lang w:val="es-ES" w:eastAsia="es-ES"/>
        </w:rPr>
      </w:pPr>
    </w:p>
    <w:p w14:paraId="16FF4BAE" w14:textId="77777777" w:rsidR="00C62CF2" w:rsidRDefault="00C62CF2" w:rsidP="00C62CF2">
      <w:pPr>
        <w:jc w:val="both"/>
        <w:rPr>
          <w:rFonts w:ascii="Verdana" w:eastAsia="Calibri" w:hAnsi="Verdana" w:cs="Arial"/>
          <w:b/>
          <w:bCs/>
          <w:lang w:val="es-ES" w:eastAsia="es-ES"/>
        </w:rPr>
      </w:pPr>
      <w:r w:rsidRPr="0062347A">
        <w:rPr>
          <w:rFonts w:ascii="Verdana" w:eastAsia="Calibri" w:hAnsi="Verdana" w:cs="Arial"/>
          <w:b/>
          <w:bCs/>
          <w:lang w:val="es-ES" w:eastAsia="es-ES"/>
        </w:rPr>
        <w:t>CESIÓN DEL CONTRATO ESTATAL – Requisitos</w:t>
      </w:r>
      <w:r>
        <w:rPr>
          <w:rFonts w:ascii="Verdana" w:eastAsia="Calibri" w:hAnsi="Verdana" w:cs="Arial"/>
          <w:b/>
          <w:bCs/>
          <w:lang w:val="es-ES" w:eastAsia="es-ES"/>
        </w:rPr>
        <w:t xml:space="preserve"> </w:t>
      </w:r>
      <w:r w:rsidRPr="002B7EF2">
        <w:rPr>
          <w:rFonts w:ascii="Verdana" w:eastAsia="Calibri" w:hAnsi="Verdana" w:cs="Arial"/>
          <w:b/>
          <w:bCs/>
          <w:lang w:val="es-ES" w:eastAsia="es-ES"/>
        </w:rPr>
        <w:t>–</w:t>
      </w:r>
      <w:r w:rsidRPr="007863CD">
        <w:rPr>
          <w:rFonts w:ascii="Verdana" w:eastAsia="Calibri" w:hAnsi="Verdana" w:cs="Arial"/>
          <w:b/>
          <w:bCs/>
          <w:lang w:val="es-ES" w:eastAsia="es-ES"/>
        </w:rPr>
        <w:t xml:space="preserve"> Autonomía de la entidad</w:t>
      </w:r>
      <w:r w:rsidRPr="0062347A">
        <w:rPr>
          <w:rFonts w:ascii="Verdana" w:eastAsia="Calibri" w:hAnsi="Verdana" w:cs="Arial"/>
          <w:b/>
          <w:bCs/>
          <w:lang w:val="es-ES" w:eastAsia="es-ES"/>
        </w:rPr>
        <w:t xml:space="preserve">         </w:t>
      </w:r>
    </w:p>
    <w:p w14:paraId="5B07145F" w14:textId="77777777" w:rsidR="00C62CF2" w:rsidRPr="007863CD" w:rsidRDefault="00C62CF2" w:rsidP="00C62CF2">
      <w:pPr>
        <w:spacing w:before="120" w:after="120" w:line="240" w:lineRule="auto"/>
        <w:jc w:val="both"/>
        <w:rPr>
          <w:rFonts w:ascii="Verdana" w:eastAsia="Times New Roman" w:hAnsi="Verdana" w:cs="Arial"/>
          <w:color w:val="000000"/>
          <w:sz w:val="20"/>
          <w:szCs w:val="20"/>
          <w:lang w:val="es-ES_tradnl"/>
        </w:rPr>
      </w:pPr>
      <w:r w:rsidRPr="007863CD">
        <w:rPr>
          <w:rFonts w:ascii="Verdana" w:eastAsia="Calibri" w:hAnsi="Verdana" w:cs="Arial"/>
          <w:sz w:val="20"/>
          <w:szCs w:val="20"/>
          <w:lang w:val="es-ES" w:eastAsia="es-ES"/>
        </w:rPr>
        <w:t xml:space="preserve">[…] </w:t>
      </w:r>
      <w:r w:rsidRPr="007863CD">
        <w:rPr>
          <w:rFonts w:ascii="Verdana" w:eastAsia="Calibri" w:hAnsi="Verdana" w:cs="Arial"/>
          <w:color w:val="000000"/>
          <w:sz w:val="20"/>
          <w:szCs w:val="20"/>
        </w:rPr>
        <w:t xml:space="preserve">Teniendo en cuenta que las Empresas Sociales del Estado tienen un régimen especial, son autónomas y responsables de la estructuración de sus Procesos de Contratación, y que las partes están en libertad de convenir las cláusulas o estipulaciones del contrato según sus necesidades y conveniencia, en el entendido de que, </w:t>
      </w:r>
      <w:r w:rsidRPr="007863CD">
        <w:rPr>
          <w:rFonts w:ascii="Verdana" w:eastAsia="Calibri" w:hAnsi="Verdana" w:cs="Arial"/>
          <w:i/>
          <w:color w:val="000000"/>
          <w:sz w:val="20"/>
          <w:szCs w:val="20"/>
        </w:rPr>
        <w:t>si para la cesión de un contrato o la cesión del porcentaje de participación en una estructura plural, es necesario que dicha situación se haya previsto en el manual de contratación, procesos y/o procedimientos de la entidad o en el contrato en forma clara.</w:t>
      </w:r>
      <w:r w:rsidRPr="007863CD">
        <w:rPr>
          <w:rFonts w:ascii="Verdana" w:eastAsia="Calibri" w:hAnsi="Verdana" w:cs="Arial"/>
          <w:color w:val="000000"/>
          <w:sz w:val="20"/>
          <w:szCs w:val="20"/>
        </w:rPr>
        <w:t xml:space="preserve"> </w:t>
      </w:r>
      <w:r w:rsidRPr="007863CD">
        <w:rPr>
          <w:rFonts w:ascii="Verdana" w:eastAsia="Times New Roman" w:hAnsi="Verdana" w:cs="Arial"/>
          <w:color w:val="000000"/>
          <w:sz w:val="20"/>
          <w:szCs w:val="20"/>
          <w:lang w:val="es-ES_tradnl"/>
        </w:rPr>
        <w:t>Así pues, las Empresas Sociales del Estado como entidades de régimen especial pueden estipular en su clausulado contractual, ese tipo de modificaciones.</w:t>
      </w:r>
    </w:p>
    <w:p w14:paraId="39A56943" w14:textId="77777777" w:rsidR="00C62CF2" w:rsidRDefault="00C62CF2" w:rsidP="00C62CF2">
      <w:pPr>
        <w:spacing w:line="240" w:lineRule="auto"/>
        <w:ind w:right="51"/>
        <w:jc w:val="both"/>
        <w:rPr>
          <w:rFonts w:ascii="Verdana" w:eastAsia="Times New Roman" w:hAnsi="Verdana" w:cs="Arial"/>
          <w:color w:val="000000"/>
          <w:sz w:val="20"/>
          <w:szCs w:val="20"/>
          <w:lang w:val="es-ES_tradnl"/>
        </w:rPr>
      </w:pPr>
      <w:r w:rsidRPr="007863CD">
        <w:rPr>
          <w:rFonts w:ascii="Verdana" w:eastAsia="Times New Roman" w:hAnsi="Verdana" w:cs="Arial"/>
          <w:color w:val="000000"/>
          <w:sz w:val="20"/>
          <w:szCs w:val="20"/>
          <w:lang w:val="es-ES_tradnl"/>
        </w:rPr>
        <w:t xml:space="preserve">Cabe precisar que, como consecuencia de la cesión del contrato o la cesión en la participación de la estructura plural del contratista, se produce una sustitución de derechos y obligaciones hacia un tercero denominado cesionario. Una vez aprobada o autorizada la cesión, dicho cesionario asume íntegramente las obligaciones contractuales, incluidas las garantías y responsabilidades frente a la entidad contratante. En consecuencia, corresponde a la entidad contratante verificar el </w:t>
      </w:r>
      <w:r w:rsidRPr="007863CD">
        <w:rPr>
          <w:rFonts w:ascii="Verdana" w:eastAsia="Times New Roman" w:hAnsi="Verdana" w:cs="Arial"/>
          <w:color w:val="000000"/>
          <w:sz w:val="20"/>
          <w:szCs w:val="20"/>
          <w:lang w:val="es-ES_tradnl"/>
        </w:rPr>
        <w:lastRenderedPageBreak/>
        <w:t>cumplimiento de los requisitos jurídicos, técnicos, económicos y financieros; la forma en que las partes acuerdan los derechos y obligaciones cedidos, p</w:t>
      </w:r>
      <w:proofErr w:type="spellStart"/>
      <w:r w:rsidRPr="007863CD">
        <w:rPr>
          <w:rFonts w:ascii="Verdana" w:eastAsia="Calibri" w:hAnsi="Verdana" w:cs="Arial"/>
          <w:color w:val="000000" w:themeColor="text1"/>
          <w:sz w:val="20"/>
          <w:szCs w:val="20"/>
        </w:rPr>
        <w:t>or</w:t>
      </w:r>
      <w:proofErr w:type="spellEnd"/>
      <w:r w:rsidRPr="007863CD">
        <w:rPr>
          <w:rFonts w:ascii="Verdana" w:eastAsia="Calibri" w:hAnsi="Verdana" w:cs="Arial"/>
          <w:color w:val="000000" w:themeColor="text1"/>
          <w:sz w:val="20"/>
          <w:szCs w:val="20"/>
        </w:rPr>
        <w:t xml:space="preserve">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w:t>
      </w:r>
      <w:r w:rsidRPr="007863CD">
        <w:rPr>
          <w:rFonts w:ascii="Verdana" w:eastAsia="Times New Roman" w:hAnsi="Verdana" w:cs="Arial"/>
          <w:color w:val="000000"/>
          <w:sz w:val="20"/>
          <w:szCs w:val="20"/>
          <w:lang w:val="es-ES_tradnl"/>
        </w:rPr>
        <w:t>De igual forma se sugiere que la compañía aseguradora conozca la cesión a fin de realizar los cambios a los que hubiere lugar.</w:t>
      </w:r>
    </w:p>
    <w:p w14:paraId="19C406A2" w14:textId="77777777" w:rsidR="00C62CF2" w:rsidRPr="007863CD" w:rsidRDefault="00C62CF2" w:rsidP="00C62CF2">
      <w:pPr>
        <w:spacing w:after="120" w:line="240" w:lineRule="auto"/>
        <w:jc w:val="both"/>
        <w:rPr>
          <w:rFonts w:ascii="Verdana" w:eastAsia="Times New Roman" w:hAnsi="Verdana" w:cs="Arial"/>
          <w:color w:val="000000"/>
          <w:sz w:val="20"/>
          <w:szCs w:val="20"/>
          <w:lang w:val="es-ES_tradnl"/>
        </w:rPr>
      </w:pPr>
      <w:r>
        <w:rPr>
          <w:rFonts w:ascii="Verdana" w:eastAsia="Times New Roman" w:hAnsi="Verdana" w:cs="Arial"/>
          <w:color w:val="000000"/>
          <w:sz w:val="20"/>
          <w:szCs w:val="20"/>
          <w:lang w:val="es-ES_tradnl"/>
        </w:rPr>
        <w:t xml:space="preserve">[…] </w:t>
      </w:r>
      <w:r w:rsidRPr="007863CD">
        <w:rPr>
          <w:rFonts w:ascii="Verdana" w:eastAsia="Times New Roman" w:hAnsi="Verdana" w:cs="Arial"/>
          <w:color w:val="000000"/>
          <w:sz w:val="20"/>
          <w:szCs w:val="20"/>
          <w:lang w:val="es-ES_tradnl"/>
        </w:rPr>
        <w:t>En conclusión y a la luz de lo señalado en el inciso primero del artículo 888 del Código de Comercio que señala que “La sustitución podrá hacerse por escrito o verbalmente, según que el contrato conste o no por escrito”. No obstante, como el contrato estatal es solemne, se impone la forma escrita para cederlo. Igual sucede en el caso en que un integrante ceda su participación en la estructura plural contratista y debe someterlo a la autorización de la entidad contratante tal y como se pactó en el contrato aludido en su solicitud.</w:t>
      </w:r>
    </w:p>
    <w:p w14:paraId="103F3FC8" w14:textId="77777777" w:rsidR="00C62CF2" w:rsidRPr="007863CD" w:rsidRDefault="00C62CF2" w:rsidP="00C62CF2">
      <w:pPr>
        <w:spacing w:line="240" w:lineRule="auto"/>
        <w:ind w:right="51"/>
        <w:jc w:val="both"/>
        <w:rPr>
          <w:rFonts w:ascii="Verdana" w:eastAsia="Calibri" w:hAnsi="Verdana" w:cs="Arial"/>
          <w:color w:val="000000" w:themeColor="text1"/>
          <w:sz w:val="20"/>
          <w:szCs w:val="20"/>
        </w:rPr>
      </w:pPr>
    </w:p>
    <w:p w14:paraId="657EA7B5" w14:textId="77777777" w:rsidR="00C62CF2" w:rsidRDefault="00C62CF2" w:rsidP="00C62CF2">
      <w:pPr>
        <w:spacing w:after="0" w:line="240" w:lineRule="auto"/>
        <w:rPr>
          <w:rFonts w:ascii="Verdana" w:eastAsia="Geomanist Light" w:hAnsi="Verdana" w:cs="Arial"/>
          <w:color w:val="000000" w:themeColor="text1"/>
          <w:lang w:val="es-MX"/>
        </w:rPr>
      </w:pPr>
    </w:p>
    <w:p w14:paraId="46F4B29B" w14:textId="77777777" w:rsidR="00C62CF2" w:rsidRDefault="00C62CF2" w:rsidP="00C62CF2">
      <w:pPr>
        <w:spacing w:after="0" w:line="240" w:lineRule="auto"/>
        <w:rPr>
          <w:rFonts w:ascii="Verdana" w:eastAsia="Geomanist Light" w:hAnsi="Verdana" w:cs="Arial"/>
          <w:color w:val="000000" w:themeColor="text1"/>
          <w:lang w:val="es-MX"/>
        </w:rPr>
      </w:pPr>
    </w:p>
    <w:p w14:paraId="3474B4B5" w14:textId="77777777" w:rsidR="00C62CF2" w:rsidRDefault="00C62CF2" w:rsidP="00C62CF2">
      <w:pPr>
        <w:spacing w:after="0" w:line="240" w:lineRule="auto"/>
        <w:rPr>
          <w:rFonts w:ascii="Verdana" w:eastAsia="Geomanist Light" w:hAnsi="Verdana" w:cs="Arial"/>
          <w:color w:val="000000" w:themeColor="text1"/>
          <w:lang w:val="es-MX"/>
        </w:rPr>
      </w:pPr>
    </w:p>
    <w:p w14:paraId="7C4559C5" w14:textId="77777777" w:rsidR="00C62CF2" w:rsidRDefault="00C62CF2" w:rsidP="00C62CF2">
      <w:pPr>
        <w:spacing w:after="0" w:line="240" w:lineRule="auto"/>
        <w:rPr>
          <w:rFonts w:ascii="Verdana" w:eastAsia="Geomanist Light" w:hAnsi="Verdana" w:cs="Arial"/>
          <w:color w:val="000000" w:themeColor="text1"/>
          <w:lang w:val="es-MX"/>
        </w:rPr>
      </w:pPr>
    </w:p>
    <w:p w14:paraId="0B91C87D" w14:textId="77777777" w:rsidR="00C62CF2" w:rsidRDefault="00C62CF2" w:rsidP="00C62CF2">
      <w:pPr>
        <w:spacing w:after="0"/>
        <w:rPr>
          <w:rFonts w:ascii="Verdana" w:hAnsi="Verdana"/>
          <w:sz w:val="20"/>
          <w:szCs w:val="20"/>
        </w:rPr>
      </w:pPr>
    </w:p>
    <w:p w14:paraId="72C528DE" w14:textId="77777777" w:rsidR="00C62CF2" w:rsidRDefault="00C62CF2" w:rsidP="00C62CF2">
      <w:pPr>
        <w:spacing w:after="0"/>
        <w:rPr>
          <w:rFonts w:ascii="Verdana" w:hAnsi="Verdana"/>
          <w:sz w:val="20"/>
          <w:szCs w:val="20"/>
        </w:rPr>
      </w:pPr>
    </w:p>
    <w:p w14:paraId="10BDB51A" w14:textId="77777777" w:rsidR="00C62CF2" w:rsidRDefault="00C62CF2" w:rsidP="00C62CF2">
      <w:pPr>
        <w:spacing w:after="0"/>
        <w:rPr>
          <w:rFonts w:ascii="Verdana" w:hAnsi="Verdana"/>
          <w:sz w:val="20"/>
          <w:szCs w:val="20"/>
        </w:rPr>
      </w:pPr>
    </w:p>
    <w:p w14:paraId="58D96203" w14:textId="77777777" w:rsidR="00C62CF2" w:rsidRDefault="00C62CF2" w:rsidP="00C62CF2">
      <w:pPr>
        <w:spacing w:after="0"/>
        <w:rPr>
          <w:rFonts w:ascii="Verdana" w:hAnsi="Verdana"/>
          <w:sz w:val="20"/>
          <w:szCs w:val="20"/>
        </w:rPr>
      </w:pPr>
    </w:p>
    <w:p w14:paraId="2691F671" w14:textId="77777777" w:rsidR="00C62CF2" w:rsidRDefault="00C62CF2" w:rsidP="00C62CF2">
      <w:pPr>
        <w:spacing w:after="0"/>
        <w:rPr>
          <w:rFonts w:ascii="Verdana" w:hAnsi="Verdana"/>
          <w:sz w:val="20"/>
          <w:szCs w:val="20"/>
        </w:rPr>
      </w:pPr>
    </w:p>
    <w:p w14:paraId="48A80F5D" w14:textId="77777777" w:rsidR="00C62CF2" w:rsidRDefault="00C62CF2" w:rsidP="00C62CF2">
      <w:pPr>
        <w:spacing w:after="0"/>
        <w:rPr>
          <w:rFonts w:ascii="Verdana" w:hAnsi="Verdana"/>
          <w:sz w:val="20"/>
          <w:szCs w:val="20"/>
        </w:rPr>
      </w:pPr>
    </w:p>
    <w:p w14:paraId="7262331B" w14:textId="77777777" w:rsidR="00C62CF2" w:rsidRDefault="00C62CF2" w:rsidP="00C62CF2">
      <w:pPr>
        <w:spacing w:after="0"/>
        <w:rPr>
          <w:rFonts w:ascii="Verdana" w:hAnsi="Verdana"/>
          <w:sz w:val="20"/>
          <w:szCs w:val="20"/>
        </w:rPr>
      </w:pPr>
    </w:p>
    <w:p w14:paraId="3C4F8839" w14:textId="77777777" w:rsidR="00C62CF2" w:rsidRDefault="00C62CF2" w:rsidP="00C62CF2">
      <w:pPr>
        <w:spacing w:after="0"/>
        <w:rPr>
          <w:rFonts w:ascii="Verdana" w:hAnsi="Verdana"/>
          <w:sz w:val="20"/>
          <w:szCs w:val="20"/>
        </w:rPr>
      </w:pPr>
    </w:p>
    <w:p w14:paraId="5229BE75" w14:textId="77777777" w:rsidR="00C62CF2" w:rsidRDefault="00C62CF2" w:rsidP="00C62CF2">
      <w:pPr>
        <w:spacing w:after="0"/>
        <w:rPr>
          <w:rFonts w:ascii="Verdana" w:hAnsi="Verdana"/>
          <w:sz w:val="20"/>
          <w:szCs w:val="20"/>
        </w:rPr>
      </w:pPr>
    </w:p>
    <w:p w14:paraId="267C80D9" w14:textId="77777777" w:rsidR="00C62CF2" w:rsidRDefault="00C62CF2" w:rsidP="00C62CF2">
      <w:pPr>
        <w:spacing w:after="0"/>
        <w:rPr>
          <w:rFonts w:ascii="Verdana" w:hAnsi="Verdana"/>
          <w:sz w:val="20"/>
          <w:szCs w:val="20"/>
        </w:rPr>
      </w:pPr>
    </w:p>
    <w:p w14:paraId="1167BF5B" w14:textId="77777777" w:rsidR="00C62CF2" w:rsidRDefault="00C62CF2" w:rsidP="00C62CF2">
      <w:pPr>
        <w:spacing w:after="0"/>
        <w:rPr>
          <w:rFonts w:ascii="Verdana" w:hAnsi="Verdana"/>
          <w:sz w:val="20"/>
          <w:szCs w:val="20"/>
        </w:rPr>
      </w:pPr>
    </w:p>
    <w:p w14:paraId="5424B437" w14:textId="77777777" w:rsidR="00C62CF2" w:rsidRDefault="00C62CF2" w:rsidP="00C62CF2">
      <w:pPr>
        <w:spacing w:after="0"/>
        <w:rPr>
          <w:rFonts w:ascii="Verdana" w:hAnsi="Verdana"/>
          <w:sz w:val="20"/>
          <w:szCs w:val="20"/>
        </w:rPr>
      </w:pPr>
    </w:p>
    <w:p w14:paraId="1F2277A0" w14:textId="77777777" w:rsidR="00C62CF2" w:rsidRDefault="00C62CF2" w:rsidP="00C62CF2">
      <w:pPr>
        <w:spacing w:after="0"/>
        <w:rPr>
          <w:rFonts w:ascii="Verdana" w:hAnsi="Verdana"/>
          <w:sz w:val="20"/>
          <w:szCs w:val="20"/>
        </w:rPr>
      </w:pPr>
    </w:p>
    <w:p w14:paraId="08540035" w14:textId="77777777" w:rsidR="00C62CF2" w:rsidRDefault="00C62CF2" w:rsidP="00C62CF2">
      <w:pPr>
        <w:spacing w:after="0"/>
        <w:rPr>
          <w:rFonts w:ascii="Verdana" w:hAnsi="Verdana"/>
          <w:sz w:val="20"/>
          <w:szCs w:val="20"/>
        </w:rPr>
      </w:pPr>
    </w:p>
    <w:p w14:paraId="1998A4E2" w14:textId="77777777" w:rsidR="00C62CF2" w:rsidRDefault="00C62CF2" w:rsidP="00C62CF2">
      <w:pPr>
        <w:spacing w:after="0"/>
        <w:rPr>
          <w:rFonts w:ascii="Verdana" w:hAnsi="Verdana"/>
          <w:sz w:val="20"/>
          <w:szCs w:val="20"/>
        </w:rPr>
      </w:pPr>
    </w:p>
    <w:p w14:paraId="0FFA2B5A" w14:textId="77777777" w:rsidR="00C62CF2" w:rsidRDefault="00C62CF2" w:rsidP="00C62CF2">
      <w:pPr>
        <w:spacing w:after="0"/>
        <w:rPr>
          <w:rFonts w:ascii="Verdana" w:hAnsi="Verdana"/>
          <w:sz w:val="20"/>
          <w:szCs w:val="20"/>
        </w:rPr>
      </w:pPr>
    </w:p>
    <w:p w14:paraId="0B5DC67C" w14:textId="77777777" w:rsidR="00C62CF2" w:rsidRDefault="00C62CF2" w:rsidP="00C62CF2">
      <w:pPr>
        <w:spacing w:after="0"/>
        <w:rPr>
          <w:rFonts w:ascii="Verdana" w:hAnsi="Verdana"/>
          <w:sz w:val="20"/>
          <w:szCs w:val="20"/>
        </w:rPr>
      </w:pPr>
    </w:p>
    <w:p w14:paraId="27942BA9" w14:textId="77777777" w:rsidR="00C62CF2" w:rsidRDefault="00C62CF2" w:rsidP="00C62CF2">
      <w:pPr>
        <w:spacing w:after="0"/>
        <w:rPr>
          <w:rFonts w:ascii="Verdana" w:hAnsi="Verdana"/>
          <w:sz w:val="20"/>
          <w:szCs w:val="20"/>
        </w:rPr>
      </w:pPr>
    </w:p>
    <w:p w14:paraId="7A5BB71A" w14:textId="77777777" w:rsidR="00C62CF2" w:rsidRDefault="00C62CF2" w:rsidP="00C62CF2">
      <w:pPr>
        <w:spacing w:after="0"/>
        <w:rPr>
          <w:rFonts w:ascii="Verdana" w:hAnsi="Verdana"/>
          <w:sz w:val="20"/>
          <w:szCs w:val="20"/>
        </w:rPr>
      </w:pPr>
    </w:p>
    <w:p w14:paraId="2B8C4FF1" w14:textId="77777777" w:rsidR="00C62CF2" w:rsidRDefault="00C62CF2" w:rsidP="00C62CF2">
      <w:pPr>
        <w:spacing w:after="0"/>
        <w:rPr>
          <w:rFonts w:ascii="Verdana" w:hAnsi="Verdana"/>
          <w:sz w:val="20"/>
          <w:szCs w:val="20"/>
        </w:rPr>
      </w:pPr>
    </w:p>
    <w:p w14:paraId="40E38ED1" w14:textId="77777777" w:rsidR="00C62CF2" w:rsidRDefault="00C62CF2" w:rsidP="00C62CF2">
      <w:pPr>
        <w:spacing w:after="0"/>
        <w:rPr>
          <w:rFonts w:ascii="Verdana" w:hAnsi="Verdana"/>
          <w:sz w:val="20"/>
          <w:szCs w:val="20"/>
        </w:rPr>
      </w:pPr>
    </w:p>
    <w:p w14:paraId="74EABF97" w14:textId="77777777" w:rsidR="00C62CF2" w:rsidRDefault="00C62CF2" w:rsidP="00C62CF2">
      <w:pPr>
        <w:spacing w:after="0"/>
        <w:rPr>
          <w:rFonts w:ascii="Verdana" w:hAnsi="Verdana"/>
          <w:sz w:val="20"/>
          <w:szCs w:val="20"/>
        </w:rPr>
      </w:pPr>
    </w:p>
    <w:p w14:paraId="30833FC6" w14:textId="0769D654" w:rsidR="00C62CF2" w:rsidRPr="00E31648" w:rsidRDefault="00C62CF2" w:rsidP="00C62CF2">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 xml:space="preserve">26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36326D44" w14:textId="77777777" w:rsidR="00C62CF2" w:rsidRDefault="00C62CF2" w:rsidP="00C62CF2">
      <w:pPr>
        <w:spacing w:after="0" w:line="240" w:lineRule="auto"/>
        <w:jc w:val="both"/>
        <w:rPr>
          <w:rFonts w:ascii="Verdana" w:eastAsia="Calibri" w:hAnsi="Verdana" w:cs="Arial"/>
          <w:color w:val="000000" w:themeColor="text1"/>
          <w:lang w:val="es-ES"/>
        </w:rPr>
      </w:pPr>
    </w:p>
    <w:p w14:paraId="666D6A14" w14:textId="27756E29" w:rsidR="0009491F" w:rsidRDefault="0009491F" w:rsidP="0009491F">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6EED5AF0" wp14:editId="477D2807">
            <wp:extent cx="2085975" cy="647700"/>
            <wp:effectExtent l="0" t="0" r="9525" b="0"/>
            <wp:docPr id="129997947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5975" cy="647700"/>
                    </a:xfrm>
                    <a:prstGeom prst="rect">
                      <a:avLst/>
                    </a:prstGeom>
                    <a:noFill/>
                    <a:ln>
                      <a:noFill/>
                    </a:ln>
                  </pic:spPr>
                </pic:pic>
              </a:graphicData>
            </a:graphic>
          </wp:inline>
        </w:drawing>
      </w:r>
    </w:p>
    <w:p w14:paraId="1377E961" w14:textId="77777777" w:rsidR="0009491F" w:rsidRDefault="0009491F" w:rsidP="00C62CF2">
      <w:pPr>
        <w:spacing w:after="0" w:line="240" w:lineRule="auto"/>
        <w:jc w:val="both"/>
        <w:rPr>
          <w:rFonts w:ascii="Verdana" w:eastAsia="Calibri" w:hAnsi="Verdana" w:cs="Arial"/>
          <w:color w:val="000000" w:themeColor="text1"/>
          <w:lang w:val="es-ES"/>
        </w:rPr>
      </w:pPr>
    </w:p>
    <w:p w14:paraId="287B9FFF" w14:textId="77777777" w:rsidR="0009491F" w:rsidRDefault="0009491F" w:rsidP="00C62CF2">
      <w:pPr>
        <w:spacing w:after="0" w:line="240" w:lineRule="auto"/>
        <w:jc w:val="both"/>
        <w:rPr>
          <w:rFonts w:ascii="Verdana" w:eastAsia="Calibri" w:hAnsi="Verdana" w:cs="Arial"/>
          <w:color w:val="000000" w:themeColor="text1"/>
          <w:lang w:val="es-ES"/>
        </w:rPr>
      </w:pPr>
    </w:p>
    <w:p w14:paraId="4796977B" w14:textId="77777777" w:rsidR="00C62CF2" w:rsidRDefault="00C62CF2" w:rsidP="00C62CF2">
      <w:pPr>
        <w:spacing w:after="0" w:line="240" w:lineRule="auto"/>
        <w:jc w:val="both"/>
        <w:rPr>
          <w:rFonts w:ascii="Verdana" w:eastAsia="Calibri" w:hAnsi="Verdana" w:cs="Arial"/>
          <w:color w:val="000000" w:themeColor="text1"/>
          <w:lang w:val="es-ES" w:eastAsia="es-ES"/>
        </w:rPr>
      </w:pPr>
    </w:p>
    <w:p w14:paraId="773E11FD" w14:textId="77777777" w:rsidR="00C62CF2" w:rsidRPr="0046108F" w:rsidRDefault="00C62CF2" w:rsidP="00C62CF2">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2344FB9E" w14:textId="77777777" w:rsidR="00C62CF2" w:rsidRDefault="00C62CF2" w:rsidP="00C62CF2">
      <w:pPr>
        <w:spacing w:after="0" w:line="240" w:lineRule="auto"/>
        <w:rPr>
          <w:rFonts w:ascii="Verdana" w:eastAsia="Calibri" w:hAnsi="Verdana" w:cs="Arial"/>
          <w:b/>
          <w:bCs/>
          <w:lang w:eastAsia="es-ES"/>
        </w:rPr>
      </w:pPr>
      <w:r w:rsidRPr="00E86781">
        <w:rPr>
          <w:rFonts w:ascii="Verdana" w:eastAsia="Calibri" w:hAnsi="Verdana" w:cs="Arial"/>
          <w:b/>
          <w:bCs/>
          <w:lang w:eastAsia="es-ES"/>
        </w:rPr>
        <w:t>STHEFFANIA CARO MENDOZA</w:t>
      </w:r>
    </w:p>
    <w:p w14:paraId="287594AC" w14:textId="77777777" w:rsidR="00C62CF2" w:rsidRPr="00D57FE3" w:rsidRDefault="00C62CF2" w:rsidP="00C62CF2">
      <w:pPr>
        <w:spacing w:after="0" w:line="240" w:lineRule="auto"/>
        <w:rPr>
          <w:rFonts w:ascii="Verdana" w:eastAsia="Calibri" w:hAnsi="Verdana" w:cs="Arial"/>
          <w:lang w:val="es-ES" w:eastAsia="es-ES"/>
        </w:rPr>
      </w:pPr>
      <w:hyperlink r:id="rId11" w:history="1">
        <w:r w:rsidRPr="009D49DA">
          <w:rPr>
            <w:rStyle w:val="Hipervnculo"/>
            <w:rFonts w:ascii="Verdana" w:eastAsia="Calibri" w:hAnsi="Verdana" w:cs="Arial"/>
            <w:lang w:eastAsia="es-ES"/>
          </w:rPr>
          <w:t>apoyojuridico.dsa4@electrohuila.co</w:t>
        </w:r>
      </w:hyperlink>
      <w:r>
        <w:rPr>
          <w:rFonts w:ascii="Verdana" w:eastAsia="Calibri" w:hAnsi="Verdana" w:cs="Arial"/>
          <w:lang w:eastAsia="es-ES"/>
        </w:rPr>
        <w:t xml:space="preserve"> </w:t>
      </w:r>
    </w:p>
    <w:p w14:paraId="41D54DC5" w14:textId="77777777" w:rsidR="00C62CF2" w:rsidRPr="006B17A7" w:rsidRDefault="00C62CF2" w:rsidP="00C62CF2">
      <w:pPr>
        <w:spacing w:after="0" w:line="240" w:lineRule="auto"/>
        <w:rPr>
          <w:rFonts w:ascii="Verdana" w:eastAsia="Calibri" w:hAnsi="Verdana" w:cs="Arial"/>
          <w:b/>
          <w:bCs/>
          <w:lang w:val="es-ES" w:eastAsia="es-ES"/>
        </w:rPr>
      </w:pPr>
      <w:r>
        <w:rPr>
          <w:rFonts w:ascii="Verdana" w:eastAsia="Calibri" w:hAnsi="Verdana" w:cs="Arial"/>
          <w:lang w:val="es-ES" w:eastAsia="es-ES"/>
        </w:rPr>
        <w:t>Neiva (Huila)</w:t>
      </w:r>
    </w:p>
    <w:p w14:paraId="2F155CC1" w14:textId="77777777" w:rsidR="00C62CF2" w:rsidRPr="00CB7ABE" w:rsidRDefault="00C62CF2" w:rsidP="00C62CF2">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C62CF2" w:rsidRPr="00115E3D" w14:paraId="6BAB6164" w14:textId="77777777" w:rsidTr="00457B0F">
        <w:trPr>
          <w:trHeight w:val="615"/>
        </w:trPr>
        <w:tc>
          <w:tcPr>
            <w:tcW w:w="2270" w:type="dxa"/>
          </w:tcPr>
          <w:p w14:paraId="619417F3" w14:textId="77777777" w:rsidR="00C62CF2" w:rsidRPr="00CB7ABE" w:rsidRDefault="00C62CF2" w:rsidP="00457B0F">
            <w:pPr>
              <w:jc w:val="both"/>
              <w:rPr>
                <w:rFonts w:ascii="Verdana" w:eastAsia="Calibri" w:hAnsi="Verdana" w:cs="Arial"/>
                <w:b/>
                <w:bCs/>
                <w:color w:val="000000" w:themeColor="text1"/>
                <w:lang w:eastAsia="es-ES_tradnl"/>
              </w:rPr>
            </w:pPr>
          </w:p>
        </w:tc>
        <w:tc>
          <w:tcPr>
            <w:tcW w:w="6547" w:type="dxa"/>
          </w:tcPr>
          <w:p w14:paraId="0967BC31" w14:textId="77777777" w:rsidR="00C62CF2" w:rsidRPr="008A209A" w:rsidRDefault="00C62CF2" w:rsidP="00457B0F">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605</w:t>
            </w:r>
            <w:r w:rsidRPr="008A209A">
              <w:rPr>
                <w:rFonts w:ascii="Verdana" w:eastAsia="Calibri" w:hAnsi="Verdana" w:cs="Arial"/>
                <w:b/>
                <w:bCs/>
                <w:color w:val="000000" w:themeColor="text1"/>
                <w:lang w:val="es-ES" w:eastAsia="es-ES"/>
              </w:rPr>
              <w:t xml:space="preserve"> de 2026</w:t>
            </w:r>
          </w:p>
        </w:tc>
      </w:tr>
      <w:tr w:rsidR="00C62CF2" w:rsidRPr="007E403E" w14:paraId="18CC1D5F" w14:textId="77777777" w:rsidTr="00457B0F">
        <w:trPr>
          <w:trHeight w:val="1071"/>
        </w:trPr>
        <w:tc>
          <w:tcPr>
            <w:tcW w:w="2270" w:type="dxa"/>
          </w:tcPr>
          <w:p w14:paraId="28C41F02" w14:textId="77777777" w:rsidR="00C62CF2" w:rsidRPr="001B36DA" w:rsidRDefault="00C62CF2" w:rsidP="00457B0F">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06E655F0" w14:textId="77777777" w:rsidR="00C62CF2" w:rsidRPr="00A11406" w:rsidRDefault="00C62CF2" w:rsidP="00457B0F">
            <w:pPr>
              <w:spacing w:line="276" w:lineRule="auto"/>
              <w:jc w:val="both"/>
              <w:rPr>
                <w:rFonts w:ascii="Verdana" w:eastAsia="Calibri" w:hAnsi="Verdana" w:cs="Arial"/>
                <w:lang w:val="es-ES" w:eastAsia="es-ES"/>
              </w:rPr>
            </w:pPr>
            <w:r w:rsidRPr="00DD7928">
              <w:rPr>
                <w:rFonts w:ascii="Verdana" w:eastAsia="Calibri" w:hAnsi="Verdana" w:cs="Arial"/>
                <w:lang w:val="es-ES" w:eastAsia="es-ES"/>
              </w:rPr>
              <w:t>CESIÓN DEL CONTRATO ESTATAL – Noción / CESIÓN DEL CONTRATO ESTATAL – Régimen jurídico aplicable – EGCAP – Código de comercio / CESIÓN DEL CONTRATO ESTATAL – Requisitos – Restricciones</w:t>
            </w:r>
            <w:r w:rsidRPr="006A662D">
              <w:rPr>
                <w:rFonts w:ascii="Verdana" w:eastAsia="Calibri" w:hAnsi="Verdana" w:cs="Arial"/>
                <w:lang w:val="es-ES" w:eastAsia="es-ES"/>
              </w:rPr>
              <w:t xml:space="preserve"> </w:t>
            </w:r>
            <w:r>
              <w:rPr>
                <w:rFonts w:ascii="Verdana" w:eastAsia="Calibri" w:hAnsi="Verdana" w:cs="Arial"/>
                <w:lang w:val="es-ES" w:eastAsia="es-ES"/>
              </w:rPr>
              <w:t xml:space="preserve">/ </w:t>
            </w:r>
            <w:r>
              <w:rPr>
                <w:rFonts w:ascii="Verdana" w:hAnsi="Verdana" w:cs="Arial"/>
                <w:bCs/>
                <w:lang w:val="es-ES_tradnl" w:eastAsia="es-ES"/>
              </w:rPr>
              <w:t>Empresas sociales del Estado</w:t>
            </w:r>
            <w:r w:rsidRPr="006273F6">
              <w:rPr>
                <w:rFonts w:ascii="Verdana" w:eastAsia="Calibri" w:hAnsi="Verdana" w:cs="Arial"/>
                <w:lang w:val="es-ES"/>
              </w:rPr>
              <w:t xml:space="preserve">– Régimen legal </w:t>
            </w:r>
            <w:r w:rsidRPr="00DD7928">
              <w:rPr>
                <w:rFonts w:ascii="Verdana" w:eastAsia="Calibri" w:hAnsi="Verdana" w:cs="Arial"/>
                <w:lang w:val="es-ES" w:eastAsia="es-ES"/>
              </w:rPr>
              <w:t>/ CESIÓN DEL CONTRATO ESTATAL – Régimen jurídico aplicable – EGCAP – Código de comercio / CESIÓN DEL CONTRATO ESTATAL – Requisitos</w:t>
            </w:r>
            <w:r>
              <w:rPr>
                <w:rFonts w:ascii="Verdana" w:eastAsia="Calibri" w:hAnsi="Verdana" w:cs="Arial"/>
                <w:lang w:val="es-ES" w:eastAsia="es-ES"/>
              </w:rPr>
              <w:t xml:space="preserve">- </w:t>
            </w:r>
            <w:r w:rsidRPr="006273F6">
              <w:rPr>
                <w:rFonts w:ascii="Verdana" w:eastAsia="Calibri" w:hAnsi="Verdana" w:cs="Arial"/>
                <w:lang w:val="es-ES"/>
              </w:rPr>
              <w:t>Autonomía de la entidad</w:t>
            </w:r>
            <w:r>
              <w:rPr>
                <w:rFonts w:ascii="Verdana" w:eastAsia="Calibri" w:hAnsi="Verdana" w:cs="Arial"/>
                <w:lang w:val="es-ES" w:eastAsia="es-ES"/>
              </w:rPr>
              <w:t>.</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4D7B933B" w14:textId="77777777" w:rsidR="00C62CF2" w:rsidRPr="005E256F" w:rsidRDefault="00C62CF2" w:rsidP="00457B0F">
            <w:pPr>
              <w:spacing w:line="276" w:lineRule="auto"/>
              <w:jc w:val="both"/>
              <w:rPr>
                <w:rFonts w:ascii="Verdana" w:eastAsia="Calibri" w:hAnsi="Verdana" w:cs="Arial"/>
                <w:color w:val="000000" w:themeColor="text1"/>
                <w:highlight w:val="yellow"/>
                <w:lang w:val="es-ES" w:eastAsia="es-ES"/>
              </w:rPr>
            </w:pPr>
            <w:r w:rsidRPr="00D86CA8">
              <w:rPr>
                <w:rFonts w:ascii="Verdana" w:eastAsia="Calibri" w:hAnsi="Verdana" w:cs="Arial"/>
                <w:lang w:val="es-ES" w:eastAsia="es-ES"/>
              </w:rPr>
              <w:t xml:space="preserve">                  </w:t>
            </w:r>
          </w:p>
        </w:tc>
      </w:tr>
      <w:tr w:rsidR="00C62CF2" w:rsidRPr="00115E3D" w14:paraId="6F17B2C1" w14:textId="77777777" w:rsidTr="00457B0F">
        <w:trPr>
          <w:trHeight w:val="653"/>
        </w:trPr>
        <w:tc>
          <w:tcPr>
            <w:tcW w:w="2270" w:type="dxa"/>
          </w:tcPr>
          <w:p w14:paraId="698F7E4E" w14:textId="77777777" w:rsidR="00C62CF2" w:rsidRPr="00CB7ABE" w:rsidRDefault="00C62CF2" w:rsidP="00457B0F">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0ED6A66" w14:textId="77777777" w:rsidR="00C62CF2" w:rsidRPr="00CB7ABE" w:rsidRDefault="00C62CF2" w:rsidP="00457B0F">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E86781">
              <w:rPr>
                <w:rFonts w:ascii="Verdana" w:eastAsia="Calibri" w:hAnsi="Verdana" w:cs="Arial"/>
                <w:color w:val="000000" w:themeColor="text1"/>
                <w:lang w:val="es-ES_tradnl" w:eastAsia="es-ES_tradnl"/>
              </w:rPr>
              <w:t>1_2026_04_14_004988</w:t>
            </w:r>
          </w:p>
        </w:tc>
      </w:tr>
      <w:tr w:rsidR="00C62CF2" w:rsidRPr="00115E3D" w14:paraId="015E3189" w14:textId="77777777" w:rsidTr="00457B0F">
        <w:trPr>
          <w:trHeight w:val="292"/>
        </w:trPr>
        <w:tc>
          <w:tcPr>
            <w:tcW w:w="2270" w:type="dxa"/>
          </w:tcPr>
          <w:p w14:paraId="7B317EEF" w14:textId="77777777" w:rsidR="00C62CF2" w:rsidRPr="00CB7ABE" w:rsidRDefault="00C62CF2" w:rsidP="00457B0F">
            <w:pPr>
              <w:jc w:val="both"/>
              <w:rPr>
                <w:rFonts w:ascii="Verdana" w:eastAsia="Calibri" w:hAnsi="Verdana" w:cs="Arial"/>
                <w:b/>
                <w:color w:val="000000" w:themeColor="text1"/>
                <w:lang w:val="es-ES_tradnl" w:eastAsia="es-ES_tradnl"/>
              </w:rPr>
            </w:pPr>
          </w:p>
        </w:tc>
        <w:tc>
          <w:tcPr>
            <w:tcW w:w="6547" w:type="dxa"/>
          </w:tcPr>
          <w:p w14:paraId="34DF9B86" w14:textId="77777777" w:rsidR="00C62CF2" w:rsidRPr="00CB7ABE" w:rsidRDefault="00C62CF2" w:rsidP="00457B0F">
            <w:pPr>
              <w:ind w:right="1"/>
              <w:jc w:val="both"/>
              <w:rPr>
                <w:rFonts w:ascii="Verdana" w:eastAsia="Calibri" w:hAnsi="Verdana" w:cs="Arial"/>
                <w:color w:val="000000" w:themeColor="text1"/>
                <w:lang w:val="es-ES_tradnl" w:eastAsia="es-ES_tradnl"/>
              </w:rPr>
            </w:pPr>
          </w:p>
        </w:tc>
      </w:tr>
    </w:tbl>
    <w:p w14:paraId="159EFDAF" w14:textId="77777777" w:rsidR="00C62CF2" w:rsidRPr="00115E3D" w:rsidRDefault="00C62CF2" w:rsidP="00C62CF2">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a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 Caro;</w:t>
      </w:r>
    </w:p>
    <w:p w14:paraId="0F76DCCC" w14:textId="77777777" w:rsidR="00C62CF2" w:rsidRPr="00115E3D" w:rsidRDefault="00C62CF2" w:rsidP="00C62CF2">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5E014241" w14:textId="77777777" w:rsidR="00C62CF2" w:rsidRPr="00115E3D" w:rsidRDefault="00C62CF2" w:rsidP="00C62CF2">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14 de abril de 2026 </w:t>
      </w:r>
      <w:r w:rsidRPr="00115E3D">
        <w:rPr>
          <w:rFonts w:ascii="Verdana" w:eastAsia="Calibri" w:hAnsi="Verdana" w:cs="Arial"/>
          <w:color w:val="000000" w:themeColor="text1"/>
          <w:lang w:val="es-ES" w:eastAsia="es-ES"/>
        </w:rPr>
        <w:t xml:space="preserve">en la cual manifiesta lo siguiente: </w:t>
      </w:r>
    </w:p>
    <w:p w14:paraId="7157AC63" w14:textId="77777777" w:rsidR="00C62CF2" w:rsidRDefault="00C62CF2" w:rsidP="00C62CF2">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4B7D425B" w14:textId="77777777" w:rsidR="00C62CF2" w:rsidRDefault="00C62CF2" w:rsidP="00C62CF2">
      <w:pPr>
        <w:spacing w:after="0" w:line="240" w:lineRule="auto"/>
        <w:ind w:left="709" w:right="709"/>
        <w:jc w:val="both"/>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p>
    <w:p w14:paraId="1F678895" w14:textId="77777777" w:rsidR="00C62CF2" w:rsidRDefault="00C62CF2" w:rsidP="00C62CF2">
      <w:pPr>
        <w:spacing w:after="0" w:line="240" w:lineRule="auto"/>
        <w:ind w:left="709" w:right="709"/>
        <w:jc w:val="both"/>
        <w:rPr>
          <w:rFonts w:ascii="Verdana" w:eastAsia="Century Gothic" w:hAnsi="Verdana" w:cs="Century Gothic"/>
          <w:i/>
          <w:iCs/>
          <w:color w:val="000000" w:themeColor="text1"/>
          <w:sz w:val="20"/>
          <w:szCs w:val="20"/>
        </w:rPr>
      </w:pPr>
      <w:r w:rsidRPr="005B6B50">
        <w:rPr>
          <w:rFonts w:ascii="Verdana" w:eastAsia="Century Gothic" w:hAnsi="Verdana" w:cs="Century Gothic"/>
          <w:i/>
          <w:iCs/>
          <w:color w:val="000000" w:themeColor="text1"/>
          <w:sz w:val="20"/>
          <w:szCs w:val="20"/>
        </w:rPr>
        <w:lastRenderedPageBreak/>
        <w:t>Cordial saludo, de manera respetuosa solicito me emitan un</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concepto relacionado con los siguientes puntos:</w:t>
      </w:r>
    </w:p>
    <w:p w14:paraId="61EF88B4" w14:textId="77777777" w:rsidR="00C62CF2" w:rsidRPr="005B6B50" w:rsidRDefault="00C62CF2" w:rsidP="00C62CF2">
      <w:pPr>
        <w:spacing w:after="0" w:line="240" w:lineRule="auto"/>
        <w:ind w:left="709" w:right="709"/>
        <w:jc w:val="both"/>
        <w:rPr>
          <w:rFonts w:ascii="Verdana" w:eastAsia="Century Gothic" w:hAnsi="Verdana" w:cs="Century Gothic"/>
          <w:i/>
          <w:iCs/>
          <w:color w:val="000000" w:themeColor="text1"/>
          <w:sz w:val="20"/>
          <w:szCs w:val="20"/>
        </w:rPr>
      </w:pPr>
    </w:p>
    <w:p w14:paraId="3D5C53A8" w14:textId="77777777" w:rsidR="00C62CF2" w:rsidRPr="005B6B50" w:rsidRDefault="00C62CF2" w:rsidP="00C62CF2">
      <w:pPr>
        <w:spacing w:after="0" w:line="240" w:lineRule="auto"/>
        <w:ind w:left="709" w:right="709"/>
        <w:jc w:val="both"/>
        <w:rPr>
          <w:rFonts w:ascii="Verdana" w:eastAsia="Century Gothic" w:hAnsi="Verdana" w:cs="Century Gothic"/>
          <w:i/>
          <w:iCs/>
          <w:color w:val="000000" w:themeColor="text1"/>
          <w:sz w:val="20"/>
          <w:szCs w:val="20"/>
        </w:rPr>
      </w:pPr>
      <w:r w:rsidRPr="005B6B50">
        <w:rPr>
          <w:rFonts w:ascii="Verdana" w:eastAsia="Century Gothic" w:hAnsi="Verdana" w:cs="Century Gothic"/>
          <w:i/>
          <w:iCs/>
          <w:color w:val="000000" w:themeColor="text1"/>
          <w:sz w:val="20"/>
          <w:szCs w:val="20"/>
        </w:rPr>
        <w:t>1. Existe algún impedimento ético, inhabilidad o</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incompatibilidad para realizar una cesión cuando el</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contratista es una persona jurídica identificada como A-SAS,</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y a quien se propone ceder el contrato también es una persona</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jurídica, identificada como B-SAS y en cuya conformación</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accionario figura A-SAS con el 1% de participación.</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Teniendo</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en cuenta que el contrato a ceder es uno de Obra, celebrado</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con una entidad estatal, de naturaleza privada y régimen</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especial, que presta servicios públicos domiciliarios.</w:t>
      </w:r>
    </w:p>
    <w:p w14:paraId="1A022DF3" w14:textId="77777777" w:rsidR="00C62CF2" w:rsidRPr="00F9394E" w:rsidRDefault="00C62CF2" w:rsidP="00C62CF2">
      <w:pPr>
        <w:spacing w:after="0" w:line="240" w:lineRule="auto"/>
        <w:ind w:left="709" w:right="709"/>
        <w:jc w:val="both"/>
        <w:rPr>
          <w:rFonts w:ascii="Verdana" w:eastAsia="Century Gothic" w:hAnsi="Verdana" w:cs="Century Gothic"/>
          <w:i/>
          <w:iCs/>
          <w:color w:val="000000" w:themeColor="text1"/>
          <w:sz w:val="20"/>
          <w:szCs w:val="20"/>
          <w:lang w:val="es-MX"/>
        </w:rPr>
      </w:pPr>
      <w:r w:rsidRPr="005B6B50">
        <w:rPr>
          <w:rFonts w:ascii="Verdana" w:eastAsia="Century Gothic" w:hAnsi="Verdana" w:cs="Century Gothic"/>
          <w:i/>
          <w:iCs/>
          <w:color w:val="000000" w:themeColor="text1"/>
          <w:sz w:val="20"/>
          <w:szCs w:val="20"/>
        </w:rPr>
        <w:t>2. En los procesos de contratación de una entidad de naturaleza</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privada y régimen especial, que presta servicios públicos</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domiciliarios ¿se DEBE tener en cuenta el numeral 2.5 del</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ARTÍCULO 2.2.1.1.1.5.2. del decreto 1085</w:t>
      </w:r>
      <w:r>
        <w:rPr>
          <w:rFonts w:ascii="Verdana" w:eastAsia="Century Gothic" w:hAnsi="Verdana" w:cs="Century Gothic"/>
          <w:i/>
          <w:iCs/>
          <w:color w:val="000000" w:themeColor="text1"/>
          <w:sz w:val="20"/>
          <w:szCs w:val="20"/>
        </w:rPr>
        <w:t xml:space="preserve"> </w:t>
      </w:r>
      <w:r w:rsidRPr="00571FDA">
        <w:rPr>
          <w:rFonts w:ascii="Verdana" w:eastAsia="Century Gothic" w:hAnsi="Verdana" w:cs="Century Gothic"/>
          <w:color w:val="000000" w:themeColor="text1"/>
          <w:sz w:val="20"/>
          <w:szCs w:val="20"/>
        </w:rPr>
        <w:t>(SIC)</w:t>
      </w:r>
      <w:r w:rsidRPr="005B6B50">
        <w:rPr>
          <w:rFonts w:ascii="Verdana" w:eastAsia="Century Gothic" w:hAnsi="Verdana" w:cs="Century Gothic"/>
          <w:i/>
          <w:iCs/>
          <w:color w:val="000000" w:themeColor="text1"/>
          <w:sz w:val="20"/>
          <w:szCs w:val="20"/>
        </w:rPr>
        <w:t xml:space="preserve"> de 2015, sin que se</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encuentre mencionado en los términos de referencia del proceso</w:t>
      </w:r>
      <w:r>
        <w:rPr>
          <w:rFonts w:ascii="Verdana" w:eastAsia="Century Gothic" w:hAnsi="Verdana" w:cs="Century Gothic"/>
          <w:i/>
          <w:iCs/>
          <w:color w:val="000000" w:themeColor="text1"/>
          <w:sz w:val="20"/>
          <w:szCs w:val="20"/>
        </w:rPr>
        <w:t xml:space="preserve"> </w:t>
      </w:r>
      <w:r w:rsidRPr="005B6B50">
        <w:rPr>
          <w:rFonts w:ascii="Verdana" w:eastAsia="Century Gothic" w:hAnsi="Verdana" w:cs="Century Gothic"/>
          <w:i/>
          <w:iCs/>
          <w:color w:val="000000" w:themeColor="text1"/>
          <w:sz w:val="20"/>
          <w:szCs w:val="20"/>
        </w:rPr>
        <w:t>de contratación?</w:t>
      </w:r>
      <w:r>
        <w:rPr>
          <w:rFonts w:ascii="Verdana" w:eastAsia="Century Gothic" w:hAnsi="Verdana" w:cs="Century Gothic"/>
          <w:i/>
          <w:iCs/>
          <w:color w:val="000000" w:themeColor="text1"/>
          <w:sz w:val="20"/>
          <w:szCs w:val="20"/>
          <w:lang w:val="es-MX"/>
        </w:rPr>
        <w:t xml:space="preserve"> “</w:t>
      </w:r>
    </w:p>
    <w:p w14:paraId="60A9758D" w14:textId="77777777" w:rsidR="00C62CF2" w:rsidRDefault="00C62CF2" w:rsidP="00C62CF2">
      <w:pPr>
        <w:spacing w:after="0" w:line="240" w:lineRule="auto"/>
        <w:ind w:left="709" w:right="709"/>
        <w:jc w:val="both"/>
        <w:rPr>
          <w:rFonts w:ascii="Verdana" w:eastAsia="Century Gothic" w:hAnsi="Verdana" w:cs="Century Gothic"/>
          <w:i/>
          <w:iCs/>
          <w:color w:val="000000" w:themeColor="text1"/>
          <w:sz w:val="20"/>
          <w:szCs w:val="20"/>
          <w:lang w:val="es-ES"/>
        </w:rPr>
      </w:pPr>
    </w:p>
    <w:p w14:paraId="600F9DDA" w14:textId="77777777" w:rsidR="00C62CF2" w:rsidRDefault="00C62CF2" w:rsidP="00C62CF2">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5227A928" w14:textId="77777777" w:rsidR="00C62CF2" w:rsidRPr="00115E3D" w:rsidRDefault="00C62CF2" w:rsidP="00C62CF2">
      <w:pPr>
        <w:spacing w:after="0" w:line="240" w:lineRule="auto"/>
        <w:ind w:right="49"/>
        <w:jc w:val="both"/>
        <w:rPr>
          <w:rFonts w:ascii="Verdana" w:eastAsia="Calibri" w:hAnsi="Verdana" w:cs="Arial"/>
          <w:color w:val="000000" w:themeColor="text1"/>
          <w:szCs w:val="24"/>
          <w:lang w:val="es-ES_tradnl" w:eastAsia="es-ES_tradnl"/>
        </w:rPr>
      </w:pPr>
    </w:p>
    <w:p w14:paraId="56915220" w14:textId="77777777" w:rsidR="00C62CF2" w:rsidRPr="00115E3D" w:rsidRDefault="00C62CF2" w:rsidP="00C62CF2">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2008735D" w14:textId="77777777" w:rsidR="00C62CF2" w:rsidRPr="00115E3D" w:rsidRDefault="00C62CF2" w:rsidP="00C62CF2">
      <w:pPr>
        <w:spacing w:after="0" w:line="276" w:lineRule="auto"/>
        <w:ind w:firstLine="709"/>
        <w:jc w:val="both"/>
        <w:rPr>
          <w:rFonts w:ascii="Verdana" w:eastAsia="Calibri" w:hAnsi="Verdana" w:cs="Arial"/>
          <w:color w:val="000000" w:themeColor="text1"/>
          <w:lang w:val="es-ES" w:eastAsia="es-ES"/>
        </w:rPr>
      </w:pPr>
    </w:p>
    <w:p w14:paraId="7F3E732D" w14:textId="77777777" w:rsidR="00C62CF2" w:rsidRPr="00115E3D" w:rsidRDefault="00C62CF2" w:rsidP="00C62CF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9D56EA0" w14:textId="77777777" w:rsidR="00C62CF2" w:rsidRPr="00115E3D" w:rsidRDefault="00C62CF2" w:rsidP="00C62CF2">
      <w:pPr>
        <w:tabs>
          <w:tab w:val="left" w:pos="426"/>
        </w:tabs>
        <w:spacing w:after="0" w:line="276" w:lineRule="auto"/>
        <w:jc w:val="both"/>
        <w:rPr>
          <w:rFonts w:ascii="Verdana" w:eastAsia="Century Gothic" w:hAnsi="Verdana" w:cs="Century Gothic"/>
          <w:color w:val="000000" w:themeColor="text1"/>
          <w:lang w:val="es-ES"/>
        </w:rPr>
      </w:pPr>
    </w:p>
    <w:p w14:paraId="2C01AB8B" w14:textId="77777777" w:rsidR="00C62CF2" w:rsidRDefault="00C62CF2" w:rsidP="00C62CF2">
      <w:pPr>
        <w:spacing w:after="0" w:line="276" w:lineRule="auto"/>
        <w:jc w:val="both"/>
      </w:pPr>
      <w:r w:rsidRPr="00115E3D">
        <w:rPr>
          <w:rFonts w:ascii="Verdana" w:eastAsia="Century Gothic" w:hAnsi="Verdana" w:cs="Century Gothic"/>
          <w:color w:val="000000" w:themeColor="text1"/>
        </w:rPr>
        <w:lastRenderedPageBreak/>
        <w:t xml:space="preserve">De acuerdo con el contenido de su solicitud, esta Agencia resolverá </w:t>
      </w:r>
      <w:r>
        <w:rPr>
          <w:rFonts w:ascii="Verdana" w:eastAsia="Century Gothic" w:hAnsi="Verdana" w:cs="Century Gothic"/>
          <w:color w:val="000000" w:themeColor="text1"/>
        </w:rPr>
        <w:t>los</w:t>
      </w:r>
      <w:r w:rsidRPr="00115E3D">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w:t>
      </w:r>
      <w:r w:rsidRPr="00946693">
        <w:t xml:space="preserve"> </w:t>
      </w:r>
    </w:p>
    <w:p w14:paraId="571ECEE8" w14:textId="77777777" w:rsidR="00C62CF2" w:rsidRDefault="00C62CF2" w:rsidP="00C62CF2">
      <w:pPr>
        <w:spacing w:after="0" w:line="276" w:lineRule="auto"/>
        <w:jc w:val="both"/>
      </w:pPr>
    </w:p>
    <w:p w14:paraId="53F48B33" w14:textId="77777777" w:rsidR="00C62CF2" w:rsidRPr="002D09DF" w:rsidRDefault="00C62CF2" w:rsidP="00C62CF2">
      <w:pPr>
        <w:spacing w:after="0" w:line="276" w:lineRule="auto"/>
        <w:jc w:val="both"/>
      </w:pPr>
      <w:r>
        <w:rPr>
          <w:rFonts w:ascii="Verdana" w:hAnsi="Verdana"/>
        </w:rPr>
        <w:t xml:space="preserve">i. </w:t>
      </w:r>
      <w:r w:rsidRPr="002D09DF">
        <w:rPr>
          <w:rFonts w:ascii="Verdana" w:hAnsi="Verdana"/>
        </w:rPr>
        <w:t>¿La existencia de participación accionaria entre el contratista cedente y el eventual cesionario genera una inhabilidad, incompatibilidad o conflicto de interés que impida la cesión de un contrato estatal celebrado por una entidad con régimen especial de contratación?</w:t>
      </w:r>
    </w:p>
    <w:p w14:paraId="678CF319" w14:textId="77777777" w:rsidR="00C62CF2" w:rsidRPr="002D09DF" w:rsidRDefault="00C62CF2" w:rsidP="00C62CF2">
      <w:pPr>
        <w:spacing w:after="0" w:line="276" w:lineRule="auto"/>
        <w:jc w:val="both"/>
        <w:rPr>
          <w:rFonts w:ascii="Verdana" w:hAnsi="Verdana"/>
        </w:rPr>
      </w:pPr>
      <w:proofErr w:type="spellStart"/>
      <w:r w:rsidRPr="002D09DF">
        <w:rPr>
          <w:rFonts w:ascii="Verdana" w:hAnsi="Verdana"/>
        </w:rPr>
        <w:t>ii</w:t>
      </w:r>
      <w:proofErr w:type="spellEnd"/>
      <w:r w:rsidRPr="002D09DF">
        <w:rPr>
          <w:rFonts w:ascii="Verdana" w:hAnsi="Verdana"/>
        </w:rPr>
        <w:t xml:space="preserve">. ¿Las entidades con régimen especial de contratación que prestan servicios públicos domiciliarios están obligadas a aplicar </w:t>
      </w:r>
      <w:r>
        <w:rPr>
          <w:rFonts w:ascii="Verdana" w:hAnsi="Verdana"/>
        </w:rPr>
        <w:t>las reglas previstas en el</w:t>
      </w:r>
      <w:r w:rsidRPr="00B5360F">
        <w:rPr>
          <w:rFonts w:ascii="Verdana" w:eastAsia="Arial" w:hAnsi="Verdana" w:cs="Arial"/>
        </w:rPr>
        <w:t xml:space="preserve"> numeral 2.5 del artículo 2.2.1.1.1.5.2 del Decreto 1082 de 2015 </w:t>
      </w:r>
      <w:r w:rsidRPr="002D09DF">
        <w:rPr>
          <w:rFonts w:ascii="Verdana" w:hAnsi="Verdana"/>
        </w:rPr>
        <w:t xml:space="preserve">del Decreto 1082 de 2015 </w:t>
      </w:r>
      <w:r>
        <w:rPr>
          <w:rFonts w:ascii="Verdana" w:hAnsi="Verdana"/>
        </w:rPr>
        <w:t>a pesar de no haber</w:t>
      </w:r>
      <w:r w:rsidRPr="002D09DF">
        <w:rPr>
          <w:rFonts w:ascii="Verdana" w:hAnsi="Verdana"/>
        </w:rPr>
        <w:t xml:space="preserve"> sido incorporadas expresamente en los documentos del proceso?</w:t>
      </w:r>
    </w:p>
    <w:p w14:paraId="2557028A" w14:textId="77777777" w:rsidR="00C62CF2" w:rsidRDefault="00C62CF2" w:rsidP="00C62CF2">
      <w:pPr>
        <w:spacing w:after="0" w:line="276" w:lineRule="auto"/>
        <w:jc w:val="both"/>
        <w:rPr>
          <w:rFonts w:ascii="Verdana" w:hAnsi="Verdana"/>
        </w:rPr>
      </w:pPr>
    </w:p>
    <w:p w14:paraId="160936A9" w14:textId="77777777" w:rsidR="00C62CF2" w:rsidRPr="00115E3D" w:rsidRDefault="00C62CF2" w:rsidP="00C62CF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7A82B2A7" w14:textId="77777777" w:rsidR="00C62CF2" w:rsidRPr="00115E3D" w:rsidRDefault="00C62CF2" w:rsidP="00C62CF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2CF2" w:rsidRPr="00115E3D" w14:paraId="1D60C2F3" w14:textId="77777777" w:rsidTr="00457B0F">
        <w:trPr>
          <w:trHeight w:val="774"/>
        </w:trPr>
        <w:tc>
          <w:tcPr>
            <w:tcW w:w="8828" w:type="dxa"/>
          </w:tcPr>
          <w:p w14:paraId="030CB8E4" w14:textId="77777777" w:rsidR="00C62CF2" w:rsidRPr="00CD70F7" w:rsidRDefault="00C62CF2" w:rsidP="00457B0F">
            <w:pPr>
              <w:spacing w:after="120" w:line="276" w:lineRule="auto"/>
              <w:jc w:val="both"/>
              <w:rPr>
                <w:rFonts w:ascii="Verdana" w:eastAsia="Arial" w:hAnsi="Verdana" w:cs="Arial"/>
              </w:rPr>
            </w:pPr>
            <w:r>
              <w:rPr>
                <w:rFonts w:ascii="Verdana" w:eastAsia="Arial" w:hAnsi="Verdana" w:cs="Arial"/>
              </w:rPr>
              <w:t xml:space="preserve">         i.</w:t>
            </w:r>
            <w:r w:rsidRPr="00CD70F7">
              <w:rPr>
                <w:rFonts w:ascii="Times New Roman" w:eastAsia="Times New Roman" w:hAnsi="Times New Roman" w:cs="Times New Roman"/>
                <w:sz w:val="24"/>
                <w:szCs w:val="24"/>
                <w:lang w:eastAsia="es-CO"/>
              </w:rPr>
              <w:t xml:space="preserve"> </w:t>
            </w:r>
            <w:r>
              <w:rPr>
                <w:rFonts w:ascii="Verdana" w:eastAsia="Arial" w:hAnsi="Verdana" w:cs="Arial"/>
              </w:rPr>
              <w:t>De manera preliminar es pertinente indicar que</w:t>
            </w:r>
            <w:r w:rsidRPr="00CD70F7">
              <w:rPr>
                <w:rFonts w:ascii="Verdana" w:eastAsia="Arial" w:hAnsi="Verdana" w:cs="Arial"/>
              </w:rPr>
              <w:t xml:space="preserve"> la cesión contractual es una figura jurídica mediante la cual un tercero ajeno a la relación contractual inicial asume la posición del contratista en un contrato en ejecución respecto de las obligaciones pendientes de cumplimiento. Sobre el particular, </w:t>
            </w:r>
            <w:r>
              <w:rPr>
                <w:rFonts w:ascii="Verdana" w:eastAsia="Arial" w:hAnsi="Verdana" w:cs="Arial"/>
              </w:rPr>
              <w:t xml:space="preserve">esta Subdirección Contractual </w:t>
            </w:r>
            <w:r w:rsidRPr="00CD70F7">
              <w:rPr>
                <w:rFonts w:ascii="Verdana" w:eastAsia="Arial" w:hAnsi="Verdana" w:cs="Arial"/>
              </w:rPr>
              <w:t>en el Concepto C-675 del 04 de junio de 2025, ha precisado que</w:t>
            </w:r>
            <w:r>
              <w:rPr>
                <w:rFonts w:ascii="Verdana" w:eastAsia="Arial" w:hAnsi="Verdana" w:cs="Arial"/>
              </w:rPr>
              <w:t xml:space="preserve">, con fundamento </w:t>
            </w:r>
            <w:r w:rsidRPr="00CD70F7">
              <w:rPr>
                <w:rFonts w:ascii="Verdana" w:eastAsia="Arial" w:hAnsi="Verdana" w:cs="Arial"/>
              </w:rPr>
              <w:t>en el artículo 9 de la Ley 80 de 1993,  la existencia de un "tercero" es un requisito esencial de la cesión, razón por la cual la ley prohíbe de forma taxativa esta operación entre los mismos integrantes de un proponente plural (consorcio o unión temporal), quedando en consecuencia permitida la cesión de sus integrantes a un tercero distinto a los miembros originarios.</w:t>
            </w:r>
          </w:p>
          <w:p w14:paraId="1A1DBF00" w14:textId="77777777" w:rsidR="00C62CF2" w:rsidRPr="00CD70F7" w:rsidRDefault="00C62CF2" w:rsidP="00457B0F">
            <w:pPr>
              <w:spacing w:after="120" w:line="276" w:lineRule="auto"/>
              <w:jc w:val="both"/>
              <w:rPr>
                <w:rFonts w:ascii="Verdana" w:eastAsia="Arial" w:hAnsi="Verdana" w:cs="Arial"/>
              </w:rPr>
            </w:pPr>
            <w:r>
              <w:rPr>
                <w:rFonts w:ascii="Verdana" w:eastAsia="Arial" w:hAnsi="Verdana" w:cs="Arial"/>
              </w:rPr>
              <w:t xml:space="preserve">           Ahora bien, e</w:t>
            </w:r>
            <w:r w:rsidRPr="00CD70F7">
              <w:rPr>
                <w:rFonts w:ascii="Verdana" w:eastAsia="Arial" w:hAnsi="Verdana" w:cs="Arial"/>
              </w:rPr>
              <w:t>n el marco de las entidades con régimen especial de contratación, el Concepto 1681 del 24 de diciembre de 2025 de esta Agencia señal</w:t>
            </w:r>
            <w:r>
              <w:rPr>
                <w:rFonts w:ascii="Verdana" w:eastAsia="Arial" w:hAnsi="Verdana" w:cs="Arial"/>
              </w:rPr>
              <w:t>ó</w:t>
            </w:r>
            <w:r w:rsidRPr="00CD70F7">
              <w:rPr>
                <w:rFonts w:ascii="Verdana" w:eastAsia="Arial" w:hAnsi="Verdana" w:cs="Arial"/>
              </w:rPr>
              <w:t xml:space="preserve"> que la sustitución de la posición contractual se rige principalmente por el derecho privado, en virtud de los artículos 887 y siguientes del Código de Comercio. Bajo este régimen, la cesión constituye un valioso instrumento para la gestión de intereses patrimoniales y el tráfico jurídico de derechos y obligaciones, implicando la transferencia de las acciones, privilegios y beneficios legales inherentes a la naturaleza del contrato (artículos 895 y 896 del Código de Comercio). Debido a la solemnidad que reviste la contratación </w:t>
            </w:r>
            <w:r w:rsidRPr="00CD70F7">
              <w:rPr>
                <w:rFonts w:ascii="Verdana" w:eastAsia="Arial" w:hAnsi="Verdana" w:cs="Arial"/>
              </w:rPr>
              <w:lastRenderedPageBreak/>
              <w:t>con recursos públicos, la sustitución debe constar por escrito y requiere la autorización previa y expresa de la entidad contratante.</w:t>
            </w:r>
          </w:p>
          <w:p w14:paraId="02351103" w14:textId="77777777" w:rsidR="00C62CF2" w:rsidRPr="00CD70F7" w:rsidRDefault="00C62CF2" w:rsidP="00457B0F">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Bajo esta línea doctrinal, la mera existencia de participación accionaria entre el contratista cedente y el eventual cesionario (incluso en una proporción mínima del 1%) no configura por sí sola una causal automática de inhabilidad, incompatibilidad o conflicto de interés que impida la cesión. Lo anterior obedece a que el régimen de inhabilidades es de reserva legal y de interpretación restrictiva, y a que el cesionario —en tanto persona jurídica legalmente constituida— se proyecta como un "tercero" con personalidad y patrimonio independientes a los de sus accionistas.</w:t>
            </w:r>
          </w:p>
          <w:p w14:paraId="48DA5870" w14:textId="77777777" w:rsidR="00C62CF2" w:rsidRPr="00CD70F7" w:rsidRDefault="00C62CF2" w:rsidP="00457B0F">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No obstante, al tratarse de una entidad de régimen especial dotada de autonomía, la viabilidad de la operación estará supeditada a que esta posibilidad o sus restricciones se encuentren previstas de manera clara en el respectivo Manual de Contratación, en los documentos del proceso o en el clausulado del contrato. En consecuencia, en ejercicio de su facultad discrecional, corresponderá a la entidad contratante verificar que el tercero cesionario cumpla plenamente con los requisitos de capacidad jurídica, no se encuentre incurso en causales de inhabilidad o incompatibilidad, y resulte idóneo desde los puntos de vista jurídico, técnico, económico y financiero para asumir íntegramente las obligaciones y responsabilidades pendientes, sugiriéndose además que la compañía aseguradora conozca de la cesión a fin de realizar las modificaciones a las que hubiere lugar en las garantías.</w:t>
            </w:r>
          </w:p>
          <w:p w14:paraId="7B7F8AF1" w14:textId="77777777" w:rsidR="00C62CF2" w:rsidRPr="00CD70F7" w:rsidRDefault="00C62CF2" w:rsidP="00457B0F">
            <w:pPr>
              <w:spacing w:after="120" w:line="276" w:lineRule="auto"/>
              <w:jc w:val="both"/>
              <w:rPr>
                <w:rFonts w:ascii="Verdana" w:eastAsia="Arial" w:hAnsi="Verdana" w:cs="Arial"/>
                <w:b/>
                <w:bCs/>
              </w:rPr>
            </w:pPr>
            <w:proofErr w:type="spellStart"/>
            <w:r w:rsidRPr="00CD70F7">
              <w:rPr>
                <w:rFonts w:ascii="Verdana" w:eastAsia="Arial" w:hAnsi="Verdana" w:cs="Arial"/>
              </w:rPr>
              <w:t>ii</w:t>
            </w:r>
            <w:proofErr w:type="spellEnd"/>
            <w:r w:rsidRPr="00CD70F7">
              <w:rPr>
                <w:rFonts w:ascii="Verdana" w:eastAsia="Arial" w:hAnsi="Verdana" w:cs="Arial"/>
              </w:rPr>
              <w:t>.</w:t>
            </w:r>
            <w:r w:rsidRPr="00CD70F7">
              <w:rPr>
                <w:rFonts w:ascii="Verdana" w:eastAsia="Arial" w:hAnsi="Verdana" w:cs="Arial"/>
                <w:b/>
                <w:bCs/>
              </w:rPr>
              <w:t xml:space="preserve"> </w:t>
            </w:r>
            <w:r w:rsidRPr="00CD70F7">
              <w:rPr>
                <w:rFonts w:ascii="Verdana" w:eastAsia="Arial" w:hAnsi="Verdana" w:cs="Arial"/>
              </w:rPr>
              <w:t xml:space="preserve">Frente al segundo problema jurídico planteado, es necesario precisar que las entidades que cuentan con un régimen especial de contratación, tales como las empresas de servicios públicos domiciliarios o las Empresas Sociales del Estado, no se encuentran sometidas al Estatuto General de Contratación de la Administración Pública (Ley 80 de 1993, Ley 1150 de 2007) ni a las normas reglamentarias o complementarias que lo desarrollan, como lo es el Decreto 1082 de 2015. Por disposición legal expresa, la actividad contractual de estas entidades se rige por las normas del derecho privado (civil y comercial), de conformidad con lo desarrollado por esta Agencia en el </w:t>
            </w:r>
            <w:r>
              <w:rPr>
                <w:rFonts w:ascii="Verdana" w:eastAsia="Arial" w:hAnsi="Verdana" w:cs="Arial"/>
              </w:rPr>
              <w:t xml:space="preserve">mencionado </w:t>
            </w:r>
            <w:r w:rsidRPr="00EB2B61">
              <w:rPr>
                <w:rFonts w:ascii="Verdana" w:eastAsia="Arial" w:hAnsi="Verdana" w:cs="Arial"/>
              </w:rPr>
              <w:t>Concepto C-1681 de</w:t>
            </w:r>
            <w:r>
              <w:rPr>
                <w:rFonts w:ascii="Verdana" w:eastAsia="Arial" w:hAnsi="Verdana" w:cs="Arial"/>
              </w:rPr>
              <w:t>l</w:t>
            </w:r>
            <w:r w:rsidRPr="00EB2B61">
              <w:rPr>
                <w:rFonts w:ascii="Verdana" w:eastAsia="Arial" w:hAnsi="Verdana" w:cs="Arial"/>
              </w:rPr>
              <w:t xml:space="preserve"> 24 de diciembre de 2025.</w:t>
            </w:r>
          </w:p>
          <w:p w14:paraId="6702309E" w14:textId="77777777" w:rsidR="00C62CF2" w:rsidRPr="00CD70F7" w:rsidRDefault="00C62CF2" w:rsidP="00457B0F">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 xml:space="preserve">No obstante, una de las obligaciones imperativas para las entidades de régimen especial consiste en el deber de expedir un Manual de Contratación. En este documento institucional se deben concretar los principios de la función </w:t>
            </w:r>
            <w:r w:rsidRPr="00CD70F7">
              <w:rPr>
                <w:rFonts w:ascii="Verdana" w:eastAsia="Arial" w:hAnsi="Verdana" w:cs="Arial"/>
              </w:rPr>
              <w:lastRenderedPageBreak/>
              <w:t>administrativa y de la gestión fiscal, determinando la manera específica en que dichos postulados orientarán y modularán el derecho privado durante el desarrollo de la actividad contractual. De este modo, el Manual de Contratación y los términos de referencia se constituyen en el marco vinculante donde los potenciales oferentes y contratistas identifican las reglas ciertas que aplica la entidad en sus procesos.</w:t>
            </w:r>
          </w:p>
          <w:p w14:paraId="5A0FFAFC" w14:textId="77777777" w:rsidR="00C62CF2" w:rsidRPr="00CD70F7" w:rsidRDefault="00C62CF2" w:rsidP="00457B0F">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En ese sentido, el numeral 2.5 del artículo 2.2.1.1.1.5.2 del Decreto 1082 de 2015, que prevé una regla excepcional para que las personas jurídicas con menos de tres (3) años de constitución puedan acreditar la experiencia de sus socios o accionistas a través del Registro Único de Proponentes (RUP), no es de obligatoria aplicación para una entidad de régimen especial por el simple ministerio de la ley. Al gozar de autonomía para la estructuración de sus procesos de selección, dicha disposición solo resultará vinculante si la entidad decidió "</w:t>
            </w:r>
            <w:proofErr w:type="spellStart"/>
            <w:r w:rsidRPr="00CD70F7">
              <w:rPr>
                <w:rFonts w:ascii="Verdana" w:eastAsia="Arial" w:hAnsi="Verdana" w:cs="Arial"/>
              </w:rPr>
              <w:t>auto-vincularse</w:t>
            </w:r>
            <w:proofErr w:type="spellEnd"/>
            <w:r w:rsidRPr="00CD70F7">
              <w:rPr>
                <w:rFonts w:ascii="Verdana" w:eastAsia="Arial" w:hAnsi="Verdana" w:cs="Arial"/>
              </w:rPr>
              <w:t>" a ella, incorporándola expresamente en su Manual de Contratación o en los términos de referencia del proceso específico.</w:t>
            </w:r>
          </w:p>
          <w:p w14:paraId="321C6A5E" w14:textId="77777777" w:rsidR="00C62CF2" w:rsidRPr="00CD70F7" w:rsidRDefault="00C62CF2" w:rsidP="00457B0F">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Por tanto, si los documentos del proceso no mencionan ni remiten a la aplicación de la citada regla del Decreto 1082 de 2015, la entidad de régimen especial no está obligada a aplicarla. Adoptar de forma sobrevenida un criterio excepcional de evaluación de experiencia no previsto en los pliegos o términos de referencia vulneraría los principios de transparencia, planeación, legalidad y el derecho a la igualdad de los participantes, quienes estructuraron sus ofertas bajo el principio de confianza legítima y con estricto apego a las reglas preestablecidas, las cuales son ley para las partes en el respectivo procedimiento de selección.</w:t>
            </w:r>
          </w:p>
          <w:p w14:paraId="0729634E" w14:textId="77777777" w:rsidR="00C62CF2" w:rsidRPr="00B643B2" w:rsidRDefault="00C62CF2" w:rsidP="00457B0F">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59D361EE" w14:textId="77777777" w:rsidR="00C62CF2" w:rsidRPr="0029110A" w:rsidRDefault="00C62CF2" w:rsidP="00457B0F">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 xml:space="preserve">En ese sentido, al tratarse de un análisis que debe realizarse en un procedimiento contractual específico, esta Agencia no puede definir un criterio universal y absoluto por vía consultiva, sino que brinda elementos de carácter </w:t>
            </w:r>
            <w:r w:rsidRPr="00B643B2">
              <w:rPr>
                <w:rFonts w:ascii="Verdana" w:eastAsia="Calibri" w:hAnsi="Verdana"/>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C62CF2" w:rsidRPr="00115E3D" w14:paraId="090244EE" w14:textId="77777777" w:rsidTr="00457B0F">
        <w:trPr>
          <w:trHeight w:val="162"/>
        </w:trPr>
        <w:tc>
          <w:tcPr>
            <w:tcW w:w="8828" w:type="dxa"/>
          </w:tcPr>
          <w:p w14:paraId="2423B5CD" w14:textId="77777777" w:rsidR="00C62CF2" w:rsidRDefault="00C62CF2" w:rsidP="00457B0F">
            <w:pPr>
              <w:spacing w:line="276" w:lineRule="auto"/>
              <w:jc w:val="both"/>
              <w:rPr>
                <w:rFonts w:ascii="Verdana" w:eastAsia="Calibri" w:hAnsi="Verdana" w:cs="Arial"/>
              </w:rPr>
            </w:pPr>
          </w:p>
        </w:tc>
      </w:tr>
    </w:tbl>
    <w:p w14:paraId="371B0E91" w14:textId="77777777" w:rsidR="00C62CF2" w:rsidRDefault="00C62CF2" w:rsidP="00C62CF2">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240A9BAE" w14:textId="77777777" w:rsidR="00C62CF2" w:rsidRDefault="00C62CF2" w:rsidP="00C62CF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603353B" w14:textId="77777777" w:rsidR="00C62CF2" w:rsidRDefault="00C62CF2" w:rsidP="00C62CF2">
      <w:pPr>
        <w:spacing w:after="120" w:line="276" w:lineRule="auto"/>
        <w:jc w:val="both"/>
        <w:rPr>
          <w:rFonts w:ascii="Verdana" w:hAnsi="Verdana"/>
        </w:rPr>
      </w:pPr>
    </w:p>
    <w:p w14:paraId="041DFC2B" w14:textId="77777777" w:rsidR="00C62CF2" w:rsidRPr="003B7A7F" w:rsidRDefault="00C62CF2" w:rsidP="00C62CF2">
      <w:pPr>
        <w:spacing w:after="120" w:line="276" w:lineRule="auto"/>
        <w:jc w:val="both"/>
        <w:rPr>
          <w:rFonts w:ascii="Verdana" w:eastAsia="Calibri" w:hAnsi="Verdana" w:cs="Arial"/>
          <w:b/>
          <w:bCs/>
          <w:lang w:eastAsia="es-MX"/>
        </w:rPr>
      </w:pPr>
      <w:r>
        <w:rPr>
          <w:rFonts w:ascii="Verdana" w:hAnsi="Verdana"/>
        </w:rPr>
        <w:t>Lo anterior se sustenta en las siguientes consideraciones:</w:t>
      </w:r>
    </w:p>
    <w:p w14:paraId="0D5FA809" w14:textId="77777777" w:rsidR="00C62CF2" w:rsidRPr="00457487" w:rsidRDefault="00C62CF2" w:rsidP="00C62CF2">
      <w:pPr>
        <w:spacing w:after="120" w:line="276" w:lineRule="auto"/>
        <w:ind w:firstLine="360"/>
        <w:jc w:val="both"/>
        <w:rPr>
          <w:rFonts w:ascii="Verdana" w:eastAsia="Calibri" w:hAnsi="Verdana" w:cs="Arial"/>
          <w:lang w:eastAsia="es-MX"/>
        </w:rPr>
      </w:pPr>
      <w:r>
        <w:rPr>
          <w:rFonts w:ascii="Verdana" w:eastAsia="Calibri" w:hAnsi="Verdana" w:cs="Arial"/>
          <w:lang w:eastAsia="es-MX"/>
        </w:rPr>
        <w:t xml:space="preserve">  i). </w:t>
      </w:r>
      <w:r w:rsidRPr="004C544B">
        <w:rPr>
          <w:rFonts w:ascii="Verdana" w:eastAsia="Calibri" w:hAnsi="Verdana" w:cs="Arial"/>
          <w:bCs/>
          <w:color w:val="000000" w:themeColor="text1"/>
        </w:rP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4C544B">
        <w:rPr>
          <w:rStyle w:val="Refdenotaalpie"/>
          <w:rFonts w:ascii="Verdana" w:eastAsia="Calibri" w:hAnsi="Verdana" w:cs="Arial"/>
          <w:bCs/>
          <w:color w:val="000000" w:themeColor="text1"/>
        </w:rPr>
        <w:footnoteReference w:id="1"/>
      </w:r>
      <w:r w:rsidRPr="004C544B">
        <w:rPr>
          <w:rFonts w:ascii="Verdana" w:eastAsia="Calibri" w:hAnsi="Verdana" w:cs="Arial"/>
          <w:bCs/>
          <w:color w:val="000000" w:themeColor="text1"/>
        </w:rPr>
        <w:t>.</w:t>
      </w:r>
      <w:r w:rsidRPr="004C544B">
        <w:rPr>
          <w:rFonts w:ascii="Verdana" w:eastAsia="Calibri" w:hAnsi="Verdana" w:cs="Arial"/>
          <w:color w:val="000000" w:themeColor="text1"/>
        </w:rPr>
        <w:t xml:space="preserve"> </w:t>
      </w:r>
      <w:r w:rsidRPr="004C544B">
        <w:rPr>
          <w:rFonts w:ascii="Verdana" w:hAnsi="Verdana" w:cs="Arial"/>
        </w:rPr>
        <w:t>Para la doctrina:</w:t>
      </w:r>
    </w:p>
    <w:p w14:paraId="29BE0D67" w14:textId="77777777" w:rsidR="00C62CF2" w:rsidRPr="004C544B" w:rsidRDefault="00C62CF2" w:rsidP="00C62CF2">
      <w:pPr>
        <w:spacing w:after="0" w:line="276" w:lineRule="auto"/>
        <w:ind w:firstLine="708"/>
        <w:jc w:val="both"/>
        <w:rPr>
          <w:rFonts w:ascii="Verdana" w:hAnsi="Verdana" w:cs="Arial"/>
        </w:rPr>
      </w:pPr>
    </w:p>
    <w:p w14:paraId="7B1501BB" w14:textId="77777777" w:rsidR="00C62CF2" w:rsidRPr="004C544B" w:rsidRDefault="00C62CF2" w:rsidP="00C62CF2">
      <w:pPr>
        <w:spacing w:after="120" w:line="240" w:lineRule="auto"/>
        <w:ind w:left="709" w:right="709"/>
        <w:jc w:val="both"/>
        <w:rPr>
          <w:rFonts w:ascii="Verdana" w:eastAsia="Calibri" w:hAnsi="Verdana" w:cs="Arial"/>
          <w:color w:val="000000" w:themeColor="text1"/>
          <w:sz w:val="21"/>
          <w:szCs w:val="21"/>
        </w:rPr>
      </w:pPr>
      <w:r w:rsidRPr="004C544B">
        <w:rPr>
          <w:rFonts w:ascii="Verdana" w:hAnsi="Verdana" w:cs="Arial"/>
          <w:sz w:val="21"/>
          <w:szCs w:val="21"/>
        </w:rPr>
        <w:t xml:space="preserve">“La cesión de contrato (presupuesto éste último como </w:t>
      </w:r>
      <w:r w:rsidRPr="004C544B">
        <w:rPr>
          <w:rFonts w:ascii="Verdana" w:hAnsi="Verdana" w:cs="Arial"/>
          <w:i/>
          <w:iCs/>
          <w:sz w:val="21"/>
          <w:szCs w:val="21"/>
        </w:rPr>
        <w:t>bilateral</w:t>
      </w:r>
      <w:r w:rsidRPr="004C544B">
        <w:rPr>
          <w:rFonts w:ascii="Verdana" w:hAnsi="Verdana" w:cs="Arial"/>
          <w:sz w:val="21"/>
          <w:szCs w:val="21"/>
        </w:rPr>
        <w:t xml:space="preserve">, al menos en la configuración típica de la institución) es el instrumento que permite realizar la llamada </w:t>
      </w:r>
      <w:r w:rsidRPr="004C544B">
        <w:rPr>
          <w:rFonts w:ascii="Verdana" w:hAnsi="Verdana" w:cs="Arial"/>
          <w:i/>
          <w:iCs/>
          <w:sz w:val="21"/>
          <w:szCs w:val="21"/>
        </w:rPr>
        <w:t>circulación del contrato</w:t>
      </w:r>
      <w:r w:rsidRPr="004C544B">
        <w:rPr>
          <w:rFonts w:ascii="Verdana" w:hAnsi="Verdana" w:cs="Arial"/>
          <w:sz w:val="21"/>
          <w:szCs w:val="21"/>
        </w:rPr>
        <w:t xml:space="preserve">, es decir, la transferencia negocial a un tercero (llamado </w:t>
      </w:r>
      <w:r w:rsidRPr="004C544B">
        <w:rPr>
          <w:rFonts w:ascii="Verdana" w:hAnsi="Verdana" w:cs="Arial"/>
          <w:i/>
          <w:iCs/>
          <w:sz w:val="21"/>
          <w:szCs w:val="21"/>
        </w:rPr>
        <w:t>cesionario</w:t>
      </w:r>
      <w:r w:rsidRPr="004C544B">
        <w:rPr>
          <w:rFonts w:ascii="Verdana" w:hAnsi="Verdana" w:cs="Arial"/>
          <w:sz w:val="21"/>
          <w:szCs w:val="21"/>
        </w:rPr>
        <w:t xml:space="preserve">) del conjunto de posiciones contractuales (entendido como resultante unitario de derechos y obligaciones orgánicamente interdependientes), constituida en la persona de uno de los originarios contratantes (llamado </w:t>
      </w:r>
      <w:r w:rsidRPr="004C544B">
        <w:rPr>
          <w:rFonts w:ascii="Verdana" w:hAnsi="Verdana" w:cs="Arial"/>
          <w:i/>
          <w:iCs/>
          <w:sz w:val="21"/>
          <w:szCs w:val="21"/>
        </w:rPr>
        <w:t>cedente</w:t>
      </w:r>
      <w:r w:rsidRPr="004C544B">
        <w:rPr>
          <w:rFonts w:ascii="Verdana" w:hAnsi="Verdana" w:cs="Arial"/>
          <w:sz w:val="21"/>
          <w:szCs w:val="21"/>
        </w:rPr>
        <w:t xml:space="preserve">); de tal forma que, a través de esa sustitución </w:t>
      </w:r>
      <w:r w:rsidRPr="004C544B">
        <w:rPr>
          <w:rFonts w:ascii="Verdana" w:hAnsi="Verdana" w:cs="Arial"/>
          <w:i/>
          <w:iCs/>
          <w:sz w:val="21"/>
          <w:szCs w:val="21"/>
        </w:rPr>
        <w:t>negocial</w:t>
      </w:r>
      <w:r w:rsidRPr="004C544B">
        <w:rPr>
          <w:rFonts w:ascii="Verdana" w:hAnsi="Verdana" w:cs="Arial"/>
          <w:sz w:val="21"/>
          <w:szCs w:val="21"/>
        </w:rPr>
        <w:t xml:space="preserve"> del tercero en la posición de ‘parte’ del contrato, en lugar del </w:t>
      </w:r>
      <w:r w:rsidRPr="004C544B">
        <w:rPr>
          <w:rFonts w:ascii="Verdana" w:hAnsi="Verdana" w:cs="Arial"/>
          <w:sz w:val="21"/>
          <w:szCs w:val="21"/>
        </w:rPr>
        <w:lastRenderedPageBreak/>
        <w:t xml:space="preserve">cedente, dicho tercero </w:t>
      </w:r>
      <w:proofErr w:type="spellStart"/>
      <w:r w:rsidRPr="004C544B">
        <w:rPr>
          <w:rFonts w:ascii="Verdana" w:hAnsi="Verdana" w:cs="Arial"/>
          <w:sz w:val="21"/>
          <w:szCs w:val="21"/>
        </w:rPr>
        <w:t>subentra</w:t>
      </w:r>
      <w:proofErr w:type="spellEnd"/>
      <w:r w:rsidRPr="004C544B">
        <w:rPr>
          <w:rFonts w:ascii="Verdana" w:hAnsi="Verdana" w:cs="Arial"/>
          <w:sz w:val="21"/>
          <w:szCs w:val="21"/>
        </w:rPr>
        <w:t xml:space="preserve"> en la totalidad de los derechos y obligaciones que en su orgánica interdependencia se derivan del contrato estipulado por el cedente.</w:t>
      </w:r>
    </w:p>
    <w:p w14:paraId="6FF0508D" w14:textId="77777777" w:rsidR="00C62CF2" w:rsidRPr="004C544B" w:rsidRDefault="00C62CF2" w:rsidP="00C62CF2">
      <w:pPr>
        <w:spacing w:after="0" w:line="240" w:lineRule="auto"/>
        <w:ind w:left="709" w:right="709"/>
        <w:jc w:val="both"/>
        <w:rPr>
          <w:rFonts w:ascii="Verdana" w:hAnsi="Verdana" w:cs="Arial"/>
          <w:sz w:val="21"/>
          <w:szCs w:val="21"/>
        </w:rPr>
      </w:pPr>
      <w:r w:rsidRPr="004C544B">
        <w:rPr>
          <w:rFonts w:ascii="Verdana" w:hAnsi="Verdana" w:cs="Arial"/>
          <w:sz w:val="21"/>
          <w:szCs w:val="21"/>
        </w:rPr>
        <w:t xml:space="preserve">A este respecto justamente se ha notado que el tráfico considera aquí los contratos sobre todo como </w:t>
      </w:r>
      <w:r w:rsidRPr="004C544B">
        <w:rPr>
          <w:rFonts w:ascii="Verdana" w:hAnsi="Verdana" w:cs="Arial"/>
          <w:i/>
          <w:iCs/>
          <w:sz w:val="21"/>
          <w:szCs w:val="21"/>
        </w:rPr>
        <w:t>valores económicos</w:t>
      </w:r>
      <w:r w:rsidRPr="004C544B">
        <w:rPr>
          <w:rFonts w:ascii="Verdana" w:hAnsi="Verdana" w:cs="Arial"/>
          <w:sz w:val="21"/>
          <w:szCs w:val="21"/>
        </w:rPr>
        <w:t xml:space="preserve">, idóneos como tales para una determinada forma de circulación: en consideración a la utilidad futura a que el contrato está encaminado a procurar, la práctica atribuye al mismo contrato un valor económico actual, considerándolo, por tanto, como un bien capaz de circular. Ahora bien; el Derecho apresta, precisamente, el instrumento para tal circulación en cuanto admite que uno de los originarios contratantes pueda transferir a un tercero, con el consentimiento imprescindible del otro contratante original (llamado </w:t>
      </w:r>
      <w:r w:rsidRPr="004C544B">
        <w:rPr>
          <w:rFonts w:ascii="Verdana" w:hAnsi="Verdana" w:cs="Arial"/>
          <w:i/>
          <w:iCs/>
          <w:sz w:val="21"/>
          <w:szCs w:val="21"/>
        </w:rPr>
        <w:t>contratante cedido</w:t>
      </w:r>
      <w:r w:rsidRPr="004C544B">
        <w:rPr>
          <w:rFonts w:ascii="Verdana" w:hAnsi="Verdana" w:cs="Arial"/>
          <w:sz w:val="21"/>
          <w:szCs w:val="21"/>
        </w:rPr>
        <w:t>), la relación contractual entera, como conjunto de derecho y obligaciones, como única resultante de elementos activos y pasivos […]”</w:t>
      </w:r>
      <w:r w:rsidRPr="004C544B">
        <w:rPr>
          <w:rStyle w:val="Refdenotaalpie"/>
          <w:rFonts w:ascii="Verdana" w:hAnsi="Verdana" w:cs="Arial"/>
          <w:color w:val="000000" w:themeColor="text1"/>
          <w:sz w:val="21"/>
          <w:szCs w:val="21"/>
        </w:rPr>
        <w:footnoteReference w:id="2"/>
      </w:r>
      <w:r w:rsidRPr="004C544B">
        <w:rPr>
          <w:rFonts w:ascii="Verdana" w:hAnsi="Verdana" w:cs="Arial"/>
          <w:sz w:val="21"/>
          <w:szCs w:val="21"/>
        </w:rPr>
        <w:t>.</w:t>
      </w:r>
    </w:p>
    <w:p w14:paraId="714F2788" w14:textId="77777777" w:rsidR="00C62CF2" w:rsidRPr="004C544B" w:rsidRDefault="00C62CF2" w:rsidP="00C62CF2">
      <w:pPr>
        <w:spacing w:after="0" w:line="276" w:lineRule="auto"/>
        <w:ind w:left="709" w:right="709"/>
        <w:jc w:val="both"/>
        <w:rPr>
          <w:rFonts w:ascii="Verdana" w:eastAsia="Calibri" w:hAnsi="Verdana" w:cs="Arial"/>
          <w:color w:val="000000" w:themeColor="text1"/>
        </w:rPr>
      </w:pPr>
    </w:p>
    <w:p w14:paraId="04AC856B" w14:textId="77777777" w:rsidR="00C62CF2" w:rsidRPr="004C544B" w:rsidRDefault="00C62CF2" w:rsidP="00C62CF2">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el cedido […]”</w:t>
      </w:r>
      <w:r w:rsidRPr="004C544B">
        <w:rPr>
          <w:rStyle w:val="Refdenotaalpie"/>
          <w:rFonts w:ascii="Verdana" w:eastAsia="Calibri" w:hAnsi="Verdana" w:cs="Arial"/>
          <w:color w:val="000000" w:themeColor="text1"/>
        </w:rPr>
        <w:footnoteReference w:id="3"/>
      </w:r>
      <w:r w:rsidRPr="004C544B">
        <w:rPr>
          <w:rFonts w:ascii="Verdana" w:eastAsia="Calibri" w:hAnsi="Verdana" w:cs="Arial"/>
          <w:color w:val="000000" w:themeColor="text1"/>
        </w:rPr>
        <w:t xml:space="preserve">. Por otro, “[…] es la transferencia de la posición contractual de un contratante a otro sujeto, que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la contraparte […]”</w:t>
      </w:r>
      <w:r w:rsidRPr="004C544B">
        <w:rPr>
          <w:rStyle w:val="Refdenotaalpie"/>
          <w:rFonts w:ascii="Verdana" w:eastAsia="Calibri" w:hAnsi="Verdana" w:cs="Arial"/>
          <w:color w:val="000000" w:themeColor="text1"/>
        </w:rPr>
        <w:footnoteReference w:id="4"/>
      </w:r>
      <w:r w:rsidRPr="004C544B">
        <w:rPr>
          <w:rFonts w:ascii="Verdana" w:eastAsia="Calibri" w:hAnsi="Verdana" w:cs="Arial"/>
          <w:color w:val="000000" w:themeColor="text1"/>
        </w:rPr>
        <w:t xml:space="preserve">. De esta manera, </w:t>
      </w:r>
      <w:r w:rsidRPr="004C544B">
        <w:rPr>
          <w:rFonts w:ascii="Verdana" w:hAnsi="Verdana" w:cs="Arial"/>
          <w:color w:val="000000" w:themeColor="text1"/>
        </w:rPr>
        <w:t xml:space="preserve">concurren tres (3) sujetos: i) el cedente, esto es, el contratista inicial; </w:t>
      </w:r>
      <w:proofErr w:type="spellStart"/>
      <w:r w:rsidRPr="004C544B">
        <w:rPr>
          <w:rFonts w:ascii="Verdana" w:hAnsi="Verdana" w:cs="Arial"/>
          <w:color w:val="000000" w:themeColor="text1"/>
        </w:rPr>
        <w:t>ii</w:t>
      </w:r>
      <w:proofErr w:type="spellEnd"/>
      <w:r w:rsidRPr="004C544B">
        <w:rPr>
          <w:rFonts w:ascii="Verdana" w:hAnsi="Verdana" w:cs="Arial"/>
          <w:color w:val="000000" w:themeColor="text1"/>
        </w:rPr>
        <w:t xml:space="preserve">) el cesionario, es decir, quien asume total o parcialmente los derechos y obligaciones de este último; y </w:t>
      </w:r>
      <w:proofErr w:type="spellStart"/>
      <w:r w:rsidRPr="004C544B">
        <w:rPr>
          <w:rFonts w:ascii="Verdana" w:hAnsi="Verdana" w:cs="Arial"/>
          <w:color w:val="000000" w:themeColor="text1"/>
        </w:rPr>
        <w:t>iii</w:t>
      </w:r>
      <w:proofErr w:type="spellEnd"/>
      <w:r w:rsidRPr="004C544B">
        <w:rPr>
          <w:rFonts w:ascii="Verdana" w:hAnsi="Verdana" w:cs="Arial"/>
          <w:color w:val="000000" w:themeColor="text1"/>
        </w:rPr>
        <w:t xml:space="preserve">) el cedido que, en el caso de los contratos estatales, sería la entidad que suscribió el contrato. </w:t>
      </w:r>
      <w:r w:rsidRPr="004C544B">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69871AD5" w14:textId="77777777" w:rsidR="00C62CF2" w:rsidRPr="004C544B" w:rsidRDefault="00C62CF2" w:rsidP="00C62CF2">
      <w:pPr>
        <w:spacing w:after="0" w:line="276" w:lineRule="auto"/>
        <w:ind w:firstLine="708"/>
        <w:jc w:val="both"/>
        <w:rPr>
          <w:rFonts w:ascii="Verdana" w:hAnsi="Verdana" w:cs="Arial"/>
          <w:color w:val="000000" w:themeColor="text1"/>
        </w:rPr>
      </w:pPr>
    </w:p>
    <w:p w14:paraId="7F1D49B9" w14:textId="77777777" w:rsidR="00C62CF2" w:rsidRPr="004C544B" w:rsidRDefault="00C62CF2" w:rsidP="00C62CF2">
      <w:pPr>
        <w:tabs>
          <w:tab w:val="left" w:pos="709"/>
        </w:tabs>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lastRenderedPageBreak/>
        <w:t>“[…]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 a una de un mismo contrato, por parte de uno de los contratantes a un tercero, esto es, en últimas, la transferencia de una posición o relación contractual, cuyo resultado es la sustitución de una de las partes (acreedora-deudora) […]”</w:t>
      </w:r>
      <w:r w:rsidRPr="004C544B">
        <w:rPr>
          <w:rStyle w:val="Refdenotaalpie"/>
          <w:rFonts w:ascii="Verdana" w:eastAsia="Calibri" w:hAnsi="Verdana" w:cs="Arial"/>
          <w:color w:val="000000" w:themeColor="text1"/>
          <w:sz w:val="21"/>
          <w:szCs w:val="21"/>
        </w:rPr>
        <w:footnoteReference w:id="5"/>
      </w:r>
      <w:r w:rsidRPr="004C544B">
        <w:rPr>
          <w:rFonts w:ascii="Verdana" w:eastAsia="Calibri" w:hAnsi="Verdana" w:cs="Arial"/>
          <w:color w:val="000000" w:themeColor="text1"/>
          <w:sz w:val="21"/>
          <w:szCs w:val="21"/>
        </w:rPr>
        <w:t>.</w:t>
      </w:r>
    </w:p>
    <w:p w14:paraId="21A23113" w14:textId="77777777" w:rsidR="00C62CF2" w:rsidRPr="004C544B" w:rsidRDefault="00C62CF2" w:rsidP="00C62CF2">
      <w:pPr>
        <w:tabs>
          <w:tab w:val="left" w:pos="709"/>
        </w:tabs>
        <w:spacing w:after="0" w:line="276" w:lineRule="auto"/>
        <w:ind w:left="709" w:right="709"/>
        <w:jc w:val="both"/>
        <w:rPr>
          <w:rFonts w:ascii="Verdana" w:eastAsia="Calibri" w:hAnsi="Verdana" w:cs="Arial"/>
          <w:color w:val="000000" w:themeColor="text1"/>
        </w:rPr>
      </w:pPr>
    </w:p>
    <w:p w14:paraId="66416AE9" w14:textId="77777777" w:rsidR="00C62CF2" w:rsidRPr="004C544B" w:rsidRDefault="00C62CF2" w:rsidP="00C62CF2">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4C544B">
        <w:rPr>
          <w:rFonts w:ascii="Verdana" w:eastAsia="Calibri" w:hAnsi="Verdana" w:cs="Arial"/>
          <w:color w:val="000000" w:themeColor="text1"/>
        </w:rPr>
        <w:t>ii</w:t>
      </w:r>
      <w:proofErr w:type="spellEnd"/>
      <w:r w:rsidRPr="004C544B">
        <w:rPr>
          <w:rFonts w:ascii="Verdana" w:eastAsia="Calibri" w:hAnsi="Verdana" w:cs="Arial"/>
          <w:color w:val="000000" w:themeColor="text1"/>
        </w:rPr>
        <w:t xml:space="preserve">) corresponderán como actos jurídicos bilaterales generadores de obligaciones, entre otros, a los previstos en el derecho privado, en los términos del artículo 32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y </w:t>
      </w:r>
      <w:proofErr w:type="spellStart"/>
      <w:r w:rsidRPr="004C544B">
        <w:rPr>
          <w:rFonts w:ascii="Verdana" w:eastAsia="Calibri" w:hAnsi="Verdana" w:cs="Arial"/>
          <w:color w:val="000000" w:themeColor="text1"/>
        </w:rPr>
        <w:t>iii</w:t>
      </w:r>
      <w:proofErr w:type="spellEnd"/>
      <w:r w:rsidRPr="004C544B">
        <w:rPr>
          <w:rFonts w:ascii="Verdana" w:eastAsia="Calibri" w:hAnsi="Verdana" w:cs="Arial"/>
          <w:color w:val="000000" w:themeColor="text1"/>
        </w:rPr>
        <w:t xml:space="preserve">) contendrán las estipulaciones que, de acuerdo con las normas civiles, comerciales y las previstas en esta ley, correspondan a su esencia y naturaleza, conforme a lo dispuesto por el artículo 40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w:t>
      </w:r>
    </w:p>
    <w:p w14:paraId="76AF51A5" w14:textId="77777777" w:rsidR="00C62CF2" w:rsidRPr="004C544B" w:rsidRDefault="00C62CF2" w:rsidP="00C62CF2">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3EDC2173" w14:textId="77777777" w:rsidR="00C62CF2" w:rsidRPr="004C544B" w:rsidRDefault="00C62CF2" w:rsidP="00C62CF2">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 xml:space="preserve">Por ello, es pertinente indicar que el Decreto Ley 410 de 1971 contempla ciertas disposiciones que no se encuentran en la Ley 80 de 1993, lo que conlleva </w:t>
      </w:r>
      <w:r w:rsidRPr="004C544B">
        <w:rPr>
          <w:rFonts w:ascii="Verdana" w:eastAsia="Calibri" w:hAnsi="Verdana" w:cs="Arial"/>
          <w:color w:val="000000" w:themeColor="text1"/>
        </w:rPr>
        <w:lastRenderedPageBreak/>
        <w:t>su aplicación en materia de contratos estatales. Por ejemplo, el artículo 890 establece lo relativo a la responsabilidad del cedente frente al cesionario y en torno a la existencia, validez y garantías del contrato cedido</w:t>
      </w:r>
      <w:r w:rsidRPr="004C544B">
        <w:rPr>
          <w:rStyle w:val="Refdenotaalpie"/>
          <w:rFonts w:ascii="Verdana" w:eastAsia="Calibri" w:hAnsi="Verdana" w:cs="Arial"/>
          <w:color w:val="000000" w:themeColor="text1"/>
        </w:rPr>
        <w:footnoteReference w:id="6"/>
      </w:r>
      <w:r w:rsidRPr="004C544B">
        <w:rPr>
          <w:rFonts w:ascii="Verdana" w:eastAsia="Calibri" w:hAnsi="Verdana" w:cs="Arial"/>
          <w:color w:val="000000" w:themeColor="text1"/>
        </w:rPr>
        <w:t>. Por otra parte, el artículo 891 obliga al cesionario a avisar al cedente de la mora o el incumplimiento dentro de los 10 días siguientes, siempre y cuando este se haya obligado a garantizar el cumplimiento por parte del contratante cedido</w:t>
      </w:r>
      <w:r w:rsidRPr="004C544B">
        <w:rPr>
          <w:rStyle w:val="Refdenotaalpie"/>
          <w:rFonts w:ascii="Verdana" w:eastAsia="Calibri" w:hAnsi="Verdana" w:cs="Arial"/>
          <w:color w:val="000000" w:themeColor="text1"/>
        </w:rPr>
        <w:footnoteReference w:id="7"/>
      </w:r>
      <w:r w:rsidRPr="004C544B">
        <w:rPr>
          <w:rFonts w:ascii="Verdana" w:eastAsia="Calibri" w:hAnsi="Verdana" w:cs="Arial"/>
          <w:color w:val="000000" w:themeColor="text1"/>
        </w:rPr>
        <w:t>.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sidRPr="004C544B">
        <w:rPr>
          <w:rStyle w:val="Refdenotaalpie"/>
          <w:rFonts w:ascii="Verdana" w:eastAsia="Calibri" w:hAnsi="Verdana" w:cs="Arial"/>
          <w:color w:val="000000" w:themeColor="text1"/>
        </w:rPr>
        <w:footnoteReference w:id="8"/>
      </w:r>
      <w:r w:rsidRPr="004C544B">
        <w:rPr>
          <w:rFonts w:ascii="Verdana" w:eastAsia="Calibri" w:hAnsi="Verdana" w:cs="Arial"/>
          <w:color w:val="000000" w:themeColor="text1"/>
        </w:rPr>
        <w:t xml:space="preserve">. </w:t>
      </w:r>
    </w:p>
    <w:p w14:paraId="1DFC1205" w14:textId="77777777" w:rsidR="00C62CF2" w:rsidRPr="004C544B" w:rsidRDefault="00C62CF2" w:rsidP="00C62CF2">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 xml:space="preserve">Al margen de estas y otras disposiciones que de manera particular consagra el Código de Comercio sobre la cesión del contrato, esta figura cuenta con algunas normas especiales en la Ley 80 de 1993. Por ejemplo, </w:t>
      </w:r>
      <w:bookmarkStart w:id="2" w:name="_Hlk79822251"/>
      <w:r w:rsidRPr="004C544B">
        <w:rPr>
          <w:rFonts w:ascii="Verdana" w:eastAsia="Calibri" w:hAnsi="Verdana" w:cs="Arial"/>
          <w:color w:val="000000" w:themeColor="text1"/>
        </w:rPr>
        <w:t>el artículo 41, inciso tercero</w:t>
      </w:r>
      <w:bookmarkEnd w:id="2"/>
      <w:r w:rsidRPr="004C544B">
        <w:rPr>
          <w:rFonts w:ascii="Verdana" w:eastAsia="Calibri" w:hAnsi="Verdana" w:cs="Arial"/>
          <w:color w:val="000000" w:themeColor="text1"/>
        </w:rPr>
        <w:t xml:space="preserve">, del EGCAP prescribe que “Los contratos estatales son </w:t>
      </w:r>
      <w:r w:rsidRPr="004C544B">
        <w:rPr>
          <w:rFonts w:ascii="Verdana" w:eastAsia="Calibri" w:hAnsi="Verdana" w:cs="Arial"/>
          <w:i/>
          <w:iCs/>
          <w:color w:val="000000" w:themeColor="text1"/>
        </w:rPr>
        <w:t xml:space="preserve">intuito </w:t>
      </w:r>
      <w:proofErr w:type="spellStart"/>
      <w:r w:rsidRPr="004C544B">
        <w:rPr>
          <w:rFonts w:ascii="Verdana" w:eastAsia="Calibri" w:hAnsi="Verdana" w:cs="Arial"/>
          <w:i/>
          <w:iCs/>
          <w:color w:val="000000" w:themeColor="text1"/>
        </w:rPr>
        <w:t>personae</w:t>
      </w:r>
      <w:proofErr w:type="spellEnd"/>
      <w:r w:rsidRPr="004C544B">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4C544B">
        <w:rPr>
          <w:rFonts w:ascii="Verdana" w:eastAsia="Calibri" w:hAnsi="Verdana" w:cs="Arial"/>
          <w:i/>
          <w:iCs/>
          <w:color w:val="000000" w:themeColor="text1"/>
        </w:rPr>
        <w:t>faceta negativa</w:t>
      </w:r>
      <w:r w:rsidRPr="004C544B">
        <w:rPr>
          <w:rFonts w:ascii="Verdana" w:eastAsia="Calibri" w:hAnsi="Verdana" w:cs="Arial"/>
          <w:color w:val="000000" w:themeColor="text1"/>
        </w:rPr>
        <w:t>– y una autorización excepcional –</w:t>
      </w:r>
      <w:r w:rsidRPr="004C544B">
        <w:rPr>
          <w:rFonts w:ascii="Verdana" w:eastAsia="Calibri" w:hAnsi="Verdana" w:cs="Arial"/>
          <w:i/>
          <w:iCs/>
          <w:color w:val="000000" w:themeColor="text1"/>
        </w:rPr>
        <w:t>faceta positiva</w:t>
      </w:r>
      <w:r w:rsidRPr="004C544B">
        <w:rPr>
          <w:rFonts w:ascii="Verdana" w:eastAsia="Calibri" w:hAnsi="Verdana" w:cs="Arial"/>
          <w:color w:val="000000" w:themeColor="text1"/>
        </w:rPr>
        <w:t>–.</w:t>
      </w:r>
    </w:p>
    <w:p w14:paraId="6A4C0A1A" w14:textId="77777777" w:rsidR="00C62CF2" w:rsidRPr="004C544B" w:rsidRDefault="00C62CF2" w:rsidP="00C62CF2">
      <w:pPr>
        <w:tabs>
          <w:tab w:val="left" w:pos="709"/>
        </w:tabs>
        <w:spacing w:after="120" w:line="276" w:lineRule="auto"/>
        <w:jc w:val="both"/>
        <w:rPr>
          <w:rFonts w:ascii="Verdana" w:eastAsia="Calibri" w:hAnsi="Verdana" w:cs="Arial"/>
          <w:bCs/>
          <w:color w:val="000000" w:themeColor="text1"/>
        </w:rPr>
      </w:pPr>
      <w:r w:rsidRPr="004C544B">
        <w:rPr>
          <w:rFonts w:ascii="Verdana" w:eastAsia="Calibri" w:hAnsi="Verdana" w:cs="Arial"/>
          <w:bCs/>
          <w:color w:val="000000" w:themeColor="text1"/>
        </w:rPr>
        <w:tab/>
        <w:t xml:space="preserve">En lo que respecta a la </w:t>
      </w:r>
      <w:r w:rsidRPr="004C544B">
        <w:rPr>
          <w:rFonts w:ascii="Verdana" w:eastAsia="Calibri" w:hAnsi="Verdana" w:cs="Arial"/>
          <w:bCs/>
          <w:i/>
          <w:iCs/>
          <w:color w:val="000000" w:themeColor="text1"/>
        </w:rPr>
        <w:t>faceta negativa</w:t>
      </w:r>
      <w:r w:rsidRPr="004C544B">
        <w:rPr>
          <w:rFonts w:ascii="Verdana" w:eastAsia="Calibri" w:hAnsi="Verdana" w:cs="Arial"/>
          <w:bCs/>
          <w:color w:val="000000" w:themeColor="text1"/>
        </w:rPr>
        <w:t xml:space="preserve">, el artículo 41 del Estatuto General 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 de los elementos de la naturaleza del contrato estatal, pues –conforme a lo </w:t>
      </w:r>
      <w:r w:rsidRPr="004C544B">
        <w:rPr>
          <w:rFonts w:ascii="Verdana" w:eastAsia="Calibri" w:hAnsi="Verdana" w:cs="Arial"/>
          <w:bCs/>
          <w:color w:val="000000" w:themeColor="text1"/>
        </w:rPr>
        <w:lastRenderedPageBreak/>
        <w:t>previsto en el artículo 1501 del Código Civil– es de aquellos “[…] que no siendo esenciales en él, se entienden pertenecerle, sin necesidad de una cláusula especial […]”</w:t>
      </w:r>
      <w:r w:rsidRPr="004C544B">
        <w:rPr>
          <w:rStyle w:val="Refdenotaalpie"/>
          <w:rFonts w:ascii="Verdana" w:eastAsia="Calibri" w:hAnsi="Verdana" w:cs="Arial"/>
          <w:bCs/>
          <w:color w:val="000000" w:themeColor="text1"/>
        </w:rPr>
        <w:footnoteReference w:id="9"/>
      </w:r>
      <w:r w:rsidRPr="004C544B">
        <w:rPr>
          <w:rFonts w:ascii="Verdana" w:eastAsia="Calibri" w:hAnsi="Verdana" w:cs="Arial"/>
          <w:bCs/>
          <w:color w:val="000000" w:themeColor="text1"/>
        </w:rPr>
        <w:t xml:space="preserve">.  </w:t>
      </w:r>
    </w:p>
    <w:p w14:paraId="022C81CF" w14:textId="77777777" w:rsidR="00C62CF2" w:rsidRPr="004C544B" w:rsidRDefault="00C62CF2" w:rsidP="00C62CF2">
      <w:pPr>
        <w:spacing w:after="0" w:line="276" w:lineRule="auto"/>
        <w:ind w:firstLine="708"/>
        <w:jc w:val="both"/>
        <w:rPr>
          <w:rFonts w:ascii="Verdana" w:eastAsia="Calibri" w:hAnsi="Verdana" w:cs="Arial"/>
          <w:bCs/>
          <w:color w:val="000000" w:themeColor="text1"/>
        </w:rPr>
      </w:pPr>
      <w:r w:rsidRPr="004C544B">
        <w:rPr>
          <w:rFonts w:ascii="Verdana" w:eastAsia="Calibri" w:hAnsi="Verdana" w:cs="Arial"/>
          <w:bCs/>
          <w:color w:val="000000" w:themeColor="text1"/>
        </w:rPr>
        <w:t xml:space="preserve">En su </w:t>
      </w:r>
      <w:r w:rsidRPr="004C544B">
        <w:rPr>
          <w:rFonts w:ascii="Verdana" w:eastAsia="Calibri" w:hAnsi="Verdana" w:cs="Arial"/>
          <w:bCs/>
          <w:i/>
          <w:iCs/>
          <w:color w:val="000000" w:themeColor="text1"/>
        </w:rPr>
        <w:t>faceta positiva</w:t>
      </w:r>
      <w:r w:rsidRPr="004C544B">
        <w:rPr>
          <w:rFonts w:ascii="Verdana" w:eastAsia="Calibri" w:hAnsi="Verdana" w:cs="Arial"/>
          <w:bCs/>
          <w:color w:val="000000" w:themeColor="text1"/>
        </w:rPr>
        <w:t xml:space="preserve">, la Ley 80 de 1993 permite excepcionalmente la cesión del contrato estatal siempre que exista autorización previa escrita de la entidad contratante. Por ello, “[…] El cocontratante que </w:t>
      </w:r>
      <w:r w:rsidRPr="00DE5DE4">
        <w:rPr>
          <w:rFonts w:ascii="Verdana" w:eastAsia="Calibri" w:hAnsi="Verdana" w:cs="Arial"/>
          <w:bCs/>
          <w:color w:val="000000" w:themeColor="text1"/>
          <w:sz w:val="24"/>
          <w:szCs w:val="24"/>
        </w:rPr>
        <w:t>‘</w:t>
      </w:r>
      <w:r w:rsidRPr="004C544B">
        <w:rPr>
          <w:rFonts w:ascii="Verdana" w:eastAsia="Calibri" w:hAnsi="Verdana" w:cs="Arial"/>
          <w:bCs/>
          <w:i/>
          <w:iCs/>
          <w:color w:val="000000" w:themeColor="text1"/>
        </w:rPr>
        <w:t>ceda</w:t>
      </w:r>
      <w:r w:rsidRPr="00DE5DE4">
        <w:rPr>
          <w:rFonts w:ascii="Verdana" w:eastAsia="Calibri" w:hAnsi="Verdana" w:cs="Arial"/>
          <w:bCs/>
          <w:color w:val="000000" w:themeColor="text1"/>
        </w:rPr>
        <w:t>’</w:t>
      </w:r>
      <w:r w:rsidRPr="004C544B">
        <w:rPr>
          <w:rFonts w:ascii="Verdana" w:eastAsia="Calibri" w:hAnsi="Verdana" w:cs="Arial"/>
          <w:bCs/>
          <w:color w:val="000000" w:themeColor="text1"/>
        </w:rPr>
        <w:t xml:space="preserve"> el contrato sin estar autorizado para ello incurre en grave responsabilidad: su actitud implica </w:t>
      </w:r>
      <w:r>
        <w:rPr>
          <w:rFonts w:ascii="Verdana" w:eastAsia="Calibri" w:hAnsi="Verdana" w:cs="Arial"/>
          <w:bCs/>
          <w:color w:val="000000" w:themeColor="text1"/>
        </w:rPr>
        <w:t>‘</w:t>
      </w:r>
      <w:r w:rsidRPr="004C544B">
        <w:rPr>
          <w:rFonts w:ascii="Verdana" w:eastAsia="Calibri" w:hAnsi="Verdana" w:cs="Arial"/>
          <w:bCs/>
          <w:i/>
          <w:iCs/>
          <w:color w:val="000000" w:themeColor="text1"/>
        </w:rPr>
        <w:t>incumplimiento</w:t>
      </w:r>
      <w:r>
        <w:rPr>
          <w:rFonts w:ascii="Verdana" w:eastAsia="Calibri" w:hAnsi="Verdana" w:cs="Arial"/>
          <w:bCs/>
          <w:color w:val="000000" w:themeColor="text1"/>
        </w:rPr>
        <w:t>’</w:t>
      </w:r>
      <w:r w:rsidRPr="004C544B">
        <w:rPr>
          <w:rFonts w:ascii="Verdana" w:eastAsia="Calibri" w:hAnsi="Verdana" w:cs="Arial"/>
          <w:bCs/>
          <w:color w:val="000000" w:themeColor="text1"/>
        </w:rPr>
        <w:t xml:space="preserve"> del contrato; de ahí que esa cesión ilícita no resulte oponible a la Administración Pública […]”</w:t>
      </w:r>
      <w:r w:rsidRPr="004C544B">
        <w:rPr>
          <w:rStyle w:val="Refdenotaalpie"/>
          <w:rFonts w:ascii="Verdana" w:eastAsia="Calibri" w:hAnsi="Verdana" w:cs="Arial"/>
          <w:bCs/>
          <w:color w:val="000000" w:themeColor="text1"/>
        </w:rPr>
        <w:footnoteReference w:id="10"/>
      </w:r>
      <w:r w:rsidRPr="004C544B">
        <w:rPr>
          <w:rFonts w:ascii="Verdana" w:eastAsia="Calibri" w:hAnsi="Verdana" w:cs="Arial"/>
          <w:bCs/>
          <w:color w:val="000000" w:themeColor="text1"/>
        </w:rPr>
        <w:t xml:space="preserve">. Este requisito introduce un elemento especial que no está previsto en el Código de Comercio, pues en el derecho privado –salvo las excepciones previstas en la ley– la cesión requiere el acuerdo de voluntades entre el cedente y el cesionario, sin que medie la aceptación del contratante cedido. </w:t>
      </w:r>
      <w:r w:rsidRPr="004C544B">
        <w:rPr>
          <w:rFonts w:ascii="Verdana" w:eastAsia="Calibri" w:hAnsi="Verdana" w:cs="Arial"/>
          <w:color w:val="000000" w:themeColor="text1"/>
        </w:rPr>
        <w:t>En relación con lo anterior la doctrina define la cesión en los contratos estatales de la siguiente manera:</w:t>
      </w:r>
    </w:p>
    <w:p w14:paraId="007C8711" w14:textId="77777777" w:rsidR="00C62CF2" w:rsidRPr="004C544B" w:rsidRDefault="00C62CF2" w:rsidP="00C62CF2">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 </w:t>
      </w:r>
    </w:p>
    <w:p w14:paraId="445658BE" w14:textId="77777777" w:rsidR="00C62CF2" w:rsidRPr="004C544B" w:rsidRDefault="00C62CF2" w:rsidP="00C62CF2">
      <w:pPr>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xml:space="preserve">“La cesión en la contratación estatal supone, previa autorización de la entidad contratante, la sustitución </w:t>
      </w:r>
      <w:r w:rsidRPr="004C544B">
        <w:rPr>
          <w:rFonts w:ascii="Verdana" w:eastAsia="Calibri" w:hAnsi="Verdana" w:cs="Arial"/>
          <w:i/>
          <w:iCs/>
          <w:color w:val="000000" w:themeColor="text1"/>
          <w:sz w:val="21"/>
          <w:szCs w:val="21"/>
        </w:rPr>
        <w:t>in genere</w:t>
      </w:r>
      <w:r w:rsidRPr="004C544B">
        <w:rPr>
          <w:rFonts w:ascii="Verdana" w:eastAsia="Calibri" w:hAnsi="Verdana" w:cs="Arial"/>
          <w:color w:val="000000" w:themeColor="text1"/>
          <w:sz w:val="21"/>
          <w:szCs w:val="21"/>
        </w:rPr>
        <w:t>, total o parcial, de una de las partes de la relación jurídica (contratante o contratista) por un tercero, que se subroga en los derechos y obligaciones de aquella, por medio de la modificación del contrato estatal originario. La cesión posibilita el reemplazo total o parcial de una parte en su posición contractual originaria, sin que sea precisa la transferencia individual de cuantos derechos y obligaciones conforman la universalidad jurídica a ceder […]”</w:t>
      </w:r>
      <w:r w:rsidRPr="004C544B">
        <w:rPr>
          <w:rStyle w:val="Refdenotaalpie"/>
          <w:rFonts w:ascii="Verdana" w:hAnsi="Verdana" w:cs="Arial"/>
          <w:color w:val="000000" w:themeColor="text1"/>
          <w:sz w:val="21"/>
          <w:szCs w:val="21"/>
        </w:rPr>
        <w:footnoteReference w:id="11"/>
      </w:r>
      <w:r w:rsidRPr="004C544B">
        <w:rPr>
          <w:rFonts w:ascii="Verdana" w:eastAsia="Calibri" w:hAnsi="Verdana" w:cs="Arial"/>
          <w:color w:val="000000" w:themeColor="text1"/>
          <w:sz w:val="21"/>
          <w:szCs w:val="21"/>
        </w:rPr>
        <w:t>.</w:t>
      </w:r>
    </w:p>
    <w:p w14:paraId="3F973906" w14:textId="77777777" w:rsidR="00C62CF2" w:rsidRPr="004C544B" w:rsidRDefault="00C62CF2" w:rsidP="00C62CF2">
      <w:pPr>
        <w:spacing w:after="0" w:line="276" w:lineRule="auto"/>
        <w:jc w:val="both"/>
        <w:rPr>
          <w:rFonts w:ascii="Verdana" w:eastAsia="Calibri" w:hAnsi="Verdana" w:cs="Arial"/>
          <w:color w:val="000000" w:themeColor="text1"/>
        </w:rPr>
      </w:pPr>
    </w:p>
    <w:p w14:paraId="27737745" w14:textId="77777777" w:rsidR="00C62CF2" w:rsidRPr="004C544B" w:rsidRDefault="00C62CF2" w:rsidP="00C62CF2">
      <w:pPr>
        <w:spacing w:after="120" w:line="276" w:lineRule="auto"/>
        <w:ind w:firstLine="709"/>
        <w:jc w:val="both"/>
        <w:rPr>
          <w:rFonts w:ascii="Verdana" w:eastAsia="Calibri" w:hAnsi="Verdana" w:cs="Arial"/>
          <w:bCs/>
          <w:color w:val="000000" w:themeColor="text1"/>
        </w:rPr>
      </w:pPr>
      <w:r w:rsidRPr="004C544B">
        <w:rPr>
          <w:rFonts w:ascii="Verdana" w:eastAsia="Calibri" w:hAnsi="Verdana" w:cs="Arial"/>
          <w:bCs/>
          <w:color w:val="000000" w:themeColor="text1"/>
        </w:rPr>
        <w:t xml:space="preserve">Autorizada previamente por la entidad cedida, esta forma de cesión requiere la suscripción de un contrato entre el cedente y el cesionario, por lo que es bilateral en la medida en que requiere un acuerdo voluntades. Con </w:t>
      </w:r>
      <w:r w:rsidRPr="004C544B">
        <w:rPr>
          <w:rFonts w:ascii="Verdana" w:eastAsia="Calibri" w:hAnsi="Verdana" w:cs="Arial"/>
          <w:bCs/>
          <w:color w:val="000000" w:themeColor="text1"/>
        </w:rPr>
        <w:lastRenderedPageBreak/>
        <w:t>fundamento en el mismo, el cesionario reemplaza –en todo o en parte– al contratista cedente en la ejecución del contrato estatal, respondiendo por el cumplimiento de las obligaciones frente a la Administración.</w:t>
      </w:r>
      <w:r w:rsidRPr="004C544B">
        <w:rPr>
          <w:rFonts w:ascii="Verdana" w:hAnsi="Verdana"/>
        </w:rPr>
        <w:t xml:space="preserve"> </w:t>
      </w:r>
      <w:r w:rsidRPr="004C544B">
        <w:rPr>
          <w:rFonts w:ascii="Verdana" w:eastAsia="Calibri" w:hAnsi="Verdana" w:cs="Arial"/>
          <w:bCs/>
          <w:color w:val="000000" w:themeColor="text1"/>
        </w:rPr>
        <w:t>El inciso primero del artículo 888 del Código de Comercio señala que “La sustitución podrá hacerse por escrito o verbalmente, según que el contrato conste o no por escrito”. Como el contrato estatal es solemne en los términos de los artículos 39 y 41 de la Ley 80 de 1993, se impone la forma escrita para cederlo</w:t>
      </w:r>
      <w:r w:rsidRPr="004C544B">
        <w:rPr>
          <w:rFonts w:ascii="Verdana" w:eastAsia="Calibri" w:hAnsi="Verdana" w:cs="Arial"/>
          <w:color w:val="000000" w:themeColor="text1"/>
        </w:rPr>
        <w:t xml:space="preserve">. </w:t>
      </w:r>
    </w:p>
    <w:p w14:paraId="13B34E9D" w14:textId="77777777" w:rsidR="00C62CF2" w:rsidRPr="004C544B" w:rsidRDefault="00C62CF2" w:rsidP="00C62CF2">
      <w:pPr>
        <w:tabs>
          <w:tab w:val="left" w:pos="709"/>
        </w:tabs>
        <w:spacing w:after="120" w:line="276" w:lineRule="auto"/>
        <w:jc w:val="both"/>
        <w:rPr>
          <w:rFonts w:ascii="Verdana" w:eastAsia="Calibri" w:hAnsi="Verdana" w:cs="Arial"/>
          <w:color w:val="000000" w:themeColor="text1"/>
        </w:rPr>
      </w:pPr>
      <w:bookmarkStart w:id="3" w:name="_Hlk80369799"/>
      <w:r w:rsidRPr="004C544B">
        <w:rPr>
          <w:rFonts w:ascii="Verdana" w:eastAsia="Calibri" w:hAnsi="Verdana" w:cs="Arial"/>
          <w:color w:val="000000" w:themeColor="text1"/>
        </w:rPr>
        <w:tab/>
        <w:t xml:space="preserve">Por lo demás, el Consejo de Estado ha precisado como requisitos de la cesión del contrato estatal los siguientes: i) debe recaer en un tercero; </w:t>
      </w:r>
      <w:proofErr w:type="spellStart"/>
      <w:r w:rsidRPr="004C544B">
        <w:rPr>
          <w:rFonts w:ascii="Verdana" w:eastAsia="Calibri" w:hAnsi="Verdana" w:cs="Arial"/>
          <w:color w:val="000000" w:themeColor="text1"/>
        </w:rPr>
        <w:t>ii</w:t>
      </w:r>
      <w:proofErr w:type="spellEnd"/>
      <w:r w:rsidRPr="004C544B">
        <w:rPr>
          <w:rFonts w:ascii="Verdana" w:eastAsia="Calibri" w:hAnsi="Verdana" w:cs="Arial"/>
          <w:color w:val="000000" w:themeColor="text1"/>
        </w:rPr>
        <w:t xml:space="preserve">) el cesionario debe tener capacidad jurídica para continuar con la ejecución del objeto contractual y no estar incurso en causales de inhabilidad e incompatibilidad para contratar; y </w:t>
      </w:r>
      <w:proofErr w:type="spellStart"/>
      <w:r w:rsidRPr="004C544B">
        <w:rPr>
          <w:rFonts w:ascii="Verdana" w:eastAsia="Calibri" w:hAnsi="Verdana" w:cs="Arial"/>
          <w:color w:val="000000" w:themeColor="text1"/>
        </w:rPr>
        <w:t>iii</w:t>
      </w:r>
      <w:proofErr w:type="spellEnd"/>
      <w:r w:rsidRPr="004C544B">
        <w:rPr>
          <w:rFonts w:ascii="Verdana" w:eastAsia="Calibri" w:hAnsi="Verdana" w:cs="Arial"/>
          <w:color w:val="000000" w:themeColor="text1"/>
        </w:rPr>
        <w:t>)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w:t>
      </w:r>
      <w:bookmarkStart w:id="4" w:name="_Hlk80369829"/>
      <w:bookmarkEnd w:id="3"/>
      <w:r w:rsidRPr="004C544B">
        <w:rPr>
          <w:rFonts w:ascii="Verdana" w:eastAsia="Calibri" w:hAnsi="Verdana" w:cs="Arial"/>
          <w:color w:val="000000" w:themeColor="text1"/>
        </w:rPr>
        <w:t>,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bookmarkEnd w:id="4"/>
      <w:r w:rsidRPr="004C544B">
        <w:rPr>
          <w:rFonts w:ascii="Verdana" w:eastAsia="Calibri" w:hAnsi="Verdana" w:cs="Arial"/>
          <w:color w:val="000000" w:themeColor="text1"/>
        </w:rPr>
        <w:t>”</w:t>
      </w:r>
      <w:r w:rsidRPr="004C544B">
        <w:rPr>
          <w:rStyle w:val="Refdenotaalpie"/>
          <w:rFonts w:ascii="Verdana" w:eastAsia="Calibri" w:hAnsi="Verdana" w:cs="Arial"/>
          <w:color w:val="000000" w:themeColor="text1"/>
        </w:rPr>
        <w:footnoteReference w:id="12"/>
      </w:r>
      <w:r w:rsidRPr="004C544B">
        <w:rPr>
          <w:rFonts w:ascii="Verdana" w:eastAsia="Calibri" w:hAnsi="Verdana" w:cs="Arial"/>
          <w:color w:val="000000" w:themeColor="text1"/>
        </w:rPr>
        <w:t>.</w:t>
      </w:r>
    </w:p>
    <w:p w14:paraId="60DB8785" w14:textId="77777777" w:rsidR="00C62CF2" w:rsidRPr="004C544B" w:rsidRDefault="00C62CF2" w:rsidP="00C62CF2">
      <w:pPr>
        <w:tabs>
          <w:tab w:val="left" w:pos="709"/>
        </w:tabs>
        <w:spacing w:after="120" w:line="276" w:lineRule="auto"/>
        <w:ind w:firstLine="709"/>
        <w:jc w:val="both"/>
        <w:rPr>
          <w:rFonts w:ascii="Verdana" w:eastAsia="Calibri" w:hAnsi="Verdana" w:cs="Arial"/>
          <w:color w:val="000000" w:themeColor="text1"/>
        </w:rPr>
      </w:pPr>
      <w:bookmarkStart w:id="5" w:name="_Hlk80369857"/>
      <w:r w:rsidRPr="004C544B">
        <w:rPr>
          <w:rFonts w:ascii="Verdana" w:eastAsia="Calibri" w:hAnsi="Verdana" w:cs="Arial"/>
          <w:color w:val="000000" w:themeColor="text1"/>
        </w:rPr>
        <w:t>Por lo tanto, la entidad estatal en el trámite de autorización de una cesión de posición contractual está obligada a respetar y dar cabal cumplimiento a los principios y normas rectoras de la contratación pública que resulten aplicables al proceso de contratación, entre otros, los principios de transparencia, selección objetiva e igualdad. En otros términos, so pretexto de una cesión contractual, no pueden vulnerarse las reglas y principios de la contratación estatal.</w:t>
      </w:r>
    </w:p>
    <w:bookmarkEnd w:id="5"/>
    <w:p w14:paraId="60EAD2C7" w14:textId="77777777" w:rsidR="00C62CF2" w:rsidRPr="004C544B" w:rsidRDefault="00C62CF2" w:rsidP="00C62CF2">
      <w:pPr>
        <w:tabs>
          <w:tab w:val="left" w:pos="709"/>
        </w:tabs>
        <w:spacing w:after="0" w:line="276" w:lineRule="auto"/>
        <w:ind w:firstLine="709"/>
        <w:jc w:val="both"/>
        <w:rPr>
          <w:rFonts w:ascii="Verdana" w:eastAsia="Calibri" w:hAnsi="Verdana" w:cs="Arial"/>
          <w:color w:val="000000" w:themeColor="text1"/>
        </w:rPr>
      </w:pPr>
      <w:r w:rsidRPr="004C544B">
        <w:rPr>
          <w:rFonts w:ascii="Verdana" w:eastAsia="Calibri" w:hAnsi="Verdana" w:cs="Arial"/>
          <w:color w:val="000000" w:themeColor="text1"/>
        </w:rPr>
        <w:t xml:space="preserve">Además, el inciso primero del artículo 9 de la Ley 80 de 1993, establece una importante previsión en materia de cesión del contrato estatal, conforme a la cual “Si llegare a sobrevenir inhabilidad o incompatibilidad en el contratista, </w:t>
      </w:r>
      <w:r w:rsidRPr="004C544B">
        <w:rPr>
          <w:rFonts w:ascii="Verdana" w:eastAsia="Calibri" w:hAnsi="Verdana" w:cs="Arial"/>
          <w:color w:val="000000" w:themeColor="text1"/>
        </w:rPr>
        <w:lastRenderedPageBreak/>
        <w:t>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 En esta última hipótesis, para la doctrina no existe un tercero como requisito de la cesión, y agrega lo siguiente:</w:t>
      </w:r>
    </w:p>
    <w:p w14:paraId="2BA517DA" w14:textId="77777777" w:rsidR="00C62CF2" w:rsidRPr="004C544B" w:rsidRDefault="00C62CF2" w:rsidP="00C62CF2">
      <w:pPr>
        <w:tabs>
          <w:tab w:val="left" w:pos="709"/>
        </w:tabs>
        <w:spacing w:after="0" w:line="276" w:lineRule="auto"/>
        <w:jc w:val="both"/>
        <w:rPr>
          <w:rFonts w:ascii="Verdana" w:eastAsia="Calibri" w:hAnsi="Verdana" w:cs="Arial"/>
          <w:color w:val="000000" w:themeColor="text1"/>
        </w:rPr>
      </w:pPr>
    </w:p>
    <w:p w14:paraId="7790CDD3" w14:textId="77777777" w:rsidR="00C62CF2" w:rsidRPr="004C544B" w:rsidRDefault="00C62CF2" w:rsidP="00C62CF2">
      <w:pPr>
        <w:tabs>
          <w:tab w:val="left" w:pos="709"/>
        </w:tabs>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supóngase que no existiera la restricción aludida; en este caso tampoco es válida la cesión en un integrante de un consorcio o unión temporal dado que los consorcios o uniones temporales no tienen personalidad jurídica, sino solo capacidad para celebrar contratos estatales, en virtud de la habilitación contenida en el artículo 6 de la Ley 80 de 1993. En estos casos se está en presencia, por tanto, de un contratista plural; esto es, la calidad de contratista se predica de cada uno de los integrantes del consorcio o unión temporal, de allí que […] no es válida la cesión en el propio contratista”</w:t>
      </w:r>
      <w:r w:rsidRPr="004C544B">
        <w:rPr>
          <w:rStyle w:val="Refdenotaalpie"/>
          <w:rFonts w:ascii="Verdana" w:eastAsia="Calibri" w:hAnsi="Verdana" w:cs="Arial"/>
          <w:color w:val="000000" w:themeColor="text1"/>
          <w:sz w:val="21"/>
          <w:szCs w:val="21"/>
        </w:rPr>
        <w:footnoteReference w:id="13"/>
      </w:r>
      <w:r w:rsidRPr="004C544B">
        <w:rPr>
          <w:rFonts w:ascii="Verdana" w:eastAsia="Calibri" w:hAnsi="Verdana" w:cs="Arial"/>
          <w:color w:val="000000" w:themeColor="text1"/>
          <w:sz w:val="21"/>
          <w:szCs w:val="21"/>
        </w:rPr>
        <w:t xml:space="preserve">.   </w:t>
      </w:r>
    </w:p>
    <w:p w14:paraId="09350A5F" w14:textId="77777777" w:rsidR="00C62CF2" w:rsidRPr="004C544B" w:rsidRDefault="00C62CF2" w:rsidP="00C62CF2">
      <w:pPr>
        <w:tabs>
          <w:tab w:val="left" w:pos="709"/>
        </w:tabs>
        <w:spacing w:after="0" w:line="276" w:lineRule="auto"/>
        <w:ind w:firstLine="709"/>
        <w:jc w:val="both"/>
        <w:rPr>
          <w:rFonts w:ascii="Verdana" w:eastAsia="Calibri" w:hAnsi="Verdana" w:cs="Arial"/>
          <w:color w:val="000000" w:themeColor="text1"/>
        </w:rPr>
      </w:pPr>
    </w:p>
    <w:p w14:paraId="52DB9595" w14:textId="77777777" w:rsidR="00C62CF2" w:rsidRDefault="00C62CF2" w:rsidP="00C62CF2">
      <w:pPr>
        <w:spacing w:line="276" w:lineRule="auto"/>
        <w:ind w:right="51" w:firstLine="709"/>
        <w:jc w:val="both"/>
        <w:rPr>
          <w:rFonts w:ascii="Verdana" w:eastAsia="Calibri" w:hAnsi="Verdana" w:cs="Arial"/>
          <w:color w:val="000000" w:themeColor="text1"/>
        </w:rPr>
      </w:pPr>
      <w:bookmarkStart w:id="6" w:name="_Hlk79797430"/>
      <w:r>
        <w:rPr>
          <w:rFonts w:ascii="Verdana" w:eastAsia="Calibri" w:hAnsi="Verdana" w:cs="Arial"/>
          <w:color w:val="000000" w:themeColor="text1"/>
        </w:rPr>
        <w:t xml:space="preserve">De esta manera, si está prohibida la cesión entre quienes integren el proponente plural, significa que está permitida la cesión de sus integrantes a un tercero distinto a los miembros del consorcio o la unión temporal. Esto no es más que la aplicación del argumento </w:t>
      </w:r>
      <w:r w:rsidRPr="00E377B4">
        <w:rPr>
          <w:rFonts w:ascii="Verdana" w:eastAsia="Calibri" w:hAnsi="Verdana" w:cs="Arial"/>
          <w:i/>
          <w:iCs/>
          <w:color w:val="000000" w:themeColor="text1"/>
        </w:rPr>
        <w:t>a contrario</w:t>
      </w:r>
      <w:r>
        <w:rPr>
          <w:rFonts w:ascii="Verdana" w:eastAsia="Calibri" w:hAnsi="Verdana" w:cs="Arial"/>
          <w:color w:val="000000" w:themeColor="text1"/>
        </w:rPr>
        <w:t xml:space="preserve">, criterio hermenéutico por el cual </w:t>
      </w:r>
      <w:r w:rsidRPr="003A34AF">
        <w:rPr>
          <w:rFonts w:ascii="Verdana" w:eastAsia="Calibri" w:hAnsi="Verdana" w:cs="Arial"/>
          <w:color w:val="000000" w:themeColor="text1"/>
        </w:rPr>
        <w:t>“[…] dado un enunciado normativo que predica una cualificación normativa respecto a un término en él incluido que está por un sujeto o una clase de sujetos, debe evitarse extender el significado de ese término de modo tal que llegue a comprender a sujetos o clases de sujetos no estricta y literalmente incluidos en él de conformidad con el primer enunciado normativo</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14"/>
      </w:r>
      <w:r w:rsidRPr="003A34AF">
        <w:rPr>
          <w:rFonts w:ascii="Verdana" w:eastAsia="Calibri" w:hAnsi="Verdana" w:cs="Arial"/>
          <w:color w:val="000000" w:themeColor="text1"/>
        </w:rPr>
        <w:t>.</w:t>
      </w:r>
      <w:r>
        <w:rPr>
          <w:rFonts w:ascii="Verdana" w:eastAsia="Calibri" w:hAnsi="Verdana" w:cs="Arial"/>
          <w:color w:val="000000" w:themeColor="text1"/>
        </w:rPr>
        <w:t xml:space="preserve"> </w:t>
      </w:r>
    </w:p>
    <w:p w14:paraId="4D066260" w14:textId="77777777" w:rsidR="00C62CF2" w:rsidRPr="003A34AF" w:rsidRDefault="00C62CF2" w:rsidP="00C62CF2">
      <w:pPr>
        <w:spacing w:line="276" w:lineRule="auto"/>
        <w:ind w:right="51" w:firstLine="709"/>
        <w:jc w:val="both"/>
        <w:rPr>
          <w:rFonts w:ascii="Verdana" w:eastAsia="Calibri" w:hAnsi="Verdana" w:cs="Arial"/>
          <w:color w:val="000000" w:themeColor="text1"/>
          <w:sz w:val="20"/>
          <w:szCs w:val="20"/>
        </w:rPr>
      </w:pPr>
      <w:r>
        <w:rPr>
          <w:rFonts w:ascii="Verdana" w:eastAsia="Calibri" w:hAnsi="Verdana" w:cs="Arial"/>
          <w:color w:val="000000" w:themeColor="text1"/>
        </w:rPr>
        <w:t xml:space="preserve">Por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Siempre que se cumpla este criterio mínimo, la entidad podrá valorar si el tercero cesionario debe tener las </w:t>
      </w:r>
      <w:r>
        <w:rPr>
          <w:rFonts w:ascii="Verdana" w:eastAsia="Calibri" w:hAnsi="Verdana" w:cs="Arial"/>
          <w:color w:val="000000" w:themeColor="text1"/>
        </w:rPr>
        <w:lastRenderedPageBreak/>
        <w:t>mismas o mayores aptitudes que el contratista cedente, pues la autorización para ceder es una potestad de naturaleza discrecional</w:t>
      </w:r>
      <w:r>
        <w:rPr>
          <w:rStyle w:val="Refdenotaalpie"/>
          <w:rFonts w:ascii="Verdana" w:eastAsia="Calibri" w:hAnsi="Verdana" w:cs="Arial"/>
          <w:color w:val="000000" w:themeColor="text1"/>
        </w:rPr>
        <w:footnoteReference w:id="15"/>
      </w:r>
      <w:r>
        <w:rPr>
          <w:rFonts w:ascii="Verdana" w:eastAsia="Calibri" w:hAnsi="Verdana" w:cs="Arial"/>
          <w:color w:val="000000" w:themeColor="text1"/>
        </w:rPr>
        <w:t xml:space="preserve">.   </w:t>
      </w:r>
    </w:p>
    <w:p w14:paraId="08F8D046" w14:textId="77777777" w:rsidR="00C62CF2" w:rsidRPr="004C544B" w:rsidRDefault="00C62CF2" w:rsidP="00C62CF2">
      <w:pPr>
        <w:spacing w:line="276" w:lineRule="auto"/>
        <w:ind w:right="51" w:firstLine="709"/>
        <w:jc w:val="both"/>
        <w:rPr>
          <w:rFonts w:ascii="Verdana" w:eastAsia="Calibri" w:hAnsi="Verdana" w:cs="Arial"/>
          <w:color w:val="000000" w:themeColor="text1"/>
        </w:rPr>
      </w:pPr>
      <w:r w:rsidRPr="004C544B">
        <w:rPr>
          <w:rFonts w:ascii="Verdana" w:eastAsia="Calibri" w:hAnsi="Verdana" w:cs="Arial"/>
          <w:color w:val="000000" w:themeColor="text1"/>
        </w:rPr>
        <w:t xml:space="preserve">En suma, la Ley 80 de 1993 no reguló en su integridad la cesión del contrato, como tampoco lo hizo el Código Civil en el que se consagra la figura de la cesión de créditos –arts. 1959 y ss.–. En cambio, </w:t>
      </w:r>
      <w:bookmarkStart w:id="7" w:name="_Hlk79799730"/>
      <w:r w:rsidRPr="004C544B">
        <w:rPr>
          <w:rFonts w:ascii="Verdana" w:eastAsia="Calibri" w:hAnsi="Verdana" w:cs="Arial"/>
          <w:color w:val="000000" w:themeColor="text1"/>
        </w:rPr>
        <w:t xml:space="preserve">los artículos 887 a 896 </w:t>
      </w:r>
      <w:bookmarkEnd w:id="7"/>
      <w:r w:rsidRPr="004C544B">
        <w:rPr>
          <w:rFonts w:ascii="Verdana" w:eastAsia="Calibri" w:hAnsi="Verdana" w:cs="Arial"/>
          <w:color w:val="000000" w:themeColor="text1"/>
        </w:rPr>
        <w:t>del Código de Comercio definen la cesión del contrato. Por consiguiente, resultan aplicables las normas del derecho civil y comercial pertinentes, sobre cesión del crédito y cesión de contratos respectivamente, salvo en las materias particularmente reguladas por el Estatuto General de Contratación de la Administración Pública, como lo señala el artículo 13 de la Ley 80 de 1993.</w:t>
      </w:r>
      <w:r w:rsidRPr="004C544B">
        <w:rPr>
          <w:rFonts w:ascii="Verdana" w:hAnsi="Verdana" w:cs="Arial"/>
          <w:color w:val="000000" w:themeColor="text1"/>
        </w:rPr>
        <w:t xml:space="preserve"> </w:t>
      </w:r>
    </w:p>
    <w:bookmarkEnd w:id="6"/>
    <w:p w14:paraId="4C5AC746" w14:textId="77777777" w:rsidR="00C62CF2" w:rsidRPr="00DE5DE4" w:rsidRDefault="00C62CF2" w:rsidP="00C62CF2">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De conformidad con los requisitos y las restricciones explicadas </w:t>
      </w:r>
      <w:r w:rsidRPr="004C544B">
        <w:rPr>
          <w:rFonts w:ascii="Verdana" w:eastAsia="Calibri" w:hAnsi="Verdana" w:cs="Arial"/>
          <w:i/>
          <w:iCs/>
          <w:color w:val="000000" w:themeColor="text1"/>
        </w:rPr>
        <w:t>ut supra</w:t>
      </w:r>
      <w:r w:rsidRPr="004C544B">
        <w:rPr>
          <w:rFonts w:ascii="Verdana" w:eastAsia="Calibri" w:hAnsi="Verdana" w:cs="Arial"/>
          <w:color w:val="000000" w:themeColor="text1"/>
        </w:rPr>
        <w:t>, en los contratos estatales cuya ejecución aún no haya sido cumplida en todo o en parte, el contratista podrá hacerse sustituir por un tercero en la relación derivada del contrato, quien en adelante ocupará su posición jurídica.</w:t>
      </w:r>
      <w:r w:rsidRPr="004C544B">
        <w:rPr>
          <w:rFonts w:ascii="Verdana" w:hAnsi="Verdana" w:cs="Arial"/>
          <w:color w:val="000000" w:themeColor="text1"/>
        </w:rPr>
        <w:t xml:space="preserve"> Es una de las posibilidades en las cuales existe una modificación de uno de los extremos de la relación contractual, es decir de uno de los sujetos, siempre que sea autorizada previamente por la entidad cedida, en cuyo caso requiere la suscripción de un contrato entre el cedente y el cesionario, de manera que es de carácter bilateral en la medida en que es el resultado de un acuerdo voluntades. Con fundamento en el contrato de cesión, el cesionario reemplaza –en todo o en parte– al contratista cedente en la ejecución del contrato estatal, respondiendo por el cumplimiento de las obligaciones frente a la Administración.</w:t>
      </w:r>
    </w:p>
    <w:p w14:paraId="519BAAF6" w14:textId="77777777" w:rsidR="00C62CF2" w:rsidRPr="006426E8" w:rsidRDefault="00C62CF2" w:rsidP="00C62CF2">
      <w:pPr>
        <w:spacing w:after="120" w:line="276" w:lineRule="auto"/>
        <w:jc w:val="both"/>
        <w:rPr>
          <w:rFonts w:ascii="Verdana" w:eastAsia="Arial" w:hAnsi="Verdana" w:cs="Arial"/>
        </w:rPr>
      </w:pPr>
      <w:r>
        <w:rPr>
          <w:rFonts w:ascii="Verdana" w:eastAsia="Arial" w:hAnsi="Verdana" w:cs="Arial"/>
        </w:rPr>
        <w:t xml:space="preserve">       Así las cosas y en relación al problema jurídico planteado y </w:t>
      </w:r>
      <w:r>
        <w:rPr>
          <w:rFonts w:ascii="Verdana" w:eastAsia="Calibri" w:hAnsi="Verdana" w:cs="Arial"/>
          <w:color w:val="000000"/>
        </w:rPr>
        <w:t>t</w:t>
      </w:r>
      <w:r w:rsidRPr="00FB5A4C">
        <w:rPr>
          <w:rFonts w:ascii="Verdana" w:eastAsia="Calibri" w:hAnsi="Verdana" w:cs="Arial"/>
          <w:color w:val="000000"/>
        </w:rPr>
        <w:t>eniendo en cuenta que las</w:t>
      </w:r>
      <w:r>
        <w:rPr>
          <w:rFonts w:ascii="Verdana" w:eastAsia="Calibri" w:hAnsi="Verdana" w:cs="Arial"/>
          <w:color w:val="000000"/>
        </w:rPr>
        <w:t xml:space="preserve"> Empresas Sociales del Estado tienen un régimen especial, </w:t>
      </w:r>
      <w:r w:rsidRPr="00FB5A4C">
        <w:rPr>
          <w:rFonts w:ascii="Verdana" w:eastAsia="Calibri" w:hAnsi="Verdana" w:cs="Arial"/>
          <w:color w:val="000000"/>
        </w:rPr>
        <w:t xml:space="preserve">son autónomas y responsables de la </w:t>
      </w:r>
      <w:r w:rsidRPr="0061237B">
        <w:rPr>
          <w:rFonts w:ascii="Verdana" w:eastAsia="Calibri" w:hAnsi="Verdana" w:cs="Arial"/>
          <w:color w:val="000000"/>
        </w:rPr>
        <w:t xml:space="preserve">estructuración de sus Procesos de Contratación, y las partes están en libertad de convenir las cláusulas o estipulaciones del contrato según sus necesidades y conveniencia, en el entendido </w:t>
      </w:r>
      <w:r>
        <w:rPr>
          <w:rFonts w:ascii="Verdana" w:eastAsia="Calibri" w:hAnsi="Verdana" w:cs="Arial"/>
          <w:color w:val="000000"/>
        </w:rPr>
        <w:t xml:space="preserve">de </w:t>
      </w:r>
      <w:r w:rsidRPr="0061237B">
        <w:rPr>
          <w:rFonts w:ascii="Verdana" w:eastAsia="Calibri" w:hAnsi="Verdana" w:cs="Arial"/>
          <w:color w:val="000000"/>
        </w:rPr>
        <w:t>que</w:t>
      </w:r>
      <w:r>
        <w:rPr>
          <w:rFonts w:ascii="Verdana" w:eastAsia="Calibri" w:hAnsi="Verdana" w:cs="Arial"/>
          <w:color w:val="000000"/>
        </w:rPr>
        <w:t>,</w:t>
      </w:r>
      <w:r w:rsidRPr="0061237B">
        <w:rPr>
          <w:rFonts w:ascii="Verdana" w:eastAsia="Calibri" w:hAnsi="Verdana" w:cs="Arial"/>
          <w:color w:val="000000"/>
        </w:rPr>
        <w:t xml:space="preserve"> </w:t>
      </w:r>
      <w:r w:rsidRPr="0061237B">
        <w:rPr>
          <w:rFonts w:ascii="Verdana" w:eastAsia="Calibri" w:hAnsi="Verdana" w:cs="Arial"/>
          <w:i/>
          <w:color w:val="000000"/>
        </w:rPr>
        <w:t xml:space="preserve">si </w:t>
      </w:r>
      <w:r w:rsidRPr="00FA55E5">
        <w:rPr>
          <w:rFonts w:ascii="Verdana" w:eastAsia="Calibri" w:hAnsi="Verdana" w:cs="Arial"/>
          <w:i/>
          <w:color w:val="000000"/>
        </w:rPr>
        <w:t xml:space="preserve">para la cesión de un contrato o la </w:t>
      </w:r>
      <w:r>
        <w:rPr>
          <w:rFonts w:ascii="Verdana" w:eastAsia="Calibri" w:hAnsi="Verdana" w:cs="Arial"/>
          <w:i/>
          <w:color w:val="000000"/>
        </w:rPr>
        <w:t>cesión del porcentaje de participación en una</w:t>
      </w:r>
      <w:r w:rsidRPr="00FA55E5">
        <w:rPr>
          <w:rFonts w:ascii="Verdana" w:eastAsia="Calibri" w:hAnsi="Verdana" w:cs="Arial"/>
          <w:i/>
          <w:color w:val="000000"/>
        </w:rPr>
        <w:t xml:space="preserve"> estructura plural</w:t>
      </w:r>
      <w:r>
        <w:rPr>
          <w:rFonts w:ascii="Verdana" w:eastAsia="Calibri" w:hAnsi="Verdana" w:cs="Arial"/>
          <w:i/>
          <w:color w:val="000000"/>
        </w:rPr>
        <w:t xml:space="preserve">, sea un consorcio o unión temporal, </w:t>
      </w:r>
      <w:r w:rsidRPr="00FA55E5">
        <w:rPr>
          <w:rFonts w:ascii="Verdana" w:eastAsia="Calibri" w:hAnsi="Verdana" w:cs="Arial"/>
          <w:i/>
          <w:color w:val="000000"/>
        </w:rPr>
        <w:t>es necesario que dicha situación se haya previsto en el manual de contratación, procesos y</w:t>
      </w:r>
      <w:r>
        <w:rPr>
          <w:rFonts w:ascii="Verdana" w:eastAsia="Calibri" w:hAnsi="Verdana" w:cs="Arial"/>
          <w:i/>
          <w:color w:val="000000"/>
        </w:rPr>
        <w:t>/</w:t>
      </w:r>
      <w:r w:rsidRPr="00FA55E5">
        <w:rPr>
          <w:rFonts w:ascii="Verdana" w:eastAsia="Calibri" w:hAnsi="Verdana" w:cs="Arial"/>
          <w:i/>
          <w:color w:val="000000"/>
        </w:rPr>
        <w:t>o procedimientos de la entidad</w:t>
      </w:r>
      <w:r>
        <w:rPr>
          <w:rFonts w:ascii="Verdana" w:eastAsia="Calibri" w:hAnsi="Verdana" w:cs="Arial"/>
          <w:i/>
          <w:color w:val="000000"/>
        </w:rPr>
        <w:t xml:space="preserve"> o en el</w:t>
      </w:r>
      <w:r w:rsidRPr="00FA55E5">
        <w:rPr>
          <w:rFonts w:ascii="Verdana" w:eastAsia="Calibri" w:hAnsi="Verdana" w:cs="Arial"/>
          <w:i/>
          <w:color w:val="000000"/>
        </w:rPr>
        <w:t xml:space="preserve"> contrato </w:t>
      </w:r>
      <w:r>
        <w:rPr>
          <w:rFonts w:ascii="Verdana" w:eastAsia="Calibri" w:hAnsi="Verdana" w:cs="Arial"/>
          <w:i/>
          <w:color w:val="000000"/>
        </w:rPr>
        <w:t>de</w:t>
      </w:r>
      <w:r w:rsidRPr="00FA55E5">
        <w:rPr>
          <w:rFonts w:ascii="Verdana" w:eastAsia="Calibri" w:hAnsi="Verdana" w:cs="Arial"/>
          <w:i/>
          <w:color w:val="000000"/>
        </w:rPr>
        <w:t xml:space="preserve"> forma clara</w:t>
      </w:r>
      <w:r w:rsidRPr="0061237B">
        <w:rPr>
          <w:rFonts w:ascii="Verdana" w:eastAsia="Calibri" w:hAnsi="Verdana" w:cs="Arial"/>
          <w:i/>
          <w:color w:val="000000"/>
        </w:rPr>
        <w:t>.</w:t>
      </w:r>
      <w:r w:rsidRPr="0061237B">
        <w:rPr>
          <w:rFonts w:ascii="Verdana" w:eastAsia="Calibri" w:hAnsi="Verdana" w:cs="Arial"/>
          <w:color w:val="000000"/>
        </w:rPr>
        <w:t xml:space="preserve"> </w:t>
      </w:r>
      <w:r w:rsidRPr="0061237B">
        <w:rPr>
          <w:rFonts w:ascii="Verdana" w:eastAsia="Times New Roman" w:hAnsi="Verdana" w:cs="Arial"/>
          <w:color w:val="000000"/>
          <w:lang w:val="es-ES_tradnl"/>
        </w:rPr>
        <w:t xml:space="preserve">Así pues, las </w:t>
      </w:r>
      <w:r>
        <w:rPr>
          <w:rFonts w:ascii="Verdana" w:eastAsia="Times New Roman" w:hAnsi="Verdana" w:cs="Arial"/>
          <w:color w:val="000000"/>
          <w:lang w:val="es-ES_tradnl"/>
        </w:rPr>
        <w:t>E</w:t>
      </w:r>
      <w:r w:rsidRPr="0061237B">
        <w:rPr>
          <w:rFonts w:ascii="Verdana" w:eastAsia="Times New Roman" w:hAnsi="Verdana" w:cs="Arial"/>
          <w:color w:val="000000"/>
          <w:lang w:val="es-ES_tradnl"/>
        </w:rPr>
        <w:t xml:space="preserve">mpresas </w:t>
      </w:r>
      <w:r>
        <w:rPr>
          <w:rFonts w:ascii="Verdana" w:eastAsia="Times New Roman" w:hAnsi="Verdana" w:cs="Arial"/>
          <w:color w:val="000000"/>
          <w:lang w:val="es-ES_tradnl"/>
        </w:rPr>
        <w:t>S</w:t>
      </w:r>
      <w:r w:rsidRPr="0061237B">
        <w:rPr>
          <w:rFonts w:ascii="Verdana" w:eastAsia="Times New Roman" w:hAnsi="Verdana" w:cs="Arial"/>
          <w:color w:val="000000"/>
          <w:lang w:val="es-ES_tradnl"/>
        </w:rPr>
        <w:t>ociales del Estado como</w:t>
      </w:r>
      <w:r w:rsidRPr="00FB5A4C">
        <w:rPr>
          <w:rFonts w:ascii="Verdana" w:eastAsia="Times New Roman" w:hAnsi="Verdana" w:cs="Arial"/>
          <w:color w:val="000000"/>
          <w:lang w:val="es-ES_tradnl"/>
        </w:rPr>
        <w:t xml:space="preserve"> entidades de régimen especial pueden estipular en su clausulado contractual, </w:t>
      </w:r>
      <w:r>
        <w:rPr>
          <w:rFonts w:ascii="Verdana" w:eastAsia="Times New Roman" w:hAnsi="Verdana" w:cs="Arial"/>
          <w:color w:val="000000"/>
          <w:lang w:val="es-ES_tradnl"/>
        </w:rPr>
        <w:t>ese tipo de modificaciones</w:t>
      </w:r>
      <w:r w:rsidRPr="00FB5A4C">
        <w:rPr>
          <w:rFonts w:ascii="Verdana" w:eastAsia="Times New Roman" w:hAnsi="Verdana" w:cs="Arial"/>
          <w:color w:val="000000"/>
          <w:lang w:val="es-ES_tradnl"/>
        </w:rPr>
        <w:t>.</w:t>
      </w:r>
    </w:p>
    <w:p w14:paraId="5BFA73BC" w14:textId="77777777" w:rsidR="00C62CF2" w:rsidRPr="00FA55E5" w:rsidRDefault="00C62CF2" w:rsidP="00C62CF2">
      <w:pPr>
        <w:spacing w:after="120" w:line="276" w:lineRule="auto"/>
        <w:ind w:right="51" w:firstLine="709"/>
        <w:jc w:val="both"/>
        <w:rPr>
          <w:rFonts w:ascii="Verdana" w:eastAsia="Calibri" w:hAnsi="Verdana" w:cs="Arial"/>
          <w:color w:val="000000" w:themeColor="text1"/>
          <w:sz w:val="20"/>
          <w:szCs w:val="20"/>
        </w:rPr>
      </w:pPr>
      <w:r w:rsidRPr="00D765EB">
        <w:rPr>
          <w:rFonts w:ascii="Verdana" w:eastAsia="Times New Roman" w:hAnsi="Verdana" w:cs="Arial"/>
          <w:color w:val="000000"/>
          <w:lang w:val="es-ES_tradnl"/>
        </w:rPr>
        <w:lastRenderedPageBreak/>
        <w:t xml:space="preserve">Cabe precisar que, como consecuencia de la cesión del contrato o la </w:t>
      </w:r>
      <w:r>
        <w:rPr>
          <w:rFonts w:ascii="Verdana" w:eastAsia="Times New Roman" w:hAnsi="Verdana" w:cs="Arial"/>
          <w:color w:val="000000"/>
          <w:lang w:val="es-ES_tradnl"/>
        </w:rPr>
        <w:t xml:space="preserve">cesión en la </w:t>
      </w:r>
      <w:r w:rsidRPr="00D765EB">
        <w:rPr>
          <w:rFonts w:ascii="Verdana" w:eastAsia="Times New Roman" w:hAnsi="Verdana" w:cs="Arial"/>
          <w:color w:val="000000"/>
          <w:lang w:val="es-ES_tradnl"/>
        </w:rPr>
        <w:t xml:space="preserve">participación </w:t>
      </w:r>
      <w:r>
        <w:rPr>
          <w:rFonts w:ascii="Verdana" w:eastAsia="Times New Roman" w:hAnsi="Verdana" w:cs="Arial"/>
          <w:color w:val="000000"/>
          <w:lang w:val="es-ES_tradnl"/>
        </w:rPr>
        <w:t>de</w:t>
      </w:r>
      <w:r w:rsidRPr="00D765EB">
        <w:rPr>
          <w:rFonts w:ascii="Verdana" w:eastAsia="Times New Roman" w:hAnsi="Verdana" w:cs="Arial"/>
          <w:color w:val="000000"/>
          <w:lang w:val="es-ES_tradnl"/>
        </w:rPr>
        <w:t xml:space="preserve"> la estructura plural</w:t>
      </w:r>
      <w:r>
        <w:rPr>
          <w:rFonts w:ascii="Verdana" w:eastAsia="Times New Roman" w:hAnsi="Verdana" w:cs="Arial"/>
          <w:color w:val="000000"/>
          <w:lang w:val="es-ES_tradnl"/>
        </w:rPr>
        <w:t xml:space="preserve"> del contratista</w:t>
      </w:r>
      <w:r w:rsidRPr="00D765EB">
        <w:rPr>
          <w:rFonts w:ascii="Verdana" w:eastAsia="Times New Roman" w:hAnsi="Verdana" w:cs="Arial"/>
          <w:color w:val="000000"/>
          <w:lang w:val="es-ES_tradnl"/>
        </w:rPr>
        <w:t xml:space="preserve">, se produce una sustitución de derechos y obligaciones. Una vez aprobada </w:t>
      </w:r>
      <w:r>
        <w:rPr>
          <w:rFonts w:ascii="Verdana" w:eastAsia="Times New Roman" w:hAnsi="Verdana" w:cs="Arial"/>
          <w:color w:val="000000"/>
          <w:lang w:val="es-ES_tradnl"/>
        </w:rPr>
        <w:t xml:space="preserve">o autorizada </w:t>
      </w:r>
      <w:r w:rsidRPr="00D765EB">
        <w:rPr>
          <w:rFonts w:ascii="Verdana" w:eastAsia="Times New Roman" w:hAnsi="Verdana" w:cs="Arial"/>
          <w:color w:val="000000"/>
          <w:lang w:val="es-ES_tradnl"/>
        </w:rPr>
        <w:t>la cesión, dicho cesionario asume íntegramente las obligaciones contractuales, incluidas</w:t>
      </w:r>
      <w:r>
        <w:rPr>
          <w:rFonts w:ascii="Verdana" w:eastAsia="Times New Roman" w:hAnsi="Verdana" w:cs="Arial"/>
          <w:color w:val="000000"/>
          <w:lang w:val="es-ES_tradnl"/>
        </w:rPr>
        <w:t xml:space="preserve"> </w:t>
      </w:r>
      <w:r w:rsidRPr="00D765EB">
        <w:rPr>
          <w:rFonts w:ascii="Verdana" w:eastAsia="Times New Roman" w:hAnsi="Verdana" w:cs="Arial"/>
          <w:color w:val="000000"/>
          <w:lang w:val="es-ES_tradnl"/>
        </w:rPr>
        <w:t>las garantías y responsabilidades frente a la entidad contratante.</w:t>
      </w:r>
      <w:r w:rsidRPr="004814A7">
        <w:rPr>
          <w:rFonts w:ascii="Verdana" w:eastAsia="Times New Roman" w:hAnsi="Verdana" w:cs="Arial"/>
          <w:color w:val="000000"/>
          <w:lang w:val="es-ES_tradnl"/>
        </w:rPr>
        <w:t xml:space="preserve"> </w:t>
      </w:r>
      <w:r>
        <w:rPr>
          <w:rFonts w:ascii="Verdana" w:eastAsia="Times New Roman" w:hAnsi="Verdana" w:cs="Arial"/>
          <w:color w:val="000000"/>
          <w:lang w:val="es-ES_tradnl"/>
        </w:rPr>
        <w:t>En consecuencia, corresponde</w:t>
      </w:r>
      <w:r w:rsidRPr="006F297B">
        <w:rPr>
          <w:rFonts w:ascii="Verdana" w:eastAsia="Times New Roman" w:hAnsi="Verdana" w:cs="Arial"/>
          <w:color w:val="000000"/>
          <w:lang w:val="es-ES_tradnl"/>
        </w:rPr>
        <w:t xml:space="preserve"> a la entidad contratante verificar el cumplimiento de los requisitos jurídicos, técnicos, económicos y financieros; la forma en que las partes acuerdan los derechos y obligaciones cedidos</w:t>
      </w:r>
      <w:r>
        <w:rPr>
          <w:rFonts w:ascii="Verdana" w:eastAsia="Times New Roman" w:hAnsi="Verdana" w:cs="Arial"/>
          <w:color w:val="000000"/>
          <w:lang w:val="es-ES_tradnl"/>
        </w:rPr>
        <w:t>, p</w:t>
      </w:r>
      <w:proofErr w:type="spellStart"/>
      <w:r>
        <w:rPr>
          <w:rFonts w:ascii="Verdana" w:eastAsia="Calibri" w:hAnsi="Verdana" w:cs="Arial"/>
          <w:color w:val="000000" w:themeColor="text1"/>
        </w:rPr>
        <w:t>or</w:t>
      </w:r>
      <w:proofErr w:type="spellEnd"/>
      <w:r>
        <w:rPr>
          <w:rFonts w:ascii="Verdana" w:eastAsia="Calibri" w:hAnsi="Verdana" w:cs="Arial"/>
          <w:color w:val="000000" w:themeColor="text1"/>
        </w:rPr>
        <w:t xml:space="preserve"> tanto, si dicho tercero cumple los requisitos de capacidad jurídica, no está incurso en causales de inhabilidad o incompatibilidad y, de acuerdo con los criterios previstos en el pliego de condiciones, es idóneo desde el punto de vista jurídico, técnico, económico y financiero para cumplir con las obligaciones, la entidad podrá analizar la posibilidad de autorizar la cesión. </w:t>
      </w:r>
      <w:r w:rsidRPr="006F297B">
        <w:rPr>
          <w:rFonts w:ascii="Verdana" w:eastAsia="Times New Roman" w:hAnsi="Verdana" w:cs="Arial"/>
          <w:color w:val="000000"/>
          <w:lang w:val="es-ES_tradnl"/>
        </w:rPr>
        <w:t>De igual forma se sugiere que la compañía aseguradora conozca la cesión a fin de realizar los cambios a los que hubiere lugar.</w:t>
      </w:r>
    </w:p>
    <w:p w14:paraId="3236E15E" w14:textId="77777777" w:rsidR="00C62CF2" w:rsidRDefault="00C62CF2" w:rsidP="00C62CF2">
      <w:pPr>
        <w:spacing w:after="120" w:line="276" w:lineRule="auto"/>
        <w:ind w:firstLine="709"/>
        <w:jc w:val="both"/>
        <w:rPr>
          <w:rFonts w:ascii="Verdana" w:eastAsia="Calibri" w:hAnsi="Verdana" w:cs="Arial"/>
        </w:rPr>
      </w:pPr>
      <w:r>
        <w:rPr>
          <w:rFonts w:ascii="Verdana" w:eastAsia="Times New Roman" w:hAnsi="Verdana" w:cs="Arial"/>
          <w:color w:val="000000"/>
          <w:lang w:val="es-ES_tradnl"/>
        </w:rPr>
        <w:t>Finalmente</w:t>
      </w:r>
      <w:r w:rsidRPr="00801090">
        <w:rPr>
          <w:rFonts w:ascii="Verdana" w:eastAsia="Times New Roman" w:hAnsi="Verdana" w:cs="Arial"/>
          <w:color w:val="000000"/>
          <w:lang w:val="es-ES_tradnl"/>
        </w:rPr>
        <w:t>, el artículo 888 del Código de Comercio establece que</w:t>
      </w:r>
      <w:r w:rsidRPr="00FA55E5">
        <w:rPr>
          <w:rFonts w:ascii="Verdana" w:eastAsia="Calibri" w:hAnsi="Verdana" w:cs="Arial"/>
        </w:rPr>
        <w:t xml:space="preserve"> “La sustitución podrá hacerse por escrito o verbalmente, según que el contrato conste o no por escrito”. </w:t>
      </w:r>
      <w:r>
        <w:rPr>
          <w:rFonts w:ascii="Verdana" w:eastAsia="Calibri" w:hAnsi="Verdana" w:cs="Arial"/>
        </w:rPr>
        <w:t>No obstante, c</w:t>
      </w:r>
      <w:r w:rsidRPr="00FA55E5">
        <w:rPr>
          <w:rFonts w:ascii="Verdana" w:eastAsia="Calibri" w:hAnsi="Verdana" w:cs="Arial"/>
        </w:rPr>
        <w:t xml:space="preserve">omo el contrato estatal es solemne, se impone la forma escrita para cederlo. </w:t>
      </w:r>
      <w:r>
        <w:rPr>
          <w:rFonts w:ascii="Verdana" w:eastAsia="Calibri" w:hAnsi="Verdana" w:cs="Arial"/>
        </w:rPr>
        <w:t>Igual sucede en el caso en que un integrante ceda su participación en la estructura plural contratista debe someterlo a la autorización de la entidad contratante tal y como se pactó en el contrato aludido en su solicitud.</w:t>
      </w:r>
    </w:p>
    <w:p w14:paraId="7E70A677" w14:textId="77777777" w:rsidR="00C62CF2" w:rsidRPr="00AB11C1" w:rsidRDefault="00C62CF2" w:rsidP="00C62CF2">
      <w:pPr>
        <w:spacing w:after="120" w:line="276" w:lineRule="auto"/>
        <w:jc w:val="both"/>
        <w:rPr>
          <w:rFonts w:ascii="Verdana" w:eastAsia="Calibri" w:hAnsi="Verdana" w:cs="Arial"/>
        </w:rPr>
      </w:pPr>
      <w:proofErr w:type="spellStart"/>
      <w:r>
        <w:rPr>
          <w:rFonts w:ascii="Verdana" w:eastAsia="Calibri" w:hAnsi="Verdana" w:cs="Arial"/>
          <w:lang w:eastAsia="es-MX"/>
        </w:rPr>
        <w:t>ii</w:t>
      </w:r>
      <w:proofErr w:type="spellEnd"/>
      <w:r>
        <w:rPr>
          <w:rFonts w:ascii="Verdana" w:eastAsia="Calibri" w:hAnsi="Verdana" w:cs="Arial"/>
          <w:lang w:eastAsia="es-MX"/>
        </w:rPr>
        <w:t xml:space="preserve">). En relación con el segundo problema jurídico planteado es de precisar que </w:t>
      </w:r>
      <w:r>
        <w:rPr>
          <w:rFonts w:ascii="Verdana" w:eastAsia="Calibri" w:hAnsi="Verdana" w:cs="Arial"/>
          <w:lang w:val="es-MX"/>
        </w:rPr>
        <w:t>L</w:t>
      </w:r>
      <w:r w:rsidRPr="00AB11C1">
        <w:rPr>
          <w:rFonts w:ascii="Verdana" w:eastAsia="Calibri" w:hAnsi="Verdana" w:cs="Arial"/>
          <w:lang w:val="es-MX"/>
        </w:rPr>
        <w:t>a experiencia tiene un carácter personal, lo cual significa que esta se obtiene por la participación, con anterioridad, en actividades que le permitieron a alguien conocer cómo ejecutar determinado objeto contractual que la entidad ahora pretende desarrollar</w:t>
      </w:r>
      <w:r w:rsidRPr="00AB11C1">
        <w:rPr>
          <w:rStyle w:val="Refdenotaalpie"/>
          <w:rFonts w:ascii="Verdana" w:eastAsia="Calibri" w:hAnsi="Verdana" w:cs="Arial"/>
        </w:rPr>
        <w:footnoteReference w:id="16"/>
      </w:r>
      <w:r w:rsidRPr="00AB11C1">
        <w:rPr>
          <w:rFonts w:ascii="Verdana" w:eastAsia="Calibri" w:hAnsi="Verdana" w:cs="Arial"/>
        </w:rPr>
        <w:t>.</w:t>
      </w:r>
    </w:p>
    <w:p w14:paraId="42AF22D5" w14:textId="77777777" w:rsidR="00C62CF2" w:rsidRDefault="00C62CF2" w:rsidP="00C62CF2">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lastRenderedPageBreak/>
        <w:t xml:space="preserve">Lo anterior es determinante, porque no es posible adquirir la experiencia si en la práctica no se han ejecutado actividades previas. Precisamente, de la experiencia se deriva el conocimiento del proponente, lo cual es importante para la contratación pública, pues ello garantiza que no habrá improvisación ni mayores costos por errores o dificultades originadas en realizar una actividad por primera vez. Adicionalmente, la experiencia puede obtenerse directamente o por participar asociado con otra persona, como es el caso de los proponentes plurales, en cuyo evento la experiencia no deja de ser personal, sino que es proporcional a la participación como miembro de un consorcio o unión temporal. Por tratarse de esquemas asociativos, en estos casos la experiencia es compartida. </w:t>
      </w:r>
    </w:p>
    <w:p w14:paraId="53D82C1B" w14:textId="77777777" w:rsidR="00C62CF2" w:rsidRPr="00AB11C1" w:rsidRDefault="00C62CF2" w:rsidP="00C62CF2">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El Decreto 1082 de 2015, en el artículo 2.2.1.1.1.5.2, numeral 2.5</w:t>
      </w:r>
      <w:r w:rsidRPr="00AB11C1">
        <w:rPr>
          <w:rStyle w:val="Refdenotaalpie"/>
          <w:rFonts w:ascii="Verdana" w:eastAsia="Calibri" w:hAnsi="Verdana" w:cs="Arial"/>
        </w:rPr>
        <w:footnoteReference w:id="17"/>
      </w:r>
      <w:r w:rsidRPr="00AB11C1">
        <w:rPr>
          <w:rFonts w:ascii="Verdana" w:eastAsia="Calibri" w:hAnsi="Verdana" w:cs="Arial"/>
        </w:rPr>
        <w:t xml:space="preserve"> </w:t>
      </w:r>
      <w:r w:rsidRPr="00AB11C1">
        <w:rPr>
          <w:rFonts w:ascii="Verdana" w:eastAsia="Calibri" w:hAnsi="Verdana" w:cs="Arial"/>
          <w:lang w:val="es-MX"/>
        </w:rPr>
        <w:t>señala que</w:t>
      </w:r>
      <w:r>
        <w:rPr>
          <w:rFonts w:ascii="Verdana" w:eastAsia="Calibri" w:hAnsi="Verdana" w:cs="Arial"/>
          <w:lang w:val="es-MX"/>
        </w:rPr>
        <w:t>,</w:t>
      </w:r>
      <w:r w:rsidRPr="00AB11C1">
        <w:rPr>
          <w:rFonts w:ascii="Verdana" w:eastAsia="Calibri" w:hAnsi="Verdana" w:cs="Arial"/>
          <w:lang w:val="es-MX"/>
        </w:rPr>
        <w:t xml:space="preserv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w:t>
      </w:r>
    </w:p>
    <w:p w14:paraId="2720E2C6" w14:textId="77777777" w:rsidR="00C62CF2" w:rsidRPr="00AB11C1" w:rsidRDefault="00C62CF2" w:rsidP="00C62CF2">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El interesado debe indicar en cada certificado, o en cada copia de los contratos, los bienes, obras y servicios a los cuales corresponde la experiencia que pretende acreditar, identificándolos con el Clasificador de Bienes y Servicios, en el tercer nivel. Además, dicho numeral establece que, si la constitución del interesado es menor a 3 años, puede acreditar la experiencia de sus accionistas, socios o constituyentes.</w:t>
      </w:r>
    </w:p>
    <w:p w14:paraId="33A88D0A" w14:textId="77777777" w:rsidR="00C62CF2" w:rsidRPr="005821E0" w:rsidRDefault="00C62CF2" w:rsidP="00C62CF2">
      <w:pPr>
        <w:spacing w:after="120" w:line="276" w:lineRule="auto"/>
        <w:ind w:firstLine="708"/>
        <w:jc w:val="both"/>
        <w:rPr>
          <w:rFonts w:ascii="Verdana" w:eastAsia="Calibri" w:hAnsi="Verdana" w:cs="Arial"/>
          <w:lang w:val="es-MX"/>
        </w:rPr>
      </w:pPr>
      <w:r w:rsidRPr="005821E0">
        <w:rPr>
          <w:rFonts w:ascii="Verdana" w:eastAsia="Calibri" w:hAnsi="Verdana" w:cs="Arial"/>
          <w:lang w:val="es-MX"/>
        </w:rPr>
        <w:lastRenderedPageBreak/>
        <w:t xml:space="preserve">Esta prerrogativa, puede entenderse como una medida de fomento a la participación de pequeños oferentes en la contratación estatal, permite que las sociedades relativamente nuevas ─ con menos de 3 años de constitución ─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hacerlo. </w:t>
      </w:r>
    </w:p>
    <w:p w14:paraId="64377A91" w14:textId="77777777" w:rsidR="00C62CF2" w:rsidRPr="00AB11C1" w:rsidRDefault="00C62CF2" w:rsidP="00C62CF2">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accionista, socio o constituyente transfiere la experiencia adquirida directamente a la sociedad de la que es parte, para que esta, como persona jurídica independiente, pueda cumplir con los requisitos que establezcan las entidades estatales en sus procesos de contratación, y de esta forma promover el desarrollo de la empresa y la pluralidad de oferentes en la contratación pública.</w:t>
      </w:r>
    </w:p>
    <w:p w14:paraId="3F6606E2" w14:textId="77777777" w:rsidR="00C62CF2" w:rsidRPr="00AB11C1" w:rsidRDefault="00C62CF2" w:rsidP="00C62CF2">
      <w:pPr>
        <w:spacing w:after="120" w:line="276" w:lineRule="auto"/>
        <w:ind w:firstLine="708"/>
        <w:jc w:val="both"/>
        <w:rPr>
          <w:rFonts w:ascii="Verdana" w:hAnsi="Verdana" w:cs="Arial"/>
          <w:lang w:val="es-MX" w:eastAsia="es-ES_tradnl"/>
        </w:rPr>
      </w:pPr>
      <w:r w:rsidRPr="005821E0">
        <w:rPr>
          <w:rFonts w:ascii="Verdana" w:hAnsi="Verdana"/>
        </w:rPr>
        <w:t>Ahora bien, si</w:t>
      </w:r>
      <w:r w:rsidRPr="001504A0">
        <w:rPr>
          <w:rFonts w:ascii="Verdana" w:hAnsi="Verdana"/>
        </w:rPr>
        <w:t xml:space="preserve"> la persona jurídica con menos de tres años de constituida registra la experiencia de sus socios en el RUP, y éste es renovado constantemente de forma oportuna, puede continuar utilizando la experiencia inscrita mientras no cesen los efectos del RUP, incluso después de transcurridos los tres años. Por el contrario, si no se renueva y la persona jurídica supera los tres años de constituida, la experiencia que registró de sus socios no puede ser inscrita nuevamente, puesto que el RUP ha cesado </w:t>
      </w:r>
      <w:r>
        <w:rPr>
          <w:rFonts w:ascii="Verdana" w:hAnsi="Verdana"/>
        </w:rPr>
        <w:t xml:space="preserve">en </w:t>
      </w:r>
      <w:r w:rsidRPr="001504A0">
        <w:rPr>
          <w:rFonts w:ascii="Verdana" w:hAnsi="Verdana"/>
        </w:rPr>
        <w:t xml:space="preserve">sus efectos y la cámara de comercio tiene que hacer nuevamente la verificación documental de la información presentada al momento de inscribirse en el registro. Lo anterior, tiene fundamento en la Circular Única de la Superintendencia de Industria y Comercio, </w:t>
      </w:r>
      <w:r>
        <w:rPr>
          <w:rFonts w:ascii="Verdana" w:hAnsi="Verdana"/>
        </w:rPr>
        <w:t>en el</w:t>
      </w:r>
      <w:r w:rsidRPr="001504A0">
        <w:rPr>
          <w:rFonts w:ascii="Verdana" w:hAnsi="Verdana"/>
        </w:rPr>
        <w:t xml:space="preserve"> numeral 4.2, </w:t>
      </w:r>
      <w:r w:rsidRPr="00AB11C1">
        <w:rPr>
          <w:rFonts w:ascii="Verdana" w:eastAsia="Calibri" w:hAnsi="Verdana" w:cs="Arial"/>
          <w:lang w:val="es-MX"/>
        </w:rPr>
        <w:t>sobre el procedimiento para llevar el registro único de proponentes, dispone lo siguiente:</w:t>
      </w:r>
      <w:r w:rsidRPr="00AB11C1">
        <w:rPr>
          <w:rFonts w:ascii="Verdana" w:hAnsi="Verdana" w:cs="Arial"/>
          <w:lang w:val="es-MX" w:eastAsia="es-ES_tradnl"/>
        </w:rPr>
        <w:t xml:space="preserve">  </w:t>
      </w:r>
    </w:p>
    <w:p w14:paraId="4822EFC2" w14:textId="77777777" w:rsidR="00C62CF2" w:rsidRPr="00AB11C1" w:rsidRDefault="00C62CF2" w:rsidP="00C62CF2">
      <w:pPr>
        <w:ind w:left="709" w:right="709"/>
        <w:contextualSpacing/>
        <w:jc w:val="both"/>
        <w:rPr>
          <w:rFonts w:ascii="Verdana" w:hAnsi="Verdana" w:cs="Arial"/>
          <w:sz w:val="21"/>
          <w:szCs w:val="21"/>
          <w:lang w:val="es-MX" w:eastAsia="es-ES_tradnl"/>
        </w:rPr>
      </w:pPr>
      <w:r w:rsidRPr="00AB11C1">
        <w:rPr>
          <w:rFonts w:ascii="Verdana" w:hAnsi="Verdana" w:cs="Arial"/>
          <w:sz w:val="21"/>
          <w:szCs w:val="21"/>
          <w:lang w:val="es-MX"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7F54AF47" w14:textId="77777777" w:rsidR="00C62CF2" w:rsidRDefault="00C62CF2" w:rsidP="00C62CF2">
      <w:pPr>
        <w:spacing w:after="120" w:line="276" w:lineRule="auto"/>
        <w:ind w:firstLine="708"/>
        <w:jc w:val="both"/>
        <w:rPr>
          <w:rFonts w:ascii="Verdana" w:eastAsia="Calibri" w:hAnsi="Verdana" w:cs="Arial"/>
          <w:lang w:val="es-MX"/>
        </w:rPr>
      </w:pPr>
    </w:p>
    <w:p w14:paraId="6ED533C5" w14:textId="77777777" w:rsidR="00C62CF2" w:rsidRPr="00AB11C1" w:rsidRDefault="00C62CF2" w:rsidP="00C62CF2">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lastRenderedPageBreak/>
        <w:t>Se reitera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 para renovar su registro a más tardar el quinto día hábil del mes de abril de cada año, de lo contrario cesan sus efectos</w:t>
      </w:r>
      <w:r w:rsidRPr="00AB11C1">
        <w:rPr>
          <w:rFonts w:ascii="Verdana" w:hAnsi="Verdana" w:cs="Arial"/>
          <w:vertAlign w:val="superscript"/>
          <w:lang w:val="es-MX" w:eastAsia="es-ES_tradnl"/>
        </w:rPr>
        <w:footnoteReference w:id="18"/>
      </w:r>
      <w:r w:rsidRPr="00AB11C1">
        <w:rPr>
          <w:rFonts w:ascii="Verdana" w:hAnsi="Verdana" w:cs="Arial"/>
          <w:lang w:val="es-MX" w:eastAsia="es-ES_tradnl"/>
        </w:rPr>
        <w:t xml:space="preserve">. </w:t>
      </w:r>
      <w:r w:rsidRPr="00AB11C1">
        <w:rPr>
          <w:rFonts w:ascii="Verdana" w:eastAsia="Calibri" w:hAnsi="Verdana" w:cs="Arial"/>
          <w:lang w:val="es-MX"/>
        </w:rPr>
        <w:t xml:space="preserve">En la actualidad, las cámaras de comercio solo pueden eliminar la experiencia registrada en el RUP a solicitud del proponente. Por tanto, les corresponde a las personas jurídicas mantener su RUP actualizado y a las entidades estatales verificar este registro para efectos de evaluar la experiencia. </w:t>
      </w:r>
    </w:p>
    <w:p w14:paraId="04300BE0" w14:textId="77777777" w:rsidR="00C62CF2" w:rsidRPr="00CD70F7" w:rsidRDefault="00C62CF2" w:rsidP="00C62CF2">
      <w:pPr>
        <w:spacing w:after="120" w:line="276" w:lineRule="auto"/>
        <w:jc w:val="both"/>
        <w:rPr>
          <w:rFonts w:ascii="Verdana" w:eastAsia="Arial" w:hAnsi="Verdana" w:cs="Arial"/>
          <w:b/>
          <w:bCs/>
        </w:rPr>
      </w:pPr>
      <w:r>
        <w:rPr>
          <w:rFonts w:ascii="Verdana" w:eastAsia="Arial" w:hAnsi="Verdana" w:cs="Arial"/>
        </w:rPr>
        <w:t xml:space="preserve">       Ahora bien</w:t>
      </w:r>
      <w:r w:rsidRPr="00CD70F7">
        <w:rPr>
          <w:rFonts w:ascii="Verdana" w:eastAsia="Arial" w:hAnsi="Verdana" w:cs="Arial"/>
        </w:rPr>
        <w:t xml:space="preserve">, es necesario precisar que las entidades que cuentan con un régimen especial de contratación, tales como las empresas de servicios públicos domiciliarios o las Empresas Sociales del Estado, no se encuentran sometidas al Estatuto General de Contratación de la Administración Pública (Ley 80 de 1993, Ley 1150 de 2007) ni a las normas reglamentarias o complementarias que lo desarrollan, como lo es el Decreto 1082 de 2015. Por disposición legal expresa, la actividad contractual de estas entidades se rige por las normas del derecho privado (civil y comercial), de conformidad con lo desarrollado por esta Agencia en el </w:t>
      </w:r>
      <w:r>
        <w:rPr>
          <w:rFonts w:ascii="Verdana" w:eastAsia="Arial" w:hAnsi="Verdana" w:cs="Arial"/>
        </w:rPr>
        <w:t xml:space="preserve">mencionado </w:t>
      </w:r>
      <w:r w:rsidRPr="00EB2B61">
        <w:rPr>
          <w:rFonts w:ascii="Verdana" w:eastAsia="Arial" w:hAnsi="Verdana" w:cs="Arial"/>
        </w:rPr>
        <w:t>Concepto C-1681 de</w:t>
      </w:r>
      <w:r>
        <w:rPr>
          <w:rFonts w:ascii="Verdana" w:eastAsia="Arial" w:hAnsi="Verdana" w:cs="Arial"/>
        </w:rPr>
        <w:t>l</w:t>
      </w:r>
      <w:r w:rsidRPr="00EB2B61">
        <w:rPr>
          <w:rFonts w:ascii="Verdana" w:eastAsia="Arial" w:hAnsi="Verdana" w:cs="Arial"/>
        </w:rPr>
        <w:t xml:space="preserve"> 24 de diciembre de 2025.</w:t>
      </w:r>
    </w:p>
    <w:p w14:paraId="424434DE" w14:textId="77777777" w:rsidR="00C62CF2" w:rsidRPr="00CD70F7" w:rsidRDefault="00C62CF2" w:rsidP="00C62CF2">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No obstante, una de las obligaciones imperativas para las entidades de régimen especial consiste en el deber de expedir un Manual de Contratación. En este documento institucional se deben concretar los principios de la función administrativa y de la gestión fiscal, determinando la manera específica en que dichos postulados orientarán y modularán el derecho privado durante el desarrollo de la actividad contractual. De este modo, el Manual de Contratación y los términos de referencia se constituyen en el marco vinculante donde los potenciales oferentes y contratistas identifican las reglas ciertas que aplica la entidad en sus procesos.</w:t>
      </w:r>
    </w:p>
    <w:p w14:paraId="4DACEDBB" w14:textId="77777777" w:rsidR="00C62CF2" w:rsidRPr="00CD70F7" w:rsidRDefault="00C62CF2" w:rsidP="00C62CF2">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 xml:space="preserve">En ese sentido, el numeral 2.5 del artículo 2.2.1.1.1.5.2 del Decreto 1082 de 2015, que prevé una regla excepcional para que las personas jurídicas con </w:t>
      </w:r>
      <w:r w:rsidRPr="00CD70F7">
        <w:rPr>
          <w:rFonts w:ascii="Verdana" w:eastAsia="Arial" w:hAnsi="Verdana" w:cs="Arial"/>
        </w:rPr>
        <w:lastRenderedPageBreak/>
        <w:t>menos de tres (3) años de constitución puedan acreditar la experiencia de sus socios o accionistas a través del Registro Único de Proponentes (RUP), no es de obligatoria aplicación para una entidad de régimen especial por el simple ministerio de la ley. Al gozar de autonomía para la estructuración de sus procesos de selección, dicha disposición solo resultará vinculante si la entidad decidió "</w:t>
      </w:r>
      <w:proofErr w:type="spellStart"/>
      <w:r w:rsidRPr="00CD70F7">
        <w:rPr>
          <w:rFonts w:ascii="Verdana" w:eastAsia="Arial" w:hAnsi="Verdana" w:cs="Arial"/>
        </w:rPr>
        <w:t>auto-vincularse</w:t>
      </w:r>
      <w:proofErr w:type="spellEnd"/>
      <w:r w:rsidRPr="00CD70F7">
        <w:rPr>
          <w:rFonts w:ascii="Verdana" w:eastAsia="Arial" w:hAnsi="Verdana" w:cs="Arial"/>
        </w:rPr>
        <w:t>" a ella, incorporándola expresamente en su Manual de Contratación o en los términos de referencia del proceso específico.</w:t>
      </w:r>
    </w:p>
    <w:p w14:paraId="7E290AE7" w14:textId="77777777" w:rsidR="00C62CF2" w:rsidRPr="00CD70F7" w:rsidRDefault="00C62CF2" w:rsidP="00C62CF2">
      <w:pPr>
        <w:spacing w:after="120" w:line="276" w:lineRule="auto"/>
        <w:jc w:val="both"/>
        <w:rPr>
          <w:rFonts w:ascii="Verdana" w:eastAsia="Arial" w:hAnsi="Verdana" w:cs="Arial"/>
        </w:rPr>
      </w:pPr>
      <w:r>
        <w:rPr>
          <w:rFonts w:ascii="Verdana" w:eastAsia="Arial" w:hAnsi="Verdana" w:cs="Arial"/>
        </w:rPr>
        <w:t xml:space="preserve">        </w:t>
      </w:r>
      <w:r w:rsidRPr="00CD70F7">
        <w:rPr>
          <w:rFonts w:ascii="Verdana" w:eastAsia="Arial" w:hAnsi="Verdana" w:cs="Arial"/>
        </w:rPr>
        <w:t>Por tanto, si los documentos del proceso no mencionan ni remiten a la aplicación de la citada regla del Decreto 1082 de 2015, la entidad de régimen especial no está obligada a aplicarla. Adoptar de forma sobrevenida un criterio excepcional de evaluación de experiencia no previsto en los pliegos o términos de referencia vulneraría los principios de transparencia, planeación, legalidad y el derecho a la igualdad de los participantes, quienes estructuraron sus ofertas bajo el principio de confianza legítima y con estricto apego a las reglas preestablecidas, las cuales son ley para las partes en el respectivo procedimiento de selección.</w:t>
      </w:r>
    </w:p>
    <w:p w14:paraId="0794364F" w14:textId="77777777" w:rsidR="00C62CF2" w:rsidRPr="006B17A7" w:rsidRDefault="00C62CF2" w:rsidP="00C62CF2">
      <w:pPr>
        <w:spacing w:line="276" w:lineRule="auto"/>
        <w:ind w:firstLine="360"/>
        <w:jc w:val="both"/>
        <w:rPr>
          <w:rFonts w:ascii="Verdana" w:eastAsia="Calibri" w:hAnsi="Verdana" w:cs="Arial"/>
        </w:rPr>
      </w:pP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BF427E0" w14:textId="77777777" w:rsidR="00C62CF2" w:rsidRPr="006B17A7" w:rsidRDefault="00C62CF2" w:rsidP="00C62CF2">
      <w:pPr>
        <w:spacing w:before="120" w:after="0" w:line="276" w:lineRule="auto"/>
        <w:ind w:firstLine="360"/>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40AA9889" w14:textId="77777777" w:rsidR="00C62CF2" w:rsidRPr="006B17A7" w:rsidRDefault="00C62CF2" w:rsidP="00C62CF2">
      <w:pPr>
        <w:spacing w:after="0" w:line="276" w:lineRule="auto"/>
        <w:ind w:firstLine="708"/>
        <w:jc w:val="both"/>
        <w:rPr>
          <w:rFonts w:ascii="Verdana" w:eastAsia="Calibri" w:hAnsi="Verdana" w:cs="Arial"/>
        </w:rPr>
      </w:pPr>
    </w:p>
    <w:p w14:paraId="6BAAA9A4" w14:textId="77777777" w:rsidR="00C62CF2" w:rsidRPr="006B17A7" w:rsidRDefault="00C62CF2" w:rsidP="00C62CF2">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0D3AEBAC" w14:textId="77777777" w:rsidR="00C62CF2" w:rsidRPr="006B17A7" w:rsidRDefault="00C62CF2" w:rsidP="00C62CF2">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62CF2" w:rsidRPr="006B17A7" w14:paraId="3ED51845" w14:textId="77777777" w:rsidTr="00457B0F">
        <w:trPr>
          <w:trHeight w:val="870"/>
        </w:trPr>
        <w:tc>
          <w:tcPr>
            <w:tcW w:w="8647" w:type="dxa"/>
          </w:tcPr>
          <w:p w14:paraId="286FD8F6" w14:textId="77777777" w:rsidR="00C62CF2" w:rsidRDefault="00C62CF2" w:rsidP="00457B0F">
            <w:pPr>
              <w:pStyle w:val="Prrafodelista"/>
              <w:spacing w:after="120" w:line="276" w:lineRule="auto"/>
              <w:jc w:val="both"/>
              <w:rPr>
                <w:rFonts w:ascii="Verdana" w:eastAsia="Aptos" w:hAnsi="Verdana" w:cs="Arial"/>
              </w:rPr>
            </w:pPr>
          </w:p>
          <w:p w14:paraId="65E32709" w14:textId="77777777" w:rsidR="00C62CF2" w:rsidRPr="00B94795" w:rsidRDefault="00C62CF2" w:rsidP="00457B0F">
            <w:pPr>
              <w:pStyle w:val="Prrafodelista"/>
              <w:numPr>
                <w:ilvl w:val="0"/>
                <w:numId w:val="17"/>
              </w:numPr>
              <w:spacing w:after="120" w:line="276" w:lineRule="auto"/>
              <w:jc w:val="both"/>
              <w:rPr>
                <w:rFonts w:ascii="Verdana" w:hAnsi="Verdana"/>
              </w:rPr>
            </w:pPr>
            <w:r w:rsidRPr="00D86CA8">
              <w:rPr>
                <w:rFonts w:ascii="Verdana" w:hAnsi="Verdana" w:cs="Arial"/>
              </w:rPr>
              <w:t>Ley 80 de 1993, artículos 13, 32, 40 y 41.</w:t>
            </w:r>
          </w:p>
          <w:p w14:paraId="565D8405" w14:textId="77777777" w:rsidR="00C62CF2" w:rsidRDefault="00C62CF2" w:rsidP="00457B0F">
            <w:pPr>
              <w:pStyle w:val="Prrafodelista"/>
              <w:numPr>
                <w:ilvl w:val="0"/>
                <w:numId w:val="17"/>
              </w:numPr>
              <w:spacing w:after="120" w:line="276" w:lineRule="auto"/>
              <w:jc w:val="both"/>
              <w:rPr>
                <w:rFonts w:ascii="Verdana" w:hAnsi="Verdana"/>
              </w:rPr>
            </w:pPr>
            <w:r w:rsidRPr="009579B1">
              <w:rPr>
                <w:rFonts w:ascii="Verdana" w:eastAsia="Arial" w:hAnsi="Verdana" w:cs="Arial"/>
              </w:rPr>
              <w:t>Ley 1150 de 2007 - Artículo 5, 6</w:t>
            </w:r>
            <w:r w:rsidRPr="009579B1">
              <w:rPr>
                <w:rFonts w:ascii="Verdana" w:hAnsi="Verdana"/>
              </w:rPr>
              <w:t xml:space="preserve"> </w:t>
            </w:r>
          </w:p>
          <w:p w14:paraId="5C9EA867" w14:textId="77777777" w:rsidR="00C62CF2" w:rsidRPr="00B94795" w:rsidRDefault="00C62CF2" w:rsidP="00457B0F">
            <w:pPr>
              <w:pStyle w:val="Prrafodelista"/>
              <w:numPr>
                <w:ilvl w:val="0"/>
                <w:numId w:val="17"/>
              </w:numPr>
              <w:spacing w:after="120" w:line="276" w:lineRule="auto"/>
              <w:jc w:val="both"/>
              <w:rPr>
                <w:rFonts w:ascii="Verdana" w:hAnsi="Verdana"/>
              </w:rPr>
            </w:pPr>
            <w:r w:rsidRPr="009579B1">
              <w:rPr>
                <w:rFonts w:ascii="Verdana" w:hAnsi="Verdana"/>
              </w:rPr>
              <w:t>Decreto 1082 de 2015 - Artículo 2.2.1.1.1.6.2.</w:t>
            </w:r>
            <w:r w:rsidRPr="009579B1">
              <w:rPr>
                <w:rFonts w:ascii="Verdana" w:hAnsi="Verdana" w:cs="Arial"/>
              </w:rPr>
              <w:t xml:space="preserve">; 2.2.1.1.1.5.3.; </w:t>
            </w:r>
            <w:r w:rsidRPr="009579B1">
              <w:rPr>
                <w:rFonts w:ascii="Verdana" w:eastAsia="Calibri" w:hAnsi="Verdana" w:cs="Arial"/>
                <w:color w:val="000000" w:themeColor="text1"/>
              </w:rPr>
              <w:t>2.2.1.1.1.5.2 numeral 2.1, 2.5</w:t>
            </w:r>
          </w:p>
          <w:p w14:paraId="4DAF6989" w14:textId="77777777" w:rsidR="00C62CF2" w:rsidRPr="00B94795" w:rsidRDefault="00C62CF2" w:rsidP="00457B0F">
            <w:pPr>
              <w:pStyle w:val="Prrafodelista"/>
              <w:widowControl w:val="0"/>
              <w:numPr>
                <w:ilvl w:val="0"/>
                <w:numId w:val="17"/>
              </w:numPr>
              <w:autoSpaceDE w:val="0"/>
              <w:autoSpaceDN w:val="0"/>
              <w:spacing w:after="120" w:line="276" w:lineRule="auto"/>
              <w:ind w:left="714" w:hanging="357"/>
              <w:contextualSpacing w:val="0"/>
              <w:jc w:val="both"/>
              <w:rPr>
                <w:rFonts w:ascii="Verdana" w:eastAsia="Aptos" w:hAnsi="Verdana" w:cs="Arial"/>
              </w:rPr>
            </w:pPr>
            <w:r w:rsidRPr="00D86CA8">
              <w:rPr>
                <w:rFonts w:ascii="Verdana" w:hAnsi="Verdana" w:cs="Arial"/>
              </w:rPr>
              <w:t>Código Civil, artículos 1501, 1959 y ss.</w:t>
            </w:r>
          </w:p>
          <w:p w14:paraId="5D7078BF" w14:textId="77777777" w:rsidR="00C62CF2" w:rsidRPr="006B17A7" w:rsidRDefault="00C62CF2" w:rsidP="00457B0F">
            <w:pPr>
              <w:pStyle w:val="Prrafodelista"/>
              <w:widowControl w:val="0"/>
              <w:numPr>
                <w:ilvl w:val="0"/>
                <w:numId w:val="17"/>
              </w:numPr>
              <w:autoSpaceDE w:val="0"/>
              <w:autoSpaceDN w:val="0"/>
              <w:spacing w:after="120" w:line="276" w:lineRule="auto"/>
              <w:ind w:left="714" w:hanging="357"/>
              <w:contextualSpacing w:val="0"/>
              <w:jc w:val="both"/>
              <w:rPr>
                <w:rFonts w:ascii="Verdana" w:eastAsia="Aptos" w:hAnsi="Verdana" w:cs="Arial"/>
              </w:rPr>
            </w:pPr>
            <w:r w:rsidRPr="00D86CA8">
              <w:rPr>
                <w:rFonts w:ascii="Verdana" w:hAnsi="Verdana" w:cs="Arial"/>
                <w:color w:val="000000" w:themeColor="text1"/>
                <w:lang w:val="es-ES_tradnl"/>
              </w:rPr>
              <w:t>Código de Comercio, artículos 887 y ss.</w:t>
            </w:r>
          </w:p>
        </w:tc>
      </w:tr>
    </w:tbl>
    <w:p w14:paraId="1010E397" w14:textId="77777777" w:rsidR="00C62CF2" w:rsidRPr="006B17A7" w:rsidRDefault="00C62CF2" w:rsidP="00C62CF2">
      <w:pPr>
        <w:widowControl w:val="0"/>
        <w:autoSpaceDE w:val="0"/>
        <w:autoSpaceDN w:val="0"/>
        <w:spacing w:after="0" w:line="276" w:lineRule="auto"/>
        <w:jc w:val="both"/>
        <w:rPr>
          <w:rFonts w:ascii="Verdana" w:eastAsia="Aptos" w:hAnsi="Verdana" w:cs="Arial"/>
        </w:rPr>
      </w:pPr>
    </w:p>
    <w:p w14:paraId="72F7C722" w14:textId="77777777" w:rsidR="00C62CF2" w:rsidRPr="006B17A7" w:rsidRDefault="00C62CF2" w:rsidP="00C62CF2">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269F54CB" w14:textId="77777777" w:rsidR="00C62CF2" w:rsidRPr="006B17A7" w:rsidRDefault="00C62CF2" w:rsidP="00C62CF2">
      <w:pPr>
        <w:widowControl w:val="0"/>
        <w:autoSpaceDE w:val="0"/>
        <w:autoSpaceDN w:val="0"/>
        <w:spacing w:after="0" w:line="276" w:lineRule="auto"/>
        <w:jc w:val="both"/>
        <w:rPr>
          <w:rFonts w:ascii="Verdana" w:eastAsia="Aptos" w:hAnsi="Verdana" w:cs="Arial"/>
        </w:rPr>
      </w:pPr>
    </w:p>
    <w:p w14:paraId="4984C9E2" w14:textId="77777777" w:rsidR="00C62CF2" w:rsidRPr="00C27319" w:rsidRDefault="00C62CF2" w:rsidP="00C62CF2">
      <w:pPr>
        <w:widowControl w:val="0"/>
        <w:autoSpaceDE w:val="0"/>
        <w:autoSpaceDN w:val="0"/>
        <w:spacing w:after="0" w:line="276" w:lineRule="auto"/>
        <w:jc w:val="both"/>
        <w:rPr>
          <w:rFonts w:ascii="Verdana" w:hAnsi="Verdana" w:cs="Arial"/>
          <w:shd w:val="clear" w:color="auto" w:fill="FFFFFF"/>
          <w:lang w:val="es-ES"/>
        </w:rPr>
      </w:pPr>
      <w:r w:rsidRPr="00D86CA8">
        <w:rPr>
          <w:rFonts w:ascii="Verdana" w:hAnsi="Verdana" w:cs="Arial"/>
          <w:shd w:val="clear" w:color="auto" w:fill="FFFFFF"/>
        </w:rPr>
        <w:t>Esta Subdirección se ha pronunciado sobre la cesión de contratos en los Conceptos 4201913000007643 y 4201913000007669 del 26 de diciembre de 2019, así como en los Conceptos C-551 del 24 de septiembre de 2020, C-572 del 27 de agosto de 2020, C-582 del 28 de agosto de 2020, C-385 del 20 de agosto de 2021, C-069 del 24 de abril de 2023, C-868 del 20 de diciembre de 2024, C-880 del 30 de diciembre de 2024, C-214 del 25 de marzo de 2025</w:t>
      </w:r>
      <w:r>
        <w:rPr>
          <w:rFonts w:ascii="Verdana" w:hAnsi="Verdana" w:cs="Arial"/>
          <w:shd w:val="clear" w:color="auto" w:fill="FFFFFF"/>
        </w:rPr>
        <w:t xml:space="preserve">, </w:t>
      </w:r>
      <w:r w:rsidRPr="00D86CA8">
        <w:rPr>
          <w:rFonts w:ascii="Verdana" w:hAnsi="Verdana" w:cs="Arial"/>
          <w:shd w:val="clear" w:color="auto" w:fill="FFFFFF"/>
        </w:rPr>
        <w:t>C-675 del 4 de junio de 2025</w:t>
      </w:r>
      <w:r>
        <w:rPr>
          <w:rFonts w:ascii="Verdana" w:hAnsi="Verdana" w:cs="Arial"/>
          <w:shd w:val="clear" w:color="auto" w:fill="FFFFFF"/>
        </w:rPr>
        <w:t xml:space="preserve"> y C-1418 del 12 de noviembre de 2025</w:t>
      </w:r>
      <w:r>
        <w:rPr>
          <w:rFonts w:ascii="Verdana" w:hAnsi="Verdana" w:cs="Arial"/>
          <w:shd w:val="clear" w:color="auto" w:fill="FFFFFF"/>
          <w:lang w:val="es-ES"/>
        </w:rPr>
        <w:t xml:space="preserve"> y </w:t>
      </w:r>
      <w:r w:rsidRPr="009579B1">
        <w:rPr>
          <w:rFonts w:ascii="Verdana" w:hAnsi="Verdana" w:cs="Arial"/>
          <w:shd w:val="clear" w:color="auto" w:fill="FFFFFF"/>
        </w:rPr>
        <w:t xml:space="preserve">sobre la acreditación de experiencia de socios por parte de sociedades con menos de tres años de constitución, en los conceptos </w:t>
      </w:r>
      <w:r w:rsidRPr="009579B1">
        <w:rPr>
          <w:rFonts w:ascii="Verdana" w:eastAsia="Arial MT" w:hAnsi="Verdana" w:cs="Arial"/>
          <w:lang w:val="es-ES"/>
        </w:rPr>
        <w:t xml:space="preserve">C-725 del 25 de enero de 2022, C-034 del 2 de marzo de 2022, C-144 del 1 de abril de 2022, C-239 del 26 de julio de 2022, C-324 del 19 de mayo de 2022, C-447 del 19 de julio de 2022, C-456 del 15 de julio de 2022, C-592 del 20 de septiembre de 2022, C-623 del 29 de septiembre de 2022, C-837 del 6 de diciembre de 2022, C-841 del 6 de diciembre de 2022, C-929 del 30 de diciembre de 2022, C-128 del 18 de mayo de 2023, C-146 de 13 de junio de 2023, C-261 del 13 de julio de 2023, C-466 del 01 de diciembre de 2023, C-088 de 2024 del 13 junio de 2024, </w:t>
      </w:r>
      <w:r>
        <w:rPr>
          <w:rFonts w:ascii="Verdana" w:eastAsia="Arial MT" w:hAnsi="Verdana" w:cs="Arial"/>
          <w:lang w:val="es-ES"/>
        </w:rPr>
        <w:t xml:space="preserve"> C-593 del 11 de diciembre 2024, </w:t>
      </w:r>
      <w:r w:rsidRPr="00CD70F7">
        <w:rPr>
          <w:rFonts w:ascii="Verdana" w:eastAsia="Arial" w:hAnsi="Verdana" w:cs="Arial"/>
        </w:rPr>
        <w:t>C-675 del 04 de junio de 2025</w:t>
      </w:r>
      <w:r>
        <w:rPr>
          <w:rFonts w:ascii="Verdana" w:eastAsia="Arial" w:hAnsi="Verdana" w:cs="Arial"/>
        </w:rPr>
        <w:t xml:space="preserve">, </w:t>
      </w:r>
      <w:r w:rsidRPr="00EB2B61">
        <w:rPr>
          <w:rFonts w:ascii="Verdana" w:eastAsia="Arial" w:hAnsi="Verdana" w:cs="Arial"/>
        </w:rPr>
        <w:t>C-1681 de</w:t>
      </w:r>
      <w:r>
        <w:rPr>
          <w:rFonts w:ascii="Verdana" w:eastAsia="Arial" w:hAnsi="Verdana" w:cs="Arial"/>
        </w:rPr>
        <w:t>l</w:t>
      </w:r>
      <w:r w:rsidRPr="00EB2B61">
        <w:rPr>
          <w:rFonts w:ascii="Verdana" w:eastAsia="Arial" w:hAnsi="Verdana" w:cs="Arial"/>
        </w:rPr>
        <w:t xml:space="preserve"> 24 de diciembre de 2025</w:t>
      </w:r>
      <w:r>
        <w:rPr>
          <w:rFonts w:ascii="Verdana" w:eastAsia="Arial MT" w:hAnsi="Verdana" w:cs="Arial"/>
          <w:lang w:val="es-ES"/>
        </w:rPr>
        <w:t xml:space="preserve"> y C-456 del 05 de mayo de 2026.</w:t>
      </w:r>
      <w:r w:rsidRPr="000A5510">
        <w:rPr>
          <w:rStyle w:val="normaltextrun"/>
          <w:rFonts w:ascii="Verdana" w:hAnsi="Verdana" w:cs="Arial"/>
          <w:shd w:val="clear" w:color="auto" w:fill="FFFFFF"/>
          <w:lang w:val="es-ES"/>
        </w:rPr>
        <w:t xml:space="preserve"> </w:t>
      </w:r>
      <w:r w:rsidRPr="000A5510">
        <w:rPr>
          <w:rFonts w:ascii="Verdana" w:hAnsi="Verdana" w:cs="Arial"/>
        </w:rPr>
        <w:t xml:space="preserve">Estos y otros </w:t>
      </w:r>
      <w:r w:rsidRPr="000A5510">
        <w:rPr>
          <w:rFonts w:ascii="Verdana" w:hAnsi="Verdana"/>
        </w:rPr>
        <w:t>conceptos se encuentran disponibles para consulta en el Sistema de relatoría de la Agencia, al cual se puede acceder a través del siguiente enlace:</w:t>
      </w:r>
      <w:r w:rsidRPr="000A5510">
        <w:rPr>
          <w:rFonts w:ascii="Verdana" w:hAnsi="Verdana" w:cs="Arial"/>
          <w:shd w:val="clear" w:color="auto" w:fill="FFFFFF"/>
        </w:rPr>
        <w:t xml:space="preserve"> </w:t>
      </w:r>
      <w:hyperlink r:id="rId12" w:history="1">
        <w:r w:rsidRPr="009D49DA">
          <w:rPr>
            <w:rStyle w:val="Hipervnculo"/>
            <w:rFonts w:ascii="Verdana" w:hAnsi="Verdana" w:cs="Arial"/>
            <w:shd w:val="clear" w:color="auto" w:fill="FFFFFF"/>
          </w:rPr>
          <w:t>https://relatoria.colombiacompra.gov.co/busqueda/conceptos</w:t>
        </w:r>
      </w:hyperlink>
      <w:r w:rsidRPr="000A5510">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0641D0A7" w14:textId="77777777" w:rsidR="00C62CF2" w:rsidRPr="00115E3D" w:rsidRDefault="00C62CF2" w:rsidP="00C62CF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5EE3936" w14:textId="77777777" w:rsidR="00C62CF2" w:rsidRPr="009A385A" w:rsidRDefault="00C62CF2" w:rsidP="00C62CF2">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 xml:space="preserve">Curso de Contratación Pública Sostenible y Socialmente </w:t>
      </w:r>
      <w:r w:rsidRPr="009A385A">
        <w:rPr>
          <w:rFonts w:ascii="Verdana" w:hAnsi="Verdana"/>
          <w:b/>
          <w:bCs/>
        </w:rPr>
        <w:lastRenderedPageBreak/>
        <w:t>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F159C57" w14:textId="77777777" w:rsidR="00C62CF2" w:rsidRDefault="00C62CF2" w:rsidP="00C62CF2">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3B1B99A3" w14:textId="77777777" w:rsidR="00C62CF2" w:rsidRPr="009A385A" w:rsidRDefault="00C62CF2" w:rsidP="00C62CF2">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CE1C880" w14:textId="77777777" w:rsidR="00C62CF2" w:rsidRPr="00115E3D" w:rsidRDefault="00C62CF2" w:rsidP="00C62CF2">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6CD59882" w14:textId="77777777" w:rsidR="00C62CF2" w:rsidRPr="00115E3D" w:rsidRDefault="00C62CF2" w:rsidP="00C62CF2">
      <w:pPr>
        <w:spacing w:after="0" w:line="240" w:lineRule="auto"/>
        <w:jc w:val="both"/>
        <w:rPr>
          <w:rFonts w:ascii="Verdana" w:hAnsi="Verdana"/>
          <w:color w:val="000000" w:themeColor="text1"/>
        </w:rPr>
      </w:pPr>
    </w:p>
    <w:p w14:paraId="5948B467" w14:textId="77777777" w:rsidR="00C62CF2" w:rsidRPr="00115E3D" w:rsidRDefault="00C62CF2" w:rsidP="00C62CF2">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553DB2F3" w14:textId="77777777" w:rsidR="00C62CF2" w:rsidRPr="00115E3D" w:rsidRDefault="00C62CF2" w:rsidP="00C62CF2">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3B0704D2" w14:textId="77777777" w:rsidR="00C62CF2" w:rsidRPr="00115E3D" w:rsidRDefault="00C62CF2" w:rsidP="00C62CF2">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1750BF63" w14:textId="77777777" w:rsidR="00C62CF2" w:rsidRPr="00115E3D" w:rsidRDefault="00C62CF2" w:rsidP="00C62CF2">
      <w:pPr>
        <w:widowControl w:val="0"/>
        <w:autoSpaceDE w:val="0"/>
        <w:autoSpaceDN w:val="0"/>
        <w:spacing w:after="0" w:line="276" w:lineRule="auto"/>
        <w:jc w:val="both"/>
        <w:rPr>
          <w:rFonts w:ascii="Verdana" w:hAnsi="Verdana" w:cs="Arial"/>
          <w:color w:val="000000" w:themeColor="text1"/>
        </w:rPr>
      </w:pPr>
    </w:p>
    <w:p w14:paraId="0FCAFD4D" w14:textId="77777777" w:rsidR="00C62CF2" w:rsidRPr="00115E3D" w:rsidRDefault="00C62CF2" w:rsidP="00C62CF2">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w:t>
      </w:r>
      <w:r w:rsidRPr="00115E3D">
        <w:rPr>
          <w:rFonts w:ascii="Verdana" w:hAnsi="Verdana" w:cs="Arial"/>
          <w:color w:val="000000" w:themeColor="text1"/>
        </w:rPr>
        <w:lastRenderedPageBreak/>
        <w:t xml:space="preserve">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79643F9F" w14:textId="77777777" w:rsidR="00C62CF2" w:rsidRDefault="00C62CF2" w:rsidP="00C62CF2">
      <w:pPr>
        <w:spacing w:after="0" w:line="240" w:lineRule="auto"/>
        <w:rPr>
          <w:rFonts w:ascii="Verdana" w:eastAsia="Times New Roman" w:hAnsi="Verdana" w:cs="Arial"/>
          <w:color w:val="000000" w:themeColor="text1"/>
          <w:lang w:eastAsia="es-CO"/>
        </w:rPr>
      </w:pPr>
    </w:p>
    <w:p w14:paraId="15E9B000" w14:textId="77777777" w:rsidR="00C62CF2" w:rsidRDefault="00C62CF2" w:rsidP="00C62CF2">
      <w:pPr>
        <w:spacing w:after="0" w:line="240" w:lineRule="auto"/>
        <w:rPr>
          <w:rFonts w:ascii="Verdana" w:eastAsia="Times New Roman" w:hAnsi="Verdana" w:cs="Arial"/>
          <w:color w:val="000000" w:themeColor="text1"/>
          <w:lang w:eastAsia="es-CO"/>
        </w:rPr>
      </w:pPr>
    </w:p>
    <w:p w14:paraId="41119F94" w14:textId="77777777" w:rsidR="00C62CF2" w:rsidRPr="00115E3D" w:rsidRDefault="00C62CF2" w:rsidP="00C62CF2">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613EE068" w14:textId="77777777" w:rsidR="0009491F" w:rsidRDefault="0009491F" w:rsidP="00C62CF2">
      <w:pPr>
        <w:spacing w:line="276" w:lineRule="auto"/>
        <w:jc w:val="center"/>
        <w:rPr>
          <w:noProof/>
        </w:rPr>
      </w:pPr>
    </w:p>
    <w:p w14:paraId="14C78062" w14:textId="6568F074" w:rsidR="0009491F" w:rsidRDefault="0009491F" w:rsidP="00C62CF2">
      <w:pPr>
        <w:spacing w:line="276" w:lineRule="auto"/>
        <w:jc w:val="center"/>
        <w:rPr>
          <w:noProof/>
        </w:rPr>
      </w:pPr>
      <w:r>
        <w:rPr>
          <w:noProof/>
        </w:rPr>
        <w:drawing>
          <wp:inline distT="0" distB="0" distL="0" distR="0" wp14:anchorId="2C9475F8" wp14:editId="1527DB2F">
            <wp:extent cx="3573780" cy="1534162"/>
            <wp:effectExtent l="0" t="0" r="7620" b="8890"/>
            <wp:docPr id="6303268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84109" cy="153859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62CF2" w:rsidRPr="00115E3D" w14:paraId="018A1722" w14:textId="77777777" w:rsidTr="00457B0F">
        <w:trPr>
          <w:trHeight w:val="315"/>
        </w:trPr>
        <w:tc>
          <w:tcPr>
            <w:tcW w:w="893" w:type="dxa"/>
            <w:vAlign w:val="center"/>
            <w:hideMark/>
          </w:tcPr>
          <w:p w14:paraId="2D4A7271" w14:textId="77777777" w:rsidR="00C62CF2" w:rsidRPr="00115E3D" w:rsidRDefault="00C62CF2" w:rsidP="00457B0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151C1D" w14:textId="77777777" w:rsidR="00C62CF2" w:rsidRPr="00115E3D" w:rsidRDefault="00C62CF2" w:rsidP="00457B0F">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70E44DD0" w14:textId="77777777" w:rsidR="00C62CF2" w:rsidRPr="00115E3D" w:rsidRDefault="00C62CF2" w:rsidP="00457B0F">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C62CF2" w:rsidRPr="00115E3D" w14:paraId="20139DF2" w14:textId="77777777" w:rsidTr="00457B0F">
        <w:trPr>
          <w:trHeight w:val="330"/>
        </w:trPr>
        <w:tc>
          <w:tcPr>
            <w:tcW w:w="893" w:type="dxa"/>
            <w:vAlign w:val="center"/>
            <w:hideMark/>
          </w:tcPr>
          <w:p w14:paraId="29A61C7D" w14:textId="77777777" w:rsidR="00C62CF2" w:rsidRPr="00115E3D" w:rsidRDefault="00C62CF2" w:rsidP="00457B0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9FB689" w14:textId="77777777" w:rsidR="00C62CF2" w:rsidRDefault="00C62CF2" w:rsidP="00457B0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w:t>
            </w:r>
            <w:proofErr w:type="spellStart"/>
            <w:r>
              <w:rPr>
                <w:rFonts w:ascii="Verdana" w:hAnsi="Verdana" w:cs="Segoe UI"/>
                <w:color w:val="000000" w:themeColor="text1"/>
                <w:sz w:val="16"/>
                <w:szCs w:val="16"/>
              </w:rPr>
              <w:t>Katerine</w:t>
            </w:r>
            <w:proofErr w:type="spellEnd"/>
            <w:r>
              <w:rPr>
                <w:rFonts w:ascii="Verdana" w:hAnsi="Verdana" w:cs="Segoe UI"/>
                <w:color w:val="000000" w:themeColor="text1"/>
                <w:sz w:val="16"/>
                <w:szCs w:val="16"/>
              </w:rPr>
              <w:t xml:space="preserve"> López Rodríguez</w:t>
            </w:r>
          </w:p>
          <w:p w14:paraId="5E2A83EA" w14:textId="77777777" w:rsidR="00C62CF2" w:rsidRPr="00115E3D" w:rsidRDefault="00C62CF2" w:rsidP="00457B0F">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C62CF2" w:rsidRPr="00115E3D" w14:paraId="5EBB1B3B" w14:textId="77777777" w:rsidTr="00457B0F">
        <w:trPr>
          <w:trHeight w:val="300"/>
        </w:trPr>
        <w:tc>
          <w:tcPr>
            <w:tcW w:w="893" w:type="dxa"/>
            <w:vAlign w:val="center"/>
          </w:tcPr>
          <w:p w14:paraId="2B9F2302" w14:textId="77777777" w:rsidR="00C62CF2" w:rsidRPr="00115E3D" w:rsidRDefault="00C62CF2" w:rsidP="00457B0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0ED241" w14:textId="77777777" w:rsidR="00C62CF2" w:rsidRPr="00115E3D" w:rsidRDefault="00C62CF2" w:rsidP="00457B0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3AA4C8E0" w14:textId="77777777" w:rsidR="00C62CF2" w:rsidRPr="00115E3D" w:rsidRDefault="00C62CF2" w:rsidP="00457B0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4B1088D0" w14:textId="77777777" w:rsidR="00C62CF2" w:rsidRPr="00BF223B" w:rsidRDefault="00C62CF2" w:rsidP="00C62CF2">
      <w:pPr>
        <w:spacing w:after="0" w:line="240" w:lineRule="auto"/>
        <w:jc w:val="both"/>
        <w:rPr>
          <w:rFonts w:ascii="Verdana" w:eastAsia="Verdana" w:hAnsi="Verdana" w:cs="Verdana"/>
          <w:b/>
          <w:bCs/>
        </w:rPr>
      </w:pPr>
    </w:p>
    <w:p w14:paraId="545D805C" w14:textId="77777777" w:rsidR="00C62CF2" w:rsidRPr="00E02524" w:rsidRDefault="00C62CF2" w:rsidP="00C62CF2">
      <w:pPr>
        <w:spacing w:after="0" w:line="240" w:lineRule="auto"/>
        <w:jc w:val="both"/>
        <w:rPr>
          <w:rFonts w:ascii="Verdana" w:eastAsia="Verdana" w:hAnsi="Verdana" w:cs="Verdana"/>
          <w:b/>
          <w:bCs/>
          <w:lang w:val="es-MX"/>
        </w:rPr>
      </w:pPr>
    </w:p>
    <w:p w14:paraId="2212195F" w14:textId="77777777" w:rsidR="00C62CF2" w:rsidRPr="000E2B93" w:rsidRDefault="00C62CF2" w:rsidP="00C62CF2">
      <w:pPr>
        <w:spacing w:after="0" w:line="240" w:lineRule="auto"/>
        <w:jc w:val="both"/>
        <w:textAlignment w:val="baseline"/>
        <w:rPr>
          <w:rFonts w:ascii="Verdana" w:eastAsia="Verdana" w:hAnsi="Verdana" w:cs="Verdana"/>
          <w:lang w:eastAsia="es-CO"/>
        </w:rPr>
      </w:pPr>
    </w:p>
    <w:p w14:paraId="2B642416" w14:textId="77777777" w:rsidR="00C62CF2" w:rsidRPr="000E2B93" w:rsidRDefault="00C62CF2" w:rsidP="00C62CF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32CD9D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7527D" w14:textId="77777777" w:rsidR="009916CF" w:rsidRDefault="009916CF" w:rsidP="004A1847">
      <w:pPr>
        <w:spacing w:after="0" w:line="240" w:lineRule="auto"/>
      </w:pPr>
      <w:r>
        <w:separator/>
      </w:r>
    </w:p>
  </w:endnote>
  <w:endnote w:type="continuationSeparator" w:id="0">
    <w:p w14:paraId="61E4F627" w14:textId="77777777" w:rsidR="009916CF" w:rsidRDefault="009916C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F9E7A" w14:textId="77777777" w:rsidR="009916CF" w:rsidRDefault="009916CF" w:rsidP="004A1847">
      <w:pPr>
        <w:spacing w:after="0" w:line="240" w:lineRule="auto"/>
      </w:pPr>
      <w:r>
        <w:separator/>
      </w:r>
    </w:p>
  </w:footnote>
  <w:footnote w:type="continuationSeparator" w:id="0">
    <w:p w14:paraId="5B8D9AAF" w14:textId="77777777" w:rsidR="009916CF" w:rsidRDefault="009916CF" w:rsidP="004A1847">
      <w:pPr>
        <w:spacing w:after="0" w:line="240" w:lineRule="auto"/>
      </w:pPr>
      <w:r>
        <w:continuationSeparator/>
      </w:r>
    </w:p>
  </w:footnote>
  <w:footnote w:id="1">
    <w:p w14:paraId="244400B1" w14:textId="77777777" w:rsidR="00C62CF2" w:rsidRPr="004C544B" w:rsidRDefault="00C62CF2" w:rsidP="00C62CF2">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5FDB4E61" w14:textId="77777777" w:rsidR="00C62CF2" w:rsidRPr="004C544B" w:rsidRDefault="00C62CF2" w:rsidP="00C62CF2">
      <w:pPr>
        <w:pStyle w:val="Textonotapie"/>
        <w:ind w:firstLine="708"/>
        <w:jc w:val="both"/>
        <w:rPr>
          <w:rFonts w:ascii="Verdana" w:hAnsi="Verdana" w:cs="Arial"/>
          <w:sz w:val="16"/>
          <w:szCs w:val="16"/>
        </w:rPr>
      </w:pPr>
      <w:r w:rsidRPr="004C544B">
        <w:rPr>
          <w:rFonts w:ascii="Verdana" w:hAnsi="Verdana" w:cs="Arial"/>
          <w:sz w:val="16"/>
          <w:szCs w:val="16"/>
        </w:rPr>
        <w:t xml:space="preserve">La misma sustitución podrá hacerse en los contratos mercantiles de ejecución instantánea que aún no hayan sido cumplidos en todo o en parte, y en los celebrados </w:t>
      </w:r>
      <w:r w:rsidRPr="004C544B">
        <w:rPr>
          <w:rFonts w:ascii="Verdana" w:hAnsi="Verdana" w:cs="Arial"/>
          <w:i/>
          <w:iCs/>
          <w:sz w:val="16"/>
          <w:szCs w:val="16"/>
        </w:rPr>
        <w:t>intuitu personae</w:t>
      </w:r>
      <w:r w:rsidRPr="004C544B">
        <w:rPr>
          <w:rFonts w:ascii="Verdana" w:hAnsi="Verdana" w:cs="Arial"/>
          <w:sz w:val="16"/>
          <w:szCs w:val="16"/>
        </w:rPr>
        <w:t>, pero en estos casos será necesaria la aceptación del contratante cedido”.</w:t>
      </w:r>
    </w:p>
    <w:p w14:paraId="7B5AD566" w14:textId="77777777" w:rsidR="00C62CF2" w:rsidRPr="004C544B" w:rsidRDefault="00C62CF2" w:rsidP="00C62CF2">
      <w:pPr>
        <w:pStyle w:val="Textonotapie"/>
        <w:ind w:firstLine="708"/>
        <w:jc w:val="both"/>
        <w:rPr>
          <w:rFonts w:ascii="Verdana" w:hAnsi="Verdana" w:cs="Arial"/>
          <w:sz w:val="16"/>
          <w:szCs w:val="16"/>
        </w:rPr>
      </w:pPr>
      <w:r w:rsidRPr="004C544B">
        <w:rPr>
          <w:rFonts w:ascii="Verdana" w:hAnsi="Verdana" w:cs="Arial"/>
          <w:sz w:val="16"/>
          <w:szCs w:val="16"/>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footnote>
  <w:footnote w:id="2">
    <w:p w14:paraId="66B9950D" w14:textId="77777777" w:rsidR="00C62CF2" w:rsidRPr="004C544B" w:rsidRDefault="00C62CF2" w:rsidP="00C62CF2">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ANDREOLI, Marcello. La cesión del contrato. Santiago: Ediciones Olejnik, 2019. p. 12. Énfasis dentro del texto. En este contexto, “La cesión del contrato sirve para hacer posible la </w:t>
      </w:r>
      <w:r w:rsidRPr="004C544B">
        <w:rPr>
          <w:rFonts w:ascii="Verdana" w:hAnsi="Verdana" w:cs="Arial"/>
          <w:i/>
          <w:iCs/>
          <w:sz w:val="16"/>
          <w:szCs w:val="16"/>
        </w:rPr>
        <w:t>circulación del contrato en su integridad</w:t>
      </w:r>
      <w:r w:rsidRPr="004C544B">
        <w:rPr>
          <w:rFonts w:ascii="Verdana" w:hAnsi="Verdana" w:cs="Arial"/>
          <w:sz w:val="16"/>
          <w:szCs w:val="16"/>
        </w:rPr>
        <w:t xml:space="preserve">, es decir, para hacer </w:t>
      </w:r>
      <w:r w:rsidRPr="004C544B">
        <w:rPr>
          <w:rFonts w:ascii="Verdana" w:hAnsi="Verdana" w:cs="Arial"/>
          <w:i/>
          <w:iCs/>
          <w:sz w:val="16"/>
          <w:szCs w:val="16"/>
        </w:rPr>
        <w:t>subintrar</w:t>
      </w:r>
      <w:r w:rsidRPr="004C544B">
        <w:rPr>
          <w:rFonts w:ascii="Verdana" w:hAnsi="Verdana" w:cs="Arial"/>
          <w:sz w:val="16"/>
          <w:szCs w:val="16"/>
        </w:rPr>
        <w:t xml:space="preserve"> un extraño en la categoría de </w:t>
      </w:r>
      <w:r w:rsidRPr="004C544B">
        <w:rPr>
          <w:rFonts w:ascii="Verdana" w:hAnsi="Verdana" w:cs="Arial"/>
          <w:i/>
          <w:iCs/>
          <w:sz w:val="16"/>
          <w:szCs w:val="16"/>
        </w:rPr>
        <w:t>parte</w:t>
      </w:r>
      <w:r w:rsidRPr="004C544B">
        <w:rPr>
          <w:rFonts w:ascii="Verdana" w:hAnsi="Verdana" w:cs="Arial"/>
          <w:sz w:val="16"/>
          <w:szCs w:val="16"/>
        </w:rPr>
        <w:t xml:space="preserve"> contractual, </w:t>
      </w:r>
      <w:r w:rsidRPr="004C544B">
        <w:rPr>
          <w:rFonts w:ascii="Verdana" w:hAnsi="Verdana" w:cs="Arial"/>
          <w:i/>
          <w:iCs/>
          <w:sz w:val="16"/>
          <w:szCs w:val="16"/>
        </w:rPr>
        <w:t>en lugar</w:t>
      </w:r>
      <w:r w:rsidRPr="004C544B">
        <w:rPr>
          <w:rFonts w:ascii="Verdana" w:hAnsi="Verdana" w:cs="Arial"/>
          <w:sz w:val="16"/>
          <w:szCs w:val="16"/>
        </w:rPr>
        <w:t xml:space="preserve"> de uno de los contratantes originarios” (MESSINEO, Francesco. Doctrina general del contrato. Santiago: Olejnik, 2018. p. 633. Énfasis dentro del texto).</w:t>
      </w:r>
    </w:p>
  </w:footnote>
  <w:footnote w:id="3">
    <w:p w14:paraId="7897FC3F" w14:textId="77777777" w:rsidR="00C62CF2" w:rsidRPr="004C544B" w:rsidRDefault="00C62CF2" w:rsidP="00C62CF2">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ROPPO, Vincenzo. El contrato. Lima: Gaceta Jurídica, 2009. p. 547.</w:t>
      </w:r>
    </w:p>
  </w:footnote>
  <w:footnote w:id="4">
    <w:p w14:paraId="79B4E5A2" w14:textId="77777777" w:rsidR="00C62CF2" w:rsidRPr="004C544B" w:rsidRDefault="00C62CF2" w:rsidP="00C62CF2">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i/>
          <w:iCs/>
          <w:sz w:val="16"/>
          <w:szCs w:val="16"/>
        </w:rPr>
        <w:t>Ibidem</w:t>
      </w:r>
      <w:r w:rsidRPr="004C544B">
        <w:rPr>
          <w:rFonts w:ascii="Verdana" w:hAnsi="Verdana" w:cs="Arial"/>
          <w:sz w:val="16"/>
          <w:szCs w:val="16"/>
        </w:rPr>
        <w:t>.</w:t>
      </w:r>
    </w:p>
  </w:footnote>
  <w:footnote w:id="5">
    <w:p w14:paraId="2BDA75A8" w14:textId="77777777" w:rsidR="00C62CF2" w:rsidRPr="004C544B" w:rsidRDefault="00C62CF2" w:rsidP="00C62CF2">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footnote>
  <w:footnote w:id="6">
    <w:p w14:paraId="76E086F8" w14:textId="77777777" w:rsidR="00C62CF2" w:rsidRPr="004C544B" w:rsidRDefault="00C62CF2" w:rsidP="00C62CF2">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p>
  </w:footnote>
  <w:footnote w:id="7">
    <w:p w14:paraId="1EA6C93D" w14:textId="77777777" w:rsidR="00C62CF2" w:rsidRPr="004C544B" w:rsidRDefault="00C62CF2" w:rsidP="00C62CF2">
      <w:pPr>
        <w:pStyle w:val="Textonotapie"/>
        <w:ind w:firstLine="709"/>
        <w:jc w:val="both"/>
        <w:rPr>
          <w:rFonts w:ascii="Verdana" w:hAnsi="Verdana" w:cs="Arial"/>
          <w:sz w:val="16"/>
          <w:szCs w:val="16"/>
          <w:lang w:val="es-CO"/>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footnote>
  <w:footnote w:id="8">
    <w:p w14:paraId="7F82E76C" w14:textId="77777777" w:rsidR="00C62CF2" w:rsidRPr="004C544B" w:rsidRDefault="00C62CF2" w:rsidP="00C62CF2">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5BF51843" w14:textId="77777777" w:rsidR="00C62CF2" w:rsidRPr="004C544B" w:rsidRDefault="00C62CF2" w:rsidP="00C62CF2">
      <w:pPr>
        <w:pStyle w:val="Textonotapie"/>
        <w:ind w:firstLine="709"/>
        <w:jc w:val="both"/>
        <w:rPr>
          <w:rFonts w:ascii="Verdana" w:hAnsi="Verdana" w:cs="Arial"/>
          <w:sz w:val="16"/>
          <w:szCs w:val="16"/>
        </w:rPr>
      </w:pPr>
      <w:r w:rsidRPr="004C544B">
        <w:rPr>
          <w:rFonts w:ascii="Verdana" w:hAnsi="Verdana" w:cs="Arial"/>
          <w:sz w:val="16"/>
          <w:szCs w:val="16"/>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footnote>
  <w:footnote w:id="9">
    <w:p w14:paraId="64B0B042" w14:textId="77777777" w:rsidR="00C62CF2" w:rsidRPr="004C544B" w:rsidRDefault="00C62CF2" w:rsidP="00C62CF2">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6966BFB9" w14:textId="77777777" w:rsidR="00C62CF2" w:rsidRPr="004C544B" w:rsidRDefault="00C62CF2" w:rsidP="00C62CF2">
      <w:pPr>
        <w:pStyle w:val="Textonotapie"/>
        <w:ind w:firstLine="708"/>
        <w:jc w:val="both"/>
        <w:rPr>
          <w:rFonts w:ascii="Verdana" w:hAnsi="Verdana" w:cs="Arial"/>
          <w:sz w:val="16"/>
          <w:szCs w:val="16"/>
        </w:rPr>
      </w:pPr>
      <w:r w:rsidRPr="004C544B">
        <w:rPr>
          <w:rFonts w:ascii="Verdana" w:hAnsi="Verdana" w:cs="Arial"/>
          <w:sz w:val="16"/>
          <w:szCs w:val="16"/>
        </w:rPr>
        <w:t>De ahí que el principio del cumplimiento personal de sus obligaciones por el cocontratante particular es una exigencia del contrato administrativo que resulta de su naturaleza, por lo que su aplicación es ineludible, aun en los casos en que no existen cláusulas expresas que impongan esa prestación personal o que prohíban la cesión o trasferencia del contrato o la subcontratación” (ESCOLA, Jorge. Tratado integral de los contratos administrativos. Volumen I. Buenos Aires: Depalma, 2012. p. 424).</w:t>
      </w:r>
    </w:p>
  </w:footnote>
  <w:footnote w:id="10">
    <w:p w14:paraId="25D5FDB1" w14:textId="77777777" w:rsidR="00C62CF2" w:rsidRPr="004C544B" w:rsidRDefault="00C62CF2" w:rsidP="00C62CF2">
      <w:pPr>
        <w:pStyle w:val="Textonotapie"/>
        <w:ind w:firstLine="708"/>
        <w:jc w:val="both"/>
        <w:rPr>
          <w:rFonts w:ascii="Verdana" w:hAnsi="Verdana" w:cs="Arial"/>
          <w:sz w:val="16"/>
          <w:szCs w:val="16"/>
          <w:lang w:val="es-ES"/>
        </w:rPr>
      </w:pPr>
      <w:r w:rsidRPr="004C544B">
        <w:rPr>
          <w:rStyle w:val="Refdenotaalpie"/>
          <w:rFonts w:ascii="Verdana" w:hAnsi="Verdana" w:cs="Arial"/>
          <w:sz w:val="16"/>
          <w:szCs w:val="16"/>
        </w:rPr>
        <w:footnoteRef/>
      </w:r>
      <w:r w:rsidRPr="004C544B">
        <w:rPr>
          <w:rFonts w:ascii="Verdana" w:hAnsi="Verdana" w:cs="Arial"/>
          <w:sz w:val="16"/>
          <w:szCs w:val="16"/>
        </w:rPr>
        <w:t xml:space="preserve"> MARIENHOFF, Miguel S. Tratado de derecho administrativo. Tomo IIIA. Cuarta Edición. Buenos Aires: Abeledo Perrot, 1998. p. 318. Énfasis dentro del texto.</w:t>
      </w:r>
    </w:p>
  </w:footnote>
  <w:footnote w:id="11">
    <w:p w14:paraId="1D722ED8" w14:textId="77777777" w:rsidR="00C62CF2" w:rsidRPr="004C544B" w:rsidRDefault="00C62CF2" w:rsidP="00C62CF2">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RAMÍREZ GRISALES, Richard. La cesión. Serie: Las cláusulas del contrato estatal. Medellín: Centro de Estudios de Derecho Administrativo –CEDA– y Librería Jurídica Sánchez R., 2014. pp. 71-72.</w:t>
      </w:r>
    </w:p>
  </w:footnote>
  <w:footnote w:id="12">
    <w:p w14:paraId="407BC925" w14:textId="77777777" w:rsidR="00C62CF2" w:rsidRPr="004C544B" w:rsidRDefault="00C62CF2" w:rsidP="00C62CF2">
      <w:pPr>
        <w:pStyle w:val="Textonotapie"/>
        <w:ind w:firstLine="709"/>
        <w:jc w:val="both"/>
        <w:rPr>
          <w:rFonts w:ascii="Verdana" w:hAnsi="Verdana" w:cs="Arial"/>
          <w:sz w:val="16"/>
          <w:szCs w:val="16"/>
          <w:lang w:val="es-ES"/>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sz w:val="16"/>
          <w:szCs w:val="16"/>
          <w:lang w:val="es-ES"/>
        </w:rPr>
        <w:t>CONSEJO DE ESTADO</w:t>
      </w:r>
      <w:r>
        <w:rPr>
          <w:rFonts w:ascii="Verdana" w:hAnsi="Verdana" w:cs="Arial"/>
          <w:sz w:val="16"/>
          <w:szCs w:val="16"/>
          <w:lang w:val="es-ES"/>
        </w:rPr>
        <w:t>.</w:t>
      </w:r>
      <w:r w:rsidRPr="004C544B">
        <w:rPr>
          <w:rFonts w:ascii="Verdana" w:hAnsi="Verdana" w:cs="Arial"/>
          <w:sz w:val="16"/>
          <w:szCs w:val="16"/>
          <w:lang w:val="es-ES"/>
        </w:rPr>
        <w:t xml:space="preserve"> Sección Tercera</w:t>
      </w:r>
      <w:r>
        <w:rPr>
          <w:rFonts w:ascii="Verdana" w:hAnsi="Verdana" w:cs="Arial"/>
          <w:sz w:val="16"/>
          <w:szCs w:val="16"/>
          <w:lang w:val="es-ES"/>
        </w:rPr>
        <w:t>.</w:t>
      </w:r>
      <w:r w:rsidRPr="004C544B">
        <w:rPr>
          <w:rFonts w:ascii="Verdana" w:hAnsi="Verdana" w:cs="Arial"/>
          <w:sz w:val="16"/>
          <w:szCs w:val="16"/>
          <w:lang w:val="es-ES"/>
        </w:rPr>
        <w:t xml:space="preserve"> Sentencia del 16 de marzo de 2015</w:t>
      </w:r>
      <w:r>
        <w:rPr>
          <w:rFonts w:ascii="Verdana" w:hAnsi="Verdana" w:cs="Arial"/>
          <w:sz w:val="16"/>
          <w:szCs w:val="16"/>
          <w:lang w:val="es-ES"/>
        </w:rPr>
        <w:t>.</w:t>
      </w:r>
      <w:r w:rsidRPr="004C544B">
        <w:rPr>
          <w:rFonts w:ascii="Verdana" w:hAnsi="Verdana" w:cs="Arial"/>
          <w:sz w:val="16"/>
          <w:szCs w:val="16"/>
          <w:lang w:val="es-ES"/>
        </w:rPr>
        <w:t xml:space="preserve"> Rad. 1999-03028, M.P. Jaime Orlando Santofimio Gamboa.</w:t>
      </w:r>
    </w:p>
  </w:footnote>
  <w:footnote w:id="13">
    <w:p w14:paraId="67E05E84" w14:textId="77777777" w:rsidR="00C62CF2" w:rsidRPr="004C544B" w:rsidRDefault="00C62CF2" w:rsidP="00C62CF2">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RAMÍREZ GRISALES, La cesión… Op. cit., pp.162-163. </w:t>
      </w:r>
    </w:p>
  </w:footnote>
  <w:footnote w:id="14">
    <w:p w14:paraId="2596D222" w14:textId="77777777" w:rsidR="00C62CF2" w:rsidRPr="003A34AF" w:rsidRDefault="00C62CF2" w:rsidP="00C62CF2">
      <w:pPr>
        <w:pStyle w:val="Textonotapie"/>
        <w:ind w:firstLine="708"/>
        <w:jc w:val="both"/>
        <w:rPr>
          <w:rFonts w:ascii="Verdana" w:hAnsi="Verdana"/>
          <w:sz w:val="16"/>
          <w:szCs w:val="16"/>
          <w:lang w:val="es-CO"/>
        </w:rPr>
      </w:pPr>
      <w:r w:rsidRPr="003A34AF">
        <w:rPr>
          <w:rStyle w:val="Refdenotaalpie"/>
          <w:rFonts w:ascii="Verdana" w:hAnsi="Verdana"/>
          <w:sz w:val="16"/>
          <w:szCs w:val="16"/>
        </w:rPr>
        <w:footnoteRef/>
      </w:r>
      <w:r w:rsidRPr="003A34AF">
        <w:rPr>
          <w:rFonts w:ascii="Verdana" w:hAnsi="Verdana"/>
          <w:sz w:val="16"/>
          <w:szCs w:val="16"/>
        </w:rPr>
        <w:t xml:space="preserve"> </w:t>
      </w:r>
      <w:r>
        <w:rPr>
          <w:rFonts w:ascii="Verdana" w:hAnsi="Verdana"/>
          <w:sz w:val="16"/>
          <w:szCs w:val="16"/>
        </w:rPr>
        <w:t>TARELLO, Govanni. La interpretación de la ley. Lima: Palestra Editores, 2013. p. 313.</w:t>
      </w:r>
    </w:p>
  </w:footnote>
  <w:footnote w:id="15">
    <w:p w14:paraId="26083693" w14:textId="77777777" w:rsidR="00C62CF2" w:rsidRPr="00796439" w:rsidRDefault="00C62CF2" w:rsidP="00C62CF2">
      <w:pPr>
        <w:pStyle w:val="Textonotapie"/>
        <w:ind w:firstLine="708"/>
        <w:jc w:val="both"/>
        <w:rPr>
          <w:rFonts w:ascii="Verdana" w:hAnsi="Verdana"/>
          <w:sz w:val="16"/>
          <w:szCs w:val="16"/>
          <w:lang w:val="es-CO"/>
        </w:rPr>
      </w:pPr>
      <w:r w:rsidRPr="009C68A8">
        <w:rPr>
          <w:rStyle w:val="Refdenotaalpie"/>
          <w:rFonts w:ascii="Verdana" w:hAnsi="Verdana"/>
          <w:sz w:val="16"/>
          <w:szCs w:val="16"/>
        </w:rPr>
        <w:footnoteRef/>
      </w:r>
      <w:r w:rsidRPr="009C68A8">
        <w:rPr>
          <w:rFonts w:ascii="Verdana" w:hAnsi="Verdana"/>
          <w:sz w:val="16"/>
          <w:szCs w:val="16"/>
        </w:rPr>
        <w:t xml:space="preserve"> </w:t>
      </w:r>
      <w:r w:rsidRPr="00796439">
        <w:rPr>
          <w:rFonts w:ascii="Verdana" w:hAnsi="Verdana"/>
          <w:sz w:val="16"/>
          <w:szCs w:val="16"/>
        </w:rPr>
        <w:t>RAMÍREZ GRISALES,</w:t>
      </w:r>
      <w:r w:rsidRPr="004C544B">
        <w:rPr>
          <w:rFonts w:ascii="Verdana" w:hAnsi="Verdana" w:cs="Arial"/>
          <w:sz w:val="16"/>
          <w:szCs w:val="16"/>
        </w:rPr>
        <w:t xml:space="preserve"> La cesión… </w:t>
      </w:r>
      <w:r w:rsidRPr="00796439">
        <w:rPr>
          <w:rFonts w:ascii="Verdana" w:hAnsi="Verdana"/>
          <w:sz w:val="16"/>
          <w:szCs w:val="16"/>
        </w:rPr>
        <w:t>Op cit., p. 146.</w:t>
      </w:r>
    </w:p>
  </w:footnote>
  <w:footnote w:id="16">
    <w:p w14:paraId="24225F2D" w14:textId="77777777" w:rsidR="00C62CF2" w:rsidRPr="00D74570" w:rsidRDefault="00C62CF2" w:rsidP="00C62CF2">
      <w:pPr>
        <w:pStyle w:val="Textonotapie"/>
        <w:ind w:firstLine="709"/>
        <w:jc w:val="both"/>
        <w:rPr>
          <w:rFonts w:ascii="Verdana" w:hAnsi="Verdana" w:cs="Arial"/>
          <w:color w:val="000000" w:themeColor="text1"/>
          <w:sz w:val="14"/>
          <w:szCs w:val="14"/>
        </w:rPr>
      </w:pPr>
      <w:r w:rsidRPr="00D74570">
        <w:rPr>
          <w:rStyle w:val="Refdenotaalpie"/>
          <w:rFonts w:ascii="Verdana" w:hAnsi="Verdana" w:cs="Arial"/>
          <w:sz w:val="14"/>
          <w:szCs w:val="14"/>
        </w:rPr>
        <w:footnoteRef/>
      </w:r>
      <w:r w:rsidRPr="00D74570">
        <w:rPr>
          <w:rFonts w:ascii="Verdana" w:hAnsi="Verdana" w:cs="Arial"/>
          <w:sz w:val="14"/>
          <w:szCs w:val="14"/>
        </w:rPr>
        <w:t xml:space="preserve"> </w:t>
      </w:r>
      <w:r w:rsidRPr="00D74570">
        <w:rPr>
          <w:rFonts w:ascii="Verdana" w:hAnsi="Verdana" w:cs="Arial"/>
          <w:color w:val="000000" w:themeColor="text1"/>
          <w:sz w:val="14"/>
          <w:szCs w:val="14"/>
        </w:rPr>
        <w:t>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14:paraId="55A9F68C" w14:textId="77777777" w:rsidR="00C62CF2" w:rsidRPr="00D74570" w:rsidRDefault="00C62CF2" w:rsidP="00C62CF2">
      <w:pPr>
        <w:pStyle w:val="Textonotapie"/>
        <w:ind w:firstLine="709"/>
        <w:jc w:val="both"/>
        <w:rPr>
          <w:rFonts w:ascii="Verdana" w:hAnsi="Verdana" w:cs="Arial"/>
          <w:color w:val="000000" w:themeColor="text1"/>
          <w:sz w:val="14"/>
          <w:szCs w:val="14"/>
        </w:rPr>
      </w:pPr>
      <w:r w:rsidRPr="00D74570">
        <w:rPr>
          <w:rFonts w:ascii="Verdana" w:hAnsi="Verdana" w:cs="Arial"/>
          <w:color w:val="000000" w:themeColor="text1"/>
          <w:sz w:val="14"/>
          <w:szCs w:val="14"/>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74643159" w14:textId="77777777" w:rsidR="00C62CF2" w:rsidRPr="00D74570" w:rsidRDefault="00C62CF2" w:rsidP="00C62CF2">
      <w:pPr>
        <w:pStyle w:val="Textonotapie"/>
        <w:ind w:firstLine="709"/>
        <w:jc w:val="both"/>
        <w:rPr>
          <w:rFonts w:ascii="Verdana" w:hAnsi="Verdana" w:cs="Arial"/>
          <w:color w:val="000000" w:themeColor="text1"/>
          <w:sz w:val="14"/>
          <w:szCs w:val="14"/>
        </w:rPr>
      </w:pPr>
      <w:r w:rsidRPr="00D74570">
        <w:rPr>
          <w:rFonts w:ascii="Verdana" w:hAnsi="Verdana" w:cs="Arial"/>
          <w:color w:val="000000" w:themeColor="text1"/>
          <w:sz w:val="14"/>
          <w:szCs w:val="14"/>
        </w:rPr>
        <w:t>[...]</w:t>
      </w:r>
    </w:p>
    <w:p w14:paraId="42C61107" w14:textId="77777777" w:rsidR="00C62CF2" w:rsidRPr="00E753C0" w:rsidRDefault="00C62CF2" w:rsidP="00C62CF2">
      <w:pPr>
        <w:pStyle w:val="Textonotapie"/>
        <w:ind w:firstLine="709"/>
        <w:jc w:val="both"/>
        <w:rPr>
          <w:rFonts w:ascii="Verdana" w:hAnsi="Verdana" w:cs="Arial"/>
          <w:color w:val="000000" w:themeColor="text1"/>
          <w:sz w:val="14"/>
          <w:szCs w:val="14"/>
        </w:rPr>
      </w:pPr>
      <w:r w:rsidRPr="00D74570">
        <w:rPr>
          <w:rFonts w:ascii="Verdana" w:hAnsi="Verdana" w:cs="Arial"/>
          <w:color w:val="000000" w:themeColor="text1"/>
          <w:sz w:val="14"/>
          <w:szCs w:val="14"/>
        </w:rPr>
        <w:t>“La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w:t>
      </w:r>
      <w:r w:rsidRPr="0047173C">
        <w:rPr>
          <w:rFonts w:ascii="Verdana" w:hAnsi="Verdana" w:cs="Arial"/>
          <w:color w:val="000000" w:themeColor="text1"/>
          <w:sz w:val="16"/>
          <w:szCs w:val="16"/>
        </w:rPr>
        <w:t xml:space="preserve"> </w:t>
      </w:r>
      <w:r w:rsidRPr="00E753C0">
        <w:rPr>
          <w:rFonts w:ascii="Verdana" w:hAnsi="Verdana" w:cs="Arial"/>
          <w:color w:val="000000" w:themeColor="text1"/>
          <w:sz w:val="14"/>
          <w:szCs w:val="14"/>
        </w:rPr>
        <w:t xml:space="preserve">general, el proponente debe tener experiencia en el servicio de aseo, sin que sea relevante el lugar en el cual ha prestado el servicio o quién ha sido el contratante. </w:t>
      </w:r>
    </w:p>
    <w:p w14:paraId="43881063" w14:textId="77777777" w:rsidR="00C62CF2" w:rsidRPr="00E753C0" w:rsidRDefault="00C62CF2" w:rsidP="00C62CF2">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55E96D72" w14:textId="77777777" w:rsidR="00C62CF2" w:rsidRPr="00E753C0" w:rsidRDefault="00C62CF2" w:rsidP="00C62CF2">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w:t>
      </w:r>
    </w:p>
    <w:p w14:paraId="77189331" w14:textId="77777777" w:rsidR="00C62CF2" w:rsidRPr="00E753C0" w:rsidRDefault="00C62CF2" w:rsidP="00C62CF2">
      <w:pPr>
        <w:pStyle w:val="Textonotapie"/>
        <w:ind w:firstLine="709"/>
        <w:jc w:val="both"/>
        <w:rPr>
          <w:rFonts w:ascii="Verdana" w:hAnsi="Verdana" w:cs="Arial"/>
          <w:sz w:val="14"/>
          <w:szCs w:val="14"/>
        </w:rPr>
      </w:pPr>
    </w:p>
  </w:footnote>
  <w:footnote w:id="17">
    <w:p w14:paraId="04D3A468" w14:textId="77777777" w:rsidR="00C62CF2" w:rsidRPr="00E753C0" w:rsidRDefault="00C62CF2" w:rsidP="00C62CF2">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vertAlign w:val="superscript"/>
        </w:rPr>
        <w:footnoteRef/>
      </w:r>
      <w:r w:rsidRPr="00E753C0">
        <w:rPr>
          <w:rFonts w:ascii="Verdana" w:hAnsi="Verdana" w:cs="Arial"/>
          <w:color w:val="000000" w:themeColor="text1"/>
          <w:sz w:val="14"/>
          <w:szCs w:val="14"/>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656E8F2" w14:textId="77777777" w:rsidR="00C62CF2" w:rsidRPr="00E753C0" w:rsidRDefault="00C62CF2" w:rsidP="00C62CF2">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w:t>
      </w:r>
    </w:p>
    <w:p w14:paraId="0F336A7A" w14:textId="77777777" w:rsidR="00C62CF2" w:rsidRPr="0047173C" w:rsidRDefault="00C62CF2" w:rsidP="00C62CF2">
      <w:pPr>
        <w:pStyle w:val="Textonotapie"/>
        <w:ind w:firstLine="709"/>
        <w:jc w:val="both"/>
        <w:rPr>
          <w:rFonts w:ascii="Verdana" w:hAnsi="Verdana" w:cs="Arial"/>
          <w:color w:val="000000" w:themeColor="text1"/>
          <w:sz w:val="16"/>
          <w:szCs w:val="16"/>
        </w:rPr>
      </w:pPr>
      <w:r w:rsidRPr="00E753C0">
        <w:rPr>
          <w:rFonts w:ascii="Verdana" w:hAnsi="Verdana" w:cs="Arial"/>
          <w:color w:val="000000" w:themeColor="text1"/>
          <w:sz w:val="14"/>
          <w:szCs w:val="14"/>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E753C0">
        <w:rPr>
          <w:rFonts w:ascii="Verdana" w:hAnsi="Verdana" w:cs="Arial"/>
          <w:color w:val="000000" w:themeColor="text1"/>
          <w:sz w:val="14"/>
          <w:szCs w:val="14"/>
        </w:rPr>
        <w:softHyphen/>
        <w:t>ficador de Bienes y Servicios en el tercer nivel. Si la constitución del interesado es menor a 3 años, puede acreditar la experiencia de sus accionistas, socios o constituyentes”.</w:t>
      </w:r>
    </w:p>
  </w:footnote>
  <w:footnote w:id="18">
    <w:p w14:paraId="428886A3" w14:textId="77777777" w:rsidR="00C62CF2" w:rsidRPr="008949A4" w:rsidRDefault="00C62CF2" w:rsidP="00C62CF2">
      <w:pPr>
        <w:pStyle w:val="Textocomentario"/>
        <w:spacing w:after="0"/>
        <w:ind w:firstLine="708"/>
        <w:jc w:val="both"/>
        <w:rPr>
          <w:rFonts w:ascii="Verdana" w:hAnsi="Verdana" w:cs="Arial"/>
          <w:color w:val="000000" w:themeColor="text1"/>
          <w:sz w:val="14"/>
          <w:szCs w:val="14"/>
        </w:rPr>
      </w:pPr>
      <w:r w:rsidRPr="008949A4">
        <w:rPr>
          <w:rStyle w:val="Refdenotaalpie"/>
          <w:rFonts w:ascii="Verdana" w:hAnsi="Verdana" w:cs="Arial"/>
          <w:sz w:val="14"/>
          <w:szCs w:val="14"/>
        </w:rPr>
        <w:footnoteRef/>
      </w:r>
      <w:r w:rsidRPr="008949A4">
        <w:rPr>
          <w:rFonts w:ascii="Verdana" w:hAnsi="Verdana" w:cs="Arial"/>
          <w:sz w:val="14"/>
          <w:szCs w:val="14"/>
        </w:rPr>
        <w:t xml:space="preserve"> </w:t>
      </w:r>
      <w:r w:rsidRPr="008949A4">
        <w:rPr>
          <w:rFonts w:ascii="Verdana" w:hAnsi="Verdana" w:cs="Arial"/>
          <w:color w:val="000000" w:themeColor="text1"/>
          <w:sz w:val="14"/>
          <w:szCs w:val="14"/>
        </w:rPr>
        <w:t>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p w14:paraId="0AA1FD86" w14:textId="77777777" w:rsidR="00C62CF2" w:rsidRPr="00A76D69" w:rsidRDefault="00C62CF2" w:rsidP="00C62CF2">
      <w:pPr>
        <w:pStyle w:val="Textocomentario"/>
        <w:spacing w:after="0"/>
        <w:ind w:firstLine="708"/>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890409238">
    <w:abstractNumId w:val="0"/>
  </w:num>
  <w:num w:numId="17" w16cid:durableId="6638204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16B0"/>
    <w:rsid w:val="00046945"/>
    <w:rsid w:val="00061B2A"/>
    <w:rsid w:val="00082362"/>
    <w:rsid w:val="0009491F"/>
    <w:rsid w:val="000A683E"/>
    <w:rsid w:val="000B19B9"/>
    <w:rsid w:val="000D0334"/>
    <w:rsid w:val="000D5DA7"/>
    <w:rsid w:val="000F6486"/>
    <w:rsid w:val="00116940"/>
    <w:rsid w:val="00125105"/>
    <w:rsid w:val="00127233"/>
    <w:rsid w:val="0015699B"/>
    <w:rsid w:val="00192748"/>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4916"/>
    <w:rsid w:val="004A1847"/>
    <w:rsid w:val="004A1F40"/>
    <w:rsid w:val="004A305D"/>
    <w:rsid w:val="004F21C4"/>
    <w:rsid w:val="004F685F"/>
    <w:rsid w:val="00534757"/>
    <w:rsid w:val="005566E8"/>
    <w:rsid w:val="00574867"/>
    <w:rsid w:val="00591460"/>
    <w:rsid w:val="005A65E0"/>
    <w:rsid w:val="005C3777"/>
    <w:rsid w:val="005C5CDC"/>
    <w:rsid w:val="005D476C"/>
    <w:rsid w:val="00607445"/>
    <w:rsid w:val="006200BF"/>
    <w:rsid w:val="006219F8"/>
    <w:rsid w:val="006302F7"/>
    <w:rsid w:val="00646B9F"/>
    <w:rsid w:val="00665D70"/>
    <w:rsid w:val="006900D9"/>
    <w:rsid w:val="00706C16"/>
    <w:rsid w:val="00707ADC"/>
    <w:rsid w:val="007340C3"/>
    <w:rsid w:val="0074572E"/>
    <w:rsid w:val="00747C70"/>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0E83"/>
    <w:rsid w:val="00867F95"/>
    <w:rsid w:val="008843B6"/>
    <w:rsid w:val="00891928"/>
    <w:rsid w:val="00893D0B"/>
    <w:rsid w:val="008A446D"/>
    <w:rsid w:val="008B25F1"/>
    <w:rsid w:val="008D180B"/>
    <w:rsid w:val="008F0EA7"/>
    <w:rsid w:val="00913F2C"/>
    <w:rsid w:val="00923EEF"/>
    <w:rsid w:val="009419F9"/>
    <w:rsid w:val="0095685E"/>
    <w:rsid w:val="00961B09"/>
    <w:rsid w:val="00965334"/>
    <w:rsid w:val="0097093E"/>
    <w:rsid w:val="009916CF"/>
    <w:rsid w:val="009A0DFA"/>
    <w:rsid w:val="009A1C6F"/>
    <w:rsid w:val="009B2D26"/>
    <w:rsid w:val="009C71FA"/>
    <w:rsid w:val="009C72E7"/>
    <w:rsid w:val="009C7F7E"/>
    <w:rsid w:val="009D3058"/>
    <w:rsid w:val="009E16CE"/>
    <w:rsid w:val="009F3A13"/>
    <w:rsid w:val="00A122D3"/>
    <w:rsid w:val="00A14468"/>
    <w:rsid w:val="00A17F13"/>
    <w:rsid w:val="00A20739"/>
    <w:rsid w:val="00A23AF9"/>
    <w:rsid w:val="00A33C78"/>
    <w:rsid w:val="00AA2358"/>
    <w:rsid w:val="00AB0ADB"/>
    <w:rsid w:val="00B00C0E"/>
    <w:rsid w:val="00B01B1A"/>
    <w:rsid w:val="00B0381D"/>
    <w:rsid w:val="00B44A47"/>
    <w:rsid w:val="00B51FD6"/>
    <w:rsid w:val="00B72CD3"/>
    <w:rsid w:val="00B72FFF"/>
    <w:rsid w:val="00BB7E7C"/>
    <w:rsid w:val="00BC3D36"/>
    <w:rsid w:val="00BD54A6"/>
    <w:rsid w:val="00BD7F72"/>
    <w:rsid w:val="00BF223B"/>
    <w:rsid w:val="00BF7425"/>
    <w:rsid w:val="00C04FB3"/>
    <w:rsid w:val="00C11D8B"/>
    <w:rsid w:val="00C15139"/>
    <w:rsid w:val="00C330EB"/>
    <w:rsid w:val="00C50D69"/>
    <w:rsid w:val="00C5365C"/>
    <w:rsid w:val="00C56578"/>
    <w:rsid w:val="00C62CF2"/>
    <w:rsid w:val="00C754BE"/>
    <w:rsid w:val="00C76B1C"/>
    <w:rsid w:val="00C925AC"/>
    <w:rsid w:val="00CB1533"/>
    <w:rsid w:val="00CB6357"/>
    <w:rsid w:val="00CC1B26"/>
    <w:rsid w:val="00D361FD"/>
    <w:rsid w:val="00D423A2"/>
    <w:rsid w:val="00D44E26"/>
    <w:rsid w:val="00D520D8"/>
    <w:rsid w:val="00D63AC2"/>
    <w:rsid w:val="00D7383B"/>
    <w:rsid w:val="00D7788A"/>
    <w:rsid w:val="00DA231B"/>
    <w:rsid w:val="00DC39FC"/>
    <w:rsid w:val="00DF4394"/>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141F"/>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46EE098"/>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EAA953B-F268-4CCD-BC05-C0A7EC4C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F223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F223B"/>
    <w:rPr>
      <w:rFonts w:ascii="Geomanist Light" w:hAnsi="Geomanist Light"/>
      <w:lang w:val="es-ES"/>
    </w:rPr>
  </w:style>
  <w:style w:type="paragraph" w:styleId="Textocomentario">
    <w:name w:val="annotation text"/>
    <w:basedOn w:val="Normal"/>
    <w:link w:val="TextocomentarioCar"/>
    <w:uiPriority w:val="99"/>
    <w:unhideWhenUsed/>
    <w:rsid w:val="00BF223B"/>
    <w:pPr>
      <w:spacing w:line="240" w:lineRule="auto"/>
    </w:pPr>
    <w:rPr>
      <w:sz w:val="20"/>
      <w:szCs w:val="20"/>
    </w:rPr>
  </w:style>
  <w:style w:type="character" w:customStyle="1" w:styleId="TextocomentarioCar">
    <w:name w:val="Texto comentario Car"/>
    <w:basedOn w:val="Fuentedeprrafopredeter"/>
    <w:link w:val="Textocomentario"/>
    <w:uiPriority w:val="99"/>
    <w:rsid w:val="00BF223B"/>
    <w:rPr>
      <w:sz w:val="20"/>
      <w:szCs w:val="20"/>
    </w:rPr>
  </w:style>
  <w:style w:type="character" w:styleId="Refdecomentario">
    <w:name w:val="annotation reference"/>
    <w:basedOn w:val="Fuentedeprrafopredeter"/>
    <w:uiPriority w:val="99"/>
    <w:semiHidden/>
    <w:unhideWhenUsed/>
    <w:rPr>
      <w:sz w:val="16"/>
      <w:szCs w:val="16"/>
    </w:rPr>
  </w:style>
  <w:style w:type="paragraph" w:styleId="Textoindependiente">
    <w:name w:val="Body Text"/>
    <w:basedOn w:val="Normal"/>
    <w:link w:val="TextoindependienteCar"/>
    <w:uiPriority w:val="1"/>
    <w:unhideWhenUsed/>
    <w:rsid w:val="00C62CF2"/>
    <w:pPr>
      <w:widowControl w:val="0"/>
      <w:autoSpaceDE w:val="0"/>
      <w:autoSpaceDN w:val="0"/>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62CF2"/>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poyojuridico.dsa4@electrohuila.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9F42F96-D0AF-40A0-8DA6-FDE5662D93EC}"/>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25</Pages>
  <Words>8402</Words>
  <Characters>46213</Characters>
  <Application>Microsoft Office Word</Application>
  <DocSecurity>0</DocSecurity>
  <Lines>385</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2026-05-27T10:16:00Z</dcterms:created>
  <dcterms:modified xsi:type="dcterms:W3CDTF">2026-05-27T10:31:00Z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