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989934" w14:textId="77777777" w:rsidR="00480E04" w:rsidRPr="00F274DC" w:rsidRDefault="00480E04" w:rsidP="00480E04">
      <w:pPr>
        <w:spacing w:after="0" w:line="240" w:lineRule="auto"/>
        <w:jc w:val="both"/>
        <w:rPr>
          <w:rFonts w:ascii="Verdana" w:eastAsia="Calibri" w:hAnsi="Verdana" w:cs="Arial"/>
          <w:sz w:val="20"/>
          <w:szCs w:val="20"/>
          <w:lang w:val="es-ES_tradnl" w:eastAsia="es-ES"/>
        </w:rPr>
      </w:pPr>
    </w:p>
    <w:p w14:paraId="603A171C" w14:textId="77777777" w:rsidR="00480E04" w:rsidRPr="00F274DC" w:rsidRDefault="00480E04" w:rsidP="00480E04">
      <w:pPr>
        <w:spacing w:after="0" w:line="240" w:lineRule="auto"/>
        <w:jc w:val="both"/>
        <w:rPr>
          <w:rFonts w:ascii="Verdana" w:eastAsia="Calibri" w:hAnsi="Verdana" w:cs="Arial"/>
          <w:b/>
          <w:bCs/>
          <w:lang w:val="es-ES_tradnl" w:eastAsia="es-ES"/>
        </w:rPr>
      </w:pPr>
      <w:r w:rsidRPr="00F274DC">
        <w:rPr>
          <w:rFonts w:ascii="Verdana" w:eastAsia="Calibri" w:hAnsi="Verdana" w:cs="Arial"/>
          <w:b/>
          <w:bCs/>
          <w:lang w:val="es-ES_tradnl" w:eastAsia="es-ES"/>
        </w:rPr>
        <w:t xml:space="preserve">CONVENIOS INTERADMINISTRATIVOS – </w:t>
      </w:r>
      <w:r>
        <w:rPr>
          <w:rFonts w:ascii="Verdana" w:eastAsia="Calibri" w:hAnsi="Verdana" w:cs="Arial"/>
          <w:b/>
          <w:bCs/>
          <w:lang w:val="es-ES_tradnl" w:eastAsia="es-ES"/>
        </w:rPr>
        <w:t>Esquemas asociativos territoriales – Limitaciones</w:t>
      </w:r>
    </w:p>
    <w:p w14:paraId="2F95885B" w14:textId="77777777" w:rsidR="00480E04" w:rsidRPr="00F274DC" w:rsidRDefault="00480E04" w:rsidP="00480E04">
      <w:pPr>
        <w:spacing w:after="0" w:line="240" w:lineRule="auto"/>
        <w:jc w:val="both"/>
        <w:rPr>
          <w:rFonts w:ascii="Verdana" w:eastAsia="Calibri" w:hAnsi="Verdana" w:cs="Arial"/>
          <w:sz w:val="20"/>
          <w:szCs w:val="20"/>
          <w:lang w:val="es-ES_tradnl" w:eastAsia="es-ES"/>
        </w:rPr>
      </w:pPr>
    </w:p>
    <w:p w14:paraId="169CD637" w14:textId="77777777" w:rsidR="00480E04" w:rsidRDefault="00480E04" w:rsidP="00480E04">
      <w:pPr>
        <w:spacing w:after="0" w:line="240" w:lineRule="auto"/>
        <w:jc w:val="both"/>
        <w:rPr>
          <w:rFonts w:ascii="Verdana" w:eastAsia="Calibri" w:hAnsi="Verdana" w:cs="Arial"/>
          <w:sz w:val="20"/>
          <w:szCs w:val="20"/>
          <w:lang w:val="es-ES_tradnl" w:eastAsia="es-ES"/>
        </w:rPr>
      </w:pPr>
      <w:r>
        <w:rPr>
          <w:rFonts w:ascii="Verdana" w:eastAsia="Calibri" w:hAnsi="Verdana" w:cs="Arial"/>
          <w:sz w:val="20"/>
          <w:szCs w:val="20"/>
          <w:lang w:val="es-ES_tradnl" w:eastAsia="es-ES"/>
        </w:rPr>
        <w:t>C</w:t>
      </w:r>
      <w:r w:rsidRPr="00DC2298">
        <w:rPr>
          <w:rFonts w:ascii="Verdana" w:eastAsia="Calibri" w:hAnsi="Verdana" w:cs="Arial"/>
          <w:sz w:val="20"/>
          <w:szCs w:val="20"/>
          <w:lang w:val="es-ES_tradnl" w:eastAsia="es-ES"/>
        </w:rPr>
        <w:t>on fundamento en el parágrafo del artículo 17 de la Ley 1454 de 2011</w:t>
      </w:r>
      <w:r>
        <w:rPr>
          <w:rFonts w:ascii="Verdana" w:eastAsia="Calibri" w:hAnsi="Verdana" w:cs="Arial"/>
          <w:sz w:val="20"/>
          <w:szCs w:val="20"/>
          <w:lang w:val="es-ES_tradnl" w:eastAsia="es-ES"/>
        </w:rPr>
        <w:t>, e</w:t>
      </w:r>
      <w:r w:rsidRPr="00DC2298">
        <w:rPr>
          <w:rFonts w:ascii="Verdana" w:eastAsia="Calibri" w:hAnsi="Verdana" w:cs="Arial"/>
          <w:sz w:val="20"/>
          <w:szCs w:val="20"/>
          <w:lang w:val="es-ES_tradnl" w:eastAsia="es-ES"/>
        </w:rPr>
        <w:t>s posible que los esquemas asociativos de entidades territoriales señalados en la disposición celebren convenios interadministrativos con otras entidades estatales del artículo 2 de la Ley 80 de 1993, bajo estricta observancia de los requisitos establecidos en el artículo 95 de la Ley 489 de 1998. En todo caso, deben acatarse las prohibiciones establecidas en el artículo 10 de la Ley 1150 de 2007 y en el artículo 92 de la Ley 1474 de 2011, los cuales limitan la modalidad de contratación directa. En caso de que la modalidad sea competitiva, los documentos tipo serán aplicables</w:t>
      </w:r>
      <w:r>
        <w:rPr>
          <w:rFonts w:ascii="Verdana" w:eastAsia="Calibri" w:hAnsi="Verdana" w:cs="Arial"/>
          <w:sz w:val="20"/>
          <w:szCs w:val="20"/>
          <w:lang w:val="es-ES_tradnl" w:eastAsia="es-ES"/>
        </w:rPr>
        <w:t xml:space="preserve"> para las entidades sometidas al EGCAP</w:t>
      </w:r>
      <w:r w:rsidRPr="00DC2298">
        <w:rPr>
          <w:rFonts w:ascii="Verdana" w:eastAsia="Calibri" w:hAnsi="Verdana" w:cs="Arial"/>
          <w:sz w:val="20"/>
          <w:szCs w:val="20"/>
          <w:lang w:val="es-ES_tradnl" w:eastAsia="es-ES"/>
        </w:rPr>
        <w:t xml:space="preserve"> en función del sector, la tipología contractual y la modalidad de selección, siempre que las actividades se encuentren en las matrices de experiencia.</w:t>
      </w:r>
    </w:p>
    <w:p w14:paraId="19D2B694" w14:textId="77777777" w:rsidR="00480E04" w:rsidRPr="00DC2298" w:rsidRDefault="00480E04" w:rsidP="00480E04">
      <w:pPr>
        <w:spacing w:after="0" w:line="240" w:lineRule="auto"/>
        <w:jc w:val="both"/>
        <w:rPr>
          <w:rFonts w:ascii="Verdana" w:eastAsia="Calibri" w:hAnsi="Verdana" w:cs="Arial"/>
          <w:sz w:val="20"/>
          <w:szCs w:val="20"/>
          <w:lang w:val="es-ES_tradnl" w:eastAsia="es-ES"/>
        </w:rPr>
      </w:pPr>
    </w:p>
    <w:p w14:paraId="43B300E4" w14:textId="77777777" w:rsidR="00480E04" w:rsidRPr="00F274DC" w:rsidRDefault="00480E04" w:rsidP="00480E04">
      <w:pPr>
        <w:spacing w:after="0" w:line="240" w:lineRule="auto"/>
        <w:jc w:val="both"/>
        <w:rPr>
          <w:rFonts w:ascii="Verdana" w:eastAsia="Calibri" w:hAnsi="Verdana" w:cs="Arial"/>
          <w:sz w:val="20"/>
          <w:szCs w:val="20"/>
          <w:lang w:val="es-ES_tradnl" w:eastAsia="es-ES"/>
        </w:rPr>
      </w:pPr>
      <w:r w:rsidRPr="00DC2298">
        <w:rPr>
          <w:rFonts w:ascii="Verdana" w:eastAsia="Calibri" w:hAnsi="Verdana" w:cs="Arial"/>
          <w:sz w:val="20"/>
          <w:szCs w:val="20"/>
          <w:lang w:val="es-ES_tradnl" w:eastAsia="es-ES"/>
        </w:rPr>
        <w:t xml:space="preserve">Asimismo, como entidades sometidas al Estatuto General de Contratación conforme al artículo 10 de la Ley 1150 de 2007, los esquemas asociativos de entidades territoriales también son destinatarios directos del parágrafo del artículo 2 de la Ley 1150 de 2007, modificado por el artículo 1 de la Ley 2022 de 2020. Luego sin perjuicio de lo establecido en el artículo 56 de la Ley 2195 de 2022, </w:t>
      </w:r>
      <w:r>
        <w:rPr>
          <w:rFonts w:ascii="Verdana" w:eastAsia="Calibri" w:hAnsi="Verdana" w:cs="Arial"/>
          <w:sz w:val="20"/>
          <w:szCs w:val="20"/>
          <w:lang w:val="es-ES_tradnl" w:eastAsia="es-ES"/>
        </w:rPr>
        <w:t>deben ejecutar los contratos de obra conforme</w:t>
      </w:r>
      <w:r w:rsidRPr="00DC2298">
        <w:rPr>
          <w:rFonts w:ascii="Verdana" w:eastAsia="Calibri" w:hAnsi="Verdana" w:cs="Arial"/>
          <w:sz w:val="20"/>
          <w:szCs w:val="20"/>
          <w:lang w:val="es-ES_tradnl" w:eastAsia="es-ES"/>
        </w:rPr>
        <w:t xml:space="preserve"> a los documentos tipo expedidos por la Agencia, siempre que las actividades estén comprendidas en las matrices de experiencia correspondientes</w:t>
      </w:r>
      <w:r>
        <w:rPr>
          <w:rFonts w:ascii="Verdana" w:eastAsia="Calibri" w:hAnsi="Verdana" w:cs="Arial"/>
          <w:sz w:val="20"/>
          <w:szCs w:val="20"/>
          <w:lang w:val="es-ES_tradnl" w:eastAsia="es-ES"/>
        </w:rPr>
        <w:t>.</w:t>
      </w:r>
    </w:p>
    <w:p w14:paraId="4535FC5A" w14:textId="77777777" w:rsidR="00480E04" w:rsidRPr="00F274DC" w:rsidRDefault="00480E04" w:rsidP="00480E04">
      <w:pPr>
        <w:spacing w:after="0" w:line="240" w:lineRule="auto"/>
        <w:jc w:val="both"/>
        <w:rPr>
          <w:rFonts w:ascii="Verdana" w:eastAsia="Calibri" w:hAnsi="Verdana" w:cs="Arial"/>
          <w:sz w:val="20"/>
          <w:szCs w:val="20"/>
          <w:lang w:val="es-ES_tradnl" w:eastAsia="es-ES"/>
        </w:rPr>
      </w:pPr>
    </w:p>
    <w:p w14:paraId="431ED426" w14:textId="77777777" w:rsidR="00480E04" w:rsidRPr="00760536" w:rsidRDefault="00480E04" w:rsidP="00480E04">
      <w:pPr>
        <w:spacing w:after="0" w:line="240" w:lineRule="auto"/>
        <w:jc w:val="both"/>
        <w:rPr>
          <w:rFonts w:ascii="Verdana" w:hAnsi="Verdana" w:cs="Arial"/>
          <w:b/>
          <w:lang w:val="es-ES"/>
        </w:rPr>
      </w:pPr>
      <w:r>
        <w:rPr>
          <w:rFonts w:ascii="Verdana" w:hAnsi="Verdana" w:cs="Arial"/>
          <w:b/>
          <w:lang w:val="es-ES"/>
        </w:rPr>
        <w:t>LEY DE GARANTÍAS</w:t>
      </w:r>
      <w:r w:rsidRPr="00760536">
        <w:rPr>
          <w:rFonts w:ascii="Verdana" w:hAnsi="Verdana" w:cs="Arial"/>
          <w:b/>
          <w:lang w:val="es-ES"/>
        </w:rPr>
        <w:t xml:space="preserve"> – </w:t>
      </w:r>
      <w:r>
        <w:rPr>
          <w:rFonts w:ascii="Verdana" w:hAnsi="Verdana" w:cs="Arial"/>
          <w:b/>
          <w:lang w:val="es-ES"/>
        </w:rPr>
        <w:t>Restricciones</w:t>
      </w:r>
      <w:r w:rsidRPr="00760536">
        <w:rPr>
          <w:rFonts w:ascii="Verdana" w:hAnsi="Verdana" w:cs="Arial"/>
          <w:b/>
          <w:lang w:val="es-ES"/>
        </w:rPr>
        <w:t xml:space="preserve"> </w:t>
      </w:r>
      <w:r>
        <w:rPr>
          <w:rFonts w:ascii="Verdana" w:hAnsi="Verdana" w:cs="Arial"/>
          <w:b/>
          <w:lang w:val="es-ES"/>
        </w:rPr>
        <w:t>– Convenios interadministrativos – Ejecución de recursos públicos – Alcance</w:t>
      </w:r>
    </w:p>
    <w:p w14:paraId="10BD8C46" w14:textId="77777777" w:rsidR="00480E04" w:rsidRPr="00760536" w:rsidRDefault="00480E04" w:rsidP="00480E04">
      <w:pPr>
        <w:spacing w:after="0" w:line="240" w:lineRule="auto"/>
        <w:jc w:val="both"/>
        <w:rPr>
          <w:rFonts w:ascii="Verdana" w:hAnsi="Verdana" w:cs="Arial"/>
          <w:b/>
          <w:sz w:val="20"/>
          <w:szCs w:val="20"/>
          <w:lang w:val="es-ES"/>
        </w:rPr>
      </w:pPr>
    </w:p>
    <w:p w14:paraId="52BB246F" w14:textId="77777777" w:rsidR="00480E04" w:rsidRDefault="00480E04" w:rsidP="00480E04">
      <w:pPr>
        <w:spacing w:after="0" w:line="240" w:lineRule="auto"/>
        <w:jc w:val="both"/>
        <w:textAlignment w:val="baseline"/>
        <w:rPr>
          <w:rFonts w:ascii="Verdana" w:hAnsi="Verdana" w:cs="Arial"/>
          <w:bCs/>
          <w:sz w:val="20"/>
          <w:szCs w:val="20"/>
          <w:lang w:val="es-MX" w:eastAsia="es-CO"/>
        </w:rPr>
      </w:pPr>
      <w:r>
        <w:rPr>
          <w:rFonts w:ascii="Verdana" w:hAnsi="Verdana" w:cs="Arial"/>
          <w:bCs/>
          <w:sz w:val="20"/>
          <w:szCs w:val="20"/>
          <w:lang w:val="es-MX" w:eastAsia="es-CO"/>
        </w:rPr>
        <w:t>E</w:t>
      </w:r>
      <w:r w:rsidRPr="00D62121">
        <w:rPr>
          <w:rFonts w:ascii="Verdana" w:hAnsi="Verdana" w:cs="Arial"/>
          <w:bCs/>
          <w:sz w:val="20"/>
          <w:szCs w:val="20"/>
          <w:lang w:val="es-MX" w:eastAsia="es-CO"/>
        </w:rPr>
        <w:t xml:space="preserve">l parágrafo del artículo 38 de la Ley 996 de 2005 prohíbe a los Alcaldes, Gobernadores, Secretarios, Gerentes y Directores de las entidades del orden municipal, departamental o distrital celebrar </w:t>
      </w:r>
      <w:r w:rsidRPr="00D62121">
        <w:rPr>
          <w:rFonts w:ascii="Verdana" w:hAnsi="Verdana" w:cs="Arial"/>
          <w:bCs/>
          <w:i/>
          <w:iCs/>
          <w:sz w:val="20"/>
          <w:szCs w:val="20"/>
          <w:lang w:val="es-MX" w:eastAsia="es-CO"/>
        </w:rPr>
        <w:t>convenios interadministrativos</w:t>
      </w:r>
      <w:r w:rsidRPr="00D62121">
        <w:rPr>
          <w:rFonts w:ascii="Verdana" w:hAnsi="Verdana" w:cs="Arial"/>
          <w:bCs/>
          <w:sz w:val="20"/>
          <w:szCs w:val="20"/>
          <w:lang w:val="es-MX" w:eastAsia="es-CO"/>
        </w:rPr>
        <w:t xml:space="preserve"> para la ejecución de recursos públicos. En este sentido, si una o ambas partes de la relación contractual es una entidad de aquellas descritas en el parágrafo </w:t>
      </w:r>
      <w:r w:rsidRPr="00D62121">
        <w:rPr>
          <w:rFonts w:ascii="Verdana" w:hAnsi="Verdana" w:cs="Arial"/>
          <w:bCs/>
          <w:i/>
          <w:sz w:val="20"/>
          <w:szCs w:val="20"/>
          <w:lang w:val="es-MX" w:eastAsia="es-CO"/>
        </w:rPr>
        <w:t>ibidem</w:t>
      </w:r>
      <w:r w:rsidRPr="00D62121">
        <w:rPr>
          <w:rFonts w:ascii="Verdana" w:hAnsi="Verdana" w:cs="Arial"/>
          <w:bCs/>
          <w:sz w:val="20"/>
          <w:szCs w:val="20"/>
          <w:lang w:val="es-MX" w:eastAsia="es-CO"/>
        </w:rPr>
        <w:t xml:space="preserve">, no podrá celebrar tales </w:t>
      </w:r>
      <w:r w:rsidRPr="00D62121">
        <w:rPr>
          <w:rFonts w:ascii="Verdana" w:hAnsi="Verdana" w:cs="Arial"/>
          <w:bCs/>
          <w:i/>
          <w:iCs/>
          <w:sz w:val="20"/>
          <w:szCs w:val="20"/>
          <w:lang w:val="es-MX" w:eastAsia="es-CO"/>
        </w:rPr>
        <w:t>convenios</w:t>
      </w:r>
      <w:r w:rsidRPr="00D62121">
        <w:rPr>
          <w:rFonts w:ascii="Verdana" w:hAnsi="Verdana" w:cs="Arial"/>
          <w:bCs/>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0718958" w14:textId="77777777" w:rsidR="00480E04" w:rsidRPr="00D62121" w:rsidRDefault="00480E04" w:rsidP="00480E04">
      <w:pPr>
        <w:spacing w:after="0" w:line="240" w:lineRule="auto"/>
        <w:jc w:val="both"/>
        <w:textAlignment w:val="baseline"/>
        <w:rPr>
          <w:rFonts w:ascii="Verdana" w:hAnsi="Verdana" w:cs="Arial"/>
          <w:bCs/>
          <w:sz w:val="20"/>
          <w:szCs w:val="20"/>
          <w:lang w:val="es-MX" w:eastAsia="es-CO"/>
        </w:rPr>
      </w:pPr>
    </w:p>
    <w:p w14:paraId="4EAED8B3" w14:textId="77777777" w:rsidR="00480E04" w:rsidRDefault="00480E04" w:rsidP="00480E04">
      <w:pPr>
        <w:spacing w:after="0" w:line="240" w:lineRule="auto"/>
        <w:jc w:val="both"/>
        <w:textAlignment w:val="baseline"/>
        <w:rPr>
          <w:rFonts w:ascii="Verdana" w:hAnsi="Verdana" w:cs="Arial"/>
          <w:bCs/>
          <w:sz w:val="20"/>
          <w:szCs w:val="20"/>
          <w:lang w:eastAsia="es-CO"/>
        </w:rPr>
      </w:pPr>
      <w:r w:rsidRPr="00D62121">
        <w:rPr>
          <w:rFonts w:ascii="Verdana" w:hAnsi="Verdana" w:cs="Arial"/>
          <w:bCs/>
          <w:sz w:val="20"/>
          <w:szCs w:val="20"/>
          <w:lang w:val="es-MX" w:eastAsia="es-CO"/>
        </w:rPr>
        <w:t>Respecto del alcance de esta prohibición la Circular Externa No. 006 de 2025 expedida por la ANCP-CCE, en los literales ii) y iv) del numeral 2</w:t>
      </w:r>
      <w:r w:rsidRPr="00D62121">
        <w:rPr>
          <w:rFonts w:ascii="Verdana" w:hAnsi="Verdana" w:cs="Arial"/>
          <w:bCs/>
          <w:sz w:val="20"/>
          <w:szCs w:val="20"/>
          <w:lang w:eastAsia="es-CO"/>
        </w:rPr>
        <w:t>,</w:t>
      </w:r>
      <w:r w:rsidRPr="00D62121">
        <w:rPr>
          <w:rFonts w:ascii="Verdana" w:hAnsi="Verdana" w:cs="Arial"/>
          <w:bCs/>
          <w:sz w:val="20"/>
          <w:szCs w:val="20"/>
          <w:lang w:val="es-MX" w:eastAsia="es-CO"/>
        </w:rPr>
        <w:t xml:space="preserve"> indica que el </w:t>
      </w:r>
      <w:r w:rsidRPr="00D62121">
        <w:rPr>
          <w:rFonts w:ascii="Verdana" w:hAnsi="Verdana" w:cs="Arial"/>
          <w:bCs/>
          <w:sz w:val="20"/>
          <w:szCs w:val="20"/>
          <w:lang w:eastAsia="es-CO"/>
        </w:rPr>
        <w:t xml:space="preserve">parágrafo del artículo 38 de la Ley 996 de 2005 cobija expresamente a los </w:t>
      </w:r>
      <w:r w:rsidRPr="00D62121">
        <w:rPr>
          <w:rFonts w:ascii="Verdana" w:hAnsi="Verdana" w:cs="Arial"/>
          <w:bCs/>
          <w:i/>
          <w:iCs/>
          <w:sz w:val="20"/>
          <w:szCs w:val="20"/>
          <w:lang w:eastAsia="es-CO"/>
        </w:rPr>
        <w:t>convenios interadministrativos</w:t>
      </w:r>
      <w:r w:rsidRPr="00D62121">
        <w:rPr>
          <w:rFonts w:ascii="Verdana" w:hAnsi="Verdana" w:cs="Arial"/>
          <w:bCs/>
          <w:sz w:val="20"/>
          <w:szCs w:val="20"/>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D62121">
        <w:rPr>
          <w:rFonts w:ascii="Verdana" w:hAnsi="Verdana" w:cs="Arial"/>
          <w:bCs/>
          <w:i/>
          <w:iCs/>
          <w:sz w:val="20"/>
          <w:szCs w:val="20"/>
          <w:lang w:eastAsia="es-CO"/>
        </w:rPr>
        <w:t>“aunque se configure alguno de los supuestos de excepción que señaló el inciso final del artículo 33”</w:t>
      </w:r>
      <w:r w:rsidRPr="00D62121">
        <w:rPr>
          <w:rFonts w:ascii="Verdana" w:hAnsi="Verdana" w:cs="Arial"/>
          <w:bCs/>
          <w:sz w:val="20"/>
          <w:szCs w:val="20"/>
          <w:lang w:eastAsia="es-CO"/>
        </w:rPr>
        <w:t xml:space="preserve">. Por lo demás, la norma tampoco contempla excepciones respecto a la contratación con esquemas asociativos territoriales, además de que la restricción rige al margen del </w:t>
      </w:r>
      <w:r w:rsidRPr="00D62121">
        <w:rPr>
          <w:rFonts w:ascii="Verdana" w:hAnsi="Verdana" w:cs="Arial"/>
          <w:bCs/>
          <w:sz w:val="20"/>
          <w:szCs w:val="20"/>
          <w:lang w:eastAsia="es-CO"/>
        </w:rPr>
        <w:lastRenderedPageBreak/>
        <w:t>contenido de los proyectos que se pretendan ejecutar. Como las excepciones son de reserva legal, tampoco son disponibles por las partes al suscribir el negocio jurídico, por lo que no existe justificación alguna para desconocer la prohibición.</w:t>
      </w:r>
    </w:p>
    <w:p w14:paraId="24BC1BE1" w14:textId="77777777" w:rsidR="00480E04" w:rsidRPr="00D62121" w:rsidRDefault="00480E04" w:rsidP="00480E04">
      <w:pPr>
        <w:spacing w:after="0" w:line="240" w:lineRule="auto"/>
        <w:jc w:val="both"/>
        <w:textAlignment w:val="baseline"/>
        <w:rPr>
          <w:rFonts w:ascii="Verdana" w:hAnsi="Verdana" w:cs="Arial"/>
          <w:bCs/>
          <w:sz w:val="20"/>
          <w:szCs w:val="20"/>
          <w:lang w:eastAsia="es-CO"/>
        </w:rPr>
      </w:pPr>
    </w:p>
    <w:p w14:paraId="5F8639D6" w14:textId="77777777" w:rsidR="00480E04" w:rsidRPr="00D62121" w:rsidRDefault="00480E04" w:rsidP="00480E04">
      <w:pPr>
        <w:spacing w:after="0" w:line="240" w:lineRule="auto"/>
        <w:jc w:val="both"/>
        <w:textAlignment w:val="baseline"/>
        <w:rPr>
          <w:rFonts w:ascii="Verdana" w:hAnsi="Verdana" w:cs="Arial"/>
          <w:bCs/>
          <w:sz w:val="20"/>
          <w:szCs w:val="20"/>
          <w:lang w:eastAsia="es-CO"/>
        </w:rPr>
      </w:pPr>
      <w:r w:rsidRPr="00D62121">
        <w:rPr>
          <w:rFonts w:ascii="Verdana" w:hAnsi="Verdana" w:cs="Arial"/>
          <w:bCs/>
          <w:sz w:val="20"/>
          <w:szCs w:val="20"/>
          <w:lang w:eastAsia="es-CO"/>
        </w:rPr>
        <w:t xml:space="preserve">El ámbito de aplicación de la restricción prevista en el parágrafo del artículo 38 de la Ley 996 de 2005 comprende a los </w:t>
      </w:r>
      <w:r w:rsidRPr="00D62121">
        <w:rPr>
          <w:rFonts w:ascii="Verdana" w:hAnsi="Verdana" w:cs="Arial"/>
          <w:bCs/>
          <w:i/>
          <w:iCs/>
          <w:sz w:val="20"/>
          <w:szCs w:val="20"/>
          <w:lang w:eastAsia="es-CO"/>
        </w:rPr>
        <w:t>convenios interadministrativos</w:t>
      </w:r>
      <w:r w:rsidRPr="00D62121">
        <w:rPr>
          <w:rFonts w:ascii="Verdana" w:hAnsi="Verdana" w:cs="Arial"/>
          <w:bCs/>
          <w:sz w:val="20"/>
          <w:szCs w:val="20"/>
          <w:lang w:eastAsia="es-CO"/>
        </w:rPr>
        <w:t xml:space="preserve"> en los que exista </w:t>
      </w:r>
      <w:r w:rsidRPr="00D62121">
        <w:rPr>
          <w:rFonts w:ascii="Verdana" w:hAnsi="Verdana" w:cs="Arial"/>
          <w:bCs/>
          <w:i/>
          <w:iCs/>
          <w:sz w:val="20"/>
          <w:szCs w:val="20"/>
          <w:lang w:eastAsia="es-CO"/>
        </w:rPr>
        <w:t>ejecución de recursos públicos</w:t>
      </w:r>
      <w:r w:rsidRPr="00D62121">
        <w:rPr>
          <w:rFonts w:ascii="Verdana" w:hAnsi="Verdana" w:cs="Arial"/>
          <w:bCs/>
          <w:sz w:val="20"/>
          <w:szCs w:val="20"/>
          <w:lang w:eastAsia="es-CO"/>
        </w:rPr>
        <w:t xml:space="preserve">, sin importar de que estos sean en dinero o en especie, ya que la norma no distingue. </w:t>
      </w:r>
      <w:r w:rsidRPr="00D62121">
        <w:rPr>
          <w:rFonts w:ascii="Verdana" w:hAnsi="Verdana" w:cs="Arial"/>
          <w:bCs/>
          <w:sz w:val="20"/>
          <w:szCs w:val="20"/>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D62121">
        <w:rPr>
          <w:rFonts w:ascii="Verdana" w:hAnsi="Verdana" w:cs="Arial"/>
          <w:bCs/>
          <w:sz w:val="20"/>
          <w:szCs w:val="20"/>
          <w:lang w:eastAsia="es-CO"/>
        </w:rPr>
        <w:t xml:space="preserve">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3B65C24D" w14:textId="77777777" w:rsidR="00480E04" w:rsidRPr="002C0402" w:rsidRDefault="00480E04" w:rsidP="00480E04">
      <w:pPr>
        <w:spacing w:after="0" w:line="240" w:lineRule="auto"/>
        <w:jc w:val="both"/>
        <w:textAlignment w:val="baseline"/>
        <w:rPr>
          <w:rFonts w:ascii="Verdana" w:hAnsi="Verdana" w:cs="Arial"/>
          <w:bCs/>
          <w:sz w:val="20"/>
          <w:szCs w:val="20"/>
          <w:lang w:val="es-ES_tradnl" w:eastAsia="es-CO"/>
        </w:rPr>
      </w:pPr>
      <w:r w:rsidRPr="002C0402">
        <w:rPr>
          <w:rFonts w:ascii="Verdana" w:hAnsi="Verdana" w:cs="Arial"/>
          <w:bCs/>
          <w:sz w:val="20"/>
          <w:szCs w:val="20"/>
          <w:lang w:val="es-ES_tradnl" w:eastAsia="es-CO"/>
        </w:rPr>
        <w:t xml:space="preserve">  </w:t>
      </w:r>
    </w:p>
    <w:p w14:paraId="49DBCB9B" w14:textId="77777777" w:rsidR="00480E04" w:rsidRDefault="00480E04" w:rsidP="00480E04">
      <w:pPr>
        <w:spacing w:after="0" w:line="240" w:lineRule="auto"/>
        <w:rPr>
          <w:rFonts w:ascii="Verdana" w:eastAsia="Calibri" w:hAnsi="Verdana" w:cs="Arial"/>
          <w:b/>
          <w:color w:val="000000" w:themeColor="text1"/>
          <w:lang w:val="es-ES"/>
        </w:rPr>
      </w:pPr>
    </w:p>
    <w:p w14:paraId="101EC5AA" w14:textId="77777777" w:rsidR="00480E04" w:rsidRDefault="00480E04" w:rsidP="00480E04">
      <w:pPr>
        <w:spacing w:after="0" w:line="240" w:lineRule="auto"/>
        <w:rPr>
          <w:rFonts w:ascii="Verdana" w:eastAsia="Calibri" w:hAnsi="Verdana" w:cs="Arial"/>
          <w:b/>
          <w:color w:val="000000" w:themeColor="text1"/>
          <w:lang w:val="es-ES"/>
        </w:rPr>
      </w:pPr>
    </w:p>
    <w:p w14:paraId="0791C1C2" w14:textId="77777777" w:rsidR="00480E04" w:rsidRDefault="00480E04" w:rsidP="00480E04">
      <w:pPr>
        <w:spacing w:after="0" w:line="240" w:lineRule="auto"/>
        <w:rPr>
          <w:rFonts w:ascii="Verdana" w:eastAsia="Calibri" w:hAnsi="Verdana" w:cs="Arial"/>
          <w:b/>
          <w:color w:val="000000" w:themeColor="text1"/>
          <w:lang w:val="es-ES"/>
        </w:rPr>
      </w:pPr>
    </w:p>
    <w:p w14:paraId="7DC2EF63" w14:textId="77777777" w:rsidR="00480E04" w:rsidRDefault="00480E04" w:rsidP="00480E04">
      <w:pPr>
        <w:spacing w:after="0" w:line="240" w:lineRule="auto"/>
        <w:rPr>
          <w:rFonts w:ascii="Verdana" w:eastAsia="Calibri" w:hAnsi="Verdana" w:cs="Arial"/>
          <w:b/>
          <w:color w:val="000000" w:themeColor="text1"/>
          <w:lang w:val="es-ES"/>
        </w:rPr>
      </w:pPr>
    </w:p>
    <w:p w14:paraId="3A66A6D8" w14:textId="77777777" w:rsidR="00480E04" w:rsidRDefault="00480E04" w:rsidP="00480E04">
      <w:pPr>
        <w:spacing w:after="0" w:line="240" w:lineRule="auto"/>
        <w:rPr>
          <w:rFonts w:ascii="Verdana" w:eastAsia="Calibri" w:hAnsi="Verdana" w:cs="Arial"/>
          <w:b/>
          <w:color w:val="000000" w:themeColor="text1"/>
          <w:lang w:val="es-ES"/>
        </w:rPr>
      </w:pPr>
    </w:p>
    <w:p w14:paraId="0F1B8C4E" w14:textId="77777777" w:rsidR="00480E04" w:rsidRDefault="00480E04" w:rsidP="00480E04">
      <w:pPr>
        <w:spacing w:after="0" w:line="240" w:lineRule="auto"/>
        <w:rPr>
          <w:rFonts w:ascii="Verdana" w:eastAsia="Calibri" w:hAnsi="Verdana" w:cs="Arial"/>
          <w:b/>
          <w:color w:val="000000" w:themeColor="text1"/>
          <w:lang w:val="es-ES"/>
        </w:rPr>
      </w:pPr>
    </w:p>
    <w:p w14:paraId="2EE24C07" w14:textId="77777777" w:rsidR="00480E04" w:rsidRDefault="00480E04" w:rsidP="00480E04">
      <w:pPr>
        <w:spacing w:after="0" w:line="240" w:lineRule="auto"/>
        <w:rPr>
          <w:rFonts w:ascii="Verdana" w:eastAsia="Calibri" w:hAnsi="Verdana" w:cs="Arial"/>
          <w:b/>
          <w:color w:val="000000" w:themeColor="text1"/>
          <w:lang w:val="es-ES"/>
        </w:rPr>
      </w:pPr>
    </w:p>
    <w:p w14:paraId="3A8B6B28" w14:textId="77777777" w:rsidR="00480E04" w:rsidRDefault="00480E04" w:rsidP="00480E04">
      <w:pPr>
        <w:spacing w:after="0" w:line="240" w:lineRule="auto"/>
        <w:rPr>
          <w:rFonts w:ascii="Verdana" w:eastAsia="Calibri" w:hAnsi="Verdana" w:cs="Arial"/>
          <w:b/>
          <w:color w:val="000000" w:themeColor="text1"/>
          <w:lang w:val="es-ES"/>
        </w:rPr>
      </w:pPr>
    </w:p>
    <w:p w14:paraId="119AA35E" w14:textId="77777777" w:rsidR="00480E04" w:rsidRDefault="00480E04" w:rsidP="00480E04">
      <w:pPr>
        <w:spacing w:after="0" w:line="240" w:lineRule="auto"/>
        <w:rPr>
          <w:rFonts w:ascii="Verdana" w:eastAsia="Calibri" w:hAnsi="Verdana" w:cs="Arial"/>
          <w:b/>
          <w:color w:val="000000" w:themeColor="text1"/>
          <w:lang w:val="es-ES"/>
        </w:rPr>
      </w:pPr>
    </w:p>
    <w:p w14:paraId="747A0BB6" w14:textId="77777777" w:rsidR="00480E04" w:rsidRDefault="00480E04" w:rsidP="00480E04">
      <w:pPr>
        <w:spacing w:after="0" w:line="240" w:lineRule="auto"/>
        <w:rPr>
          <w:rFonts w:ascii="Verdana" w:eastAsia="Calibri" w:hAnsi="Verdana" w:cs="Arial"/>
          <w:b/>
          <w:color w:val="000000" w:themeColor="text1"/>
          <w:lang w:val="es-ES"/>
        </w:rPr>
      </w:pPr>
    </w:p>
    <w:p w14:paraId="092038A9" w14:textId="77777777" w:rsidR="00480E04" w:rsidRDefault="00480E04" w:rsidP="00480E04">
      <w:pPr>
        <w:spacing w:after="0" w:line="240" w:lineRule="auto"/>
        <w:rPr>
          <w:rFonts w:ascii="Verdana" w:eastAsia="Calibri" w:hAnsi="Verdana" w:cs="Arial"/>
          <w:b/>
          <w:color w:val="000000" w:themeColor="text1"/>
          <w:lang w:val="es-ES"/>
        </w:rPr>
      </w:pPr>
    </w:p>
    <w:p w14:paraId="342A6251" w14:textId="77777777" w:rsidR="00480E04" w:rsidRDefault="00480E04" w:rsidP="00480E04">
      <w:pPr>
        <w:spacing w:after="0" w:line="240" w:lineRule="auto"/>
        <w:rPr>
          <w:rFonts w:ascii="Verdana" w:eastAsia="Calibri" w:hAnsi="Verdana" w:cs="Arial"/>
          <w:b/>
          <w:color w:val="000000" w:themeColor="text1"/>
          <w:lang w:val="es-ES"/>
        </w:rPr>
      </w:pPr>
    </w:p>
    <w:p w14:paraId="590A9CBC" w14:textId="77777777" w:rsidR="00480E04" w:rsidRDefault="00480E04" w:rsidP="00480E04">
      <w:pPr>
        <w:spacing w:after="0" w:line="240" w:lineRule="auto"/>
        <w:rPr>
          <w:rFonts w:ascii="Verdana" w:eastAsia="Calibri" w:hAnsi="Verdana" w:cs="Arial"/>
          <w:b/>
          <w:color w:val="000000" w:themeColor="text1"/>
          <w:lang w:val="es-ES"/>
        </w:rPr>
      </w:pPr>
    </w:p>
    <w:p w14:paraId="072BB3F0" w14:textId="77777777" w:rsidR="00480E04" w:rsidRDefault="00480E04" w:rsidP="00480E04">
      <w:pPr>
        <w:spacing w:after="0" w:line="240" w:lineRule="auto"/>
        <w:rPr>
          <w:rFonts w:ascii="Verdana" w:eastAsia="Calibri" w:hAnsi="Verdana" w:cs="Arial"/>
          <w:b/>
          <w:color w:val="000000" w:themeColor="text1"/>
          <w:lang w:val="es-ES"/>
        </w:rPr>
      </w:pPr>
    </w:p>
    <w:p w14:paraId="32A2B749" w14:textId="77777777" w:rsidR="00480E04" w:rsidRDefault="00480E04" w:rsidP="00480E04">
      <w:pPr>
        <w:spacing w:after="0" w:line="240" w:lineRule="auto"/>
        <w:rPr>
          <w:rFonts w:ascii="Verdana" w:eastAsia="Calibri" w:hAnsi="Verdana" w:cs="Arial"/>
          <w:b/>
          <w:color w:val="000000" w:themeColor="text1"/>
          <w:lang w:val="es-ES"/>
        </w:rPr>
      </w:pPr>
    </w:p>
    <w:p w14:paraId="275E2EBB" w14:textId="77777777" w:rsidR="00480E04" w:rsidRDefault="00480E04" w:rsidP="00480E04">
      <w:pPr>
        <w:spacing w:after="0" w:line="240" w:lineRule="auto"/>
        <w:rPr>
          <w:rFonts w:ascii="Verdana" w:eastAsia="Calibri" w:hAnsi="Verdana" w:cs="Arial"/>
          <w:b/>
          <w:color w:val="000000" w:themeColor="text1"/>
          <w:lang w:val="es-ES"/>
        </w:rPr>
      </w:pPr>
    </w:p>
    <w:p w14:paraId="63339326" w14:textId="77777777" w:rsidR="00480E04" w:rsidRDefault="00480E04" w:rsidP="00480E04">
      <w:pPr>
        <w:spacing w:after="0" w:line="240" w:lineRule="auto"/>
        <w:rPr>
          <w:rFonts w:ascii="Verdana" w:eastAsia="Calibri" w:hAnsi="Verdana" w:cs="Arial"/>
          <w:b/>
          <w:color w:val="000000" w:themeColor="text1"/>
          <w:lang w:val="es-ES"/>
        </w:rPr>
      </w:pPr>
    </w:p>
    <w:p w14:paraId="4CA10321" w14:textId="77777777" w:rsidR="00480E04" w:rsidRDefault="00480E04" w:rsidP="00480E04">
      <w:pPr>
        <w:spacing w:after="0" w:line="240" w:lineRule="auto"/>
        <w:rPr>
          <w:rFonts w:ascii="Verdana" w:eastAsia="Calibri" w:hAnsi="Verdana" w:cs="Arial"/>
          <w:b/>
          <w:color w:val="000000" w:themeColor="text1"/>
          <w:lang w:val="es-ES"/>
        </w:rPr>
      </w:pPr>
    </w:p>
    <w:p w14:paraId="5801D929" w14:textId="77777777" w:rsidR="00480E04" w:rsidRDefault="00480E04" w:rsidP="00480E04">
      <w:pPr>
        <w:spacing w:after="0" w:line="240" w:lineRule="auto"/>
        <w:rPr>
          <w:rFonts w:ascii="Verdana" w:eastAsia="Calibri" w:hAnsi="Verdana" w:cs="Arial"/>
          <w:b/>
          <w:color w:val="000000" w:themeColor="text1"/>
          <w:lang w:val="es-ES"/>
        </w:rPr>
      </w:pPr>
    </w:p>
    <w:p w14:paraId="59F4E15F" w14:textId="77777777" w:rsidR="00480E04" w:rsidRDefault="00480E04" w:rsidP="00480E04">
      <w:pPr>
        <w:spacing w:after="0" w:line="240" w:lineRule="auto"/>
        <w:rPr>
          <w:rFonts w:ascii="Verdana" w:eastAsia="Calibri" w:hAnsi="Verdana" w:cs="Arial"/>
          <w:b/>
          <w:color w:val="000000" w:themeColor="text1"/>
          <w:lang w:val="es-ES"/>
        </w:rPr>
      </w:pPr>
    </w:p>
    <w:p w14:paraId="2276CD6F" w14:textId="77777777" w:rsidR="00480E04" w:rsidRDefault="00480E04" w:rsidP="00480E04">
      <w:pPr>
        <w:spacing w:after="0" w:line="240" w:lineRule="auto"/>
        <w:rPr>
          <w:rFonts w:ascii="Verdana" w:eastAsia="Calibri" w:hAnsi="Verdana" w:cs="Arial"/>
          <w:b/>
          <w:color w:val="000000" w:themeColor="text1"/>
          <w:lang w:val="es-ES"/>
        </w:rPr>
      </w:pPr>
    </w:p>
    <w:p w14:paraId="42B3DF96" w14:textId="77777777" w:rsidR="00480E04" w:rsidRDefault="00480E04" w:rsidP="00480E04">
      <w:pPr>
        <w:spacing w:after="0" w:line="240" w:lineRule="auto"/>
        <w:rPr>
          <w:rFonts w:ascii="Verdana" w:eastAsia="Calibri" w:hAnsi="Verdana" w:cs="Arial"/>
          <w:b/>
          <w:color w:val="000000" w:themeColor="text1"/>
          <w:lang w:val="es-ES"/>
        </w:rPr>
      </w:pPr>
    </w:p>
    <w:p w14:paraId="0995432E" w14:textId="77777777" w:rsidR="00480E04" w:rsidRDefault="00480E04" w:rsidP="00480E04">
      <w:pPr>
        <w:spacing w:after="0" w:line="240" w:lineRule="auto"/>
        <w:rPr>
          <w:rFonts w:ascii="Verdana" w:eastAsia="Calibri" w:hAnsi="Verdana" w:cs="Arial"/>
          <w:b/>
          <w:color w:val="000000" w:themeColor="text1"/>
          <w:lang w:val="es-ES"/>
        </w:rPr>
      </w:pPr>
    </w:p>
    <w:p w14:paraId="3E3EEC57" w14:textId="77777777" w:rsidR="00480E04" w:rsidRDefault="00480E04" w:rsidP="00480E04">
      <w:pPr>
        <w:spacing w:after="0" w:line="240" w:lineRule="auto"/>
        <w:rPr>
          <w:rFonts w:ascii="Verdana" w:eastAsia="Calibri" w:hAnsi="Verdana" w:cs="Arial"/>
          <w:b/>
          <w:color w:val="000000" w:themeColor="text1"/>
          <w:lang w:val="es-ES"/>
        </w:rPr>
      </w:pPr>
    </w:p>
    <w:p w14:paraId="606C3901" w14:textId="77777777" w:rsidR="00480E04" w:rsidRDefault="00480E04" w:rsidP="007C2AE6">
      <w:pPr>
        <w:spacing w:after="0" w:line="240" w:lineRule="auto"/>
        <w:rPr>
          <w:rFonts w:ascii="Verdana" w:eastAsia="Calibri" w:hAnsi="Verdana" w:cs="Arial"/>
          <w:b/>
          <w:color w:val="000000" w:themeColor="text1"/>
          <w:lang w:val="es-ES"/>
        </w:rPr>
      </w:pPr>
    </w:p>
    <w:p w14:paraId="152FB3E3" w14:textId="77777777" w:rsidR="00480E04" w:rsidRDefault="00480E04" w:rsidP="007C2AE6">
      <w:pPr>
        <w:spacing w:after="0" w:line="240" w:lineRule="auto"/>
        <w:rPr>
          <w:rFonts w:ascii="Verdana" w:eastAsia="Geomanist Light" w:hAnsi="Verdana" w:cs="Arial"/>
          <w:color w:val="000000" w:themeColor="text1"/>
          <w:lang w:val="es-MX"/>
        </w:rPr>
      </w:pPr>
    </w:p>
    <w:p w14:paraId="00D826AD" w14:textId="77777777" w:rsidR="00480E04" w:rsidRDefault="00480E04" w:rsidP="007C2AE6">
      <w:pPr>
        <w:spacing w:after="0" w:line="240" w:lineRule="auto"/>
        <w:rPr>
          <w:rFonts w:ascii="Verdana" w:eastAsia="Geomanist Light" w:hAnsi="Verdana" w:cs="Arial"/>
          <w:color w:val="000000" w:themeColor="text1"/>
          <w:lang w:val="es-MX"/>
        </w:rPr>
      </w:pPr>
    </w:p>
    <w:p w14:paraId="0A57347F" w14:textId="32D3C277" w:rsidR="007C2AE6" w:rsidRPr="00593A5F" w:rsidRDefault="007C2AE6" w:rsidP="007C2AE6">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491AE1" w:rsidRPr="00491AE1">
        <w:rPr>
          <w:rFonts w:ascii="Verdana" w:eastAsia="Geomanist Light" w:hAnsi="Verdana" w:cs="Arial"/>
          <w:color w:val="000000" w:themeColor="text1"/>
          <w:lang w:val="es-MX"/>
        </w:rPr>
        <w:t>27 de Mayo de 2026</w:t>
      </w:r>
    </w:p>
    <w:p w14:paraId="4E859C3D" w14:textId="586D4632" w:rsidR="007C2AE6" w:rsidRDefault="007C2AE6" w:rsidP="007C2AE6">
      <w:pPr>
        <w:spacing w:after="0" w:line="240" w:lineRule="auto"/>
        <w:jc w:val="both"/>
        <w:rPr>
          <w:rFonts w:ascii="Verdana" w:eastAsia="Calibri" w:hAnsi="Verdana" w:cs="Arial"/>
          <w:color w:val="000000"/>
          <w:lang w:val="es-ES"/>
        </w:rPr>
      </w:pPr>
    </w:p>
    <w:p w14:paraId="4925DB82" w14:textId="39D6C26E" w:rsidR="002D4721" w:rsidRDefault="002D4721" w:rsidP="002D4721">
      <w:pPr>
        <w:spacing w:after="0" w:line="240" w:lineRule="auto"/>
        <w:jc w:val="right"/>
        <w:rPr>
          <w:rFonts w:ascii="Verdana" w:eastAsia="Calibri" w:hAnsi="Verdana" w:cs="Arial"/>
          <w:color w:val="000000"/>
          <w:lang w:val="es-ES"/>
        </w:rPr>
      </w:pPr>
    </w:p>
    <w:p w14:paraId="76C7C186" w14:textId="732AC70D" w:rsidR="007C2AE6" w:rsidRPr="00593A5F" w:rsidRDefault="0004007D" w:rsidP="007C2AE6">
      <w:pPr>
        <w:spacing w:after="0" w:line="240" w:lineRule="auto"/>
        <w:jc w:val="both"/>
        <w:rPr>
          <w:rFonts w:ascii="Verdana" w:eastAsia="Calibri" w:hAnsi="Verdana" w:cs="Arial"/>
          <w:color w:val="000000"/>
          <w:lang w:val="es-ES"/>
        </w:rPr>
      </w:pPr>
      <w:r w:rsidRPr="002D4721">
        <w:rPr>
          <w:rFonts w:ascii="Verdana" w:eastAsia="Calibri" w:hAnsi="Verdana" w:cs="Arial"/>
          <w:noProof/>
          <w:color w:val="000000"/>
          <w:lang w:val="es-ES"/>
        </w:rPr>
        <w:drawing>
          <wp:anchor distT="0" distB="0" distL="114300" distR="114300" simplePos="0" relativeHeight="251658240" behindDoc="0" locked="0" layoutInCell="1" allowOverlap="1" wp14:anchorId="6F0817F3" wp14:editId="4B232439">
            <wp:simplePos x="0" y="0"/>
            <wp:positionH relativeFrom="margin">
              <wp:align>right</wp:align>
            </wp:positionH>
            <wp:positionV relativeFrom="paragraph">
              <wp:posOffset>32413</wp:posOffset>
            </wp:positionV>
            <wp:extent cx="2606675" cy="810895"/>
            <wp:effectExtent l="0" t="0" r="3175" b="8255"/>
            <wp:wrapSquare wrapText="bothSides"/>
            <wp:docPr id="11435188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518821" name=""/>
                    <pic:cNvPicPr/>
                  </pic:nvPicPr>
                  <pic:blipFill>
                    <a:blip r:embed="rId10">
                      <a:extLst>
                        <a:ext uri="{28A0092B-C50C-407E-A947-70E740481C1C}">
                          <a14:useLocalDpi xmlns:a14="http://schemas.microsoft.com/office/drawing/2010/main" val="0"/>
                        </a:ext>
                      </a:extLst>
                    </a:blip>
                    <a:stretch>
                      <a:fillRect/>
                    </a:stretch>
                  </pic:blipFill>
                  <pic:spPr>
                    <a:xfrm>
                      <a:off x="0" y="0"/>
                      <a:ext cx="2606675" cy="810895"/>
                    </a:xfrm>
                    <a:prstGeom prst="rect">
                      <a:avLst/>
                    </a:prstGeom>
                  </pic:spPr>
                </pic:pic>
              </a:graphicData>
            </a:graphic>
            <wp14:sizeRelH relativeFrom="margin">
              <wp14:pctWidth>0</wp14:pctWidth>
            </wp14:sizeRelH>
            <wp14:sizeRelV relativeFrom="margin">
              <wp14:pctHeight>0</wp14:pctHeight>
            </wp14:sizeRelV>
          </wp:anchor>
        </w:drawing>
      </w:r>
    </w:p>
    <w:p w14:paraId="68582B10" w14:textId="77777777" w:rsidR="007C2AE6" w:rsidRPr="00B96799" w:rsidRDefault="007C2AE6" w:rsidP="007C2AE6">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1978E88B" w14:textId="77777777" w:rsidR="007C2AE6" w:rsidRDefault="007C2AE6" w:rsidP="007C2AE6">
      <w:pPr>
        <w:spacing w:after="0" w:line="240" w:lineRule="auto"/>
        <w:rPr>
          <w:rFonts w:ascii="Verdana" w:eastAsia="Calibri" w:hAnsi="Verdana" w:cs="Arial"/>
          <w:b/>
          <w:lang w:val="es-ES" w:eastAsia="es-ES"/>
        </w:rPr>
      </w:pPr>
      <w:r w:rsidRPr="6FC6B91F">
        <w:rPr>
          <w:rFonts w:ascii="Verdana" w:eastAsia="Calibri" w:hAnsi="Verdana" w:cs="Arial"/>
          <w:b/>
          <w:lang w:val="es-ES" w:eastAsia="es-ES"/>
        </w:rPr>
        <w:t xml:space="preserve">Juan David Patiño Trasaladino </w:t>
      </w:r>
    </w:p>
    <w:p w14:paraId="4E7DED45" w14:textId="77777777" w:rsidR="007C2AE6" w:rsidRPr="009265E9" w:rsidRDefault="007C2AE6" w:rsidP="007C2AE6">
      <w:pPr>
        <w:spacing w:after="0" w:line="240" w:lineRule="auto"/>
        <w:rPr>
          <w:rFonts w:ascii="Verdana" w:eastAsia="Calibri" w:hAnsi="Verdana" w:cs="Arial"/>
          <w:lang w:val="es-ES" w:eastAsia="es-ES"/>
        </w:rPr>
      </w:pPr>
      <w:hyperlink r:id="rId11" w:history="1">
        <w:r w:rsidRPr="009265E9">
          <w:rPr>
            <w:rStyle w:val="Hipervnculo"/>
            <w:rFonts w:ascii="Verdana" w:hAnsi="Verdana"/>
          </w:rPr>
          <w:t>davidsanti090815@gmail.com</w:t>
        </w:r>
      </w:hyperlink>
      <w:r w:rsidRPr="009265E9">
        <w:rPr>
          <w:rFonts w:ascii="Verdana" w:hAnsi="Verdana"/>
        </w:rPr>
        <w:t xml:space="preserve">                     </w:t>
      </w:r>
      <w:r w:rsidRPr="009265E9">
        <w:rPr>
          <w:rFonts w:ascii="Verdana" w:eastAsia="Calibri" w:hAnsi="Verdana" w:cs="Arial"/>
          <w:lang w:val="es-ES" w:eastAsia="es-ES"/>
        </w:rPr>
        <w:t xml:space="preserve">    </w:t>
      </w:r>
    </w:p>
    <w:p w14:paraId="50044290" w14:textId="77777777" w:rsidR="007C2AE6" w:rsidRDefault="007C2AE6" w:rsidP="007C2AE6">
      <w:pPr>
        <w:spacing w:after="0" w:line="240" w:lineRule="auto"/>
        <w:rPr>
          <w:rFonts w:ascii="Verdana" w:eastAsia="Calibri" w:hAnsi="Verdana" w:cs="Arial"/>
          <w:lang w:val="es-ES" w:eastAsia="es-ES"/>
        </w:rPr>
      </w:pPr>
      <w:r w:rsidRPr="009265E9">
        <w:rPr>
          <w:rFonts w:ascii="Verdana" w:eastAsia="Calibri" w:hAnsi="Verdana" w:cs="Arial"/>
          <w:lang w:val="es-ES" w:eastAsia="es-ES"/>
        </w:rPr>
        <w:t>El Dorado</w:t>
      </w:r>
      <w:r>
        <w:rPr>
          <w:rFonts w:ascii="Verdana" w:eastAsia="Calibri" w:hAnsi="Verdana" w:cs="Arial"/>
          <w:lang w:val="es-ES" w:eastAsia="es-ES"/>
        </w:rPr>
        <w:t>,</w:t>
      </w:r>
      <w:r w:rsidRPr="009265E9">
        <w:rPr>
          <w:rFonts w:ascii="Verdana" w:eastAsia="Calibri" w:hAnsi="Verdana" w:cs="Arial"/>
          <w:lang w:val="es-ES" w:eastAsia="es-ES"/>
        </w:rPr>
        <w:t xml:space="preserve"> Meta</w:t>
      </w:r>
      <w:r>
        <w:rPr>
          <w:rFonts w:ascii="Verdana" w:eastAsia="Calibri" w:hAnsi="Verdana" w:cs="Arial"/>
          <w:lang w:val="es-ES" w:eastAsia="es-ES"/>
        </w:rPr>
        <w:t xml:space="preserve"> </w:t>
      </w:r>
    </w:p>
    <w:p w14:paraId="4E7A67A0" w14:textId="77777777" w:rsidR="007C2AE6" w:rsidRPr="00593A5F" w:rsidRDefault="007C2AE6" w:rsidP="007C2AE6">
      <w:pPr>
        <w:spacing w:after="0" w:line="240" w:lineRule="auto"/>
        <w:rPr>
          <w:rFonts w:ascii="Verdana" w:eastAsia="Calibri" w:hAnsi="Verdana" w:cs="Arial"/>
          <w:b/>
          <w:bCs/>
          <w:color w:val="000000"/>
          <w:lang w:val="es-ES_tradnl" w:eastAsia="es-ES_tradnl"/>
        </w:rPr>
      </w:pPr>
    </w:p>
    <w:p w14:paraId="48E652BF" w14:textId="77777777" w:rsidR="007C2AE6" w:rsidRPr="00593A5F" w:rsidRDefault="007C2AE6" w:rsidP="007C2AE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2AE6" w:rsidRPr="00593A5F" w14:paraId="042523F5" w14:textId="77777777" w:rsidTr="000048C3">
        <w:trPr>
          <w:trHeight w:val="884"/>
        </w:trPr>
        <w:tc>
          <w:tcPr>
            <w:tcW w:w="2689" w:type="dxa"/>
          </w:tcPr>
          <w:p w14:paraId="47013943" w14:textId="77777777" w:rsidR="007C2AE6" w:rsidRPr="00C00976" w:rsidRDefault="007C2AE6" w:rsidP="000048C3">
            <w:pPr>
              <w:jc w:val="both"/>
              <w:rPr>
                <w:rFonts w:ascii="Verdana" w:eastAsia="Calibri" w:hAnsi="Verdana" w:cs="Arial"/>
                <w:b/>
                <w:bCs/>
                <w:color w:val="7030A0"/>
                <w:lang w:val="es-ES_tradnl" w:eastAsia="es-ES_tradnl"/>
              </w:rPr>
            </w:pPr>
          </w:p>
        </w:tc>
        <w:tc>
          <w:tcPr>
            <w:tcW w:w="6100" w:type="dxa"/>
          </w:tcPr>
          <w:p w14:paraId="14FE8AF2" w14:textId="77777777" w:rsidR="007C2AE6" w:rsidRPr="00C00976" w:rsidRDefault="007C2AE6" w:rsidP="000048C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608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7C2AE6" w:rsidRPr="00593A5F" w14:paraId="54EBE45E" w14:textId="77777777" w:rsidTr="000048C3">
        <w:trPr>
          <w:trHeight w:val="884"/>
        </w:trPr>
        <w:tc>
          <w:tcPr>
            <w:tcW w:w="2689" w:type="dxa"/>
          </w:tcPr>
          <w:p w14:paraId="1FE130C4" w14:textId="77777777" w:rsidR="007C2AE6" w:rsidRPr="00593A5F" w:rsidRDefault="007C2AE6" w:rsidP="000048C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D18A2FA" w14:textId="77777777" w:rsidR="007C2AE6" w:rsidRPr="00A11406" w:rsidRDefault="007C2AE6" w:rsidP="000048C3">
            <w:pPr>
              <w:spacing w:line="276" w:lineRule="auto"/>
              <w:jc w:val="both"/>
              <w:rPr>
                <w:rFonts w:ascii="Verdana" w:eastAsia="Calibri" w:hAnsi="Verdana" w:cs="Arial"/>
                <w:lang w:val="es-ES" w:eastAsia="es-ES"/>
              </w:rPr>
            </w:pPr>
            <w:r w:rsidRPr="00FA34D1">
              <w:rPr>
                <w:rFonts w:ascii="Verdana" w:eastAsia="Calibri" w:hAnsi="Verdana" w:cs="Arial"/>
                <w:lang w:val="es-ES" w:eastAsia="es-ES"/>
              </w:rPr>
              <w:t xml:space="preserve">CONVENIOS INTERADMINISTRATIVOS – Esquemas asociativos territoriales – Limitaciones </w:t>
            </w:r>
            <w:r w:rsidRPr="00F274DC">
              <w:rPr>
                <w:rFonts w:ascii="Verdana" w:eastAsia="Calibri" w:hAnsi="Verdana" w:cs="Arial"/>
                <w:lang w:val="es-ES" w:eastAsia="es-ES"/>
              </w:rPr>
              <w:t>/</w:t>
            </w:r>
            <w:r w:rsidRPr="009673B4">
              <w:rPr>
                <w:rFonts w:ascii="Verdana" w:eastAsia="Calibri" w:hAnsi="Verdana" w:cs="Arial"/>
                <w:lang w:val="es-ES" w:eastAsia="es-ES"/>
              </w:rPr>
              <w:t xml:space="preserve"> </w:t>
            </w:r>
            <w:r w:rsidRPr="00D62121">
              <w:rPr>
                <w:rFonts w:ascii="Verdana" w:eastAsia="Calibri" w:hAnsi="Verdana" w:cs="Arial"/>
                <w:lang w:val="es-ES" w:eastAsia="es-ES"/>
              </w:rPr>
              <w:t>LEY DE GARANTÍAS – Restricciones – Convenios interadministrativos – Ejecución de recursos públicos – Alcance</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5310724" w14:textId="77777777" w:rsidR="007C2AE6" w:rsidRPr="00593A5F" w:rsidRDefault="007C2AE6" w:rsidP="000048C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7C2AE6" w:rsidRPr="008E6AD9" w14:paraId="31735CC5" w14:textId="77777777" w:rsidTr="000048C3">
        <w:tc>
          <w:tcPr>
            <w:tcW w:w="2689" w:type="dxa"/>
          </w:tcPr>
          <w:p w14:paraId="78A4C063" w14:textId="77777777" w:rsidR="007C2AE6" w:rsidRPr="008E6AD9" w:rsidRDefault="007C2AE6" w:rsidP="000048C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37598CA" w14:textId="77777777" w:rsidR="007C2AE6" w:rsidRPr="00B92340" w:rsidRDefault="007C2AE6" w:rsidP="000048C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3F6250">
              <w:rPr>
                <w:rFonts w:ascii="Verdana" w:eastAsia="Calibri" w:hAnsi="Verdana" w:cs="Arial"/>
                <w:lang w:val="es-ES_tradnl" w:eastAsia="es-ES_tradnl"/>
              </w:rPr>
              <w:t>1_2026_04_14_005025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1BAADCF" w14:textId="77777777" w:rsidR="007C2AE6" w:rsidRPr="00593A5F" w:rsidRDefault="007C2AE6" w:rsidP="007C2AE6">
      <w:pPr>
        <w:spacing w:after="0" w:line="240" w:lineRule="auto"/>
        <w:jc w:val="both"/>
        <w:rPr>
          <w:rFonts w:ascii="Verdana" w:eastAsia="Calibri" w:hAnsi="Verdana" w:cs="Arial"/>
          <w:color w:val="000000"/>
          <w:lang w:val="es-ES_tradnl" w:eastAsia="es-ES_tradnl"/>
        </w:rPr>
      </w:pPr>
    </w:p>
    <w:p w14:paraId="61AAB989" w14:textId="77777777" w:rsidR="007C2AE6" w:rsidRPr="00593A5F" w:rsidRDefault="007C2AE6" w:rsidP="007C2AE6">
      <w:pPr>
        <w:spacing w:after="0" w:line="240" w:lineRule="auto"/>
        <w:jc w:val="both"/>
        <w:rPr>
          <w:rFonts w:ascii="Verdana" w:eastAsia="Calibri" w:hAnsi="Verdana" w:cs="Arial"/>
          <w:color w:val="000000"/>
          <w:lang w:val="es-ES_tradnl" w:eastAsia="es-ES_tradnl"/>
        </w:rPr>
      </w:pPr>
    </w:p>
    <w:p w14:paraId="6D9CA6B7" w14:textId="77777777" w:rsidR="007C2AE6" w:rsidRPr="008E6AD9" w:rsidRDefault="007C2AE6" w:rsidP="007C2AE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9265E9">
        <w:rPr>
          <w:rFonts w:ascii="Verdana" w:eastAsia="Calibri" w:hAnsi="Verdana" w:cs="Arial"/>
          <w:lang w:val="es-ES" w:eastAsia="es-ES"/>
        </w:rPr>
        <w:t>Patiño Trasaladino</w:t>
      </w:r>
      <w:r w:rsidRPr="008E6AD9">
        <w:rPr>
          <w:rFonts w:ascii="Verdana" w:eastAsia="Calibri" w:hAnsi="Verdana" w:cs="Arial"/>
          <w:lang w:val="es-ES" w:eastAsia="es-ES"/>
        </w:rPr>
        <w:t xml:space="preserve">: </w:t>
      </w:r>
    </w:p>
    <w:p w14:paraId="2DB4B48A" w14:textId="77777777" w:rsidR="007C2AE6" w:rsidRDefault="007C2AE6" w:rsidP="007C2AE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87EE7EE" w14:textId="77777777" w:rsidR="007C2AE6" w:rsidRPr="00593A5F" w:rsidRDefault="007C2AE6" w:rsidP="007C2AE6">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14 de abril de 2026, donde solicita conceptuar sobre el siguiente aspecto</w:t>
      </w:r>
      <w:r w:rsidRPr="008E6AD9">
        <w:rPr>
          <w:rFonts w:ascii="Verdana" w:eastAsia="Calibri" w:hAnsi="Verdana" w:cs="Arial"/>
          <w:lang w:val="es-ES" w:eastAsia="es-ES"/>
        </w:rPr>
        <w:t xml:space="preserve">: </w:t>
      </w:r>
    </w:p>
    <w:p w14:paraId="0794481E" w14:textId="77777777" w:rsidR="007C2AE6" w:rsidRPr="00272A7B" w:rsidRDefault="007C2AE6" w:rsidP="007C2AE6">
      <w:pPr>
        <w:pStyle w:val="Prrafodelista"/>
        <w:tabs>
          <w:tab w:val="left" w:pos="142"/>
          <w:tab w:val="left" w:pos="284"/>
        </w:tabs>
        <w:spacing w:after="0" w:line="276" w:lineRule="auto"/>
        <w:ind w:left="0"/>
        <w:jc w:val="both"/>
        <w:rPr>
          <w:rFonts w:ascii="Verdana" w:eastAsia="Century Gothic" w:hAnsi="Verdana" w:cs="Century Gothic"/>
          <w:b/>
          <w:bCs/>
        </w:rPr>
      </w:pPr>
    </w:p>
    <w:p w14:paraId="5E9F5248" w14:textId="77777777" w:rsidR="007C2AE6" w:rsidRPr="009265E9" w:rsidRDefault="007C2AE6" w:rsidP="007C2AE6">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9265E9">
        <w:rPr>
          <w:rFonts w:ascii="Verdana" w:eastAsia="Century Gothic" w:hAnsi="Verdana" w:cs="Century Gothic"/>
          <w:sz w:val="20"/>
          <w:szCs w:val="20"/>
          <w:lang w:val="es-ES"/>
        </w:rPr>
        <w:t>En el marco de la ejecución de recursos del Sistema General de Regalías (SGR), un municipio fue designado por el Gobierno Departamental como entidad ejecutora de un proyecto cuyo objeto es la construcción de un puente vehicular.</w:t>
      </w:r>
    </w:p>
    <w:p w14:paraId="21247484" w14:textId="77777777" w:rsidR="007C2AE6" w:rsidRPr="009265E9" w:rsidRDefault="007C2AE6" w:rsidP="007C2AE6">
      <w:pPr>
        <w:spacing w:after="120" w:line="240" w:lineRule="auto"/>
        <w:ind w:left="709" w:right="709"/>
        <w:jc w:val="both"/>
        <w:rPr>
          <w:rFonts w:ascii="Verdana" w:eastAsia="Century Gothic" w:hAnsi="Verdana" w:cs="Century Gothic"/>
          <w:sz w:val="20"/>
          <w:szCs w:val="20"/>
          <w:lang w:val="es-ES"/>
        </w:rPr>
      </w:pPr>
      <w:r w:rsidRPr="009265E9">
        <w:rPr>
          <w:rFonts w:ascii="Verdana" w:eastAsia="Century Gothic" w:hAnsi="Verdana" w:cs="Century Gothic"/>
          <w:sz w:val="20"/>
          <w:szCs w:val="20"/>
          <w:lang w:val="es-ES"/>
        </w:rPr>
        <w:t xml:space="preserve">De conformidad con lo dispuesto en el artículo 56 de la Ley 2195 de 2022, en los procesos contractuales que se adelanten para la adquisición de bienes, obras o servicios, las entidades estatales deben aplicar los </w:t>
      </w:r>
      <w:r w:rsidRPr="009265E9">
        <w:rPr>
          <w:rFonts w:ascii="Verdana" w:eastAsia="Century Gothic" w:hAnsi="Verdana" w:cs="Century Gothic"/>
          <w:sz w:val="20"/>
          <w:szCs w:val="20"/>
          <w:lang w:val="es-ES"/>
        </w:rPr>
        <w:lastRenderedPageBreak/>
        <w:t>documentos tipo adoptados por la Agencia Nacional de Contratación Pública – Colombia Compra Eficiente, así como el Estatuto General de Contratación de la Administración Pública, incluso cuando se celebren contratos o convenios con entidades de régimen especial o de derecho privado.</w:t>
      </w:r>
    </w:p>
    <w:p w14:paraId="0E96B610" w14:textId="77777777" w:rsidR="007C2AE6" w:rsidRPr="009265E9" w:rsidRDefault="007C2AE6" w:rsidP="007C2AE6">
      <w:pPr>
        <w:spacing w:after="120" w:line="240" w:lineRule="auto"/>
        <w:ind w:left="709" w:right="709"/>
        <w:jc w:val="both"/>
        <w:rPr>
          <w:rFonts w:ascii="Verdana" w:eastAsia="Century Gothic" w:hAnsi="Verdana" w:cs="Century Gothic"/>
          <w:sz w:val="20"/>
          <w:szCs w:val="20"/>
          <w:lang w:val="es-ES"/>
        </w:rPr>
      </w:pPr>
      <w:r w:rsidRPr="009265E9">
        <w:rPr>
          <w:rFonts w:ascii="Verdana" w:eastAsia="Century Gothic" w:hAnsi="Verdana" w:cs="Century Gothic"/>
          <w:sz w:val="20"/>
          <w:szCs w:val="20"/>
          <w:lang w:val="es-ES"/>
        </w:rPr>
        <w:t>En este contexto, se plantea la siguiente consulta:</w:t>
      </w:r>
    </w:p>
    <w:p w14:paraId="46D32994" w14:textId="77777777" w:rsidR="007C2AE6" w:rsidRPr="009265E9" w:rsidRDefault="007C2AE6" w:rsidP="007C2AE6">
      <w:pPr>
        <w:spacing w:after="120" w:line="240" w:lineRule="auto"/>
        <w:ind w:left="709" w:right="709"/>
        <w:jc w:val="both"/>
        <w:rPr>
          <w:rFonts w:ascii="Verdana" w:eastAsia="Century Gothic" w:hAnsi="Verdana" w:cs="Century Gothic"/>
          <w:b/>
          <w:bCs/>
          <w:sz w:val="20"/>
          <w:szCs w:val="20"/>
          <w:lang w:val="es-ES"/>
        </w:rPr>
      </w:pPr>
      <w:r w:rsidRPr="00B80354">
        <w:rPr>
          <w:rFonts w:ascii="Verdana" w:eastAsia="Century Gothic" w:hAnsi="Verdana" w:cs="Century Gothic"/>
          <w:sz w:val="20"/>
          <w:szCs w:val="20"/>
          <w:lang w:val="es-ES"/>
        </w:rPr>
        <w:t>[A]</w:t>
      </w:r>
      <w:r>
        <w:rPr>
          <w:rFonts w:ascii="Verdana" w:eastAsia="Century Gothic" w:hAnsi="Verdana" w:cs="Century Gothic"/>
          <w:b/>
          <w:bCs/>
          <w:sz w:val="20"/>
          <w:szCs w:val="20"/>
          <w:lang w:val="es-ES"/>
        </w:rPr>
        <w:t xml:space="preserve"> </w:t>
      </w:r>
      <w:r w:rsidRPr="009265E9">
        <w:rPr>
          <w:rFonts w:ascii="Verdana" w:eastAsia="Century Gothic" w:hAnsi="Verdana" w:cs="Century Gothic"/>
          <w:b/>
          <w:bCs/>
          <w:sz w:val="20"/>
          <w:szCs w:val="20"/>
          <w:lang w:val="es-ES"/>
        </w:rPr>
        <w:t>¿Es jurídicamente viable que un municipio, en calidad de ejecutor de recursos del SGR, celebre un convenio o contrato interadministrativo cuyo objeto sea la gerencia integral de un proyecto de obra pública con un Esquema Asociativo Territorial (EAT), teniendo en cuenta su naturaleza como entidad pública conformada por entidades territoriales?</w:t>
      </w:r>
    </w:p>
    <w:p w14:paraId="2DEEDB39" w14:textId="77777777" w:rsidR="007C2AE6" w:rsidRPr="009265E9" w:rsidRDefault="007C2AE6" w:rsidP="007C2AE6">
      <w:pPr>
        <w:spacing w:after="120" w:line="240" w:lineRule="auto"/>
        <w:ind w:left="709" w:right="709"/>
        <w:jc w:val="both"/>
        <w:rPr>
          <w:rFonts w:ascii="Verdana" w:eastAsia="Century Gothic" w:hAnsi="Verdana" w:cs="Century Gothic"/>
          <w:sz w:val="20"/>
          <w:szCs w:val="20"/>
          <w:lang w:val="es-ES"/>
        </w:rPr>
      </w:pPr>
      <w:r w:rsidRPr="009265E9">
        <w:rPr>
          <w:rFonts w:ascii="Verdana" w:eastAsia="Century Gothic" w:hAnsi="Verdana" w:cs="Century Gothic"/>
          <w:sz w:val="20"/>
          <w:szCs w:val="20"/>
          <w:lang w:val="es-ES"/>
        </w:rPr>
        <w:t>Adicionalmente, se solicita su orientación frente a los siguientes aspectos:</w:t>
      </w:r>
    </w:p>
    <w:p w14:paraId="3F5CE5FC" w14:textId="77777777" w:rsidR="007C2AE6" w:rsidRPr="009265E9" w:rsidRDefault="007C2AE6" w:rsidP="007C2AE6">
      <w:pPr>
        <w:spacing w:after="120" w:line="240" w:lineRule="auto"/>
        <w:ind w:left="709" w:right="709"/>
        <w:jc w:val="both"/>
        <w:rPr>
          <w:rFonts w:ascii="Verdana" w:eastAsia="Century Gothic" w:hAnsi="Verdana" w:cs="Century Gothic"/>
          <w:b/>
          <w:bCs/>
          <w:sz w:val="20"/>
          <w:szCs w:val="20"/>
          <w:lang w:val="es-ES"/>
        </w:rPr>
      </w:pPr>
      <w:r w:rsidRPr="009265E9">
        <w:rPr>
          <w:rFonts w:ascii="Verdana" w:eastAsia="Century Gothic" w:hAnsi="Verdana" w:cs="Century Gothic"/>
          <w:sz w:val="20"/>
          <w:szCs w:val="20"/>
          <w:lang w:val="es-ES"/>
        </w:rPr>
        <w:t xml:space="preserve">1. </w:t>
      </w:r>
      <w:r w:rsidRPr="009265E9">
        <w:rPr>
          <w:rFonts w:ascii="Verdana" w:eastAsia="Century Gothic" w:hAnsi="Verdana" w:cs="Century Gothic"/>
          <w:b/>
          <w:bCs/>
          <w:sz w:val="20"/>
          <w:szCs w:val="20"/>
          <w:lang w:val="es-ES"/>
        </w:rPr>
        <w:t>En caso de ser viable, ¿la ejecución de la gerencia integral por parte del Esquema Asociativo Territorial debe sujetarse a la aplicación de los documentos tipo y al Estatuto General de Contratación de la Administración Pública, conforme al artículo 56 de la Ley 2195 de 2022?</w:t>
      </w:r>
    </w:p>
    <w:p w14:paraId="69EFCAF0" w14:textId="77777777" w:rsidR="007C2AE6" w:rsidRPr="009265E9" w:rsidRDefault="007C2AE6" w:rsidP="007C2AE6">
      <w:pPr>
        <w:spacing w:after="120" w:line="240" w:lineRule="auto"/>
        <w:ind w:left="709" w:right="709"/>
        <w:jc w:val="both"/>
        <w:rPr>
          <w:rFonts w:ascii="Verdana" w:eastAsia="Century Gothic" w:hAnsi="Verdana" w:cs="Century Gothic"/>
          <w:b/>
          <w:bCs/>
          <w:sz w:val="20"/>
          <w:szCs w:val="20"/>
          <w:lang w:val="es-ES"/>
        </w:rPr>
      </w:pPr>
      <w:r w:rsidRPr="00253E07">
        <w:rPr>
          <w:rFonts w:ascii="Verdana" w:eastAsia="Century Gothic" w:hAnsi="Verdana" w:cs="Century Gothic"/>
          <w:sz w:val="20"/>
          <w:szCs w:val="20"/>
          <w:lang w:val="es-ES"/>
        </w:rPr>
        <w:t>2.</w:t>
      </w:r>
      <w:r w:rsidRPr="009265E9">
        <w:rPr>
          <w:rFonts w:ascii="Verdana" w:eastAsia="Century Gothic" w:hAnsi="Verdana" w:cs="Century Gothic"/>
          <w:b/>
          <w:bCs/>
          <w:sz w:val="20"/>
          <w:szCs w:val="20"/>
          <w:lang w:val="es-ES"/>
        </w:rPr>
        <w:t xml:space="preserve"> ¿Cuáles son los alcances, condiciones y límites bajo los cuales puede desarrollarse la gerencia integral del proyecto por parte del EAT, particularmente en lo relacionado con la estructuración, contratación, supervisión y ejecución del proyecto, a efectos de evitar la intermediación o delegación indebida de funciones propias de la entidad ejecutora?</w:t>
      </w:r>
    </w:p>
    <w:p w14:paraId="2F494396" w14:textId="77777777" w:rsidR="007C2AE6" w:rsidRPr="008E6AD9" w:rsidRDefault="007C2AE6" w:rsidP="007C2AE6">
      <w:pPr>
        <w:spacing w:after="0" w:line="240" w:lineRule="auto"/>
        <w:ind w:left="709" w:right="709"/>
        <w:jc w:val="both"/>
        <w:rPr>
          <w:rFonts w:ascii="Verdana" w:eastAsia="Century Gothic" w:hAnsi="Verdana" w:cs="Century Gothic"/>
          <w:b/>
          <w:bCs/>
        </w:rPr>
      </w:pPr>
      <w:r w:rsidRPr="00253E07">
        <w:rPr>
          <w:rFonts w:ascii="Verdana" w:eastAsia="Century Gothic" w:hAnsi="Verdana" w:cs="Century Gothic"/>
          <w:sz w:val="20"/>
          <w:szCs w:val="20"/>
          <w:lang w:val="es-ES"/>
        </w:rPr>
        <w:t>3.</w:t>
      </w:r>
      <w:r w:rsidRPr="009265E9">
        <w:rPr>
          <w:rFonts w:ascii="Verdana" w:eastAsia="Century Gothic" w:hAnsi="Verdana" w:cs="Century Gothic"/>
          <w:b/>
          <w:bCs/>
          <w:sz w:val="20"/>
          <w:szCs w:val="20"/>
          <w:lang w:val="es-ES"/>
        </w:rPr>
        <w:t xml:space="preserve"> ¿Existen restricciones o criterios específicos que deban observarse en este tipo de esquemas frente a la responsabilidad contractual, la selección de contratistas y la administración de los recursos públicos?</w:t>
      </w:r>
      <w:r>
        <w:rPr>
          <w:rFonts w:ascii="Verdana" w:eastAsia="Century Gothic" w:hAnsi="Verdana" w:cs="Century Gothic"/>
          <w:sz w:val="20"/>
          <w:szCs w:val="20"/>
          <w:lang w:val="es-ES"/>
        </w:rPr>
        <w:t>”. (Negrillas dentro del texto. Corchete fuera de texto)</w:t>
      </w:r>
    </w:p>
    <w:p w14:paraId="28B2A8A3" w14:textId="77777777" w:rsidR="007C2AE6" w:rsidRDefault="007C2AE6" w:rsidP="007C2AE6">
      <w:pPr>
        <w:spacing w:after="0" w:line="276" w:lineRule="auto"/>
        <w:ind w:firstLine="709"/>
        <w:jc w:val="both"/>
        <w:rPr>
          <w:rFonts w:ascii="Verdana" w:eastAsia="Calibri" w:hAnsi="Verdana" w:cs="Arial"/>
          <w:color w:val="000000"/>
          <w:lang w:val="es-ES" w:eastAsia="es-ES"/>
        </w:rPr>
      </w:pPr>
    </w:p>
    <w:p w14:paraId="68FC3234" w14:textId="77777777" w:rsidR="007C2AE6" w:rsidRPr="00A652FF" w:rsidRDefault="007C2AE6" w:rsidP="007C2AE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w:t>
      </w:r>
      <w:r w:rsidRPr="00593A5F">
        <w:rPr>
          <w:rFonts w:ascii="Verdana" w:eastAsia="Calibri" w:hAnsi="Verdana" w:cs="Arial"/>
          <w:color w:val="000000"/>
          <w:lang w:val="es-ES" w:eastAsia="es-ES"/>
        </w:rPr>
        <w:lastRenderedPageBreak/>
        <w:t xml:space="preserve">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E1EEF8D" w14:textId="77777777" w:rsidR="007C2AE6" w:rsidRDefault="007C2AE6" w:rsidP="007C2AE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3D8B4F5" w14:textId="77777777" w:rsidR="007C2AE6" w:rsidRPr="00593A5F" w:rsidRDefault="007C2AE6" w:rsidP="007C2AE6">
      <w:pPr>
        <w:spacing w:after="0" w:line="276" w:lineRule="auto"/>
        <w:ind w:firstLine="709"/>
        <w:jc w:val="both"/>
        <w:rPr>
          <w:rFonts w:ascii="Verdana" w:eastAsia="Calibri" w:hAnsi="Verdana" w:cs="Arial"/>
          <w:color w:val="000000"/>
          <w:lang w:val="es-ES" w:eastAsia="es-ES"/>
        </w:rPr>
      </w:pPr>
    </w:p>
    <w:p w14:paraId="5BA318CF" w14:textId="77777777" w:rsidR="007C2AE6" w:rsidRPr="00593A5F" w:rsidRDefault="007C2AE6" w:rsidP="007C2AE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AFB9624" w14:textId="77777777" w:rsidR="007C2AE6" w:rsidRPr="00593A5F" w:rsidRDefault="007C2AE6" w:rsidP="007C2AE6">
      <w:pPr>
        <w:tabs>
          <w:tab w:val="left" w:pos="426"/>
        </w:tabs>
        <w:spacing w:after="0" w:line="276" w:lineRule="auto"/>
        <w:jc w:val="both"/>
        <w:rPr>
          <w:rFonts w:ascii="Verdana" w:eastAsia="Century Gothic" w:hAnsi="Verdana" w:cs="Century Gothic"/>
          <w:lang w:val="es-ES"/>
        </w:rPr>
      </w:pPr>
    </w:p>
    <w:p w14:paraId="40BBADDB" w14:textId="77777777" w:rsidR="007C2AE6" w:rsidRPr="00593A5F" w:rsidRDefault="007C2AE6" w:rsidP="007C2AE6">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8509CB">
        <w:rPr>
          <w:rFonts w:ascii="Verdana" w:eastAsia="Century Gothic" w:hAnsi="Verdana" w:cs="Century Gothic"/>
        </w:rPr>
        <w:t>¿cuáles son las restricciones para los negocios jurídicos suscritos entre entidades estatales y esquemas asociativos de entidades territoriales?</w:t>
      </w:r>
      <w:r>
        <w:rPr>
          <w:rFonts w:ascii="Verdana" w:eastAsia="Century Gothic" w:hAnsi="Verdana" w:cs="Century Gothic"/>
        </w:rPr>
        <w:t xml:space="preserve"> </w:t>
      </w:r>
    </w:p>
    <w:p w14:paraId="7B098F09" w14:textId="77777777" w:rsidR="007C2AE6" w:rsidRPr="004B140F" w:rsidRDefault="007C2AE6" w:rsidP="007C2AE6">
      <w:pPr>
        <w:spacing w:after="0" w:line="276" w:lineRule="auto"/>
        <w:jc w:val="both"/>
        <w:rPr>
          <w:rFonts w:ascii="Verdana" w:eastAsia="Calibri" w:hAnsi="Verdana" w:cs="Arial"/>
          <w:color w:val="7030A0"/>
        </w:rPr>
      </w:pPr>
    </w:p>
    <w:p w14:paraId="38C13C5D" w14:textId="77777777" w:rsidR="007C2AE6" w:rsidRPr="00593A5F" w:rsidRDefault="007C2AE6" w:rsidP="007C2A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8358B6F" w14:textId="77777777" w:rsidR="007C2AE6" w:rsidRPr="00593A5F" w:rsidRDefault="007C2AE6" w:rsidP="007C2AE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2AE6" w:rsidRPr="00593A5F" w14:paraId="1A3AC339" w14:textId="77777777" w:rsidTr="000048C3">
        <w:trPr>
          <w:jc w:val="center"/>
        </w:trPr>
        <w:tc>
          <w:tcPr>
            <w:tcW w:w="8828" w:type="dxa"/>
          </w:tcPr>
          <w:p w14:paraId="6932FE62" w14:textId="77777777" w:rsidR="007C2AE6" w:rsidRPr="000633BE" w:rsidRDefault="007C2AE6" w:rsidP="000048C3">
            <w:pPr>
              <w:tabs>
                <w:tab w:val="left" w:pos="426"/>
              </w:tabs>
              <w:spacing w:after="120" w:line="276" w:lineRule="auto"/>
              <w:jc w:val="both"/>
              <w:rPr>
                <w:rFonts w:ascii="Verdana" w:eastAsia="Arial" w:hAnsi="Verdana" w:cs="Arial"/>
                <w:lang w:val="es-MX" w:eastAsia="es-ES" w:bidi="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0633BE">
              <w:rPr>
                <w:rFonts w:ascii="Verdana" w:eastAsia="Arial" w:hAnsi="Verdana" w:cs="Arial"/>
                <w:lang w:val="es-MX" w:eastAsia="es-ES" w:bidi="es-ES"/>
              </w:rPr>
              <w:t>con fundamento en el parágrafo del artículo 17 de la Ley 1454 de 2011, es posible que los esquemas asociativos de entidades territoriales señalados en la disposición celebren convenios interadministrativos con otras entidades estatales del artículo 2 de la Ley 80 de 1993, bajo estricta observancia de los requisitos establecidos en el artículo 95 de la Ley 489 de 1998. En todo caso, deben acatarse las prohibiciones establecidas en el artículo 10 de la Ley 1150 de 2007 y en el artículo 92 de la Ley 1474 de 2011, los cuales limitan la modalidad de contratación directa. En caso de que la modalidad sea competitiva, los documentos tipo serán aplicables para las entidades sometidas al EGCAP en función del sector, la tipología contractual y la modalidad de selección, siempre que las actividades se encuentren en las matrices de experiencia.</w:t>
            </w:r>
          </w:p>
          <w:p w14:paraId="6455E65E" w14:textId="77777777" w:rsidR="007C2AE6" w:rsidRDefault="007C2AE6" w:rsidP="000048C3">
            <w:pPr>
              <w:tabs>
                <w:tab w:val="left" w:pos="426"/>
              </w:tabs>
              <w:spacing w:after="120" w:line="276" w:lineRule="auto"/>
              <w:ind w:firstLine="736"/>
              <w:jc w:val="both"/>
              <w:rPr>
                <w:rFonts w:ascii="Verdana" w:eastAsia="Arial" w:hAnsi="Verdana" w:cs="Arial"/>
                <w:lang w:val="es-MX" w:eastAsia="es-ES" w:bidi="es-ES"/>
              </w:rPr>
            </w:pPr>
            <w:r w:rsidRPr="000633BE">
              <w:rPr>
                <w:rFonts w:ascii="Verdana" w:eastAsia="Arial" w:hAnsi="Verdana" w:cs="Arial"/>
                <w:lang w:val="es-MX" w:eastAsia="es-ES" w:bidi="es-ES"/>
              </w:rPr>
              <w:t xml:space="preserve">Asimismo, como entidades sometidas al Estatuto General de Contratación conforme al artículo 10 de la Ley 1150 de 2007, los esquemas asociativos de entidades territoriales también son destinatarios directos del parágrafo del artículo 2 de la Ley 1150 de 2007, modificado por el artículo 1 de la Ley 2022 de 2020 . Luego sin perjuicio de lo establecido en el artículo 56 </w:t>
            </w:r>
            <w:r w:rsidRPr="000633BE">
              <w:rPr>
                <w:rFonts w:ascii="Verdana" w:eastAsia="Arial" w:hAnsi="Verdana" w:cs="Arial"/>
                <w:lang w:val="es-MX" w:eastAsia="es-ES" w:bidi="es-ES"/>
              </w:rPr>
              <w:lastRenderedPageBreak/>
              <w:t xml:space="preserve">de la Ley 2195 de 2022, </w:t>
            </w:r>
            <w:r>
              <w:rPr>
                <w:rFonts w:ascii="Verdana" w:eastAsia="Arial" w:hAnsi="Verdana" w:cs="Arial"/>
                <w:lang w:val="es-MX" w:eastAsia="es-ES" w:bidi="es-ES"/>
              </w:rPr>
              <w:t>deben ejecutar los contratos de obra conforme</w:t>
            </w:r>
            <w:r w:rsidRPr="000633BE">
              <w:rPr>
                <w:rFonts w:ascii="Verdana" w:eastAsia="Arial" w:hAnsi="Verdana" w:cs="Arial"/>
                <w:lang w:val="es-MX" w:eastAsia="es-ES" w:bidi="es-ES"/>
              </w:rPr>
              <w:t xml:space="preserve"> a los documentos tipo expedidos por la Agencia, siempre que las actividades estén comprendidas en las matrices de experiencia correspondientes</w:t>
            </w:r>
            <w:r>
              <w:rPr>
                <w:rFonts w:ascii="Verdana" w:eastAsia="Arial" w:hAnsi="Verdana" w:cs="Arial"/>
                <w:lang w:val="es-MX" w:eastAsia="es-ES" w:bidi="es-ES"/>
              </w:rPr>
              <w:t>. (Respuesta a las preguntas [A] y 1)</w:t>
            </w:r>
          </w:p>
          <w:p w14:paraId="4E738C26" w14:textId="77777777" w:rsidR="007C2AE6" w:rsidRPr="000955E3" w:rsidRDefault="007C2AE6" w:rsidP="000048C3">
            <w:pPr>
              <w:spacing w:before="120" w:line="276" w:lineRule="auto"/>
              <w:ind w:firstLine="708"/>
              <w:jc w:val="both"/>
              <w:rPr>
                <w:rFonts w:ascii="Verdana" w:eastAsia="Times New Roman" w:hAnsi="Verdana" w:cs="Arial"/>
                <w:lang w:val="es-MX" w:eastAsia="es-CO"/>
              </w:rPr>
            </w:pPr>
            <w:r>
              <w:rPr>
                <w:rFonts w:ascii="Verdana" w:eastAsia="Times New Roman" w:hAnsi="Verdana" w:cs="Arial"/>
                <w:lang w:val="es-MX" w:eastAsia="es-CO"/>
              </w:rPr>
              <w:t xml:space="preserve">En todo caso, </w:t>
            </w:r>
            <w:r w:rsidRPr="000955E3">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0955E3">
              <w:rPr>
                <w:rFonts w:ascii="Verdana" w:eastAsia="Times New Roman" w:hAnsi="Verdana" w:cs="Arial"/>
                <w:i/>
                <w:iCs/>
                <w:lang w:val="es-MX" w:eastAsia="es-CO"/>
              </w:rPr>
              <w:t>convenios interadministrativos</w:t>
            </w:r>
            <w:r w:rsidRPr="000955E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0955E3">
              <w:rPr>
                <w:rFonts w:ascii="Verdana" w:eastAsia="Times New Roman" w:hAnsi="Verdana" w:cs="Arial"/>
                <w:i/>
                <w:lang w:val="es-MX" w:eastAsia="es-CO"/>
              </w:rPr>
              <w:t>ibidem</w:t>
            </w:r>
            <w:r w:rsidRPr="000955E3">
              <w:rPr>
                <w:rFonts w:ascii="Verdana" w:eastAsia="Times New Roman" w:hAnsi="Verdana" w:cs="Arial"/>
                <w:lang w:val="es-MX" w:eastAsia="es-CO"/>
              </w:rPr>
              <w:t xml:space="preserve">, no podrá celebrar tales </w:t>
            </w:r>
            <w:r w:rsidRPr="000955E3">
              <w:rPr>
                <w:rFonts w:ascii="Verdana" w:eastAsia="Times New Roman" w:hAnsi="Verdana" w:cs="Arial"/>
                <w:i/>
                <w:iCs/>
                <w:lang w:val="es-MX" w:eastAsia="es-CO"/>
              </w:rPr>
              <w:t>convenios</w:t>
            </w:r>
            <w:r w:rsidRPr="000955E3">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41D46C24" w14:textId="77777777" w:rsidR="007C2AE6" w:rsidRDefault="007C2AE6" w:rsidP="000048C3">
            <w:pPr>
              <w:spacing w:before="120" w:line="276" w:lineRule="auto"/>
              <w:ind w:firstLine="708"/>
              <w:jc w:val="both"/>
              <w:rPr>
                <w:rFonts w:ascii="Verdana" w:eastAsia="Times New Roman" w:hAnsi="Verdana" w:cs="Arial"/>
                <w:lang w:eastAsia="es-CO"/>
              </w:rPr>
            </w:pPr>
            <w:r w:rsidRPr="000955E3">
              <w:rPr>
                <w:rFonts w:ascii="Verdana" w:eastAsia="Times New Roman" w:hAnsi="Verdana" w:cs="Arial"/>
                <w:lang w:val="es-MX" w:eastAsia="es-CO"/>
              </w:rPr>
              <w:t>Respecto del alcance de esta prohibición la Circular Externa No. 006 de 2025 expedida por la ANCP-CCE, en los literales ii) y iv) del numeral 2</w:t>
            </w:r>
            <w:r w:rsidRPr="000955E3">
              <w:rPr>
                <w:rFonts w:ascii="Verdana" w:eastAsia="Times New Roman" w:hAnsi="Verdana" w:cs="Arial"/>
                <w:lang w:eastAsia="es-CO"/>
              </w:rPr>
              <w:t>,</w:t>
            </w:r>
            <w:r w:rsidRPr="000955E3">
              <w:rPr>
                <w:rFonts w:ascii="Verdana" w:eastAsia="Times New Roman" w:hAnsi="Verdana" w:cs="Arial"/>
                <w:lang w:val="es-MX" w:eastAsia="es-CO"/>
              </w:rPr>
              <w:t xml:space="preserve"> indica que el </w:t>
            </w:r>
            <w:r w:rsidRPr="000955E3">
              <w:rPr>
                <w:rFonts w:ascii="Verdana" w:eastAsia="Times New Roman" w:hAnsi="Verdana" w:cs="Arial"/>
                <w:lang w:eastAsia="es-CO"/>
              </w:rPr>
              <w:t xml:space="preserve">parágrafo del artículo 38 de la Ley 996 de 2005 cobija expresamente a los </w:t>
            </w:r>
            <w:r w:rsidRPr="000955E3">
              <w:rPr>
                <w:rFonts w:ascii="Verdana" w:eastAsia="Times New Roman" w:hAnsi="Verdana" w:cs="Arial"/>
                <w:i/>
                <w:iCs/>
                <w:lang w:eastAsia="es-CO"/>
              </w:rPr>
              <w:t>convenios interadministrativos</w:t>
            </w:r>
            <w:r w:rsidRPr="000955E3">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0955E3">
              <w:rPr>
                <w:rFonts w:ascii="Verdana" w:eastAsia="Times New Roman" w:hAnsi="Verdana" w:cs="Arial"/>
                <w:i/>
                <w:iCs/>
                <w:lang w:eastAsia="es-CO"/>
              </w:rPr>
              <w:t>“aunque se configure alguno de los supuestos de excepción que señaló el inciso final del artículo 33”</w:t>
            </w:r>
            <w:r>
              <w:rPr>
                <w:rFonts w:ascii="Verdana" w:eastAsia="Times New Roman" w:hAnsi="Verdana" w:cs="Arial"/>
                <w:lang w:eastAsia="es-CO"/>
              </w:rPr>
              <w:t xml:space="preserve">. </w:t>
            </w:r>
            <w:r w:rsidRPr="000955E3">
              <w:rPr>
                <w:rFonts w:ascii="Verdana" w:eastAsia="Times New Roman" w:hAnsi="Verdana" w:cs="Arial"/>
                <w:lang w:eastAsia="es-CO"/>
              </w:rPr>
              <w:t>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w:t>
            </w:r>
            <w:r>
              <w:rPr>
                <w:rFonts w:ascii="Verdana" w:eastAsia="Times New Roman" w:hAnsi="Verdana" w:cs="Arial"/>
                <w:lang w:eastAsia="es-CO"/>
              </w:rPr>
              <w:t>,</w:t>
            </w:r>
            <w:r w:rsidRPr="00DC206C">
              <w:rPr>
                <w:rFonts w:ascii="Verdana" w:eastAsia="Times New Roman" w:hAnsi="Verdana" w:cs="Arial"/>
                <w:lang w:eastAsia="es-CO"/>
              </w:rPr>
              <w:t xml:space="preserve"> por lo que no existe justificación alguna para desconocer la prohibición</w:t>
            </w:r>
            <w:r w:rsidRPr="000955E3">
              <w:rPr>
                <w:rFonts w:ascii="Verdana" w:eastAsia="Times New Roman" w:hAnsi="Verdana" w:cs="Arial"/>
                <w:lang w:eastAsia="es-CO"/>
              </w:rPr>
              <w:t>.</w:t>
            </w:r>
          </w:p>
          <w:p w14:paraId="0D456EDB" w14:textId="77777777" w:rsidR="007C2AE6" w:rsidRDefault="007C2AE6" w:rsidP="000048C3">
            <w:pPr>
              <w:spacing w:before="120" w:line="276" w:lineRule="auto"/>
              <w:ind w:firstLine="708"/>
              <w:jc w:val="both"/>
              <w:rPr>
                <w:rFonts w:ascii="Verdana" w:eastAsia="Times New Roman" w:hAnsi="Verdana" w:cs="Arial"/>
                <w:lang w:eastAsia="es-CO"/>
              </w:rPr>
            </w:pPr>
            <w:r>
              <w:rPr>
                <w:rFonts w:ascii="Verdana" w:eastAsia="Times New Roman" w:hAnsi="Verdana" w:cs="Arial"/>
                <w:lang w:eastAsia="es-CO"/>
              </w:rPr>
              <w:t>E</w:t>
            </w:r>
            <w:r w:rsidRPr="00667CD6">
              <w:rPr>
                <w:rFonts w:ascii="Verdana" w:eastAsia="Times New Roman" w:hAnsi="Verdana" w:cs="Arial"/>
                <w:lang w:eastAsia="es-CO"/>
              </w:rPr>
              <w:t xml:space="preserv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 xml:space="preserve">Lo anterior conforme a la directriz interpretativa del artículo 31 del Código Civil, según la cual “Lo favorable u odioso de una disposición no se tomará en cuenta para ampliar o restringir su interpretación. La extensión que </w:t>
            </w:r>
            <w:r w:rsidRPr="00C016C8">
              <w:rPr>
                <w:rFonts w:ascii="Verdana" w:eastAsia="Times New Roman" w:hAnsi="Verdana" w:cs="Arial"/>
                <w:lang w:val="es-ES" w:eastAsia="es-CO"/>
              </w:rPr>
              <w:lastRenderedPageBreak/>
              <w:t>deba darse a toda ley se determinará por su genuino sentido, y según las reglas de interpretación precedentes”</w:t>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3BBA8FDD" w14:textId="77777777" w:rsidR="007C2AE6" w:rsidRDefault="007C2AE6" w:rsidP="000048C3">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eastAsia="es-CO"/>
              </w:rPr>
              <w:t>A</w:t>
            </w:r>
            <w:r w:rsidRPr="00667CD6">
              <w:rPr>
                <w:rFonts w:ascii="Verdana" w:eastAsia="Times New Roman" w:hAnsi="Verdana" w:cs="Arial"/>
                <w:lang w:eastAsia="es-CO"/>
              </w:rPr>
              <w:t xml:space="preserve">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 (Respuesta a la pregunta 3)</w:t>
            </w:r>
          </w:p>
          <w:p w14:paraId="7F2DF5FC" w14:textId="77777777" w:rsidR="007C2AE6" w:rsidRPr="00060B64" w:rsidRDefault="007C2AE6" w:rsidP="000048C3">
            <w:pPr>
              <w:spacing w:before="120" w:after="120" w:line="276" w:lineRule="auto"/>
              <w:ind w:firstLine="709"/>
              <w:jc w:val="both"/>
              <w:rPr>
                <w:rFonts w:ascii="Verdana" w:eastAsia="Times New Roman" w:hAnsi="Verdana" w:cs="Arial"/>
                <w:lang w:eastAsia="es-CO"/>
              </w:rPr>
            </w:pPr>
            <w:r>
              <w:rPr>
                <w:rFonts w:ascii="Verdana" w:eastAsia="Calibri" w:hAnsi="Verdana" w:cs="Arial"/>
                <w:bCs/>
                <w:color w:val="000000" w:themeColor="text1"/>
              </w:rPr>
              <w:t xml:space="preserve">Finalmente, aunque la </w:t>
            </w:r>
            <w:r w:rsidRPr="00D501E8">
              <w:rPr>
                <w:rFonts w:ascii="Verdana" w:eastAsia="Calibri" w:hAnsi="Verdana" w:cs="Arial"/>
                <w:lang w:val="es-ES_tradnl"/>
              </w:rPr>
              <w:t xml:space="preserve">Directiva Presidencial </w:t>
            </w:r>
            <w:r w:rsidRPr="00D501E8">
              <w:rPr>
                <w:rFonts w:ascii="Verdana" w:eastAsia="Calibri" w:hAnsi="Verdana" w:cs="Arial"/>
                <w:bCs/>
                <w:lang w:val="es-ES_tradnl" w:eastAsia="es-ES_tradnl"/>
              </w:rPr>
              <w:t>06 del 14 de noviembre de 2023</w:t>
            </w:r>
            <w:r>
              <w:rPr>
                <w:rFonts w:ascii="Verdana" w:eastAsia="Calibri" w:hAnsi="Verdana" w:cs="Arial"/>
                <w:bCs/>
                <w:lang w:val="es-ES_tradnl" w:eastAsia="es-ES_tradnl"/>
              </w:rPr>
              <w:t xml:space="preserve"> instaba a los </w:t>
            </w:r>
            <w:r w:rsidRPr="00D67E3E">
              <w:rPr>
                <w:rFonts w:ascii="Verdana" w:eastAsia="Calibri" w:hAnsi="Verdana" w:cs="Arial"/>
                <w:bCs/>
                <w:lang w:val="es-ES_tradnl" w:eastAsia="es-ES_tradnl"/>
              </w:rPr>
              <w:t>ministros, directores de los departamentos administrativos y representantes legales de las entidades descentralizadas de la rama ejecutiva del orden nacional</w:t>
            </w:r>
            <w:r>
              <w:rPr>
                <w:rFonts w:ascii="Verdana" w:eastAsia="Calibri" w:hAnsi="Verdana" w:cs="Arial"/>
                <w:bCs/>
                <w:lang w:val="es-ES_tradnl" w:eastAsia="es-ES_tradnl"/>
              </w:rPr>
              <w:t xml:space="preserve"> a </w:t>
            </w:r>
            <w:r w:rsidRPr="00D501E8">
              <w:rPr>
                <w:rFonts w:ascii="Verdana" w:eastAsia="Calibri" w:hAnsi="Verdana" w:cs="Arial"/>
                <w:bCs/>
                <w:lang w:val="es-ES_tradnl" w:eastAsia="es-ES_tradnl"/>
              </w:rPr>
              <w:t>“[…] ejecutar directamente sus recursos y evitarán acudir a otras entidades para que actúen como intermediarios en la ejecución de sus políticas y recursos públicos […]”</w:t>
            </w:r>
            <w:r>
              <w:rPr>
                <w:rFonts w:ascii="Verdana" w:eastAsia="Calibri" w:hAnsi="Verdana" w:cs="Arial"/>
                <w:bCs/>
                <w:lang w:val="es-ES_tradnl" w:eastAsia="es-ES_tradnl"/>
              </w:rPr>
              <w:t xml:space="preserve">, dicha instrucción no tenía por objeto a las entidades territoriales y, además, fue suspendida provisionalmente por el Consejo de Estado. Luego, no existe ningún lineamiento específico para “[…] </w:t>
            </w:r>
            <w:r w:rsidRPr="00D326A4">
              <w:rPr>
                <w:rFonts w:ascii="Verdana" w:eastAsia="Calibri" w:hAnsi="Verdana" w:cs="Arial"/>
                <w:bCs/>
                <w:lang w:val="es-ES_tradnl" w:eastAsia="es-ES_tradnl"/>
              </w:rPr>
              <w:t>evitar la intermediación o delegación indebida de funciones propias de la entidad ejecutora</w:t>
            </w:r>
            <w:r>
              <w:rPr>
                <w:rFonts w:ascii="Verdana" w:eastAsia="Calibri" w:hAnsi="Verdana" w:cs="Arial"/>
                <w:bCs/>
                <w:lang w:val="es-ES_tradnl" w:eastAsia="es-ES_tradnl"/>
              </w:rPr>
              <w:t>”. (Respuesta a la pregunta 2)</w:t>
            </w:r>
            <w:r>
              <w:rPr>
                <w:rFonts w:ascii="Verdana" w:eastAsia="Times New Roman" w:hAnsi="Verdana" w:cs="Arial"/>
                <w:lang w:eastAsia="es-CO"/>
              </w:rPr>
              <w:t xml:space="preserve"> </w:t>
            </w:r>
          </w:p>
          <w:p w14:paraId="2142C98C" w14:textId="77777777" w:rsidR="007C2AE6" w:rsidRPr="001941FD" w:rsidRDefault="007C2AE6" w:rsidP="000048C3">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p>
        </w:tc>
      </w:tr>
    </w:tbl>
    <w:p w14:paraId="5B60207F" w14:textId="77777777" w:rsidR="007C2AE6" w:rsidRPr="00593A5F" w:rsidRDefault="007C2AE6" w:rsidP="007C2AE6">
      <w:pPr>
        <w:tabs>
          <w:tab w:val="left" w:pos="142"/>
          <w:tab w:val="left" w:pos="284"/>
        </w:tabs>
        <w:spacing w:after="0" w:line="276" w:lineRule="auto"/>
        <w:jc w:val="both"/>
        <w:rPr>
          <w:rFonts w:ascii="Verdana" w:eastAsia="Century Gothic" w:hAnsi="Verdana" w:cs="Century Gothic"/>
          <w:b/>
          <w:bCs/>
          <w:lang w:val="es-ES"/>
        </w:rPr>
      </w:pPr>
    </w:p>
    <w:bookmarkEnd w:id="1"/>
    <w:p w14:paraId="11CB8A39" w14:textId="77777777" w:rsidR="007C2AE6" w:rsidRPr="00593A5F" w:rsidRDefault="007C2AE6" w:rsidP="007C2A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8825744" w14:textId="77777777" w:rsidR="007C2AE6" w:rsidRPr="00593A5F" w:rsidRDefault="007C2AE6" w:rsidP="007C2AE6">
      <w:pPr>
        <w:spacing w:after="0" w:line="276" w:lineRule="auto"/>
        <w:jc w:val="both"/>
        <w:rPr>
          <w:rFonts w:ascii="Verdana" w:eastAsia="Calibri" w:hAnsi="Verdana" w:cs="Arial"/>
          <w:color w:val="7030A0"/>
          <w:lang w:val="es-ES"/>
        </w:rPr>
      </w:pPr>
    </w:p>
    <w:p w14:paraId="4B5AAC23" w14:textId="77777777" w:rsidR="007C2AE6" w:rsidRDefault="007C2AE6" w:rsidP="007C2AE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08A8BC9" w14:textId="77777777" w:rsidR="007C2AE6" w:rsidRPr="00415608" w:rsidRDefault="007C2AE6" w:rsidP="007C2AE6">
      <w:pPr>
        <w:spacing w:after="0" w:line="276" w:lineRule="auto"/>
        <w:jc w:val="both"/>
        <w:rPr>
          <w:rFonts w:ascii="Verdana" w:eastAsia="Calibri" w:hAnsi="Verdana" w:cs="Arial"/>
          <w:lang w:val="es-ES"/>
        </w:rPr>
      </w:pPr>
    </w:p>
    <w:p w14:paraId="0E218C64" w14:textId="77777777" w:rsidR="007C2AE6" w:rsidRPr="00F274DC" w:rsidRDefault="007C2AE6" w:rsidP="007C2AE6">
      <w:pPr>
        <w:pStyle w:val="Textoindependiente"/>
        <w:spacing w:after="0"/>
        <w:ind w:right="108"/>
        <w:jc w:val="both"/>
        <w:rPr>
          <w:rFonts w:ascii="Verdana" w:hAnsi="Verdana"/>
          <w:color w:val="000000" w:themeColor="text1"/>
        </w:rPr>
      </w:pPr>
      <w:r w:rsidRPr="00F274DC">
        <w:rPr>
          <w:rFonts w:ascii="Verdana" w:hAnsi="Verdana" w:cs="Arial"/>
          <w:color w:val="000000" w:themeColor="text1"/>
          <w:lang w:val="es-ES"/>
        </w:rPr>
        <w:t xml:space="preserve">i. </w:t>
      </w:r>
      <w:r>
        <w:rPr>
          <w:rFonts w:ascii="Verdana" w:hAnsi="Verdana"/>
          <w:color w:val="000000" w:themeColor="text1"/>
        </w:rPr>
        <w:t>L</w:t>
      </w:r>
      <w:r w:rsidRPr="00F274DC">
        <w:rPr>
          <w:rFonts w:ascii="Verdana" w:hAnsi="Verdana"/>
          <w:color w:val="000000" w:themeColor="text1"/>
        </w:rPr>
        <w:t>a Ley 80 de 1993, en el parágrafo 1 del artículo 2, incluía a las cooperativas y asociaciones de entidades territoriales dentro de la categoría de entidades estatales sometidas a la Ley 80 de 1993, y las facultaba para suscribir convenios</w:t>
      </w:r>
      <w:r w:rsidRPr="00F274DC">
        <w:rPr>
          <w:rFonts w:ascii="Verdana" w:hAnsi="Verdana"/>
          <w:color w:val="000000" w:themeColor="text1"/>
          <w:spacing w:val="-18"/>
        </w:rPr>
        <w:t xml:space="preserve"> </w:t>
      </w:r>
      <w:r w:rsidRPr="00F274DC">
        <w:rPr>
          <w:rFonts w:ascii="Verdana" w:hAnsi="Verdana"/>
          <w:color w:val="000000" w:themeColor="text1"/>
        </w:rPr>
        <w:t>interadministrativos:</w:t>
      </w:r>
    </w:p>
    <w:p w14:paraId="3813A13C" w14:textId="77777777" w:rsidR="007C2AE6" w:rsidRPr="00F274DC" w:rsidRDefault="007C2AE6" w:rsidP="007C2AE6">
      <w:pPr>
        <w:pStyle w:val="Textoindependiente"/>
        <w:spacing w:before="3" w:after="0"/>
        <w:jc w:val="both"/>
        <w:rPr>
          <w:rFonts w:ascii="Verdana" w:hAnsi="Verdana"/>
          <w:color w:val="000000" w:themeColor="text1"/>
        </w:rPr>
      </w:pPr>
    </w:p>
    <w:p w14:paraId="641D4A85" w14:textId="77777777" w:rsidR="007C2AE6" w:rsidRPr="00F274DC" w:rsidRDefault="007C2AE6" w:rsidP="007C2AE6">
      <w:pPr>
        <w:pStyle w:val="Textoindependiente"/>
        <w:spacing w:after="0" w:line="240" w:lineRule="auto"/>
        <w:ind w:left="652" w:right="652"/>
        <w:jc w:val="both"/>
        <w:rPr>
          <w:rFonts w:ascii="Verdana" w:hAnsi="Verdana"/>
          <w:color w:val="000000" w:themeColor="text1"/>
          <w:sz w:val="20"/>
          <w:szCs w:val="20"/>
        </w:rPr>
      </w:pPr>
      <w:r w:rsidRPr="00F274DC">
        <w:rPr>
          <w:rFonts w:ascii="Verdana" w:hAnsi="Verdana"/>
          <w:color w:val="000000" w:themeColor="text1"/>
          <w:sz w:val="20"/>
          <w:szCs w:val="20"/>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 entidades”.</w:t>
      </w:r>
    </w:p>
    <w:p w14:paraId="52C0B458" w14:textId="77777777" w:rsidR="007C2AE6" w:rsidRPr="00F274DC" w:rsidRDefault="007C2AE6" w:rsidP="007C2AE6">
      <w:pPr>
        <w:pStyle w:val="Textoindependiente"/>
        <w:spacing w:before="3" w:after="0"/>
        <w:jc w:val="both"/>
        <w:rPr>
          <w:rFonts w:ascii="Verdana" w:hAnsi="Verdana"/>
          <w:color w:val="000000" w:themeColor="text1"/>
        </w:rPr>
      </w:pPr>
    </w:p>
    <w:p w14:paraId="45D3809D" w14:textId="77777777" w:rsidR="007C2AE6" w:rsidRPr="00F274DC" w:rsidRDefault="007C2AE6" w:rsidP="007C2AE6">
      <w:pPr>
        <w:pStyle w:val="Textoindependiente"/>
        <w:spacing w:after="0"/>
        <w:ind w:right="108" w:firstLine="652"/>
        <w:jc w:val="both"/>
        <w:rPr>
          <w:rFonts w:ascii="Verdana" w:hAnsi="Verdana"/>
          <w:color w:val="000000" w:themeColor="text1"/>
        </w:rPr>
      </w:pPr>
      <w:r w:rsidRPr="00F274DC">
        <w:rPr>
          <w:rFonts w:ascii="Verdana" w:hAnsi="Verdana"/>
          <w:color w:val="000000" w:themeColor="text1"/>
        </w:rPr>
        <w:t>En virtud de lo anterior, el parágrafo del artículo 2 de la Ley 80 de 1993 facultaba a las cooperativas y asociaciones de entidades territoriales para celebrar convenios interadministrativos. Posteriormente, el numeral 2 del artículo 14 Decreto 2170 de 2002 desarrolló la posibilidad de que los entes solidarios de carácter público, como las cooperativas y las asociaciones de entidades territoriales, pudieran suscribir directamente, sin necesidad de adelantar procesos de selección competitivos, convenios interadministrativos, siempre que se acreditaran los siguientes requisitos establecidos en la norma indicada:</w:t>
      </w:r>
    </w:p>
    <w:p w14:paraId="5DF9EF69" w14:textId="77777777" w:rsidR="007C2AE6" w:rsidRPr="00F274DC" w:rsidRDefault="007C2AE6" w:rsidP="007C2AE6">
      <w:pPr>
        <w:pStyle w:val="Textoindependiente"/>
        <w:spacing w:before="2" w:after="0"/>
        <w:jc w:val="both"/>
        <w:rPr>
          <w:rFonts w:ascii="Verdana" w:hAnsi="Verdana"/>
          <w:color w:val="000000" w:themeColor="text1"/>
        </w:rPr>
      </w:pPr>
    </w:p>
    <w:p w14:paraId="586269F5" w14:textId="77777777" w:rsidR="007C2AE6" w:rsidRPr="00F274DC" w:rsidRDefault="007C2AE6" w:rsidP="007C2AE6">
      <w:pPr>
        <w:pStyle w:val="Textoindependiente"/>
        <w:spacing w:after="0"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“Artículo 14. De conformidad con lo previsto en el parágrafo del artículo 2o. de la Ley 80 de 1993, los contratos que se celebren en desarrollo de los convenios interadministrativos estarán sujetos a dicha ley.</w:t>
      </w:r>
    </w:p>
    <w:p w14:paraId="5287BB89"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w:t>
      </w:r>
    </w:p>
    <w:p w14:paraId="3C326750" w14:textId="77777777" w:rsidR="007C2AE6" w:rsidRPr="00F274DC" w:rsidRDefault="007C2AE6" w:rsidP="007C2AE6">
      <w:pPr>
        <w:pStyle w:val="Textoindependiente"/>
        <w:spacing w:after="0"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Cuando el objeto del contrato solamente pueda ser desarrollado por una entidad, el mismo se celebrará sin necesidad de adelantar proceso de selección alguno, circunstancia que deberá ser certificada por la Superintendencia de Economía Solidaria o quien haga sus veces en el caso de cooperativas o por el Ministerio del Interior en el caso de asociaciones de entidades territoriales”.</w:t>
      </w:r>
    </w:p>
    <w:p w14:paraId="74B23B28" w14:textId="77777777" w:rsidR="007C2AE6" w:rsidRPr="00F274DC" w:rsidRDefault="007C2AE6" w:rsidP="007C2AE6">
      <w:pPr>
        <w:pStyle w:val="Textoindependiente"/>
        <w:spacing w:before="3" w:after="0"/>
        <w:jc w:val="both"/>
        <w:rPr>
          <w:rFonts w:ascii="Verdana" w:hAnsi="Verdana"/>
          <w:color w:val="000000" w:themeColor="text1"/>
        </w:rPr>
      </w:pPr>
    </w:p>
    <w:p w14:paraId="7494583A" w14:textId="77777777" w:rsidR="007C2AE6" w:rsidRPr="00F274DC" w:rsidRDefault="007C2AE6" w:rsidP="007C2AE6">
      <w:pPr>
        <w:pStyle w:val="Textoindependiente"/>
        <w:spacing w:after="0"/>
        <w:ind w:right="108" w:firstLine="709"/>
        <w:jc w:val="both"/>
        <w:rPr>
          <w:rFonts w:ascii="Verdana" w:hAnsi="Verdana"/>
          <w:color w:val="000000" w:themeColor="text1"/>
        </w:rPr>
      </w:pPr>
      <w:r w:rsidRPr="00F274DC">
        <w:rPr>
          <w:rFonts w:ascii="Verdana" w:hAnsi="Verdana"/>
          <w:color w:val="000000" w:themeColor="text1"/>
        </w:rPr>
        <w:t>No obstante, el artículo 1 del Decreto 4375 de 2006 modificó el artículo 14 del Decreto 2170 de 2002, para restringir la celebración de los convenios interadministrativos por parte de dichas entidades, al introducir como requisito para su celebración la aplicación del artículo</w:t>
      </w:r>
      <w:r w:rsidRPr="00F274DC">
        <w:rPr>
          <w:rFonts w:ascii="Verdana" w:hAnsi="Verdana"/>
          <w:color w:val="000000" w:themeColor="text1"/>
          <w:spacing w:val="40"/>
        </w:rPr>
        <w:t xml:space="preserve"> </w:t>
      </w:r>
      <w:r w:rsidRPr="00F274DC">
        <w:rPr>
          <w:rFonts w:ascii="Verdana" w:hAnsi="Verdana"/>
          <w:color w:val="000000" w:themeColor="text1"/>
        </w:rPr>
        <w:t>29</w:t>
      </w:r>
      <w:r w:rsidRPr="00F274DC">
        <w:rPr>
          <w:rFonts w:ascii="Verdana" w:hAnsi="Verdana"/>
          <w:color w:val="000000" w:themeColor="text1"/>
          <w:spacing w:val="40"/>
        </w:rPr>
        <w:t xml:space="preserve"> </w:t>
      </w:r>
      <w:r w:rsidRPr="00F274DC">
        <w:rPr>
          <w:rFonts w:ascii="Verdana" w:hAnsi="Verdana"/>
          <w:color w:val="000000" w:themeColor="text1"/>
        </w:rPr>
        <w:t>de</w:t>
      </w:r>
      <w:r w:rsidRPr="00F274DC">
        <w:rPr>
          <w:rFonts w:ascii="Verdana" w:hAnsi="Verdana"/>
          <w:color w:val="000000" w:themeColor="text1"/>
          <w:spacing w:val="41"/>
        </w:rPr>
        <w:t xml:space="preserve"> </w:t>
      </w:r>
      <w:r w:rsidRPr="00F274DC">
        <w:rPr>
          <w:rFonts w:ascii="Verdana" w:hAnsi="Verdana"/>
          <w:color w:val="000000" w:themeColor="text1"/>
        </w:rPr>
        <w:t>la</w:t>
      </w:r>
      <w:r w:rsidRPr="00F274DC">
        <w:rPr>
          <w:rFonts w:ascii="Verdana" w:hAnsi="Verdana"/>
          <w:color w:val="000000" w:themeColor="text1"/>
          <w:spacing w:val="40"/>
        </w:rPr>
        <w:t xml:space="preserve"> </w:t>
      </w:r>
      <w:r w:rsidRPr="00F274DC">
        <w:rPr>
          <w:rFonts w:ascii="Verdana" w:hAnsi="Verdana"/>
          <w:color w:val="000000" w:themeColor="text1"/>
        </w:rPr>
        <w:t>Ley</w:t>
      </w:r>
      <w:r w:rsidRPr="00F274DC">
        <w:rPr>
          <w:rFonts w:ascii="Verdana" w:hAnsi="Verdana"/>
          <w:color w:val="000000" w:themeColor="text1"/>
          <w:spacing w:val="38"/>
        </w:rPr>
        <w:t xml:space="preserve"> </w:t>
      </w:r>
      <w:r w:rsidRPr="00F274DC">
        <w:rPr>
          <w:rFonts w:ascii="Verdana" w:hAnsi="Verdana"/>
          <w:color w:val="000000" w:themeColor="text1"/>
        </w:rPr>
        <w:t>80</w:t>
      </w:r>
      <w:r w:rsidRPr="00F274DC">
        <w:rPr>
          <w:rFonts w:ascii="Verdana" w:hAnsi="Verdana"/>
          <w:color w:val="000000" w:themeColor="text1"/>
          <w:spacing w:val="44"/>
        </w:rPr>
        <w:t xml:space="preserve"> </w:t>
      </w:r>
      <w:r w:rsidRPr="00F274DC">
        <w:rPr>
          <w:rFonts w:ascii="Verdana" w:hAnsi="Verdana"/>
          <w:color w:val="000000" w:themeColor="text1"/>
        </w:rPr>
        <w:t>de</w:t>
      </w:r>
      <w:r w:rsidRPr="00F274DC">
        <w:rPr>
          <w:rFonts w:ascii="Verdana" w:hAnsi="Verdana"/>
          <w:color w:val="000000" w:themeColor="text1"/>
          <w:spacing w:val="40"/>
        </w:rPr>
        <w:t xml:space="preserve"> </w:t>
      </w:r>
      <w:r w:rsidRPr="00F274DC">
        <w:rPr>
          <w:rFonts w:ascii="Verdana" w:hAnsi="Verdana"/>
          <w:color w:val="000000" w:themeColor="text1"/>
        </w:rPr>
        <w:t>1993,</w:t>
      </w:r>
      <w:r w:rsidRPr="00F274DC">
        <w:rPr>
          <w:rFonts w:ascii="Verdana" w:hAnsi="Verdana"/>
          <w:color w:val="000000" w:themeColor="text1"/>
          <w:spacing w:val="39"/>
        </w:rPr>
        <w:t xml:space="preserve"> </w:t>
      </w:r>
      <w:r w:rsidRPr="00F274DC">
        <w:rPr>
          <w:rFonts w:ascii="Verdana" w:hAnsi="Verdana"/>
          <w:color w:val="000000" w:themeColor="text1"/>
        </w:rPr>
        <w:lastRenderedPageBreak/>
        <w:t>normativa</w:t>
      </w:r>
      <w:r w:rsidRPr="00F274DC">
        <w:rPr>
          <w:rFonts w:ascii="Verdana" w:hAnsi="Verdana"/>
          <w:color w:val="000000" w:themeColor="text1"/>
          <w:spacing w:val="41"/>
        </w:rPr>
        <w:t xml:space="preserve"> </w:t>
      </w:r>
      <w:r w:rsidRPr="00F274DC">
        <w:rPr>
          <w:rFonts w:ascii="Verdana" w:hAnsi="Verdana"/>
          <w:color w:val="000000" w:themeColor="text1"/>
        </w:rPr>
        <w:t>que</w:t>
      </w:r>
      <w:r w:rsidRPr="00F274DC">
        <w:rPr>
          <w:rFonts w:ascii="Verdana" w:hAnsi="Verdana"/>
          <w:color w:val="000000" w:themeColor="text1"/>
          <w:spacing w:val="41"/>
        </w:rPr>
        <w:t xml:space="preserve"> </w:t>
      </w:r>
      <w:r w:rsidRPr="00F274DC">
        <w:rPr>
          <w:rFonts w:ascii="Verdana" w:hAnsi="Verdana"/>
          <w:color w:val="000000" w:themeColor="text1"/>
        </w:rPr>
        <w:t>desarrolla</w:t>
      </w:r>
      <w:r w:rsidRPr="00F274DC">
        <w:rPr>
          <w:rFonts w:ascii="Verdana" w:hAnsi="Verdana"/>
          <w:color w:val="000000" w:themeColor="text1"/>
          <w:spacing w:val="40"/>
        </w:rPr>
        <w:t xml:space="preserve"> </w:t>
      </w:r>
      <w:r w:rsidRPr="00F274DC">
        <w:rPr>
          <w:rFonts w:ascii="Verdana" w:hAnsi="Verdana"/>
          <w:color w:val="000000" w:themeColor="text1"/>
        </w:rPr>
        <w:t>la</w:t>
      </w:r>
      <w:r w:rsidRPr="00F274DC">
        <w:rPr>
          <w:rFonts w:ascii="Verdana" w:hAnsi="Verdana"/>
          <w:color w:val="000000" w:themeColor="text1"/>
          <w:spacing w:val="41"/>
        </w:rPr>
        <w:t xml:space="preserve"> </w:t>
      </w:r>
      <w:r w:rsidRPr="00F274DC">
        <w:rPr>
          <w:rFonts w:ascii="Verdana" w:hAnsi="Verdana"/>
          <w:color w:val="000000" w:themeColor="text1"/>
        </w:rPr>
        <w:t>selección</w:t>
      </w:r>
      <w:r w:rsidRPr="00F274DC">
        <w:rPr>
          <w:rFonts w:ascii="Verdana" w:hAnsi="Verdana"/>
          <w:color w:val="000000" w:themeColor="text1"/>
          <w:spacing w:val="38"/>
        </w:rPr>
        <w:t xml:space="preserve"> </w:t>
      </w:r>
      <w:r w:rsidRPr="00F274DC">
        <w:rPr>
          <w:rFonts w:ascii="Verdana" w:hAnsi="Verdana"/>
          <w:color w:val="000000" w:themeColor="text1"/>
        </w:rPr>
        <w:t>objetiva</w:t>
      </w:r>
      <w:r w:rsidRPr="00F274DC">
        <w:rPr>
          <w:rFonts w:ascii="Verdana" w:hAnsi="Verdana"/>
          <w:color w:val="000000" w:themeColor="text1"/>
          <w:spacing w:val="41"/>
        </w:rPr>
        <w:t xml:space="preserve"> </w:t>
      </w:r>
      <w:r w:rsidRPr="00F274DC">
        <w:rPr>
          <w:rFonts w:ascii="Verdana" w:hAnsi="Verdana"/>
          <w:color w:val="000000" w:themeColor="text1"/>
        </w:rPr>
        <w:t>como principio orientador para los procesos de selección sometidos al Estatuto General de Contratación de la Administración Pública:</w:t>
      </w:r>
    </w:p>
    <w:p w14:paraId="7A099C15" w14:textId="77777777" w:rsidR="007C2AE6" w:rsidRPr="00F274DC" w:rsidRDefault="007C2AE6" w:rsidP="007C2AE6">
      <w:pPr>
        <w:pStyle w:val="Textoindependiente"/>
        <w:spacing w:before="1" w:after="0"/>
        <w:jc w:val="both"/>
        <w:rPr>
          <w:rFonts w:ascii="Verdana" w:hAnsi="Verdana"/>
          <w:color w:val="000000" w:themeColor="text1"/>
        </w:rPr>
      </w:pPr>
    </w:p>
    <w:p w14:paraId="5DB5CAF0"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“Artículo 14. De los contratos interadministrativos con cooperativas y asociaciones conformadas por entidades territoriales. De conformidad con lo previsto en el parágrafo del artículo 2o de la Ley 80 de 1993, los contratos que se celebren en desarrollo de los convenios interadministrativos estarán sujetos a dicha ley.</w:t>
      </w:r>
    </w:p>
    <w:p w14:paraId="22373607"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La selección de estas entidades se hará conforme a las siguientes reglas:</w:t>
      </w:r>
    </w:p>
    <w:p w14:paraId="3B20600B"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La entidad demandante del bien, obra o servicio invitará a presentar ofertas a todas aquellas cooperativas o asociaciones de entidades territoriales que puedan ejecutar el contrato, para adelantar entre ellas un concurso que permita la selección de la oferta más favorable en los términos del artículo 29 de la Ley 80 de 1993.</w:t>
      </w:r>
    </w:p>
    <w:p w14:paraId="641153FF" w14:textId="77777777" w:rsidR="007C2AE6" w:rsidRPr="00F274DC" w:rsidRDefault="007C2AE6" w:rsidP="007C2AE6">
      <w:pPr>
        <w:pStyle w:val="Textoindependiente"/>
        <w:spacing w:after="0"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Las entidades a que se refiere el presente artículo deberán inscribirse en el RUP, en relación con los contratos a que se refiere el artículo 22 de la Ley 80 de 1993 y sólo podrán celebrar contratos respecto de los cuales posean la debida y comprobada experiencia, solidez financiera, capacidad técnica, administrativa y jurídica que les permita ejecutar directamente y sin la necesidad de ningún tercero el correspondiente contrato”.</w:t>
      </w:r>
    </w:p>
    <w:p w14:paraId="07D03ADA" w14:textId="77777777" w:rsidR="007C2AE6" w:rsidRPr="00F274DC" w:rsidRDefault="007C2AE6" w:rsidP="007C2AE6">
      <w:pPr>
        <w:pStyle w:val="Textoindependiente"/>
        <w:spacing w:after="0"/>
        <w:ind w:right="531"/>
        <w:jc w:val="both"/>
        <w:rPr>
          <w:rFonts w:ascii="Verdana" w:hAnsi="Verdana"/>
          <w:color w:val="000000" w:themeColor="text1"/>
        </w:rPr>
      </w:pPr>
    </w:p>
    <w:p w14:paraId="5A6E6F2C" w14:textId="77777777" w:rsidR="007C2AE6" w:rsidRPr="00F274DC" w:rsidRDefault="007C2AE6" w:rsidP="007C2AE6">
      <w:pPr>
        <w:pStyle w:val="Textoindependiente"/>
        <w:ind w:right="108" w:firstLine="709"/>
        <w:jc w:val="both"/>
        <w:rPr>
          <w:rFonts w:ascii="Verdana" w:hAnsi="Verdana"/>
          <w:color w:val="000000" w:themeColor="text1"/>
        </w:rPr>
      </w:pPr>
      <w:r w:rsidRPr="00F274DC">
        <w:rPr>
          <w:rFonts w:ascii="Verdana" w:hAnsi="Verdana"/>
          <w:color w:val="000000" w:themeColor="text1"/>
        </w:rPr>
        <w:t>De este modo, la modificación realizada por el artículo 1 del Decreto 4375 de 2006 restringió la libertad contractual de las cooperativas y asociaciones de entidades territoriales para celebrar convenios interadministrativos de forma directa, sometiéndolas a las reglas de la selección objetiva indicadas en caso de que estas pretendieran contratar o ser contratadas por una entidad</w:t>
      </w:r>
      <w:r w:rsidRPr="00F274DC">
        <w:rPr>
          <w:rFonts w:ascii="Verdana" w:hAnsi="Verdana"/>
          <w:color w:val="000000" w:themeColor="text1"/>
          <w:spacing w:val="-2"/>
        </w:rPr>
        <w:t xml:space="preserve"> </w:t>
      </w:r>
      <w:r w:rsidRPr="00F274DC">
        <w:rPr>
          <w:rFonts w:ascii="Verdana" w:hAnsi="Verdana"/>
          <w:color w:val="000000" w:themeColor="text1"/>
        </w:rPr>
        <w:t>estatal.</w:t>
      </w:r>
    </w:p>
    <w:p w14:paraId="59ABCABE" w14:textId="77777777" w:rsidR="007C2AE6" w:rsidRPr="00F274DC" w:rsidRDefault="007C2AE6" w:rsidP="007C2AE6">
      <w:pPr>
        <w:pStyle w:val="Textoindependiente"/>
        <w:spacing w:after="0"/>
        <w:ind w:right="108" w:firstLine="709"/>
        <w:jc w:val="both"/>
        <w:rPr>
          <w:rFonts w:ascii="Verdana" w:hAnsi="Verdana"/>
          <w:color w:val="000000" w:themeColor="text1"/>
        </w:rPr>
      </w:pPr>
      <w:r w:rsidRPr="00F274DC">
        <w:rPr>
          <w:rFonts w:ascii="Verdana" w:hAnsi="Verdana"/>
          <w:color w:val="000000" w:themeColor="text1"/>
        </w:rPr>
        <w:t xml:space="preserve">A su vez, con la vigencia de la Ley 1150 de 2007, normativa que introdujo medidas para la eficiencia y la transparencia en la contratación pública, se establecieron nuevos criterios para la celebración de convenios interadministrativos para la actividad contractual de cooperativas y asociaciones de entidades territoriales. Particularmente, el artículo 32 de la Ley 1150 de 2007 derogó de manera expresa el parágrafo 1 del artículo 2 de la Ley 80 de 1993, que permitía la celebración de convenios interadministrativos por </w:t>
      </w:r>
      <w:r w:rsidRPr="00F274DC">
        <w:rPr>
          <w:rFonts w:ascii="Verdana" w:hAnsi="Verdana"/>
          <w:color w:val="000000" w:themeColor="text1"/>
        </w:rPr>
        <w:lastRenderedPageBreak/>
        <w:t>parte de cooperativas y asociaciones de entidades</w:t>
      </w:r>
      <w:r w:rsidRPr="00F274DC">
        <w:rPr>
          <w:rFonts w:ascii="Verdana" w:hAnsi="Verdana"/>
          <w:color w:val="000000" w:themeColor="text1"/>
          <w:spacing w:val="-12"/>
        </w:rPr>
        <w:t xml:space="preserve"> </w:t>
      </w:r>
      <w:r w:rsidRPr="00F274DC">
        <w:rPr>
          <w:rFonts w:ascii="Verdana" w:hAnsi="Verdana"/>
          <w:color w:val="000000" w:themeColor="text1"/>
        </w:rPr>
        <w:t>territoriales</w:t>
      </w:r>
      <w:r w:rsidRPr="00F274DC">
        <w:rPr>
          <w:rStyle w:val="Refdenotaalpie"/>
          <w:rFonts w:ascii="Verdana" w:hAnsi="Verdana"/>
          <w:color w:val="000000" w:themeColor="text1"/>
        </w:rPr>
        <w:footnoteReference w:id="2"/>
      </w:r>
      <w:r w:rsidRPr="00F274DC">
        <w:rPr>
          <w:rFonts w:ascii="Verdana" w:hAnsi="Verdana"/>
          <w:color w:val="000000" w:themeColor="text1"/>
        </w:rPr>
        <w:t>. Además, en armonía con lo anterior, el artículo 10 de la Ley 1150 de 2007 estableció:</w:t>
      </w:r>
    </w:p>
    <w:p w14:paraId="2E8DBA1C" w14:textId="77777777" w:rsidR="007C2AE6" w:rsidRPr="00F274DC" w:rsidRDefault="007C2AE6" w:rsidP="007C2AE6">
      <w:pPr>
        <w:pStyle w:val="Textoindependiente"/>
        <w:spacing w:before="8" w:after="0"/>
        <w:jc w:val="both"/>
        <w:rPr>
          <w:rFonts w:ascii="Verdana" w:hAnsi="Verdana"/>
          <w:color w:val="000000" w:themeColor="text1"/>
        </w:rPr>
      </w:pPr>
    </w:p>
    <w:p w14:paraId="0E298AE8" w14:textId="77777777" w:rsidR="007C2AE6" w:rsidRPr="00F274DC" w:rsidRDefault="007C2AE6" w:rsidP="007C2AE6">
      <w:pPr>
        <w:pStyle w:val="Textoindependiente"/>
        <w:spacing w:after="0"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p w14:paraId="6AC2ABBD" w14:textId="77777777" w:rsidR="007C2AE6" w:rsidRPr="00F274DC" w:rsidRDefault="007C2AE6" w:rsidP="007C2AE6">
      <w:pPr>
        <w:pStyle w:val="Textoindependiente"/>
        <w:spacing w:before="4" w:after="0"/>
        <w:jc w:val="both"/>
        <w:rPr>
          <w:rFonts w:ascii="Verdana" w:hAnsi="Verdana"/>
          <w:color w:val="000000" w:themeColor="text1"/>
        </w:rPr>
      </w:pPr>
    </w:p>
    <w:p w14:paraId="49435A1C" w14:textId="77777777" w:rsidR="007C2AE6" w:rsidRPr="00F274DC" w:rsidRDefault="007C2AE6" w:rsidP="007C2AE6">
      <w:pPr>
        <w:pStyle w:val="Textoindependiente"/>
        <w:ind w:right="108" w:firstLine="709"/>
        <w:jc w:val="both"/>
        <w:rPr>
          <w:rFonts w:ascii="Verdana" w:hAnsi="Verdana"/>
          <w:color w:val="000000" w:themeColor="text1"/>
        </w:rPr>
      </w:pPr>
      <w:r w:rsidRPr="00F274DC">
        <w:rPr>
          <w:rFonts w:ascii="Verdana" w:hAnsi="Verdana"/>
          <w:color w:val="000000" w:themeColor="text1"/>
        </w:rPr>
        <w:t xml:space="preserve">A partir de la norma citada, para la celebración de contratos con entidades estatales, las cooperativas y asociaciones conformadas por entidades territoriales deben someterse a los procesos de selección de la Ley 1150 de 2007, en igualdad de condiciones con los particulares. </w:t>
      </w:r>
      <w:r w:rsidRPr="00F274DC">
        <w:rPr>
          <w:rStyle w:val="normaltextrun"/>
          <w:rFonts w:ascii="Verdana" w:hAnsi="Verdana"/>
          <w:color w:val="000000"/>
          <w:shd w:val="clear" w:color="auto" w:fill="FFFFFF"/>
        </w:rPr>
        <w:t>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De otro lado, vale la pena destacar como la disposición analizada no efectuó distinciones entre el tipo de asociaciones de entidades territoriales frente a las que aplica esta restricción</w:t>
      </w:r>
      <w:r w:rsidRPr="00F274DC">
        <w:rPr>
          <w:rFonts w:ascii="Verdana" w:hAnsi="Verdana"/>
          <w:color w:val="000000" w:themeColor="text1"/>
          <w:sz w:val="21"/>
          <w:szCs w:val="21"/>
        </w:rPr>
        <w:t xml:space="preserve">. </w:t>
      </w:r>
    </w:p>
    <w:p w14:paraId="37E4C5F4" w14:textId="77777777" w:rsidR="007C2AE6" w:rsidRPr="00F274DC" w:rsidRDefault="007C2AE6" w:rsidP="007C2AE6">
      <w:pPr>
        <w:pStyle w:val="Textoindependiente"/>
        <w:ind w:right="108" w:firstLine="709"/>
        <w:jc w:val="both"/>
        <w:rPr>
          <w:rFonts w:ascii="Verdana" w:hAnsi="Verdana"/>
          <w:color w:val="000000" w:themeColor="text1"/>
        </w:rPr>
      </w:pPr>
      <w:r w:rsidRPr="00F274DC">
        <w:rPr>
          <w:rFonts w:ascii="Verdana" w:hAnsi="Verdana"/>
          <w:color w:val="000000" w:themeColor="text1"/>
        </w:rPr>
        <w:t xml:space="preserve">De la evolución normativa expuesta se advierte que la prohibición de celebrar contratos mediante la modalidad de contratación directa, incluyendo la imposibilidad de acudir a la causal de contratos interadministrativos, por parte de asociaciones de entidades territoriales tiene como fundamento: i) la derogatoria expresa del artículo 32 de la Ley 1150 de 2007, que dejó sin efectos el parágrafo 1 del artículo 2 de la Ley 80 de 1993; y, particularmente, </w:t>
      </w:r>
      <w:proofErr w:type="spellStart"/>
      <w:r w:rsidRPr="00F274DC">
        <w:rPr>
          <w:rFonts w:ascii="Verdana" w:hAnsi="Verdana"/>
          <w:color w:val="000000" w:themeColor="text1"/>
        </w:rPr>
        <w:t>ii</w:t>
      </w:r>
      <w:proofErr w:type="spellEnd"/>
      <w:r w:rsidRPr="00F274DC">
        <w:rPr>
          <w:rFonts w:ascii="Verdana" w:hAnsi="Verdana"/>
          <w:color w:val="000000" w:themeColor="text1"/>
        </w:rPr>
        <w:t xml:space="preserve">) el artículo 10 de la ley 1150 de 2007 que establece que la celebración de contratos entre una entidad estatal con, entre otras, asociaciones de entidades territoriales  únicamente se pueden realizar mediante un proceso competitivo, </w:t>
      </w:r>
      <w:r w:rsidRPr="00F274DC">
        <w:rPr>
          <w:rFonts w:ascii="Verdana" w:hAnsi="Verdana"/>
          <w:color w:val="000000" w:themeColor="text1"/>
        </w:rPr>
        <w:lastRenderedPageBreak/>
        <w:t>pues deben participar “en igualdad de condiciones con los particulares” y no mediante la modalidad de contratación directa, incluyendo en la prohibición acudir a la causal de los contratos interadministrativos.</w:t>
      </w:r>
    </w:p>
    <w:p w14:paraId="5E8AFD0D" w14:textId="77777777" w:rsidR="007C2AE6" w:rsidRPr="00F274DC" w:rsidRDefault="007C2AE6" w:rsidP="007C2AE6">
      <w:pPr>
        <w:pStyle w:val="Textoindependiente"/>
        <w:spacing w:after="0"/>
        <w:ind w:right="108" w:firstLine="709"/>
        <w:jc w:val="both"/>
        <w:rPr>
          <w:rFonts w:ascii="Verdana" w:hAnsi="Verdana"/>
          <w:color w:val="000000" w:themeColor="text1"/>
        </w:rPr>
      </w:pPr>
      <w:r w:rsidRPr="00F274DC">
        <w:rPr>
          <w:rFonts w:ascii="Verdana" w:hAnsi="Verdana"/>
          <w:color w:val="000000" w:themeColor="text1"/>
        </w:rPr>
        <w:t xml:space="preserve">No obstante, continuando con el análisis del desarrollo normativo, debe tenerse en cuenta que posterior a la Ley 1150 de 2007 se expidió la Ley 1454 de 2011, que en el parágrafo del artículo 17 es concluyente frente a la posibilidad que tienen las asociaciones de departamentos, las provincias y las asociaciones de distritos y de municipios de suscribir convenios interadministrativos, en los términos establecidos en el artículo 95 de la </w:t>
      </w:r>
      <w:r>
        <w:rPr>
          <w:rFonts w:ascii="Verdana" w:hAnsi="Verdana"/>
          <w:color w:val="000000" w:themeColor="text1"/>
        </w:rPr>
        <w:t>L</w:t>
      </w:r>
      <w:r w:rsidRPr="00F274DC">
        <w:rPr>
          <w:rFonts w:ascii="Verdana" w:hAnsi="Verdana"/>
          <w:color w:val="000000" w:themeColor="text1"/>
        </w:rPr>
        <w:t>ey 489 de 1998:</w:t>
      </w:r>
    </w:p>
    <w:p w14:paraId="151ACCA4" w14:textId="77777777" w:rsidR="007C2AE6" w:rsidRPr="00F274DC" w:rsidRDefault="007C2AE6" w:rsidP="007C2AE6">
      <w:pPr>
        <w:pStyle w:val="Textoindependiente"/>
        <w:spacing w:after="0"/>
        <w:ind w:right="108" w:firstLine="709"/>
        <w:jc w:val="both"/>
        <w:rPr>
          <w:rFonts w:ascii="Verdana" w:hAnsi="Verdana"/>
          <w:color w:val="000000" w:themeColor="text1"/>
        </w:rPr>
      </w:pPr>
    </w:p>
    <w:p w14:paraId="40297F27"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bookmarkStart w:id="2" w:name="17"/>
      <w:r w:rsidRPr="00F274DC">
        <w:rPr>
          <w:rFonts w:ascii="Verdana" w:hAnsi="Verdana"/>
          <w:color w:val="000000" w:themeColor="text1"/>
          <w:sz w:val="20"/>
          <w:szCs w:val="20"/>
        </w:rPr>
        <w:t>“Artículo 17. Naturaleza y funcionamiento de los esquemas asociativos.</w:t>
      </w:r>
      <w:bookmarkEnd w:id="2"/>
      <w:r w:rsidRPr="00F274DC">
        <w:rPr>
          <w:rFonts w:ascii="Verdana" w:hAnsi="Verdana"/>
          <w:color w:val="000000" w:themeColor="text1"/>
          <w:sz w:val="20"/>
          <w:szCs w:val="20"/>
        </w:rPr>
        <w:t xml:space="preserve"> Las asociaciones de departamentos, las provincias y las </w:t>
      </w:r>
      <w:r w:rsidRPr="00FA34D1">
        <w:rPr>
          <w:rFonts w:ascii="Verdana" w:hAnsi="Verdana"/>
          <w:color w:val="000000" w:themeColor="text1"/>
          <w:sz w:val="20"/>
          <w:szCs w:val="20"/>
        </w:rPr>
        <w:t>asociaciones de distritos y de municipios</w:t>
      </w:r>
      <w:r w:rsidRPr="00F274DC">
        <w:rPr>
          <w:rFonts w:ascii="Verdana" w:hAnsi="Verdana"/>
          <w:color w:val="000000" w:themeColor="text1"/>
          <w:sz w:val="20"/>
          <w:szCs w:val="20"/>
        </w:rPr>
        <w:t xml:space="preserve"> son entidades administrativas de derecho público, con personería jurídica y patrimonio propio e independiente de los entes que la conforman.</w:t>
      </w:r>
    </w:p>
    <w:p w14:paraId="12FFD143"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Las asociaciones de departamentos podrán constituirse en regiones administrativas y de planificación, previa autorización de sus asambleas departamentales.</w:t>
      </w:r>
    </w:p>
    <w:p w14:paraId="7B0BC5DD"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En ningún caso las entidades territoriales que se asocien podrán generar gastos de funcionamiento adicionales con cargo a su presupuesto o al presupuesto general de la Nación, ni incrementar la planta burocrática de las respectivas entidades que las conformen.</w:t>
      </w:r>
    </w:p>
    <w:p w14:paraId="0DB296EA" w14:textId="77777777" w:rsidR="007C2AE6" w:rsidRPr="00F274DC" w:rsidRDefault="007C2AE6" w:rsidP="007C2AE6">
      <w:pPr>
        <w:pStyle w:val="Textoindependiente"/>
        <w:spacing w:after="0"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PARÁGRAFO. </w:t>
      </w:r>
      <w:r w:rsidRPr="00F274DC">
        <w:rPr>
          <w:rFonts w:ascii="Verdana" w:hAnsi="Verdana"/>
          <w:i/>
          <w:iCs/>
          <w:color w:val="000000" w:themeColor="text1"/>
          <w:sz w:val="20"/>
          <w:szCs w:val="20"/>
        </w:rPr>
        <w:t>En concordancia con lo previsto en el artículo </w:t>
      </w:r>
      <w:hyperlink r:id="rId12" w:anchor="95" w:history="1">
        <w:r w:rsidRPr="00F274DC">
          <w:rPr>
            <w:rFonts w:ascii="Verdana" w:hAnsi="Verdana"/>
            <w:i/>
            <w:iCs/>
            <w:color w:val="000000" w:themeColor="text1"/>
            <w:sz w:val="20"/>
            <w:szCs w:val="20"/>
          </w:rPr>
          <w:t>95</w:t>
        </w:r>
      </w:hyperlink>
      <w:r w:rsidRPr="00F274DC">
        <w:rPr>
          <w:rFonts w:ascii="Verdana" w:hAnsi="Verdana"/>
          <w:i/>
          <w:iCs/>
          <w:color w:val="000000" w:themeColor="text1"/>
          <w:sz w:val="20"/>
          <w:szCs w:val="20"/>
        </w:rPr>
        <w:t> de la Ley 489 de 1998, las Entidades Territoriales podrán continuar asociándose mediante la celebración de convenios interadministrativos o mediante la conformación de personas jurídicas de derecho público o derecho privado</w:t>
      </w:r>
      <w:r w:rsidRPr="00F274DC">
        <w:rPr>
          <w:rFonts w:ascii="Verdana" w:hAnsi="Verdana"/>
          <w:color w:val="000000" w:themeColor="text1"/>
          <w:sz w:val="20"/>
          <w:szCs w:val="20"/>
        </w:rPr>
        <w:t>”. (Énfasis fuera de texto)</w:t>
      </w:r>
    </w:p>
    <w:p w14:paraId="17544A94" w14:textId="77777777" w:rsidR="007C2AE6" w:rsidRPr="00F274DC" w:rsidRDefault="007C2AE6" w:rsidP="007C2AE6">
      <w:pPr>
        <w:pStyle w:val="Textoindependiente"/>
        <w:spacing w:after="0"/>
        <w:ind w:right="108" w:firstLine="709"/>
        <w:jc w:val="both"/>
        <w:rPr>
          <w:rFonts w:ascii="Verdana" w:hAnsi="Verdana"/>
          <w:color w:val="000000" w:themeColor="text1"/>
        </w:rPr>
      </w:pPr>
    </w:p>
    <w:p w14:paraId="17BDD2C1" w14:textId="77777777" w:rsidR="007C2AE6" w:rsidRPr="00F274DC" w:rsidRDefault="007C2AE6" w:rsidP="007C2AE6">
      <w:pPr>
        <w:pStyle w:val="Textoindependiente"/>
        <w:ind w:right="108"/>
        <w:jc w:val="both"/>
        <w:rPr>
          <w:rFonts w:ascii="Verdana" w:hAnsi="Verdana"/>
          <w:color w:val="000000" w:themeColor="text1"/>
        </w:rPr>
      </w:pPr>
      <w:r w:rsidRPr="00F274DC">
        <w:rPr>
          <w:rFonts w:ascii="Verdana" w:hAnsi="Verdana"/>
          <w:color w:val="000000" w:themeColor="text1"/>
        </w:rPr>
        <w:tab/>
        <w:t xml:space="preserve">En los términos indicados, es posible que los esquemas asociativos de entidades territoriales señalados en la disposición celebren convenios interadministrativos con otras entidades estatales, con estricta observancia de los requisitos establecidos en el artículo 95 de la Ley 489 de 1998. </w:t>
      </w:r>
    </w:p>
    <w:p w14:paraId="684AF86C" w14:textId="77777777" w:rsidR="007C2AE6" w:rsidRPr="00F274DC" w:rsidRDefault="007C2AE6" w:rsidP="007C2AE6">
      <w:pPr>
        <w:pStyle w:val="Textoindependiente"/>
        <w:spacing w:after="0"/>
        <w:ind w:right="108" w:firstLine="708"/>
        <w:jc w:val="both"/>
        <w:rPr>
          <w:rFonts w:ascii="Verdana" w:hAnsi="Verdana"/>
          <w:color w:val="000000" w:themeColor="text1"/>
        </w:rPr>
      </w:pPr>
      <w:r w:rsidRPr="00F274DC">
        <w:rPr>
          <w:rFonts w:ascii="Verdana" w:hAnsi="Verdana"/>
          <w:color w:val="000000" w:themeColor="text1"/>
        </w:rPr>
        <w:t>Para finalizar el recuento normativo, es necesario hacer referencia a la modificación realizada por el artículo 92 de la Ley 1474 de 2011 al literal </w:t>
      </w:r>
      <w:hyperlink r:id="rId13" w:anchor="2.4.c" w:history="1">
        <w:r w:rsidRPr="00F274DC">
          <w:rPr>
            <w:rFonts w:ascii="Verdana" w:hAnsi="Verdana"/>
            <w:color w:val="000000" w:themeColor="text1"/>
          </w:rPr>
          <w:t>c)</w:t>
        </w:r>
      </w:hyperlink>
      <w:r w:rsidRPr="00F274DC">
        <w:rPr>
          <w:rFonts w:ascii="Verdana" w:hAnsi="Verdana"/>
          <w:color w:val="000000" w:themeColor="text1"/>
        </w:rPr>
        <w:t xml:space="preserve"> del numeral 4 del artículo 2 de la Ley 1150 de 2007. En efecto, el artículo 92 indicado prohíbe acudir a la causal de contratación directa para celebrar ciertas tipologías y objetos contractuales por parte de ciertas entidades, donde se </w:t>
      </w:r>
      <w:r w:rsidRPr="00F274DC">
        <w:rPr>
          <w:rFonts w:ascii="Verdana" w:hAnsi="Verdana"/>
          <w:color w:val="000000" w:themeColor="text1"/>
        </w:rPr>
        <w:lastRenderedPageBreak/>
        <w:t>incluye esta restricción precisa frente a las asociaciones de entidades públicas. En efecto, la disposición establece:</w:t>
      </w:r>
    </w:p>
    <w:p w14:paraId="1F293DEC" w14:textId="77777777" w:rsidR="007C2AE6" w:rsidRPr="00F274DC" w:rsidRDefault="007C2AE6" w:rsidP="007C2AE6">
      <w:pPr>
        <w:pStyle w:val="Textoindependiente"/>
        <w:spacing w:after="0"/>
        <w:ind w:right="108" w:firstLine="708"/>
        <w:jc w:val="both"/>
        <w:rPr>
          <w:rFonts w:ascii="Verdana" w:hAnsi="Verdana"/>
          <w:color w:val="000000" w:themeColor="text1"/>
        </w:rPr>
      </w:pPr>
    </w:p>
    <w:p w14:paraId="0C3955CA"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 xml:space="preserve">“Artículo 92. Contratos interadministrativos. </w:t>
      </w:r>
      <w:proofErr w:type="spellStart"/>
      <w:r w:rsidRPr="00F274DC">
        <w:rPr>
          <w:rFonts w:ascii="Verdana" w:hAnsi="Verdana"/>
          <w:color w:val="000000" w:themeColor="text1"/>
          <w:sz w:val="20"/>
          <w:szCs w:val="20"/>
        </w:rPr>
        <w:t>Modifícase</w:t>
      </w:r>
      <w:proofErr w:type="spellEnd"/>
      <w:r w:rsidRPr="00F274DC">
        <w:rPr>
          <w:rFonts w:ascii="Verdana" w:hAnsi="Verdana"/>
          <w:color w:val="000000" w:themeColor="text1"/>
          <w:sz w:val="20"/>
          <w:szCs w:val="20"/>
        </w:rPr>
        <w:t xml:space="preserve"> el inciso primero del literal c) del numeral 4 del artículo 2o de la Ley 1150 de 2007, el cual quedará así:</w:t>
      </w:r>
    </w:p>
    <w:p w14:paraId="0E9CCBB3" w14:textId="77777777" w:rsidR="007C2AE6" w:rsidRPr="00F274DC" w:rsidRDefault="007C2AE6" w:rsidP="007C2AE6">
      <w:pPr>
        <w:pStyle w:val="Textoindependiente"/>
        <w:spacing w:line="240" w:lineRule="auto"/>
        <w:ind w:left="709" w:right="709"/>
        <w:jc w:val="both"/>
        <w:rPr>
          <w:rFonts w:ascii="Verdana" w:hAnsi="Verdana"/>
          <w:color w:val="000000" w:themeColor="text1"/>
          <w:sz w:val="20"/>
          <w:szCs w:val="20"/>
        </w:rPr>
      </w:pPr>
      <w:r w:rsidRPr="00F274DC">
        <w:rPr>
          <w:rFonts w:ascii="Verdana" w:hAnsi="Verdana"/>
          <w:color w:val="000000" w:themeColor="text1"/>
          <w:sz w:val="20"/>
          <w:szCs w:val="20"/>
        </w:rPr>
        <w:t>c) Contratos interadministrativos, siempre que las obligaciones derivadas del mismo tengan relación directa con el objeto de la entidad ejecutora señalado en la ley o en sus reglamentos.</w:t>
      </w:r>
    </w:p>
    <w:p w14:paraId="303F570A" w14:textId="77777777" w:rsidR="007C2AE6" w:rsidRPr="00F274DC" w:rsidRDefault="007C2AE6" w:rsidP="007C2AE6">
      <w:pPr>
        <w:pStyle w:val="Textoindependiente"/>
        <w:spacing w:after="0" w:line="240" w:lineRule="auto"/>
        <w:ind w:left="709" w:right="709"/>
        <w:jc w:val="both"/>
        <w:rPr>
          <w:rFonts w:ascii="Verdana" w:hAnsi="Verdana"/>
          <w:color w:val="000000" w:themeColor="text1"/>
          <w:sz w:val="20"/>
          <w:szCs w:val="20"/>
        </w:rPr>
      </w:pPr>
      <w:r w:rsidRPr="00F274DC">
        <w:rPr>
          <w:rFonts w:ascii="Verdana" w:hAnsi="Verdana"/>
          <w:i/>
          <w:iCs/>
          <w:color w:val="000000" w:themeColor="text1"/>
          <w:sz w:val="20"/>
          <w:szCs w:val="20"/>
        </w:rPr>
        <w:t>Se exceptúan los contratos de obra, suministro, prestación de servicios de evaluación de conformidad respecto de las normas o reglamentos técnicos, encargos fiduciarios y fiducia pública cuando</w:t>
      </w:r>
      <w:r w:rsidRPr="00F274DC">
        <w:rPr>
          <w:rFonts w:ascii="Verdana" w:hAnsi="Verdana"/>
          <w:color w:val="000000" w:themeColor="text1"/>
          <w:sz w:val="20"/>
          <w:szCs w:val="20"/>
        </w:rPr>
        <w:t xml:space="preserve"> las instituciones de educación superior públicas o las Sociedades de Economía Mixta con participación mayoritaria del Estado, o </w:t>
      </w:r>
      <w:r w:rsidRPr="00F274DC">
        <w:rPr>
          <w:rFonts w:ascii="Verdana" w:hAnsi="Verdana"/>
          <w:i/>
          <w:iCs/>
          <w:color w:val="000000" w:themeColor="text1"/>
          <w:sz w:val="20"/>
          <w:szCs w:val="20"/>
        </w:rPr>
        <w:t>las personas jurídicas sin ánimo de lucro conformadas por la asociación de entidades públicas, o las federaciones de entidades territoriales sean las ejecutoras</w:t>
      </w:r>
      <w:r w:rsidRPr="00F274DC">
        <w:rPr>
          <w:rFonts w:ascii="Verdana" w:hAnsi="Verdana"/>
          <w:color w:val="000000" w:themeColor="text1"/>
          <w:sz w:val="20"/>
          <w:szCs w:val="20"/>
        </w:rPr>
        <w:t>. Estos contratos podrán ser ejecutados por las mismas, siempre que participen en procesos de licitación pública o contratación abreviada de acuerdo con lo dispuesto por los numerales 1 y 2 del presente artículo”. (Cursiva fuera de texto)</w:t>
      </w:r>
    </w:p>
    <w:p w14:paraId="08FAD947" w14:textId="77777777" w:rsidR="007C2AE6" w:rsidRPr="00F274DC" w:rsidRDefault="007C2AE6" w:rsidP="007C2AE6">
      <w:pPr>
        <w:pStyle w:val="Textoindependiente"/>
        <w:spacing w:after="0"/>
        <w:ind w:right="108" w:firstLine="709"/>
        <w:jc w:val="both"/>
        <w:rPr>
          <w:rFonts w:ascii="Verdana" w:hAnsi="Verdana"/>
          <w:color w:val="000000" w:themeColor="text1"/>
        </w:rPr>
      </w:pPr>
    </w:p>
    <w:p w14:paraId="1A6E2694" w14:textId="77777777" w:rsidR="007C2AE6" w:rsidRPr="00F274DC" w:rsidRDefault="007C2AE6" w:rsidP="007C2AE6">
      <w:pPr>
        <w:pStyle w:val="Textoindependiente"/>
        <w:ind w:right="108" w:firstLine="709"/>
        <w:jc w:val="both"/>
        <w:rPr>
          <w:rFonts w:ascii="Verdana" w:hAnsi="Verdana"/>
          <w:color w:val="000000" w:themeColor="text1"/>
        </w:rPr>
      </w:pPr>
      <w:r w:rsidRPr="00F274DC">
        <w:rPr>
          <w:rFonts w:ascii="Verdana" w:hAnsi="Verdana"/>
          <w:color w:val="000000" w:themeColor="text1"/>
        </w:rPr>
        <w:t>La anterior constituye otra prohibición precisa para celebrar ciertos objetos y tipologías contractuales por parte de personas jurídicas sin ánimo de lucro conformadas por la asociación de entidades públicas, donde se incluyen las asociaciones de entidades territoriales.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w:t>
      </w:r>
    </w:p>
    <w:p w14:paraId="0ECAAE92" w14:textId="77777777" w:rsidR="007C2AE6" w:rsidRDefault="007C2AE6" w:rsidP="007C2AE6">
      <w:pPr>
        <w:spacing w:after="120" w:line="276" w:lineRule="auto"/>
        <w:ind w:firstLine="709"/>
        <w:jc w:val="both"/>
        <w:rPr>
          <w:rFonts w:ascii="Verdana" w:hAnsi="Verdana"/>
          <w:color w:val="000000" w:themeColor="text1"/>
        </w:rPr>
      </w:pPr>
      <w:r w:rsidRPr="00F274DC">
        <w:rPr>
          <w:rFonts w:ascii="Verdana" w:hAnsi="Verdana"/>
          <w:color w:val="000000" w:themeColor="text1"/>
        </w:rPr>
        <w:t xml:space="preserve">De lo anteriormente expuesto se concluye que con fundamento en el parágrafo del artículo 17 de la Ley 1454 de 2011, </w:t>
      </w:r>
      <w:r w:rsidRPr="00DC2298">
        <w:rPr>
          <w:rFonts w:ascii="Verdana" w:hAnsi="Verdana"/>
          <w:color w:val="000000" w:themeColor="text1"/>
        </w:rPr>
        <w:t xml:space="preserve">es posible que los esquemas asociativos de entidades territoriales señalados en la disposición celebren convenios interadministrativos con otras entidades estatales del artículo 2 de la Ley 80 de 1993, bajo estricta observancia de los requisitos establecidos en el artículo 95 de la Ley 489 de 1998. En todo caso, deben acatarse las prohibiciones establecidas en el artículo 10 de la Ley 1150 de 2007 y en el artículo 92 de la Ley 1474 de 2011, los cuales limitan la modalidad de contratación directa. En caso de que la modalidad sea competitiva, los documentos tipo serán aplicables para las entidades sometidas al EGCAP en función del sector, la tipología </w:t>
      </w:r>
      <w:r w:rsidRPr="00DC2298">
        <w:rPr>
          <w:rFonts w:ascii="Verdana" w:hAnsi="Verdana"/>
          <w:color w:val="000000" w:themeColor="text1"/>
        </w:rPr>
        <w:lastRenderedPageBreak/>
        <w:t>contractual y la modalidad de selección, siempre que las actividades se encuentren en las matrices de experiencia</w:t>
      </w:r>
      <w:r>
        <w:rPr>
          <w:rFonts w:ascii="Verdana" w:hAnsi="Verdana"/>
          <w:color w:val="000000" w:themeColor="text1"/>
        </w:rPr>
        <w:t>.</w:t>
      </w:r>
    </w:p>
    <w:p w14:paraId="1097D05D" w14:textId="77777777" w:rsidR="007C2AE6" w:rsidRDefault="007C2AE6" w:rsidP="007C2AE6">
      <w:pPr>
        <w:spacing w:after="0" w:line="276" w:lineRule="auto"/>
        <w:ind w:firstLine="708"/>
        <w:jc w:val="both"/>
        <w:rPr>
          <w:rFonts w:ascii="Verdana" w:hAnsi="Verdana"/>
          <w:color w:val="000000" w:themeColor="text1"/>
        </w:rPr>
      </w:pPr>
      <w:r>
        <w:rPr>
          <w:rFonts w:ascii="Verdana" w:hAnsi="Verdana"/>
          <w:color w:val="000000" w:themeColor="text1"/>
        </w:rPr>
        <w:t>Asimismo, como entidades sometidas al Estatuto General de Contratación conforme al artículo 10 de la Ley 1150 de 2007, los esquemas asociativos de entidades territoriales también son destinatarios directos del parágrafo del artículo 2 de la Ley 1150 de 2007, modificado por el artículo 1 de la Ley 2022 de 2020</w:t>
      </w:r>
      <w:r>
        <w:rPr>
          <w:rStyle w:val="Refdenotaalpie"/>
          <w:rFonts w:ascii="Verdana" w:hAnsi="Verdana"/>
          <w:color w:val="000000" w:themeColor="text1"/>
        </w:rPr>
        <w:footnoteReference w:id="3"/>
      </w:r>
      <w:r>
        <w:rPr>
          <w:rFonts w:ascii="Verdana" w:hAnsi="Verdana"/>
          <w:color w:val="000000" w:themeColor="text1"/>
        </w:rPr>
        <w:t>. Luego sin perjuicio de lo establecido en el artículo 56 de la Ley 2195 de 2022, deben ejecutar los contratos de obra conforme a los documentos tipo expedidos por la Agencia, siempre que las actividades estén comprendidas en las matrices de experiencia correspondientes</w:t>
      </w:r>
      <w:r>
        <w:rPr>
          <w:rStyle w:val="Refdenotaalpie"/>
          <w:rFonts w:ascii="Verdana" w:hAnsi="Verdana"/>
          <w:color w:val="000000" w:themeColor="text1"/>
        </w:rPr>
        <w:footnoteReference w:id="4"/>
      </w:r>
      <w:r>
        <w:rPr>
          <w:rFonts w:ascii="Verdana" w:hAnsi="Verdana"/>
          <w:color w:val="000000" w:themeColor="text1"/>
        </w:rPr>
        <w:t xml:space="preserve">.   </w:t>
      </w:r>
    </w:p>
    <w:p w14:paraId="2B21318A" w14:textId="77777777" w:rsidR="007C2AE6" w:rsidRDefault="007C2AE6" w:rsidP="007C2AE6">
      <w:pPr>
        <w:spacing w:after="0" w:line="276" w:lineRule="auto"/>
        <w:jc w:val="both"/>
        <w:rPr>
          <w:rFonts w:ascii="Verdana" w:hAnsi="Verdana"/>
          <w:color w:val="000000" w:themeColor="text1"/>
        </w:rPr>
      </w:pPr>
    </w:p>
    <w:p w14:paraId="337645FD" w14:textId="77777777" w:rsidR="007C2AE6" w:rsidRPr="00667CD6" w:rsidRDefault="007C2AE6" w:rsidP="007C2AE6">
      <w:pPr>
        <w:spacing w:after="120" w:line="276" w:lineRule="auto"/>
        <w:jc w:val="both"/>
        <w:rPr>
          <w:rFonts w:ascii="Verdana" w:hAnsi="Verdana" w:cs="Arial"/>
          <w:lang w:val="es-ES"/>
        </w:rPr>
      </w:pPr>
      <w:proofErr w:type="spellStart"/>
      <w:r>
        <w:rPr>
          <w:rFonts w:ascii="Verdana" w:hAnsi="Verdana"/>
          <w:color w:val="000000" w:themeColor="text1"/>
        </w:rPr>
        <w:t>ii</w:t>
      </w:r>
      <w:proofErr w:type="spellEnd"/>
      <w:r>
        <w:rPr>
          <w:rFonts w:ascii="Verdana" w:hAnsi="Verdana"/>
          <w:color w:val="000000" w:themeColor="text1"/>
        </w:rPr>
        <w:t xml:space="preserve">. Por lo demás, </w:t>
      </w:r>
      <w:r w:rsidRPr="00667CD6">
        <w:rPr>
          <w:rFonts w:ascii="Verdana" w:hAnsi="Verdana" w:cs="Arial"/>
        </w:rPr>
        <w:t>el artículo 38 de la Ley 996 de 2005 dispone que “</w:t>
      </w:r>
      <w:r>
        <w:rPr>
          <w:rFonts w:ascii="Verdana" w:hAnsi="Verdana" w:cs="Arial"/>
        </w:rPr>
        <w:t>L</w:t>
      </w:r>
      <w:r w:rsidRPr="00667CD6">
        <w:rPr>
          <w:rFonts w:ascii="Verdana" w:hAnsi="Verdana" w:cs="Arial"/>
        </w:rPr>
        <w:t xml:space="preserve">os Gobernadores, Alcaldes Municipales y/o Distritales, Secretarios, Gerentes y </w:t>
      </w:r>
      <w:r w:rsidRPr="00667CD6">
        <w:rPr>
          <w:rFonts w:ascii="Verdana" w:hAnsi="Verdana" w:cs="Arial"/>
        </w:rPr>
        <w:lastRenderedPageBreak/>
        <w:t xml:space="preserve">directores de Entidades Descentralizadas del orden Municipal, Departamental o Distrital, dentro de los cuatro (4) meses anteriores a las elecciones, no podrán celebrar </w:t>
      </w:r>
      <w:r w:rsidRPr="00DC2873">
        <w:rPr>
          <w:rFonts w:ascii="Verdana" w:hAnsi="Verdana" w:cs="Arial"/>
        </w:rPr>
        <w:t>convenios interadministrativos para la ejecución de recursos públicos</w:t>
      </w:r>
      <w:r w:rsidRPr="00667CD6">
        <w:rPr>
          <w:rFonts w:ascii="Verdana" w:hAnsi="Verdana" w:cs="Arial"/>
        </w:rPr>
        <w:t>”.</w:t>
      </w:r>
      <w:r w:rsidRPr="00667CD6">
        <w:rPr>
          <w:rFonts w:ascii="Verdana" w:eastAsia="Times New Roman" w:hAnsi="Verdana" w:cs="Arial"/>
          <w:lang w:val="es-MX" w:eastAsia="x-none"/>
        </w:rPr>
        <w:t xml:space="preserve"> </w:t>
      </w:r>
    </w:p>
    <w:p w14:paraId="5B67BFFE" w14:textId="77777777" w:rsidR="007C2AE6" w:rsidRPr="00667CD6" w:rsidRDefault="007C2AE6" w:rsidP="007C2AE6">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5"/>
      </w:r>
      <w:r w:rsidRPr="00667CD6">
        <w:rPr>
          <w:rFonts w:ascii="Verdana" w:hAnsi="Verdana" w:cs="Arial"/>
          <w:lang w:eastAsia="es-ES"/>
        </w:rPr>
        <w:t>.</w:t>
      </w:r>
    </w:p>
    <w:p w14:paraId="363D5F3F" w14:textId="77777777" w:rsidR="007C2AE6" w:rsidRPr="00667CD6" w:rsidRDefault="007C2AE6" w:rsidP="007C2AE6">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B7BC3E8" w14:textId="77777777" w:rsidR="007C2AE6" w:rsidRPr="00667CD6" w:rsidRDefault="007C2AE6" w:rsidP="007C2AE6">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6"/>
      </w:r>
      <w:r w:rsidRPr="2035D652">
        <w:rPr>
          <w:rFonts w:ascii="Verdana" w:hAnsi="Verdana" w:cs="Arial"/>
          <w:lang w:val="es-ES"/>
        </w:rPr>
        <w:t>. Nótese que, en este caso, lo que cambia es la modalidad de selección y no la naturaleza de contrato interadministrativo.</w:t>
      </w:r>
    </w:p>
    <w:p w14:paraId="06179B30" w14:textId="77777777" w:rsidR="007C2AE6" w:rsidRPr="00667CD6" w:rsidRDefault="007C2AE6" w:rsidP="007C2AE6">
      <w:pPr>
        <w:spacing w:before="120" w:after="0" w:line="276" w:lineRule="auto"/>
        <w:ind w:firstLine="708"/>
        <w:jc w:val="both"/>
        <w:rPr>
          <w:rFonts w:ascii="Verdana" w:hAnsi="Verdana" w:cs="Arial"/>
          <w:lang w:val="es-ES_tradnl"/>
        </w:rPr>
      </w:pPr>
      <w:r w:rsidRPr="2035D652">
        <w:rPr>
          <w:rFonts w:ascii="Verdana" w:hAnsi="Verdana" w:cs="Arial"/>
          <w:lang w:val="es-ES"/>
        </w:rPr>
        <w:t xml:space="preserve">Además, es necesario tener en cuenta que para que un contrato o convenio interadministrativo exista debe cumplir con los siguientes elementos: </w:t>
      </w:r>
      <w:r w:rsidRPr="2035D652">
        <w:rPr>
          <w:rFonts w:ascii="Verdana" w:hAnsi="Verdana" w:cs="Arial"/>
          <w:lang w:val="es-ES"/>
        </w:rPr>
        <w:lastRenderedPageBreak/>
        <w:t>acuerdo sobre el objeto y la contraprestación y que conste por escrito</w:t>
      </w:r>
      <w:r w:rsidRPr="2035D652">
        <w:rPr>
          <w:rFonts w:ascii="Verdana" w:hAnsi="Verdana" w:cs="Arial"/>
          <w:vertAlign w:val="superscript"/>
          <w:lang w:val="es-ES"/>
        </w:rPr>
        <w:footnoteReference w:id="7"/>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2A9364F" w14:textId="77777777" w:rsidR="007C2AE6" w:rsidRPr="00667CD6" w:rsidRDefault="007C2AE6" w:rsidP="007C2AE6">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8"/>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4095658B" w14:textId="77777777" w:rsidR="007C2AE6" w:rsidRDefault="007C2AE6" w:rsidP="007C2AE6">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E654E1A" w14:textId="77777777" w:rsidR="007C2AE6" w:rsidRPr="00667CD6" w:rsidRDefault="007C2AE6" w:rsidP="007C2AE6">
      <w:pPr>
        <w:spacing w:after="0" w:line="276" w:lineRule="auto"/>
        <w:ind w:firstLine="708"/>
        <w:jc w:val="both"/>
        <w:rPr>
          <w:rFonts w:ascii="Verdana" w:eastAsia="Times New Roman" w:hAnsi="Verdana" w:cs="Arial"/>
          <w:lang w:val="es-MX" w:eastAsia="es-CO"/>
        </w:rPr>
      </w:pPr>
    </w:p>
    <w:p w14:paraId="4F7215A9" w14:textId="77777777" w:rsidR="007C2AE6" w:rsidRDefault="007C2AE6" w:rsidP="007C2AE6">
      <w:pPr>
        <w:spacing w:after="0" w:line="276" w:lineRule="auto"/>
        <w:jc w:val="both"/>
        <w:rPr>
          <w:rFonts w:ascii="Verdana" w:eastAsia="Times New Roman" w:hAnsi="Verdana" w:cs="Arial"/>
          <w:lang w:eastAsia="es-CO"/>
        </w:rPr>
      </w:pPr>
      <w:r>
        <w:rPr>
          <w:rFonts w:ascii="Verdana" w:eastAsia="Times New Roman" w:hAnsi="Verdana" w:cs="Arial"/>
          <w:lang w:val="es-MX" w:eastAsia="es-CO"/>
        </w:rPr>
        <w:t xml:space="preserve">iii. </w:t>
      </w:r>
      <w:r w:rsidRPr="00667CD6">
        <w:rPr>
          <w:rFonts w:ascii="Verdana" w:eastAsia="Times New Roman" w:hAnsi="Verdana" w:cs="Arial"/>
          <w:lang w:val="es-MX" w:eastAsia="es-CO"/>
        </w:rPr>
        <w:t>Respecto del alcance de esta prohibición la Circular Externa No. 006 de 2025 expedida por la ANCP</w:t>
      </w:r>
      <w:r>
        <w:rPr>
          <w:rFonts w:ascii="Verdana" w:eastAsia="Times New Roman" w:hAnsi="Verdana" w:cs="Arial"/>
          <w:lang w:val="es-MX" w:eastAsia="es-CO"/>
        </w:rPr>
        <w:t>-</w:t>
      </w:r>
      <w:r w:rsidRPr="00667CD6">
        <w:rPr>
          <w:rFonts w:ascii="Verdana" w:eastAsia="Times New Roman" w:hAnsi="Verdana" w:cs="Arial"/>
          <w:lang w:val="es-MX" w:eastAsia="es-CO"/>
        </w:rPr>
        <w:t>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w:t>
      </w:r>
      <w:r w:rsidRPr="00667CD6">
        <w:rPr>
          <w:rFonts w:ascii="Verdana" w:eastAsia="Times New Roman" w:hAnsi="Verdana" w:cs="Arial"/>
          <w:lang w:eastAsia="es-CO"/>
        </w:rPr>
        <w:lastRenderedPageBreak/>
        <w:t xml:space="preserve">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5163A3">
        <w:rPr>
          <w:rFonts w:ascii="Verdana" w:eastAsia="Times New Roman" w:hAnsi="Verdana" w:cs="Arial"/>
          <w:lang w:eastAsia="es-CO"/>
        </w:rPr>
        <w:t>”</w:t>
      </w:r>
      <w:r>
        <w:rPr>
          <w:rFonts w:ascii="Verdana" w:eastAsia="Times New Roman" w:hAnsi="Verdana" w:cs="Arial"/>
          <w:lang w:eastAsia="es-CO"/>
        </w:rPr>
        <w:t>. 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66B5C28B" w14:textId="77777777" w:rsidR="007C2AE6" w:rsidRPr="00667CD6" w:rsidRDefault="007C2AE6" w:rsidP="007C2AE6">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9"/>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65F539A4" w14:textId="77777777" w:rsidR="007C2AE6" w:rsidRDefault="007C2AE6" w:rsidP="007C2AE6">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xml:space="preserve">, independientemente de que se configure </w:t>
      </w:r>
      <w:r w:rsidRPr="00667CD6">
        <w:rPr>
          <w:rFonts w:ascii="Verdana" w:eastAsia="Times New Roman" w:hAnsi="Verdana" w:cs="Arial"/>
          <w:lang w:eastAsia="es-CO"/>
        </w:rPr>
        <w:lastRenderedPageBreak/>
        <w:t>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BB13F0B" w14:textId="77777777" w:rsidR="007C2AE6" w:rsidRPr="00667CD6" w:rsidRDefault="007C2AE6" w:rsidP="007C2AE6">
      <w:pPr>
        <w:spacing w:after="0" w:line="276" w:lineRule="auto"/>
        <w:ind w:firstLine="708"/>
        <w:jc w:val="both"/>
        <w:rPr>
          <w:rFonts w:ascii="Verdana" w:eastAsia="Times New Roman" w:hAnsi="Verdana" w:cs="Arial"/>
          <w:lang w:eastAsia="es-CO"/>
        </w:rPr>
      </w:pPr>
    </w:p>
    <w:p w14:paraId="29CC4324" w14:textId="77777777" w:rsidR="007C2AE6" w:rsidRPr="00667CD6" w:rsidRDefault="007C2AE6" w:rsidP="007C2AE6">
      <w:pPr>
        <w:spacing w:after="0" w:line="276" w:lineRule="auto"/>
        <w:jc w:val="both"/>
        <w:rPr>
          <w:rFonts w:ascii="Verdana" w:eastAsia="Times New Roman" w:hAnsi="Verdana" w:cs="Arial"/>
          <w:lang w:eastAsia="es-CO"/>
        </w:rPr>
      </w:pPr>
      <w:proofErr w:type="spellStart"/>
      <w:r>
        <w:rPr>
          <w:rFonts w:ascii="Verdana" w:eastAsia="Times New Roman" w:hAnsi="Verdana" w:cs="Arial"/>
          <w:lang w:eastAsia="es-CO"/>
        </w:rPr>
        <w:t>iv</w:t>
      </w:r>
      <w:proofErr w:type="spellEnd"/>
      <w:r>
        <w:rPr>
          <w:rFonts w:ascii="Verdana" w:eastAsia="Times New Roman" w:hAnsi="Verdana" w:cs="Arial"/>
          <w:lang w:eastAsia="es-CO"/>
        </w:rPr>
        <w:t xml:space="preserve">. </w:t>
      </w:r>
      <w:r w:rsidRPr="00667CD6">
        <w:rPr>
          <w:rFonts w:ascii="Verdana" w:eastAsia="Times New Roman" w:hAnsi="Verdana" w:cs="Arial"/>
          <w:lang w:eastAsia="es-CO"/>
        </w:rPr>
        <w:t xml:space="preserve">En este punto,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10"/>
      </w:r>
      <w:r w:rsidRPr="00667CD6">
        <w:rPr>
          <w:rFonts w:ascii="Verdana" w:hAnsi="Verdana" w:cs="Arial"/>
        </w:rPr>
        <w:t xml:space="preserve">: </w:t>
      </w:r>
    </w:p>
    <w:p w14:paraId="1C38941F" w14:textId="77777777" w:rsidR="007C2AE6" w:rsidRPr="00667CD6" w:rsidRDefault="007C2AE6" w:rsidP="007C2AE6">
      <w:pPr>
        <w:spacing w:after="0" w:line="276" w:lineRule="auto"/>
        <w:ind w:firstLine="709"/>
        <w:jc w:val="both"/>
        <w:rPr>
          <w:rFonts w:ascii="Verdana" w:hAnsi="Verdana" w:cs="Arial"/>
        </w:rPr>
      </w:pPr>
    </w:p>
    <w:p w14:paraId="41972D26" w14:textId="77777777" w:rsidR="007C2AE6" w:rsidRPr="00667CD6" w:rsidRDefault="007C2AE6" w:rsidP="007C2AE6">
      <w:pPr>
        <w:spacing w:after="12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5FABD402" w14:textId="77777777" w:rsidR="007C2AE6" w:rsidRPr="00667CD6" w:rsidRDefault="007C2AE6" w:rsidP="007C2AE6">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5DF13C52" w14:textId="77777777" w:rsidR="007C2AE6" w:rsidRPr="00667CD6" w:rsidRDefault="007C2AE6" w:rsidP="007C2AE6">
      <w:pPr>
        <w:spacing w:after="0" w:line="276" w:lineRule="auto"/>
        <w:ind w:left="709" w:right="709"/>
        <w:jc w:val="both"/>
        <w:rPr>
          <w:rFonts w:ascii="Verdana" w:hAnsi="Verdana" w:cs="Arial"/>
        </w:rPr>
      </w:pPr>
    </w:p>
    <w:p w14:paraId="0AA40FB3" w14:textId="77777777" w:rsidR="007C2AE6" w:rsidRPr="00667CD6" w:rsidRDefault="007C2AE6" w:rsidP="007C2AE6">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w:t>
      </w:r>
      <w:r w:rsidRPr="00667CD6">
        <w:rPr>
          <w:rFonts w:ascii="Verdana" w:eastAsia="Arial" w:hAnsi="Verdana" w:cs="Arial"/>
          <w:lang w:eastAsia="es-ES" w:bidi="es-ES"/>
        </w:rPr>
        <w:lastRenderedPageBreak/>
        <w:t>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52FB0DCF" w14:textId="77777777" w:rsidR="007C2AE6" w:rsidRPr="00667CD6" w:rsidRDefault="007C2AE6" w:rsidP="007C2AE6">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11"/>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044D987E" w14:textId="77777777" w:rsidR="007C2AE6" w:rsidRDefault="007C2AE6" w:rsidP="007C2AE6">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w:t>
      </w:r>
      <w:r w:rsidRPr="31E4E861">
        <w:rPr>
          <w:rFonts w:ascii="Verdana" w:eastAsia="Arial" w:hAnsi="Verdana" w:cs="Arial"/>
          <w:lang w:eastAsia="es-ES" w:bidi="es-ES"/>
        </w:rPr>
        <w:lastRenderedPageBreak/>
        <w:t xml:space="preserve">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FDFC888" w14:textId="77777777" w:rsidR="007C2AE6" w:rsidRDefault="007C2AE6" w:rsidP="007C2AE6">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12"/>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71CCA12" w14:textId="77777777" w:rsidR="007C2AE6" w:rsidRDefault="007C2AE6" w:rsidP="007C2AE6">
      <w:pPr>
        <w:spacing w:after="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xml:space="preserve">, esta prohibición </w:t>
      </w:r>
      <w:r>
        <w:rPr>
          <w:rFonts w:ascii="Verdana" w:eastAsia="Times New Roman" w:hAnsi="Verdana" w:cs="Arial"/>
          <w:lang w:eastAsia="es-CO"/>
        </w:rPr>
        <w:lastRenderedPageBreak/>
        <w:t>solo aplicaría a los convenios interadministrativos que impliquen la ejecución de recursos públicos</w:t>
      </w:r>
      <w:r>
        <w:rPr>
          <w:rStyle w:val="Refdenotaalpie"/>
          <w:rFonts w:ascii="Verdana" w:eastAsia="Times New Roman" w:hAnsi="Verdana" w:cs="Arial"/>
          <w:lang w:eastAsia="es-CO"/>
        </w:rPr>
        <w:footnoteReference w:id="13"/>
      </w:r>
      <w:r>
        <w:rPr>
          <w:rFonts w:ascii="Verdana" w:eastAsia="Times New Roman" w:hAnsi="Verdana" w:cs="Arial"/>
          <w:lang w:eastAsia="es-CO"/>
        </w:rPr>
        <w:t>.</w:t>
      </w:r>
    </w:p>
    <w:p w14:paraId="6680E503" w14:textId="77777777" w:rsidR="007C2AE6" w:rsidRDefault="007C2AE6" w:rsidP="007C2AE6">
      <w:pPr>
        <w:tabs>
          <w:tab w:val="left" w:pos="0"/>
        </w:tabs>
        <w:spacing w:after="0" w:line="276" w:lineRule="auto"/>
        <w:jc w:val="both"/>
        <w:rPr>
          <w:rFonts w:ascii="Verdana" w:eastAsia="Calibri" w:hAnsi="Verdana" w:cs="Arial"/>
          <w:bCs/>
          <w:color w:val="000000" w:themeColor="text1"/>
          <w:lang w:val="es-ES_tradnl"/>
        </w:rPr>
      </w:pPr>
    </w:p>
    <w:p w14:paraId="79DE8113" w14:textId="77777777" w:rsidR="007C2AE6" w:rsidRDefault="007C2AE6" w:rsidP="007C2AE6">
      <w:pPr>
        <w:tabs>
          <w:tab w:val="left" w:pos="0"/>
        </w:tabs>
        <w:spacing w:after="120" w:line="276" w:lineRule="auto"/>
        <w:jc w:val="both"/>
        <w:rPr>
          <w:rFonts w:ascii="Verdana" w:eastAsia="Calibri" w:hAnsi="Verdana" w:cs="Arial"/>
          <w:bCs/>
          <w:lang w:val="es-ES_tradnl" w:eastAsia="es-ES_tradnl"/>
        </w:rPr>
      </w:pPr>
      <w:r>
        <w:rPr>
          <w:rFonts w:ascii="Verdana" w:eastAsia="Calibri" w:hAnsi="Verdana" w:cs="Arial"/>
          <w:bCs/>
          <w:color w:val="000000" w:themeColor="text1"/>
        </w:rPr>
        <w:t xml:space="preserve">v. Si bien la </w:t>
      </w:r>
      <w:r w:rsidRPr="00D501E8">
        <w:rPr>
          <w:rFonts w:ascii="Verdana" w:eastAsia="Calibri" w:hAnsi="Verdana" w:cs="Arial"/>
          <w:lang w:val="es-ES_tradnl"/>
        </w:rPr>
        <w:t xml:space="preserve">Directiva Presidencial </w:t>
      </w:r>
      <w:r w:rsidRPr="00D501E8">
        <w:rPr>
          <w:rFonts w:ascii="Verdana" w:eastAsia="Calibri" w:hAnsi="Verdana" w:cs="Arial"/>
          <w:bCs/>
          <w:lang w:val="es-ES_tradnl" w:eastAsia="es-ES_tradnl"/>
        </w:rPr>
        <w:t>06 del 14 de noviembre de 2023</w:t>
      </w:r>
      <w:r>
        <w:rPr>
          <w:rFonts w:ascii="Verdana" w:eastAsia="Calibri" w:hAnsi="Verdana" w:cs="Arial"/>
          <w:bCs/>
          <w:lang w:val="es-ES_tradnl" w:eastAsia="es-ES_tradnl"/>
        </w:rPr>
        <w:t xml:space="preserve"> instaba a los </w:t>
      </w:r>
      <w:r w:rsidRPr="00D67E3E">
        <w:rPr>
          <w:rFonts w:ascii="Verdana" w:eastAsia="Calibri" w:hAnsi="Verdana" w:cs="Arial"/>
          <w:bCs/>
          <w:lang w:val="es-ES_tradnl" w:eastAsia="es-ES_tradnl"/>
        </w:rPr>
        <w:t>ministros, directores de los departamentos administrativos y representantes legales de las entidades descentralizadas de la rama ejecutiva del orden nacional</w:t>
      </w:r>
      <w:r>
        <w:rPr>
          <w:rFonts w:ascii="Verdana" w:eastAsia="Calibri" w:hAnsi="Verdana" w:cs="Arial"/>
          <w:bCs/>
          <w:lang w:val="es-ES_tradnl" w:eastAsia="es-ES_tradnl"/>
        </w:rPr>
        <w:t xml:space="preserve"> a </w:t>
      </w:r>
      <w:r w:rsidRPr="00D501E8">
        <w:rPr>
          <w:rFonts w:ascii="Verdana" w:eastAsia="Calibri" w:hAnsi="Verdana" w:cs="Arial"/>
          <w:bCs/>
          <w:lang w:val="es-ES_tradnl" w:eastAsia="es-ES_tradnl"/>
        </w:rPr>
        <w:t>“[…] ejecutar directamente sus recursos y evitarán acudir a otras entidades para que actúen como intermediarios en la ejecución de sus políticas y recursos públicos […]”</w:t>
      </w:r>
      <w:r>
        <w:rPr>
          <w:rFonts w:ascii="Verdana" w:eastAsia="Calibri" w:hAnsi="Verdana" w:cs="Arial"/>
          <w:bCs/>
          <w:lang w:val="es-ES_tradnl" w:eastAsia="es-ES_tradnl"/>
        </w:rPr>
        <w:t>, dicha instrucción no tenía por objeto a las entidades territoriales y, además, fue suspendida provisionalmente por el Consejo de Estado</w:t>
      </w:r>
      <w:r>
        <w:rPr>
          <w:rStyle w:val="Refdenotaalpie"/>
          <w:rFonts w:ascii="Verdana" w:eastAsia="Calibri" w:hAnsi="Verdana" w:cs="Arial"/>
          <w:bCs/>
          <w:lang w:val="es-ES_tradnl" w:eastAsia="es-ES_tradnl"/>
        </w:rPr>
        <w:footnoteReference w:id="14"/>
      </w:r>
      <w:r>
        <w:rPr>
          <w:rFonts w:ascii="Verdana" w:eastAsia="Calibri" w:hAnsi="Verdana" w:cs="Arial"/>
          <w:bCs/>
          <w:lang w:val="es-ES_tradnl" w:eastAsia="es-ES_tradnl"/>
        </w:rPr>
        <w:t xml:space="preserve">. Luego, no existe ningún lineamiento específico para “[…] </w:t>
      </w:r>
      <w:r w:rsidRPr="00D326A4">
        <w:rPr>
          <w:rFonts w:ascii="Verdana" w:eastAsia="Calibri" w:hAnsi="Verdana" w:cs="Arial"/>
          <w:bCs/>
          <w:lang w:val="es-ES_tradnl" w:eastAsia="es-ES_tradnl"/>
        </w:rPr>
        <w:t>evitar la intermediación o delegación indebida de funciones propias de la entidad ejecutora</w:t>
      </w:r>
      <w:r>
        <w:rPr>
          <w:rFonts w:ascii="Verdana" w:eastAsia="Calibri" w:hAnsi="Verdana" w:cs="Arial"/>
          <w:bCs/>
          <w:lang w:val="es-ES_tradnl" w:eastAsia="es-ES_tradnl"/>
        </w:rPr>
        <w:t>”.</w:t>
      </w:r>
    </w:p>
    <w:p w14:paraId="680A9FB3" w14:textId="77777777" w:rsidR="007C2AE6" w:rsidRPr="00A47393" w:rsidRDefault="007C2AE6" w:rsidP="007C2AE6">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lang w:val="es-ES_tradnl" w:eastAsia="es-ES_tradnl"/>
        </w:rPr>
        <w:tab/>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A9D8225" w14:textId="77777777" w:rsidR="007C2AE6" w:rsidRPr="00185EE9" w:rsidRDefault="007C2AE6" w:rsidP="007C2AE6">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0796C9C5" w14:textId="77777777" w:rsidR="007C2AE6" w:rsidRPr="00182C89" w:rsidRDefault="007C2AE6" w:rsidP="007C2AE6">
      <w:pPr>
        <w:tabs>
          <w:tab w:val="left" w:pos="709"/>
        </w:tabs>
        <w:spacing w:after="0" w:line="276" w:lineRule="auto"/>
        <w:jc w:val="both"/>
        <w:rPr>
          <w:rFonts w:ascii="Verdana" w:eastAsia="Calibri" w:hAnsi="Verdana" w:cs="Arial"/>
          <w:color w:val="000000" w:themeColor="text1"/>
        </w:rPr>
      </w:pPr>
    </w:p>
    <w:p w14:paraId="3EC73580" w14:textId="77777777" w:rsidR="007C2AE6" w:rsidRPr="00593A5F" w:rsidRDefault="007C2AE6" w:rsidP="007C2A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B5C4C68" w14:textId="77777777" w:rsidR="007C2AE6" w:rsidRPr="00593A5F" w:rsidRDefault="007C2AE6" w:rsidP="007C2AE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C2AE6" w:rsidRPr="002407CE" w14:paraId="2B591B92" w14:textId="77777777" w:rsidTr="000048C3">
        <w:trPr>
          <w:trHeight w:val="56"/>
          <w:jc w:val="center"/>
        </w:trPr>
        <w:tc>
          <w:tcPr>
            <w:tcW w:w="8647" w:type="dxa"/>
          </w:tcPr>
          <w:p w14:paraId="1EEC3AFA" w14:textId="77777777" w:rsidR="007C2AE6" w:rsidRDefault="007C2AE6" w:rsidP="000048C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w:t>
            </w:r>
          </w:p>
          <w:p w14:paraId="679F52C6" w14:textId="77777777" w:rsidR="007C2AE6" w:rsidRDefault="007C2AE6" w:rsidP="000048C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95.</w:t>
            </w:r>
          </w:p>
          <w:p w14:paraId="66375A7B" w14:textId="77777777" w:rsidR="007C2AE6" w:rsidRDefault="007C2AE6" w:rsidP="000048C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10 y 32.</w:t>
            </w:r>
          </w:p>
          <w:p w14:paraId="749717BE" w14:textId="77777777" w:rsidR="007C2AE6" w:rsidRDefault="007C2AE6" w:rsidP="000048C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6376C5EA" w14:textId="77777777" w:rsidR="007C2AE6" w:rsidRDefault="007C2AE6" w:rsidP="000048C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1454 de 2011, artículo 17.</w:t>
            </w:r>
          </w:p>
          <w:p w14:paraId="5E937F71" w14:textId="77777777" w:rsidR="007C2AE6" w:rsidRDefault="007C2AE6" w:rsidP="000048C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 92.</w:t>
            </w:r>
          </w:p>
          <w:p w14:paraId="5B8CFF4B" w14:textId="77777777" w:rsidR="007C2AE6" w:rsidRDefault="007C2AE6" w:rsidP="000048C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2022 de 2020, artículo 1.</w:t>
            </w:r>
          </w:p>
          <w:p w14:paraId="4B2ADA01" w14:textId="77777777" w:rsidR="007C2AE6" w:rsidRDefault="007C2AE6" w:rsidP="000048C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56.</w:t>
            </w:r>
          </w:p>
          <w:p w14:paraId="45FA3892" w14:textId="77777777" w:rsidR="007C2AE6" w:rsidRPr="00B87E7A" w:rsidRDefault="007C2AE6" w:rsidP="000048C3">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Código Civil, artículo 31. </w:t>
            </w:r>
          </w:p>
        </w:tc>
      </w:tr>
    </w:tbl>
    <w:p w14:paraId="14838469" w14:textId="77777777" w:rsidR="007C2AE6" w:rsidRPr="002407CE" w:rsidRDefault="007C2AE6" w:rsidP="007C2AE6">
      <w:pPr>
        <w:widowControl w:val="0"/>
        <w:autoSpaceDE w:val="0"/>
        <w:autoSpaceDN w:val="0"/>
        <w:spacing w:after="0" w:line="276" w:lineRule="auto"/>
        <w:jc w:val="both"/>
        <w:rPr>
          <w:rFonts w:ascii="Verdana" w:hAnsi="Verdana" w:cs="Arial"/>
        </w:rPr>
      </w:pPr>
    </w:p>
    <w:p w14:paraId="147B77DB" w14:textId="77777777" w:rsidR="007C2AE6" w:rsidRPr="00593A5F" w:rsidRDefault="007C2AE6" w:rsidP="007C2A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FB1B984" w14:textId="77777777" w:rsidR="007C2AE6" w:rsidRPr="00593A5F" w:rsidRDefault="007C2AE6" w:rsidP="007C2AE6">
      <w:pPr>
        <w:widowControl w:val="0"/>
        <w:autoSpaceDE w:val="0"/>
        <w:autoSpaceDN w:val="0"/>
        <w:spacing w:after="0" w:line="276" w:lineRule="auto"/>
        <w:jc w:val="both"/>
        <w:rPr>
          <w:rFonts w:ascii="Verdana" w:hAnsi="Verdana" w:cs="Arial"/>
        </w:rPr>
      </w:pPr>
    </w:p>
    <w:p w14:paraId="4026D631" w14:textId="77777777" w:rsidR="007C2AE6" w:rsidRPr="00ED0098" w:rsidRDefault="007C2AE6" w:rsidP="007C2AE6">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Pr>
          <w:rStyle w:val="normaltextrun"/>
          <w:rFonts w:ascii="Verdana" w:hAnsi="Verdana" w:cs="Arial"/>
          <w:shd w:val="clear" w:color="auto" w:fill="FFFFFF"/>
        </w:rPr>
        <w:t>s</w:t>
      </w:r>
      <w:r w:rsidRPr="00CC42F7">
        <w:rPr>
          <w:rStyle w:val="normaltextrun"/>
          <w:rFonts w:ascii="Verdana" w:hAnsi="Verdana" w:cs="Arial"/>
          <w:shd w:val="clear" w:color="auto" w:fill="FFFFFF"/>
        </w:rPr>
        <w:t>obre los esquemas asociativos de entidades territoriales y la celebración de convenios y contratos interadministrativos en los Conceptos 2201913000005444 del 30 de julio de 2019, 2201913000005649 del 8 de agosto de 2019, 4201912000007676 del 20 de diciembre de 2019, C-059 del 25 de febrero de 2020, C-659 del 10 de noviembre de 2020, C-788 del 21 de enero de 2021, C-054 del 10 de marzo de 2021, C-116 del 30 de marzo de 2021, C-149 de 8 de abril de 2021, C-173 del 16 de abril de 2021, C-214 del 13 de mayo de 2021, C-284 del 18 de junio de 2021, C-347 del 23 de julio de 2021, C-664 del 30 de agosto de 2021, C-554 del 6 de octubre de 2021, C-249 del 16 de junio de 2022, C-033 del 27 de febrero de 2023, C-285 del 4 de julio de 2023, C-379 del 29 de octubre de 2023, C-1044 del 11 de febrero de 2025</w:t>
      </w:r>
      <w:r>
        <w:rPr>
          <w:rStyle w:val="normaltextrun"/>
          <w:rFonts w:ascii="Verdana" w:hAnsi="Verdana" w:cs="Arial"/>
          <w:shd w:val="clear" w:color="auto" w:fill="FFFFFF"/>
        </w:rPr>
        <w:t xml:space="preserve">, </w:t>
      </w:r>
      <w:r w:rsidRPr="00CC42F7">
        <w:rPr>
          <w:rStyle w:val="normaltextrun"/>
          <w:rFonts w:ascii="Verdana" w:hAnsi="Verdana" w:cs="Arial"/>
          <w:shd w:val="clear" w:color="auto" w:fill="FFFFFF"/>
        </w:rPr>
        <w:t>C-442 del 9 de mayo de 2025</w:t>
      </w:r>
      <w:r>
        <w:rPr>
          <w:rStyle w:val="normaltextrun"/>
          <w:rFonts w:ascii="Verdana" w:hAnsi="Verdana" w:cs="Arial"/>
          <w:shd w:val="clear" w:color="auto" w:fill="FFFFFF"/>
        </w:rPr>
        <w:t xml:space="preserve"> y C-723 del 25 de junio de 2025</w:t>
      </w:r>
      <w:r>
        <w:rPr>
          <w:rFonts w:ascii="Verdana" w:eastAsia="Calibri" w:hAnsi="Verdana" w:cs="Arial"/>
          <w:shd w:val="clear" w:color="auto" w:fill="FFFFFF"/>
        </w:rPr>
        <w:t>. Asimismo, también se ha referido a la Ley de Garantías en los</w:t>
      </w:r>
      <w:r>
        <w:rPr>
          <w:rStyle w:val="s55"/>
          <w:rFonts w:ascii="Verdana" w:hAnsi="Verdana"/>
          <w:color w:val="000000"/>
          <w:sz w:val="18"/>
          <w:szCs w:val="18"/>
          <w:shd w:val="clear" w:color="auto" w:fill="FFFFFF"/>
        </w:rPr>
        <w:t xml:space="preserve"> </w:t>
      </w:r>
      <w:r w:rsidRPr="008F13BF">
        <w:rPr>
          <w:rFonts w:ascii="Verdana" w:eastAsia="Calibri" w:hAnsi="Verdana" w:cs="Arial"/>
        </w:rPr>
        <w:t xml:space="preserve">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w:t>
      </w:r>
      <w:r w:rsidRPr="008F13BF">
        <w:rPr>
          <w:rFonts w:ascii="Verdana" w:eastAsia="Calibri" w:hAnsi="Verdana" w:cs="Arial"/>
        </w:rPr>
        <w:lastRenderedPageBreak/>
        <w:t>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8F13BF">
        <w:rPr>
          <w:rFonts w:ascii="Verdana" w:eastAsia="Calibri" w:hAnsi="Verdana" w:cs="Arial"/>
          <w:shd w:val="clear" w:color="auto" w:fill="FFFFFF"/>
        </w:rPr>
        <w:t>. Asimismo, </w:t>
      </w:r>
      <w:r w:rsidRPr="008F13BF">
        <w:rPr>
          <w:rFonts w:ascii="Verdana" w:eastAsia="Calibri" w:hAnsi="Verdana" w:cs="Arial"/>
        </w:rPr>
        <w:t>se ha pronunciado sobre el régimen jurídico de los contratos de arrendamiento en los Conceptos C-646 del 22 de noviembre de 2021, C-214 del 22 de abril de 2022, C-830 del 16 de diciembre de 2024, C-159 del 20 de marzo de 2025, C-1648 del 14 de noviembre de 2025 y C-001 del 21 de enero de 2026</w:t>
      </w:r>
      <w:r>
        <w:rPr>
          <w:rFonts w:ascii="Verdana" w:eastAsia="Calibri" w:hAnsi="Verdana" w:cs="Arial"/>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4"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CF3FC74" w14:textId="77777777" w:rsidR="007C2AE6" w:rsidRPr="00096788" w:rsidRDefault="007C2AE6" w:rsidP="007C2AE6">
      <w:pPr>
        <w:widowControl w:val="0"/>
        <w:autoSpaceDE w:val="0"/>
        <w:autoSpaceDN w:val="0"/>
        <w:spacing w:after="0" w:line="276" w:lineRule="auto"/>
        <w:jc w:val="both"/>
        <w:rPr>
          <w:rFonts w:ascii="Verdana" w:hAnsi="Verdana" w:cs="Arial"/>
          <w:color w:val="000000" w:themeColor="text1"/>
          <w:shd w:val="clear" w:color="auto" w:fill="FFFFFF"/>
        </w:rPr>
      </w:pPr>
    </w:p>
    <w:p w14:paraId="2728C223" w14:textId="77777777" w:rsidR="007C2AE6" w:rsidRDefault="007C2AE6" w:rsidP="007C2AE6">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61AC83F1" w14:textId="77777777" w:rsidR="007C2AE6" w:rsidRPr="009A385A" w:rsidRDefault="007C2AE6" w:rsidP="007C2AE6">
      <w:pPr>
        <w:spacing w:after="0"/>
        <w:jc w:val="both"/>
        <w:rPr>
          <w:rFonts w:ascii="Verdana" w:hAnsi="Verdana"/>
        </w:rPr>
      </w:pPr>
    </w:p>
    <w:p w14:paraId="324E9C7A" w14:textId="77777777" w:rsidR="007C2AE6" w:rsidRDefault="007C2AE6" w:rsidP="007C2AE6">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xml:space="preserve">, promoviendo procesos más </w:t>
      </w:r>
      <w:r w:rsidRPr="00635F16">
        <w:rPr>
          <w:rFonts w:ascii="Verdana" w:hAnsi="Verdana"/>
        </w:rPr>
        <w:lastRenderedPageBreak/>
        <w:t>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0CD5CBB1" w14:textId="77777777" w:rsidR="007C2AE6" w:rsidRDefault="007C2AE6" w:rsidP="007C2AE6">
      <w:pPr>
        <w:spacing w:after="0"/>
        <w:jc w:val="both"/>
        <w:rPr>
          <w:rFonts w:ascii="Verdana" w:hAnsi="Verdana"/>
        </w:rPr>
      </w:pPr>
    </w:p>
    <w:p w14:paraId="00F3F0D7" w14:textId="77777777" w:rsidR="007C2AE6" w:rsidRPr="008E1CD7" w:rsidRDefault="007C2AE6" w:rsidP="007C2AE6">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96B09AD" w14:textId="77777777" w:rsidR="007C2AE6" w:rsidRDefault="007C2AE6" w:rsidP="007C2AE6">
      <w:pPr>
        <w:shd w:val="clear" w:color="auto" w:fill="FFFFFF"/>
        <w:spacing w:after="0" w:line="276" w:lineRule="auto"/>
        <w:jc w:val="both"/>
        <w:rPr>
          <w:rFonts w:ascii="Verdana" w:hAnsi="Verdana"/>
          <w:color w:val="000000"/>
          <w:u w:val="single"/>
        </w:rPr>
      </w:pPr>
    </w:p>
    <w:p w14:paraId="0A5EF3B7" w14:textId="77777777" w:rsidR="007C2AE6" w:rsidRPr="00116940" w:rsidRDefault="007C2AE6" w:rsidP="007C2AE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7B8657E" w14:textId="77777777" w:rsidR="007C2AE6" w:rsidRPr="00116940" w:rsidRDefault="007C2AE6" w:rsidP="007C2AE6">
      <w:pPr>
        <w:spacing w:after="0"/>
        <w:jc w:val="both"/>
        <w:rPr>
          <w:rFonts w:ascii="Verdana" w:hAnsi="Verdana"/>
        </w:rPr>
      </w:pPr>
    </w:p>
    <w:p w14:paraId="781A8932" w14:textId="77777777" w:rsidR="007C2AE6" w:rsidRPr="00116940" w:rsidRDefault="007C2AE6" w:rsidP="007C2AE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D0E3355" w14:textId="77777777" w:rsidR="007C2AE6" w:rsidRPr="00116940" w:rsidRDefault="007C2AE6" w:rsidP="007C2AE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4D41A93" w14:textId="77777777" w:rsidR="007C2AE6" w:rsidRPr="00116940" w:rsidRDefault="007C2AE6" w:rsidP="007C2AE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280C32F3" w14:textId="77777777" w:rsidR="007C2AE6" w:rsidRPr="00116940" w:rsidRDefault="007C2AE6" w:rsidP="007C2AE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770B5AEF" w14:textId="77777777" w:rsidR="007C2AE6" w:rsidRPr="00116940" w:rsidRDefault="007C2AE6" w:rsidP="007C2AE6">
      <w:pPr>
        <w:spacing w:after="0" w:line="240" w:lineRule="auto"/>
        <w:ind w:left="720"/>
        <w:jc w:val="both"/>
        <w:rPr>
          <w:rFonts w:ascii="Verdana" w:hAnsi="Verdana"/>
        </w:rPr>
      </w:pPr>
    </w:p>
    <w:p w14:paraId="09AC67AE" w14:textId="77777777" w:rsidR="007C2AE6" w:rsidRPr="00116940" w:rsidRDefault="007C2AE6" w:rsidP="007C2AE6">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0"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612446B" w14:textId="77777777" w:rsidR="007C2AE6" w:rsidRPr="00116940" w:rsidRDefault="007C2AE6" w:rsidP="007C2AE6">
      <w:pPr>
        <w:spacing w:after="0" w:line="240" w:lineRule="auto"/>
        <w:rPr>
          <w:rFonts w:ascii="Verdana" w:hAnsi="Verdana"/>
        </w:rPr>
      </w:pPr>
    </w:p>
    <w:p w14:paraId="75D79E46" w14:textId="77777777" w:rsidR="007C2AE6" w:rsidRPr="00116940" w:rsidRDefault="007C2AE6" w:rsidP="007C2AE6">
      <w:pPr>
        <w:spacing w:after="0" w:line="240" w:lineRule="auto"/>
        <w:jc w:val="both"/>
        <w:rPr>
          <w:rFonts w:ascii="Verdana" w:hAnsi="Verdana"/>
        </w:rPr>
      </w:pPr>
      <w:r w:rsidRPr="00116940">
        <w:rPr>
          <w:rFonts w:ascii="Verdana" w:hAnsi="Verdana"/>
        </w:rPr>
        <w:lastRenderedPageBreak/>
        <w:t xml:space="preserve">Por último, lo invitamos a seguirnos en las redes sociales en las cuales se difunde información institucional: </w:t>
      </w:r>
    </w:p>
    <w:p w14:paraId="6BDFE8BA" w14:textId="77777777" w:rsidR="007C2AE6" w:rsidRPr="00116940" w:rsidRDefault="007C2AE6" w:rsidP="007C2AE6">
      <w:pPr>
        <w:spacing w:after="0" w:line="240" w:lineRule="auto"/>
        <w:jc w:val="both"/>
        <w:rPr>
          <w:rFonts w:ascii="Verdana" w:hAnsi="Verdana"/>
        </w:rPr>
      </w:pPr>
    </w:p>
    <w:p w14:paraId="07F006CF" w14:textId="77777777" w:rsidR="007C2AE6" w:rsidRPr="00116940" w:rsidRDefault="007C2AE6" w:rsidP="007C2AE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E41E195" w14:textId="77777777" w:rsidR="007C2AE6" w:rsidRPr="00116940" w:rsidRDefault="007C2AE6" w:rsidP="007C2AE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077D550" w14:textId="77777777" w:rsidR="007C2AE6" w:rsidRPr="00116940" w:rsidRDefault="007C2AE6" w:rsidP="007C2AE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03F4323" w14:textId="77777777" w:rsidR="007C2AE6" w:rsidRPr="009C4035" w:rsidRDefault="007C2AE6" w:rsidP="007C2AE6">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45FF9731" w14:textId="77777777" w:rsidR="007C2AE6" w:rsidRPr="00593A5F" w:rsidRDefault="007C2AE6" w:rsidP="007C2AE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95807D7" w14:textId="77777777" w:rsidR="007C2AE6" w:rsidRPr="00593A5F" w:rsidRDefault="007C2AE6" w:rsidP="007C2AE6">
      <w:pPr>
        <w:widowControl w:val="0"/>
        <w:autoSpaceDE w:val="0"/>
        <w:autoSpaceDN w:val="0"/>
        <w:spacing w:after="0" w:line="276" w:lineRule="auto"/>
        <w:jc w:val="both"/>
        <w:rPr>
          <w:rFonts w:ascii="Verdana" w:hAnsi="Verdana" w:cs="Arial"/>
        </w:rPr>
      </w:pPr>
    </w:p>
    <w:p w14:paraId="4131C987" w14:textId="77777777" w:rsidR="007C2AE6" w:rsidRPr="00593A5F" w:rsidRDefault="007C2AE6" w:rsidP="007C2AE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E0D14A3" w14:textId="4A70F168" w:rsidR="007C2AE6" w:rsidRPr="00593A5F" w:rsidRDefault="009A01F7" w:rsidP="007C2AE6">
      <w:pPr>
        <w:spacing w:line="276" w:lineRule="auto"/>
        <w:jc w:val="center"/>
        <w:rPr>
          <w:rFonts w:ascii="Verdana" w:hAnsi="Verdana" w:cs="Arial"/>
          <w:color w:val="000000"/>
          <w:lang w:val="es-ES_tradnl" w:eastAsia="es-CO"/>
        </w:rPr>
      </w:pPr>
      <w:r>
        <w:rPr>
          <w:noProof/>
        </w:rPr>
        <w:drawing>
          <wp:inline distT="0" distB="0" distL="0" distR="0" wp14:anchorId="69EA0E61" wp14:editId="533689C9">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1"/>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2AE6" w:rsidRPr="00593A5F" w14:paraId="0BB57A61" w14:textId="77777777" w:rsidTr="000048C3">
        <w:trPr>
          <w:trHeight w:val="315"/>
        </w:trPr>
        <w:tc>
          <w:tcPr>
            <w:tcW w:w="893" w:type="dxa"/>
            <w:vAlign w:val="center"/>
            <w:hideMark/>
          </w:tcPr>
          <w:p w14:paraId="46DD8DD3" w14:textId="77777777" w:rsidR="007C2AE6" w:rsidRPr="003751C7" w:rsidRDefault="007C2AE6" w:rsidP="000048C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C96C4F9" w14:textId="77777777" w:rsidR="007C2AE6" w:rsidRPr="00254A7A" w:rsidRDefault="007C2AE6" w:rsidP="000048C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F0F5ED1" w14:textId="77777777" w:rsidR="007C2AE6" w:rsidRPr="00254A7A" w:rsidRDefault="007C2AE6" w:rsidP="000048C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7C2AE6" w:rsidRPr="00593A5F" w14:paraId="299635EA" w14:textId="77777777" w:rsidTr="000048C3">
        <w:trPr>
          <w:trHeight w:val="330"/>
        </w:trPr>
        <w:tc>
          <w:tcPr>
            <w:tcW w:w="893" w:type="dxa"/>
            <w:vAlign w:val="center"/>
            <w:hideMark/>
          </w:tcPr>
          <w:p w14:paraId="4C2497DB" w14:textId="77777777" w:rsidR="007C2AE6" w:rsidRPr="003751C7" w:rsidRDefault="007C2AE6" w:rsidP="000048C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E28460" w14:textId="77777777" w:rsidR="007C2AE6" w:rsidRPr="00A40FD0" w:rsidRDefault="007C2AE6" w:rsidP="000048C3">
            <w:pPr>
              <w:pStyle w:val="paragraph"/>
              <w:spacing w:after="0"/>
              <w:contextualSpacing/>
              <w:textAlignment w:val="baseline"/>
              <w:rPr>
                <w:rStyle w:val="normaltextrun"/>
                <w:rFonts w:ascii="Verdana" w:hAnsi="Verdana" w:cs="Arial"/>
                <w:sz w:val="16"/>
                <w:szCs w:val="16"/>
                <w:lang w:val="es-ES"/>
              </w:rPr>
            </w:pPr>
            <w:r w:rsidRPr="353876D0">
              <w:rPr>
                <w:rStyle w:val="normaltextrun"/>
                <w:rFonts w:ascii="Verdana" w:hAnsi="Verdana" w:cs="Arial"/>
                <w:sz w:val="16"/>
                <w:szCs w:val="16"/>
                <w:lang w:val="es-ES"/>
              </w:rPr>
              <w:t xml:space="preserve">Adriana </w:t>
            </w:r>
            <w:proofErr w:type="spellStart"/>
            <w:r w:rsidRPr="353876D0">
              <w:rPr>
                <w:rStyle w:val="normaltextrun"/>
                <w:rFonts w:ascii="Verdana" w:hAnsi="Verdana" w:cs="Arial"/>
                <w:sz w:val="16"/>
                <w:szCs w:val="16"/>
                <w:lang w:val="es-ES"/>
              </w:rPr>
              <w:t>Katerine</w:t>
            </w:r>
            <w:proofErr w:type="spellEnd"/>
            <w:r w:rsidRPr="353876D0">
              <w:rPr>
                <w:rStyle w:val="normaltextrun"/>
                <w:rFonts w:ascii="Verdana" w:hAnsi="Verdana" w:cs="Arial"/>
                <w:sz w:val="16"/>
                <w:szCs w:val="16"/>
                <w:lang w:val="es-ES"/>
              </w:rPr>
              <w:t xml:space="preserve"> López Rodríguez</w:t>
            </w:r>
          </w:p>
          <w:p w14:paraId="36FD2C38" w14:textId="77777777" w:rsidR="007C2AE6" w:rsidRPr="00A40FD0" w:rsidRDefault="007C2AE6" w:rsidP="000048C3">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7C2AE6" w:rsidRPr="00593A5F" w14:paraId="50F2DB0A" w14:textId="77777777" w:rsidTr="000048C3">
        <w:trPr>
          <w:trHeight w:val="300"/>
        </w:trPr>
        <w:tc>
          <w:tcPr>
            <w:tcW w:w="893" w:type="dxa"/>
            <w:vAlign w:val="center"/>
          </w:tcPr>
          <w:p w14:paraId="029F161F" w14:textId="77777777" w:rsidR="007C2AE6" w:rsidRPr="003751C7" w:rsidRDefault="007C2AE6" w:rsidP="000048C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C205B03" w14:textId="77777777" w:rsidR="007C2AE6" w:rsidRPr="00FE00BE" w:rsidRDefault="007C2AE6" w:rsidP="000048C3">
            <w:pPr>
              <w:contextualSpacing/>
              <w:rPr>
                <w:rFonts w:ascii="Verdana" w:eastAsia="Calibri" w:hAnsi="Verdana" w:cs="Arial"/>
                <w:sz w:val="16"/>
                <w:szCs w:val="16"/>
                <w:lang w:val="es-ES" w:eastAsia="es-ES"/>
              </w:rPr>
            </w:pPr>
            <w:r w:rsidRPr="6FC6B91F">
              <w:rPr>
                <w:rFonts w:ascii="Verdana" w:eastAsia="Calibri" w:hAnsi="Verdana" w:cs="Arial"/>
                <w:sz w:val="16"/>
                <w:szCs w:val="16"/>
                <w:lang w:val="es-ES" w:eastAsia="es-ES"/>
              </w:rPr>
              <w:t>Carolina Quintero Gacharná</w:t>
            </w:r>
          </w:p>
          <w:p w14:paraId="70503AF6" w14:textId="77777777" w:rsidR="007C2AE6" w:rsidRPr="00FE00BE" w:rsidRDefault="007C2AE6" w:rsidP="000048C3">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5004FA56" w14:textId="50583935" w:rsidR="007C2AE6" w:rsidRPr="00543BFE" w:rsidRDefault="007C2AE6" w:rsidP="007C2AE6"/>
    <w:p w14:paraId="0F293BF4" w14:textId="49001B4E" w:rsidR="00127233" w:rsidRPr="007C2AE6" w:rsidRDefault="00127233" w:rsidP="007C2AE6"/>
    <w:sectPr w:rsidR="00127233" w:rsidRPr="007C2AE6"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AEC45" w14:textId="77777777" w:rsidR="00560CB6" w:rsidRDefault="00560CB6" w:rsidP="004A1847">
      <w:pPr>
        <w:spacing w:after="0" w:line="240" w:lineRule="auto"/>
      </w:pPr>
      <w:r>
        <w:separator/>
      </w:r>
    </w:p>
  </w:endnote>
  <w:endnote w:type="continuationSeparator" w:id="0">
    <w:p w14:paraId="7D11EB3E" w14:textId="77777777" w:rsidR="00560CB6" w:rsidRDefault="00560CB6" w:rsidP="004A1847">
      <w:pPr>
        <w:spacing w:after="0" w:line="240" w:lineRule="auto"/>
      </w:pPr>
      <w:r>
        <w:continuationSeparator/>
      </w:r>
    </w:p>
  </w:endnote>
  <w:endnote w:type="continuationNotice" w:id="1">
    <w:p w14:paraId="015E5276" w14:textId="77777777" w:rsidR="00560CB6" w:rsidRDefault="00560C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512F7" w14:textId="77777777" w:rsidR="00560CB6" w:rsidRDefault="00560CB6" w:rsidP="004A1847">
      <w:pPr>
        <w:spacing w:after="0" w:line="240" w:lineRule="auto"/>
      </w:pPr>
      <w:r>
        <w:separator/>
      </w:r>
    </w:p>
  </w:footnote>
  <w:footnote w:type="continuationSeparator" w:id="0">
    <w:p w14:paraId="423100B0" w14:textId="77777777" w:rsidR="00560CB6" w:rsidRDefault="00560CB6" w:rsidP="004A1847">
      <w:pPr>
        <w:spacing w:after="0" w:line="240" w:lineRule="auto"/>
      </w:pPr>
      <w:r>
        <w:continuationSeparator/>
      </w:r>
    </w:p>
  </w:footnote>
  <w:footnote w:type="continuationNotice" w:id="1">
    <w:p w14:paraId="6D3D1CC9" w14:textId="77777777" w:rsidR="00560CB6" w:rsidRDefault="00560CB6">
      <w:pPr>
        <w:spacing w:after="0" w:line="240" w:lineRule="auto"/>
      </w:pPr>
    </w:p>
  </w:footnote>
  <w:footnote w:id="2">
    <w:p w14:paraId="45198D9B" w14:textId="77777777" w:rsidR="007C2AE6" w:rsidRPr="00727823" w:rsidRDefault="007C2AE6" w:rsidP="007C2AE6">
      <w:pPr>
        <w:spacing w:after="0" w:line="240" w:lineRule="auto"/>
        <w:ind w:firstLine="720"/>
        <w:jc w:val="both"/>
        <w:rPr>
          <w:rFonts w:ascii="Verdana" w:hAnsi="Verdana" w:cs="Arial"/>
          <w:color w:val="000000" w:themeColor="text1"/>
          <w:sz w:val="16"/>
          <w:szCs w:val="16"/>
        </w:rPr>
      </w:pPr>
      <w:r w:rsidRPr="00727823">
        <w:rPr>
          <w:rStyle w:val="Refdenotaalpie"/>
          <w:rFonts w:ascii="Verdana" w:hAnsi="Verdana" w:cs="Arial"/>
          <w:sz w:val="16"/>
          <w:szCs w:val="16"/>
        </w:rPr>
        <w:footnoteRef/>
      </w:r>
      <w:r w:rsidRPr="00727823">
        <w:rPr>
          <w:rFonts w:ascii="Verdana" w:hAnsi="Verdana" w:cs="Arial"/>
          <w:sz w:val="16"/>
          <w:szCs w:val="16"/>
        </w:rPr>
        <w:t xml:space="preserve"> </w:t>
      </w:r>
      <w:r w:rsidRPr="00727823">
        <w:rPr>
          <w:rFonts w:ascii="Verdana" w:hAnsi="Verdana" w:cs="Arial"/>
          <w:color w:val="000000" w:themeColor="text1"/>
          <w:sz w:val="16"/>
          <w:szCs w:val="16"/>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w:t>
      </w:r>
      <w:r w:rsidRPr="00727823">
        <w:rPr>
          <w:rFonts w:ascii="Verdana" w:hAnsi="Verdana" w:cs="Arial"/>
          <w:color w:val="000000" w:themeColor="text1"/>
          <w:spacing w:val="-5"/>
          <w:sz w:val="16"/>
          <w:szCs w:val="16"/>
        </w:rPr>
        <w:t xml:space="preserve"> </w:t>
      </w:r>
      <w:r w:rsidRPr="00727823">
        <w:rPr>
          <w:rFonts w:ascii="Verdana" w:hAnsi="Verdana" w:cs="Arial"/>
          <w:color w:val="000000" w:themeColor="text1"/>
          <w:sz w:val="16"/>
          <w:szCs w:val="16"/>
        </w:rPr>
        <w:t>entidades”.</w:t>
      </w:r>
    </w:p>
  </w:footnote>
  <w:footnote w:id="3">
    <w:p w14:paraId="005A5791" w14:textId="77777777" w:rsidR="007C2AE6" w:rsidRPr="00BA21C4" w:rsidRDefault="007C2AE6" w:rsidP="007C2AE6">
      <w:pPr>
        <w:pStyle w:val="Textonotapie"/>
        <w:ind w:firstLine="708"/>
        <w:jc w:val="both"/>
        <w:rPr>
          <w:rFonts w:ascii="Verdana" w:hAnsi="Verdana"/>
          <w:sz w:val="16"/>
          <w:szCs w:val="16"/>
        </w:rPr>
      </w:pPr>
      <w:r w:rsidRPr="00640535">
        <w:rPr>
          <w:rStyle w:val="Refdenotaalpie"/>
          <w:rFonts w:ascii="Verdana" w:hAnsi="Verdana"/>
          <w:sz w:val="16"/>
          <w:szCs w:val="16"/>
        </w:rPr>
        <w:footnoteRef/>
      </w:r>
      <w:r w:rsidRPr="00640535">
        <w:rPr>
          <w:rFonts w:ascii="Verdana" w:hAnsi="Verdana"/>
          <w:sz w:val="16"/>
          <w:szCs w:val="16"/>
        </w:rPr>
        <w:t xml:space="preserve"> </w:t>
      </w:r>
      <w:r>
        <w:rPr>
          <w:rFonts w:ascii="Verdana" w:hAnsi="Verdana"/>
          <w:sz w:val="16"/>
          <w:szCs w:val="16"/>
        </w:rPr>
        <w:t>“</w:t>
      </w:r>
      <w:r w:rsidRPr="00BA21C4">
        <w:rPr>
          <w:rFonts w:ascii="Verdana" w:hAnsi="Verdana"/>
          <w:sz w:val="16"/>
          <w:szCs w:val="16"/>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4DE0A81" w14:textId="77777777" w:rsidR="007C2AE6" w:rsidRPr="00BA21C4" w:rsidRDefault="007C2AE6" w:rsidP="007C2AE6">
      <w:pPr>
        <w:pStyle w:val="Textonotapie"/>
        <w:ind w:firstLine="708"/>
        <w:jc w:val="both"/>
        <w:rPr>
          <w:rFonts w:ascii="Verdana" w:hAnsi="Verdana"/>
          <w:sz w:val="16"/>
          <w:szCs w:val="16"/>
        </w:rPr>
      </w:pPr>
      <w:r w:rsidRPr="00BA21C4">
        <w:rPr>
          <w:rFonts w:ascii="Verdana" w:hAnsi="Verdana"/>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545AC83" w14:textId="77777777" w:rsidR="007C2AE6" w:rsidRPr="00BA21C4" w:rsidRDefault="007C2AE6" w:rsidP="007C2AE6">
      <w:pPr>
        <w:pStyle w:val="Textonotapie"/>
        <w:ind w:firstLine="708"/>
        <w:jc w:val="both"/>
        <w:rPr>
          <w:rFonts w:ascii="Verdana" w:hAnsi="Verdana"/>
          <w:sz w:val="16"/>
          <w:szCs w:val="16"/>
        </w:rPr>
      </w:pPr>
      <w:r w:rsidRPr="00BA21C4">
        <w:rPr>
          <w:rFonts w:ascii="Verdana" w:hAnsi="Verdana"/>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0CF807EB" w14:textId="77777777" w:rsidR="007C2AE6" w:rsidRPr="00BA21C4" w:rsidRDefault="007C2AE6" w:rsidP="007C2AE6">
      <w:pPr>
        <w:pStyle w:val="Textonotapie"/>
        <w:ind w:firstLine="708"/>
        <w:jc w:val="both"/>
        <w:rPr>
          <w:rFonts w:ascii="Verdana" w:hAnsi="Verdana"/>
          <w:sz w:val="16"/>
          <w:szCs w:val="16"/>
        </w:rPr>
      </w:pPr>
      <w:r w:rsidRPr="00BA21C4">
        <w:rPr>
          <w:rFonts w:ascii="Verdana" w:hAnsi="Verdana"/>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2546C42" w14:textId="77777777" w:rsidR="007C2AE6" w:rsidRPr="00BA21C4" w:rsidRDefault="007C2AE6" w:rsidP="007C2AE6">
      <w:pPr>
        <w:pStyle w:val="Textonotapie"/>
        <w:ind w:firstLine="708"/>
        <w:jc w:val="both"/>
        <w:rPr>
          <w:rFonts w:ascii="Verdana" w:hAnsi="Verdana"/>
          <w:sz w:val="16"/>
          <w:szCs w:val="16"/>
          <w:lang w:val="es-CO"/>
        </w:rPr>
      </w:pPr>
      <w:r w:rsidRPr="00BA21C4">
        <w:rPr>
          <w:rFonts w:ascii="Verdana" w:hAnsi="Verdana"/>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r>
        <w:rPr>
          <w:rFonts w:ascii="Verdana" w:hAnsi="Verdana"/>
          <w:sz w:val="16"/>
          <w:szCs w:val="16"/>
        </w:rPr>
        <w:t>”</w:t>
      </w:r>
      <w:r w:rsidRPr="00BA21C4">
        <w:rPr>
          <w:rFonts w:ascii="Verdana" w:hAnsi="Verdana"/>
          <w:sz w:val="16"/>
          <w:szCs w:val="16"/>
        </w:rPr>
        <w:t>.</w:t>
      </w:r>
    </w:p>
  </w:footnote>
  <w:footnote w:id="4">
    <w:p w14:paraId="1BC9E80F" w14:textId="77777777" w:rsidR="007C2AE6" w:rsidRPr="008D4863" w:rsidRDefault="007C2AE6" w:rsidP="007C2AE6">
      <w:pPr>
        <w:pStyle w:val="Textonotapie"/>
        <w:ind w:firstLine="708"/>
        <w:jc w:val="both"/>
        <w:rPr>
          <w:rFonts w:ascii="Verdana" w:hAnsi="Verdana"/>
          <w:sz w:val="16"/>
          <w:szCs w:val="16"/>
        </w:rPr>
      </w:pPr>
      <w:r w:rsidRPr="00BA21C4">
        <w:rPr>
          <w:rStyle w:val="Refdenotaalpie"/>
          <w:rFonts w:ascii="Verdana" w:hAnsi="Verdana"/>
          <w:sz w:val="16"/>
          <w:szCs w:val="16"/>
        </w:rPr>
        <w:footnoteRef/>
      </w:r>
      <w:r w:rsidRPr="00BA21C4">
        <w:rPr>
          <w:rFonts w:ascii="Verdana" w:hAnsi="Verdana"/>
          <w:sz w:val="16"/>
          <w:szCs w:val="16"/>
        </w:rPr>
        <w:t xml:space="preserve"> </w:t>
      </w:r>
      <w:r>
        <w:rPr>
          <w:rFonts w:ascii="Verdana" w:hAnsi="Verdana"/>
          <w:sz w:val="16"/>
          <w:szCs w:val="16"/>
        </w:rPr>
        <w:t xml:space="preserve">El artículo 56 de la Ley 2195 de 2195 de 2022 dispone que </w:t>
      </w:r>
      <w:r w:rsidRPr="008D4863">
        <w:rPr>
          <w:rFonts w:ascii="Verdana" w:hAnsi="Verdana"/>
          <w:sz w:val="16"/>
          <w:szCs w:val="16"/>
        </w:rPr>
        <w:t xml:space="preserve">“Para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2BD85740" w14:textId="77777777" w:rsidR="007C2AE6" w:rsidRDefault="007C2AE6" w:rsidP="007C2AE6">
      <w:pPr>
        <w:pStyle w:val="Textonotapie"/>
        <w:ind w:firstLine="708"/>
        <w:jc w:val="both"/>
        <w:rPr>
          <w:rFonts w:ascii="Verdana" w:hAnsi="Verdana"/>
          <w:sz w:val="16"/>
          <w:szCs w:val="16"/>
        </w:rPr>
      </w:pPr>
      <w:r w:rsidRPr="008D4863">
        <w:rPr>
          <w:rFonts w:ascii="Verdana" w:hAnsi="Verdana"/>
          <w:sz w:val="16"/>
          <w:szCs w:val="16"/>
        </w:rPr>
        <w:t xml:space="preserve">Los procedimientos de selección y los contratos que realicen en desarrollo de los anteriores negocios jurídicos, donde apliquen los documentos tipo se regirán por el Estatuto General de Contratación de la Administración Pública. </w:t>
      </w:r>
    </w:p>
    <w:p w14:paraId="2597F6E3" w14:textId="77777777" w:rsidR="007C2AE6" w:rsidRPr="008D4863" w:rsidRDefault="007C2AE6" w:rsidP="007C2AE6">
      <w:pPr>
        <w:pStyle w:val="Textonotapie"/>
        <w:ind w:firstLine="708"/>
        <w:jc w:val="both"/>
        <w:rPr>
          <w:rFonts w:ascii="Verdana" w:hAnsi="Verdana"/>
          <w:sz w:val="16"/>
          <w:szCs w:val="16"/>
        </w:rPr>
      </w:pPr>
      <w:r w:rsidRPr="008D4863">
        <w:rPr>
          <w:rFonts w:ascii="Verdana" w:hAnsi="Verdana"/>
          <w:sz w:val="16"/>
          <w:szCs w:val="16"/>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footnote>
  <w:footnote w:id="5">
    <w:p w14:paraId="51E724A0" w14:textId="77777777" w:rsidR="007C2AE6" w:rsidRPr="00C9050C" w:rsidRDefault="007C2AE6" w:rsidP="007C2AE6">
      <w:pPr>
        <w:pStyle w:val="Textonotapie"/>
        <w:ind w:firstLine="709"/>
        <w:contextualSpacing/>
        <w:jc w:val="both"/>
        <w:rPr>
          <w:rFonts w:ascii="Verdana" w:hAnsi="Verdana" w:cs="Arial"/>
          <w:sz w:val="16"/>
          <w:szCs w:val="16"/>
        </w:rPr>
      </w:pPr>
      <w:r w:rsidRPr="00C9050C">
        <w:rPr>
          <w:rStyle w:val="Refdenotaalpie"/>
          <w:rFonts w:ascii="Verdana" w:hAnsi="Verdana"/>
          <w:sz w:val="16"/>
          <w:szCs w:val="16"/>
        </w:rPr>
        <w:footnoteRef/>
      </w:r>
      <w:r w:rsidRPr="00C9050C">
        <w:rPr>
          <w:rFonts w:ascii="Verdana" w:hAnsi="Verdana"/>
          <w:sz w:val="16"/>
          <w:szCs w:val="16"/>
        </w:rPr>
        <w:t xml:space="preserve"> </w:t>
      </w:r>
      <w:r w:rsidRPr="00C9050C">
        <w:rPr>
          <w:rFonts w:ascii="Verdana" w:hAnsi="Verdana" w:cs="Arial"/>
          <w:sz w:val="16"/>
          <w:szCs w:val="16"/>
        </w:rPr>
        <w:t>Consejo de Estado -Sección Tercera-. Sentencia del 21 de febrero de 2025. Radicación Número: 68.280. CP: José Roberto Sáchica Méndez.</w:t>
      </w:r>
    </w:p>
  </w:footnote>
  <w:footnote w:id="6">
    <w:p w14:paraId="2B74F6E0" w14:textId="77777777" w:rsidR="007C2AE6" w:rsidRPr="00C9050C" w:rsidRDefault="007C2AE6" w:rsidP="007C2AE6">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sz w:val="16"/>
          <w:szCs w:val="16"/>
          <w:vertAlign w:val="superscript"/>
        </w:rPr>
        <w:t xml:space="preserve"> </w:t>
      </w:r>
      <w:r w:rsidRPr="00C9050C">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7">
    <w:p w14:paraId="412FC6AB" w14:textId="77777777" w:rsidR="007C2AE6" w:rsidRPr="00C9050C" w:rsidRDefault="007C2AE6" w:rsidP="007C2AE6">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cs="Arial"/>
          <w:sz w:val="16"/>
          <w:szCs w:val="16"/>
          <w:vertAlign w:val="superscript"/>
        </w:rPr>
        <w:t xml:space="preserve"> </w:t>
      </w:r>
      <w:r w:rsidRPr="00C9050C">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60E5590C" w14:textId="77777777" w:rsidR="007C2AE6" w:rsidRPr="00C9050C" w:rsidRDefault="007C2AE6" w:rsidP="007C2AE6">
      <w:pPr>
        <w:pStyle w:val="Textonotapie"/>
        <w:ind w:firstLine="709"/>
        <w:contextualSpacing/>
        <w:jc w:val="both"/>
        <w:rPr>
          <w:rFonts w:ascii="Verdana" w:hAnsi="Verdana" w:cs="Arial"/>
          <w:sz w:val="16"/>
          <w:szCs w:val="16"/>
        </w:rPr>
      </w:pPr>
      <w:r w:rsidRPr="00C9050C">
        <w:rPr>
          <w:rFonts w:ascii="Verdana" w:hAnsi="Verdana" w:cs="Arial"/>
          <w:sz w:val="16"/>
          <w:szCs w:val="16"/>
        </w:rPr>
        <w:t>[…]”.</w:t>
      </w:r>
    </w:p>
  </w:footnote>
  <w:footnote w:id="8">
    <w:p w14:paraId="599613C6" w14:textId="77777777" w:rsidR="007C2AE6" w:rsidRPr="00C9050C" w:rsidRDefault="007C2AE6" w:rsidP="007C2AE6">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cs="Arial"/>
          <w:sz w:val="16"/>
          <w:szCs w:val="16"/>
          <w:vertAlign w:val="superscript"/>
        </w:rPr>
        <w:t xml:space="preserve"> </w:t>
      </w:r>
      <w:r w:rsidRPr="00C9050C">
        <w:rPr>
          <w:rFonts w:ascii="Verdana" w:hAnsi="Verdana" w:cs="Arial"/>
          <w:sz w:val="16"/>
          <w:szCs w:val="16"/>
        </w:rPr>
        <w:t>Código Civil: “Artículo 27. Cuando el sentido de la ley sea claro, no se desatenderá su tenor a pretexto de consultar su espíritu”.</w:t>
      </w:r>
    </w:p>
  </w:footnote>
  <w:footnote w:id="9">
    <w:p w14:paraId="6D817AC7" w14:textId="77777777" w:rsidR="007C2AE6" w:rsidRPr="00C9667E" w:rsidRDefault="007C2AE6" w:rsidP="007C2AE6">
      <w:pPr>
        <w:pStyle w:val="Textonotapie"/>
        <w:ind w:firstLine="708"/>
        <w:jc w:val="both"/>
        <w:rPr>
          <w:rFonts w:ascii="Verdana" w:hAnsi="Verdana"/>
          <w:sz w:val="16"/>
          <w:szCs w:val="16"/>
          <w:lang w:val="es-ES"/>
        </w:rPr>
      </w:pPr>
      <w:r w:rsidRPr="00C9667E">
        <w:rPr>
          <w:rStyle w:val="Refdenotaalpie"/>
          <w:rFonts w:ascii="Verdana" w:hAnsi="Verdana"/>
          <w:sz w:val="16"/>
          <w:szCs w:val="16"/>
        </w:rPr>
        <w:footnoteRef/>
      </w:r>
      <w:r w:rsidRPr="00C9667E">
        <w:rPr>
          <w:rFonts w:ascii="Verdana" w:hAnsi="Verdana"/>
          <w:sz w:val="16"/>
          <w:szCs w:val="16"/>
        </w:rPr>
        <w:t xml:space="preserve"> </w:t>
      </w:r>
      <w:r w:rsidRPr="00C9667E">
        <w:rPr>
          <w:rFonts w:ascii="Verdana" w:hAnsi="Verdana"/>
          <w:sz w:val="16"/>
          <w:szCs w:val="16"/>
          <w:lang w:val="es-ES"/>
        </w:rPr>
        <w:t>La doctrina chilena ilustra su aplicación en los siguientes términos:</w:t>
      </w:r>
      <w:r>
        <w:rPr>
          <w:rFonts w:ascii="Verdana" w:hAnsi="Verdana"/>
          <w:sz w:val="16"/>
          <w:szCs w:val="16"/>
          <w:lang w:val="es-ES"/>
        </w:rPr>
        <w:t xml:space="preserve"> </w:t>
      </w:r>
      <w:r w:rsidRPr="00C9667E">
        <w:rPr>
          <w:rFonts w:ascii="Verdana" w:hAnsi="Verdana"/>
          <w:sz w:val="16"/>
          <w:szCs w:val="16"/>
          <w:lang w:val="es-ES"/>
        </w:rPr>
        <w:t xml:space="preserve">“La ley se ha de entender general e indistintamente. Cuando la ley no hace excepción alguna, pudiendo haberla hecho, no podemos separarnos de su disposición general por medio de una distinción que ella no ha formulado. </w:t>
      </w:r>
      <w:r w:rsidRPr="00C9667E">
        <w:rPr>
          <w:rFonts w:ascii="Verdana" w:hAnsi="Verdana"/>
          <w:i/>
          <w:iCs/>
          <w:sz w:val="16"/>
          <w:szCs w:val="16"/>
          <w:lang w:val="es-ES"/>
        </w:rPr>
        <w:t>Ubi lex non distinguit nec nos distinguere debemus</w:t>
      </w:r>
      <w:r w:rsidRPr="00C9667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1B501B0F" w14:textId="77777777" w:rsidR="007C2AE6" w:rsidRPr="00C9667E" w:rsidRDefault="007C2AE6" w:rsidP="007C2AE6">
      <w:pPr>
        <w:pStyle w:val="Textonotapie"/>
        <w:ind w:firstLine="708"/>
        <w:jc w:val="both"/>
        <w:rPr>
          <w:rFonts w:ascii="Verdana" w:hAnsi="Verdana"/>
          <w:sz w:val="16"/>
          <w:szCs w:val="16"/>
          <w:lang w:val="es-CO"/>
        </w:rPr>
      </w:pPr>
      <w:r w:rsidRPr="00C9667E">
        <w:rPr>
          <w:rFonts w:ascii="Verdana" w:hAnsi="Verdana"/>
          <w:sz w:val="16"/>
          <w:szCs w:val="16"/>
          <w:lang w:val="es-ES"/>
        </w:rPr>
        <w:t xml:space="preserve">En el derecho antiguo y en el derecho canónico se distinguían las leyes en favorables y odiosas, para ampliar o restringir su interpretación. </w:t>
      </w:r>
      <w:r w:rsidRPr="00C9667E">
        <w:rPr>
          <w:rFonts w:ascii="Verdana" w:hAnsi="Verdana"/>
          <w:i/>
          <w:iCs/>
          <w:sz w:val="16"/>
          <w:szCs w:val="16"/>
          <w:lang w:val="es-ES"/>
        </w:rPr>
        <w:t>Odia restringí et favores convenit ampliari</w:t>
      </w:r>
      <w:r w:rsidRPr="00C9667E">
        <w:rPr>
          <w:rFonts w:ascii="Verdana" w:hAnsi="Verdana"/>
          <w:sz w:val="16"/>
          <w:szCs w:val="16"/>
          <w:lang w:val="es-ES"/>
        </w:rPr>
        <w:t>.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w:t>
      </w:r>
      <w:r>
        <w:rPr>
          <w:rFonts w:ascii="Verdana" w:hAnsi="Verdana"/>
          <w:sz w:val="16"/>
          <w:szCs w:val="16"/>
          <w:lang w:val="es-ES"/>
        </w:rPr>
        <w:t xml:space="preserve"> (Cfr. </w:t>
      </w:r>
      <w:r w:rsidRPr="008A44AC">
        <w:rPr>
          <w:rFonts w:ascii="Verdana" w:hAnsi="Verdana"/>
          <w:sz w:val="16"/>
          <w:szCs w:val="16"/>
        </w:rPr>
        <w:t>CLARO SOLAR, Luis. Explicaciones de derecho civil chileno y comparado. Volumen I. Tomo I. Santiago: Editorial Jurídica de Chile, 2013. p. 11</w:t>
      </w:r>
      <w:r>
        <w:rPr>
          <w:rFonts w:ascii="Verdana" w:hAnsi="Verdana"/>
          <w:sz w:val="16"/>
          <w:szCs w:val="16"/>
        </w:rPr>
        <w:t>9</w:t>
      </w:r>
      <w:r w:rsidRPr="008A44AC">
        <w:rPr>
          <w:rFonts w:ascii="Verdana" w:hAnsi="Verdana"/>
          <w:sz w:val="16"/>
          <w:szCs w:val="16"/>
        </w:rPr>
        <w:t>. Énfasis dentro del texto</w:t>
      </w:r>
      <w:r>
        <w:rPr>
          <w:rFonts w:ascii="Verdana" w:hAnsi="Verdana"/>
          <w:sz w:val="16"/>
          <w:szCs w:val="16"/>
        </w:rPr>
        <w:t>).</w:t>
      </w:r>
    </w:p>
  </w:footnote>
  <w:footnote w:id="10">
    <w:p w14:paraId="6B2ABE2D" w14:textId="77777777" w:rsidR="007C2AE6" w:rsidRPr="00C9050C" w:rsidRDefault="007C2AE6" w:rsidP="007C2AE6">
      <w:pPr>
        <w:pStyle w:val="Textonotapie"/>
        <w:ind w:firstLine="709"/>
        <w:contextualSpacing/>
        <w:jc w:val="both"/>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lang w:val="es-CO"/>
        </w:rPr>
        <w:t xml:space="preserve"> Consejo de Estado, Sección Tercera. Auto del 4 de octubre de 2024. Exp. 70.313. C.P: Fredy Ibarra Martínez.</w:t>
      </w:r>
    </w:p>
  </w:footnote>
  <w:footnote w:id="11">
    <w:p w14:paraId="61CEB93C" w14:textId="77777777" w:rsidR="007C2AE6" w:rsidRPr="00C9050C" w:rsidRDefault="007C2AE6" w:rsidP="007C2AE6">
      <w:pPr>
        <w:pStyle w:val="Textonotapie"/>
        <w:ind w:firstLine="709"/>
        <w:contextualSpacing/>
        <w:jc w:val="both"/>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rPr>
        <w:t xml:space="preserve"> La parte resolutiva del auto dispone lo siguiente; “</w:t>
      </w:r>
      <w:r w:rsidRPr="00C9050C">
        <w:rPr>
          <w:rFonts w:ascii="Verdana" w:hAnsi="Verdana"/>
          <w:b/>
          <w:sz w:val="16"/>
          <w:szCs w:val="16"/>
          <w:lang w:val="es-CO"/>
        </w:rPr>
        <w:t xml:space="preserve">PRIMERO: DECRETAR </w:t>
      </w:r>
      <w:r w:rsidRPr="00C9050C">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9050C">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9050C">
        <w:rPr>
          <w:rFonts w:ascii="Verdana" w:hAnsi="Verdana"/>
          <w:sz w:val="16"/>
          <w:szCs w:val="16"/>
          <w:lang w:val="es-CO"/>
        </w:rPr>
        <w:t xml:space="preserve">, por las razones expuestas en precedencia. </w:t>
      </w:r>
    </w:p>
    <w:p w14:paraId="52A51A6C" w14:textId="77777777" w:rsidR="007C2AE6" w:rsidRPr="00C9050C" w:rsidRDefault="007C2AE6" w:rsidP="007C2AE6">
      <w:pPr>
        <w:pStyle w:val="Textonotapie"/>
        <w:ind w:firstLine="709"/>
        <w:contextualSpacing/>
        <w:jc w:val="both"/>
        <w:rPr>
          <w:rFonts w:ascii="Verdana" w:hAnsi="Verdana"/>
          <w:sz w:val="16"/>
          <w:szCs w:val="16"/>
          <w:lang w:val="es-CO"/>
        </w:rPr>
      </w:pPr>
      <w:r w:rsidRPr="00C9050C">
        <w:rPr>
          <w:rFonts w:ascii="Verdana" w:hAnsi="Verdana"/>
          <w:b/>
          <w:sz w:val="16"/>
          <w:szCs w:val="16"/>
          <w:lang w:val="es-CO"/>
        </w:rPr>
        <w:t xml:space="preserve">SEGUNDO: DECRETAR </w:t>
      </w:r>
      <w:r w:rsidRPr="00C9050C">
        <w:rPr>
          <w:rFonts w:ascii="Verdana" w:hAnsi="Verdana"/>
          <w:sz w:val="16"/>
          <w:szCs w:val="16"/>
          <w:lang w:val="es-CO"/>
        </w:rPr>
        <w:t>la suspensión provisional de la expresión “</w:t>
      </w:r>
      <w:r w:rsidRPr="00C9050C">
        <w:rPr>
          <w:rFonts w:ascii="Verdana" w:hAnsi="Verdana"/>
          <w:i/>
          <w:sz w:val="16"/>
          <w:szCs w:val="16"/>
          <w:lang w:val="es-CO"/>
        </w:rPr>
        <w:t>contratos</w:t>
      </w:r>
      <w:r w:rsidRPr="00C9050C">
        <w:rPr>
          <w:rFonts w:ascii="Verdana" w:hAnsi="Verdana"/>
          <w:sz w:val="16"/>
          <w:szCs w:val="16"/>
          <w:lang w:val="es-CO"/>
        </w:rPr>
        <w:t xml:space="preserve">” y del párrafo </w:t>
      </w:r>
      <w:r w:rsidRPr="00C9050C">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9050C">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12">
    <w:p w14:paraId="22F38318" w14:textId="77777777" w:rsidR="007C2AE6" w:rsidRPr="00C9050C" w:rsidRDefault="007C2AE6" w:rsidP="007C2AE6">
      <w:pPr>
        <w:spacing w:after="0" w:line="240" w:lineRule="auto"/>
        <w:ind w:firstLine="709"/>
        <w:contextualSpacing/>
        <w:jc w:val="both"/>
        <w:rPr>
          <w:rFonts w:ascii="Verdana" w:eastAsia="Times New Roman" w:hAnsi="Verdana" w:cs="Times New Roman"/>
          <w:sz w:val="16"/>
          <w:szCs w:val="16"/>
          <w:lang w:eastAsia="es-ES"/>
        </w:rPr>
      </w:pPr>
      <w:r w:rsidRPr="00C9050C">
        <w:rPr>
          <w:rStyle w:val="Refdenotaalpie"/>
          <w:rFonts w:ascii="Verdana" w:hAnsi="Verdana"/>
          <w:sz w:val="16"/>
          <w:szCs w:val="16"/>
        </w:rPr>
        <w:footnoteRef/>
      </w:r>
      <w:r w:rsidRPr="00C9050C">
        <w:rPr>
          <w:rFonts w:ascii="Verdana" w:hAnsi="Verdana"/>
          <w:sz w:val="16"/>
          <w:szCs w:val="16"/>
        </w:rPr>
        <w:t xml:space="preserve"> </w:t>
      </w:r>
      <w:r w:rsidRPr="00C9050C">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9050C">
        <w:rPr>
          <w:rFonts w:ascii="Verdana" w:hAnsi="Verdana"/>
          <w:sz w:val="16"/>
          <w:szCs w:val="16"/>
        </w:rPr>
        <w:t xml:space="preserve">La parte de la providencia señala: </w:t>
      </w:r>
      <w:r w:rsidRPr="00C9050C">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3">
    <w:p w14:paraId="72F8EBBC" w14:textId="77777777" w:rsidR="007C2AE6" w:rsidRPr="00C9050C" w:rsidRDefault="007C2AE6" w:rsidP="007C2AE6">
      <w:pPr>
        <w:pStyle w:val="Textonotapie"/>
        <w:ind w:firstLine="709"/>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14">
    <w:p w14:paraId="52787818" w14:textId="77777777" w:rsidR="007C2AE6" w:rsidRPr="002B3A87" w:rsidRDefault="007C2AE6" w:rsidP="007C2AE6">
      <w:pPr>
        <w:pStyle w:val="Textonotapie"/>
        <w:ind w:firstLine="708"/>
        <w:jc w:val="both"/>
        <w:rPr>
          <w:rFonts w:ascii="Verdana" w:hAnsi="Verdana"/>
          <w:sz w:val="16"/>
          <w:szCs w:val="16"/>
        </w:rPr>
      </w:pPr>
      <w:r w:rsidRPr="002B3A87">
        <w:rPr>
          <w:rStyle w:val="Refdenotaalpie"/>
          <w:rFonts w:ascii="Verdana" w:hAnsi="Verdana"/>
          <w:sz w:val="16"/>
          <w:szCs w:val="16"/>
        </w:rPr>
        <w:footnoteRef/>
      </w:r>
      <w:r w:rsidRPr="002B3A87">
        <w:rPr>
          <w:rFonts w:ascii="Verdana" w:hAnsi="Verdana"/>
          <w:sz w:val="16"/>
          <w:szCs w:val="16"/>
        </w:rPr>
        <w:t xml:space="preserve"> </w:t>
      </w:r>
      <w:r>
        <w:rPr>
          <w:rFonts w:ascii="Verdana" w:hAnsi="Verdana"/>
          <w:sz w:val="16"/>
          <w:szCs w:val="16"/>
        </w:rPr>
        <w:t xml:space="preserve">CONSEJO DE ESTADO. Sección Tercera. Subsección C. Auto del 30 de enero de 2025. Rad. 71000. C.P. </w:t>
      </w:r>
      <w:r w:rsidRPr="00E743EE">
        <w:rPr>
          <w:rFonts w:ascii="Verdana" w:hAnsi="Verdana"/>
          <w:sz w:val="16"/>
          <w:szCs w:val="16"/>
        </w:rPr>
        <w:t>Nicolás Yepes Corrales</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07D"/>
    <w:rsid w:val="000419A2"/>
    <w:rsid w:val="00046945"/>
    <w:rsid w:val="00061B2A"/>
    <w:rsid w:val="000818AB"/>
    <w:rsid w:val="00082362"/>
    <w:rsid w:val="0009541C"/>
    <w:rsid w:val="0009790A"/>
    <w:rsid w:val="000A683E"/>
    <w:rsid w:val="000B19B9"/>
    <w:rsid w:val="000D0334"/>
    <w:rsid w:val="000D5DA7"/>
    <w:rsid w:val="000F6486"/>
    <w:rsid w:val="00116940"/>
    <w:rsid w:val="00125105"/>
    <w:rsid w:val="00127233"/>
    <w:rsid w:val="00144209"/>
    <w:rsid w:val="0015699B"/>
    <w:rsid w:val="001829A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4721"/>
    <w:rsid w:val="002E2BF8"/>
    <w:rsid w:val="002E4FD9"/>
    <w:rsid w:val="0030657A"/>
    <w:rsid w:val="00322A85"/>
    <w:rsid w:val="00324168"/>
    <w:rsid w:val="00330834"/>
    <w:rsid w:val="003448F4"/>
    <w:rsid w:val="00374F5E"/>
    <w:rsid w:val="00377E3E"/>
    <w:rsid w:val="003A2AF6"/>
    <w:rsid w:val="003A779E"/>
    <w:rsid w:val="003D0F4D"/>
    <w:rsid w:val="003D5B0D"/>
    <w:rsid w:val="003E0499"/>
    <w:rsid w:val="003E4F80"/>
    <w:rsid w:val="003E6439"/>
    <w:rsid w:val="003F3941"/>
    <w:rsid w:val="00406575"/>
    <w:rsid w:val="00414C74"/>
    <w:rsid w:val="0042722E"/>
    <w:rsid w:val="0044528D"/>
    <w:rsid w:val="004631DF"/>
    <w:rsid w:val="00466E39"/>
    <w:rsid w:val="00480E04"/>
    <w:rsid w:val="00491AE1"/>
    <w:rsid w:val="004A1847"/>
    <w:rsid w:val="004A305D"/>
    <w:rsid w:val="004F21C4"/>
    <w:rsid w:val="004F685F"/>
    <w:rsid w:val="005566E8"/>
    <w:rsid w:val="00560CB6"/>
    <w:rsid w:val="00574867"/>
    <w:rsid w:val="00591460"/>
    <w:rsid w:val="005A65E0"/>
    <w:rsid w:val="005A775F"/>
    <w:rsid w:val="005C3777"/>
    <w:rsid w:val="005C5CDC"/>
    <w:rsid w:val="005D476C"/>
    <w:rsid w:val="006200BF"/>
    <w:rsid w:val="006219F8"/>
    <w:rsid w:val="006302F7"/>
    <w:rsid w:val="00646B9F"/>
    <w:rsid w:val="00656E7A"/>
    <w:rsid w:val="00665D70"/>
    <w:rsid w:val="00670A1B"/>
    <w:rsid w:val="006900D9"/>
    <w:rsid w:val="0069659C"/>
    <w:rsid w:val="006A1CE0"/>
    <w:rsid w:val="00706C16"/>
    <w:rsid w:val="007340C3"/>
    <w:rsid w:val="0075235A"/>
    <w:rsid w:val="00756841"/>
    <w:rsid w:val="007649AB"/>
    <w:rsid w:val="00771D0C"/>
    <w:rsid w:val="007833AC"/>
    <w:rsid w:val="007B268C"/>
    <w:rsid w:val="007B7171"/>
    <w:rsid w:val="007C0C0F"/>
    <w:rsid w:val="007C2AE6"/>
    <w:rsid w:val="007C3DC2"/>
    <w:rsid w:val="007E5497"/>
    <w:rsid w:val="00806F5F"/>
    <w:rsid w:val="00820278"/>
    <w:rsid w:val="008258C9"/>
    <w:rsid w:val="008444AE"/>
    <w:rsid w:val="00844AE9"/>
    <w:rsid w:val="00867F95"/>
    <w:rsid w:val="008843B6"/>
    <w:rsid w:val="00891928"/>
    <w:rsid w:val="008967FB"/>
    <w:rsid w:val="008A446D"/>
    <w:rsid w:val="008B25F1"/>
    <w:rsid w:val="008D180B"/>
    <w:rsid w:val="008F0EA7"/>
    <w:rsid w:val="00923EEF"/>
    <w:rsid w:val="009419F9"/>
    <w:rsid w:val="009550B0"/>
    <w:rsid w:val="0095685E"/>
    <w:rsid w:val="00961B09"/>
    <w:rsid w:val="00965334"/>
    <w:rsid w:val="0097093E"/>
    <w:rsid w:val="009A01F7"/>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0C03"/>
    <w:rsid w:val="00AB0ADB"/>
    <w:rsid w:val="00B00C0E"/>
    <w:rsid w:val="00B01B1A"/>
    <w:rsid w:val="00B0381D"/>
    <w:rsid w:val="00B44A47"/>
    <w:rsid w:val="00B5371C"/>
    <w:rsid w:val="00B72CD3"/>
    <w:rsid w:val="00B72FFF"/>
    <w:rsid w:val="00B74340"/>
    <w:rsid w:val="00B87874"/>
    <w:rsid w:val="00BB1804"/>
    <w:rsid w:val="00BC3D36"/>
    <w:rsid w:val="00BD54A6"/>
    <w:rsid w:val="00BD7F72"/>
    <w:rsid w:val="00BE48E7"/>
    <w:rsid w:val="00BF7169"/>
    <w:rsid w:val="00BF7425"/>
    <w:rsid w:val="00C04FB3"/>
    <w:rsid w:val="00C11D8B"/>
    <w:rsid w:val="00C15139"/>
    <w:rsid w:val="00C1543B"/>
    <w:rsid w:val="00C330EB"/>
    <w:rsid w:val="00C50D69"/>
    <w:rsid w:val="00C5365C"/>
    <w:rsid w:val="00C6698B"/>
    <w:rsid w:val="00C754BE"/>
    <w:rsid w:val="00C76B1C"/>
    <w:rsid w:val="00C925AC"/>
    <w:rsid w:val="00CB6357"/>
    <w:rsid w:val="00CC1B26"/>
    <w:rsid w:val="00D27EAE"/>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0C44"/>
    <w:rsid w:val="00E75C92"/>
    <w:rsid w:val="00E771DC"/>
    <w:rsid w:val="00E8772A"/>
    <w:rsid w:val="00E90F6B"/>
    <w:rsid w:val="00E92C27"/>
    <w:rsid w:val="00EA0E3D"/>
    <w:rsid w:val="00EC227A"/>
    <w:rsid w:val="00EC38A7"/>
    <w:rsid w:val="00EE1AA8"/>
    <w:rsid w:val="00F23FEA"/>
    <w:rsid w:val="00F31EDC"/>
    <w:rsid w:val="00F462B3"/>
    <w:rsid w:val="00F5664F"/>
    <w:rsid w:val="00F666C4"/>
    <w:rsid w:val="00F757E8"/>
    <w:rsid w:val="00F76AFC"/>
    <w:rsid w:val="00FA47C0"/>
    <w:rsid w:val="00FB5DD1"/>
    <w:rsid w:val="00FB63A3"/>
    <w:rsid w:val="00FB72E4"/>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3876D0"/>
    <w:rsid w:val="356CEDFD"/>
    <w:rsid w:val="3C591AFD"/>
    <w:rsid w:val="42183F0A"/>
    <w:rsid w:val="545B112A"/>
    <w:rsid w:val="5BEB1497"/>
    <w:rsid w:val="69614A15"/>
    <w:rsid w:val="6FC6B91F"/>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2AE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C2AE6"/>
    <w:rPr>
      <w:rFonts w:ascii="Geomanist Light" w:hAnsi="Geomanist Light"/>
      <w:lang w:val="es-ES"/>
    </w:rPr>
  </w:style>
  <w:style w:type="paragraph" w:styleId="Textoindependiente">
    <w:name w:val="Body Text"/>
    <w:basedOn w:val="Normal"/>
    <w:link w:val="TextoindependienteCar"/>
    <w:uiPriority w:val="99"/>
    <w:unhideWhenUsed/>
    <w:rsid w:val="007C2AE6"/>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C2AE6"/>
    <w:rPr>
      <w:rFonts w:eastAsiaTheme="minorEastAsia"/>
      <w:lang w:eastAsia="es-CO"/>
    </w:rPr>
  </w:style>
  <w:style w:type="character" w:customStyle="1" w:styleId="s15">
    <w:name w:val="s15"/>
    <w:basedOn w:val="Fuentedeprrafopredeter"/>
    <w:rsid w:val="007C2AE6"/>
  </w:style>
  <w:style w:type="character" w:customStyle="1" w:styleId="s55">
    <w:name w:val="s55"/>
    <w:basedOn w:val="Fuentedeprrafopredeter"/>
    <w:rsid w:val="007C2AE6"/>
  </w:style>
  <w:style w:type="character" w:styleId="Refdecomentario">
    <w:name w:val="annotation reference"/>
    <w:basedOn w:val="Fuentedeprrafopredeter"/>
    <w:uiPriority w:val="99"/>
    <w:semiHidden/>
    <w:unhideWhenUsed/>
    <w:rsid w:val="00656E7A"/>
    <w:rPr>
      <w:sz w:val="16"/>
      <w:szCs w:val="16"/>
    </w:rPr>
  </w:style>
  <w:style w:type="paragraph" w:styleId="Textocomentario">
    <w:name w:val="annotation text"/>
    <w:basedOn w:val="Normal"/>
    <w:link w:val="TextocomentarioCar"/>
    <w:uiPriority w:val="99"/>
    <w:semiHidden/>
    <w:unhideWhenUsed/>
    <w:rsid w:val="00656E7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56E7A"/>
    <w:rPr>
      <w:sz w:val="20"/>
      <w:szCs w:val="20"/>
    </w:rPr>
  </w:style>
  <w:style w:type="paragraph" w:styleId="Asuntodelcomentario">
    <w:name w:val="annotation subject"/>
    <w:basedOn w:val="Textocomentario"/>
    <w:next w:val="Textocomentario"/>
    <w:link w:val="AsuntodelcomentarioCar"/>
    <w:uiPriority w:val="99"/>
    <w:semiHidden/>
    <w:unhideWhenUsed/>
    <w:rsid w:val="00656E7A"/>
    <w:rPr>
      <w:b/>
      <w:bCs/>
    </w:rPr>
  </w:style>
  <w:style w:type="character" w:customStyle="1" w:styleId="AsuntodelcomentarioCar">
    <w:name w:val="Asunto del comentario Car"/>
    <w:basedOn w:val="TextocomentarioCar"/>
    <w:link w:val="Asuntodelcomentario"/>
    <w:uiPriority w:val="99"/>
    <w:semiHidden/>
    <w:rsid w:val="00656E7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25678"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www.secretariasenado.gov.co/senado/basedoc/ley_0489_1998_pr002.html"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santi090815@gmail.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B8DA658-999A-4345-B794-306A74DA9B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24</Pages>
  <Words>7710</Words>
  <Characters>42409</Characters>
  <Application>Microsoft Office Word</Application>
  <DocSecurity>0</DocSecurity>
  <Lines>353</Lines>
  <Paragraphs>100</Paragraphs>
  <ScaleCrop>false</ScaleCrop>
  <Company/>
  <LinksUpToDate>false</LinksUpToDate>
  <CharactersWithSpaces>50019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2026-05-27T15:33:00Z</dcterms:created>
  <dcterms:modified xsi:type="dcterms:W3CDTF">2026-05-28T20:47:00Z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