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E23CF" w14:textId="77777777" w:rsidR="00D35E4D" w:rsidRPr="00244412" w:rsidRDefault="00D35E4D" w:rsidP="00D35E4D">
      <w:pPr>
        <w:tabs>
          <w:tab w:val="left" w:pos="426"/>
        </w:tabs>
        <w:spacing w:line="240" w:lineRule="auto"/>
        <w:contextualSpacing/>
        <w:jc w:val="both"/>
        <w:rPr>
          <w:rFonts w:ascii="Verdana" w:eastAsia="Calibri" w:hAnsi="Verdana" w:cs="Arial"/>
          <w:b/>
          <w:bCs/>
          <w:lang w:val="es-MX"/>
        </w:rPr>
      </w:pPr>
      <w:r w:rsidRPr="00244412">
        <w:rPr>
          <w:rFonts w:ascii="Verdana" w:eastAsia="Calibri" w:hAnsi="Verdana" w:cs="Arial"/>
          <w:b/>
          <w:bCs/>
          <w:lang w:val="es-MX"/>
        </w:rPr>
        <w:t xml:space="preserve">LEY DE GARANTÍAS ELECTORALES ─ Prohibición ‒ Contratación directa ‒ Alcance </w:t>
      </w:r>
    </w:p>
    <w:p w14:paraId="4130A9AB" w14:textId="77777777" w:rsidR="00D35E4D" w:rsidRPr="00244412" w:rsidRDefault="00D35E4D" w:rsidP="00D35E4D">
      <w:pPr>
        <w:tabs>
          <w:tab w:val="left" w:pos="426"/>
        </w:tabs>
        <w:spacing w:line="240" w:lineRule="auto"/>
        <w:contextualSpacing/>
        <w:jc w:val="both"/>
        <w:rPr>
          <w:rFonts w:ascii="Verdana" w:eastAsia="Calibri" w:hAnsi="Verdana" w:cs="Arial"/>
          <w:noProof/>
          <w:sz w:val="20"/>
          <w:szCs w:val="20"/>
          <w:lang w:val="es-MX"/>
        </w:rPr>
      </w:pPr>
    </w:p>
    <w:p w14:paraId="02E9ED6D" w14:textId="77777777" w:rsidR="00D35E4D" w:rsidRPr="00244412" w:rsidRDefault="00D35E4D" w:rsidP="00D35E4D">
      <w:pPr>
        <w:spacing w:line="240" w:lineRule="auto"/>
        <w:contextualSpacing/>
        <w:jc w:val="both"/>
        <w:rPr>
          <w:rFonts w:ascii="Verdana" w:eastAsia="Times New Roman" w:hAnsi="Verdana" w:cs="Arial"/>
          <w:bCs/>
          <w:sz w:val="20"/>
          <w:szCs w:val="20"/>
          <w:lang w:val="es-MX" w:eastAsia="x-none"/>
        </w:rPr>
      </w:pPr>
      <w:r w:rsidRPr="00244412">
        <w:rPr>
          <w:rFonts w:ascii="Verdana" w:eastAsia="Calibri" w:hAnsi="Verdana" w:cs="Arial"/>
          <w:noProof/>
          <w:sz w:val="20"/>
          <w:szCs w:val="20"/>
          <w:lang w:val="es-ES_tradnl"/>
        </w:rPr>
        <w:t xml:space="preserve">[…] </w:t>
      </w:r>
      <w:r w:rsidRPr="00244412">
        <w:rPr>
          <w:rFonts w:ascii="Verdana" w:eastAsia="Times New Roman" w:hAnsi="Verdana" w:cs="Arial"/>
          <w:bCs/>
          <w:sz w:val="20"/>
          <w:szCs w:val="20"/>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244412">
        <w:rPr>
          <w:rFonts w:ascii="Verdana" w:eastAsia="Times New Roman" w:hAnsi="Verdana" w:cs="Arial"/>
          <w:sz w:val="20"/>
          <w:szCs w:val="20"/>
          <w:vertAlign w:val="superscript"/>
          <w:lang w:eastAsia="x-none"/>
        </w:rPr>
        <w:t xml:space="preserve"> </w:t>
      </w:r>
    </w:p>
    <w:p w14:paraId="63461C14" w14:textId="77777777" w:rsidR="00D35E4D" w:rsidRPr="00244412" w:rsidRDefault="00D35E4D" w:rsidP="00D35E4D">
      <w:pPr>
        <w:spacing w:line="240" w:lineRule="auto"/>
        <w:contextualSpacing/>
        <w:jc w:val="both"/>
        <w:rPr>
          <w:rFonts w:ascii="Verdana" w:eastAsia="Times New Roman" w:hAnsi="Verdana" w:cs="Arial"/>
          <w:bCs/>
          <w:sz w:val="20"/>
          <w:szCs w:val="20"/>
          <w:lang w:val="es-MX" w:eastAsia="x-none"/>
        </w:rPr>
      </w:pPr>
    </w:p>
    <w:p w14:paraId="13B00EED" w14:textId="77777777" w:rsidR="00D35E4D" w:rsidRPr="00244412" w:rsidRDefault="00D35E4D" w:rsidP="00D35E4D">
      <w:pPr>
        <w:spacing w:line="240" w:lineRule="auto"/>
        <w:contextualSpacing/>
        <w:jc w:val="both"/>
        <w:rPr>
          <w:rFonts w:ascii="Verdana" w:eastAsia="Times New Roman" w:hAnsi="Verdana" w:cs="Arial"/>
          <w:sz w:val="20"/>
          <w:szCs w:val="20"/>
          <w:lang w:eastAsia="x-none"/>
        </w:rPr>
      </w:pPr>
      <w:r w:rsidRPr="00244412">
        <w:rPr>
          <w:rFonts w:ascii="Verdana" w:eastAsia="Times New Roman" w:hAnsi="Verdana" w:cs="Arial"/>
          <w:bCs/>
          <w:sz w:val="20"/>
          <w:szCs w:val="20"/>
          <w:lang w:val="es-MX" w:eastAsia="x-none"/>
        </w:rPr>
        <w:t>De lo anterior se desprende que la restricción aplica, sin perjuicio de las excepciones establecidas en la misma ley, para celebrar cualquier contrato de forma directa, esto es, sin que exista un proceso abierto y competitivo.</w:t>
      </w:r>
      <w:r w:rsidRPr="00244412">
        <w:rPr>
          <w:rFonts w:ascii="Verdana" w:eastAsia="Times New Roman" w:hAnsi="Verdana" w:cs="Arial"/>
          <w:sz w:val="20"/>
          <w:szCs w:val="20"/>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las entidades públicas pueden seguir contratando bajo estos sistemas.</w:t>
      </w:r>
    </w:p>
    <w:p w14:paraId="6439548A" w14:textId="77777777" w:rsidR="00D35E4D" w:rsidRPr="00244412" w:rsidRDefault="00D35E4D" w:rsidP="00D35E4D">
      <w:pPr>
        <w:spacing w:line="240" w:lineRule="auto"/>
        <w:contextualSpacing/>
        <w:jc w:val="both"/>
        <w:rPr>
          <w:rFonts w:ascii="Verdana" w:eastAsia="Times New Roman" w:hAnsi="Verdana" w:cs="Arial"/>
          <w:lang w:eastAsia="x-none"/>
        </w:rPr>
      </w:pPr>
    </w:p>
    <w:p w14:paraId="066D260D" w14:textId="77777777" w:rsidR="00D35E4D" w:rsidRPr="00244412" w:rsidRDefault="00D35E4D" w:rsidP="00D35E4D">
      <w:pPr>
        <w:tabs>
          <w:tab w:val="left" w:pos="426"/>
        </w:tabs>
        <w:spacing w:line="240" w:lineRule="auto"/>
        <w:contextualSpacing/>
        <w:jc w:val="both"/>
        <w:rPr>
          <w:rFonts w:ascii="Verdana" w:eastAsia="Calibri" w:hAnsi="Verdana" w:cs="Arial"/>
          <w:b/>
          <w:bCs/>
          <w:sz w:val="20"/>
          <w:szCs w:val="20"/>
          <w:lang w:val="es-MX"/>
        </w:rPr>
      </w:pPr>
      <w:r w:rsidRPr="00244412">
        <w:rPr>
          <w:rFonts w:ascii="Verdana" w:eastAsia="Calibri" w:hAnsi="Verdana" w:cs="Arial"/>
          <w:b/>
          <w:bCs/>
          <w:lang w:val="es-MX"/>
        </w:rPr>
        <w:t xml:space="preserve">LEY DE GARANTÍAS ELECTORALES ─ Prohibición ‒ Contratación directa ‒ </w:t>
      </w:r>
      <w:r w:rsidRPr="00244412">
        <w:rPr>
          <w:rFonts w:ascii="Verdana" w:eastAsia="Times New Roman" w:hAnsi="Verdana" w:cs="Arial"/>
          <w:b/>
          <w:bCs/>
          <w:lang w:eastAsia="es-CO"/>
        </w:rPr>
        <w:t>Excepciones</w:t>
      </w:r>
      <w:r w:rsidRPr="00244412">
        <w:rPr>
          <w:rFonts w:ascii="Verdana" w:eastAsia="Calibri" w:hAnsi="Verdana" w:cs="Arial"/>
          <w:b/>
          <w:bCs/>
          <w:lang w:val="es-MX"/>
        </w:rPr>
        <w:t xml:space="preserve"> </w:t>
      </w:r>
    </w:p>
    <w:p w14:paraId="24597420" w14:textId="77777777" w:rsidR="00D35E4D" w:rsidRPr="00244412" w:rsidRDefault="00D35E4D" w:rsidP="00D35E4D">
      <w:pPr>
        <w:tabs>
          <w:tab w:val="left" w:pos="426"/>
        </w:tabs>
        <w:spacing w:line="240" w:lineRule="auto"/>
        <w:contextualSpacing/>
        <w:jc w:val="both"/>
        <w:rPr>
          <w:rFonts w:ascii="Verdana" w:eastAsia="Times New Roman" w:hAnsi="Verdana" w:cs="Arial"/>
          <w:sz w:val="20"/>
          <w:szCs w:val="20"/>
          <w:lang w:eastAsia="x-none"/>
        </w:rPr>
      </w:pPr>
    </w:p>
    <w:p w14:paraId="16C8BA55" w14:textId="77777777" w:rsidR="00D35E4D" w:rsidRPr="00244412" w:rsidRDefault="00D35E4D" w:rsidP="00D35E4D">
      <w:pPr>
        <w:spacing w:line="240" w:lineRule="auto"/>
        <w:contextualSpacing/>
        <w:jc w:val="both"/>
        <w:rPr>
          <w:rFonts w:ascii="Verdana" w:eastAsia="Times New Roman" w:hAnsi="Verdana" w:cs="Arial"/>
          <w:bCs/>
          <w:sz w:val="20"/>
          <w:szCs w:val="20"/>
          <w:lang w:val="es-MX" w:eastAsia="es-CO"/>
        </w:rPr>
      </w:pPr>
      <w:r w:rsidRPr="00244412">
        <w:rPr>
          <w:rFonts w:ascii="Verdana" w:eastAsia="Calibri" w:hAnsi="Verdana" w:cs="Arial"/>
          <w:noProof/>
          <w:sz w:val="20"/>
          <w:szCs w:val="20"/>
          <w:lang w:val="es-ES_tradnl"/>
        </w:rPr>
        <w:t xml:space="preserve">[…] </w:t>
      </w:r>
      <w:r w:rsidRPr="00244412">
        <w:rPr>
          <w:rFonts w:ascii="Verdana" w:eastAsia="Times New Roman" w:hAnsi="Verdana" w:cs="Arial"/>
          <w:bCs/>
          <w:sz w:val="20"/>
          <w:szCs w:val="20"/>
          <w:lang w:val="es-MX" w:eastAsia="x-none"/>
        </w:rPr>
        <w:t>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244412">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B2EFF8E" w14:textId="77777777" w:rsidR="00D35E4D" w:rsidRPr="00244412" w:rsidRDefault="00D35E4D" w:rsidP="00D35E4D">
      <w:pPr>
        <w:spacing w:line="240" w:lineRule="auto"/>
        <w:contextualSpacing/>
        <w:jc w:val="both"/>
        <w:rPr>
          <w:rFonts w:ascii="Verdana" w:eastAsia="Times New Roman" w:hAnsi="Verdana" w:cs="Arial"/>
          <w:bCs/>
          <w:sz w:val="20"/>
          <w:szCs w:val="20"/>
          <w:lang w:val="es-MX" w:eastAsia="es-CO"/>
        </w:rPr>
      </w:pPr>
    </w:p>
    <w:p w14:paraId="6BF7FEA5" w14:textId="73D5F7E2" w:rsidR="00A16436" w:rsidRPr="00244412" w:rsidRDefault="00A16436" w:rsidP="00A16436">
      <w:pPr>
        <w:tabs>
          <w:tab w:val="left" w:pos="426"/>
        </w:tabs>
        <w:spacing w:line="240" w:lineRule="auto"/>
        <w:contextualSpacing/>
        <w:jc w:val="both"/>
        <w:rPr>
          <w:rFonts w:ascii="Verdana" w:eastAsia="Calibri" w:hAnsi="Verdana" w:cs="Arial"/>
          <w:b/>
          <w:bCs/>
          <w:sz w:val="20"/>
          <w:szCs w:val="20"/>
          <w:lang w:val="es-MX"/>
        </w:rPr>
      </w:pPr>
      <w:r w:rsidRPr="00244412">
        <w:rPr>
          <w:rFonts w:ascii="Verdana" w:eastAsia="Calibri" w:hAnsi="Verdana" w:cs="Arial"/>
          <w:b/>
          <w:bCs/>
          <w:lang w:val="es-MX"/>
        </w:rPr>
        <w:t xml:space="preserve">LEY DE GARANTÍAS ELECTORALES ‒ Contratación directa ‒ </w:t>
      </w:r>
      <w:r w:rsidRPr="00244412">
        <w:rPr>
          <w:rFonts w:ascii="Verdana" w:eastAsia="Times New Roman" w:hAnsi="Verdana" w:cs="Arial"/>
          <w:b/>
          <w:bCs/>
          <w:lang w:eastAsia="es-CO"/>
        </w:rPr>
        <w:t>Contrato de arrendamiento</w:t>
      </w:r>
      <w:r w:rsidRPr="00244412">
        <w:rPr>
          <w:rFonts w:ascii="Verdana" w:eastAsia="Calibri" w:hAnsi="Verdana" w:cs="Arial"/>
          <w:b/>
          <w:bCs/>
          <w:lang w:val="es-MX"/>
        </w:rPr>
        <w:t xml:space="preserve"> </w:t>
      </w:r>
    </w:p>
    <w:p w14:paraId="1F31A05B" w14:textId="77777777" w:rsidR="00187855" w:rsidRPr="00244412" w:rsidRDefault="00187855" w:rsidP="00187855">
      <w:pPr>
        <w:spacing w:after="0" w:line="240" w:lineRule="auto"/>
        <w:jc w:val="both"/>
        <w:rPr>
          <w:rFonts w:ascii="Verdana" w:eastAsia="Times New Roman" w:hAnsi="Verdana" w:cs="Arial"/>
          <w:noProof/>
          <w:lang w:val="es-MX" w:eastAsia="es-ES_tradnl"/>
        </w:rPr>
      </w:pPr>
    </w:p>
    <w:p w14:paraId="49181B4D" w14:textId="77777777" w:rsidR="00A16436" w:rsidRPr="00244412" w:rsidRDefault="00A16436" w:rsidP="00A16436">
      <w:pPr>
        <w:spacing w:line="240" w:lineRule="auto"/>
        <w:contextualSpacing/>
        <w:jc w:val="both"/>
        <w:rPr>
          <w:rFonts w:ascii="Verdana" w:eastAsia="Times New Roman" w:hAnsi="Verdana" w:cs="Arial"/>
          <w:bCs/>
          <w:sz w:val="20"/>
          <w:szCs w:val="20"/>
          <w:lang w:val="es-MX" w:eastAsia="es-CO"/>
        </w:rPr>
      </w:pPr>
      <w:r w:rsidRPr="00244412">
        <w:rPr>
          <w:rFonts w:ascii="Verdana" w:eastAsia="Times New Roman" w:hAnsi="Verdana" w:cs="Arial"/>
          <w:bCs/>
          <w:sz w:val="20"/>
          <w:szCs w:val="20"/>
          <w:lang w:val="es-MX" w:eastAsia="es-CO"/>
        </w:rPr>
        <w:t>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w:t>
      </w:r>
    </w:p>
    <w:p w14:paraId="3ABC50B9" w14:textId="77777777" w:rsidR="00244412" w:rsidRPr="00244412" w:rsidRDefault="00244412" w:rsidP="00A16436">
      <w:pPr>
        <w:spacing w:line="240" w:lineRule="auto"/>
        <w:contextualSpacing/>
        <w:jc w:val="both"/>
        <w:rPr>
          <w:rFonts w:ascii="Verdana" w:eastAsia="Times New Roman" w:hAnsi="Verdana" w:cs="Arial"/>
          <w:bCs/>
          <w:sz w:val="20"/>
          <w:szCs w:val="20"/>
          <w:lang w:val="es-MX" w:eastAsia="es-CO"/>
        </w:rPr>
      </w:pPr>
    </w:p>
    <w:p w14:paraId="72677E61" w14:textId="3CDC4339" w:rsidR="00720768" w:rsidRPr="00244412" w:rsidRDefault="00A16436" w:rsidP="00A16436">
      <w:pPr>
        <w:spacing w:line="240" w:lineRule="auto"/>
        <w:contextualSpacing/>
        <w:jc w:val="both"/>
        <w:rPr>
          <w:rFonts w:ascii="Verdana" w:eastAsia="Times New Roman" w:hAnsi="Verdana" w:cs="Arial"/>
          <w:bCs/>
          <w:sz w:val="20"/>
          <w:szCs w:val="20"/>
          <w:lang w:val="es-MX" w:eastAsia="es-CO"/>
        </w:rPr>
      </w:pPr>
      <w:r w:rsidRPr="00244412">
        <w:rPr>
          <w:rFonts w:ascii="Verdana" w:eastAsia="Times New Roman" w:hAnsi="Verdana" w:cs="Arial"/>
          <w:bCs/>
          <w:sz w:val="20"/>
          <w:szCs w:val="20"/>
          <w:lang w:val="es-MX" w:eastAsia="es-CO"/>
        </w:rPr>
        <w:t xml:space="preserve">Por tanto, teniendo en cuenta que el literal i) del numeral 4° del artículo 2º de la Ley 1150 de 2007 establece que una de las causales de este procedimiento es: “i) El arrendamiento o adquisición de inmuebles”; y adicionalmente, el artículo 2.2.1.2.1.4.11 </w:t>
      </w:r>
      <w:r w:rsidRPr="00244412">
        <w:rPr>
          <w:rFonts w:ascii="Verdana" w:eastAsia="Times New Roman" w:hAnsi="Verdana" w:cs="Arial"/>
          <w:bCs/>
          <w:sz w:val="20"/>
          <w:szCs w:val="20"/>
          <w:lang w:val="es-MX" w:eastAsia="es-CO"/>
        </w:rPr>
        <w:lastRenderedPageBreak/>
        <w:t>del Decreto 1082 de 2015 dispone que las Entidades Estatales pueden alquilar o arrendar inmuebles mediante contratación directa; esta contratación al ser directa se encuentra cobijada por la prohibición del artículo 33 de la Ley de Garantías Electorales, ya que como se señaló en el párrafo anterior, la prohibición es amplia y aplica a toda la contratación que no implique convocatoria pública.</w:t>
      </w:r>
    </w:p>
    <w:p w14:paraId="4649A48E" w14:textId="77777777" w:rsidR="00720768" w:rsidRPr="00A16436" w:rsidRDefault="00720768" w:rsidP="00A16436">
      <w:pPr>
        <w:spacing w:line="240" w:lineRule="auto"/>
        <w:contextualSpacing/>
        <w:jc w:val="both"/>
        <w:rPr>
          <w:rFonts w:ascii="Verdana" w:eastAsia="Times New Roman" w:hAnsi="Verdana" w:cs="Arial"/>
          <w:bCs/>
          <w:sz w:val="20"/>
          <w:szCs w:val="20"/>
          <w:highlight w:val="yellow"/>
          <w:lang w:val="es-MX" w:eastAsia="es-CO"/>
        </w:rPr>
      </w:pPr>
    </w:p>
    <w:p w14:paraId="72827A6E"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14CC746E"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1AC5EDE8"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01CB1020"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4E401634"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2CD1CEA2"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3F6EB5EB"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2FDDF2FA"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4853D1E3"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0C516870"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3636AAA6"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54EA1C70"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44134432"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5CBEAC17"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45CAF9E8"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78553154"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2F5DD4DE"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7322827F"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13A02522"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5568B074"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1A294F56"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3D14CB83"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0CC01B3D"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2DB0F6A5"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1863B7AA"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6F21E1D0"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29E754A1"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4B725CEE"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7E514847"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5E143A73"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01592DC1"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1C030E18"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11C6B301"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0DC10C8E"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466E65A0"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167C10E8"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378CA0AA"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77AC4919"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1123D0E6" w14:textId="1B45EA47" w:rsidR="00B04DF4" w:rsidRDefault="00B04DF4" w:rsidP="00B04DF4">
      <w:pPr>
        <w:spacing w:after="0" w:line="240" w:lineRule="auto"/>
        <w:jc w:val="both"/>
        <w:rPr>
          <w:rFonts w:ascii="Verdana" w:eastAsia="Times New Roman" w:hAnsi="Verdana" w:cs="Arial"/>
          <w:noProof/>
          <w:lang w:val="es-ES_tradnl" w:eastAsia="es-ES_tradnl"/>
        </w:rPr>
      </w:pPr>
      <w:r w:rsidRPr="00B04DF4">
        <w:rPr>
          <w:rFonts w:ascii="Verdana" w:eastAsia="Times New Roman" w:hAnsi="Verdana" w:cs="Arial"/>
          <w:noProof/>
          <w:lang w:val="es-ES_tradnl" w:eastAsia="es-ES_tradnl"/>
        </w:rPr>
        <w:lastRenderedPageBreak/>
        <w:t xml:space="preserve">Bogotá D.C., </w:t>
      </w:r>
      <w:r w:rsidR="005B79C6">
        <w:rPr>
          <w:rFonts w:ascii="Verdana" w:eastAsia="Times New Roman" w:hAnsi="Verdana" w:cs="Arial"/>
          <w:noProof/>
          <w:lang w:val="es-ES_tradnl" w:eastAsia="es-ES_tradnl"/>
        </w:rPr>
        <w:t>19</w:t>
      </w:r>
      <w:r w:rsidR="00110623" w:rsidRPr="00110623">
        <w:rPr>
          <w:rFonts w:ascii="Verdana" w:eastAsia="Times New Roman" w:hAnsi="Verdana" w:cs="Arial"/>
          <w:noProof/>
          <w:lang w:val="es-ES_tradnl" w:eastAsia="es-ES_tradnl"/>
        </w:rPr>
        <w:t xml:space="preserve"> de </w:t>
      </w:r>
      <w:r w:rsidR="005B79C6">
        <w:rPr>
          <w:rFonts w:ascii="Verdana" w:eastAsia="Times New Roman" w:hAnsi="Verdana" w:cs="Arial"/>
          <w:noProof/>
          <w:lang w:val="es-ES_tradnl" w:eastAsia="es-ES_tradnl"/>
        </w:rPr>
        <w:t>Mayo</w:t>
      </w:r>
      <w:r w:rsidR="00110623" w:rsidRPr="00110623">
        <w:rPr>
          <w:rFonts w:ascii="Verdana" w:eastAsia="Times New Roman" w:hAnsi="Verdana" w:cs="Arial"/>
          <w:noProof/>
          <w:lang w:val="es-ES_tradnl" w:eastAsia="es-ES_tradnl"/>
        </w:rPr>
        <w:t xml:space="preserve"> de </w:t>
      </w:r>
      <w:r w:rsidR="005B79C6">
        <w:rPr>
          <w:rFonts w:ascii="Verdana" w:eastAsia="Times New Roman" w:hAnsi="Verdana" w:cs="Arial"/>
          <w:noProof/>
          <w:lang w:val="es-ES_tradnl" w:eastAsia="es-ES_tradnl"/>
        </w:rPr>
        <w:t xml:space="preserve">2026 </w:t>
      </w:r>
    </w:p>
    <w:p w14:paraId="7C87E4BA" w14:textId="77777777" w:rsidR="001C3A47" w:rsidRDefault="001C3A47" w:rsidP="00187855">
      <w:pPr>
        <w:spacing w:after="0" w:line="240" w:lineRule="auto"/>
        <w:jc w:val="both"/>
        <w:rPr>
          <w:rFonts w:ascii="Verdana" w:eastAsia="Times New Roman" w:hAnsi="Verdana" w:cs="Arial"/>
          <w:noProof/>
          <w:lang w:val="es-ES_tradnl" w:eastAsia="es-ES_tradnl"/>
        </w:rPr>
      </w:pPr>
    </w:p>
    <w:p w14:paraId="64EFC9DE" w14:textId="77777777" w:rsidR="00E21288" w:rsidRDefault="00E21288" w:rsidP="00187855">
      <w:pPr>
        <w:spacing w:after="0" w:line="240" w:lineRule="auto"/>
        <w:jc w:val="right"/>
        <w:rPr>
          <w:rFonts w:ascii="Verdana" w:eastAsia="Times New Roman" w:hAnsi="Verdana" w:cs="Arial"/>
          <w:noProof/>
          <w:lang w:val="es-ES_tradnl" w:eastAsia="es-ES_tradnl"/>
        </w:rPr>
      </w:pPr>
    </w:p>
    <w:p w14:paraId="7831840D" w14:textId="0A8978E0" w:rsidR="005B79C6" w:rsidRDefault="005B79C6" w:rsidP="00187855">
      <w:pPr>
        <w:spacing w:after="0" w:line="240" w:lineRule="auto"/>
        <w:jc w:val="right"/>
        <w:rPr>
          <w:rFonts w:ascii="Verdana" w:eastAsia="Times New Roman" w:hAnsi="Verdana" w:cs="Arial"/>
          <w:noProof/>
          <w:lang w:val="es-ES_tradnl" w:eastAsia="es-ES_tradnl"/>
        </w:rPr>
      </w:pPr>
    </w:p>
    <w:p w14:paraId="122C54D9" w14:textId="56EEE444" w:rsidR="005B79C6" w:rsidRPr="001C3A47" w:rsidRDefault="00AB45C7" w:rsidP="00187855">
      <w:pPr>
        <w:spacing w:after="0" w:line="240" w:lineRule="auto"/>
        <w:jc w:val="right"/>
        <w:rPr>
          <w:rFonts w:ascii="Verdana" w:eastAsia="Times New Roman" w:hAnsi="Verdana" w:cs="Arial"/>
          <w:noProof/>
          <w:lang w:val="es-ES_tradnl" w:eastAsia="es-ES_tradnl"/>
        </w:rPr>
      </w:pPr>
      <w:r w:rsidRPr="005B79C6">
        <w:rPr>
          <w:rFonts w:ascii="Verdana" w:eastAsia="Times New Roman" w:hAnsi="Verdana" w:cs="Arial"/>
          <w:noProof/>
          <w:lang w:val="es-ES_tradnl" w:eastAsia="es-ES_tradnl"/>
        </w:rPr>
        <w:drawing>
          <wp:anchor distT="0" distB="0" distL="114300" distR="114300" simplePos="0" relativeHeight="251658240" behindDoc="0" locked="0" layoutInCell="1" allowOverlap="1" wp14:anchorId="4E83C4F2" wp14:editId="29AF720A">
            <wp:simplePos x="0" y="0"/>
            <wp:positionH relativeFrom="column">
              <wp:posOffset>3340735</wp:posOffset>
            </wp:positionH>
            <wp:positionV relativeFrom="paragraph">
              <wp:posOffset>114300</wp:posOffset>
            </wp:positionV>
            <wp:extent cx="2268220" cy="850265"/>
            <wp:effectExtent l="0" t="0" r="0" b="6985"/>
            <wp:wrapSquare wrapText="bothSides"/>
            <wp:docPr id="20030613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061371" name=""/>
                    <pic:cNvPicPr/>
                  </pic:nvPicPr>
                  <pic:blipFill>
                    <a:blip r:embed="rId10">
                      <a:extLst>
                        <a:ext uri="{28A0092B-C50C-407E-A947-70E740481C1C}">
                          <a14:useLocalDpi xmlns:a14="http://schemas.microsoft.com/office/drawing/2010/main" val="0"/>
                        </a:ext>
                      </a:extLst>
                    </a:blip>
                    <a:stretch>
                      <a:fillRect/>
                    </a:stretch>
                  </pic:blipFill>
                  <pic:spPr>
                    <a:xfrm>
                      <a:off x="0" y="0"/>
                      <a:ext cx="2268220" cy="850265"/>
                    </a:xfrm>
                    <a:prstGeom prst="rect">
                      <a:avLst/>
                    </a:prstGeom>
                  </pic:spPr>
                </pic:pic>
              </a:graphicData>
            </a:graphic>
            <wp14:sizeRelH relativeFrom="margin">
              <wp14:pctWidth>0</wp14:pctWidth>
            </wp14:sizeRelH>
            <wp14:sizeRelV relativeFrom="margin">
              <wp14:pctHeight>0</wp14:pctHeight>
            </wp14:sizeRelV>
          </wp:anchor>
        </w:drawing>
      </w:r>
    </w:p>
    <w:p w14:paraId="3E0568F6" w14:textId="3606FCBB" w:rsidR="00187855" w:rsidRPr="001C3A47" w:rsidRDefault="00187855" w:rsidP="00187855">
      <w:pPr>
        <w:spacing w:after="0" w:line="240" w:lineRule="auto"/>
        <w:jc w:val="both"/>
        <w:rPr>
          <w:rFonts w:ascii="Verdana" w:eastAsia="Calibri" w:hAnsi="Verdana" w:cs="Arial"/>
          <w:lang w:val="es-ES" w:eastAsia="es-ES_tradnl"/>
        </w:rPr>
      </w:pPr>
      <w:r w:rsidRPr="001C3A47">
        <w:rPr>
          <w:rFonts w:ascii="Verdana" w:eastAsia="Calibri" w:hAnsi="Verdana" w:cs="Arial"/>
          <w:lang w:val="es-ES" w:eastAsia="es-ES_tradnl"/>
        </w:rPr>
        <w:t>Señor</w:t>
      </w:r>
      <w:r w:rsidR="006D1F82">
        <w:rPr>
          <w:rFonts w:ascii="Verdana" w:eastAsia="Calibri" w:hAnsi="Verdana" w:cs="Arial"/>
          <w:lang w:val="es-ES" w:eastAsia="es-ES_tradnl"/>
        </w:rPr>
        <w:t>a</w:t>
      </w:r>
    </w:p>
    <w:p w14:paraId="77CBFF04" w14:textId="77777777" w:rsidR="00110623" w:rsidRDefault="00110623" w:rsidP="001C3A47">
      <w:pPr>
        <w:spacing w:after="0" w:line="240" w:lineRule="auto"/>
        <w:rPr>
          <w:rFonts w:ascii="Verdana" w:eastAsia="Calibri" w:hAnsi="Verdana" w:cs="Arial"/>
          <w:b/>
          <w:bCs/>
          <w:lang w:val="es-ES" w:eastAsia="es-ES_tradnl"/>
        </w:rPr>
      </w:pPr>
      <w:r w:rsidRPr="00110623">
        <w:rPr>
          <w:rFonts w:ascii="Verdana" w:eastAsia="Calibri" w:hAnsi="Verdana" w:cs="Arial"/>
          <w:b/>
          <w:bCs/>
          <w:lang w:val="es-ES" w:eastAsia="es-ES_tradnl"/>
        </w:rPr>
        <w:t xml:space="preserve">YESICA LIZETH MAHECHA </w:t>
      </w:r>
      <w:proofErr w:type="spellStart"/>
      <w:r w:rsidRPr="00110623">
        <w:rPr>
          <w:rFonts w:ascii="Verdana" w:eastAsia="Calibri" w:hAnsi="Verdana" w:cs="Arial"/>
          <w:b/>
          <w:bCs/>
          <w:lang w:val="es-ES" w:eastAsia="es-ES_tradnl"/>
        </w:rPr>
        <w:t>MAHECHA</w:t>
      </w:r>
      <w:proofErr w:type="spellEnd"/>
    </w:p>
    <w:p w14:paraId="46FAD175" w14:textId="1E38BFF2" w:rsidR="00110623" w:rsidRDefault="00110623" w:rsidP="001C3A47">
      <w:pPr>
        <w:spacing w:after="0" w:line="240" w:lineRule="auto"/>
        <w:rPr>
          <w:rFonts w:ascii="Verdana" w:eastAsia="Calibri" w:hAnsi="Verdana" w:cs="Arial"/>
          <w:bCs/>
          <w:lang w:val="es-ES_tradnl" w:eastAsia="es-ES_tradnl"/>
        </w:rPr>
      </w:pPr>
      <w:r w:rsidRPr="00110623">
        <w:rPr>
          <w:rFonts w:ascii="Verdana" w:hAnsi="Verdana"/>
        </w:rPr>
        <w:t>secgeneral@caparrapi-cundinamarca.gov.co</w:t>
      </w:r>
      <w:r w:rsidR="00107E19" w:rsidRPr="00107E19">
        <w:rPr>
          <w:rFonts w:ascii="Verdana" w:hAnsi="Verdana"/>
        </w:rPr>
        <w:cr/>
      </w:r>
      <w:r w:rsidR="00187855" w:rsidRPr="001C3A47">
        <w:rPr>
          <w:rFonts w:ascii="Verdana" w:eastAsia="Calibri" w:hAnsi="Verdana" w:cs="Arial"/>
          <w:bCs/>
          <w:lang w:val="es-ES_tradnl" w:eastAsia="es-ES_tradnl"/>
        </w:rPr>
        <w:t>C</w:t>
      </w:r>
      <w:r>
        <w:rPr>
          <w:rFonts w:ascii="Verdana" w:eastAsia="Calibri" w:hAnsi="Verdana" w:cs="Arial"/>
          <w:bCs/>
          <w:lang w:val="es-ES_tradnl" w:eastAsia="es-ES_tradnl"/>
        </w:rPr>
        <w:t xml:space="preserve">aparrapí – Cundinamarca </w:t>
      </w:r>
    </w:p>
    <w:p w14:paraId="5D6274A6" w14:textId="77777777" w:rsidR="005B79C6" w:rsidRDefault="005B79C6" w:rsidP="001C3A47">
      <w:pPr>
        <w:spacing w:after="0" w:line="240" w:lineRule="auto"/>
        <w:rPr>
          <w:rFonts w:ascii="Verdana" w:eastAsia="Calibri" w:hAnsi="Verdana" w:cs="Arial"/>
          <w:bCs/>
          <w:lang w:val="es-ES_tradnl" w:eastAsia="es-ES_tradnl"/>
        </w:rPr>
      </w:pPr>
    </w:p>
    <w:p w14:paraId="1FDDFCE8" w14:textId="77777777" w:rsidR="005B79C6" w:rsidRPr="00110623" w:rsidRDefault="005B79C6" w:rsidP="001C3A47">
      <w:pPr>
        <w:spacing w:after="0" w:line="240" w:lineRule="auto"/>
        <w:rPr>
          <w:rFonts w:ascii="Verdana" w:eastAsia="Calibri" w:hAnsi="Verdana" w:cs="Arial"/>
          <w:bCs/>
          <w:lang w:val="es-ES_tradnl" w:eastAsia="es-ES_tradnl"/>
        </w:rPr>
      </w:pPr>
    </w:p>
    <w:p w14:paraId="72D4FAD8" w14:textId="77777777" w:rsidR="00187855" w:rsidRPr="00CC5C68" w:rsidRDefault="00187855" w:rsidP="00187855">
      <w:pPr>
        <w:spacing w:after="0" w:line="240" w:lineRule="auto"/>
        <w:rPr>
          <w:rFonts w:ascii="Verdana" w:eastAsia="Calibri" w:hAnsi="Verdana" w:cs="Arial"/>
          <w:lang w:val="es-ES_tradnl" w:eastAsia="es-ES_tradnl"/>
        </w:rPr>
      </w:pPr>
    </w:p>
    <w:p w14:paraId="6FA83756" w14:textId="77777777" w:rsidR="00187855" w:rsidRPr="00CC5C68" w:rsidRDefault="00187855" w:rsidP="00187855">
      <w:pPr>
        <w:spacing w:after="0" w:line="240" w:lineRule="auto"/>
        <w:rPr>
          <w:rFonts w:ascii="Verdana" w:eastAsia="Calibri" w:hAnsi="Verdana" w:cs="Arial"/>
          <w:lang w:val="es-ES_tradnl" w:eastAsia="es-ES_tradnl"/>
        </w:rPr>
      </w:pPr>
    </w:p>
    <w:p w14:paraId="235FDCA6" w14:textId="6A98E687" w:rsidR="00187855" w:rsidRPr="00CC5C68" w:rsidRDefault="00187855" w:rsidP="00187855">
      <w:pPr>
        <w:spacing w:after="0" w:line="240" w:lineRule="auto"/>
        <w:ind w:left="2694"/>
        <w:rPr>
          <w:rFonts w:ascii="Verdana" w:eastAsia="Calibri" w:hAnsi="Verdana" w:cs="Arial"/>
          <w:b/>
          <w:bCs/>
          <w:lang w:val="es-ES" w:eastAsia="es-ES_tradnl"/>
        </w:rPr>
      </w:pPr>
      <w:r w:rsidRPr="00CC5C68">
        <w:rPr>
          <w:rFonts w:ascii="Verdana" w:eastAsia="Calibri" w:hAnsi="Verdana" w:cs="Arial"/>
          <w:b/>
          <w:bCs/>
          <w:lang w:val="es-ES" w:eastAsia="es-ES_tradnl"/>
        </w:rPr>
        <w:t>Concepto C-</w:t>
      </w:r>
      <w:r w:rsidR="00AB5EAD">
        <w:rPr>
          <w:rFonts w:ascii="Verdana" w:eastAsia="Calibri" w:hAnsi="Verdana" w:cs="Arial"/>
          <w:b/>
          <w:bCs/>
          <w:lang w:val="es-ES" w:eastAsia="es-ES_tradnl"/>
        </w:rPr>
        <w:t>6</w:t>
      </w:r>
      <w:r w:rsidR="00110623">
        <w:rPr>
          <w:rFonts w:ascii="Verdana" w:eastAsia="Calibri" w:hAnsi="Verdana" w:cs="Arial"/>
          <w:b/>
          <w:bCs/>
          <w:lang w:val="es-ES" w:eastAsia="es-ES_tradnl"/>
        </w:rPr>
        <w:t>10</w:t>
      </w:r>
      <w:r w:rsidRPr="00CC5C68">
        <w:rPr>
          <w:rFonts w:ascii="Verdana" w:eastAsia="Calibri" w:hAnsi="Verdana" w:cs="Arial"/>
          <w:b/>
          <w:bCs/>
          <w:lang w:val="es-ES" w:eastAsia="es-ES_tradnl"/>
        </w:rPr>
        <w:t xml:space="preserve"> de 202</w:t>
      </w:r>
      <w:r w:rsidR="00AB5EAD">
        <w:rPr>
          <w:rFonts w:ascii="Verdana" w:eastAsia="Calibri" w:hAnsi="Verdana" w:cs="Arial"/>
          <w:b/>
          <w:bCs/>
          <w:lang w:val="es-ES" w:eastAsia="es-ES_tradnl"/>
        </w:rPr>
        <w:t>6</w:t>
      </w:r>
    </w:p>
    <w:p w14:paraId="2FA09044" w14:textId="77777777" w:rsidR="00187855" w:rsidRPr="00CC5C68" w:rsidRDefault="00187855" w:rsidP="00187855">
      <w:pPr>
        <w:spacing w:after="0" w:line="240" w:lineRule="auto"/>
        <w:jc w:val="both"/>
        <w:rPr>
          <w:rFonts w:ascii="Verdana" w:eastAsia="Calibri" w:hAnsi="Verdana" w:cs="Arial"/>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095"/>
      </w:tblGrid>
      <w:tr w:rsidR="00187855" w:rsidRPr="00CC5C68" w14:paraId="2F90E71E" w14:textId="77777777" w:rsidTr="00EC5A97">
        <w:tc>
          <w:tcPr>
            <w:tcW w:w="2694" w:type="dxa"/>
          </w:tcPr>
          <w:p w14:paraId="3DCB50E0" w14:textId="77777777" w:rsidR="00187855" w:rsidRPr="00CC5C68" w:rsidRDefault="00187855" w:rsidP="00E075F9">
            <w:pPr>
              <w:rPr>
                <w:rFonts w:ascii="Verdana" w:eastAsia="Calibri" w:hAnsi="Verdana" w:cs="Arial"/>
                <w:lang w:val="es-ES_tradnl" w:eastAsia="es-ES_tradnl"/>
              </w:rPr>
            </w:pPr>
            <w:r w:rsidRPr="00CC5C68">
              <w:rPr>
                <w:rFonts w:ascii="Verdana" w:eastAsia="Calibri" w:hAnsi="Verdana" w:cs="Arial"/>
                <w:b/>
                <w:lang w:val="es-ES_tradnl" w:eastAsia="es-ES_tradnl"/>
              </w:rPr>
              <w:t>Temas:</w:t>
            </w:r>
          </w:p>
        </w:tc>
        <w:tc>
          <w:tcPr>
            <w:tcW w:w="6095" w:type="dxa"/>
          </w:tcPr>
          <w:p w14:paraId="3BEA88DA" w14:textId="65A01EA1" w:rsidR="00187855" w:rsidRPr="00CC5C68" w:rsidRDefault="00D35E4D" w:rsidP="00E075F9">
            <w:pPr>
              <w:spacing w:line="276" w:lineRule="auto"/>
              <w:jc w:val="both"/>
              <w:textAlignment w:val="baseline"/>
              <w:rPr>
                <w:rFonts w:ascii="Verdana" w:eastAsia="Times New Roman" w:hAnsi="Verdana" w:cs="Arial"/>
                <w:lang w:val="es-ES_tradnl" w:eastAsia="es-ES_tradnl"/>
              </w:rPr>
            </w:pPr>
            <w:r w:rsidRPr="00A16436">
              <w:rPr>
                <w:rFonts w:ascii="Verdana" w:eastAsia="Times New Roman" w:hAnsi="Verdana" w:cs="Arial"/>
                <w:lang w:eastAsia="es-ES_tradnl"/>
              </w:rPr>
              <w:t xml:space="preserve">LEY DE GARANTÍAS ELECTORALES ─ Prohibición ‒ Contratación directa ‒ Alcance </w:t>
            </w:r>
            <w:r w:rsidR="00187855" w:rsidRPr="00A16436">
              <w:rPr>
                <w:rFonts w:ascii="Verdana" w:eastAsia="Times New Roman" w:hAnsi="Verdana" w:cs="Arial"/>
                <w:lang w:eastAsia="es-ES_tradnl"/>
              </w:rPr>
              <w:t xml:space="preserve">/ </w:t>
            </w:r>
            <w:r w:rsidRPr="00A16436">
              <w:rPr>
                <w:rFonts w:ascii="Verdana" w:eastAsia="Times New Roman" w:hAnsi="Verdana" w:cs="Arial"/>
                <w:lang w:eastAsia="es-ES_tradnl"/>
              </w:rPr>
              <w:t>LEY DE GARANTÍAS ELECTORALES ─ Prohibición ‒ Contratación directa ‒ Excepciones</w:t>
            </w:r>
            <w:r w:rsidR="00A16436" w:rsidRPr="00A16436">
              <w:rPr>
                <w:rFonts w:ascii="Verdana" w:eastAsia="Times New Roman" w:hAnsi="Verdana" w:cs="Arial"/>
                <w:lang w:eastAsia="es-ES_tradnl"/>
              </w:rPr>
              <w:t xml:space="preserve"> / LEY DE GARANTÍAS ELECTORALES ‒ Contratación directa ‒ Contrato de arrendamiento</w:t>
            </w:r>
          </w:p>
        </w:tc>
      </w:tr>
      <w:tr w:rsidR="00187855" w:rsidRPr="00CC5C68" w14:paraId="430F24C2" w14:textId="77777777" w:rsidTr="00EC5A97">
        <w:tc>
          <w:tcPr>
            <w:tcW w:w="2694" w:type="dxa"/>
          </w:tcPr>
          <w:p w14:paraId="64FF2E28" w14:textId="77777777" w:rsidR="00187855" w:rsidRPr="00CC5C68" w:rsidRDefault="00187855" w:rsidP="00E075F9">
            <w:pPr>
              <w:rPr>
                <w:rFonts w:ascii="Verdana" w:eastAsia="Calibri" w:hAnsi="Verdana" w:cs="Arial"/>
                <w:b/>
                <w:lang w:val="es-ES" w:eastAsia="es-ES_tradnl"/>
              </w:rPr>
            </w:pPr>
            <w:r w:rsidRPr="00CC5C68">
              <w:rPr>
                <w:rFonts w:ascii="Verdana" w:eastAsia="Calibri" w:hAnsi="Verdana" w:cs="Arial"/>
                <w:b/>
                <w:lang w:val="es-ES" w:eastAsia="es-ES_tradnl"/>
              </w:rPr>
              <w:t>Radicación:</w:t>
            </w:r>
          </w:p>
        </w:tc>
        <w:tc>
          <w:tcPr>
            <w:tcW w:w="6095" w:type="dxa"/>
          </w:tcPr>
          <w:p w14:paraId="2C9AA094" w14:textId="5B4B776E" w:rsidR="00187855" w:rsidRPr="00CC5C68" w:rsidRDefault="00187855" w:rsidP="00E075F9">
            <w:pPr>
              <w:jc w:val="both"/>
              <w:rPr>
                <w:rFonts w:ascii="Verdana" w:eastAsia="Calibri" w:hAnsi="Verdana" w:cs="Arial"/>
                <w:lang w:val="es-ES" w:eastAsia="es-ES_tradnl"/>
              </w:rPr>
            </w:pPr>
            <w:r w:rsidRPr="00CC5C68">
              <w:rPr>
                <w:rFonts w:ascii="Verdana" w:eastAsia="Calibri" w:hAnsi="Verdana" w:cs="Arial"/>
                <w:lang w:val="es-ES" w:eastAsia="es-ES_tradnl"/>
              </w:rPr>
              <w:t xml:space="preserve">Respuesta a consulta radicado No. </w:t>
            </w:r>
            <w:r w:rsidR="00C569EA" w:rsidRPr="00C569EA">
              <w:rPr>
                <w:rFonts w:ascii="Verdana" w:eastAsia="Times New Roman" w:hAnsi="Verdana" w:cs="Arial"/>
                <w:lang w:eastAsia="es-ES_tradnl"/>
              </w:rPr>
              <w:t>1_2026_04_14_005064</w:t>
            </w:r>
            <w:r w:rsidR="00C569EA">
              <w:rPr>
                <w:rFonts w:ascii="Verdana" w:eastAsia="Times New Roman" w:hAnsi="Verdana" w:cs="Arial"/>
                <w:lang w:eastAsia="es-ES_tradnl"/>
              </w:rPr>
              <w:t xml:space="preserve"> </w:t>
            </w:r>
          </w:p>
        </w:tc>
      </w:tr>
    </w:tbl>
    <w:p w14:paraId="3701FBE5" w14:textId="77777777" w:rsidR="00187855" w:rsidRPr="00CC5C68" w:rsidRDefault="00187855" w:rsidP="00187855">
      <w:pPr>
        <w:spacing w:after="0" w:line="240" w:lineRule="auto"/>
        <w:jc w:val="both"/>
        <w:rPr>
          <w:rFonts w:ascii="Verdana" w:eastAsia="Calibri" w:hAnsi="Verdana" w:cs="Arial"/>
          <w:lang w:val="es-ES_tradnl" w:eastAsia="es-ES_tradnl"/>
        </w:rPr>
      </w:pPr>
    </w:p>
    <w:p w14:paraId="62295CBA" w14:textId="77777777" w:rsidR="00187855" w:rsidRPr="00CC5C68" w:rsidRDefault="00187855" w:rsidP="00187855">
      <w:pPr>
        <w:spacing w:after="0" w:line="240" w:lineRule="auto"/>
        <w:jc w:val="both"/>
        <w:rPr>
          <w:rFonts w:ascii="Verdana" w:eastAsia="Calibri" w:hAnsi="Verdana" w:cs="Arial"/>
          <w:lang w:val="es-ES_tradnl" w:eastAsia="es-ES_tradnl"/>
        </w:rPr>
      </w:pPr>
    </w:p>
    <w:p w14:paraId="67D731EC" w14:textId="3BA96B4D" w:rsidR="00187855" w:rsidRPr="00CC5C68" w:rsidRDefault="00187855" w:rsidP="00187855">
      <w:pPr>
        <w:spacing w:after="0" w:line="276" w:lineRule="auto"/>
        <w:contextualSpacing/>
        <w:jc w:val="both"/>
        <w:rPr>
          <w:rFonts w:ascii="Verdana" w:eastAsia="Calibri" w:hAnsi="Verdana" w:cs="Arial"/>
          <w:bCs/>
          <w:lang w:val="es-ES_tradnl" w:eastAsia="es-ES_tradnl"/>
        </w:rPr>
      </w:pPr>
      <w:r w:rsidRPr="00CC5C68">
        <w:rPr>
          <w:rFonts w:ascii="Verdana" w:eastAsia="Calibri" w:hAnsi="Verdana" w:cs="Arial"/>
          <w:lang w:val="es-ES_tradnl" w:eastAsia="es-ES_tradnl"/>
        </w:rPr>
        <w:t>Estimad</w:t>
      </w:r>
      <w:r w:rsidR="00107E19">
        <w:rPr>
          <w:rFonts w:ascii="Verdana" w:eastAsia="Calibri" w:hAnsi="Verdana" w:cs="Arial"/>
          <w:lang w:val="es-ES_tradnl" w:eastAsia="es-ES_tradnl"/>
        </w:rPr>
        <w:t>a</w:t>
      </w:r>
      <w:r w:rsidRPr="00CC5C68">
        <w:rPr>
          <w:rFonts w:ascii="Verdana" w:eastAsia="Calibri" w:hAnsi="Verdana" w:cs="Arial"/>
          <w:lang w:val="es-ES_tradnl" w:eastAsia="es-ES_tradnl"/>
        </w:rPr>
        <w:t xml:space="preserve"> señor</w:t>
      </w:r>
      <w:r w:rsidR="00107E19">
        <w:rPr>
          <w:rFonts w:ascii="Verdana" w:eastAsia="Calibri" w:hAnsi="Verdana" w:cs="Arial"/>
          <w:lang w:val="es-ES_tradnl" w:eastAsia="es-ES_tradnl"/>
        </w:rPr>
        <w:t>a</w:t>
      </w:r>
      <w:r w:rsidRPr="00CC5C68">
        <w:rPr>
          <w:rFonts w:ascii="Verdana" w:eastAsia="Calibri" w:hAnsi="Verdana" w:cs="Arial"/>
          <w:lang w:val="es-ES_tradnl" w:eastAsia="es-ES_tradnl"/>
        </w:rPr>
        <w:t xml:space="preserve"> </w:t>
      </w:r>
      <w:r w:rsidR="00110623">
        <w:rPr>
          <w:rFonts w:ascii="Verdana" w:eastAsia="Calibri" w:hAnsi="Verdana" w:cs="Arial"/>
          <w:lang w:val="es-ES_tradnl" w:eastAsia="es-ES_tradnl"/>
        </w:rPr>
        <w:t>Mahecha</w:t>
      </w:r>
      <w:r w:rsidRPr="00CC5C68">
        <w:rPr>
          <w:rFonts w:ascii="Verdana" w:eastAsia="Calibri" w:hAnsi="Verdana" w:cs="Arial"/>
          <w:bCs/>
          <w:lang w:val="es-ES_tradnl" w:eastAsia="es-ES_tradnl"/>
        </w:rPr>
        <w:t>:</w:t>
      </w:r>
    </w:p>
    <w:p w14:paraId="45A30938" w14:textId="77777777" w:rsidR="00187855" w:rsidRPr="00CC5C68" w:rsidRDefault="00187855" w:rsidP="00187855">
      <w:pPr>
        <w:spacing w:after="0" w:line="276" w:lineRule="auto"/>
        <w:contextualSpacing/>
        <w:jc w:val="both"/>
        <w:rPr>
          <w:rFonts w:ascii="Verdana" w:eastAsia="Calibri" w:hAnsi="Verdana" w:cs="Arial"/>
          <w:lang w:val="es-ES_tradnl" w:eastAsia="es-ES_tradnl"/>
        </w:rPr>
      </w:pPr>
    </w:p>
    <w:p w14:paraId="1AA5850F" w14:textId="4D706099" w:rsidR="00187855" w:rsidRPr="00CC5C68" w:rsidRDefault="00187855" w:rsidP="00187855">
      <w:pPr>
        <w:spacing w:after="0" w:line="276" w:lineRule="auto"/>
        <w:contextualSpacing/>
        <w:jc w:val="both"/>
        <w:rPr>
          <w:rFonts w:ascii="Verdana" w:eastAsia="Calibri" w:hAnsi="Verdana" w:cs="Arial"/>
          <w:lang w:val="es-ES" w:eastAsia="es-ES_tradnl"/>
        </w:rPr>
      </w:pPr>
      <w:r w:rsidRPr="00CC5C68">
        <w:rPr>
          <w:rFonts w:ascii="Verdana" w:eastAsia="Calibri" w:hAnsi="Verdana" w:cs="Arial"/>
          <w:lang w:val="es-ES"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w:t>
      </w:r>
      <w:r w:rsidR="00AB5EAD">
        <w:rPr>
          <w:rFonts w:ascii="Verdana" w:eastAsia="Calibri" w:hAnsi="Verdana" w:cs="Arial"/>
          <w:lang w:val="es-ES" w:eastAsia="es-ES_tradnl"/>
        </w:rPr>
        <w:t>14</w:t>
      </w:r>
      <w:r w:rsidRPr="00CC5C68">
        <w:rPr>
          <w:rFonts w:ascii="Verdana" w:eastAsia="Calibri" w:hAnsi="Verdana" w:cs="Arial"/>
          <w:lang w:val="es-ES" w:eastAsia="es-ES_tradnl"/>
        </w:rPr>
        <w:t xml:space="preserve"> de </w:t>
      </w:r>
      <w:r w:rsidR="000D5783">
        <w:rPr>
          <w:rFonts w:ascii="Verdana" w:eastAsia="Calibri" w:hAnsi="Verdana" w:cs="Arial"/>
          <w:lang w:val="es-ES" w:eastAsia="es-ES_tradnl"/>
        </w:rPr>
        <w:t>a</w:t>
      </w:r>
      <w:r w:rsidR="00110623">
        <w:rPr>
          <w:rFonts w:ascii="Verdana" w:eastAsia="Calibri" w:hAnsi="Verdana" w:cs="Arial"/>
          <w:lang w:val="es-ES" w:eastAsia="es-ES_tradnl"/>
        </w:rPr>
        <w:t xml:space="preserve">bril </w:t>
      </w:r>
      <w:r w:rsidRPr="00CC5C68">
        <w:rPr>
          <w:rFonts w:ascii="Verdana" w:eastAsia="Calibri" w:hAnsi="Verdana" w:cs="Arial"/>
          <w:lang w:val="es-ES" w:eastAsia="es-ES_tradnl"/>
        </w:rPr>
        <w:t>de 202</w:t>
      </w:r>
      <w:r w:rsidR="00110623">
        <w:rPr>
          <w:rFonts w:ascii="Verdana" w:eastAsia="Calibri" w:hAnsi="Verdana" w:cs="Arial"/>
          <w:lang w:val="es-ES" w:eastAsia="es-ES_tradnl"/>
        </w:rPr>
        <w:t>6</w:t>
      </w:r>
      <w:r w:rsidRPr="00CC5C68">
        <w:rPr>
          <w:rFonts w:ascii="Verdana" w:eastAsia="Calibri" w:hAnsi="Verdana" w:cs="Arial"/>
          <w:lang w:val="es-ES" w:eastAsia="es-ES_tradnl"/>
        </w:rPr>
        <w:t>, en la cual manifiesta lo siguiente:</w:t>
      </w:r>
    </w:p>
    <w:p w14:paraId="5AEE5083" w14:textId="77777777" w:rsidR="00187855" w:rsidRPr="00DA68B5" w:rsidRDefault="00187855" w:rsidP="00187855">
      <w:pPr>
        <w:spacing w:after="0" w:line="276" w:lineRule="auto"/>
        <w:contextualSpacing/>
        <w:jc w:val="both"/>
        <w:rPr>
          <w:rFonts w:ascii="Verdana" w:eastAsia="Calibri" w:hAnsi="Verdana" w:cs="Arial"/>
          <w:b/>
          <w:szCs w:val="24"/>
          <w:lang w:val="es-ES" w:eastAsia="es-ES_tradnl"/>
        </w:rPr>
      </w:pPr>
    </w:p>
    <w:p w14:paraId="0393970C" w14:textId="0F8D1343" w:rsidR="00187855" w:rsidRPr="00CC5C68" w:rsidRDefault="00187855" w:rsidP="00C569EA">
      <w:pPr>
        <w:spacing w:after="0" w:line="240" w:lineRule="auto"/>
        <w:ind w:left="709" w:right="709"/>
        <w:contextualSpacing/>
        <w:jc w:val="both"/>
        <w:rPr>
          <w:rFonts w:ascii="Verdana" w:eastAsia="Times New Roman" w:hAnsi="Verdana" w:cs="Arial"/>
          <w:sz w:val="21"/>
          <w:szCs w:val="21"/>
          <w:lang w:eastAsia="es-ES_tradnl"/>
        </w:rPr>
      </w:pPr>
      <w:r w:rsidRPr="00CC5C68">
        <w:rPr>
          <w:rFonts w:ascii="Verdana" w:eastAsia="Times New Roman" w:hAnsi="Verdana" w:cs="Arial"/>
          <w:sz w:val="21"/>
          <w:szCs w:val="21"/>
          <w:lang w:eastAsia="es-ES_tradnl"/>
        </w:rPr>
        <w:t>“</w:t>
      </w:r>
      <w:r w:rsidR="00C569EA" w:rsidRPr="00C569EA">
        <w:rPr>
          <w:rFonts w:ascii="Verdana" w:eastAsia="Times New Roman" w:hAnsi="Verdana" w:cs="Arial"/>
          <w:sz w:val="21"/>
          <w:szCs w:val="21"/>
          <w:lang w:eastAsia="es-ES_tradnl"/>
        </w:rPr>
        <w:t>La administración municipal p</w:t>
      </w:r>
      <w:r w:rsidR="00016552">
        <w:rPr>
          <w:rFonts w:ascii="Verdana" w:eastAsia="Times New Roman" w:hAnsi="Verdana" w:cs="Arial"/>
          <w:sz w:val="21"/>
          <w:szCs w:val="21"/>
          <w:lang w:eastAsia="es-ES_tradnl"/>
        </w:rPr>
        <w:t>u</w:t>
      </w:r>
      <w:r w:rsidR="00C569EA" w:rsidRPr="00C569EA">
        <w:rPr>
          <w:rFonts w:ascii="Verdana" w:eastAsia="Times New Roman" w:hAnsi="Verdana" w:cs="Arial"/>
          <w:sz w:val="21"/>
          <w:szCs w:val="21"/>
          <w:lang w:eastAsia="es-ES_tradnl"/>
        </w:rPr>
        <w:t>blic</w:t>
      </w:r>
      <w:r w:rsidR="00016552">
        <w:rPr>
          <w:rFonts w:ascii="Verdana" w:eastAsia="Times New Roman" w:hAnsi="Verdana" w:cs="Arial"/>
          <w:sz w:val="21"/>
          <w:szCs w:val="21"/>
          <w:lang w:eastAsia="es-ES_tradnl"/>
        </w:rPr>
        <w:t>ó</w:t>
      </w:r>
      <w:r w:rsidR="00C569EA" w:rsidRPr="00C569EA">
        <w:rPr>
          <w:rFonts w:ascii="Verdana" w:eastAsia="Times New Roman" w:hAnsi="Verdana" w:cs="Arial"/>
          <w:sz w:val="21"/>
          <w:szCs w:val="21"/>
          <w:lang w:eastAsia="es-ES_tradnl"/>
        </w:rPr>
        <w:t xml:space="preserve"> el proceso de contratación LP-002-2026 CONSTRUCCIÓN CASA DE</w:t>
      </w:r>
      <w:r w:rsidR="00C569EA">
        <w:rPr>
          <w:rFonts w:ascii="Verdana" w:eastAsia="Times New Roman" w:hAnsi="Verdana" w:cs="Arial"/>
          <w:sz w:val="21"/>
          <w:szCs w:val="21"/>
          <w:lang w:eastAsia="es-ES_tradnl"/>
        </w:rPr>
        <w:t xml:space="preserve"> </w:t>
      </w:r>
      <w:r w:rsidR="00C569EA" w:rsidRPr="00C569EA">
        <w:rPr>
          <w:rFonts w:ascii="Verdana" w:eastAsia="Times New Roman" w:hAnsi="Verdana" w:cs="Arial"/>
          <w:sz w:val="21"/>
          <w:szCs w:val="21"/>
          <w:lang w:eastAsia="es-ES_tradnl"/>
        </w:rPr>
        <w:t>GOBIERNO DEL MUNICIPIO DE CAPARRAPÍ, CUNDINAMARCA (ICCU-CТО-1006-2025), el cual fue</w:t>
      </w:r>
      <w:r w:rsidR="00C569EA">
        <w:rPr>
          <w:rFonts w:ascii="Verdana" w:eastAsia="Times New Roman" w:hAnsi="Verdana" w:cs="Arial"/>
          <w:sz w:val="21"/>
          <w:szCs w:val="21"/>
          <w:lang w:eastAsia="es-ES_tradnl"/>
        </w:rPr>
        <w:t xml:space="preserve"> </w:t>
      </w:r>
      <w:r w:rsidR="00C569EA" w:rsidRPr="00C569EA">
        <w:rPr>
          <w:rFonts w:ascii="Verdana" w:eastAsia="Times New Roman" w:hAnsi="Verdana" w:cs="Arial"/>
          <w:sz w:val="21"/>
          <w:szCs w:val="21"/>
          <w:lang w:eastAsia="es-ES_tradnl"/>
        </w:rPr>
        <w:t>adjudicado el 31 de marzo de la presente vigencia, a su vez se encuentra en trámite de RUT por ser un</w:t>
      </w:r>
      <w:r w:rsidR="00C569EA">
        <w:rPr>
          <w:rFonts w:ascii="Verdana" w:eastAsia="Times New Roman" w:hAnsi="Verdana" w:cs="Arial"/>
          <w:sz w:val="21"/>
          <w:szCs w:val="21"/>
          <w:lang w:eastAsia="es-ES_tradnl"/>
        </w:rPr>
        <w:t xml:space="preserve"> </w:t>
      </w:r>
      <w:r w:rsidR="00C569EA" w:rsidRPr="00C569EA">
        <w:rPr>
          <w:rFonts w:ascii="Verdana" w:eastAsia="Times New Roman" w:hAnsi="Verdana" w:cs="Arial"/>
          <w:sz w:val="21"/>
          <w:szCs w:val="21"/>
          <w:lang w:eastAsia="es-ES_tradnl"/>
        </w:rPr>
        <w:t>consorcio, sin embargo se requiere su concepto ya que no se cuenta con contrato de arredramiento para</w:t>
      </w:r>
      <w:r w:rsidR="00C569EA">
        <w:rPr>
          <w:rFonts w:ascii="Verdana" w:eastAsia="Times New Roman" w:hAnsi="Verdana" w:cs="Arial"/>
          <w:sz w:val="21"/>
          <w:szCs w:val="21"/>
          <w:lang w:eastAsia="es-ES_tradnl"/>
        </w:rPr>
        <w:t xml:space="preserve"> </w:t>
      </w:r>
      <w:r w:rsidR="00C569EA" w:rsidRPr="00C569EA">
        <w:rPr>
          <w:rFonts w:ascii="Verdana" w:eastAsia="Times New Roman" w:hAnsi="Verdana" w:cs="Arial"/>
          <w:sz w:val="21"/>
          <w:szCs w:val="21"/>
          <w:lang w:eastAsia="es-ES_tradnl"/>
        </w:rPr>
        <w:t>el traslado de la alcaldía municipal y el archivo central de la entidad, ante esto es necesario consultar si</w:t>
      </w:r>
      <w:r w:rsidR="00C569EA">
        <w:rPr>
          <w:rFonts w:ascii="Verdana" w:eastAsia="Times New Roman" w:hAnsi="Verdana" w:cs="Arial"/>
          <w:sz w:val="21"/>
          <w:szCs w:val="21"/>
          <w:lang w:eastAsia="es-ES_tradnl"/>
        </w:rPr>
        <w:t xml:space="preserve"> </w:t>
      </w:r>
      <w:r w:rsidR="00C569EA" w:rsidRPr="00C569EA">
        <w:rPr>
          <w:rFonts w:ascii="Verdana" w:eastAsia="Times New Roman" w:hAnsi="Verdana" w:cs="Arial"/>
          <w:sz w:val="21"/>
          <w:szCs w:val="21"/>
          <w:lang w:eastAsia="es-ES_tradnl"/>
        </w:rPr>
        <w:t xml:space="preserve">existe excepción para la contratación de arrendamiento o por el contrario se </w:t>
      </w:r>
      <w:r w:rsidR="00C569EA" w:rsidRPr="00C569EA">
        <w:rPr>
          <w:rFonts w:ascii="Verdana" w:eastAsia="Times New Roman" w:hAnsi="Verdana" w:cs="Arial"/>
          <w:sz w:val="21"/>
          <w:szCs w:val="21"/>
          <w:lang w:eastAsia="es-ES_tradnl"/>
        </w:rPr>
        <w:lastRenderedPageBreak/>
        <w:t>debe dar espera al</w:t>
      </w:r>
      <w:r w:rsidR="00C569EA">
        <w:rPr>
          <w:rFonts w:ascii="Verdana" w:eastAsia="Times New Roman" w:hAnsi="Verdana" w:cs="Arial"/>
          <w:sz w:val="21"/>
          <w:szCs w:val="21"/>
          <w:lang w:eastAsia="es-ES_tradnl"/>
        </w:rPr>
        <w:t xml:space="preserve"> </w:t>
      </w:r>
      <w:r w:rsidR="00C569EA" w:rsidRPr="00C569EA">
        <w:rPr>
          <w:rFonts w:ascii="Verdana" w:eastAsia="Times New Roman" w:hAnsi="Verdana" w:cs="Arial"/>
          <w:sz w:val="21"/>
          <w:szCs w:val="21"/>
          <w:lang w:eastAsia="es-ES_tradnl"/>
        </w:rPr>
        <w:t>levantamiento de la Ley de Garantías para celebrar el contrato.</w:t>
      </w:r>
      <w:r w:rsidRPr="00CC5C68">
        <w:rPr>
          <w:rFonts w:ascii="Verdana" w:eastAsia="Times New Roman" w:hAnsi="Verdana" w:cs="Arial"/>
          <w:sz w:val="21"/>
          <w:szCs w:val="21"/>
          <w:lang w:eastAsia="es-ES_tradnl"/>
        </w:rPr>
        <w:t>”</w:t>
      </w:r>
    </w:p>
    <w:p w14:paraId="50165896" w14:textId="77777777" w:rsidR="00187855" w:rsidRPr="00CC5C68" w:rsidRDefault="00187855" w:rsidP="00187855">
      <w:pPr>
        <w:spacing w:after="0" w:line="240" w:lineRule="auto"/>
        <w:ind w:left="709" w:right="709"/>
        <w:contextualSpacing/>
        <w:jc w:val="both"/>
        <w:rPr>
          <w:rFonts w:ascii="Verdana" w:eastAsia="Times New Roman" w:hAnsi="Verdana" w:cs="Arial"/>
          <w:sz w:val="21"/>
          <w:szCs w:val="21"/>
          <w:lang w:eastAsia="es-ES_tradnl"/>
        </w:rPr>
      </w:pPr>
    </w:p>
    <w:p w14:paraId="0451594C" w14:textId="77777777" w:rsidR="00187855" w:rsidRPr="00CC5C68" w:rsidRDefault="00187855" w:rsidP="00187855">
      <w:pPr>
        <w:spacing w:after="120" w:line="276" w:lineRule="auto"/>
        <w:ind w:firstLine="709"/>
        <w:jc w:val="both"/>
        <w:rPr>
          <w:rFonts w:ascii="Verdana" w:eastAsia="Calibri" w:hAnsi="Verdana" w:cs="Arial"/>
          <w:color w:val="000000"/>
          <w:szCs w:val="24"/>
          <w:lang w:val="es-ES_tradnl" w:eastAsia="es-ES_tradnl"/>
        </w:rPr>
      </w:pPr>
      <w:r w:rsidRPr="00CC5C68">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C5C68">
        <w:rPr>
          <w:rFonts w:ascii="Verdana" w:eastAsia="Calibri" w:hAnsi="Verdana" w:cs="Arial"/>
          <w:color w:val="000000"/>
          <w:szCs w:val="24"/>
          <w:lang w:val="es-ES_tradnl" w:eastAsia="es-ES_tradnl"/>
        </w:rPr>
        <w:tab/>
      </w:r>
    </w:p>
    <w:p w14:paraId="3FDB742D" w14:textId="77777777" w:rsidR="00187855" w:rsidRPr="00CC5C68" w:rsidRDefault="00187855" w:rsidP="00187855">
      <w:pPr>
        <w:spacing w:after="0" w:line="276" w:lineRule="auto"/>
        <w:ind w:firstLine="709"/>
        <w:jc w:val="both"/>
        <w:rPr>
          <w:rFonts w:ascii="Verdana" w:eastAsia="Calibri" w:hAnsi="Verdana" w:cs="Arial"/>
          <w:lang w:val="es-ES" w:eastAsia="es-ES"/>
        </w:rPr>
      </w:pPr>
      <w:r w:rsidRPr="00CC5C6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104CBB2" w14:textId="77777777" w:rsidR="00187855" w:rsidRPr="00CC5C68" w:rsidRDefault="00187855" w:rsidP="00187855">
      <w:pPr>
        <w:spacing w:after="0" w:line="276" w:lineRule="auto"/>
        <w:contextualSpacing/>
        <w:jc w:val="both"/>
        <w:rPr>
          <w:rFonts w:ascii="Verdana" w:eastAsia="Times New Roman" w:hAnsi="Verdana" w:cs="Arial"/>
          <w:szCs w:val="24"/>
          <w:lang w:val="es-ES_tradnl" w:eastAsia="es-ES_tradnl"/>
        </w:rPr>
      </w:pPr>
    </w:p>
    <w:p w14:paraId="10075458" w14:textId="77777777" w:rsidR="00187855" w:rsidRPr="00CC5C68" w:rsidRDefault="00187855" w:rsidP="00187855">
      <w:pPr>
        <w:tabs>
          <w:tab w:val="left" w:pos="0"/>
          <w:tab w:val="left" w:pos="284"/>
        </w:tabs>
        <w:spacing w:after="0" w:line="276" w:lineRule="auto"/>
        <w:contextualSpacing/>
        <w:jc w:val="both"/>
        <w:rPr>
          <w:rFonts w:ascii="Verdana" w:eastAsia="Calibri" w:hAnsi="Verdana" w:cs="Arial"/>
          <w:b/>
          <w:lang w:val="es-ES_tradnl"/>
        </w:rPr>
      </w:pPr>
      <w:r w:rsidRPr="00CC5C68">
        <w:rPr>
          <w:rFonts w:ascii="Verdana" w:eastAsia="Calibri" w:hAnsi="Verdana" w:cs="Arial"/>
          <w:b/>
          <w:lang w:val="es-ES_tradnl"/>
        </w:rPr>
        <w:t>1. Problema planteado:</w:t>
      </w:r>
    </w:p>
    <w:p w14:paraId="043B5DEF" w14:textId="77777777" w:rsidR="00187855" w:rsidRPr="00CC5C68" w:rsidRDefault="00187855" w:rsidP="00187855">
      <w:pPr>
        <w:tabs>
          <w:tab w:val="left" w:pos="0"/>
          <w:tab w:val="left" w:pos="284"/>
        </w:tabs>
        <w:spacing w:after="0" w:line="276" w:lineRule="auto"/>
        <w:contextualSpacing/>
        <w:jc w:val="both"/>
        <w:rPr>
          <w:rFonts w:ascii="Verdana" w:eastAsia="Calibri" w:hAnsi="Verdana" w:cs="Arial"/>
          <w:b/>
          <w:lang w:val="es-ES_tradnl"/>
        </w:rPr>
      </w:pPr>
    </w:p>
    <w:p w14:paraId="748F4282" w14:textId="6D7F51FE" w:rsidR="00187855" w:rsidRPr="00CC5C68" w:rsidRDefault="00187855" w:rsidP="005C7B28">
      <w:pPr>
        <w:spacing w:after="0" w:line="276" w:lineRule="auto"/>
        <w:jc w:val="both"/>
        <w:rPr>
          <w:rFonts w:ascii="Verdana" w:eastAsia="Century Gothic" w:hAnsi="Verdana" w:cs="Century Gothic"/>
        </w:rPr>
      </w:pPr>
      <w:r w:rsidRPr="00CC5C68">
        <w:rPr>
          <w:rFonts w:ascii="Verdana" w:eastAsia="Century Gothic" w:hAnsi="Verdana" w:cs="Century Gothic"/>
        </w:rPr>
        <w:t>De acuerdo con el contenido de su solicitud, esta Agencia resolverá el siguiente problema jurídico: ¿</w:t>
      </w:r>
      <w:r w:rsidR="007E5CBA">
        <w:rPr>
          <w:rFonts w:ascii="Verdana" w:eastAsia="Century Gothic" w:hAnsi="Verdana" w:cs="Century Gothic"/>
        </w:rPr>
        <w:t>La</w:t>
      </w:r>
      <w:r w:rsidR="00BA2DB8">
        <w:rPr>
          <w:rFonts w:ascii="Verdana" w:eastAsia="Century Gothic" w:hAnsi="Verdana" w:cs="Century Gothic"/>
        </w:rPr>
        <w:t xml:space="preserve"> restricción</w:t>
      </w:r>
      <w:r w:rsidR="007E5CBA">
        <w:rPr>
          <w:rFonts w:ascii="Verdana" w:eastAsia="Century Gothic" w:hAnsi="Verdana" w:cs="Century Gothic"/>
        </w:rPr>
        <w:t xml:space="preserve"> a la contratación directa de la Ley de garantías</w:t>
      </w:r>
      <w:r w:rsidR="00BA2DB8">
        <w:rPr>
          <w:rFonts w:ascii="Verdana" w:eastAsia="Century Gothic" w:hAnsi="Verdana" w:cs="Century Gothic"/>
        </w:rPr>
        <w:t xml:space="preserve"> aplica a</w:t>
      </w:r>
      <w:r w:rsidR="00DA68B5">
        <w:rPr>
          <w:rFonts w:ascii="Verdana" w:eastAsia="Century Gothic" w:hAnsi="Verdana" w:cs="Century Gothic"/>
        </w:rPr>
        <w:t>l contrato de arrendamiento</w:t>
      </w:r>
      <w:r>
        <w:rPr>
          <w:rFonts w:ascii="Verdana" w:eastAsia="Century Gothic" w:hAnsi="Verdana" w:cs="Century Gothic"/>
        </w:rPr>
        <w:t>?</w:t>
      </w:r>
    </w:p>
    <w:p w14:paraId="36F76745" w14:textId="77777777" w:rsidR="00187855" w:rsidRPr="007E5CBA" w:rsidRDefault="00187855" w:rsidP="00187855">
      <w:pPr>
        <w:spacing w:after="0" w:line="276" w:lineRule="auto"/>
        <w:ind w:firstLine="709"/>
        <w:jc w:val="both"/>
        <w:rPr>
          <w:rFonts w:ascii="Verdana" w:eastAsia="Calibri" w:hAnsi="Verdana" w:cs="Arial"/>
          <w:lang w:eastAsia="es-ES_tradnl"/>
        </w:rPr>
      </w:pPr>
    </w:p>
    <w:p w14:paraId="4C41873A" w14:textId="77777777" w:rsidR="00187855" w:rsidRPr="00CC5C68" w:rsidRDefault="00187855" w:rsidP="00187855">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2. Respuesta:</w:t>
      </w:r>
    </w:p>
    <w:p w14:paraId="08ED88A7" w14:textId="77777777" w:rsidR="00187855" w:rsidRPr="00CC5C68" w:rsidRDefault="00187855" w:rsidP="0018785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87855" w:rsidRPr="00CC5C68" w14:paraId="67340F2A" w14:textId="77777777" w:rsidTr="00E075F9">
        <w:tc>
          <w:tcPr>
            <w:tcW w:w="8828" w:type="dxa"/>
          </w:tcPr>
          <w:p w14:paraId="3A9FC15F" w14:textId="342F2FFB" w:rsidR="005A03B1" w:rsidRDefault="00820CE0" w:rsidP="00E075F9">
            <w:pPr>
              <w:spacing w:after="120" w:line="276" w:lineRule="auto"/>
              <w:jc w:val="both"/>
              <w:rPr>
                <w:rFonts w:ascii="Verdana" w:eastAsia="Times New Roman" w:hAnsi="Verdana" w:cs="Arial"/>
                <w:lang w:eastAsia="x-none"/>
              </w:rPr>
            </w:pPr>
            <w:bookmarkStart w:id="0" w:name="_Hlk78818702"/>
            <w:r>
              <w:rPr>
                <w:rFonts w:ascii="Verdana" w:eastAsia="Times New Roman" w:hAnsi="Verdana" w:cs="Arial"/>
                <w:lang w:eastAsia="x-none"/>
              </w:rPr>
              <w:t>L</w:t>
            </w:r>
            <w:r w:rsidRPr="00F02C5A">
              <w:rPr>
                <w:rFonts w:ascii="Verdana" w:eastAsia="Times New Roman" w:hAnsi="Verdana" w:cs="Arial"/>
                <w:lang w:eastAsia="x-none"/>
              </w:rPr>
              <w:t xml:space="preserve">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por lo que excluye las demás modalidades de contratación previstas en la Ley 1150 de 2007, es decir, la licitación pública, la selección abreviada y el concurso de méritos u otros previstos en normas especiales.</w:t>
            </w:r>
            <w:bookmarkEnd w:id="0"/>
            <w:r w:rsidR="005A03B1">
              <w:rPr>
                <w:rFonts w:ascii="Verdana" w:eastAsia="Times New Roman" w:hAnsi="Verdana" w:cs="Arial"/>
                <w:lang w:eastAsia="x-none"/>
              </w:rPr>
              <w:t xml:space="preserve"> </w:t>
            </w:r>
            <w:r w:rsidR="00DE1085">
              <w:rPr>
                <w:rFonts w:ascii="Verdana" w:eastAsia="Times New Roman" w:hAnsi="Verdana" w:cs="Arial"/>
                <w:lang w:eastAsia="x-none"/>
              </w:rPr>
              <w:t xml:space="preserve"> Esto implica </w:t>
            </w:r>
            <w:r w:rsidR="00DE1085" w:rsidRPr="00F02C5A">
              <w:rPr>
                <w:rFonts w:ascii="Verdana" w:eastAsia="Times New Roman" w:hAnsi="Verdana" w:cs="Arial"/>
                <w:lang w:val="es-MX" w:eastAsia="x-none"/>
              </w:rPr>
              <w:t>que la restricción aplica, sin perjuicio de las excepciones establecidas en la misma ley, para celebrar cualquier contrato de forma directa, esto es, sin que exista un proceso abierto y competitivo.</w:t>
            </w:r>
          </w:p>
          <w:p w14:paraId="1BA01436" w14:textId="3C2C7928" w:rsidR="00820CE0" w:rsidRPr="00D73F00" w:rsidRDefault="00221280" w:rsidP="00800158">
            <w:pPr>
              <w:spacing w:after="120" w:line="276" w:lineRule="auto"/>
              <w:jc w:val="both"/>
              <w:rPr>
                <w:rFonts w:ascii="Verdana" w:eastAsia="Times New Roman" w:hAnsi="Verdana" w:cs="Arial"/>
                <w:lang w:eastAsia="x-none"/>
              </w:rPr>
            </w:pPr>
            <w:r>
              <w:rPr>
                <w:rFonts w:ascii="Verdana" w:eastAsia="Times New Roman" w:hAnsi="Verdana" w:cs="Arial"/>
                <w:lang w:eastAsia="x-none"/>
              </w:rPr>
              <w:lastRenderedPageBreak/>
              <w:t>Por tanto, teniendo en cuenta que</w:t>
            </w:r>
            <w:r w:rsidR="007A3886">
              <w:rPr>
                <w:rFonts w:ascii="Verdana" w:eastAsia="Times New Roman" w:hAnsi="Verdana" w:cs="Arial"/>
                <w:lang w:eastAsia="x-none"/>
              </w:rPr>
              <w:t xml:space="preserve"> </w:t>
            </w:r>
            <w:r w:rsidR="00F81DDB" w:rsidRPr="00F81DDB">
              <w:rPr>
                <w:rFonts w:ascii="Verdana" w:eastAsia="Times New Roman" w:hAnsi="Verdana" w:cs="Arial"/>
                <w:lang w:eastAsia="x-none"/>
              </w:rPr>
              <w:t>el literal i) del numeral 4° del artículo 2º de la Ley 1150 de 2007 establece que una de las causales de este procedimiento es: “i) El arrendamiento o adquisición de inmuebles”</w:t>
            </w:r>
            <w:r w:rsidR="00F81DDB">
              <w:rPr>
                <w:rFonts w:ascii="Verdana" w:eastAsia="Times New Roman" w:hAnsi="Verdana" w:cs="Arial"/>
                <w:lang w:eastAsia="x-none"/>
              </w:rPr>
              <w:t>; y a</w:t>
            </w:r>
            <w:r w:rsidR="00F81DDB" w:rsidRPr="00F81DDB">
              <w:rPr>
                <w:rFonts w:ascii="Verdana" w:eastAsia="Times New Roman" w:hAnsi="Verdana" w:cs="Arial"/>
                <w:lang w:eastAsia="x-none"/>
              </w:rPr>
              <w:t>dicionalmente, el artículo 2.2.1.2.1.4.11 del Decreto 1082 de 2015 dispone que las Entidades Estatales pueden alquilar o arrendar inmuebles mediante contratación directa</w:t>
            </w:r>
            <w:r w:rsidR="00A957EA">
              <w:rPr>
                <w:rFonts w:ascii="Verdana" w:eastAsia="Times New Roman" w:hAnsi="Verdana" w:cs="Arial"/>
                <w:lang w:eastAsia="x-none"/>
              </w:rPr>
              <w:t>; esta contratación al ser directa se encuentra cobijada por la prohibición del artículo 33 de la Ley de Garantías Electorales, ya que como se señaló en el párrafo anterior, la prohibición es amplia y aplica a toda la contratación que no implique convocatoria pública.</w:t>
            </w:r>
          </w:p>
        </w:tc>
      </w:tr>
    </w:tbl>
    <w:p w14:paraId="7607889B" w14:textId="77777777" w:rsidR="00187855" w:rsidRPr="00CC5C68" w:rsidRDefault="00187855" w:rsidP="00187855">
      <w:pPr>
        <w:spacing w:after="0" w:line="276" w:lineRule="auto"/>
        <w:contextualSpacing/>
        <w:jc w:val="both"/>
        <w:rPr>
          <w:rFonts w:ascii="Verdana" w:eastAsia="Times New Roman" w:hAnsi="Verdana" w:cs="Arial"/>
          <w:lang w:eastAsia="es-ES_tradnl"/>
        </w:rPr>
      </w:pPr>
    </w:p>
    <w:p w14:paraId="1A109746" w14:textId="77777777" w:rsidR="00187855" w:rsidRPr="00CC5C68" w:rsidRDefault="00187855" w:rsidP="0018785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rPr>
        <w:t>3. Razones de la respuesta:</w:t>
      </w:r>
    </w:p>
    <w:p w14:paraId="098820BD" w14:textId="77777777" w:rsidR="00187855" w:rsidRPr="00CC5C68" w:rsidRDefault="00187855" w:rsidP="00187855">
      <w:pPr>
        <w:spacing w:after="0" w:line="276" w:lineRule="auto"/>
        <w:jc w:val="both"/>
        <w:rPr>
          <w:rFonts w:ascii="Verdana" w:eastAsia="Calibri" w:hAnsi="Verdana" w:cs="Arial"/>
          <w:color w:val="7030A0"/>
          <w:lang w:val="es-ES"/>
        </w:rPr>
      </w:pPr>
    </w:p>
    <w:p w14:paraId="465CB100" w14:textId="77777777" w:rsidR="00187855" w:rsidRPr="00CC5C68" w:rsidRDefault="00187855" w:rsidP="00187855">
      <w:pPr>
        <w:spacing w:after="0" w:line="276" w:lineRule="auto"/>
        <w:jc w:val="both"/>
        <w:rPr>
          <w:rFonts w:ascii="Verdana" w:eastAsia="Calibri" w:hAnsi="Verdana" w:cs="Arial"/>
          <w:lang w:val="es-ES"/>
        </w:rPr>
      </w:pPr>
      <w:r w:rsidRPr="00CC5C68">
        <w:rPr>
          <w:rFonts w:ascii="Verdana" w:eastAsia="Calibri" w:hAnsi="Verdana" w:cs="Arial"/>
          <w:lang w:val="es-ES"/>
        </w:rPr>
        <w:t xml:space="preserve">Lo anterior se sustenta en las siguientes consideraciones: </w:t>
      </w:r>
    </w:p>
    <w:p w14:paraId="6CFF2BA2" w14:textId="77777777" w:rsidR="00187855" w:rsidRPr="00CC5C68" w:rsidRDefault="00187855" w:rsidP="00187855">
      <w:pPr>
        <w:spacing w:after="0" w:line="276" w:lineRule="auto"/>
        <w:jc w:val="both"/>
        <w:rPr>
          <w:rFonts w:ascii="Verdana" w:eastAsia="Calibri" w:hAnsi="Verdana" w:cs="Arial"/>
          <w:lang w:val="es-ES"/>
        </w:rPr>
      </w:pPr>
    </w:p>
    <w:p w14:paraId="73B563CD" w14:textId="77777777" w:rsidR="00624B56" w:rsidRPr="00F02C5A" w:rsidRDefault="00624B56" w:rsidP="00624B56">
      <w:pPr>
        <w:spacing w:after="0" w:line="276" w:lineRule="auto"/>
        <w:contextualSpacing/>
        <w:jc w:val="both"/>
        <w:rPr>
          <w:rFonts w:ascii="Verdana" w:eastAsia="Times New Roman" w:hAnsi="Verdana" w:cs="Arial"/>
          <w:lang w:val="es-MX" w:eastAsia="es-CO"/>
        </w:rPr>
      </w:pPr>
      <w:r w:rsidRPr="00F02C5A">
        <w:rPr>
          <w:rFonts w:ascii="Verdana" w:eastAsia="Times New Roman" w:hAnsi="Verdana" w:cs="Arial"/>
          <w:lang w:val="es-MX" w:eastAsia="x-none"/>
        </w:rPr>
        <w:t xml:space="preserve">El ámbito material de la prohibición contenida </w:t>
      </w:r>
      <w:bookmarkStart w:id="1" w:name="_Hlk75628761"/>
      <w:r w:rsidRPr="00F02C5A">
        <w:rPr>
          <w:rFonts w:ascii="Verdana" w:eastAsia="Times New Roman" w:hAnsi="Verdana" w:cs="Arial"/>
          <w:lang w:val="es-MX" w:eastAsia="x-none"/>
        </w:rPr>
        <w:t xml:space="preserve">en el artículo 33 de la Ley 996 de 2005 </w:t>
      </w:r>
      <w:bookmarkEnd w:id="1"/>
      <w:r w:rsidRPr="00F02C5A">
        <w:rPr>
          <w:rFonts w:ascii="Verdana" w:eastAsia="Times New Roman" w:hAnsi="Verdana" w:cs="Arial"/>
          <w:lang w:val="es-MX" w:eastAsia="x-none"/>
        </w:rPr>
        <w:t xml:space="preserve">está delimitado por la expresión </w:t>
      </w:r>
      <w:r w:rsidRPr="00F02C5A">
        <w:rPr>
          <w:rFonts w:ascii="Verdana" w:eastAsia="Calibri" w:hAnsi="Verdana" w:cs="Arial"/>
          <w:sz w:val="20"/>
          <w:szCs w:val="20"/>
          <w:lang w:val="es-MX"/>
        </w:rPr>
        <w:t>“</w:t>
      </w:r>
      <w:r w:rsidRPr="00F02C5A">
        <w:rPr>
          <w:rFonts w:ascii="Verdana" w:eastAsia="Times New Roman" w:hAnsi="Verdana" w:cs="Arial"/>
          <w:lang w:val="es-MX" w:eastAsia="x-none"/>
        </w:rPr>
        <w:t>queda prohibida la contratación directa</w:t>
      </w:r>
      <w:r w:rsidRPr="00F02C5A">
        <w:rPr>
          <w:rFonts w:ascii="Verdana" w:eastAsia="Calibri" w:hAnsi="Verdana" w:cs="Arial"/>
          <w:sz w:val="20"/>
          <w:szCs w:val="20"/>
          <w:lang w:val="es-MX"/>
        </w:rPr>
        <w:t>”</w:t>
      </w:r>
      <w:r w:rsidRPr="00F02C5A">
        <w:rPr>
          <w:rFonts w:ascii="Verdana" w:eastAsia="Times New Roman" w:hAnsi="Verdana" w:cs="Arial"/>
          <w:lang w:val="es-MX" w:eastAsia="x-none"/>
        </w:rPr>
        <w:t>.</w:t>
      </w:r>
      <w:r w:rsidRPr="00F02C5A">
        <w:rPr>
          <w:rFonts w:ascii="Verdana" w:eastAsia="Times New Roman" w:hAnsi="Verdana" w:cs="Arial"/>
          <w:lang w:val="es-MX" w:eastAsia="es-CO"/>
        </w:rPr>
        <w:t xml:space="preserve"> 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10C29D9F" w14:textId="77777777" w:rsidR="00624B56" w:rsidRPr="00F02C5A" w:rsidRDefault="00624B56" w:rsidP="00624B56">
      <w:pPr>
        <w:spacing w:after="0" w:line="276" w:lineRule="auto"/>
        <w:ind w:left="708" w:right="709"/>
        <w:contextualSpacing/>
        <w:jc w:val="both"/>
        <w:rPr>
          <w:rFonts w:ascii="Verdana" w:eastAsia="Calibri" w:hAnsi="Verdana" w:cs="Arial"/>
          <w:sz w:val="21"/>
          <w:szCs w:val="21"/>
          <w:lang w:val="es-MX"/>
        </w:rPr>
      </w:pPr>
    </w:p>
    <w:p w14:paraId="152590D7" w14:textId="77777777" w:rsidR="00624B56" w:rsidRPr="00F02C5A" w:rsidRDefault="00624B56" w:rsidP="00624B56">
      <w:pPr>
        <w:spacing w:after="0" w:line="240" w:lineRule="auto"/>
        <w:ind w:left="709"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02C5A">
        <w:rPr>
          <w:rFonts w:ascii="Verdana" w:eastAsia="Times New Roman" w:hAnsi="Verdana" w:cs="Arial"/>
          <w:vertAlign w:val="superscript"/>
          <w:lang w:eastAsia="es-CO"/>
        </w:rPr>
        <w:footnoteReference w:id="1"/>
      </w:r>
      <w:r w:rsidRPr="00F02C5A">
        <w:rPr>
          <w:rFonts w:ascii="Verdana" w:eastAsia="Calibri" w:hAnsi="Verdana" w:cs="Arial"/>
          <w:sz w:val="21"/>
          <w:szCs w:val="21"/>
          <w:lang w:val="es-MX"/>
        </w:rPr>
        <w:t>.</w:t>
      </w:r>
    </w:p>
    <w:p w14:paraId="5D3244CC" w14:textId="77777777" w:rsidR="00624B56" w:rsidRPr="00F02C5A" w:rsidRDefault="00624B56" w:rsidP="00624B56">
      <w:pPr>
        <w:spacing w:after="0" w:line="240" w:lineRule="auto"/>
        <w:ind w:left="709" w:right="709"/>
        <w:contextualSpacing/>
        <w:jc w:val="both"/>
        <w:rPr>
          <w:rFonts w:ascii="Verdana" w:eastAsia="Calibri" w:hAnsi="Verdana" w:cs="Arial"/>
          <w:sz w:val="12"/>
          <w:szCs w:val="12"/>
          <w:lang w:val="es-MX"/>
        </w:rPr>
      </w:pPr>
    </w:p>
    <w:p w14:paraId="6C8624E4" w14:textId="77777777" w:rsidR="00624B56" w:rsidRPr="00F02C5A" w:rsidRDefault="00624B56" w:rsidP="00624B56">
      <w:pPr>
        <w:spacing w:after="0" w:line="240" w:lineRule="auto"/>
        <w:ind w:left="708"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 xml:space="preserve">Esta Sala ha entendido </w:t>
      </w:r>
      <w:proofErr w:type="gramStart"/>
      <w:r w:rsidRPr="00F02C5A">
        <w:rPr>
          <w:rFonts w:ascii="Verdana" w:eastAsia="Calibri" w:hAnsi="Verdana" w:cs="Arial"/>
          <w:sz w:val="21"/>
          <w:szCs w:val="21"/>
          <w:lang w:val="es-MX"/>
        </w:rPr>
        <w:t>que</w:t>
      </w:r>
      <w:proofErr w:type="gramEnd"/>
      <w:r w:rsidRPr="00F02C5A">
        <w:rPr>
          <w:rFonts w:ascii="Verdana" w:eastAsia="Calibri" w:hAnsi="Verdana" w:cs="Arial"/>
          <w:sz w:val="21"/>
          <w:szCs w:val="21"/>
          <w:lang w:val="es-MX"/>
        </w:rPr>
        <w:t xml:space="preserve"> para los efectos de la ley de garantías, y dada su finalidad, el enunciado ´contratación directa´ es sinónimo </w:t>
      </w:r>
      <w:bookmarkStart w:id="2" w:name="_Hlk75741738"/>
      <w:r w:rsidRPr="00F02C5A">
        <w:rPr>
          <w:rFonts w:ascii="Verdana" w:eastAsia="Calibri" w:hAnsi="Verdana" w:cs="Arial"/>
          <w:sz w:val="21"/>
          <w:szCs w:val="21"/>
          <w:lang w:val="es-MX"/>
        </w:rPr>
        <w:t xml:space="preserve">de cualquier sistema que no implique convocatoria pública y posibilidad de pluralidad de oferentes, </w:t>
      </w:r>
      <w:bookmarkEnd w:id="2"/>
      <w:r w:rsidRPr="00F02C5A">
        <w:rPr>
          <w:rFonts w:ascii="Verdana" w:eastAsia="Calibri" w:hAnsi="Verdana" w:cs="Arial"/>
          <w:sz w:val="21"/>
          <w:szCs w:val="21"/>
          <w:lang w:val="es-MX"/>
        </w:rPr>
        <w:t>y que, además, no necesariamente hace referencia al procedimiento especial regulado por la ley de contratación estatal, sino a cualquier otro que prescinda de un proceso de licitación pública o concurso</w:t>
      </w:r>
      <w:r w:rsidRPr="00F02C5A">
        <w:rPr>
          <w:rFonts w:ascii="Verdana" w:eastAsia="Times New Roman" w:hAnsi="Verdana" w:cs="Arial"/>
          <w:sz w:val="21"/>
          <w:szCs w:val="21"/>
          <w:vertAlign w:val="superscript"/>
          <w:lang w:val="es-MX"/>
        </w:rPr>
        <w:footnoteReference w:id="2"/>
      </w:r>
      <w:r w:rsidRPr="00F02C5A">
        <w:rPr>
          <w:rFonts w:ascii="Verdana" w:eastAsia="Times New Roman" w:hAnsi="Verdana" w:cs="Arial"/>
          <w:sz w:val="21"/>
          <w:szCs w:val="21"/>
          <w:vertAlign w:val="superscript"/>
          <w:lang w:val="es-MX"/>
        </w:rPr>
        <w:t>.</w:t>
      </w:r>
      <w:r w:rsidRPr="00F02C5A">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w:t>
      </w:r>
      <w:r w:rsidRPr="00F02C5A">
        <w:rPr>
          <w:rFonts w:ascii="Verdana" w:eastAsia="Calibri" w:hAnsi="Verdana" w:cs="Arial"/>
          <w:sz w:val="21"/>
          <w:szCs w:val="21"/>
          <w:lang w:val="es-MX"/>
        </w:rPr>
        <w:lastRenderedPageBreak/>
        <w:t>abreviada, razón por la cual en ese periodo preelectoral de que trata la disposición pueden las entidades públicas seguir contratando bajo estos sistemas. [...]”</w:t>
      </w:r>
      <w:r w:rsidRPr="00F02C5A">
        <w:rPr>
          <w:rFonts w:ascii="Verdana" w:eastAsia="Times New Roman" w:hAnsi="Verdana" w:cs="Arial"/>
          <w:vertAlign w:val="superscript"/>
          <w:lang w:eastAsia="es-CO"/>
        </w:rPr>
        <w:footnoteReference w:id="3"/>
      </w:r>
      <w:r w:rsidRPr="00F02C5A">
        <w:rPr>
          <w:rFonts w:ascii="Verdana" w:eastAsia="Calibri" w:hAnsi="Verdana" w:cs="Arial"/>
          <w:sz w:val="21"/>
          <w:szCs w:val="21"/>
          <w:lang w:val="es-MX"/>
        </w:rPr>
        <w:t xml:space="preserve"> .</w:t>
      </w:r>
    </w:p>
    <w:p w14:paraId="71423669" w14:textId="77777777" w:rsidR="00624B56" w:rsidRPr="00F02C5A" w:rsidRDefault="00624B56" w:rsidP="00624B56">
      <w:pPr>
        <w:shd w:val="clear" w:color="auto" w:fill="FFFFFF"/>
        <w:spacing w:after="0" w:line="276" w:lineRule="auto"/>
        <w:ind w:firstLine="709"/>
        <w:contextualSpacing/>
        <w:jc w:val="both"/>
        <w:rPr>
          <w:rFonts w:ascii="Verdana" w:eastAsia="Times New Roman" w:hAnsi="Verdana" w:cs="Arial"/>
          <w:lang w:eastAsia="x-none"/>
        </w:rPr>
      </w:pPr>
    </w:p>
    <w:p w14:paraId="142E5674" w14:textId="77777777" w:rsidR="00624B56" w:rsidRPr="00F02C5A" w:rsidRDefault="00624B56" w:rsidP="00624B56">
      <w:pPr>
        <w:spacing w:after="120" w:line="276" w:lineRule="auto"/>
        <w:ind w:firstLine="709"/>
        <w:jc w:val="both"/>
        <w:rPr>
          <w:rFonts w:ascii="Verdana" w:eastAsia="Times New Roman" w:hAnsi="Verdana" w:cs="Arial"/>
          <w:lang w:eastAsia="x-none"/>
        </w:rPr>
      </w:pPr>
      <w:bookmarkStart w:id="4"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4"/>
      <w:r w:rsidRPr="00F02C5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4"/>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5"/>
      </w:r>
      <w:r w:rsidRPr="00F02C5A">
        <w:rPr>
          <w:rFonts w:ascii="Verdana" w:eastAsia="Times New Roman" w:hAnsi="Verdana" w:cs="Arial"/>
          <w:lang w:eastAsia="x-none"/>
        </w:rPr>
        <w:t xml:space="preserve">. </w:t>
      </w:r>
    </w:p>
    <w:p w14:paraId="50B760CE" w14:textId="77777777" w:rsidR="00624B56" w:rsidRPr="00F02C5A" w:rsidRDefault="00624B56" w:rsidP="00624B56">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6"/>
      </w:r>
      <w:r w:rsidRPr="00F02C5A">
        <w:rPr>
          <w:rFonts w:ascii="Verdana" w:eastAsia="Times New Roman" w:hAnsi="Verdana" w:cs="Arial"/>
          <w:lang w:eastAsia="x-none"/>
        </w:rPr>
        <w:t>, han establecido sistemas de 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26098F50" w14:textId="77777777" w:rsidR="00624B56" w:rsidRPr="00F02C5A" w:rsidRDefault="00624B56" w:rsidP="00624B56">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E</w:t>
      </w:r>
      <w:r w:rsidRPr="00F02C5A">
        <w:rPr>
          <w:rFonts w:ascii="Verdana" w:eastAsia="Times New Roman" w:hAnsi="Verdana" w:cs="Arial"/>
          <w:lang w:eastAsia="x-none"/>
        </w:rPr>
        <w:t xml:space="preserve">n efecto, vale la pena mencionar que, </w:t>
      </w:r>
      <w:bookmarkStart w:id="5" w:name="_Hlk75636073"/>
      <w:r w:rsidRPr="00F02C5A">
        <w:rPr>
          <w:rFonts w:ascii="Verdana" w:eastAsia="Times New Roman"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w:t>
      </w:r>
      <w:r w:rsidRPr="00F02C5A">
        <w:rPr>
          <w:rFonts w:ascii="Verdana" w:eastAsia="Times New Roman" w:hAnsi="Verdana" w:cs="Arial"/>
          <w:lang w:eastAsia="x-none"/>
        </w:rPr>
        <w:lastRenderedPageBreak/>
        <w:t>inscribirse en forma previa se haga de manera pública, y que se permita la participación de una pluralidad de oferentes</w:t>
      </w:r>
      <w:bookmarkEnd w:id="5"/>
      <w:r w:rsidRPr="00F02C5A">
        <w:rPr>
          <w:rFonts w:ascii="Verdana" w:eastAsia="Times New Roman" w:hAnsi="Verdana" w:cs="Arial"/>
          <w:vertAlign w:val="superscript"/>
          <w:lang w:eastAsia="x-none"/>
        </w:rPr>
        <w:footnoteReference w:id="7"/>
      </w:r>
      <w:r w:rsidRPr="00F02C5A">
        <w:rPr>
          <w:rFonts w:ascii="Verdana" w:eastAsia="Times New Roman" w:hAnsi="Verdana" w:cs="Arial"/>
          <w:lang w:eastAsia="x-none"/>
        </w:rPr>
        <w:t xml:space="preserve">. </w:t>
      </w:r>
    </w:p>
    <w:p w14:paraId="57CBA6AF" w14:textId="77777777" w:rsidR="00624B56" w:rsidRPr="00F02C5A" w:rsidRDefault="00624B56" w:rsidP="00624B56">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AC67160" w14:textId="77777777" w:rsidR="00624B56" w:rsidRPr="00F02C5A" w:rsidRDefault="00624B56" w:rsidP="00624B56">
      <w:pPr>
        <w:spacing w:after="120" w:line="276" w:lineRule="auto"/>
        <w:ind w:firstLine="709"/>
        <w:jc w:val="both"/>
        <w:rPr>
          <w:rFonts w:ascii="Verdana" w:eastAsia="Times New Roman" w:hAnsi="Verdana" w:cs="Arial"/>
          <w:lang w:val="es-MX" w:eastAsia="x-none"/>
        </w:rPr>
      </w:pPr>
      <w:bookmarkStart w:id="6" w:name="_Hlk78818796"/>
      <w:r w:rsidRPr="00F02C5A">
        <w:rPr>
          <w:rFonts w:ascii="Verdana" w:eastAsia="Times New Roman" w:hAnsi="Verdana" w:cs="Arial"/>
          <w:lang w:val="es-MX" w:eastAsia="x-none"/>
        </w:rPr>
        <w:t xml:space="preserve"> Así las cosas, </w:t>
      </w:r>
      <w:bookmarkStart w:id="7" w:name="_Hlk99577798"/>
      <w:r w:rsidRPr="00F02C5A">
        <w:rPr>
          <w:rFonts w:ascii="Verdana" w:eastAsia="Times New Roman" w:hAnsi="Verdana"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8"/>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6"/>
    <w:p w14:paraId="69F835A2" w14:textId="77777777" w:rsidR="00624B56" w:rsidRPr="00F02C5A" w:rsidRDefault="00624B56" w:rsidP="00624B56">
      <w:pPr>
        <w:spacing w:after="120" w:line="276" w:lineRule="auto"/>
        <w:ind w:firstLine="709"/>
        <w:jc w:val="both"/>
        <w:rPr>
          <w:rFonts w:ascii="Verdana" w:eastAsia="Times New Roman" w:hAnsi="Verdana" w:cs="Arial"/>
          <w:lang w:eastAsia="x-none"/>
        </w:rPr>
      </w:pPr>
      <w:r w:rsidRPr="00DE1085">
        <w:rPr>
          <w:rFonts w:ascii="Verdana" w:eastAsia="Times New Roman" w:hAnsi="Verdana" w:cs="Arial"/>
          <w:lang w:val="es-MX" w:eastAsia="x-none"/>
        </w:rPr>
        <w:t>De lo anterior se desprende que la restricción aplica, sin perjuicio de las excepciones establecidas en la misma ley, para celebrar cualquier contrato de forma directa, esto es, sin que exista un proceso abierto y competitivo.</w:t>
      </w:r>
      <w:r w:rsidRPr="00DE1085">
        <w:rPr>
          <w:rFonts w:ascii="Verdana" w:eastAsia="Times New Roman" w:hAnsi="Verdana" w:cs="Arial"/>
          <w:lang w:eastAsia="x-none"/>
        </w:rPr>
        <w:t xml:space="preserve"> Por</w:t>
      </w:r>
      <w:r w:rsidRPr="00F02C5A">
        <w:rPr>
          <w:rFonts w:ascii="Verdana" w:eastAsia="Times New Roman" w:hAnsi="Verdana" w:cs="Arial"/>
          <w:lang w:eastAsia="x-none"/>
        </w:rPr>
        <w:t xml:space="preserve">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722E65CF" w14:textId="77777777" w:rsidR="00624B56" w:rsidRPr="00F02C5A" w:rsidRDefault="00624B56" w:rsidP="00624B56">
      <w:pPr>
        <w:spacing w:after="120" w:line="276" w:lineRule="auto"/>
        <w:ind w:firstLine="709"/>
        <w:jc w:val="both"/>
        <w:rPr>
          <w:rFonts w:ascii="Verdana" w:eastAsia="Times New Roman" w:hAnsi="Verdana" w:cs="Arial"/>
          <w:lang w:val="es-MX" w:eastAsia="x-none"/>
        </w:rPr>
      </w:pPr>
      <w:bookmarkStart w:id="8" w:name="_Hlk77237094"/>
      <w:bookmarkEnd w:id="7"/>
      <w:r w:rsidRPr="00F02C5A">
        <w:rPr>
          <w:rFonts w:ascii="Verdana" w:eastAsia="Times New Roman" w:hAnsi="Verdana" w:cs="Arial"/>
          <w:lang w:val="es-MX" w:eastAsia="es-CO"/>
        </w:rPr>
        <w:t xml:space="preserve">Como en otras oportunidades lo ha manifestado esta Agencia, las prórrogas, modificaciones o adiciones de los contratos suscritos antes de la </w:t>
      </w:r>
      <w:proofErr w:type="gramStart"/>
      <w:r w:rsidRPr="00F02C5A">
        <w:rPr>
          <w:rFonts w:ascii="Verdana" w:eastAsia="Times New Roman" w:hAnsi="Verdana" w:cs="Arial"/>
          <w:lang w:val="es-MX" w:eastAsia="es-CO"/>
        </w:rPr>
        <w:t>entrada en vigencia</w:t>
      </w:r>
      <w:proofErr w:type="gramEnd"/>
      <w:r w:rsidRPr="00F02C5A">
        <w:rPr>
          <w:rFonts w:ascii="Verdana" w:eastAsia="Times New Roman" w:hAnsi="Verdana" w:cs="Arial"/>
          <w:lang w:val="es-MX" w:eastAsia="es-CO"/>
        </w:rPr>
        <w:t xml:space="preserve"> de las prohibiciones anotadas, así como la cesión de </w:t>
      </w:r>
      <w:proofErr w:type="gramStart"/>
      <w:r w:rsidRPr="00F02C5A">
        <w:rPr>
          <w:rFonts w:ascii="Verdana" w:eastAsia="Times New Roman" w:hAnsi="Verdana" w:cs="Arial"/>
          <w:lang w:val="es-MX" w:eastAsia="es-CO"/>
        </w:rPr>
        <w:t>los mismos</w:t>
      </w:r>
      <w:proofErr w:type="gramEnd"/>
      <w:r w:rsidRPr="00F02C5A">
        <w:rPr>
          <w:rFonts w:ascii="Verdana" w:eastAsia="Times New Roman" w:hAnsi="Verdana" w:cs="Arial"/>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8"/>
    </w:p>
    <w:p w14:paraId="7904ADDB" w14:textId="77777777" w:rsidR="00624B56" w:rsidRPr="00F02C5A" w:rsidRDefault="00624B56" w:rsidP="00624B56">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lastRenderedPageBreak/>
        <w:t xml:space="preserve">De otro lado, </w:t>
      </w:r>
      <w:bookmarkStart w:id="9" w:name="_Hlk99577887"/>
      <w:bookmarkStart w:id="10" w:name="_Hlk100679762"/>
      <w:r w:rsidRPr="00F02C5A">
        <w:rPr>
          <w:rFonts w:ascii="Verdana" w:eastAsia="Times New Roman" w:hAnsi="Verdana" w:cs="Arial"/>
          <w:lang w:val="es-MX" w:eastAsia="x-none"/>
        </w:rPr>
        <w:t>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bookmarkEnd w:id="9"/>
    </w:p>
    <w:bookmarkEnd w:id="10"/>
    <w:p w14:paraId="438EADE8" w14:textId="77777777" w:rsidR="00624B56" w:rsidRDefault="00624B56" w:rsidP="00582479">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val="es-MX" w:eastAsia="x-none"/>
        </w:rPr>
        <w:t>En esta labor es importante tener en cuenta, como lo anotó la Corte Constitucional, en Sentencia C-1153 de noviembre 11 de 2005</w:t>
      </w:r>
      <w:r w:rsidRPr="00F02C5A">
        <w:rPr>
          <w:rFonts w:ascii="Verdana" w:eastAsia="Calibri" w:hAnsi="Verdana" w:cs="Arial"/>
          <w:sz w:val="24"/>
          <w:lang w:val="es-MX"/>
        </w:rPr>
        <w:t>,</w:t>
      </w:r>
      <w:r w:rsidRPr="00F02C5A">
        <w:rPr>
          <w:rFonts w:ascii="Verdana" w:eastAsia="Times New Roman" w:hAnsi="Verdana" w:cs="Arial"/>
          <w:lang w:val="es-MX" w:eastAsia="x-none"/>
        </w:rPr>
        <w:t xml:space="preserve"> </w:t>
      </w:r>
      <w:bookmarkStart w:id="11" w:name="_Hlk74309042"/>
      <w:r w:rsidRPr="00F02C5A">
        <w:rPr>
          <w:rFonts w:ascii="Verdana" w:eastAsia="Times New Roman" w:hAnsi="Verdana" w:cs="Arial"/>
          <w:lang w:val="es-MX" w:eastAsia="x-none"/>
        </w:rPr>
        <w:t>que “</w:t>
      </w:r>
      <w:bookmarkEnd w:id="11"/>
      <w:r w:rsidRPr="00F02C5A">
        <w:rPr>
          <w:rFonts w:ascii="Verdana" w:eastAsia="Times New Roman" w:hAnsi="Verdana" w:cs="Arial"/>
          <w:lang w:val="es-MX" w:eastAsia="x-none"/>
        </w:rPr>
        <w:t xml:space="preserve">si bien la limitación garantiza la igualdad de condiciones, también es necesario que tal limitación que pretende la igualdad </w:t>
      </w:r>
      <w:bookmarkStart w:id="12" w:name="_Hlk75768308"/>
      <w:r w:rsidRPr="00F02C5A">
        <w:rPr>
          <w:rFonts w:ascii="Verdana" w:eastAsia="Times New Roman" w:hAnsi="Verdana" w:cs="Arial"/>
          <w:lang w:val="es-MX" w:eastAsia="x-none"/>
        </w:rPr>
        <w:t>no termine yendo en detrimento de intereses públicos, cuya garantía está en cabeza del ejecutivo, como son los inmersos en las excepciones para la prohibición de contratación”</w:t>
      </w:r>
      <w:r w:rsidRPr="00F02C5A">
        <w:rPr>
          <w:rFonts w:ascii="Verdana" w:eastAsia="Calibri" w:hAnsi="Verdana" w:cs="Arial"/>
          <w:vertAlign w:val="superscript"/>
          <w:lang w:val="es-MX"/>
        </w:rPr>
        <w:footnoteReference w:id="9"/>
      </w:r>
      <w:r w:rsidRPr="00F02C5A">
        <w:rPr>
          <w:rFonts w:ascii="Verdana" w:eastAsia="Times New Roman" w:hAnsi="Verdana" w:cs="Arial"/>
          <w:lang w:val="es-MX" w:eastAsia="x-none"/>
        </w:rPr>
        <w:t xml:space="preserve">.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w:t>
      </w:r>
      <w:r w:rsidRPr="00F02C5A">
        <w:rPr>
          <w:rFonts w:ascii="Verdana" w:eastAsia="Times New Roman" w:hAnsi="Verdana" w:cs="Arial"/>
          <w:lang w:val="es-MX" w:eastAsia="es-CO"/>
        </w:rPr>
        <w:t>candidatos</w:t>
      </w:r>
      <w:r w:rsidRPr="00F02C5A">
        <w:rPr>
          <w:rFonts w:ascii="Verdana" w:eastAsia="Times New Roman" w:hAnsi="Verdana" w:cs="Arial"/>
          <w:lang w:val="es-MX" w:eastAsia="x-none"/>
        </w:rPr>
        <w:t xml:space="preserve"> como garantía electoral.</w:t>
      </w:r>
      <w:bookmarkEnd w:id="12"/>
    </w:p>
    <w:p w14:paraId="157A9295" w14:textId="23890CA1" w:rsidR="00B015A8" w:rsidRPr="00280722" w:rsidRDefault="00B015A8" w:rsidP="00B015A8">
      <w:pPr>
        <w:spacing w:after="120" w:line="276" w:lineRule="auto"/>
        <w:ind w:firstLine="708"/>
        <w:jc w:val="both"/>
        <w:rPr>
          <w:rFonts w:ascii="Verdana" w:hAnsi="Verdana" w:cs="Arial"/>
        </w:rPr>
      </w:pPr>
      <w:r>
        <w:rPr>
          <w:rFonts w:ascii="Verdana" w:eastAsia="Times New Roman" w:hAnsi="Verdana" w:cs="Arial"/>
          <w:lang w:val="es-MX" w:eastAsia="x-none"/>
        </w:rPr>
        <w:t xml:space="preserve">Por otra parte, </w:t>
      </w:r>
      <w:r>
        <w:rPr>
          <w:rFonts w:ascii="Verdana" w:eastAsia="Calibri" w:hAnsi="Verdana" w:cs="Arial"/>
          <w:color w:val="000000" w:themeColor="text1"/>
        </w:rPr>
        <w:t>t</w:t>
      </w:r>
      <w:r w:rsidRPr="009E0887">
        <w:rPr>
          <w:rFonts w:ascii="Verdana" w:eastAsia="Calibri" w:hAnsi="Verdana" w:cs="Arial"/>
          <w:color w:val="000000" w:themeColor="text1"/>
        </w:rPr>
        <w:t xml:space="preserve">eniendo en cuenta el objeto de su consulta, es pertinente indicar que </w:t>
      </w:r>
      <w:r w:rsidRPr="00280722">
        <w:rPr>
          <w:rFonts w:ascii="Verdana" w:hAnsi="Verdana" w:cs="Arial"/>
          <w:bCs/>
          <w:color w:val="000000" w:themeColor="text1"/>
          <w:lang w:val="es-ES"/>
        </w:rPr>
        <w:t>la Ley 80 de 1993</w:t>
      </w:r>
      <w:r w:rsidRPr="00280722">
        <w:rPr>
          <w:rFonts w:ascii="Verdana" w:hAnsi="Verdana" w:cs="Arial"/>
        </w:rPr>
        <w:t xml:space="preserve"> define los contratos estatales en el artículo 32 y establece un listado enunciativo de contratos estatales</w:t>
      </w:r>
      <w:r>
        <w:rPr>
          <w:rFonts w:ascii="Verdana" w:hAnsi="Verdana" w:cs="Arial"/>
        </w:rPr>
        <w:t xml:space="preserve">. </w:t>
      </w:r>
      <w:r w:rsidRPr="00C02EA0">
        <w:rPr>
          <w:rFonts w:ascii="Verdana" w:hAnsi="Verdana" w:cs="Arial"/>
        </w:rPr>
        <w:t>De acuerdo con esta disposición</w:t>
      </w:r>
      <w:r>
        <w:rPr>
          <w:rFonts w:ascii="Verdana" w:hAnsi="Verdana" w:cs="Arial"/>
        </w:rPr>
        <w:t>,</w:t>
      </w:r>
      <w:r w:rsidRPr="00C02EA0">
        <w:rPr>
          <w:rFonts w:ascii="Verdana" w:hAnsi="Verdana" w:cs="Arial"/>
        </w:rPr>
        <w:t xml:space="preserve"> todos los actos jurídicos, cualquiera que sea su denominación, que celebren las entidades a las que se refiere el EGCAP y que generen obligaciones, son contratos estatales</w:t>
      </w:r>
      <w:r w:rsidRPr="00C02EA0">
        <w:rPr>
          <w:rStyle w:val="Refdenotaalpie"/>
          <w:rFonts w:ascii="Verdana" w:hAnsi="Verdana" w:cs="Arial"/>
          <w:bCs/>
          <w:color w:val="000000" w:themeColor="text1"/>
        </w:rPr>
        <w:footnoteReference w:id="10"/>
      </w:r>
      <w:r w:rsidRPr="00C02EA0">
        <w:rPr>
          <w:rFonts w:ascii="Verdana" w:hAnsi="Verdana" w:cs="Arial"/>
        </w:rPr>
        <w:t xml:space="preserve">. </w:t>
      </w:r>
      <w:r>
        <w:rPr>
          <w:rFonts w:ascii="Verdana" w:hAnsi="Verdana" w:cs="Arial"/>
        </w:rPr>
        <w:t>E</w:t>
      </w:r>
      <w:r w:rsidRPr="00280722">
        <w:rPr>
          <w:rFonts w:ascii="Verdana" w:hAnsi="Verdana" w:cs="Arial"/>
        </w:rPr>
        <w:t>ntre</w:t>
      </w:r>
      <w:r>
        <w:rPr>
          <w:rFonts w:ascii="Verdana" w:hAnsi="Verdana" w:cs="Arial"/>
        </w:rPr>
        <w:t xml:space="preserve"> los contratos que enuncia el artículo 32 </w:t>
      </w:r>
      <w:r w:rsidRPr="00280722">
        <w:rPr>
          <w:rFonts w:ascii="Verdana" w:hAnsi="Verdana" w:cs="Arial"/>
          <w:i/>
          <w:iCs/>
        </w:rPr>
        <w:t>ibidem</w:t>
      </w:r>
      <w:r>
        <w:rPr>
          <w:rFonts w:ascii="Verdana" w:hAnsi="Verdana" w:cs="Arial"/>
        </w:rPr>
        <w:t xml:space="preserve"> </w:t>
      </w:r>
      <w:r w:rsidRPr="00280722">
        <w:rPr>
          <w:rFonts w:ascii="Verdana" w:hAnsi="Verdana" w:cs="Arial"/>
        </w:rPr>
        <w:lastRenderedPageBreak/>
        <w:t xml:space="preserve">se encuentran el contrato de obra, el contrato de consultoría, el contrato de prestación de servicios, el contrato de concesión y los encargos fiduciarios y fiducia pública. </w:t>
      </w:r>
    </w:p>
    <w:p w14:paraId="1A561AD3" w14:textId="77777777" w:rsidR="00B015A8" w:rsidRPr="00280722" w:rsidRDefault="00B015A8" w:rsidP="00B015A8">
      <w:pPr>
        <w:spacing w:after="120" w:line="276" w:lineRule="auto"/>
        <w:ind w:firstLine="708"/>
        <w:jc w:val="both"/>
        <w:rPr>
          <w:rFonts w:ascii="Verdana" w:hAnsi="Verdana" w:cs="Arial"/>
          <w:bCs/>
          <w:color w:val="000000" w:themeColor="text1"/>
          <w:lang w:val="es-ES"/>
        </w:rPr>
      </w:pPr>
      <w:r w:rsidRPr="00280722">
        <w:rPr>
          <w:rFonts w:ascii="Verdana" w:hAnsi="Verdana" w:cs="Arial"/>
          <w:lang w:eastAsia="es-MX"/>
        </w:rPr>
        <w:t>Aunque el contrato de arrendamiento no se encuentra dentro del listado enunciativo del</w:t>
      </w:r>
      <w:r w:rsidRPr="00280722">
        <w:rPr>
          <w:rFonts w:ascii="Verdana" w:hAnsi="Verdana" w:cs="Arial"/>
          <w:bCs/>
          <w:color w:val="000000" w:themeColor="text1"/>
          <w:lang w:val="es-ES"/>
        </w:rPr>
        <w:t xml:space="preserve"> artículo 32 de la Ley 80 de 1993, su regulación se encuentra en el Código Civil y en el Código de Comercio, principalmente, los artículos 1973 al 2078 del Código Civil que lo desarrollan. Pero también existen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w:t>
      </w:r>
    </w:p>
    <w:p w14:paraId="744FC912" w14:textId="77777777" w:rsidR="00B015A8" w:rsidRPr="009E0887" w:rsidRDefault="00B015A8" w:rsidP="00B015A8">
      <w:pPr>
        <w:spacing w:after="120" w:line="276" w:lineRule="auto"/>
        <w:ind w:firstLine="708"/>
        <w:jc w:val="both"/>
        <w:rPr>
          <w:rFonts w:ascii="Verdana" w:eastAsia="Calibri" w:hAnsi="Verdana" w:cs="Arial"/>
          <w:color w:val="000000" w:themeColor="text1"/>
          <w:lang w:val="es-ES"/>
        </w:rPr>
      </w:pPr>
      <w:r w:rsidRPr="009E0887">
        <w:rPr>
          <w:rFonts w:ascii="Verdana" w:eastAsia="Calibri" w:hAnsi="Verdana" w:cs="Arial"/>
          <w:color w:val="000000" w:themeColor="text1"/>
        </w:rPr>
        <w:t>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o arrendadora– se obliga a concederle a otra –llamada arrendatario o arrendataria– el uso y goce de un bien, a cambio de una renta o canon, diferenciándose del contrato de compraventa en que no opera una transferencia del dominio del bien cuyo uso y goce se entrega.</w:t>
      </w:r>
    </w:p>
    <w:p w14:paraId="33E1AF20" w14:textId="77777777" w:rsidR="00B015A8" w:rsidRPr="009E0887" w:rsidRDefault="00B015A8" w:rsidP="00B015A8">
      <w:pPr>
        <w:spacing w:after="120" w:line="276" w:lineRule="auto"/>
        <w:ind w:firstLine="360"/>
        <w:jc w:val="both"/>
        <w:rPr>
          <w:rFonts w:ascii="Verdana" w:eastAsia="Calibri" w:hAnsi="Verdana" w:cs="Arial"/>
          <w:color w:val="000000" w:themeColor="text1"/>
        </w:rPr>
      </w:pPr>
      <w:r>
        <w:rPr>
          <w:rFonts w:ascii="Verdana" w:eastAsia="Calibri" w:hAnsi="Verdana" w:cs="Arial"/>
          <w:color w:val="000000" w:themeColor="text1"/>
        </w:rPr>
        <w:tab/>
      </w:r>
      <w:r w:rsidRPr="009E0887">
        <w:rPr>
          <w:rFonts w:ascii="Verdana" w:eastAsia="Calibri" w:hAnsi="Verdana" w:cs="Arial"/>
          <w:color w:val="000000" w:themeColor="text1"/>
        </w:rPr>
        <w:t xml:space="preserve">En cuanto a sus características, la doctrina ha indicado que el arrendamiento es un contrato: i) bilateral, pues ambas partes se obligan recíprocamente; </w:t>
      </w:r>
      <w:proofErr w:type="spellStart"/>
      <w:r w:rsidRPr="009E0887">
        <w:rPr>
          <w:rFonts w:ascii="Verdana" w:eastAsia="Calibri" w:hAnsi="Verdana" w:cs="Arial"/>
          <w:color w:val="000000" w:themeColor="text1"/>
        </w:rPr>
        <w:t>ii</w:t>
      </w:r>
      <w:proofErr w:type="spellEnd"/>
      <w:r w:rsidRPr="009E0887">
        <w:rPr>
          <w:rFonts w:ascii="Verdana" w:eastAsia="Calibri" w:hAnsi="Verdana" w:cs="Arial"/>
          <w:color w:val="000000" w:themeColor="text1"/>
        </w:rPr>
        <w:t xml:space="preserve">) consensual, dado que se perfecciona con el consentimiento; </w:t>
      </w:r>
      <w:proofErr w:type="spellStart"/>
      <w:r w:rsidRPr="009E0887">
        <w:rPr>
          <w:rFonts w:ascii="Verdana" w:eastAsia="Calibri" w:hAnsi="Verdana" w:cs="Arial"/>
          <w:color w:val="000000" w:themeColor="text1"/>
        </w:rPr>
        <w:t>iii</w:t>
      </w:r>
      <w:proofErr w:type="spellEnd"/>
      <w:r w:rsidRPr="009E0887">
        <w:rPr>
          <w:rFonts w:ascii="Verdana" w:eastAsia="Calibri" w:hAnsi="Verdana" w:cs="Arial"/>
          <w:color w:val="000000" w:themeColor="text1"/>
        </w:rPr>
        <w:t xml:space="preserve">) oneroso, ya que ambas partes obtienen utilidades –el arrendatario, el uso y goce del bien, y el arrendador la renta o canon–; </w:t>
      </w:r>
      <w:proofErr w:type="spellStart"/>
      <w:r w:rsidRPr="009E0887">
        <w:rPr>
          <w:rFonts w:ascii="Verdana" w:eastAsia="Calibri" w:hAnsi="Verdana" w:cs="Arial"/>
          <w:color w:val="000000" w:themeColor="text1"/>
        </w:rPr>
        <w:t>iv</w:t>
      </w:r>
      <w:proofErr w:type="spellEnd"/>
      <w:r w:rsidRPr="009E0887">
        <w:rPr>
          <w:rFonts w:ascii="Verdana" w:eastAsia="Calibri" w:hAnsi="Verdana" w:cs="Arial"/>
          <w:color w:val="000000" w:themeColor="text1"/>
        </w:rPr>
        <w:t>) de ejecución sucesiva, en la medida en que se ejecuta en forma periódica; v) principal, porque existe en forma autónoma; y v) nominado, porque está tipificado y desarrollado en la ley.</w:t>
      </w:r>
    </w:p>
    <w:p w14:paraId="74083491" w14:textId="77777777" w:rsidR="00B015A8" w:rsidRDefault="00B015A8" w:rsidP="00B015A8">
      <w:pPr>
        <w:spacing w:after="120" w:line="276" w:lineRule="auto"/>
        <w:ind w:firstLine="360"/>
        <w:jc w:val="both"/>
        <w:rPr>
          <w:rFonts w:ascii="Verdana" w:eastAsia="Calibri" w:hAnsi="Verdana" w:cs="Arial"/>
          <w:color w:val="000000" w:themeColor="text1"/>
        </w:rPr>
      </w:pPr>
      <w:r>
        <w:rPr>
          <w:rFonts w:ascii="Verdana" w:eastAsia="Calibri" w:hAnsi="Verdana" w:cs="Arial"/>
          <w:color w:val="000000" w:themeColor="text1"/>
        </w:rPr>
        <w:tab/>
      </w:r>
      <w:r w:rsidRPr="009E0887">
        <w:rPr>
          <w:rFonts w:ascii="Verdana" w:eastAsia="Calibri" w:hAnsi="Verdana" w:cs="Arial"/>
          <w:color w:val="000000" w:themeColor="text1"/>
        </w:rPr>
        <w:t xml:space="preserve">En igual sentido, por su importancia en la contratación estatal, debe precisarse que la modalidad de selección aplicable a la celebración de los contratos de arrendamiento depende del régimen aplicable a la Entidad Estatal. Si se rige por el derecho privado, es decir, si está exceptuada del </w:t>
      </w:r>
      <w:r>
        <w:rPr>
          <w:rFonts w:ascii="Verdana" w:eastAsia="Calibri" w:hAnsi="Verdana" w:cs="Arial"/>
          <w:color w:val="000000" w:themeColor="text1"/>
        </w:rPr>
        <w:t>EGCAP</w:t>
      </w:r>
      <w:r w:rsidRPr="009E0887">
        <w:rPr>
          <w:rFonts w:ascii="Verdana" w:eastAsia="Calibri" w:hAnsi="Verdana" w:cs="Arial"/>
          <w:color w:val="000000" w:themeColor="text1"/>
        </w:rPr>
        <w:t xml:space="preserve">, debe aplicar en principio las normas civiles y comerciales mencionadas, en las cuales se permite la celebración directa del contrato de arrendamiento, pero si el </w:t>
      </w:r>
      <w:r w:rsidRPr="009E0887">
        <w:rPr>
          <w:rFonts w:ascii="Verdana" w:eastAsia="Calibri" w:hAnsi="Verdana" w:cs="Arial"/>
          <w:color w:val="000000" w:themeColor="text1"/>
        </w:rPr>
        <w:lastRenderedPageBreak/>
        <w:t xml:space="preserve">reglamento o manual interno de contratación de la entidad dispone que debe efectuar algún procedimiento especial, este prevalece. </w:t>
      </w:r>
    </w:p>
    <w:p w14:paraId="79D585A0" w14:textId="77777777" w:rsidR="00B015A8" w:rsidRDefault="00B015A8" w:rsidP="00B015A8">
      <w:pPr>
        <w:spacing w:after="0" w:line="276" w:lineRule="auto"/>
        <w:ind w:firstLine="708"/>
        <w:jc w:val="both"/>
        <w:rPr>
          <w:rFonts w:ascii="Verdana" w:hAnsi="Verdana"/>
          <w:bCs/>
          <w:color w:val="000000" w:themeColor="text1"/>
          <w:lang w:eastAsia="es-ES_tradnl"/>
        </w:rPr>
      </w:pPr>
      <w:r w:rsidRPr="009E0887">
        <w:rPr>
          <w:rFonts w:ascii="Verdana" w:eastAsia="Calibri" w:hAnsi="Verdana" w:cs="Arial"/>
          <w:color w:val="000000" w:themeColor="text1"/>
        </w:rPr>
        <w:t>En contrate, si la Entidad Estatal se rige por el EGCAP, bien sea que obre en calidad de arrendadora o arrendataria, debe acudir a la modalidad de selección de contratación directa si arrendara un inmueble</w:t>
      </w:r>
      <w:r>
        <w:rPr>
          <w:rFonts w:ascii="Verdana" w:eastAsia="Calibri" w:hAnsi="Verdana" w:cs="Arial"/>
          <w:color w:val="000000" w:themeColor="text1"/>
        </w:rPr>
        <w:t xml:space="preserve">. Esto, </w:t>
      </w:r>
      <w:r w:rsidRPr="009E0887">
        <w:rPr>
          <w:rFonts w:ascii="Verdana" w:eastAsia="Calibri" w:hAnsi="Verdana" w:cs="Arial"/>
          <w:color w:val="000000" w:themeColor="text1"/>
        </w:rPr>
        <w:t xml:space="preserve">pues el literal i) </w:t>
      </w:r>
      <w:r>
        <w:rPr>
          <w:rFonts w:ascii="Verdana" w:eastAsia="Calibri" w:hAnsi="Verdana" w:cs="Arial"/>
          <w:color w:val="000000" w:themeColor="text1"/>
        </w:rPr>
        <w:t xml:space="preserve">del </w:t>
      </w:r>
      <w:r w:rsidRPr="009E0887">
        <w:rPr>
          <w:rFonts w:ascii="Verdana" w:eastAsia="Calibri" w:hAnsi="Verdana" w:cs="Arial"/>
          <w:color w:val="000000" w:themeColor="text1"/>
        </w:rPr>
        <w:t xml:space="preserve">numeral 4° </w:t>
      </w:r>
      <w:r>
        <w:rPr>
          <w:rFonts w:ascii="Verdana" w:eastAsia="Calibri" w:hAnsi="Verdana" w:cs="Arial"/>
          <w:color w:val="000000" w:themeColor="text1"/>
        </w:rPr>
        <w:t xml:space="preserve">del </w:t>
      </w:r>
      <w:r w:rsidRPr="009E0887">
        <w:rPr>
          <w:rFonts w:ascii="Verdana" w:eastAsia="Calibri" w:hAnsi="Verdana" w:cs="Arial"/>
          <w:color w:val="000000" w:themeColor="text1"/>
        </w:rPr>
        <w:t>artículo 2º de la Ley 1150 de 2007 establece que una de las causales de este procedimiento es</w:t>
      </w:r>
      <w:r>
        <w:rPr>
          <w:rFonts w:ascii="Verdana" w:eastAsia="Calibri" w:hAnsi="Verdana" w:cs="Arial"/>
          <w:color w:val="000000" w:themeColor="text1"/>
        </w:rPr>
        <w:t>:</w:t>
      </w:r>
      <w:r w:rsidRPr="009E0887">
        <w:rPr>
          <w:rFonts w:ascii="Verdana" w:eastAsia="Calibri" w:hAnsi="Verdana" w:cs="Arial"/>
          <w:color w:val="000000" w:themeColor="text1"/>
        </w:rPr>
        <w:t xml:space="preserve"> “i) El arrendamiento o adquisición de inmuebles”. </w:t>
      </w:r>
      <w:r w:rsidRPr="009E0887">
        <w:rPr>
          <w:rFonts w:ascii="Verdana" w:hAnsi="Verdana"/>
          <w:bCs/>
          <w:color w:val="000000" w:themeColor="text1"/>
          <w:lang w:eastAsia="es-ES_tradnl"/>
        </w:rPr>
        <w:t xml:space="preserve">Adicionalmente, el artículo 2.2.1.2.1.4.11 del Decreto 1082 de 2015 dispone que las Entidades Estatales pueden alquilar o arrendar inmuebles mediante contratación directa para lo cual deben seguir las siguientes reglas: </w:t>
      </w:r>
    </w:p>
    <w:p w14:paraId="0F743B25" w14:textId="77777777" w:rsidR="00B015A8" w:rsidRPr="009E0887" w:rsidRDefault="00B015A8" w:rsidP="00B015A8">
      <w:pPr>
        <w:spacing w:after="0" w:line="276" w:lineRule="auto"/>
        <w:ind w:firstLine="709"/>
        <w:jc w:val="both"/>
        <w:rPr>
          <w:rFonts w:ascii="Verdana" w:hAnsi="Verdana"/>
          <w:bCs/>
          <w:color w:val="000000" w:themeColor="text1"/>
          <w:lang w:eastAsia="es-ES_tradnl"/>
        </w:rPr>
      </w:pPr>
    </w:p>
    <w:p w14:paraId="790DC332" w14:textId="77777777" w:rsidR="00B015A8" w:rsidRPr="00280722" w:rsidRDefault="00B015A8" w:rsidP="00B015A8">
      <w:pPr>
        <w:spacing w:after="0" w:line="240" w:lineRule="auto"/>
        <w:ind w:left="709" w:right="709"/>
        <w:jc w:val="both"/>
        <w:rPr>
          <w:rFonts w:ascii="Verdana" w:eastAsia="Calibri" w:hAnsi="Verdana" w:cs="Arial"/>
          <w:sz w:val="20"/>
          <w:szCs w:val="20"/>
          <w:lang w:val="es-MX"/>
        </w:rPr>
      </w:pPr>
      <w:r w:rsidRPr="00280722">
        <w:rPr>
          <w:rFonts w:ascii="Verdana" w:eastAsia="Calibri" w:hAnsi="Verdana" w:cs="Arial"/>
          <w:sz w:val="20"/>
          <w:szCs w:val="20"/>
          <w:lang w:val="es-MX"/>
        </w:rPr>
        <w:t>“1.    Verificar las condiciones del mercado inmobiliario en la ciudad en la que la Entidad Estatal requiere el inmueble.</w:t>
      </w:r>
    </w:p>
    <w:p w14:paraId="20063D51" w14:textId="77777777" w:rsidR="00B015A8" w:rsidRPr="00280722" w:rsidRDefault="00B015A8" w:rsidP="00B015A8">
      <w:pPr>
        <w:spacing w:after="0" w:line="240" w:lineRule="auto"/>
        <w:ind w:left="709" w:right="709"/>
        <w:jc w:val="both"/>
        <w:rPr>
          <w:rFonts w:ascii="Verdana" w:eastAsia="Calibri" w:hAnsi="Verdana" w:cs="Arial"/>
          <w:sz w:val="20"/>
          <w:szCs w:val="20"/>
          <w:lang w:val="es-MX"/>
        </w:rPr>
      </w:pPr>
    </w:p>
    <w:p w14:paraId="2A6B127C" w14:textId="77777777" w:rsidR="00B015A8" w:rsidRPr="00280722" w:rsidRDefault="00B015A8" w:rsidP="00B015A8">
      <w:pPr>
        <w:spacing w:after="0" w:line="240" w:lineRule="auto"/>
        <w:ind w:left="709" w:right="709"/>
        <w:jc w:val="both"/>
        <w:rPr>
          <w:rFonts w:ascii="Verdana" w:eastAsia="Calibri" w:hAnsi="Verdana" w:cs="Arial"/>
          <w:sz w:val="20"/>
          <w:szCs w:val="20"/>
          <w:lang w:val="es-MX"/>
        </w:rPr>
      </w:pPr>
      <w:r w:rsidRPr="00280722">
        <w:rPr>
          <w:rFonts w:ascii="Verdana" w:eastAsia="Calibri" w:hAnsi="Verdana" w:cs="Arial"/>
          <w:sz w:val="20"/>
          <w:szCs w:val="20"/>
          <w:lang w:val="es-MX"/>
        </w:rPr>
        <w:t>2.    Analizar y comparar las condiciones de los bienes inmuebles que satisfacen las necesidades identificadas y las opciones de arrendamiento, análisis que deberá tener en cuenta los principios y objetivos del sistema de compra y contratación pública”.</w:t>
      </w:r>
    </w:p>
    <w:p w14:paraId="68B0F284" w14:textId="77777777" w:rsidR="00B015A8" w:rsidRDefault="00B015A8" w:rsidP="00B015A8">
      <w:pPr>
        <w:spacing w:after="0" w:line="276" w:lineRule="auto"/>
        <w:ind w:firstLine="357"/>
        <w:jc w:val="both"/>
        <w:rPr>
          <w:rFonts w:ascii="Verdana" w:hAnsi="Verdana"/>
          <w:color w:val="000000" w:themeColor="text1"/>
          <w:lang w:eastAsia="es-ES"/>
        </w:rPr>
      </w:pPr>
    </w:p>
    <w:p w14:paraId="67549921" w14:textId="77777777" w:rsidR="00B015A8" w:rsidRPr="00023091" w:rsidRDefault="00B015A8" w:rsidP="00B015A8">
      <w:pPr>
        <w:spacing w:after="120" w:line="276" w:lineRule="auto"/>
        <w:ind w:firstLine="708"/>
        <w:jc w:val="both"/>
        <w:rPr>
          <w:rFonts w:ascii="Verdana" w:hAnsi="Verdana"/>
          <w:color w:val="000000" w:themeColor="text1"/>
          <w:lang w:val="es-ES" w:eastAsia="es-ES"/>
        </w:rPr>
      </w:pPr>
      <w:r w:rsidRPr="00023091">
        <w:rPr>
          <w:rFonts w:ascii="Verdana" w:hAnsi="Verdana"/>
          <w:color w:val="000000" w:themeColor="text1"/>
          <w:lang w:val="es-ES" w:eastAsia="es-ES"/>
        </w:rPr>
        <w:t xml:space="preserve">Conforme lo anterior, la entidad debe elaborar los </w:t>
      </w:r>
      <w:proofErr w:type="gramStart"/>
      <w:r w:rsidRPr="00023091">
        <w:rPr>
          <w:rFonts w:ascii="Verdana" w:hAnsi="Verdana"/>
          <w:color w:val="000000" w:themeColor="text1"/>
          <w:lang w:val="es-ES" w:eastAsia="es-ES"/>
        </w:rPr>
        <w:t>estudios previos y documentos previos</w:t>
      </w:r>
      <w:proofErr w:type="gramEnd"/>
      <w:r w:rsidRPr="00023091">
        <w:rPr>
          <w:rFonts w:ascii="Verdana" w:hAnsi="Verdana"/>
          <w:color w:val="000000" w:themeColor="text1"/>
          <w:lang w:val="es-ES" w:eastAsia="es-ES"/>
        </w:rPr>
        <w:t xml:space="preserve"> y verificar las condiciones del mercado inmobiliario en la ciudad donde la Entidad Estatal requiere el documento. Además, tiene el deber analizar y comparar las condiciones de los bienes inmuebles que satisfacen sus necesidades; y de tener en cuenta los principios y objetivos del Sistema de Compra y Contratación Pública.</w:t>
      </w:r>
    </w:p>
    <w:p w14:paraId="33836566" w14:textId="77777777" w:rsidR="00B015A8" w:rsidRPr="00023091" w:rsidRDefault="00B015A8" w:rsidP="00B015A8">
      <w:pPr>
        <w:spacing w:after="120" w:line="276" w:lineRule="auto"/>
        <w:ind w:firstLine="708"/>
        <w:jc w:val="both"/>
        <w:rPr>
          <w:rFonts w:ascii="Verdana" w:eastAsia="Calibri" w:hAnsi="Verdana" w:cs="Arial"/>
          <w:color w:val="000000" w:themeColor="text1"/>
        </w:rPr>
      </w:pPr>
      <w:r w:rsidRPr="00023091">
        <w:rPr>
          <w:rFonts w:ascii="Verdana" w:hAnsi="Verdana"/>
          <w:color w:val="000000" w:themeColor="text1"/>
          <w:lang w:eastAsia="es-ES"/>
        </w:rPr>
        <w:t xml:space="preserve">En contraste, si se trata de arrendamiento de bienes muebles, la modalidad aplicable será la licitación pública, la selección abreviada o la mínima cuantía, según corresponda dependiendo del valor de la contratación. Lo anterior, en la medida que no se encuentran dentro de las causales de contratación directa que expresamente señala el numeral 4 del artículo 2 de la Ley 1150 de 2007. </w:t>
      </w:r>
      <w:r w:rsidRPr="00023091">
        <w:rPr>
          <w:rFonts w:ascii="Verdana" w:eastAsia="Calibri" w:hAnsi="Verdana" w:cs="Arial"/>
          <w:color w:val="000000" w:themeColor="text1"/>
        </w:rPr>
        <w:t>En ambos supuestos la Entidad Estatal también debe aplicar las normas civiles y comerciales que regulan la sustantividad del contrato de arrendamiento, porque a estas se remiten los artículos 13, 32 y 40 de la Ley 80 de 1993.</w:t>
      </w:r>
    </w:p>
    <w:p w14:paraId="52D5CECC" w14:textId="77777777" w:rsidR="00B015A8" w:rsidRPr="00023091" w:rsidRDefault="00B015A8" w:rsidP="00B015A8">
      <w:pPr>
        <w:spacing w:after="120" w:line="276" w:lineRule="auto"/>
        <w:ind w:firstLine="708"/>
        <w:jc w:val="both"/>
        <w:rPr>
          <w:rFonts w:ascii="Verdana" w:hAnsi="Verdana"/>
          <w:color w:val="000000" w:themeColor="text1"/>
          <w:lang w:eastAsia="es-ES"/>
        </w:rPr>
      </w:pPr>
      <w:r w:rsidRPr="00023091">
        <w:rPr>
          <w:rFonts w:ascii="Verdana" w:hAnsi="Verdana"/>
          <w:color w:val="000000" w:themeColor="text1"/>
          <w:lang w:eastAsia="es-ES"/>
        </w:rPr>
        <w:t>Si el arrendamiento recae sobre bienes públicos debe tenerse en cuenta que la Sección Tercera del Consejo de Estado señaló que los bienes que pueden ser susceptibles de arrendamiento son únicamente los bienes fiscales, no los bienes de uso público.</w:t>
      </w:r>
    </w:p>
    <w:p w14:paraId="6F6B52A8" w14:textId="77777777" w:rsidR="00B015A8" w:rsidRPr="00023091" w:rsidRDefault="00B015A8" w:rsidP="00B015A8">
      <w:pPr>
        <w:spacing w:after="120" w:line="276" w:lineRule="auto"/>
        <w:ind w:firstLine="360"/>
        <w:jc w:val="both"/>
        <w:rPr>
          <w:rFonts w:ascii="Verdana" w:eastAsia="Calibri" w:hAnsi="Verdana"/>
          <w:color w:val="000000" w:themeColor="text1"/>
        </w:rPr>
      </w:pPr>
      <w:r w:rsidRPr="00023091">
        <w:rPr>
          <w:rFonts w:ascii="Verdana" w:eastAsia="Calibri" w:hAnsi="Verdana" w:cs="Arial"/>
          <w:color w:val="000000" w:themeColor="text1"/>
          <w:lang w:val="es-ES_tradnl"/>
        </w:rPr>
        <w:lastRenderedPageBreak/>
        <w:tab/>
      </w:r>
      <w:r w:rsidRPr="00023091">
        <w:rPr>
          <w:rFonts w:ascii="Verdana" w:eastAsia="Calibri" w:hAnsi="Verdana"/>
          <w:color w:val="000000" w:themeColor="text1"/>
        </w:rPr>
        <w:t xml:space="preserve">Por otro lado, la Ley 80 de 1993, en el texto original del artículo 41, estableció que los requisitos para perfeccionar el contrato eran: i) llegar a un acuerdo sobre el objeto y la contraprestación y </w:t>
      </w:r>
      <w:proofErr w:type="spellStart"/>
      <w:r w:rsidRPr="00023091">
        <w:rPr>
          <w:rFonts w:ascii="Verdana" w:eastAsia="Calibri" w:hAnsi="Verdana"/>
          <w:color w:val="000000" w:themeColor="text1"/>
        </w:rPr>
        <w:t>ii</w:t>
      </w:r>
      <w:proofErr w:type="spellEnd"/>
      <w:r w:rsidRPr="00023091">
        <w:rPr>
          <w:rFonts w:ascii="Verdana" w:eastAsia="Calibri" w:hAnsi="Verdana"/>
          <w:color w:val="000000" w:themeColor="text1"/>
        </w:rPr>
        <w:t xml:space="preserve">) que conste por escrito. Por su parte, para iniciar la ejecución se requería: i) la constitución y aprobación de la garantía y </w:t>
      </w:r>
      <w:proofErr w:type="spellStart"/>
      <w:r w:rsidRPr="00023091">
        <w:rPr>
          <w:rFonts w:ascii="Verdana" w:eastAsia="Calibri" w:hAnsi="Verdana"/>
          <w:color w:val="000000" w:themeColor="text1"/>
        </w:rPr>
        <w:t>ii</w:t>
      </w:r>
      <w:proofErr w:type="spellEnd"/>
      <w:r w:rsidRPr="00023091">
        <w:rPr>
          <w:rFonts w:ascii="Verdana" w:eastAsia="Calibri" w:hAnsi="Verdana"/>
          <w:color w:val="000000" w:themeColor="text1"/>
        </w:rPr>
        <w:t>) la existencia del registro presupuestal.</w:t>
      </w:r>
    </w:p>
    <w:p w14:paraId="034EDC1D" w14:textId="77777777" w:rsidR="00B015A8" w:rsidRPr="00023091" w:rsidRDefault="00B015A8" w:rsidP="00B015A8">
      <w:pPr>
        <w:spacing w:after="120" w:line="276" w:lineRule="auto"/>
        <w:ind w:firstLine="360"/>
        <w:jc w:val="both"/>
        <w:rPr>
          <w:rFonts w:ascii="Verdana" w:hAnsi="Verdana"/>
          <w:color w:val="000000" w:themeColor="text1"/>
          <w:lang w:eastAsia="es-ES"/>
        </w:rPr>
      </w:pPr>
      <w:r w:rsidRPr="00023091">
        <w:rPr>
          <w:rFonts w:ascii="Verdana" w:hAnsi="Verdana"/>
          <w:bCs/>
          <w:color w:val="000000" w:themeColor="text1"/>
          <w:lang w:eastAsia="es-ES_tradnl"/>
        </w:rPr>
        <w:tab/>
      </w:r>
      <w:r w:rsidRPr="00023091">
        <w:rPr>
          <w:rFonts w:ascii="Verdana" w:hAnsi="Verdana"/>
          <w:color w:val="000000" w:themeColor="text1"/>
          <w:lang w:eastAsia="es-ES"/>
        </w:rPr>
        <w:t xml:space="preserve">En virtud de este contrato, las partes se obligan, una a conceder el goce del inmueble, y otra a pagar un precio por el mismo. Estos contratos tienen como elementos característicos, conforme a la ley y a la jurisprudencia del Consejo de Estado, los siguientes: i) entrega de un bien que efectúa el arrendador al arrendatario para el goce o uso exclusivo de este y </w:t>
      </w:r>
      <w:proofErr w:type="spellStart"/>
      <w:r w:rsidRPr="00023091">
        <w:rPr>
          <w:rFonts w:ascii="Verdana" w:hAnsi="Verdana"/>
          <w:color w:val="000000" w:themeColor="text1"/>
          <w:lang w:eastAsia="es-ES"/>
        </w:rPr>
        <w:t>ii</w:t>
      </w:r>
      <w:proofErr w:type="spellEnd"/>
      <w:r w:rsidRPr="00023091">
        <w:rPr>
          <w:rFonts w:ascii="Verdana" w:hAnsi="Verdana"/>
          <w:color w:val="000000" w:themeColor="text1"/>
          <w:lang w:eastAsia="es-ES"/>
        </w:rPr>
        <w:t xml:space="preserve">) el pago de un precio por el uso o goce del bien arrendado. </w:t>
      </w:r>
    </w:p>
    <w:p w14:paraId="035EF95D" w14:textId="77777777" w:rsidR="00B015A8" w:rsidRPr="00023091" w:rsidRDefault="00B015A8" w:rsidP="00B015A8">
      <w:pPr>
        <w:spacing w:after="120" w:line="276" w:lineRule="auto"/>
        <w:ind w:firstLine="708"/>
        <w:jc w:val="both"/>
        <w:rPr>
          <w:rFonts w:ascii="Verdana" w:eastAsia="Calibri" w:hAnsi="Verdana"/>
          <w:color w:val="000000" w:themeColor="text1"/>
        </w:rPr>
      </w:pPr>
      <w:r w:rsidRPr="00023091">
        <w:rPr>
          <w:rFonts w:ascii="Verdana" w:eastAsia="Calibri" w:hAnsi="Verdana"/>
          <w:color w:val="000000" w:themeColor="text1"/>
        </w:rPr>
        <w:t>No cabe duda, pues, de que el contrato de arrendamiento, al ser un contrato oneroso, genera para el arrendador una renta periódica y, en tal sentido, hace que se encuentre obligado a cotizar al Sistema de Seguridad Social Integral, si el canon es superior a un salario mínimo mensual legal vigente. En efecto, el artículo 2000 del Código Civil establece que “El arrendatario es obligado al pago del precio o renta”. Es decir que la renta es un elemento de la esencia del contrato de arrendamiento. Si el “arrendador” no la percibiera no sería un arrendamiento, sino un comodato.</w:t>
      </w:r>
    </w:p>
    <w:p w14:paraId="6D911A6F" w14:textId="77777777" w:rsidR="00B015A8" w:rsidRPr="00023091" w:rsidRDefault="00B015A8" w:rsidP="00B015A8">
      <w:pPr>
        <w:spacing w:after="120" w:line="276" w:lineRule="auto"/>
        <w:ind w:firstLine="708"/>
        <w:jc w:val="both"/>
        <w:rPr>
          <w:rFonts w:ascii="Verdana" w:eastAsia="Calibri" w:hAnsi="Verdana" w:cs="Arial"/>
          <w:color w:val="000000" w:themeColor="text1"/>
        </w:rPr>
      </w:pPr>
      <w:r w:rsidRPr="00023091">
        <w:rPr>
          <w:rFonts w:ascii="Verdana" w:eastAsia="Calibri" w:hAnsi="Verdana" w:cs="Arial"/>
          <w:color w:val="000000" w:themeColor="text1"/>
        </w:rPr>
        <w:t>Además, otro aspecto importante del contrato de arrendamiento consiste en la imposibilidad de pactar cláusulas de prórroga automática, puesto que el Consejo de Estado explica que  en el EGCAP no existe norma alguna que autorice pactar prórrogas automáticas que favorezcan a un determinado contratista, resulta violatorio de los principios generales de libre concurrencia, de igualdad, de imparcialidad, de prevalencia del interés general y de transparencia que rigen todas las actuaciones contractuales de las entidades estatales.</w:t>
      </w:r>
    </w:p>
    <w:p w14:paraId="41B33373" w14:textId="77777777" w:rsidR="000A2B4E" w:rsidRDefault="000A2B4E" w:rsidP="00187855">
      <w:pPr>
        <w:tabs>
          <w:tab w:val="left" w:pos="142"/>
          <w:tab w:val="left" w:pos="284"/>
        </w:tabs>
        <w:spacing w:after="0" w:line="276" w:lineRule="auto"/>
        <w:jc w:val="both"/>
        <w:rPr>
          <w:rFonts w:ascii="Verdana" w:eastAsia="Century Gothic" w:hAnsi="Verdana" w:cs="Century Gothic"/>
          <w:b/>
          <w:bCs/>
        </w:rPr>
      </w:pPr>
    </w:p>
    <w:p w14:paraId="1AAA8D53" w14:textId="418FB8D9" w:rsidR="00187855" w:rsidRPr="00CC5C68" w:rsidRDefault="00187855" w:rsidP="00187855">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4. Referencias normativas, jurisprudenciales y otras fuentes:</w:t>
      </w:r>
    </w:p>
    <w:p w14:paraId="1BFC5CEE" w14:textId="77777777" w:rsidR="00187855" w:rsidRPr="00CC5C68" w:rsidRDefault="00187855" w:rsidP="0018785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87855" w:rsidRPr="00CC5C68" w14:paraId="12123090" w14:textId="77777777" w:rsidTr="00E075F9">
        <w:trPr>
          <w:trHeight w:val="870"/>
        </w:trPr>
        <w:tc>
          <w:tcPr>
            <w:tcW w:w="8647" w:type="dxa"/>
          </w:tcPr>
          <w:p w14:paraId="2751EE6D" w14:textId="77777777" w:rsidR="00B015A8" w:rsidRPr="00B015A8" w:rsidRDefault="00B015A8" w:rsidP="00B015A8">
            <w:pPr>
              <w:pStyle w:val="Prrafodelista"/>
              <w:widowControl w:val="0"/>
              <w:numPr>
                <w:ilvl w:val="0"/>
                <w:numId w:val="1"/>
              </w:numPr>
              <w:autoSpaceDE w:val="0"/>
              <w:autoSpaceDN w:val="0"/>
              <w:spacing w:after="120" w:line="276" w:lineRule="auto"/>
              <w:jc w:val="both"/>
              <w:rPr>
                <w:rFonts w:ascii="Verdana" w:hAnsi="Verdana" w:cs="Arial"/>
              </w:rPr>
            </w:pPr>
            <w:r w:rsidRPr="00B015A8">
              <w:rPr>
                <w:rFonts w:ascii="Verdana" w:hAnsi="Verdana" w:cs="Arial"/>
              </w:rPr>
              <w:t>Ley 80 de 1993: Artículos 32 y 41.</w:t>
            </w:r>
          </w:p>
          <w:p w14:paraId="0D349C73" w14:textId="77777777" w:rsidR="00B015A8" w:rsidRPr="00B015A8" w:rsidRDefault="00B015A8" w:rsidP="00B015A8">
            <w:pPr>
              <w:pStyle w:val="Prrafodelista"/>
              <w:widowControl w:val="0"/>
              <w:numPr>
                <w:ilvl w:val="0"/>
                <w:numId w:val="1"/>
              </w:numPr>
              <w:autoSpaceDE w:val="0"/>
              <w:autoSpaceDN w:val="0"/>
              <w:spacing w:after="120" w:line="276" w:lineRule="auto"/>
              <w:jc w:val="both"/>
              <w:rPr>
                <w:rFonts w:ascii="Verdana" w:hAnsi="Verdana" w:cs="Arial"/>
              </w:rPr>
            </w:pPr>
            <w:r w:rsidRPr="00B015A8">
              <w:rPr>
                <w:rFonts w:ascii="Verdana" w:hAnsi="Verdana" w:cs="Arial"/>
              </w:rPr>
              <w:t>Ley 1150 de 2007: Artículo 2, numeral 4, artículo 5.</w:t>
            </w:r>
          </w:p>
          <w:p w14:paraId="518E1E2B" w14:textId="36629AE1" w:rsidR="00B015A8" w:rsidRDefault="00B015A8" w:rsidP="00B015A8">
            <w:pPr>
              <w:pStyle w:val="Prrafodelista"/>
              <w:widowControl w:val="0"/>
              <w:numPr>
                <w:ilvl w:val="0"/>
                <w:numId w:val="1"/>
              </w:numPr>
              <w:autoSpaceDE w:val="0"/>
              <w:autoSpaceDN w:val="0"/>
              <w:spacing w:after="120" w:line="276" w:lineRule="auto"/>
              <w:jc w:val="both"/>
              <w:rPr>
                <w:rFonts w:ascii="Verdana" w:hAnsi="Verdana" w:cs="Arial"/>
              </w:rPr>
            </w:pPr>
            <w:r w:rsidRPr="00B015A8">
              <w:rPr>
                <w:rFonts w:ascii="Verdana" w:hAnsi="Verdana" w:cs="Arial"/>
              </w:rPr>
              <w:t>Decreto 1082 de 2015: Artículo 2.2.1.2.1.4.11.</w:t>
            </w:r>
          </w:p>
          <w:p w14:paraId="3B85DDA5" w14:textId="4236F627" w:rsidR="00187855" w:rsidRDefault="00187855" w:rsidP="00187855">
            <w:pPr>
              <w:pStyle w:val="Prrafodelista"/>
              <w:widowControl w:val="0"/>
              <w:numPr>
                <w:ilvl w:val="0"/>
                <w:numId w:val="1"/>
              </w:numPr>
              <w:autoSpaceDE w:val="0"/>
              <w:autoSpaceDN w:val="0"/>
              <w:spacing w:after="120" w:line="276" w:lineRule="auto"/>
              <w:jc w:val="both"/>
              <w:rPr>
                <w:rFonts w:ascii="Verdana" w:hAnsi="Verdana" w:cs="Arial"/>
              </w:rPr>
            </w:pPr>
            <w:r w:rsidRPr="00745CAA">
              <w:rPr>
                <w:rFonts w:ascii="Verdana" w:hAnsi="Verdana" w:cs="Arial"/>
              </w:rPr>
              <w:t xml:space="preserve">Ley </w:t>
            </w:r>
            <w:r w:rsidR="00624B56">
              <w:rPr>
                <w:rFonts w:ascii="Verdana" w:hAnsi="Verdana" w:cs="Arial"/>
              </w:rPr>
              <w:t>996</w:t>
            </w:r>
            <w:r w:rsidRPr="00745CAA">
              <w:rPr>
                <w:rFonts w:ascii="Verdana" w:hAnsi="Verdana" w:cs="Arial"/>
              </w:rPr>
              <w:t xml:space="preserve"> de 200</w:t>
            </w:r>
            <w:r w:rsidR="00624B56">
              <w:rPr>
                <w:rFonts w:ascii="Verdana" w:hAnsi="Verdana" w:cs="Arial"/>
              </w:rPr>
              <w:t>5</w:t>
            </w:r>
            <w:r w:rsidRPr="00745CAA">
              <w:rPr>
                <w:rFonts w:ascii="Verdana" w:hAnsi="Verdana" w:cs="Arial"/>
              </w:rPr>
              <w:t>, artículo</w:t>
            </w:r>
            <w:r w:rsidR="002E3BF9">
              <w:rPr>
                <w:rFonts w:ascii="Verdana" w:hAnsi="Verdana" w:cs="Arial"/>
              </w:rPr>
              <w:t>s</w:t>
            </w:r>
            <w:r w:rsidR="00624B56">
              <w:rPr>
                <w:rFonts w:ascii="Verdana" w:hAnsi="Verdana" w:cs="Arial"/>
              </w:rPr>
              <w:t xml:space="preserve"> 3</w:t>
            </w:r>
            <w:r w:rsidR="002E3BF9">
              <w:rPr>
                <w:rFonts w:ascii="Verdana" w:hAnsi="Verdana" w:cs="Arial"/>
              </w:rPr>
              <w:t>3 y 38</w:t>
            </w:r>
            <w:r w:rsidRPr="00745CAA">
              <w:rPr>
                <w:rFonts w:ascii="Verdana" w:hAnsi="Verdana" w:cs="Arial"/>
              </w:rPr>
              <w:t>.</w:t>
            </w:r>
          </w:p>
          <w:p w14:paraId="169162BE" w14:textId="47FBC31D" w:rsidR="003E412A" w:rsidRPr="003E412A" w:rsidRDefault="003E412A" w:rsidP="00187855">
            <w:pPr>
              <w:pStyle w:val="Prrafodelista"/>
              <w:widowControl w:val="0"/>
              <w:numPr>
                <w:ilvl w:val="0"/>
                <w:numId w:val="1"/>
              </w:numPr>
              <w:autoSpaceDE w:val="0"/>
              <w:autoSpaceDN w:val="0"/>
              <w:spacing w:after="120" w:line="276" w:lineRule="auto"/>
              <w:jc w:val="both"/>
              <w:rPr>
                <w:rFonts w:ascii="Verdana" w:hAnsi="Verdana" w:cs="Arial"/>
              </w:rPr>
            </w:pPr>
            <w:r w:rsidRPr="00F02C5A">
              <w:rPr>
                <w:rFonts w:ascii="Verdana" w:eastAsia="Times New Roman" w:hAnsi="Verdana" w:cs="Arial"/>
                <w:lang w:val="es-MX" w:eastAsia="x-none"/>
              </w:rPr>
              <w:t>Corte Constitucional, Sentencia C-1153 de noviembre 11 de 2005</w:t>
            </w:r>
            <w:r>
              <w:rPr>
                <w:rFonts w:ascii="Verdana" w:eastAsia="Times New Roman" w:hAnsi="Verdana" w:cs="Arial"/>
                <w:lang w:val="es-MX" w:eastAsia="x-none"/>
              </w:rPr>
              <w:t>.</w:t>
            </w:r>
          </w:p>
          <w:p w14:paraId="4D2FE493" w14:textId="77777777" w:rsidR="003E412A" w:rsidRPr="003E412A" w:rsidRDefault="003E412A" w:rsidP="003E412A">
            <w:pPr>
              <w:pStyle w:val="Prrafodelista"/>
              <w:widowControl w:val="0"/>
              <w:numPr>
                <w:ilvl w:val="0"/>
                <w:numId w:val="1"/>
              </w:numPr>
              <w:autoSpaceDE w:val="0"/>
              <w:autoSpaceDN w:val="0"/>
              <w:spacing w:after="120" w:line="276" w:lineRule="auto"/>
              <w:jc w:val="both"/>
              <w:rPr>
                <w:rFonts w:ascii="Verdana" w:hAnsi="Verdana" w:cs="Arial"/>
              </w:rPr>
            </w:pPr>
            <w:r w:rsidRPr="003E412A">
              <w:rPr>
                <w:rFonts w:ascii="Verdana" w:hAnsi="Verdana" w:cs="Arial"/>
              </w:rPr>
              <w:t>Consejo de Estado. Sala de Consulta y Servicio Civil, Concepto de 8 de mayo de 2018. Radicación Número: 11001-03-06-000-2018-</w:t>
            </w:r>
            <w:r w:rsidRPr="003E412A">
              <w:rPr>
                <w:rFonts w:ascii="Verdana" w:hAnsi="Verdana" w:cs="Arial"/>
              </w:rPr>
              <w:lastRenderedPageBreak/>
              <w:t>00095-00(2382). Consejero Ponente: Álvaro Namén Vargas.</w:t>
            </w:r>
          </w:p>
          <w:p w14:paraId="614CF042" w14:textId="1CF73028" w:rsidR="003E412A" w:rsidRDefault="003E412A" w:rsidP="003E412A">
            <w:pPr>
              <w:pStyle w:val="Prrafodelista"/>
              <w:widowControl w:val="0"/>
              <w:numPr>
                <w:ilvl w:val="0"/>
                <w:numId w:val="1"/>
              </w:numPr>
              <w:autoSpaceDE w:val="0"/>
              <w:autoSpaceDN w:val="0"/>
              <w:spacing w:after="120" w:line="276" w:lineRule="auto"/>
              <w:jc w:val="both"/>
              <w:rPr>
                <w:rFonts w:ascii="Verdana" w:hAnsi="Verdana" w:cs="Arial"/>
              </w:rPr>
            </w:pPr>
            <w:r w:rsidRPr="003E412A">
              <w:rPr>
                <w:rFonts w:ascii="Verdana" w:hAnsi="Verdana" w:cs="Arial"/>
              </w:rPr>
              <w:t xml:space="preserve">Consejo de Estado. Sala de Consulta y Servicio Civil. Concepto del 08 de mayo de 2018. </w:t>
            </w:r>
            <w:proofErr w:type="spellStart"/>
            <w:r w:rsidRPr="003E412A">
              <w:rPr>
                <w:rFonts w:ascii="Verdana" w:hAnsi="Verdana" w:cs="Arial"/>
              </w:rPr>
              <w:t>Exp</w:t>
            </w:r>
            <w:proofErr w:type="spellEnd"/>
            <w:r w:rsidRPr="003E412A">
              <w:rPr>
                <w:rFonts w:ascii="Verdana" w:hAnsi="Verdana" w:cs="Arial"/>
              </w:rPr>
              <w:t>. 2.382. C.P. Álvaro Namén Vargas.</w:t>
            </w:r>
          </w:p>
          <w:p w14:paraId="01F3B556" w14:textId="6CBE424E" w:rsidR="007E43EB" w:rsidRPr="007E43EB" w:rsidRDefault="007E43EB" w:rsidP="007E43EB">
            <w:pPr>
              <w:pStyle w:val="Prrafodelista"/>
              <w:widowControl w:val="0"/>
              <w:numPr>
                <w:ilvl w:val="0"/>
                <w:numId w:val="1"/>
              </w:numPr>
              <w:autoSpaceDE w:val="0"/>
              <w:autoSpaceDN w:val="0"/>
              <w:spacing w:after="120" w:line="276" w:lineRule="auto"/>
              <w:jc w:val="both"/>
              <w:rPr>
                <w:rFonts w:ascii="Verdana" w:hAnsi="Verdana" w:cs="Arial"/>
              </w:rPr>
            </w:pPr>
            <w:r>
              <w:rPr>
                <w:rFonts w:ascii="Verdana" w:hAnsi="Verdana" w:cs="Arial"/>
              </w:rPr>
              <w:t>C</w:t>
            </w:r>
            <w:r w:rsidRPr="007E43EB">
              <w:rPr>
                <w:rFonts w:ascii="Verdana" w:hAnsi="Verdana" w:cs="Arial"/>
              </w:rPr>
              <w:t>onsejo de Estado. Sección Tercera. Sentencia de 3 de diciembre de 2007. Radicados: 24.715, 25.206, 25.409, 24.524, 27.834, 25.410, 26.105, 28.244, 31.447 -acumulados-”.</w:t>
            </w:r>
          </w:p>
          <w:p w14:paraId="40F9B0C6" w14:textId="379AE66B" w:rsidR="007E43EB" w:rsidRPr="007E43EB" w:rsidRDefault="007E43EB" w:rsidP="007E43EB">
            <w:pPr>
              <w:pStyle w:val="Prrafodelista"/>
              <w:widowControl w:val="0"/>
              <w:numPr>
                <w:ilvl w:val="0"/>
                <w:numId w:val="1"/>
              </w:numPr>
              <w:autoSpaceDE w:val="0"/>
              <w:autoSpaceDN w:val="0"/>
              <w:spacing w:after="120" w:line="276" w:lineRule="auto"/>
              <w:jc w:val="both"/>
              <w:rPr>
                <w:rFonts w:ascii="Verdana" w:hAnsi="Verdana" w:cs="Arial"/>
              </w:rPr>
            </w:pPr>
            <w:r>
              <w:rPr>
                <w:rFonts w:ascii="Verdana" w:hAnsi="Verdana" w:cs="Arial"/>
              </w:rPr>
              <w:t xml:space="preserve">Consejo de Estado, </w:t>
            </w:r>
            <w:r w:rsidRPr="007E43EB">
              <w:rPr>
                <w:rFonts w:ascii="Verdana" w:hAnsi="Verdana" w:cs="Arial"/>
              </w:rPr>
              <w:t>Sala de Consulta y Servicio Civil</w:t>
            </w:r>
            <w:r>
              <w:rPr>
                <w:rFonts w:ascii="Verdana" w:hAnsi="Verdana" w:cs="Arial"/>
              </w:rPr>
              <w:t>, C</w:t>
            </w:r>
            <w:r w:rsidRPr="007E43EB">
              <w:rPr>
                <w:rFonts w:ascii="Verdana" w:hAnsi="Verdana" w:cs="Arial"/>
              </w:rPr>
              <w:t xml:space="preserve">oncepto 1712 de 2 de febrero de 2006. </w:t>
            </w:r>
          </w:p>
          <w:p w14:paraId="11EB49AE" w14:textId="5AC47D20" w:rsidR="007E43EB" w:rsidRDefault="007E43EB" w:rsidP="007E43EB">
            <w:pPr>
              <w:pStyle w:val="Prrafodelista"/>
              <w:widowControl w:val="0"/>
              <w:numPr>
                <w:ilvl w:val="0"/>
                <w:numId w:val="1"/>
              </w:numPr>
              <w:autoSpaceDE w:val="0"/>
              <w:autoSpaceDN w:val="0"/>
              <w:spacing w:after="120" w:line="276" w:lineRule="auto"/>
              <w:jc w:val="both"/>
              <w:rPr>
                <w:rFonts w:ascii="Verdana" w:hAnsi="Verdana" w:cs="Arial"/>
              </w:rPr>
            </w:pPr>
            <w:r w:rsidRPr="007E43EB">
              <w:rPr>
                <w:rFonts w:ascii="Verdana" w:hAnsi="Verdana" w:cs="Arial"/>
              </w:rPr>
              <w:t>Consejo de Estado. Sala de Consulta y Servicio Civil. Concepto del 2 de septiembre de 2013. Radicación número: 11001-03-06-000-2013-00412-00 (2168). Consejero Ponente: Álvaro Namén Vargas.</w:t>
            </w:r>
          </w:p>
          <w:p w14:paraId="0DA1C513" w14:textId="77777777" w:rsidR="00187855" w:rsidRPr="00CC5C68" w:rsidRDefault="00187855" w:rsidP="00187855">
            <w:pPr>
              <w:pStyle w:val="Prrafodelista"/>
              <w:widowControl w:val="0"/>
              <w:numPr>
                <w:ilvl w:val="0"/>
                <w:numId w:val="1"/>
              </w:numPr>
              <w:tabs>
                <w:tab w:val="left" w:pos="8419"/>
              </w:tabs>
              <w:autoSpaceDE w:val="0"/>
              <w:autoSpaceDN w:val="0"/>
              <w:spacing w:after="120" w:line="276" w:lineRule="auto"/>
              <w:contextualSpacing w:val="0"/>
              <w:jc w:val="both"/>
              <w:rPr>
                <w:rFonts w:ascii="Verdana" w:hAnsi="Verdana" w:cs="Arial"/>
              </w:rPr>
            </w:pPr>
            <w:r>
              <w:rPr>
                <w:rFonts w:ascii="Verdana" w:hAnsi="Verdana" w:cs="Arial"/>
              </w:rPr>
              <w:t xml:space="preserve">Colombia Compra Eficiente, </w:t>
            </w:r>
            <w:r w:rsidRPr="00D4444C">
              <w:rPr>
                <w:rFonts w:ascii="Verdana" w:hAnsi="Verdana" w:cs="Arial"/>
              </w:rPr>
              <w:t>Circular Externa Única</w:t>
            </w:r>
            <w:r>
              <w:rPr>
                <w:rFonts w:ascii="Verdana" w:hAnsi="Verdana" w:cs="Arial"/>
              </w:rPr>
              <w:t>. Disponible en</w:t>
            </w:r>
            <w:r w:rsidRPr="00D4444C">
              <w:rPr>
                <w:rFonts w:ascii="Verdana" w:hAnsi="Verdana" w:cs="Arial"/>
              </w:rPr>
              <w:t xml:space="preserve">: </w:t>
            </w:r>
            <w:hyperlink r:id="rId11" w:history="1">
              <w:r w:rsidRPr="008D4636">
                <w:rPr>
                  <w:rStyle w:val="Hipervnculo"/>
                  <w:rFonts w:ascii="Verdana" w:hAnsi="Verdana" w:cs="Arial"/>
                </w:rPr>
                <w:t>https://colombiacompra.gov.co/sites/cce_public/files/cce_circulares/cce-eicp-ma-06_circular_externa_con_comentarios_de_ciudadanos-_v2f_002.pdf</w:t>
              </w:r>
            </w:hyperlink>
          </w:p>
        </w:tc>
      </w:tr>
    </w:tbl>
    <w:p w14:paraId="5EDDC2CD" w14:textId="77777777" w:rsidR="00187855" w:rsidRPr="00CC5C68" w:rsidRDefault="00187855" w:rsidP="0018785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C871F0A" w14:textId="77777777" w:rsidR="00187855" w:rsidRPr="00CC5C68" w:rsidRDefault="00187855" w:rsidP="0018785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rPr>
        <w:t>5. Doctrina de la Agencia Nacional de Contratación Pública:</w:t>
      </w:r>
    </w:p>
    <w:p w14:paraId="66BECA67" w14:textId="77777777" w:rsidR="00187855" w:rsidRPr="00CC5C68" w:rsidRDefault="00187855" w:rsidP="00187855">
      <w:pPr>
        <w:spacing w:after="0" w:line="276" w:lineRule="auto"/>
        <w:ind w:firstLine="709"/>
        <w:jc w:val="both"/>
        <w:rPr>
          <w:rFonts w:ascii="Verdana" w:eastAsia="Times New Roman" w:hAnsi="Verdana" w:cs="Arial"/>
          <w:szCs w:val="24"/>
          <w:lang w:val="es-ES" w:eastAsia="es-ES_tradnl"/>
        </w:rPr>
      </w:pPr>
    </w:p>
    <w:p w14:paraId="4067B05A" w14:textId="1ADE33AA" w:rsidR="00187855" w:rsidRPr="00CC5C68" w:rsidRDefault="00187855" w:rsidP="00187855">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CC5C68">
        <w:rPr>
          <w:rFonts w:ascii="Verdana" w:eastAsia="Calibri" w:hAnsi="Verdana" w:cs="Arial"/>
          <w:lang w:val="es-ES_tradnl" w:eastAsia="es-ES_tradnl"/>
        </w:rPr>
        <w:t xml:space="preserve">Sobre </w:t>
      </w:r>
      <w:r w:rsidR="00EA39A0">
        <w:rPr>
          <w:rFonts w:ascii="Verdana" w:eastAsia="Calibri" w:hAnsi="Verdana" w:cs="Arial"/>
          <w:lang w:val="es-ES_tradnl" w:eastAsia="es-ES_tradnl"/>
        </w:rPr>
        <w:t>las restricciones de la Ley de Garantías Electorales</w:t>
      </w:r>
      <w:r w:rsidRPr="00CC5C68">
        <w:rPr>
          <w:rFonts w:ascii="Verdana" w:eastAsia="Calibri" w:hAnsi="Verdana" w:cs="Arial"/>
          <w:lang w:val="es-ES_tradnl" w:eastAsia="es-ES_tradnl"/>
        </w:rPr>
        <w:t>, se pronunció esta Subdirección en los</w:t>
      </w:r>
      <w:r w:rsidR="008B49A3">
        <w:rPr>
          <w:rFonts w:ascii="Verdana" w:eastAsia="Calibri" w:hAnsi="Verdana" w:cs="Arial"/>
          <w:lang w:val="es-ES_tradnl" w:eastAsia="es-ES_tradnl"/>
        </w:rPr>
        <w:t xml:space="preserve"> conceptos</w:t>
      </w:r>
      <w:r w:rsidRPr="00CC5C68">
        <w:rPr>
          <w:rFonts w:ascii="Verdana" w:eastAsia="Calibri" w:hAnsi="Verdana" w:cs="Arial"/>
          <w:lang w:val="es-ES_tradnl" w:eastAsia="es-ES_tradnl"/>
        </w:rPr>
        <w:t xml:space="preserve"> </w:t>
      </w:r>
      <w:r w:rsidR="00EA39A0" w:rsidRPr="00F02C5A">
        <w:rPr>
          <w:rStyle w:val="normaltextrun"/>
          <w:rFonts w:ascii="Verdana" w:hAnsi="Verdana" w:cs="Arial"/>
          <w:color w:val="000000"/>
          <w:shd w:val="clear" w:color="auto" w:fill="FFFFFF"/>
          <w:lang w:val="es-ES"/>
        </w:rPr>
        <w:t xml:space="preserve">C-074 del 17 de marzo de 2021, C-075 del 16 de marzo de 2021, C-227 de 2021 del 5 de mayo de 2021, C-259 del 2 de junio de 2021, C-296 del 22 de junio de 2021, C-337 del 13 de julio de 2021, C-350 del 16 de julio de 2021, C-352 del 27 de julio de 2021, C-374 del 16 de septiembre de 2021, C-381 del 2 de agosto de 2021, C-391 del 11 de agosto de 2021, C-396 del 13 de agosto de 2021, C-401 del 10 de agosto de 2021, C-413 del 17 de agosto de 2021, C-439  del 27 de agosto de 2021, C-456 del 3 de septiembre de 2021, C-481 del 98 de septiembre de 2021, C-495 del 15 de septiembre de 2021, C-497 del 15 de septiembre de 2021, C-499 del 15 de septiembre de 2021, C-523 del 10 de octubre de 2021, C-528 del 27 de septiembre de 2021, C-543 del 9 de noviembre de 2021, C-550 del 5 de octubre de 2021, C-557 del 7 de octubre de 2021, C-563 del 8 de octubre de 2021, C-606 del 3 de noviembre de 2021, C-614 del 2 de noviembre de 2021, C-633 del 11 de noviembre de 2021, C-634 del 11 de noviembre de 2021, C-636 del 16 de noviembre de 2021, C-674 del 6 de diciembre de 2021, C-675 del 6 de enero de 2022, C-677 del 4 de diciembre de 2021, C-695 del 22 de diciembre de 2021, C-699 del 6 de enero de 2022, C-700 del 6 de enero de 2021, C-723 del 28 de diciembre de 2021, </w:t>
      </w:r>
      <w:r w:rsidR="00EA39A0" w:rsidRPr="00F02C5A">
        <w:rPr>
          <w:rStyle w:val="normaltextrun"/>
          <w:rFonts w:ascii="Verdana" w:hAnsi="Verdana" w:cs="Arial"/>
          <w:color w:val="000000"/>
          <w:shd w:val="clear" w:color="auto" w:fill="FFFFFF"/>
        </w:rPr>
        <w:t xml:space="preserve">C-715 del 21 de enero de 2022, C-718 del 24 de enero de 2022 y C-726 del 24 de enero de 2022, C-002 del 15 de febrero de 2022, C–005 del 16 de febrero de </w:t>
      </w:r>
      <w:r w:rsidR="00EA39A0" w:rsidRPr="00F02C5A">
        <w:rPr>
          <w:rStyle w:val="normaltextrun"/>
          <w:rFonts w:ascii="Verdana" w:hAnsi="Verdana" w:cs="Arial"/>
          <w:color w:val="000000"/>
          <w:shd w:val="clear" w:color="auto" w:fill="FFFFFF"/>
        </w:rPr>
        <w:lastRenderedPageBreak/>
        <w:t>2022, C-009 del 15 de febrero de 2022, C-014 del 18 de febrero de 2022, C-022 del 21 de febrero de 2022, C-023 del 22 de febrero de 2022, C-008 del 24 de febrero de 2022, C-045 del 3 de marzo de 2022, C-054 del 7 de marzo de 2022, C-064 del 8 de marzo de 2022, C-072 del 11 de marzo de 2022, C-109 del 14 de marzo de 2022, C-073 del 14 de marzo de 2022, C-075 del 10 de marzo de 2022, C-077 del 17 de marzo de 2022, C-092 del 16 de marzo de 2022, C-094 del 16 de marzo de 2022, C-096 del 22 de marzo de 2022, C-097 del 18 de marzo de 2022, C-098 del 9 de marzo de 2022, C-099 del 22 de marzo de 2022, C-102 del 22 de marzo de 2022, C-107 del 18 de marzo de 2022, C-111 del 22 de marzo de 2022. C-115 del 22 de marzo de 2022, C-116 del 18 de marzo de 2022, C-127 del 22 de marzo de 2022, C-134 del 1° de abril de 2022, C-164 del 22 de marzo de 2022, C-170 del 5 de abril de 2022, C-175 del 17 de mayo de 2022, C-329 del 24 de mayo de 2022, C-027 del 22 de marzo de 2023, C-049 del 13 de abril de 2023, C-075 del 25 de abril de 2023, C-076 del 25 de abril de 2023, C-098 del 4 de mayo de 2023, C-105 del 14 de junio de 2023, C-107 del 8 de mayo de 2023, C-115 del 8 de junio de 2023, C-116 del 8 de junio de 2023, C-118 del 9 de junio de 2023, C-134 del 26 de mayo de 2023, C-145 del 18 de mayo de 2023</w:t>
      </w:r>
      <w:r w:rsidR="00EA39A0">
        <w:rPr>
          <w:rStyle w:val="normaltextrun"/>
          <w:rFonts w:ascii="Verdana" w:hAnsi="Verdana" w:cs="Arial"/>
          <w:color w:val="000000"/>
          <w:shd w:val="clear" w:color="auto" w:fill="FFFFFF"/>
        </w:rPr>
        <w:t xml:space="preserve">, </w:t>
      </w:r>
      <w:r w:rsidR="00EA39A0" w:rsidRPr="00F02C5A">
        <w:rPr>
          <w:rStyle w:val="normaltextrun"/>
          <w:rFonts w:ascii="Verdana" w:hAnsi="Verdana" w:cs="Arial"/>
          <w:color w:val="000000"/>
          <w:shd w:val="clear" w:color="auto" w:fill="FFFFFF"/>
        </w:rPr>
        <w:t>C-149 del 1° de junio de 2023</w:t>
      </w:r>
      <w:r w:rsidR="00EA39A0">
        <w:rPr>
          <w:rStyle w:val="normaltextrun"/>
          <w:rFonts w:ascii="Verdana" w:hAnsi="Verdana" w:cs="Arial"/>
          <w:color w:val="000000"/>
          <w:shd w:val="clear" w:color="auto" w:fill="FFFFFF"/>
        </w:rPr>
        <w:t>, C-345 del 14 de julio de 2023</w:t>
      </w:r>
      <w:r w:rsidR="00E21288">
        <w:rPr>
          <w:rStyle w:val="normaltextrun"/>
          <w:rFonts w:ascii="Verdana" w:hAnsi="Verdana" w:cs="Arial"/>
          <w:color w:val="000000"/>
          <w:shd w:val="clear" w:color="auto" w:fill="FFFFFF"/>
        </w:rPr>
        <w:t>,</w:t>
      </w:r>
      <w:r w:rsidR="00752875">
        <w:rPr>
          <w:rStyle w:val="normaltextrun"/>
          <w:rFonts w:ascii="Verdana" w:hAnsi="Verdana" w:cs="Arial"/>
          <w:color w:val="000000"/>
          <w:shd w:val="clear" w:color="auto" w:fill="FFFFFF"/>
        </w:rPr>
        <w:t xml:space="preserve"> C-317 del 25 de abril de 2025</w:t>
      </w:r>
      <w:r w:rsidR="00B80E48">
        <w:rPr>
          <w:rStyle w:val="normaltextrun"/>
          <w:rFonts w:ascii="Verdana" w:hAnsi="Verdana" w:cs="Arial"/>
          <w:color w:val="000000"/>
          <w:shd w:val="clear" w:color="auto" w:fill="FFFFFF"/>
        </w:rPr>
        <w:t>,</w:t>
      </w:r>
      <w:r w:rsidR="00E21288">
        <w:rPr>
          <w:rStyle w:val="normaltextrun"/>
          <w:rFonts w:ascii="Verdana" w:hAnsi="Verdana" w:cs="Arial"/>
          <w:color w:val="000000"/>
          <w:shd w:val="clear" w:color="auto" w:fill="FFFFFF"/>
        </w:rPr>
        <w:t xml:space="preserve"> C-584 del 24 de junio de 2025</w:t>
      </w:r>
      <w:r w:rsidR="00B80E48">
        <w:rPr>
          <w:rStyle w:val="normaltextrun"/>
          <w:rFonts w:ascii="Verdana" w:hAnsi="Verdana" w:cs="Arial"/>
          <w:color w:val="000000"/>
          <w:shd w:val="clear" w:color="auto" w:fill="FFFFFF"/>
        </w:rPr>
        <w:t xml:space="preserve"> y C</w:t>
      </w:r>
      <w:r w:rsidR="00F66F0C">
        <w:rPr>
          <w:rStyle w:val="normaltextrun"/>
          <w:rFonts w:ascii="Verdana" w:hAnsi="Verdana" w:cs="Arial"/>
          <w:color w:val="000000"/>
          <w:shd w:val="clear" w:color="auto" w:fill="FFFFFF"/>
        </w:rPr>
        <w:t>-</w:t>
      </w:r>
      <w:r w:rsidR="00B80E48">
        <w:rPr>
          <w:rStyle w:val="normaltextrun"/>
          <w:rFonts w:ascii="Verdana" w:hAnsi="Verdana" w:cs="Arial"/>
          <w:color w:val="000000"/>
          <w:shd w:val="clear" w:color="auto" w:fill="FFFFFF"/>
        </w:rPr>
        <w:t>969 del 27 de septiembre de 2025</w:t>
      </w:r>
      <w:r w:rsidRPr="00CC5C68">
        <w:rPr>
          <w:rFonts w:ascii="Verdana" w:eastAsia="Calibri" w:hAnsi="Verdana" w:cs="Arial"/>
          <w:lang w:val="es-ES_tradnl" w:eastAsia="es-ES_tradnl"/>
        </w:rPr>
        <w:t xml:space="preserve">. </w:t>
      </w:r>
      <w:r w:rsidRPr="00CC5C68">
        <w:rPr>
          <w:rFonts w:ascii="Verdana" w:eastAsia="Calibri" w:hAnsi="Verdana" w:cs="Arial"/>
          <w:lang w:val="es-ES" w:eastAsia="es-ES_tradnl"/>
        </w:rPr>
        <w:t>Estos</w:t>
      </w:r>
      <w:r w:rsidRPr="00CC5C68">
        <w:rPr>
          <w:rFonts w:ascii="Verdana" w:hAnsi="Verdana"/>
        </w:rPr>
        <w:t xml:space="preserve"> y otros conceptos se encuentran disponibles para consulta en el Sistema de relatoría de la Agencia, al cual se puede acceder a través del siguiente enlace:</w:t>
      </w:r>
      <w:r w:rsidRPr="00CC5C68">
        <w:rPr>
          <w:rStyle w:val="normaltextrun"/>
          <w:rFonts w:ascii="Verdana" w:hAnsi="Verdana" w:cs="Arial"/>
          <w:shd w:val="clear" w:color="auto" w:fill="FFFFFF"/>
          <w:lang w:val="es-ES"/>
        </w:rPr>
        <w:t xml:space="preserve"> </w:t>
      </w:r>
      <w:hyperlink r:id="rId12" w:history="1">
        <w:r w:rsidRPr="00CC5C68">
          <w:rPr>
            <w:rStyle w:val="Hipervnculo"/>
            <w:rFonts w:ascii="Verdana" w:hAnsi="Verdana" w:cs="Arial"/>
            <w:shd w:val="clear" w:color="auto" w:fill="FFFFFF"/>
            <w:lang w:val="es-ES"/>
          </w:rPr>
          <w:t>https://relatoria.colombiacompra.gov.co/busqueda/conceptos</w:t>
        </w:r>
      </w:hyperlink>
    </w:p>
    <w:p w14:paraId="64E54BDA" w14:textId="77777777" w:rsidR="00187855" w:rsidRPr="00CC5C68" w:rsidRDefault="00187855" w:rsidP="00187855">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14199592" w14:textId="77777777" w:rsidR="00B80E48" w:rsidRPr="00B80E48" w:rsidRDefault="00B80E48" w:rsidP="00B80E48">
      <w:pPr>
        <w:spacing w:after="0" w:line="240" w:lineRule="auto"/>
        <w:jc w:val="both"/>
        <w:rPr>
          <w:rFonts w:ascii="Verdana" w:hAnsi="Verdana"/>
        </w:rPr>
      </w:pPr>
      <w:r w:rsidRPr="00B80E48">
        <w:rPr>
          <w:rFonts w:ascii="Verdana" w:hAnsi="Verdana"/>
        </w:rPr>
        <w:t xml:space="preserve">La sostenibilidad no es una opción, es una obligación. Por ello, la Agencia Nacional de Contratación Pública –Colombia Compra Eficiente– te invita a realizar el </w:t>
      </w:r>
      <w:r w:rsidRPr="00B80E48">
        <w:rPr>
          <w:rFonts w:ascii="Verdana" w:hAnsi="Verdana"/>
          <w:b/>
          <w:bCs/>
        </w:rPr>
        <w:t>Curso de Contratación Pública Sostenible y Socialmente Responsable</w:t>
      </w:r>
      <w:r w:rsidRPr="00B80E48">
        <w:rPr>
          <w:rFonts w:ascii="Verdana" w:hAnsi="Verdana"/>
        </w:rPr>
        <w:t xml:space="preserv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p>
    <w:p w14:paraId="348BB12C" w14:textId="4F1B19DF" w:rsidR="00B80E48" w:rsidRPr="00B80E48" w:rsidRDefault="00B80E48" w:rsidP="00B80E48">
      <w:pPr>
        <w:spacing w:after="0" w:line="240" w:lineRule="auto"/>
        <w:jc w:val="both"/>
        <w:rPr>
          <w:rFonts w:ascii="Verdana" w:hAnsi="Verdana"/>
        </w:rPr>
      </w:pPr>
      <w:hyperlink r:id="rId13" w:history="1">
        <w:r w:rsidRPr="00E87EB0">
          <w:rPr>
            <w:rStyle w:val="Hipervnculo"/>
            <w:rFonts w:ascii="Verdana" w:hAnsi="Verdana"/>
          </w:rPr>
          <w:t>https://formacionvirtual.colombiacompra.gov.co/mod/page/view.php?id=3718</w:t>
        </w:r>
      </w:hyperlink>
      <w:r>
        <w:rPr>
          <w:rFonts w:ascii="Verdana" w:hAnsi="Verdana"/>
        </w:rPr>
        <w:t xml:space="preserve"> </w:t>
      </w:r>
      <w:r w:rsidRPr="00B80E48">
        <w:rPr>
          <w:rFonts w:ascii="Verdana" w:hAnsi="Verdana"/>
        </w:rPr>
        <w:t xml:space="preserve"> </w:t>
      </w:r>
    </w:p>
    <w:p w14:paraId="6E18A220" w14:textId="77777777" w:rsidR="00B80E48" w:rsidRPr="00B80E48" w:rsidRDefault="00B80E48" w:rsidP="00B80E48">
      <w:pPr>
        <w:spacing w:after="0" w:line="240" w:lineRule="auto"/>
        <w:jc w:val="both"/>
        <w:rPr>
          <w:rFonts w:ascii="Verdana" w:hAnsi="Verdana"/>
        </w:rPr>
      </w:pPr>
    </w:p>
    <w:p w14:paraId="421087DB" w14:textId="6E29BE12" w:rsidR="00B80E48" w:rsidRPr="00B80E48" w:rsidRDefault="00B80E48" w:rsidP="00B80E48">
      <w:pPr>
        <w:spacing w:after="0" w:line="240" w:lineRule="auto"/>
        <w:jc w:val="both"/>
        <w:rPr>
          <w:rFonts w:ascii="Verdana" w:hAnsi="Verdana"/>
        </w:rPr>
      </w:pPr>
      <w:r w:rsidRPr="00B80E48">
        <w:rPr>
          <w:rFonts w:ascii="Verdana" w:hAnsi="Verdana"/>
        </w:rPr>
        <w:t xml:space="preserve">De otro lado, te contamos que esta Agencia ha da un paso decisivo en la estandarización y modernización del </w:t>
      </w:r>
      <w:r w:rsidRPr="00B80E48">
        <w:rPr>
          <w:rFonts w:ascii="Verdana" w:hAnsi="Verdana"/>
          <w:b/>
          <w:bCs/>
        </w:rPr>
        <w:t xml:space="preserve">sector  social </w:t>
      </w:r>
      <w:r w:rsidRPr="00B80E48">
        <w:rPr>
          <w:rFonts w:ascii="Verdana" w:hAnsi="Verdana"/>
        </w:rPr>
        <w:t xml:space="preserve">con la expedición de las </w:t>
      </w:r>
      <w:r w:rsidRPr="00B80E48">
        <w:rPr>
          <w:rFonts w:ascii="Verdana" w:hAnsi="Verdana"/>
          <w:b/>
          <w:bCs/>
        </w:rPr>
        <w:t xml:space="preserve">Resoluciones 539, 540, 541, 952 y 953 de 2025, mediante las cuales adoptó Documentos Tipo </w:t>
      </w:r>
      <w:r w:rsidRPr="00B80E48">
        <w:rPr>
          <w:rFonts w:ascii="Verdana" w:hAnsi="Verdana"/>
        </w:rPr>
        <w:t xml:space="preserve">para las modalidades de selección de </w:t>
      </w:r>
      <w:r w:rsidRPr="00B80E48">
        <w:rPr>
          <w:rFonts w:ascii="Verdana" w:hAnsi="Verdana"/>
          <w:b/>
          <w:bCs/>
        </w:rPr>
        <w:t>licitación pública (versión 2), selección abreviada de menor cuantía, mínima cuantía, consultoría e interventoría</w:t>
      </w:r>
      <w:r w:rsidRPr="00B80E48">
        <w:rPr>
          <w:rFonts w:ascii="Verdana" w:hAnsi="Verdana"/>
        </w:rPr>
        <w:t xml:space="preserve">, promoviendo procesos más transparentes, eficientes  competitivos y sostenibles en sectores estratégicos </w:t>
      </w:r>
      <w:r w:rsidRPr="00B80E48">
        <w:rPr>
          <w:rFonts w:ascii="Verdana" w:hAnsi="Verdana"/>
        </w:rPr>
        <w:lastRenderedPageBreak/>
        <w:t xml:space="preserve">como educación, salud, cultura, recreación, deporte, institucional y vivienda. Consulta y descarga los documentos aquí: </w:t>
      </w:r>
      <w:hyperlink r:id="rId14" w:history="1">
        <w:r w:rsidRPr="00E87EB0">
          <w:rPr>
            <w:rStyle w:val="Hipervnculo"/>
            <w:rFonts w:ascii="Verdana" w:hAnsi="Verdana"/>
          </w:rPr>
          <w:t>https://www.colombiacompra.gov.co/normativa-y-relatoria/documentos-tipo</w:t>
        </w:r>
      </w:hyperlink>
      <w:r>
        <w:rPr>
          <w:rFonts w:ascii="Verdana" w:hAnsi="Verdana"/>
        </w:rPr>
        <w:t xml:space="preserve"> </w:t>
      </w:r>
      <w:r w:rsidRPr="00B80E48">
        <w:rPr>
          <w:rFonts w:ascii="Verdana" w:hAnsi="Verdana"/>
        </w:rPr>
        <w:t xml:space="preserve"> </w:t>
      </w:r>
    </w:p>
    <w:p w14:paraId="0F38BB7F" w14:textId="77777777" w:rsidR="00B80E48" w:rsidRPr="00B80E48" w:rsidRDefault="00B80E48" w:rsidP="00B80E48">
      <w:pPr>
        <w:spacing w:after="0" w:line="240" w:lineRule="auto"/>
        <w:jc w:val="both"/>
        <w:rPr>
          <w:rFonts w:ascii="Verdana" w:hAnsi="Verdana"/>
        </w:rPr>
      </w:pPr>
    </w:p>
    <w:p w14:paraId="0E7DAFF0" w14:textId="77777777" w:rsidR="00B80E48" w:rsidRPr="00B80E48" w:rsidRDefault="00B80E48" w:rsidP="00B80E48">
      <w:pPr>
        <w:spacing w:after="0" w:line="240" w:lineRule="auto"/>
        <w:jc w:val="both"/>
        <w:rPr>
          <w:rFonts w:ascii="Verdana" w:hAnsi="Verdana"/>
        </w:rPr>
      </w:pPr>
      <w:r w:rsidRPr="00B80E48">
        <w:rPr>
          <w:rFonts w:ascii="Verdana" w:hAnsi="Verdana"/>
        </w:rPr>
        <w:t xml:space="preserve">Si quieres conocer más sobre la aplicación de Documentos Tipo puedes consultar la última versión de la </w:t>
      </w:r>
      <w:r w:rsidRPr="00B80E48">
        <w:rPr>
          <w:rFonts w:ascii="Verdana" w:hAnsi="Verdana"/>
          <w:b/>
          <w:bCs/>
        </w:rPr>
        <w:t>Guía para la comprensión e implementación de los Documentos Tipo de obra pública de infraestructura de transporte</w:t>
      </w:r>
      <w:r w:rsidRPr="00B80E48">
        <w:rPr>
          <w:rFonts w:ascii="Verdana" w:hAnsi="Verdana"/>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B80E48">
        <w:rPr>
          <w:rFonts w:ascii="Verdana" w:hAnsi="Verdana"/>
        </w:rPr>
        <w:t>Además</w:t>
      </w:r>
      <w:proofErr w:type="gramEnd"/>
      <w:r w:rsidRPr="00B80E48">
        <w:rPr>
          <w:rFonts w:ascii="Verdana" w:hAnsi="Verdana"/>
        </w:rPr>
        <w:t xml:space="preserve"> se incluyeron lineamientos que orientan la implementación de los criterios ambientales y sociales incluidos en los documentos tipo: Consulta la guía aquí: </w:t>
      </w:r>
    </w:p>
    <w:p w14:paraId="0E38C526" w14:textId="6F75565F" w:rsidR="00CF39CF" w:rsidRDefault="00B80E48" w:rsidP="00B80E48">
      <w:pPr>
        <w:spacing w:after="0" w:line="240" w:lineRule="auto"/>
        <w:jc w:val="both"/>
        <w:rPr>
          <w:rFonts w:ascii="Verdana" w:hAnsi="Verdana"/>
        </w:rPr>
      </w:pPr>
      <w:hyperlink r:id="rId15" w:history="1">
        <w:r w:rsidRPr="00E87EB0">
          <w:rPr>
            <w:rStyle w:val="Hipervnculo"/>
            <w:rFonts w:ascii="Verdana" w:hAnsi="Verdana"/>
          </w:rPr>
          <w:t>https://www.colombiacompra.gov.co/archivos/manual/guia-para-la-comprension-e-implementacion-de-los-documentos-tipo-de-obra-publica-de-infraestructura-de-transporte-bajo-las-diferentes-modalidades-de-contratacion-vigentes</w:t>
        </w:r>
      </w:hyperlink>
      <w:r>
        <w:rPr>
          <w:rFonts w:ascii="Verdana" w:hAnsi="Verdana"/>
        </w:rPr>
        <w:t xml:space="preserve"> </w:t>
      </w:r>
    </w:p>
    <w:p w14:paraId="6CFC6F3E" w14:textId="77777777" w:rsidR="00B80E48" w:rsidRPr="00CC5C68" w:rsidRDefault="00B80E48" w:rsidP="00B80E48">
      <w:pPr>
        <w:spacing w:after="0" w:line="240" w:lineRule="auto"/>
        <w:jc w:val="both"/>
        <w:rPr>
          <w:rFonts w:ascii="Verdana" w:hAnsi="Verdana"/>
        </w:rPr>
      </w:pPr>
    </w:p>
    <w:p w14:paraId="66D7E2AC" w14:textId="77777777" w:rsidR="00187855" w:rsidRPr="00CC5C68" w:rsidRDefault="00187855" w:rsidP="00187855">
      <w:pPr>
        <w:spacing w:after="0" w:line="240" w:lineRule="auto"/>
        <w:jc w:val="both"/>
        <w:rPr>
          <w:rFonts w:ascii="Verdana" w:hAnsi="Verdana"/>
        </w:rPr>
      </w:pPr>
      <w:r w:rsidRPr="00CC5C68">
        <w:rPr>
          <w:rFonts w:ascii="Verdana" w:hAnsi="Verdana"/>
        </w:rPr>
        <w:t xml:space="preserve">Por último, lo invitamos a seguirnos en las redes sociales en las cuales se difunde información institucional: </w:t>
      </w:r>
    </w:p>
    <w:p w14:paraId="031FBEC0" w14:textId="77777777" w:rsidR="00187855" w:rsidRPr="00CC5C68" w:rsidRDefault="00187855" w:rsidP="00187855">
      <w:pPr>
        <w:spacing w:after="0" w:line="240" w:lineRule="auto"/>
        <w:jc w:val="both"/>
        <w:rPr>
          <w:rFonts w:ascii="Verdana" w:hAnsi="Verdana"/>
        </w:rPr>
      </w:pPr>
    </w:p>
    <w:p w14:paraId="73E56C31" w14:textId="77777777" w:rsidR="00187855" w:rsidRPr="00CC5C68" w:rsidRDefault="00187855" w:rsidP="00187855">
      <w:pPr>
        <w:spacing w:after="0" w:line="240" w:lineRule="auto"/>
        <w:jc w:val="both"/>
        <w:rPr>
          <w:rFonts w:ascii="Verdana" w:hAnsi="Verdana"/>
        </w:rPr>
      </w:pPr>
      <w:r w:rsidRPr="00CC5C68">
        <w:rPr>
          <w:rFonts w:ascii="Verdana" w:hAnsi="Verdana"/>
        </w:rPr>
        <w:t xml:space="preserve">Twitter: </w:t>
      </w:r>
      <w:r w:rsidRPr="00CC5C68">
        <w:rPr>
          <w:rStyle w:val="Hipervnculo"/>
          <w:rFonts w:ascii="Verdana" w:hAnsi="Verdana"/>
          <w:color w:val="4472C4" w:themeColor="accent1"/>
        </w:rPr>
        <w:t>@colombiacompra</w:t>
      </w:r>
      <w:r w:rsidRPr="00CC5C68">
        <w:rPr>
          <w:rFonts w:ascii="Verdana" w:hAnsi="Verdana"/>
          <w:color w:val="4472C4" w:themeColor="accent1"/>
        </w:rPr>
        <w:t xml:space="preserve"> </w:t>
      </w:r>
    </w:p>
    <w:p w14:paraId="43748698" w14:textId="77777777" w:rsidR="00187855" w:rsidRPr="00CC5C68" w:rsidRDefault="00187855" w:rsidP="00187855">
      <w:pPr>
        <w:spacing w:after="0" w:line="240" w:lineRule="auto"/>
        <w:jc w:val="both"/>
        <w:rPr>
          <w:rFonts w:ascii="Verdana" w:hAnsi="Verdana"/>
        </w:rPr>
      </w:pPr>
      <w:r w:rsidRPr="00CC5C68">
        <w:rPr>
          <w:rFonts w:ascii="Verdana" w:hAnsi="Verdana"/>
        </w:rPr>
        <w:t xml:space="preserve">Facebook: </w:t>
      </w:r>
      <w:proofErr w:type="spellStart"/>
      <w:r w:rsidRPr="00CC5C68">
        <w:rPr>
          <w:rStyle w:val="Hipervnculo"/>
          <w:rFonts w:ascii="Verdana" w:hAnsi="Verdana"/>
          <w:color w:val="4472C4" w:themeColor="accent1"/>
        </w:rPr>
        <w:t>ColombiaCompraEficiente</w:t>
      </w:r>
      <w:proofErr w:type="spellEnd"/>
    </w:p>
    <w:p w14:paraId="685C4A43" w14:textId="77777777" w:rsidR="00187855" w:rsidRPr="00CC5C68" w:rsidRDefault="00187855" w:rsidP="00187855">
      <w:pPr>
        <w:spacing w:after="0" w:line="240" w:lineRule="auto"/>
        <w:jc w:val="both"/>
        <w:rPr>
          <w:rFonts w:ascii="Verdana" w:hAnsi="Verdana"/>
        </w:rPr>
      </w:pPr>
      <w:r w:rsidRPr="00CC5C68">
        <w:rPr>
          <w:rFonts w:ascii="Verdana" w:hAnsi="Verdana"/>
        </w:rPr>
        <w:t xml:space="preserve">LinkedIn: </w:t>
      </w:r>
      <w:r w:rsidRPr="00CC5C68">
        <w:rPr>
          <w:rStyle w:val="Hipervnculo"/>
          <w:rFonts w:ascii="Verdana" w:hAnsi="Verdana"/>
          <w:color w:val="4472C4" w:themeColor="accent1"/>
        </w:rPr>
        <w:t>Agencia Nacional de Contratación Pública - Colombia Compra Eficiente</w:t>
      </w:r>
      <w:r w:rsidRPr="00CC5C68">
        <w:rPr>
          <w:rFonts w:ascii="Verdana" w:hAnsi="Verdana"/>
          <w:color w:val="4472C4" w:themeColor="accent1"/>
        </w:rPr>
        <w:t xml:space="preserve"> </w:t>
      </w:r>
      <w:r w:rsidRPr="00CC5C68">
        <w:rPr>
          <w:rFonts w:ascii="Verdana" w:hAnsi="Verdana"/>
        </w:rPr>
        <w:t xml:space="preserve">Instagram: </w:t>
      </w:r>
      <w:r w:rsidRPr="00CC5C68">
        <w:rPr>
          <w:rStyle w:val="Hipervnculo"/>
          <w:rFonts w:ascii="Verdana" w:hAnsi="Verdana"/>
          <w:color w:val="4472C4" w:themeColor="accent1"/>
        </w:rPr>
        <w:t>@colombiacompraeficiente_cce</w:t>
      </w:r>
    </w:p>
    <w:p w14:paraId="3799CC66" w14:textId="77777777" w:rsidR="00187855" w:rsidRPr="0044528D" w:rsidRDefault="00187855" w:rsidP="00187855">
      <w:pPr>
        <w:widowControl w:val="0"/>
        <w:autoSpaceDE w:val="0"/>
        <w:autoSpaceDN w:val="0"/>
        <w:spacing w:after="0" w:line="276" w:lineRule="auto"/>
        <w:jc w:val="both"/>
        <w:rPr>
          <w:rFonts w:ascii="Verdana" w:hAnsi="Verdana"/>
        </w:rPr>
      </w:pPr>
    </w:p>
    <w:p w14:paraId="224339A7" w14:textId="77777777" w:rsidR="00187855" w:rsidRPr="00CC5C68" w:rsidRDefault="00187855" w:rsidP="00187855">
      <w:pPr>
        <w:widowControl w:val="0"/>
        <w:autoSpaceDE w:val="0"/>
        <w:autoSpaceDN w:val="0"/>
        <w:spacing w:after="0" w:line="276" w:lineRule="auto"/>
        <w:jc w:val="both"/>
        <w:rPr>
          <w:rFonts w:ascii="Verdana" w:hAnsi="Verdana" w:cs="Arial"/>
          <w:lang w:val="es-ES_tradnl"/>
        </w:rPr>
      </w:pPr>
      <w:r w:rsidRPr="00CC5C68">
        <w:rPr>
          <w:rFonts w:ascii="Verdana" w:hAnsi="Verdana" w:cs="Arial"/>
        </w:rPr>
        <w:t xml:space="preserve">Este concepto tiene el alcance previsto en el artículo 28 del Código de Procedimiento Administrativo y de lo Contencioso Administrativo </w:t>
      </w:r>
      <w:r w:rsidRPr="00CC5C68">
        <w:rPr>
          <w:rFonts w:ascii="Verdana" w:hAnsi="Verdana" w:cs="Arial"/>
          <w:lang w:val="es-ES_tradnl"/>
        </w:rPr>
        <w:t>y las expresiones aquí utilizadas con mayúscula inicial deben ser entendidas con el significado que les otorga el artículo 2.2.1.1.1.3.1. del Decreto 1082 de 2015.</w:t>
      </w:r>
    </w:p>
    <w:p w14:paraId="080771EB" w14:textId="77777777" w:rsidR="00187855" w:rsidRPr="00CC5C68" w:rsidRDefault="00187855" w:rsidP="00187855">
      <w:pPr>
        <w:spacing w:after="0" w:line="276" w:lineRule="auto"/>
        <w:ind w:firstLine="709"/>
        <w:jc w:val="both"/>
        <w:rPr>
          <w:rFonts w:ascii="Verdana" w:eastAsia="Times New Roman" w:hAnsi="Verdana" w:cs="Arial"/>
          <w:szCs w:val="24"/>
          <w:lang w:val="es-ES_tradnl" w:eastAsia="es-ES_tradnl"/>
        </w:rPr>
      </w:pPr>
    </w:p>
    <w:p w14:paraId="20AA0B55" w14:textId="77777777" w:rsidR="00187855" w:rsidRPr="00CC5C68" w:rsidRDefault="00187855" w:rsidP="00187855">
      <w:pPr>
        <w:spacing w:after="0" w:line="276" w:lineRule="auto"/>
        <w:jc w:val="both"/>
        <w:rPr>
          <w:rFonts w:ascii="Verdana" w:eastAsia="Times New Roman" w:hAnsi="Verdana" w:cs="Arial"/>
          <w:lang w:val="es-ES_tradnl" w:eastAsia="es-CO"/>
        </w:rPr>
      </w:pPr>
      <w:bookmarkStart w:id="13" w:name="_Hlk117695077"/>
      <w:r w:rsidRPr="00CC5C68">
        <w:rPr>
          <w:rFonts w:ascii="Verdana" w:eastAsia="Times New Roman" w:hAnsi="Verdana" w:cs="Arial"/>
          <w:lang w:val="es-ES_tradnl" w:eastAsia="es-CO"/>
        </w:rPr>
        <w:t>Atentamente,</w:t>
      </w:r>
    </w:p>
    <w:bookmarkEnd w:id="13"/>
    <w:p w14:paraId="1EADE6D4" w14:textId="4C496798" w:rsidR="00187855" w:rsidRDefault="00187855" w:rsidP="00B01786">
      <w:pPr>
        <w:spacing w:after="18" w:line="240" w:lineRule="auto"/>
        <w:jc w:val="center"/>
        <w:rPr>
          <w:rFonts w:ascii="Verdana" w:eastAsia="Times New Roman" w:hAnsi="Verdana" w:cs="Arial"/>
          <w:sz w:val="24"/>
          <w:szCs w:val="24"/>
          <w:lang w:eastAsia="es-CO"/>
        </w:rPr>
      </w:pPr>
    </w:p>
    <w:p w14:paraId="0ECB799B" w14:textId="0B5719C3" w:rsidR="00F66F0C" w:rsidRPr="00CC5C68" w:rsidRDefault="005B79C6" w:rsidP="00F66F0C">
      <w:pPr>
        <w:spacing w:after="18" w:line="240" w:lineRule="auto"/>
        <w:jc w:val="center"/>
        <w:rPr>
          <w:rFonts w:ascii="Verdana" w:eastAsia="Times New Roman" w:hAnsi="Verdana" w:cs="Arial"/>
          <w:sz w:val="24"/>
          <w:szCs w:val="24"/>
          <w:lang w:eastAsia="es-CO"/>
        </w:rPr>
      </w:pPr>
      <w:r w:rsidRPr="002C3AD6">
        <w:rPr>
          <w:rFonts w:ascii="Century Gothic" w:hAnsi="Century Gothic"/>
          <w:noProof/>
        </w:rPr>
        <w:drawing>
          <wp:inline distT="0" distB="0" distL="0" distR="0" wp14:anchorId="27840BCF" wp14:editId="0FC5BFFF">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187855" w:rsidRPr="00CC5C68" w14:paraId="269CB499" w14:textId="77777777" w:rsidTr="0F03271F">
        <w:trPr>
          <w:trHeight w:val="286"/>
        </w:trPr>
        <w:tc>
          <w:tcPr>
            <w:tcW w:w="893" w:type="dxa"/>
            <w:vAlign w:val="center"/>
            <w:hideMark/>
          </w:tcPr>
          <w:p w14:paraId="107D0F90" w14:textId="77777777" w:rsidR="00187855" w:rsidRPr="00CC5C68" w:rsidRDefault="00187855" w:rsidP="00E075F9">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Elaboró:</w:t>
            </w:r>
          </w:p>
        </w:tc>
        <w:tc>
          <w:tcPr>
            <w:tcW w:w="4777" w:type="dxa"/>
            <w:vAlign w:val="center"/>
            <w:hideMark/>
          </w:tcPr>
          <w:p w14:paraId="63F73A9D" w14:textId="76CB1EC0" w:rsidR="00EC5A97" w:rsidRPr="00CC5C68" w:rsidRDefault="00B80E48" w:rsidP="0F03271F">
            <w:pPr>
              <w:rPr>
                <w:rFonts w:ascii="Verdana" w:eastAsia="Times New Roman" w:hAnsi="Verdana" w:cs="Arial"/>
                <w:sz w:val="16"/>
                <w:szCs w:val="16"/>
                <w:lang w:val="es-ES" w:eastAsia="es-ES"/>
              </w:rPr>
            </w:pPr>
            <w:r w:rsidRPr="0F03271F">
              <w:rPr>
                <w:rFonts w:ascii="Verdana" w:eastAsia="Times New Roman" w:hAnsi="Verdana" w:cs="Arial"/>
                <w:sz w:val="16"/>
                <w:szCs w:val="16"/>
                <w:lang w:val="es-ES" w:eastAsia="es-ES"/>
              </w:rPr>
              <w:t xml:space="preserve">Camilo José Martínez Martínez </w:t>
            </w:r>
          </w:p>
          <w:p w14:paraId="0313B894" w14:textId="64F021FC" w:rsidR="00187855" w:rsidRPr="00CC5C68" w:rsidRDefault="00B80E48" w:rsidP="00E075F9">
            <w:pPr>
              <w:rPr>
                <w:rFonts w:ascii="Verdana" w:eastAsia="Times New Roman" w:hAnsi="Verdana" w:cs="Arial"/>
                <w:sz w:val="14"/>
                <w:szCs w:val="14"/>
                <w:lang w:eastAsia="es-ES"/>
              </w:rPr>
            </w:pPr>
            <w:r>
              <w:rPr>
                <w:rFonts w:ascii="Verdana" w:eastAsia="Times New Roman" w:hAnsi="Verdana" w:cs="Arial"/>
                <w:sz w:val="16"/>
                <w:szCs w:val="16"/>
                <w:lang w:eastAsia="es-ES"/>
              </w:rPr>
              <w:t xml:space="preserve">Contratista </w:t>
            </w:r>
            <w:r w:rsidR="00187855" w:rsidRPr="00CC5C68">
              <w:rPr>
                <w:rFonts w:ascii="Verdana" w:eastAsia="Times New Roman" w:hAnsi="Verdana" w:cs="Arial"/>
                <w:sz w:val="16"/>
                <w:szCs w:val="16"/>
                <w:lang w:eastAsia="es-ES"/>
              </w:rPr>
              <w:t>de la Subdirección de Gestión Contractual</w:t>
            </w:r>
          </w:p>
        </w:tc>
      </w:tr>
      <w:tr w:rsidR="00187855" w:rsidRPr="00CC5C68" w14:paraId="6F0C4FDE" w14:textId="77777777" w:rsidTr="0F03271F">
        <w:trPr>
          <w:trHeight w:val="299"/>
        </w:trPr>
        <w:tc>
          <w:tcPr>
            <w:tcW w:w="893" w:type="dxa"/>
            <w:vAlign w:val="center"/>
            <w:hideMark/>
          </w:tcPr>
          <w:p w14:paraId="64C91937" w14:textId="77777777" w:rsidR="00187855" w:rsidRPr="00CC5C68" w:rsidRDefault="00187855" w:rsidP="00E075F9">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lastRenderedPageBreak/>
              <w:t>Revisó:</w:t>
            </w:r>
          </w:p>
        </w:tc>
        <w:tc>
          <w:tcPr>
            <w:tcW w:w="4777" w:type="dxa"/>
            <w:vAlign w:val="center"/>
            <w:hideMark/>
          </w:tcPr>
          <w:p w14:paraId="11D93657" w14:textId="45DED86E" w:rsidR="00187855" w:rsidRPr="00CC5C68" w:rsidRDefault="00B80E48" w:rsidP="6D7E5572">
            <w:pPr>
              <w:rPr>
                <w:rFonts w:ascii="Verdana" w:eastAsia="Times New Roman" w:hAnsi="Verdana" w:cs="Arial"/>
                <w:sz w:val="16"/>
                <w:szCs w:val="16"/>
                <w:lang w:val="es-ES" w:eastAsia="es-ES"/>
              </w:rPr>
            </w:pPr>
            <w:r>
              <w:rPr>
                <w:rFonts w:ascii="Verdana" w:eastAsia="Times New Roman" w:hAnsi="Verdana" w:cs="Arial"/>
                <w:sz w:val="16"/>
                <w:szCs w:val="16"/>
                <w:lang w:val="es-ES" w:eastAsia="es-ES"/>
              </w:rPr>
              <w:t xml:space="preserve">Diana Lucia Saavedra </w:t>
            </w:r>
          </w:p>
          <w:p w14:paraId="55065589" w14:textId="2FB3AD40" w:rsidR="00187855" w:rsidRPr="00CC5C68" w:rsidRDefault="00EC5A97" w:rsidP="00E075F9">
            <w:pPr>
              <w:rPr>
                <w:rFonts w:ascii="Verdana" w:eastAsia="Times New Roman" w:hAnsi="Verdana" w:cs="Arial"/>
                <w:sz w:val="14"/>
                <w:szCs w:val="14"/>
                <w:lang w:eastAsia="es-ES"/>
              </w:rPr>
            </w:pPr>
            <w:r>
              <w:rPr>
                <w:rFonts w:ascii="Verdana" w:eastAsia="Times New Roman" w:hAnsi="Verdana" w:cs="Arial"/>
                <w:sz w:val="16"/>
                <w:szCs w:val="16"/>
                <w:lang w:eastAsia="es-ES"/>
              </w:rPr>
              <w:t>Contratista</w:t>
            </w:r>
            <w:r w:rsidR="00187855" w:rsidRPr="00CC5C68">
              <w:rPr>
                <w:rFonts w:ascii="Verdana" w:eastAsia="Times New Roman" w:hAnsi="Verdana" w:cs="Arial"/>
                <w:sz w:val="16"/>
                <w:szCs w:val="16"/>
                <w:lang w:eastAsia="es-ES"/>
              </w:rPr>
              <w:t xml:space="preserve"> de la Subdirección de Gestión Contractual</w:t>
            </w:r>
          </w:p>
        </w:tc>
      </w:tr>
      <w:tr w:rsidR="00187855" w:rsidRPr="00CC5C68" w14:paraId="7D1EC642" w14:textId="77777777" w:rsidTr="0F03271F">
        <w:trPr>
          <w:trHeight w:val="272"/>
        </w:trPr>
        <w:tc>
          <w:tcPr>
            <w:tcW w:w="893" w:type="dxa"/>
            <w:vAlign w:val="center"/>
            <w:hideMark/>
          </w:tcPr>
          <w:p w14:paraId="4660F574" w14:textId="77777777" w:rsidR="00187855" w:rsidRPr="00CC5C68" w:rsidRDefault="00187855" w:rsidP="00E075F9">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Aprobó:</w:t>
            </w:r>
          </w:p>
        </w:tc>
        <w:tc>
          <w:tcPr>
            <w:tcW w:w="4777" w:type="dxa"/>
            <w:vAlign w:val="center"/>
            <w:hideMark/>
          </w:tcPr>
          <w:p w14:paraId="10B53C15" w14:textId="77777777" w:rsidR="00187855" w:rsidRPr="00CC5C68" w:rsidRDefault="00187855" w:rsidP="00E075F9">
            <w:pPr>
              <w:rPr>
                <w:rFonts w:ascii="Verdana" w:eastAsia="Times New Roman" w:hAnsi="Verdana" w:cs="Arial"/>
                <w:sz w:val="16"/>
                <w:szCs w:val="16"/>
                <w:lang w:eastAsia="es-ES"/>
              </w:rPr>
            </w:pPr>
            <w:r w:rsidRPr="00CC5C68">
              <w:rPr>
                <w:rFonts w:ascii="Verdana" w:eastAsia="Times New Roman" w:hAnsi="Verdana" w:cs="Arial"/>
                <w:sz w:val="16"/>
                <w:szCs w:val="16"/>
                <w:lang w:eastAsia="es-ES"/>
              </w:rPr>
              <w:t>Carolina Quintero Gacharná</w:t>
            </w:r>
          </w:p>
          <w:p w14:paraId="13CEBC69" w14:textId="77777777" w:rsidR="00187855" w:rsidRPr="00CC5C68" w:rsidRDefault="00187855" w:rsidP="00E075F9">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Subdirectora de Gestión Contractual ANCP – CCE</w:t>
            </w:r>
          </w:p>
        </w:tc>
      </w:tr>
    </w:tbl>
    <w:p w14:paraId="20A8C212" w14:textId="77777777" w:rsidR="00187855" w:rsidRPr="00CC5C68" w:rsidRDefault="00187855" w:rsidP="00187855">
      <w:pPr>
        <w:spacing w:after="0" w:line="276" w:lineRule="auto"/>
        <w:jc w:val="both"/>
        <w:rPr>
          <w:rFonts w:ascii="Verdana" w:eastAsia="Times New Roman" w:hAnsi="Verdana" w:cs="Arial"/>
          <w:lang w:val="es-ES_tradnl"/>
        </w:rPr>
      </w:pPr>
    </w:p>
    <w:p w14:paraId="0529FC31" w14:textId="77777777" w:rsidR="00187855" w:rsidRPr="00CC5C68" w:rsidRDefault="00187855" w:rsidP="00187855">
      <w:pPr>
        <w:spacing w:after="0" w:line="240" w:lineRule="auto"/>
        <w:rPr>
          <w:rFonts w:ascii="Verdana" w:eastAsia="Times New Roman" w:hAnsi="Verdana" w:cs="Arial"/>
          <w:sz w:val="24"/>
          <w:szCs w:val="24"/>
          <w:lang w:eastAsia="es-ES_tradnl"/>
        </w:rPr>
      </w:pPr>
    </w:p>
    <w:p w14:paraId="36BC9A80" w14:textId="77777777" w:rsidR="00187855" w:rsidRPr="00CC5C68" w:rsidRDefault="00187855" w:rsidP="00187855">
      <w:pPr>
        <w:rPr>
          <w:rFonts w:ascii="Verdana" w:hAnsi="Verdana"/>
        </w:rPr>
      </w:pPr>
    </w:p>
    <w:p w14:paraId="7C7FEAE7" w14:textId="77777777" w:rsidR="00187855" w:rsidRPr="002A2C48" w:rsidRDefault="00187855" w:rsidP="00187855"/>
    <w:p w14:paraId="079E8C50" w14:textId="77777777" w:rsidR="00C24FFE" w:rsidRPr="00187855" w:rsidRDefault="00C24FFE" w:rsidP="00187855"/>
    <w:sectPr w:rsidR="00C24FFE" w:rsidRPr="00187855" w:rsidSect="00187855">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791A44" w14:textId="77777777" w:rsidR="00870895" w:rsidRDefault="00870895" w:rsidP="00187855">
      <w:pPr>
        <w:spacing w:after="0" w:line="240" w:lineRule="auto"/>
      </w:pPr>
      <w:r>
        <w:separator/>
      </w:r>
    </w:p>
  </w:endnote>
  <w:endnote w:type="continuationSeparator" w:id="0">
    <w:p w14:paraId="381F58E9" w14:textId="77777777" w:rsidR="00870895" w:rsidRDefault="00870895" w:rsidP="001878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6DF6F" w14:textId="77777777" w:rsidR="00187855" w:rsidRDefault="00187855">
    <w:pPr>
      <w:pStyle w:val="Piedepgina"/>
    </w:pPr>
  </w:p>
  <w:p w14:paraId="59268395" w14:textId="77777777" w:rsidR="00187855" w:rsidRPr="00174B77" w:rsidRDefault="00187855"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592D84D" w14:textId="77777777" w:rsidR="00187855" w:rsidRDefault="00187855"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5D80CE66" w14:textId="77777777" w:rsidR="00187855" w:rsidRPr="00E41027" w:rsidRDefault="00187855" w:rsidP="00D520D8">
    <w:pPr>
      <w:spacing w:after="0"/>
      <w:jc w:val="both"/>
      <w:rPr>
        <w:rFonts w:ascii="Verdana" w:hAnsi="Verdana"/>
        <w:sz w:val="18"/>
        <w:szCs w:val="18"/>
      </w:rPr>
    </w:pPr>
    <w:r w:rsidRPr="00E41027">
      <w:rPr>
        <w:rFonts w:ascii="Verdana" w:hAnsi="Verdana"/>
        <w:sz w:val="18"/>
        <w:szCs w:val="18"/>
      </w:rPr>
      <w:t>Mesa de servicio: (+57) 601 7456788</w:t>
    </w:r>
  </w:p>
  <w:p w14:paraId="317B0363" w14:textId="77777777" w:rsidR="00187855" w:rsidRDefault="00187855"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B9D7A" w14:textId="77777777" w:rsidR="00870895" w:rsidRDefault="00870895" w:rsidP="00187855">
      <w:pPr>
        <w:spacing w:after="0" w:line="240" w:lineRule="auto"/>
      </w:pPr>
      <w:r>
        <w:separator/>
      </w:r>
    </w:p>
  </w:footnote>
  <w:footnote w:type="continuationSeparator" w:id="0">
    <w:p w14:paraId="5CD66737" w14:textId="77777777" w:rsidR="00870895" w:rsidRDefault="00870895" w:rsidP="00187855">
      <w:pPr>
        <w:spacing w:after="0" w:line="240" w:lineRule="auto"/>
      </w:pPr>
      <w:r>
        <w:continuationSeparator/>
      </w:r>
    </w:p>
  </w:footnote>
  <w:footnote w:id="1">
    <w:p w14:paraId="53B28727" w14:textId="77777777" w:rsidR="00624B56" w:rsidRPr="00020A5B" w:rsidRDefault="00624B56" w:rsidP="00020A5B">
      <w:pPr>
        <w:pStyle w:val="Textonotapie"/>
        <w:ind w:right="51" w:firstLine="709"/>
        <w:contextualSpacing/>
        <w:jc w:val="both"/>
        <w:rPr>
          <w:rFonts w:ascii="Verdana" w:hAnsi="Verdana" w:cs="Arial"/>
          <w:sz w:val="16"/>
          <w:szCs w:val="16"/>
        </w:rPr>
      </w:pPr>
      <w:r w:rsidRPr="00020A5B">
        <w:rPr>
          <w:rStyle w:val="Refdenotaalpie"/>
          <w:rFonts w:ascii="Verdana" w:hAnsi="Verdana" w:cs="Arial"/>
          <w:sz w:val="16"/>
          <w:szCs w:val="16"/>
        </w:rPr>
        <w:footnoteRef/>
      </w:r>
      <w:r w:rsidRPr="00020A5B">
        <w:rPr>
          <w:rFonts w:ascii="Verdana" w:hAnsi="Verdana" w:cs="Arial"/>
          <w:sz w:val="16"/>
          <w:szCs w:val="16"/>
        </w:rPr>
        <w:t xml:space="preserve"> “</w:t>
      </w:r>
      <w:r w:rsidRPr="00020A5B">
        <w:rPr>
          <w:rFonts w:ascii="Verdana" w:hAnsi="Verdana" w:cs="Arial"/>
          <w:sz w:val="16"/>
          <w:szCs w:val="16"/>
          <w:lang w:val="es-ES"/>
        </w:rPr>
        <w:t xml:space="preserve">[25] </w:t>
      </w:r>
      <w:r w:rsidRPr="00020A5B">
        <w:rPr>
          <w:rFonts w:ascii="Verdana" w:hAnsi="Verdana" w:cs="Arial"/>
          <w:sz w:val="16"/>
          <w:szCs w:val="16"/>
        </w:rPr>
        <w:t>Cfr. Consejo de Estado. Sección Tercera. Sentencia de 3 de diciembre de 2007. Radicados: 24.715, 25.206, 25.409, 24.524, 27.834, 25.410, 26.105, 28.244, 31.447 -acumulados-”.</w:t>
      </w:r>
    </w:p>
    <w:p w14:paraId="20D656A0" w14:textId="77777777" w:rsidR="00B93D47" w:rsidRPr="00020A5B" w:rsidRDefault="00B93D47" w:rsidP="00020A5B">
      <w:pPr>
        <w:pStyle w:val="Textonotapie"/>
        <w:ind w:right="51" w:firstLine="709"/>
        <w:contextualSpacing/>
        <w:jc w:val="both"/>
        <w:rPr>
          <w:rFonts w:ascii="Verdana" w:hAnsi="Verdana" w:cs="Arial"/>
          <w:sz w:val="16"/>
          <w:szCs w:val="16"/>
        </w:rPr>
      </w:pPr>
    </w:p>
  </w:footnote>
  <w:footnote w:id="2">
    <w:p w14:paraId="02F7D643" w14:textId="77777777" w:rsidR="00624B56" w:rsidRPr="00020A5B" w:rsidRDefault="00624B56" w:rsidP="00020A5B">
      <w:pPr>
        <w:pStyle w:val="Textonotapie"/>
        <w:ind w:right="51" w:firstLine="709"/>
        <w:contextualSpacing/>
        <w:jc w:val="both"/>
        <w:rPr>
          <w:rFonts w:ascii="Verdana" w:hAnsi="Verdana" w:cs="Arial"/>
          <w:sz w:val="16"/>
          <w:szCs w:val="16"/>
        </w:rPr>
      </w:pPr>
      <w:r w:rsidRPr="00020A5B">
        <w:rPr>
          <w:rStyle w:val="Refdenotaalpie"/>
          <w:rFonts w:ascii="Verdana" w:hAnsi="Verdana" w:cs="Arial"/>
          <w:sz w:val="16"/>
          <w:szCs w:val="16"/>
        </w:rPr>
        <w:footnoteRef/>
      </w:r>
      <w:r w:rsidRPr="00020A5B">
        <w:rPr>
          <w:rFonts w:ascii="Verdana" w:hAnsi="Verdana" w:cs="Arial"/>
          <w:sz w:val="16"/>
          <w:szCs w:val="16"/>
        </w:rPr>
        <w:t xml:space="preserve"> </w:t>
      </w:r>
      <w:bookmarkStart w:id="3" w:name="_Hlk74294506"/>
      <w:r w:rsidRPr="00020A5B">
        <w:rPr>
          <w:rFonts w:ascii="Verdana" w:hAnsi="Verdana" w:cs="Arial"/>
          <w:sz w:val="16"/>
          <w:szCs w:val="16"/>
        </w:rPr>
        <w:t>“</w:t>
      </w:r>
      <w:r w:rsidRPr="00020A5B">
        <w:rPr>
          <w:rFonts w:ascii="Verdana" w:hAnsi="Verdana" w:cs="Arial"/>
          <w:sz w:val="16"/>
          <w:szCs w:val="16"/>
          <w:lang w:val="es-ES"/>
        </w:rPr>
        <w:t xml:space="preserve">[26] </w:t>
      </w:r>
      <w:bookmarkEnd w:id="3"/>
      <w:r w:rsidRPr="00020A5B">
        <w:rPr>
          <w:rFonts w:ascii="Verdana" w:hAnsi="Verdana" w:cs="Arial"/>
          <w:sz w:val="16"/>
          <w:szCs w:val="16"/>
        </w:rPr>
        <w:t>Al respecto ver el concepto 1712 de 2 de febrero de 2006. Consejo de Estado Sala de Consulta y Servicio Civil”.</w:t>
      </w:r>
    </w:p>
    <w:p w14:paraId="1A8FF1BD" w14:textId="77777777" w:rsidR="00B93D47" w:rsidRPr="00020A5B" w:rsidRDefault="00B93D47" w:rsidP="00020A5B">
      <w:pPr>
        <w:pStyle w:val="Textonotapie"/>
        <w:ind w:right="51" w:firstLine="709"/>
        <w:contextualSpacing/>
        <w:jc w:val="both"/>
        <w:rPr>
          <w:rFonts w:ascii="Verdana" w:hAnsi="Verdana" w:cs="Arial"/>
          <w:sz w:val="16"/>
          <w:szCs w:val="16"/>
        </w:rPr>
      </w:pPr>
    </w:p>
  </w:footnote>
  <w:footnote w:id="3">
    <w:p w14:paraId="78E37BD0" w14:textId="77777777" w:rsidR="00624B56" w:rsidRPr="00020A5B" w:rsidRDefault="00624B56" w:rsidP="00020A5B">
      <w:pPr>
        <w:pStyle w:val="Textonotapie"/>
        <w:ind w:firstLine="709"/>
        <w:contextualSpacing/>
        <w:jc w:val="both"/>
        <w:rPr>
          <w:rFonts w:ascii="Verdana" w:hAnsi="Verdana" w:cs="Arial"/>
          <w:sz w:val="16"/>
          <w:szCs w:val="16"/>
        </w:rPr>
      </w:pPr>
      <w:r w:rsidRPr="00020A5B">
        <w:rPr>
          <w:rStyle w:val="Refdenotaalpie"/>
          <w:rFonts w:ascii="Verdana" w:hAnsi="Verdana" w:cs="Arial"/>
          <w:sz w:val="16"/>
          <w:szCs w:val="16"/>
        </w:rPr>
        <w:footnoteRef/>
      </w:r>
      <w:r w:rsidRPr="00020A5B">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008EE337" w14:textId="77777777" w:rsidR="00B93D47" w:rsidRPr="00020A5B" w:rsidRDefault="00B93D47" w:rsidP="00020A5B">
      <w:pPr>
        <w:pStyle w:val="Textonotapie"/>
        <w:ind w:firstLine="709"/>
        <w:contextualSpacing/>
        <w:jc w:val="both"/>
        <w:rPr>
          <w:rFonts w:ascii="Verdana" w:hAnsi="Verdana" w:cs="Arial"/>
          <w:sz w:val="16"/>
          <w:szCs w:val="16"/>
        </w:rPr>
      </w:pPr>
    </w:p>
  </w:footnote>
  <w:footnote w:id="4">
    <w:p w14:paraId="4A11D29A" w14:textId="77777777" w:rsidR="00624B56" w:rsidRPr="00020A5B" w:rsidRDefault="00624B56" w:rsidP="00020A5B">
      <w:pPr>
        <w:pStyle w:val="Textonotapie"/>
        <w:ind w:firstLine="709"/>
        <w:contextualSpacing/>
        <w:jc w:val="both"/>
        <w:rPr>
          <w:rFonts w:ascii="Verdana" w:hAnsi="Verdana" w:cs="Arial"/>
          <w:sz w:val="16"/>
          <w:szCs w:val="16"/>
          <w:lang w:val="es-ES"/>
        </w:rPr>
      </w:pPr>
      <w:r w:rsidRPr="00020A5B">
        <w:rPr>
          <w:rStyle w:val="Refdenotaalpie"/>
          <w:rFonts w:ascii="Verdana" w:hAnsi="Verdana" w:cs="Arial"/>
          <w:sz w:val="16"/>
          <w:szCs w:val="16"/>
        </w:rPr>
        <w:footnoteRef/>
      </w:r>
      <w:r w:rsidRPr="00020A5B">
        <w:rPr>
          <w:rFonts w:ascii="Verdana" w:hAnsi="Verdana" w:cs="Arial"/>
          <w:sz w:val="16"/>
          <w:szCs w:val="16"/>
        </w:rPr>
        <w:t xml:space="preserve"> </w:t>
      </w:r>
      <w:r w:rsidRPr="00020A5B">
        <w:rPr>
          <w:rFonts w:ascii="Verdana" w:hAnsi="Verdana" w:cs="Arial"/>
          <w:sz w:val="16"/>
          <w:szCs w:val="16"/>
          <w:lang w:val="es-ES"/>
        </w:rPr>
        <w:t xml:space="preserve">Artículo 2. </w:t>
      </w:r>
    </w:p>
  </w:footnote>
  <w:footnote w:id="5">
    <w:p w14:paraId="599A52EA" w14:textId="77777777" w:rsidR="00B93D47" w:rsidRPr="00020A5B" w:rsidRDefault="00B93D47" w:rsidP="00020A5B">
      <w:pPr>
        <w:pStyle w:val="Textonotapie"/>
        <w:ind w:firstLine="709"/>
        <w:contextualSpacing/>
        <w:jc w:val="both"/>
        <w:rPr>
          <w:rFonts w:ascii="Verdana" w:hAnsi="Verdana" w:cs="Arial"/>
          <w:sz w:val="16"/>
          <w:szCs w:val="16"/>
        </w:rPr>
      </w:pPr>
    </w:p>
    <w:p w14:paraId="28C9280D" w14:textId="04AF714D" w:rsidR="00624B56" w:rsidRPr="00020A5B" w:rsidRDefault="00624B56" w:rsidP="00020A5B">
      <w:pPr>
        <w:pStyle w:val="Textonotapie"/>
        <w:ind w:firstLine="709"/>
        <w:contextualSpacing/>
        <w:jc w:val="both"/>
        <w:rPr>
          <w:rFonts w:ascii="Verdana" w:hAnsi="Verdana" w:cs="Arial"/>
          <w:sz w:val="16"/>
          <w:szCs w:val="16"/>
          <w:lang w:val="es-ES"/>
        </w:rPr>
      </w:pPr>
      <w:r w:rsidRPr="00020A5B">
        <w:rPr>
          <w:rStyle w:val="Refdenotaalpie"/>
          <w:rFonts w:ascii="Verdana" w:hAnsi="Verdana" w:cs="Arial"/>
          <w:sz w:val="16"/>
          <w:szCs w:val="16"/>
        </w:rPr>
        <w:footnoteRef/>
      </w:r>
      <w:r w:rsidRPr="00020A5B">
        <w:rPr>
          <w:rFonts w:ascii="Verdana" w:hAnsi="Verdana" w:cs="Arial"/>
          <w:sz w:val="16"/>
          <w:szCs w:val="16"/>
        </w:rPr>
        <w:t xml:space="preserve"> </w:t>
      </w:r>
      <w:r w:rsidRPr="00020A5B">
        <w:rPr>
          <w:rFonts w:ascii="Verdana" w:hAnsi="Verdana" w:cs="Arial"/>
          <w:i/>
          <w:sz w:val="16"/>
          <w:szCs w:val="16"/>
          <w:lang w:val="es-ES"/>
        </w:rPr>
        <w:t>Ídem</w:t>
      </w:r>
      <w:r w:rsidRPr="00020A5B">
        <w:rPr>
          <w:rFonts w:ascii="Verdana" w:hAnsi="Verdana" w:cs="Arial"/>
          <w:sz w:val="16"/>
          <w:szCs w:val="16"/>
          <w:lang w:val="es-ES"/>
        </w:rPr>
        <w:t>.</w:t>
      </w:r>
    </w:p>
  </w:footnote>
  <w:footnote w:id="6">
    <w:p w14:paraId="481246DA" w14:textId="77777777" w:rsidR="00624B56" w:rsidRPr="00020A5B" w:rsidRDefault="00624B56" w:rsidP="00020A5B">
      <w:pPr>
        <w:pStyle w:val="Textonotapie"/>
        <w:ind w:firstLine="709"/>
        <w:contextualSpacing/>
        <w:jc w:val="both"/>
        <w:rPr>
          <w:rFonts w:ascii="Verdana" w:hAnsi="Verdana" w:cs="Arial"/>
          <w:sz w:val="16"/>
          <w:szCs w:val="16"/>
          <w:lang w:val="es-ES"/>
        </w:rPr>
      </w:pPr>
      <w:r w:rsidRPr="00020A5B">
        <w:rPr>
          <w:rStyle w:val="Refdenotaalpie"/>
          <w:rFonts w:ascii="Verdana" w:hAnsi="Verdana" w:cs="Arial"/>
          <w:sz w:val="16"/>
          <w:szCs w:val="16"/>
        </w:rPr>
        <w:footnoteRef/>
      </w:r>
      <w:r w:rsidRPr="00020A5B">
        <w:rPr>
          <w:rStyle w:val="Refdenotaalpie"/>
          <w:rFonts w:ascii="Verdana" w:hAnsi="Verdana" w:cs="Arial"/>
          <w:sz w:val="16"/>
          <w:szCs w:val="16"/>
        </w:rPr>
        <w:t xml:space="preserve"> </w:t>
      </w:r>
      <w:r w:rsidRPr="00020A5B">
        <w:rPr>
          <w:rFonts w:ascii="Verdana" w:hAnsi="Verdana" w:cs="Arial"/>
          <w:sz w:val="16"/>
          <w:szCs w:val="16"/>
          <w:lang w:val="es-ES"/>
        </w:rPr>
        <w:t xml:space="preserve">“[…] A este respecto, cabe recordar que el artículo 860 del Código de Comercio regula la licitación en el derecho privado”. </w:t>
      </w:r>
    </w:p>
    <w:p w14:paraId="0A5FB58B" w14:textId="77777777" w:rsidR="009D66B0" w:rsidRPr="00020A5B" w:rsidRDefault="009D66B0" w:rsidP="00020A5B">
      <w:pPr>
        <w:pStyle w:val="Textonotapie"/>
        <w:ind w:firstLine="709"/>
        <w:contextualSpacing/>
        <w:jc w:val="both"/>
        <w:rPr>
          <w:rFonts w:ascii="Verdana" w:hAnsi="Verdana" w:cs="Arial"/>
          <w:sz w:val="16"/>
          <w:szCs w:val="16"/>
          <w:lang w:val="es-ES"/>
        </w:rPr>
      </w:pPr>
    </w:p>
  </w:footnote>
  <w:footnote w:id="7">
    <w:p w14:paraId="0034E1A8" w14:textId="77777777" w:rsidR="00624B56" w:rsidRPr="00020A5B" w:rsidRDefault="00624B56" w:rsidP="00020A5B">
      <w:pPr>
        <w:shd w:val="clear" w:color="auto" w:fill="FFFFFF"/>
        <w:spacing w:after="0" w:line="240" w:lineRule="auto"/>
        <w:ind w:firstLine="709"/>
        <w:contextualSpacing/>
        <w:jc w:val="both"/>
        <w:rPr>
          <w:rFonts w:ascii="Verdana" w:hAnsi="Verdana" w:cs="Arial"/>
          <w:sz w:val="16"/>
          <w:szCs w:val="16"/>
          <w:lang w:val="es-ES"/>
        </w:rPr>
      </w:pPr>
      <w:r w:rsidRPr="00020A5B">
        <w:rPr>
          <w:rStyle w:val="Refdenotaalpie"/>
          <w:rFonts w:ascii="Verdana" w:hAnsi="Verdana" w:cs="Arial"/>
          <w:sz w:val="16"/>
          <w:szCs w:val="16"/>
        </w:rPr>
        <w:footnoteRef/>
      </w:r>
      <w:r w:rsidRPr="00020A5B">
        <w:rPr>
          <w:rStyle w:val="Refdenotaalpie"/>
          <w:rFonts w:ascii="Verdana" w:hAnsi="Verdana" w:cs="Arial"/>
          <w:sz w:val="16"/>
          <w:szCs w:val="16"/>
        </w:rPr>
        <w:t xml:space="preserve"> </w:t>
      </w:r>
      <w:r w:rsidRPr="00020A5B">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8">
    <w:p w14:paraId="47AF1B75" w14:textId="77777777" w:rsidR="009D66B0" w:rsidRPr="00020A5B" w:rsidRDefault="009D66B0" w:rsidP="00020A5B">
      <w:pPr>
        <w:pStyle w:val="Textonotapie"/>
        <w:ind w:firstLine="709"/>
        <w:contextualSpacing/>
        <w:jc w:val="both"/>
        <w:rPr>
          <w:rFonts w:ascii="Verdana" w:hAnsi="Verdana" w:cs="Arial"/>
          <w:sz w:val="16"/>
          <w:szCs w:val="16"/>
        </w:rPr>
      </w:pPr>
    </w:p>
    <w:p w14:paraId="07C18FF3" w14:textId="14C43EEF" w:rsidR="00624B56" w:rsidRPr="00020A5B" w:rsidRDefault="00624B56" w:rsidP="00020A5B">
      <w:pPr>
        <w:pStyle w:val="Textonotapie"/>
        <w:ind w:firstLine="709"/>
        <w:contextualSpacing/>
        <w:jc w:val="both"/>
        <w:rPr>
          <w:rFonts w:ascii="Verdana" w:hAnsi="Verdana" w:cs="Arial"/>
          <w:sz w:val="16"/>
          <w:szCs w:val="16"/>
        </w:rPr>
      </w:pPr>
      <w:r w:rsidRPr="00020A5B">
        <w:rPr>
          <w:rStyle w:val="Refdenotaalpie"/>
          <w:rFonts w:ascii="Verdana" w:hAnsi="Verdana" w:cs="Arial"/>
          <w:sz w:val="16"/>
          <w:szCs w:val="16"/>
        </w:rPr>
        <w:footnoteRef/>
      </w:r>
      <w:r w:rsidRPr="00020A5B">
        <w:rPr>
          <w:rFonts w:ascii="Verdana" w:hAnsi="Verdana" w:cs="Arial"/>
          <w:sz w:val="16"/>
          <w:szCs w:val="16"/>
        </w:rPr>
        <w:t xml:space="preserve"> Consejo de Estado. Sala de Consulta y Servicio Civil. Concepto del 08 de mayo de 2018. Exp. 2.382. C.P. Álvaro Namén Vargas.</w:t>
      </w:r>
    </w:p>
    <w:p w14:paraId="2E4E354B" w14:textId="77777777" w:rsidR="009D66B0" w:rsidRPr="00020A5B" w:rsidRDefault="009D66B0" w:rsidP="00020A5B">
      <w:pPr>
        <w:pStyle w:val="Textonotapie"/>
        <w:ind w:firstLine="709"/>
        <w:contextualSpacing/>
        <w:jc w:val="both"/>
        <w:rPr>
          <w:rFonts w:ascii="Verdana" w:hAnsi="Verdana" w:cs="Arial"/>
          <w:sz w:val="16"/>
          <w:szCs w:val="16"/>
        </w:rPr>
      </w:pPr>
    </w:p>
  </w:footnote>
  <w:footnote w:id="9">
    <w:p w14:paraId="27BC0D4F" w14:textId="77777777" w:rsidR="00624B56" w:rsidRPr="00020A5B" w:rsidRDefault="00624B56" w:rsidP="00020A5B">
      <w:pPr>
        <w:pStyle w:val="Textonotapie"/>
        <w:ind w:firstLine="709"/>
        <w:contextualSpacing/>
        <w:jc w:val="both"/>
        <w:rPr>
          <w:rFonts w:ascii="Verdana" w:hAnsi="Verdana" w:cs="Arial"/>
          <w:sz w:val="16"/>
          <w:szCs w:val="16"/>
        </w:rPr>
      </w:pPr>
      <w:r w:rsidRPr="00020A5B">
        <w:rPr>
          <w:rStyle w:val="Refdenotaalpie"/>
          <w:rFonts w:ascii="Verdana" w:hAnsi="Verdana" w:cs="Arial"/>
          <w:sz w:val="16"/>
          <w:szCs w:val="16"/>
        </w:rPr>
        <w:footnoteRef/>
      </w:r>
      <w:r w:rsidRPr="00020A5B">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1B8290ED" w14:textId="77777777" w:rsidR="00020A5B" w:rsidRPr="00020A5B" w:rsidRDefault="00020A5B" w:rsidP="00020A5B">
      <w:pPr>
        <w:pStyle w:val="Textonotapie"/>
        <w:ind w:firstLine="709"/>
        <w:contextualSpacing/>
        <w:jc w:val="both"/>
        <w:rPr>
          <w:rFonts w:ascii="Verdana" w:hAnsi="Verdana" w:cs="Arial"/>
          <w:sz w:val="16"/>
          <w:szCs w:val="16"/>
        </w:rPr>
      </w:pPr>
    </w:p>
  </w:footnote>
  <w:footnote w:id="10">
    <w:p w14:paraId="66132BBE" w14:textId="77777777" w:rsidR="00B015A8" w:rsidRPr="00020A5B" w:rsidRDefault="00B015A8" w:rsidP="00020A5B">
      <w:pPr>
        <w:spacing w:after="0" w:line="240" w:lineRule="auto"/>
        <w:ind w:firstLine="708"/>
        <w:contextualSpacing/>
        <w:jc w:val="both"/>
        <w:rPr>
          <w:rFonts w:ascii="Verdana" w:hAnsi="Verdana" w:cs="Arial"/>
          <w:color w:val="000000" w:themeColor="text1"/>
          <w:sz w:val="16"/>
          <w:szCs w:val="16"/>
          <w:lang w:val="es-ES"/>
        </w:rPr>
      </w:pPr>
      <w:r w:rsidRPr="00020A5B">
        <w:rPr>
          <w:rStyle w:val="Refdenotaalpie"/>
          <w:rFonts w:ascii="Verdana" w:hAnsi="Verdana" w:cs="Arial"/>
          <w:sz w:val="16"/>
          <w:szCs w:val="16"/>
        </w:rPr>
        <w:footnoteRef/>
      </w:r>
      <w:r w:rsidRPr="00020A5B">
        <w:rPr>
          <w:rFonts w:ascii="Verdana" w:hAnsi="Verdana" w:cs="Arial"/>
          <w:sz w:val="16"/>
          <w:szCs w:val="16"/>
        </w:rPr>
        <w:t xml:space="preserve"> Ley 80 de 1993. “</w:t>
      </w:r>
      <w:r w:rsidRPr="00020A5B">
        <w:rPr>
          <w:rFonts w:ascii="Verdana" w:hAnsi="Verdana" w:cs="Arial"/>
          <w:color w:val="000000" w:themeColor="text1"/>
          <w:sz w:val="16"/>
          <w:szCs w:val="16"/>
          <w:lang w:val="es-ES"/>
        </w:rPr>
        <w:t>ARTÍCULO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p w14:paraId="0881FDDB" w14:textId="77777777" w:rsidR="00B015A8" w:rsidRPr="00020A5B" w:rsidRDefault="00B015A8" w:rsidP="00020A5B">
      <w:pPr>
        <w:pStyle w:val="Textonotapie"/>
        <w:contextualSpacing/>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68650" w14:textId="77777777" w:rsidR="00187855" w:rsidRDefault="00187855">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737FF25D" wp14:editId="0E81DC77">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26F36C51" wp14:editId="638F23E9">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ECB723E" w14:textId="77777777" w:rsidR="00187855" w:rsidRDefault="00187855">
    <w:pPr>
      <w:pStyle w:val="Encabezado"/>
    </w:pPr>
  </w:p>
  <w:p w14:paraId="5DEAA3CA" w14:textId="77777777" w:rsidR="00187855" w:rsidRDefault="00187855" w:rsidP="004A305D">
    <w:pPr>
      <w:spacing w:after="0"/>
      <w:rPr>
        <w:rFonts w:ascii="Verdana" w:hAnsi="Verdana"/>
        <w:b/>
        <w:bCs/>
      </w:rPr>
    </w:pPr>
  </w:p>
  <w:p w14:paraId="0D9A728C" w14:textId="77777777" w:rsidR="00187855" w:rsidRPr="004A305D" w:rsidRDefault="00187855" w:rsidP="00B01B1A">
    <w:pPr>
      <w:spacing w:after="0" w:line="120" w:lineRule="auto"/>
      <w:rPr>
        <w:rFonts w:ascii="Century Gothic" w:eastAsia="Geo" w:hAnsi="Century Gothic" w:cs="Geo"/>
        <w:sz w:val="16"/>
        <w:szCs w:val="16"/>
        <w:lang w:eastAsia="es-CO"/>
      </w:rPr>
    </w:pPr>
  </w:p>
  <w:p w14:paraId="7929297E" w14:textId="77777777" w:rsidR="00187855" w:rsidRDefault="00187855"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855"/>
    <w:rsid w:val="00016552"/>
    <w:rsid w:val="00020A5B"/>
    <w:rsid w:val="00064C04"/>
    <w:rsid w:val="00067BB4"/>
    <w:rsid w:val="000744B6"/>
    <w:rsid w:val="00085CC8"/>
    <w:rsid w:val="00095D58"/>
    <w:rsid w:val="000A2B4E"/>
    <w:rsid w:val="000A7BDD"/>
    <w:rsid w:val="000D3C2D"/>
    <w:rsid w:val="000D4E90"/>
    <w:rsid w:val="000D5783"/>
    <w:rsid w:val="00107E19"/>
    <w:rsid w:val="00110623"/>
    <w:rsid w:val="00126AC1"/>
    <w:rsid w:val="00135D5A"/>
    <w:rsid w:val="00145E4A"/>
    <w:rsid w:val="00161E67"/>
    <w:rsid w:val="00165C0B"/>
    <w:rsid w:val="0018614D"/>
    <w:rsid w:val="00187855"/>
    <w:rsid w:val="0019614C"/>
    <w:rsid w:val="001B0AF8"/>
    <w:rsid w:val="001C155F"/>
    <w:rsid w:val="001C3A47"/>
    <w:rsid w:val="00221280"/>
    <w:rsid w:val="00222B0E"/>
    <w:rsid w:val="00244412"/>
    <w:rsid w:val="00286F1D"/>
    <w:rsid w:val="0029721E"/>
    <w:rsid w:val="002B69D1"/>
    <w:rsid w:val="002D0EDA"/>
    <w:rsid w:val="002E3BF9"/>
    <w:rsid w:val="002F028B"/>
    <w:rsid w:val="003037A6"/>
    <w:rsid w:val="0031754D"/>
    <w:rsid w:val="00323E8C"/>
    <w:rsid w:val="003837CD"/>
    <w:rsid w:val="003A4F34"/>
    <w:rsid w:val="003E412A"/>
    <w:rsid w:val="003E5D4C"/>
    <w:rsid w:val="003E6B58"/>
    <w:rsid w:val="003E72CA"/>
    <w:rsid w:val="003F7B98"/>
    <w:rsid w:val="0046420E"/>
    <w:rsid w:val="00474DF4"/>
    <w:rsid w:val="00494144"/>
    <w:rsid w:val="004E2EEB"/>
    <w:rsid w:val="004F471F"/>
    <w:rsid w:val="00501634"/>
    <w:rsid w:val="00527739"/>
    <w:rsid w:val="00582479"/>
    <w:rsid w:val="005873FC"/>
    <w:rsid w:val="005923A2"/>
    <w:rsid w:val="005A03B1"/>
    <w:rsid w:val="005B79C6"/>
    <w:rsid w:val="005C7B28"/>
    <w:rsid w:val="00614486"/>
    <w:rsid w:val="00624B56"/>
    <w:rsid w:val="006B1B51"/>
    <w:rsid w:val="006C3193"/>
    <w:rsid w:val="006D1F82"/>
    <w:rsid w:val="006F4293"/>
    <w:rsid w:val="00707ECB"/>
    <w:rsid w:val="00720768"/>
    <w:rsid w:val="007230C1"/>
    <w:rsid w:val="00745748"/>
    <w:rsid w:val="00752875"/>
    <w:rsid w:val="00754393"/>
    <w:rsid w:val="007A3886"/>
    <w:rsid w:val="007B3DC4"/>
    <w:rsid w:val="007E2C30"/>
    <w:rsid w:val="007E43EB"/>
    <w:rsid w:val="007E5CBA"/>
    <w:rsid w:val="007F0ECF"/>
    <w:rsid w:val="00800158"/>
    <w:rsid w:val="00820CE0"/>
    <w:rsid w:val="00870895"/>
    <w:rsid w:val="008737C4"/>
    <w:rsid w:val="00896374"/>
    <w:rsid w:val="008B49A3"/>
    <w:rsid w:val="008D7B58"/>
    <w:rsid w:val="009514F7"/>
    <w:rsid w:val="009616B6"/>
    <w:rsid w:val="009D5937"/>
    <w:rsid w:val="009D66B0"/>
    <w:rsid w:val="009E7E15"/>
    <w:rsid w:val="00A0121F"/>
    <w:rsid w:val="00A04810"/>
    <w:rsid w:val="00A10576"/>
    <w:rsid w:val="00A16436"/>
    <w:rsid w:val="00A26281"/>
    <w:rsid w:val="00A3624E"/>
    <w:rsid w:val="00A6189F"/>
    <w:rsid w:val="00A73A3A"/>
    <w:rsid w:val="00A957EA"/>
    <w:rsid w:val="00A969F7"/>
    <w:rsid w:val="00AB45C7"/>
    <w:rsid w:val="00AB5EAD"/>
    <w:rsid w:val="00AE27A9"/>
    <w:rsid w:val="00AE4CD2"/>
    <w:rsid w:val="00AF6210"/>
    <w:rsid w:val="00B015A8"/>
    <w:rsid w:val="00B01786"/>
    <w:rsid w:val="00B04DF4"/>
    <w:rsid w:val="00B7097E"/>
    <w:rsid w:val="00B7336C"/>
    <w:rsid w:val="00B80E48"/>
    <w:rsid w:val="00B8312A"/>
    <w:rsid w:val="00B93D47"/>
    <w:rsid w:val="00BA2DB8"/>
    <w:rsid w:val="00BB7A9D"/>
    <w:rsid w:val="00BC3C65"/>
    <w:rsid w:val="00C24FFE"/>
    <w:rsid w:val="00C27825"/>
    <w:rsid w:val="00C569EA"/>
    <w:rsid w:val="00C73761"/>
    <w:rsid w:val="00C93324"/>
    <w:rsid w:val="00C97159"/>
    <w:rsid w:val="00CF39CF"/>
    <w:rsid w:val="00D24E05"/>
    <w:rsid w:val="00D35E4D"/>
    <w:rsid w:val="00D66371"/>
    <w:rsid w:val="00D73F00"/>
    <w:rsid w:val="00D97ED6"/>
    <w:rsid w:val="00DA68B5"/>
    <w:rsid w:val="00DB2160"/>
    <w:rsid w:val="00DB3CAF"/>
    <w:rsid w:val="00DC3A4A"/>
    <w:rsid w:val="00DC3D55"/>
    <w:rsid w:val="00DE1085"/>
    <w:rsid w:val="00DF31D1"/>
    <w:rsid w:val="00E21288"/>
    <w:rsid w:val="00E74B36"/>
    <w:rsid w:val="00E80ACF"/>
    <w:rsid w:val="00EA39A0"/>
    <w:rsid w:val="00EC5A97"/>
    <w:rsid w:val="00F01215"/>
    <w:rsid w:val="00F05458"/>
    <w:rsid w:val="00F44DFD"/>
    <w:rsid w:val="00F517AB"/>
    <w:rsid w:val="00F66F0C"/>
    <w:rsid w:val="00F7394B"/>
    <w:rsid w:val="00F81DDB"/>
    <w:rsid w:val="00F9020A"/>
    <w:rsid w:val="00FF6762"/>
    <w:rsid w:val="0F03271F"/>
    <w:rsid w:val="6D7E557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49D5A"/>
  <w15:chartTrackingRefBased/>
  <w15:docId w15:val="{B2C14908-F93E-4943-89D7-E8A625497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E4D"/>
    <w:rPr>
      <w:kern w:val="0"/>
      <w14:ligatures w14:val="none"/>
    </w:rPr>
  </w:style>
  <w:style w:type="paragraph" w:styleId="Ttulo1">
    <w:name w:val="heading 1"/>
    <w:basedOn w:val="Normal"/>
    <w:next w:val="Normal"/>
    <w:link w:val="Ttulo1Car"/>
    <w:uiPriority w:val="9"/>
    <w:qFormat/>
    <w:rsid w:val="0018785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unhideWhenUsed/>
    <w:qFormat/>
    <w:rsid w:val="0018785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8785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8785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8785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8785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8785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8785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8785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8785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rsid w:val="0018785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8785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8785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8785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8785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8785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8785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87855"/>
    <w:rPr>
      <w:rFonts w:eastAsiaTheme="majorEastAsia" w:cstheme="majorBidi"/>
      <w:color w:val="272727" w:themeColor="text1" w:themeTint="D8"/>
    </w:rPr>
  </w:style>
  <w:style w:type="paragraph" w:styleId="Ttulo">
    <w:name w:val="Title"/>
    <w:basedOn w:val="Normal"/>
    <w:next w:val="Normal"/>
    <w:link w:val="TtuloCar"/>
    <w:uiPriority w:val="10"/>
    <w:qFormat/>
    <w:rsid w:val="001878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8785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8785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8785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87855"/>
    <w:pPr>
      <w:spacing w:before="160"/>
      <w:jc w:val="center"/>
    </w:pPr>
    <w:rPr>
      <w:i/>
      <w:iCs/>
      <w:color w:val="404040" w:themeColor="text1" w:themeTint="BF"/>
    </w:rPr>
  </w:style>
  <w:style w:type="character" w:customStyle="1" w:styleId="CitaCar">
    <w:name w:val="Cita Car"/>
    <w:basedOn w:val="Fuentedeprrafopredeter"/>
    <w:link w:val="Cita"/>
    <w:uiPriority w:val="29"/>
    <w:rsid w:val="00187855"/>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187855"/>
    <w:pPr>
      <w:ind w:left="720"/>
      <w:contextualSpacing/>
    </w:pPr>
  </w:style>
  <w:style w:type="character" w:styleId="nfasisintenso">
    <w:name w:val="Intense Emphasis"/>
    <w:basedOn w:val="Fuentedeprrafopredeter"/>
    <w:uiPriority w:val="21"/>
    <w:qFormat/>
    <w:rsid w:val="00187855"/>
    <w:rPr>
      <w:i/>
      <w:iCs/>
      <w:color w:val="2F5496" w:themeColor="accent1" w:themeShade="BF"/>
    </w:rPr>
  </w:style>
  <w:style w:type="paragraph" w:styleId="Citadestacada">
    <w:name w:val="Intense Quote"/>
    <w:basedOn w:val="Normal"/>
    <w:next w:val="Normal"/>
    <w:link w:val="CitadestacadaCar"/>
    <w:uiPriority w:val="30"/>
    <w:qFormat/>
    <w:rsid w:val="0018785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87855"/>
    <w:rPr>
      <w:i/>
      <w:iCs/>
      <w:color w:val="2F5496" w:themeColor="accent1" w:themeShade="BF"/>
    </w:rPr>
  </w:style>
  <w:style w:type="character" w:styleId="Referenciaintensa">
    <w:name w:val="Intense Reference"/>
    <w:basedOn w:val="Fuentedeprrafopredeter"/>
    <w:uiPriority w:val="32"/>
    <w:qFormat/>
    <w:rsid w:val="00187855"/>
    <w:rPr>
      <w:b/>
      <w:bCs/>
      <w:smallCaps/>
      <w:color w:val="2F5496" w:themeColor="accent1" w:themeShade="BF"/>
      <w:spacing w:val="5"/>
    </w:rPr>
  </w:style>
  <w:style w:type="paragraph" w:styleId="Encabezado">
    <w:name w:val="header"/>
    <w:basedOn w:val="Normal"/>
    <w:link w:val="EncabezadoCar"/>
    <w:uiPriority w:val="99"/>
    <w:unhideWhenUsed/>
    <w:rsid w:val="0018785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87855"/>
    <w:rPr>
      <w:kern w:val="0"/>
      <w14:ligatures w14:val="none"/>
    </w:rPr>
  </w:style>
  <w:style w:type="paragraph" w:styleId="Piedepgina">
    <w:name w:val="footer"/>
    <w:basedOn w:val="Normal"/>
    <w:link w:val="PiedepginaCar"/>
    <w:uiPriority w:val="99"/>
    <w:unhideWhenUsed/>
    <w:rsid w:val="0018785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87855"/>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18785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187855"/>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187855"/>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187855"/>
    <w:rPr>
      <w:vertAlign w:val="superscript"/>
    </w:rPr>
  </w:style>
  <w:style w:type="character" w:customStyle="1" w:styleId="normaltextrun">
    <w:name w:val="normaltextrun"/>
    <w:basedOn w:val="Fuentedeprrafopredeter"/>
    <w:rsid w:val="00187855"/>
  </w:style>
  <w:style w:type="table" w:styleId="Tablaconcuadrcula">
    <w:name w:val="Table Grid"/>
    <w:basedOn w:val="Tablanormal"/>
    <w:uiPriority w:val="39"/>
    <w:qFormat/>
    <w:rsid w:val="0018785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87855"/>
    <w:rPr>
      <w:color w:val="0000FF"/>
      <w:u w:val="single"/>
    </w:rPr>
  </w:style>
  <w:style w:type="paragraph" w:styleId="NormalWeb">
    <w:name w:val="Normal (Web)"/>
    <w:basedOn w:val="Normal"/>
    <w:uiPriority w:val="99"/>
    <w:semiHidden/>
    <w:unhideWhenUsed/>
    <w:rsid w:val="00187855"/>
    <w:pPr>
      <w:spacing w:before="100" w:beforeAutospacing="1" w:after="100" w:afterAutospacing="1" w:line="240" w:lineRule="auto"/>
    </w:pPr>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59"/>
    <w:rsid w:val="00187855"/>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87855"/>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87855"/>
  </w:style>
  <w:style w:type="character" w:styleId="Fuerte">
    <w:name w:val="Strong"/>
    <w:basedOn w:val="Fuentedeprrafopredeter"/>
    <w:uiPriority w:val="22"/>
    <w:qFormat/>
    <w:rsid w:val="00187855"/>
    <w:rPr>
      <w:b/>
      <w:bCs/>
    </w:rPr>
  </w:style>
  <w:style w:type="character" w:styleId="nfasis">
    <w:name w:val="Emphasis"/>
    <w:basedOn w:val="Fuentedeprrafopredeter"/>
    <w:uiPriority w:val="20"/>
    <w:qFormat/>
    <w:rsid w:val="00187855"/>
    <w:rPr>
      <w:i/>
      <w:iCs/>
    </w:rPr>
  </w:style>
  <w:style w:type="character" w:styleId="Mencinsinresolver">
    <w:name w:val="Unresolved Mention"/>
    <w:basedOn w:val="Fuentedeprrafopredeter"/>
    <w:uiPriority w:val="99"/>
    <w:semiHidden/>
    <w:unhideWhenUsed/>
    <w:rsid w:val="00067B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4610024">
      <w:bodyDiv w:val="1"/>
      <w:marLeft w:val="0"/>
      <w:marRight w:val="0"/>
      <w:marTop w:val="0"/>
      <w:marBottom w:val="0"/>
      <w:divBdr>
        <w:top w:val="none" w:sz="0" w:space="0" w:color="auto"/>
        <w:left w:val="none" w:sz="0" w:space="0" w:color="auto"/>
        <w:bottom w:val="none" w:sz="0" w:space="0" w:color="auto"/>
        <w:right w:val="none" w:sz="0" w:space="0" w:color="auto"/>
      </w:divBdr>
      <w:divsChild>
        <w:div w:id="1350912748">
          <w:marLeft w:val="0"/>
          <w:marRight w:val="0"/>
          <w:marTop w:val="0"/>
          <w:marBottom w:val="0"/>
          <w:divBdr>
            <w:top w:val="none" w:sz="0" w:space="0" w:color="auto"/>
            <w:left w:val="none" w:sz="0" w:space="0" w:color="auto"/>
            <w:bottom w:val="none" w:sz="0" w:space="0" w:color="auto"/>
            <w:right w:val="none" w:sz="0" w:space="0" w:color="auto"/>
          </w:divBdr>
        </w:div>
        <w:div w:id="1865316331">
          <w:marLeft w:val="0"/>
          <w:marRight w:val="0"/>
          <w:marTop w:val="0"/>
          <w:marBottom w:val="0"/>
          <w:divBdr>
            <w:top w:val="none" w:sz="0" w:space="0" w:color="auto"/>
            <w:left w:val="none" w:sz="0" w:space="0" w:color="auto"/>
            <w:bottom w:val="none" w:sz="0" w:space="0" w:color="auto"/>
            <w:right w:val="none" w:sz="0" w:space="0" w:color="auto"/>
          </w:divBdr>
        </w:div>
        <w:div w:id="479149863">
          <w:marLeft w:val="0"/>
          <w:marRight w:val="0"/>
          <w:marTop w:val="0"/>
          <w:marBottom w:val="0"/>
          <w:divBdr>
            <w:top w:val="none" w:sz="0" w:space="0" w:color="auto"/>
            <w:left w:val="none" w:sz="0" w:space="0" w:color="auto"/>
            <w:bottom w:val="none" w:sz="0" w:space="0" w:color="auto"/>
            <w:right w:val="none" w:sz="0" w:space="0" w:color="auto"/>
          </w:divBdr>
        </w:div>
        <w:div w:id="1719697054">
          <w:marLeft w:val="0"/>
          <w:marRight w:val="0"/>
          <w:marTop w:val="240"/>
          <w:marBottom w:val="240"/>
          <w:divBdr>
            <w:top w:val="none" w:sz="0" w:space="0" w:color="auto"/>
            <w:left w:val="none" w:sz="0" w:space="0" w:color="auto"/>
            <w:bottom w:val="none" w:sz="0" w:space="0" w:color="auto"/>
            <w:right w:val="none" w:sz="0" w:space="0" w:color="auto"/>
          </w:divBdr>
        </w:div>
      </w:divsChild>
    </w:div>
    <w:div w:id="825895046">
      <w:bodyDiv w:val="1"/>
      <w:marLeft w:val="0"/>
      <w:marRight w:val="0"/>
      <w:marTop w:val="0"/>
      <w:marBottom w:val="0"/>
      <w:divBdr>
        <w:top w:val="none" w:sz="0" w:space="0" w:color="auto"/>
        <w:left w:val="none" w:sz="0" w:space="0" w:color="auto"/>
        <w:bottom w:val="none" w:sz="0" w:space="0" w:color="auto"/>
        <w:right w:val="none" w:sz="0" w:space="0" w:color="auto"/>
      </w:divBdr>
      <w:divsChild>
        <w:div w:id="1364018733">
          <w:marLeft w:val="0"/>
          <w:marRight w:val="0"/>
          <w:marTop w:val="0"/>
          <w:marBottom w:val="0"/>
          <w:divBdr>
            <w:top w:val="none" w:sz="0" w:space="0" w:color="auto"/>
            <w:left w:val="none" w:sz="0" w:space="0" w:color="auto"/>
            <w:bottom w:val="none" w:sz="0" w:space="0" w:color="auto"/>
            <w:right w:val="none" w:sz="0" w:space="0" w:color="auto"/>
          </w:divBdr>
        </w:div>
        <w:div w:id="1253245680">
          <w:marLeft w:val="0"/>
          <w:marRight w:val="0"/>
          <w:marTop w:val="0"/>
          <w:marBottom w:val="0"/>
          <w:divBdr>
            <w:top w:val="none" w:sz="0" w:space="0" w:color="auto"/>
            <w:left w:val="none" w:sz="0" w:space="0" w:color="auto"/>
            <w:bottom w:val="none" w:sz="0" w:space="0" w:color="auto"/>
            <w:right w:val="none" w:sz="0" w:space="0" w:color="auto"/>
          </w:divBdr>
        </w:div>
        <w:div w:id="1027177716">
          <w:marLeft w:val="0"/>
          <w:marRight w:val="0"/>
          <w:marTop w:val="0"/>
          <w:marBottom w:val="0"/>
          <w:divBdr>
            <w:top w:val="none" w:sz="0" w:space="0" w:color="auto"/>
            <w:left w:val="none" w:sz="0" w:space="0" w:color="auto"/>
            <w:bottom w:val="none" w:sz="0" w:space="0" w:color="auto"/>
            <w:right w:val="none" w:sz="0" w:space="0" w:color="auto"/>
          </w:divBdr>
        </w:div>
        <w:div w:id="1423718732">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lombiacompra.gov.co/sites/cce_public/files/cce_circulares/cce-eicp-ma-06_circular_externa_con_comentarios_de_ciudadanos-_v2f_002.pdf"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5C361A-6820-40D3-943C-42E8D28FD6D4}">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A3E1C687-4089-4A15-A586-DECEF0C2043F}">
  <ds:schemaRefs>
    <ds:schemaRef ds:uri="http://schemas.microsoft.com/sharepoint/v3/contenttype/forms"/>
  </ds:schemaRefs>
</ds:datastoreItem>
</file>

<file path=customXml/itemProps3.xml><?xml version="1.0" encoding="utf-8"?>
<ds:datastoreItem xmlns:ds="http://schemas.openxmlformats.org/officeDocument/2006/customXml" ds:itemID="{7F0AD998-A069-4EC4-BE28-98D622164B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15</Pages>
  <Words>4762</Words>
  <Characters>26196</Characters>
  <Application>Microsoft Office Word</Application>
  <DocSecurity>0</DocSecurity>
  <Lines>218</Lines>
  <Paragraphs>61</Paragraphs>
  <ScaleCrop>false</ScaleCrop>
  <Company/>
  <LinksUpToDate>false</LinksUpToDate>
  <CharactersWithSpaces>30897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Andrés Rivera Cano</cp:lastModifiedBy>
  <cp:revision>3</cp:revision>
  <dcterms:created xsi:type="dcterms:W3CDTF">2026-05-26T22:31:00Z</dcterms:created>
  <dcterms:modified xsi:type="dcterms:W3CDTF">2026-05-26T22:39:00Z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