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8684E" w14:textId="01C7B2EC" w:rsidR="003175F3" w:rsidRPr="003175F3" w:rsidRDefault="003175F3" w:rsidP="005F7DAF">
      <w:pPr>
        <w:jc w:val="both"/>
        <w:rPr>
          <w:rFonts w:ascii="Verdana" w:hAnsi="Verdana" w:cs="Arial"/>
          <w:b/>
          <w:bCs/>
        </w:rPr>
      </w:pPr>
      <w:bookmarkStart w:id="0" w:name="_Hlk143780582"/>
      <w:r w:rsidRPr="003175F3">
        <w:rPr>
          <w:rFonts w:ascii="Verdana" w:hAnsi="Verdana" w:cs="Arial"/>
          <w:b/>
          <w:bCs/>
        </w:rPr>
        <w:t>LIQUIDACIÓN DE CONTRATOS – Noción</w:t>
      </w:r>
    </w:p>
    <w:p w14:paraId="779AE661" w14:textId="5D17851E" w:rsidR="003175F3" w:rsidRDefault="003175F3" w:rsidP="003175F3">
      <w:pPr>
        <w:spacing w:line="240" w:lineRule="auto"/>
        <w:jc w:val="both"/>
        <w:rPr>
          <w:rFonts w:ascii="Verdana" w:eastAsia="Calibri" w:hAnsi="Verdana" w:cs="Arial"/>
          <w:sz w:val="21"/>
          <w:szCs w:val="21"/>
        </w:rPr>
      </w:pPr>
      <w:r w:rsidRPr="003175F3">
        <w:rPr>
          <w:rFonts w:ascii="Verdana" w:eastAsia="Calibri" w:hAnsi="Verdana"/>
          <w:sz w:val="21"/>
          <w:szCs w:val="21"/>
        </w:rPr>
        <w:t>Sobre el particular</w:t>
      </w:r>
      <w:r w:rsidRPr="003175F3">
        <w:rPr>
          <w:rFonts w:ascii="Verdana" w:eastAsia="Calibri" w:hAnsi="Verdana" w:cs="Arial"/>
          <w:sz w:val="21"/>
          <w:szCs w:val="21"/>
        </w:rPr>
        <w:t xml:space="preserve"> cabe mencionar que la liquidación es el momento en el cual, una vez concluido el contrato estatal, las partes cruzan cuentas respecto de sus obligaciones, por tanto, su objetivo es determinar si pueden declararse a paz y salvo mutuo o si, por el contrario, existen obligaciones por cumplir, para acordar la forma en que deben ser cumplidas […] </w:t>
      </w:r>
    </w:p>
    <w:p w14:paraId="5DF43959" w14:textId="63278643" w:rsidR="003175F3" w:rsidRDefault="003175F3" w:rsidP="003175F3">
      <w:pPr>
        <w:spacing w:line="240" w:lineRule="auto"/>
        <w:jc w:val="both"/>
        <w:rPr>
          <w:rFonts w:ascii="Verdana" w:hAnsi="Verdana" w:cs="Arial"/>
          <w:b/>
          <w:bCs/>
        </w:rPr>
      </w:pPr>
      <w:r w:rsidRPr="003175F3">
        <w:rPr>
          <w:rFonts w:ascii="Verdana" w:hAnsi="Verdana" w:cs="Arial"/>
          <w:b/>
          <w:bCs/>
        </w:rPr>
        <w:t xml:space="preserve">LIQUIDACIÓN DE CONTRATOS </w:t>
      </w:r>
      <w:r w:rsidR="00172016" w:rsidRPr="00172016">
        <w:rPr>
          <w:rFonts w:ascii="Verdana" w:hAnsi="Verdana" w:cs="Arial"/>
          <w:b/>
          <w:bCs/>
          <w:lang w:val="es-ES"/>
        </w:rPr>
        <w:t>–</w:t>
      </w:r>
      <w:r w:rsidRPr="003175F3">
        <w:rPr>
          <w:rFonts w:ascii="Verdana" w:hAnsi="Verdana" w:cs="Arial"/>
          <w:b/>
          <w:bCs/>
        </w:rPr>
        <w:t xml:space="preserve"> Contratos de tracto sucesivo – DEFINICIÓN</w:t>
      </w:r>
    </w:p>
    <w:p w14:paraId="02CE496A" w14:textId="403A58CF" w:rsidR="003175F3" w:rsidRPr="00172016" w:rsidRDefault="003175F3" w:rsidP="003175F3">
      <w:pPr>
        <w:spacing w:line="240" w:lineRule="auto"/>
        <w:jc w:val="both"/>
        <w:rPr>
          <w:rFonts w:ascii="Verdana" w:hAnsi="Verdana"/>
          <w:color w:val="0A0A0A"/>
          <w:sz w:val="20"/>
          <w:szCs w:val="20"/>
          <w:shd w:val="clear" w:color="auto" w:fill="FFFFFF"/>
        </w:rPr>
      </w:pPr>
      <w:r w:rsidRPr="00172016">
        <w:rPr>
          <w:rFonts w:ascii="Verdana" w:hAnsi="Verdana" w:cs="Arial"/>
          <w:sz w:val="20"/>
          <w:szCs w:val="20"/>
        </w:rPr>
        <w:t xml:space="preserve">Ahora bien, respecto a la pregunta planteada, vale añadir </w:t>
      </w:r>
      <w:r w:rsidR="00172016" w:rsidRPr="00172016">
        <w:rPr>
          <w:rFonts w:ascii="Verdana" w:hAnsi="Verdana" w:cs="Arial"/>
          <w:sz w:val="20"/>
          <w:szCs w:val="20"/>
        </w:rPr>
        <w:t>que, un</w:t>
      </w:r>
      <w:r w:rsidRPr="00172016">
        <w:rPr>
          <w:rFonts w:ascii="Verdana" w:hAnsi="Verdana"/>
          <w:sz w:val="20"/>
          <w:szCs w:val="20"/>
        </w:rPr>
        <w:t xml:space="preserve"> contrato de tracto sucesivo es aquel en el que las prestaciones de las partes se cumplen de manera repetida y prolongada en el tiempo, en lugar de realizarse en un solo acto</w:t>
      </w:r>
      <w:r w:rsidRPr="00172016">
        <w:rPr>
          <w:rFonts w:ascii="Verdana" w:hAnsi="Verdana"/>
          <w:color w:val="0A0A0A"/>
          <w:sz w:val="20"/>
          <w:szCs w:val="20"/>
          <w:shd w:val="clear" w:color="auto" w:fill="FFFFFF"/>
        </w:rPr>
        <w:t xml:space="preserve">. Estos contratos se caracterizan por extenderse durante un período determinado o indetermina. </w:t>
      </w:r>
      <w:r w:rsidRPr="00172016">
        <w:rPr>
          <w:rFonts w:ascii="Verdana" w:hAnsi="Verdana"/>
          <w:sz w:val="20"/>
          <w:szCs w:val="20"/>
        </w:rPr>
        <w:t xml:space="preserve">Así, los contratos de tracto sucesivo o 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 Ejemplo de ello son </w:t>
      </w:r>
      <w:r w:rsidRPr="00172016">
        <w:rPr>
          <w:rFonts w:ascii="Verdana" w:hAnsi="Verdana"/>
          <w:color w:val="0A0A0A"/>
          <w:sz w:val="20"/>
          <w:szCs w:val="20"/>
          <w:shd w:val="clear" w:color="auto" w:fill="FFFFFF"/>
        </w:rPr>
        <w:t>los contratos de arrendamiento, de servicios públicos o de suministro. </w:t>
      </w:r>
    </w:p>
    <w:p w14:paraId="06D3BF50" w14:textId="5C96DB2D" w:rsidR="003175F3" w:rsidRPr="003175F3" w:rsidRDefault="003175F3" w:rsidP="003175F3">
      <w:pPr>
        <w:spacing w:line="276" w:lineRule="auto"/>
        <w:jc w:val="both"/>
        <w:rPr>
          <w:rFonts w:ascii="Verdana" w:hAnsi="Verdana" w:cs="Arial"/>
          <w:b/>
          <w:bCs/>
        </w:rPr>
      </w:pPr>
      <w:r w:rsidRPr="003175F3">
        <w:rPr>
          <w:rFonts w:ascii="Verdana" w:hAnsi="Verdana" w:cs="Arial"/>
          <w:b/>
          <w:bCs/>
        </w:rPr>
        <w:t xml:space="preserve">LIQUIDACIÓN DE CONTRATOS </w:t>
      </w:r>
      <w:r w:rsidR="00172016" w:rsidRPr="00172016">
        <w:rPr>
          <w:rFonts w:ascii="Verdana" w:hAnsi="Verdana" w:cs="Arial"/>
          <w:b/>
          <w:bCs/>
          <w:lang w:val="es-ES"/>
        </w:rPr>
        <w:t>–</w:t>
      </w:r>
      <w:r w:rsidRPr="003175F3">
        <w:rPr>
          <w:rFonts w:ascii="Verdana" w:hAnsi="Verdana" w:cs="Arial"/>
          <w:b/>
          <w:bCs/>
        </w:rPr>
        <w:t xml:space="preserve"> Contratos de tracto sucesivo – Donaciones</w:t>
      </w:r>
    </w:p>
    <w:p w14:paraId="4C96BB7C" w14:textId="07D1B2B0" w:rsidR="003175F3" w:rsidRPr="00172016" w:rsidRDefault="003175F3" w:rsidP="003175F3">
      <w:pPr>
        <w:jc w:val="both"/>
        <w:rPr>
          <w:rFonts w:ascii="Verdana" w:hAnsi="Verdana" w:cs="Arial"/>
          <w:sz w:val="20"/>
          <w:szCs w:val="20"/>
        </w:rPr>
      </w:pPr>
      <w:r w:rsidRPr="00172016">
        <w:rPr>
          <w:rFonts w:ascii="Verdana" w:hAnsi="Verdana" w:cs="Arial"/>
          <w:sz w:val="20"/>
          <w:szCs w:val="20"/>
        </w:rPr>
        <w:t>[…] los contratos de donación, en principio, no requerirían liquidación, en la medida en que, por regla general, corresponden a contratos de ejecución instantánea, cuya prestación se agota con la entrega del bien o derecho objeto de la donación. En efecto, la doctrina ha señalado que la liquidación contractual no constituye un trámite obligatorio para todos los contratos estatales, sino únicamente para aquellos que, por sus características particulares, duración, ejecución sucesiva o por la necesidad de efectuar un balance económico y jurídico de las prestaciones ejecutadas, requieran determinar el estado final de las obligaciones entre las partes.</w:t>
      </w:r>
    </w:p>
    <w:p w14:paraId="6359CB29" w14:textId="5C0912D9" w:rsidR="003175F3" w:rsidRPr="00172016" w:rsidRDefault="003175F3" w:rsidP="003175F3">
      <w:pPr>
        <w:spacing w:after="0" w:line="240" w:lineRule="auto"/>
        <w:jc w:val="both"/>
        <w:rPr>
          <w:rFonts w:ascii="Verdana" w:hAnsi="Verdana" w:cs="Arial"/>
          <w:sz w:val="20"/>
          <w:szCs w:val="20"/>
        </w:rPr>
      </w:pPr>
      <w:r w:rsidRPr="00172016">
        <w:rPr>
          <w:rFonts w:ascii="Verdana" w:hAnsi="Verdana" w:cs="Arial"/>
          <w:sz w:val="20"/>
          <w:szCs w:val="20"/>
        </w:rPr>
        <w:t>En consecuencia, si la donación agota sus efectos con un único acto de entrega y no existen obligaciones pendientes, prestaciones sucesivas o circunstancias que exijan establecer saldos, ajustes o controversias derivadas de su ejecución, no se advertiría, en principio, la necesidad de surtir el trámite de liquidación. No obstante, dicha conclusión deberá analizarse en cada caso concreto, atendiendo las condiciones particulares del negocio jurídico y las obligaciones pactadas por las partes.</w:t>
      </w:r>
    </w:p>
    <w:p w14:paraId="118A75B1" w14:textId="77777777" w:rsidR="003175F3" w:rsidRPr="003175F3" w:rsidRDefault="003175F3" w:rsidP="003175F3">
      <w:pPr>
        <w:spacing w:after="0" w:line="240" w:lineRule="auto"/>
        <w:jc w:val="both"/>
        <w:rPr>
          <w:rFonts w:ascii="Verdana" w:hAnsi="Verdana"/>
          <w:b/>
          <w:bCs/>
          <w:sz w:val="21"/>
          <w:szCs w:val="21"/>
        </w:rPr>
      </w:pPr>
    </w:p>
    <w:p w14:paraId="25F94B25" w14:textId="77777777" w:rsidR="00172016" w:rsidRDefault="00172016" w:rsidP="005F7DAF">
      <w:pPr>
        <w:jc w:val="both"/>
        <w:rPr>
          <w:rFonts w:ascii="Verdana" w:hAnsi="Verdana"/>
        </w:rPr>
      </w:pPr>
    </w:p>
    <w:p w14:paraId="783F109E" w14:textId="77777777" w:rsidR="00172016" w:rsidRDefault="00172016" w:rsidP="005F7DAF">
      <w:pPr>
        <w:jc w:val="both"/>
        <w:rPr>
          <w:rFonts w:ascii="Verdana" w:hAnsi="Verdana"/>
        </w:rPr>
      </w:pPr>
    </w:p>
    <w:p w14:paraId="505BBB6B" w14:textId="77777777" w:rsidR="00172016" w:rsidRDefault="00172016" w:rsidP="005F7DAF">
      <w:pPr>
        <w:jc w:val="both"/>
        <w:rPr>
          <w:rFonts w:ascii="Verdana" w:hAnsi="Verdana"/>
        </w:rPr>
      </w:pPr>
    </w:p>
    <w:p w14:paraId="6D397858" w14:textId="413023C4" w:rsidR="005F7DAF" w:rsidRPr="00C317E5" w:rsidRDefault="005F7DAF" w:rsidP="005F7DAF">
      <w:pPr>
        <w:jc w:val="both"/>
        <w:rPr>
          <w:rFonts w:ascii="Verdana" w:hAnsi="Verdana" w:cs="Arial"/>
        </w:rPr>
      </w:pPr>
      <w:r w:rsidRPr="00025914">
        <w:rPr>
          <w:rFonts w:ascii="Verdana" w:hAnsi="Verdana"/>
        </w:rPr>
        <w:lastRenderedPageBreak/>
        <w:t xml:space="preserve">Bogotá D.C., </w:t>
      </w:r>
      <w:r w:rsidR="003175F3">
        <w:rPr>
          <w:rFonts w:ascii="Verdana" w:hAnsi="Verdana"/>
        </w:rPr>
        <w:t>26 de</w:t>
      </w:r>
      <w:r w:rsidRPr="00025914">
        <w:rPr>
          <w:rFonts w:ascii="Verdana" w:hAnsi="Verdana"/>
        </w:rPr>
        <w:t xml:space="preserve"> </w:t>
      </w:r>
      <w:r w:rsidR="003175F3">
        <w:rPr>
          <w:rFonts w:ascii="Verdana" w:hAnsi="Verdana"/>
        </w:rPr>
        <w:t>mayo de 2026</w:t>
      </w:r>
    </w:p>
    <w:p w14:paraId="1990B903" w14:textId="3B16E86C" w:rsidR="003175F3" w:rsidRDefault="005F7DAF" w:rsidP="003175F3">
      <w:pPr>
        <w:spacing w:after="0"/>
        <w:ind w:left="4248"/>
        <w:rPr>
          <w:rFonts w:ascii="Verdana" w:hAnsi="Verdana"/>
        </w:rPr>
      </w:pPr>
      <w:r w:rsidRPr="000E2B93">
        <w:rPr>
          <w:rFonts w:ascii="Verdana" w:hAnsi="Verdana"/>
        </w:rPr>
        <w:tab/>
      </w:r>
    </w:p>
    <w:p w14:paraId="50CAB7E9" w14:textId="6ED8DD02" w:rsidR="005F7DAF" w:rsidRPr="00F37A71" w:rsidRDefault="00172016" w:rsidP="005F7DAF">
      <w:pPr>
        <w:spacing w:after="0"/>
        <w:rPr>
          <w:rFonts w:ascii="Verdana" w:hAnsi="Verdana"/>
        </w:rPr>
      </w:pPr>
      <w:r w:rsidRPr="003175F3">
        <w:rPr>
          <w:rFonts w:ascii="Verdana" w:hAnsi="Verdana"/>
          <w:noProof/>
        </w:rPr>
        <w:drawing>
          <wp:anchor distT="0" distB="0" distL="114300" distR="114300" simplePos="0" relativeHeight="251658240" behindDoc="0" locked="0" layoutInCell="1" allowOverlap="1" wp14:anchorId="4CBCC4EF" wp14:editId="10A38885">
            <wp:simplePos x="0" y="0"/>
            <wp:positionH relativeFrom="margin">
              <wp:align>right</wp:align>
            </wp:positionH>
            <wp:positionV relativeFrom="paragraph">
              <wp:posOffset>9940</wp:posOffset>
            </wp:positionV>
            <wp:extent cx="2470785" cy="769620"/>
            <wp:effectExtent l="0" t="0" r="5715" b="0"/>
            <wp:wrapSquare wrapText="bothSides"/>
            <wp:docPr id="1304248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248361" name=""/>
                    <pic:cNvPicPr/>
                  </pic:nvPicPr>
                  <pic:blipFill>
                    <a:blip r:embed="rId10">
                      <a:extLst>
                        <a:ext uri="{28A0092B-C50C-407E-A947-70E740481C1C}">
                          <a14:useLocalDpi xmlns:a14="http://schemas.microsoft.com/office/drawing/2010/main" val="0"/>
                        </a:ext>
                      </a:extLst>
                    </a:blip>
                    <a:stretch>
                      <a:fillRect/>
                    </a:stretch>
                  </pic:blipFill>
                  <pic:spPr>
                    <a:xfrm>
                      <a:off x="0" y="0"/>
                      <a:ext cx="2470785" cy="769620"/>
                    </a:xfrm>
                    <a:prstGeom prst="rect">
                      <a:avLst/>
                    </a:prstGeom>
                  </pic:spPr>
                </pic:pic>
              </a:graphicData>
            </a:graphic>
            <wp14:sizeRelH relativeFrom="margin">
              <wp14:pctWidth>0</wp14:pctWidth>
            </wp14:sizeRelH>
            <wp14:sizeRelV relativeFrom="margin">
              <wp14:pctHeight>0</wp14:pctHeight>
            </wp14:sizeRelV>
          </wp:anchor>
        </w:drawing>
      </w:r>
      <w:r w:rsidR="005F7DAF" w:rsidRPr="000E2B93">
        <w:rPr>
          <w:rFonts w:ascii="Verdana" w:hAnsi="Verdana"/>
        </w:rPr>
        <w:br/>
      </w:r>
      <w:bookmarkEnd w:id="0"/>
      <w:r w:rsidR="005F7DAF" w:rsidRPr="00064988">
        <w:rPr>
          <w:rFonts w:ascii="Verdana" w:eastAsia="Calibri" w:hAnsi="Verdana" w:cs="Arial"/>
          <w:lang w:eastAsia="es-ES"/>
        </w:rPr>
        <w:t>Señor</w:t>
      </w:r>
      <w:r w:rsidR="005F7DAF">
        <w:rPr>
          <w:rFonts w:ascii="Verdana" w:eastAsia="Calibri" w:hAnsi="Verdana" w:cs="Arial"/>
          <w:lang w:eastAsia="es-ES"/>
        </w:rPr>
        <w:t>a</w:t>
      </w:r>
    </w:p>
    <w:p w14:paraId="0BFE4DE0" w14:textId="77777777" w:rsidR="005F7DAF" w:rsidRDefault="005F7DAF" w:rsidP="005F7DAF">
      <w:pPr>
        <w:spacing w:after="0" w:line="240" w:lineRule="auto"/>
        <w:rPr>
          <w:rFonts w:ascii="Verdana" w:hAnsi="Verdana" w:cs="Arial"/>
          <w:b/>
          <w:bCs/>
          <w:color w:val="040C28"/>
        </w:rPr>
      </w:pPr>
      <w:r>
        <w:rPr>
          <w:rFonts w:ascii="Verdana" w:hAnsi="Verdana" w:cs="Arial"/>
          <w:b/>
          <w:bCs/>
          <w:color w:val="040C28"/>
        </w:rPr>
        <w:t>Dayana Alejandra Santamaría</w:t>
      </w:r>
    </w:p>
    <w:p w14:paraId="35FE30E4" w14:textId="77777777" w:rsidR="005F7DAF" w:rsidRPr="00F37A71" w:rsidRDefault="005F7DAF" w:rsidP="005F7DAF">
      <w:pPr>
        <w:spacing w:after="0" w:line="240" w:lineRule="auto"/>
        <w:rPr>
          <w:rFonts w:ascii="Verdana" w:hAnsi="Verdana" w:cs="Arial"/>
          <w:color w:val="040C28"/>
        </w:rPr>
      </w:pPr>
      <w:hyperlink r:id="rId11" w:history="1">
        <w:r w:rsidRPr="00F37A71">
          <w:rPr>
            <w:rStyle w:val="Hipervnculo"/>
            <w:rFonts w:ascii="Verdana" w:hAnsi="Verdana"/>
          </w:rPr>
          <w:t>dsantamaria@bomberosbogota.gov.co</w:t>
        </w:r>
      </w:hyperlink>
      <w:r w:rsidRPr="00F37A71">
        <w:rPr>
          <w:rFonts w:ascii="Verdana" w:hAnsi="Verdana"/>
        </w:rPr>
        <w:t xml:space="preserve">: </w:t>
      </w:r>
    </w:p>
    <w:p w14:paraId="73A65C3D" w14:textId="77777777" w:rsidR="005F7DAF" w:rsidRPr="00F37A71" w:rsidRDefault="005F7DAF" w:rsidP="005F7DAF">
      <w:pPr>
        <w:spacing w:after="0" w:line="240" w:lineRule="auto"/>
        <w:rPr>
          <w:rFonts w:ascii="Verdana" w:eastAsia="Calibri" w:hAnsi="Verdana" w:cs="Arial"/>
          <w:color w:val="000000"/>
          <w:lang w:eastAsia="es-ES_tradnl"/>
        </w:rPr>
      </w:pPr>
      <w:r w:rsidRPr="00F37A71">
        <w:rPr>
          <w:rFonts w:ascii="Verdana" w:eastAsia="Calibri" w:hAnsi="Verdana" w:cs="Arial"/>
          <w:color w:val="000000"/>
          <w:lang w:eastAsia="es-ES_tradnl"/>
        </w:rPr>
        <w:t xml:space="preserve">Ciudad. </w:t>
      </w:r>
    </w:p>
    <w:p w14:paraId="1D55F8D7" w14:textId="77777777" w:rsidR="005F7DAF" w:rsidRPr="00F37A71" w:rsidRDefault="005F7DAF" w:rsidP="005F7DAF">
      <w:pPr>
        <w:spacing w:after="0" w:line="240" w:lineRule="auto"/>
        <w:rPr>
          <w:rFonts w:ascii="Verdana" w:eastAsia="Calibri" w:hAnsi="Verdana" w:cs="Arial"/>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F7DAF" w:rsidRPr="009F67B8" w14:paraId="5DBAEFE8" w14:textId="77777777" w:rsidTr="003175F3">
        <w:trPr>
          <w:trHeight w:val="242"/>
        </w:trPr>
        <w:tc>
          <w:tcPr>
            <w:tcW w:w="2689" w:type="dxa"/>
          </w:tcPr>
          <w:p w14:paraId="0638192A" w14:textId="77777777" w:rsidR="005F7DAF" w:rsidRPr="00F37A71" w:rsidRDefault="005F7DAF" w:rsidP="00B945AC">
            <w:pPr>
              <w:jc w:val="both"/>
              <w:rPr>
                <w:rFonts w:ascii="Verdana" w:eastAsia="Calibri" w:hAnsi="Verdana" w:cs="Arial"/>
                <w:color w:val="7030A0"/>
                <w:lang w:eastAsia="es-ES_tradnl"/>
              </w:rPr>
            </w:pPr>
          </w:p>
        </w:tc>
        <w:tc>
          <w:tcPr>
            <w:tcW w:w="6100" w:type="dxa"/>
          </w:tcPr>
          <w:p w14:paraId="312A178E" w14:textId="77777777" w:rsidR="005F7DAF" w:rsidRDefault="005F7DAF" w:rsidP="00B945AC">
            <w:pPr>
              <w:jc w:val="both"/>
              <w:rPr>
                <w:rFonts w:ascii="Verdana" w:eastAsia="Calibri" w:hAnsi="Verdana" w:cs="Arial"/>
                <w:b/>
                <w:bCs/>
                <w:lang w:val="es-ES" w:eastAsia="es-ES"/>
              </w:rPr>
            </w:pPr>
            <w:r w:rsidRPr="009F67B8">
              <w:rPr>
                <w:rFonts w:ascii="Verdana" w:eastAsia="Calibri" w:hAnsi="Verdana" w:cs="Arial"/>
                <w:b/>
                <w:bCs/>
                <w:lang w:val="es-ES" w:eastAsia="es-ES"/>
              </w:rPr>
              <w:t>Concepto C-</w:t>
            </w:r>
            <w:r>
              <w:t xml:space="preserve"> </w:t>
            </w:r>
            <w:r w:rsidRPr="00F37A71">
              <w:rPr>
                <w:rFonts w:ascii="Verdana" w:eastAsia="Calibri" w:hAnsi="Verdana" w:cs="Arial"/>
                <w:b/>
                <w:bCs/>
                <w:lang w:val="es-ES" w:eastAsia="es-ES"/>
              </w:rPr>
              <w:t>611</w:t>
            </w:r>
            <w:r w:rsidRPr="009F67B8">
              <w:rPr>
                <w:rFonts w:ascii="Verdana" w:eastAsia="Calibri" w:hAnsi="Verdana" w:cs="Arial"/>
                <w:b/>
                <w:bCs/>
                <w:lang w:val="es-ES" w:eastAsia="es-ES"/>
              </w:rPr>
              <w:t xml:space="preserve"> de 202</w:t>
            </w:r>
            <w:r>
              <w:rPr>
                <w:rFonts w:ascii="Verdana" w:eastAsia="Calibri" w:hAnsi="Verdana" w:cs="Arial"/>
                <w:b/>
                <w:bCs/>
                <w:lang w:val="es-ES" w:eastAsia="es-ES"/>
              </w:rPr>
              <w:t>6</w:t>
            </w:r>
          </w:p>
          <w:p w14:paraId="36D67E60" w14:textId="77777777" w:rsidR="005F7DAF" w:rsidRPr="009F67B8" w:rsidRDefault="005F7DAF" w:rsidP="00B945AC">
            <w:pPr>
              <w:jc w:val="both"/>
              <w:rPr>
                <w:rFonts w:ascii="Verdana" w:eastAsia="Calibri" w:hAnsi="Verdana" w:cs="Arial"/>
                <w:b/>
                <w:bCs/>
                <w:color w:val="7030A0"/>
                <w:lang w:val="es-ES" w:eastAsia="es-ES"/>
              </w:rPr>
            </w:pPr>
          </w:p>
        </w:tc>
      </w:tr>
      <w:tr w:rsidR="005F7DAF" w:rsidRPr="00593A5F" w14:paraId="3EC5FD8F" w14:textId="77777777" w:rsidTr="003175F3">
        <w:trPr>
          <w:trHeight w:val="884"/>
        </w:trPr>
        <w:tc>
          <w:tcPr>
            <w:tcW w:w="2689" w:type="dxa"/>
          </w:tcPr>
          <w:p w14:paraId="6792789C" w14:textId="77777777" w:rsidR="005F7DAF" w:rsidRPr="004B40A6" w:rsidRDefault="005F7DAF" w:rsidP="00B945AC">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7929F6FF" w14:textId="0AB95403" w:rsidR="005F7DAF" w:rsidRPr="009F67B8" w:rsidRDefault="005F7DAF" w:rsidP="00B945AC">
            <w:pPr>
              <w:spacing w:line="276" w:lineRule="auto"/>
              <w:jc w:val="both"/>
              <w:rPr>
                <w:rFonts w:ascii="Verdana" w:hAnsi="Verdana" w:cs="Arial"/>
              </w:rPr>
            </w:pPr>
            <w:r w:rsidRPr="009F67B8">
              <w:rPr>
                <w:rFonts w:ascii="Verdana" w:hAnsi="Verdana" w:cs="Arial"/>
              </w:rPr>
              <w:t>LIQUIDACIÓN DE CONTRATOS – Noción –</w:t>
            </w:r>
            <w:r>
              <w:rPr>
                <w:rFonts w:ascii="Verdana" w:hAnsi="Verdana" w:cs="Arial"/>
              </w:rPr>
              <w:t xml:space="preserve"> / LIQUIDACIÓN DE CONTRATOS - </w:t>
            </w:r>
            <w:r w:rsidRPr="009F67B8">
              <w:rPr>
                <w:rFonts w:ascii="Verdana" w:hAnsi="Verdana" w:cs="Arial"/>
              </w:rPr>
              <w:t>Contratos de tracto sucesivo</w:t>
            </w:r>
            <w:r>
              <w:rPr>
                <w:rFonts w:ascii="Verdana" w:hAnsi="Verdana" w:cs="Arial"/>
              </w:rPr>
              <w:t xml:space="preserve"> – DEFINICIÓN / LIQUIDACIÓN DE CONTRATOS - </w:t>
            </w:r>
            <w:r w:rsidRPr="009F67B8">
              <w:rPr>
                <w:rFonts w:ascii="Verdana" w:hAnsi="Verdana" w:cs="Arial"/>
              </w:rPr>
              <w:t>Contratos de tracto sucesivo</w:t>
            </w:r>
            <w:r>
              <w:rPr>
                <w:rFonts w:ascii="Verdana" w:hAnsi="Verdana" w:cs="Arial"/>
              </w:rPr>
              <w:t xml:space="preserve"> </w:t>
            </w:r>
            <w:r w:rsidR="00172016">
              <w:rPr>
                <w:rFonts w:ascii="Verdana" w:hAnsi="Verdana" w:cs="Arial"/>
              </w:rPr>
              <w:t>– Donaciones</w:t>
            </w:r>
          </w:p>
          <w:p w14:paraId="59F59E47" w14:textId="77777777" w:rsidR="005F7DAF" w:rsidRPr="00FE10F1" w:rsidRDefault="005F7DAF" w:rsidP="00B945AC">
            <w:pPr>
              <w:spacing w:line="276" w:lineRule="auto"/>
              <w:jc w:val="both"/>
              <w:rPr>
                <w:rFonts w:ascii="Verdana" w:eastAsia="Calibri" w:hAnsi="Verdana" w:cs="Arial"/>
              </w:rPr>
            </w:pPr>
          </w:p>
        </w:tc>
      </w:tr>
      <w:tr w:rsidR="005F7DAF" w:rsidRPr="00593A5F" w14:paraId="691C69A0" w14:textId="77777777" w:rsidTr="003175F3">
        <w:trPr>
          <w:trHeight w:val="89"/>
        </w:trPr>
        <w:tc>
          <w:tcPr>
            <w:tcW w:w="2689" w:type="dxa"/>
          </w:tcPr>
          <w:p w14:paraId="4C9D22C7" w14:textId="77777777" w:rsidR="005F7DAF" w:rsidRPr="001356B4" w:rsidRDefault="005F7DAF" w:rsidP="00B945AC">
            <w:pPr>
              <w:jc w:val="both"/>
              <w:rPr>
                <w:rFonts w:ascii="Verdana" w:eastAsia="Calibri" w:hAnsi="Verdana" w:cs="Arial"/>
                <w:b/>
                <w:lang w:val="es-ES_tradnl" w:eastAsia="es-ES_tradnl"/>
              </w:rPr>
            </w:pPr>
            <w:r w:rsidRPr="001356B4">
              <w:rPr>
                <w:rFonts w:ascii="Verdana" w:eastAsia="Calibri" w:hAnsi="Verdana" w:cs="Arial"/>
                <w:b/>
                <w:lang w:val="es-ES_tradnl" w:eastAsia="es-ES_tradnl"/>
              </w:rPr>
              <w:t>Radicación:</w:t>
            </w:r>
            <w:r w:rsidRPr="001356B4">
              <w:rPr>
                <w:rFonts w:ascii="Verdana" w:eastAsia="Calibri" w:hAnsi="Verdana" w:cs="Arial"/>
                <w:lang w:val="es-ES_tradnl" w:eastAsia="es-ES_tradnl"/>
              </w:rPr>
              <w:t xml:space="preserve">              </w:t>
            </w:r>
          </w:p>
        </w:tc>
        <w:tc>
          <w:tcPr>
            <w:tcW w:w="6100" w:type="dxa"/>
          </w:tcPr>
          <w:p w14:paraId="434BFF3D" w14:textId="77777777" w:rsidR="005F7DAF" w:rsidRPr="005441D7" w:rsidRDefault="005F7DAF" w:rsidP="00B945AC">
            <w:pPr>
              <w:spacing w:line="276" w:lineRule="auto"/>
              <w:jc w:val="both"/>
              <w:rPr>
                <w:rFonts w:ascii="Verdana" w:eastAsia="Calibri" w:hAnsi="Verdana" w:cs="Arial"/>
                <w:lang w:eastAsia="es-ES_tradnl"/>
              </w:rPr>
            </w:pPr>
            <w:r w:rsidRPr="001356B4">
              <w:rPr>
                <w:rFonts w:ascii="Verdana" w:eastAsia="Calibri" w:hAnsi="Verdana" w:cs="Arial"/>
                <w:lang w:val="es-ES_tradnl" w:eastAsia="es-ES_tradnl"/>
              </w:rPr>
              <w:t xml:space="preserve">Respuesta a consulta con radicado </w:t>
            </w:r>
            <w:r w:rsidRPr="009F67B8">
              <w:rPr>
                <w:rFonts w:ascii="Verdana" w:eastAsia="Calibri" w:hAnsi="Verdana" w:cs="Arial"/>
                <w:lang w:eastAsia="es-ES_tradnl"/>
              </w:rPr>
              <w:t>No. </w:t>
            </w:r>
            <w:r w:rsidRPr="00F37A71">
              <w:rPr>
                <w:rFonts w:ascii="Verdana" w:eastAsia="Calibri" w:hAnsi="Verdana" w:cs="Arial"/>
                <w:lang w:eastAsia="es-ES_tradnl"/>
              </w:rPr>
              <w:t>1_2026_04_14_005075</w:t>
            </w:r>
          </w:p>
          <w:p w14:paraId="558BA3EC" w14:textId="77777777" w:rsidR="005F7DAF" w:rsidRPr="001356B4" w:rsidRDefault="005F7DAF" w:rsidP="00B945AC">
            <w:pPr>
              <w:spacing w:line="276" w:lineRule="auto"/>
              <w:jc w:val="both"/>
              <w:rPr>
                <w:rFonts w:ascii="Verdana" w:hAnsi="Verdana" w:cs="Calibri"/>
              </w:rPr>
            </w:pPr>
          </w:p>
        </w:tc>
      </w:tr>
    </w:tbl>
    <w:p w14:paraId="020D179D" w14:textId="77777777" w:rsidR="005F7DAF" w:rsidRPr="00593A5F" w:rsidRDefault="005F7DAF" w:rsidP="005F7DAF">
      <w:pPr>
        <w:spacing w:after="0" w:line="240" w:lineRule="auto"/>
        <w:jc w:val="both"/>
        <w:rPr>
          <w:rFonts w:ascii="Verdana" w:eastAsia="Calibri" w:hAnsi="Verdana" w:cs="Arial"/>
          <w:color w:val="000000"/>
          <w:lang w:val="es-ES_tradnl" w:eastAsia="es-ES_tradnl"/>
        </w:rPr>
      </w:pPr>
    </w:p>
    <w:p w14:paraId="4B4F9882" w14:textId="77777777" w:rsidR="005F7DAF" w:rsidRPr="004B40A6" w:rsidRDefault="005F7DAF" w:rsidP="005F7DAF">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Pr>
          <w:rFonts w:ascii="Verdana" w:eastAsia="Calibri" w:hAnsi="Verdana" w:cs="Arial"/>
          <w:lang w:val="es-ES" w:eastAsia="es-ES"/>
        </w:rPr>
        <w:t>a señora Santamaría</w:t>
      </w:r>
      <w:r w:rsidRPr="004B40A6">
        <w:rPr>
          <w:rFonts w:ascii="Verdana" w:eastAsia="Calibri" w:hAnsi="Verdana" w:cs="Arial"/>
          <w:lang w:val="es-ES" w:eastAsia="es-ES"/>
        </w:rPr>
        <w:t xml:space="preserve">: </w:t>
      </w:r>
    </w:p>
    <w:p w14:paraId="479A8F17" w14:textId="77777777" w:rsidR="005F7DAF" w:rsidRPr="004B40A6" w:rsidRDefault="005F7DAF" w:rsidP="005F7DAF">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0F704A5D" w14:textId="77777777" w:rsidR="005F7DAF" w:rsidRDefault="005F7DAF" w:rsidP="005F7DAF">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así como lo establecido en</w:t>
      </w:r>
      <w:r>
        <w:rPr>
          <w:rFonts w:ascii="Verdana" w:hAnsi="Verdana" w:cs="Arial"/>
        </w:rPr>
        <w:t xml:space="preserve"> la</w:t>
      </w:r>
      <w:r w:rsidRPr="00960F72">
        <w:rPr>
          <w:rFonts w:ascii="Verdana" w:hAnsi="Verdana" w:cs="Aria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960F72">
        <w:rPr>
          <w:rFonts w:ascii="Verdana" w:hAnsi="Verdana" w:cs="Arial"/>
        </w:rPr>
        <w:t xml:space="preserve">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recibida en esta Agencia el pasado 14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en la cual manifiesta lo siguiente</w:t>
      </w:r>
      <w:r>
        <w:rPr>
          <w:rFonts w:ascii="Verdana" w:eastAsia="Calibri" w:hAnsi="Verdana" w:cs="Arial"/>
          <w:lang w:eastAsia="es-ES"/>
        </w:rPr>
        <w:t>:</w:t>
      </w:r>
    </w:p>
    <w:p w14:paraId="61E17F91" w14:textId="77777777" w:rsidR="005F7DAF" w:rsidRPr="009F67B8" w:rsidRDefault="005F7DAF" w:rsidP="005F7DAF">
      <w:pPr>
        <w:spacing w:after="0" w:line="276" w:lineRule="auto"/>
        <w:jc w:val="both"/>
        <w:rPr>
          <w:rFonts w:ascii="Verdana" w:eastAsia="Calibri" w:hAnsi="Verdana" w:cs="Arial"/>
          <w:sz w:val="21"/>
          <w:szCs w:val="21"/>
          <w:lang w:val="es-ES" w:eastAsia="es-ES"/>
        </w:rPr>
      </w:pPr>
    </w:p>
    <w:p w14:paraId="22E7B6D8" w14:textId="77777777" w:rsidR="005F7DAF" w:rsidRPr="00F37A71" w:rsidRDefault="005F7DAF" w:rsidP="005F7DAF">
      <w:pPr>
        <w:spacing w:after="0" w:line="276" w:lineRule="auto"/>
        <w:ind w:left="567" w:right="758"/>
        <w:jc w:val="both"/>
        <w:rPr>
          <w:rFonts w:ascii="Verdana" w:hAnsi="Verdana" w:cs="Arial"/>
          <w:i/>
          <w:iCs/>
          <w:sz w:val="21"/>
          <w:szCs w:val="21"/>
        </w:rPr>
      </w:pPr>
      <w:r w:rsidRPr="00F37A71">
        <w:rPr>
          <w:rFonts w:ascii="Verdana" w:hAnsi="Verdana" w:cs="Arial"/>
          <w:i/>
          <w:iCs/>
          <w:sz w:val="21"/>
          <w:szCs w:val="21"/>
        </w:rPr>
        <w:t>“</w:t>
      </w:r>
      <w:proofErr w:type="gramStart"/>
      <w:r w:rsidRPr="00F37A71">
        <w:rPr>
          <w:rFonts w:ascii="Verdana" w:hAnsi="Verdana" w:cs="Arial"/>
          <w:i/>
          <w:iCs/>
          <w:sz w:val="21"/>
          <w:szCs w:val="21"/>
        </w:rPr>
        <w:t>1.Si</w:t>
      </w:r>
      <w:proofErr w:type="gramEnd"/>
      <w:r w:rsidRPr="00F37A71">
        <w:rPr>
          <w:rFonts w:ascii="Verdana" w:hAnsi="Verdana" w:cs="Arial"/>
          <w:i/>
          <w:iCs/>
          <w:sz w:val="21"/>
          <w:szCs w:val="21"/>
        </w:rPr>
        <w:t xml:space="preserve"> los contratos de donación celebrados por las entidades estatales deben ser objeto de liquidación, en los términos previstos en la ley y demás normas concordantes, o si, por el contrario, basta con realizar el cierre del expediente contractual, sin adelantar la etapa de liquidación.</w:t>
      </w:r>
    </w:p>
    <w:p w14:paraId="2E5E35CA" w14:textId="77777777" w:rsidR="005F7DAF" w:rsidRPr="00F37A71" w:rsidRDefault="005F7DAF" w:rsidP="005F7DAF">
      <w:pPr>
        <w:spacing w:after="0" w:line="276" w:lineRule="auto"/>
        <w:ind w:left="567" w:right="758"/>
        <w:jc w:val="both"/>
        <w:rPr>
          <w:rFonts w:ascii="Verdana" w:hAnsi="Verdana" w:cs="Arial"/>
          <w:i/>
          <w:iCs/>
          <w:sz w:val="21"/>
          <w:szCs w:val="21"/>
        </w:rPr>
      </w:pPr>
      <w:r w:rsidRPr="00F37A71">
        <w:rPr>
          <w:rFonts w:ascii="Verdana" w:hAnsi="Verdana" w:cs="Arial"/>
          <w:i/>
          <w:iCs/>
          <w:sz w:val="21"/>
          <w:szCs w:val="21"/>
        </w:rPr>
        <w:t>2. En caso de requerirse la liquidación, ¿cuál sería el procedimiento aplicable, teniendo en cuenta la naturaleza jurídica de este tipo de contratos y su carácter gratuito?</w:t>
      </w:r>
    </w:p>
    <w:p w14:paraId="6F425E7F" w14:textId="77777777" w:rsidR="005F7DAF" w:rsidRPr="00F37A71" w:rsidRDefault="005F7DAF" w:rsidP="005F7DAF">
      <w:pPr>
        <w:spacing w:after="0" w:line="276" w:lineRule="auto"/>
        <w:ind w:left="567" w:right="758"/>
        <w:jc w:val="both"/>
        <w:rPr>
          <w:rFonts w:ascii="Verdana" w:hAnsi="Verdana" w:cs="Arial"/>
          <w:i/>
          <w:iCs/>
          <w:sz w:val="21"/>
          <w:szCs w:val="21"/>
        </w:rPr>
      </w:pPr>
      <w:r w:rsidRPr="00F37A71">
        <w:rPr>
          <w:rFonts w:ascii="Verdana" w:hAnsi="Verdana" w:cs="Arial"/>
          <w:i/>
          <w:iCs/>
          <w:sz w:val="21"/>
          <w:szCs w:val="21"/>
        </w:rPr>
        <w:lastRenderedPageBreak/>
        <w:t>3. Si existe algún criterio, en función del valor del contrato, la naturaleza del bien donado o la forma en que se perfecciona y ejecuta este tipo de negocios jurídicos, que incida en la procedencia o no de la liquidación contractual, en caso de que esta resulte exigible conforme a la normativa vigente.</w:t>
      </w:r>
      <w:proofErr w:type="gramStart"/>
      <w:r w:rsidRPr="00F37A71">
        <w:rPr>
          <w:rFonts w:ascii="Verdana" w:hAnsi="Verdana" w:cs="Arial"/>
          <w:i/>
          <w:iCs/>
          <w:sz w:val="21"/>
          <w:szCs w:val="21"/>
        </w:rPr>
        <w:t>?”[</w:t>
      </w:r>
      <w:proofErr w:type="gramEnd"/>
      <w:r w:rsidRPr="00F37A71">
        <w:rPr>
          <w:rFonts w:ascii="Verdana" w:hAnsi="Verdana" w:cs="Arial"/>
          <w:i/>
          <w:iCs/>
          <w:sz w:val="21"/>
          <w:szCs w:val="21"/>
        </w:rPr>
        <w:t>sic]</w:t>
      </w:r>
    </w:p>
    <w:p w14:paraId="60301F5A" w14:textId="77777777" w:rsidR="005F7DAF" w:rsidRPr="00B67856" w:rsidRDefault="005F7DAF" w:rsidP="005F7DAF">
      <w:pPr>
        <w:spacing w:after="0" w:line="276" w:lineRule="auto"/>
        <w:jc w:val="both"/>
        <w:rPr>
          <w:rFonts w:ascii="Verdana" w:eastAsia="Century Gothic" w:hAnsi="Verdana" w:cs="Century Gothic"/>
          <w:sz w:val="20"/>
          <w:szCs w:val="20"/>
          <w:lang w:val="es-ES"/>
        </w:rPr>
      </w:pPr>
      <w:r w:rsidRPr="00485B62">
        <w:rPr>
          <w:rFonts w:ascii="Verdana" w:eastAsia="Century Gothic" w:hAnsi="Verdana" w:cs="Century Gothic"/>
          <w:sz w:val="20"/>
          <w:szCs w:val="20"/>
          <w:lang w:val="es-ES"/>
        </w:rPr>
        <w:t xml:space="preserve"> </w:t>
      </w:r>
    </w:p>
    <w:p w14:paraId="312FAB38" w14:textId="77777777" w:rsidR="005F7DAF" w:rsidRDefault="005F7DAF" w:rsidP="005F7DAF">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CC84FED" w14:textId="77777777" w:rsidR="005F7DAF" w:rsidRDefault="005F7DAF" w:rsidP="005F7DAF">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BAEDCA2" w14:textId="77777777" w:rsidR="005F7DAF" w:rsidRPr="00593A5F" w:rsidRDefault="005F7DAF" w:rsidP="005F7DAF">
      <w:pPr>
        <w:spacing w:after="0" w:line="276" w:lineRule="auto"/>
        <w:jc w:val="both"/>
        <w:rPr>
          <w:rFonts w:ascii="Verdana" w:eastAsia="Calibri" w:hAnsi="Verdana" w:cs="Arial"/>
          <w:color w:val="000000"/>
          <w:lang w:val="es-ES" w:eastAsia="es-ES"/>
        </w:rPr>
      </w:pPr>
    </w:p>
    <w:p w14:paraId="7E533320" w14:textId="77777777" w:rsidR="005F7DAF" w:rsidRPr="00593A5F" w:rsidRDefault="005F7DAF" w:rsidP="005F7DA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8DD51A1" w14:textId="77777777" w:rsidR="005F7DAF" w:rsidRDefault="005F7DAF" w:rsidP="005F7DAF">
      <w:pPr>
        <w:spacing w:after="0" w:line="240" w:lineRule="auto"/>
        <w:ind w:right="709"/>
        <w:jc w:val="both"/>
        <w:rPr>
          <w:rFonts w:ascii="Verdana" w:eastAsia="Century Gothic" w:hAnsi="Verdana" w:cs="Century Gothic"/>
          <w:lang w:val="es-ES"/>
        </w:rPr>
      </w:pPr>
    </w:p>
    <w:p w14:paraId="3D9162D5" w14:textId="77777777" w:rsidR="005F7DAF" w:rsidRDefault="005F7DAF" w:rsidP="005F7DAF">
      <w:pPr>
        <w:spacing w:after="0" w:line="276" w:lineRule="auto"/>
        <w:jc w:val="both"/>
        <w:rPr>
          <w:rFonts w:ascii="Verdana" w:eastAsia="Century Gothic" w:hAnsi="Verdana" w:cs="Century Gothic"/>
          <w:lang w:val="es-ES"/>
        </w:rPr>
      </w:pPr>
      <w:r w:rsidRPr="00E03E8C">
        <w:rPr>
          <w:rFonts w:ascii="Verdana" w:hAnsi="Verdana"/>
        </w:rPr>
        <w:t>De acuerdo con el contenido de su solicitud, esta Agencia resolverá el siguiente problema jurídico:</w:t>
      </w:r>
      <w:r w:rsidRPr="005A13B4">
        <w:rPr>
          <w:rFonts w:ascii="Verdana" w:hAnsi="Verdana"/>
        </w:rPr>
        <w:t xml:space="preserve"> </w:t>
      </w:r>
      <w:r>
        <w:rPr>
          <w:rFonts w:ascii="Verdana" w:hAnsi="Verdana"/>
        </w:rPr>
        <w:t>i. ¿Cuáles son los contratos que deben ser objeto de liquidación?</w:t>
      </w:r>
      <w:r w:rsidRPr="00BC00A6">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¿Los contratos de donación celebrados con entidades públicas deben ser liquidados?</w:t>
      </w:r>
    </w:p>
    <w:p w14:paraId="0D895AF3" w14:textId="77777777" w:rsidR="005F7DAF" w:rsidRPr="00EE4272" w:rsidRDefault="005F7DAF" w:rsidP="005F7DAF">
      <w:pPr>
        <w:spacing w:after="0" w:line="276" w:lineRule="auto"/>
        <w:jc w:val="both"/>
        <w:rPr>
          <w:rFonts w:ascii="Verdana" w:eastAsia="Century Gothic" w:hAnsi="Verdana" w:cs="Century Gothic"/>
        </w:rPr>
      </w:pPr>
    </w:p>
    <w:p w14:paraId="6972E063" w14:textId="77777777" w:rsidR="005F7DAF" w:rsidRPr="00593A5F" w:rsidRDefault="005F7DAF" w:rsidP="005F7D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7171412" w14:textId="77777777" w:rsidR="005F7DAF" w:rsidRPr="00593A5F" w:rsidRDefault="005F7DAF" w:rsidP="005F7DA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F7DAF" w:rsidRPr="00593A5F" w14:paraId="56309389" w14:textId="77777777" w:rsidTr="00B945AC">
        <w:tc>
          <w:tcPr>
            <w:tcW w:w="8828" w:type="dxa"/>
          </w:tcPr>
          <w:p w14:paraId="4B69FC23" w14:textId="77777777" w:rsidR="005F7DAF" w:rsidRPr="00447AA4" w:rsidRDefault="005F7DAF" w:rsidP="00B945AC">
            <w:pPr>
              <w:spacing w:after="120" w:line="276" w:lineRule="auto"/>
              <w:ind w:firstLine="709"/>
              <w:jc w:val="both"/>
              <w:rPr>
                <w:rFonts w:ascii="Verdana" w:hAnsi="Verdana" w:cs="Arial"/>
              </w:rPr>
            </w:pPr>
            <w:r w:rsidRPr="00893B75">
              <w:rPr>
                <w:rFonts w:ascii="Verdana" w:hAnsi="Verdana" w:cs="Arial"/>
              </w:rPr>
              <w:t xml:space="preserve">i. De acuerdo con el artículo 60 de la Ley 80 de 1993 </w:t>
            </w:r>
            <w:r w:rsidRPr="00F37A71">
              <w:rPr>
                <w:rFonts w:ascii="Verdana" w:hAnsi="Verdana" w:cs="Arial"/>
              </w:rPr>
              <w:t>deberán ser liquidados</w:t>
            </w:r>
            <w:r>
              <w:rPr>
                <w:rFonts w:ascii="Verdana" w:hAnsi="Verdana" w:cs="Arial"/>
              </w:rPr>
              <w:t>:</w:t>
            </w:r>
            <w:r w:rsidRPr="00F37A71">
              <w:rPr>
                <w:rFonts w:ascii="Verdana" w:hAnsi="Verdana" w:cs="Arial"/>
              </w:rPr>
              <w:t xml:space="preserve"> </w:t>
            </w:r>
            <w:proofErr w:type="gramStart"/>
            <w:r w:rsidRPr="00F37A71">
              <w:rPr>
                <w:rFonts w:ascii="Verdana" w:hAnsi="Verdana" w:cs="Arial"/>
                <w:i/>
                <w:iCs/>
              </w:rPr>
              <w:t>i)los</w:t>
            </w:r>
            <w:proofErr w:type="gramEnd"/>
            <w:r w:rsidRPr="00F37A71">
              <w:rPr>
                <w:rFonts w:ascii="Verdana" w:hAnsi="Verdana" w:cs="Arial"/>
                <w:i/>
                <w:iCs/>
              </w:rPr>
              <w:t xml:space="preserve"> contratos de tracto sucesivo</w:t>
            </w:r>
            <w:r w:rsidRPr="00F37A71">
              <w:rPr>
                <w:rFonts w:ascii="Verdana" w:hAnsi="Verdana" w:cs="Arial"/>
              </w:rPr>
              <w:t>,</w:t>
            </w:r>
            <w:r w:rsidRPr="00220E70">
              <w:rPr>
                <w:rFonts w:ascii="Verdana" w:hAnsi="Verdana" w:cs="Arial"/>
              </w:rPr>
              <w:t xml:space="preserve"> </w:t>
            </w:r>
            <w:proofErr w:type="spellStart"/>
            <w:r w:rsidRPr="00F37A71">
              <w:rPr>
                <w:rFonts w:ascii="Verdana" w:hAnsi="Verdana" w:cs="Arial"/>
                <w:i/>
                <w:iCs/>
              </w:rPr>
              <w:t>ii</w:t>
            </w:r>
            <w:proofErr w:type="spellEnd"/>
            <w:r w:rsidRPr="00F37A71">
              <w:rPr>
                <w:rFonts w:ascii="Verdana" w:hAnsi="Verdana" w:cs="Arial"/>
                <w:i/>
                <w:iCs/>
              </w:rPr>
              <w:t>) aquellos cuyo cumplimiento o ejecución se prolongue en el tiempo</w:t>
            </w:r>
            <w:r w:rsidRPr="00220E70">
              <w:rPr>
                <w:rFonts w:ascii="Verdana" w:hAnsi="Verdana" w:cs="Arial"/>
              </w:rPr>
              <w:t xml:space="preserve"> y </w:t>
            </w:r>
            <w:proofErr w:type="spellStart"/>
            <w:r w:rsidRPr="00F37A71">
              <w:rPr>
                <w:rFonts w:ascii="Verdana" w:hAnsi="Verdana" w:cs="Arial"/>
                <w:i/>
                <w:iCs/>
              </w:rPr>
              <w:t>iii</w:t>
            </w:r>
            <w:proofErr w:type="spellEnd"/>
            <w:r w:rsidRPr="00F37A71">
              <w:rPr>
                <w:rFonts w:ascii="Verdana" w:hAnsi="Verdana" w:cs="Arial"/>
                <w:i/>
                <w:iCs/>
              </w:rPr>
              <w:t xml:space="preserve">) los demás que lo </w:t>
            </w:r>
            <w:proofErr w:type="gramStart"/>
            <w:r w:rsidRPr="00F37A71">
              <w:rPr>
                <w:rFonts w:ascii="Verdana" w:hAnsi="Verdana" w:cs="Arial"/>
                <w:i/>
                <w:iCs/>
              </w:rPr>
              <w:t>requieran</w:t>
            </w:r>
            <w:r w:rsidRPr="00220E70">
              <w:rPr>
                <w:rFonts w:ascii="Verdana" w:hAnsi="Verdana" w:cs="Arial"/>
              </w:rPr>
              <w:t xml:space="preserve"> </w:t>
            </w:r>
            <w:r>
              <w:rPr>
                <w:rFonts w:ascii="Verdana" w:hAnsi="Verdana" w:cs="Arial"/>
              </w:rPr>
              <w:t>.</w:t>
            </w:r>
            <w:proofErr w:type="gramEnd"/>
            <w:r>
              <w:rPr>
                <w:rFonts w:ascii="Verdana" w:hAnsi="Verdana" w:cs="Arial"/>
              </w:rPr>
              <w:t xml:space="preserve"> </w:t>
            </w:r>
            <w:r w:rsidRPr="00220E70">
              <w:rPr>
                <w:rFonts w:ascii="Verdana" w:hAnsi="Verdana" w:cs="Arial"/>
              </w:rPr>
              <w:t xml:space="preserve">El </w:t>
            </w:r>
            <w:r w:rsidRPr="00220E70">
              <w:rPr>
                <w:rFonts w:ascii="Verdana" w:hAnsi="Verdana" w:cs="Arial"/>
              </w:rPr>
              <w:lastRenderedPageBreak/>
              <w:t>mismo artículo prescribe que no será obligatoria la liquidación en los contratos de prestación de servicios profesionales y de apoyo a la gestión. Esta norma al referirse a la liquidación del contrato establece que esta es la e</w:t>
            </w:r>
            <w:r w:rsidRPr="00447AA4">
              <w:rPr>
                <w:rFonts w:ascii="Verdana" w:hAnsi="Verdana" w:cs="Arial"/>
              </w:rPr>
              <w:t>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220E70">
              <w:rPr>
                <w:rFonts w:ascii="Verdana" w:hAnsi="Verdana" w:cs="Arial"/>
              </w:rPr>
              <w:t xml:space="preserve"> </w:t>
            </w:r>
          </w:p>
          <w:p w14:paraId="3BFA9F76" w14:textId="77777777" w:rsidR="005F7DAF" w:rsidRPr="00AC06A4" w:rsidRDefault="005F7DAF" w:rsidP="00B945AC">
            <w:pPr>
              <w:spacing w:line="276" w:lineRule="auto"/>
              <w:ind w:firstLine="709"/>
              <w:jc w:val="both"/>
              <w:rPr>
                <w:rFonts w:ascii="Verdana" w:hAnsi="Verdana"/>
              </w:rPr>
            </w:pPr>
            <w:r w:rsidRPr="00893B75">
              <w:rPr>
                <w:rFonts w:ascii="Verdana" w:hAnsi="Verdana" w:cs="Arial"/>
              </w:rPr>
              <w:t>Ahora bien, respecto a la pregunta planteada</w:t>
            </w:r>
            <w:r>
              <w:rPr>
                <w:rFonts w:ascii="Verdana" w:hAnsi="Verdana" w:cs="Arial"/>
              </w:rPr>
              <w:t xml:space="preserve">, vale añadir </w:t>
            </w:r>
            <w:proofErr w:type="gramStart"/>
            <w:r>
              <w:rPr>
                <w:rFonts w:ascii="Verdana" w:hAnsi="Verdana" w:cs="Arial"/>
              </w:rPr>
              <w:t xml:space="preserve">que, </w:t>
            </w:r>
            <w:r w:rsidRPr="00893B75">
              <w:rPr>
                <w:rFonts w:ascii="Verdana" w:hAnsi="Verdana" w:cs="Arial"/>
              </w:rPr>
              <w:t xml:space="preserve"> un</w:t>
            </w:r>
            <w:proofErr w:type="gramEnd"/>
            <w:r w:rsidRPr="00AC06A4">
              <w:rPr>
                <w:rFonts w:ascii="Verdana" w:hAnsi="Verdana"/>
              </w:rPr>
              <w:t xml:space="preserve"> contrato de tracto sucesivo es aquel en el que las prestaciones de las partes se cumplen de manera repetida y prolongada en el tiempo, en lugar de realizarse en un solo acto</w:t>
            </w:r>
            <w:r w:rsidRPr="00AC06A4">
              <w:rPr>
                <w:rFonts w:ascii="Verdana" w:hAnsi="Verdana"/>
                <w:color w:val="0A0A0A"/>
                <w:shd w:val="clear" w:color="auto" w:fill="FFFFFF"/>
              </w:rPr>
              <w:t>. Estos contratos se caracterizan por extenderse durante un período determinado o indetermina</w:t>
            </w:r>
            <w:r w:rsidRPr="00893B75">
              <w:rPr>
                <w:rFonts w:ascii="Verdana" w:hAnsi="Verdana"/>
                <w:color w:val="0A0A0A"/>
                <w:shd w:val="clear" w:color="auto" w:fill="FFFFFF"/>
              </w:rPr>
              <w:t xml:space="preserve">. </w:t>
            </w:r>
            <w:r w:rsidRPr="00AC06A4">
              <w:rPr>
                <w:rFonts w:ascii="Verdana" w:hAnsi="Verdana"/>
              </w:rPr>
              <w:t>Así, los contratos de tracto sucesivo o 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w:t>
            </w:r>
            <w:r>
              <w:rPr>
                <w:rFonts w:ascii="Verdana" w:hAnsi="Verdana"/>
              </w:rPr>
              <w:t xml:space="preserve"> Ejemplo de ello son </w:t>
            </w:r>
            <w:r w:rsidRPr="00AC06A4">
              <w:rPr>
                <w:rFonts w:ascii="Verdana" w:hAnsi="Verdana"/>
                <w:color w:val="0A0A0A"/>
                <w:shd w:val="clear" w:color="auto" w:fill="FFFFFF"/>
              </w:rPr>
              <w:t>los contratos de arrendamiento</w:t>
            </w:r>
            <w:r>
              <w:rPr>
                <w:rFonts w:ascii="Verdana" w:hAnsi="Verdana"/>
                <w:color w:val="0A0A0A"/>
                <w:shd w:val="clear" w:color="auto" w:fill="FFFFFF"/>
              </w:rPr>
              <w:t xml:space="preserve">, </w:t>
            </w:r>
            <w:r w:rsidRPr="00AC06A4">
              <w:rPr>
                <w:rFonts w:ascii="Verdana" w:hAnsi="Verdana"/>
                <w:color w:val="0A0A0A"/>
                <w:shd w:val="clear" w:color="auto" w:fill="FFFFFF"/>
              </w:rPr>
              <w:t>de servicios públicos o de suministro. </w:t>
            </w:r>
          </w:p>
          <w:p w14:paraId="18C4360E" w14:textId="77777777" w:rsidR="005F7DAF" w:rsidRPr="00893B75" w:rsidRDefault="005F7DAF" w:rsidP="00B945AC">
            <w:pPr>
              <w:jc w:val="both"/>
            </w:pPr>
          </w:p>
          <w:p w14:paraId="3A5A75CD" w14:textId="77777777" w:rsidR="005F7DAF" w:rsidRPr="00285166" w:rsidRDefault="005F7DAF" w:rsidP="00B945AC">
            <w:pPr>
              <w:spacing w:after="120" w:line="276" w:lineRule="auto"/>
              <w:ind w:firstLine="709"/>
              <w:jc w:val="both"/>
              <w:rPr>
                <w:rFonts w:ascii="Verdana" w:hAnsi="Verdana" w:cs="Arial"/>
              </w:rPr>
            </w:pPr>
            <w:proofErr w:type="spellStart"/>
            <w:r>
              <w:rPr>
                <w:rFonts w:ascii="Verdana" w:eastAsia="Calibri" w:hAnsi="Verdana" w:cs="Arial"/>
              </w:rPr>
              <w:t>ii</w:t>
            </w:r>
            <w:proofErr w:type="spellEnd"/>
            <w:r>
              <w:rPr>
                <w:rFonts w:ascii="Verdana" w:eastAsia="Calibri" w:hAnsi="Verdana" w:cs="Arial"/>
              </w:rPr>
              <w:t xml:space="preserve">. </w:t>
            </w:r>
            <w:r w:rsidRPr="00285166">
              <w:rPr>
                <w:rFonts w:ascii="Verdana" w:hAnsi="Verdana" w:cs="Arial"/>
              </w:rPr>
              <w:t>Para la Agencia Nacional de Contratación Pública – Colombia Compra Eficiente, los contratos de donación, en principio, no requerirían liquidación, en la medida en que, por regla general, corresponden a contratos de ejecución instantánea, cuya prestación se agota con la entrega del bien o derecho objeto de la donación. En efecto, la doctrina ha señalado que la liquidación contractual no constituye un trámite obligatorio para todos los contratos estatales, sino únicamente para aquellos que, por sus características particulares, duración, ejecución sucesiva o por la necesidad de efectuar un balance económico y jurídico de las prestaciones ejecutadas, requieran determinar el estado final de las obligaciones entre las partes.</w:t>
            </w:r>
          </w:p>
          <w:p w14:paraId="3B661496" w14:textId="77777777" w:rsidR="005F7DAF" w:rsidRPr="00285166" w:rsidRDefault="005F7DAF" w:rsidP="00B945AC">
            <w:pPr>
              <w:spacing w:after="120" w:line="276" w:lineRule="auto"/>
              <w:ind w:firstLine="709"/>
              <w:jc w:val="both"/>
              <w:rPr>
                <w:rFonts w:ascii="Verdana" w:hAnsi="Verdana" w:cs="Arial"/>
              </w:rPr>
            </w:pPr>
            <w:r w:rsidRPr="00285166">
              <w:rPr>
                <w:rFonts w:ascii="Verdana" w:hAnsi="Verdana" w:cs="Arial"/>
              </w:rPr>
              <w:t xml:space="preserve">En consecuencia, si la donación agota sus efectos con un único acto de entrega y no existen obligaciones pendientes, prestaciones sucesivas o circunstancias que exijan establecer saldos, ajustes o controversias derivadas de su ejecución, no se advertiría, en principio, la necesidad de surtir el trámite de liquidación. No obstante, dicha conclusión deberá analizarse en cada caso </w:t>
            </w:r>
            <w:r w:rsidRPr="00285166">
              <w:rPr>
                <w:rFonts w:ascii="Verdana" w:hAnsi="Verdana" w:cs="Arial"/>
              </w:rPr>
              <w:lastRenderedPageBreak/>
              <w:t>concreto, atendiendo las condiciones particulares del negocio jurídico y las obligaciones pactadas por las partes</w:t>
            </w:r>
            <w:r>
              <w:rPr>
                <w:rFonts w:ascii="Verdana" w:hAnsi="Verdana" w:cs="Arial"/>
              </w:rPr>
              <w:t>.</w:t>
            </w:r>
            <w:r w:rsidRPr="00BC00A6">
              <w:rPr>
                <w:rFonts w:ascii="Verdana" w:eastAsia="Calibri" w:hAnsi="Verdana" w:cs="Arial"/>
                <w:color w:val="000000" w:themeColor="text1"/>
              </w:rPr>
              <w:t xml:space="preserve"> </w:t>
            </w:r>
          </w:p>
        </w:tc>
      </w:tr>
    </w:tbl>
    <w:p w14:paraId="2098CED4" w14:textId="77777777" w:rsidR="005F7DAF" w:rsidRPr="00593A5F" w:rsidRDefault="005F7DAF" w:rsidP="005F7DAF">
      <w:pPr>
        <w:tabs>
          <w:tab w:val="left" w:pos="142"/>
          <w:tab w:val="left" w:pos="284"/>
        </w:tabs>
        <w:spacing w:after="0" w:line="276" w:lineRule="auto"/>
        <w:jc w:val="both"/>
        <w:rPr>
          <w:rFonts w:ascii="Verdana" w:eastAsia="Century Gothic" w:hAnsi="Verdana" w:cs="Century Gothic"/>
          <w:b/>
          <w:bCs/>
          <w:lang w:val="es-ES"/>
        </w:rPr>
      </w:pPr>
    </w:p>
    <w:p w14:paraId="21436F9D" w14:textId="77777777" w:rsidR="005F7DAF" w:rsidRPr="00593A5F" w:rsidRDefault="005F7DAF" w:rsidP="005F7D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31D9049" w14:textId="77777777" w:rsidR="005F7DAF" w:rsidRPr="00593A5F" w:rsidRDefault="005F7DAF" w:rsidP="005F7DAF">
      <w:pPr>
        <w:spacing w:after="0" w:line="276" w:lineRule="auto"/>
        <w:jc w:val="both"/>
        <w:rPr>
          <w:rFonts w:ascii="Verdana" w:eastAsia="Calibri" w:hAnsi="Verdana" w:cs="Arial"/>
          <w:color w:val="7030A0"/>
          <w:lang w:val="es-ES"/>
        </w:rPr>
      </w:pPr>
    </w:p>
    <w:p w14:paraId="1035077B" w14:textId="77777777" w:rsidR="005F7DAF" w:rsidRDefault="005F7DAF" w:rsidP="005F7DAF">
      <w:pPr>
        <w:spacing w:after="0" w:line="276" w:lineRule="auto"/>
        <w:jc w:val="both"/>
        <w:rPr>
          <w:rFonts w:ascii="Verdana" w:eastAsia="Calibri" w:hAnsi="Verdana" w:cs="Arial"/>
          <w:lang w:val="es-ES"/>
        </w:rPr>
      </w:pPr>
      <w:r w:rsidRPr="00FB372A">
        <w:rPr>
          <w:rFonts w:ascii="Verdana" w:eastAsia="Calibri" w:hAnsi="Verdana" w:cs="Arial"/>
          <w:lang w:val="es-ES"/>
        </w:rPr>
        <w:t>Lo anterior se sustenta en las siguientes consideraciones:</w:t>
      </w:r>
    </w:p>
    <w:p w14:paraId="5D6CADAF" w14:textId="77777777" w:rsidR="005F7DAF" w:rsidRDefault="005F7DAF" w:rsidP="005F7DAF">
      <w:pPr>
        <w:spacing w:after="0" w:line="276" w:lineRule="auto"/>
        <w:jc w:val="both"/>
        <w:rPr>
          <w:rFonts w:ascii="Verdana" w:eastAsia="Calibri" w:hAnsi="Verdana" w:cs="Arial"/>
          <w:lang w:val="es-ES"/>
        </w:rPr>
      </w:pPr>
    </w:p>
    <w:p w14:paraId="2D4FEEAA" w14:textId="77777777" w:rsidR="005F7DAF" w:rsidRDefault="005F7DAF" w:rsidP="005F7DAF">
      <w:pPr>
        <w:spacing w:line="276" w:lineRule="auto"/>
        <w:jc w:val="both"/>
        <w:rPr>
          <w:rFonts w:ascii="Verdana" w:eastAsia="Calibri" w:hAnsi="Verdana" w:cs="Arial"/>
        </w:rPr>
      </w:pPr>
      <w:r w:rsidRPr="00BC00A6">
        <w:rPr>
          <w:rFonts w:ascii="Verdana" w:eastAsia="Calibri" w:hAnsi="Verdana"/>
        </w:rPr>
        <w:t>Sobre el particular</w:t>
      </w:r>
      <w:r w:rsidRPr="00BC00A6">
        <w:rPr>
          <w:rFonts w:ascii="Verdana" w:eastAsia="Calibri" w:hAnsi="Verdana" w:cs="Arial"/>
        </w:rPr>
        <w:t xml:space="preserve"> cabe mencionar que la liquidación es el momento en el cual, una vez concluido el contrato estatal, las partes cruzan cuentas respecto de sus obligaciones, por tanto, su objetivo es determinar si pueden declararse a paz y salvo mutuo o si, por el contrario, existen obligaciones por cumplir, para acordar la forma en que deben ser cumplidas</w:t>
      </w:r>
      <w:r w:rsidRPr="007F2F56">
        <w:footnoteReference w:id="1"/>
      </w:r>
      <w:r w:rsidRPr="00BC00A6">
        <w:rPr>
          <w:rFonts w:ascii="Verdana" w:eastAsia="Calibri" w:hAnsi="Verdana" w:cs="Arial"/>
        </w:rPr>
        <w:t xml:space="preserve">. En armonía con lo anterior, la doctrina ha definido la liquidación de la siguiente manera: </w:t>
      </w:r>
    </w:p>
    <w:p w14:paraId="6E83AC4C" w14:textId="77777777" w:rsidR="005F7DAF" w:rsidRPr="00BC00A6" w:rsidRDefault="005F7DAF" w:rsidP="005F7DAF">
      <w:pPr>
        <w:spacing w:line="240" w:lineRule="auto"/>
        <w:ind w:left="709" w:right="709"/>
        <w:jc w:val="both"/>
        <w:rPr>
          <w:rFonts w:ascii="Verdana" w:eastAsia="Calibri" w:hAnsi="Verdana" w:cs="Arial"/>
          <w:sz w:val="21"/>
          <w:szCs w:val="21"/>
          <w:lang w:val="es-ES"/>
        </w:rPr>
      </w:pPr>
      <w:r w:rsidRPr="00BC00A6">
        <w:rPr>
          <w:rFonts w:ascii="Verdana" w:eastAsia="Calibri" w:hAnsi="Verdana" w:cs="Arial"/>
          <w:sz w:val="21"/>
          <w:szCs w:val="21"/>
          <w:lang w:val="es-ES"/>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BC00A6">
        <w:rPr>
          <w:rFonts w:ascii="Verdana" w:eastAsia="Calibri" w:hAnsi="Verdana" w:cs="Arial"/>
          <w:sz w:val="21"/>
          <w:szCs w:val="21"/>
          <w:lang w:val="es-ES"/>
        </w:rPr>
        <w:t>ii</w:t>
      </w:r>
      <w:proofErr w:type="spellEnd"/>
      <w:r w:rsidRPr="00BC00A6">
        <w:rPr>
          <w:rFonts w:ascii="Verdana" w:eastAsia="Calibri" w:hAnsi="Verdana" w:cs="Arial"/>
          <w:sz w:val="21"/>
          <w:szCs w:val="21"/>
          <w:lang w:val="es-ES"/>
        </w:rPr>
        <w:t xml:space="preserve">) definir la situación jurídica de las </w:t>
      </w:r>
      <w:r w:rsidRPr="00BC00A6">
        <w:rPr>
          <w:rFonts w:ascii="Verdana" w:eastAsia="Calibri" w:hAnsi="Verdana" w:cs="Arial"/>
          <w:sz w:val="21"/>
          <w:szCs w:val="21"/>
          <w:lang w:val="es-ES"/>
        </w:rPr>
        <w:lastRenderedPageBreak/>
        <w:t>partes, estableciendo si pueden constituirse o no a paz y salvo; lo que exige, en la práctica, que los negociantes dialoguen e intenten ponerse de acuerdo (aspecto subjetivo)</w:t>
      </w:r>
      <w:r w:rsidRPr="00BC00A6">
        <w:rPr>
          <w:rFonts w:ascii="Verdana" w:eastAsia="Calibri" w:hAnsi="Verdana" w:cs="Arial"/>
          <w:sz w:val="21"/>
          <w:szCs w:val="21"/>
          <w:lang w:val="es-ES"/>
        </w:rPr>
        <w:footnoteReference w:id="2"/>
      </w:r>
      <w:r w:rsidRPr="00BC00A6">
        <w:rPr>
          <w:rFonts w:ascii="Verdana" w:eastAsia="Calibri" w:hAnsi="Verdana" w:cs="Arial"/>
          <w:sz w:val="21"/>
          <w:szCs w:val="21"/>
          <w:lang w:val="es-ES"/>
        </w:rPr>
        <w:t xml:space="preserve">.” </w:t>
      </w:r>
    </w:p>
    <w:p w14:paraId="4C75D6D2" w14:textId="77777777" w:rsidR="005F7DAF" w:rsidRDefault="005F7DAF" w:rsidP="005F7DAF">
      <w:pPr>
        <w:spacing w:line="276" w:lineRule="auto"/>
        <w:contextualSpacing/>
        <w:jc w:val="both"/>
        <w:rPr>
          <w:rFonts w:ascii="Verdana" w:eastAsia="Calibri" w:hAnsi="Verdana" w:cs="Arial"/>
          <w:lang w:val="es-ES"/>
        </w:rPr>
      </w:pPr>
    </w:p>
    <w:p w14:paraId="5FBF0FD4" w14:textId="77777777" w:rsidR="005F7DAF" w:rsidRPr="00BC00A6" w:rsidRDefault="005F7DAF" w:rsidP="005F7DAF">
      <w:pPr>
        <w:spacing w:after="120" w:line="276" w:lineRule="auto"/>
        <w:ind w:firstLine="567"/>
        <w:jc w:val="both"/>
        <w:rPr>
          <w:rFonts w:ascii="Verdana" w:eastAsia="Calibri" w:hAnsi="Verdana" w:cs="Arial"/>
        </w:rPr>
      </w:pPr>
      <w:r w:rsidRPr="00BC00A6">
        <w:rPr>
          <w:rFonts w:ascii="Verdana" w:eastAsia="Calibri" w:hAnsi="Verdana" w:cs="Arial"/>
        </w:rPr>
        <w:t>En línea con lo anterior, 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acompañamiento financiero del negocio</w:t>
      </w:r>
      <w:r w:rsidRPr="00AC06A4">
        <w:rPr>
          <w:vertAlign w:val="superscript"/>
        </w:rPr>
        <w:footnoteReference w:id="3"/>
      </w:r>
      <w:r w:rsidRPr="00BC00A6">
        <w:rPr>
          <w:rFonts w:ascii="Verdana" w:eastAsia="Calibri" w:hAnsi="Verdana" w:cs="Arial"/>
        </w:rPr>
        <w:t>.</w:t>
      </w:r>
    </w:p>
    <w:p w14:paraId="3FCF142E" w14:textId="77777777" w:rsidR="005F7DAF" w:rsidRPr="00BC00A6" w:rsidRDefault="005F7DAF" w:rsidP="005F7DAF">
      <w:pPr>
        <w:spacing w:before="120" w:line="276" w:lineRule="auto"/>
        <w:ind w:firstLine="567"/>
        <w:jc w:val="both"/>
        <w:rPr>
          <w:rFonts w:ascii="Verdana" w:eastAsia="Calibri" w:hAnsi="Verdana" w:cs="Arial"/>
        </w:rPr>
      </w:pPr>
      <w:r w:rsidRPr="00BC00A6">
        <w:rPr>
          <w:rFonts w:ascii="Verdana" w:eastAsia="Calibri" w:hAnsi="Verdana" w:cs="Aria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 </w:t>
      </w:r>
    </w:p>
    <w:p w14:paraId="0645EC3A" w14:textId="77777777" w:rsidR="005F7DAF" w:rsidRPr="00AC06A4" w:rsidRDefault="005F7DAF" w:rsidP="005F7DAF">
      <w:pPr>
        <w:pStyle w:val="Prrafodelista"/>
        <w:spacing w:after="0" w:line="240" w:lineRule="auto"/>
        <w:ind w:left="709" w:right="709"/>
        <w:jc w:val="both"/>
        <w:rPr>
          <w:rFonts w:ascii="Verdana" w:eastAsia="Calibri" w:hAnsi="Verdana" w:cs="Arial"/>
          <w:sz w:val="20"/>
          <w:szCs w:val="20"/>
        </w:rPr>
      </w:pPr>
      <w:r w:rsidRPr="00AC06A4">
        <w:rPr>
          <w:rFonts w:ascii="Verdana" w:eastAsia="Calibri" w:hAnsi="Verdana" w:cs="Arial"/>
          <w:sz w:val="20"/>
          <w:szCs w:val="20"/>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w:t>
      </w:r>
      <w:r w:rsidRPr="00AC06A4">
        <w:rPr>
          <w:rFonts w:ascii="Verdana" w:eastAsia="Calibri" w:hAnsi="Verdana" w:cs="Arial"/>
          <w:sz w:val="20"/>
          <w:szCs w:val="20"/>
        </w:rPr>
        <w:lastRenderedPageBreak/>
        <w:t>partes para poner fin a las divergencias presentadas y poder declararse a paz y salvo</w:t>
      </w:r>
      <w:r w:rsidRPr="00AC06A4">
        <w:rPr>
          <w:rFonts w:ascii="Verdana" w:hAnsi="Verdana"/>
          <w:sz w:val="20"/>
          <w:szCs w:val="20"/>
        </w:rPr>
        <w:footnoteReference w:id="4"/>
      </w:r>
      <w:r w:rsidRPr="00AC06A4">
        <w:rPr>
          <w:rFonts w:ascii="Verdana" w:eastAsia="Calibri" w:hAnsi="Verdana" w:cs="Arial"/>
          <w:sz w:val="20"/>
          <w:szCs w:val="20"/>
        </w:rPr>
        <w:t>.”</w:t>
      </w:r>
    </w:p>
    <w:p w14:paraId="4384136F" w14:textId="77777777" w:rsidR="005F7DAF" w:rsidRDefault="005F7DAF" w:rsidP="005F7DAF">
      <w:pPr>
        <w:spacing w:after="0" w:line="276" w:lineRule="auto"/>
        <w:ind w:firstLine="567"/>
        <w:jc w:val="both"/>
        <w:rPr>
          <w:rFonts w:ascii="Verdana" w:eastAsia="Calibri" w:hAnsi="Verdana" w:cs="Arial"/>
        </w:rPr>
      </w:pPr>
    </w:p>
    <w:p w14:paraId="3CEA632A" w14:textId="77777777" w:rsidR="005F7DAF" w:rsidRPr="00BC00A6" w:rsidRDefault="005F7DAF" w:rsidP="005F7DAF">
      <w:pPr>
        <w:spacing w:after="120" w:line="276" w:lineRule="auto"/>
        <w:ind w:firstLine="567"/>
        <w:jc w:val="both"/>
        <w:rPr>
          <w:rFonts w:ascii="Verdana" w:eastAsia="Calibri" w:hAnsi="Verdana" w:cs="Arial"/>
        </w:rPr>
      </w:pPr>
      <w:r w:rsidRPr="00BC00A6">
        <w:rPr>
          <w:rFonts w:ascii="Verdana" w:eastAsia="Calibri" w:hAnsi="Verdana" w:cs="Arial"/>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06EB13EF" w14:textId="77777777" w:rsidR="005F7DAF" w:rsidRPr="00BC00A6" w:rsidRDefault="005F7DAF" w:rsidP="005F7DAF">
      <w:pPr>
        <w:spacing w:line="276" w:lineRule="auto"/>
        <w:ind w:firstLine="567"/>
        <w:jc w:val="both"/>
        <w:rPr>
          <w:rFonts w:ascii="Verdana" w:eastAsia="Calibri" w:hAnsi="Verdana" w:cs="Arial"/>
        </w:rPr>
      </w:pPr>
      <w:r w:rsidRPr="00BC00A6">
        <w:rPr>
          <w:rFonts w:ascii="Verdana" w:eastAsia="Calibri" w:hAnsi="Verdana" w:cs="Arial"/>
        </w:rPr>
        <w:t xml:space="preserve">Así las cosas,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w:t>
      </w:r>
    </w:p>
    <w:p w14:paraId="03686ADB" w14:textId="77777777" w:rsidR="005F7DAF" w:rsidRPr="00BC00A6" w:rsidRDefault="005F7DAF" w:rsidP="005F7DAF">
      <w:pPr>
        <w:spacing w:line="276" w:lineRule="auto"/>
        <w:ind w:firstLine="567"/>
        <w:jc w:val="both"/>
        <w:rPr>
          <w:rFonts w:ascii="Verdana" w:eastAsia="Calibri" w:hAnsi="Verdana" w:cs="Arial"/>
        </w:rPr>
      </w:pPr>
      <w:r w:rsidRPr="00BC00A6">
        <w:rPr>
          <w:rFonts w:ascii="Verdana" w:eastAsia="Calibri" w:hAnsi="Verdana" w:cs="Arial"/>
        </w:rPr>
        <w:t>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285166">
        <w:rPr>
          <w:sz w:val="16"/>
          <w:szCs w:val="16"/>
        </w:rPr>
        <w:footnoteReference w:id="5"/>
      </w:r>
      <w:r w:rsidRPr="00285166">
        <w:rPr>
          <w:rFonts w:ascii="Verdana" w:eastAsia="Calibri" w:hAnsi="Verdana" w:cs="Arial"/>
          <w:sz w:val="16"/>
          <w:szCs w:val="16"/>
        </w:rPr>
        <w:t>,</w:t>
      </w:r>
      <w:r w:rsidRPr="00BC00A6">
        <w:rPr>
          <w:rFonts w:ascii="Verdana" w:eastAsia="Calibri" w:hAnsi="Verdana" w:cs="Arial"/>
        </w:rPr>
        <w:t xml:space="preserve"> así como la probabilidad de que puedan surgir diferencias durante la ejecución del contrato; sin perjuicio de que, como se indicó, todos los contratos estatales de tracto sucesivo o aquellos cuya ejecución se prolongue en el tiempo siempre deban liquidarse, convirtiéndose en estos contratos en una cláusula de la naturaleza, conforme a la clasificación prevista en el Código Civil.</w:t>
      </w:r>
    </w:p>
    <w:p w14:paraId="57D7FB6B" w14:textId="77777777" w:rsidR="005F7DAF" w:rsidRPr="00BC00A6" w:rsidRDefault="005F7DAF" w:rsidP="005F7DAF">
      <w:pPr>
        <w:spacing w:line="276" w:lineRule="auto"/>
        <w:ind w:firstLine="567"/>
        <w:jc w:val="both"/>
        <w:rPr>
          <w:rFonts w:ascii="Verdana" w:eastAsia="Calibri" w:hAnsi="Verdana" w:cs="Arial"/>
        </w:rPr>
      </w:pPr>
      <w:r w:rsidRPr="00BC00A6">
        <w:rPr>
          <w:rFonts w:ascii="Verdana" w:eastAsia="Calibri" w:hAnsi="Verdana" w:cs="Arial"/>
        </w:rPr>
        <w:t>El artículo 11 de la Ley 1150 de 2007</w:t>
      </w:r>
      <w:r w:rsidRPr="00AC06A4">
        <w:rPr>
          <w:vertAlign w:val="superscript"/>
        </w:rPr>
        <w:footnoteReference w:id="6"/>
      </w:r>
      <w:r w:rsidRPr="00BC00A6">
        <w:rPr>
          <w:rFonts w:ascii="Verdana" w:eastAsia="Calibri" w:hAnsi="Verdana" w:cs="Arial"/>
        </w:rPr>
        <w:t xml:space="preserve"> contiene las reglas de tipo procedimental para liquidar los contratos estatales, las cuales se pasan a </w:t>
      </w:r>
      <w:r w:rsidRPr="00BC00A6">
        <w:rPr>
          <w:rFonts w:ascii="Verdana" w:eastAsia="Calibri" w:hAnsi="Verdana" w:cs="Arial"/>
        </w:rPr>
        <w:lastRenderedPageBreak/>
        <w:t xml:space="preserve">explicar.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00BC00A6">
        <w:rPr>
          <w:rFonts w:ascii="Verdana" w:eastAsia="Calibri" w:hAnsi="Verdana" w:cs="Arial"/>
        </w:rPr>
        <w:t>ii</w:t>
      </w:r>
      <w:proofErr w:type="spellEnd"/>
      <w:r w:rsidRPr="00BC00A6">
        <w:rPr>
          <w:rFonts w:ascii="Verdana" w:eastAsia="Calibri" w:hAnsi="Verdana" w:cs="Arial"/>
        </w:rPr>
        <w:t xml:space="preserve">) la expedición del acto administrativo que ordene la terminación del contrato; o, </w:t>
      </w:r>
      <w:proofErr w:type="spellStart"/>
      <w:r w:rsidRPr="00BC00A6">
        <w:rPr>
          <w:rFonts w:ascii="Verdana" w:eastAsia="Calibri" w:hAnsi="Verdana" w:cs="Arial"/>
        </w:rPr>
        <w:t>iii</w:t>
      </w:r>
      <w:proofErr w:type="spellEnd"/>
      <w:r w:rsidRPr="00BC00A6">
        <w:rPr>
          <w:rFonts w:ascii="Verdana" w:eastAsia="Calibri" w:hAnsi="Verdana" w:cs="Arial"/>
        </w:rPr>
        <w:t>) la fecha del acuerdo que disponga la terminación del contrato.</w:t>
      </w:r>
    </w:p>
    <w:p w14:paraId="13D529FD" w14:textId="77777777" w:rsidR="005F7DAF" w:rsidRPr="00BC00A6" w:rsidRDefault="005F7DAF" w:rsidP="005F7DAF">
      <w:pPr>
        <w:spacing w:before="120" w:line="276" w:lineRule="auto"/>
        <w:ind w:firstLine="567"/>
        <w:jc w:val="both"/>
        <w:rPr>
          <w:rFonts w:ascii="Verdana" w:eastAsia="Calibri" w:hAnsi="Verdana" w:cs="Arial"/>
        </w:rPr>
      </w:pPr>
      <w:r w:rsidRPr="00BC00A6">
        <w:rPr>
          <w:rFonts w:ascii="Verdana" w:eastAsia="Calibri" w:hAnsi="Verdana" w:cs="Arial"/>
        </w:rPr>
        <w:t>El artículo 11 de la Ley 1150 de 2007 señala que la liquidación de mutuo acuerdo se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 celebrar”</w:t>
      </w:r>
      <w:r w:rsidRPr="00AC06A4">
        <w:rPr>
          <w:vertAlign w:val="superscript"/>
        </w:rPr>
        <w:footnoteReference w:id="7"/>
      </w:r>
      <w:r w:rsidRPr="00BC00A6">
        <w:rPr>
          <w:rFonts w:ascii="Verdana" w:eastAsia="Calibri" w:hAnsi="Verdana" w:cs="Arial"/>
        </w:rPr>
        <w:t xml:space="preserve">. </w:t>
      </w:r>
    </w:p>
    <w:p w14:paraId="73B89AE2" w14:textId="77777777" w:rsidR="005F7DAF" w:rsidRPr="00B477CC" w:rsidRDefault="005F7DAF" w:rsidP="005F7DAF">
      <w:pPr>
        <w:spacing w:before="120" w:line="276" w:lineRule="auto"/>
        <w:ind w:firstLine="567"/>
        <w:jc w:val="both"/>
        <w:rPr>
          <w:rFonts w:ascii="Verdana" w:eastAsia="Calibri" w:hAnsi="Verdana" w:cs="Arial"/>
        </w:rPr>
      </w:pPr>
      <w:r w:rsidRPr="00BC00A6">
        <w:rPr>
          <w:rFonts w:ascii="Verdana" w:eastAsia="Calibri" w:hAnsi="Verdana" w:cs="Arial"/>
        </w:rPr>
        <w:t xml:space="preserve">De otra parte, cuando el artículo 11 de la Ley 1150 de 2007 hace referencia al término “acuerden las partes” para los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w:t>
      </w:r>
      <w:r w:rsidRPr="00BC00A6">
        <w:rPr>
          <w:rFonts w:ascii="Verdana" w:eastAsia="Calibri" w:hAnsi="Verdana" w:cs="Arial"/>
        </w:rPr>
        <w:lastRenderedPageBreak/>
        <w:t xml:space="preserve">acuerden fijar el referido plazo; acuerdo que, en tanto significa una alteración de las reglas que orientan la relación contractual, entraña una modificación del contrato. </w:t>
      </w:r>
    </w:p>
    <w:p w14:paraId="0C1AD75A" w14:textId="77777777" w:rsidR="005F7DAF" w:rsidRPr="00BC00A6" w:rsidRDefault="005F7DAF" w:rsidP="005F7DAF">
      <w:pPr>
        <w:spacing w:before="120" w:line="276" w:lineRule="auto"/>
        <w:ind w:firstLine="567"/>
        <w:jc w:val="both"/>
        <w:rPr>
          <w:rFonts w:ascii="Verdana" w:eastAsia="Calibri" w:hAnsi="Verdana" w:cs="Arial"/>
        </w:rPr>
      </w:pPr>
      <w:r w:rsidRPr="00BC00A6">
        <w:rPr>
          <w:rFonts w:ascii="Verdana" w:eastAsia="Calibri" w:hAnsi="Verdana" w:cs="Arial"/>
        </w:rPr>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7F2F56">
        <w:footnoteReference w:id="8"/>
      </w:r>
      <w:r w:rsidRPr="00BC00A6">
        <w:rPr>
          <w:rFonts w:ascii="Verdana" w:eastAsia="Calibri" w:hAnsi="Verdana" w:cs="Arial"/>
        </w:rPr>
        <w:t>, lo cual implica que las mismas se desarrollen en procura de la economía y la celeridad</w:t>
      </w:r>
      <w:r w:rsidRPr="007F2F56">
        <w:footnoteReference w:id="9"/>
      </w:r>
      <w:r w:rsidRPr="00BC00A6">
        <w:rPr>
          <w:rFonts w:ascii="Verdana" w:eastAsia="Calibri" w:hAnsi="Verdana" w:cs="Arial"/>
        </w:rPr>
        <w:t>. Esto significa que, en ejercicio de la facultad que les asiste para fijar el plazo para la liquidación bilateral, las partes deben actuar en garantía de estos principios, por lo que el término que se acuerde debe ser fijado de manera razonable.</w:t>
      </w:r>
    </w:p>
    <w:p w14:paraId="7CC445EC" w14:textId="77777777" w:rsidR="005F7DAF" w:rsidRPr="00BC00A6" w:rsidRDefault="005F7DAF" w:rsidP="005F7DAF">
      <w:pPr>
        <w:spacing w:before="120" w:line="276" w:lineRule="auto"/>
        <w:ind w:firstLine="567"/>
        <w:jc w:val="both"/>
        <w:rPr>
          <w:rFonts w:ascii="Verdana" w:eastAsia="Calibri" w:hAnsi="Verdana" w:cs="Arial"/>
        </w:rPr>
      </w:pPr>
      <w:r w:rsidRPr="00BC00A6">
        <w:rPr>
          <w:rFonts w:ascii="Verdana" w:eastAsia="Calibri" w:hAnsi="Verdana" w:cs="Aria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7F2F56">
        <w:footnoteReference w:id="10"/>
      </w:r>
      <w:r w:rsidRPr="00BC00A6">
        <w:rPr>
          <w:rFonts w:ascii="Verdana" w:eastAsia="Calibri" w:hAnsi="Verdana" w:cs="Arial"/>
        </w:rPr>
        <w:t xml:space="preserve">, de manera que el contrato pueda ser liquidado </w:t>
      </w:r>
      <w:r w:rsidRPr="00BC00A6">
        <w:rPr>
          <w:rFonts w:ascii="Verdana" w:eastAsia="Calibri" w:hAnsi="Verdana" w:cs="Arial"/>
        </w:rPr>
        <w:lastRenderedPageBreak/>
        <w:t>bilateralmente, bien sea en el plazo previsto en el pliego de condiciones, el acordado por las partes, o el supletivo de cuatro meses señalado en la ley, según corresponda. Esta liquidación bilateral puede ser total o parcial</w:t>
      </w:r>
      <w:r w:rsidRPr="007F2F56">
        <w:footnoteReference w:id="11"/>
      </w:r>
      <w:r w:rsidRPr="00BC00A6">
        <w:rPr>
          <w:rFonts w:ascii="Verdana" w:eastAsia="Calibri" w:hAnsi="Verdana" w:cs="Arial"/>
        </w:rPr>
        <w:t>, y el documento que la contiene presta mérito ejecutivo, siempre que se satisfagan los elementos para considerarlo como tal.</w:t>
      </w:r>
    </w:p>
    <w:p w14:paraId="10BB71B6" w14:textId="77777777" w:rsidR="005F7DAF" w:rsidRPr="00BC00A6" w:rsidRDefault="005F7DAF" w:rsidP="005F7DAF">
      <w:pPr>
        <w:spacing w:before="120" w:after="0" w:line="276" w:lineRule="auto"/>
        <w:ind w:firstLine="567"/>
        <w:jc w:val="both"/>
        <w:rPr>
          <w:rFonts w:ascii="Verdana" w:eastAsia="Calibri" w:hAnsi="Verdana" w:cs="Arial"/>
        </w:rPr>
      </w:pPr>
      <w:r w:rsidRPr="00BC00A6">
        <w:rPr>
          <w:rFonts w:ascii="Verdana" w:eastAsia="Calibri" w:hAnsi="Verdana" w:cs="Arial"/>
        </w:rPr>
        <w:t xml:space="preserve">Si no es posible efectuar la liquidación de manera bilateral, el ordenamiento jurídico prevé una facultad, de carácter subsidiario, para que la Entidad Estatal realice la liquidación unilateralmente. En relación con este aspecto, la Sala de Consulta y Servicio Civil del Consejo de Estado, en concepto del 28 de junio de 2016, manifestó que:  </w:t>
      </w:r>
    </w:p>
    <w:p w14:paraId="02061A14" w14:textId="77777777" w:rsidR="005F7DAF" w:rsidRPr="00BC00A6" w:rsidRDefault="005F7DAF" w:rsidP="005F7DAF">
      <w:pPr>
        <w:spacing w:after="0" w:line="276" w:lineRule="auto"/>
        <w:ind w:firstLine="567"/>
        <w:jc w:val="both"/>
        <w:rPr>
          <w:rFonts w:ascii="Verdana" w:eastAsia="Calibri" w:hAnsi="Verdana" w:cs="Arial"/>
        </w:rPr>
      </w:pPr>
    </w:p>
    <w:p w14:paraId="3F232544" w14:textId="77777777" w:rsidR="005F7DAF" w:rsidRDefault="005F7DAF" w:rsidP="005F7DAF">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  </w:t>
      </w:r>
    </w:p>
    <w:p w14:paraId="42597DCB" w14:textId="77777777" w:rsidR="005F7DAF" w:rsidRPr="00BC00A6" w:rsidRDefault="005F7DAF" w:rsidP="005F7DAF">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w:t>
      </w:r>
    </w:p>
    <w:p w14:paraId="7E3BA84A" w14:textId="77777777" w:rsidR="005F7DAF" w:rsidRPr="00BC00A6" w:rsidRDefault="005F7DAF" w:rsidP="005F7DAF">
      <w:pPr>
        <w:tabs>
          <w:tab w:val="left" w:pos="567"/>
        </w:tabs>
        <w:spacing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supletivos establecidos por la ley.</w:t>
      </w:r>
    </w:p>
    <w:p w14:paraId="51B40D07" w14:textId="77777777" w:rsidR="005F7DAF" w:rsidRPr="00BC00A6" w:rsidRDefault="005F7DAF" w:rsidP="005F7DAF">
      <w:pPr>
        <w:tabs>
          <w:tab w:val="left" w:pos="567"/>
        </w:tabs>
        <w:spacing w:after="0"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 xml:space="preserve">Finalmente, transcurridos estos meses, la liquidación podrá ser realizada en cualquier tiempo dentro de los dos años siguientes al vencimiento del término referido, de mutuo acuerdo o unilateralmente, salvo que el contratista haya </w:t>
      </w:r>
      <w:r w:rsidRPr="00BC00A6">
        <w:rPr>
          <w:rFonts w:ascii="Verdana" w:eastAsia="Calibri" w:hAnsi="Verdana" w:cs="Arial"/>
        </w:rPr>
        <w:lastRenderedPageBreak/>
        <w:t>presentado la demanda con la cual pretenda la liquidación judicial del contrato. De esta manera, durante estos dos años la liquidación podrá hacerse de mutuo acuerdo, unilateralmente por la entidad, o podrá ser solicitada judicialmente por el interesado. En ese sentido, en decisión de unificación de la Sección Tercera del Consejo de Estado, del 1 de agosto de 2019</w:t>
      </w:r>
      <w:r w:rsidRPr="007F2F56">
        <w:footnoteReference w:id="12"/>
      </w:r>
      <w:r w:rsidRPr="00BC00A6">
        <w:rPr>
          <w:rFonts w:ascii="Verdana" w:eastAsia="Calibri" w:hAnsi="Verdana" w:cs="Arial"/>
        </w:rPr>
        <w:t>, se expresó: </w:t>
      </w:r>
    </w:p>
    <w:p w14:paraId="03649FFC" w14:textId="77777777" w:rsidR="005F7DAF" w:rsidRPr="00BC00A6" w:rsidRDefault="005F7DAF" w:rsidP="005F7DAF">
      <w:pPr>
        <w:tabs>
          <w:tab w:val="left" w:pos="567"/>
        </w:tabs>
        <w:spacing w:after="0" w:line="276" w:lineRule="auto"/>
        <w:jc w:val="both"/>
        <w:rPr>
          <w:rFonts w:ascii="Verdana" w:eastAsia="Calibri" w:hAnsi="Verdana" w:cs="Arial"/>
        </w:rPr>
      </w:pPr>
    </w:p>
    <w:p w14:paraId="465A433D" w14:textId="77777777" w:rsidR="005F7DAF" w:rsidRPr="00BC00A6" w:rsidRDefault="005F7DAF" w:rsidP="005F7DAF">
      <w:pPr>
        <w:pStyle w:val="Prrafodelista"/>
        <w:tabs>
          <w:tab w:val="left" w:pos="1650"/>
          <w:tab w:val="left" w:pos="8080"/>
        </w:tabs>
        <w:spacing w:line="276" w:lineRule="auto"/>
        <w:ind w:left="567" w:right="758"/>
        <w:jc w:val="both"/>
        <w:rPr>
          <w:rFonts w:ascii="Verdana" w:eastAsia="Calibri" w:hAnsi="Verdana" w:cs="Arial"/>
          <w:sz w:val="21"/>
          <w:szCs w:val="21"/>
        </w:rPr>
      </w:pPr>
      <w:r w:rsidRPr="00BC00A6">
        <w:rPr>
          <w:rFonts w:ascii="Verdana" w:eastAsia="Calibri" w:hAnsi="Verdana" w:cs="Arial"/>
          <w:sz w:val="21"/>
          <w:szCs w:val="21"/>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BC00A6">
        <w:rPr>
          <w:rFonts w:ascii="Verdana" w:eastAsia="Calibri" w:hAnsi="Verdana" w:cs="Arial"/>
          <w:sz w:val="21"/>
          <w:szCs w:val="21"/>
        </w:rPr>
        <w:t>liquidatorio</w:t>
      </w:r>
      <w:proofErr w:type="spellEnd"/>
      <w:r w:rsidRPr="00BC00A6">
        <w:rPr>
          <w:rFonts w:ascii="Verdana" w:eastAsia="Calibri" w:hAnsi="Verdana" w:cs="Arial"/>
          <w:sz w:val="21"/>
          <w:szCs w:val="21"/>
        </w:rPr>
        <w:t> se logre dentro del lapso de dos años contados a partir del vencimiento del término legalmente conocido para la liquidación unilateral, pues ese es el lapso que el ordenamiento ha fijado para el ejercicio oportuno de la acción” </w:t>
      </w:r>
    </w:p>
    <w:p w14:paraId="0FD259F3" w14:textId="77777777" w:rsidR="005F7DAF" w:rsidRDefault="005F7DAF" w:rsidP="005F7DAF">
      <w:pPr>
        <w:spacing w:before="120" w:after="120" w:line="276" w:lineRule="auto"/>
        <w:ind w:firstLine="567"/>
        <w:jc w:val="both"/>
        <w:rPr>
          <w:rFonts w:ascii="Verdana" w:eastAsia="Calibri" w:hAnsi="Verdana" w:cs="Arial"/>
        </w:rPr>
      </w:pPr>
      <w:r w:rsidRPr="00BC00A6">
        <w:rPr>
          <w:rFonts w:ascii="Verdana" w:eastAsia="Calibri" w:hAnsi="Verdana" w:cs="Arial"/>
        </w:rPr>
        <w:t xml:space="preserve">En </w:t>
      </w:r>
      <w:r>
        <w:rPr>
          <w:rFonts w:ascii="Verdana" w:eastAsia="Calibri" w:hAnsi="Verdana" w:cs="Arial"/>
        </w:rPr>
        <w:t>este sentido</w:t>
      </w:r>
      <w:r w:rsidRPr="00BC00A6">
        <w:rPr>
          <w:rFonts w:ascii="Verdana" w:eastAsia="Calibri" w:hAnsi="Verdana" w:cs="Arial"/>
        </w:rPr>
        <w:t xml:space="preserve">, de acuerdo con el artículo 11 de la Ley 1150 de 2007, existen tres tipos de liquidación: i) bilateral, </w:t>
      </w:r>
      <w:proofErr w:type="spellStart"/>
      <w:r w:rsidRPr="00BC00A6">
        <w:rPr>
          <w:rFonts w:ascii="Verdana" w:eastAsia="Calibri" w:hAnsi="Verdana" w:cs="Arial"/>
        </w:rPr>
        <w:t>ii</w:t>
      </w:r>
      <w:proofErr w:type="spellEnd"/>
      <w:r w:rsidRPr="00BC00A6">
        <w:rPr>
          <w:rFonts w:ascii="Verdana" w:eastAsia="Calibri" w:hAnsi="Verdana" w:cs="Arial"/>
        </w:rPr>
        <w:t xml:space="preserve">) unilateral y </w:t>
      </w:r>
      <w:proofErr w:type="spellStart"/>
      <w:r w:rsidRPr="00BC00A6">
        <w:rPr>
          <w:rFonts w:ascii="Verdana" w:eastAsia="Calibri" w:hAnsi="Verdana" w:cs="Arial"/>
        </w:rPr>
        <w:t>iii</w:t>
      </w:r>
      <w:proofErr w:type="spellEnd"/>
      <w:r w:rsidRPr="00BC00A6">
        <w:rPr>
          <w:rFonts w:ascii="Verdana" w:eastAsia="Calibri" w:hAnsi="Verdana" w:cs="Arial"/>
        </w:rPr>
        <w:t>) judicial. En términos generales, la primera, que puede ser total o parcial, debe hacerse en el término que lo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w14:paraId="13D16A24" w14:textId="77777777" w:rsidR="005F7DAF" w:rsidRPr="00285166" w:rsidRDefault="005F7DAF" w:rsidP="005F7DAF">
      <w:pPr>
        <w:spacing w:before="120" w:after="120" w:line="276" w:lineRule="auto"/>
        <w:ind w:firstLine="567"/>
        <w:jc w:val="both"/>
        <w:rPr>
          <w:rFonts w:ascii="Verdana" w:eastAsia="Calibri" w:hAnsi="Verdana" w:cs="Arial"/>
        </w:rPr>
      </w:pPr>
      <w:r>
        <w:rPr>
          <w:rFonts w:ascii="Verdana" w:hAnsi="Verdana" w:cs="Arial"/>
        </w:rPr>
        <w:t xml:space="preserve">Explicado lo anterior, en torno al objeto de la consulta, esta agencia indica que </w:t>
      </w:r>
      <w:r w:rsidRPr="00285166">
        <w:rPr>
          <w:rFonts w:ascii="Verdana" w:hAnsi="Verdana" w:cs="Arial"/>
        </w:rPr>
        <w:t xml:space="preserve">los contratos de donación, en principio, no requerirían liquidación, en la medida en que, por regla general, corresponden a contratos de ejecución </w:t>
      </w:r>
      <w:r w:rsidRPr="00285166">
        <w:rPr>
          <w:rFonts w:ascii="Verdana" w:hAnsi="Verdana" w:cs="Arial"/>
        </w:rPr>
        <w:lastRenderedPageBreak/>
        <w:t>instantánea, cuya prestación se agota con la entrega del bien o derecho objeto de la donación. En efecto, la doctrina y los conceptos emitidos por dicha Agencia han señalado que la liquidación contractual no constituye un trámite obligatorio para todos los contratos estatales, sino únicamente para aquellos que, por sus características particulares, duración, ejecución sucesiva o por la necesidad de efectuar un balance económico y jurídico de las prestaciones ejecutadas, requieran determinar el estado final de las obligaciones entre las partes.</w:t>
      </w:r>
    </w:p>
    <w:p w14:paraId="63E196A8" w14:textId="77777777" w:rsidR="005F7DAF" w:rsidRPr="00285166" w:rsidRDefault="005F7DAF" w:rsidP="005F7DAF">
      <w:pPr>
        <w:spacing w:after="0" w:line="276" w:lineRule="auto"/>
        <w:ind w:firstLine="567"/>
        <w:jc w:val="both"/>
        <w:rPr>
          <w:rFonts w:ascii="Verdana" w:hAnsi="Verdana" w:cs="Arial"/>
        </w:rPr>
      </w:pPr>
      <w:r w:rsidRPr="00285166">
        <w:rPr>
          <w:rFonts w:ascii="Verdana" w:hAnsi="Verdana" w:cs="Arial"/>
        </w:rPr>
        <w:t>En consecuencia, si la donación agota sus efectos con un único acto de entrega y no existen obligaciones pendientes, prestaciones sucesivas o circunstancias que exijan establecer saldos, ajustes o controversias derivadas de su ejecución, no se advertiría, en principio, la necesidad de surtir el trámite de liquidación. No obstante, dicha conclusión deberá analizarse en cada caso concreto, atendiendo las condiciones particulares del negocio jurídico y las obligaciones pactadas por las partes</w:t>
      </w:r>
    </w:p>
    <w:p w14:paraId="605D91FB" w14:textId="77777777" w:rsidR="005F7DAF" w:rsidRDefault="005F7DAF" w:rsidP="005F7DAF">
      <w:pPr>
        <w:spacing w:after="0" w:line="276" w:lineRule="auto"/>
        <w:jc w:val="both"/>
        <w:rPr>
          <w:rFonts w:ascii="Verdana" w:eastAsia="Calibri" w:hAnsi="Verdana" w:cs="Arial"/>
          <w:lang w:val="es-ES"/>
        </w:rPr>
      </w:pPr>
    </w:p>
    <w:p w14:paraId="00B63A0E" w14:textId="77777777" w:rsidR="005F7DAF" w:rsidRPr="00593A5F" w:rsidRDefault="005F7DAF" w:rsidP="005F7D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9DDE5D4" w14:textId="77777777" w:rsidR="005F7DAF" w:rsidRPr="00593A5F" w:rsidRDefault="005F7DAF" w:rsidP="005F7DA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7DAF" w:rsidRPr="00593A5F" w14:paraId="077C5079" w14:textId="77777777" w:rsidTr="00B945AC">
        <w:trPr>
          <w:trHeight w:val="870"/>
        </w:trPr>
        <w:tc>
          <w:tcPr>
            <w:tcW w:w="8647" w:type="dxa"/>
          </w:tcPr>
          <w:p w14:paraId="00C6DF72" w14:textId="77777777" w:rsidR="005F7DAF" w:rsidRPr="00EF00A8" w:rsidRDefault="005F7DAF" w:rsidP="00B945A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80 de 1993</w:t>
            </w:r>
            <w:r>
              <w:rPr>
                <w:rFonts w:ascii="Verdana" w:eastAsia="Calibri" w:hAnsi="Verdana" w:cs="Arial"/>
                <w:lang w:eastAsia="es-ES"/>
              </w:rPr>
              <w:t xml:space="preserve"> artículo 60</w:t>
            </w:r>
          </w:p>
          <w:p w14:paraId="6876C6CB" w14:textId="77777777" w:rsidR="005F7DAF" w:rsidRPr="00EF00A8" w:rsidRDefault="005F7DAF" w:rsidP="00B945A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Decreto 019 de 2012</w:t>
            </w:r>
            <w:r>
              <w:rPr>
                <w:rFonts w:ascii="Verdana" w:eastAsia="Calibri" w:hAnsi="Verdana" w:cs="Arial"/>
                <w:lang w:eastAsia="es-ES"/>
              </w:rPr>
              <w:t xml:space="preserve"> </w:t>
            </w:r>
            <w:r w:rsidRPr="006F5A5A">
              <w:rPr>
                <w:rFonts w:ascii="Verdana" w:eastAsia="Calibri" w:hAnsi="Verdana" w:cs="Arial"/>
                <w:lang w:eastAsia="es-ES"/>
              </w:rPr>
              <w:t xml:space="preserve">artículo 217 </w:t>
            </w:r>
          </w:p>
          <w:p w14:paraId="2FB5444C" w14:textId="77777777" w:rsidR="005F7DAF" w:rsidRPr="00B35714" w:rsidRDefault="005F7DAF" w:rsidP="00B945A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1150 de 2007</w:t>
            </w:r>
            <w:r>
              <w:rPr>
                <w:rFonts w:ascii="Verdana" w:eastAsia="Calibri" w:hAnsi="Verdana" w:cs="Arial"/>
                <w:lang w:eastAsia="es-ES"/>
              </w:rPr>
              <w:t xml:space="preserve"> </w:t>
            </w:r>
            <w:r w:rsidRPr="006F5A5A">
              <w:rPr>
                <w:rFonts w:ascii="Verdana" w:eastAsia="Calibri" w:hAnsi="Verdana" w:cs="Arial"/>
                <w:lang w:eastAsia="es-ES"/>
              </w:rPr>
              <w:t>artículo 11</w:t>
            </w:r>
            <w:r>
              <w:rPr>
                <w:rFonts w:ascii="Verdana" w:eastAsia="Calibri" w:hAnsi="Verdana" w:cs="Arial"/>
                <w:lang w:eastAsia="es-ES"/>
              </w:rPr>
              <w:t>.</w:t>
            </w:r>
          </w:p>
          <w:p w14:paraId="5809E1CA" w14:textId="77777777" w:rsidR="005F7DAF" w:rsidRPr="00B35714" w:rsidRDefault="005F7DAF" w:rsidP="00B945A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eastAsia="Century Gothic" w:hAnsi="Verdana" w:cs="Century Gothic"/>
              </w:rPr>
              <w:t xml:space="preserve"> </w:t>
            </w:r>
            <w:r w:rsidRPr="00B35714">
              <w:rPr>
                <w:rFonts w:ascii="Verdana" w:hAnsi="Verdana" w:cs="Arial"/>
              </w:rPr>
              <w:t xml:space="preserve">Jurisprudencia del Consejo de Estado. Disponible en: </w:t>
            </w:r>
            <w:hyperlink r:id="rId12" w:history="1">
              <w:r w:rsidRPr="00B35714">
                <w:rPr>
                  <w:rStyle w:val="Hipervnculo"/>
                  <w:rFonts w:ascii="Verdana" w:hAnsi="Verdana" w:cs="Arial"/>
                </w:rPr>
                <w:t>https://relatoria.colombiacompra.gov.co/providencias-consejo-de-estado/</w:t>
              </w:r>
            </w:hyperlink>
            <w:r w:rsidRPr="00B35714">
              <w:rPr>
                <w:rFonts w:ascii="Verdana" w:hAnsi="Verdana" w:cs="Arial"/>
              </w:rPr>
              <w:t xml:space="preserve"> </w:t>
            </w:r>
          </w:p>
          <w:p w14:paraId="29359405" w14:textId="119AECAF" w:rsidR="005F7DAF" w:rsidRPr="005F7DAF" w:rsidRDefault="005F7DAF" w:rsidP="005F7DA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hAnsi="Verdana" w:cs="Arial"/>
              </w:rPr>
              <w:t>Guías y manuales expedidos por la ANCP-CCE. Disponible en:</w:t>
            </w:r>
            <w:r w:rsidRPr="00B35714">
              <w:rPr>
                <w:rFonts w:ascii="Verdana" w:hAnsi="Verdana"/>
              </w:rPr>
              <w:t xml:space="preserve"> </w:t>
            </w:r>
            <w:hyperlink r:id="rId13" w:history="1">
              <w:r w:rsidRPr="00B35714">
                <w:rPr>
                  <w:rStyle w:val="Hipervnculo"/>
                  <w:rFonts w:ascii="Verdana" w:hAnsi="Verdana" w:cs="Arial"/>
                </w:rPr>
                <w:t>https://www.colombiacompra.gov.co/manuales-guias-y-pliegos-tipo/manuales-y-guias</w:t>
              </w:r>
            </w:hyperlink>
            <w:r w:rsidRPr="00B35714">
              <w:rPr>
                <w:rFonts w:ascii="Verdana" w:hAnsi="Verdana" w:cs="Arial"/>
              </w:rPr>
              <w:t xml:space="preserve"> </w:t>
            </w:r>
          </w:p>
        </w:tc>
      </w:tr>
    </w:tbl>
    <w:p w14:paraId="5F8E5106" w14:textId="77777777" w:rsidR="005F7DAF" w:rsidRPr="00593A5F" w:rsidRDefault="005F7DAF" w:rsidP="005F7DAF">
      <w:pPr>
        <w:widowControl w:val="0"/>
        <w:autoSpaceDE w:val="0"/>
        <w:autoSpaceDN w:val="0"/>
        <w:spacing w:after="0" w:line="276" w:lineRule="auto"/>
        <w:jc w:val="both"/>
        <w:rPr>
          <w:rFonts w:ascii="Verdana" w:hAnsi="Verdana" w:cs="Arial"/>
        </w:rPr>
      </w:pPr>
    </w:p>
    <w:p w14:paraId="71C72C31" w14:textId="77777777" w:rsidR="005F7DAF" w:rsidRPr="00593A5F" w:rsidRDefault="005F7DAF" w:rsidP="005F7D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0F74BEA" w14:textId="77777777" w:rsidR="005F7DAF" w:rsidRPr="00593A5F" w:rsidRDefault="005F7DAF" w:rsidP="005F7DAF">
      <w:pPr>
        <w:widowControl w:val="0"/>
        <w:autoSpaceDE w:val="0"/>
        <w:autoSpaceDN w:val="0"/>
        <w:spacing w:after="0" w:line="276" w:lineRule="auto"/>
        <w:jc w:val="both"/>
        <w:rPr>
          <w:rFonts w:ascii="Verdana" w:hAnsi="Verdana" w:cs="Arial"/>
        </w:rPr>
      </w:pPr>
    </w:p>
    <w:p w14:paraId="2A280A14" w14:textId="77777777" w:rsidR="005F7DAF" w:rsidRDefault="005F7DAF" w:rsidP="005F7DAF">
      <w:pPr>
        <w:widowControl w:val="0"/>
        <w:autoSpaceDE w:val="0"/>
        <w:autoSpaceDN w:val="0"/>
        <w:spacing w:after="0" w:line="276" w:lineRule="auto"/>
        <w:jc w:val="both"/>
        <w:rPr>
          <w:rFonts w:ascii="Verdana" w:hAnsi="Verdana" w:cs="Arial"/>
          <w:shd w:val="clear" w:color="auto" w:fill="FFFFFF"/>
        </w:rPr>
      </w:pPr>
      <w:r w:rsidRPr="00623C09">
        <w:rPr>
          <w:rStyle w:val="normaltextrun"/>
          <w:rFonts w:ascii="Verdana" w:hAnsi="Verdana" w:cs="Arial"/>
          <w:shd w:val="clear" w:color="auto" w:fill="FFFFFF"/>
        </w:rPr>
        <w:t xml:space="preserve">Sobre la liquidación de los contratos estatales esta Subdirección se pronunció en los conceptos No. 4201912000004908 del 27 de septiembre de 2019, CU-028 de 25 de febrero de 2020, C-221 de 21 de abril de 2020, C-078 del 17 de marzo de 2021 y C-220 del 18 de mayo de 2021, C-739 del 29 de noviembre del 2022, C-015 del 24 de febrero del 2023, C-158 del 06 de junio del 2023, C-176 del 03 </w:t>
      </w:r>
      <w:r w:rsidRPr="00623C09">
        <w:rPr>
          <w:rStyle w:val="normaltextrun"/>
          <w:rFonts w:ascii="Verdana" w:hAnsi="Verdana" w:cs="Arial"/>
          <w:shd w:val="clear" w:color="auto" w:fill="FFFFFF"/>
        </w:rPr>
        <w:lastRenderedPageBreak/>
        <w:t>de mayo del 2023 y C-427 del 27 de noviembre del 2023. Igualmente ha analizado la naturaleza jurídica de las instituciones educativas y su régimen de contratación en los conceptos con radicado Nro. 2201913000006285 del 27 de agosto de 2019, No. 2201913000006068 del 28 de agosto de 2019, 2201913000008174 del 31 de octubre de 2019,  2201913000008197 del 1 de noviembre de 2019, C-181 del 6 de abril de 2020, C-272 del 27 de abril de 2020, C-284 del 27 de mayo de 2010, C-399 del 23 de junio de 2020, C-574 del 28 de agosto de 2020, C-355 del 2 de junio de 2022, C-475 del 26 de julio de 2022</w:t>
      </w:r>
      <w:r>
        <w:rPr>
          <w:rStyle w:val="normaltextrun"/>
          <w:rFonts w:ascii="Verdana" w:hAnsi="Verdana" w:cs="Arial"/>
          <w:shd w:val="clear" w:color="auto" w:fill="FFFFFF"/>
        </w:rPr>
        <w:t xml:space="preserve">, </w:t>
      </w:r>
      <w:r w:rsidRPr="00623C09">
        <w:rPr>
          <w:rStyle w:val="normaltextrun"/>
          <w:rFonts w:ascii="Verdana" w:hAnsi="Verdana" w:cs="Arial"/>
          <w:shd w:val="clear" w:color="auto" w:fill="FFFFFF"/>
        </w:rPr>
        <w:t xml:space="preserve"> C-195 del 24 de agosto del 2023</w:t>
      </w:r>
      <w:r>
        <w:rPr>
          <w:rStyle w:val="normaltextrun"/>
          <w:rFonts w:ascii="Verdana" w:hAnsi="Verdana" w:cs="Arial"/>
          <w:shd w:val="clear" w:color="auto" w:fill="FFFFFF"/>
        </w:rPr>
        <w:t>, C-129 del 29 de julio de 2024, C-649 del 5 de noviembre de 2024</w:t>
      </w:r>
      <w:r w:rsidRPr="00B35714">
        <w:rPr>
          <w:rFonts w:ascii="Verdana" w:eastAsia="Century Gothic" w:hAnsi="Verdana" w:cs="Century Gothic"/>
          <w:color w:val="000000" w:themeColor="text1"/>
        </w:rPr>
        <w:t xml:space="preserve">. Estos y otros conceptos se encuentran disponibles para consulta en el Sistema de relatoría de la Agencia, al cual se puede acceder a través del siguiente enlace: </w:t>
      </w:r>
      <w:hyperlink r:id="rId14" w:tgtFrame="_blank" w:tooltip="Dirección URL original: https://relatoria.colombiacompra.gov.co/. Haga clic o pulse si confía en este vínculo." w:history="1">
        <w:r w:rsidRPr="009C0079">
          <w:rPr>
            <w:rStyle w:val="Hipervnculo"/>
            <w:rFonts w:ascii="Verdana" w:hAnsi="Verdana" w:cs="Arial"/>
            <w:shd w:val="clear" w:color="auto" w:fill="FFFFFF"/>
          </w:rPr>
          <w:t>https://relatoria.colombiacompra.gov.co/</w:t>
        </w:r>
      </w:hyperlink>
      <w:r w:rsidRPr="009C0079">
        <w:rPr>
          <w:rFonts w:ascii="Verdana" w:hAnsi="Verdana" w:cs="Arial"/>
          <w:shd w:val="clear" w:color="auto" w:fill="FFFFFF"/>
        </w:rPr>
        <w:t>.</w:t>
      </w:r>
    </w:p>
    <w:p w14:paraId="5D177256" w14:textId="77777777" w:rsidR="005F7DAF" w:rsidRPr="00624E10" w:rsidRDefault="005F7DAF" w:rsidP="005F7DAF">
      <w:pPr>
        <w:widowControl w:val="0"/>
        <w:autoSpaceDE w:val="0"/>
        <w:autoSpaceDN w:val="0"/>
        <w:spacing w:after="0" w:line="276" w:lineRule="auto"/>
        <w:jc w:val="both"/>
        <w:rPr>
          <w:rFonts w:ascii="Verdana" w:hAnsi="Verdana"/>
        </w:rPr>
      </w:pPr>
    </w:p>
    <w:p w14:paraId="678A471C" w14:textId="77777777" w:rsidR="005F7DAF" w:rsidRPr="003E2460" w:rsidRDefault="005F7DAF" w:rsidP="005F7DAF">
      <w:pPr>
        <w:spacing w:after="120" w:line="276" w:lineRule="auto"/>
        <w:jc w:val="both"/>
        <w:rPr>
          <w:rFonts w:ascii="Verdana" w:hAnsi="Verdana"/>
        </w:rPr>
      </w:pPr>
      <w:r w:rsidRPr="003E2460">
        <w:rPr>
          <w:rFonts w:ascii="Verdana" w:hAnsi="Verdana"/>
        </w:rPr>
        <w:t>Por último, lo invitamos a seguirnos en las redes sociales en las cuales se difunde información institucional:</w:t>
      </w:r>
    </w:p>
    <w:p w14:paraId="3ED6FB0D" w14:textId="77777777" w:rsidR="005F7DAF" w:rsidRPr="003E2460" w:rsidRDefault="005F7DAF" w:rsidP="005F7DAF">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86A018E" w14:textId="77777777" w:rsidR="005F7DAF" w:rsidRPr="003E2460" w:rsidRDefault="005F7DAF" w:rsidP="005F7DAF">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76357830" w14:textId="61156A00" w:rsidR="005F7DAF" w:rsidRDefault="005F7DAF" w:rsidP="005F7DAF">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7A98254D" w14:textId="77777777" w:rsidR="005F7DAF" w:rsidRPr="005F7DAF" w:rsidRDefault="005F7DAF" w:rsidP="005F7DAF">
      <w:pPr>
        <w:spacing w:after="0" w:line="276" w:lineRule="auto"/>
        <w:jc w:val="both"/>
        <w:rPr>
          <w:rFonts w:ascii="Verdana" w:hAnsi="Verdana"/>
        </w:rPr>
      </w:pPr>
    </w:p>
    <w:p w14:paraId="7C50B5B5" w14:textId="77777777" w:rsidR="005F7DAF" w:rsidRPr="00593A5F" w:rsidRDefault="005F7DAF" w:rsidP="005F7DAF">
      <w:pPr>
        <w:widowControl w:val="0"/>
        <w:autoSpaceDE w:val="0"/>
        <w:autoSpaceDN w:val="0"/>
        <w:spacing w:after="12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F57CCBA" w14:textId="77777777" w:rsidR="005F7DAF" w:rsidRPr="00593A5F" w:rsidRDefault="005F7DAF" w:rsidP="005F7DAF">
      <w:pPr>
        <w:widowControl w:val="0"/>
        <w:autoSpaceDE w:val="0"/>
        <w:autoSpaceDN w:val="0"/>
        <w:spacing w:after="120" w:line="276" w:lineRule="auto"/>
        <w:jc w:val="both"/>
        <w:rPr>
          <w:rFonts w:ascii="Verdana" w:hAnsi="Verdana" w:cs="Arial"/>
        </w:rPr>
      </w:pPr>
    </w:p>
    <w:p w14:paraId="44733FA1" w14:textId="6C1CA40E" w:rsidR="005F7DAF" w:rsidRPr="005F7DAF" w:rsidRDefault="005F7DAF" w:rsidP="005F7DAF">
      <w:pPr>
        <w:spacing w:after="120" w:line="276" w:lineRule="auto"/>
        <w:rPr>
          <w:rFonts w:ascii="Verdana" w:hAnsi="Verdana" w:cs="Arial"/>
          <w:lang w:eastAsia="es-CO"/>
        </w:rPr>
      </w:pPr>
      <w:r w:rsidRPr="00593A5F">
        <w:rPr>
          <w:rFonts w:ascii="Verdana" w:eastAsia="Times New Roman" w:hAnsi="Verdana" w:cs="Arial"/>
          <w:lang w:eastAsia="es-CO"/>
        </w:rPr>
        <w:t>Atentamente,</w:t>
      </w:r>
    </w:p>
    <w:p w14:paraId="145CDB88" w14:textId="157520E9" w:rsidR="005F7DAF" w:rsidRPr="00B658F5" w:rsidRDefault="003175F3" w:rsidP="005F7DAF">
      <w:pPr>
        <w:spacing w:line="276" w:lineRule="auto"/>
        <w:jc w:val="center"/>
        <w:rPr>
          <w:rFonts w:ascii="Verdana" w:hAnsi="Verdana"/>
          <w:noProof/>
        </w:rPr>
      </w:pPr>
      <w:r w:rsidRPr="002C3AD6">
        <w:rPr>
          <w:rFonts w:ascii="Century Gothic" w:hAnsi="Century Gothic"/>
          <w:noProof/>
        </w:rPr>
        <w:drawing>
          <wp:inline distT="0" distB="0" distL="0" distR="0" wp14:anchorId="497C4217" wp14:editId="3F00561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7DAF" w:rsidRPr="003E2DA1" w14:paraId="329D9B6C" w14:textId="77777777" w:rsidTr="00B945AC">
        <w:trPr>
          <w:trHeight w:val="315"/>
        </w:trPr>
        <w:tc>
          <w:tcPr>
            <w:tcW w:w="893" w:type="dxa"/>
            <w:vAlign w:val="center"/>
            <w:hideMark/>
          </w:tcPr>
          <w:p w14:paraId="495EB44B" w14:textId="77777777" w:rsidR="005F7DAF" w:rsidRPr="003E2DA1" w:rsidRDefault="005F7DAF" w:rsidP="00B945AC">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376A73" w14:textId="77777777" w:rsidR="005F7DAF" w:rsidRPr="003E2DA1" w:rsidRDefault="005F7DAF" w:rsidP="00B945AC">
            <w:pPr>
              <w:spacing w:line="276" w:lineRule="auto"/>
              <w:contextualSpacing/>
              <w:jc w:val="both"/>
              <w:rPr>
                <w:rFonts w:ascii="Verdana" w:hAnsi="Verdana"/>
                <w:sz w:val="16"/>
                <w:szCs w:val="16"/>
              </w:rPr>
            </w:pPr>
            <w:r>
              <w:rPr>
                <w:rFonts w:ascii="Verdana" w:hAnsi="Verdana"/>
                <w:sz w:val="16"/>
                <w:szCs w:val="16"/>
              </w:rPr>
              <w:t>Richard Andrés Montenegro Siefken</w:t>
            </w:r>
          </w:p>
          <w:p w14:paraId="55FBA960" w14:textId="77777777" w:rsidR="005F7DAF" w:rsidRPr="003E2DA1" w:rsidRDefault="005F7DAF" w:rsidP="00B945AC">
            <w:pPr>
              <w:contextualSpacing/>
              <w:rPr>
                <w:rFonts w:ascii="Verdana" w:eastAsia="Arial" w:hAnsi="Verdana" w:cs="Arial"/>
                <w:sz w:val="16"/>
                <w:szCs w:val="16"/>
              </w:rPr>
            </w:pPr>
            <w:r w:rsidRPr="003E2DA1">
              <w:rPr>
                <w:rFonts w:ascii="Verdana" w:hAnsi="Verdana"/>
                <w:sz w:val="16"/>
                <w:szCs w:val="16"/>
              </w:rPr>
              <w:lastRenderedPageBreak/>
              <w:t>Contratista de la Subdirección de Gestión Contractual</w:t>
            </w:r>
          </w:p>
        </w:tc>
      </w:tr>
      <w:tr w:rsidR="005F7DAF" w:rsidRPr="003E2DA1" w14:paraId="6CAF4B1A" w14:textId="77777777" w:rsidTr="00B945AC">
        <w:trPr>
          <w:trHeight w:val="330"/>
        </w:trPr>
        <w:tc>
          <w:tcPr>
            <w:tcW w:w="893" w:type="dxa"/>
            <w:vAlign w:val="center"/>
            <w:hideMark/>
          </w:tcPr>
          <w:p w14:paraId="63604604" w14:textId="77777777" w:rsidR="005F7DAF" w:rsidRPr="003E2DA1" w:rsidRDefault="005F7DAF" w:rsidP="00B945AC">
            <w:pPr>
              <w:contextualSpacing/>
              <w:rPr>
                <w:rFonts w:ascii="Verdana" w:hAnsi="Verdana" w:cs="Arial"/>
                <w:sz w:val="16"/>
                <w:szCs w:val="16"/>
                <w:lang w:val="es-ES" w:eastAsia="es-ES"/>
              </w:rPr>
            </w:pPr>
            <w:r w:rsidRPr="003E2DA1">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6AE1BD" w14:textId="77777777" w:rsidR="005F7DAF" w:rsidRPr="003E2DA1" w:rsidRDefault="005F7DAF" w:rsidP="00B945AC">
            <w:pPr>
              <w:spacing w:line="276" w:lineRule="auto"/>
              <w:contextualSpacing/>
              <w:jc w:val="both"/>
              <w:rPr>
                <w:rFonts w:ascii="Verdana" w:hAnsi="Verdana"/>
                <w:sz w:val="16"/>
                <w:szCs w:val="16"/>
              </w:rPr>
            </w:pPr>
            <w:r>
              <w:rPr>
                <w:rFonts w:ascii="Verdana" w:hAnsi="Verdana"/>
                <w:sz w:val="16"/>
                <w:szCs w:val="16"/>
              </w:rPr>
              <w:t>Juan David Cardenas Cabeza</w:t>
            </w:r>
          </w:p>
          <w:p w14:paraId="42630B24" w14:textId="77777777" w:rsidR="005F7DAF" w:rsidRPr="003E2DA1" w:rsidRDefault="005F7DAF" w:rsidP="00B945AC">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5F7DAF" w:rsidRPr="003E2DA1" w14:paraId="03504D48" w14:textId="77777777" w:rsidTr="00B945AC">
        <w:trPr>
          <w:trHeight w:val="300"/>
        </w:trPr>
        <w:tc>
          <w:tcPr>
            <w:tcW w:w="893" w:type="dxa"/>
            <w:vAlign w:val="center"/>
          </w:tcPr>
          <w:p w14:paraId="1BE11B49" w14:textId="77777777" w:rsidR="005F7DAF" w:rsidRPr="003E2DA1" w:rsidRDefault="005F7DAF" w:rsidP="00B945AC">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5E0764B" w14:textId="77777777" w:rsidR="005F7DAF" w:rsidRPr="003E2DA1" w:rsidRDefault="005F7DAF" w:rsidP="00B945AC">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2F26EC9F" w14:textId="77777777" w:rsidR="005F7DAF" w:rsidRPr="003E2DA1" w:rsidRDefault="005F7DAF" w:rsidP="00B945AC">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3AB17B81" w14:textId="77777777" w:rsidR="005F7DAF" w:rsidRPr="0044528D" w:rsidRDefault="005F7DAF" w:rsidP="005F7DAF">
      <w:pPr>
        <w:spacing w:after="0"/>
        <w:jc w:val="both"/>
        <w:rPr>
          <w:rStyle w:val="Hipervnculo"/>
          <w:rFonts w:ascii="Verdana" w:hAnsi="Verdana"/>
        </w:rPr>
      </w:pPr>
    </w:p>
    <w:p w14:paraId="45DBCE1F" w14:textId="77777777" w:rsidR="005F7DAF" w:rsidRPr="0024624F" w:rsidRDefault="005F7DAF" w:rsidP="005F7DAF">
      <w:pPr>
        <w:spacing w:after="0"/>
        <w:rPr>
          <w:rFonts w:ascii="Verdana" w:hAnsi="Verdana"/>
        </w:rPr>
      </w:pPr>
    </w:p>
    <w:p w14:paraId="1C7F45F8" w14:textId="77777777" w:rsidR="005F7DAF" w:rsidRPr="00AC3C21" w:rsidRDefault="005F7DAF" w:rsidP="005F7DAF">
      <w:pPr>
        <w:spacing w:after="0"/>
        <w:rPr>
          <w:rFonts w:ascii="Verdana" w:hAnsi="Verdana"/>
        </w:rPr>
      </w:pPr>
    </w:p>
    <w:p w14:paraId="0F293BF4" w14:textId="0EF17623" w:rsidR="00127233" w:rsidRPr="00330519" w:rsidRDefault="00127233" w:rsidP="00330519"/>
    <w:sectPr w:rsidR="00127233" w:rsidRPr="0033051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4D0BF" w14:textId="77777777" w:rsidR="003E2AFE" w:rsidRDefault="003E2AFE" w:rsidP="004A1847">
      <w:pPr>
        <w:spacing w:after="0" w:line="240" w:lineRule="auto"/>
      </w:pPr>
      <w:r>
        <w:separator/>
      </w:r>
    </w:p>
  </w:endnote>
  <w:endnote w:type="continuationSeparator" w:id="0">
    <w:p w14:paraId="567039FB" w14:textId="77777777" w:rsidR="003E2AFE" w:rsidRDefault="003E2AF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33051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330519">
      <w:rPr>
        <w:rFonts w:ascii="Verdana" w:eastAsia="Verdana" w:hAnsi="Verdana" w:cs="Verdana"/>
        <w:b/>
        <w:bCs/>
        <w:color w:val="000000" w:themeColor="text1"/>
        <w:sz w:val="18"/>
        <w:szCs w:val="18"/>
        <w:lang w:val="pt-PT" w:eastAsia="es-CO"/>
      </w:rPr>
      <w:t xml:space="preserve">Código: </w:t>
    </w:r>
    <w:r w:rsidRPr="00330519">
      <w:rPr>
        <w:rFonts w:ascii="Verdana" w:eastAsia="Verdana" w:hAnsi="Verdana" w:cs="Verdana"/>
        <w:color w:val="000000" w:themeColor="text1"/>
        <w:sz w:val="18"/>
        <w:szCs w:val="18"/>
        <w:lang w:val="pt-PT" w:eastAsia="es-CO"/>
      </w:rPr>
      <w:t xml:space="preserve">CCE-REC-FM-17 </w:t>
    </w:r>
    <w:r w:rsidRPr="00330519">
      <w:rPr>
        <w:rFonts w:ascii="Verdana" w:eastAsia="Verdana" w:hAnsi="Verdana" w:cs="Verdana"/>
        <w:b/>
        <w:bCs/>
        <w:color w:val="000000" w:themeColor="text1"/>
        <w:sz w:val="18"/>
        <w:szCs w:val="18"/>
        <w:lang w:val="pt-PT" w:eastAsia="es-CO"/>
      </w:rPr>
      <w:t xml:space="preserve">V: </w:t>
    </w:r>
    <w:r w:rsidRPr="00330519">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7EE2A" w14:textId="77777777" w:rsidR="003E2AFE" w:rsidRDefault="003E2AFE" w:rsidP="004A1847">
      <w:pPr>
        <w:spacing w:after="0" w:line="240" w:lineRule="auto"/>
      </w:pPr>
      <w:r>
        <w:separator/>
      </w:r>
    </w:p>
  </w:footnote>
  <w:footnote w:type="continuationSeparator" w:id="0">
    <w:p w14:paraId="6D079815" w14:textId="77777777" w:rsidR="003E2AFE" w:rsidRDefault="003E2AFE" w:rsidP="004A1847">
      <w:pPr>
        <w:spacing w:after="0" w:line="240" w:lineRule="auto"/>
      </w:pPr>
      <w:r>
        <w:continuationSeparator/>
      </w:r>
    </w:p>
  </w:footnote>
  <w:footnote w:id="1">
    <w:p w14:paraId="215CEC27" w14:textId="77777777" w:rsidR="005F7DAF" w:rsidRPr="00AC3C21" w:rsidRDefault="005F7DAF" w:rsidP="005F7DAF">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AC3C21">
        <w:rPr>
          <w:rFonts w:ascii="Verdana" w:hAnsi="Verdana" w:cs="Arial"/>
          <w:color w:val="000000"/>
          <w:sz w:val="16"/>
          <w:szCs w:val="16"/>
          <w:shd w:val="clear" w:color="auto" w:fill="FFFFFF"/>
        </w:rPr>
        <w:t>”</w:t>
      </w:r>
      <w:r w:rsidRPr="00AC3C21">
        <w:rPr>
          <w:rFonts w:ascii="Verdana" w:hAnsi="Verdana" w:cs="Arial"/>
          <w:color w:val="000000"/>
          <w:sz w:val="16"/>
          <w:szCs w:val="16"/>
        </w:rPr>
        <w:t xml:space="preserve"> EXPOSITO, Juan Carlos. Forma y contenido del contrato estatal. Bogotá: Universidad Externado de Colombia, p. 89 y 90.</w:t>
      </w:r>
    </w:p>
    <w:p w14:paraId="04DC4E64" w14:textId="77777777" w:rsidR="005F7DAF" w:rsidRPr="00AC3C21" w:rsidRDefault="005F7DAF" w:rsidP="005F7DAF">
      <w:pPr>
        <w:pStyle w:val="Textonotapie"/>
        <w:ind w:firstLine="708"/>
        <w:jc w:val="both"/>
        <w:rPr>
          <w:rFonts w:ascii="Verdana" w:hAnsi="Verdana" w:cs="Arial"/>
          <w:color w:val="000000"/>
          <w:sz w:val="16"/>
          <w:szCs w:val="16"/>
        </w:rPr>
      </w:pPr>
      <w:r w:rsidRPr="00AC3C21">
        <w:rPr>
          <w:rFonts w:ascii="Verdana" w:hAnsi="Verdana" w:cs="Arial"/>
          <w:color w:val="000000"/>
          <w:sz w:val="16"/>
          <w:szCs w:val="16"/>
        </w:rPr>
        <w:t xml:space="preserve"> </w:t>
      </w:r>
    </w:p>
  </w:footnote>
  <w:footnote w:id="2">
    <w:p w14:paraId="12B80AFA" w14:textId="77777777" w:rsidR="005F7DAF" w:rsidRPr="00AC3C21" w:rsidRDefault="005F7DAF" w:rsidP="005F7DAF">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3989D896" w14:textId="77777777" w:rsidR="005F7DAF" w:rsidRPr="00AC3C21" w:rsidRDefault="005F7DAF" w:rsidP="005F7DAF">
      <w:pPr>
        <w:pStyle w:val="Textonotapie"/>
        <w:ind w:firstLine="708"/>
        <w:jc w:val="both"/>
        <w:rPr>
          <w:rFonts w:ascii="Verdana" w:hAnsi="Verdana" w:cs="Arial"/>
          <w:color w:val="000000"/>
          <w:sz w:val="16"/>
          <w:szCs w:val="16"/>
          <w:lang w:val="es-CO"/>
        </w:rPr>
      </w:pPr>
    </w:p>
  </w:footnote>
  <w:footnote w:id="3">
    <w:p w14:paraId="7846BC12" w14:textId="77777777" w:rsidR="005F7DAF" w:rsidRPr="00AC3C21" w:rsidRDefault="005F7DAF" w:rsidP="005F7DAF">
      <w:pPr>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20 de octubre de 2014, M.P: Enrique Gil Botero. Exp. 27.777. Allí se dijo: </w:t>
      </w:r>
      <w:r>
        <w:rPr>
          <w:rFonts w:ascii="Verdana" w:hAnsi="Verdana" w:cs="Arial"/>
          <w:color w:val="000000"/>
          <w:sz w:val="16"/>
          <w:szCs w:val="16"/>
        </w:rPr>
        <w:t>“</w:t>
      </w:r>
      <w:r w:rsidRPr="00AC3C21">
        <w:rPr>
          <w:rFonts w:ascii="Verdana" w:hAnsi="Verdana" w:cs="Arial"/>
          <w:color w:val="000000"/>
          <w:sz w:val="16"/>
          <w:szCs w:val="16"/>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Pr>
          <w:rFonts w:ascii="Verdana" w:hAnsi="Verdana" w:cs="Arial"/>
          <w:color w:val="000000"/>
          <w:sz w:val="16"/>
          <w:szCs w:val="16"/>
        </w:rPr>
        <w:t>”</w:t>
      </w:r>
      <w:r w:rsidRPr="00AC3C21">
        <w:rPr>
          <w:rFonts w:ascii="Verdana" w:hAnsi="Verdana" w:cs="Arial"/>
          <w:color w:val="000000"/>
          <w:sz w:val="16"/>
          <w:szCs w:val="16"/>
        </w:rPr>
        <w:t>.</w:t>
      </w:r>
    </w:p>
  </w:footnote>
  <w:footnote w:id="4">
    <w:p w14:paraId="4CA9E69D" w14:textId="77777777" w:rsidR="005F7DAF" w:rsidRPr="00AC3C21" w:rsidRDefault="005F7DAF" w:rsidP="005F7DAF">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EXPÓSITO VÉLEZ. Juan Carlos. Forma y contenido del contrato estatal, p. 90.</w:t>
      </w:r>
    </w:p>
    <w:p w14:paraId="2D00FA6A" w14:textId="77777777" w:rsidR="005F7DAF" w:rsidRPr="00AC3C21" w:rsidRDefault="005F7DAF" w:rsidP="005F7DAF">
      <w:pPr>
        <w:pStyle w:val="Textonotapie"/>
        <w:ind w:firstLine="708"/>
        <w:jc w:val="both"/>
        <w:rPr>
          <w:rFonts w:ascii="Verdana" w:hAnsi="Verdana" w:cs="Arial"/>
          <w:color w:val="000000"/>
          <w:sz w:val="16"/>
          <w:szCs w:val="16"/>
        </w:rPr>
      </w:pPr>
    </w:p>
  </w:footnote>
  <w:footnote w:id="5">
    <w:p w14:paraId="19938522" w14:textId="77777777" w:rsidR="005F7DAF" w:rsidRPr="00AC3C21" w:rsidRDefault="005F7DAF" w:rsidP="005F7DAF">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Sala de Consulta y Servicio Civil. Radicado No. 1453. Concepto de 6 de agosto de 2003. MP. Augusto Trejos.</w:t>
      </w:r>
    </w:p>
    <w:p w14:paraId="4B672DE9" w14:textId="77777777" w:rsidR="005F7DAF" w:rsidRPr="00B81271" w:rsidRDefault="005F7DAF" w:rsidP="005F7DAF">
      <w:pPr>
        <w:pStyle w:val="Textonotapie"/>
        <w:ind w:firstLine="708"/>
        <w:jc w:val="both"/>
        <w:rPr>
          <w:rFonts w:ascii="Arial" w:hAnsi="Arial" w:cs="Arial"/>
          <w:color w:val="000000"/>
          <w:sz w:val="16"/>
          <w:szCs w:val="16"/>
        </w:rPr>
      </w:pPr>
    </w:p>
  </w:footnote>
  <w:footnote w:id="6">
    <w:p w14:paraId="50592533" w14:textId="77777777" w:rsidR="005F7DAF" w:rsidRPr="00AC3C21" w:rsidRDefault="005F7DAF" w:rsidP="005F7DAF">
      <w:pPr>
        <w:pStyle w:val="Textonotapie"/>
        <w:ind w:firstLine="708"/>
        <w:jc w:val="both"/>
        <w:rPr>
          <w:rFonts w:ascii="Verdana" w:hAnsi="Verdana" w:cs="Arial"/>
          <w:color w:val="000000"/>
          <w:sz w:val="16"/>
          <w:szCs w:val="16"/>
          <w:lang w:val="es-ES"/>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w:t>
      </w:r>
      <w:r w:rsidRPr="00AC3C21">
        <w:rPr>
          <w:rFonts w:ascii="Verdana" w:hAnsi="Verdana" w:cs="Arial"/>
          <w:color w:val="000000"/>
          <w:sz w:val="16"/>
          <w:szCs w:val="16"/>
          <w:lang w:val="es-ES"/>
        </w:rPr>
        <w:t xml:space="preserve">El artículo 11 de la Ley 1150 de 2007 prescribe: </w:t>
      </w:r>
      <w:r>
        <w:rPr>
          <w:rFonts w:ascii="Verdana" w:hAnsi="Verdana" w:cs="Arial"/>
          <w:color w:val="000000"/>
          <w:sz w:val="16"/>
          <w:szCs w:val="16"/>
          <w:lang w:val="es-ES"/>
        </w:rPr>
        <w:t>“</w:t>
      </w:r>
      <w:r w:rsidRPr="00AC3C21">
        <w:rPr>
          <w:rFonts w:ascii="Verdana" w:hAnsi="Verdana" w:cs="Arial"/>
          <w:color w:val="000000"/>
          <w:sz w:val="16"/>
          <w:szCs w:val="16"/>
          <w:lang w:val="es-ES"/>
        </w:rPr>
        <w:t>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6F50267" w14:textId="77777777" w:rsidR="005F7DAF" w:rsidRPr="00AC3C21" w:rsidRDefault="005F7DAF" w:rsidP="005F7DAF">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0069D9FA" w14:textId="77777777" w:rsidR="005F7DAF" w:rsidRPr="00AC3C21" w:rsidRDefault="005F7DAF" w:rsidP="005F7DAF">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77DBF3E7" w14:textId="77777777" w:rsidR="005F7DAF" w:rsidRPr="00B81271" w:rsidRDefault="005F7DAF" w:rsidP="005F7DAF">
      <w:pPr>
        <w:pStyle w:val="Textonotapie"/>
        <w:ind w:firstLine="708"/>
        <w:jc w:val="both"/>
        <w:rPr>
          <w:rFonts w:ascii="Arial" w:hAnsi="Arial"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r>
        <w:rPr>
          <w:rFonts w:ascii="Verdana" w:hAnsi="Verdana" w:cs="Arial"/>
          <w:color w:val="000000"/>
          <w:sz w:val="16"/>
          <w:szCs w:val="16"/>
          <w:lang w:val="es-ES"/>
        </w:rPr>
        <w:t>”</w:t>
      </w:r>
      <w:r w:rsidRPr="00AC3C21">
        <w:rPr>
          <w:rFonts w:ascii="Verdana" w:hAnsi="Verdana" w:cs="Arial"/>
          <w:color w:val="000000"/>
          <w:sz w:val="16"/>
          <w:szCs w:val="16"/>
          <w:lang w:val="es-ES"/>
        </w:rPr>
        <w:t>.</w:t>
      </w:r>
    </w:p>
  </w:footnote>
  <w:footnote w:id="7">
    <w:p w14:paraId="4C28EBF1" w14:textId="77777777" w:rsidR="005F7DAF" w:rsidRPr="00AC3C21" w:rsidRDefault="005F7DAF" w:rsidP="005F7DAF">
      <w:pPr>
        <w:pStyle w:val="Textonotapie"/>
        <w:ind w:firstLine="709"/>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Sentencia del 24 de julio de 2013, radicado No. 25.642, Consejero Ponente Enrique Gil Botero.</w:t>
      </w:r>
    </w:p>
    <w:p w14:paraId="58F04A8D" w14:textId="77777777" w:rsidR="005F7DAF" w:rsidRPr="00AC3C21" w:rsidRDefault="005F7DAF" w:rsidP="005F7DAF">
      <w:pPr>
        <w:pStyle w:val="Textonotapie"/>
        <w:ind w:firstLine="709"/>
        <w:jc w:val="both"/>
        <w:rPr>
          <w:rFonts w:ascii="Verdana" w:hAnsi="Verdana" w:cs="Arial"/>
          <w:color w:val="000000"/>
          <w:sz w:val="16"/>
          <w:szCs w:val="16"/>
          <w:lang w:val="es-CO"/>
        </w:rPr>
      </w:pPr>
    </w:p>
  </w:footnote>
  <w:footnote w:id="8">
    <w:p w14:paraId="1568E070" w14:textId="77777777" w:rsidR="005F7DAF" w:rsidRPr="00B81271" w:rsidRDefault="005F7DAF" w:rsidP="005F7DAF">
      <w:pPr>
        <w:pStyle w:val="Textonotapie"/>
        <w:ind w:firstLine="709"/>
        <w:jc w:val="both"/>
        <w:rPr>
          <w:rFonts w:ascii="Arial" w:hAnsi="Arial"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Ley 80 de 1993 </w:t>
      </w:r>
      <w:r>
        <w:rPr>
          <w:rFonts w:ascii="Verdana" w:hAnsi="Verdana" w:cs="Arial"/>
          <w:color w:val="000000"/>
          <w:sz w:val="16"/>
          <w:szCs w:val="16"/>
        </w:rPr>
        <w:t>“</w:t>
      </w:r>
      <w:r w:rsidRPr="00AC3C21">
        <w:rPr>
          <w:rStyle w:val="Fuerte"/>
          <w:rFonts w:ascii="Verdana" w:hAnsi="Verdana" w:cs="Arial"/>
          <w:color w:val="000000"/>
          <w:sz w:val="16"/>
          <w:szCs w:val="16"/>
        </w:rPr>
        <w:t>Artículo 77. De la normatividad aplicable en las actuaciones administrativas.</w:t>
      </w:r>
      <w:r w:rsidRPr="00AC3C21">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r>
        <w:rPr>
          <w:rFonts w:ascii="Verdana" w:hAnsi="Verdana" w:cs="Arial"/>
          <w:color w:val="000000"/>
          <w:sz w:val="16"/>
          <w:szCs w:val="16"/>
        </w:rPr>
        <w:t>”</w:t>
      </w:r>
      <w:r w:rsidRPr="00AC3C21">
        <w:rPr>
          <w:rFonts w:ascii="Verdana" w:hAnsi="Verdana" w:cs="Arial"/>
          <w:color w:val="000000"/>
          <w:sz w:val="16"/>
          <w:szCs w:val="16"/>
        </w:rPr>
        <w:t xml:space="preserve"> […]</w:t>
      </w:r>
      <w:r>
        <w:rPr>
          <w:rFonts w:ascii="Verdana" w:hAnsi="Verdana" w:cs="Arial"/>
          <w:color w:val="000000"/>
          <w:sz w:val="16"/>
          <w:szCs w:val="16"/>
        </w:rPr>
        <w:t>”</w:t>
      </w:r>
      <w:r w:rsidRPr="00AC3C21">
        <w:rPr>
          <w:rFonts w:ascii="Verdana" w:hAnsi="Verdana" w:cs="Arial"/>
          <w:color w:val="000000"/>
          <w:sz w:val="16"/>
          <w:szCs w:val="16"/>
        </w:rPr>
        <w:t>.</w:t>
      </w:r>
      <w:r w:rsidRPr="00B81271">
        <w:rPr>
          <w:rFonts w:ascii="Arial" w:hAnsi="Arial" w:cs="Arial"/>
          <w:color w:val="000000"/>
          <w:sz w:val="16"/>
          <w:szCs w:val="16"/>
        </w:rPr>
        <w:t> </w:t>
      </w:r>
    </w:p>
  </w:footnote>
  <w:footnote w:id="9">
    <w:p w14:paraId="7376DAA9" w14:textId="77777777" w:rsidR="005F7DAF" w:rsidRPr="0095770E" w:rsidRDefault="005F7DAF" w:rsidP="005F7DAF">
      <w:pPr>
        <w:pStyle w:val="NormalWeb"/>
        <w:spacing w:after="0"/>
        <w:ind w:firstLine="709"/>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Ley 80 de 1993 </w:t>
      </w:r>
      <w:r>
        <w:rPr>
          <w:rFonts w:ascii="Verdana" w:hAnsi="Verdana" w:cs="Arial"/>
          <w:color w:val="000000"/>
          <w:sz w:val="16"/>
          <w:szCs w:val="16"/>
        </w:rPr>
        <w:t>“</w:t>
      </w:r>
      <w:r w:rsidRPr="0095770E">
        <w:rPr>
          <w:rStyle w:val="Fuerte"/>
          <w:rFonts w:ascii="Verdana" w:hAnsi="Verdana" w:cs="Arial"/>
          <w:color w:val="000000"/>
          <w:sz w:val="16"/>
          <w:szCs w:val="16"/>
        </w:rPr>
        <w:t>Artículo 25. Del principio de economía.</w:t>
      </w:r>
      <w:r w:rsidRPr="0095770E">
        <w:rPr>
          <w:rFonts w:ascii="Verdana" w:hAnsi="Verdana" w:cs="Arial"/>
          <w:color w:val="000000"/>
          <w:sz w:val="16"/>
          <w:szCs w:val="16"/>
        </w:rPr>
        <w:t> En virtud de este principio: </w:t>
      </w:r>
    </w:p>
    <w:p w14:paraId="31AF8B84" w14:textId="77777777" w:rsidR="005F7DAF" w:rsidRPr="0095770E" w:rsidRDefault="005F7DAF" w:rsidP="005F7DAF">
      <w:pPr>
        <w:pStyle w:val="NormalWeb"/>
        <w:spacing w:after="0"/>
        <w:ind w:firstLine="709"/>
        <w:jc w:val="both"/>
        <w:rPr>
          <w:rFonts w:ascii="Verdana" w:hAnsi="Verdana" w:cs="Arial"/>
          <w:color w:val="000000"/>
          <w:sz w:val="16"/>
          <w:szCs w:val="16"/>
        </w:rPr>
      </w:pPr>
      <w:r w:rsidRPr="0095770E">
        <w:rPr>
          <w:rFonts w:ascii="Verdana" w:hAnsi="Verdana" w:cs="Arial"/>
          <w:color w:val="000000"/>
          <w:sz w:val="16"/>
          <w:szCs w:val="16"/>
        </w:rPr>
        <w:t>[…]</w:t>
      </w:r>
    </w:p>
    <w:p w14:paraId="36882630" w14:textId="77777777" w:rsidR="005F7DAF" w:rsidRPr="0095770E" w:rsidRDefault="005F7DAF" w:rsidP="005F7DAF">
      <w:pPr>
        <w:pStyle w:val="NormalWeb"/>
        <w:spacing w:after="0"/>
        <w:ind w:firstLine="709"/>
        <w:jc w:val="both"/>
        <w:rPr>
          <w:rFonts w:ascii="Verdana" w:hAnsi="Verdana" w:cs="Arial"/>
          <w:color w:val="000000"/>
          <w:sz w:val="16"/>
          <w:szCs w:val="16"/>
        </w:rPr>
      </w:pPr>
      <w:r>
        <w:rPr>
          <w:rFonts w:ascii="Verdana" w:hAnsi="Verdana" w:cs="Arial"/>
          <w:color w:val="000000"/>
          <w:sz w:val="16"/>
          <w:szCs w:val="16"/>
        </w:rPr>
        <w:t>“</w:t>
      </w:r>
      <w:r w:rsidRPr="0095770E">
        <w:rPr>
          <w:rFonts w:ascii="Verdana" w:hAnsi="Verdana" w:cs="Arial"/>
          <w:color w:val="000000"/>
          <w:sz w:val="16"/>
          <w:szCs w:val="16"/>
        </w:rPr>
        <w:t>4o. Los trámites se adelantarán con austeridad de tiempo, medios y gastos y se impedirán las dilaciones y los retardos en la ejecución del contrato. </w:t>
      </w:r>
    </w:p>
    <w:p w14:paraId="202DD41C" w14:textId="77777777" w:rsidR="005F7DAF" w:rsidRPr="0095770E" w:rsidRDefault="005F7DAF" w:rsidP="005F7DAF">
      <w:pPr>
        <w:pStyle w:val="NormalWeb"/>
        <w:spacing w:after="0"/>
        <w:jc w:val="both"/>
        <w:rPr>
          <w:rFonts w:ascii="Verdana" w:hAnsi="Verdana" w:cs="Arial"/>
          <w:color w:val="000000"/>
          <w:sz w:val="16"/>
          <w:szCs w:val="16"/>
        </w:rPr>
      </w:pPr>
      <w:r w:rsidRPr="0095770E">
        <w:rPr>
          <w:rFonts w:ascii="Verdana" w:hAnsi="Verdana" w:cs="Arial"/>
          <w:color w:val="000000"/>
          <w:sz w:val="16"/>
          <w:szCs w:val="16"/>
        </w:rPr>
        <w:t>  </w:t>
      </w:r>
      <w:r w:rsidRPr="0095770E">
        <w:rPr>
          <w:rFonts w:ascii="Verdana" w:hAnsi="Verdana" w:cs="Arial"/>
          <w:color w:val="000000"/>
          <w:sz w:val="16"/>
          <w:szCs w:val="16"/>
        </w:rPr>
        <w:tab/>
      </w:r>
      <w:r>
        <w:rPr>
          <w:rFonts w:ascii="Verdana" w:hAnsi="Verdana" w:cs="Arial"/>
          <w:color w:val="000000"/>
          <w:sz w:val="16"/>
          <w:szCs w:val="16"/>
        </w:rPr>
        <w:t>“</w:t>
      </w:r>
      <w:r w:rsidRPr="0095770E">
        <w:rPr>
          <w:rFonts w:ascii="Verdana" w:hAnsi="Verdana" w:cs="Arial"/>
          <w:color w:val="000000"/>
          <w:sz w:val="16"/>
          <w:szCs w:val="16"/>
        </w:rPr>
        <w:t>5o. Se adoptarán procedimientos que garanticen la pronta solución de las diferencias y controversias que con motivo de la celebración y ejecución del contrato se presenten […]</w:t>
      </w:r>
      <w:r>
        <w:rPr>
          <w:rFonts w:ascii="Verdana" w:hAnsi="Verdana" w:cs="Arial"/>
          <w:color w:val="000000"/>
          <w:sz w:val="16"/>
          <w:szCs w:val="16"/>
        </w:rPr>
        <w:t>”</w:t>
      </w:r>
      <w:r w:rsidRPr="0095770E">
        <w:rPr>
          <w:rFonts w:ascii="Verdana" w:hAnsi="Verdana" w:cs="Arial"/>
          <w:color w:val="000000"/>
          <w:sz w:val="16"/>
          <w:szCs w:val="16"/>
        </w:rPr>
        <w:t>.</w:t>
      </w:r>
    </w:p>
  </w:footnote>
  <w:footnote w:id="10">
    <w:p w14:paraId="192EF364" w14:textId="77777777" w:rsidR="005F7DAF" w:rsidRPr="0095770E" w:rsidRDefault="005F7DAF" w:rsidP="005F7DAF">
      <w:pPr>
        <w:pStyle w:val="Textonotapie"/>
        <w:ind w:firstLine="708"/>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COLOMBIA COMPRA EFICIENTE. Guía para la Liquidación de los Procesos de Contratación. página 5, disponible en: </w:t>
      </w:r>
      <w:hyperlink r:id="rId1" w:history="1">
        <w:r w:rsidRPr="0095770E">
          <w:rPr>
            <w:rStyle w:val="Hipervnculo1"/>
            <w:rFonts w:ascii="Verdana" w:hAnsi="Verdana" w:cs="Arial"/>
            <w:color w:val="000000"/>
            <w:sz w:val="16"/>
            <w:szCs w:val="16"/>
          </w:rPr>
          <w:t>https://www.colombiacompra.gov.co/sites/cce_public/files/cce_documents/cce_guia_liquidacion_procesos.pdf</w:t>
        </w:r>
      </w:hyperlink>
      <w:r w:rsidRPr="0095770E">
        <w:rPr>
          <w:rFonts w:ascii="Verdana" w:hAnsi="Verdana" w:cs="Arial"/>
          <w:color w:val="000000"/>
          <w:sz w:val="16"/>
          <w:szCs w:val="16"/>
        </w:rPr>
        <w:t xml:space="preserve"> </w:t>
      </w:r>
    </w:p>
  </w:footnote>
  <w:footnote w:id="11">
    <w:p w14:paraId="393C062A" w14:textId="77777777" w:rsidR="005F7DAF" w:rsidRPr="00B81271" w:rsidRDefault="005F7DAF" w:rsidP="005F7DAF">
      <w:pPr>
        <w:pStyle w:val="Textonotapie"/>
        <w:ind w:firstLine="708"/>
        <w:jc w:val="both"/>
        <w:rPr>
          <w:rFonts w:ascii="Arial" w:hAnsi="Arial"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2">
    <w:p w14:paraId="4EC553FF" w14:textId="77777777" w:rsidR="005F7DAF" w:rsidRPr="0095770E" w:rsidRDefault="005F7DAF" w:rsidP="005F7DAF">
      <w:pPr>
        <w:pStyle w:val="Textonotapie"/>
        <w:ind w:firstLine="708"/>
        <w:jc w:val="both"/>
        <w:rPr>
          <w:rFonts w:ascii="Verdana" w:hAnsi="Verdana" w:cs="Arial"/>
          <w:color w:val="000000"/>
          <w:sz w:val="16"/>
          <w:szCs w:val="16"/>
          <w:lang w:val="es-ES"/>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CONSEJO DE ESTADO. Sección Tercera. </w:t>
      </w:r>
      <w:r w:rsidRPr="0095770E">
        <w:rPr>
          <w:rFonts w:ascii="Verdana" w:hAnsi="Verdana" w:cs="Arial"/>
          <w:color w:val="000000"/>
          <w:sz w:val="16"/>
          <w:szCs w:val="16"/>
          <w:lang w:val="es-CO"/>
        </w:rPr>
        <w:t xml:space="preserve">Sala Plena. Auto del 1 de agosto de 2019. </w:t>
      </w:r>
      <w:r w:rsidRPr="0095770E">
        <w:rPr>
          <w:rFonts w:ascii="Verdana" w:hAnsi="Verdana" w:cs="Arial"/>
          <w:color w:val="000000"/>
          <w:sz w:val="16"/>
          <w:szCs w:val="16"/>
        </w:rPr>
        <w:t xml:space="preserve">Exp. 62009. C.P. Jaime Enrique Rodríguez Navas. </w:t>
      </w:r>
      <w:r w:rsidRPr="0095770E">
        <w:rPr>
          <w:rFonts w:ascii="Verdana" w:hAnsi="Verdana" w:cs="Arial"/>
          <w:color w:val="000000"/>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485C"/>
    <w:rsid w:val="000D0334"/>
    <w:rsid w:val="000D5DA7"/>
    <w:rsid w:val="000F6486"/>
    <w:rsid w:val="00116940"/>
    <w:rsid w:val="00125105"/>
    <w:rsid w:val="00127233"/>
    <w:rsid w:val="0015699B"/>
    <w:rsid w:val="00172016"/>
    <w:rsid w:val="001A33BF"/>
    <w:rsid w:val="001C292C"/>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5F3"/>
    <w:rsid w:val="00322A85"/>
    <w:rsid w:val="00324168"/>
    <w:rsid w:val="00330519"/>
    <w:rsid w:val="00330834"/>
    <w:rsid w:val="003448F4"/>
    <w:rsid w:val="00374F5E"/>
    <w:rsid w:val="00375999"/>
    <w:rsid w:val="00377E3E"/>
    <w:rsid w:val="003A779E"/>
    <w:rsid w:val="003D0F4D"/>
    <w:rsid w:val="003D5B0D"/>
    <w:rsid w:val="003E0499"/>
    <w:rsid w:val="003E2AFE"/>
    <w:rsid w:val="003E4F80"/>
    <w:rsid w:val="003E5763"/>
    <w:rsid w:val="003E6439"/>
    <w:rsid w:val="003F3941"/>
    <w:rsid w:val="00406575"/>
    <w:rsid w:val="00414C74"/>
    <w:rsid w:val="0042722E"/>
    <w:rsid w:val="0044528D"/>
    <w:rsid w:val="004669C9"/>
    <w:rsid w:val="00466E39"/>
    <w:rsid w:val="004A1847"/>
    <w:rsid w:val="004A248C"/>
    <w:rsid w:val="004A305D"/>
    <w:rsid w:val="004F21C4"/>
    <w:rsid w:val="004F685F"/>
    <w:rsid w:val="005566E8"/>
    <w:rsid w:val="00574867"/>
    <w:rsid w:val="00591460"/>
    <w:rsid w:val="005A65E0"/>
    <w:rsid w:val="005C3777"/>
    <w:rsid w:val="005C5CDC"/>
    <w:rsid w:val="005D476C"/>
    <w:rsid w:val="005F7DAF"/>
    <w:rsid w:val="006200BF"/>
    <w:rsid w:val="006219F8"/>
    <w:rsid w:val="006302F7"/>
    <w:rsid w:val="00646B9F"/>
    <w:rsid w:val="00665D70"/>
    <w:rsid w:val="006900D9"/>
    <w:rsid w:val="006A39FB"/>
    <w:rsid w:val="00706C16"/>
    <w:rsid w:val="007340C3"/>
    <w:rsid w:val="0074405B"/>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3769"/>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7DAF"/>
    <w:pPr>
      <w:spacing w:line="240" w:lineRule="exact"/>
    </w:pPr>
    <w:rPr>
      <w:vertAlign w:val="superscript"/>
    </w:rPr>
  </w:style>
  <w:style w:type="character" w:customStyle="1" w:styleId="Hipervnculo1">
    <w:name w:val="Hipervínculo1"/>
    <w:basedOn w:val="Fuentedeprrafopredeter"/>
    <w:uiPriority w:val="99"/>
    <w:unhideWhenUsed/>
    <w:rsid w:val="005F7DAF"/>
    <w:rPr>
      <w:color w:val="F2F2F2"/>
      <w:u w:val="single"/>
    </w:rPr>
  </w:style>
  <w:style w:type="character" w:styleId="Fuerte">
    <w:name w:val="Strong"/>
    <w:basedOn w:val="Fuentedeprrafopredeter"/>
    <w:uiPriority w:val="22"/>
    <w:qFormat/>
    <w:rsid w:val="005F7DAF"/>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7DAF"/>
    <w:rPr>
      <w:rFonts w:ascii="Geomanist Light" w:hAnsi="Geomanist Light"/>
      <w:lang w:val="es-ES"/>
    </w:rPr>
  </w:style>
  <w:style w:type="character" w:customStyle="1" w:styleId="NormalWebCar">
    <w:name w:val="Normal (Web) Car"/>
    <w:link w:val="NormalWeb"/>
    <w:uiPriority w:val="99"/>
    <w:rsid w:val="005F7DA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santamaria@bomberosbogota.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370E7A8-7C3D-4E09-8104-705FF81CDA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4113</Words>
  <Characters>22624</Characters>
  <Application>Microsoft Office Word</Application>
  <DocSecurity>0</DocSecurity>
  <Lines>188</Lines>
  <Paragraphs>53</Paragraphs>
  <ScaleCrop>false</ScaleCrop>
  <Company/>
  <LinksUpToDate>false</LinksUpToDate>
  <CharactersWithSpaces>26684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2026-05-26T22:25:00Z</dcterms:created>
  <dcterms:modified xsi:type="dcterms:W3CDTF">2026-05-26T22:46:00Z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