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3EF3E" w14:textId="77777777" w:rsidR="00BC7AC2" w:rsidRPr="00052F7C" w:rsidRDefault="00BC7AC2" w:rsidP="00BC7AC2">
      <w:pPr>
        <w:spacing w:after="0" w:line="240" w:lineRule="auto"/>
        <w:contextualSpacing/>
        <w:jc w:val="both"/>
        <w:rPr>
          <w:rFonts w:ascii="Verdana" w:eastAsia="Calibri" w:hAnsi="Verdana" w:cs="Arial"/>
          <w:b/>
          <w:bCs/>
          <w:lang w:val="es-ES_tradnl"/>
        </w:rPr>
      </w:pPr>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517DEBF9" w14:textId="77777777" w:rsidR="00BC7AC2" w:rsidRPr="00052F7C" w:rsidRDefault="00BC7AC2" w:rsidP="00BC7AC2">
      <w:pPr>
        <w:spacing w:after="0" w:line="240" w:lineRule="auto"/>
        <w:contextualSpacing/>
        <w:jc w:val="both"/>
        <w:rPr>
          <w:rFonts w:ascii="Verdana" w:eastAsia="Calibri" w:hAnsi="Verdana" w:cs="Arial"/>
          <w:sz w:val="20"/>
          <w:szCs w:val="20"/>
          <w:lang w:val="es-ES_tradnl"/>
        </w:rPr>
      </w:pPr>
    </w:p>
    <w:p w14:paraId="66D2901D" w14:textId="77777777" w:rsidR="00BC7AC2" w:rsidRPr="00052F7C" w:rsidRDefault="00BC7AC2" w:rsidP="00BC7AC2">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36EF8E83" w14:textId="77777777" w:rsidR="00BC7AC2" w:rsidRPr="00252D09" w:rsidRDefault="00BC7AC2" w:rsidP="00BC7AC2">
      <w:pPr>
        <w:spacing w:after="0"/>
        <w:jc w:val="both"/>
        <w:rPr>
          <w:rFonts w:ascii="Verdana" w:eastAsia="Verdana" w:hAnsi="Verdana" w:cs="Verdana"/>
          <w:b/>
          <w:highlight w:val="lightGray"/>
          <w:lang w:val="es-ES_tradnl"/>
        </w:rPr>
      </w:pPr>
    </w:p>
    <w:p w14:paraId="1F3B1999" w14:textId="77777777" w:rsidR="00BC7AC2" w:rsidRPr="00592DC4" w:rsidRDefault="00BC7AC2" w:rsidP="00BC7AC2">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3951CC89" w14:textId="77777777" w:rsidR="00BC7AC2" w:rsidRPr="00592DC4" w:rsidRDefault="00BC7AC2" w:rsidP="00BC7AC2">
      <w:pPr>
        <w:spacing w:after="0" w:line="240" w:lineRule="auto"/>
        <w:contextualSpacing/>
        <w:jc w:val="both"/>
        <w:rPr>
          <w:rFonts w:ascii="Verdana" w:eastAsia="Calibri" w:hAnsi="Verdana" w:cs="Arial"/>
          <w:b/>
          <w:bCs/>
          <w:sz w:val="20"/>
          <w:szCs w:val="20"/>
          <w:lang w:val="es-ES_tradnl"/>
        </w:rPr>
      </w:pPr>
    </w:p>
    <w:p w14:paraId="12208854" w14:textId="77777777" w:rsidR="00BC7AC2" w:rsidRDefault="00BC7AC2" w:rsidP="00BC7AC2">
      <w:pPr>
        <w:spacing w:after="0" w:line="240" w:lineRule="auto"/>
        <w:jc w:val="both"/>
        <w:rPr>
          <w:rFonts w:ascii="Verdana" w:eastAsia="Times New Roman" w:hAnsi="Verdana" w:cs="Times New Roman"/>
          <w:sz w:val="20"/>
          <w:szCs w:val="20"/>
          <w:lang w:val="es-ES_tradnl" w:eastAsia="es-ES_tradnl"/>
        </w:rPr>
      </w:pPr>
      <w:r w:rsidRPr="00592DC4">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051AA8DB" w14:textId="77777777" w:rsidR="00BC7AC2" w:rsidRPr="00252D09" w:rsidRDefault="00BC7AC2" w:rsidP="00BC7AC2">
      <w:pPr>
        <w:spacing w:after="0"/>
        <w:jc w:val="both"/>
        <w:rPr>
          <w:rFonts w:ascii="Verdana" w:eastAsia="Verdana" w:hAnsi="Verdana" w:cs="Verdana"/>
          <w:b/>
          <w:highlight w:val="lightGray"/>
          <w:lang w:val="es-ES_tradnl"/>
        </w:rPr>
      </w:pPr>
    </w:p>
    <w:p w14:paraId="6ACC7EB9" w14:textId="77777777" w:rsidR="00BC7AC2" w:rsidRPr="002B3435" w:rsidRDefault="00BC7AC2" w:rsidP="00BC7AC2">
      <w:pPr>
        <w:spacing w:after="0" w:line="240" w:lineRule="auto"/>
        <w:contextualSpacing/>
        <w:jc w:val="both"/>
        <w:rPr>
          <w:rFonts w:ascii="Verdana" w:eastAsia="Calibri" w:hAnsi="Verdana" w:cs="Arial"/>
          <w:b/>
          <w:bCs/>
          <w:lang w:val="es-ES_tradnl"/>
        </w:rPr>
      </w:pPr>
      <w:r w:rsidRPr="002B3435">
        <w:rPr>
          <w:rFonts w:ascii="Verdana" w:eastAsia="Calibri" w:hAnsi="Verdana" w:cs="Arial"/>
          <w:b/>
          <w:bCs/>
          <w:lang w:val="es-ES_tradnl"/>
        </w:rPr>
        <w:t xml:space="preserve">CONTRATO DE PRESTACIÓN DE SERVICIOS – </w:t>
      </w:r>
      <w:r>
        <w:rPr>
          <w:rFonts w:ascii="Verdana" w:eastAsia="Calibri" w:hAnsi="Verdana" w:cs="Arial"/>
          <w:b/>
          <w:bCs/>
          <w:lang w:val="es-ES_tradnl"/>
        </w:rPr>
        <w:t xml:space="preserve">Ley 80 de 1993 - </w:t>
      </w:r>
      <w:r w:rsidRPr="002B3435">
        <w:rPr>
          <w:rFonts w:ascii="Verdana" w:eastAsia="Calibri" w:hAnsi="Verdana" w:cs="Arial"/>
          <w:b/>
          <w:bCs/>
          <w:lang w:val="es-ES_tradnl"/>
        </w:rPr>
        <w:t xml:space="preserve">Autonomía e </w:t>
      </w:r>
      <w:r>
        <w:rPr>
          <w:rFonts w:ascii="Verdana" w:eastAsia="Calibri" w:hAnsi="Verdana" w:cs="Arial"/>
          <w:b/>
          <w:bCs/>
          <w:lang w:val="es-ES_tradnl"/>
        </w:rPr>
        <w:t>i</w:t>
      </w:r>
      <w:r w:rsidRPr="002B3435">
        <w:rPr>
          <w:rFonts w:ascii="Verdana" w:eastAsia="Calibri" w:hAnsi="Verdana" w:cs="Arial"/>
          <w:b/>
          <w:bCs/>
          <w:lang w:val="es-ES_tradnl"/>
        </w:rPr>
        <w:t>ndependencia</w:t>
      </w:r>
    </w:p>
    <w:p w14:paraId="42265CA5" w14:textId="77777777" w:rsidR="00BC7AC2" w:rsidRDefault="00BC7AC2" w:rsidP="00BC7AC2">
      <w:pPr>
        <w:spacing w:after="0" w:line="240" w:lineRule="auto"/>
        <w:contextualSpacing/>
        <w:jc w:val="both"/>
        <w:rPr>
          <w:rFonts w:ascii="Verdana" w:eastAsia="Calibri" w:hAnsi="Verdana" w:cs="Arial"/>
          <w:b/>
          <w:bCs/>
          <w:lang w:val="es-ES_tradnl"/>
        </w:rPr>
      </w:pPr>
    </w:p>
    <w:p w14:paraId="54BCECE6" w14:textId="77777777" w:rsidR="00BC7AC2" w:rsidRDefault="00BC7AC2" w:rsidP="00BC7AC2">
      <w:pPr>
        <w:spacing w:after="0" w:line="240" w:lineRule="auto"/>
        <w:contextualSpacing/>
        <w:jc w:val="both"/>
        <w:rPr>
          <w:rFonts w:ascii="Verdana" w:eastAsia="Calibri" w:hAnsi="Verdana" w:cs="Arial"/>
          <w:sz w:val="20"/>
          <w:szCs w:val="20"/>
        </w:rPr>
      </w:pPr>
      <w:r>
        <w:rPr>
          <w:rFonts w:ascii="Verdana" w:eastAsia="Calibri" w:hAnsi="Verdana" w:cs="Arial"/>
          <w:sz w:val="20"/>
          <w:szCs w:val="20"/>
        </w:rPr>
        <w:t xml:space="preserve">(…) </w:t>
      </w:r>
      <w:r w:rsidRPr="008711F9">
        <w:rPr>
          <w:rFonts w:ascii="Verdana" w:eastAsia="Calibri" w:hAnsi="Verdana" w:cs="Arial"/>
          <w:sz w:val="20"/>
          <w:szCs w:val="20"/>
        </w:rPr>
        <w:t>Si bien se celebran para obtener la prestación personal de un servicio, se diferencian del contrato de trabajo</w:t>
      </w:r>
      <w:r>
        <w:rPr>
          <w:rFonts w:ascii="Verdana" w:eastAsia="Calibri" w:hAnsi="Verdana" w:cs="Arial"/>
          <w:sz w:val="20"/>
          <w:szCs w:val="20"/>
          <w:vertAlign w:val="superscript"/>
        </w:rPr>
        <w:t xml:space="preserve"> </w:t>
      </w:r>
      <w:r w:rsidRPr="008711F9">
        <w:rPr>
          <w:rFonts w:ascii="Verdana" w:eastAsia="Calibri" w:hAnsi="Verdana" w:cs="Arial"/>
          <w:sz w:val="20"/>
          <w:szCs w:val="20"/>
        </w:rPr>
        <w:t xml:space="preserve">en que quien celebra el contrato de prestación de servicios profesionales debe mantener autonomía e independencia en la ejecución de la labor, lo que significa que no puede existir la </w:t>
      </w:r>
      <w:r w:rsidRPr="008711F9">
        <w:rPr>
          <w:rFonts w:ascii="Verdana" w:eastAsia="Calibri" w:hAnsi="Verdana" w:cs="Arial"/>
          <w:i/>
          <w:sz w:val="20"/>
          <w:szCs w:val="20"/>
        </w:rPr>
        <w:t>subordinación y dependencia</w:t>
      </w:r>
      <w:r w:rsidRPr="008711F9">
        <w:rPr>
          <w:rFonts w:ascii="Verdana" w:eastAsia="Calibri" w:hAnsi="Verdana" w:cs="Arial"/>
          <w:iCs/>
          <w:sz w:val="20"/>
          <w:szCs w:val="20"/>
        </w:rPr>
        <w:t>,</w:t>
      </w:r>
      <w:r w:rsidRPr="008711F9">
        <w:rPr>
          <w:rFonts w:ascii="Verdana" w:eastAsia="Calibri" w:hAnsi="Verdana" w:cs="Arial"/>
          <w:sz w:val="20"/>
          <w:szCs w:val="2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8711F9">
        <w:rPr>
          <w:rFonts w:ascii="Verdana" w:eastAsia="Calibri" w:hAnsi="Verdana" w:cs="Arial"/>
          <w:i/>
          <w:sz w:val="20"/>
          <w:szCs w:val="20"/>
        </w:rPr>
        <w:t>no pueden</w:t>
      </w:r>
      <w:r w:rsidRPr="008711F9">
        <w:rPr>
          <w:rFonts w:ascii="Verdana" w:eastAsia="Calibri" w:hAnsi="Verdana" w:cs="Arial"/>
          <w:sz w:val="20"/>
          <w:szCs w:val="20"/>
        </w:rPr>
        <w:t xml:space="preserve"> generar relación laboral, ni dar lugar a que las entidades estatales paguen por su cuenta los aportes al Sistema de Seguridad Social </w:t>
      </w:r>
      <w:r w:rsidRPr="008711F9">
        <w:rPr>
          <w:rFonts w:ascii="Verdana" w:eastAsia="Calibri" w:hAnsi="Verdana" w:cs="Arial"/>
          <w:sz w:val="20"/>
          <w:szCs w:val="20"/>
        </w:rPr>
        <w:lastRenderedPageBreak/>
        <w:t>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w:t>
      </w:r>
      <w:r>
        <w:rPr>
          <w:rFonts w:ascii="Verdana" w:eastAsia="Calibri" w:hAnsi="Verdana" w:cs="Arial"/>
          <w:sz w:val="20"/>
          <w:szCs w:val="20"/>
        </w:rPr>
        <w:t>l</w:t>
      </w:r>
      <w:r w:rsidRPr="008711F9">
        <w:rPr>
          <w:rFonts w:ascii="Verdana" w:eastAsia="Calibri" w:hAnsi="Verdana" w:cs="Arial"/>
          <w:sz w:val="20"/>
          <w:szCs w:val="20"/>
        </w:rPr>
        <w:t xml:space="preserve">. Pero es posible que, a pesar de este mandato deontológico, en la práctica surja la relación laboral, pues, como se sabe, el contrato de trabajo es un </w:t>
      </w:r>
      <w:r w:rsidRPr="008711F9">
        <w:rPr>
          <w:rFonts w:ascii="Verdana" w:eastAsia="Calibri" w:hAnsi="Verdana" w:cs="Arial"/>
          <w:i/>
          <w:sz w:val="20"/>
          <w:szCs w:val="20"/>
        </w:rPr>
        <w:t>contrato realidad</w:t>
      </w:r>
      <w:r w:rsidRPr="008711F9">
        <w:rPr>
          <w:rFonts w:ascii="Verdana" w:eastAsia="Calibri" w:hAnsi="Verdana" w:cs="Arial"/>
          <w:sz w:val="20"/>
          <w:szCs w:val="20"/>
        </w:rPr>
        <w:t xml:space="preserve">, ya que para su perfeccionamiento rige el principio de la prevalencia de la realidad sobre las formalidades. </w:t>
      </w:r>
      <w:r>
        <w:rPr>
          <w:rFonts w:ascii="Verdana" w:eastAsia="Calibri" w:hAnsi="Verdana" w:cs="Arial"/>
          <w:sz w:val="20"/>
          <w:szCs w:val="20"/>
        </w:rPr>
        <w:t>(…)</w:t>
      </w:r>
    </w:p>
    <w:p w14:paraId="6ED90DEA" w14:textId="77777777" w:rsidR="00BC7AC2" w:rsidRDefault="00BC7AC2" w:rsidP="00BC7AC2">
      <w:pPr>
        <w:spacing w:after="0" w:line="240" w:lineRule="auto"/>
        <w:contextualSpacing/>
        <w:jc w:val="both"/>
        <w:rPr>
          <w:rFonts w:ascii="Verdana" w:eastAsia="Calibri" w:hAnsi="Verdana" w:cs="Arial"/>
          <w:sz w:val="20"/>
          <w:szCs w:val="20"/>
        </w:rPr>
      </w:pPr>
    </w:p>
    <w:p w14:paraId="17F7CC76" w14:textId="77777777" w:rsidR="00BC7AC2" w:rsidRPr="002B3435" w:rsidRDefault="00BC7AC2" w:rsidP="00BC7AC2">
      <w:pPr>
        <w:spacing w:after="0" w:line="240" w:lineRule="auto"/>
        <w:contextualSpacing/>
        <w:jc w:val="both"/>
        <w:rPr>
          <w:rFonts w:ascii="Verdana" w:eastAsia="Calibri" w:hAnsi="Verdana" w:cs="Arial"/>
          <w:b/>
          <w:bCs/>
          <w:lang w:val="es-ES_tradnl"/>
        </w:rPr>
      </w:pPr>
      <w:r w:rsidRPr="002B3435">
        <w:rPr>
          <w:rFonts w:ascii="Verdana" w:eastAsia="Calibri" w:hAnsi="Verdana" w:cs="Arial"/>
          <w:b/>
          <w:bCs/>
          <w:lang w:val="es-ES_tradnl"/>
        </w:rPr>
        <w:t xml:space="preserve">CONTRATO DE PRESTACIÓN DE SERVICIOS – </w:t>
      </w:r>
      <w:r>
        <w:rPr>
          <w:rFonts w:ascii="Verdana" w:eastAsia="Calibri" w:hAnsi="Verdana" w:cs="Arial"/>
          <w:b/>
          <w:bCs/>
          <w:lang w:val="es-ES_tradnl"/>
        </w:rPr>
        <w:t>Horario</w:t>
      </w:r>
    </w:p>
    <w:p w14:paraId="186B877D" w14:textId="77777777" w:rsidR="00BC7AC2" w:rsidRPr="003A5BF6" w:rsidRDefault="00BC7AC2" w:rsidP="00BC7AC2">
      <w:pPr>
        <w:spacing w:after="0" w:line="240" w:lineRule="auto"/>
        <w:contextualSpacing/>
        <w:jc w:val="both"/>
        <w:rPr>
          <w:rFonts w:ascii="Verdana" w:eastAsia="Calibri" w:hAnsi="Verdana" w:cs="Arial"/>
          <w:sz w:val="20"/>
          <w:szCs w:val="20"/>
          <w:lang w:val="es-ES_tradnl"/>
        </w:rPr>
      </w:pPr>
    </w:p>
    <w:p w14:paraId="703977DC" w14:textId="77777777" w:rsidR="00BC7AC2" w:rsidRDefault="00BC7AC2" w:rsidP="00BC7AC2">
      <w:pPr>
        <w:spacing w:after="120" w:line="240" w:lineRule="auto"/>
        <w:ind w:right="51"/>
        <w:jc w:val="both"/>
        <w:rPr>
          <w:rFonts w:ascii="Verdana" w:hAnsi="Verdana" w:cs="Arial"/>
          <w:sz w:val="20"/>
          <w:szCs w:val="20"/>
        </w:rPr>
      </w:pPr>
      <w:r w:rsidRPr="003A5BF6">
        <w:rPr>
          <w:rFonts w:ascii="Verdana" w:eastAsia="Calibri" w:hAnsi="Verdana" w:cs="Arial"/>
          <w:sz w:val="20"/>
          <w:szCs w:val="20"/>
        </w:rPr>
        <w:t>La</w:t>
      </w:r>
      <w:r w:rsidRPr="003A5BF6">
        <w:rPr>
          <w:rFonts w:ascii="Verdana" w:hAnsi="Verdana" w:cs="Arial"/>
          <w:sz w:val="20"/>
          <w:szCs w:val="20"/>
        </w:rPr>
        <w:t xml:space="preserve"> Corte Constitucional y el Consejo de Estado ha expuesto que, el principal elemento que distingue el contrato de prestación de servicios del contrato laboral es la existencia de subordinación o dependencia en la ejecución de la labor contratada. En ese sentido, si bien la fijación de un horario puede constituir un indicio de la existencia de una relación laboral, por sí sola no resulta suficiente para concluir la configuración de un contrato realidad. El máximo tribunal de lo contencioso administrativo ha reiterado, en múltiples sentencias, que la exigencia de un horario o de una jornada puede ser necesaria para garantizar el cumplimiento eficiente del objeto contractual. En consecuencia, la imposición de un horario no desnaturaliza el contrato de prestación de servicios, siempre que dicha exigencia sea indispensable para la adecuada ejecución de las actividades encomendadas.</w:t>
      </w:r>
    </w:p>
    <w:p w14:paraId="67B82EA0" w14:textId="77777777" w:rsidR="00BC7AC2" w:rsidRPr="003A5BF6" w:rsidRDefault="00BC7AC2" w:rsidP="00BC7AC2">
      <w:pPr>
        <w:spacing w:after="120" w:line="240" w:lineRule="auto"/>
        <w:ind w:right="51"/>
        <w:jc w:val="both"/>
        <w:rPr>
          <w:rFonts w:ascii="Verdana" w:hAnsi="Verdana" w:cs="Arial"/>
          <w:sz w:val="20"/>
          <w:szCs w:val="20"/>
        </w:rPr>
      </w:pPr>
      <w:r w:rsidRPr="003A5BF6">
        <w:rPr>
          <w:rFonts w:ascii="Verdana" w:hAnsi="Verdana" w:cs="Arial"/>
          <w:sz w:val="20"/>
          <w:szCs w:val="20"/>
        </w:rPr>
        <w:t>En consecuencia, los contratistas de prestación de servicios deben someterse, en la ejecución de sus obligaciones contractuales, a las directrices que establezca la entidad contratante, a efectos de cumplir con el objeto contractual, así como a la forma en que se coordinan las distintas actividades. Ahora bien, de requerirse la presencia del contratista en la Entidad Estatal en determinada jornada, esa exigencia debe quedar contemplada en el contrato o en los documentos contractuales y debe estar justificada. En todo caso, más que imponer un horario, se trata de asegurar el cumplimiento de las tareas propias del objeto contractual, conforme a las necesidades y funciones de la entidad.</w:t>
      </w:r>
    </w:p>
    <w:p w14:paraId="1FE1AC22" w14:textId="77777777" w:rsidR="00BC7AC2" w:rsidRPr="003A5BF6" w:rsidRDefault="00BC7AC2" w:rsidP="00BC7AC2">
      <w:pPr>
        <w:spacing w:after="0"/>
        <w:jc w:val="both"/>
        <w:rPr>
          <w:rFonts w:ascii="Verdana" w:eastAsia="Verdana" w:hAnsi="Verdana" w:cs="Verdana"/>
          <w:b/>
          <w:highlight w:val="lightGray"/>
        </w:rPr>
      </w:pPr>
    </w:p>
    <w:p w14:paraId="3E8819D0" w14:textId="77777777" w:rsidR="00690F00" w:rsidRDefault="00690F00" w:rsidP="00690F00">
      <w:pPr>
        <w:spacing w:after="0" w:line="240" w:lineRule="auto"/>
        <w:jc w:val="both"/>
        <w:rPr>
          <w:rFonts w:ascii="Verdana" w:hAnsi="Verdana"/>
        </w:rPr>
      </w:pPr>
    </w:p>
    <w:p w14:paraId="669D0EDB" w14:textId="77777777" w:rsidR="004277DD" w:rsidRDefault="004277DD" w:rsidP="00690F00">
      <w:pPr>
        <w:spacing w:after="0" w:line="240" w:lineRule="auto"/>
        <w:jc w:val="both"/>
        <w:rPr>
          <w:rFonts w:ascii="Verdana" w:hAnsi="Verdana"/>
        </w:rPr>
      </w:pPr>
    </w:p>
    <w:p w14:paraId="396D6FB6" w14:textId="77777777" w:rsidR="004277DD" w:rsidRDefault="004277DD" w:rsidP="00690F00">
      <w:pPr>
        <w:spacing w:after="0" w:line="240" w:lineRule="auto"/>
        <w:jc w:val="both"/>
        <w:rPr>
          <w:rFonts w:ascii="Verdana" w:hAnsi="Verdana"/>
        </w:rPr>
      </w:pPr>
    </w:p>
    <w:p w14:paraId="1C611F2B" w14:textId="77777777" w:rsidR="004277DD" w:rsidRDefault="004277DD" w:rsidP="00690F00">
      <w:pPr>
        <w:spacing w:after="0" w:line="240" w:lineRule="auto"/>
        <w:jc w:val="both"/>
        <w:rPr>
          <w:rFonts w:ascii="Verdana" w:hAnsi="Verdana"/>
        </w:rPr>
      </w:pPr>
    </w:p>
    <w:p w14:paraId="65511CA2" w14:textId="77777777" w:rsidR="004277DD" w:rsidRDefault="004277DD" w:rsidP="00690F00">
      <w:pPr>
        <w:spacing w:after="0" w:line="240" w:lineRule="auto"/>
        <w:jc w:val="both"/>
        <w:rPr>
          <w:rFonts w:ascii="Verdana" w:hAnsi="Verdana"/>
        </w:rPr>
      </w:pPr>
    </w:p>
    <w:p w14:paraId="4DF56601" w14:textId="77777777" w:rsidR="004277DD" w:rsidRDefault="004277DD" w:rsidP="00690F00">
      <w:pPr>
        <w:spacing w:after="0" w:line="240" w:lineRule="auto"/>
        <w:jc w:val="both"/>
        <w:rPr>
          <w:rFonts w:ascii="Verdana" w:hAnsi="Verdana"/>
        </w:rPr>
      </w:pPr>
    </w:p>
    <w:p w14:paraId="5B0798B2" w14:textId="77777777" w:rsidR="004277DD" w:rsidRDefault="004277DD" w:rsidP="00690F00">
      <w:pPr>
        <w:spacing w:after="0" w:line="240" w:lineRule="auto"/>
        <w:jc w:val="both"/>
        <w:rPr>
          <w:rFonts w:ascii="Verdana" w:hAnsi="Verdana"/>
        </w:rPr>
      </w:pPr>
    </w:p>
    <w:p w14:paraId="5573CB2B" w14:textId="77777777" w:rsidR="004277DD" w:rsidRDefault="004277DD" w:rsidP="00690F00">
      <w:pPr>
        <w:spacing w:after="0" w:line="240" w:lineRule="auto"/>
        <w:jc w:val="both"/>
        <w:rPr>
          <w:rFonts w:ascii="Verdana" w:hAnsi="Verdana"/>
        </w:rPr>
      </w:pPr>
    </w:p>
    <w:p w14:paraId="599E906F" w14:textId="77777777" w:rsidR="004277DD" w:rsidRDefault="004277DD" w:rsidP="00690F00">
      <w:pPr>
        <w:spacing w:after="0" w:line="240" w:lineRule="auto"/>
        <w:jc w:val="both"/>
        <w:rPr>
          <w:rFonts w:ascii="Verdana" w:hAnsi="Verdana"/>
        </w:rPr>
      </w:pPr>
    </w:p>
    <w:p w14:paraId="32B57C4B" w14:textId="77777777" w:rsidR="004277DD" w:rsidRDefault="004277DD" w:rsidP="00690F00">
      <w:pPr>
        <w:spacing w:after="0" w:line="240" w:lineRule="auto"/>
        <w:jc w:val="both"/>
        <w:rPr>
          <w:rFonts w:ascii="Verdana" w:hAnsi="Verdana"/>
        </w:rPr>
      </w:pPr>
    </w:p>
    <w:p w14:paraId="36660327" w14:textId="77777777" w:rsidR="00BC7AC2" w:rsidRDefault="00BC7AC2" w:rsidP="00690F00">
      <w:pPr>
        <w:spacing w:after="0" w:line="240" w:lineRule="auto"/>
        <w:jc w:val="both"/>
        <w:rPr>
          <w:rFonts w:ascii="Verdana" w:hAnsi="Verdana"/>
        </w:rPr>
      </w:pPr>
    </w:p>
    <w:p w14:paraId="104D1CEB" w14:textId="77777777" w:rsidR="00D165C8" w:rsidRPr="00D165C8" w:rsidRDefault="00D165C8" w:rsidP="00D165C8">
      <w:pPr>
        <w:spacing w:after="0" w:line="240" w:lineRule="auto"/>
        <w:jc w:val="both"/>
        <w:rPr>
          <w:rFonts w:ascii="Verdana" w:hAnsi="Verdana"/>
        </w:rPr>
      </w:pPr>
    </w:p>
    <w:p w14:paraId="06259D80" w14:textId="77777777" w:rsidR="00F362B0" w:rsidRDefault="00F362B0" w:rsidP="00D165C8">
      <w:pPr>
        <w:spacing w:after="0" w:line="240" w:lineRule="auto"/>
        <w:jc w:val="both"/>
        <w:rPr>
          <w:rFonts w:ascii="Verdana" w:hAnsi="Verdana"/>
        </w:rPr>
      </w:pPr>
    </w:p>
    <w:p w14:paraId="06530F51" w14:textId="1E2B81F7" w:rsidR="00690F00" w:rsidRPr="008E4F36" w:rsidRDefault="00D165C8" w:rsidP="00D165C8">
      <w:pPr>
        <w:spacing w:after="0" w:line="240" w:lineRule="auto"/>
        <w:jc w:val="both"/>
        <w:rPr>
          <w:rFonts w:ascii="Verdana" w:hAnsi="Verdana"/>
        </w:rPr>
      </w:pPr>
      <w:r w:rsidRPr="00D165C8">
        <w:rPr>
          <w:rFonts w:ascii="Verdana" w:hAnsi="Verdana"/>
        </w:rPr>
        <w:t xml:space="preserve">Bogotá D.C., 26 </w:t>
      </w:r>
      <w:r w:rsidR="000555AC" w:rsidRPr="00D165C8">
        <w:rPr>
          <w:rFonts w:ascii="Verdana" w:hAnsi="Verdana"/>
        </w:rPr>
        <w:t>mayo</w:t>
      </w:r>
      <w:r w:rsidRPr="00D165C8">
        <w:rPr>
          <w:rFonts w:ascii="Verdana" w:hAnsi="Verdana"/>
        </w:rPr>
        <w:t xml:space="preserve"> 2026</w:t>
      </w:r>
    </w:p>
    <w:p w14:paraId="3B7F463B" w14:textId="533CD897" w:rsidR="00690F00" w:rsidRPr="008E4F36" w:rsidRDefault="000555AC" w:rsidP="00690F00">
      <w:pPr>
        <w:spacing w:after="0" w:line="240" w:lineRule="auto"/>
        <w:jc w:val="both"/>
        <w:rPr>
          <w:rFonts w:ascii="Verdana" w:eastAsia="Calibri" w:hAnsi="Verdana" w:cs="Arial"/>
          <w:lang w:eastAsia="es-ES"/>
        </w:rPr>
      </w:pPr>
      <w:bookmarkStart w:id="0" w:name="_Hlk197462763"/>
      <w:bookmarkStart w:id="1" w:name="_Hlk197529996"/>
      <w:r w:rsidRPr="000555AC">
        <w:rPr>
          <w:rFonts w:ascii="Verdana" w:eastAsia="Calibri" w:hAnsi="Verdana" w:cs="Arial"/>
          <w:lang w:eastAsia="es-ES"/>
        </w:rPr>
        <w:drawing>
          <wp:anchor distT="0" distB="0" distL="114300" distR="114300" simplePos="0" relativeHeight="251660288" behindDoc="1" locked="0" layoutInCell="1" allowOverlap="1" wp14:anchorId="527C946A" wp14:editId="5A337C5B">
            <wp:simplePos x="0" y="0"/>
            <wp:positionH relativeFrom="column">
              <wp:posOffset>3025775</wp:posOffset>
            </wp:positionH>
            <wp:positionV relativeFrom="paragraph">
              <wp:posOffset>81280</wp:posOffset>
            </wp:positionV>
            <wp:extent cx="2751455" cy="738505"/>
            <wp:effectExtent l="0" t="0" r="0" b="4445"/>
            <wp:wrapTight wrapText="bothSides">
              <wp:wrapPolygon edited="0">
                <wp:start x="0" y="0"/>
                <wp:lineTo x="0" y="21173"/>
                <wp:lineTo x="21386" y="21173"/>
                <wp:lineTo x="21386" y="0"/>
                <wp:lineTo x="0" y="0"/>
              </wp:wrapPolygon>
            </wp:wrapTight>
            <wp:docPr id="461184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18444" name=""/>
                    <pic:cNvPicPr/>
                  </pic:nvPicPr>
                  <pic:blipFill>
                    <a:blip r:embed="rId7">
                      <a:extLst>
                        <a:ext uri="{28A0092B-C50C-407E-A947-70E740481C1C}">
                          <a14:useLocalDpi xmlns:a14="http://schemas.microsoft.com/office/drawing/2010/main" val="0"/>
                        </a:ext>
                      </a:extLst>
                    </a:blip>
                    <a:stretch>
                      <a:fillRect/>
                    </a:stretch>
                  </pic:blipFill>
                  <pic:spPr>
                    <a:xfrm>
                      <a:off x="0" y="0"/>
                      <a:ext cx="2751455" cy="738505"/>
                    </a:xfrm>
                    <a:prstGeom prst="rect">
                      <a:avLst/>
                    </a:prstGeom>
                  </pic:spPr>
                </pic:pic>
              </a:graphicData>
            </a:graphic>
            <wp14:sizeRelH relativeFrom="margin">
              <wp14:pctWidth>0</wp14:pctWidth>
            </wp14:sizeRelH>
            <wp14:sizeRelV relativeFrom="margin">
              <wp14:pctHeight>0</wp14:pctHeight>
            </wp14:sizeRelV>
          </wp:anchor>
        </w:drawing>
      </w:r>
    </w:p>
    <w:p w14:paraId="01AF98BC" w14:textId="38C5DE51" w:rsidR="000555AC" w:rsidRDefault="000555AC" w:rsidP="00690F00">
      <w:pPr>
        <w:spacing w:after="0" w:line="240" w:lineRule="auto"/>
        <w:jc w:val="both"/>
        <w:rPr>
          <w:rFonts w:ascii="Verdana" w:eastAsia="Calibri" w:hAnsi="Verdana" w:cs="Arial"/>
          <w:lang w:eastAsia="es-ES"/>
        </w:rPr>
      </w:pPr>
    </w:p>
    <w:p w14:paraId="672B6480" w14:textId="1261F691" w:rsidR="000555AC" w:rsidRDefault="000555AC" w:rsidP="00690F00">
      <w:pPr>
        <w:spacing w:after="0" w:line="240" w:lineRule="auto"/>
        <w:jc w:val="both"/>
        <w:rPr>
          <w:rFonts w:ascii="Verdana" w:eastAsia="Calibri" w:hAnsi="Verdana" w:cs="Arial"/>
          <w:lang w:eastAsia="es-ES"/>
        </w:rPr>
      </w:pPr>
    </w:p>
    <w:p w14:paraId="48A6C2BE" w14:textId="77777777" w:rsidR="00C243B9" w:rsidRDefault="00690F00" w:rsidP="00C243B9">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7D925C34" w14:textId="5B77A7E7" w:rsidR="00690F00" w:rsidRPr="00C243B9" w:rsidRDefault="00C23241" w:rsidP="00C243B9">
      <w:pPr>
        <w:spacing w:after="0" w:line="240" w:lineRule="auto"/>
        <w:jc w:val="both"/>
        <w:rPr>
          <w:rFonts w:ascii="Verdana" w:eastAsia="Calibri" w:hAnsi="Verdana" w:cs="Arial"/>
          <w:b/>
          <w:bCs/>
          <w:lang w:eastAsia="es-ES"/>
        </w:rPr>
      </w:pPr>
      <w:r w:rsidRPr="00C243B9">
        <w:rPr>
          <w:rFonts w:ascii="Verdana" w:eastAsia="Calibri" w:hAnsi="Verdana" w:cs="Arial"/>
          <w:b/>
          <w:bCs/>
          <w:lang w:eastAsia="es-ES"/>
        </w:rPr>
        <w:t xml:space="preserve">Juan Camilo </w:t>
      </w:r>
      <w:r w:rsidRPr="00C243B9">
        <w:rPr>
          <w:rFonts w:ascii="Verdana" w:eastAsia="Calibri" w:hAnsi="Verdana" w:cs="Arial"/>
          <w:b/>
          <w:bCs/>
          <w:lang w:eastAsia="es-ES_tradnl"/>
        </w:rPr>
        <w:t>Soto</w:t>
      </w:r>
      <w:r w:rsidRPr="00C23241">
        <w:rPr>
          <w:rFonts w:ascii="Verdana" w:eastAsia="Calibri" w:hAnsi="Verdana" w:cs="Arial"/>
          <w:b/>
          <w:bCs/>
          <w:lang w:eastAsia="es-ES_tradnl"/>
        </w:rPr>
        <w:t xml:space="preserve"> Diaz</w:t>
      </w:r>
    </w:p>
    <w:p w14:paraId="72E83571" w14:textId="3A314DC7" w:rsidR="00690F00" w:rsidRPr="000F2158" w:rsidRDefault="00C23241" w:rsidP="00690F00">
      <w:pPr>
        <w:spacing w:after="0" w:line="240" w:lineRule="auto"/>
        <w:jc w:val="both"/>
        <w:rPr>
          <w:rFonts w:ascii="Verdana" w:eastAsia="Calibri" w:hAnsi="Verdana" w:cs="Arial"/>
          <w:b/>
          <w:highlight w:val="yellow"/>
          <w:lang w:eastAsia="es-ES_tradnl"/>
        </w:rPr>
      </w:pPr>
      <w:hyperlink r:id="rId8" w:history="1">
        <w:r w:rsidRPr="00F653B5">
          <w:rPr>
            <w:rStyle w:val="Hipervnculo"/>
            <w:rFonts w:ascii="Verdana" w:eastAsia="Calibri" w:hAnsi="Verdana" w:cs="Arial"/>
            <w:b/>
            <w:lang w:eastAsia="es-ES_tradnl"/>
          </w:rPr>
          <w:t>juanc.perez3103@gmail.com</w:t>
        </w:r>
      </w:hyperlink>
      <w:r>
        <w:rPr>
          <w:rFonts w:ascii="Verdana" w:eastAsia="Calibri" w:hAnsi="Verdana" w:cs="Arial"/>
          <w:b/>
          <w:lang w:eastAsia="es-ES_tradnl"/>
        </w:rPr>
        <w:t xml:space="preserve"> </w:t>
      </w:r>
    </w:p>
    <w:p w14:paraId="5157284F" w14:textId="75891D7B" w:rsidR="00690F00" w:rsidRPr="004E1BE4" w:rsidRDefault="0053151B" w:rsidP="00690F00">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Medellín, Antioquia </w:t>
      </w:r>
    </w:p>
    <w:p w14:paraId="17B24D12" w14:textId="77777777" w:rsidR="00690F00" w:rsidRPr="005B4C57" w:rsidRDefault="00690F00" w:rsidP="00690F00">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90F00" w:rsidRPr="002842E0" w14:paraId="0BFA809F" w14:textId="77777777" w:rsidTr="00AB63CC">
        <w:trPr>
          <w:trHeight w:val="162"/>
        </w:trPr>
        <w:tc>
          <w:tcPr>
            <w:tcW w:w="3119" w:type="dxa"/>
          </w:tcPr>
          <w:p w14:paraId="2E43745F" w14:textId="77777777" w:rsidR="00690F00" w:rsidRPr="005B4C57" w:rsidRDefault="00690F00" w:rsidP="00AB63CC">
            <w:pPr>
              <w:jc w:val="both"/>
              <w:rPr>
                <w:rFonts w:ascii="Verdana" w:eastAsia="Calibri" w:hAnsi="Verdana" w:cs="Arial"/>
                <w:b/>
                <w:bCs/>
                <w:color w:val="7030A0"/>
                <w:lang w:val="it-CH" w:eastAsia="es-ES_tradnl"/>
              </w:rPr>
            </w:pPr>
          </w:p>
        </w:tc>
        <w:tc>
          <w:tcPr>
            <w:tcW w:w="5670" w:type="dxa"/>
          </w:tcPr>
          <w:p w14:paraId="6CD42944" w14:textId="0F76DA22" w:rsidR="00690F00" w:rsidRPr="00801462" w:rsidRDefault="00690F00" w:rsidP="00AB63CC">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613 de 2026</w:t>
            </w:r>
          </w:p>
          <w:p w14:paraId="223FFDDB" w14:textId="77777777" w:rsidR="00690F00" w:rsidRPr="00801462" w:rsidRDefault="00690F00" w:rsidP="00AB63CC">
            <w:pPr>
              <w:jc w:val="both"/>
              <w:rPr>
                <w:rFonts w:ascii="Verdana" w:eastAsia="Calibri" w:hAnsi="Verdana" w:cs="Arial"/>
                <w:b/>
                <w:bCs/>
                <w:color w:val="7030A0"/>
                <w:lang w:eastAsia="es-ES"/>
              </w:rPr>
            </w:pPr>
          </w:p>
        </w:tc>
      </w:tr>
      <w:tr w:rsidR="00690F00" w:rsidRPr="002842E0" w14:paraId="07611C11" w14:textId="77777777" w:rsidTr="00AB63CC">
        <w:trPr>
          <w:trHeight w:val="884"/>
        </w:trPr>
        <w:tc>
          <w:tcPr>
            <w:tcW w:w="3119" w:type="dxa"/>
          </w:tcPr>
          <w:p w14:paraId="242500DF" w14:textId="77777777" w:rsidR="00690F00" w:rsidRPr="00801462" w:rsidRDefault="00690F00" w:rsidP="00AB63CC">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FD75795" w14:textId="77777777" w:rsidR="00226F6A" w:rsidRPr="00492084" w:rsidRDefault="00226F6A" w:rsidP="00226F6A">
            <w:pPr>
              <w:jc w:val="both"/>
              <w:rPr>
                <w:rFonts w:ascii="Verdana" w:eastAsia="Calibri" w:hAnsi="Verdana" w:cs="Arial"/>
              </w:rPr>
            </w:pPr>
            <w:r w:rsidRPr="009756EB">
              <w:rPr>
                <w:rFonts w:ascii="Verdana" w:eastAsia="Calibri" w:hAnsi="Verdana" w:cs="Arial"/>
              </w:rPr>
              <w:t>CONTRATO DE PRESTACIÓN DE SERVICIOS – Concepto / CONTRATO DE PRESTACIÓN DE SERVICIOS – Características / CONTRATO DE PRESTACIÓN DE SERVICIOS – Ley 80 de 1993 - Autonomía e independencia / CONTRATO DE PRESTACIÓN DE SERVICIOS – Horario</w:t>
            </w:r>
          </w:p>
          <w:p w14:paraId="3A9F2BD3" w14:textId="77777777" w:rsidR="00690F00" w:rsidRPr="00226F6A" w:rsidRDefault="00690F00" w:rsidP="00AB63CC">
            <w:pPr>
              <w:jc w:val="both"/>
              <w:rPr>
                <w:rFonts w:ascii="Verdana" w:eastAsia="Calibri" w:hAnsi="Verdana" w:cs="Arial"/>
                <w:lang w:eastAsia="es-ES"/>
              </w:rPr>
            </w:pPr>
          </w:p>
        </w:tc>
      </w:tr>
      <w:tr w:rsidR="00690F00" w:rsidRPr="002842E0" w14:paraId="63763D6E" w14:textId="77777777" w:rsidTr="00AB63CC">
        <w:tc>
          <w:tcPr>
            <w:tcW w:w="3119" w:type="dxa"/>
          </w:tcPr>
          <w:p w14:paraId="337E668F" w14:textId="77777777" w:rsidR="00690F00" w:rsidRPr="00801462" w:rsidRDefault="00690F00" w:rsidP="00AB63CC">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3314023" w14:textId="6AAEFB46" w:rsidR="00690F00" w:rsidRPr="00C84654" w:rsidRDefault="00690F00" w:rsidP="00AB63CC">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0053151B" w:rsidRPr="0053151B">
              <w:rPr>
                <w:rFonts w:ascii="Verdana" w:eastAsia="Calibri" w:hAnsi="Verdana" w:cs="Arial"/>
                <w:lang w:eastAsia="es-ES_tradnl"/>
              </w:rPr>
              <w:t>1_2026_04_14_005077</w:t>
            </w:r>
            <w:r w:rsidR="0053151B">
              <w:rPr>
                <w:rFonts w:ascii="Verdana" w:eastAsia="Calibri" w:hAnsi="Verdana" w:cs="Arial"/>
                <w:lang w:eastAsia="es-ES_tradnl"/>
              </w:rPr>
              <w:t xml:space="preserve"> </w:t>
            </w:r>
          </w:p>
        </w:tc>
      </w:tr>
    </w:tbl>
    <w:p w14:paraId="4A1F8013" w14:textId="77777777" w:rsidR="00690F00" w:rsidRDefault="00690F00" w:rsidP="00690F00">
      <w:pPr>
        <w:spacing w:after="0" w:line="276" w:lineRule="auto"/>
        <w:jc w:val="both"/>
        <w:rPr>
          <w:rFonts w:ascii="Verdana" w:eastAsia="Calibri" w:hAnsi="Verdana" w:cs="Arial"/>
          <w:lang w:eastAsia="es-ES_tradnl"/>
        </w:rPr>
      </w:pPr>
    </w:p>
    <w:p w14:paraId="35812DF2" w14:textId="2B2F1DD3" w:rsidR="00690F00" w:rsidRPr="008E4F36" w:rsidRDefault="00690F00" w:rsidP="00690F00">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00553D2E">
        <w:rPr>
          <w:rFonts w:ascii="Verdana" w:eastAsia="Calibri" w:hAnsi="Verdana" w:cs="Arial"/>
          <w:bCs/>
          <w:lang w:eastAsia="es-ES_tradnl"/>
        </w:rPr>
        <w:t>Soto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37CC7CF9" w14:textId="77777777" w:rsidR="00690F00" w:rsidRDefault="00690F00" w:rsidP="00690F00">
      <w:pPr>
        <w:tabs>
          <w:tab w:val="left" w:pos="3768"/>
        </w:tabs>
        <w:spacing w:after="0" w:line="240" w:lineRule="auto"/>
        <w:jc w:val="both"/>
        <w:rPr>
          <w:rFonts w:ascii="Verdana" w:eastAsia="Calibri" w:hAnsi="Verdana" w:cs="Arial"/>
          <w:lang w:eastAsia="es-ES"/>
        </w:rPr>
      </w:pPr>
    </w:p>
    <w:p w14:paraId="3AE3310D" w14:textId="13A54679" w:rsidR="00690F00" w:rsidRPr="008E4F36" w:rsidRDefault="00690F00" w:rsidP="00690F00">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w:t>
      </w:r>
      <w:r w:rsidR="0053151B">
        <w:rPr>
          <w:rFonts w:ascii="Verdana" w:eastAsia="Calibri" w:hAnsi="Verdana" w:cs="Arial"/>
          <w:lang w:eastAsia="es-ES"/>
        </w:rPr>
        <w:t>4</w:t>
      </w:r>
      <w:r w:rsidRPr="00AF6D58">
        <w:rPr>
          <w:rFonts w:ascii="Verdana" w:eastAsia="Calibri" w:hAnsi="Verdana" w:cs="Arial"/>
          <w:lang w:eastAsia="es-ES"/>
        </w:rPr>
        <w:t xml:space="preserve"> de </w:t>
      </w:r>
      <w:r w:rsidR="0053151B">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38DD9C56" w14:textId="77777777" w:rsidR="00690F00" w:rsidRPr="008C54F3" w:rsidRDefault="00690F00" w:rsidP="00690F00">
      <w:pPr>
        <w:spacing w:line="240" w:lineRule="auto"/>
        <w:ind w:left="709" w:right="709"/>
        <w:jc w:val="both"/>
        <w:rPr>
          <w:rFonts w:ascii="Verdana" w:eastAsia="Calibri" w:hAnsi="Verdana" w:cs="Arial"/>
          <w:color w:val="000000" w:themeColor="text1"/>
          <w:sz w:val="20"/>
          <w:szCs w:val="20"/>
        </w:rPr>
      </w:pPr>
    </w:p>
    <w:p w14:paraId="30188FA2" w14:textId="77777777" w:rsidR="00AF0D15" w:rsidRPr="00AF0D15" w:rsidRDefault="00690F00" w:rsidP="00AF0D15">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00AF0D15" w:rsidRPr="00AF0D15">
        <w:rPr>
          <w:rFonts w:ascii="Verdana" w:eastAsia="Calibri" w:hAnsi="Verdana" w:cs="Arial"/>
          <w:i/>
          <w:iCs/>
          <w:color w:val="000000" w:themeColor="text1"/>
          <w:sz w:val="20"/>
          <w:szCs w:val="20"/>
        </w:rPr>
        <w:t>I. PLANTEAMIENTO DE LA CONSULTA</w:t>
      </w:r>
    </w:p>
    <w:p w14:paraId="0F4AE9F8" w14:textId="732774F8"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En la ejecución de contratos de prestación de servicios (numeral 3, Art. 32 de la Ley 80 de 1993), las</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supervisiones están imponiendo las siguientes directrices:</w:t>
      </w:r>
    </w:p>
    <w:p w14:paraId="4EC416D6" w14:textId="6E7D8D57"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Exigencia horaria y compensación: Cumplimiento estricto de 192 horas mensuales, obligando al</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contratista a compensar los días festivos (ej. Semana Santa) laborando más tiempo los días hábiles para</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alcanzar dicha meta aritmética.</w:t>
      </w:r>
    </w:p>
    <w:p w14:paraId="2D38F767" w14:textId="7BA3ECAF"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lastRenderedPageBreak/>
        <w:t>Control de descansos: Restricción rígida del tiempo de almuerzo a un máximo de treinta (30) minutos</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diarios.</w:t>
      </w:r>
    </w:p>
    <w:p w14:paraId="7F9031EC" w14:textId="5D216F20"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Disponibilidad abierta: Inclusión de cláusulas que obligan a dedicar el tiempo que sea necesario para</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cumplir con las actividades del área, excediendo las horas pactadas.</w:t>
      </w:r>
    </w:p>
    <w:p w14:paraId="543093BA" w14:textId="48B101DA"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Justificación administrativa: Se argumenta que la medición estricta de las 192 horas es el único</w:t>
      </w:r>
      <w:r>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mecanismo aceptado por la Alcaldía y la Secretaría de Salud para justificar el pago de honorarios.</w:t>
      </w:r>
    </w:p>
    <w:p w14:paraId="66A0329D" w14:textId="77777777" w:rsidR="00AF0D15" w:rsidRPr="00AF0D15" w:rsidRDefault="00AF0D15" w:rsidP="00AF0D1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II. PETICIONES</w:t>
      </w:r>
    </w:p>
    <w:p w14:paraId="349B06ED" w14:textId="73EF357A" w:rsidR="00AF0D15" w:rsidRPr="00AF0D15" w:rsidRDefault="00AF0D15" w:rsidP="00826D36">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PRIMERA: ¿Es jurídicamente viable exigir a un contratista civil compensar días festivos y limitar</w:t>
      </w:r>
      <w:r w:rsidR="00826D36">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estrictamente su descanso diario a 30 minutos para cumplir una meta de 192 horas mensuales, o estas</w:t>
      </w:r>
      <w:r w:rsidR="00826D36">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directrices configuran subordinación laboral?</w:t>
      </w:r>
    </w:p>
    <w:p w14:paraId="5E3152EA" w14:textId="0E26F51A" w:rsidR="00690F00" w:rsidRPr="00453E03" w:rsidRDefault="00AF0D15" w:rsidP="00236ED5">
      <w:pPr>
        <w:spacing w:line="240" w:lineRule="auto"/>
        <w:ind w:left="709" w:right="709"/>
        <w:jc w:val="both"/>
        <w:rPr>
          <w:rFonts w:ascii="Verdana" w:eastAsia="Calibri" w:hAnsi="Verdana" w:cs="Arial"/>
          <w:i/>
          <w:iCs/>
          <w:color w:val="000000" w:themeColor="text1"/>
          <w:sz w:val="20"/>
          <w:szCs w:val="20"/>
        </w:rPr>
      </w:pPr>
      <w:r w:rsidRPr="00AF0D15">
        <w:rPr>
          <w:rFonts w:ascii="Verdana" w:eastAsia="Calibri" w:hAnsi="Verdana" w:cs="Arial"/>
          <w:i/>
          <w:iCs/>
          <w:color w:val="000000" w:themeColor="text1"/>
          <w:sz w:val="20"/>
          <w:szCs w:val="20"/>
        </w:rPr>
        <w:t>SEGUNDA: ¿Es válido a la luz de la Ley 80 de 1993 utilizar la contabilización rígida de horas como único</w:t>
      </w:r>
      <w:r w:rsidR="00826D36">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soporte para justificar honorarios ante entidades territoriales, desconociendo que el objeto del contrato</w:t>
      </w:r>
      <w:r w:rsidR="00826D36">
        <w:rPr>
          <w:rFonts w:ascii="Verdana" w:eastAsia="Calibri" w:hAnsi="Verdana" w:cs="Arial"/>
          <w:i/>
          <w:iCs/>
          <w:color w:val="000000" w:themeColor="text1"/>
          <w:sz w:val="20"/>
          <w:szCs w:val="20"/>
        </w:rPr>
        <w:t xml:space="preserve"> </w:t>
      </w:r>
      <w:r w:rsidRPr="00AF0D15">
        <w:rPr>
          <w:rFonts w:ascii="Verdana" w:eastAsia="Calibri" w:hAnsi="Verdana" w:cs="Arial"/>
          <w:i/>
          <w:iCs/>
          <w:color w:val="000000" w:themeColor="text1"/>
          <w:sz w:val="20"/>
          <w:szCs w:val="20"/>
        </w:rPr>
        <w:t xml:space="preserve">es la prestación de un servicio profesional </w:t>
      </w:r>
      <w:proofErr w:type="gramStart"/>
      <w:r w:rsidRPr="00AF0D15">
        <w:rPr>
          <w:rFonts w:ascii="Verdana" w:eastAsia="Calibri" w:hAnsi="Verdana" w:cs="Arial"/>
          <w:i/>
          <w:iCs/>
          <w:color w:val="000000" w:themeColor="text1"/>
          <w:sz w:val="20"/>
          <w:szCs w:val="20"/>
        </w:rPr>
        <w:t>autónomo?</w:t>
      </w:r>
      <w:r w:rsidR="00690F00" w:rsidRPr="008C54F3">
        <w:rPr>
          <w:rFonts w:ascii="Verdana" w:eastAsia="Calibri" w:hAnsi="Verdana" w:cs="Arial"/>
          <w:i/>
          <w:iCs/>
          <w:color w:val="000000" w:themeColor="text1"/>
          <w:sz w:val="20"/>
          <w:szCs w:val="20"/>
        </w:rPr>
        <w:t>.</w:t>
      </w:r>
      <w:proofErr w:type="gramEnd"/>
      <w:r w:rsidR="00690F00" w:rsidRPr="008C54F3">
        <w:rPr>
          <w:rFonts w:ascii="Verdana" w:eastAsia="Calibri" w:hAnsi="Verdana" w:cs="Arial"/>
          <w:i/>
          <w:iCs/>
          <w:color w:val="000000" w:themeColor="text1"/>
          <w:sz w:val="20"/>
          <w:szCs w:val="20"/>
        </w:rPr>
        <w:t>”</w:t>
      </w:r>
    </w:p>
    <w:p w14:paraId="2546BDEA" w14:textId="77777777" w:rsidR="00690F00" w:rsidRDefault="00690F00" w:rsidP="00690F00">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5F08ADB" w14:textId="77777777" w:rsidR="00690F00" w:rsidRPr="00054383" w:rsidRDefault="00690F00" w:rsidP="00690F00">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180BCD07" w14:textId="77777777" w:rsidR="00690F00" w:rsidRPr="008E4F36" w:rsidRDefault="00690F00" w:rsidP="00690F00">
      <w:pPr>
        <w:spacing w:after="0"/>
        <w:ind w:firstLine="709"/>
        <w:jc w:val="both"/>
        <w:rPr>
          <w:rFonts w:ascii="Verdana" w:eastAsia="Calibri" w:hAnsi="Verdana" w:cs="Arial"/>
          <w:color w:val="000000"/>
          <w:lang w:eastAsia="es-ES"/>
        </w:rPr>
      </w:pPr>
    </w:p>
    <w:p w14:paraId="17C53460" w14:textId="77777777" w:rsidR="00690F00" w:rsidRDefault="00690F00" w:rsidP="00690F00">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3770E83" w14:textId="77777777" w:rsidR="00690F00" w:rsidRDefault="00690F00" w:rsidP="00690F00">
      <w:pPr>
        <w:spacing w:after="0" w:line="276" w:lineRule="auto"/>
        <w:jc w:val="both"/>
        <w:rPr>
          <w:rFonts w:ascii="Verdana" w:eastAsia="Calibri" w:hAnsi="Verdana" w:cs="Arial"/>
          <w:color w:val="000000"/>
          <w:highlight w:val="yellow"/>
          <w:lang w:eastAsia="es-ES"/>
        </w:rPr>
      </w:pPr>
    </w:p>
    <w:p w14:paraId="09745D95" w14:textId="2D40CFEF" w:rsidR="00690F00" w:rsidRPr="005A3B40" w:rsidRDefault="00690F00" w:rsidP="00690F00">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008A115E" w:rsidRPr="008A115E">
        <w:t xml:space="preserve"> </w:t>
      </w:r>
      <w:r w:rsidR="008A115E" w:rsidRPr="008A115E">
        <w:rPr>
          <w:rFonts w:ascii="Verdana" w:eastAsia="Calibri" w:hAnsi="Verdana" w:cs="Arial"/>
          <w:color w:val="000000"/>
          <w:lang w:eastAsia="es-ES"/>
        </w:rPr>
        <w:t>¿Es jurídicamente viable que una entidad estatal imponga controles rígidos de horario, compensación de días festivos, limitación de descansos y disponibilidad permanente en un contrato de prestación de servicios, o tales medidas configuran subordinación laboral y desnaturalizan la autonomía del contratista?</w:t>
      </w:r>
      <w:r w:rsidR="008A115E">
        <w:rPr>
          <w:rFonts w:ascii="Verdana" w:eastAsia="Calibri" w:hAnsi="Verdana" w:cs="Arial"/>
          <w:color w:val="000000"/>
          <w:lang w:eastAsia="es-ES"/>
        </w:rPr>
        <w:t xml:space="preserve"> </w:t>
      </w:r>
      <w:proofErr w:type="spellStart"/>
      <w:r w:rsidR="008A115E">
        <w:rPr>
          <w:rFonts w:ascii="Verdana" w:eastAsia="Calibri" w:hAnsi="Verdana" w:cs="Arial"/>
          <w:color w:val="000000"/>
          <w:lang w:eastAsia="es-ES"/>
        </w:rPr>
        <w:t>ii</w:t>
      </w:r>
      <w:proofErr w:type="spellEnd"/>
      <w:r w:rsidR="008A115E">
        <w:rPr>
          <w:rFonts w:ascii="Verdana" w:eastAsia="Calibri" w:hAnsi="Verdana" w:cs="Arial"/>
          <w:color w:val="000000"/>
          <w:lang w:eastAsia="es-ES"/>
        </w:rPr>
        <w:t>)</w:t>
      </w:r>
      <w:r w:rsidR="00174A66" w:rsidRPr="00174A66">
        <w:t xml:space="preserve"> </w:t>
      </w:r>
      <w:r w:rsidR="00174A66" w:rsidRPr="00174A66">
        <w:rPr>
          <w:rFonts w:ascii="Verdana" w:eastAsia="Calibri" w:hAnsi="Verdana" w:cs="Arial"/>
          <w:color w:val="000000"/>
          <w:lang w:eastAsia="es-ES"/>
        </w:rPr>
        <w:t>¿Puede la entidad estatal justificar el pago de honorarios en contratos de prestación de servicios exclusivamente mediante el cumplimiento y contabilización estricta de horas laboradas, pese a la naturaleza autónoma de este tipo contractual?</w:t>
      </w:r>
    </w:p>
    <w:p w14:paraId="5036D420" w14:textId="77777777" w:rsidR="00690F00" w:rsidRPr="00BF422F" w:rsidRDefault="00690F00" w:rsidP="00690F00">
      <w:pPr>
        <w:spacing w:after="0" w:line="276" w:lineRule="auto"/>
        <w:jc w:val="both"/>
        <w:rPr>
          <w:rFonts w:ascii="Verdana" w:eastAsia="Calibri" w:hAnsi="Verdana" w:cs="Times New Roman"/>
          <w:i/>
          <w:iCs/>
          <w:lang w:val="es-ES"/>
        </w:rPr>
      </w:pPr>
    </w:p>
    <w:p w14:paraId="6274B5E6" w14:textId="77777777" w:rsidR="00690F00" w:rsidRPr="008E4F36" w:rsidRDefault="00690F00" w:rsidP="00690F00">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273366F" w14:textId="77777777" w:rsidR="00690F00" w:rsidRPr="008E4F36" w:rsidRDefault="00690F00" w:rsidP="00690F0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90F00" w:rsidRPr="008E4F36" w14:paraId="506D311A" w14:textId="77777777" w:rsidTr="00AB63CC">
        <w:tc>
          <w:tcPr>
            <w:tcW w:w="8828" w:type="dxa"/>
          </w:tcPr>
          <w:p w14:paraId="0A5B945F" w14:textId="77777777" w:rsidR="00757F66" w:rsidRPr="00757F66" w:rsidRDefault="00757F66" w:rsidP="00067D3B">
            <w:pPr>
              <w:spacing w:after="120" w:line="276" w:lineRule="auto"/>
              <w:jc w:val="both"/>
              <w:rPr>
                <w:rFonts w:ascii="Verdana" w:hAnsi="Verdana" w:cs="Arial"/>
                <w:color w:val="000000" w:themeColor="text1"/>
              </w:rPr>
            </w:pPr>
            <w:r w:rsidRPr="00757F66">
              <w:rPr>
                <w:rFonts w:ascii="Verdana" w:hAnsi="Verdana" w:cs="Arial"/>
                <w:color w:val="000000" w:themeColor="text1"/>
              </w:rPr>
              <w:t>i) De conformidad con el artículo 32, numeral 3°, de la Ley 80 de 1993, el contrato de prestación de servicios se caracteriza por la autonomía e independencia del contratista en la ejecución de las actividades contratadas, razón por la cual no puede existir subordinación propia de una relación laboral. En ese sentido, aunque la jurisprudencia de la Corte Constitucional y del Consejo de Estado ha reconocido que las entidades estatales pueden ejercer facultades de coordinación y establecer ciertas directrices necesarias para garantizar la adecuada ejecución del objeto contractual —incluso exigir el cumplimiento de horarios cuando ello resulte indispensable para la prestación eficiente del servicio—, dichas medidas no pueden llegar al punto de configurar un poder subordinante permanente y continuo semejante al que ejerce un empleador frente a un trabajador dependiente.</w:t>
            </w:r>
          </w:p>
          <w:p w14:paraId="7657BEB3" w14:textId="77777777" w:rsidR="00757F66" w:rsidRPr="00757F66" w:rsidRDefault="00757F66" w:rsidP="00757F66">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 xml:space="preserve">Por ello, la imposición de controles rígidos e inflexibles de horario, la obligación de compensar días festivos, la limitación unilateral de descansos, la exigencia de disponibilidad permanente o continua y, en general, la sujeción del contratista a esquemas propios de administración de personal, constituyen elementos que exceden la simple coordinación contractual y pueden convertirse en indicios relevantes de subordinación. En tales eventos, la entidad estatal corre el riesgo de desnaturalizar el contrato de prestación de servicios y configurar una verdadera relación laboral encubierta o “contrato realidad”, especialmente si dichas exigencias se acompañan de control directo sobre el tiempo de trabajo, permanencia obligatoria, órdenes continuas, </w:t>
            </w:r>
            <w:r w:rsidRPr="00757F66">
              <w:rPr>
                <w:rFonts w:ascii="Verdana" w:hAnsi="Verdana" w:cs="Arial"/>
                <w:color w:val="000000" w:themeColor="text1"/>
              </w:rPr>
              <w:lastRenderedPageBreak/>
              <w:t>dependencia funcional y ausencia de autonomía en la ejecución de las actividades.</w:t>
            </w:r>
          </w:p>
          <w:p w14:paraId="1F3BD017" w14:textId="77777777" w:rsidR="00757F66" w:rsidRPr="00757F66" w:rsidRDefault="00757F66" w:rsidP="00757F66">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En efecto, tanto la Corte Constitucional como el Consejo de Estado han sostenido que la subordinación constituye el elemento determinante para diferenciar el contrato de prestación de servicios del vínculo laboral. Así, aunque el cumplimiento de un horario o la asistencia a determinadas jornadas no implican automáticamente la existencia de relación laboral, sí pueden constituir un indicio importante cuando se acrediten conjuntamente otras circunstancias que revelen dependencia y sujeción permanente frente a la entidad contratante. De esta manera, la coordinación necesaria para la ejecución del contrato no puede transformarse en un sistema de control equivalente al ejercicio de potestades propias del empleador.</w:t>
            </w:r>
          </w:p>
          <w:p w14:paraId="54AACDF5" w14:textId="77777777" w:rsidR="00757F66" w:rsidRPr="00757F66" w:rsidRDefault="00757F66" w:rsidP="00757F66">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Por consiguiente, jurídicamente no resulta viable que las entidades estatales sometan a los contratistas de prestación de servicios a esquemas rígidos de control equivalentes a los aplicables a servidores públicos o trabajadores oficiales, pues ello desconoce la naturaleza autónoma del contrato estatal de prestación de servicios y puede generar consecuencias laborales, fiscales y disciplinarias derivadas de la configuración de un contrato realidad.</w:t>
            </w:r>
          </w:p>
          <w:p w14:paraId="37AC1469" w14:textId="77777777" w:rsidR="00757F66" w:rsidRPr="00757F66" w:rsidRDefault="00757F66" w:rsidP="00757F66">
            <w:pPr>
              <w:spacing w:after="120" w:line="276" w:lineRule="auto"/>
              <w:ind w:firstLine="709"/>
              <w:jc w:val="both"/>
              <w:rPr>
                <w:rFonts w:ascii="Verdana" w:hAnsi="Verdana" w:cs="Arial"/>
                <w:color w:val="000000" w:themeColor="text1"/>
              </w:rPr>
            </w:pPr>
            <w:proofErr w:type="spellStart"/>
            <w:r w:rsidRPr="00757F66">
              <w:rPr>
                <w:rFonts w:ascii="Verdana" w:hAnsi="Verdana" w:cs="Arial"/>
                <w:color w:val="000000" w:themeColor="text1"/>
              </w:rPr>
              <w:t>ii</w:t>
            </w:r>
            <w:proofErr w:type="spellEnd"/>
            <w:r w:rsidRPr="00757F66">
              <w:rPr>
                <w:rFonts w:ascii="Verdana" w:hAnsi="Verdana" w:cs="Arial"/>
                <w:color w:val="000000" w:themeColor="text1"/>
              </w:rPr>
              <w:t>) El contrato de prestación de servicios no tiene como finalidad la remuneración del tiempo de trabajo subordinado, sino la ejecución autónoma de actividades específicas relacionadas con la administración o funcionamiento de la entidad estatal. Por ello, los honorarios pactados no corresponden, en estricto sentido, al pago de una jornada laboral ni al reconocimiento de salarios por horas trabajadas, sino a la contraprestación económica acordada por la ejecución independiente del objeto contractual y el cumplimiento de las obligaciones derivadas del contrato.</w:t>
            </w:r>
          </w:p>
          <w:p w14:paraId="5F97C2E7" w14:textId="77777777" w:rsidR="00757F66" w:rsidRPr="00757F66" w:rsidRDefault="00757F66" w:rsidP="00757F66">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 xml:space="preserve">En consecuencia, aunque las entidades estatales pueden establecer mecanismos de seguimiento, verificación y control orientados a constatar el cumplimiento de las obligaciones contractuales, no resulta jurídicamente adecuado que el pago de honorarios dependa exclusivamente de la contabilización estricta de horas laboradas bajo esquemas equivalentes al control de jornada propio de una relación laboral. Ello obedece a que el elemento esencial del contrato de prestación de servicios es precisamente la </w:t>
            </w:r>
            <w:r w:rsidRPr="00757F66">
              <w:rPr>
                <w:rFonts w:ascii="Verdana" w:hAnsi="Verdana" w:cs="Arial"/>
                <w:color w:val="000000" w:themeColor="text1"/>
              </w:rPr>
              <w:lastRenderedPageBreak/>
              <w:t>autonomía técnica, administrativa y operativa del contratista, quien dispone de libertad para ejecutar las actividades contratadas, sin encontrarse sometido a subordinación permanente.</w:t>
            </w:r>
          </w:p>
          <w:p w14:paraId="5C1D120D" w14:textId="77777777" w:rsidR="00757F66" w:rsidRPr="00757F66" w:rsidRDefault="00757F66" w:rsidP="00757F66">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Así las cosas, si bien en ciertos contratos puede justificarse la necesidad de acreditar disponibilidad, asistencia o cumplimiento de determinadas actividades durante ciertos periodos, especialmente cuando la naturaleza del servicio exige coordinación institucional, ello no autoriza a transformar el contrato en un sistema de remuneración basado exclusivamente en el control horario estricto como criterio determinante del pago, pues tal práctica puede evidenciar que la entidad está valorando el servicio como fuerza laboral subordinada y no como una actividad independiente orientada al cumplimiento de un objeto contractual.</w:t>
            </w:r>
          </w:p>
          <w:p w14:paraId="08FC2029" w14:textId="0538A2CA" w:rsidR="00690F00" w:rsidRDefault="00757F66" w:rsidP="00067D3B">
            <w:pPr>
              <w:spacing w:after="120" w:line="276" w:lineRule="auto"/>
              <w:ind w:firstLine="709"/>
              <w:jc w:val="both"/>
              <w:rPr>
                <w:rFonts w:ascii="Verdana" w:hAnsi="Verdana" w:cs="Arial"/>
                <w:color w:val="000000" w:themeColor="text1"/>
              </w:rPr>
            </w:pPr>
            <w:r w:rsidRPr="00757F66">
              <w:rPr>
                <w:rFonts w:ascii="Verdana" w:hAnsi="Verdana" w:cs="Arial"/>
                <w:color w:val="000000" w:themeColor="text1"/>
              </w:rPr>
              <w:t>En ese sentido, el pago de honorarios debe encontrarse asociado principalmente al cumplimiento del objeto contractual, de las obligaciones pactadas, de los productos, informes o actividades convenidas y de los resultados esperados, sin perjuicio de los mecanismos razonables de supervisión y coordinación que correspondan a la entidad estatal. Por tanto, cuando la ejecución contractual se estructura materialmente sobre esquemas de jornada obligatoria, control permanente del tiempo, compensación de horas, disponibilidad continua y verificación exclusiva de horas laboradas como presupuesto del pago, pueden configurarse elementos incompatibles con la naturaleza jurídica del contrato de prestación de servicios y surgir indicios de una verdadera relación laboral encubierta.</w:t>
            </w:r>
          </w:p>
          <w:p w14:paraId="3682A3F8" w14:textId="4CD92954" w:rsidR="00B179FC" w:rsidRPr="00B70775" w:rsidRDefault="00B179FC" w:rsidP="00067D3B">
            <w:pPr>
              <w:spacing w:after="120" w:line="276" w:lineRule="auto"/>
              <w:ind w:firstLine="709"/>
              <w:jc w:val="both"/>
              <w:rPr>
                <w:rFonts w:ascii="Verdana" w:hAnsi="Verdana" w:cs="Arial"/>
                <w:color w:val="000000" w:themeColor="text1"/>
              </w:rPr>
            </w:pPr>
            <w:r w:rsidRPr="00064773">
              <w:rPr>
                <w:rFonts w:ascii="Verdana" w:eastAsia="Calibri" w:hAnsi="Verdana" w:cs="Arial"/>
                <w:bCs/>
              </w:rPr>
              <w:t xml:space="preserve">Al margen de la explicación precedente, debe advertirse que </w:t>
            </w:r>
            <w:r w:rsidRPr="00064773">
              <w:rPr>
                <w:rStyle w:val="s15"/>
                <w:rFonts w:ascii="Verdana" w:hAnsi="Verdana"/>
              </w:rPr>
              <w:t xml:space="preserve">el análisis requerido para resolver problemas específicos en torno a la gestión contractual debe ser realizado por quienes tengan interés en ello, de acuerdo con lo explicado </w:t>
            </w:r>
            <w:r w:rsidRPr="004C0B72">
              <w:rPr>
                <w:rStyle w:val="s15"/>
                <w:rFonts w:ascii="Verdana" w:hAnsi="Verdana"/>
              </w:rPr>
              <w:t>en el presente escrito</w:t>
            </w:r>
            <w:r w:rsidRPr="00064773">
              <w:rPr>
                <w:rStyle w:val="s15"/>
                <w:rFonts w:ascii="Verdana" w:hAnsi="Verdana"/>
              </w:rPr>
              <w:t>.</w:t>
            </w:r>
            <w:r w:rsidRPr="00064773">
              <w:rPr>
                <w:rStyle w:val="apple-converted-space"/>
                <w:rFonts w:ascii="Verdana" w:hAnsi="Verdana"/>
              </w:rPr>
              <w:t> </w:t>
            </w:r>
            <w:r w:rsidRPr="00064773">
              <w:rPr>
                <w:rStyle w:val="s15"/>
                <w:rFonts w:ascii="Verdana" w:hAnsi="Verdana"/>
              </w:rPr>
              <w:t>Por lo anterior, previo</w:t>
            </w:r>
            <w:r w:rsidRPr="00064773">
              <w:rPr>
                <w:rStyle w:val="apple-converted-space"/>
                <w:rFonts w:ascii="Verdana" w:hAnsi="Verdana"/>
              </w:rPr>
              <w:t> </w:t>
            </w:r>
            <w:r w:rsidRPr="00064773">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4B6A8495" w14:textId="77777777" w:rsidR="00690F00" w:rsidRPr="00B70775" w:rsidRDefault="00690F00" w:rsidP="00AB63CC">
            <w:pPr>
              <w:tabs>
                <w:tab w:val="left" w:pos="426"/>
              </w:tabs>
              <w:spacing w:before="120" w:line="276" w:lineRule="auto"/>
              <w:ind w:firstLine="709"/>
              <w:jc w:val="both"/>
              <w:rPr>
                <w:rFonts w:ascii="Verdana" w:hAnsi="Verdana" w:cs="Arial"/>
                <w:color w:val="000000" w:themeColor="text1"/>
              </w:rPr>
            </w:pPr>
          </w:p>
        </w:tc>
      </w:tr>
    </w:tbl>
    <w:p w14:paraId="08019EA5" w14:textId="77777777" w:rsidR="00690F00" w:rsidRDefault="00690F00" w:rsidP="00690F00">
      <w:pPr>
        <w:tabs>
          <w:tab w:val="left" w:pos="142"/>
          <w:tab w:val="left" w:pos="284"/>
        </w:tabs>
        <w:spacing w:after="0" w:line="276" w:lineRule="auto"/>
        <w:jc w:val="both"/>
        <w:rPr>
          <w:rFonts w:ascii="Verdana" w:eastAsia="Century Gothic" w:hAnsi="Verdana" w:cs="Century Gothic"/>
          <w:b/>
          <w:bCs/>
        </w:rPr>
      </w:pPr>
    </w:p>
    <w:p w14:paraId="412FDE82" w14:textId="77777777" w:rsidR="00690F00" w:rsidRPr="008E4F36" w:rsidRDefault="00690F00" w:rsidP="00690F00">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lastRenderedPageBreak/>
        <w:t>3. Razones de la respuesta:</w:t>
      </w:r>
    </w:p>
    <w:p w14:paraId="6477EE67" w14:textId="77777777" w:rsidR="00690F00" w:rsidRDefault="00690F00" w:rsidP="00690F00">
      <w:pPr>
        <w:pStyle w:val="Prrafodelista"/>
        <w:tabs>
          <w:tab w:val="left" w:pos="142"/>
          <w:tab w:val="left" w:pos="284"/>
        </w:tabs>
        <w:spacing w:after="0" w:line="276" w:lineRule="auto"/>
        <w:ind w:left="0"/>
        <w:contextualSpacing w:val="0"/>
        <w:jc w:val="both"/>
        <w:rPr>
          <w:rFonts w:ascii="Verdana" w:eastAsia="Calibri" w:hAnsi="Verdana" w:cs="Arial"/>
        </w:rPr>
      </w:pPr>
    </w:p>
    <w:p w14:paraId="6801C2B4" w14:textId="77777777" w:rsidR="00690F00" w:rsidRDefault="00690F00" w:rsidP="00690F00">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69752B4" w14:textId="77777777" w:rsidR="00690F00" w:rsidRDefault="00690F00" w:rsidP="00690F00">
      <w:pPr>
        <w:spacing w:after="120" w:line="276" w:lineRule="auto"/>
        <w:jc w:val="both"/>
        <w:rPr>
          <w:rFonts w:ascii="Verdana" w:eastAsia="Calibri" w:hAnsi="Verdana" w:cs="Arial"/>
          <w:color w:val="000000"/>
          <w:shd w:val="clear" w:color="auto" w:fill="FFFFFF"/>
          <w:lang w:val="es-ES"/>
        </w:rPr>
      </w:pPr>
    </w:p>
    <w:p w14:paraId="6D921AD1" w14:textId="77777777" w:rsidR="00C54124" w:rsidRDefault="00690F00" w:rsidP="00C54124">
      <w:pPr>
        <w:spacing w:after="0" w:line="276" w:lineRule="auto"/>
        <w:jc w:val="both"/>
        <w:rPr>
          <w:rFonts w:ascii="Verdana" w:eastAsia="Calibri" w:hAnsi="Verdana" w:cs="Arial"/>
        </w:rPr>
      </w:pPr>
      <w:r w:rsidRPr="2864E210">
        <w:rPr>
          <w:rFonts w:ascii="Verdana" w:eastAsia="Times New Roman" w:hAnsi="Verdana" w:cs="Arial"/>
          <w:color w:val="000000" w:themeColor="text1"/>
          <w:lang w:val="es-ES" w:eastAsia="es-ES"/>
        </w:rPr>
        <w:t xml:space="preserve"> </w:t>
      </w:r>
      <w:bookmarkStart w:id="4" w:name="_Hlk204856061"/>
      <w:bookmarkStart w:id="5" w:name="_Hlk78820161"/>
      <w:bookmarkStart w:id="6" w:name="_Hlk204854194"/>
      <w:r w:rsidR="00C54124" w:rsidRPr="00666643">
        <w:rPr>
          <w:rFonts w:ascii="Verdana" w:hAnsi="Verdana" w:cs="Arial"/>
          <w:bCs/>
          <w:lang w:val="es-ES_tradnl" w:eastAsia="es-ES" w:bidi="es-ES"/>
        </w:rPr>
        <w:t>i</w:t>
      </w:r>
      <w:r w:rsidR="00C54124">
        <w:rPr>
          <w:rFonts w:ascii="Verdana" w:hAnsi="Verdana" w:cs="Arial"/>
          <w:bCs/>
          <w:lang w:val="es-ES_tradnl" w:eastAsia="es-ES" w:bidi="es-ES"/>
        </w:rPr>
        <w:t>.</w:t>
      </w:r>
      <w:r w:rsidR="00C54124" w:rsidRPr="00121E43">
        <w:rPr>
          <w:rFonts w:ascii="Verdana" w:eastAsia="Calibri" w:hAnsi="Verdana" w:cs="Arial"/>
        </w:rPr>
        <w:t xml:space="preserve"> </w:t>
      </w:r>
      <w:r w:rsidR="00C54124" w:rsidRPr="006A4D62">
        <w:rPr>
          <w:rFonts w:ascii="Verdana" w:eastAsia="Calibri"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191BAC74" w14:textId="77777777" w:rsidR="00C54124" w:rsidRPr="006A4D62" w:rsidRDefault="00C54124" w:rsidP="00C54124">
      <w:pPr>
        <w:spacing w:after="0" w:line="276" w:lineRule="auto"/>
        <w:jc w:val="both"/>
        <w:rPr>
          <w:rFonts w:ascii="Verdana" w:eastAsia="Calibri" w:hAnsi="Verdana" w:cs="Arial"/>
        </w:rPr>
      </w:pPr>
    </w:p>
    <w:p w14:paraId="55B3A09A" w14:textId="77777777" w:rsidR="00C54124" w:rsidRPr="006A4D62" w:rsidRDefault="00C54124" w:rsidP="00C54124">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67251234" w14:textId="77777777" w:rsidR="00C54124" w:rsidRPr="006A4D62" w:rsidRDefault="00C54124" w:rsidP="00C54124">
      <w:pPr>
        <w:spacing w:after="0" w:line="240" w:lineRule="auto"/>
        <w:ind w:left="709" w:right="709"/>
        <w:jc w:val="both"/>
        <w:rPr>
          <w:rFonts w:ascii="Verdana" w:eastAsia="Calibri" w:hAnsi="Verdana" w:cs="Arial"/>
          <w:sz w:val="20"/>
          <w:szCs w:val="20"/>
        </w:rPr>
      </w:pPr>
    </w:p>
    <w:p w14:paraId="14384210" w14:textId="77777777" w:rsidR="00C54124" w:rsidRPr="006A4D62" w:rsidRDefault="00C54124" w:rsidP="00C54124">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4D4B2C3D" w14:textId="77777777" w:rsidR="00C54124" w:rsidRPr="007E6742" w:rsidRDefault="00C54124" w:rsidP="00C54124">
      <w:pPr>
        <w:spacing w:after="0" w:line="276" w:lineRule="auto"/>
        <w:ind w:left="709" w:right="709"/>
        <w:jc w:val="both"/>
        <w:rPr>
          <w:rFonts w:ascii="Verdana" w:eastAsia="Calibri" w:hAnsi="Verdana" w:cs="Arial"/>
          <w:color w:val="E97132" w:themeColor="accent2"/>
          <w:sz w:val="20"/>
          <w:szCs w:val="20"/>
        </w:rPr>
      </w:pPr>
    </w:p>
    <w:p w14:paraId="57ED047D" w14:textId="77777777" w:rsidR="00C54124" w:rsidRPr="00D2247B" w:rsidRDefault="00C54124" w:rsidP="00C54124">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a celebración de dicho contrato debe efectuarse mediante la modalidad de la contratación directa. Así lo prevé el artículo 2, numeral 4º, literal h) de la Ley 1150 de 2007, que dispone:</w:t>
      </w:r>
    </w:p>
    <w:p w14:paraId="3AD21191" w14:textId="77777777" w:rsidR="00C54124" w:rsidRPr="00D2247B" w:rsidRDefault="00C54124" w:rsidP="00C54124">
      <w:pPr>
        <w:spacing w:after="0" w:line="276" w:lineRule="auto"/>
        <w:ind w:firstLine="709"/>
        <w:jc w:val="both"/>
        <w:rPr>
          <w:rFonts w:ascii="Verdana" w:eastAsia="Calibri" w:hAnsi="Verdana" w:cs="Arial"/>
        </w:rPr>
      </w:pPr>
    </w:p>
    <w:p w14:paraId="27F8BF92" w14:textId="77777777" w:rsidR="00C54124" w:rsidRPr="00D2247B" w:rsidRDefault="00C54124" w:rsidP="00C54124">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0CD9F9FE" w14:textId="77777777" w:rsidR="00C54124" w:rsidRPr="00D2247B" w:rsidRDefault="00C54124" w:rsidP="00C54124">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p>
    <w:p w14:paraId="2158305C" w14:textId="77777777" w:rsidR="00C54124" w:rsidRPr="00D2247B" w:rsidRDefault="00C54124" w:rsidP="00C54124">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4F43FDE8" w14:textId="77777777" w:rsidR="00C54124" w:rsidRPr="00D2247B" w:rsidRDefault="00C54124" w:rsidP="00C54124">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7E7087DE" w14:textId="77777777" w:rsidR="00C54124" w:rsidRPr="004C0B72" w:rsidRDefault="00C54124" w:rsidP="00C54124">
      <w:pPr>
        <w:spacing w:after="0" w:line="276" w:lineRule="auto"/>
        <w:ind w:right="709"/>
        <w:jc w:val="both"/>
        <w:rPr>
          <w:rFonts w:ascii="Verdana" w:eastAsia="Calibri" w:hAnsi="Verdana" w:cs="Arial"/>
          <w:color w:val="E97132" w:themeColor="accent2"/>
        </w:rPr>
      </w:pPr>
    </w:p>
    <w:p w14:paraId="3E1940A4" w14:textId="77777777" w:rsidR="00C54124" w:rsidRPr="00D2247B" w:rsidRDefault="00C54124" w:rsidP="00C54124">
      <w:pPr>
        <w:spacing w:after="12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9D1AA1E" w14:textId="77777777" w:rsidR="00C54124" w:rsidRPr="00D2247B" w:rsidRDefault="00C54124" w:rsidP="00C54124">
      <w:pPr>
        <w:spacing w:after="120" w:line="276" w:lineRule="auto"/>
        <w:ind w:firstLine="709"/>
        <w:jc w:val="both"/>
        <w:rPr>
          <w:rFonts w:ascii="Verdana" w:eastAsia="Calibri" w:hAnsi="Verdana" w:cs="Arial"/>
        </w:rPr>
      </w:pPr>
      <w:r w:rsidRPr="00D2247B">
        <w:rPr>
          <w:rFonts w:ascii="Verdana" w:eastAsia="Calibri" w:hAnsi="Verdana" w:cs="Arial"/>
        </w:rPr>
        <w:lastRenderedPageBreak/>
        <w:t>a) 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1"/>
      </w:r>
      <w:r w:rsidRPr="00D2247B">
        <w:rPr>
          <w:rFonts w:ascii="Verdana" w:eastAsia="Calibri" w:hAnsi="Verdana" w:cs="Arial"/>
        </w:rPr>
        <w:t>.</w:t>
      </w:r>
    </w:p>
    <w:p w14:paraId="2B78393C" w14:textId="77777777" w:rsidR="00C54124" w:rsidRPr="00BE7986" w:rsidRDefault="00C54124" w:rsidP="00C54124">
      <w:pPr>
        <w:spacing w:after="120" w:line="276" w:lineRule="auto"/>
        <w:ind w:firstLine="709"/>
        <w:jc w:val="both"/>
        <w:rPr>
          <w:rFonts w:ascii="Verdana" w:eastAsia="Calibri" w:hAnsi="Verdana" w:cs="Arial"/>
        </w:rPr>
      </w:pPr>
      <w:r w:rsidRPr="00D2247B">
        <w:rPr>
          <w:rFonts w:ascii="Verdana" w:eastAsia="Calibri" w:hAnsi="Verdana" w:cs="Arial"/>
        </w:rPr>
        <w:t>b) Admite que se suscriba tanto con personas naturales, como con personas jurídicas. Sin embargo, cuando pretenda celebrarse con una persona 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3E3881B2" w14:textId="77777777" w:rsidR="00C54124" w:rsidRDefault="00C54124" w:rsidP="00C54124">
      <w:pPr>
        <w:spacing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2"/>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rPr>
        <w:t xml:space="preserve">. </w:t>
      </w:r>
    </w:p>
    <w:p w14:paraId="18D46DC5" w14:textId="77777777" w:rsidR="00C54124" w:rsidRPr="00BE7986" w:rsidRDefault="00C54124" w:rsidP="00C54124">
      <w:pPr>
        <w:spacing w:after="120" w:line="276" w:lineRule="auto"/>
        <w:ind w:firstLine="709"/>
        <w:jc w:val="both"/>
        <w:rPr>
          <w:rFonts w:ascii="Verdana" w:eastAsia="Calibri" w:hAnsi="Verdana" w:cs="Arial"/>
        </w:rPr>
      </w:pPr>
      <w:r>
        <w:rPr>
          <w:rFonts w:ascii="Verdana" w:eastAsia="Calibri" w:hAnsi="Verdana" w:cs="Arial"/>
        </w:rPr>
        <w:t xml:space="preserve">Este </w:t>
      </w:r>
      <w:r w:rsidRPr="00BE7986">
        <w:rPr>
          <w:rFonts w:ascii="Verdana" w:eastAsia="Calibri" w:hAnsi="Verdana" w:cs="Arial"/>
        </w:rPr>
        <w:t xml:space="preserve">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w:t>
      </w:r>
      <w:r w:rsidRPr="00BE7986">
        <w:rPr>
          <w:rFonts w:ascii="Verdana" w:eastAsia="Calibri" w:hAnsi="Verdana" w:cs="Arial"/>
        </w:rPr>
        <w:lastRenderedPageBreak/>
        <w:t>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BE7986">
        <w:rPr>
          <w:rFonts w:ascii="Verdana" w:eastAsia="Calibri" w:hAnsi="Verdana" w:cs="Arial"/>
          <w:vertAlign w:val="superscript"/>
        </w:rPr>
        <w:footnoteReference w:id="3"/>
      </w:r>
      <w:r w:rsidRPr="00BE7986">
        <w:rPr>
          <w:rFonts w:ascii="Verdana" w:eastAsia="Calibri" w:hAnsi="Verdana" w:cs="Arial"/>
        </w:rPr>
        <w:t xml:space="preserve">. 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su perfeccionamiento rige el principio de la prevalencia de la realidad sobre las formalidades. </w:t>
      </w:r>
    </w:p>
    <w:p w14:paraId="2883EBD2" w14:textId="77777777" w:rsidR="00C54124" w:rsidRDefault="00C54124" w:rsidP="00C54124">
      <w:pPr>
        <w:tabs>
          <w:tab w:val="left" w:pos="3276"/>
        </w:tabs>
        <w:spacing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4"/>
      </w:r>
      <w:r w:rsidRPr="006741FA">
        <w:rPr>
          <w:rFonts w:ascii="Verdana" w:eastAsia="Calibri" w:hAnsi="Verdana" w:cs="Arial"/>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w:t>
      </w:r>
      <w:r w:rsidRPr="006741FA">
        <w:rPr>
          <w:rFonts w:ascii="Verdana" w:eastAsia="Calibri" w:hAnsi="Verdana" w:cs="Arial"/>
        </w:rPr>
        <w:lastRenderedPageBreak/>
        <w:t>entidad pública y el tipo de cargo</w:t>
      </w:r>
      <w:r w:rsidRPr="006741FA">
        <w:rPr>
          <w:rFonts w:ascii="Verdana" w:eastAsia="Calibri" w:hAnsi="Verdana" w:cs="Arial"/>
          <w:vertAlign w:val="superscript"/>
        </w:rPr>
        <w:footnoteReference w:id="5"/>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67FA952D" w14:textId="77777777" w:rsidR="00C54124" w:rsidRPr="004C0B72" w:rsidRDefault="00C54124" w:rsidP="00C54124">
      <w:pPr>
        <w:spacing w:after="120" w:line="276" w:lineRule="auto"/>
        <w:ind w:firstLine="709"/>
        <w:jc w:val="both"/>
        <w:rPr>
          <w:rFonts w:ascii="Verdana" w:hAnsi="Verdana" w:cs="Arial"/>
          <w:noProof/>
          <w:lang w:val="es-ES_tradnl"/>
        </w:rPr>
      </w:pPr>
      <w:r w:rsidRPr="008677DE">
        <w:rPr>
          <w:rFonts w:ascii="Verdana" w:hAnsi="Verdana" w:cs="Arial"/>
          <w:noProof/>
          <w:lang w:val="es-ES_tradnl"/>
        </w:rPr>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6"/>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7"/>
      </w:r>
      <w:r w:rsidRPr="008677DE">
        <w:rPr>
          <w:rFonts w:ascii="Verdana" w:hAnsi="Verdana" w:cs="Arial"/>
          <w:noProof/>
          <w:lang w:val="es-ES_tradnl"/>
        </w:rPr>
        <w:t>.</w:t>
      </w:r>
    </w:p>
    <w:p w14:paraId="1339E0E7" w14:textId="77777777" w:rsidR="00C54124" w:rsidRPr="004C0B72" w:rsidRDefault="00C54124" w:rsidP="00C54124">
      <w:pPr>
        <w:spacing w:after="120" w:line="276" w:lineRule="auto"/>
        <w:ind w:firstLine="709"/>
        <w:jc w:val="both"/>
        <w:rPr>
          <w:rFonts w:ascii="Verdana" w:hAnsi="Verdana" w:cs="Arial"/>
        </w:rPr>
      </w:pPr>
      <w:r w:rsidRPr="00E4437B">
        <w:rPr>
          <w:rFonts w:ascii="Verdana" w:eastAsia="Calibri" w:hAnsi="Verdana" w:cs="Arial"/>
        </w:rPr>
        <w:t xml:space="preserve">d) Deben ser temporales. </w:t>
      </w:r>
      <w:r w:rsidRPr="008677DE">
        <w:rPr>
          <w:rFonts w:ascii="Verdana" w:hAnsi="Verdana" w:cs="Arial"/>
          <w:noProof/>
          <w:lang w:val="es-ES_tradnl"/>
        </w:rPr>
        <w:t xml:space="preserve">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 xml:space="preserve">aquel que aparece expresamente estipulado en la minuta del contrato de prestación de servicios, que de acuerdo con los razonamientos contenidos en los estudios previos, representa el lapso durante </w:t>
      </w:r>
      <w:r w:rsidRPr="008677DE">
        <w:rPr>
          <w:rFonts w:ascii="Verdana" w:hAnsi="Verdana" w:cs="Arial"/>
          <w:noProof/>
          <w:lang w:val="es-ES_tradnl"/>
        </w:rPr>
        <w:lastRenderedPageBreak/>
        <w:t>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2E75B391" w14:textId="77777777" w:rsidR="00C54124" w:rsidRPr="00E4437B" w:rsidRDefault="00C54124" w:rsidP="00C54124">
      <w:pPr>
        <w:spacing w:after="0" w:line="276" w:lineRule="auto"/>
        <w:ind w:firstLine="709"/>
        <w:jc w:val="both"/>
        <w:rPr>
          <w:rFonts w:ascii="Verdana" w:eastAsia="Calibri" w:hAnsi="Verdana" w:cs="Arial"/>
        </w:rPr>
      </w:pPr>
      <w:r>
        <w:rPr>
          <w:rFonts w:ascii="Verdana" w:eastAsia="Calibri" w:hAnsi="Verdana" w:cs="Arial"/>
        </w:rPr>
        <w:t>De igual manera,</w:t>
      </w:r>
      <w:r w:rsidRPr="00E4437B">
        <w:rPr>
          <w:rFonts w:ascii="Verdana" w:eastAsia="Calibri" w:hAnsi="Verdana" w:cs="Arial"/>
        </w:rPr>
        <w:t xml:space="preserve"> la Corte Constitucional</w:t>
      </w:r>
      <w:r>
        <w:rPr>
          <w:rFonts w:ascii="Verdana" w:eastAsia="Calibri" w:hAnsi="Verdana" w:cs="Arial"/>
        </w:rPr>
        <w:t>,</w:t>
      </w:r>
      <w:r w:rsidRPr="00E4437B">
        <w:rPr>
          <w:rFonts w:ascii="Verdana" w:eastAsia="Calibri" w:hAnsi="Verdana" w:cs="Arial"/>
        </w:rPr>
        <w:t xml:space="preserve"> en la </w:t>
      </w:r>
      <w:r>
        <w:rPr>
          <w:rFonts w:ascii="Verdana" w:eastAsia="Calibri" w:hAnsi="Verdana" w:cs="Arial"/>
        </w:rPr>
        <w:t xml:space="preserve">Sentencia C-154 de 1997 señaló </w:t>
      </w:r>
      <w:r w:rsidRPr="00E4437B">
        <w:rPr>
          <w:rFonts w:ascii="Verdana" w:eastAsia="Calibri" w:hAnsi="Verdana" w:cs="Arial"/>
        </w:rPr>
        <w:t>que:</w:t>
      </w:r>
    </w:p>
    <w:p w14:paraId="74769D9C" w14:textId="77777777" w:rsidR="00C54124" w:rsidRPr="00E4437B" w:rsidRDefault="00C54124" w:rsidP="00C54124">
      <w:pPr>
        <w:spacing w:after="0" w:line="276" w:lineRule="auto"/>
        <w:ind w:firstLine="709"/>
        <w:jc w:val="both"/>
        <w:rPr>
          <w:rFonts w:ascii="Verdana" w:eastAsia="Calibri" w:hAnsi="Verdana" w:cs="Arial"/>
        </w:rPr>
      </w:pPr>
    </w:p>
    <w:p w14:paraId="05896502" w14:textId="77777777" w:rsidR="00C54124" w:rsidRPr="004C0B72" w:rsidRDefault="00C54124" w:rsidP="00C54124">
      <w:pPr>
        <w:spacing w:after="0" w:line="240" w:lineRule="auto"/>
        <w:ind w:left="709" w:right="709"/>
        <w:jc w:val="both"/>
        <w:rPr>
          <w:rFonts w:ascii="Verdana" w:eastAsia="Calibri" w:hAnsi="Verdana" w:cs="Arial"/>
          <w:sz w:val="20"/>
          <w:szCs w:val="20"/>
        </w:rPr>
      </w:pPr>
      <w:r w:rsidRPr="0003707A">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w:t>
      </w:r>
      <w:r w:rsidRPr="00DD61C7">
        <w:rPr>
          <w:rFonts w:ascii="Verdana" w:eastAsia="Calibri" w:hAnsi="Verdana" w:cs="Arial"/>
          <w:sz w:val="20"/>
          <w:szCs w:val="20"/>
        </w:rPr>
        <w:t>xcediendo su carácter excepcional y temporal para convertirse en ordinario y permanente, será necesario que la respectiva entidad adopte las medidas y provisiones pertinentes a fin de que se dé cabal cumplimiento a lo previsto en el artículo 122 de la Cart</w:t>
      </w:r>
      <w:r w:rsidRPr="00255E89">
        <w:rPr>
          <w:rFonts w:ascii="Verdana" w:eastAsia="Calibri" w:hAnsi="Verdana" w:cs="Arial"/>
          <w:sz w:val="20"/>
          <w:szCs w:val="20"/>
        </w:rPr>
        <w:t>a Política, según el cual se requiere que el empleo público quede contemplado en la respectiva planta y previstos sus emolumentos en el presupuesto correspondiente</w:t>
      </w:r>
      <w:r w:rsidRPr="000940A2">
        <w:rPr>
          <w:rFonts w:ascii="Verdana" w:eastAsia="Calibri" w:hAnsi="Verdana" w:cs="Arial"/>
          <w:sz w:val="20"/>
          <w:szCs w:val="20"/>
        </w:rPr>
        <w:t>”</w:t>
      </w:r>
      <w:r w:rsidRPr="004C0B72">
        <w:rPr>
          <w:rFonts w:ascii="Verdana" w:eastAsia="Calibri" w:hAnsi="Verdana" w:cs="Arial"/>
          <w:sz w:val="20"/>
          <w:szCs w:val="20"/>
          <w:vertAlign w:val="superscript"/>
        </w:rPr>
        <w:footnoteReference w:id="8"/>
      </w:r>
      <w:r w:rsidRPr="004C0B72">
        <w:rPr>
          <w:rFonts w:ascii="Verdana" w:eastAsia="Calibri" w:hAnsi="Verdana" w:cs="Arial"/>
          <w:sz w:val="20"/>
          <w:szCs w:val="20"/>
        </w:rPr>
        <w:t>.</w:t>
      </w:r>
    </w:p>
    <w:p w14:paraId="02F4B09B" w14:textId="77777777" w:rsidR="00C54124" w:rsidRPr="00780417" w:rsidRDefault="00C54124" w:rsidP="00C54124">
      <w:pPr>
        <w:spacing w:after="0" w:line="276" w:lineRule="auto"/>
        <w:ind w:firstLine="709"/>
        <w:jc w:val="both"/>
        <w:rPr>
          <w:rFonts w:ascii="Verdana" w:eastAsia="Calibri" w:hAnsi="Verdana" w:cs="Arial"/>
        </w:rPr>
      </w:pPr>
    </w:p>
    <w:p w14:paraId="0027EA9A" w14:textId="77777777" w:rsidR="00C54124" w:rsidRPr="009D6505" w:rsidRDefault="00C54124" w:rsidP="00C54124">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9"/>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10"/>
      </w:r>
      <w:r w:rsidRPr="00780417">
        <w:rPr>
          <w:rFonts w:ascii="Verdana" w:eastAsia="Calibri" w:hAnsi="Verdana" w:cs="Arial"/>
          <w:lang w:val="es-ES" w:eastAsia="es-ES"/>
        </w:rPr>
        <w:t>.</w:t>
      </w:r>
    </w:p>
    <w:p w14:paraId="165FC395" w14:textId="77777777" w:rsidR="00C54124" w:rsidRDefault="00C54124" w:rsidP="00C54124">
      <w:pPr>
        <w:spacing w:after="120" w:line="276" w:lineRule="auto"/>
        <w:ind w:firstLine="709"/>
        <w:jc w:val="both"/>
        <w:rPr>
          <w:rFonts w:ascii="Verdana" w:eastAsia="Calibri" w:hAnsi="Verdana" w:cs="Arial"/>
        </w:rPr>
      </w:pPr>
      <w:r w:rsidRPr="009D6505">
        <w:rPr>
          <w:rFonts w:ascii="Verdana" w:eastAsia="Calibri" w:hAnsi="Verdana" w:cs="Arial"/>
        </w:rPr>
        <w:lastRenderedPageBreak/>
        <w:t>f) 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 Lo anterior, pues</w:t>
      </w:r>
      <w:r w:rsidRPr="009D6505">
        <w:rPr>
          <w:rFonts w:ascii="Verdana" w:eastAsia="Calibri" w:hAnsi="Verdana" w:cs="Arial"/>
        </w:rPr>
        <w:t xml:space="preserve">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11"/>
      </w:r>
      <w:r w:rsidRPr="009D6505">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72DEE6FD" w14:textId="77777777" w:rsidR="00C54124" w:rsidRPr="0050628A" w:rsidRDefault="00C54124" w:rsidP="00C54124">
      <w:pPr>
        <w:spacing w:after="0" w:line="276" w:lineRule="auto"/>
        <w:ind w:firstLine="709"/>
        <w:jc w:val="both"/>
        <w:rPr>
          <w:rFonts w:ascii="Verdana" w:eastAsia="Calibri" w:hAnsi="Verdana" w:cs="Arial"/>
        </w:rPr>
      </w:pPr>
      <w:r w:rsidRPr="0050628A">
        <w:rPr>
          <w:rFonts w:ascii="Verdana" w:eastAsia="Calibri" w:hAnsi="Verdana" w:cs="Arial"/>
        </w:rPr>
        <w:t>g) Para su celebración no se requiere la expedición del acto administrativo de justificación de la contratación directa</w:t>
      </w:r>
      <w:r w:rsidRPr="0050628A">
        <w:rPr>
          <w:rFonts w:ascii="Verdana" w:eastAsia="Calibri" w:hAnsi="Verdana" w:cs="Arial"/>
          <w:vertAlign w:val="superscript"/>
        </w:rPr>
        <w:footnoteReference w:id="12"/>
      </w:r>
      <w:r w:rsidRPr="0050628A">
        <w:rPr>
          <w:rFonts w:ascii="Verdana" w:eastAsia="Calibri" w:hAnsi="Verdana" w:cs="Arial"/>
        </w:rPr>
        <w:t xml:space="preserve">. </w:t>
      </w:r>
    </w:p>
    <w:p w14:paraId="6C506CDF" w14:textId="77777777" w:rsidR="00C54124" w:rsidRPr="0050628A" w:rsidRDefault="00C54124" w:rsidP="00C54124">
      <w:pPr>
        <w:spacing w:before="120" w:after="120" w:line="276" w:lineRule="auto"/>
        <w:ind w:firstLine="709"/>
        <w:jc w:val="both"/>
        <w:rPr>
          <w:rFonts w:ascii="Verdana" w:eastAsia="Calibri" w:hAnsi="Verdana" w:cs="Arial"/>
        </w:rPr>
      </w:pPr>
      <w:r w:rsidRPr="0050628A">
        <w:rPr>
          <w:rFonts w:ascii="Verdana" w:eastAsia="Calibri" w:hAnsi="Verdana" w:cs="Arial"/>
        </w:rPr>
        <w:t xml:space="preserve">h) 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 accidentales</w:t>
      </w:r>
      <w:r>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ya que no se entienden </w:t>
      </w:r>
      <w:r w:rsidRPr="0050628A">
        <w:rPr>
          <w:rFonts w:ascii="Verdana" w:eastAsia="Calibri" w:hAnsi="Verdana" w:cs="Arial"/>
        </w:rPr>
        <w:lastRenderedPageBreak/>
        <w:t>pactadas por naturaleza. Así se infiere del artículo 14°, numeral 2º, de la Ley 80 de 1993</w:t>
      </w:r>
      <w:r w:rsidRPr="0050628A">
        <w:rPr>
          <w:rFonts w:ascii="Verdana" w:eastAsia="Calibri" w:hAnsi="Verdana" w:cs="Arial"/>
          <w:vertAlign w:val="superscript"/>
        </w:rPr>
        <w:footnoteReference w:id="13"/>
      </w:r>
      <w:r w:rsidRPr="0050628A">
        <w:rPr>
          <w:rFonts w:ascii="Verdana" w:eastAsia="Calibri" w:hAnsi="Verdana" w:cs="Arial"/>
        </w:rPr>
        <w:t>.</w:t>
      </w:r>
    </w:p>
    <w:p w14:paraId="646D95AE" w14:textId="77777777" w:rsidR="00C54124" w:rsidRPr="007A6EE5" w:rsidRDefault="00C54124" w:rsidP="00C54124">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4"/>
      </w:r>
      <w:r w:rsidRPr="007A6EE5">
        <w:rPr>
          <w:rFonts w:ascii="Verdana" w:eastAsia="Calibri" w:hAnsi="Verdana" w:cs="Arial"/>
        </w:rPr>
        <w:t xml:space="preserve">, </w:t>
      </w:r>
      <w:r w:rsidRPr="007A6EE5">
        <w:rPr>
          <w:rFonts w:ascii="Verdana" w:eastAsia="Calibri" w:hAnsi="Verdana" w:cs="Arial"/>
          <w:lang w:val="es-ES" w:eastAsia="es-ES"/>
        </w:rPr>
        <w:t>refiriéndose expresamente a los contratos de prestación de servicios profesionales y de apoyo a la gestión.</w:t>
      </w:r>
    </w:p>
    <w:p w14:paraId="5B1418FD" w14:textId="77777777" w:rsidR="00C54124" w:rsidRPr="007A6EE5" w:rsidRDefault="00C54124" w:rsidP="00C54124">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5"/>
      </w:r>
      <w:r w:rsidRPr="007A6EE5">
        <w:rPr>
          <w:rFonts w:ascii="Verdana" w:eastAsia="Calibri" w:hAnsi="Verdana" w:cs="Arial"/>
        </w:rPr>
        <w:t>.</w:t>
      </w:r>
    </w:p>
    <w:p w14:paraId="2D0F8784" w14:textId="77777777" w:rsidR="00C54124" w:rsidRPr="00361222" w:rsidRDefault="00C54124" w:rsidP="00C54124">
      <w:pPr>
        <w:spacing w:after="0" w:line="276" w:lineRule="auto"/>
        <w:ind w:firstLine="709"/>
        <w:jc w:val="both"/>
        <w:rPr>
          <w:rFonts w:ascii="Verdana" w:eastAsia="Calibri" w:hAnsi="Verdana" w:cs="Arial"/>
        </w:rPr>
      </w:pPr>
      <w:r w:rsidRPr="007A6EE5">
        <w:rPr>
          <w:rFonts w:ascii="Verdana" w:eastAsia="Calibri" w:hAnsi="Verdana" w:cs="Arial"/>
        </w:rPr>
        <w:t>k) En ellos no son necesarias las garantías</w:t>
      </w:r>
      <w:r w:rsidRPr="007A6EE5">
        <w:rPr>
          <w:rFonts w:ascii="Verdana" w:eastAsia="Calibri" w:hAnsi="Verdana" w:cs="Arial"/>
          <w:vertAlign w:val="superscript"/>
        </w:rPr>
        <w:footnoteReference w:id="16"/>
      </w:r>
      <w:r w:rsidRPr="007A6EE5">
        <w:rPr>
          <w:rFonts w:ascii="Verdana" w:eastAsia="Calibri" w:hAnsi="Verdana" w:cs="Arial"/>
        </w:rPr>
        <w:t>.</w:t>
      </w:r>
    </w:p>
    <w:p w14:paraId="47CE921E" w14:textId="77777777" w:rsidR="00C54124" w:rsidRDefault="00C54124" w:rsidP="00C54124">
      <w:pPr>
        <w:spacing w:after="0" w:line="276" w:lineRule="auto"/>
        <w:ind w:right="51"/>
        <w:jc w:val="both"/>
        <w:rPr>
          <w:rFonts w:ascii="Verdana" w:hAnsi="Verdana" w:cs="Arial"/>
        </w:rPr>
      </w:pPr>
    </w:p>
    <w:p w14:paraId="017951C5" w14:textId="01F4DE1D" w:rsidR="00166C83" w:rsidRPr="00166C83" w:rsidRDefault="00C54124" w:rsidP="00AA47C2">
      <w:pPr>
        <w:spacing w:after="120" w:line="276" w:lineRule="auto"/>
        <w:jc w:val="both"/>
        <w:rPr>
          <w:rFonts w:ascii="Verdana" w:hAnsi="Verdana" w:cs="Arial"/>
        </w:rPr>
      </w:pPr>
      <w:proofErr w:type="spellStart"/>
      <w:r w:rsidRPr="00255E89">
        <w:rPr>
          <w:rFonts w:ascii="Verdana" w:hAnsi="Verdana" w:cs="Arial"/>
        </w:rPr>
        <w:t>ii</w:t>
      </w:r>
      <w:proofErr w:type="spellEnd"/>
      <w:r w:rsidRPr="00255E89">
        <w:rPr>
          <w:rFonts w:ascii="Verdana" w:hAnsi="Verdana" w:cs="Arial"/>
        </w:rPr>
        <w:t xml:space="preserve">) Ahora bien, </w:t>
      </w:r>
      <w:r w:rsidR="00AA47C2">
        <w:rPr>
          <w:rFonts w:ascii="Verdana" w:hAnsi="Verdana" w:cs="Arial"/>
        </w:rPr>
        <w:t>a</w:t>
      </w:r>
      <w:r w:rsidR="00166C83" w:rsidRPr="00166C83">
        <w:rPr>
          <w:rFonts w:ascii="Verdana" w:hAnsi="Verdana" w:cs="Arial"/>
        </w:rPr>
        <w:t xml:space="preserve"> partir de las características jurídicas expuestas sobre el contrato de prestación de servicios, especialmente su naturaleza autónoma, temporal y </w:t>
      </w:r>
      <w:r w:rsidR="00166C83" w:rsidRPr="00166C83">
        <w:rPr>
          <w:rFonts w:ascii="Verdana" w:hAnsi="Verdana" w:cs="Arial"/>
        </w:rPr>
        <w:lastRenderedPageBreak/>
        <w:t>no subordinada, surgen importantes cuestionamientos respecto de ciertas prácticas administrativas implementadas por algunas entidades estatales durante la ejecución contractual. En efecto, aunque la administración conserva facultades de dirección, coordinación, supervisión y control sobre el cumplimiento del objeto contratado, dichas potestades no son ilimitadas ni pueden ejercerse de manera tal que desnaturalicen la esencia jurídica del contrato de prestación de servicios y lo conviertan materialmente en una relación laboral encubierta.</w:t>
      </w:r>
    </w:p>
    <w:p w14:paraId="2642A37F"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En ese contexto, el primer problema jurídico consiste en determinar si resulta jurídicamente viable que una entidad estatal imponga al contratista controles rígidos de horario, exigencias de compensación de días festivos, limitaciones al descanso o disponibilidad permanente, o si tales medidas constituyen manifestaciones de subordinación incompatibles con la autonomía e independencia propias del contrato de prestación de servicios.</w:t>
      </w:r>
    </w:p>
    <w:p w14:paraId="65870A10"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Sobre este punto, debe recordarse que uno de los elementos esenciales de esta modalidad contractual es precisamente la ausencia de subordinación. El contratista conserva autonomía técnica y administrativa para ejecutar las actividades encomendadas, de manera que la entidad estatal puede verificar el cumplimiento del objeto contractual y exigir resultados, pero no imponer un régimen de dirección equivalente al existente en una relación laboral. Por ello, la jurisprudencia de la Corte Constitucional y del Consejo de Estado ha sostenido reiteradamente que cuando la administración ejerce controles permanentes sobre el modo, tiempo y disponibilidad de ejecución del servicio, pueden configurarse elementos materiales de subordinación.</w:t>
      </w:r>
    </w:p>
    <w:p w14:paraId="089A05BC"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En efecto, la imposición de jornadas rígidas, el control estricto de permanencia, la obligación de compensar festivos, la disponibilidad continua o la restricción injustificada de tiempos de descanso pueden exceder las facultades legítimas de supervisión contractual y aproximarse a las potestades propias del empleador en una relación laboral. Ello ocurre porque tales medidas no se limitan a verificar el cumplimiento del objeto contractual, sino que recaen directamente sobre la forma en que el contratista organiza su tiempo y ejecuta personalmente la actividad contratada.</w:t>
      </w:r>
    </w:p>
    <w:p w14:paraId="17DAA71C"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 xml:space="preserve">Si bien la entidad estatal puede establecer mecanismos razonables de coordinación institucional —por ejemplo, reuniones, entrega de informes, </w:t>
      </w:r>
      <w:r w:rsidRPr="00166C83">
        <w:rPr>
          <w:rFonts w:ascii="Verdana" w:hAnsi="Verdana" w:cs="Arial"/>
        </w:rPr>
        <w:lastRenderedPageBreak/>
        <w:t>cumplimiento de cronogramas o disponibilidad mínima necesaria para la adecuada articulación del servicio— dichas exigencias deben ser compatibles con la autonomía del contratista y no pueden traducirse en un sometimiento continuo a órdenes sobre tiempo de trabajo, permanencia física o disponibilidad absoluta. De lo contrario, podría configurarse el fenómeno del “contrato realidad”, en aplicación del principio de primacía de la realidad sobre las formalidades previsto por la jurisprudencia constitucional.</w:t>
      </w:r>
    </w:p>
    <w:p w14:paraId="3A499E49"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El segundo problema jurídico se relaciona con la posibilidad de justificar el pago de honorarios exclusivamente mediante la contabilización estricta de horas laboradas, pese a la naturaleza autónoma del contrato de prestación de servicios.</w:t>
      </w:r>
    </w:p>
    <w:p w14:paraId="354A2A71"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Frente a ello, debe señalarse que el contrato de prestación de servicios no tiene como causa jurídica la venta de tiempo de trabajo subordinado, sino la ejecución autónoma de actividades o la obtención de resultados asociados al objeto contractual. Por tanto, aunque excepcionalmente puedan definirse cargas estimadas de dedicación o mecanismos de seguimiento temporal para efectos de planeación y control presupuestal, el pago de honorarios no puede asimilarse automáticamente al reconocimiento salarial derivado del cumplimiento de una jornada laboral.</w:t>
      </w:r>
    </w:p>
    <w:p w14:paraId="794AF54F" w14:textId="77777777" w:rsidR="00166C83" w:rsidRPr="00166C83" w:rsidRDefault="00166C83" w:rsidP="00C47976">
      <w:pPr>
        <w:spacing w:after="120" w:line="276" w:lineRule="auto"/>
        <w:ind w:firstLine="709"/>
        <w:jc w:val="both"/>
        <w:rPr>
          <w:rFonts w:ascii="Verdana" w:hAnsi="Verdana" w:cs="Arial"/>
        </w:rPr>
      </w:pPr>
      <w:r w:rsidRPr="00166C83">
        <w:rPr>
          <w:rFonts w:ascii="Verdana" w:hAnsi="Verdana" w:cs="Arial"/>
        </w:rPr>
        <w:t>La remuneración en los contratos de prestación de servicios se fundamenta en el cumplimiento satisfactorio de las obligaciones pactadas y en la ejecución del objeto contractual, no en la mera permanencia física ni en el cumplimiento rígido de una cantidad de horas equivalente a la de un servidor público. En consecuencia, cuando la entidad condiciona el pago exclusivamente a la acreditación de horas laboradas bajo esquemas rígidos de control horario, puede estarse desdibujando la naturaleza civil o estatal autónoma del contrato y aproximándose indebidamente a una lógica propia del vínculo laboral subordinado.</w:t>
      </w:r>
    </w:p>
    <w:p w14:paraId="164C78AB" w14:textId="68C18757" w:rsidR="00690F00" w:rsidRPr="00C47976" w:rsidRDefault="00166C83" w:rsidP="00C47976">
      <w:pPr>
        <w:spacing w:after="120" w:line="276" w:lineRule="auto"/>
        <w:ind w:firstLine="709"/>
        <w:jc w:val="both"/>
        <w:rPr>
          <w:rFonts w:ascii="Verdana" w:hAnsi="Verdana" w:cs="Arial"/>
        </w:rPr>
      </w:pPr>
      <w:r w:rsidRPr="00166C83">
        <w:rPr>
          <w:rFonts w:ascii="Verdana" w:hAnsi="Verdana" w:cs="Arial"/>
        </w:rPr>
        <w:t>Por ello, desde una perspectiva jurídica, los mecanismos de supervisión y control en los contratos de prestación de servicios deben orientarse principalmente a verificar el cumplimiento de productos, obligaciones, actividades y resultados previstos contractualmente, sin trasladar al contratista esquemas típicos de administración de personal propios de las relaciones laborales o legales y reglamentarias.</w:t>
      </w:r>
    </w:p>
    <w:p w14:paraId="0EBDF138" w14:textId="77777777" w:rsidR="00690F00" w:rsidRPr="00C54887" w:rsidRDefault="00690F00" w:rsidP="00690F00">
      <w:pPr>
        <w:widowControl w:val="0"/>
        <w:autoSpaceDE w:val="0"/>
        <w:autoSpaceDN w:val="0"/>
        <w:spacing w:after="0" w:line="276" w:lineRule="auto"/>
        <w:ind w:firstLine="708"/>
        <w:jc w:val="both"/>
        <w:rPr>
          <w:rFonts w:ascii="Verdana" w:hAnsi="Verdana" w:cs="Arial"/>
          <w:lang w:eastAsia="es-ES"/>
        </w:rPr>
      </w:pPr>
    </w:p>
    <w:bookmarkEnd w:id="4"/>
    <w:bookmarkEnd w:id="5"/>
    <w:p w14:paraId="27DBB48E" w14:textId="77777777" w:rsidR="00690F00" w:rsidRPr="001F283D" w:rsidRDefault="00690F00" w:rsidP="00690F00">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32AA82CE" w14:textId="77777777" w:rsidR="00690F00" w:rsidRPr="00593A5F" w:rsidRDefault="00690F00" w:rsidP="00690F0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0F00" w:rsidRPr="002407CE" w14:paraId="1BEB4E49" w14:textId="77777777" w:rsidTr="00AB63CC">
        <w:trPr>
          <w:trHeight w:val="870"/>
          <w:jc w:val="center"/>
        </w:trPr>
        <w:tc>
          <w:tcPr>
            <w:tcW w:w="8647" w:type="dxa"/>
          </w:tcPr>
          <w:p w14:paraId="6B8CE463" w14:textId="77777777" w:rsidR="00B00803" w:rsidRPr="006F76C5"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2230CC">
              <w:rPr>
                <w:rFonts w:ascii="Verdana" w:eastAsia="Calibri" w:hAnsi="Verdana" w:cs="Arial"/>
                <w:lang w:val="es-ES"/>
              </w:rPr>
              <w:t>Código Sustantivo del Trabajo. Artículo 22</w:t>
            </w:r>
            <w:r>
              <w:rPr>
                <w:rFonts w:ascii="Verdana" w:eastAsia="Calibri" w:hAnsi="Verdana" w:cs="Arial"/>
                <w:lang w:val="es-ES"/>
              </w:rPr>
              <w:t>.</w:t>
            </w:r>
          </w:p>
          <w:p w14:paraId="1722909F" w14:textId="77777777" w:rsidR="00B00803" w:rsidRPr="00B52E6D"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B52E6D">
              <w:rPr>
                <w:rFonts w:ascii="Verdana" w:eastAsia="Calibri" w:hAnsi="Verdana" w:cs="Arial"/>
                <w:lang w:val="es-ES"/>
              </w:rPr>
              <w:t>Ley 80 de 1993. Artículo 32</w:t>
            </w:r>
            <w:r>
              <w:rPr>
                <w:rFonts w:ascii="Verdana" w:eastAsia="Calibri" w:hAnsi="Verdana" w:cs="Arial"/>
                <w:lang w:val="es-ES"/>
              </w:rPr>
              <w:t>.</w:t>
            </w:r>
          </w:p>
          <w:p w14:paraId="2412D18C" w14:textId="77777777" w:rsidR="00B00803" w:rsidRPr="006F76C5"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Ley 1150 de 2007. Artículo 4</w:t>
            </w:r>
            <w:r>
              <w:rPr>
                <w:rFonts w:ascii="Verdana" w:eastAsia="Calibri" w:hAnsi="Verdana" w:cs="Arial"/>
                <w:lang w:val="es-ES"/>
              </w:rPr>
              <w:t>.</w:t>
            </w:r>
          </w:p>
          <w:p w14:paraId="00FD9AAA" w14:textId="77777777" w:rsidR="00B00803" w:rsidRPr="00255E89"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255E89">
              <w:rPr>
                <w:rFonts w:ascii="Verdana" w:eastAsia="Calibri" w:hAnsi="Verdana" w:cs="Arial"/>
                <w:lang w:val="es-ES"/>
              </w:rPr>
              <w:t>Ley 1955 de 2015. Artículo 244.</w:t>
            </w:r>
          </w:p>
          <w:p w14:paraId="1C232515" w14:textId="77777777" w:rsidR="00B00803" w:rsidRPr="00B52E6D"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Decreto 1082 de 2015. Artículo 2.2.1.2.1.4.1, 2.2.1.2.1.4.5.  2.2.1.2.1.4.9.</w:t>
            </w:r>
          </w:p>
          <w:p w14:paraId="0B524863" w14:textId="77777777" w:rsidR="00B00803" w:rsidRPr="00255E89"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Corte Constitucional. Sentencia C-154 de 1997. M.P. Hernando Herrera Vergara.</w:t>
            </w:r>
          </w:p>
          <w:p w14:paraId="6EAFADF4" w14:textId="77777777" w:rsidR="00B00803" w:rsidRPr="00B52E6D"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Corte Constitucional. Sentencia C-614 de 2009. M.P. Jorge Ignacio Pretelt Chalju</w:t>
            </w:r>
            <w:r w:rsidRPr="00B52E6D">
              <w:rPr>
                <w:rFonts w:ascii="Verdana" w:eastAsia="Calibri" w:hAnsi="Verdana" w:cs="Arial"/>
                <w:lang w:val="es-ES"/>
              </w:rPr>
              <w:t>b.</w:t>
            </w:r>
          </w:p>
          <w:p w14:paraId="64B163BC" w14:textId="77777777" w:rsidR="00B00803"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420F6B">
              <w:rPr>
                <w:rFonts w:ascii="Verdana" w:eastAsia="Calibri" w:hAnsi="Verdana" w:cs="Arial"/>
                <w:lang w:val="es-ES"/>
              </w:rPr>
              <w:t>Consejo de Estado, Sala Plena de lo Contencioso Administrativo, sentencia del 09 de febrero de 2012, expediente 1707-08, C.P Luis Rafael Vergara Quintero.</w:t>
            </w:r>
          </w:p>
          <w:p w14:paraId="044C0FB9" w14:textId="77777777" w:rsidR="00B00803" w:rsidRPr="00255E89"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6F76C5">
              <w:rPr>
                <w:rFonts w:ascii="Verdana" w:eastAsia="Calibri" w:hAnsi="Verdana" w:cs="Arial"/>
                <w:lang w:val="es-ES"/>
              </w:rPr>
              <w:t xml:space="preserve">Consejo de Estado. Sección Segunda. Subsección A. Rad. 19001-23-33-0002016-00182-01 (3990-2018). Sentencia de 9 de junio de 2022. C.P. Rafael Francisco Suarez Vargas. </w:t>
            </w:r>
          </w:p>
          <w:p w14:paraId="7503D950" w14:textId="77777777" w:rsidR="00B00803" w:rsidRPr="00B52E6D" w:rsidRDefault="00B00803" w:rsidP="00B00803">
            <w:pPr>
              <w:widowControl w:val="0"/>
              <w:numPr>
                <w:ilvl w:val="0"/>
                <w:numId w:val="4"/>
              </w:numPr>
              <w:autoSpaceDE w:val="0"/>
              <w:autoSpaceDN w:val="0"/>
              <w:spacing w:line="276" w:lineRule="auto"/>
              <w:jc w:val="both"/>
              <w:rPr>
                <w:rFonts w:ascii="Verdana" w:eastAsia="Calibri" w:hAnsi="Verdana" w:cs="Arial"/>
                <w:lang w:val="es-ES"/>
              </w:rPr>
            </w:pPr>
            <w:r w:rsidRPr="00064773">
              <w:rPr>
                <w:rFonts w:ascii="Verdana" w:eastAsia="Calibri" w:hAnsi="Verdana" w:cs="Arial"/>
                <w:lang w:val="es-ES"/>
              </w:rPr>
              <w:t xml:space="preserve">Consejo de Estado. Sección Segunda. Subsección B. Rad. 50001-23-33-000-2014-0089-01. </w:t>
            </w:r>
            <w:r w:rsidRPr="00B52E6D">
              <w:rPr>
                <w:rFonts w:ascii="Verdana" w:eastAsia="Calibri" w:hAnsi="Verdana" w:cs="Arial"/>
                <w:lang w:val="es-ES"/>
              </w:rPr>
              <w:t>Sentencia de 9 de junio de 2022. C.P. César Palomino Cortés.</w:t>
            </w:r>
          </w:p>
          <w:p w14:paraId="5268DCCC" w14:textId="77777777" w:rsidR="00690F00" w:rsidRPr="00A57FA0" w:rsidRDefault="00690F00" w:rsidP="00B00803">
            <w:pPr>
              <w:pStyle w:val="NormalWeb"/>
              <w:spacing w:before="120" w:beforeAutospacing="0" w:after="0" w:afterAutospacing="0" w:line="276" w:lineRule="auto"/>
              <w:ind w:left="720"/>
              <w:jc w:val="both"/>
              <w:rPr>
                <w:rFonts w:ascii="Verdana" w:hAnsi="Verdana" w:cs="Arial"/>
                <w:color w:val="000000" w:themeColor="text1"/>
                <w:sz w:val="22"/>
                <w:szCs w:val="22"/>
              </w:rPr>
            </w:pPr>
          </w:p>
        </w:tc>
      </w:tr>
    </w:tbl>
    <w:p w14:paraId="2D2707A2" w14:textId="77777777" w:rsidR="00690F00" w:rsidRPr="00277E26" w:rsidRDefault="00690F00" w:rsidP="00690F00">
      <w:pPr>
        <w:widowControl w:val="0"/>
        <w:autoSpaceDE w:val="0"/>
        <w:autoSpaceDN w:val="0"/>
        <w:spacing w:after="0" w:line="276" w:lineRule="auto"/>
        <w:jc w:val="both"/>
        <w:rPr>
          <w:rFonts w:ascii="Verdana" w:hAnsi="Verdana" w:cs="Arial"/>
        </w:rPr>
      </w:pPr>
    </w:p>
    <w:p w14:paraId="4D5CA5C5" w14:textId="77777777" w:rsidR="00690F00" w:rsidRPr="001F283D" w:rsidRDefault="00690F00" w:rsidP="00690F0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76506130" w14:textId="77777777" w:rsidR="00690F00" w:rsidRDefault="00690F00" w:rsidP="00690F00">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09751E31" w14:textId="64FB6F49" w:rsidR="00690F00" w:rsidRDefault="00AC1A8B" w:rsidP="0098751C">
      <w:pPr>
        <w:spacing w:after="0" w:line="276" w:lineRule="auto"/>
        <w:jc w:val="both"/>
        <w:rPr>
          <w:rFonts w:ascii="Verdana" w:hAnsi="Verdana" w:cs="Arial"/>
          <w:color w:val="EE0000"/>
          <w:shd w:val="clear" w:color="auto" w:fill="FFFFFF"/>
          <w:lang w:val="es-ES"/>
        </w:rPr>
      </w:pPr>
      <w:r w:rsidRPr="00255E89">
        <w:rPr>
          <w:rFonts w:ascii="Verdana" w:eastAsia="Calibri" w:hAnsi="Verdana" w:cs="Arial"/>
          <w:lang w:val="es-ES"/>
        </w:rPr>
        <w:t xml:space="preserve">La Agencia Nacional de Contratación Pública – Colombia Compra Eficiente se ha referido </w:t>
      </w:r>
      <w:r w:rsidRPr="00064773">
        <w:rPr>
          <w:rFonts w:ascii="Verdana" w:hAnsi="Verdana" w:cs="Arial"/>
          <w:shd w:val="clear" w:color="auto" w:fill="FFFFFF"/>
          <w:lang w:val="es-ES"/>
        </w:rPr>
        <w:t xml:space="preserve">sobre </w:t>
      </w:r>
      <w:r w:rsidRPr="00B52E6D">
        <w:rPr>
          <w:rFonts w:ascii="Verdana" w:hAnsi="Verdana" w:cs="Arial"/>
          <w:shd w:val="clear" w:color="auto" w:fill="FFFFFF"/>
          <w:lang w:val="es-ES"/>
        </w:rPr>
        <w:t xml:space="preserve">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w:t>
      </w:r>
      <w:r w:rsidRPr="00B52E6D">
        <w:rPr>
          <w:rFonts w:ascii="Verdana" w:hAnsi="Verdana" w:cs="Arial"/>
          <w:shd w:val="clear" w:color="auto" w:fill="FFFFFF"/>
          <w:lang w:val="es-ES"/>
        </w:rPr>
        <w:lastRenderedPageBreak/>
        <w:t>de 2025 , C-706 del 15 de julio de 2025 y C-749 del 14 de agosto de 2025, entre otros</w:t>
      </w:r>
      <w:r w:rsidRPr="00B52E6D">
        <w:rPr>
          <w:rFonts w:ascii="Verdana" w:eastAsia="Aptos" w:hAnsi="Verdana" w:cs="Segoe UI"/>
          <w:kern w:val="2"/>
          <w14:ligatures w14:val="standardContextual"/>
        </w:rPr>
        <w:t>.</w:t>
      </w:r>
    </w:p>
    <w:p w14:paraId="3B6D86AA" w14:textId="77777777" w:rsidR="0098751C" w:rsidRPr="0098751C" w:rsidRDefault="0098751C" w:rsidP="0098751C">
      <w:pPr>
        <w:spacing w:after="0" w:line="276" w:lineRule="auto"/>
        <w:jc w:val="both"/>
        <w:rPr>
          <w:rFonts w:ascii="Verdana" w:hAnsi="Verdana" w:cs="Arial"/>
          <w:color w:val="EE0000"/>
          <w:shd w:val="clear" w:color="auto" w:fill="FFFFFF"/>
          <w:lang w:val="es-ES"/>
        </w:rPr>
      </w:pPr>
    </w:p>
    <w:p w14:paraId="223E6422" w14:textId="77777777" w:rsidR="0098751C" w:rsidRPr="00B52E6D" w:rsidRDefault="0098751C" w:rsidP="0098751C">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9" w:history="1">
        <w:r w:rsidRPr="00B52E6D">
          <w:rPr>
            <w:rStyle w:val="Hipervnculo"/>
            <w:rFonts w:ascii="Verdana" w:hAnsi="Verdana" w:cs="Arial"/>
            <w:shd w:val="clear" w:color="auto" w:fill="FFFFFF"/>
            <w:lang w:val="es-ES"/>
          </w:rPr>
          <w:t>https://relatoria.colombiacompra.gov.co/busqueda/conceptos</w:t>
        </w:r>
      </w:hyperlink>
    </w:p>
    <w:p w14:paraId="6371DD29" w14:textId="77777777" w:rsidR="0098751C" w:rsidRPr="0098751C" w:rsidRDefault="0098751C" w:rsidP="00690F00">
      <w:pPr>
        <w:widowControl w:val="0"/>
        <w:autoSpaceDE w:val="0"/>
        <w:autoSpaceDN w:val="0"/>
        <w:spacing w:after="120" w:line="276" w:lineRule="auto"/>
        <w:jc w:val="both"/>
        <w:rPr>
          <w:rFonts w:ascii="Verdana" w:eastAsia="Calibri" w:hAnsi="Verdana" w:cs="Arial"/>
          <w:color w:val="000000" w:themeColor="text1"/>
          <w:lang w:val="es-ES" w:eastAsia="es-ES_tradnl"/>
        </w:rPr>
      </w:pPr>
    </w:p>
    <w:p w14:paraId="6D13FACA" w14:textId="77777777" w:rsidR="00690F00" w:rsidRPr="00237766" w:rsidRDefault="00690F00" w:rsidP="00690F00">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289120B" w14:textId="77777777" w:rsidR="00690F00" w:rsidRPr="008E4F36" w:rsidRDefault="00690F00" w:rsidP="00690F00">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4F85F0CF" w14:textId="77777777" w:rsidR="00690F00" w:rsidRPr="008E4F36" w:rsidRDefault="00690F00" w:rsidP="00690F00">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6074139B" w14:textId="77777777" w:rsidR="00690F00" w:rsidRPr="008E4F36" w:rsidRDefault="00690F00" w:rsidP="00690F00">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60211C6A" w14:textId="77777777" w:rsidR="00690F00" w:rsidRPr="008E4F36" w:rsidRDefault="00690F00" w:rsidP="00690F00">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714BF90E" w14:textId="77777777" w:rsidR="00690F00" w:rsidRPr="008E4F36" w:rsidRDefault="00690F00" w:rsidP="00690F00">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0A9E732B" w14:textId="77777777" w:rsidR="00690F00" w:rsidRPr="008E4F36" w:rsidRDefault="00690F00" w:rsidP="00690F00">
      <w:pPr>
        <w:spacing w:after="0" w:line="276" w:lineRule="auto"/>
        <w:jc w:val="both"/>
        <w:rPr>
          <w:rFonts w:ascii="Verdana" w:hAnsi="Verdana"/>
        </w:rPr>
      </w:pPr>
    </w:p>
    <w:p w14:paraId="7BB4ED71" w14:textId="77777777" w:rsidR="00690F00" w:rsidRPr="008E4F36" w:rsidRDefault="00690F00" w:rsidP="00690F00">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67060A6D" w14:textId="77777777" w:rsidR="00690F00" w:rsidRPr="008E4F36" w:rsidRDefault="00690F00" w:rsidP="00690F00">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DCAD388" w14:textId="77777777" w:rsidR="00690F00" w:rsidRPr="008E4F36" w:rsidRDefault="00690F00" w:rsidP="00690F00">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192203BE" w14:textId="77777777" w:rsidR="00690F00" w:rsidRDefault="00690F00" w:rsidP="00690F00">
      <w:pPr>
        <w:spacing w:before="120" w:after="0" w:line="276" w:lineRule="auto"/>
        <w:jc w:val="both"/>
        <w:rPr>
          <w:rFonts w:ascii="Verdana" w:hAnsi="Verdana"/>
        </w:rPr>
      </w:pPr>
    </w:p>
    <w:p w14:paraId="48F642E6" w14:textId="77777777" w:rsidR="00690F00" w:rsidRPr="00FB6C33" w:rsidRDefault="00690F00" w:rsidP="00690F00">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A715835" w14:textId="77777777" w:rsidR="00690F00" w:rsidRPr="008E4F36" w:rsidRDefault="00690F00" w:rsidP="00690F00">
      <w:pPr>
        <w:spacing w:after="0" w:line="276" w:lineRule="auto"/>
        <w:jc w:val="both"/>
        <w:rPr>
          <w:rFonts w:ascii="Verdana" w:eastAsia="Calibri" w:hAnsi="Verdana" w:cs="Times New Roman"/>
        </w:rPr>
      </w:pPr>
    </w:p>
    <w:p w14:paraId="2FD60B7B" w14:textId="7E91104E" w:rsidR="00690F00" w:rsidRDefault="00690F00" w:rsidP="00F362B0">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75F08A62" w14:textId="284D8002" w:rsidR="00690F00" w:rsidRPr="00F362B0" w:rsidRDefault="00F362B0" w:rsidP="00F362B0">
      <w:pPr>
        <w:spacing w:after="0" w:line="256" w:lineRule="auto"/>
        <w:jc w:val="center"/>
        <w:rPr>
          <w:noProof/>
        </w:rPr>
      </w:pPr>
      <w:r w:rsidRPr="0065791A">
        <w:rPr>
          <w:rFonts w:ascii="Century Gothic" w:hAnsi="Century Gothic"/>
          <w:noProof/>
        </w:rPr>
        <w:lastRenderedPageBreak/>
        <w:drawing>
          <wp:inline distT="0" distB="0" distL="0" distR="0" wp14:anchorId="1DD6DEE9" wp14:editId="573263E4">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1"/>
                    <a:stretch>
                      <a:fillRect/>
                    </a:stretch>
                  </pic:blipFill>
                  <pic:spPr>
                    <a:xfrm>
                      <a:off x="0" y="0"/>
                      <a:ext cx="3962953" cy="1867161"/>
                    </a:xfrm>
                    <a:prstGeom prst="rect">
                      <a:avLst/>
                    </a:prstGeom>
                  </pic:spPr>
                </pic:pic>
              </a:graphicData>
            </a:graphic>
          </wp:inline>
        </w:drawing>
      </w:r>
      <w:bookmarkEnd w:id="0"/>
      <w:bookmarkEnd w:id="1"/>
    </w:p>
    <w:p w14:paraId="27F9D913" w14:textId="77777777" w:rsidR="00690F00" w:rsidRDefault="00690F00" w:rsidP="00690F00">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0F00" w:rsidRPr="002423D6" w14:paraId="3A6414AC" w14:textId="77777777" w:rsidTr="00AB63CC">
        <w:trPr>
          <w:trHeight w:val="315"/>
        </w:trPr>
        <w:tc>
          <w:tcPr>
            <w:tcW w:w="893" w:type="dxa"/>
            <w:vAlign w:val="center"/>
            <w:hideMark/>
          </w:tcPr>
          <w:p w14:paraId="370970F7" w14:textId="77777777" w:rsidR="00690F00" w:rsidRPr="002423D6" w:rsidRDefault="00690F00"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03F7D04" w14:textId="77777777" w:rsidR="00690F00" w:rsidRPr="002423D6" w:rsidRDefault="00690F00" w:rsidP="00AB63CC">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1EABA84B" w14:textId="77777777" w:rsidR="00690F00" w:rsidRPr="002423D6" w:rsidRDefault="00690F00" w:rsidP="00AB63CC">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690F00" w:rsidRPr="002423D6" w14:paraId="723AC04C" w14:textId="77777777" w:rsidTr="00AB63CC">
        <w:trPr>
          <w:trHeight w:val="330"/>
        </w:trPr>
        <w:tc>
          <w:tcPr>
            <w:tcW w:w="893" w:type="dxa"/>
            <w:vAlign w:val="center"/>
            <w:hideMark/>
          </w:tcPr>
          <w:p w14:paraId="2C79E107" w14:textId="77777777" w:rsidR="00690F00" w:rsidRPr="002423D6" w:rsidRDefault="00690F00"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BA9B83" w14:textId="47BE5FBD" w:rsidR="00690F00" w:rsidRPr="002423D6" w:rsidRDefault="00AD553C" w:rsidP="00AB63C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Katherine López Rodríguez </w:t>
            </w:r>
          </w:p>
          <w:p w14:paraId="43ECE5DA" w14:textId="77777777" w:rsidR="00690F00" w:rsidRPr="002423D6" w:rsidRDefault="00690F00" w:rsidP="00AB63CC">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690F00" w:rsidRPr="002423D6" w14:paraId="197A367E" w14:textId="77777777" w:rsidTr="00AB63CC">
        <w:trPr>
          <w:trHeight w:val="300"/>
        </w:trPr>
        <w:tc>
          <w:tcPr>
            <w:tcW w:w="893" w:type="dxa"/>
            <w:vAlign w:val="center"/>
          </w:tcPr>
          <w:p w14:paraId="52F01739" w14:textId="77777777" w:rsidR="00690F00" w:rsidRPr="002423D6" w:rsidRDefault="00690F00" w:rsidP="00AB63C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B7CA09" w14:textId="77777777" w:rsidR="00690F00" w:rsidRPr="002423D6" w:rsidRDefault="00690F00" w:rsidP="00AB63C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28CE9D6D" w14:textId="77777777" w:rsidR="00690F00" w:rsidRPr="002423D6" w:rsidRDefault="00690F00" w:rsidP="00AB63C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08935BA" w14:textId="77777777" w:rsidR="00690F00" w:rsidRDefault="00690F00" w:rsidP="00690F00"/>
    <w:p w14:paraId="2ADECBA8" w14:textId="77777777" w:rsidR="00690F00" w:rsidRPr="00823C60" w:rsidRDefault="00690F00" w:rsidP="00690F00"/>
    <w:p w14:paraId="4037B084" w14:textId="77777777" w:rsidR="00690F00" w:rsidRDefault="00690F00" w:rsidP="00690F00"/>
    <w:p w14:paraId="136D5565" w14:textId="77777777" w:rsidR="000F5A42" w:rsidRDefault="000F5A42"/>
    <w:sectPr w:rsidR="000F5A42" w:rsidSect="00690F00">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70107" w14:textId="77777777" w:rsidR="00C94B5B" w:rsidRDefault="00C94B5B">
      <w:pPr>
        <w:spacing w:after="0" w:line="240" w:lineRule="auto"/>
      </w:pPr>
      <w:r>
        <w:separator/>
      </w:r>
    </w:p>
  </w:endnote>
  <w:endnote w:type="continuationSeparator" w:id="0">
    <w:p w14:paraId="6DD240E1" w14:textId="77777777" w:rsidR="00C94B5B" w:rsidRDefault="00C94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A05C5" w14:textId="77777777" w:rsidR="00690F00" w:rsidRDefault="00690F00" w:rsidP="000849D5">
    <w:pPr>
      <w:spacing w:after="0"/>
      <w:rPr>
        <w:rFonts w:ascii="Verdana" w:hAnsi="Verdana"/>
        <w:b/>
        <w:bCs/>
        <w:sz w:val="20"/>
        <w:szCs w:val="20"/>
      </w:rPr>
    </w:pPr>
  </w:p>
  <w:p w14:paraId="1AFC2C49" w14:textId="77777777" w:rsidR="00690F00" w:rsidRPr="00174B77" w:rsidRDefault="00690F0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73BBE91" w14:textId="77777777" w:rsidR="00690F00" w:rsidRDefault="00690F0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2A0A968C" w14:textId="77777777" w:rsidR="00690F00" w:rsidRPr="00E41027" w:rsidRDefault="00690F00" w:rsidP="000849D5">
    <w:pPr>
      <w:spacing w:after="0"/>
      <w:jc w:val="both"/>
      <w:rPr>
        <w:rFonts w:ascii="Verdana" w:hAnsi="Verdana"/>
        <w:sz w:val="18"/>
        <w:szCs w:val="18"/>
      </w:rPr>
    </w:pPr>
    <w:r w:rsidRPr="00E41027">
      <w:rPr>
        <w:rFonts w:ascii="Verdana" w:hAnsi="Verdana"/>
        <w:sz w:val="18"/>
        <w:szCs w:val="18"/>
      </w:rPr>
      <w:t>Mesa de servicio: (+57) 601 7456788</w:t>
    </w:r>
  </w:p>
  <w:p w14:paraId="733E327A" w14:textId="77777777" w:rsidR="00690F00" w:rsidRDefault="00690F0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423664F" w14:textId="77777777" w:rsidR="00690F00" w:rsidRPr="007D04B2" w:rsidRDefault="00690F00" w:rsidP="000849D5">
    <w:pPr>
      <w:pStyle w:val="Piedepgina"/>
    </w:pPr>
  </w:p>
  <w:p w14:paraId="4D18C56E" w14:textId="77777777" w:rsidR="00690F00" w:rsidRPr="000849D5" w:rsidRDefault="00690F0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B601F" w14:textId="77777777" w:rsidR="00C94B5B" w:rsidRDefault="00C94B5B">
      <w:pPr>
        <w:spacing w:after="0" w:line="240" w:lineRule="auto"/>
      </w:pPr>
      <w:r>
        <w:separator/>
      </w:r>
    </w:p>
  </w:footnote>
  <w:footnote w:type="continuationSeparator" w:id="0">
    <w:p w14:paraId="14DDFE00" w14:textId="77777777" w:rsidR="00C94B5B" w:rsidRDefault="00C94B5B">
      <w:pPr>
        <w:spacing w:after="0" w:line="240" w:lineRule="auto"/>
      </w:pPr>
      <w:r>
        <w:continuationSeparator/>
      </w:r>
    </w:p>
  </w:footnote>
  <w:footnote w:id="1">
    <w:p w14:paraId="0BEA8683" w14:textId="77777777" w:rsidR="00C54124" w:rsidRPr="00064773" w:rsidRDefault="00C54124" w:rsidP="00C54124">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3F370803" w14:textId="77777777" w:rsidR="00C54124" w:rsidRPr="00064773" w:rsidRDefault="00C54124" w:rsidP="00C54124">
      <w:pPr>
        <w:pStyle w:val="Textonotapie"/>
        <w:ind w:firstLine="709"/>
        <w:jc w:val="both"/>
        <w:rPr>
          <w:rFonts w:ascii="Verdana" w:hAnsi="Verdana" w:cs="Arial"/>
          <w:sz w:val="16"/>
          <w:szCs w:val="16"/>
          <w:lang w:val="es-ES_tradnl"/>
        </w:rPr>
      </w:pPr>
    </w:p>
  </w:footnote>
  <w:footnote w:id="2">
    <w:p w14:paraId="3D3B2C50"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221FCF02"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3">
    <w:p w14:paraId="39554051"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6912CEF"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A758791"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El Gobierno nacional reglamentará el mecanismo para realizar la mensualización de que trata el presente artículo.</w:t>
      </w:r>
    </w:p>
    <w:p w14:paraId="69DEAF19"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1EF041BA"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4">
    <w:p w14:paraId="021648C7" w14:textId="77777777" w:rsidR="00C54124" w:rsidRPr="00064773" w:rsidRDefault="00C54124" w:rsidP="00C54124">
      <w:pPr>
        <w:pStyle w:val="Textonotapie"/>
        <w:ind w:firstLine="708"/>
        <w:rPr>
          <w:rFonts w:ascii="Verdana" w:hAnsi="Verdana" w:cs="Arial"/>
          <w:color w:val="000000"/>
          <w:sz w:val="16"/>
          <w:szCs w:val="16"/>
          <w:lang w:val="pt-BR"/>
        </w:rPr>
      </w:pPr>
      <w:r w:rsidRPr="00064773">
        <w:rPr>
          <w:rStyle w:val="Refdenotaalpie"/>
          <w:rFonts w:ascii="Verdana" w:hAnsi="Verdana"/>
          <w:sz w:val="16"/>
          <w:szCs w:val="16"/>
        </w:rPr>
        <w:footnoteRef/>
      </w:r>
      <w:r w:rsidRPr="00064773">
        <w:rPr>
          <w:rFonts w:ascii="Verdana" w:hAnsi="Verdana"/>
          <w:sz w:val="16"/>
          <w:szCs w:val="16"/>
          <w:lang w:val="pt-BR"/>
        </w:rPr>
        <w:t xml:space="preserve"> </w:t>
      </w:r>
      <w:r w:rsidRPr="00064773">
        <w:rPr>
          <w:rFonts w:ascii="Verdana" w:hAnsi="Verdana" w:cs="Arial"/>
          <w:color w:val="000000"/>
          <w:sz w:val="16"/>
          <w:szCs w:val="16"/>
          <w:lang w:val="pt-BR"/>
        </w:rPr>
        <w:t>Corte Constitucional. Sentencia C-154 de 1997. M.P. Hernando Herrera Vergara.</w:t>
      </w:r>
    </w:p>
    <w:p w14:paraId="2BF2A35B" w14:textId="77777777" w:rsidR="00C54124" w:rsidRPr="00064773" w:rsidRDefault="00C54124" w:rsidP="00C54124">
      <w:pPr>
        <w:pStyle w:val="Textonotapie"/>
        <w:ind w:firstLine="708"/>
        <w:rPr>
          <w:rFonts w:ascii="Verdana" w:hAnsi="Verdana"/>
          <w:sz w:val="16"/>
          <w:szCs w:val="16"/>
          <w:lang w:val="pt-BR"/>
        </w:rPr>
      </w:pPr>
    </w:p>
  </w:footnote>
  <w:footnote w:id="5">
    <w:p w14:paraId="1671A238" w14:textId="77777777" w:rsidR="00C54124" w:rsidRPr="00064773" w:rsidRDefault="00C54124" w:rsidP="00C54124">
      <w:pPr>
        <w:spacing w:after="0" w:line="240" w:lineRule="auto"/>
        <w:ind w:firstLine="708"/>
        <w:jc w:val="both"/>
        <w:rPr>
          <w:rFonts w:ascii="Verdana" w:eastAsia="Arial Nova" w:hAnsi="Verdana" w:cs="Arial"/>
          <w:sz w:val="16"/>
          <w:szCs w:val="16"/>
          <w:lang w:val="pt-BR"/>
        </w:rPr>
      </w:pPr>
      <w:r w:rsidRPr="00064773">
        <w:rPr>
          <w:rStyle w:val="Refdenotaalpie"/>
          <w:rFonts w:ascii="Verdana" w:hAnsi="Verdana" w:cs="Arial"/>
          <w:sz w:val="16"/>
          <w:szCs w:val="16"/>
        </w:rPr>
        <w:footnoteRef/>
      </w:r>
      <w:r w:rsidRPr="00064773">
        <w:rPr>
          <w:rFonts w:ascii="Verdana" w:hAnsi="Verdana" w:cs="Arial"/>
          <w:sz w:val="16"/>
          <w:szCs w:val="16"/>
          <w:lang w:val="pt-BR"/>
        </w:rPr>
        <w:t xml:space="preserve"> </w:t>
      </w:r>
      <w:r w:rsidRPr="00064773">
        <w:rPr>
          <w:rFonts w:ascii="Verdana" w:eastAsia="Arial Nova" w:hAnsi="Verdana" w:cs="Arial"/>
          <w:sz w:val="16"/>
          <w:szCs w:val="16"/>
          <w:lang w:val="pt-BR"/>
        </w:rPr>
        <w:t xml:space="preserve">Corte Constitucional. Sentencia C-614 de 2009. M.P. Jorge Ignacio </w:t>
      </w:r>
      <w:proofErr w:type="spellStart"/>
      <w:r w:rsidRPr="00064773">
        <w:rPr>
          <w:rFonts w:ascii="Verdana" w:eastAsia="Arial Nova" w:hAnsi="Verdana" w:cs="Arial"/>
          <w:sz w:val="16"/>
          <w:szCs w:val="16"/>
          <w:lang w:val="pt-BR"/>
        </w:rPr>
        <w:t>Pretelt</w:t>
      </w:r>
      <w:proofErr w:type="spellEnd"/>
      <w:r w:rsidRPr="00064773">
        <w:rPr>
          <w:rFonts w:ascii="Verdana" w:eastAsia="Arial Nova" w:hAnsi="Verdana" w:cs="Arial"/>
          <w:sz w:val="16"/>
          <w:szCs w:val="16"/>
          <w:lang w:val="pt-BR"/>
        </w:rPr>
        <w:t xml:space="preserve"> </w:t>
      </w:r>
      <w:proofErr w:type="spellStart"/>
      <w:r w:rsidRPr="00064773">
        <w:rPr>
          <w:rFonts w:ascii="Verdana" w:eastAsia="Arial Nova" w:hAnsi="Verdana" w:cs="Arial"/>
          <w:sz w:val="16"/>
          <w:szCs w:val="16"/>
          <w:lang w:val="pt-BR"/>
        </w:rPr>
        <w:t>Chaljub</w:t>
      </w:r>
      <w:proofErr w:type="spellEnd"/>
      <w:r w:rsidRPr="00064773">
        <w:rPr>
          <w:rFonts w:ascii="Verdana" w:eastAsia="Arial Nova" w:hAnsi="Verdana" w:cs="Arial"/>
          <w:sz w:val="16"/>
          <w:szCs w:val="16"/>
          <w:lang w:val="pt-BR"/>
        </w:rPr>
        <w:t>.</w:t>
      </w:r>
    </w:p>
    <w:p w14:paraId="206905C1" w14:textId="77777777" w:rsidR="00C54124" w:rsidRPr="00064773" w:rsidDel="00A37FEF" w:rsidRDefault="00C54124" w:rsidP="00C54124">
      <w:pPr>
        <w:spacing w:after="0" w:line="240" w:lineRule="auto"/>
        <w:ind w:firstLine="708"/>
        <w:jc w:val="both"/>
        <w:rPr>
          <w:rFonts w:ascii="Verdana" w:eastAsia="Arial Nova" w:hAnsi="Verdana" w:cs="Arial"/>
          <w:sz w:val="16"/>
          <w:szCs w:val="16"/>
          <w:lang w:val="pt-BR"/>
        </w:rPr>
      </w:pPr>
    </w:p>
  </w:footnote>
  <w:footnote w:id="6">
    <w:p w14:paraId="780E748F" w14:textId="77777777" w:rsidR="00C54124" w:rsidRPr="00064773" w:rsidRDefault="00C54124" w:rsidP="00C54124">
      <w:pPr>
        <w:pStyle w:val="Textonotapie"/>
        <w:ind w:firstLine="709"/>
        <w:jc w:val="both"/>
        <w:rPr>
          <w:rFonts w:ascii="Verdana" w:hAnsi="Verdana" w:cs="Arial"/>
          <w:color w:val="000000" w:themeColor="text1"/>
          <w:sz w:val="16"/>
          <w:szCs w:val="16"/>
          <w:lang w:val="es-CO"/>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themeColor="text1"/>
          <w:sz w:val="16"/>
          <w:szCs w:val="16"/>
          <w:lang w:val="es-ES"/>
        </w:rPr>
        <w:t xml:space="preserve">Consejo de Estado. Sección Segunda. Sentencia de Unificación Jurisprudencial </w:t>
      </w:r>
      <w:r w:rsidRPr="00064773">
        <w:rPr>
          <w:rFonts w:ascii="Verdana" w:hAnsi="Verdana" w:cs="Arial"/>
          <w:color w:val="000000" w:themeColor="text1"/>
          <w:sz w:val="16"/>
          <w:szCs w:val="16"/>
          <w:lang w:val="es-CO"/>
        </w:rPr>
        <w:t>SUJ-025-CE-S2-2021.</w:t>
      </w:r>
      <w:r w:rsidRPr="00064773">
        <w:rPr>
          <w:rFonts w:ascii="Verdana" w:hAnsi="Verdana" w:cs="Arial"/>
          <w:color w:val="000000" w:themeColor="text1"/>
          <w:sz w:val="16"/>
          <w:szCs w:val="16"/>
          <w:lang w:val="es-ES"/>
        </w:rPr>
        <w:t xml:space="preserve"> Radicado (1317-2016). El numeral primero de la parte resolutiva de la sentencia señala lo siguiente:</w:t>
      </w:r>
      <w:r w:rsidRPr="00064773">
        <w:rPr>
          <w:rFonts w:ascii="Verdana" w:eastAsia="Times New Roman" w:hAnsi="Verdana" w:cs="Times New Roman"/>
          <w:sz w:val="16"/>
          <w:szCs w:val="16"/>
          <w:lang w:val="es-CO" w:eastAsia="es-ES_tradnl"/>
        </w:rPr>
        <w:t xml:space="preserve"> </w:t>
      </w:r>
      <w:r w:rsidRPr="00064773">
        <w:rPr>
          <w:rFonts w:ascii="Verdana" w:hAnsi="Verdana" w:cs="Arial"/>
          <w:noProof/>
          <w:sz w:val="16"/>
          <w:szCs w:val="16"/>
          <w:lang w:val="es-ES_tradnl"/>
        </w:rPr>
        <w:t>“</w:t>
      </w:r>
      <w:r w:rsidRPr="00064773">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5D9A7BAC" w14:textId="77777777" w:rsidR="00C54124" w:rsidRPr="00064773" w:rsidRDefault="00C54124" w:rsidP="00C54124">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0A875AB7" w14:textId="77777777" w:rsidR="00C54124" w:rsidRPr="00064773" w:rsidRDefault="00C54124" w:rsidP="00C54124">
      <w:pPr>
        <w:pStyle w:val="Textonotapie"/>
        <w:ind w:firstLine="709"/>
        <w:jc w:val="both"/>
        <w:rPr>
          <w:rFonts w:ascii="Verdana" w:hAnsi="Verdana" w:cs="Arial"/>
          <w:color w:val="000000" w:themeColor="text1"/>
          <w:sz w:val="16"/>
          <w:szCs w:val="16"/>
          <w:lang w:val="es-CO"/>
        </w:rPr>
      </w:pPr>
      <w:r w:rsidRPr="00064773">
        <w:rPr>
          <w:rFonts w:ascii="Verdana" w:hAnsi="Verdana" w:cs="Arial"/>
          <w:color w:val="000000" w:themeColor="text1"/>
          <w:sz w:val="16"/>
          <w:szCs w:val="16"/>
          <w:lang w:val="es-CO"/>
        </w:rPr>
        <w:t>(</w:t>
      </w:r>
      <w:proofErr w:type="spellStart"/>
      <w:r w:rsidRPr="00064773">
        <w:rPr>
          <w:rFonts w:ascii="Verdana" w:hAnsi="Verdana" w:cs="Arial"/>
          <w:color w:val="000000" w:themeColor="text1"/>
          <w:sz w:val="16"/>
          <w:szCs w:val="16"/>
          <w:lang w:val="es-CO"/>
        </w:rPr>
        <w:t>ii</w:t>
      </w:r>
      <w:proofErr w:type="spellEnd"/>
      <w:r w:rsidRPr="00064773">
        <w:rPr>
          <w:rFonts w:ascii="Verdana" w:hAnsi="Verdana" w:cs="Arial"/>
          <w:color w:val="000000" w:themeColor="text1"/>
          <w:sz w:val="16"/>
          <w:szCs w:val="16"/>
          <w:lang w:val="es-CO"/>
        </w:rPr>
        <w:t xml:space="preserve">)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05AFE12C" w14:textId="77777777" w:rsidR="00C54124" w:rsidRPr="00064773" w:rsidRDefault="00C54124" w:rsidP="00C54124">
      <w:pPr>
        <w:pStyle w:val="Textonotapie"/>
        <w:ind w:firstLine="709"/>
        <w:jc w:val="both"/>
        <w:rPr>
          <w:rFonts w:ascii="Verdana" w:hAnsi="Verdana" w:cs="Arial"/>
          <w:sz w:val="16"/>
          <w:szCs w:val="16"/>
          <w:lang w:val="pt-BR"/>
        </w:rPr>
      </w:pPr>
      <w:r w:rsidRPr="00064773">
        <w:rPr>
          <w:rFonts w:ascii="Verdana" w:hAnsi="Verdana" w:cs="Arial"/>
          <w:color w:val="000000" w:themeColor="text1"/>
          <w:sz w:val="16"/>
          <w:szCs w:val="16"/>
          <w:lang w:val="es-CO"/>
        </w:rPr>
        <w:t>(</w:t>
      </w:r>
      <w:proofErr w:type="spellStart"/>
      <w:r w:rsidRPr="00064773">
        <w:rPr>
          <w:rFonts w:ascii="Verdana" w:hAnsi="Verdana" w:cs="Arial"/>
          <w:color w:val="000000" w:themeColor="text1"/>
          <w:sz w:val="16"/>
          <w:szCs w:val="16"/>
          <w:lang w:val="es-CO"/>
        </w:rPr>
        <w:t>iii</w:t>
      </w:r>
      <w:proofErr w:type="spellEnd"/>
      <w:r w:rsidRPr="00064773">
        <w:rPr>
          <w:rFonts w:ascii="Verdana" w:hAnsi="Verdana" w:cs="Arial"/>
          <w:color w:val="000000" w:themeColor="text1"/>
          <w:sz w:val="16"/>
          <w:szCs w:val="16"/>
          <w:lang w:val="es-CO"/>
        </w:rPr>
        <w:t xml:space="preserve">) La tercera regla determina </w:t>
      </w:r>
      <w:proofErr w:type="gramStart"/>
      <w:r w:rsidRPr="00064773">
        <w:rPr>
          <w:rFonts w:ascii="Verdana" w:hAnsi="Verdana" w:cs="Arial"/>
          <w:color w:val="000000" w:themeColor="text1"/>
          <w:sz w:val="16"/>
          <w:szCs w:val="16"/>
          <w:lang w:val="es-CO"/>
        </w:rPr>
        <w:t>que</w:t>
      </w:r>
      <w:proofErr w:type="gramEnd"/>
      <w:r w:rsidRPr="00064773">
        <w:rPr>
          <w:rFonts w:ascii="Verdana" w:hAnsi="Verdana" w:cs="Arial"/>
          <w:color w:val="000000" w:themeColor="text1"/>
          <w:sz w:val="16"/>
          <w:szCs w:val="16"/>
          <w:lang w:val="es-CO"/>
        </w:rPr>
        <w:t xml:space="preserve"> frente a la no afiliación al sistema de la Seguridad Social en salud, por parte de la Administración, es improcedente la devolución de los valores que el contratista hubiese asumido de más, en tanto se recaudaron como recursos de naturaleza parafiscal</w:t>
      </w:r>
      <w:r w:rsidRPr="00064773">
        <w:rPr>
          <w:rFonts w:ascii="Verdana" w:hAnsi="Verdana" w:cs="Arial"/>
          <w:sz w:val="16"/>
          <w:szCs w:val="16"/>
          <w:lang w:val="pt-BR"/>
        </w:rPr>
        <w:t>”.</w:t>
      </w:r>
    </w:p>
    <w:p w14:paraId="475DFB6C" w14:textId="77777777" w:rsidR="00C54124" w:rsidRPr="00064773" w:rsidRDefault="00C54124" w:rsidP="00C54124">
      <w:pPr>
        <w:pStyle w:val="Textonotapie"/>
        <w:ind w:firstLine="709"/>
        <w:jc w:val="both"/>
        <w:rPr>
          <w:rFonts w:ascii="Verdana" w:hAnsi="Verdana"/>
          <w:sz w:val="16"/>
          <w:szCs w:val="16"/>
          <w:lang w:val="es-CO"/>
        </w:rPr>
      </w:pPr>
    </w:p>
  </w:footnote>
  <w:footnote w:id="7">
    <w:p w14:paraId="7B833F0A" w14:textId="77777777" w:rsidR="00C54124" w:rsidRPr="00064773" w:rsidRDefault="00C54124" w:rsidP="00C54124">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064773">
        <w:rPr>
          <w:rFonts w:ascii="Verdana" w:hAnsi="Verdana" w:cs="Arial"/>
          <w:b/>
          <w:bCs/>
          <w:sz w:val="16"/>
          <w:szCs w:val="16"/>
        </w:rPr>
        <w:t>solo para efectos de la prescripción de derechos laborales</w:t>
      </w:r>
      <w:r w:rsidRPr="00064773">
        <w:rPr>
          <w:rFonts w:ascii="Verdana" w:hAnsi="Verdana" w:cs="Arial"/>
          <w:sz w:val="16"/>
          <w:szCs w:val="16"/>
        </w:rPr>
        <w:t>” (Énfasis dentro del texto).</w:t>
      </w:r>
    </w:p>
    <w:p w14:paraId="7516568B" w14:textId="77777777" w:rsidR="00C54124" w:rsidRPr="00064773" w:rsidRDefault="00C54124" w:rsidP="00C54124">
      <w:pPr>
        <w:pStyle w:val="Textonotapie"/>
        <w:ind w:firstLine="709"/>
        <w:jc w:val="both"/>
        <w:rPr>
          <w:rFonts w:ascii="Verdana" w:hAnsi="Verdana"/>
          <w:sz w:val="16"/>
          <w:szCs w:val="16"/>
        </w:rPr>
      </w:pPr>
    </w:p>
  </w:footnote>
  <w:footnote w:id="8">
    <w:p w14:paraId="750312B2" w14:textId="77777777" w:rsidR="00C54124" w:rsidRPr="00064773" w:rsidRDefault="00C54124" w:rsidP="00C54124">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Corte Constitucional. Sentencia C-154 de 1997. Magistrado Ponente: Hernando Herrera Vergara.</w:t>
      </w:r>
    </w:p>
    <w:p w14:paraId="11F12EC7" w14:textId="77777777" w:rsidR="00C54124" w:rsidRPr="00064773" w:rsidRDefault="00C54124" w:rsidP="00C54124">
      <w:pPr>
        <w:pStyle w:val="Textonotapie"/>
        <w:ind w:firstLine="708"/>
        <w:rPr>
          <w:rFonts w:ascii="Verdana" w:hAnsi="Verdana" w:cs="Arial"/>
          <w:color w:val="000000"/>
          <w:sz w:val="16"/>
          <w:szCs w:val="16"/>
          <w:lang w:val="es-ES"/>
        </w:rPr>
      </w:pPr>
    </w:p>
  </w:footnote>
  <w:footnote w:id="9">
    <w:p w14:paraId="6C9C425C"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41AABADC" w14:textId="77777777" w:rsidR="00C54124" w:rsidRPr="00064773" w:rsidRDefault="00C54124" w:rsidP="00C54124">
      <w:pPr>
        <w:pStyle w:val="Textonotapie"/>
        <w:ind w:firstLine="709"/>
        <w:jc w:val="both"/>
        <w:rPr>
          <w:rFonts w:ascii="Verdana" w:hAnsi="Verdana" w:cs="Arial"/>
          <w:color w:val="000000" w:themeColor="text1"/>
          <w:sz w:val="16"/>
          <w:szCs w:val="16"/>
          <w:lang w:val="es-ES"/>
        </w:rPr>
      </w:pPr>
      <w:r w:rsidRPr="00064773">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 </w:t>
      </w:r>
      <w:r w:rsidRPr="00064773">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064773">
        <w:rPr>
          <w:rFonts w:ascii="Verdana" w:hAnsi="Verdana" w:cs="Arial"/>
          <w:color w:val="000000"/>
          <w:sz w:val="16"/>
          <w:szCs w:val="16"/>
          <w:lang w:val="es-ES"/>
        </w:rPr>
        <w:t xml:space="preserve"> </w:t>
      </w:r>
      <w:r w:rsidRPr="00064773">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4DCF5214"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10">
    <w:p w14:paraId="258CA009"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064773">
        <w:rPr>
          <w:rFonts w:ascii="Verdana" w:hAnsi="Verdana" w:cs="Arial"/>
          <w:color w:val="000000"/>
          <w:sz w:val="16"/>
          <w:szCs w:val="16"/>
          <w:lang w:val="es-ES"/>
        </w:rPr>
        <w:t xml:space="preserve">Consejo de Estado. Sección Tercera. Subsección C. Sentencia del 2 de diciembre de 2013. </w:t>
      </w:r>
      <w:proofErr w:type="spellStart"/>
      <w:r w:rsidRPr="00064773">
        <w:rPr>
          <w:rFonts w:ascii="Verdana" w:hAnsi="Verdana" w:cs="Arial"/>
          <w:color w:val="000000"/>
          <w:sz w:val="16"/>
          <w:szCs w:val="16"/>
          <w:lang w:val="es-ES"/>
        </w:rPr>
        <w:t>Exp</w:t>
      </w:r>
      <w:proofErr w:type="spellEnd"/>
      <w:r w:rsidRPr="00064773">
        <w:rPr>
          <w:rFonts w:ascii="Verdana" w:hAnsi="Verdana" w:cs="Arial"/>
          <w:color w:val="000000"/>
          <w:sz w:val="16"/>
          <w:szCs w:val="16"/>
          <w:lang w:val="es-ES"/>
        </w:rPr>
        <w:t>. 41719. C.P. Jaime Orlando Santofimio Gamboa.</w:t>
      </w:r>
    </w:p>
    <w:p w14:paraId="1EE439C9" w14:textId="77777777" w:rsidR="00C54124" w:rsidRPr="00064773" w:rsidDel="00A37FEF" w:rsidRDefault="00C54124" w:rsidP="00C54124">
      <w:pPr>
        <w:pStyle w:val="Textonotapie"/>
        <w:ind w:firstLine="709"/>
        <w:jc w:val="both"/>
        <w:rPr>
          <w:rFonts w:ascii="Verdana" w:hAnsi="Verdana" w:cs="Arial"/>
          <w:color w:val="000000"/>
          <w:sz w:val="16"/>
          <w:szCs w:val="16"/>
          <w:lang w:val="es-ES"/>
        </w:rPr>
      </w:pPr>
    </w:p>
  </w:footnote>
  <w:footnote w:id="11">
    <w:p w14:paraId="3489968F"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D61AAD1"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46E2D69D"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w:t>
      </w:r>
      <w:proofErr w:type="gramStart"/>
      <w:r w:rsidRPr="00064773">
        <w:rPr>
          <w:rFonts w:ascii="Verdana" w:hAnsi="Verdana" w:cs="Arial"/>
          <w:color w:val="000000"/>
          <w:sz w:val="16"/>
          <w:szCs w:val="16"/>
          <w:lang w:val="es-ES"/>
        </w:rPr>
        <w:t>enmarcarse dentro de</w:t>
      </w:r>
      <w:proofErr w:type="gramEnd"/>
      <w:r w:rsidRPr="00064773">
        <w:rPr>
          <w:rFonts w:ascii="Verdana" w:hAnsi="Verdana" w:cs="Arial"/>
          <w:color w:val="000000"/>
          <w:sz w:val="16"/>
          <w:szCs w:val="16"/>
          <w:lang w:val="es-ES"/>
        </w:rPr>
        <w:t xml:space="preserve"> los términos del respectivo contrato”. </w:t>
      </w:r>
    </w:p>
    <w:p w14:paraId="075011D7"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12">
    <w:p w14:paraId="25C91F8D"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2FCC31C6"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1. La causal que invoca para contratar directamente.</w:t>
      </w:r>
    </w:p>
    <w:p w14:paraId="479E52B2"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 El objeto del contrato.</w:t>
      </w:r>
    </w:p>
    <w:p w14:paraId="1FD7415F"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3. El presupuesto para la contratación y las condiciones que exigirá al contratista.</w:t>
      </w:r>
    </w:p>
    <w:p w14:paraId="1FF390A9"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4. El lugar en el cual los interesados pueden consultar los estudios y documentos previos.</w:t>
      </w:r>
    </w:p>
    <w:p w14:paraId="5E01713E"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78624D28"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13">
    <w:p w14:paraId="6E36FE7A"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Esta norma expresa: “</w:t>
      </w:r>
      <w:r w:rsidRPr="00064773">
        <w:rPr>
          <w:rFonts w:ascii="Verdana" w:hAnsi="Verdana" w:cs="Arial"/>
          <w:color w:val="000000"/>
          <w:sz w:val="16"/>
          <w:szCs w:val="16"/>
        </w:rPr>
        <w:t>P</w:t>
      </w:r>
      <w:r w:rsidRPr="00064773">
        <w:rPr>
          <w:rFonts w:ascii="Verdana" w:hAnsi="Verdana" w:cs="Arial"/>
          <w:color w:val="000000"/>
          <w:sz w:val="16"/>
          <w:szCs w:val="16"/>
          <w:lang w:val="es-ES"/>
        </w:rPr>
        <w:t>ara el cumplimiento de los fines de la contratación, las entidades estatales al celebrar un contrato:</w:t>
      </w:r>
    </w:p>
    <w:p w14:paraId="4ECD6D67"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39EAF597"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5DC6E49"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Las entidades estatales podrán pactar estas cláusulas en los contratos de suministro y de prestación de servicios.</w:t>
      </w:r>
    </w:p>
    <w:p w14:paraId="747FA47B"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w:t>
      </w:r>
    </w:p>
    <w:p w14:paraId="5FD60B34"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 w:id="14">
    <w:p w14:paraId="3178A1EF" w14:textId="77777777" w:rsidR="00C54124" w:rsidRPr="00064773" w:rsidRDefault="00C54124" w:rsidP="00C54124">
      <w:pPr>
        <w:pStyle w:val="Textonotapie"/>
        <w:ind w:firstLine="708"/>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7BE911B5" w14:textId="77777777" w:rsidR="00C54124" w:rsidRPr="00064773" w:rsidRDefault="00C54124" w:rsidP="00C54124">
      <w:pPr>
        <w:pStyle w:val="Textonotapie"/>
        <w:ind w:firstLine="708"/>
        <w:rPr>
          <w:rFonts w:ascii="Verdana" w:hAnsi="Verdana" w:cs="Arial"/>
          <w:color w:val="000000"/>
          <w:sz w:val="16"/>
          <w:szCs w:val="16"/>
          <w:lang w:val="es-ES"/>
        </w:rPr>
      </w:pPr>
    </w:p>
  </w:footnote>
  <w:footnote w:id="15">
    <w:p w14:paraId="37593C53" w14:textId="77777777" w:rsidR="00C54124" w:rsidRPr="00064773" w:rsidRDefault="00C54124" w:rsidP="00C54124">
      <w:pPr>
        <w:pStyle w:val="Textonotapie"/>
        <w:ind w:firstLine="709"/>
        <w:jc w:val="both"/>
        <w:rPr>
          <w:rFonts w:ascii="Verdana" w:hAnsi="Verdana" w:cs="Arial"/>
          <w:color w:val="000000"/>
          <w:sz w:val="16"/>
          <w:szCs w:val="16"/>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56C0175" w14:textId="77777777" w:rsidR="00C54124" w:rsidRPr="00064773" w:rsidRDefault="00C54124" w:rsidP="00C54124">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B80E661" w14:textId="77777777" w:rsidR="00C54124" w:rsidRPr="00064773" w:rsidRDefault="00C54124" w:rsidP="00C54124">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w:t>
      </w:r>
    </w:p>
    <w:p w14:paraId="2B130143" w14:textId="77777777" w:rsidR="00C54124" w:rsidRPr="00064773" w:rsidRDefault="00C54124" w:rsidP="00C54124">
      <w:pPr>
        <w:pStyle w:val="Textonotapie"/>
        <w:ind w:firstLine="709"/>
        <w:jc w:val="both"/>
        <w:rPr>
          <w:rFonts w:ascii="Verdana" w:hAnsi="Verdana" w:cs="Arial"/>
          <w:color w:val="000000"/>
          <w:sz w:val="16"/>
          <w:szCs w:val="16"/>
        </w:rPr>
      </w:pPr>
    </w:p>
  </w:footnote>
  <w:footnote w:id="16">
    <w:p w14:paraId="13244202" w14:textId="77777777" w:rsidR="00C54124" w:rsidRPr="00064773" w:rsidRDefault="00C54124" w:rsidP="00C54124">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104F1F5" w14:textId="77777777" w:rsidR="00C54124" w:rsidRPr="00064773" w:rsidRDefault="00C54124" w:rsidP="00C54124">
      <w:pPr>
        <w:pStyle w:val="Textonotapie"/>
        <w:ind w:firstLine="709"/>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E1911" w14:textId="77777777" w:rsidR="00690F00" w:rsidRDefault="00690F0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05C9410" wp14:editId="1AA8E60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C8E826C" wp14:editId="622E532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B345780" w14:textId="77777777" w:rsidR="00690F00" w:rsidRDefault="00690F00" w:rsidP="00515FB5">
    <w:pPr>
      <w:pStyle w:val="Encabezado"/>
    </w:pPr>
  </w:p>
  <w:p w14:paraId="320D976D" w14:textId="77777777" w:rsidR="00690F00" w:rsidRDefault="00690F00" w:rsidP="00515FB5">
    <w:pPr>
      <w:pStyle w:val="Encabezado"/>
    </w:pPr>
  </w:p>
  <w:p w14:paraId="4E7706D7" w14:textId="77777777" w:rsidR="00690F00" w:rsidRPr="00515FB5" w:rsidRDefault="00690F0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3"/>
  </w:num>
  <w:num w:numId="4" w16cid:durableId="3189266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F00"/>
    <w:rsid w:val="000058DC"/>
    <w:rsid w:val="00041AD3"/>
    <w:rsid w:val="000555AC"/>
    <w:rsid w:val="00067D3B"/>
    <w:rsid w:val="000E6107"/>
    <w:rsid w:val="000F5A42"/>
    <w:rsid w:val="00166C83"/>
    <w:rsid w:val="00174A66"/>
    <w:rsid w:val="00226F6A"/>
    <w:rsid w:val="00236ED5"/>
    <w:rsid w:val="004277DD"/>
    <w:rsid w:val="004C5BB5"/>
    <w:rsid w:val="0053151B"/>
    <w:rsid w:val="00553D2E"/>
    <w:rsid w:val="005C4899"/>
    <w:rsid w:val="00690F00"/>
    <w:rsid w:val="006A4F69"/>
    <w:rsid w:val="00757F66"/>
    <w:rsid w:val="00826D36"/>
    <w:rsid w:val="008649BD"/>
    <w:rsid w:val="008A115E"/>
    <w:rsid w:val="0098751C"/>
    <w:rsid w:val="009F26ED"/>
    <w:rsid w:val="00A12218"/>
    <w:rsid w:val="00A90678"/>
    <w:rsid w:val="00AA47C2"/>
    <w:rsid w:val="00AC1A8B"/>
    <w:rsid w:val="00AD553C"/>
    <w:rsid w:val="00AF0D15"/>
    <w:rsid w:val="00B00803"/>
    <w:rsid w:val="00B179FC"/>
    <w:rsid w:val="00B44E30"/>
    <w:rsid w:val="00BA5B27"/>
    <w:rsid w:val="00BB305F"/>
    <w:rsid w:val="00BC7AC2"/>
    <w:rsid w:val="00C23241"/>
    <w:rsid w:val="00C243B9"/>
    <w:rsid w:val="00C47976"/>
    <w:rsid w:val="00C54124"/>
    <w:rsid w:val="00C94B5B"/>
    <w:rsid w:val="00D010F6"/>
    <w:rsid w:val="00D165C8"/>
    <w:rsid w:val="00F362B0"/>
    <w:rsid w:val="00F60E1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FF7B4"/>
  <w15:chartTrackingRefBased/>
  <w15:docId w15:val="{B45C08BE-D083-4A18-9334-F44A7322D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F00"/>
    <w:rPr>
      <w:kern w:val="0"/>
      <w14:ligatures w14:val="none"/>
    </w:rPr>
  </w:style>
  <w:style w:type="paragraph" w:styleId="Ttulo1">
    <w:name w:val="heading 1"/>
    <w:basedOn w:val="Normal"/>
    <w:next w:val="Normal"/>
    <w:link w:val="Ttulo1Car"/>
    <w:uiPriority w:val="9"/>
    <w:qFormat/>
    <w:rsid w:val="00690F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90F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90F0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90F0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90F0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90F0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90F0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90F0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90F0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90F0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90F0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90F0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90F0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90F0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90F0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90F0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90F0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90F00"/>
    <w:rPr>
      <w:rFonts w:eastAsiaTheme="majorEastAsia" w:cstheme="majorBidi"/>
      <w:color w:val="272727" w:themeColor="text1" w:themeTint="D8"/>
    </w:rPr>
  </w:style>
  <w:style w:type="paragraph" w:styleId="Ttulo">
    <w:name w:val="Title"/>
    <w:basedOn w:val="Normal"/>
    <w:next w:val="Normal"/>
    <w:link w:val="TtuloCar"/>
    <w:uiPriority w:val="10"/>
    <w:qFormat/>
    <w:rsid w:val="00690F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90F0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90F0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90F0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90F00"/>
    <w:pPr>
      <w:spacing w:before="160"/>
      <w:jc w:val="center"/>
    </w:pPr>
    <w:rPr>
      <w:i/>
      <w:iCs/>
      <w:color w:val="404040" w:themeColor="text1" w:themeTint="BF"/>
    </w:rPr>
  </w:style>
  <w:style w:type="character" w:customStyle="1" w:styleId="CitaCar">
    <w:name w:val="Cita Car"/>
    <w:basedOn w:val="Fuentedeprrafopredeter"/>
    <w:link w:val="Cita"/>
    <w:uiPriority w:val="29"/>
    <w:rsid w:val="00690F0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690F00"/>
    <w:pPr>
      <w:ind w:left="720"/>
      <w:contextualSpacing/>
    </w:pPr>
  </w:style>
  <w:style w:type="character" w:styleId="nfasisintenso">
    <w:name w:val="Intense Emphasis"/>
    <w:basedOn w:val="Fuentedeprrafopredeter"/>
    <w:uiPriority w:val="21"/>
    <w:qFormat/>
    <w:rsid w:val="00690F00"/>
    <w:rPr>
      <w:i/>
      <w:iCs/>
      <w:color w:val="0F4761" w:themeColor="accent1" w:themeShade="BF"/>
    </w:rPr>
  </w:style>
  <w:style w:type="paragraph" w:styleId="Citadestacada">
    <w:name w:val="Intense Quote"/>
    <w:basedOn w:val="Normal"/>
    <w:next w:val="Normal"/>
    <w:link w:val="CitadestacadaCar"/>
    <w:uiPriority w:val="30"/>
    <w:qFormat/>
    <w:rsid w:val="00690F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90F00"/>
    <w:rPr>
      <w:i/>
      <w:iCs/>
      <w:color w:val="0F4761" w:themeColor="accent1" w:themeShade="BF"/>
    </w:rPr>
  </w:style>
  <w:style w:type="character" w:styleId="Referenciaintensa">
    <w:name w:val="Intense Reference"/>
    <w:basedOn w:val="Fuentedeprrafopredeter"/>
    <w:uiPriority w:val="32"/>
    <w:qFormat/>
    <w:rsid w:val="00690F00"/>
    <w:rPr>
      <w:b/>
      <w:bCs/>
      <w:smallCaps/>
      <w:color w:val="0F4761" w:themeColor="accent1" w:themeShade="BF"/>
      <w:spacing w:val="5"/>
    </w:rPr>
  </w:style>
  <w:style w:type="paragraph" w:styleId="Encabezado">
    <w:name w:val="header"/>
    <w:basedOn w:val="Normal"/>
    <w:link w:val="EncabezadoCar"/>
    <w:uiPriority w:val="99"/>
    <w:unhideWhenUsed/>
    <w:rsid w:val="00690F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0F00"/>
    <w:rPr>
      <w:kern w:val="0"/>
      <w14:ligatures w14:val="none"/>
    </w:rPr>
  </w:style>
  <w:style w:type="paragraph" w:styleId="Piedepgina">
    <w:name w:val="footer"/>
    <w:basedOn w:val="Normal"/>
    <w:link w:val="PiedepginaCar"/>
    <w:uiPriority w:val="99"/>
    <w:unhideWhenUsed/>
    <w:rsid w:val="00690F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0F00"/>
    <w:rPr>
      <w:kern w:val="0"/>
      <w14:ligatures w14:val="none"/>
    </w:rPr>
  </w:style>
  <w:style w:type="table" w:styleId="Tablaconcuadrcula">
    <w:name w:val="Table Grid"/>
    <w:basedOn w:val="Tablanormal"/>
    <w:uiPriority w:val="39"/>
    <w:qFormat/>
    <w:rsid w:val="00690F0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90F00"/>
    <w:rPr>
      <w:color w:val="467886" w:themeColor="hyperlink"/>
      <w:u w:val="single"/>
    </w:rPr>
  </w:style>
  <w:style w:type="character" w:customStyle="1" w:styleId="normaltextrun">
    <w:name w:val="normaltextrun"/>
    <w:basedOn w:val="Fuentedeprrafopredeter"/>
    <w:rsid w:val="00690F00"/>
  </w:style>
  <w:style w:type="character" w:customStyle="1" w:styleId="eop">
    <w:name w:val="eop"/>
    <w:basedOn w:val="Fuentedeprrafopredeter"/>
    <w:rsid w:val="00690F00"/>
  </w:style>
  <w:style w:type="paragraph" w:customStyle="1" w:styleId="paragraph">
    <w:name w:val="paragraph"/>
    <w:basedOn w:val="Normal"/>
    <w:rsid w:val="00690F0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90F00"/>
  </w:style>
  <w:style w:type="paragraph" w:styleId="NormalWeb">
    <w:name w:val="Normal (Web)"/>
    <w:basedOn w:val="Normal"/>
    <w:link w:val="NormalWebCar"/>
    <w:uiPriority w:val="99"/>
    <w:unhideWhenUsed/>
    <w:rsid w:val="00690F0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90F00"/>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C23241"/>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5412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C54124"/>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54124"/>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54124"/>
    <w:rPr>
      <w:vertAlign w:val="superscript"/>
    </w:rPr>
  </w:style>
  <w:style w:type="paragraph" w:customStyle="1" w:styleId="Appelnotedebasde">
    <w:name w:val="Appel note de bas de..."/>
    <w:basedOn w:val="Normal"/>
    <w:link w:val="Refdenotaalpie"/>
    <w:uiPriority w:val="99"/>
    <w:rsid w:val="00C54124"/>
    <w:pPr>
      <w:spacing w:line="240" w:lineRule="exact"/>
    </w:pPr>
    <w:rPr>
      <w:kern w:val="2"/>
      <w:vertAlign w:val="superscript"/>
      <w14:ligatures w14:val="standardContextual"/>
    </w:rPr>
  </w:style>
  <w:style w:type="character" w:customStyle="1" w:styleId="s15">
    <w:name w:val="s15"/>
    <w:basedOn w:val="Fuentedeprrafopredeter"/>
    <w:rsid w:val="00C54124"/>
  </w:style>
  <w:style w:type="character" w:customStyle="1" w:styleId="apple-converted-space">
    <w:name w:val="apple-converted-space"/>
    <w:basedOn w:val="Fuentedeprrafopredeter"/>
    <w:rsid w:val="00B17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c.perez3103@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busqueda/concepto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E0A1DC-A973-4B57-BCBB-9FD652447CD9}"/>
</file>

<file path=customXml/itemProps2.xml><?xml version="1.0" encoding="utf-8"?>
<ds:datastoreItem xmlns:ds="http://schemas.openxmlformats.org/officeDocument/2006/customXml" ds:itemID="{018A9610-2259-4125-96FF-EAB3AB12E4E3}"/>
</file>

<file path=customXml/itemProps3.xml><?xml version="1.0" encoding="utf-8"?>
<ds:datastoreItem xmlns:ds="http://schemas.openxmlformats.org/officeDocument/2006/customXml" ds:itemID="{DCCCBDBC-94DD-4875-9F84-D0A67225384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100</TotalTime>
  <Pages>19</Pages>
  <Words>5303</Words>
  <Characters>29167</Characters>
  <Application>Microsoft Office Word</Application>
  <DocSecurity>0</DocSecurity>
  <Lines>243</Lines>
  <Paragraphs>68</Paragraphs>
  <ScaleCrop>false</ScaleCrop>
  <Company/>
  <LinksUpToDate>false</LinksUpToDate>
  <CharactersWithSpaces>34402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32</cp:revision>
  <dcterms:created xsi:type="dcterms:W3CDTF">2026-05-12T16:38:00Z</dcterms:created>
  <dcterms:modified xsi:type="dcterms:W3CDTF">2026-05-26T21:15:00Z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