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5DE2B" w14:textId="77777777" w:rsidR="006359EC" w:rsidRPr="008647E1" w:rsidRDefault="006359EC" w:rsidP="006359EC">
      <w:pPr>
        <w:jc w:val="both"/>
        <w:rPr>
          <w:rFonts w:ascii="Verdana" w:eastAsia="Calibri" w:hAnsi="Verdana" w:cs="Arial"/>
          <w:b/>
          <w:bCs/>
          <w:lang w:val="es-ES" w:eastAsia="es-ES"/>
        </w:rPr>
      </w:pPr>
      <w:bookmarkStart w:id="0" w:name="_Hlk143780582"/>
      <w:r w:rsidRPr="008647E1">
        <w:rPr>
          <w:rFonts w:ascii="Verdana" w:eastAsia="Calibri" w:hAnsi="Verdana" w:cs="Arial"/>
          <w:b/>
          <w:bCs/>
          <w:lang w:val="es-ES" w:eastAsia="es-ES"/>
        </w:rPr>
        <w:t xml:space="preserve">FRACCIONAMIENTO DE CONTRATOS ‒ Definición – Principio de selección objetiva – Vulneración – Consecuencias </w:t>
      </w:r>
    </w:p>
    <w:p w14:paraId="5E88BD02" w14:textId="77777777" w:rsidR="006359EC" w:rsidRPr="008647E1" w:rsidRDefault="006359EC" w:rsidP="006359EC">
      <w:pPr>
        <w:spacing w:after="120" w:line="240" w:lineRule="auto"/>
        <w:jc w:val="both"/>
        <w:rPr>
          <w:rFonts w:ascii="Verdana" w:eastAsia="Calibri" w:hAnsi="Verdana" w:cs="Arial"/>
          <w:sz w:val="20"/>
          <w:szCs w:val="20"/>
        </w:rPr>
      </w:pPr>
      <w:r w:rsidRPr="008647E1">
        <w:rPr>
          <w:rFonts w:ascii="Verdana" w:eastAsia="Calibri" w:hAnsi="Verdana" w:cs="Arial"/>
          <w:sz w:val="20"/>
          <w:szCs w:val="20"/>
        </w:rPr>
        <w:t xml:space="preserve">el fraccionamiento implica dividir las prestaciones en dos o más contratos que pueden constituir un único negocio jurídico. Para la Corte Suprema de Justicia, ésta se configura, “cuando la administración de manera artificiosa divide la unidad natural del objeto contractual, a fin de seleccionar directamente al contratista cuando debía convocar un proceso de licitación, o para acomodarlo a un proceso menos estricto y riguroso de contratación en defecto del que se imponía seguir atendidos su objeto y cuantía, práctica que riñe con las normas que rigen la contratación estatal, particularmente con los principios de transparencia y de selección objetiva”. Al margen de las posibles repercusiones en el ámbito disciplinario y fiscal, además de viciar de nulidad absoluta los negocios suscritos por objeto o causa ilícita, dicha acción tipifica la conducta punible de celebración de contratos sin cumplimiento de los requisitos legales. </w:t>
      </w:r>
    </w:p>
    <w:p w14:paraId="3EC7E811" w14:textId="77777777" w:rsidR="006359EC" w:rsidRPr="008647E1" w:rsidRDefault="006359EC" w:rsidP="006359EC">
      <w:pPr>
        <w:spacing w:after="0" w:line="240" w:lineRule="auto"/>
        <w:jc w:val="both"/>
        <w:rPr>
          <w:rFonts w:ascii="Verdana" w:eastAsia="Calibri" w:hAnsi="Verdana" w:cs="Arial"/>
          <w:sz w:val="20"/>
          <w:szCs w:val="20"/>
        </w:rPr>
      </w:pPr>
    </w:p>
    <w:p w14:paraId="161EB510" w14:textId="77777777" w:rsidR="006359EC" w:rsidRPr="008647E1" w:rsidRDefault="006359EC" w:rsidP="006359EC">
      <w:pPr>
        <w:jc w:val="both"/>
        <w:rPr>
          <w:rFonts w:ascii="Verdana" w:hAnsi="Verdana" w:cs="Arial"/>
          <w:b/>
          <w:color w:val="000000" w:themeColor="text1"/>
          <w:lang w:val="es-ES_tradnl"/>
        </w:rPr>
      </w:pPr>
      <w:r w:rsidRPr="008647E1">
        <w:rPr>
          <w:rFonts w:ascii="Verdana" w:hAnsi="Verdana" w:cs="Arial"/>
          <w:b/>
          <w:color w:val="000000" w:themeColor="text1"/>
          <w:lang w:val="es-ES_tradnl"/>
        </w:rPr>
        <w:t>CONTRATO SIN CUMPLIMIENTO DE LOS REQUISITOS LEGALES – Tipo penal en blanco – Integración normativa</w:t>
      </w:r>
    </w:p>
    <w:p w14:paraId="3314D4F8" w14:textId="77777777" w:rsidR="006359EC" w:rsidRPr="008647E1" w:rsidRDefault="006359EC" w:rsidP="006359EC">
      <w:pPr>
        <w:spacing w:after="120" w:line="240" w:lineRule="auto"/>
        <w:jc w:val="both"/>
        <w:rPr>
          <w:rFonts w:ascii="Verdana" w:eastAsia="Arial" w:hAnsi="Verdana" w:cs="Arial"/>
          <w:sz w:val="20"/>
          <w:szCs w:val="20"/>
        </w:rPr>
      </w:pPr>
      <w:r w:rsidRPr="008647E1">
        <w:rPr>
          <w:rFonts w:ascii="Verdana" w:eastAsia="Arial" w:hAnsi="Verdana" w:cs="Arial"/>
          <w:sz w:val="20"/>
          <w:szCs w:val="20"/>
        </w:rPr>
        <w:t>La jurisprudencia de la Corte Suprema de Justicia sostuvo que el fraccionamiento se presenta “cuando la administración de manera artificiosa deshace la unidad natural del objeto contractual, a fin de pactar directamente lo que en principio debió regirse por las formas propias de la licitación en atención al factor de la cuantía, práctica que indudablemente riñe con las normas que gobiernan la contratación estatal, particularmente con el principio de transparencia y el deber de selección objetiva” . En estas condiciones, la Corte ha señalado que la configuración del fraccionamiento exige verificar, entre otros aspectos, la existencia de una unidad de objeto y la ausencia de justificaciones técnicas, jurídicas o económicas legítimas que expliquen la celebración de múltiples contratos.</w:t>
      </w:r>
    </w:p>
    <w:p w14:paraId="413B03BD" w14:textId="77777777" w:rsidR="006359EC" w:rsidRPr="008647E1" w:rsidRDefault="006359EC" w:rsidP="006359EC">
      <w:pPr>
        <w:spacing w:after="120" w:line="240" w:lineRule="auto"/>
        <w:jc w:val="both"/>
        <w:rPr>
          <w:rFonts w:ascii="Verdana" w:eastAsia="Arial" w:hAnsi="Verdana" w:cs="Arial"/>
          <w:sz w:val="20"/>
          <w:szCs w:val="20"/>
        </w:rPr>
      </w:pPr>
      <w:r w:rsidRPr="008647E1">
        <w:rPr>
          <w:rFonts w:ascii="Verdana" w:eastAsia="Arial" w:hAnsi="Verdana" w:cs="Arial"/>
          <w:sz w:val="20"/>
          <w:szCs w:val="20"/>
        </w:rPr>
        <w:t xml:space="preserve">En consecuencia, el fraccionamiento contractual no constituye un delito con </w:t>
      </w:r>
      <w:proofErr w:type="spellStart"/>
      <w:r w:rsidRPr="008647E1">
        <w:rPr>
          <w:rFonts w:ascii="Verdana" w:eastAsia="Arial" w:hAnsi="Verdana" w:cs="Arial"/>
          <w:sz w:val="20"/>
          <w:szCs w:val="20"/>
        </w:rPr>
        <w:t>nomen</w:t>
      </w:r>
      <w:proofErr w:type="spellEnd"/>
      <w:r w:rsidRPr="008647E1">
        <w:rPr>
          <w:rFonts w:ascii="Verdana" w:eastAsia="Arial" w:hAnsi="Verdana" w:cs="Arial"/>
          <w:sz w:val="20"/>
          <w:szCs w:val="20"/>
        </w:rPr>
        <w:t xml:space="preserve"> iuris propio, pero, según la jurisprudencia penal, puede integrar un tipo penal específico, en especial el de contrato sin cumplimiento de requisitos legales previsto en el artículo 410 del Código Penal, cuya estructura corresponde a la de un tipo penal en blanco, que debe ser integrada con el régimen jurídico de contratación aplicable en cada caso.</w:t>
      </w:r>
    </w:p>
    <w:p w14:paraId="100B34BE" w14:textId="77777777" w:rsidR="006359EC" w:rsidRPr="008647E1" w:rsidRDefault="006359EC" w:rsidP="006359EC">
      <w:pPr>
        <w:spacing w:after="0" w:line="240" w:lineRule="auto"/>
        <w:jc w:val="both"/>
        <w:rPr>
          <w:rFonts w:ascii="Verdana" w:eastAsia="Arial" w:hAnsi="Verdana" w:cs="Arial"/>
          <w:sz w:val="20"/>
          <w:szCs w:val="20"/>
        </w:rPr>
      </w:pPr>
    </w:p>
    <w:p w14:paraId="18F310A7" w14:textId="77777777" w:rsidR="006359EC" w:rsidRPr="008647E1" w:rsidRDefault="006359EC" w:rsidP="006359EC">
      <w:pPr>
        <w:jc w:val="both"/>
        <w:rPr>
          <w:rFonts w:ascii="Verdana" w:hAnsi="Verdana" w:cs="Arial"/>
          <w:b/>
          <w:bCs/>
          <w:color w:val="000000" w:themeColor="text1"/>
        </w:rPr>
      </w:pPr>
      <w:r w:rsidRPr="008647E1">
        <w:rPr>
          <w:rFonts w:ascii="Verdana" w:hAnsi="Verdana" w:cs="Arial"/>
          <w:b/>
          <w:bCs/>
          <w:color w:val="000000" w:themeColor="text1"/>
        </w:rPr>
        <w:t xml:space="preserve">ENTIDADES EXCEPTUADAS – Fraccionamiento – Responsabilidad penal </w:t>
      </w:r>
    </w:p>
    <w:p w14:paraId="3FD28FEA" w14:textId="77777777" w:rsidR="006359EC" w:rsidRPr="008647E1" w:rsidRDefault="006359EC" w:rsidP="006359EC">
      <w:pPr>
        <w:spacing w:after="120" w:line="240" w:lineRule="auto"/>
        <w:jc w:val="both"/>
        <w:rPr>
          <w:rFonts w:ascii="Verdana" w:eastAsia="Arial" w:hAnsi="Verdana" w:cs="Arial"/>
          <w:sz w:val="20"/>
          <w:szCs w:val="20"/>
        </w:rPr>
      </w:pPr>
      <w:r w:rsidRPr="008647E1">
        <w:rPr>
          <w:rFonts w:ascii="Verdana" w:eastAsia="Arial" w:hAnsi="Verdana" w:cs="Arial"/>
          <w:sz w:val="20"/>
          <w:szCs w:val="20"/>
        </w:rPr>
        <w:t xml:space="preserve">En consecuencia, el hecho de que las Empresas Industriales y Comerciales del Estado no tengan como único régimen de contratación la Ley 80 de 1993 no impide la configuración del fraccionamiento contractual, cuando estas se utilicen de forma artificiosa para eludir los procedimientos de selección o los requisitos legales esenciales aplicables conforme a su régimen especial, ni excluye la relevancia penal de dicha práctica. Tal como se expuso, el fraccionamiento no constituye un delito autónomo, pero puede integrar el tipo penal del artículo 410 del Código Penal, de manera que la tipicidad penal no depende del régimen contractual —general o exceptuado—, sino de la </w:t>
      </w:r>
      <w:r w:rsidRPr="008647E1">
        <w:rPr>
          <w:rFonts w:ascii="Verdana" w:eastAsia="Arial" w:hAnsi="Verdana" w:cs="Arial"/>
          <w:sz w:val="20"/>
          <w:szCs w:val="20"/>
        </w:rPr>
        <w:lastRenderedPageBreak/>
        <w:t>utilización indebida de dicho régimen para soslayar normas, principios y requisitos esenciales que garantizan la transparencia, la selección objetiva y la legalidad de la contratación estatal, aun cuando esta se rija por normas de derecho privado.</w:t>
      </w:r>
    </w:p>
    <w:p w14:paraId="0BE7D529" w14:textId="77777777" w:rsidR="006359EC" w:rsidRPr="008647E1" w:rsidRDefault="006359EC" w:rsidP="006359EC">
      <w:pPr>
        <w:spacing w:after="120" w:line="240" w:lineRule="auto"/>
        <w:jc w:val="both"/>
        <w:rPr>
          <w:rFonts w:ascii="Verdana" w:eastAsia="Arial" w:hAnsi="Verdana" w:cs="Arial"/>
          <w:sz w:val="20"/>
          <w:szCs w:val="20"/>
        </w:rPr>
      </w:pPr>
      <w:r w:rsidRPr="008647E1">
        <w:rPr>
          <w:rFonts w:ascii="Verdana" w:eastAsia="Arial" w:hAnsi="Verdana" w:cs="Arial"/>
          <w:sz w:val="20"/>
          <w:szCs w:val="20"/>
        </w:rPr>
        <w:t xml:space="preserve">Con todo, a diferencia de lo que sucede con las Entidades Estatales sometidas al EGCAP, respecto de las cuales el parámetro para determinar la licitud de la conducta está dado por las disposiciones legales y reglamentarias que integran dicho régimen, tratándose de entidades exceptuadas de dicho régimen, la configuración del delito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w:t>
      </w:r>
    </w:p>
    <w:p w14:paraId="38C7F48D" w14:textId="39912122" w:rsidR="00354F23" w:rsidRPr="008647E1" w:rsidRDefault="006359EC" w:rsidP="00354F23">
      <w:pPr>
        <w:spacing w:after="0" w:line="240" w:lineRule="auto"/>
        <w:rPr>
          <w:rFonts w:ascii="Verdana" w:eastAsia="Geomanist Light" w:hAnsi="Verdana" w:cs="Arial"/>
          <w:color w:val="201F1E"/>
        </w:rPr>
      </w:pPr>
      <w:r w:rsidRPr="008647E1">
        <w:rPr>
          <w:rFonts w:ascii="Verdana" w:eastAsia="Arial" w:hAnsi="Verdana" w:cs="Arial"/>
          <w:sz w:val="20"/>
          <w:szCs w:val="20"/>
        </w:rPr>
        <w:br w:type="page"/>
      </w:r>
      <w:r w:rsidR="00354F23" w:rsidRPr="008647E1">
        <w:rPr>
          <w:rFonts w:ascii="Verdana" w:eastAsia="Geomanist Light" w:hAnsi="Verdana" w:cs="Arial"/>
          <w:color w:val="000000" w:themeColor="text1"/>
        </w:rPr>
        <w:lastRenderedPageBreak/>
        <w:t>Bogotá D.C., </w:t>
      </w:r>
      <w:r w:rsidR="00BC134F">
        <w:rPr>
          <w:rFonts w:ascii="Verdana" w:eastAsia="Geomanist Light" w:hAnsi="Verdana" w:cs="Arial"/>
          <w:color w:val="201F1E"/>
        </w:rPr>
        <w:t>18 de mayo de 2026</w:t>
      </w:r>
    </w:p>
    <w:p w14:paraId="69FD9911" w14:textId="77777777" w:rsidR="00354F23" w:rsidRPr="008647E1" w:rsidRDefault="00354F23" w:rsidP="00354F23">
      <w:pPr>
        <w:spacing w:after="0"/>
        <w:rPr>
          <w:rFonts w:ascii="Verdana" w:eastAsia="Verdana" w:hAnsi="Verdana" w:cs="Verdana"/>
        </w:rPr>
      </w:pPr>
    </w:p>
    <w:p w14:paraId="40E604D5" w14:textId="4DE43461" w:rsidR="00354F23" w:rsidRPr="008647E1" w:rsidRDefault="00F36D17" w:rsidP="00F36D17">
      <w:pPr>
        <w:spacing w:after="0"/>
        <w:jc w:val="right"/>
        <w:rPr>
          <w:rFonts w:ascii="Verdana" w:eastAsia="Verdana" w:hAnsi="Verdana" w:cs="Verdana"/>
        </w:rPr>
      </w:pPr>
      <w:r w:rsidRPr="00F36D17">
        <w:rPr>
          <w:rFonts w:ascii="Verdana" w:eastAsia="Verdana" w:hAnsi="Verdana" w:cs="Verdana"/>
          <w:noProof/>
        </w:rPr>
        <w:drawing>
          <wp:anchor distT="0" distB="0" distL="114300" distR="114300" simplePos="0" relativeHeight="251658240" behindDoc="0" locked="0" layoutInCell="1" allowOverlap="1" wp14:anchorId="3E163B8D" wp14:editId="384A151B">
            <wp:simplePos x="0" y="0"/>
            <wp:positionH relativeFrom="column">
              <wp:posOffset>3438525</wp:posOffset>
            </wp:positionH>
            <wp:positionV relativeFrom="paragraph">
              <wp:posOffset>-3175</wp:posOffset>
            </wp:positionV>
            <wp:extent cx="2164080" cy="906780"/>
            <wp:effectExtent l="0" t="0" r="7620" b="7620"/>
            <wp:wrapSquare wrapText="bothSides"/>
            <wp:docPr id="5259419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4080" cy="906780"/>
                    </a:xfrm>
                    <a:prstGeom prst="rect">
                      <a:avLst/>
                    </a:prstGeom>
                    <a:noFill/>
                    <a:ln>
                      <a:noFill/>
                    </a:ln>
                  </pic:spPr>
                </pic:pic>
              </a:graphicData>
            </a:graphic>
          </wp:anchor>
        </w:drawing>
      </w:r>
    </w:p>
    <w:p w14:paraId="5354292F" w14:textId="77777777" w:rsidR="00354F23" w:rsidRPr="008647E1" w:rsidRDefault="00354F23" w:rsidP="00354F23">
      <w:pPr>
        <w:spacing w:after="0"/>
        <w:rPr>
          <w:rFonts w:ascii="Verdana" w:eastAsia="Verdana" w:hAnsi="Verdana" w:cs="Verdana"/>
          <w:lang w:val="es-MX"/>
        </w:rPr>
      </w:pPr>
      <w:r w:rsidRPr="008647E1">
        <w:rPr>
          <w:rFonts w:ascii="Verdana" w:eastAsia="Verdana" w:hAnsi="Verdana" w:cs="Verdana"/>
          <w:lang w:val="es-MX"/>
        </w:rPr>
        <w:t>Señor</w:t>
      </w:r>
    </w:p>
    <w:p w14:paraId="5EBCC6B1" w14:textId="77777777" w:rsidR="00354F23" w:rsidRPr="008647E1" w:rsidRDefault="00354F23" w:rsidP="00354F23">
      <w:pPr>
        <w:spacing w:after="0"/>
        <w:rPr>
          <w:rFonts w:ascii="Verdana" w:eastAsia="Verdana" w:hAnsi="Verdana" w:cs="Verdana"/>
          <w:b/>
          <w:bCs/>
          <w:lang w:val="es-MX"/>
        </w:rPr>
      </w:pPr>
      <w:r w:rsidRPr="008647E1">
        <w:rPr>
          <w:rFonts w:ascii="Verdana" w:eastAsia="Verdana" w:hAnsi="Verdana" w:cs="Verdana"/>
          <w:b/>
          <w:bCs/>
          <w:lang w:val="es-MX"/>
        </w:rPr>
        <w:t>Nicolás Forero Obregón</w:t>
      </w:r>
    </w:p>
    <w:p w14:paraId="0B1F4D3F" w14:textId="77777777" w:rsidR="00354F23" w:rsidRPr="008647E1" w:rsidRDefault="00354F23" w:rsidP="00354F23">
      <w:pPr>
        <w:spacing w:after="0"/>
        <w:rPr>
          <w:rFonts w:ascii="Verdana" w:eastAsia="Verdana" w:hAnsi="Verdana" w:cs="Verdana"/>
          <w:b/>
          <w:bCs/>
          <w:lang w:val="es-MX"/>
        </w:rPr>
      </w:pPr>
      <w:r w:rsidRPr="008647E1">
        <w:rPr>
          <w:rFonts w:ascii="Verdana" w:eastAsia="Verdana" w:hAnsi="Verdana" w:cs="Verdana"/>
          <w:b/>
          <w:bCs/>
          <w:lang w:val="es-MX"/>
        </w:rPr>
        <w:t>Gerente General</w:t>
      </w:r>
    </w:p>
    <w:p w14:paraId="4AE30E4D" w14:textId="77777777" w:rsidR="00354F23" w:rsidRPr="008647E1" w:rsidRDefault="00354F23" w:rsidP="00354F23">
      <w:pPr>
        <w:spacing w:after="0"/>
        <w:rPr>
          <w:rFonts w:ascii="Verdana" w:eastAsia="Verdana" w:hAnsi="Verdana" w:cs="Verdana"/>
          <w:b/>
          <w:bCs/>
          <w:lang w:val="es-MX"/>
        </w:rPr>
      </w:pPr>
      <w:r w:rsidRPr="008647E1">
        <w:rPr>
          <w:rFonts w:ascii="Verdana" w:eastAsia="Verdana" w:hAnsi="Verdana" w:cs="Verdana"/>
          <w:b/>
          <w:bCs/>
          <w:lang w:val="es-MX"/>
        </w:rPr>
        <w:t>Empresa de Licores de Cundinamarca</w:t>
      </w:r>
    </w:p>
    <w:p w14:paraId="03A88475" w14:textId="77777777" w:rsidR="00354F23" w:rsidRPr="008647E1" w:rsidRDefault="00354F23" w:rsidP="00354F23">
      <w:pPr>
        <w:spacing w:after="0"/>
        <w:rPr>
          <w:rFonts w:ascii="Verdana" w:eastAsia="Verdana" w:hAnsi="Verdana" w:cs="Verdana"/>
        </w:rPr>
      </w:pPr>
      <w:hyperlink r:id="rId12" w:history="1">
        <w:r w:rsidRPr="008647E1">
          <w:rPr>
            <w:rFonts w:ascii="Verdana" w:eastAsia="Verdana" w:hAnsi="Verdana" w:cs="Verdana"/>
            <w:color w:val="0000FF"/>
            <w:u w:val="single"/>
          </w:rPr>
          <w:t>nicolas.forero@elc.com.co</w:t>
        </w:r>
      </w:hyperlink>
    </w:p>
    <w:p w14:paraId="72EE1FDE" w14:textId="77777777" w:rsidR="00354F23" w:rsidRPr="008647E1" w:rsidRDefault="00354F23" w:rsidP="00354F23">
      <w:pPr>
        <w:spacing w:after="0"/>
        <w:rPr>
          <w:rFonts w:ascii="Verdana" w:eastAsia="Verdana" w:hAnsi="Verdana" w:cs="Verdana"/>
        </w:rPr>
      </w:pPr>
      <w:hyperlink r:id="rId13" w:history="1">
        <w:r w:rsidRPr="008647E1">
          <w:rPr>
            <w:rFonts w:ascii="Verdana" w:eastAsia="Verdana" w:hAnsi="Verdana" w:cs="Verdana"/>
            <w:color w:val="0000FF"/>
            <w:u w:val="single"/>
          </w:rPr>
          <w:t>yurany.triana@elc.com.co</w:t>
        </w:r>
      </w:hyperlink>
      <w:r w:rsidRPr="008647E1">
        <w:rPr>
          <w:rFonts w:ascii="Verdana" w:eastAsia="Verdana" w:hAnsi="Verdana" w:cs="Verdana"/>
        </w:rPr>
        <w:t xml:space="preserve"> </w:t>
      </w:r>
    </w:p>
    <w:p w14:paraId="34497DA9" w14:textId="77777777" w:rsidR="00354F23" w:rsidRPr="008647E1" w:rsidRDefault="00354F23" w:rsidP="00354F23">
      <w:pPr>
        <w:spacing w:after="0"/>
        <w:rPr>
          <w:rFonts w:ascii="Verdana" w:eastAsia="Verdana" w:hAnsi="Verdana" w:cs="Verdana"/>
        </w:rPr>
      </w:pPr>
      <w:r w:rsidRPr="008647E1">
        <w:rPr>
          <w:rFonts w:ascii="Verdana" w:eastAsia="Verdana" w:hAnsi="Verdana" w:cs="Verdana"/>
        </w:rPr>
        <w:t>Cota, Cundinamarca</w:t>
      </w:r>
    </w:p>
    <w:p w14:paraId="02669989" w14:textId="77777777" w:rsidR="00354F23" w:rsidRPr="008647E1" w:rsidRDefault="00354F23" w:rsidP="00354F23">
      <w:pPr>
        <w:spacing w:after="0"/>
        <w:rPr>
          <w:rFonts w:ascii="Verdana" w:eastAsia="Verdana" w:hAnsi="Verdana" w:cs="Verdana"/>
        </w:rPr>
      </w:pPr>
    </w:p>
    <w:p w14:paraId="351CC7C8" w14:textId="77777777" w:rsidR="00354F23" w:rsidRPr="008647E1" w:rsidRDefault="00354F23" w:rsidP="00354F23">
      <w:pPr>
        <w:spacing w:after="0"/>
        <w:rPr>
          <w:rFonts w:ascii="Verdana" w:eastAsia="Verdana" w:hAnsi="Verdana" w:cs="Verdana"/>
        </w:rPr>
      </w:pPr>
    </w:p>
    <w:p w14:paraId="2C29012D" w14:textId="77777777" w:rsidR="00354F23" w:rsidRPr="008647E1" w:rsidRDefault="00354F23" w:rsidP="00354F23">
      <w:pPr>
        <w:spacing w:after="0" w:line="276" w:lineRule="auto"/>
        <w:ind w:left="1416" w:firstLine="708"/>
        <w:rPr>
          <w:rFonts w:ascii="Verdana" w:eastAsia="Calibri" w:hAnsi="Verdana" w:cs="Arial"/>
          <w:b/>
          <w:bCs/>
          <w:lang w:eastAsia="es-ES"/>
        </w:rPr>
      </w:pPr>
      <w:r w:rsidRPr="008647E1">
        <w:rPr>
          <w:rFonts w:ascii="Verdana" w:eastAsia="Calibri" w:hAnsi="Verdana" w:cs="Arial"/>
          <w:b/>
          <w:bCs/>
          <w:lang w:eastAsia="es-ES"/>
        </w:rPr>
        <w:t xml:space="preserve">        Concepto C-614 de 2026</w:t>
      </w:r>
    </w:p>
    <w:p w14:paraId="3C1EEAB3" w14:textId="77777777" w:rsidR="00354F23" w:rsidRPr="008647E1" w:rsidRDefault="00354F23" w:rsidP="00354F23">
      <w:pPr>
        <w:spacing w:after="0" w:line="276" w:lineRule="auto"/>
        <w:ind w:firstLine="709"/>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54F23" w:rsidRPr="008647E1" w14:paraId="484B033A" w14:textId="77777777" w:rsidTr="00813B0E">
        <w:trPr>
          <w:trHeight w:val="884"/>
        </w:trPr>
        <w:tc>
          <w:tcPr>
            <w:tcW w:w="2689" w:type="dxa"/>
          </w:tcPr>
          <w:p w14:paraId="091E9638" w14:textId="77777777" w:rsidR="00354F23" w:rsidRPr="008647E1" w:rsidRDefault="00354F23" w:rsidP="00813B0E">
            <w:pPr>
              <w:spacing w:line="276" w:lineRule="auto"/>
              <w:ind w:firstLine="709"/>
              <w:jc w:val="both"/>
              <w:rPr>
                <w:rFonts w:ascii="Verdana" w:eastAsia="Calibri" w:hAnsi="Verdana" w:cs="Arial"/>
                <w:color w:val="000000"/>
                <w:lang w:eastAsia="es-ES_tradnl"/>
              </w:rPr>
            </w:pPr>
            <w:r w:rsidRPr="008647E1">
              <w:rPr>
                <w:rFonts w:ascii="Verdana" w:eastAsia="Calibri" w:hAnsi="Verdana" w:cs="Arial"/>
                <w:b/>
                <w:color w:val="000000"/>
                <w:lang w:eastAsia="es-ES_tradnl"/>
              </w:rPr>
              <w:t>Temas:</w:t>
            </w:r>
            <w:r w:rsidRPr="008647E1">
              <w:rPr>
                <w:rFonts w:ascii="Verdana" w:eastAsia="Calibri" w:hAnsi="Verdana" w:cs="Arial"/>
                <w:color w:val="000000"/>
                <w:lang w:eastAsia="es-ES_tradnl"/>
              </w:rPr>
              <w:t xml:space="preserve">                   </w:t>
            </w:r>
          </w:p>
        </w:tc>
        <w:tc>
          <w:tcPr>
            <w:tcW w:w="6100" w:type="dxa"/>
          </w:tcPr>
          <w:p w14:paraId="757596DE" w14:textId="77777777" w:rsidR="00354F23" w:rsidRPr="008647E1" w:rsidRDefault="00354F23" w:rsidP="00813B0E">
            <w:pPr>
              <w:jc w:val="both"/>
              <w:rPr>
                <w:rFonts w:ascii="Verdana" w:hAnsi="Verdana" w:cs="Arial"/>
                <w:bCs/>
                <w:color w:val="000000" w:themeColor="text1"/>
                <w:lang w:val="es-ES_tradnl"/>
              </w:rPr>
            </w:pPr>
            <w:r w:rsidRPr="008647E1">
              <w:rPr>
                <w:rFonts w:ascii="Verdana" w:eastAsia="Calibri" w:hAnsi="Verdana" w:cs="Arial"/>
                <w:lang w:val="es-ES" w:eastAsia="es-ES"/>
              </w:rPr>
              <w:t xml:space="preserve">FRACCIONAMIENTO DE CONTRATOS ‒ Definición – Principio de selección objetiva – Vulneración – Consecuencias </w:t>
            </w:r>
            <w:r w:rsidRPr="008647E1">
              <w:rPr>
                <w:rFonts w:ascii="Verdana" w:hAnsi="Verdana" w:cs="Arial"/>
                <w:bCs/>
                <w:color w:val="000000" w:themeColor="text1"/>
              </w:rPr>
              <w:t xml:space="preserve">/ </w:t>
            </w:r>
            <w:r w:rsidRPr="008647E1">
              <w:rPr>
                <w:rFonts w:ascii="Verdana" w:hAnsi="Verdana" w:cs="Arial"/>
                <w:bCs/>
                <w:color w:val="000000" w:themeColor="text1"/>
                <w:lang w:val="es-ES_tradnl"/>
              </w:rPr>
              <w:t xml:space="preserve">CONTRATO SIN CUMPLIMIENTO DE LOS REQUISITOS LEGALES – Tipo penal en blanco – Integración normativa </w:t>
            </w:r>
            <w:r w:rsidRPr="008647E1">
              <w:rPr>
                <w:rFonts w:ascii="Verdana" w:hAnsi="Verdana" w:cs="Arial"/>
                <w:bCs/>
                <w:color w:val="000000" w:themeColor="text1"/>
              </w:rPr>
              <w:t>/ ENTIDADES EXCEPTUADAS – Fraccionamiento – Responsabilidad penal</w:t>
            </w:r>
          </w:p>
          <w:p w14:paraId="3B29A927" w14:textId="77777777" w:rsidR="00354F23" w:rsidRPr="008647E1" w:rsidRDefault="00354F23" w:rsidP="00813B0E">
            <w:pPr>
              <w:spacing w:line="276" w:lineRule="auto"/>
              <w:ind w:firstLine="709"/>
              <w:jc w:val="both"/>
              <w:rPr>
                <w:rFonts w:ascii="Verdana" w:eastAsia="Calibri" w:hAnsi="Verdana" w:cs="Arial"/>
                <w:lang w:eastAsia="es-ES"/>
              </w:rPr>
            </w:pPr>
          </w:p>
        </w:tc>
      </w:tr>
      <w:tr w:rsidR="00354F23" w:rsidRPr="008647E1" w14:paraId="1191891D" w14:textId="77777777" w:rsidTr="00813B0E">
        <w:tc>
          <w:tcPr>
            <w:tcW w:w="2689" w:type="dxa"/>
          </w:tcPr>
          <w:p w14:paraId="00C79B8B" w14:textId="77777777" w:rsidR="00354F23" w:rsidRPr="008647E1" w:rsidRDefault="00354F23" w:rsidP="00813B0E">
            <w:pPr>
              <w:spacing w:line="276" w:lineRule="auto"/>
              <w:ind w:firstLine="709"/>
              <w:jc w:val="both"/>
              <w:rPr>
                <w:rFonts w:ascii="Verdana" w:eastAsia="Calibri" w:hAnsi="Verdana" w:cs="Arial"/>
                <w:b/>
                <w:lang w:eastAsia="es-ES_tradnl"/>
              </w:rPr>
            </w:pPr>
            <w:r w:rsidRPr="008647E1">
              <w:rPr>
                <w:rFonts w:ascii="Verdana" w:eastAsia="Calibri" w:hAnsi="Verdana" w:cs="Arial"/>
                <w:b/>
                <w:lang w:eastAsia="es-ES_tradnl"/>
              </w:rPr>
              <w:t>Radicación:</w:t>
            </w:r>
            <w:r w:rsidRPr="008647E1">
              <w:rPr>
                <w:rFonts w:ascii="Verdana" w:eastAsia="Calibri" w:hAnsi="Verdana" w:cs="Arial"/>
                <w:lang w:eastAsia="es-ES_tradnl"/>
              </w:rPr>
              <w:t xml:space="preserve">               </w:t>
            </w:r>
          </w:p>
        </w:tc>
        <w:tc>
          <w:tcPr>
            <w:tcW w:w="6100" w:type="dxa"/>
          </w:tcPr>
          <w:p w14:paraId="04A6E450" w14:textId="77777777" w:rsidR="00354F23" w:rsidRPr="008647E1" w:rsidRDefault="00354F23" w:rsidP="00813B0E">
            <w:pPr>
              <w:spacing w:line="276" w:lineRule="auto"/>
              <w:jc w:val="both"/>
              <w:rPr>
                <w:rFonts w:ascii="Verdana" w:eastAsia="Calibri" w:hAnsi="Verdana" w:cs="Arial"/>
                <w:lang w:eastAsia="es-ES_tradnl"/>
              </w:rPr>
            </w:pPr>
            <w:r w:rsidRPr="008647E1">
              <w:rPr>
                <w:rFonts w:ascii="Verdana" w:eastAsia="Calibri" w:hAnsi="Verdana" w:cs="Arial"/>
                <w:lang w:eastAsia="es-ES_tradnl"/>
              </w:rPr>
              <w:t>Respuesta a consulta con radicado No. 1_2026_04_14_005080</w:t>
            </w:r>
          </w:p>
        </w:tc>
      </w:tr>
    </w:tbl>
    <w:p w14:paraId="1745D76A" w14:textId="77777777" w:rsidR="00354F23" w:rsidRPr="008647E1" w:rsidRDefault="00354F23" w:rsidP="00354F23">
      <w:pPr>
        <w:spacing w:after="0" w:line="276" w:lineRule="auto"/>
        <w:ind w:firstLine="709"/>
        <w:jc w:val="both"/>
        <w:rPr>
          <w:rFonts w:ascii="Verdana" w:eastAsia="Calibri" w:hAnsi="Verdana" w:cs="Arial"/>
          <w:color w:val="000000"/>
          <w:lang w:eastAsia="es-ES_tradnl"/>
        </w:rPr>
      </w:pPr>
    </w:p>
    <w:p w14:paraId="6D65C8B7" w14:textId="77777777" w:rsidR="00354F23" w:rsidRPr="008647E1" w:rsidRDefault="00354F23" w:rsidP="00354F23">
      <w:pPr>
        <w:spacing w:after="0" w:line="276" w:lineRule="auto"/>
        <w:ind w:firstLine="709"/>
        <w:jc w:val="both"/>
        <w:rPr>
          <w:rFonts w:ascii="Verdana" w:eastAsia="Calibri" w:hAnsi="Verdana" w:cs="Arial"/>
          <w:color w:val="000000"/>
          <w:lang w:eastAsia="es-ES_tradnl"/>
        </w:rPr>
      </w:pPr>
    </w:p>
    <w:p w14:paraId="74D20440" w14:textId="77777777" w:rsidR="00354F23" w:rsidRPr="008647E1" w:rsidRDefault="00354F23" w:rsidP="00354F23">
      <w:pPr>
        <w:spacing w:after="0" w:line="276" w:lineRule="auto"/>
        <w:jc w:val="both"/>
        <w:rPr>
          <w:rFonts w:ascii="Verdana" w:eastAsia="Calibri" w:hAnsi="Verdana" w:cs="Arial"/>
          <w:lang w:eastAsia="es-ES"/>
        </w:rPr>
      </w:pPr>
      <w:r w:rsidRPr="008647E1">
        <w:rPr>
          <w:rFonts w:ascii="Verdana" w:eastAsia="Calibri" w:hAnsi="Verdana" w:cs="Arial"/>
          <w:lang w:eastAsia="es-ES"/>
        </w:rPr>
        <w:t>Estimado señor Forero:</w:t>
      </w:r>
    </w:p>
    <w:p w14:paraId="37FA13B2" w14:textId="77777777" w:rsidR="00354F23" w:rsidRPr="008647E1" w:rsidRDefault="00354F23" w:rsidP="00354F23">
      <w:pPr>
        <w:tabs>
          <w:tab w:val="left" w:pos="3768"/>
        </w:tabs>
        <w:spacing w:after="0" w:line="276" w:lineRule="auto"/>
        <w:ind w:firstLine="709"/>
        <w:jc w:val="both"/>
        <w:rPr>
          <w:rFonts w:ascii="Verdana" w:eastAsia="Calibri" w:hAnsi="Verdana" w:cs="Arial"/>
          <w:color w:val="000000"/>
          <w:lang w:eastAsia="es-ES"/>
        </w:rPr>
      </w:pPr>
      <w:r w:rsidRPr="008647E1">
        <w:rPr>
          <w:rFonts w:ascii="Verdana" w:eastAsia="Calibri" w:hAnsi="Verdana" w:cs="Arial"/>
          <w:color w:val="000000"/>
          <w:lang w:eastAsia="es-ES"/>
        </w:rPr>
        <w:tab/>
      </w:r>
    </w:p>
    <w:p w14:paraId="0FD264AA" w14:textId="77777777" w:rsidR="00354F23" w:rsidRPr="008647E1" w:rsidRDefault="00354F23" w:rsidP="00354F23">
      <w:pPr>
        <w:spacing w:after="0" w:line="276" w:lineRule="auto"/>
        <w:jc w:val="both"/>
        <w:rPr>
          <w:rFonts w:ascii="Verdana" w:eastAsia="Calibri" w:hAnsi="Verdana" w:cs="Arial"/>
        </w:rPr>
      </w:pPr>
      <w:r w:rsidRPr="008647E1">
        <w:rPr>
          <w:rFonts w:ascii="Verdana" w:eastAsia="Calibri" w:hAnsi="Verdana" w:cs="Arial"/>
          <w:color w:val="000000"/>
          <w:lang w:eastAsia="es-ES"/>
        </w:rPr>
        <w:t>En ejercicio de la competencia otorgada por los artículos 3, numeral 5º, y 11, numeral 8º, del Decreto Ley 4170 de 2011,</w:t>
      </w:r>
      <w:r w:rsidRPr="008647E1">
        <w:rPr>
          <w:rFonts w:ascii="Verdana" w:eastAsia="Arial MT" w:hAnsi="Verdana" w:cs="Arial MT"/>
          <w:lang w:eastAsia="es-ES"/>
        </w:rPr>
        <w:t xml:space="preserve"> </w:t>
      </w:r>
      <w:r w:rsidRPr="008647E1">
        <w:rPr>
          <w:rFonts w:ascii="Verdana" w:hAnsi="Verdana" w:cs="Arial"/>
        </w:rPr>
        <w:t>así como lo establecido en la Resolución 469 de 2025 expedida por esta Entidad</w:t>
      </w:r>
      <w:r w:rsidRPr="008647E1">
        <w:rPr>
          <w:rFonts w:ascii="Verdana" w:eastAsia="Calibri" w:hAnsi="Verdana" w:cs="Arial"/>
        </w:rPr>
        <w:t xml:space="preserve">, </w:t>
      </w:r>
      <w:r w:rsidRPr="008647E1">
        <w:rPr>
          <w:rFonts w:ascii="Verdana" w:eastAsia="Calibri" w:hAnsi="Verdana" w:cs="Arial"/>
          <w:color w:val="000000"/>
          <w:lang w:eastAsia="es-ES"/>
        </w:rPr>
        <w:t>la Agencia Nacional de Contratación Pública – Colombia Compra Eficiente responde su solicitud de concepto del 14 de abril de 2026,</w:t>
      </w:r>
      <w:r w:rsidRPr="008647E1">
        <w:rPr>
          <w:rFonts w:ascii="Verdana" w:eastAsia="Calibri" w:hAnsi="Verdana" w:cs="Arial"/>
          <w:lang w:eastAsia="es-ES"/>
        </w:rPr>
        <w:t xml:space="preserve"> en las que manifiesta lo siguiente:</w:t>
      </w:r>
      <w:r w:rsidRPr="008647E1">
        <w:rPr>
          <w:rFonts w:ascii="Verdana" w:eastAsia="Calibri" w:hAnsi="Verdana" w:cs="Arial"/>
          <w:i/>
          <w:iCs/>
          <w:lang w:eastAsia="es-ES"/>
        </w:rPr>
        <w:t xml:space="preserve"> </w:t>
      </w:r>
      <w:bookmarkStart w:id="1" w:name="_Hlk95313578"/>
    </w:p>
    <w:p w14:paraId="156C8ECC" w14:textId="77777777" w:rsidR="00354F23" w:rsidRPr="008647E1" w:rsidRDefault="00354F23" w:rsidP="00354F23">
      <w:pPr>
        <w:spacing w:after="0" w:line="240" w:lineRule="auto"/>
        <w:jc w:val="both"/>
        <w:rPr>
          <w:rFonts w:ascii="Verdana" w:eastAsia="Calibri" w:hAnsi="Verdana" w:cs="Arial"/>
          <w:i/>
          <w:iCs/>
          <w:sz w:val="20"/>
          <w:szCs w:val="20"/>
          <w:lang w:eastAsia="es-ES"/>
        </w:rPr>
      </w:pPr>
    </w:p>
    <w:p w14:paraId="00AEF511" w14:textId="77777777" w:rsidR="00354F23" w:rsidRPr="008647E1" w:rsidRDefault="00354F23" w:rsidP="00354F23">
      <w:pPr>
        <w:spacing w:after="0" w:line="240" w:lineRule="auto"/>
        <w:ind w:left="709" w:right="709"/>
        <w:jc w:val="both"/>
        <w:rPr>
          <w:rFonts w:ascii="Verdana" w:eastAsia="Aptos" w:hAnsi="Verdana" w:cs="Times New Roman"/>
          <w:i/>
          <w:kern w:val="2"/>
          <w:sz w:val="20"/>
          <w:szCs w:val="20"/>
          <w14:ligatures w14:val="standardContextual"/>
        </w:rPr>
      </w:pPr>
      <w:r w:rsidRPr="008647E1">
        <w:rPr>
          <w:rFonts w:ascii="Verdana" w:eastAsia="Arial" w:hAnsi="Verdana" w:cs="Arial"/>
          <w:i/>
          <w:color w:val="000000"/>
          <w:sz w:val="20"/>
          <w:szCs w:val="20"/>
        </w:rPr>
        <w:t>“</w:t>
      </w:r>
      <w:bookmarkEnd w:id="1"/>
      <w:r w:rsidRPr="008647E1">
        <w:rPr>
          <w:rFonts w:ascii="Verdana" w:hAnsi="Verdana" w:cs="Arial"/>
          <w:sz w:val="20"/>
          <w:szCs w:val="20"/>
          <w:shd w:val="clear" w:color="auto" w:fill="FFFFFF"/>
        </w:rPr>
        <w:t>[…]</w:t>
      </w:r>
      <w:r w:rsidRPr="008647E1">
        <w:rPr>
          <w:rFonts w:ascii="Verdana" w:hAnsi="Verdana" w:cs="Arial"/>
          <w:i/>
          <w:iCs/>
          <w:sz w:val="20"/>
          <w:szCs w:val="20"/>
          <w:shd w:val="clear" w:color="auto" w:fill="FFFFFF"/>
        </w:rPr>
        <w:t> </w:t>
      </w:r>
    </w:p>
    <w:p w14:paraId="52FC2F31" w14:textId="77777777" w:rsidR="00354F23" w:rsidRPr="008647E1" w:rsidRDefault="00354F23" w:rsidP="00354F23">
      <w:pPr>
        <w:spacing w:after="0" w:line="240" w:lineRule="auto"/>
        <w:ind w:left="709" w:right="709"/>
        <w:jc w:val="both"/>
        <w:rPr>
          <w:rFonts w:ascii="Verdana" w:eastAsia="Aptos" w:hAnsi="Verdana" w:cs="Times New Roman"/>
          <w:i/>
          <w:kern w:val="2"/>
          <w:sz w:val="20"/>
          <w:szCs w:val="20"/>
          <w14:ligatures w14:val="standardContextual"/>
        </w:rPr>
      </w:pPr>
    </w:p>
    <w:p w14:paraId="2FAB567A" w14:textId="77777777" w:rsidR="00354F23" w:rsidRPr="008647E1" w:rsidRDefault="00354F23" w:rsidP="00354F23">
      <w:pPr>
        <w:spacing w:after="0" w:line="240" w:lineRule="auto"/>
        <w:ind w:left="709" w:right="709"/>
        <w:jc w:val="both"/>
        <w:rPr>
          <w:rFonts w:ascii="Verdana" w:eastAsia="Aptos" w:hAnsi="Verdana" w:cs="Times New Roman"/>
          <w:i/>
          <w:kern w:val="2"/>
          <w:sz w:val="20"/>
          <w:szCs w:val="20"/>
          <w14:ligatures w14:val="standardContextual"/>
        </w:rPr>
      </w:pPr>
      <w:r w:rsidRPr="008647E1">
        <w:rPr>
          <w:rFonts w:ascii="Verdana" w:hAnsi="Verdana"/>
          <w:sz w:val="20"/>
          <w:szCs w:val="20"/>
        </w:rPr>
        <w:t xml:space="preserve">2. Problema jurídico: </w:t>
      </w:r>
      <w:proofErr w:type="gramStart"/>
      <w:r w:rsidRPr="008647E1">
        <w:rPr>
          <w:rFonts w:ascii="Verdana" w:hAnsi="Verdana"/>
          <w:sz w:val="20"/>
          <w:szCs w:val="20"/>
        </w:rPr>
        <w:t>¿Constituye la celebración de 3 contratos de suministro de dotación con objetos similares y dentro de un mismo periodo, una posible práctica de fraccionamiento contractual prohibida por la normativa vigente.</w:t>
      </w:r>
      <w:proofErr w:type="gramEnd"/>
      <w:r w:rsidRPr="008647E1">
        <w:rPr>
          <w:rFonts w:ascii="Verdana" w:hAnsi="Verdana"/>
          <w:sz w:val="20"/>
          <w:szCs w:val="20"/>
        </w:rPr>
        <w:t xml:space="preserve"> Siendo que en todo caso la sumatoria de la cuantía </w:t>
      </w:r>
      <w:r w:rsidRPr="008647E1">
        <w:rPr>
          <w:rFonts w:ascii="Verdana" w:hAnsi="Verdana"/>
          <w:sz w:val="20"/>
          <w:szCs w:val="20"/>
        </w:rPr>
        <w:lastRenderedPageBreak/>
        <w:t xml:space="preserve">de </w:t>
      </w:r>
      <w:proofErr w:type="gramStart"/>
      <w:r w:rsidRPr="008647E1">
        <w:rPr>
          <w:rFonts w:ascii="Verdana" w:hAnsi="Verdana"/>
          <w:sz w:val="20"/>
          <w:szCs w:val="20"/>
        </w:rPr>
        <w:t>los mismos</w:t>
      </w:r>
      <w:proofErr w:type="gramEnd"/>
      <w:r w:rsidRPr="008647E1">
        <w:rPr>
          <w:rFonts w:ascii="Verdana" w:hAnsi="Verdana"/>
          <w:sz w:val="20"/>
          <w:szCs w:val="20"/>
        </w:rPr>
        <w:t xml:space="preserve"> no supera la modalidad de selección de contratista de invitación </w:t>
      </w:r>
      <w:proofErr w:type="gramStart"/>
      <w:r w:rsidRPr="008647E1">
        <w:rPr>
          <w:rFonts w:ascii="Verdana" w:hAnsi="Verdana"/>
          <w:sz w:val="20"/>
          <w:szCs w:val="20"/>
        </w:rPr>
        <w:t>abreviada?.</w:t>
      </w:r>
      <w:proofErr w:type="gramEnd"/>
      <w:r w:rsidRPr="008647E1">
        <w:rPr>
          <w:rFonts w:ascii="Verdana" w:hAnsi="Verdana"/>
          <w:sz w:val="20"/>
          <w:szCs w:val="20"/>
        </w:rPr>
        <w:t xml:space="preserve"> </w:t>
      </w:r>
    </w:p>
    <w:p w14:paraId="5B2145EF" w14:textId="77777777" w:rsidR="00354F23" w:rsidRPr="008647E1" w:rsidRDefault="00354F23" w:rsidP="00354F23">
      <w:pPr>
        <w:spacing w:after="0" w:line="240" w:lineRule="auto"/>
        <w:ind w:left="709" w:right="709"/>
        <w:jc w:val="both"/>
        <w:rPr>
          <w:rFonts w:ascii="Verdana" w:hAnsi="Verdana" w:cs="Arial"/>
          <w:i/>
          <w:iCs/>
          <w:sz w:val="20"/>
          <w:szCs w:val="20"/>
          <w:shd w:val="clear" w:color="auto" w:fill="FFFFFF"/>
        </w:rPr>
      </w:pPr>
      <w:r w:rsidRPr="008647E1">
        <w:rPr>
          <w:rFonts w:ascii="Verdana" w:hAnsi="Verdana" w:cs="Arial"/>
          <w:sz w:val="20"/>
          <w:szCs w:val="20"/>
          <w:shd w:val="clear" w:color="auto" w:fill="FFFFFF"/>
        </w:rPr>
        <w:t>[…]</w:t>
      </w:r>
      <w:r w:rsidRPr="008647E1">
        <w:rPr>
          <w:rFonts w:ascii="Verdana" w:hAnsi="Verdana" w:cs="Arial"/>
          <w:i/>
          <w:iCs/>
          <w:sz w:val="20"/>
          <w:szCs w:val="20"/>
          <w:shd w:val="clear" w:color="auto" w:fill="FFFFFF"/>
        </w:rPr>
        <w:t> </w:t>
      </w:r>
    </w:p>
    <w:p w14:paraId="2684C3D5" w14:textId="77777777" w:rsidR="00354F23" w:rsidRPr="008647E1" w:rsidRDefault="00354F23" w:rsidP="00354F23">
      <w:pPr>
        <w:spacing w:after="0" w:line="240" w:lineRule="auto"/>
        <w:ind w:left="709" w:right="709"/>
        <w:jc w:val="both"/>
        <w:rPr>
          <w:rFonts w:ascii="Verdana" w:hAnsi="Verdana" w:cs="Arial"/>
          <w:i/>
          <w:iCs/>
          <w:sz w:val="20"/>
          <w:szCs w:val="20"/>
          <w:shd w:val="clear" w:color="auto" w:fill="FFFFFF"/>
        </w:rPr>
      </w:pPr>
    </w:p>
    <w:p w14:paraId="4E598C55" w14:textId="77777777" w:rsidR="00354F23" w:rsidRPr="008647E1" w:rsidRDefault="00354F23" w:rsidP="00354F23">
      <w:pPr>
        <w:spacing w:after="0" w:line="240" w:lineRule="auto"/>
        <w:ind w:left="709" w:right="709"/>
        <w:jc w:val="both"/>
        <w:rPr>
          <w:rFonts w:ascii="Verdana" w:hAnsi="Verdana"/>
          <w:sz w:val="20"/>
          <w:szCs w:val="20"/>
        </w:rPr>
      </w:pPr>
      <w:r w:rsidRPr="008647E1">
        <w:rPr>
          <w:rFonts w:ascii="Verdana" w:hAnsi="Verdana"/>
          <w:sz w:val="20"/>
          <w:szCs w:val="20"/>
        </w:rPr>
        <w:t xml:space="preserve">4. Solicitud específica: Se solicita emitir concepto jurídico en relación con: - La existencia o no de fraccionamiento contractual en el caso descrito. </w:t>
      </w:r>
    </w:p>
    <w:p w14:paraId="5C697D6E" w14:textId="77777777" w:rsidR="00354F23" w:rsidRPr="008647E1" w:rsidRDefault="00354F23" w:rsidP="00354F23">
      <w:pPr>
        <w:spacing w:after="0" w:line="240" w:lineRule="auto"/>
        <w:ind w:left="709" w:right="709"/>
        <w:jc w:val="both"/>
        <w:rPr>
          <w:rFonts w:ascii="Verdana" w:hAnsi="Verdana"/>
          <w:sz w:val="20"/>
          <w:szCs w:val="20"/>
        </w:rPr>
      </w:pPr>
      <w:r w:rsidRPr="008647E1">
        <w:rPr>
          <w:rFonts w:ascii="Verdana" w:hAnsi="Verdana"/>
          <w:sz w:val="20"/>
          <w:szCs w:val="20"/>
        </w:rPr>
        <w:t xml:space="preserve">- Las posibles implicaciones disciplinarias, fiscales o contractuales. </w:t>
      </w:r>
    </w:p>
    <w:p w14:paraId="55FDDC05" w14:textId="77777777" w:rsidR="00354F23" w:rsidRPr="008647E1" w:rsidRDefault="00354F23" w:rsidP="00354F23">
      <w:pPr>
        <w:spacing w:after="0" w:line="240" w:lineRule="auto"/>
        <w:ind w:left="709" w:right="709"/>
        <w:jc w:val="both"/>
        <w:rPr>
          <w:rFonts w:ascii="Verdana" w:eastAsia="Aptos" w:hAnsi="Verdana" w:cs="Times New Roman"/>
          <w:i/>
          <w:kern w:val="2"/>
          <w:sz w:val="20"/>
          <w:szCs w:val="20"/>
          <w14:ligatures w14:val="standardContextual"/>
        </w:rPr>
      </w:pPr>
      <w:r w:rsidRPr="008647E1">
        <w:rPr>
          <w:rFonts w:ascii="Verdana" w:hAnsi="Verdana"/>
          <w:sz w:val="20"/>
          <w:szCs w:val="20"/>
        </w:rPr>
        <w:t>- Recomendaciones para prevenir este tipo de situaciones.</w:t>
      </w:r>
      <w:r w:rsidRPr="008647E1">
        <w:rPr>
          <w:rFonts w:ascii="Verdana" w:eastAsia="Calibri" w:hAnsi="Verdana" w:cs="Times New Roman"/>
          <w:i/>
          <w:sz w:val="20"/>
          <w:szCs w:val="20"/>
        </w:rPr>
        <w:t>”</w:t>
      </w:r>
    </w:p>
    <w:p w14:paraId="06EE9DB6" w14:textId="77777777" w:rsidR="00354F23" w:rsidRPr="008647E1" w:rsidRDefault="00354F23" w:rsidP="00354F23">
      <w:pPr>
        <w:spacing w:after="0" w:line="276" w:lineRule="auto"/>
        <w:ind w:right="709"/>
        <w:jc w:val="both"/>
        <w:rPr>
          <w:rFonts w:ascii="Verdana" w:eastAsia="Aptos" w:hAnsi="Verdana" w:cs="Times New Roman"/>
          <w:kern w:val="2"/>
          <w14:ligatures w14:val="standardContextual"/>
        </w:rPr>
      </w:pPr>
    </w:p>
    <w:p w14:paraId="0B250631" w14:textId="77777777" w:rsidR="00354F23" w:rsidRPr="008647E1" w:rsidRDefault="00354F23" w:rsidP="00354F23">
      <w:pPr>
        <w:spacing w:after="120" w:line="276" w:lineRule="auto"/>
        <w:ind w:firstLine="709"/>
        <w:jc w:val="both"/>
        <w:rPr>
          <w:rFonts w:ascii="Verdana" w:eastAsia="Calibri" w:hAnsi="Verdana" w:cs="Arial"/>
          <w:color w:val="000000"/>
          <w:lang w:eastAsia="es-ES"/>
        </w:rPr>
      </w:pPr>
      <w:r w:rsidRPr="008647E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647E1">
        <w:rPr>
          <w:rFonts w:ascii="Verdana" w:eastAsia="Calibri" w:hAnsi="Verdana" w:cs="Arial"/>
          <w:color w:val="000000"/>
          <w:szCs w:val="24"/>
          <w:lang w:eastAsia="es-ES_tradnl"/>
        </w:rPr>
        <w:tab/>
      </w:r>
    </w:p>
    <w:p w14:paraId="266B4CAF" w14:textId="77777777" w:rsidR="00354F23" w:rsidRPr="008647E1" w:rsidRDefault="00354F23" w:rsidP="00354F23">
      <w:pPr>
        <w:spacing w:after="0" w:line="276" w:lineRule="auto"/>
        <w:ind w:firstLine="709"/>
        <w:jc w:val="both"/>
        <w:rPr>
          <w:rFonts w:ascii="Verdana" w:eastAsia="Calibri" w:hAnsi="Verdana" w:cs="Arial"/>
          <w:color w:val="000000"/>
          <w:lang w:eastAsia="es-ES"/>
        </w:rPr>
      </w:pPr>
      <w:r w:rsidRPr="008647E1">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el</w:t>
      </w:r>
      <w:r w:rsidRPr="008647E1">
        <w:rPr>
          <w:rFonts w:ascii="Verdana" w:eastAsia="Calibri" w:hAnsi="Verdana" w:cs="Arial"/>
          <w:color w:val="7030A0"/>
          <w:lang w:eastAsia="es-ES"/>
        </w:rPr>
        <w:t xml:space="preserve"> </w:t>
      </w:r>
      <w:r w:rsidRPr="008647E1">
        <w:rPr>
          <w:rFonts w:ascii="Verdana" w:eastAsia="Calibri" w:hAnsi="Verdana" w:cs="Arial"/>
          <w:color w:val="000000"/>
          <w:lang w:eastAsia="es-ES"/>
        </w:rPr>
        <w:t>problema</w:t>
      </w:r>
      <w:r w:rsidRPr="008647E1">
        <w:rPr>
          <w:rFonts w:ascii="Verdana" w:eastAsia="Calibri" w:hAnsi="Verdana" w:cs="Arial"/>
          <w:color w:val="7030A0"/>
          <w:lang w:eastAsia="es-ES"/>
        </w:rPr>
        <w:t xml:space="preserve"> </w:t>
      </w:r>
      <w:r w:rsidRPr="008647E1">
        <w:rPr>
          <w:rFonts w:ascii="Verdana" w:eastAsia="Calibri" w:hAnsi="Verdana" w:cs="Arial"/>
          <w:color w:val="000000"/>
          <w:lang w:eastAsia="es-ES"/>
        </w:rPr>
        <w:t>jurídico</w:t>
      </w:r>
      <w:r w:rsidRPr="008647E1">
        <w:rPr>
          <w:rFonts w:ascii="Verdana" w:eastAsia="Calibri" w:hAnsi="Verdana" w:cs="Arial"/>
          <w:color w:val="7030A0"/>
          <w:lang w:eastAsia="es-ES"/>
        </w:rPr>
        <w:t xml:space="preserve"> </w:t>
      </w:r>
      <w:r w:rsidRPr="008647E1">
        <w:rPr>
          <w:rFonts w:ascii="Verdana" w:eastAsia="Calibri" w:hAnsi="Verdana" w:cs="Arial"/>
          <w:color w:val="000000"/>
          <w:lang w:eastAsia="es-ES"/>
        </w:rPr>
        <w:t xml:space="preserve">de su consulta. </w:t>
      </w:r>
    </w:p>
    <w:p w14:paraId="7D69A8F7" w14:textId="77777777" w:rsidR="00354F23" w:rsidRPr="008647E1" w:rsidRDefault="00354F23" w:rsidP="00354F23">
      <w:pPr>
        <w:spacing w:after="0" w:line="276" w:lineRule="auto"/>
        <w:jc w:val="both"/>
        <w:rPr>
          <w:rFonts w:ascii="Verdana" w:eastAsia="Calibri" w:hAnsi="Verdana" w:cs="Arial"/>
          <w:color w:val="000000"/>
          <w:lang w:eastAsia="es-ES"/>
        </w:rPr>
      </w:pPr>
    </w:p>
    <w:p w14:paraId="5984124D" w14:textId="77777777" w:rsidR="00354F23" w:rsidRPr="008647E1" w:rsidRDefault="00354F23" w:rsidP="00354F2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Problema planteado:</w:t>
      </w:r>
    </w:p>
    <w:p w14:paraId="3ABEF681" w14:textId="77777777" w:rsidR="00354F23" w:rsidRPr="008647E1" w:rsidRDefault="00354F23" w:rsidP="00354F23">
      <w:pPr>
        <w:tabs>
          <w:tab w:val="left" w:pos="426"/>
        </w:tabs>
        <w:spacing w:after="0" w:line="276" w:lineRule="auto"/>
        <w:jc w:val="both"/>
        <w:rPr>
          <w:rFonts w:ascii="Verdana" w:eastAsia="Century Gothic" w:hAnsi="Verdana" w:cs="Century Gothic"/>
        </w:rPr>
      </w:pPr>
    </w:p>
    <w:p w14:paraId="4B03873B" w14:textId="77777777" w:rsidR="00354F23" w:rsidRPr="008647E1" w:rsidRDefault="00354F23" w:rsidP="00354F23">
      <w:pPr>
        <w:snapToGrid w:val="0"/>
        <w:spacing w:after="0" w:line="276" w:lineRule="auto"/>
        <w:jc w:val="both"/>
        <w:rPr>
          <w:rFonts w:ascii="Verdana" w:eastAsia="Century Gothic" w:hAnsi="Verdana" w:cs="Arial"/>
        </w:rPr>
      </w:pPr>
      <w:r w:rsidRPr="008647E1">
        <w:rPr>
          <w:rFonts w:ascii="Verdana" w:eastAsia="Century Gothic" w:hAnsi="Verdana" w:cs="Century Gothic"/>
        </w:rPr>
        <w:t>De acuerdo con el contenido de su solicitud, esta Agencia resolverá el siguiente problema jurídico: ¿Puede configurarse el fraccionamiento de contratos respecto de la gestión contractual que realicen las entidades sometidas a régimen especial?</w:t>
      </w:r>
    </w:p>
    <w:p w14:paraId="6167D080" w14:textId="77777777" w:rsidR="00354F23" w:rsidRPr="008647E1" w:rsidRDefault="00354F23" w:rsidP="00354F23">
      <w:pPr>
        <w:snapToGrid w:val="0"/>
        <w:spacing w:after="0" w:line="276" w:lineRule="auto"/>
        <w:jc w:val="both"/>
        <w:rPr>
          <w:rFonts w:ascii="Verdana" w:eastAsia="Calibri" w:hAnsi="Verdana" w:cs="Arial"/>
          <w:color w:val="7030A0"/>
        </w:rPr>
      </w:pPr>
    </w:p>
    <w:p w14:paraId="66B6B82E" w14:textId="77777777" w:rsidR="00354F23" w:rsidRPr="008647E1" w:rsidRDefault="00354F23" w:rsidP="00354F2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Respuestas:</w:t>
      </w:r>
    </w:p>
    <w:p w14:paraId="0AC4BC51" w14:textId="77777777" w:rsidR="00354F23" w:rsidRPr="008647E1" w:rsidRDefault="00354F23" w:rsidP="00354F2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54F23" w:rsidRPr="008647E1" w14:paraId="5E149A62" w14:textId="77777777" w:rsidTr="00813B0E">
        <w:trPr>
          <w:jc w:val="center"/>
        </w:trPr>
        <w:tc>
          <w:tcPr>
            <w:tcW w:w="8828" w:type="dxa"/>
          </w:tcPr>
          <w:p w14:paraId="38792FB7" w14:textId="77777777" w:rsidR="00354F23" w:rsidRPr="008647E1" w:rsidRDefault="00354F23" w:rsidP="00813B0E">
            <w:pPr>
              <w:spacing w:after="120" w:line="276" w:lineRule="auto"/>
              <w:jc w:val="both"/>
              <w:rPr>
                <w:rFonts w:ascii="Verdana" w:eastAsia="Calibri" w:hAnsi="Verdana" w:cs="Arial"/>
                <w:bCs/>
                <w:color w:val="000000" w:themeColor="text1"/>
              </w:rPr>
            </w:pPr>
            <w:bookmarkStart w:id="2" w:name="_Hlk171694685"/>
            <w:r w:rsidRPr="008647E1">
              <w:rPr>
                <w:rFonts w:ascii="Verdana" w:eastAsia="Calibri" w:hAnsi="Verdana" w:cs="Arial"/>
                <w:lang w:val="es-MX"/>
              </w:rPr>
              <w:lastRenderedPageBreak/>
              <w:t xml:space="preserve">Conforme a la interpretación general de las normas del sistema de compras públicas, </w:t>
            </w:r>
            <w:r w:rsidRPr="008647E1">
              <w:rPr>
                <w:rFonts w:ascii="Verdana" w:eastAsia="Calibri" w:hAnsi="Verdana" w:cs="Arial"/>
                <w:bCs/>
                <w:color w:val="000000" w:themeColor="text1"/>
              </w:rPr>
              <w:t xml:space="preserve">el </w:t>
            </w:r>
            <w:r w:rsidRPr="008647E1">
              <w:rPr>
                <w:rFonts w:ascii="Verdana" w:eastAsia="Calibri" w:hAnsi="Verdana" w:cs="Arial"/>
                <w:bCs/>
                <w:i/>
                <w:iCs/>
                <w:color w:val="000000" w:themeColor="text1"/>
              </w:rPr>
              <w:t>fraccionamiento</w:t>
            </w:r>
            <w:r w:rsidRPr="008647E1">
              <w:rPr>
                <w:rFonts w:ascii="Verdana" w:eastAsia="Calibri" w:hAnsi="Verdana" w:cs="Arial"/>
                <w:bCs/>
                <w:color w:val="000000" w:themeColor="text1"/>
              </w:rPr>
              <w:t xml:space="preserve"> implica dividir las prestaciones en dos o más contratos que pueden constituir un único negocio jurídico. Para la Corte Suprema de Justicia, ésta se configura, “cuando la administración de manera artificiosa divide la unidad natural del objeto contractual, a fin de seleccionar directamente al contratista cuando debía convocar un proceso de licitación, o para acomodarlo a un proceso menos estricto y riguroso de contratación en defecto del que se imponía seguir atendidos su objeto y cuantía, práctica que riñe con las normas que rigen la contratación estatal, particularmente con los principios de transparencia y de selección objetiva”. Al margen de las posibles repercusiones en el ámbito disciplinario y fiscal, además de viciar de nulidad absoluta los negocios suscritos por objeto o causa ilícita, dicha acción tipifica la conducta punible de celebración de contratos sin cumplimiento de los requisitos legales.</w:t>
            </w:r>
          </w:p>
          <w:p w14:paraId="1C28537A" w14:textId="77777777" w:rsidR="00354F23" w:rsidRPr="008647E1" w:rsidRDefault="00354F23" w:rsidP="00813B0E">
            <w:pPr>
              <w:spacing w:after="120" w:line="276" w:lineRule="auto"/>
              <w:ind w:firstLine="743"/>
              <w:jc w:val="both"/>
              <w:rPr>
                <w:rFonts w:ascii="Verdana" w:eastAsia="Calibri" w:hAnsi="Verdana" w:cs="Arial"/>
                <w:bCs/>
                <w:color w:val="000000" w:themeColor="text1"/>
              </w:rPr>
            </w:pPr>
            <w:r w:rsidRPr="008647E1">
              <w:rPr>
                <w:rFonts w:ascii="Verdana" w:eastAsia="Calibri" w:hAnsi="Verdana" w:cs="Arial"/>
                <w:bCs/>
                <w:color w:val="000000" w:themeColor="text1"/>
              </w:rPr>
              <w:t>La determinación de tales requisitos legales esenciales depende del régimen jurídico aplicable a la entidad que celebra el contrato. En efecto, no todas las entidades estatales se encuentran sometidas al Estatuto General de Contratación de la Administración Pública -EGCAP, pues el ordenamiento jurídico colombiano reconoce la existencia de entidades que cuentan con regímenes contractuales exceptuados o especiales.</w:t>
            </w:r>
          </w:p>
          <w:p w14:paraId="52173A8C" w14:textId="77777777" w:rsidR="00354F23" w:rsidRPr="008647E1" w:rsidRDefault="00354F23" w:rsidP="00813B0E">
            <w:pPr>
              <w:widowControl w:val="0"/>
              <w:autoSpaceDE w:val="0"/>
              <w:autoSpaceDN w:val="0"/>
              <w:spacing w:after="120" w:line="276" w:lineRule="auto"/>
              <w:ind w:right="51" w:firstLine="709"/>
              <w:jc w:val="both"/>
              <w:rPr>
                <w:rFonts w:ascii="Verdana" w:eastAsia="Arial" w:hAnsi="Verdana" w:cs="Arial"/>
              </w:rPr>
            </w:pPr>
            <w:r w:rsidRPr="008647E1">
              <w:rPr>
                <w:rFonts w:ascii="Verdana" w:eastAsia="Arial" w:hAnsi="Verdana" w:cs="Arial"/>
              </w:rPr>
              <w:t>En consecuencia, el hecho de que las</w:t>
            </w:r>
            <w:r w:rsidRPr="008647E1">
              <w:rPr>
                <w:rFonts w:ascii="Verdana" w:eastAsia="Verdana" w:hAnsi="Verdana" w:cs="Verdana"/>
                <w:lang w:val="es-ES"/>
              </w:rPr>
              <w:t xml:space="preserve"> Empresas Industriales y Comerciales del Estado</w:t>
            </w:r>
            <w:r w:rsidRPr="008647E1">
              <w:rPr>
                <w:rFonts w:ascii="Verdana" w:eastAsia="Arial" w:hAnsi="Verdana" w:cs="Arial"/>
              </w:rPr>
              <w:t xml:space="preserve"> no tengan como único régimen de contratación la Ley 80 de 1993 no impide la configuración del fraccionamiento contractual, cuando estas se utilicen de forma artificiosa para eludir los procedimientos de selección o los requisitos legales esenciales aplicables conforme a su régimen especial, ni excluye la relevancia penal de dicha práctica. Tal como se expuso, el fraccionamiento no constituye un delito autónomo, pero puede integrar el tipo penal del artículo 410 del Código Penal, de manera que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602DF4C9" w14:textId="77777777" w:rsidR="00354F23" w:rsidRPr="008647E1" w:rsidRDefault="00354F23" w:rsidP="00813B0E">
            <w:pPr>
              <w:spacing w:after="120" w:line="276" w:lineRule="auto"/>
              <w:ind w:firstLine="743"/>
              <w:jc w:val="both"/>
              <w:rPr>
                <w:rFonts w:ascii="Verdana" w:eastAsia="Calibri" w:hAnsi="Verdana" w:cs="Arial"/>
                <w:color w:val="000000"/>
                <w:lang w:val="es-ES" w:eastAsia="es-ES_tradnl"/>
              </w:rPr>
            </w:pPr>
            <w:r w:rsidRPr="008647E1">
              <w:rPr>
                <w:rFonts w:ascii="Verdana" w:eastAsia="Arial" w:hAnsi="Verdana" w:cs="Arial"/>
              </w:rPr>
              <w:t xml:space="preserve">Con todo, a diferencia de lo que sucede con las Entidades Estatales sometidas al EGCAP, respecto de las cuales el parámetro para determinar la </w:t>
            </w:r>
            <w:r w:rsidRPr="008647E1">
              <w:rPr>
                <w:rFonts w:ascii="Verdana" w:eastAsia="Arial" w:hAnsi="Verdana" w:cs="Arial"/>
              </w:rPr>
              <w:lastRenderedPageBreak/>
              <w:t>licitud de la conducta está dado por las disposiciones legales y reglamentarias que integran dicho régimen, tratándose de entidades exceptuadas de dicho régimen, la configuración de fraccionamiento del contrato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Ello implica analizar, por ejemplo,</w:t>
            </w:r>
            <w:r w:rsidRPr="008647E1">
              <w:t xml:space="preserve"> </w:t>
            </w:r>
            <w:r w:rsidRPr="008647E1">
              <w:rPr>
                <w:rFonts w:ascii="Verdana" w:eastAsia="Arial" w:hAnsi="Verdana" w:cs="Arial"/>
              </w:rPr>
              <w:t xml:space="preserve">si el objeto contractual ha sido fraccionado con el propósito de alterar su cuantía y, de este modo, eludir los procedimientos de selección objetiva previstos en la normativa especial aplicable y en los respectivos manuales de contratación. </w:t>
            </w:r>
          </w:p>
        </w:tc>
      </w:tr>
    </w:tbl>
    <w:p w14:paraId="577399DC" w14:textId="77777777" w:rsidR="00354F23" w:rsidRPr="008647E1" w:rsidRDefault="00354F23" w:rsidP="00354F23">
      <w:pPr>
        <w:tabs>
          <w:tab w:val="left" w:pos="142"/>
          <w:tab w:val="left" w:pos="284"/>
        </w:tabs>
        <w:spacing w:after="0" w:line="276" w:lineRule="auto"/>
        <w:ind w:firstLine="709"/>
        <w:jc w:val="both"/>
        <w:rPr>
          <w:rFonts w:ascii="Verdana" w:eastAsia="Century Gothic" w:hAnsi="Verdana" w:cs="Century Gothic"/>
          <w:b/>
          <w:bCs/>
        </w:rPr>
      </w:pPr>
    </w:p>
    <w:bookmarkEnd w:id="2"/>
    <w:p w14:paraId="08E27B38" w14:textId="77777777" w:rsidR="00354F23" w:rsidRPr="008647E1" w:rsidRDefault="00354F23" w:rsidP="00354F2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Razones de las respuestas:</w:t>
      </w:r>
    </w:p>
    <w:p w14:paraId="739DD534" w14:textId="77777777" w:rsidR="00354F23" w:rsidRPr="008647E1" w:rsidRDefault="00354F23" w:rsidP="00354F23">
      <w:pPr>
        <w:tabs>
          <w:tab w:val="left" w:pos="142"/>
          <w:tab w:val="left" w:pos="284"/>
        </w:tabs>
        <w:spacing w:after="0" w:line="276" w:lineRule="auto"/>
        <w:ind w:left="360" w:firstLine="709"/>
        <w:jc w:val="both"/>
        <w:rPr>
          <w:rFonts w:ascii="Verdana" w:eastAsia="Century Gothic" w:hAnsi="Verdana" w:cs="Century Gothic"/>
          <w:b/>
          <w:bCs/>
        </w:rPr>
      </w:pPr>
    </w:p>
    <w:p w14:paraId="09091F22" w14:textId="77777777" w:rsidR="00354F23" w:rsidRPr="008647E1" w:rsidRDefault="00354F23" w:rsidP="00354F23">
      <w:pPr>
        <w:widowControl w:val="0"/>
        <w:autoSpaceDE w:val="0"/>
        <w:autoSpaceDN w:val="0"/>
        <w:spacing w:after="0" w:line="276" w:lineRule="auto"/>
        <w:jc w:val="both"/>
        <w:rPr>
          <w:rFonts w:ascii="Verdana" w:eastAsia="Verdana" w:hAnsi="Verdana" w:cs="Verdana"/>
          <w:spacing w:val="-2"/>
        </w:rPr>
      </w:pPr>
      <w:r w:rsidRPr="008647E1">
        <w:rPr>
          <w:rFonts w:ascii="Verdana" w:eastAsia="Verdana" w:hAnsi="Verdana" w:cs="Verdana"/>
        </w:rPr>
        <w:t>Lo</w:t>
      </w:r>
      <w:r w:rsidRPr="008647E1">
        <w:rPr>
          <w:rFonts w:ascii="Verdana" w:eastAsia="Verdana" w:hAnsi="Verdana" w:cs="Verdana"/>
          <w:spacing w:val="-4"/>
        </w:rPr>
        <w:t xml:space="preserve"> </w:t>
      </w:r>
      <w:r w:rsidRPr="008647E1">
        <w:rPr>
          <w:rFonts w:ascii="Verdana" w:eastAsia="Verdana" w:hAnsi="Verdana" w:cs="Verdana"/>
        </w:rPr>
        <w:t>anterior</w:t>
      </w:r>
      <w:r w:rsidRPr="008647E1">
        <w:rPr>
          <w:rFonts w:ascii="Verdana" w:eastAsia="Verdana" w:hAnsi="Verdana" w:cs="Verdana"/>
          <w:spacing w:val="-8"/>
        </w:rPr>
        <w:t xml:space="preserve"> </w:t>
      </w:r>
      <w:r w:rsidRPr="008647E1">
        <w:rPr>
          <w:rFonts w:ascii="Verdana" w:eastAsia="Verdana" w:hAnsi="Verdana" w:cs="Verdana"/>
        </w:rPr>
        <w:t>se</w:t>
      </w:r>
      <w:r w:rsidRPr="008647E1">
        <w:rPr>
          <w:rFonts w:ascii="Verdana" w:eastAsia="Verdana" w:hAnsi="Verdana" w:cs="Verdana"/>
          <w:spacing w:val="-5"/>
        </w:rPr>
        <w:t xml:space="preserve"> </w:t>
      </w:r>
      <w:r w:rsidRPr="008647E1">
        <w:rPr>
          <w:rFonts w:ascii="Verdana" w:eastAsia="Verdana" w:hAnsi="Verdana" w:cs="Verdana"/>
        </w:rPr>
        <w:t>sustenta</w:t>
      </w:r>
      <w:r w:rsidRPr="008647E1">
        <w:rPr>
          <w:rFonts w:ascii="Verdana" w:eastAsia="Verdana" w:hAnsi="Verdana" w:cs="Verdana"/>
          <w:spacing w:val="-8"/>
        </w:rPr>
        <w:t xml:space="preserve"> </w:t>
      </w:r>
      <w:r w:rsidRPr="008647E1">
        <w:rPr>
          <w:rFonts w:ascii="Verdana" w:eastAsia="Verdana" w:hAnsi="Verdana" w:cs="Verdana"/>
        </w:rPr>
        <w:t>en</w:t>
      </w:r>
      <w:r w:rsidRPr="008647E1">
        <w:rPr>
          <w:rFonts w:ascii="Verdana" w:eastAsia="Verdana" w:hAnsi="Verdana" w:cs="Verdana"/>
          <w:spacing w:val="-4"/>
        </w:rPr>
        <w:t xml:space="preserve"> </w:t>
      </w:r>
      <w:r w:rsidRPr="008647E1">
        <w:rPr>
          <w:rFonts w:ascii="Verdana" w:eastAsia="Verdana" w:hAnsi="Verdana" w:cs="Verdana"/>
        </w:rPr>
        <w:t>las</w:t>
      </w:r>
      <w:r w:rsidRPr="008647E1">
        <w:rPr>
          <w:rFonts w:ascii="Verdana" w:eastAsia="Verdana" w:hAnsi="Verdana" w:cs="Verdana"/>
          <w:spacing w:val="-5"/>
        </w:rPr>
        <w:t xml:space="preserve"> </w:t>
      </w:r>
      <w:r w:rsidRPr="008647E1">
        <w:rPr>
          <w:rFonts w:ascii="Verdana" w:eastAsia="Verdana" w:hAnsi="Verdana" w:cs="Verdana"/>
        </w:rPr>
        <w:t>siguientes</w:t>
      </w:r>
      <w:r w:rsidRPr="008647E1">
        <w:rPr>
          <w:rFonts w:ascii="Verdana" w:eastAsia="Verdana" w:hAnsi="Verdana" w:cs="Verdana"/>
          <w:spacing w:val="-4"/>
        </w:rPr>
        <w:t xml:space="preserve"> </w:t>
      </w:r>
      <w:r w:rsidRPr="008647E1">
        <w:rPr>
          <w:rFonts w:ascii="Verdana" w:eastAsia="Verdana" w:hAnsi="Verdana" w:cs="Verdana"/>
          <w:spacing w:val="-2"/>
        </w:rPr>
        <w:t>consideraciones:</w:t>
      </w:r>
    </w:p>
    <w:p w14:paraId="3DFC1CEA" w14:textId="77777777" w:rsidR="00354F23" w:rsidRPr="008647E1" w:rsidRDefault="00354F23" w:rsidP="00354F23">
      <w:pPr>
        <w:spacing w:after="120" w:line="276" w:lineRule="auto"/>
        <w:jc w:val="both"/>
        <w:rPr>
          <w:rFonts w:ascii="Verdana" w:eastAsia="Century Gothic" w:hAnsi="Verdana" w:cs="Century Gothic"/>
        </w:rPr>
      </w:pPr>
    </w:p>
    <w:p w14:paraId="0BEE1461" w14:textId="77777777" w:rsidR="00354F23" w:rsidRPr="008647E1" w:rsidRDefault="00354F23" w:rsidP="00354F23">
      <w:pPr>
        <w:spacing w:after="0" w:line="276" w:lineRule="auto"/>
        <w:jc w:val="both"/>
        <w:rPr>
          <w:rFonts w:ascii="Verdana" w:eastAsia="Calibri" w:hAnsi="Verdana" w:cs="Arial"/>
          <w:bCs/>
          <w:color w:val="000000" w:themeColor="text1"/>
        </w:rPr>
      </w:pPr>
      <w:r w:rsidRPr="008647E1">
        <w:rPr>
          <w:rFonts w:ascii="Verdana" w:eastAsia="Calibri" w:hAnsi="Verdana" w:cs="Arial"/>
          <w:lang w:val="es-ES" w:eastAsia="es-ES"/>
        </w:rPr>
        <w:t xml:space="preserve">i. El fraccionamiento de los contratos se presenta para eludir modalidades de selección </w:t>
      </w:r>
      <w:r w:rsidRPr="008647E1">
        <w:rPr>
          <w:rFonts w:ascii="Verdana" w:eastAsia="Calibri" w:hAnsi="Verdana" w:cs="Arial"/>
          <w:bCs/>
          <w:color w:val="000000" w:themeColor="text1"/>
        </w:rPr>
        <w:t>del artículo 2 de la Ley 1150 de 2007 dividiendo, por ejemplo, el monto de una licitación pública o de una selección abreviada de menor cuantía para convertirla en tantas mínimas como sean necesarias para aprovechar un trámite más flexible. Como explica la Sección Tercera del Consejo de Estado:</w:t>
      </w:r>
    </w:p>
    <w:p w14:paraId="479078C6" w14:textId="77777777" w:rsidR="00354F23" w:rsidRPr="008647E1" w:rsidRDefault="00354F23" w:rsidP="00354F23">
      <w:pPr>
        <w:spacing w:after="0" w:line="276" w:lineRule="auto"/>
        <w:jc w:val="both"/>
        <w:rPr>
          <w:rFonts w:ascii="Verdana" w:eastAsia="Calibri" w:hAnsi="Verdana" w:cs="Arial"/>
          <w:bCs/>
          <w:color w:val="000000" w:themeColor="text1"/>
        </w:rPr>
      </w:pPr>
    </w:p>
    <w:p w14:paraId="0C760BDD" w14:textId="77777777" w:rsidR="00354F23" w:rsidRPr="008647E1" w:rsidRDefault="00354F23" w:rsidP="00354F23">
      <w:pPr>
        <w:spacing w:after="0" w:line="240" w:lineRule="auto"/>
        <w:ind w:left="709" w:right="709"/>
        <w:jc w:val="both"/>
        <w:rPr>
          <w:rFonts w:ascii="Verdana" w:eastAsia="Century Gothic" w:hAnsi="Verdana" w:cs="Century Gothic"/>
          <w:sz w:val="20"/>
          <w:szCs w:val="20"/>
        </w:rPr>
      </w:pPr>
      <w:r w:rsidRPr="008647E1">
        <w:rPr>
          <w:rFonts w:ascii="Verdana" w:eastAsia="Calibri" w:hAnsi="Verdana" w:cs="Arial"/>
          <w:bCs/>
          <w:color w:val="000000" w:themeColor="text1"/>
          <w:sz w:val="20"/>
          <w:szCs w:val="20"/>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w:t>
      </w:r>
      <w:r w:rsidRPr="008647E1">
        <w:rPr>
          <w:rFonts w:ascii="Verdana" w:eastAsia="Century Gothic" w:hAnsi="Verdana" w:cs="Century Gothic"/>
          <w:sz w:val="20"/>
          <w:szCs w:val="20"/>
        </w:rPr>
        <w:t xml:space="preserve"> </w:t>
      </w:r>
    </w:p>
    <w:p w14:paraId="27B1DF26" w14:textId="77777777" w:rsidR="00354F23" w:rsidRPr="008647E1" w:rsidRDefault="00354F23" w:rsidP="00354F23">
      <w:pPr>
        <w:spacing w:after="0" w:line="240" w:lineRule="auto"/>
        <w:ind w:right="709"/>
        <w:jc w:val="both"/>
      </w:pPr>
    </w:p>
    <w:p w14:paraId="6DCA81AE" w14:textId="77777777" w:rsidR="00354F23" w:rsidRPr="008647E1" w:rsidRDefault="00354F23" w:rsidP="00354F23">
      <w:pPr>
        <w:spacing w:after="0" w:line="240" w:lineRule="auto"/>
        <w:ind w:left="709" w:right="709"/>
        <w:jc w:val="both"/>
        <w:rPr>
          <w:rFonts w:ascii="Verdana" w:eastAsia="Calibri" w:hAnsi="Verdana" w:cs="Arial"/>
          <w:bCs/>
          <w:color w:val="000000" w:themeColor="text1"/>
          <w:sz w:val="21"/>
          <w:szCs w:val="21"/>
        </w:rPr>
      </w:pPr>
      <w:r w:rsidRPr="008647E1">
        <w:rPr>
          <w:rFonts w:ascii="Verdana" w:eastAsia="Century Gothic" w:hAnsi="Verdana" w:cs="Century Gothic"/>
          <w:sz w:val="20"/>
          <w:szCs w:val="20"/>
        </w:rPr>
        <w:t xml:space="preserve">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w:t>
      </w:r>
      <w:r w:rsidRPr="008647E1">
        <w:rPr>
          <w:rFonts w:ascii="Verdana" w:eastAsia="Century Gothic" w:hAnsi="Verdana" w:cs="Century Gothic"/>
          <w:sz w:val="20"/>
          <w:szCs w:val="20"/>
        </w:rPr>
        <w:lastRenderedPageBreak/>
        <w:t>según la cual las autoridades no actuarán con desviación o abuso del poder y ejercerán sus competencias exclusivamente para los fines previstos en la ley, y al propio tiempo les prohíbe eludir los procedimientos de selección objetiva y los demás requisitos previstos en dicho estatuto</w:t>
      </w:r>
      <w:r w:rsidRPr="008647E1">
        <w:rPr>
          <w:rFonts w:ascii="Verdana" w:eastAsia="Calibri" w:hAnsi="Verdana" w:cs="Arial"/>
          <w:bCs/>
          <w:color w:val="000000" w:themeColor="text1"/>
          <w:sz w:val="21"/>
          <w:szCs w:val="21"/>
        </w:rPr>
        <w:t>”</w:t>
      </w:r>
      <w:r w:rsidRPr="008647E1">
        <w:rPr>
          <w:rFonts w:ascii="Verdana" w:eastAsia="Calibri" w:hAnsi="Verdana" w:cs="Arial"/>
          <w:bCs/>
          <w:color w:val="000000" w:themeColor="text1"/>
          <w:sz w:val="21"/>
          <w:szCs w:val="21"/>
          <w:vertAlign w:val="superscript"/>
        </w:rPr>
        <w:footnoteReference w:id="2"/>
      </w:r>
      <w:r w:rsidRPr="008647E1">
        <w:rPr>
          <w:rFonts w:ascii="Verdana" w:eastAsia="Calibri" w:hAnsi="Verdana" w:cs="Arial"/>
          <w:bCs/>
          <w:color w:val="000000" w:themeColor="text1"/>
          <w:sz w:val="21"/>
          <w:szCs w:val="21"/>
        </w:rPr>
        <w:t>.</w:t>
      </w:r>
    </w:p>
    <w:p w14:paraId="0CDDD7FD" w14:textId="77777777" w:rsidR="00354F23" w:rsidRPr="008647E1" w:rsidRDefault="00354F23" w:rsidP="00354F23">
      <w:pPr>
        <w:spacing w:after="0" w:line="240" w:lineRule="auto"/>
        <w:ind w:left="709" w:right="709"/>
        <w:jc w:val="both"/>
        <w:rPr>
          <w:rFonts w:ascii="Verdana" w:eastAsia="Calibri" w:hAnsi="Verdana" w:cs="Arial"/>
          <w:bCs/>
          <w:color w:val="000000" w:themeColor="text1"/>
          <w:sz w:val="21"/>
          <w:szCs w:val="21"/>
        </w:rPr>
      </w:pPr>
    </w:p>
    <w:p w14:paraId="35B3CE6A" w14:textId="77777777" w:rsidR="00354F23" w:rsidRPr="008647E1" w:rsidRDefault="00354F23" w:rsidP="00354F23">
      <w:pPr>
        <w:spacing w:after="0" w:line="276" w:lineRule="auto"/>
        <w:ind w:firstLine="709"/>
        <w:jc w:val="both"/>
        <w:rPr>
          <w:rFonts w:ascii="Verdana" w:eastAsia="Calibri" w:hAnsi="Verdana" w:cs="Arial"/>
          <w:bCs/>
          <w:color w:val="000000" w:themeColor="text1"/>
        </w:rPr>
      </w:pPr>
      <w:r w:rsidRPr="008647E1">
        <w:rPr>
          <w:rFonts w:ascii="Verdana" w:eastAsia="Calibri" w:hAnsi="Verdana" w:cs="Arial"/>
          <w:bCs/>
          <w:color w:val="000000" w:themeColor="text1"/>
        </w:rPr>
        <w:t>Asimismo, para la doctrina:</w:t>
      </w:r>
    </w:p>
    <w:p w14:paraId="4E02999D" w14:textId="77777777" w:rsidR="00354F23" w:rsidRPr="008647E1" w:rsidRDefault="00354F23" w:rsidP="00354F23">
      <w:pPr>
        <w:spacing w:after="0" w:line="276" w:lineRule="auto"/>
        <w:jc w:val="both"/>
        <w:rPr>
          <w:rFonts w:ascii="Verdana" w:eastAsia="Calibri" w:hAnsi="Verdana" w:cs="Arial"/>
          <w:bCs/>
          <w:color w:val="000000" w:themeColor="text1"/>
        </w:rPr>
      </w:pPr>
    </w:p>
    <w:p w14:paraId="54CC0575" w14:textId="77777777" w:rsidR="00354F23" w:rsidRPr="008647E1" w:rsidRDefault="00354F23" w:rsidP="00354F23">
      <w:pPr>
        <w:spacing w:after="0" w:line="240" w:lineRule="auto"/>
        <w:ind w:left="709" w:right="709"/>
        <w:jc w:val="both"/>
        <w:rPr>
          <w:rFonts w:ascii="Verdana" w:eastAsia="Calibri" w:hAnsi="Verdana" w:cs="Arial"/>
          <w:bCs/>
          <w:color w:val="000000" w:themeColor="text1"/>
          <w:sz w:val="20"/>
          <w:szCs w:val="20"/>
        </w:rPr>
      </w:pPr>
      <w:r w:rsidRPr="008647E1">
        <w:rPr>
          <w:rFonts w:ascii="Verdana" w:eastAsia="Calibri" w:hAnsi="Verdana" w:cs="Arial"/>
          <w:bCs/>
          <w:color w:val="000000" w:themeColor="text1"/>
          <w:sz w:val="20"/>
          <w:szCs w:val="20"/>
        </w:rPr>
        <w:t>“Fraccionar un contrato es dividir en partes aquello que debería contratarse conjuntamente por constituir un todo inseparable, una unidad funcional de la que se derive la imposibilidad de contratar la una parte sin la otra. También es fraccionamiento la contratación de manera separada e injustificada de prestaciones periódicas plenamente previsibles dentro de la actividad ordinaria de los poderes adjudicadores […]”</w:t>
      </w:r>
      <w:r w:rsidRPr="008647E1">
        <w:rPr>
          <w:rFonts w:ascii="Verdana" w:eastAsia="Calibri" w:hAnsi="Verdana" w:cs="Arial"/>
          <w:bCs/>
          <w:color w:val="000000" w:themeColor="text1"/>
          <w:sz w:val="20"/>
          <w:szCs w:val="20"/>
          <w:vertAlign w:val="superscript"/>
        </w:rPr>
        <w:footnoteReference w:id="3"/>
      </w:r>
      <w:r w:rsidRPr="008647E1">
        <w:rPr>
          <w:rFonts w:ascii="Verdana" w:eastAsia="Calibri" w:hAnsi="Verdana" w:cs="Arial"/>
          <w:bCs/>
          <w:color w:val="000000" w:themeColor="text1"/>
          <w:sz w:val="20"/>
          <w:szCs w:val="20"/>
        </w:rPr>
        <w:t>.</w:t>
      </w:r>
    </w:p>
    <w:p w14:paraId="31FA4926" w14:textId="77777777" w:rsidR="00354F23" w:rsidRPr="008647E1" w:rsidRDefault="00354F23" w:rsidP="00354F23">
      <w:pPr>
        <w:spacing w:after="0" w:line="276" w:lineRule="auto"/>
        <w:jc w:val="both"/>
        <w:rPr>
          <w:rFonts w:ascii="Verdana" w:eastAsia="Calibri" w:hAnsi="Verdana" w:cs="Arial"/>
          <w:bCs/>
          <w:color w:val="000000" w:themeColor="text1"/>
        </w:rPr>
      </w:pPr>
    </w:p>
    <w:p w14:paraId="69D50301" w14:textId="77777777" w:rsidR="00354F23" w:rsidRPr="008647E1" w:rsidRDefault="00354F23" w:rsidP="00354F23">
      <w:pPr>
        <w:spacing w:after="120" w:line="276" w:lineRule="auto"/>
        <w:ind w:firstLine="709"/>
        <w:jc w:val="both"/>
        <w:rPr>
          <w:rFonts w:ascii="Verdana" w:eastAsia="Calibri" w:hAnsi="Verdana" w:cs="Arial"/>
          <w:bCs/>
          <w:color w:val="000000" w:themeColor="text1"/>
        </w:rPr>
      </w:pPr>
      <w:r w:rsidRPr="008647E1">
        <w:rPr>
          <w:rFonts w:ascii="Verdana" w:eastAsia="Calibri" w:hAnsi="Verdana" w:cs="Arial"/>
          <w:bCs/>
          <w:color w:val="000000" w:themeColor="text1"/>
        </w:rPr>
        <w:t xml:space="preserve">En este contexto, el </w:t>
      </w:r>
      <w:r w:rsidRPr="008647E1">
        <w:rPr>
          <w:rFonts w:ascii="Verdana" w:eastAsia="Calibri" w:hAnsi="Verdana" w:cs="Arial"/>
          <w:bCs/>
          <w:i/>
          <w:iCs/>
          <w:color w:val="000000" w:themeColor="text1"/>
        </w:rPr>
        <w:t>fraccionamiento</w:t>
      </w:r>
      <w:r w:rsidRPr="008647E1">
        <w:rPr>
          <w:rFonts w:ascii="Verdana" w:eastAsia="Calibri" w:hAnsi="Verdana" w:cs="Arial"/>
          <w:bCs/>
          <w:color w:val="000000" w:themeColor="text1"/>
        </w:rPr>
        <w:t xml:space="preserve"> implica dividir las prestaciones en dos o más contratos que pueden constituir un único negocio jurídico</w:t>
      </w:r>
      <w:r w:rsidRPr="008647E1">
        <w:rPr>
          <w:rFonts w:ascii="Verdana" w:eastAsia="Calibri" w:hAnsi="Verdana" w:cs="Arial"/>
          <w:bCs/>
          <w:color w:val="000000" w:themeColor="text1"/>
          <w:vertAlign w:val="superscript"/>
        </w:rPr>
        <w:footnoteReference w:id="4"/>
      </w:r>
      <w:r w:rsidRPr="008647E1">
        <w:rPr>
          <w:rFonts w:ascii="Verdana" w:eastAsia="Calibri" w:hAnsi="Verdana" w:cs="Arial"/>
          <w:bCs/>
          <w:color w:val="000000" w:themeColor="text1"/>
        </w:rPr>
        <w:t>. Para establecer el concepto de unidad de objeto, el Consejo de Estado ha señalado que este “se pregona de aquellos contratos cuyo objeto </w:t>
      </w:r>
      <w:r w:rsidRPr="008647E1">
        <w:rPr>
          <w:rFonts w:ascii="Verdana" w:eastAsia="Calibri" w:hAnsi="Verdana" w:cs="Arial"/>
          <w:bCs/>
          <w:i/>
          <w:iCs/>
          <w:color w:val="000000" w:themeColor="text1"/>
        </w:rPr>
        <w:t>"es naturalmente uno" y</w:t>
      </w:r>
      <w:r w:rsidRPr="008647E1">
        <w:rPr>
          <w:rFonts w:ascii="Verdana" w:eastAsia="Calibri" w:hAnsi="Verdana" w:cs="Arial"/>
          <w:bCs/>
          <w:color w:val="000000" w:themeColor="text1"/>
        </w:rPr>
        <w:t xml:space="preserve"> que dicha unidad se reputa natural “cuando para el cumplimiento de uno de sus elementos se requiere necesariamente el cumplimiento del otro, es decir, que sólo a través de la sumatoria de cada uno de ellos, se obtiene el </w:t>
      </w:r>
      <w:r w:rsidRPr="008647E1">
        <w:rPr>
          <w:rFonts w:ascii="Verdana" w:eastAsia="Calibri" w:hAnsi="Verdana" w:cs="Arial"/>
          <w:bCs/>
          <w:i/>
          <w:iCs/>
          <w:color w:val="000000" w:themeColor="text1"/>
        </w:rPr>
        <w:t>producto final</w:t>
      </w:r>
      <w:r w:rsidRPr="008647E1">
        <w:rPr>
          <w:rFonts w:ascii="Verdana" w:eastAsia="Calibri" w:hAnsi="Verdana" w:cs="Arial"/>
          <w:bCs/>
          <w:color w:val="000000" w:themeColor="text1"/>
        </w:rPr>
        <w:t> deseado con la contratación; en consecuencia, el incumplimiento de cualquiera de ellos arruina la posibilidad de satisfacer la necesidad identificada para contratar, por cuanto son interdependientes</w:t>
      </w:r>
      <w:r w:rsidRPr="008647E1">
        <w:rPr>
          <w:rFonts w:ascii="Verdana" w:eastAsia="Calibri" w:hAnsi="Verdana" w:cs="Arial"/>
          <w:bCs/>
          <w:color w:val="000000" w:themeColor="text1"/>
          <w:vertAlign w:val="superscript"/>
        </w:rPr>
        <w:footnoteReference w:id="5"/>
      </w:r>
      <w:r w:rsidRPr="008647E1">
        <w:rPr>
          <w:rFonts w:ascii="Verdana" w:eastAsia="Calibri" w:hAnsi="Verdana" w:cs="Arial"/>
          <w:bCs/>
          <w:color w:val="000000" w:themeColor="text1"/>
        </w:rPr>
        <w:t>”.</w:t>
      </w:r>
    </w:p>
    <w:p w14:paraId="2BE13327" w14:textId="77777777" w:rsidR="00354F23" w:rsidRPr="008647E1" w:rsidRDefault="00354F23" w:rsidP="00354F23">
      <w:pPr>
        <w:spacing w:after="120" w:line="276" w:lineRule="auto"/>
        <w:ind w:firstLine="709"/>
        <w:jc w:val="both"/>
        <w:rPr>
          <w:rFonts w:ascii="Verdana" w:eastAsia="Calibri" w:hAnsi="Verdana" w:cs="Arial"/>
          <w:lang w:val="es-ES" w:eastAsia="es-ES"/>
        </w:rPr>
      </w:pPr>
      <w:r w:rsidRPr="008647E1">
        <w:rPr>
          <w:rFonts w:ascii="Verdana" w:eastAsia="Calibri" w:hAnsi="Verdana" w:cs="Arial"/>
          <w:lang w:val="es-ES" w:eastAsia="es-ES"/>
        </w:rPr>
        <w:t>En tal sentido, si bien la Ley 80 de 1993 no consagró una norma específica prohibitiva del fraccionamiento de contratos “ese silencio, valga advertir, no significa permisividad, en la medida en que no es de recibo para el derecho y resultaría contrario a las normas de orden público que establecen los distintos procesos de selección, dividir el objeto del contrato para manipular su cuantía con el fin de eludir dichos procedimientos</w:t>
      </w:r>
      <w:r w:rsidRPr="008647E1">
        <w:rPr>
          <w:rFonts w:ascii="Verdana" w:eastAsia="Calibri" w:hAnsi="Verdana" w:cs="Arial"/>
          <w:vertAlign w:val="superscript"/>
          <w:lang w:val="es-ES" w:eastAsia="es-ES"/>
        </w:rPr>
        <w:footnoteReference w:id="6"/>
      </w:r>
      <w:r w:rsidRPr="008647E1">
        <w:rPr>
          <w:rFonts w:ascii="Verdana" w:eastAsia="Calibri" w:hAnsi="Verdana" w:cs="Arial"/>
          <w:lang w:val="es-ES" w:eastAsia="es-ES"/>
        </w:rPr>
        <w:t xml:space="preserve">.” </w:t>
      </w:r>
    </w:p>
    <w:p w14:paraId="79742752" w14:textId="77777777" w:rsidR="00354F23" w:rsidRPr="008647E1" w:rsidRDefault="00354F23" w:rsidP="00354F23">
      <w:pPr>
        <w:spacing w:after="120" w:line="276" w:lineRule="auto"/>
        <w:ind w:firstLine="709"/>
        <w:jc w:val="both"/>
        <w:rPr>
          <w:rFonts w:ascii="Verdana" w:hAnsi="Verdana" w:cs="Arial"/>
          <w:lang w:val="es-ES_tradnl"/>
        </w:rPr>
      </w:pPr>
      <w:r w:rsidRPr="008647E1">
        <w:rPr>
          <w:rFonts w:ascii="Verdana" w:eastAsia="Calibri" w:hAnsi="Verdana" w:cs="Arial"/>
          <w:bCs/>
          <w:color w:val="000000" w:themeColor="text1"/>
        </w:rPr>
        <w:lastRenderedPageBreak/>
        <w:t xml:space="preserve">Para demostrarlo deben concurrir las siguientes circunstancias: i) que sea posible demostrar la unidad del objeto en relación con el contrato cuya legalidad se cuestiona y, de ser así, </w:t>
      </w:r>
      <w:proofErr w:type="spellStart"/>
      <w:r w:rsidRPr="008647E1">
        <w:rPr>
          <w:rFonts w:ascii="Verdana" w:eastAsia="Calibri" w:hAnsi="Verdana" w:cs="Arial"/>
          <w:bCs/>
          <w:color w:val="000000" w:themeColor="text1"/>
        </w:rPr>
        <w:t>ii</w:t>
      </w:r>
      <w:proofErr w:type="spellEnd"/>
      <w:r w:rsidRPr="008647E1">
        <w:rPr>
          <w:rFonts w:ascii="Verdana" w:eastAsia="Calibri" w:hAnsi="Verdana" w:cs="Arial"/>
          <w:bCs/>
          <w:color w:val="000000" w:themeColor="text1"/>
        </w:rPr>
        <w:t>) determinar cuáles fueron las circunstancias que condujeron a la Administración a celebrar varios contratos, pues sólo de esta manera puede inferirse si el actuar se basó en criterios razonables de interés público o, si por el contrario, los motivos fueron simulados y orientados a infringir las normas de la contratación pública</w:t>
      </w:r>
      <w:r w:rsidRPr="008647E1">
        <w:rPr>
          <w:rFonts w:ascii="Verdana" w:eastAsia="Calibri" w:hAnsi="Verdana" w:cs="Arial"/>
          <w:bCs/>
          <w:color w:val="000000" w:themeColor="text1"/>
          <w:vertAlign w:val="superscript"/>
        </w:rPr>
        <w:footnoteReference w:id="7"/>
      </w:r>
      <w:r w:rsidRPr="008647E1">
        <w:rPr>
          <w:rFonts w:ascii="Verdana" w:eastAsia="Calibri" w:hAnsi="Verdana" w:cs="Arial"/>
          <w:bCs/>
          <w:color w:val="000000" w:themeColor="text1"/>
        </w:rPr>
        <w:t xml:space="preserve">. </w:t>
      </w:r>
      <w:r w:rsidRPr="008647E1">
        <w:rPr>
          <w:rFonts w:ascii="Verdana" w:eastAsia="Century Gothic" w:hAnsi="Verdana" w:cs="Century Gothic"/>
        </w:rPr>
        <w:t xml:space="preserve">De manera que estos elementos deberán ser constatados por la autoridad judicial competente para declarar una eventual nulidad absoluta </w:t>
      </w:r>
      <w:r w:rsidRPr="008647E1">
        <w:rPr>
          <w:rFonts w:ascii="Verdana" w:hAnsi="Verdana" w:cs="Arial"/>
          <w:lang w:val="es-ES_tradnl"/>
        </w:rPr>
        <w:t>del contrato.</w:t>
      </w:r>
    </w:p>
    <w:p w14:paraId="781571EB" w14:textId="77777777" w:rsidR="00354F23" w:rsidRPr="008647E1" w:rsidRDefault="00354F23" w:rsidP="00354F23">
      <w:pPr>
        <w:spacing w:after="120" w:line="276" w:lineRule="auto"/>
        <w:ind w:firstLine="709"/>
        <w:jc w:val="both"/>
        <w:rPr>
          <w:rFonts w:ascii="Verdana" w:eastAsia="Calibri" w:hAnsi="Verdana" w:cs="Arial"/>
          <w:bCs/>
          <w:color w:val="000000" w:themeColor="text1"/>
        </w:rPr>
      </w:pPr>
      <w:r w:rsidRPr="008647E1">
        <w:rPr>
          <w:rFonts w:ascii="Verdana" w:hAnsi="Verdana" w:cs="Arial"/>
          <w:lang w:val="es-ES_tradnl"/>
        </w:rPr>
        <w:t>A su vez, la doctrina</w:t>
      </w:r>
      <w:r w:rsidRPr="008647E1">
        <w:rPr>
          <w:rFonts w:ascii="Verdana" w:hAnsi="Verdana"/>
        </w:rPr>
        <w:t xml:space="preserve">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w:t>
      </w:r>
      <w:r w:rsidRPr="008647E1">
        <w:rPr>
          <w:rFonts w:ascii="Verdana" w:hAnsi="Verdana" w:cs="Arial"/>
          <w:lang w:val="es-ES_tradnl"/>
        </w:rPr>
        <w:t>cercanía temporal”</w:t>
      </w:r>
      <w:r w:rsidRPr="008647E1">
        <w:rPr>
          <w:rFonts w:ascii="Verdana" w:hAnsi="Verdana" w:cs="Arial"/>
          <w:vertAlign w:val="superscript"/>
          <w:lang w:val="es-ES_tradnl"/>
        </w:rPr>
        <w:footnoteReference w:id="8"/>
      </w:r>
      <w:r w:rsidRPr="008647E1">
        <w:rPr>
          <w:rFonts w:ascii="Verdana" w:hAnsi="Verdana" w:cs="Arial"/>
          <w:lang w:val="es-ES_tradnl"/>
        </w:rPr>
        <w:t xml:space="preserve">. </w:t>
      </w:r>
    </w:p>
    <w:p w14:paraId="69C02B65" w14:textId="77777777" w:rsidR="00354F23" w:rsidRPr="008647E1" w:rsidRDefault="00354F23" w:rsidP="00354F23">
      <w:pPr>
        <w:spacing w:after="120" w:line="276" w:lineRule="auto"/>
        <w:ind w:firstLine="709"/>
        <w:jc w:val="both"/>
        <w:rPr>
          <w:rFonts w:ascii="Verdana" w:eastAsia="Calibri" w:hAnsi="Verdana" w:cs="Arial"/>
          <w:bCs/>
          <w:color w:val="000000" w:themeColor="text1"/>
        </w:rPr>
      </w:pPr>
      <w:r w:rsidRPr="008647E1">
        <w:rPr>
          <w:rFonts w:ascii="Verdana" w:eastAsia="Calibri" w:hAnsi="Verdana" w:cs="Arial"/>
          <w:bCs/>
          <w:color w:val="000000" w:themeColor="text1"/>
        </w:rPr>
        <w:t>Al margen de las posibles repercusiones en el ámbito disciplinario y fiscal, además de viciar de nulidad absoluta los negocios suscritos por objeto o causa ilícita, dicha acción tipifica la conducta punible de celebración de contratos sin cumplimiento de los requisitos legales</w:t>
      </w:r>
      <w:r w:rsidRPr="008647E1">
        <w:rPr>
          <w:rFonts w:ascii="Verdana" w:eastAsia="Calibri" w:hAnsi="Verdana" w:cs="Arial"/>
          <w:bCs/>
          <w:color w:val="000000" w:themeColor="text1"/>
          <w:vertAlign w:val="superscript"/>
        </w:rPr>
        <w:footnoteReference w:id="9"/>
      </w:r>
      <w:r w:rsidRPr="008647E1">
        <w:rPr>
          <w:rFonts w:ascii="Verdana" w:eastAsia="Calibri" w:hAnsi="Verdana" w:cs="Arial"/>
          <w:bCs/>
          <w:color w:val="000000" w:themeColor="text1"/>
        </w:rPr>
        <w:t>. Sobre dicho fenómeno, la jurisprudencia sostiene lo siguiente:</w:t>
      </w:r>
    </w:p>
    <w:p w14:paraId="0C4DB89B" w14:textId="77777777" w:rsidR="00354F23" w:rsidRPr="008647E1" w:rsidRDefault="00354F23" w:rsidP="00354F23">
      <w:pPr>
        <w:spacing w:after="0" w:line="276" w:lineRule="auto"/>
        <w:ind w:firstLine="709"/>
        <w:jc w:val="both"/>
        <w:rPr>
          <w:rFonts w:ascii="Verdana" w:eastAsia="Calibri" w:hAnsi="Verdana" w:cs="Arial"/>
          <w:bCs/>
          <w:color w:val="000000" w:themeColor="text1"/>
        </w:rPr>
      </w:pPr>
    </w:p>
    <w:p w14:paraId="1CAFCFE7" w14:textId="77777777" w:rsidR="00354F23" w:rsidRPr="008647E1" w:rsidRDefault="00354F23" w:rsidP="00354F23">
      <w:pPr>
        <w:spacing w:after="120" w:line="240" w:lineRule="auto"/>
        <w:ind w:left="709" w:right="709"/>
        <w:jc w:val="both"/>
        <w:rPr>
          <w:rFonts w:ascii="Verdana" w:eastAsia="Calibri" w:hAnsi="Verdana" w:cs="Arial"/>
          <w:bCs/>
          <w:color w:val="000000" w:themeColor="text1"/>
          <w:sz w:val="20"/>
          <w:szCs w:val="20"/>
        </w:rPr>
      </w:pPr>
      <w:r w:rsidRPr="008647E1">
        <w:rPr>
          <w:rFonts w:ascii="Verdana" w:eastAsia="Calibri" w:hAnsi="Verdana" w:cs="Arial"/>
          <w:bCs/>
          <w:color w:val="000000" w:themeColor="text1"/>
          <w:sz w:val="20"/>
          <w:szCs w:val="20"/>
        </w:rPr>
        <w:t>“[…] la regulación de los procesos de selección impide al servidor público, con competencia para contratar, la división del objeto de un contrato estatal en varios, esto es su ‘fraccionamiento’, cuando con ello se manipulen las cuantías exigidas por la ley, pues este proceder irregular implica disminuir artificiosamente el valor del contrato para eludir los procedimientos reglados de selección objetiva, contenidos en normas de orden público.</w:t>
      </w:r>
    </w:p>
    <w:p w14:paraId="1FC7903C" w14:textId="77777777" w:rsidR="00354F23" w:rsidRPr="008647E1" w:rsidRDefault="00354F23" w:rsidP="00354F23">
      <w:pPr>
        <w:spacing w:after="120" w:line="240" w:lineRule="auto"/>
        <w:ind w:left="709" w:right="709"/>
        <w:jc w:val="both"/>
        <w:rPr>
          <w:rFonts w:ascii="Verdana" w:eastAsia="Calibri" w:hAnsi="Verdana" w:cs="Arial"/>
          <w:bCs/>
          <w:color w:val="000000" w:themeColor="text1"/>
          <w:sz w:val="20"/>
          <w:szCs w:val="20"/>
        </w:rPr>
      </w:pPr>
      <w:r w:rsidRPr="008647E1">
        <w:rPr>
          <w:rFonts w:ascii="Verdana" w:eastAsia="Calibri" w:hAnsi="Verdana" w:cs="Arial"/>
          <w:bCs/>
          <w:color w:val="000000" w:themeColor="text1"/>
          <w:sz w:val="20"/>
          <w:szCs w:val="20"/>
        </w:rPr>
        <w:lastRenderedPageBreak/>
        <w:t>En otras palabras, al estar obligado el funcionario a aplicar los procesos de selección del contratista, no está autorizado para fraccionar el contrato, aunque tal conducta irregular no esté hoy expresamente prohibida, dado que, en virtud del principio de legalidad, los servidores públicos en el ejercicio de sus funciones solo pueden hacer aquello que les esté expresamente permitido (art 6 C.N.).</w:t>
      </w:r>
    </w:p>
    <w:p w14:paraId="45F513EE" w14:textId="77777777" w:rsidR="00354F23" w:rsidRPr="008647E1" w:rsidRDefault="00354F23" w:rsidP="00354F23">
      <w:pPr>
        <w:spacing w:after="0" w:line="240" w:lineRule="auto"/>
        <w:ind w:left="709" w:right="709"/>
        <w:jc w:val="both"/>
        <w:rPr>
          <w:rFonts w:ascii="Verdana" w:eastAsia="Calibri" w:hAnsi="Verdana" w:cs="Arial"/>
          <w:bCs/>
          <w:color w:val="000000" w:themeColor="text1"/>
        </w:rPr>
      </w:pPr>
      <w:r w:rsidRPr="008647E1">
        <w:rPr>
          <w:rFonts w:ascii="Verdana" w:eastAsia="Calibri" w:hAnsi="Verdana" w:cs="Arial"/>
          <w:bCs/>
          <w:color w:val="000000" w:themeColor="text1"/>
          <w:sz w:val="20"/>
          <w:szCs w:val="20"/>
        </w:rPr>
        <w:t>La prohibición del fraccionamiento del contrato estatal, siempre y cuando no se manipulen las cuantías de los contratos para evadir los mecanismos reglados de selección objetiva, no implica una limitación a la Administración para que, en la planeación de procesos contractuales de envergadura económica o complejidad técnica, disponga la celebración de varios contratos o la desagregación tecnológica en los proyectos de inversión, dispuesta por el artículo 21 de la Ley 80 de 1993”</w:t>
      </w:r>
      <w:r w:rsidRPr="008647E1">
        <w:rPr>
          <w:rFonts w:ascii="Verdana" w:eastAsia="Calibri" w:hAnsi="Verdana" w:cs="Arial"/>
          <w:bCs/>
          <w:color w:val="000000" w:themeColor="text1"/>
          <w:sz w:val="20"/>
          <w:szCs w:val="20"/>
          <w:vertAlign w:val="superscript"/>
        </w:rPr>
        <w:footnoteReference w:id="10"/>
      </w:r>
      <w:r w:rsidRPr="008647E1">
        <w:rPr>
          <w:rFonts w:ascii="Verdana" w:eastAsia="Calibri" w:hAnsi="Verdana" w:cs="Arial"/>
          <w:bCs/>
          <w:color w:val="000000" w:themeColor="text1"/>
          <w:sz w:val="20"/>
          <w:szCs w:val="20"/>
        </w:rPr>
        <w:t>.</w:t>
      </w:r>
    </w:p>
    <w:p w14:paraId="660A6BE6" w14:textId="77777777" w:rsidR="00354F23" w:rsidRPr="008647E1" w:rsidRDefault="00354F23" w:rsidP="00354F23">
      <w:pPr>
        <w:spacing w:after="120" w:line="276" w:lineRule="auto"/>
        <w:ind w:firstLine="709"/>
        <w:jc w:val="both"/>
        <w:rPr>
          <w:rFonts w:ascii="Verdana" w:hAnsi="Verdana" w:cs="Arial"/>
          <w:lang w:val="es-ES_tradnl"/>
        </w:rPr>
      </w:pPr>
    </w:p>
    <w:p w14:paraId="38DA399C" w14:textId="77777777" w:rsidR="00354F23" w:rsidRPr="008647E1" w:rsidRDefault="00354F23" w:rsidP="00354F23">
      <w:pPr>
        <w:spacing w:after="120" w:line="276" w:lineRule="auto"/>
        <w:jc w:val="both"/>
        <w:rPr>
          <w:rFonts w:ascii="Verdana" w:hAnsi="Verdana" w:cs="Arial"/>
        </w:rPr>
      </w:pPr>
      <w:r w:rsidRPr="008647E1">
        <w:rPr>
          <w:rFonts w:ascii="Verdana" w:hAnsi="Verdana" w:cs="Arial"/>
        </w:rPr>
        <w:t xml:space="preserve">         Asimismo, la jurisprudencia de la Corte Suprema de Justicia sostuvo que el fraccionamiento se presenta “cuando la administración de manera artificiosa deshace la unidad natural del objeto contractual, a fin de pactar directamente lo que en principio debió regirse por las formas propias de la licitación en atención al factor de la cuantía, práctica que indudablemente riñe con las normas que gobiernan la contratación estatal, particularmente con el principio de transparencia y el deber de selección objetiva”</w:t>
      </w:r>
      <w:r w:rsidRPr="008647E1">
        <w:rPr>
          <w:rFonts w:ascii="Verdana" w:hAnsi="Verdana" w:cs="Arial"/>
          <w:vertAlign w:val="superscript"/>
        </w:rPr>
        <w:footnoteReference w:id="11"/>
      </w:r>
      <w:r w:rsidRPr="008647E1">
        <w:rPr>
          <w:rFonts w:ascii="Verdana" w:hAnsi="Verdana" w:cs="Arial"/>
        </w:rPr>
        <w:t>. En estas condiciones, la Corte ha señalado que la configuración del fraccionamiento exige verificar, entre otros aspectos, la existencia de una unidad de objeto y la ausencia de justificaciones técnicas, jurídicas o económicas legítimas que expliquen la celebración de múltiples contratos.</w:t>
      </w:r>
    </w:p>
    <w:p w14:paraId="26E0F475" w14:textId="77777777" w:rsidR="00354F23" w:rsidRPr="008647E1" w:rsidRDefault="00354F23" w:rsidP="00354F23">
      <w:pPr>
        <w:spacing w:after="120" w:line="276" w:lineRule="auto"/>
        <w:ind w:firstLine="709"/>
        <w:jc w:val="both"/>
        <w:rPr>
          <w:rFonts w:ascii="Verdana" w:hAnsi="Verdana" w:cs="Arial"/>
        </w:rPr>
      </w:pPr>
      <w:r w:rsidRPr="008647E1">
        <w:rPr>
          <w:rFonts w:ascii="Verdana" w:hAnsi="Verdana" w:cs="Arial"/>
        </w:rPr>
        <w:t xml:space="preserve">En consecuencia, el fraccionamiento contractual no constituye un delito con </w:t>
      </w:r>
      <w:proofErr w:type="spellStart"/>
      <w:r w:rsidRPr="008647E1">
        <w:rPr>
          <w:rFonts w:ascii="Verdana" w:hAnsi="Verdana" w:cs="Arial"/>
          <w:i/>
          <w:iCs/>
        </w:rPr>
        <w:t>nomen</w:t>
      </w:r>
      <w:proofErr w:type="spellEnd"/>
      <w:r w:rsidRPr="008647E1">
        <w:rPr>
          <w:rFonts w:ascii="Verdana" w:hAnsi="Verdana" w:cs="Arial"/>
          <w:i/>
          <w:iCs/>
        </w:rPr>
        <w:t xml:space="preserve"> iuris</w:t>
      </w:r>
      <w:r w:rsidRPr="008647E1">
        <w:rPr>
          <w:rFonts w:ascii="Verdana" w:hAnsi="Verdana" w:cs="Arial"/>
        </w:rPr>
        <w:t xml:space="preserve"> propio, pero, según la jurisprudencia penal, puede integrar un tipo penal específico, en especial el de contrato sin cumplimiento de requisitos legales previsto en el artículo 410 del Código Penal, cuya estructura corresponde a la de un tipo penal en blanco, que debe ser integrada con el régimen jurídico de contratación aplicable en cada caso.</w:t>
      </w:r>
    </w:p>
    <w:p w14:paraId="1F0EFDBA" w14:textId="77777777" w:rsidR="00354F23" w:rsidRPr="008647E1" w:rsidRDefault="00354F23" w:rsidP="00354F23">
      <w:pPr>
        <w:spacing w:after="120" w:line="276" w:lineRule="auto"/>
        <w:jc w:val="both"/>
        <w:rPr>
          <w:rFonts w:ascii="Verdana" w:hAnsi="Verdana" w:cs="Arial"/>
        </w:rPr>
      </w:pPr>
      <w:proofErr w:type="spellStart"/>
      <w:r w:rsidRPr="008647E1">
        <w:rPr>
          <w:rFonts w:ascii="Verdana" w:hAnsi="Verdana" w:cs="Arial"/>
        </w:rPr>
        <w:t>ii</w:t>
      </w:r>
      <w:proofErr w:type="spellEnd"/>
      <w:r w:rsidRPr="008647E1">
        <w:rPr>
          <w:rFonts w:ascii="Verdana" w:hAnsi="Verdana" w:cs="Arial"/>
        </w:rPr>
        <w:t xml:space="preserve">. Ahora bien, la determinación de tales requisitos legales esenciales depende del régimen jurídico aplicable a la entidad que celebra el contrato. En efecto, no todas las entidades estatales se encuentran sometidas al Estatuto General de Contratación de la Administración Pública -EGCAP, pues el ordenamiento jurídico </w:t>
      </w:r>
      <w:r w:rsidRPr="008647E1">
        <w:rPr>
          <w:rFonts w:ascii="Verdana" w:hAnsi="Verdana" w:cs="Arial"/>
        </w:rPr>
        <w:lastRenderedPageBreak/>
        <w:t>colombiano reconoce la existencia de entidades que cuentan con regímenes contractuales exceptuados o especiales.</w:t>
      </w:r>
    </w:p>
    <w:p w14:paraId="1D289E84" w14:textId="77777777" w:rsidR="00354F23" w:rsidRPr="008647E1" w:rsidRDefault="00354F23" w:rsidP="00354F23">
      <w:pPr>
        <w:spacing w:after="120" w:line="276" w:lineRule="auto"/>
        <w:ind w:firstLine="709"/>
        <w:jc w:val="both"/>
        <w:rPr>
          <w:rFonts w:ascii="Verdana" w:hAnsi="Verdana" w:cs="Arial"/>
        </w:rPr>
      </w:pPr>
      <w:r w:rsidRPr="008647E1">
        <w:rPr>
          <w:rFonts w:ascii="Verdana" w:hAnsi="Verdana" w:cs="Arial"/>
        </w:rPr>
        <w:t>En este punto resulta pertinente precisar que las entidades de régimen especial son aquellas que por expresa disposición legal y atendiendo a su naturaleza o a las condiciones de competencia en las que desarrollan su actividad, cuentan con reglas particulares en materia de contratación. En estos casos, las entidades no se encuentran sometidas de manera directa EGCAP y, por consiguiente, sus procedimientos contractuales se rigen principalmente por normas de derecho privado, de conformidad con lo previsto en sus normas de creación y en sus respectivos manuales de contratación.</w:t>
      </w:r>
    </w:p>
    <w:p w14:paraId="3A55EE8B" w14:textId="77777777" w:rsidR="00354F23" w:rsidRPr="008647E1" w:rsidRDefault="00354F23" w:rsidP="00354F23">
      <w:pPr>
        <w:spacing w:before="120" w:after="120" w:line="276" w:lineRule="auto"/>
        <w:ind w:firstLine="709"/>
        <w:jc w:val="both"/>
        <w:rPr>
          <w:rFonts w:ascii="Verdana" w:hAnsi="Verdana" w:cs="Arial"/>
          <w:lang w:val="es-ES"/>
        </w:rPr>
      </w:pPr>
      <w:r w:rsidRPr="008647E1">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0DAD1401" w14:textId="77777777" w:rsidR="00354F23" w:rsidRPr="008647E1" w:rsidRDefault="00354F23" w:rsidP="00354F23">
      <w:pPr>
        <w:spacing w:before="120" w:line="276" w:lineRule="auto"/>
        <w:ind w:firstLine="709"/>
        <w:jc w:val="both"/>
        <w:rPr>
          <w:rFonts w:ascii="Verdana" w:hAnsi="Verdana" w:cs="Arial"/>
          <w:bCs/>
          <w:lang w:val="es-ES"/>
        </w:rPr>
      </w:pPr>
      <w:r w:rsidRPr="008647E1">
        <w:rPr>
          <w:rFonts w:ascii="Verdana" w:hAnsi="Verdana" w:cs="Arial"/>
          <w:lang w:val="es-ES"/>
        </w:rPr>
        <w:t>Pese a que</w:t>
      </w:r>
      <w:r w:rsidRPr="008647E1">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8647E1">
        <w:rPr>
          <w:rFonts w:ascii="Verdana" w:hAnsi="Verdana" w:cs="Arial"/>
          <w:bCs/>
          <w:lang w:val="es-ES"/>
        </w:rPr>
        <w:t>de la Ley 1150 de 2007 preceptúa lo siguiente:</w:t>
      </w:r>
    </w:p>
    <w:p w14:paraId="43E5251B" w14:textId="77777777" w:rsidR="00354F23" w:rsidRPr="008647E1" w:rsidRDefault="00354F23" w:rsidP="00354F23">
      <w:pPr>
        <w:spacing w:after="0" w:line="240" w:lineRule="auto"/>
        <w:ind w:firstLine="709"/>
        <w:jc w:val="both"/>
        <w:rPr>
          <w:rFonts w:ascii="Verdana" w:hAnsi="Verdana" w:cs="Arial"/>
          <w:bCs/>
          <w:lang w:val="es-ES"/>
        </w:rPr>
      </w:pPr>
    </w:p>
    <w:p w14:paraId="48CD663C" w14:textId="77777777" w:rsidR="00354F23" w:rsidRPr="008647E1" w:rsidRDefault="00354F23" w:rsidP="00354F23">
      <w:pPr>
        <w:spacing w:after="0" w:line="240" w:lineRule="auto"/>
        <w:ind w:left="708" w:right="709"/>
        <w:jc w:val="both"/>
        <w:rPr>
          <w:rFonts w:ascii="Verdana" w:hAnsi="Verdana" w:cs="Arial"/>
          <w:bCs/>
          <w:sz w:val="20"/>
          <w:szCs w:val="20"/>
          <w:lang w:val="es-ES"/>
        </w:rPr>
      </w:pPr>
      <w:r w:rsidRPr="008647E1">
        <w:rPr>
          <w:rFonts w:ascii="Verdana" w:hAnsi="Verdana" w:cs="Arial"/>
          <w:bCs/>
          <w:sz w:val="20"/>
          <w:szCs w:val="20"/>
          <w:lang w:val="es-ES"/>
        </w:rPr>
        <w:t>“Artículo 13. Principios generales de la actividad contractual para entidades no sometidas al estatuto general de contratación de la administración pública.</w:t>
      </w:r>
      <w:r w:rsidRPr="008647E1">
        <w:rPr>
          <w:rFonts w:ascii="Verdana" w:hAnsi="Verdana" w:cs="Arial"/>
          <w:b/>
          <w:sz w:val="20"/>
          <w:szCs w:val="20"/>
          <w:lang w:val="es-ES"/>
        </w:rPr>
        <w:t xml:space="preserve"> </w:t>
      </w:r>
      <w:r w:rsidRPr="008647E1">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4" w:anchor="209" w:history="1">
        <w:r w:rsidRPr="008647E1">
          <w:rPr>
            <w:rFonts w:ascii="Verdana" w:hAnsi="Verdana" w:cs="Arial"/>
            <w:bCs/>
            <w:sz w:val="20"/>
            <w:szCs w:val="20"/>
            <w:lang w:val="es-ES"/>
          </w:rPr>
          <w:t>209</w:t>
        </w:r>
      </w:hyperlink>
      <w:r w:rsidRPr="008647E1">
        <w:rPr>
          <w:rFonts w:ascii="Verdana" w:hAnsi="Verdana" w:cs="Arial"/>
          <w:bCs/>
          <w:sz w:val="20"/>
          <w:szCs w:val="20"/>
          <w:lang w:val="es-ES"/>
        </w:rPr>
        <w:t> y </w:t>
      </w:r>
      <w:hyperlink r:id="rId15" w:anchor="267" w:history="1">
        <w:r w:rsidRPr="008647E1">
          <w:rPr>
            <w:rFonts w:ascii="Verdana" w:hAnsi="Verdana" w:cs="Arial"/>
            <w:bCs/>
            <w:sz w:val="20"/>
            <w:szCs w:val="20"/>
            <w:lang w:val="es-ES"/>
          </w:rPr>
          <w:t>267</w:t>
        </w:r>
      </w:hyperlink>
      <w:r w:rsidRPr="008647E1">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0AD7D515" w14:textId="77777777" w:rsidR="00354F23" w:rsidRPr="008647E1" w:rsidRDefault="00354F23" w:rsidP="00354F23">
      <w:pPr>
        <w:spacing w:before="240" w:after="0" w:line="276" w:lineRule="auto"/>
        <w:ind w:firstLine="709"/>
        <w:jc w:val="both"/>
        <w:rPr>
          <w:rFonts w:ascii="Verdana" w:eastAsia="Calibri" w:hAnsi="Verdana" w:cs="Arial"/>
          <w:lang w:val="es-ES_tradnl"/>
        </w:rPr>
      </w:pPr>
      <w:r w:rsidRPr="008647E1">
        <w:rPr>
          <w:rFonts w:ascii="Verdana" w:eastAsia="Calibri" w:hAnsi="Verdana" w:cs="Arial"/>
          <w:lang w:val="es-ES_tradnl"/>
        </w:rPr>
        <w:lastRenderedPageBreak/>
        <w:t>Lo anterior es reafirmado por el Consejo de Estado, que destaca las reglas que sigue la contratación de las entidades de régimen especial:</w:t>
      </w:r>
    </w:p>
    <w:p w14:paraId="15162C78" w14:textId="77777777" w:rsidR="00354F23" w:rsidRPr="008647E1" w:rsidRDefault="00354F23" w:rsidP="00354F23">
      <w:pPr>
        <w:spacing w:before="240" w:line="240" w:lineRule="auto"/>
        <w:ind w:left="709" w:right="709"/>
        <w:jc w:val="both"/>
        <w:rPr>
          <w:rFonts w:ascii="Verdana" w:eastAsia="Calibri" w:hAnsi="Verdana" w:cs="Arial"/>
          <w:sz w:val="20"/>
          <w:szCs w:val="20"/>
          <w:lang w:val="es-ES_tradnl"/>
        </w:rPr>
      </w:pPr>
      <w:r w:rsidRPr="008647E1">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EB4C705" w14:textId="77777777" w:rsidR="00354F23" w:rsidRPr="008647E1" w:rsidRDefault="00354F23" w:rsidP="00354F23">
      <w:pPr>
        <w:spacing w:line="240" w:lineRule="auto"/>
        <w:ind w:left="709" w:right="709"/>
        <w:jc w:val="both"/>
        <w:rPr>
          <w:rFonts w:ascii="Verdana" w:eastAsia="Calibri" w:hAnsi="Verdana" w:cs="Arial"/>
          <w:sz w:val="20"/>
          <w:szCs w:val="20"/>
          <w:lang w:val="es-ES_tradnl"/>
        </w:rPr>
      </w:pPr>
      <w:r w:rsidRPr="008647E1">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843D2F9" w14:textId="77777777" w:rsidR="00354F23" w:rsidRPr="008647E1" w:rsidRDefault="00354F23" w:rsidP="00354F23">
      <w:pPr>
        <w:spacing w:after="0" w:line="240" w:lineRule="auto"/>
        <w:ind w:left="709" w:right="709"/>
        <w:jc w:val="both"/>
        <w:rPr>
          <w:rFonts w:ascii="Verdana" w:eastAsia="Calibri" w:hAnsi="Verdana" w:cs="Arial"/>
          <w:sz w:val="20"/>
          <w:szCs w:val="20"/>
          <w:lang w:val="es-ES_tradnl"/>
        </w:rPr>
      </w:pPr>
      <w:r w:rsidRPr="008647E1">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8647E1">
        <w:rPr>
          <w:rFonts w:ascii="Verdana" w:eastAsia="Calibri" w:hAnsi="Verdana" w:cs="Arial"/>
          <w:sz w:val="20"/>
          <w:szCs w:val="20"/>
          <w:vertAlign w:val="superscript"/>
          <w:lang w:val="es-ES_tradnl"/>
        </w:rPr>
        <w:footnoteReference w:id="12"/>
      </w:r>
      <w:r w:rsidRPr="008647E1">
        <w:rPr>
          <w:rFonts w:ascii="Verdana" w:eastAsia="Calibri" w:hAnsi="Verdana" w:cs="Arial"/>
          <w:sz w:val="20"/>
          <w:szCs w:val="20"/>
          <w:lang w:val="es-ES_tradnl"/>
        </w:rPr>
        <w:t>.</w:t>
      </w:r>
    </w:p>
    <w:p w14:paraId="6D017139" w14:textId="77777777" w:rsidR="00354F23" w:rsidRPr="008647E1" w:rsidRDefault="00354F23" w:rsidP="00354F23">
      <w:pPr>
        <w:spacing w:after="0" w:line="276" w:lineRule="auto"/>
        <w:ind w:firstLine="709"/>
        <w:jc w:val="both"/>
        <w:rPr>
          <w:rFonts w:ascii="Verdana" w:hAnsi="Verdana" w:cs="Arial"/>
          <w:lang w:val="es-MX"/>
        </w:rPr>
      </w:pPr>
    </w:p>
    <w:p w14:paraId="6B617E95" w14:textId="77777777" w:rsidR="00354F23" w:rsidRPr="008647E1" w:rsidRDefault="00354F23" w:rsidP="00354F23">
      <w:pPr>
        <w:spacing w:after="120" w:line="276" w:lineRule="auto"/>
        <w:ind w:firstLine="709"/>
        <w:jc w:val="both"/>
        <w:rPr>
          <w:rFonts w:ascii="Verdana" w:eastAsia="Arial" w:hAnsi="Verdana" w:cs="Arial"/>
        </w:rPr>
      </w:pPr>
      <w:r w:rsidRPr="008647E1">
        <w:rPr>
          <w:rFonts w:ascii="Verdana" w:eastAsia="Arial" w:hAnsi="Verdana" w:cs="Arial"/>
        </w:rPr>
        <w:t>Así, las entidades de régimen especial, aunque no se rigen por el EGCAP y aplican reglas de derecho privado conforme a su norma de creación y a sus manuales de contratación, no se encuentran exentas del cumplimiento de los principios constitucionales de la función administrativa y de la gestión fiscal, ni del régimen de inhabilidades e incompatibilidades, según lo dispuesto en el artículo 13 de la Ley 1150 de 2007 y la reiterada jurisprudencia del Consejo de Estado.</w:t>
      </w:r>
    </w:p>
    <w:p w14:paraId="1642031B" w14:textId="77777777" w:rsidR="00354F23" w:rsidRPr="008647E1" w:rsidRDefault="00354F23" w:rsidP="00354F23">
      <w:pPr>
        <w:spacing w:after="0" w:line="276" w:lineRule="auto"/>
        <w:ind w:firstLine="708"/>
        <w:jc w:val="both"/>
        <w:rPr>
          <w:rFonts w:ascii="Verdana" w:eastAsia="Calibri" w:hAnsi="Verdana" w:cs="Arial"/>
          <w:lang w:val="es-ES"/>
        </w:rPr>
      </w:pPr>
      <w:r w:rsidRPr="008647E1">
        <w:rPr>
          <w:rFonts w:ascii="Verdana" w:hAnsi="Verdana" w:cs="Arial"/>
          <w:bdr w:val="none" w:sz="0" w:space="0" w:color="auto" w:frame="1"/>
        </w:rPr>
        <w:t xml:space="preserve">La anterior resulta de especial importancia para efectos de la consulta planteada, puesto que </w:t>
      </w:r>
      <w:r w:rsidRPr="008647E1">
        <w:rPr>
          <w:rFonts w:ascii="Verdana" w:hAnsi="Verdana" w:cs="Arial"/>
          <w:bdr w:val="none" w:sz="0" w:space="0" w:color="auto" w:frame="1"/>
          <w:lang w:val="es-ES_tradnl"/>
        </w:rPr>
        <w:t xml:space="preserve">las Empresas Industriales y Comerciales del Estado en ciertos eventos cuentan con un régimen de contratación particular. En efecto, estas entidades </w:t>
      </w:r>
      <w:r w:rsidRPr="008647E1">
        <w:rPr>
          <w:rFonts w:ascii="Verdana" w:eastAsia="Calibri" w:hAnsi="Verdana" w:cs="Arial"/>
          <w:lang w:val="es-ES"/>
        </w:rPr>
        <w:t xml:space="preserve">quedaron sometidas al Estatuto General de Contratación de la </w:t>
      </w:r>
      <w:r w:rsidRPr="008647E1">
        <w:rPr>
          <w:rFonts w:ascii="Verdana" w:eastAsia="Calibri" w:hAnsi="Verdana" w:cs="Arial"/>
          <w:lang w:val="es-ES"/>
        </w:rPr>
        <w:lastRenderedPageBreak/>
        <w:t>Administración Pública –Ley 80 de 1993, artículo 2, numeral 1, literal a</w:t>
      </w:r>
      <w:r w:rsidRPr="008647E1">
        <w:rPr>
          <w:rFonts w:ascii="Verdana" w:eastAsia="Calibri" w:hAnsi="Verdana" w:cs="Arial"/>
          <w:vertAlign w:val="superscript"/>
          <w:lang w:val="es-ES"/>
        </w:rPr>
        <w:footnoteReference w:id="13"/>
      </w:r>
      <w:r w:rsidRPr="008647E1">
        <w:rPr>
          <w:rFonts w:ascii="Verdana" w:eastAsia="Calibri" w:hAnsi="Verdana" w:cs="Arial"/>
          <w:lang w:val="es-ES"/>
        </w:rPr>
        <w:t>. Posteriormente, la Ley 489 de 1998, mediante el cual se regula la organización y funcionamiento de las entidades de orden nacional, en su artículo 93 estableció el régimen jurídico aplicable a los contratos celebrados por las Empresas Industriales y Comerciales del Estado, como sigue:</w:t>
      </w:r>
    </w:p>
    <w:p w14:paraId="7D7DE8B7" w14:textId="77777777" w:rsidR="00354F23" w:rsidRPr="008647E1" w:rsidRDefault="00354F23" w:rsidP="00354F23">
      <w:pPr>
        <w:spacing w:after="0" w:line="276" w:lineRule="auto"/>
        <w:ind w:firstLine="708"/>
        <w:jc w:val="both"/>
        <w:rPr>
          <w:rFonts w:ascii="Verdana" w:eastAsia="Calibri" w:hAnsi="Verdana" w:cs="Arial"/>
          <w:lang w:val="es-ES"/>
        </w:rPr>
      </w:pPr>
    </w:p>
    <w:p w14:paraId="6255A060" w14:textId="77777777" w:rsidR="00354F23" w:rsidRPr="008647E1" w:rsidRDefault="00354F23" w:rsidP="00354F23">
      <w:pPr>
        <w:spacing w:after="0" w:line="240" w:lineRule="auto"/>
        <w:ind w:left="709" w:right="709"/>
        <w:contextualSpacing/>
        <w:jc w:val="both"/>
        <w:rPr>
          <w:rFonts w:ascii="Verdana" w:eastAsia="Times New Roman" w:hAnsi="Verdana" w:cs="Arial"/>
          <w:sz w:val="20"/>
          <w:szCs w:val="20"/>
          <w:lang w:eastAsia="es-ES_tradnl"/>
        </w:rPr>
      </w:pPr>
      <w:r w:rsidRPr="008647E1">
        <w:rPr>
          <w:rFonts w:ascii="Verdana" w:eastAsia="Times New Roman" w:hAnsi="Verdana" w:cs="Arial"/>
          <w:sz w:val="20"/>
          <w:szCs w:val="20"/>
          <w:lang w:eastAsia="es-ES_tradnl"/>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09F6724C" w14:textId="77777777" w:rsidR="00354F23" w:rsidRPr="008647E1" w:rsidRDefault="00354F23" w:rsidP="00354F23">
      <w:pPr>
        <w:widowControl w:val="0"/>
        <w:autoSpaceDE w:val="0"/>
        <w:autoSpaceDN w:val="0"/>
        <w:spacing w:after="0" w:line="276" w:lineRule="auto"/>
        <w:rPr>
          <w:rFonts w:ascii="Verdana" w:eastAsia="Verdana" w:hAnsi="Verdana" w:cs="Verdana"/>
          <w:sz w:val="20"/>
        </w:rPr>
      </w:pPr>
    </w:p>
    <w:p w14:paraId="4E8B84E8" w14:textId="77777777" w:rsidR="00354F23" w:rsidRPr="008647E1" w:rsidRDefault="00354F23" w:rsidP="00354F23">
      <w:pPr>
        <w:widowControl w:val="0"/>
        <w:autoSpaceDE w:val="0"/>
        <w:autoSpaceDN w:val="0"/>
        <w:spacing w:after="0" w:line="276" w:lineRule="auto"/>
        <w:ind w:right="49" w:firstLine="708"/>
        <w:jc w:val="both"/>
        <w:rPr>
          <w:rFonts w:ascii="Verdana" w:eastAsia="Verdana" w:hAnsi="Verdana" w:cs="Verdana"/>
          <w:lang w:val="es-ES"/>
        </w:rPr>
      </w:pPr>
      <w:bookmarkStart w:id="3" w:name="_bookmark7"/>
      <w:bookmarkEnd w:id="3"/>
      <w:r w:rsidRPr="008647E1">
        <w:rPr>
          <w:rFonts w:ascii="Verdana" w:eastAsia="Verdana" w:hAnsi="Verdana" w:cs="Verdana"/>
          <w:lang w:val="es-ES"/>
        </w:rPr>
        <w:t>No obstante las dificultades hermenéuticas que suscitaba la disposición anterior,</w:t>
      </w:r>
      <w:r w:rsidRPr="008647E1">
        <w:rPr>
          <w:rFonts w:ascii="Verdana" w:eastAsia="Verdana" w:hAnsi="Verdana" w:cs="Verdana"/>
          <w:spacing w:val="-8"/>
          <w:lang w:val="es-ES"/>
        </w:rPr>
        <w:t xml:space="preserve"> </w:t>
      </w:r>
      <w:r w:rsidRPr="008647E1">
        <w:rPr>
          <w:rFonts w:ascii="Verdana" w:eastAsia="Verdana" w:hAnsi="Verdana" w:cs="Verdana"/>
          <w:lang w:val="es-ES"/>
        </w:rPr>
        <w:t>el</w:t>
      </w:r>
      <w:r w:rsidRPr="008647E1">
        <w:rPr>
          <w:rFonts w:ascii="Verdana" w:eastAsia="Verdana" w:hAnsi="Verdana" w:cs="Verdana"/>
          <w:spacing w:val="-8"/>
          <w:lang w:val="es-ES"/>
        </w:rPr>
        <w:t xml:space="preserve"> </w:t>
      </w:r>
      <w:r w:rsidRPr="008647E1">
        <w:rPr>
          <w:rFonts w:ascii="Verdana" w:eastAsia="Verdana" w:hAnsi="Verdana" w:cs="Verdana"/>
          <w:lang w:val="es-ES"/>
        </w:rPr>
        <w:t>artículo</w:t>
      </w:r>
      <w:r w:rsidRPr="008647E1">
        <w:rPr>
          <w:rFonts w:ascii="Verdana" w:eastAsia="Verdana" w:hAnsi="Verdana" w:cs="Verdana"/>
          <w:spacing w:val="-7"/>
          <w:lang w:val="es-ES"/>
        </w:rPr>
        <w:t xml:space="preserve"> </w:t>
      </w:r>
      <w:r w:rsidRPr="008647E1">
        <w:rPr>
          <w:rFonts w:ascii="Verdana" w:eastAsia="Verdana" w:hAnsi="Verdana" w:cs="Verdana"/>
          <w:lang w:val="es-ES"/>
        </w:rPr>
        <w:t>14</w:t>
      </w:r>
      <w:r w:rsidRPr="008647E1">
        <w:rPr>
          <w:rFonts w:ascii="Verdana" w:eastAsia="Verdana" w:hAnsi="Verdana" w:cs="Verdana"/>
          <w:spacing w:val="-8"/>
          <w:lang w:val="es-ES"/>
        </w:rPr>
        <w:t xml:space="preserve"> </w:t>
      </w:r>
      <w:r w:rsidRPr="008647E1">
        <w:rPr>
          <w:rFonts w:ascii="Verdana" w:eastAsia="Verdana" w:hAnsi="Verdana" w:cs="Verdana"/>
          <w:lang w:val="es-ES"/>
        </w:rPr>
        <w:t>de</w:t>
      </w:r>
      <w:r w:rsidRPr="008647E1">
        <w:rPr>
          <w:rFonts w:ascii="Verdana" w:eastAsia="Verdana" w:hAnsi="Verdana" w:cs="Verdana"/>
          <w:spacing w:val="-9"/>
          <w:lang w:val="es-ES"/>
        </w:rPr>
        <w:t xml:space="preserve"> </w:t>
      </w:r>
      <w:r w:rsidRPr="008647E1">
        <w:rPr>
          <w:rFonts w:ascii="Verdana" w:eastAsia="Verdana" w:hAnsi="Verdana" w:cs="Verdana"/>
          <w:lang w:val="es-ES"/>
        </w:rPr>
        <w:t>la</w:t>
      </w:r>
      <w:r w:rsidRPr="008647E1">
        <w:rPr>
          <w:rFonts w:ascii="Verdana" w:eastAsia="Verdana" w:hAnsi="Verdana" w:cs="Verdana"/>
          <w:spacing w:val="-10"/>
          <w:lang w:val="es-ES"/>
        </w:rPr>
        <w:t xml:space="preserve"> </w:t>
      </w:r>
      <w:r w:rsidRPr="008647E1">
        <w:rPr>
          <w:rFonts w:ascii="Verdana" w:eastAsia="Verdana" w:hAnsi="Verdana" w:cs="Verdana"/>
          <w:lang w:val="es-ES"/>
        </w:rPr>
        <w:t>Ley</w:t>
      </w:r>
      <w:r w:rsidRPr="008647E1">
        <w:rPr>
          <w:rFonts w:ascii="Verdana" w:eastAsia="Verdana" w:hAnsi="Verdana" w:cs="Verdana"/>
          <w:spacing w:val="-8"/>
          <w:lang w:val="es-ES"/>
        </w:rPr>
        <w:t xml:space="preserve"> </w:t>
      </w:r>
      <w:r w:rsidRPr="008647E1">
        <w:rPr>
          <w:rFonts w:ascii="Verdana" w:eastAsia="Verdana" w:hAnsi="Verdana" w:cs="Verdana"/>
          <w:lang w:val="es-ES"/>
        </w:rPr>
        <w:t>1150</w:t>
      </w:r>
      <w:r w:rsidRPr="008647E1">
        <w:rPr>
          <w:rFonts w:ascii="Verdana" w:eastAsia="Verdana" w:hAnsi="Verdana" w:cs="Verdana"/>
          <w:spacing w:val="-8"/>
          <w:lang w:val="es-ES"/>
        </w:rPr>
        <w:t xml:space="preserve"> </w:t>
      </w:r>
      <w:r w:rsidRPr="008647E1">
        <w:rPr>
          <w:rFonts w:ascii="Verdana" w:eastAsia="Verdana" w:hAnsi="Verdana" w:cs="Verdana"/>
          <w:lang w:val="es-ES"/>
        </w:rPr>
        <w:t>de</w:t>
      </w:r>
      <w:r w:rsidRPr="008647E1">
        <w:rPr>
          <w:rFonts w:ascii="Verdana" w:eastAsia="Verdana" w:hAnsi="Verdana" w:cs="Verdana"/>
          <w:spacing w:val="-9"/>
          <w:lang w:val="es-ES"/>
        </w:rPr>
        <w:t xml:space="preserve"> </w:t>
      </w:r>
      <w:r w:rsidRPr="008647E1">
        <w:rPr>
          <w:rFonts w:ascii="Verdana" w:eastAsia="Verdana" w:hAnsi="Verdana" w:cs="Verdana"/>
          <w:lang w:val="es-ES"/>
        </w:rPr>
        <w:t>2007 –modificado</w:t>
      </w:r>
      <w:r w:rsidRPr="008647E1">
        <w:rPr>
          <w:rFonts w:ascii="Verdana" w:eastAsia="Verdana" w:hAnsi="Verdana" w:cs="Verdana"/>
          <w:spacing w:val="-7"/>
          <w:lang w:val="es-ES"/>
        </w:rPr>
        <w:t xml:space="preserve"> </w:t>
      </w:r>
      <w:r w:rsidRPr="008647E1">
        <w:rPr>
          <w:rFonts w:ascii="Verdana" w:eastAsia="Verdana" w:hAnsi="Verdana" w:cs="Verdana"/>
          <w:lang w:val="es-ES"/>
        </w:rPr>
        <w:t>por</w:t>
      </w:r>
      <w:r w:rsidRPr="008647E1">
        <w:rPr>
          <w:rFonts w:ascii="Verdana" w:eastAsia="Verdana" w:hAnsi="Verdana" w:cs="Verdana"/>
          <w:spacing w:val="-7"/>
          <w:lang w:val="es-ES"/>
        </w:rPr>
        <w:t xml:space="preserve"> </w:t>
      </w:r>
      <w:r w:rsidRPr="008647E1">
        <w:rPr>
          <w:rFonts w:ascii="Verdana" w:eastAsia="Verdana" w:hAnsi="Verdana" w:cs="Verdana"/>
          <w:lang w:val="es-ES"/>
        </w:rPr>
        <w:t>el</w:t>
      </w:r>
      <w:r w:rsidRPr="008647E1">
        <w:rPr>
          <w:rFonts w:ascii="Verdana" w:eastAsia="Verdana" w:hAnsi="Verdana" w:cs="Verdana"/>
          <w:spacing w:val="-8"/>
          <w:lang w:val="es-ES"/>
        </w:rPr>
        <w:t xml:space="preserve"> </w:t>
      </w:r>
      <w:r w:rsidRPr="008647E1">
        <w:rPr>
          <w:rFonts w:ascii="Verdana" w:eastAsia="Verdana" w:hAnsi="Verdana" w:cs="Verdana"/>
          <w:lang w:val="es-ES"/>
        </w:rPr>
        <w:t>artículo</w:t>
      </w:r>
      <w:r w:rsidRPr="008647E1">
        <w:rPr>
          <w:rFonts w:ascii="Verdana" w:eastAsia="Verdana" w:hAnsi="Verdana" w:cs="Verdana"/>
          <w:spacing w:val="-7"/>
          <w:lang w:val="es-ES"/>
        </w:rPr>
        <w:t xml:space="preserve"> </w:t>
      </w:r>
      <w:r w:rsidRPr="008647E1">
        <w:rPr>
          <w:rFonts w:ascii="Verdana" w:eastAsia="Verdana" w:hAnsi="Verdana" w:cs="Verdana"/>
          <w:lang w:val="es-ES"/>
        </w:rPr>
        <w:t>93</w:t>
      </w:r>
      <w:r w:rsidRPr="008647E1">
        <w:rPr>
          <w:rFonts w:ascii="Verdana" w:eastAsia="Verdana" w:hAnsi="Verdana" w:cs="Verdana"/>
          <w:spacing w:val="-12"/>
          <w:lang w:val="es-ES"/>
        </w:rPr>
        <w:t xml:space="preserve"> </w:t>
      </w:r>
      <w:r w:rsidRPr="008647E1">
        <w:rPr>
          <w:rFonts w:ascii="Verdana" w:eastAsia="Verdana" w:hAnsi="Verdana" w:cs="Verdana"/>
          <w:lang w:val="es-ES"/>
        </w:rPr>
        <w:t>de la Ley 1474 de 2011– dispuso un régimen exceptivo de aplicación del derecho privado para la actividad contractual de las Empresas Industriales y Comerciales del Estado que ejercen su actividad en competencia</w:t>
      </w:r>
      <w:r w:rsidRPr="008647E1">
        <w:rPr>
          <w:rFonts w:ascii="Verdana" w:eastAsia="Verdana" w:hAnsi="Verdana" w:cs="Verdana"/>
          <w:spacing w:val="-20"/>
          <w:lang w:val="es-ES"/>
        </w:rPr>
        <w:t xml:space="preserve"> </w:t>
      </w:r>
      <w:r w:rsidRPr="008647E1">
        <w:rPr>
          <w:rFonts w:ascii="Verdana" w:eastAsia="Verdana" w:hAnsi="Verdana" w:cs="Verdana"/>
          <w:lang w:val="es-ES"/>
        </w:rPr>
        <w:t>con</w:t>
      </w:r>
      <w:r w:rsidRPr="008647E1">
        <w:rPr>
          <w:rFonts w:ascii="Verdana" w:eastAsia="Verdana" w:hAnsi="Verdana" w:cs="Verdana"/>
          <w:spacing w:val="-19"/>
          <w:lang w:val="es-ES"/>
        </w:rPr>
        <w:t xml:space="preserve"> </w:t>
      </w:r>
      <w:r w:rsidRPr="008647E1">
        <w:rPr>
          <w:rFonts w:ascii="Verdana" w:eastAsia="Verdana" w:hAnsi="Verdana" w:cs="Verdana"/>
          <w:lang w:val="es-ES"/>
        </w:rPr>
        <w:t>el</w:t>
      </w:r>
      <w:r w:rsidRPr="008647E1">
        <w:rPr>
          <w:rFonts w:ascii="Verdana" w:eastAsia="Verdana" w:hAnsi="Verdana" w:cs="Verdana"/>
          <w:spacing w:val="-19"/>
          <w:lang w:val="es-ES"/>
        </w:rPr>
        <w:t xml:space="preserve"> </w:t>
      </w:r>
      <w:r w:rsidRPr="008647E1">
        <w:rPr>
          <w:rFonts w:ascii="Verdana" w:eastAsia="Verdana" w:hAnsi="Verdana" w:cs="Verdana"/>
          <w:lang w:val="es-ES"/>
        </w:rPr>
        <w:t>sector</w:t>
      </w:r>
      <w:r w:rsidRPr="008647E1">
        <w:rPr>
          <w:rFonts w:ascii="Verdana" w:eastAsia="Verdana" w:hAnsi="Verdana" w:cs="Verdana"/>
          <w:spacing w:val="-20"/>
          <w:lang w:val="es-ES"/>
        </w:rPr>
        <w:t xml:space="preserve"> </w:t>
      </w:r>
      <w:r w:rsidRPr="008647E1">
        <w:rPr>
          <w:rFonts w:ascii="Verdana" w:eastAsia="Verdana" w:hAnsi="Verdana" w:cs="Verdana"/>
          <w:lang w:val="es-ES"/>
        </w:rPr>
        <w:t>público</w:t>
      </w:r>
      <w:r w:rsidRPr="008647E1">
        <w:rPr>
          <w:rFonts w:ascii="Verdana" w:eastAsia="Verdana" w:hAnsi="Verdana" w:cs="Verdana"/>
          <w:spacing w:val="-19"/>
          <w:lang w:val="es-ES"/>
        </w:rPr>
        <w:t xml:space="preserve"> </w:t>
      </w:r>
      <w:r w:rsidRPr="008647E1">
        <w:rPr>
          <w:rFonts w:ascii="Verdana" w:eastAsia="Verdana" w:hAnsi="Verdana" w:cs="Verdana"/>
          <w:lang w:val="es-ES"/>
        </w:rPr>
        <w:t>o</w:t>
      </w:r>
      <w:r w:rsidRPr="008647E1">
        <w:rPr>
          <w:rFonts w:ascii="Verdana" w:eastAsia="Verdana" w:hAnsi="Verdana" w:cs="Verdana"/>
          <w:spacing w:val="-20"/>
          <w:lang w:val="es-ES"/>
        </w:rPr>
        <w:t xml:space="preserve"> </w:t>
      </w:r>
      <w:r w:rsidRPr="008647E1">
        <w:rPr>
          <w:rFonts w:ascii="Verdana" w:eastAsia="Verdana" w:hAnsi="Verdana" w:cs="Verdana"/>
          <w:lang w:val="es-ES"/>
        </w:rPr>
        <w:t>privado,</w:t>
      </w:r>
      <w:r w:rsidRPr="008647E1">
        <w:rPr>
          <w:rFonts w:ascii="Verdana" w:eastAsia="Verdana" w:hAnsi="Verdana" w:cs="Verdana"/>
          <w:spacing w:val="-19"/>
          <w:lang w:val="es-ES"/>
        </w:rPr>
        <w:t xml:space="preserve"> </w:t>
      </w:r>
      <w:r w:rsidRPr="008647E1">
        <w:rPr>
          <w:rFonts w:ascii="Verdana" w:eastAsia="Verdana" w:hAnsi="Verdana" w:cs="Verdana"/>
          <w:lang w:val="es-ES"/>
        </w:rPr>
        <w:t>o</w:t>
      </w:r>
      <w:r w:rsidRPr="008647E1">
        <w:rPr>
          <w:rFonts w:ascii="Verdana" w:eastAsia="Verdana" w:hAnsi="Verdana" w:cs="Verdana"/>
          <w:spacing w:val="-19"/>
          <w:lang w:val="es-ES"/>
        </w:rPr>
        <w:t xml:space="preserve"> </w:t>
      </w:r>
      <w:r w:rsidRPr="008647E1">
        <w:rPr>
          <w:rFonts w:ascii="Verdana" w:eastAsia="Verdana" w:hAnsi="Verdana" w:cs="Verdana"/>
          <w:lang w:val="es-ES"/>
        </w:rPr>
        <w:t>en</w:t>
      </w:r>
      <w:r w:rsidRPr="008647E1">
        <w:rPr>
          <w:rFonts w:ascii="Verdana" w:eastAsia="Verdana" w:hAnsi="Verdana" w:cs="Verdana"/>
          <w:spacing w:val="-20"/>
          <w:lang w:val="es-ES"/>
        </w:rPr>
        <w:t xml:space="preserve"> </w:t>
      </w:r>
      <w:r w:rsidRPr="008647E1">
        <w:rPr>
          <w:rFonts w:ascii="Verdana" w:eastAsia="Verdana" w:hAnsi="Verdana" w:cs="Verdana"/>
          <w:lang w:val="es-ES"/>
        </w:rPr>
        <w:t>mercados</w:t>
      </w:r>
      <w:r w:rsidRPr="008647E1">
        <w:rPr>
          <w:rFonts w:ascii="Verdana" w:eastAsia="Verdana" w:hAnsi="Verdana" w:cs="Verdana"/>
          <w:spacing w:val="-19"/>
          <w:lang w:val="es-ES"/>
        </w:rPr>
        <w:t xml:space="preserve"> </w:t>
      </w:r>
      <w:r w:rsidRPr="008647E1">
        <w:rPr>
          <w:rFonts w:ascii="Verdana" w:eastAsia="Verdana" w:hAnsi="Verdana" w:cs="Verdana"/>
          <w:lang w:val="es-ES"/>
        </w:rPr>
        <w:t>regulados,</w:t>
      </w:r>
      <w:r w:rsidRPr="008647E1">
        <w:rPr>
          <w:rFonts w:ascii="Verdana" w:eastAsia="Verdana" w:hAnsi="Verdana" w:cs="Verdana"/>
          <w:spacing w:val="-19"/>
          <w:lang w:val="es-ES"/>
        </w:rPr>
        <w:t xml:space="preserve"> </w:t>
      </w:r>
      <w:r w:rsidRPr="008647E1">
        <w:rPr>
          <w:rFonts w:ascii="Verdana" w:eastAsia="Verdana" w:hAnsi="Verdana" w:cs="Verdana"/>
          <w:lang w:val="es-ES"/>
        </w:rPr>
        <w:t>quedando las otras empresas de esta índole dentro del ámbito de aplicación del Estatuto General de Contratación de la Administración Pública</w:t>
      </w:r>
      <w:r w:rsidRPr="008647E1">
        <w:rPr>
          <w:rFonts w:ascii="Verdana" w:eastAsia="Verdana" w:hAnsi="Verdana" w:cs="Verdana"/>
          <w:vertAlign w:val="superscript"/>
          <w:lang w:val="es-ES"/>
        </w:rPr>
        <w:footnoteReference w:id="14"/>
      </w:r>
      <w:r w:rsidRPr="008647E1">
        <w:rPr>
          <w:rFonts w:ascii="Verdana" w:eastAsia="Verdana" w:hAnsi="Verdana" w:cs="Verdana"/>
          <w:lang w:val="es-ES"/>
        </w:rPr>
        <w:t>. Así, la norma</w:t>
      </w:r>
      <w:r w:rsidRPr="008647E1">
        <w:rPr>
          <w:rFonts w:ascii="Verdana" w:eastAsia="Verdana" w:hAnsi="Verdana" w:cs="Verdana"/>
          <w:spacing w:val="-1"/>
          <w:lang w:val="es-ES"/>
        </w:rPr>
        <w:t xml:space="preserve"> </w:t>
      </w:r>
      <w:r w:rsidRPr="008647E1">
        <w:rPr>
          <w:rFonts w:ascii="Verdana" w:eastAsia="Verdana" w:hAnsi="Verdana" w:cs="Verdana"/>
          <w:lang w:val="es-ES"/>
        </w:rPr>
        <w:t>vigente respecto a</w:t>
      </w:r>
      <w:r w:rsidRPr="008647E1">
        <w:rPr>
          <w:rFonts w:ascii="Verdana" w:eastAsia="Verdana" w:hAnsi="Verdana" w:cs="Verdana"/>
          <w:spacing w:val="-1"/>
          <w:lang w:val="es-ES"/>
        </w:rPr>
        <w:t xml:space="preserve"> </w:t>
      </w:r>
      <w:r w:rsidRPr="008647E1">
        <w:rPr>
          <w:rFonts w:ascii="Verdana" w:eastAsia="Verdana" w:hAnsi="Verdana" w:cs="Verdana"/>
          <w:lang w:val="es-ES"/>
        </w:rPr>
        <w:t>su régimen contractual establece:</w:t>
      </w:r>
    </w:p>
    <w:p w14:paraId="59769411" w14:textId="77777777" w:rsidR="00354F23" w:rsidRPr="008647E1" w:rsidRDefault="00354F23" w:rsidP="00354F23">
      <w:pPr>
        <w:widowControl w:val="0"/>
        <w:autoSpaceDE w:val="0"/>
        <w:autoSpaceDN w:val="0"/>
        <w:spacing w:after="0" w:line="276" w:lineRule="auto"/>
        <w:ind w:firstLine="709"/>
        <w:jc w:val="both"/>
        <w:rPr>
          <w:rFonts w:ascii="Verdana" w:eastAsia="Arial" w:hAnsi="Verdana" w:cs="Arial"/>
          <w:color w:val="EE0000"/>
          <w:lang w:val="es-ES"/>
        </w:rPr>
      </w:pPr>
    </w:p>
    <w:p w14:paraId="351B3D92" w14:textId="77777777" w:rsidR="00354F23" w:rsidRPr="008647E1" w:rsidRDefault="00354F23" w:rsidP="00354F23">
      <w:pPr>
        <w:spacing w:after="0" w:line="240" w:lineRule="auto"/>
        <w:ind w:left="709" w:right="709"/>
        <w:contextualSpacing/>
        <w:jc w:val="both"/>
        <w:rPr>
          <w:rFonts w:ascii="Verdana" w:eastAsia="Times New Roman" w:hAnsi="Verdana" w:cs="Arial"/>
          <w:sz w:val="20"/>
          <w:szCs w:val="20"/>
          <w:lang w:eastAsia="es-ES_tradnl"/>
        </w:rPr>
      </w:pPr>
      <w:r w:rsidRPr="008647E1">
        <w:rPr>
          <w:rFonts w:ascii="Verdana" w:eastAsia="Times New Roman" w:hAnsi="Verdana" w:cs="Arial"/>
          <w:sz w:val="20"/>
          <w:szCs w:val="20"/>
          <w:lang w:eastAsia="es-ES_tradnl"/>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w:t>
      </w:r>
      <w:r w:rsidRPr="008647E1">
        <w:rPr>
          <w:rFonts w:ascii="Verdana" w:eastAsia="Times New Roman" w:hAnsi="Verdana" w:cs="Arial"/>
          <w:sz w:val="20"/>
          <w:szCs w:val="20"/>
          <w:lang w:eastAsia="es-ES_tradnl"/>
        </w:rPr>
        <w:lastRenderedPageBreak/>
        <w:t>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008647E1">
        <w:rPr>
          <w:rFonts w:ascii="Calibri" w:eastAsia="Times New Roman" w:hAnsi="Calibri" w:cs="Arial"/>
          <w:sz w:val="20"/>
          <w:szCs w:val="20"/>
          <w:vertAlign w:val="superscript"/>
          <w:lang w:eastAsia="es-ES_tradnl"/>
        </w:rPr>
        <w:footnoteReference w:id="15"/>
      </w:r>
      <w:r w:rsidRPr="008647E1">
        <w:rPr>
          <w:rFonts w:ascii="Verdana" w:eastAsia="Times New Roman" w:hAnsi="Verdana" w:cs="Arial"/>
          <w:sz w:val="20"/>
          <w:szCs w:val="20"/>
          <w:lang w:eastAsia="es-ES_tradnl"/>
        </w:rPr>
        <w:t>.</w:t>
      </w:r>
    </w:p>
    <w:p w14:paraId="7115EB5E" w14:textId="77777777" w:rsidR="00354F23" w:rsidRPr="008647E1" w:rsidRDefault="00354F23" w:rsidP="00354F23">
      <w:pPr>
        <w:spacing w:after="0"/>
        <w:ind w:left="709" w:right="709"/>
        <w:jc w:val="both"/>
        <w:rPr>
          <w:rFonts w:ascii="Verdana" w:eastAsia="Calibri" w:hAnsi="Verdana" w:cs="Times New Roman"/>
          <w:sz w:val="21"/>
          <w:szCs w:val="21"/>
        </w:rPr>
      </w:pPr>
    </w:p>
    <w:p w14:paraId="70F3737A" w14:textId="77777777" w:rsidR="00354F23" w:rsidRPr="008647E1" w:rsidRDefault="00354F23" w:rsidP="00354F23">
      <w:pPr>
        <w:widowControl w:val="0"/>
        <w:autoSpaceDE w:val="0"/>
        <w:autoSpaceDN w:val="0"/>
        <w:spacing w:after="120" w:line="276" w:lineRule="auto"/>
        <w:ind w:right="51" w:firstLine="709"/>
        <w:jc w:val="both"/>
        <w:rPr>
          <w:rFonts w:ascii="Verdana" w:eastAsia="Verdana" w:hAnsi="Verdana" w:cs="Verdana"/>
          <w:lang w:val="es-ES"/>
        </w:rPr>
      </w:pPr>
      <w:r w:rsidRPr="008647E1">
        <w:rPr>
          <w:rFonts w:ascii="Verdana" w:eastAsia="Verdana" w:hAnsi="Verdana" w:cs="Verdana"/>
          <w:lang w:val="es-ES"/>
        </w:rPr>
        <w:t>En este sentido, el artículo 14 de la Ley 1150 de 2007,</w:t>
      </w:r>
      <w:r w:rsidRPr="008647E1">
        <w:rPr>
          <w:rFonts w:ascii="Verdana" w:eastAsia="Verdana" w:hAnsi="Verdana" w:cs="Verdana"/>
          <w:spacing w:val="-11"/>
          <w:lang w:val="es-ES"/>
        </w:rPr>
        <w:t xml:space="preserve"> </w:t>
      </w:r>
      <w:r w:rsidRPr="008647E1">
        <w:rPr>
          <w:rFonts w:ascii="Verdana" w:eastAsia="Verdana" w:hAnsi="Verdana" w:cs="Verdana"/>
          <w:lang w:val="es-ES"/>
        </w:rPr>
        <w:t>modificado</w:t>
      </w:r>
      <w:r w:rsidRPr="008647E1">
        <w:rPr>
          <w:rFonts w:ascii="Verdana" w:eastAsia="Verdana" w:hAnsi="Verdana" w:cs="Verdana"/>
          <w:spacing w:val="-10"/>
          <w:lang w:val="es-ES"/>
        </w:rPr>
        <w:t xml:space="preserve"> </w:t>
      </w:r>
      <w:r w:rsidRPr="008647E1">
        <w:rPr>
          <w:rFonts w:ascii="Verdana" w:eastAsia="Verdana" w:hAnsi="Verdana" w:cs="Verdana"/>
          <w:lang w:val="es-ES"/>
        </w:rPr>
        <w:t>por</w:t>
      </w:r>
      <w:r w:rsidRPr="008647E1">
        <w:rPr>
          <w:rFonts w:ascii="Verdana" w:eastAsia="Verdana" w:hAnsi="Verdana" w:cs="Verdana"/>
          <w:spacing w:val="-10"/>
          <w:lang w:val="es-ES"/>
        </w:rPr>
        <w:t xml:space="preserve"> </w:t>
      </w:r>
      <w:r w:rsidRPr="008647E1">
        <w:rPr>
          <w:rFonts w:ascii="Verdana" w:eastAsia="Verdana" w:hAnsi="Verdana" w:cs="Verdana"/>
          <w:lang w:val="es-ES"/>
        </w:rPr>
        <w:t>el</w:t>
      </w:r>
      <w:r w:rsidRPr="008647E1">
        <w:rPr>
          <w:rFonts w:ascii="Verdana" w:eastAsia="Verdana" w:hAnsi="Verdana" w:cs="Verdana"/>
          <w:spacing w:val="-11"/>
          <w:lang w:val="es-ES"/>
        </w:rPr>
        <w:t xml:space="preserve"> </w:t>
      </w:r>
      <w:r w:rsidRPr="008647E1">
        <w:rPr>
          <w:rFonts w:ascii="Verdana" w:eastAsia="Verdana" w:hAnsi="Verdana" w:cs="Verdana"/>
          <w:lang w:val="es-ES"/>
        </w:rPr>
        <w:t>artículo</w:t>
      </w:r>
      <w:r w:rsidRPr="008647E1">
        <w:rPr>
          <w:rFonts w:ascii="Verdana" w:eastAsia="Verdana" w:hAnsi="Verdana" w:cs="Verdana"/>
          <w:spacing w:val="-10"/>
          <w:lang w:val="es-ES"/>
        </w:rPr>
        <w:t xml:space="preserve"> </w:t>
      </w:r>
      <w:r w:rsidRPr="008647E1">
        <w:rPr>
          <w:rFonts w:ascii="Verdana" w:eastAsia="Verdana" w:hAnsi="Verdana" w:cs="Verdana"/>
          <w:lang w:val="es-ES"/>
        </w:rPr>
        <w:t>93</w:t>
      </w:r>
      <w:r w:rsidRPr="008647E1">
        <w:rPr>
          <w:rFonts w:ascii="Verdana" w:eastAsia="Verdana" w:hAnsi="Verdana" w:cs="Verdana"/>
          <w:spacing w:val="-11"/>
          <w:lang w:val="es-ES"/>
        </w:rPr>
        <w:t xml:space="preserve"> </w:t>
      </w:r>
      <w:r w:rsidRPr="008647E1">
        <w:rPr>
          <w:rFonts w:ascii="Verdana" w:eastAsia="Verdana" w:hAnsi="Verdana" w:cs="Verdana"/>
          <w:lang w:val="es-ES"/>
        </w:rPr>
        <w:t>de</w:t>
      </w:r>
      <w:r w:rsidRPr="008647E1">
        <w:rPr>
          <w:rFonts w:ascii="Verdana" w:eastAsia="Verdana" w:hAnsi="Verdana" w:cs="Verdana"/>
          <w:spacing w:val="-12"/>
          <w:lang w:val="es-ES"/>
        </w:rPr>
        <w:t xml:space="preserve"> </w:t>
      </w:r>
      <w:r w:rsidRPr="008647E1">
        <w:rPr>
          <w:rFonts w:ascii="Verdana" w:eastAsia="Verdana" w:hAnsi="Verdana" w:cs="Verdana"/>
          <w:lang w:val="es-ES"/>
        </w:rPr>
        <w:t>la</w:t>
      </w:r>
      <w:r w:rsidRPr="008647E1">
        <w:rPr>
          <w:rFonts w:ascii="Verdana" w:eastAsia="Verdana" w:hAnsi="Verdana" w:cs="Verdana"/>
          <w:spacing w:val="-13"/>
          <w:lang w:val="es-ES"/>
        </w:rPr>
        <w:t xml:space="preserve"> </w:t>
      </w:r>
      <w:r w:rsidRPr="008647E1">
        <w:rPr>
          <w:rFonts w:ascii="Verdana" w:eastAsia="Verdana" w:hAnsi="Verdana" w:cs="Verdana"/>
          <w:lang w:val="es-ES"/>
        </w:rPr>
        <w:t>Ley</w:t>
      </w:r>
      <w:r w:rsidRPr="008647E1">
        <w:rPr>
          <w:rFonts w:ascii="Verdana" w:eastAsia="Verdana" w:hAnsi="Verdana" w:cs="Verdana"/>
          <w:spacing w:val="-11"/>
          <w:lang w:val="es-ES"/>
        </w:rPr>
        <w:t xml:space="preserve"> </w:t>
      </w:r>
      <w:r w:rsidRPr="008647E1">
        <w:rPr>
          <w:rFonts w:ascii="Verdana" w:eastAsia="Verdana" w:hAnsi="Verdana" w:cs="Verdana"/>
          <w:lang w:val="es-ES"/>
        </w:rPr>
        <w:t>1474</w:t>
      </w:r>
      <w:r w:rsidRPr="008647E1">
        <w:rPr>
          <w:rFonts w:ascii="Verdana" w:eastAsia="Verdana" w:hAnsi="Verdana" w:cs="Verdana"/>
          <w:spacing w:val="-11"/>
          <w:lang w:val="es-ES"/>
        </w:rPr>
        <w:t xml:space="preserve"> </w:t>
      </w:r>
      <w:r w:rsidRPr="008647E1">
        <w:rPr>
          <w:rFonts w:ascii="Verdana" w:eastAsia="Verdana" w:hAnsi="Verdana" w:cs="Verdana"/>
          <w:lang w:val="es-ES"/>
        </w:rPr>
        <w:t>de</w:t>
      </w:r>
      <w:r w:rsidRPr="008647E1">
        <w:rPr>
          <w:rFonts w:ascii="Verdana" w:eastAsia="Verdana" w:hAnsi="Verdana" w:cs="Verdana"/>
          <w:spacing w:val="-12"/>
          <w:lang w:val="es-ES"/>
        </w:rPr>
        <w:t xml:space="preserve"> </w:t>
      </w:r>
      <w:r w:rsidRPr="008647E1">
        <w:rPr>
          <w:rFonts w:ascii="Verdana" w:eastAsia="Verdana" w:hAnsi="Verdana" w:cs="Verdana"/>
          <w:lang w:val="es-ES"/>
        </w:rPr>
        <w:t>2011,</w:t>
      </w:r>
      <w:r w:rsidRPr="008647E1">
        <w:rPr>
          <w:rFonts w:ascii="Verdana" w:eastAsia="Verdana" w:hAnsi="Verdana" w:cs="Verdana"/>
          <w:spacing w:val="-11"/>
          <w:lang w:val="es-ES"/>
        </w:rPr>
        <w:t xml:space="preserve"> </w:t>
      </w:r>
      <w:r w:rsidRPr="008647E1">
        <w:rPr>
          <w:rFonts w:ascii="Verdana" w:eastAsia="Verdana" w:hAnsi="Verdana" w:cs="Verdana"/>
          <w:lang w:val="es-ES"/>
        </w:rPr>
        <w:t>esclareció</w:t>
      </w:r>
      <w:r w:rsidRPr="008647E1">
        <w:rPr>
          <w:rFonts w:ascii="Verdana" w:eastAsia="Verdana" w:hAnsi="Verdana" w:cs="Verdana"/>
          <w:spacing w:val="-10"/>
          <w:lang w:val="es-ES"/>
        </w:rPr>
        <w:t xml:space="preserve"> </w:t>
      </w:r>
      <w:r w:rsidRPr="008647E1">
        <w:rPr>
          <w:rFonts w:ascii="Verdana" w:eastAsia="Verdana" w:hAnsi="Verdana" w:cs="Verdana"/>
          <w:lang w:val="es-ES"/>
        </w:rPr>
        <w:t>las</w:t>
      </w:r>
      <w:r w:rsidRPr="008647E1">
        <w:rPr>
          <w:rFonts w:ascii="Verdana" w:eastAsia="Verdana" w:hAnsi="Verdana" w:cs="Verdana"/>
          <w:spacing w:val="-11"/>
          <w:lang w:val="es-ES"/>
        </w:rPr>
        <w:t xml:space="preserve"> </w:t>
      </w:r>
      <w:r w:rsidRPr="008647E1">
        <w:rPr>
          <w:rFonts w:ascii="Verdana" w:eastAsia="Verdana" w:hAnsi="Verdana" w:cs="Verdana"/>
          <w:lang w:val="es-ES"/>
        </w:rPr>
        <w:t>dudas que producía el confuso artículo 93 de la Ley 489 de 1998 a propósito del régimen contractual de estas entidades. Por lo tanto, las Empresas Industriales y Comerciales del Estado, las Sociedades de Economía Mixta, sus filiales y las Sociedades entre Entidades Públicas en las que el Estado tenga participación superior al cincuenta por ciento (50%), están sometidas, por regla general, al Estatuto</w:t>
      </w:r>
      <w:r w:rsidRPr="008647E1">
        <w:rPr>
          <w:rFonts w:ascii="Verdana" w:eastAsia="Verdana" w:hAnsi="Verdana" w:cs="Verdana"/>
          <w:spacing w:val="-8"/>
          <w:lang w:val="es-ES"/>
        </w:rPr>
        <w:t xml:space="preserve"> </w:t>
      </w:r>
      <w:r w:rsidRPr="008647E1">
        <w:rPr>
          <w:rFonts w:ascii="Verdana" w:eastAsia="Verdana" w:hAnsi="Verdana" w:cs="Verdana"/>
          <w:lang w:val="es-ES"/>
        </w:rPr>
        <w:t>General</w:t>
      </w:r>
      <w:r w:rsidRPr="008647E1">
        <w:rPr>
          <w:rFonts w:ascii="Verdana" w:eastAsia="Verdana" w:hAnsi="Verdana" w:cs="Verdana"/>
          <w:spacing w:val="-9"/>
          <w:lang w:val="es-ES"/>
        </w:rPr>
        <w:t xml:space="preserve"> </w:t>
      </w:r>
      <w:r w:rsidRPr="008647E1">
        <w:rPr>
          <w:rFonts w:ascii="Verdana" w:eastAsia="Verdana" w:hAnsi="Verdana" w:cs="Verdana"/>
          <w:lang w:val="es-ES"/>
        </w:rPr>
        <w:t>de</w:t>
      </w:r>
      <w:r w:rsidRPr="008647E1">
        <w:rPr>
          <w:rFonts w:ascii="Verdana" w:eastAsia="Verdana" w:hAnsi="Verdana" w:cs="Verdana"/>
          <w:spacing w:val="-10"/>
          <w:lang w:val="es-ES"/>
        </w:rPr>
        <w:t xml:space="preserve"> </w:t>
      </w:r>
      <w:r w:rsidRPr="008647E1">
        <w:rPr>
          <w:rFonts w:ascii="Verdana" w:eastAsia="Verdana" w:hAnsi="Verdana" w:cs="Verdana"/>
          <w:lang w:val="es-ES"/>
        </w:rPr>
        <w:t>Contratación</w:t>
      </w:r>
      <w:r w:rsidRPr="008647E1">
        <w:rPr>
          <w:rFonts w:ascii="Verdana" w:eastAsia="Verdana" w:hAnsi="Verdana" w:cs="Verdana"/>
          <w:spacing w:val="-9"/>
          <w:lang w:val="es-ES"/>
        </w:rPr>
        <w:t xml:space="preserve"> </w:t>
      </w:r>
      <w:r w:rsidRPr="008647E1">
        <w:rPr>
          <w:rFonts w:ascii="Verdana" w:eastAsia="Verdana" w:hAnsi="Verdana" w:cs="Verdana"/>
          <w:lang w:val="es-ES"/>
        </w:rPr>
        <w:t>de</w:t>
      </w:r>
      <w:r w:rsidRPr="008647E1">
        <w:rPr>
          <w:rFonts w:ascii="Verdana" w:eastAsia="Verdana" w:hAnsi="Verdana" w:cs="Verdana"/>
          <w:spacing w:val="-10"/>
          <w:lang w:val="es-ES"/>
        </w:rPr>
        <w:t xml:space="preserve"> </w:t>
      </w:r>
      <w:r w:rsidRPr="008647E1">
        <w:rPr>
          <w:rFonts w:ascii="Verdana" w:eastAsia="Verdana" w:hAnsi="Verdana" w:cs="Verdana"/>
          <w:lang w:val="es-ES"/>
        </w:rPr>
        <w:t>la</w:t>
      </w:r>
      <w:r w:rsidRPr="008647E1">
        <w:rPr>
          <w:rFonts w:ascii="Verdana" w:eastAsia="Verdana" w:hAnsi="Verdana" w:cs="Verdana"/>
          <w:spacing w:val="-11"/>
          <w:lang w:val="es-ES"/>
        </w:rPr>
        <w:t xml:space="preserve"> </w:t>
      </w:r>
      <w:r w:rsidRPr="008647E1">
        <w:rPr>
          <w:rFonts w:ascii="Verdana" w:eastAsia="Verdana" w:hAnsi="Verdana" w:cs="Verdana"/>
          <w:lang w:val="es-ES"/>
        </w:rPr>
        <w:t>Administración</w:t>
      </w:r>
      <w:r w:rsidRPr="008647E1">
        <w:rPr>
          <w:rFonts w:ascii="Verdana" w:eastAsia="Verdana" w:hAnsi="Verdana" w:cs="Verdana"/>
          <w:spacing w:val="-9"/>
          <w:lang w:val="es-ES"/>
        </w:rPr>
        <w:t xml:space="preserve"> </w:t>
      </w:r>
      <w:r w:rsidRPr="008647E1">
        <w:rPr>
          <w:rFonts w:ascii="Verdana" w:eastAsia="Verdana" w:hAnsi="Verdana" w:cs="Verdana"/>
          <w:lang w:val="es-ES"/>
        </w:rPr>
        <w:t>Pública,</w:t>
      </w:r>
      <w:r w:rsidRPr="008647E1">
        <w:rPr>
          <w:rFonts w:ascii="Verdana" w:eastAsia="Verdana" w:hAnsi="Verdana" w:cs="Verdana"/>
          <w:spacing w:val="-9"/>
          <w:lang w:val="es-ES"/>
        </w:rPr>
        <w:t xml:space="preserve"> </w:t>
      </w:r>
      <w:r w:rsidRPr="008647E1">
        <w:rPr>
          <w:rFonts w:ascii="Verdana" w:eastAsia="Verdana" w:hAnsi="Verdana" w:cs="Verdana"/>
          <w:lang w:val="es-ES"/>
        </w:rPr>
        <w:t>excepto</w:t>
      </w:r>
      <w:r w:rsidRPr="008647E1">
        <w:rPr>
          <w:rFonts w:ascii="Verdana" w:eastAsia="Verdana" w:hAnsi="Verdana" w:cs="Verdana"/>
          <w:spacing w:val="-8"/>
          <w:lang w:val="es-ES"/>
        </w:rPr>
        <w:t xml:space="preserve"> </w:t>
      </w:r>
      <w:r w:rsidRPr="008647E1">
        <w:rPr>
          <w:rFonts w:ascii="Verdana" w:eastAsia="Verdana" w:hAnsi="Verdana" w:cs="Verdana"/>
          <w:lang w:val="es-ES"/>
        </w:rPr>
        <w:t xml:space="preserve">aquellas Empresas Industriales y Comerciales del Estado que: i) desarrollen actividades comerciales en competencia con el sector privado y/o público, nacional o internacional o </w:t>
      </w:r>
      <w:proofErr w:type="spellStart"/>
      <w:r w:rsidRPr="008647E1">
        <w:rPr>
          <w:rFonts w:ascii="Verdana" w:eastAsia="Verdana" w:hAnsi="Verdana" w:cs="Verdana"/>
          <w:lang w:val="es-ES"/>
        </w:rPr>
        <w:t>ii</w:t>
      </w:r>
      <w:proofErr w:type="spellEnd"/>
      <w:r w:rsidRPr="008647E1">
        <w:rPr>
          <w:rFonts w:ascii="Verdana" w:eastAsia="Verdana" w:hAnsi="Verdana" w:cs="Verdana"/>
          <w:lang w:val="es-ES"/>
        </w:rPr>
        <w:t>) desarrollen actividades en mercados regulados, eventos en los cuales</w:t>
      </w:r>
      <w:r w:rsidRPr="008647E1">
        <w:rPr>
          <w:rFonts w:ascii="Verdana" w:eastAsia="Verdana" w:hAnsi="Verdana" w:cs="Verdana"/>
          <w:spacing w:val="-19"/>
          <w:lang w:val="es-ES"/>
        </w:rPr>
        <w:t xml:space="preserve"> </w:t>
      </w:r>
      <w:r w:rsidRPr="008647E1">
        <w:rPr>
          <w:rFonts w:ascii="Verdana" w:eastAsia="Verdana" w:hAnsi="Verdana" w:cs="Verdana"/>
          <w:lang w:val="es-ES"/>
        </w:rPr>
        <w:t>ellas</w:t>
      </w:r>
      <w:r w:rsidRPr="008647E1">
        <w:rPr>
          <w:rFonts w:ascii="Verdana" w:eastAsia="Verdana" w:hAnsi="Verdana" w:cs="Verdana"/>
          <w:spacing w:val="-19"/>
          <w:lang w:val="es-ES"/>
        </w:rPr>
        <w:t xml:space="preserve"> </w:t>
      </w:r>
      <w:r w:rsidRPr="008647E1">
        <w:rPr>
          <w:rFonts w:ascii="Verdana" w:eastAsia="Verdana" w:hAnsi="Verdana" w:cs="Verdana"/>
          <w:lang w:val="es-ES"/>
        </w:rPr>
        <w:t>se</w:t>
      </w:r>
      <w:r w:rsidRPr="008647E1">
        <w:rPr>
          <w:rFonts w:ascii="Verdana" w:eastAsia="Verdana" w:hAnsi="Verdana" w:cs="Verdana"/>
          <w:spacing w:val="-20"/>
          <w:lang w:val="es-ES"/>
        </w:rPr>
        <w:t xml:space="preserve"> </w:t>
      </w:r>
      <w:r w:rsidRPr="008647E1">
        <w:rPr>
          <w:rFonts w:ascii="Verdana" w:eastAsia="Verdana" w:hAnsi="Verdana" w:cs="Verdana"/>
          <w:lang w:val="es-ES"/>
        </w:rPr>
        <w:t>rigen</w:t>
      </w:r>
      <w:r w:rsidRPr="008647E1">
        <w:rPr>
          <w:rFonts w:ascii="Verdana" w:eastAsia="Verdana" w:hAnsi="Verdana" w:cs="Verdana"/>
          <w:spacing w:val="-14"/>
          <w:lang w:val="es-ES"/>
        </w:rPr>
        <w:t xml:space="preserve"> </w:t>
      </w:r>
      <w:r w:rsidRPr="008647E1">
        <w:rPr>
          <w:rFonts w:ascii="Verdana" w:eastAsia="Verdana" w:hAnsi="Verdana" w:cs="Verdana"/>
          <w:lang w:val="es-ES"/>
        </w:rPr>
        <w:t>por</w:t>
      </w:r>
      <w:r w:rsidRPr="008647E1">
        <w:rPr>
          <w:rFonts w:ascii="Verdana" w:eastAsia="Verdana" w:hAnsi="Verdana" w:cs="Verdana"/>
          <w:spacing w:val="-18"/>
          <w:lang w:val="es-ES"/>
        </w:rPr>
        <w:t xml:space="preserve"> </w:t>
      </w:r>
      <w:r w:rsidRPr="008647E1">
        <w:rPr>
          <w:rFonts w:ascii="Verdana" w:eastAsia="Verdana" w:hAnsi="Verdana" w:cs="Verdana"/>
          <w:lang w:val="es-ES"/>
        </w:rPr>
        <w:t>las</w:t>
      </w:r>
      <w:r w:rsidRPr="008647E1">
        <w:rPr>
          <w:rFonts w:ascii="Verdana" w:eastAsia="Verdana" w:hAnsi="Verdana" w:cs="Verdana"/>
          <w:spacing w:val="-19"/>
          <w:lang w:val="es-ES"/>
        </w:rPr>
        <w:t xml:space="preserve"> </w:t>
      </w:r>
      <w:r w:rsidRPr="008647E1">
        <w:rPr>
          <w:rFonts w:ascii="Verdana" w:eastAsia="Verdana" w:hAnsi="Verdana" w:cs="Verdana"/>
          <w:lang w:val="es-ES"/>
        </w:rPr>
        <w:t>disposiciones</w:t>
      </w:r>
      <w:r w:rsidRPr="008647E1">
        <w:rPr>
          <w:rFonts w:ascii="Verdana" w:eastAsia="Verdana" w:hAnsi="Verdana" w:cs="Verdana"/>
          <w:spacing w:val="-19"/>
          <w:lang w:val="es-ES"/>
        </w:rPr>
        <w:t xml:space="preserve"> </w:t>
      </w:r>
      <w:r w:rsidRPr="008647E1">
        <w:rPr>
          <w:rFonts w:ascii="Verdana" w:eastAsia="Verdana" w:hAnsi="Verdana" w:cs="Verdana"/>
          <w:lang w:val="es-ES"/>
        </w:rPr>
        <w:t>que</w:t>
      </w:r>
      <w:r w:rsidRPr="008647E1">
        <w:rPr>
          <w:rFonts w:ascii="Verdana" w:eastAsia="Verdana" w:hAnsi="Verdana" w:cs="Verdana"/>
          <w:spacing w:val="-15"/>
          <w:lang w:val="es-ES"/>
        </w:rPr>
        <w:t xml:space="preserve"> </w:t>
      </w:r>
      <w:r w:rsidRPr="008647E1">
        <w:rPr>
          <w:rFonts w:ascii="Verdana" w:eastAsia="Verdana" w:hAnsi="Verdana" w:cs="Verdana"/>
          <w:lang w:val="es-ES"/>
        </w:rPr>
        <w:t>regulen</w:t>
      </w:r>
      <w:r w:rsidRPr="008647E1">
        <w:rPr>
          <w:rFonts w:ascii="Verdana" w:eastAsia="Verdana" w:hAnsi="Verdana" w:cs="Verdana"/>
          <w:spacing w:val="-19"/>
          <w:lang w:val="es-ES"/>
        </w:rPr>
        <w:t xml:space="preserve"> </w:t>
      </w:r>
      <w:r w:rsidRPr="008647E1">
        <w:rPr>
          <w:rFonts w:ascii="Verdana" w:eastAsia="Verdana" w:hAnsi="Verdana" w:cs="Verdana"/>
          <w:lang w:val="es-ES"/>
        </w:rPr>
        <w:t>su</w:t>
      </w:r>
      <w:r w:rsidRPr="008647E1">
        <w:rPr>
          <w:rFonts w:ascii="Verdana" w:eastAsia="Verdana" w:hAnsi="Verdana" w:cs="Verdana"/>
          <w:spacing w:val="-18"/>
          <w:lang w:val="es-ES"/>
        </w:rPr>
        <w:t xml:space="preserve"> </w:t>
      </w:r>
      <w:r w:rsidRPr="008647E1">
        <w:rPr>
          <w:rFonts w:ascii="Verdana" w:eastAsia="Verdana" w:hAnsi="Verdana" w:cs="Verdana"/>
          <w:lang w:val="es-ES"/>
        </w:rPr>
        <w:t>actividad.</w:t>
      </w:r>
    </w:p>
    <w:p w14:paraId="46A1F2C0" w14:textId="77777777" w:rsidR="00354F23" w:rsidRPr="008647E1" w:rsidRDefault="00354F23" w:rsidP="00354F23">
      <w:pPr>
        <w:widowControl w:val="0"/>
        <w:autoSpaceDE w:val="0"/>
        <w:autoSpaceDN w:val="0"/>
        <w:spacing w:after="120" w:line="276" w:lineRule="auto"/>
        <w:ind w:right="51" w:firstLine="709"/>
        <w:jc w:val="both"/>
        <w:rPr>
          <w:rFonts w:ascii="Verdana" w:eastAsia="Arial" w:hAnsi="Verdana" w:cs="Arial"/>
        </w:rPr>
      </w:pPr>
      <w:r w:rsidRPr="008647E1">
        <w:rPr>
          <w:rFonts w:ascii="Verdana" w:eastAsia="Arial" w:hAnsi="Verdana" w:cs="Arial"/>
        </w:rPr>
        <w:t>En consecuencia, el hecho de que las</w:t>
      </w:r>
      <w:r w:rsidRPr="008647E1">
        <w:rPr>
          <w:rFonts w:ascii="Verdana" w:eastAsia="Verdana" w:hAnsi="Verdana" w:cs="Verdana"/>
          <w:lang w:val="es-ES"/>
        </w:rPr>
        <w:t xml:space="preserve"> Empresas Industriales y Comerciales del Estado</w:t>
      </w:r>
      <w:r w:rsidRPr="008647E1">
        <w:rPr>
          <w:rFonts w:ascii="Verdana" w:eastAsia="Arial" w:hAnsi="Verdana" w:cs="Arial"/>
        </w:rPr>
        <w:t xml:space="preserve"> no tengan como único régimen de contratación la Ley 80 de 1993 no impide la configuración del fraccionamiento contractual, cuando estas se utilicen de forma artificiosa para eludir los procedimientos de selección o los requisitos legales esenciales aplicables conforme a su régimen especial, ni excluye la relevancia penal de dicha práctica. Tal como se expuso, el fraccionamiento no constituye un delito autónomo, pero puede integrar el tipo penal del artículo 410 del Código Penal, de manera que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4DEA8B16" w14:textId="77777777" w:rsidR="00354F23" w:rsidRPr="008647E1" w:rsidRDefault="00354F23" w:rsidP="00354F23">
      <w:pPr>
        <w:spacing w:after="120" w:line="276" w:lineRule="auto"/>
        <w:ind w:firstLine="709"/>
        <w:jc w:val="both"/>
        <w:rPr>
          <w:rFonts w:ascii="Verdana" w:eastAsia="Arial" w:hAnsi="Verdana" w:cs="Arial"/>
        </w:rPr>
      </w:pPr>
      <w:r w:rsidRPr="008647E1">
        <w:rPr>
          <w:rFonts w:ascii="Verdana" w:eastAsia="Arial" w:hAnsi="Verdana" w:cs="Arial"/>
        </w:rPr>
        <w:lastRenderedPageBreak/>
        <w:t>Con todo, a diferencia de lo que sucede con las Entidades Estatales sometidas al EGCAP, respecto de las cuales el parámetro para determinar la licitud de la conducta está dado por las disposiciones legales y reglamentarias que integran dicho régimen, tratándose de entidades exceptuadas de dicho régimen, la configuración de fraccionamiento del contrato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Ello implica analizar, por ejemplo, si el objeto contractual ha sido fraccionado con el propósito de alterar su cuantía y, de este modo, eludir los procedimientos de selección objetiva previstos en la normativa especial aplicable y en los respectivos manuales de contratación.</w:t>
      </w:r>
    </w:p>
    <w:p w14:paraId="39E6B4F1" w14:textId="77777777" w:rsidR="00354F23" w:rsidRPr="008647E1" w:rsidRDefault="00354F23" w:rsidP="00354F23">
      <w:pPr>
        <w:spacing w:after="120" w:line="276" w:lineRule="auto"/>
        <w:ind w:firstLine="709"/>
        <w:jc w:val="both"/>
        <w:rPr>
          <w:rFonts w:ascii="Verdana" w:eastAsia="Times New Roman" w:hAnsi="Verdana" w:cs="Times New Roman"/>
          <w:lang w:eastAsia="es-CO"/>
        </w:rPr>
      </w:pPr>
      <w:r w:rsidRPr="008647E1">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2B8553E" w14:textId="77777777" w:rsidR="00354F23" w:rsidRPr="008647E1" w:rsidRDefault="00354F23" w:rsidP="00354F23">
      <w:pPr>
        <w:spacing w:before="120" w:after="0" w:line="276" w:lineRule="auto"/>
        <w:ind w:firstLine="709"/>
        <w:jc w:val="both"/>
        <w:rPr>
          <w:rFonts w:ascii="Verdana" w:hAnsi="Verdana" w:cs="Arial"/>
          <w:lang w:eastAsia="es-ES"/>
        </w:rPr>
      </w:pPr>
      <w:r w:rsidRPr="008647E1">
        <w:rPr>
          <w:rFonts w:ascii="Verdana" w:hAnsi="Verdana" w:cs="Arial"/>
          <w:lang w:eastAsia="es-ES"/>
        </w:rPr>
        <w:t>Dentro de este marco, la entidad contratante definirá en cada caso concreto si la celebración de determinados contratos configura un fraccionamiento de contratos conforme al marco jurídico expuesto.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4AB279B" w14:textId="77777777" w:rsidR="00354F23" w:rsidRPr="008647E1" w:rsidRDefault="00354F23" w:rsidP="00354F23">
      <w:pPr>
        <w:widowControl w:val="0"/>
        <w:autoSpaceDE w:val="0"/>
        <w:autoSpaceDN w:val="0"/>
        <w:spacing w:after="0" w:line="276" w:lineRule="auto"/>
        <w:ind w:left="260" w:firstLine="709"/>
        <w:jc w:val="both"/>
        <w:rPr>
          <w:rFonts w:ascii="Verdana" w:eastAsia="Verdana" w:hAnsi="Verdana" w:cs="Verdana"/>
          <w:spacing w:val="-2"/>
        </w:rPr>
      </w:pPr>
    </w:p>
    <w:p w14:paraId="451B375B" w14:textId="77777777" w:rsidR="00354F23" w:rsidRPr="008647E1" w:rsidRDefault="00354F23" w:rsidP="00354F23">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Referencias normativas y jurisprudenciales:</w:t>
      </w:r>
    </w:p>
    <w:p w14:paraId="402773ED" w14:textId="77777777" w:rsidR="00354F23" w:rsidRPr="008647E1" w:rsidRDefault="00354F23" w:rsidP="00354F23">
      <w:pPr>
        <w:widowControl w:val="0"/>
        <w:autoSpaceDE w:val="0"/>
        <w:autoSpaceDN w:val="0"/>
        <w:spacing w:after="0" w:line="276" w:lineRule="auto"/>
        <w:ind w:firstLine="709"/>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4F23" w:rsidRPr="008647E1" w14:paraId="544C5A1F" w14:textId="77777777" w:rsidTr="00813B0E">
        <w:trPr>
          <w:trHeight w:val="410"/>
          <w:jc w:val="center"/>
        </w:trPr>
        <w:tc>
          <w:tcPr>
            <w:tcW w:w="8647" w:type="dxa"/>
          </w:tcPr>
          <w:p w14:paraId="44972B15" w14:textId="77777777" w:rsidR="00354F23" w:rsidRPr="008647E1" w:rsidRDefault="00354F23" w:rsidP="00354F23">
            <w:pPr>
              <w:widowControl w:val="0"/>
              <w:numPr>
                <w:ilvl w:val="0"/>
                <w:numId w:val="18"/>
              </w:numPr>
              <w:autoSpaceDE w:val="0"/>
              <w:autoSpaceDN w:val="0"/>
              <w:spacing w:line="276" w:lineRule="auto"/>
              <w:contextualSpacing/>
              <w:jc w:val="both"/>
              <w:rPr>
                <w:rFonts w:ascii="Verdana" w:eastAsia="Aptos" w:hAnsi="Verdana" w:cs="Arial"/>
              </w:rPr>
            </w:pPr>
            <w:r w:rsidRPr="008647E1">
              <w:rPr>
                <w:rFonts w:ascii="Verdana" w:hAnsi="Verdana" w:cs="Arial"/>
                <w:lang w:val="es-MX"/>
              </w:rPr>
              <w:lastRenderedPageBreak/>
              <w:t>Ley 80 de 1993, artículo 2</w:t>
            </w:r>
          </w:p>
          <w:p w14:paraId="765C9240"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cs="Arial"/>
                <w:lang w:val="es-MX"/>
              </w:rPr>
              <w:t xml:space="preserve">Ley 1150 de 2007, </w:t>
            </w:r>
            <w:r w:rsidRPr="008647E1">
              <w:rPr>
                <w:rFonts w:ascii="Verdana" w:hAnsi="Verdana"/>
                <w:lang w:val="es-ES"/>
              </w:rPr>
              <w:t>artículos</w:t>
            </w:r>
            <w:r w:rsidRPr="008647E1">
              <w:rPr>
                <w:rFonts w:ascii="Verdana" w:hAnsi="Verdana"/>
                <w:spacing w:val="-4"/>
                <w:lang w:val="es-ES"/>
              </w:rPr>
              <w:t xml:space="preserve"> </w:t>
            </w:r>
            <w:r w:rsidRPr="008647E1">
              <w:rPr>
                <w:rFonts w:ascii="Verdana" w:hAnsi="Verdana"/>
                <w:lang w:val="es-ES"/>
              </w:rPr>
              <w:t>13 Y 14.</w:t>
            </w:r>
          </w:p>
          <w:p w14:paraId="5863A858"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cs="Arial"/>
                <w:lang w:val="es-MX"/>
              </w:rPr>
              <w:t xml:space="preserve">Consejo de Estado. Sección Tercera. Radicado No. 45.607 del 24 de octubre de 2016. Consejera Ponente: María Nubia Velásquez Rico. </w:t>
            </w:r>
          </w:p>
          <w:p w14:paraId="023E24FE"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lang w:val="es-ES"/>
              </w:rPr>
              <w:t xml:space="preserve">CONSEJO DE ESTADO. Sección Tercera. Subsección C. Sentencia del 24 de abril del 2024. Rad. 63093. C.P. </w:t>
            </w:r>
            <w:r w:rsidRPr="008647E1">
              <w:rPr>
                <w:rFonts w:ascii="Verdana" w:hAnsi="Verdana"/>
              </w:rPr>
              <w:t>Nicolás Yepes Corrales</w:t>
            </w:r>
          </w:p>
          <w:p w14:paraId="251DE2C4"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lang w:val="es-ES"/>
              </w:rPr>
              <w:t>CORTE SUPREMA DE JUSTICIA. Sala Especial de Primera Instancia. Sentencia del 23 de marzo de 2006. Rad. 21780. M.P. Edgar Lombana Trujillo.</w:t>
            </w:r>
          </w:p>
          <w:p w14:paraId="06913F6B"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cs="Arial"/>
                <w:lang w:val="es-MX"/>
              </w:rPr>
              <w:t>CONSEJO DE ESTADO. Sala Plena. Sentencia del 22 de mayo de 2018. Rad. 11001-03-15-000-2006-00281-00. C.P. Guillermo Sánchez Luque.</w:t>
            </w:r>
          </w:p>
          <w:p w14:paraId="0D3A978F"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cs="Arial"/>
                <w:lang w:val="es-MX"/>
              </w:rPr>
              <w:t>Corte Suprema de Justicia, Sentencia del 2 de diciembre de 2008, Proceso No. 29285. MP: Alfredo Gómez Quintero</w:t>
            </w:r>
          </w:p>
          <w:p w14:paraId="1BD4F875" w14:textId="77777777" w:rsidR="00354F23" w:rsidRPr="008647E1" w:rsidRDefault="00354F23" w:rsidP="00354F23">
            <w:pPr>
              <w:numPr>
                <w:ilvl w:val="0"/>
                <w:numId w:val="18"/>
              </w:numPr>
              <w:spacing w:line="276" w:lineRule="auto"/>
              <w:contextualSpacing/>
              <w:jc w:val="both"/>
              <w:rPr>
                <w:rFonts w:ascii="Verdana" w:hAnsi="Verdana" w:cs="Arial"/>
                <w:lang w:val="es-MX"/>
              </w:rPr>
            </w:pPr>
            <w:r w:rsidRPr="008647E1">
              <w:rPr>
                <w:rFonts w:ascii="Verdana" w:hAnsi="Verdana" w:cs="Arial"/>
                <w:lang w:val="es-MX"/>
              </w:rPr>
              <w:t>Consejo de Estado. Sección Tercera. Radicado No. 45.607 del 24 de octubre de 2016. Consejera Ponente: María Nubia Velásquez Rico.</w:t>
            </w:r>
          </w:p>
        </w:tc>
      </w:tr>
    </w:tbl>
    <w:p w14:paraId="102A4B41" w14:textId="77777777" w:rsidR="00354F23" w:rsidRPr="008647E1" w:rsidRDefault="00354F23" w:rsidP="00354F23">
      <w:pPr>
        <w:tabs>
          <w:tab w:val="left" w:pos="142"/>
          <w:tab w:val="left" w:pos="284"/>
        </w:tabs>
        <w:spacing w:before="240" w:line="276" w:lineRule="auto"/>
        <w:ind w:left="360"/>
        <w:contextualSpacing/>
        <w:jc w:val="both"/>
        <w:rPr>
          <w:rFonts w:ascii="Verdana" w:eastAsia="Century Gothic" w:hAnsi="Verdana" w:cs="Century Gothic"/>
          <w:b/>
          <w:bCs/>
        </w:rPr>
      </w:pPr>
    </w:p>
    <w:p w14:paraId="4195B6FC" w14:textId="77777777" w:rsidR="00354F23" w:rsidRPr="008647E1" w:rsidRDefault="00354F23" w:rsidP="00354F23">
      <w:pPr>
        <w:numPr>
          <w:ilvl w:val="0"/>
          <w:numId w:val="16"/>
        </w:numPr>
        <w:tabs>
          <w:tab w:val="left" w:pos="142"/>
          <w:tab w:val="left" w:pos="284"/>
        </w:tabs>
        <w:spacing w:before="240" w:line="276" w:lineRule="auto"/>
        <w:contextualSpacing/>
        <w:jc w:val="both"/>
        <w:rPr>
          <w:rFonts w:ascii="Verdana" w:eastAsia="Century Gothic" w:hAnsi="Verdana" w:cs="Century Gothic"/>
          <w:b/>
          <w:bCs/>
        </w:rPr>
      </w:pPr>
      <w:r w:rsidRPr="008647E1">
        <w:rPr>
          <w:rFonts w:ascii="Verdana" w:eastAsia="Century Gothic" w:hAnsi="Verdana" w:cs="Century Gothic"/>
          <w:b/>
          <w:bCs/>
        </w:rPr>
        <w:t>Doctrina de la Agencia Nacional de Contratación Pública:</w:t>
      </w:r>
    </w:p>
    <w:p w14:paraId="2799A822" w14:textId="77777777" w:rsidR="00354F23" w:rsidRPr="00FA5779" w:rsidRDefault="00354F23" w:rsidP="00354F23">
      <w:pPr>
        <w:spacing w:before="240"/>
        <w:jc w:val="both"/>
        <w:rPr>
          <w:rFonts w:ascii="Verdana" w:hAnsi="Verdana" w:cs="Arial"/>
          <w:shd w:val="clear" w:color="auto" w:fill="FFFFFF"/>
        </w:rPr>
      </w:pPr>
      <w:r w:rsidRPr="008647E1">
        <w:rPr>
          <w:rFonts w:ascii="Verdana" w:hAnsi="Verdana" w:cs="Arial"/>
          <w:shd w:val="clear" w:color="auto" w:fill="FFFFFF"/>
        </w:rPr>
        <w:t>Sobre el fraccionamiento de contratos, la ANCP – CCE se ha pronunciado en los Conceptos C-030 del 23 de marzo de 2023, C-122 del 23 de julio de 2024, C-086 del 17 de febrero de 2025, C-305 del 21 de marzo de 2025 y C-843 del 11 de agosto de 2025, C-1851 del 21 de enero del 2026, C-002 del 21 de enero de 2026</w:t>
      </w:r>
      <w:r w:rsidRPr="008647E1">
        <w:rPr>
          <w:rFonts w:ascii="Verdana" w:hAnsi="Verdana" w:cs="Arial"/>
          <w:shd w:val="clear" w:color="auto" w:fill="FFFFFF"/>
          <w:lang w:val="es-ES_tradnl"/>
        </w:rPr>
        <w:t>.</w:t>
      </w:r>
      <w:r w:rsidRPr="008647E1">
        <w:rPr>
          <w:rFonts w:ascii="Verdana" w:hAnsi="Verdana" w:cs="Arial"/>
          <w:shd w:val="clear" w:color="auto" w:fill="FFFFFF"/>
        </w:rPr>
        <w:t xml:space="preserve"> </w:t>
      </w:r>
      <w:r w:rsidRPr="008647E1">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w:t>
      </w:r>
      <w:r w:rsidRPr="008647E1">
        <w:rPr>
          <w:rFonts w:ascii="Verdana" w:hAnsi="Verdana"/>
        </w:rPr>
        <w:t>Accede a través del siguiente enlace: </w:t>
      </w:r>
      <w:hyperlink r:id="rId16">
        <w:r w:rsidRPr="008647E1">
          <w:rPr>
            <w:rFonts w:ascii="Verdana" w:hAnsi="Verdana"/>
            <w:color w:val="0000FF"/>
            <w:u w:val="single"/>
          </w:rPr>
          <w:t>https://relatoria.colombiacompra.gov.co/</w:t>
        </w:r>
      </w:hyperlink>
    </w:p>
    <w:p w14:paraId="4CD3D7DF" w14:textId="77777777" w:rsidR="00354F23" w:rsidRPr="008647E1" w:rsidRDefault="00354F23" w:rsidP="00354F23">
      <w:pPr>
        <w:jc w:val="both"/>
        <w:rPr>
          <w:rFonts w:ascii="Verdana" w:hAnsi="Verdana"/>
        </w:rPr>
      </w:pPr>
      <w:r w:rsidRPr="008647E1">
        <w:rPr>
          <w:rFonts w:ascii="Verdana" w:hAnsi="Verdana"/>
        </w:rPr>
        <w:t xml:space="preserve">La sostenibilidad no es una opción, es una obligación. Por ello, la Agencia Nacional de Contratación Pública –Colombia Compra Eficiente– te invita a realizar el </w:t>
      </w:r>
      <w:r w:rsidRPr="008647E1">
        <w:rPr>
          <w:rFonts w:ascii="Verdana" w:hAnsi="Verdana"/>
          <w:b/>
          <w:bCs/>
        </w:rPr>
        <w:t>Curso de Contratación Pública Sostenible y Socialmente Responsable</w:t>
      </w:r>
      <w:r w:rsidRPr="008647E1">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647E1">
        <w:rPr>
          <w:rFonts w:ascii="Verdana" w:hAnsi="Verdana"/>
        </w:rPr>
        <w:br/>
      </w:r>
      <w:hyperlink r:id="rId17" w:tgtFrame="_new" w:history="1">
        <w:r w:rsidRPr="008647E1">
          <w:rPr>
            <w:rFonts w:ascii="Verdana" w:hAnsi="Verdana"/>
            <w:color w:val="0000FF"/>
            <w:u w:val="single"/>
          </w:rPr>
          <w:t>https://formacionvirtual.colombiacompra.gov.co/mod/page/view.php?id=3718</w:t>
        </w:r>
      </w:hyperlink>
    </w:p>
    <w:p w14:paraId="760D76B3" w14:textId="77777777" w:rsidR="00354F23" w:rsidRPr="008647E1" w:rsidRDefault="00354F23" w:rsidP="00354F23">
      <w:pPr>
        <w:jc w:val="both"/>
        <w:rPr>
          <w:rFonts w:ascii="Verdana" w:hAnsi="Verdana"/>
        </w:rPr>
      </w:pPr>
      <w:r w:rsidRPr="008647E1">
        <w:rPr>
          <w:rFonts w:ascii="Verdana" w:hAnsi="Verdana"/>
        </w:rPr>
        <w:lastRenderedPageBreak/>
        <w:t xml:space="preserve">De otro lado, te contamos que esta Agencia ha da un paso decisivo en la estandarización y modernización del </w:t>
      </w:r>
      <w:r w:rsidRPr="008647E1">
        <w:rPr>
          <w:rFonts w:ascii="Verdana" w:hAnsi="Verdana"/>
          <w:b/>
          <w:bCs/>
        </w:rPr>
        <w:t>sector  social</w:t>
      </w:r>
      <w:r w:rsidRPr="008647E1">
        <w:rPr>
          <w:rFonts w:ascii="Verdana" w:hAnsi="Verdana"/>
        </w:rPr>
        <w:t xml:space="preserve"> con la expedición de las </w:t>
      </w:r>
      <w:r w:rsidRPr="008647E1">
        <w:rPr>
          <w:rFonts w:ascii="Verdana" w:hAnsi="Verdana"/>
          <w:b/>
          <w:bCs/>
        </w:rPr>
        <w:t>Resoluciones 539, 540, 541, 952 y 953 de 2025</w:t>
      </w:r>
      <w:r w:rsidRPr="008647E1">
        <w:rPr>
          <w:rFonts w:ascii="Verdana" w:hAnsi="Verdana"/>
        </w:rPr>
        <w:t xml:space="preserve">, </w:t>
      </w:r>
      <w:r w:rsidRPr="008647E1">
        <w:rPr>
          <w:rFonts w:ascii="Verdana" w:hAnsi="Verdana"/>
          <w:b/>
          <w:bCs/>
        </w:rPr>
        <w:t>mediante las cuales adoptó Documentos Tipo</w:t>
      </w:r>
      <w:r w:rsidRPr="008647E1">
        <w:rPr>
          <w:rFonts w:ascii="Verdana" w:hAnsi="Verdana"/>
        </w:rPr>
        <w:t xml:space="preserve"> para las modalidades de selección de</w:t>
      </w:r>
      <w:r w:rsidRPr="008647E1">
        <w:rPr>
          <w:rFonts w:ascii="Verdana" w:hAnsi="Verdana"/>
          <w:b/>
          <w:bCs/>
        </w:rPr>
        <w:t xml:space="preserve"> licitación pública (versión 2), selección abreviada de menor cuantía, mínima cuantía, consultoría e interventoría</w:t>
      </w:r>
      <w:r w:rsidRPr="008647E1">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8647E1">
          <w:rPr>
            <w:rFonts w:ascii="Verdana" w:hAnsi="Verdana"/>
            <w:color w:val="0000FF"/>
            <w:u w:val="single"/>
          </w:rPr>
          <w:t>https://www.colombiacompra.gov.co/normativa-y-relatoria/documentos-tipo</w:t>
        </w:r>
      </w:hyperlink>
    </w:p>
    <w:p w14:paraId="7D8FB86B" w14:textId="77777777" w:rsidR="00354F23" w:rsidRPr="008647E1" w:rsidRDefault="00354F23" w:rsidP="00354F23">
      <w:pPr>
        <w:jc w:val="both"/>
        <w:rPr>
          <w:rFonts w:ascii="Verdana" w:hAnsi="Verdana"/>
        </w:rPr>
      </w:pPr>
      <w:r w:rsidRPr="008647E1">
        <w:rPr>
          <w:rFonts w:ascii="Verdana" w:hAnsi="Verdana"/>
        </w:rPr>
        <w:t xml:space="preserve">Si quieres conocer más sobre la aplicación de Documentos Tipo puedes consultar la última versión de la </w:t>
      </w:r>
      <w:r w:rsidRPr="008647E1">
        <w:rPr>
          <w:rFonts w:ascii="Verdana" w:hAnsi="Verdana"/>
          <w:b/>
          <w:bCs/>
        </w:rPr>
        <w:t>Guía para la comprensión e implementación de los Documentos Tipo de obra pública de infraestructura de transporte</w:t>
      </w:r>
      <w:r w:rsidRPr="008647E1">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647E1">
        <w:rPr>
          <w:rFonts w:ascii="Verdana" w:hAnsi="Verdana"/>
        </w:rPr>
        <w:br/>
      </w:r>
      <w:hyperlink r:id="rId19" w:tgtFrame="_new" w:history="1">
        <w:r w:rsidRPr="008647E1">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DA2E9C5" w14:textId="77777777" w:rsidR="00354F23" w:rsidRPr="008647E1" w:rsidRDefault="00354F23" w:rsidP="00354F23">
      <w:pPr>
        <w:spacing w:line="276" w:lineRule="auto"/>
        <w:jc w:val="both"/>
        <w:rPr>
          <w:rFonts w:ascii="Verdana" w:hAnsi="Verdana"/>
        </w:rPr>
      </w:pPr>
      <w:r w:rsidRPr="008647E1">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DEED8A6" w14:textId="77777777" w:rsidR="00354F23" w:rsidRPr="008647E1" w:rsidRDefault="00354F23" w:rsidP="00354F23">
      <w:pPr>
        <w:numPr>
          <w:ilvl w:val="0"/>
          <w:numId w:val="19"/>
        </w:numPr>
        <w:spacing w:line="276" w:lineRule="auto"/>
        <w:contextualSpacing/>
        <w:jc w:val="both"/>
        <w:rPr>
          <w:rFonts w:ascii="Verdana" w:eastAsia="Verdana" w:hAnsi="Verdana" w:cs="Verdana"/>
          <w:color w:val="4472C4" w:themeColor="accent1"/>
          <w:u w:val="single"/>
          <w:lang w:val="es-ES"/>
        </w:rPr>
      </w:pPr>
      <w:r w:rsidRPr="008647E1">
        <w:rPr>
          <w:rFonts w:ascii="Verdana" w:eastAsia="Verdana" w:hAnsi="Verdana" w:cs="Verdana"/>
          <w:lang w:val="es-ES"/>
        </w:rPr>
        <w:t xml:space="preserve">Línea nacional gratuita o servicio a la ciudadanía (Mesa de servicio): </w:t>
      </w:r>
      <w:r w:rsidRPr="008647E1">
        <w:rPr>
          <w:rFonts w:ascii="Verdana" w:hAnsi="Verdana"/>
          <w:color w:val="0000FF"/>
          <w:u w:val="single"/>
        </w:rPr>
        <w:t>01800 0520808</w:t>
      </w:r>
    </w:p>
    <w:p w14:paraId="0EFA26FC" w14:textId="77777777" w:rsidR="00354F23" w:rsidRPr="008647E1" w:rsidRDefault="00354F23" w:rsidP="00354F23">
      <w:pPr>
        <w:numPr>
          <w:ilvl w:val="0"/>
          <w:numId w:val="19"/>
        </w:numPr>
        <w:spacing w:line="276" w:lineRule="auto"/>
        <w:contextualSpacing/>
        <w:jc w:val="both"/>
        <w:rPr>
          <w:rFonts w:ascii="Verdana" w:eastAsia="Verdana" w:hAnsi="Verdana" w:cs="Verdana"/>
          <w:color w:val="4472C4" w:themeColor="accent1"/>
          <w:u w:val="single"/>
          <w:lang w:val="es-ES"/>
        </w:rPr>
      </w:pPr>
      <w:r w:rsidRPr="008647E1">
        <w:rPr>
          <w:rFonts w:ascii="Verdana" w:eastAsia="Verdana" w:hAnsi="Verdana" w:cs="Verdana"/>
          <w:lang w:val="es-ES"/>
        </w:rPr>
        <w:t xml:space="preserve">Línea en Bogotá (Mesa de servicio): </w:t>
      </w:r>
      <w:r w:rsidRPr="008647E1">
        <w:rPr>
          <w:rFonts w:ascii="Verdana" w:hAnsi="Verdana"/>
          <w:color w:val="0000FF"/>
          <w:u w:val="single"/>
        </w:rPr>
        <w:t>+57 601 7456788</w:t>
      </w:r>
    </w:p>
    <w:p w14:paraId="2DB63A62" w14:textId="77777777" w:rsidR="00354F23" w:rsidRPr="008647E1" w:rsidRDefault="00354F23" w:rsidP="00354F23">
      <w:pPr>
        <w:numPr>
          <w:ilvl w:val="0"/>
          <w:numId w:val="19"/>
        </w:numPr>
        <w:spacing w:line="276" w:lineRule="auto"/>
        <w:contextualSpacing/>
        <w:jc w:val="both"/>
        <w:rPr>
          <w:rFonts w:ascii="Verdana" w:eastAsia="Verdana" w:hAnsi="Verdana" w:cs="Verdana"/>
          <w:color w:val="0000FF"/>
          <w:u w:val="single"/>
          <w:lang w:val="es-ES"/>
        </w:rPr>
      </w:pPr>
      <w:r w:rsidRPr="008647E1">
        <w:rPr>
          <w:rFonts w:ascii="Verdana" w:eastAsia="Verdana" w:hAnsi="Verdana" w:cs="Verdana"/>
          <w:lang w:val="es-ES"/>
        </w:rPr>
        <w:t xml:space="preserve">Correo de radicación de correspondencia: </w:t>
      </w:r>
      <w:hyperlink r:id="rId20" w:history="1">
        <w:r w:rsidRPr="008647E1">
          <w:rPr>
            <w:rFonts w:ascii="Verdana" w:eastAsia="Verdana" w:hAnsi="Verdana" w:cs="Verdana"/>
            <w:color w:val="0000FF"/>
            <w:u w:val="single"/>
          </w:rPr>
          <w:t>ventanilladeradicacion@colombiacompra.gov.co</w:t>
        </w:r>
      </w:hyperlink>
    </w:p>
    <w:p w14:paraId="42EA9B37" w14:textId="77777777" w:rsidR="00354F23" w:rsidRPr="008647E1" w:rsidRDefault="00354F23" w:rsidP="00354F23">
      <w:pPr>
        <w:numPr>
          <w:ilvl w:val="0"/>
          <w:numId w:val="19"/>
        </w:numPr>
        <w:spacing w:line="276" w:lineRule="auto"/>
        <w:contextualSpacing/>
        <w:jc w:val="both"/>
        <w:rPr>
          <w:rFonts w:ascii="Verdana" w:eastAsia="Verdana" w:hAnsi="Verdana" w:cs="Verdana"/>
          <w:color w:val="0000FF"/>
          <w:u w:val="single"/>
          <w:lang w:val="es-ES"/>
        </w:rPr>
      </w:pPr>
      <w:r w:rsidRPr="008647E1">
        <w:rPr>
          <w:rFonts w:ascii="Verdana" w:eastAsia="Verdana" w:hAnsi="Verdana" w:cs="Verdana"/>
          <w:lang w:val="es-ES"/>
        </w:rPr>
        <w:t xml:space="preserve">Formulario web para PQRSD: </w:t>
      </w:r>
      <w:hyperlink r:id="rId21" w:history="1">
        <w:r w:rsidRPr="008647E1">
          <w:rPr>
            <w:rFonts w:ascii="Verdana" w:eastAsia="Verdana" w:hAnsi="Verdana" w:cs="Verdana"/>
            <w:color w:val="0000FF"/>
            <w:u w:val="single"/>
          </w:rPr>
          <w:t>https://www.colombiacompra.gov.co/pqrsd/informacion-importante-antes-de-formular-una-pqrsd</w:t>
        </w:r>
      </w:hyperlink>
    </w:p>
    <w:p w14:paraId="3D51701C" w14:textId="77777777" w:rsidR="00354F23" w:rsidRPr="008647E1" w:rsidRDefault="00354F23" w:rsidP="00354F23">
      <w:pPr>
        <w:spacing w:line="276" w:lineRule="auto"/>
        <w:jc w:val="both"/>
        <w:rPr>
          <w:rFonts w:ascii="Verdana" w:hAnsi="Verdana"/>
        </w:rPr>
      </w:pPr>
      <w:r w:rsidRPr="008647E1">
        <w:rPr>
          <w:rFonts w:ascii="Verdana" w:hAnsi="Verdana"/>
        </w:rPr>
        <w:lastRenderedPageBreak/>
        <w:t xml:space="preserve">Evalúa el servicio que ofrece la Agencia por el canal de atención de PQRSD en el siguiente enlace: </w:t>
      </w:r>
      <w:hyperlink r:id="rId22" w:history="1">
        <w:r w:rsidRPr="008647E1">
          <w:rPr>
            <w:rFonts w:ascii="Verdana" w:hAnsi="Verdana"/>
            <w:color w:val="0000FF"/>
            <w:u w:val="single"/>
          </w:rPr>
          <w:t>https://forms.office.com/r/pPHyWVs2SZ</w:t>
        </w:r>
      </w:hyperlink>
      <w:r w:rsidRPr="008647E1">
        <w:rPr>
          <w:rFonts w:ascii="Verdana" w:hAnsi="Verdana"/>
        </w:rPr>
        <w:t>. ¡Ayúdanos a mejorar porque el compromiso es de todos!</w:t>
      </w:r>
    </w:p>
    <w:p w14:paraId="7846C7EC" w14:textId="77777777" w:rsidR="00354F23" w:rsidRPr="008647E1" w:rsidRDefault="00354F23" w:rsidP="00354F23">
      <w:pPr>
        <w:spacing w:line="276" w:lineRule="auto"/>
        <w:jc w:val="both"/>
        <w:rPr>
          <w:rFonts w:ascii="Verdana" w:hAnsi="Verdana"/>
        </w:rPr>
      </w:pPr>
      <w:r w:rsidRPr="008647E1">
        <w:rPr>
          <w:rFonts w:ascii="Verdana" w:hAnsi="Verdana"/>
        </w:rPr>
        <w:t xml:space="preserve">Por último, lo invitamos a seguirnos en las redes sociales en las cuales se difunde información institucional: </w:t>
      </w:r>
    </w:p>
    <w:p w14:paraId="4E709C33" w14:textId="77777777" w:rsidR="00354F23" w:rsidRPr="008647E1" w:rsidRDefault="00354F23" w:rsidP="00354F23">
      <w:pPr>
        <w:numPr>
          <w:ilvl w:val="0"/>
          <w:numId w:val="20"/>
        </w:numPr>
        <w:spacing w:line="276" w:lineRule="auto"/>
        <w:contextualSpacing/>
        <w:jc w:val="both"/>
        <w:rPr>
          <w:rFonts w:ascii="Verdana" w:hAnsi="Verdana"/>
          <w:lang w:val="es-ES"/>
        </w:rPr>
      </w:pPr>
      <w:r w:rsidRPr="008647E1">
        <w:rPr>
          <w:rFonts w:ascii="Verdana" w:hAnsi="Verdana"/>
          <w:lang w:val="es-ES"/>
        </w:rPr>
        <w:t xml:space="preserve">Twitter: </w:t>
      </w:r>
      <w:r w:rsidRPr="008647E1">
        <w:rPr>
          <w:rFonts w:ascii="Verdana" w:hAnsi="Verdana"/>
          <w:color w:val="0000FF"/>
          <w:u w:val="single"/>
          <w:lang w:val="es-ES"/>
        </w:rPr>
        <w:t>@colombiacompra</w:t>
      </w:r>
      <w:r w:rsidRPr="008647E1">
        <w:rPr>
          <w:rFonts w:ascii="Verdana" w:hAnsi="Verdana"/>
          <w:lang w:val="es-ES"/>
        </w:rPr>
        <w:t xml:space="preserve"> </w:t>
      </w:r>
    </w:p>
    <w:p w14:paraId="512526EB" w14:textId="77777777" w:rsidR="00354F23" w:rsidRPr="008647E1" w:rsidRDefault="00354F23" w:rsidP="00354F23">
      <w:pPr>
        <w:numPr>
          <w:ilvl w:val="0"/>
          <w:numId w:val="20"/>
        </w:numPr>
        <w:spacing w:line="276" w:lineRule="auto"/>
        <w:contextualSpacing/>
        <w:jc w:val="both"/>
        <w:rPr>
          <w:rFonts w:ascii="Verdana" w:hAnsi="Verdana"/>
          <w:lang w:val="es-ES"/>
        </w:rPr>
      </w:pPr>
      <w:r w:rsidRPr="008647E1">
        <w:rPr>
          <w:rFonts w:ascii="Verdana" w:hAnsi="Verdana"/>
          <w:lang w:val="es-ES"/>
        </w:rPr>
        <w:t xml:space="preserve">Facebook: </w:t>
      </w:r>
      <w:proofErr w:type="spellStart"/>
      <w:r w:rsidRPr="008647E1">
        <w:rPr>
          <w:rFonts w:ascii="Verdana" w:hAnsi="Verdana"/>
          <w:color w:val="0000FF"/>
          <w:u w:val="single"/>
          <w:lang w:val="es-ES"/>
        </w:rPr>
        <w:t>ColombiaCompraEficiente</w:t>
      </w:r>
      <w:proofErr w:type="spellEnd"/>
    </w:p>
    <w:p w14:paraId="1952EFC6" w14:textId="77777777" w:rsidR="00354F23" w:rsidRPr="008647E1" w:rsidRDefault="00354F23" w:rsidP="00354F23">
      <w:pPr>
        <w:numPr>
          <w:ilvl w:val="0"/>
          <w:numId w:val="20"/>
        </w:numPr>
        <w:spacing w:line="276" w:lineRule="auto"/>
        <w:contextualSpacing/>
        <w:jc w:val="both"/>
        <w:rPr>
          <w:rFonts w:ascii="Verdana" w:hAnsi="Verdana"/>
          <w:lang w:val="es-ES"/>
        </w:rPr>
      </w:pPr>
      <w:r w:rsidRPr="008647E1">
        <w:rPr>
          <w:rFonts w:ascii="Verdana" w:hAnsi="Verdana"/>
          <w:lang w:val="es-ES"/>
        </w:rPr>
        <w:t xml:space="preserve">LinkedIn: </w:t>
      </w:r>
      <w:r w:rsidRPr="008647E1">
        <w:rPr>
          <w:rFonts w:ascii="Verdana" w:hAnsi="Verdana"/>
          <w:color w:val="0000FF"/>
          <w:u w:val="single"/>
          <w:lang w:val="es-ES"/>
        </w:rPr>
        <w:t>Agencia Nacional de Contratación Pública - Colombia Compra Eficiente</w:t>
      </w:r>
      <w:r w:rsidRPr="008647E1">
        <w:rPr>
          <w:rFonts w:ascii="Verdana" w:hAnsi="Verdana"/>
          <w:lang w:val="es-ES"/>
        </w:rPr>
        <w:t xml:space="preserve"> </w:t>
      </w:r>
    </w:p>
    <w:p w14:paraId="1DC52FB6" w14:textId="77777777" w:rsidR="00354F23" w:rsidRPr="008647E1" w:rsidRDefault="00354F23" w:rsidP="00354F23">
      <w:pPr>
        <w:numPr>
          <w:ilvl w:val="0"/>
          <w:numId w:val="20"/>
        </w:numPr>
        <w:spacing w:line="276" w:lineRule="auto"/>
        <w:contextualSpacing/>
        <w:jc w:val="both"/>
        <w:rPr>
          <w:rFonts w:ascii="Verdana" w:hAnsi="Verdana"/>
          <w:lang w:val="es-ES"/>
        </w:rPr>
      </w:pPr>
      <w:r w:rsidRPr="008647E1">
        <w:rPr>
          <w:rFonts w:ascii="Verdana" w:hAnsi="Verdana"/>
          <w:lang w:val="es-ES"/>
        </w:rPr>
        <w:t xml:space="preserve">Instagram: </w:t>
      </w:r>
      <w:r w:rsidRPr="008647E1">
        <w:rPr>
          <w:rFonts w:ascii="Verdana" w:hAnsi="Verdana"/>
          <w:color w:val="0000FF"/>
          <w:u w:val="single"/>
          <w:lang w:val="es-ES"/>
        </w:rPr>
        <w:t>@colombiacompraeficiente_cce</w:t>
      </w:r>
    </w:p>
    <w:p w14:paraId="66E234CF" w14:textId="77777777" w:rsidR="00C0319F" w:rsidRDefault="00C0319F" w:rsidP="00354F23">
      <w:pPr>
        <w:spacing w:line="276" w:lineRule="auto"/>
        <w:jc w:val="both"/>
        <w:rPr>
          <w:rFonts w:ascii="Verdana" w:eastAsia="Calibri" w:hAnsi="Verdana" w:cs="Times New Roman"/>
        </w:rPr>
      </w:pPr>
    </w:p>
    <w:p w14:paraId="30C4161C" w14:textId="5959D8E2" w:rsidR="00354F23" w:rsidRPr="008647E1" w:rsidRDefault="00354F23" w:rsidP="00354F23">
      <w:pPr>
        <w:spacing w:line="276" w:lineRule="auto"/>
        <w:jc w:val="both"/>
        <w:rPr>
          <w:rFonts w:ascii="Verdana" w:eastAsia="Calibri" w:hAnsi="Verdana" w:cs="Times New Roman"/>
          <w:bCs/>
        </w:rPr>
      </w:pPr>
      <w:r w:rsidRPr="008647E1">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D910477" w14:textId="77777777" w:rsidR="00354F23" w:rsidRPr="008647E1" w:rsidRDefault="00354F23" w:rsidP="00354F23">
      <w:pPr>
        <w:spacing w:after="0" w:line="276" w:lineRule="auto"/>
        <w:rPr>
          <w:rFonts w:ascii="Verdana" w:hAnsi="Verdana"/>
        </w:rPr>
      </w:pPr>
      <w:bookmarkStart w:id="5" w:name="_Hlk117695077"/>
    </w:p>
    <w:p w14:paraId="6F653054" w14:textId="77777777" w:rsidR="00354F23" w:rsidRPr="008647E1" w:rsidRDefault="00354F23" w:rsidP="00354F23">
      <w:pPr>
        <w:spacing w:after="0" w:line="276" w:lineRule="auto"/>
        <w:rPr>
          <w:rFonts w:ascii="Verdana" w:eastAsia="Times New Roman" w:hAnsi="Verdana" w:cs="Arial"/>
          <w:lang w:eastAsia="es-CO"/>
        </w:rPr>
      </w:pPr>
      <w:r w:rsidRPr="008647E1">
        <w:rPr>
          <w:rFonts w:ascii="Verdana" w:eastAsia="Times New Roman" w:hAnsi="Verdana" w:cs="Arial"/>
          <w:lang w:eastAsia="es-CO"/>
        </w:rPr>
        <w:t xml:space="preserve">Atentamente, </w:t>
      </w:r>
    </w:p>
    <w:bookmarkEnd w:id="5"/>
    <w:p w14:paraId="17FC0453" w14:textId="77777777" w:rsidR="00354F23" w:rsidRPr="008647E1" w:rsidRDefault="00354F23" w:rsidP="00354F23">
      <w:pPr>
        <w:tabs>
          <w:tab w:val="left" w:pos="142"/>
          <w:tab w:val="left" w:pos="284"/>
        </w:tabs>
        <w:spacing w:after="0" w:line="276" w:lineRule="auto"/>
        <w:contextualSpacing/>
        <w:jc w:val="both"/>
        <w:rPr>
          <w:rFonts w:ascii="Verdana" w:eastAsia="Verdana" w:hAnsi="Verdana" w:cs="Verdana"/>
          <w:b/>
          <w:bCs/>
          <w:lang w:val="es-MX"/>
        </w:rPr>
      </w:pPr>
    </w:p>
    <w:p w14:paraId="3A3E96BB" w14:textId="77777777" w:rsidR="00354F23" w:rsidRPr="008647E1" w:rsidRDefault="00354F23" w:rsidP="00354F23">
      <w:pPr>
        <w:tabs>
          <w:tab w:val="left" w:pos="142"/>
          <w:tab w:val="left" w:pos="284"/>
        </w:tabs>
        <w:spacing w:after="0" w:line="276" w:lineRule="auto"/>
        <w:contextualSpacing/>
        <w:jc w:val="both"/>
        <w:rPr>
          <w:rFonts w:ascii="Verdana" w:eastAsia="Verdana" w:hAnsi="Verdana" w:cs="Verdana"/>
          <w:b/>
          <w:bCs/>
          <w:lang w:val="es-MX"/>
        </w:rPr>
      </w:pPr>
    </w:p>
    <w:p w14:paraId="0E294EB7" w14:textId="49EA87BA" w:rsidR="00354F23" w:rsidRPr="008647E1" w:rsidRDefault="00354F23" w:rsidP="00354F23">
      <w:pPr>
        <w:spacing w:line="276" w:lineRule="auto"/>
        <w:jc w:val="center"/>
        <w:rPr>
          <w:rFonts w:ascii="Verdana" w:hAnsi="Verdana" w:cs="Arial"/>
          <w:color w:val="000000"/>
          <w:lang w:eastAsia="es-CO"/>
        </w:rPr>
      </w:pPr>
      <w:r w:rsidRPr="008647E1">
        <w:rPr>
          <w:rFonts w:ascii="Verdana" w:eastAsia="Verdana" w:hAnsi="Verdana" w:cs="Verdana"/>
          <w:lang w:eastAsia="es-CO"/>
        </w:rPr>
        <w:t> </w:t>
      </w:r>
      <w:r w:rsidR="009C29A2">
        <w:rPr>
          <w:noProof/>
        </w:rPr>
        <w:drawing>
          <wp:inline distT="0" distB="0" distL="0" distR="0" wp14:anchorId="4565B580" wp14:editId="69F0BB8D">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54F23" w:rsidRPr="008647E1" w14:paraId="4C4B6E2D" w14:textId="77777777" w:rsidTr="00813B0E">
        <w:trPr>
          <w:trHeight w:val="315"/>
        </w:trPr>
        <w:tc>
          <w:tcPr>
            <w:tcW w:w="893" w:type="dxa"/>
            <w:vAlign w:val="center"/>
            <w:hideMark/>
          </w:tcPr>
          <w:p w14:paraId="61BD8098" w14:textId="77777777" w:rsidR="00354F23" w:rsidRPr="008647E1" w:rsidRDefault="00354F23" w:rsidP="00813B0E">
            <w:pPr>
              <w:contextualSpacing/>
              <w:rPr>
                <w:rFonts w:ascii="Verdana" w:hAnsi="Verdana" w:cs="Arial"/>
                <w:sz w:val="16"/>
                <w:szCs w:val="16"/>
                <w:lang w:eastAsia="es-ES"/>
              </w:rPr>
            </w:pPr>
            <w:r w:rsidRPr="008647E1">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DFB3750" w14:textId="77777777" w:rsidR="00354F23" w:rsidRPr="008647E1" w:rsidRDefault="00354F23" w:rsidP="00813B0E">
            <w:pPr>
              <w:contextualSpacing/>
              <w:rPr>
                <w:rFonts w:ascii="Verdana" w:hAnsi="Verdana"/>
                <w:sz w:val="16"/>
                <w:szCs w:val="16"/>
              </w:rPr>
            </w:pPr>
            <w:r w:rsidRPr="008647E1">
              <w:rPr>
                <w:rFonts w:ascii="Verdana" w:hAnsi="Verdana"/>
                <w:sz w:val="16"/>
                <w:szCs w:val="16"/>
              </w:rPr>
              <w:t>Tatiana Baquero Iguarán</w:t>
            </w:r>
          </w:p>
          <w:p w14:paraId="6985C7B6" w14:textId="77777777" w:rsidR="00354F23" w:rsidRPr="008647E1" w:rsidRDefault="00354F23" w:rsidP="00813B0E">
            <w:pPr>
              <w:contextualSpacing/>
              <w:rPr>
                <w:rFonts w:ascii="Verdana" w:eastAsia="Arial" w:hAnsi="Verdana" w:cs="Arial"/>
                <w:sz w:val="16"/>
                <w:szCs w:val="16"/>
              </w:rPr>
            </w:pPr>
            <w:r w:rsidRPr="008647E1">
              <w:rPr>
                <w:rFonts w:ascii="Verdana" w:hAnsi="Verdana"/>
                <w:sz w:val="16"/>
                <w:szCs w:val="16"/>
              </w:rPr>
              <w:t>Contratista de la Subdirección de Gestión Contractual</w:t>
            </w:r>
          </w:p>
        </w:tc>
      </w:tr>
      <w:tr w:rsidR="00354F23" w:rsidRPr="008647E1" w14:paraId="30136096" w14:textId="77777777" w:rsidTr="00813B0E">
        <w:trPr>
          <w:trHeight w:val="330"/>
        </w:trPr>
        <w:tc>
          <w:tcPr>
            <w:tcW w:w="893" w:type="dxa"/>
            <w:vAlign w:val="center"/>
            <w:hideMark/>
          </w:tcPr>
          <w:p w14:paraId="04CEA51E" w14:textId="77777777" w:rsidR="00354F23" w:rsidRPr="008647E1" w:rsidRDefault="00354F23" w:rsidP="00813B0E">
            <w:pPr>
              <w:contextualSpacing/>
              <w:rPr>
                <w:rFonts w:ascii="Verdana" w:hAnsi="Verdana" w:cs="Arial"/>
                <w:sz w:val="16"/>
                <w:szCs w:val="16"/>
                <w:lang w:eastAsia="es-ES"/>
              </w:rPr>
            </w:pPr>
            <w:r w:rsidRPr="008647E1">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A1318A" w14:textId="77777777" w:rsidR="00354F23" w:rsidRPr="008647E1" w:rsidRDefault="00354F23" w:rsidP="00813B0E">
            <w:pPr>
              <w:spacing w:before="100" w:beforeAutospacing="1" w:afterAutospacing="1"/>
              <w:contextualSpacing/>
              <w:textAlignment w:val="baseline"/>
              <w:rPr>
                <w:rFonts w:ascii="Verdana" w:eastAsia="Times New Roman" w:hAnsi="Verdana" w:cs="Arial"/>
                <w:sz w:val="16"/>
                <w:szCs w:val="16"/>
                <w:lang w:val="es-ES" w:eastAsia="es-ES_tradnl"/>
              </w:rPr>
            </w:pPr>
            <w:r w:rsidRPr="008647E1">
              <w:rPr>
                <w:rFonts w:ascii="Verdana" w:eastAsia="Times New Roman" w:hAnsi="Verdana" w:cs="Arial"/>
                <w:sz w:val="16"/>
                <w:szCs w:val="16"/>
                <w:lang w:val="es-ES" w:eastAsia="es-ES_tradnl"/>
              </w:rPr>
              <w:t>Diana Lucía Saavedra Castañeda</w:t>
            </w:r>
          </w:p>
          <w:p w14:paraId="70F6331A" w14:textId="77777777" w:rsidR="00354F23" w:rsidRPr="008647E1" w:rsidRDefault="00354F23" w:rsidP="00813B0E">
            <w:pPr>
              <w:spacing w:before="100" w:beforeAutospacing="1" w:afterAutospacing="1"/>
              <w:contextualSpacing/>
              <w:textAlignment w:val="baseline"/>
              <w:rPr>
                <w:rFonts w:ascii="Verdana" w:eastAsia="Times New Roman" w:hAnsi="Verdana" w:cs="Arial"/>
                <w:sz w:val="16"/>
                <w:szCs w:val="16"/>
                <w:lang w:eastAsia="es-ES_tradnl"/>
              </w:rPr>
            </w:pPr>
            <w:r w:rsidRPr="008647E1">
              <w:rPr>
                <w:rFonts w:ascii="Verdana" w:eastAsia="Times New Roman" w:hAnsi="Verdana" w:cs="Arial"/>
                <w:sz w:val="16"/>
                <w:szCs w:val="16"/>
                <w:lang w:val="es-ES" w:eastAsia="es-ES_tradnl"/>
              </w:rPr>
              <w:t>Contratista de la Subdirección de Gestión Contractual</w:t>
            </w:r>
            <w:r w:rsidRPr="008647E1">
              <w:rPr>
                <w:rFonts w:ascii="Verdana" w:eastAsia="Times New Roman" w:hAnsi="Verdana" w:cs="Arial"/>
                <w:sz w:val="16"/>
                <w:szCs w:val="16"/>
                <w:lang w:eastAsia="es-ES_tradnl"/>
              </w:rPr>
              <w:t xml:space="preserve"> </w:t>
            </w:r>
          </w:p>
        </w:tc>
      </w:tr>
      <w:tr w:rsidR="00354F23" w:rsidRPr="008647E1" w14:paraId="041DB9F7" w14:textId="77777777" w:rsidTr="00813B0E">
        <w:trPr>
          <w:trHeight w:val="300"/>
        </w:trPr>
        <w:tc>
          <w:tcPr>
            <w:tcW w:w="893" w:type="dxa"/>
            <w:vAlign w:val="center"/>
          </w:tcPr>
          <w:p w14:paraId="726D22F2" w14:textId="77777777" w:rsidR="00354F23" w:rsidRPr="008647E1" w:rsidRDefault="00354F23" w:rsidP="00813B0E">
            <w:pPr>
              <w:contextualSpacing/>
              <w:rPr>
                <w:rFonts w:ascii="Verdana" w:hAnsi="Verdana" w:cs="Arial"/>
                <w:sz w:val="16"/>
                <w:szCs w:val="16"/>
                <w:lang w:eastAsia="es-ES"/>
              </w:rPr>
            </w:pPr>
            <w:r w:rsidRPr="008647E1">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E2908E" w14:textId="77777777" w:rsidR="00354F23" w:rsidRPr="008647E1" w:rsidRDefault="00354F23" w:rsidP="00813B0E">
            <w:pPr>
              <w:contextualSpacing/>
              <w:rPr>
                <w:rFonts w:ascii="Verdana" w:eastAsia="Calibri" w:hAnsi="Verdana" w:cs="Arial"/>
                <w:sz w:val="16"/>
                <w:szCs w:val="16"/>
                <w:lang w:eastAsia="es-ES"/>
              </w:rPr>
            </w:pPr>
            <w:r w:rsidRPr="008647E1">
              <w:rPr>
                <w:rFonts w:ascii="Verdana" w:eastAsia="Calibri" w:hAnsi="Verdana" w:cs="Arial"/>
                <w:sz w:val="16"/>
                <w:szCs w:val="16"/>
                <w:lang w:eastAsia="es-ES"/>
              </w:rPr>
              <w:t>Carolina Quintero Gacharná</w:t>
            </w:r>
          </w:p>
          <w:p w14:paraId="11D06E22" w14:textId="77777777" w:rsidR="00354F23" w:rsidRPr="008647E1" w:rsidRDefault="00354F23" w:rsidP="00813B0E">
            <w:pPr>
              <w:contextualSpacing/>
              <w:rPr>
                <w:rFonts w:ascii="Verdana" w:eastAsia="Calibri" w:hAnsi="Verdana" w:cs="Arial"/>
                <w:sz w:val="16"/>
                <w:szCs w:val="16"/>
                <w:lang w:eastAsia="es-ES"/>
              </w:rPr>
            </w:pPr>
            <w:r w:rsidRPr="008647E1">
              <w:rPr>
                <w:rFonts w:ascii="Verdana" w:eastAsia="Calibri" w:hAnsi="Verdana" w:cs="Arial"/>
                <w:sz w:val="16"/>
                <w:szCs w:val="16"/>
                <w:lang w:eastAsia="es-ES"/>
              </w:rPr>
              <w:t>Subdirectora de Gestión Contractual ANCP – CCE</w:t>
            </w:r>
          </w:p>
        </w:tc>
      </w:tr>
    </w:tbl>
    <w:p w14:paraId="57E92E81" w14:textId="58542C7C" w:rsidR="006359EC" w:rsidRPr="00C0319F" w:rsidRDefault="00354F23" w:rsidP="00C0319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6359EC" w:rsidRPr="00C0319F"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18A54" w14:textId="77777777" w:rsidR="000F22AB" w:rsidRDefault="000F22AB" w:rsidP="004A1847">
      <w:pPr>
        <w:spacing w:after="0" w:line="240" w:lineRule="auto"/>
      </w:pPr>
      <w:r>
        <w:separator/>
      </w:r>
    </w:p>
  </w:endnote>
  <w:endnote w:type="continuationSeparator" w:id="0">
    <w:p w14:paraId="335C47D7" w14:textId="77777777" w:rsidR="000F22AB" w:rsidRDefault="000F22AB" w:rsidP="004A1847">
      <w:pPr>
        <w:spacing w:after="0" w:line="240" w:lineRule="auto"/>
      </w:pPr>
      <w:r>
        <w:continuationSeparator/>
      </w:r>
    </w:p>
  </w:endnote>
  <w:endnote w:type="continuationNotice" w:id="1">
    <w:p w14:paraId="17CFA345" w14:textId="77777777" w:rsidR="000F22AB" w:rsidRDefault="000F22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60E45F" w14:textId="77777777" w:rsidR="000F22AB" w:rsidRDefault="000F22AB" w:rsidP="004A1847">
      <w:pPr>
        <w:spacing w:after="0" w:line="240" w:lineRule="auto"/>
      </w:pPr>
      <w:r>
        <w:separator/>
      </w:r>
    </w:p>
  </w:footnote>
  <w:footnote w:type="continuationSeparator" w:id="0">
    <w:p w14:paraId="7046C249" w14:textId="77777777" w:rsidR="000F22AB" w:rsidRDefault="000F22AB" w:rsidP="004A1847">
      <w:pPr>
        <w:spacing w:after="0" w:line="240" w:lineRule="auto"/>
      </w:pPr>
      <w:r>
        <w:continuationSeparator/>
      </w:r>
    </w:p>
  </w:footnote>
  <w:footnote w:type="continuationNotice" w:id="1">
    <w:p w14:paraId="201E312B" w14:textId="77777777" w:rsidR="000F22AB" w:rsidRDefault="000F22AB">
      <w:pPr>
        <w:spacing w:after="0" w:line="240" w:lineRule="auto"/>
      </w:pPr>
    </w:p>
  </w:footnote>
  <w:footnote w:id="2">
    <w:p w14:paraId="4FC81C79" w14:textId="77777777" w:rsidR="00354F23" w:rsidRPr="009209DF" w:rsidRDefault="00354F23" w:rsidP="00354F23">
      <w:pPr>
        <w:pStyle w:val="Textonotapie"/>
        <w:ind w:firstLine="708"/>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CONSEJO DE ESTADO. Sección Tercera. Subsección C. Sentencia del 31 de enero de 2011. Rad. 17767. C.P. Olga Melida Valle de </w:t>
      </w:r>
      <w:proofErr w:type="spellStart"/>
      <w:r w:rsidRPr="009209DF">
        <w:rPr>
          <w:rFonts w:ascii="Verdana" w:hAnsi="Verdana"/>
          <w:sz w:val="12"/>
          <w:szCs w:val="12"/>
        </w:rPr>
        <w:t>De</w:t>
      </w:r>
      <w:proofErr w:type="spellEnd"/>
      <w:r w:rsidRPr="009209DF">
        <w:rPr>
          <w:rFonts w:ascii="Verdana" w:hAnsi="Verdana"/>
          <w:sz w:val="12"/>
          <w:szCs w:val="12"/>
        </w:rPr>
        <w:t xml:space="preserve"> La Hoz.</w:t>
      </w:r>
    </w:p>
  </w:footnote>
  <w:footnote w:id="3">
    <w:p w14:paraId="4AF91F41" w14:textId="77777777" w:rsidR="00354F23" w:rsidRPr="009209DF" w:rsidRDefault="00354F23" w:rsidP="00354F23">
      <w:pPr>
        <w:pStyle w:val="Textonotapie"/>
        <w:ind w:firstLine="708"/>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MOREO MARROIG, Teresa. Presupuesto base de licitación, valor estimado y precio del contrato. En: tratado de contratos del sector público. Segunda edición. Tomo I. Valencia: Tirant lo Blanch, 2024. p. 874.</w:t>
      </w:r>
    </w:p>
  </w:footnote>
  <w:footnote w:id="4">
    <w:p w14:paraId="5230DD86" w14:textId="77777777" w:rsidR="00354F23" w:rsidRPr="009209DF" w:rsidRDefault="00354F23" w:rsidP="00354F23">
      <w:pPr>
        <w:pStyle w:val="Textonotapie"/>
        <w:ind w:firstLine="708"/>
        <w:jc w:val="both"/>
        <w:rPr>
          <w:rFonts w:ascii="Verdana" w:hAnsi="Verdana"/>
          <w:sz w:val="12"/>
          <w:szCs w:val="12"/>
          <w:lang w:val="es-CO"/>
        </w:rPr>
      </w:pPr>
      <w:r w:rsidRPr="009209DF">
        <w:rPr>
          <w:rStyle w:val="Refdenotaalpie"/>
          <w:rFonts w:ascii="Verdana" w:hAnsi="Verdana"/>
          <w:sz w:val="12"/>
          <w:szCs w:val="12"/>
        </w:rPr>
        <w:footnoteRef/>
      </w:r>
      <w:r w:rsidRPr="009209DF">
        <w:rPr>
          <w:rFonts w:ascii="Verdana" w:hAnsi="Verdana"/>
          <w:sz w:val="12"/>
          <w:szCs w:val="12"/>
        </w:rPr>
        <w:t xml:space="preserve"> De acuerdo con la jurisprudencia, el fraccionamiento “[…] se configura, cuando la </w:t>
      </w:r>
      <w:proofErr w:type="spellStart"/>
      <w:r w:rsidRPr="009209DF">
        <w:rPr>
          <w:rFonts w:ascii="Verdana" w:hAnsi="Verdana"/>
          <w:sz w:val="12"/>
          <w:szCs w:val="12"/>
        </w:rPr>
        <w:t>administración</w:t>
      </w:r>
      <w:proofErr w:type="spellEnd"/>
      <w:r w:rsidRPr="009209DF">
        <w:rPr>
          <w:rFonts w:ascii="Verdana" w:hAnsi="Verdana"/>
          <w:sz w:val="12"/>
          <w:szCs w:val="12"/>
        </w:rPr>
        <w:t xml:space="preserve"> de manera artificiosa divide la unidad natural del objeto contractual, a fin de seleccionar directamente al contratista cuando </w:t>
      </w:r>
      <w:proofErr w:type="spellStart"/>
      <w:r w:rsidRPr="009209DF">
        <w:rPr>
          <w:rFonts w:ascii="Verdana" w:hAnsi="Verdana"/>
          <w:sz w:val="12"/>
          <w:szCs w:val="12"/>
        </w:rPr>
        <w:t>debía</w:t>
      </w:r>
      <w:proofErr w:type="spellEnd"/>
      <w:r w:rsidRPr="009209DF">
        <w:rPr>
          <w:rFonts w:ascii="Verdana" w:hAnsi="Verdana"/>
          <w:sz w:val="12"/>
          <w:szCs w:val="12"/>
        </w:rPr>
        <w:t xml:space="preserve"> convocar un proceso de </w:t>
      </w:r>
      <w:proofErr w:type="spellStart"/>
      <w:r w:rsidRPr="009209DF">
        <w:rPr>
          <w:rFonts w:ascii="Verdana" w:hAnsi="Verdana"/>
          <w:sz w:val="12"/>
          <w:szCs w:val="12"/>
        </w:rPr>
        <w:t>licitación</w:t>
      </w:r>
      <w:proofErr w:type="spellEnd"/>
      <w:r w:rsidRPr="009209DF">
        <w:rPr>
          <w:rFonts w:ascii="Verdana" w:hAnsi="Verdana"/>
          <w:sz w:val="12"/>
          <w:szCs w:val="12"/>
        </w:rPr>
        <w:t xml:space="preserve">, o para acomodarlo a un proceso menos estricto y riguroso de </w:t>
      </w:r>
      <w:proofErr w:type="spellStart"/>
      <w:r w:rsidRPr="009209DF">
        <w:rPr>
          <w:rFonts w:ascii="Verdana" w:hAnsi="Verdana"/>
          <w:sz w:val="12"/>
          <w:szCs w:val="12"/>
        </w:rPr>
        <w:t>contratación</w:t>
      </w:r>
      <w:proofErr w:type="spellEnd"/>
      <w:r w:rsidRPr="009209DF">
        <w:rPr>
          <w:rFonts w:ascii="Verdana" w:hAnsi="Verdana"/>
          <w:sz w:val="12"/>
          <w:szCs w:val="12"/>
        </w:rPr>
        <w:t xml:space="preserve"> en defecto del que se </w:t>
      </w:r>
      <w:proofErr w:type="spellStart"/>
      <w:r w:rsidRPr="009209DF">
        <w:rPr>
          <w:rFonts w:ascii="Verdana" w:hAnsi="Verdana"/>
          <w:sz w:val="12"/>
          <w:szCs w:val="12"/>
        </w:rPr>
        <w:t>imponía</w:t>
      </w:r>
      <w:proofErr w:type="spellEnd"/>
      <w:r w:rsidRPr="009209DF">
        <w:rPr>
          <w:rFonts w:ascii="Verdana" w:hAnsi="Verdana"/>
          <w:sz w:val="12"/>
          <w:szCs w:val="12"/>
        </w:rPr>
        <w:t xml:space="preserve"> seguir atendidos su objeto y </w:t>
      </w:r>
      <w:proofErr w:type="spellStart"/>
      <w:r w:rsidRPr="009209DF">
        <w:rPr>
          <w:rFonts w:ascii="Verdana" w:hAnsi="Verdana"/>
          <w:sz w:val="12"/>
          <w:szCs w:val="12"/>
        </w:rPr>
        <w:t>cuantía</w:t>
      </w:r>
      <w:proofErr w:type="spellEnd"/>
      <w:r w:rsidRPr="009209DF">
        <w:rPr>
          <w:rFonts w:ascii="Verdana" w:hAnsi="Verdana"/>
          <w:sz w:val="12"/>
          <w:szCs w:val="12"/>
        </w:rPr>
        <w:t xml:space="preserve">, </w:t>
      </w:r>
      <w:proofErr w:type="spellStart"/>
      <w:r w:rsidRPr="009209DF">
        <w:rPr>
          <w:rFonts w:ascii="Verdana" w:hAnsi="Verdana"/>
          <w:sz w:val="12"/>
          <w:szCs w:val="12"/>
        </w:rPr>
        <w:t>práctica</w:t>
      </w:r>
      <w:proofErr w:type="spellEnd"/>
      <w:r w:rsidRPr="009209DF">
        <w:rPr>
          <w:rFonts w:ascii="Verdana" w:hAnsi="Verdana"/>
          <w:sz w:val="12"/>
          <w:szCs w:val="12"/>
        </w:rPr>
        <w:t xml:space="preserve"> que </w:t>
      </w:r>
      <w:proofErr w:type="spellStart"/>
      <w:r w:rsidRPr="009209DF">
        <w:rPr>
          <w:rFonts w:ascii="Verdana" w:hAnsi="Verdana"/>
          <w:sz w:val="12"/>
          <w:szCs w:val="12"/>
        </w:rPr>
        <w:t>riñe</w:t>
      </w:r>
      <w:proofErr w:type="spellEnd"/>
      <w:r w:rsidRPr="009209DF">
        <w:rPr>
          <w:rFonts w:ascii="Verdana" w:hAnsi="Verdana"/>
          <w:sz w:val="12"/>
          <w:szCs w:val="12"/>
        </w:rPr>
        <w:t xml:space="preserve"> con las normas que rigen la </w:t>
      </w:r>
      <w:proofErr w:type="spellStart"/>
      <w:r w:rsidRPr="009209DF">
        <w:rPr>
          <w:rFonts w:ascii="Verdana" w:hAnsi="Verdana"/>
          <w:sz w:val="12"/>
          <w:szCs w:val="12"/>
        </w:rPr>
        <w:t>contratación</w:t>
      </w:r>
      <w:proofErr w:type="spellEnd"/>
      <w:r w:rsidRPr="009209DF">
        <w:rPr>
          <w:rFonts w:ascii="Verdana" w:hAnsi="Verdana"/>
          <w:sz w:val="12"/>
          <w:szCs w:val="12"/>
        </w:rPr>
        <w:t xml:space="preserve"> estatal, particularmente con los principios de transparencia y de </w:t>
      </w:r>
      <w:proofErr w:type="spellStart"/>
      <w:r w:rsidRPr="009209DF">
        <w:rPr>
          <w:rFonts w:ascii="Verdana" w:hAnsi="Verdana"/>
          <w:sz w:val="12"/>
          <w:szCs w:val="12"/>
        </w:rPr>
        <w:t>selección</w:t>
      </w:r>
      <w:proofErr w:type="spellEnd"/>
      <w:r w:rsidRPr="009209DF">
        <w:rPr>
          <w:rFonts w:ascii="Verdana" w:hAnsi="Verdana"/>
          <w:sz w:val="12"/>
          <w:szCs w:val="12"/>
        </w:rPr>
        <w:t xml:space="preserve"> objetiva” (CORTE SUPREMA DE JUSTICIA. Sala Especial de Primera Instancia. Sentencia del 17 de marzo de 2022. Rad. 00267. M.P. Ariel Augusto Torres Rojas).  </w:t>
      </w:r>
    </w:p>
  </w:footnote>
  <w:footnote w:id="5">
    <w:p w14:paraId="37AF4083" w14:textId="77777777" w:rsidR="00354F23" w:rsidRPr="009209DF" w:rsidRDefault="00354F23" w:rsidP="00354F23">
      <w:pPr>
        <w:pStyle w:val="Textonotapie"/>
        <w:ind w:firstLine="709"/>
        <w:jc w:val="both"/>
        <w:rPr>
          <w:rFonts w:ascii="Verdana" w:hAnsi="Verdana"/>
          <w:sz w:val="12"/>
          <w:szCs w:val="12"/>
          <w:lang w:val="es-CO"/>
        </w:rPr>
      </w:pPr>
      <w:r w:rsidRPr="009209DF">
        <w:rPr>
          <w:rStyle w:val="Refdenotaalpie"/>
          <w:rFonts w:ascii="Verdana" w:hAnsi="Verdana"/>
          <w:sz w:val="12"/>
          <w:szCs w:val="12"/>
        </w:rPr>
        <w:footnoteRef/>
      </w:r>
      <w:r w:rsidRPr="009209DF">
        <w:rPr>
          <w:rFonts w:ascii="Verdana" w:hAnsi="Verdana"/>
          <w:sz w:val="12"/>
          <w:szCs w:val="12"/>
        </w:rPr>
        <w:t xml:space="preserve"> CONSEJO DE ESTADO. Sección Tercera. Subsección C. Sentencia del 31 de enero de 2011. Rad. 17767. C.P. Olga Melida Valle de </w:t>
      </w:r>
      <w:proofErr w:type="spellStart"/>
      <w:r w:rsidRPr="009209DF">
        <w:rPr>
          <w:rFonts w:ascii="Verdana" w:hAnsi="Verdana"/>
          <w:sz w:val="12"/>
          <w:szCs w:val="12"/>
        </w:rPr>
        <w:t>De</w:t>
      </w:r>
      <w:proofErr w:type="spellEnd"/>
      <w:r w:rsidRPr="009209DF">
        <w:rPr>
          <w:rFonts w:ascii="Verdana" w:hAnsi="Verdana"/>
          <w:sz w:val="12"/>
          <w:szCs w:val="12"/>
        </w:rPr>
        <w:t xml:space="preserve"> La Hoz.</w:t>
      </w:r>
    </w:p>
  </w:footnote>
  <w:footnote w:id="6">
    <w:p w14:paraId="594AAB78" w14:textId="77777777" w:rsidR="00354F23" w:rsidRPr="009209DF" w:rsidRDefault="00354F23" w:rsidP="00354F23">
      <w:pPr>
        <w:pStyle w:val="Textonotapie"/>
        <w:ind w:firstLine="709"/>
        <w:jc w:val="both"/>
        <w:rPr>
          <w:rFonts w:ascii="Verdana" w:hAnsi="Verdana"/>
          <w:sz w:val="12"/>
          <w:szCs w:val="12"/>
          <w:lang w:val="es-CO"/>
        </w:rPr>
      </w:pPr>
      <w:r w:rsidRPr="009209DF">
        <w:rPr>
          <w:rStyle w:val="Refdenotaalpie"/>
          <w:rFonts w:ascii="Verdana" w:hAnsi="Verdana"/>
          <w:sz w:val="12"/>
          <w:szCs w:val="12"/>
        </w:rPr>
        <w:footnoteRef/>
      </w:r>
      <w:r w:rsidRPr="009209DF">
        <w:rPr>
          <w:rFonts w:ascii="Verdana" w:hAnsi="Verdana"/>
          <w:sz w:val="12"/>
          <w:szCs w:val="12"/>
        </w:rPr>
        <w:t xml:space="preserve"> CONSEJO DE ESTADO. Sección Tercera. Subsección C. Sentencia del 24 de abril del 2024. Rad. 63093. C.P. </w:t>
      </w:r>
      <w:r w:rsidRPr="009209DF">
        <w:rPr>
          <w:rFonts w:ascii="Verdana" w:hAnsi="Verdana"/>
          <w:sz w:val="12"/>
          <w:szCs w:val="12"/>
          <w:lang w:val="es-CO"/>
        </w:rPr>
        <w:t>Nicolás Yepes Corrales</w:t>
      </w:r>
    </w:p>
  </w:footnote>
  <w:footnote w:id="7">
    <w:p w14:paraId="20A0F82E" w14:textId="77777777" w:rsidR="00354F23" w:rsidRPr="009209DF" w:rsidRDefault="00354F23" w:rsidP="00354F23">
      <w:pPr>
        <w:pStyle w:val="Textonotapie"/>
        <w:ind w:firstLine="708"/>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CORTE SUPREMA DE JUSTICIA. Sala Especial de Primera Instancia. Sentencia del 23 de marzo de 2006. Rad. 21780. M.P. Edgar Lombana Trujillo.</w:t>
      </w:r>
    </w:p>
  </w:footnote>
  <w:footnote w:id="8">
    <w:p w14:paraId="5A5DD187" w14:textId="77777777" w:rsidR="00354F23" w:rsidRPr="009209DF" w:rsidRDefault="00354F23" w:rsidP="00354F23">
      <w:pPr>
        <w:pStyle w:val="Textonotapie"/>
        <w:ind w:left="40" w:firstLine="668"/>
        <w:jc w:val="both"/>
        <w:rPr>
          <w:rFonts w:ascii="Verdana" w:hAnsi="Verdana" w:cs="Arial"/>
          <w:sz w:val="12"/>
          <w:szCs w:val="12"/>
        </w:rPr>
      </w:pPr>
      <w:r w:rsidRPr="009209DF">
        <w:rPr>
          <w:rFonts w:ascii="Verdana" w:hAnsi="Verdana" w:cs="Arial"/>
          <w:sz w:val="12"/>
          <w:szCs w:val="12"/>
        </w:rPr>
        <w:footnoteRef/>
      </w:r>
      <w:r w:rsidRPr="009209DF">
        <w:rPr>
          <w:rFonts w:ascii="Verdana" w:hAnsi="Verdana" w:cs="Arial"/>
          <w:sz w:val="12"/>
          <w:szCs w:val="12"/>
          <w:vertAlign w:val="superscript"/>
        </w:rPr>
        <w:t xml:space="preserve"> </w:t>
      </w:r>
      <w:r w:rsidRPr="009209DF">
        <w:rPr>
          <w:rFonts w:ascii="Verdana" w:hAnsi="Verdana" w:cs="Arial"/>
          <w:sz w:val="12"/>
          <w:szCs w:val="12"/>
        </w:rPr>
        <w:t>Rodríguez Tamayo, Mauricio Fernando. Los contratos estatales, 3 edición, Bogotá, Tirant lo Blanch, 2022. Pág. 370.</w:t>
      </w:r>
    </w:p>
  </w:footnote>
  <w:footnote w:id="9">
    <w:p w14:paraId="5C3C198F" w14:textId="77777777" w:rsidR="00354F23" w:rsidRPr="009209DF" w:rsidRDefault="00354F23" w:rsidP="00354F23">
      <w:pPr>
        <w:pStyle w:val="Textonotapie"/>
        <w:ind w:firstLine="708"/>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La Fiscalía General de la Nación y la Oficina de las Naciones Unidas contra la Droga y el Delito estiman que son formas de corrupción constitutivas de delito, entre otras, las siguientes: i) la elusión de los procedimientos a través del fraccionamiento de contrato, </w:t>
      </w:r>
      <w:proofErr w:type="spellStart"/>
      <w:r w:rsidRPr="009209DF">
        <w:rPr>
          <w:rFonts w:ascii="Verdana" w:hAnsi="Verdana"/>
          <w:sz w:val="12"/>
          <w:szCs w:val="12"/>
        </w:rPr>
        <w:t>ii</w:t>
      </w:r>
      <w:proofErr w:type="spellEnd"/>
      <w:r w:rsidRPr="009209DF">
        <w:rPr>
          <w:rFonts w:ascii="Verdana" w:hAnsi="Verdana"/>
          <w:sz w:val="12"/>
          <w:szCs w:val="12"/>
        </w:rPr>
        <w:t xml:space="preserve">) el direccionamiento de las adjudicaciones, </w:t>
      </w:r>
      <w:proofErr w:type="spellStart"/>
      <w:r w:rsidRPr="009209DF">
        <w:rPr>
          <w:rFonts w:ascii="Verdana" w:hAnsi="Verdana"/>
          <w:sz w:val="12"/>
          <w:szCs w:val="12"/>
        </w:rPr>
        <w:t>iii</w:t>
      </w:r>
      <w:proofErr w:type="spellEnd"/>
      <w:r w:rsidRPr="009209DF">
        <w:rPr>
          <w:rFonts w:ascii="Verdana" w:hAnsi="Verdana"/>
          <w:sz w:val="12"/>
          <w:szCs w:val="12"/>
        </w:rPr>
        <w:t xml:space="preserve">) la ejecución de obras sin diseños, </w:t>
      </w:r>
      <w:proofErr w:type="spellStart"/>
      <w:r w:rsidRPr="009209DF">
        <w:rPr>
          <w:rFonts w:ascii="Verdana" w:hAnsi="Verdana"/>
          <w:sz w:val="12"/>
          <w:szCs w:val="12"/>
        </w:rPr>
        <w:t>iv</w:t>
      </w:r>
      <w:proofErr w:type="spellEnd"/>
      <w:r w:rsidRPr="009209DF">
        <w:rPr>
          <w:rFonts w:ascii="Verdana" w:hAnsi="Verdana"/>
          <w:sz w:val="12"/>
          <w:szCs w:val="12"/>
        </w:rPr>
        <w:t xml:space="preserve">) la ausencia de disponibilidad presupuestal en la apertura del proceso de selección, v) la legalización de hechos cumplidos, vi) la declaratoria irregular de un estado de paz y salvo, </w:t>
      </w:r>
      <w:proofErr w:type="spellStart"/>
      <w:r w:rsidRPr="009209DF">
        <w:rPr>
          <w:rFonts w:ascii="Verdana" w:hAnsi="Verdana"/>
          <w:sz w:val="12"/>
          <w:szCs w:val="12"/>
        </w:rPr>
        <w:t>vii</w:t>
      </w:r>
      <w:proofErr w:type="spellEnd"/>
      <w:r w:rsidRPr="009209DF">
        <w:rPr>
          <w:rFonts w:ascii="Verdana" w:hAnsi="Verdana"/>
          <w:sz w:val="12"/>
          <w:szCs w:val="12"/>
        </w:rPr>
        <w:t xml:space="preserve">) el reconocimiento de sumas de dinero falsamente adeudadas al contratista, etc. (Cfr. Tipologías de corrupción en Colombia: Fiscales unidos por la transparencia y la integridad. Tomo III: Celebración indebida de contratos. Consultado el 29 de septiembre de 2025 en la página web </w:t>
      </w:r>
      <w:hyperlink r:id="rId1" w:history="1">
        <w:r w:rsidRPr="009209DF">
          <w:rPr>
            <w:rStyle w:val="Hipervnculo"/>
            <w:rFonts w:ascii="Verdana" w:hAnsi="Verdana"/>
            <w:sz w:val="12"/>
            <w:szCs w:val="12"/>
          </w:rPr>
          <w:t>https://www.fiscalia.gov.co/colombia/wp-content/uploads/Tomo-III.pdf</w:t>
        </w:r>
      </w:hyperlink>
      <w:r w:rsidRPr="009209DF">
        <w:rPr>
          <w:rFonts w:ascii="Verdana" w:hAnsi="Verdana"/>
          <w:sz w:val="12"/>
          <w:szCs w:val="12"/>
        </w:rPr>
        <w:t xml:space="preserve">). </w:t>
      </w:r>
    </w:p>
  </w:footnote>
  <w:footnote w:id="10">
    <w:p w14:paraId="08AD63E9" w14:textId="77777777" w:rsidR="00354F23" w:rsidRPr="009209DF" w:rsidRDefault="00354F23" w:rsidP="00354F23">
      <w:pPr>
        <w:pStyle w:val="Textonotapie"/>
        <w:ind w:firstLine="708"/>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CONSEJO DE ESTADO. Sala Plena. Sentencia del 22 de mayo de 2018. Rad. 11001-03-15-000-2006-00281-00. C.P. Guillermo Sánchez Luque.</w:t>
      </w:r>
    </w:p>
  </w:footnote>
  <w:footnote w:id="11">
    <w:p w14:paraId="7EDE96C4" w14:textId="77777777" w:rsidR="00354F23" w:rsidRPr="009209DF" w:rsidRDefault="00354F23" w:rsidP="00354F23">
      <w:pPr>
        <w:pStyle w:val="Textonotapie"/>
        <w:ind w:firstLine="709"/>
        <w:jc w:val="both"/>
        <w:rPr>
          <w:rFonts w:ascii="Verdana" w:hAnsi="Verdana"/>
          <w:sz w:val="12"/>
          <w:szCs w:val="12"/>
          <w:lang w:val="es-CO"/>
        </w:rPr>
      </w:pPr>
      <w:r w:rsidRPr="009209DF">
        <w:rPr>
          <w:rStyle w:val="Refdenotaalpie"/>
          <w:rFonts w:ascii="Verdana" w:hAnsi="Verdana"/>
          <w:sz w:val="12"/>
          <w:szCs w:val="12"/>
        </w:rPr>
        <w:footnoteRef/>
      </w:r>
      <w:r w:rsidRPr="009209DF">
        <w:rPr>
          <w:rFonts w:ascii="Verdana" w:hAnsi="Verdana"/>
          <w:sz w:val="12"/>
          <w:szCs w:val="12"/>
        </w:rPr>
        <w:t xml:space="preserve"> Corte Suprema de Justicia, Sentencia del 2 de diciembre de 2008, Proceso No. 29285. MP: Alfredo Gómez Quintero</w:t>
      </w:r>
    </w:p>
  </w:footnote>
  <w:footnote w:id="12">
    <w:p w14:paraId="3C4AD517" w14:textId="77777777" w:rsidR="00354F23" w:rsidRPr="009209DF" w:rsidRDefault="00354F23" w:rsidP="00354F23">
      <w:pPr>
        <w:pStyle w:val="Textonotapie"/>
        <w:ind w:firstLine="709"/>
        <w:jc w:val="both"/>
        <w:rPr>
          <w:rFonts w:ascii="Verdana" w:hAnsi="Verdana" w:cs="Arial"/>
          <w:color w:val="000000"/>
          <w:sz w:val="12"/>
          <w:szCs w:val="12"/>
        </w:rPr>
      </w:pPr>
      <w:r w:rsidRPr="009209DF">
        <w:rPr>
          <w:rStyle w:val="Refdenotaalpie"/>
          <w:rFonts w:ascii="Verdana" w:hAnsi="Verdana" w:cs="Arial"/>
          <w:color w:val="000000"/>
          <w:sz w:val="12"/>
          <w:szCs w:val="12"/>
        </w:rPr>
        <w:footnoteRef/>
      </w:r>
      <w:r w:rsidRPr="009209DF">
        <w:rPr>
          <w:rFonts w:ascii="Verdana" w:hAnsi="Verdana" w:cs="Arial"/>
          <w:color w:val="000000"/>
          <w:sz w:val="12"/>
          <w:szCs w:val="12"/>
        </w:rPr>
        <w:t xml:space="preserve"> Consejo de Estado. Sección Tercera. Radicado No. 45.607 del 24 de octubre de 2016. Consejera Ponente: María Nubia Velásquez Rico.</w:t>
      </w:r>
    </w:p>
    <w:p w14:paraId="1DDD9ED0" w14:textId="77777777" w:rsidR="00354F23" w:rsidRPr="009209DF" w:rsidRDefault="00354F23" w:rsidP="00354F23">
      <w:pPr>
        <w:pStyle w:val="Textonotapie"/>
        <w:jc w:val="both"/>
        <w:rPr>
          <w:rFonts w:ascii="Verdana" w:hAnsi="Verdana" w:cs="Arial"/>
          <w:color w:val="000000"/>
          <w:sz w:val="12"/>
          <w:szCs w:val="12"/>
          <w:lang w:val="es-ES"/>
        </w:rPr>
      </w:pPr>
    </w:p>
  </w:footnote>
  <w:footnote w:id="13">
    <w:p w14:paraId="5A2241AA" w14:textId="77777777" w:rsidR="00354F23" w:rsidRPr="009209DF" w:rsidRDefault="00354F23" w:rsidP="00354F23">
      <w:pPr>
        <w:spacing w:after="0" w:line="240" w:lineRule="auto"/>
        <w:ind w:right="49" w:firstLine="709"/>
        <w:contextualSpacing/>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9209DF">
        <w:rPr>
          <w:rFonts w:ascii="Verdana" w:hAnsi="Verdana"/>
          <w:spacing w:val="-15"/>
          <w:sz w:val="12"/>
          <w:szCs w:val="12"/>
        </w:rPr>
        <w:t xml:space="preserve"> </w:t>
      </w:r>
      <w:r w:rsidRPr="009209DF">
        <w:rPr>
          <w:rFonts w:ascii="Verdana" w:hAnsi="Verdana"/>
          <w:sz w:val="12"/>
          <w:szCs w:val="12"/>
        </w:rPr>
        <w:t>y comerciales estatales y de las sociedades de economía mixta, con excepción de los contratos que a título enunciativo identifica el artículo 32 de esta ley”, o sea, los de obra, consultoría, prestación de servicios,</w:t>
      </w:r>
      <w:r w:rsidRPr="009209DF">
        <w:rPr>
          <w:rFonts w:ascii="Verdana" w:hAnsi="Verdana"/>
          <w:spacing w:val="-7"/>
          <w:sz w:val="12"/>
          <w:szCs w:val="12"/>
        </w:rPr>
        <w:t xml:space="preserve"> </w:t>
      </w:r>
      <w:r w:rsidRPr="009209DF">
        <w:rPr>
          <w:rFonts w:ascii="Verdana" w:hAnsi="Verdana"/>
          <w:sz w:val="12"/>
          <w:szCs w:val="12"/>
        </w:rPr>
        <w:t>concesión,</w:t>
      </w:r>
      <w:r w:rsidRPr="009209DF">
        <w:rPr>
          <w:rFonts w:ascii="Verdana" w:hAnsi="Verdana"/>
          <w:spacing w:val="-7"/>
          <w:sz w:val="12"/>
          <w:szCs w:val="12"/>
        </w:rPr>
        <w:t xml:space="preserve"> </w:t>
      </w:r>
      <w:r w:rsidRPr="009209DF">
        <w:rPr>
          <w:rFonts w:ascii="Verdana" w:hAnsi="Verdana"/>
          <w:sz w:val="12"/>
          <w:szCs w:val="12"/>
        </w:rPr>
        <w:t>encargos</w:t>
      </w:r>
      <w:r w:rsidRPr="009209DF">
        <w:rPr>
          <w:rFonts w:ascii="Verdana" w:hAnsi="Verdana"/>
          <w:spacing w:val="-7"/>
          <w:sz w:val="12"/>
          <w:szCs w:val="12"/>
        </w:rPr>
        <w:t xml:space="preserve"> </w:t>
      </w:r>
      <w:r w:rsidRPr="009209DF">
        <w:rPr>
          <w:rFonts w:ascii="Verdana" w:hAnsi="Verdana"/>
          <w:sz w:val="12"/>
          <w:szCs w:val="12"/>
        </w:rPr>
        <w:t>fiduciarios</w:t>
      </w:r>
      <w:r w:rsidRPr="009209DF">
        <w:rPr>
          <w:rFonts w:ascii="Verdana" w:hAnsi="Verdana"/>
          <w:spacing w:val="-7"/>
          <w:sz w:val="12"/>
          <w:szCs w:val="12"/>
        </w:rPr>
        <w:t xml:space="preserve"> </w:t>
      </w:r>
      <w:r w:rsidRPr="009209DF">
        <w:rPr>
          <w:rFonts w:ascii="Verdana" w:hAnsi="Verdana"/>
          <w:sz w:val="12"/>
          <w:szCs w:val="12"/>
        </w:rPr>
        <w:t>y</w:t>
      </w:r>
      <w:r w:rsidRPr="009209DF">
        <w:rPr>
          <w:rFonts w:ascii="Verdana" w:hAnsi="Verdana"/>
          <w:spacing w:val="-8"/>
          <w:sz w:val="12"/>
          <w:szCs w:val="12"/>
        </w:rPr>
        <w:t xml:space="preserve"> </w:t>
      </w:r>
      <w:r w:rsidRPr="009209DF">
        <w:rPr>
          <w:rFonts w:ascii="Verdana" w:hAnsi="Verdana"/>
          <w:sz w:val="12"/>
          <w:szCs w:val="12"/>
        </w:rPr>
        <w:t>fiducia</w:t>
      </w:r>
      <w:r w:rsidRPr="009209DF">
        <w:rPr>
          <w:rFonts w:ascii="Verdana" w:hAnsi="Verdana"/>
          <w:spacing w:val="-9"/>
          <w:sz w:val="12"/>
          <w:szCs w:val="12"/>
        </w:rPr>
        <w:t xml:space="preserve"> </w:t>
      </w:r>
      <w:r w:rsidRPr="009209DF">
        <w:rPr>
          <w:rFonts w:ascii="Verdana" w:hAnsi="Verdana"/>
          <w:sz w:val="12"/>
          <w:szCs w:val="12"/>
        </w:rPr>
        <w:t>pública,</w:t>
      </w:r>
      <w:r w:rsidRPr="009209DF">
        <w:rPr>
          <w:rFonts w:ascii="Verdana" w:hAnsi="Verdana"/>
          <w:spacing w:val="-7"/>
          <w:sz w:val="12"/>
          <w:szCs w:val="12"/>
        </w:rPr>
        <w:t xml:space="preserve"> </w:t>
      </w:r>
      <w:r w:rsidRPr="009209DF">
        <w:rPr>
          <w:rFonts w:ascii="Verdana" w:hAnsi="Verdana"/>
          <w:sz w:val="12"/>
          <w:szCs w:val="12"/>
        </w:rPr>
        <w:t>que</w:t>
      </w:r>
      <w:r w:rsidRPr="009209DF">
        <w:rPr>
          <w:rFonts w:ascii="Verdana" w:hAnsi="Verdana"/>
          <w:spacing w:val="-13"/>
          <w:sz w:val="12"/>
          <w:szCs w:val="12"/>
        </w:rPr>
        <w:t xml:space="preserve"> </w:t>
      </w:r>
      <w:r w:rsidRPr="009209DF">
        <w:rPr>
          <w:rFonts w:ascii="Verdana" w:hAnsi="Verdana"/>
          <w:sz w:val="12"/>
          <w:szCs w:val="12"/>
        </w:rPr>
        <w:t>se</w:t>
      </w:r>
      <w:r w:rsidRPr="009209DF">
        <w:rPr>
          <w:rFonts w:ascii="Verdana" w:hAnsi="Verdana"/>
          <w:spacing w:val="-8"/>
          <w:sz w:val="12"/>
          <w:szCs w:val="12"/>
        </w:rPr>
        <w:t xml:space="preserve"> </w:t>
      </w:r>
      <w:r w:rsidRPr="009209DF">
        <w:rPr>
          <w:rFonts w:ascii="Verdana" w:hAnsi="Verdana"/>
          <w:sz w:val="12"/>
          <w:szCs w:val="12"/>
        </w:rPr>
        <w:t>regirían</w:t>
      </w:r>
      <w:r w:rsidRPr="009209DF">
        <w:rPr>
          <w:rFonts w:ascii="Verdana" w:hAnsi="Verdana"/>
          <w:spacing w:val="-9"/>
          <w:sz w:val="12"/>
          <w:szCs w:val="12"/>
        </w:rPr>
        <w:t xml:space="preserve"> </w:t>
      </w:r>
      <w:r w:rsidRPr="009209DF">
        <w:rPr>
          <w:rFonts w:ascii="Verdana" w:hAnsi="Verdana"/>
          <w:sz w:val="12"/>
          <w:szCs w:val="12"/>
        </w:rPr>
        <w:t>por</w:t>
      </w:r>
      <w:r w:rsidRPr="009209DF">
        <w:rPr>
          <w:rFonts w:ascii="Verdana" w:hAnsi="Verdana"/>
          <w:spacing w:val="-7"/>
          <w:sz w:val="12"/>
          <w:szCs w:val="12"/>
        </w:rPr>
        <w:t xml:space="preserve"> </w:t>
      </w:r>
      <w:r w:rsidRPr="009209DF">
        <w:rPr>
          <w:rFonts w:ascii="Verdana" w:hAnsi="Verdana"/>
          <w:sz w:val="12"/>
          <w:szCs w:val="12"/>
        </w:rPr>
        <w:t>la</w:t>
      </w:r>
      <w:r w:rsidRPr="009209DF">
        <w:rPr>
          <w:rFonts w:ascii="Verdana" w:hAnsi="Verdana"/>
          <w:spacing w:val="-9"/>
          <w:sz w:val="12"/>
          <w:szCs w:val="12"/>
        </w:rPr>
        <w:t xml:space="preserve"> </w:t>
      </w:r>
      <w:r w:rsidRPr="009209DF">
        <w:rPr>
          <w:rFonts w:ascii="Verdana" w:hAnsi="Verdana"/>
          <w:sz w:val="12"/>
          <w:szCs w:val="12"/>
        </w:rPr>
        <w:t>regla</w:t>
      </w:r>
      <w:r w:rsidRPr="009209DF">
        <w:rPr>
          <w:rFonts w:ascii="Verdana" w:hAnsi="Verdana"/>
          <w:spacing w:val="-9"/>
          <w:sz w:val="12"/>
          <w:szCs w:val="12"/>
        </w:rPr>
        <w:t xml:space="preserve"> </w:t>
      </w:r>
      <w:r w:rsidRPr="009209DF">
        <w:rPr>
          <w:rFonts w:ascii="Verdana" w:hAnsi="Verdana"/>
          <w:sz w:val="12"/>
          <w:szCs w:val="12"/>
        </w:rPr>
        <w:t>general,</w:t>
      </w:r>
      <w:r w:rsidRPr="009209DF">
        <w:rPr>
          <w:rFonts w:ascii="Verdana" w:hAnsi="Verdana"/>
          <w:spacing w:val="-7"/>
          <w:sz w:val="12"/>
          <w:szCs w:val="12"/>
        </w:rPr>
        <w:t xml:space="preserve"> </w:t>
      </w:r>
      <w:r w:rsidRPr="009209DF">
        <w:rPr>
          <w:rFonts w:ascii="Verdana" w:hAnsi="Verdana"/>
          <w:sz w:val="12"/>
          <w:szCs w:val="12"/>
        </w:rPr>
        <w:t>salvo</w:t>
      </w:r>
      <w:r w:rsidRPr="009209DF">
        <w:rPr>
          <w:rFonts w:ascii="Verdana" w:hAnsi="Verdana"/>
          <w:spacing w:val="-10"/>
          <w:sz w:val="12"/>
          <w:szCs w:val="12"/>
        </w:rPr>
        <w:t xml:space="preserve"> </w:t>
      </w:r>
      <w:r w:rsidRPr="009209DF">
        <w:rPr>
          <w:rFonts w:ascii="Verdana" w:hAnsi="Verdana"/>
          <w:sz w:val="12"/>
          <w:szCs w:val="12"/>
        </w:rPr>
        <w:t>los</w:t>
      </w:r>
      <w:r w:rsidRPr="009209DF">
        <w:rPr>
          <w:rFonts w:ascii="Verdana" w:hAnsi="Verdana"/>
          <w:spacing w:val="-7"/>
          <w:sz w:val="12"/>
          <w:szCs w:val="12"/>
        </w:rPr>
        <w:t xml:space="preserve"> </w:t>
      </w:r>
      <w:r w:rsidRPr="009209DF">
        <w:rPr>
          <w:rFonts w:ascii="Verdana" w:hAnsi="Verdana"/>
          <w:sz w:val="12"/>
          <w:szCs w:val="12"/>
        </w:rPr>
        <w:t>casos de</w:t>
      </w:r>
      <w:r w:rsidRPr="009209DF">
        <w:rPr>
          <w:rFonts w:ascii="Verdana" w:hAnsi="Verdana"/>
          <w:spacing w:val="-2"/>
          <w:sz w:val="12"/>
          <w:szCs w:val="12"/>
        </w:rPr>
        <w:t xml:space="preserve"> </w:t>
      </w:r>
      <w:r w:rsidRPr="009209DF">
        <w:rPr>
          <w:rFonts w:ascii="Verdana" w:hAnsi="Verdana"/>
          <w:sz w:val="12"/>
          <w:szCs w:val="12"/>
        </w:rPr>
        <w:t>menor cuantía –previstos en el ordinal a), numeral 1 del artículo 24, original, de la Ley 80 de 1993</w:t>
      </w:r>
      <w:r w:rsidRPr="009209DF">
        <w:rPr>
          <w:rFonts w:ascii="Verdana" w:hAnsi="Verdana"/>
          <w:spacing w:val="-15"/>
          <w:sz w:val="12"/>
          <w:szCs w:val="12"/>
        </w:rPr>
        <w:t xml:space="preserve"> </w:t>
      </w:r>
      <w:r w:rsidRPr="009209DF">
        <w:rPr>
          <w:rFonts w:ascii="Verdana" w:hAnsi="Verdana"/>
          <w:sz w:val="12"/>
          <w:szCs w:val="12"/>
        </w:rPr>
        <w:t>–. Además,</w:t>
      </w:r>
      <w:r w:rsidRPr="009209DF">
        <w:rPr>
          <w:rFonts w:ascii="Verdana" w:hAnsi="Verdana"/>
          <w:spacing w:val="-1"/>
          <w:sz w:val="12"/>
          <w:szCs w:val="12"/>
        </w:rPr>
        <w:t xml:space="preserve"> </w:t>
      </w:r>
      <w:r w:rsidRPr="009209DF">
        <w:rPr>
          <w:rFonts w:ascii="Verdana" w:hAnsi="Verdana"/>
          <w:sz w:val="12"/>
          <w:szCs w:val="12"/>
        </w:rPr>
        <w:t>en</w:t>
      </w:r>
      <w:r w:rsidRPr="009209DF">
        <w:rPr>
          <w:rFonts w:ascii="Verdana" w:hAnsi="Verdana"/>
          <w:spacing w:val="-5"/>
          <w:sz w:val="12"/>
          <w:szCs w:val="12"/>
        </w:rPr>
        <w:t xml:space="preserve"> </w:t>
      </w:r>
      <w:r w:rsidRPr="009209DF">
        <w:rPr>
          <w:rFonts w:ascii="Verdana" w:hAnsi="Verdana"/>
          <w:sz w:val="12"/>
          <w:szCs w:val="12"/>
        </w:rPr>
        <w:t>el</w:t>
      </w:r>
      <w:r w:rsidRPr="009209DF">
        <w:rPr>
          <w:rFonts w:ascii="Verdana" w:hAnsi="Verdana"/>
          <w:spacing w:val="-2"/>
          <w:sz w:val="12"/>
          <w:szCs w:val="12"/>
        </w:rPr>
        <w:t xml:space="preserve"> </w:t>
      </w:r>
      <w:r w:rsidRPr="009209DF">
        <w:rPr>
          <w:rFonts w:ascii="Verdana" w:hAnsi="Verdana"/>
          <w:sz w:val="12"/>
          <w:szCs w:val="12"/>
        </w:rPr>
        <w:t>parágrafo</w:t>
      </w:r>
      <w:r w:rsidRPr="009209DF">
        <w:rPr>
          <w:rFonts w:ascii="Verdana" w:hAnsi="Verdana"/>
          <w:spacing w:val="-5"/>
          <w:sz w:val="12"/>
          <w:szCs w:val="12"/>
        </w:rPr>
        <w:t xml:space="preserve"> </w:t>
      </w:r>
      <w:r w:rsidRPr="009209DF">
        <w:rPr>
          <w:rFonts w:ascii="Verdana" w:hAnsi="Verdana"/>
          <w:sz w:val="12"/>
          <w:szCs w:val="12"/>
        </w:rPr>
        <w:t>del</w:t>
      </w:r>
      <w:r w:rsidRPr="009209DF">
        <w:rPr>
          <w:rFonts w:ascii="Verdana" w:hAnsi="Verdana"/>
          <w:spacing w:val="-2"/>
          <w:sz w:val="12"/>
          <w:szCs w:val="12"/>
        </w:rPr>
        <w:t xml:space="preserve"> </w:t>
      </w:r>
      <w:r w:rsidRPr="009209DF">
        <w:rPr>
          <w:rFonts w:ascii="Verdana" w:hAnsi="Verdana"/>
          <w:sz w:val="12"/>
          <w:szCs w:val="12"/>
        </w:rPr>
        <w:t>artículo</w:t>
      </w:r>
      <w:r w:rsidRPr="009209DF">
        <w:rPr>
          <w:rFonts w:ascii="Verdana" w:hAnsi="Verdana"/>
          <w:spacing w:val="-5"/>
          <w:sz w:val="12"/>
          <w:szCs w:val="12"/>
        </w:rPr>
        <w:t xml:space="preserve"> </w:t>
      </w:r>
      <w:r w:rsidRPr="009209DF">
        <w:rPr>
          <w:rFonts w:ascii="Verdana" w:hAnsi="Verdana"/>
          <w:sz w:val="12"/>
          <w:szCs w:val="12"/>
        </w:rPr>
        <w:t>14</w:t>
      </w:r>
      <w:r w:rsidRPr="009209DF">
        <w:rPr>
          <w:rFonts w:ascii="Verdana" w:hAnsi="Verdana"/>
          <w:spacing w:val="-5"/>
          <w:sz w:val="12"/>
          <w:szCs w:val="12"/>
        </w:rPr>
        <w:t xml:space="preserve"> </w:t>
      </w:r>
      <w:r w:rsidRPr="009209DF">
        <w:rPr>
          <w:rFonts w:ascii="Verdana" w:hAnsi="Verdana"/>
          <w:sz w:val="12"/>
          <w:szCs w:val="12"/>
        </w:rPr>
        <w:t>de</w:t>
      </w:r>
      <w:r w:rsidRPr="009209DF">
        <w:rPr>
          <w:rFonts w:ascii="Verdana" w:hAnsi="Verdana"/>
          <w:spacing w:val="-3"/>
          <w:sz w:val="12"/>
          <w:szCs w:val="12"/>
        </w:rPr>
        <w:t xml:space="preserve"> </w:t>
      </w:r>
      <w:r w:rsidRPr="009209DF">
        <w:rPr>
          <w:rFonts w:ascii="Verdana" w:hAnsi="Verdana"/>
          <w:sz w:val="12"/>
          <w:szCs w:val="12"/>
        </w:rPr>
        <w:t>la</w:t>
      </w:r>
      <w:r w:rsidRPr="009209DF">
        <w:rPr>
          <w:rFonts w:ascii="Verdana" w:hAnsi="Verdana"/>
          <w:spacing w:val="-4"/>
          <w:sz w:val="12"/>
          <w:szCs w:val="12"/>
        </w:rPr>
        <w:t xml:space="preserve"> </w:t>
      </w:r>
      <w:r w:rsidRPr="009209DF">
        <w:rPr>
          <w:rFonts w:ascii="Verdana" w:hAnsi="Verdana"/>
          <w:sz w:val="12"/>
          <w:szCs w:val="12"/>
        </w:rPr>
        <w:t>Ley</w:t>
      </w:r>
      <w:r w:rsidRPr="009209DF">
        <w:rPr>
          <w:rFonts w:ascii="Verdana" w:hAnsi="Verdana"/>
          <w:spacing w:val="-3"/>
          <w:sz w:val="12"/>
          <w:szCs w:val="12"/>
        </w:rPr>
        <w:t xml:space="preserve"> </w:t>
      </w:r>
      <w:r w:rsidRPr="009209DF">
        <w:rPr>
          <w:rFonts w:ascii="Verdana" w:hAnsi="Verdana"/>
          <w:sz w:val="12"/>
          <w:szCs w:val="12"/>
        </w:rPr>
        <w:t>80</w:t>
      </w:r>
      <w:r w:rsidRPr="009209DF">
        <w:rPr>
          <w:rFonts w:ascii="Verdana" w:hAnsi="Verdana"/>
          <w:spacing w:val="-5"/>
          <w:sz w:val="12"/>
          <w:szCs w:val="12"/>
        </w:rPr>
        <w:t xml:space="preserve"> </w:t>
      </w:r>
      <w:r w:rsidRPr="009209DF">
        <w:rPr>
          <w:rFonts w:ascii="Verdana" w:hAnsi="Verdana"/>
          <w:sz w:val="12"/>
          <w:szCs w:val="12"/>
        </w:rPr>
        <w:t>de</w:t>
      </w:r>
      <w:r w:rsidRPr="009209DF">
        <w:rPr>
          <w:rFonts w:ascii="Verdana" w:hAnsi="Verdana"/>
          <w:spacing w:val="-3"/>
          <w:sz w:val="12"/>
          <w:szCs w:val="12"/>
        </w:rPr>
        <w:t xml:space="preserve"> </w:t>
      </w:r>
      <w:r w:rsidRPr="009209DF">
        <w:rPr>
          <w:rFonts w:ascii="Verdana" w:hAnsi="Verdana"/>
          <w:sz w:val="12"/>
          <w:szCs w:val="12"/>
        </w:rPr>
        <w:t>1993,</w:t>
      </w:r>
      <w:r w:rsidRPr="009209DF">
        <w:rPr>
          <w:rFonts w:ascii="Verdana" w:hAnsi="Verdana"/>
          <w:spacing w:val="-1"/>
          <w:sz w:val="12"/>
          <w:szCs w:val="12"/>
        </w:rPr>
        <w:t xml:space="preserve"> </w:t>
      </w:r>
      <w:r w:rsidRPr="009209DF">
        <w:rPr>
          <w:rFonts w:ascii="Verdana" w:hAnsi="Verdana"/>
          <w:sz w:val="12"/>
          <w:szCs w:val="12"/>
        </w:rPr>
        <w:t>se</w:t>
      </w:r>
      <w:r w:rsidRPr="009209DF">
        <w:rPr>
          <w:rFonts w:ascii="Verdana" w:hAnsi="Verdana"/>
          <w:spacing w:val="-3"/>
          <w:sz w:val="12"/>
          <w:szCs w:val="12"/>
        </w:rPr>
        <w:t xml:space="preserve"> </w:t>
      </w:r>
      <w:r w:rsidRPr="009209DF">
        <w:rPr>
          <w:rFonts w:ascii="Verdana" w:hAnsi="Verdana"/>
          <w:sz w:val="12"/>
          <w:szCs w:val="12"/>
        </w:rPr>
        <w:t>señaló</w:t>
      </w:r>
      <w:r w:rsidRPr="009209DF">
        <w:rPr>
          <w:rFonts w:ascii="Verdana" w:hAnsi="Verdana"/>
          <w:spacing w:val="-5"/>
          <w:sz w:val="12"/>
          <w:szCs w:val="12"/>
        </w:rPr>
        <w:t xml:space="preserve"> </w:t>
      </w:r>
      <w:r w:rsidRPr="009209DF">
        <w:rPr>
          <w:rFonts w:ascii="Verdana" w:hAnsi="Verdana"/>
          <w:sz w:val="12"/>
          <w:szCs w:val="12"/>
        </w:rPr>
        <w:t>que</w:t>
      </w:r>
      <w:r w:rsidRPr="009209DF">
        <w:rPr>
          <w:rFonts w:ascii="Verdana" w:hAnsi="Verdana"/>
          <w:spacing w:val="-3"/>
          <w:sz w:val="12"/>
          <w:szCs w:val="12"/>
        </w:rPr>
        <w:t xml:space="preserve"> </w:t>
      </w:r>
      <w:r w:rsidRPr="009209DF">
        <w:rPr>
          <w:rFonts w:ascii="Verdana" w:hAnsi="Verdana"/>
          <w:sz w:val="12"/>
          <w:szCs w:val="12"/>
        </w:rPr>
        <w:t>“en</w:t>
      </w:r>
      <w:r w:rsidRPr="009209DF">
        <w:rPr>
          <w:rFonts w:ascii="Verdana" w:hAnsi="Verdana"/>
          <w:spacing w:val="-5"/>
          <w:sz w:val="12"/>
          <w:szCs w:val="12"/>
        </w:rPr>
        <w:t xml:space="preserve"> </w:t>
      </w:r>
      <w:r w:rsidRPr="009209DF">
        <w:rPr>
          <w:rFonts w:ascii="Verdana" w:hAnsi="Verdana"/>
          <w:sz w:val="12"/>
          <w:szCs w:val="12"/>
        </w:rPr>
        <w:t>los</w:t>
      </w:r>
      <w:r w:rsidRPr="009209DF">
        <w:rPr>
          <w:rFonts w:ascii="Verdana" w:hAnsi="Verdana"/>
          <w:spacing w:val="-2"/>
          <w:sz w:val="12"/>
          <w:szCs w:val="12"/>
        </w:rPr>
        <w:t xml:space="preserve"> </w:t>
      </w:r>
      <w:r w:rsidRPr="009209DF">
        <w:rPr>
          <w:rFonts w:ascii="Verdana" w:hAnsi="Verdana"/>
          <w:sz w:val="12"/>
          <w:szCs w:val="12"/>
        </w:rPr>
        <w:t>contratos</w:t>
      </w:r>
      <w:r w:rsidRPr="009209DF">
        <w:rPr>
          <w:rFonts w:ascii="Verdana" w:hAnsi="Verdana"/>
          <w:spacing w:val="-2"/>
          <w:sz w:val="12"/>
          <w:szCs w:val="12"/>
        </w:rPr>
        <w:t xml:space="preserve"> </w:t>
      </w:r>
      <w:r w:rsidRPr="009209DF">
        <w:rPr>
          <w:rFonts w:ascii="Verdana" w:hAnsi="Verdana"/>
          <w:sz w:val="12"/>
          <w:szCs w:val="12"/>
        </w:rPr>
        <w:t>que</w:t>
      </w:r>
      <w:r w:rsidRPr="009209DF">
        <w:rPr>
          <w:rFonts w:ascii="Verdana" w:hAnsi="Verdana"/>
          <w:spacing w:val="-3"/>
          <w:sz w:val="12"/>
          <w:szCs w:val="12"/>
        </w:rPr>
        <w:t xml:space="preserve"> </w:t>
      </w:r>
      <w:r w:rsidRPr="009209DF">
        <w:rPr>
          <w:rFonts w:ascii="Verdana" w:hAnsi="Verdana"/>
          <w:sz w:val="12"/>
          <w:szCs w:val="12"/>
        </w:rPr>
        <w:t>tengan</w:t>
      </w:r>
      <w:r w:rsidRPr="009209DF">
        <w:rPr>
          <w:rFonts w:ascii="Verdana" w:hAnsi="Verdana"/>
          <w:spacing w:val="-4"/>
          <w:sz w:val="12"/>
          <w:szCs w:val="12"/>
        </w:rPr>
        <w:t xml:space="preserve"> </w:t>
      </w:r>
      <w:r w:rsidRPr="009209DF">
        <w:rPr>
          <w:rFonts w:ascii="Verdana" w:hAnsi="Verdana"/>
          <w:sz w:val="12"/>
          <w:szCs w:val="12"/>
        </w:rPr>
        <w:t>por objeto</w:t>
      </w:r>
      <w:r w:rsidRPr="009209DF">
        <w:rPr>
          <w:rFonts w:ascii="Verdana" w:hAnsi="Verdana"/>
          <w:spacing w:val="-1"/>
          <w:sz w:val="12"/>
          <w:szCs w:val="12"/>
        </w:rPr>
        <w:t xml:space="preserve"> </w:t>
      </w:r>
      <w:r w:rsidRPr="009209DF">
        <w:rPr>
          <w:rFonts w:ascii="Verdana" w:hAnsi="Verdana"/>
          <w:sz w:val="12"/>
          <w:szCs w:val="12"/>
        </w:rPr>
        <w:t>actividades comerciales o</w:t>
      </w:r>
      <w:r w:rsidRPr="009209DF">
        <w:rPr>
          <w:rFonts w:ascii="Verdana" w:hAnsi="Verdana"/>
          <w:spacing w:val="-1"/>
          <w:sz w:val="12"/>
          <w:szCs w:val="12"/>
        </w:rPr>
        <w:t xml:space="preserve"> </w:t>
      </w:r>
      <w:r w:rsidRPr="009209DF">
        <w:rPr>
          <w:rFonts w:ascii="Verdana" w:hAnsi="Verdana"/>
          <w:sz w:val="12"/>
          <w:szCs w:val="12"/>
        </w:rPr>
        <w:t>industriales de las entidades</w:t>
      </w:r>
      <w:r w:rsidRPr="009209DF">
        <w:rPr>
          <w:rFonts w:ascii="Verdana" w:hAnsi="Verdana"/>
          <w:spacing w:val="-3"/>
          <w:sz w:val="12"/>
          <w:szCs w:val="12"/>
        </w:rPr>
        <w:t xml:space="preserve"> </w:t>
      </w:r>
      <w:r w:rsidRPr="009209DF">
        <w:rPr>
          <w:rFonts w:ascii="Verdana" w:hAnsi="Verdana"/>
          <w:sz w:val="12"/>
          <w:szCs w:val="12"/>
        </w:rPr>
        <w:t>estatales que no</w:t>
      </w:r>
      <w:r w:rsidRPr="009209DF">
        <w:rPr>
          <w:rFonts w:ascii="Verdana" w:hAnsi="Verdana"/>
          <w:spacing w:val="-1"/>
          <w:sz w:val="12"/>
          <w:szCs w:val="12"/>
        </w:rPr>
        <w:t xml:space="preserve"> </w:t>
      </w:r>
      <w:r w:rsidRPr="009209DF">
        <w:rPr>
          <w:rFonts w:ascii="Verdana" w:hAnsi="Verdana"/>
          <w:sz w:val="12"/>
          <w:szCs w:val="12"/>
        </w:rPr>
        <w:t xml:space="preserve">correspondan a las señaladas en el numeral 2º de este artículo (…) se prescindirá de la utilización de las cláusulas o estipulaciones </w:t>
      </w:r>
      <w:r w:rsidRPr="009209DF">
        <w:rPr>
          <w:rFonts w:ascii="Verdana" w:hAnsi="Verdana"/>
          <w:spacing w:val="-2"/>
          <w:sz w:val="12"/>
          <w:szCs w:val="12"/>
        </w:rPr>
        <w:t>excepcionales”.</w:t>
      </w:r>
    </w:p>
  </w:footnote>
  <w:footnote w:id="14">
    <w:p w14:paraId="6F3E081F" w14:textId="77777777" w:rsidR="00354F23" w:rsidRPr="009209DF" w:rsidRDefault="00354F23" w:rsidP="00354F23">
      <w:pPr>
        <w:tabs>
          <w:tab w:val="left" w:pos="142"/>
          <w:tab w:val="left" w:pos="8789"/>
        </w:tabs>
        <w:spacing w:after="0" w:line="240" w:lineRule="auto"/>
        <w:ind w:right="49" w:firstLine="709"/>
        <w:contextualSpacing/>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w:t>
      </w:r>
      <w:bookmarkStart w:id="4" w:name="_Hlk199860326"/>
      <w:r w:rsidRPr="009209DF">
        <w:rPr>
          <w:rFonts w:ascii="Verdana" w:hAnsi="Verdana"/>
          <w:sz w:val="12"/>
          <w:szCs w:val="12"/>
        </w:rPr>
        <w:t>Sin perjuicio</w:t>
      </w:r>
      <w:r w:rsidRPr="009209DF">
        <w:rPr>
          <w:rFonts w:ascii="Verdana" w:hAnsi="Verdana"/>
          <w:spacing w:val="-1"/>
          <w:sz w:val="12"/>
          <w:szCs w:val="12"/>
        </w:rPr>
        <w:t xml:space="preserve"> </w:t>
      </w:r>
      <w:r w:rsidRPr="009209DF">
        <w:rPr>
          <w:rFonts w:ascii="Verdana" w:hAnsi="Verdana"/>
          <w:sz w:val="12"/>
          <w:szCs w:val="12"/>
        </w:rPr>
        <w:t>de la regla indicada, es importante</w:t>
      </w:r>
      <w:r w:rsidRPr="009209DF">
        <w:rPr>
          <w:rFonts w:ascii="Verdana" w:hAnsi="Verdana"/>
          <w:spacing w:val="-4"/>
          <w:sz w:val="12"/>
          <w:szCs w:val="12"/>
        </w:rPr>
        <w:t xml:space="preserve"> </w:t>
      </w:r>
      <w:r w:rsidRPr="009209DF">
        <w:rPr>
          <w:rFonts w:ascii="Verdana" w:hAnsi="Verdana"/>
          <w:sz w:val="12"/>
          <w:szCs w:val="12"/>
        </w:rPr>
        <w:t>señalar que el literal</w:t>
      </w:r>
      <w:r w:rsidRPr="009209DF">
        <w:rPr>
          <w:rFonts w:ascii="Verdana" w:hAnsi="Verdana"/>
          <w:spacing w:val="-3"/>
          <w:sz w:val="12"/>
          <w:szCs w:val="12"/>
        </w:rPr>
        <w:t xml:space="preserve"> </w:t>
      </w:r>
      <w:r w:rsidRPr="009209DF">
        <w:rPr>
          <w:rFonts w:ascii="Verdana" w:hAnsi="Verdana"/>
          <w:sz w:val="12"/>
          <w:szCs w:val="12"/>
        </w:rPr>
        <w:t>g, numeral 2, artículo</w:t>
      </w:r>
      <w:r w:rsidRPr="009209DF">
        <w:rPr>
          <w:rFonts w:ascii="Verdana" w:hAnsi="Verdana"/>
          <w:spacing w:val="-1"/>
          <w:sz w:val="12"/>
          <w:szCs w:val="12"/>
        </w:rPr>
        <w:t xml:space="preserve"> </w:t>
      </w:r>
      <w:r w:rsidRPr="009209DF">
        <w:rPr>
          <w:rFonts w:ascii="Verdana" w:hAnsi="Verdana"/>
          <w:sz w:val="12"/>
          <w:szCs w:val="12"/>
        </w:rPr>
        <w:t>2</w:t>
      </w:r>
      <w:r w:rsidRPr="009209DF">
        <w:rPr>
          <w:rFonts w:ascii="Verdana" w:hAnsi="Verdana"/>
          <w:spacing w:val="-1"/>
          <w:sz w:val="12"/>
          <w:szCs w:val="12"/>
        </w:rPr>
        <w:t xml:space="preserve"> </w:t>
      </w:r>
      <w:r w:rsidRPr="009209DF">
        <w:rPr>
          <w:rFonts w:ascii="Verdana" w:hAnsi="Verdana"/>
          <w:sz w:val="12"/>
          <w:szCs w:val="12"/>
        </w:rPr>
        <w:t>de la Ley 1150 de 2007, prevé como causal de selección abreviada: “Los actos y contratos que tengan por objeto directo</w:t>
      </w:r>
      <w:r w:rsidRPr="009209DF">
        <w:rPr>
          <w:rFonts w:ascii="Verdana" w:hAnsi="Verdana"/>
          <w:spacing w:val="-10"/>
          <w:sz w:val="12"/>
          <w:szCs w:val="12"/>
        </w:rPr>
        <w:t xml:space="preserve"> </w:t>
      </w:r>
      <w:r w:rsidRPr="009209DF">
        <w:rPr>
          <w:rFonts w:ascii="Verdana" w:hAnsi="Verdana"/>
          <w:sz w:val="12"/>
          <w:szCs w:val="12"/>
        </w:rPr>
        <w:t>las</w:t>
      </w:r>
      <w:r w:rsidRPr="009209DF">
        <w:rPr>
          <w:rFonts w:ascii="Verdana" w:hAnsi="Verdana"/>
          <w:spacing w:val="-7"/>
          <w:sz w:val="12"/>
          <w:szCs w:val="12"/>
        </w:rPr>
        <w:t xml:space="preserve"> </w:t>
      </w:r>
      <w:r w:rsidRPr="009209DF">
        <w:rPr>
          <w:rFonts w:ascii="Verdana" w:hAnsi="Verdana"/>
          <w:sz w:val="12"/>
          <w:szCs w:val="12"/>
        </w:rPr>
        <w:t>actividades</w:t>
      </w:r>
      <w:r w:rsidRPr="009209DF">
        <w:rPr>
          <w:rFonts w:ascii="Verdana" w:hAnsi="Verdana"/>
          <w:spacing w:val="-7"/>
          <w:sz w:val="12"/>
          <w:szCs w:val="12"/>
        </w:rPr>
        <w:t xml:space="preserve"> </w:t>
      </w:r>
      <w:r w:rsidRPr="009209DF">
        <w:rPr>
          <w:rFonts w:ascii="Verdana" w:hAnsi="Verdana"/>
          <w:sz w:val="12"/>
          <w:szCs w:val="12"/>
        </w:rPr>
        <w:t>comerciales</w:t>
      </w:r>
      <w:r w:rsidRPr="009209DF">
        <w:rPr>
          <w:rFonts w:ascii="Verdana" w:hAnsi="Verdana"/>
          <w:spacing w:val="-7"/>
          <w:sz w:val="12"/>
          <w:szCs w:val="12"/>
        </w:rPr>
        <w:t xml:space="preserve"> </w:t>
      </w:r>
      <w:r w:rsidRPr="009209DF">
        <w:rPr>
          <w:rFonts w:ascii="Verdana" w:hAnsi="Verdana"/>
          <w:sz w:val="12"/>
          <w:szCs w:val="12"/>
        </w:rPr>
        <w:t>e</w:t>
      </w:r>
      <w:r w:rsidRPr="009209DF">
        <w:rPr>
          <w:rFonts w:ascii="Verdana" w:hAnsi="Verdana"/>
          <w:spacing w:val="-8"/>
          <w:sz w:val="12"/>
          <w:szCs w:val="12"/>
        </w:rPr>
        <w:t xml:space="preserve"> </w:t>
      </w:r>
      <w:r w:rsidRPr="009209DF">
        <w:rPr>
          <w:rFonts w:ascii="Verdana" w:hAnsi="Verdana"/>
          <w:sz w:val="12"/>
          <w:szCs w:val="12"/>
        </w:rPr>
        <w:t>industriales</w:t>
      </w:r>
      <w:r w:rsidRPr="009209DF">
        <w:rPr>
          <w:rFonts w:ascii="Verdana" w:hAnsi="Verdana"/>
          <w:spacing w:val="-7"/>
          <w:sz w:val="12"/>
          <w:szCs w:val="12"/>
        </w:rPr>
        <w:t xml:space="preserve"> </w:t>
      </w:r>
      <w:r w:rsidRPr="009209DF">
        <w:rPr>
          <w:rFonts w:ascii="Verdana" w:hAnsi="Verdana"/>
          <w:sz w:val="12"/>
          <w:szCs w:val="12"/>
        </w:rPr>
        <w:t>propias</w:t>
      </w:r>
      <w:r w:rsidRPr="009209DF">
        <w:rPr>
          <w:rFonts w:ascii="Verdana" w:hAnsi="Verdana"/>
          <w:spacing w:val="-7"/>
          <w:sz w:val="12"/>
          <w:szCs w:val="12"/>
        </w:rPr>
        <w:t xml:space="preserve"> </w:t>
      </w:r>
      <w:r w:rsidRPr="009209DF">
        <w:rPr>
          <w:rFonts w:ascii="Verdana" w:hAnsi="Verdana"/>
          <w:sz w:val="12"/>
          <w:szCs w:val="12"/>
        </w:rPr>
        <w:t>de</w:t>
      </w:r>
      <w:r w:rsidRPr="009209DF">
        <w:rPr>
          <w:rFonts w:ascii="Verdana" w:hAnsi="Verdana"/>
          <w:spacing w:val="-8"/>
          <w:sz w:val="12"/>
          <w:szCs w:val="12"/>
        </w:rPr>
        <w:t xml:space="preserve"> </w:t>
      </w:r>
      <w:r w:rsidRPr="009209DF">
        <w:rPr>
          <w:rFonts w:ascii="Verdana" w:hAnsi="Verdana"/>
          <w:sz w:val="12"/>
          <w:szCs w:val="12"/>
        </w:rPr>
        <w:t>las</w:t>
      </w:r>
      <w:r w:rsidRPr="009209DF">
        <w:rPr>
          <w:rFonts w:ascii="Verdana" w:hAnsi="Verdana"/>
          <w:spacing w:val="-7"/>
          <w:sz w:val="12"/>
          <w:szCs w:val="12"/>
        </w:rPr>
        <w:t xml:space="preserve"> </w:t>
      </w:r>
      <w:r w:rsidRPr="009209DF">
        <w:rPr>
          <w:rFonts w:ascii="Verdana" w:hAnsi="Verdana"/>
          <w:sz w:val="12"/>
          <w:szCs w:val="12"/>
        </w:rPr>
        <w:t>Empresas</w:t>
      </w:r>
      <w:r w:rsidRPr="009209DF">
        <w:rPr>
          <w:rFonts w:ascii="Verdana" w:hAnsi="Verdana"/>
          <w:spacing w:val="-7"/>
          <w:sz w:val="12"/>
          <w:szCs w:val="12"/>
        </w:rPr>
        <w:t xml:space="preserve"> </w:t>
      </w:r>
      <w:r w:rsidRPr="009209DF">
        <w:rPr>
          <w:rFonts w:ascii="Verdana" w:hAnsi="Verdana"/>
          <w:sz w:val="12"/>
          <w:szCs w:val="12"/>
        </w:rPr>
        <w:t>Industriales</w:t>
      </w:r>
      <w:r w:rsidRPr="009209DF">
        <w:rPr>
          <w:rFonts w:ascii="Verdana" w:hAnsi="Verdana"/>
          <w:spacing w:val="-7"/>
          <w:sz w:val="12"/>
          <w:szCs w:val="12"/>
        </w:rPr>
        <w:t xml:space="preserve"> </w:t>
      </w:r>
      <w:r w:rsidRPr="009209DF">
        <w:rPr>
          <w:rFonts w:ascii="Verdana" w:hAnsi="Verdana"/>
          <w:sz w:val="12"/>
          <w:szCs w:val="12"/>
        </w:rPr>
        <w:t>y</w:t>
      </w:r>
      <w:r w:rsidRPr="009209DF">
        <w:rPr>
          <w:rFonts w:ascii="Verdana" w:hAnsi="Verdana"/>
          <w:spacing w:val="-8"/>
          <w:sz w:val="12"/>
          <w:szCs w:val="12"/>
        </w:rPr>
        <w:t xml:space="preserve"> </w:t>
      </w:r>
      <w:r w:rsidRPr="009209DF">
        <w:rPr>
          <w:rFonts w:ascii="Verdana" w:hAnsi="Verdana"/>
          <w:sz w:val="12"/>
          <w:szCs w:val="12"/>
        </w:rPr>
        <w:t>Comerciales</w:t>
      </w:r>
      <w:r w:rsidRPr="009209DF">
        <w:rPr>
          <w:rFonts w:ascii="Verdana" w:hAnsi="Verdana"/>
          <w:spacing w:val="-7"/>
          <w:sz w:val="12"/>
          <w:szCs w:val="12"/>
        </w:rPr>
        <w:t xml:space="preserve"> </w:t>
      </w:r>
      <w:r w:rsidRPr="009209DF">
        <w:rPr>
          <w:rFonts w:ascii="Verdana" w:hAnsi="Verdana"/>
          <w:sz w:val="12"/>
          <w:szCs w:val="12"/>
        </w:rPr>
        <w:t>Estatales y de las Sociedades de Economía Mixta, con excepción de los contratos que a título enunciativo identifica el artículo</w:t>
      </w:r>
      <w:r w:rsidRPr="009209DF">
        <w:rPr>
          <w:rFonts w:ascii="Verdana" w:hAnsi="Verdana"/>
          <w:spacing w:val="-15"/>
          <w:sz w:val="12"/>
          <w:szCs w:val="12"/>
        </w:rPr>
        <w:t xml:space="preserve"> </w:t>
      </w:r>
      <w:r w:rsidRPr="009209DF">
        <w:rPr>
          <w:rFonts w:ascii="Verdana" w:hAnsi="Verdana"/>
          <w:sz w:val="12"/>
          <w:szCs w:val="12"/>
        </w:rPr>
        <w:t>32</w:t>
      </w:r>
      <w:r w:rsidRPr="009209DF">
        <w:rPr>
          <w:rFonts w:ascii="Verdana" w:hAnsi="Verdana"/>
          <w:spacing w:val="-14"/>
          <w:sz w:val="12"/>
          <w:szCs w:val="12"/>
        </w:rPr>
        <w:t xml:space="preserve"> </w:t>
      </w:r>
      <w:r w:rsidRPr="009209DF">
        <w:rPr>
          <w:rFonts w:ascii="Verdana" w:hAnsi="Verdana"/>
          <w:sz w:val="12"/>
          <w:szCs w:val="12"/>
        </w:rPr>
        <w:t>de</w:t>
      </w:r>
      <w:r w:rsidRPr="009209DF">
        <w:rPr>
          <w:rFonts w:ascii="Verdana" w:hAnsi="Verdana"/>
          <w:spacing w:val="-14"/>
          <w:sz w:val="12"/>
          <w:szCs w:val="12"/>
        </w:rPr>
        <w:t xml:space="preserve"> </w:t>
      </w:r>
      <w:r w:rsidRPr="009209DF">
        <w:rPr>
          <w:rFonts w:ascii="Verdana" w:hAnsi="Verdana"/>
          <w:sz w:val="12"/>
          <w:szCs w:val="12"/>
        </w:rPr>
        <w:t>la</w:t>
      </w:r>
      <w:r w:rsidRPr="009209DF">
        <w:rPr>
          <w:rFonts w:ascii="Verdana" w:hAnsi="Verdana"/>
          <w:spacing w:val="-14"/>
          <w:sz w:val="12"/>
          <w:szCs w:val="12"/>
        </w:rPr>
        <w:t xml:space="preserve"> </w:t>
      </w:r>
      <w:r w:rsidRPr="009209DF">
        <w:rPr>
          <w:rFonts w:ascii="Verdana" w:hAnsi="Verdana"/>
          <w:sz w:val="12"/>
          <w:szCs w:val="12"/>
        </w:rPr>
        <w:t>Ley</w:t>
      </w:r>
      <w:r w:rsidRPr="009209DF">
        <w:rPr>
          <w:rFonts w:ascii="Verdana" w:hAnsi="Verdana"/>
          <w:spacing w:val="-14"/>
          <w:sz w:val="12"/>
          <w:szCs w:val="12"/>
        </w:rPr>
        <w:t xml:space="preserve"> </w:t>
      </w:r>
      <w:r w:rsidRPr="009209DF">
        <w:rPr>
          <w:rFonts w:ascii="Verdana" w:hAnsi="Verdana"/>
          <w:sz w:val="12"/>
          <w:szCs w:val="12"/>
        </w:rPr>
        <w:t>80</w:t>
      </w:r>
      <w:r w:rsidRPr="009209DF">
        <w:rPr>
          <w:rFonts w:ascii="Verdana" w:hAnsi="Verdana"/>
          <w:spacing w:val="-14"/>
          <w:sz w:val="12"/>
          <w:szCs w:val="12"/>
        </w:rPr>
        <w:t xml:space="preserve"> </w:t>
      </w:r>
      <w:r w:rsidRPr="009209DF">
        <w:rPr>
          <w:rFonts w:ascii="Verdana" w:hAnsi="Verdana"/>
          <w:sz w:val="12"/>
          <w:szCs w:val="12"/>
        </w:rPr>
        <w:t>de</w:t>
      </w:r>
      <w:r w:rsidRPr="009209DF">
        <w:rPr>
          <w:rFonts w:ascii="Verdana" w:hAnsi="Verdana"/>
          <w:spacing w:val="-14"/>
          <w:sz w:val="12"/>
          <w:szCs w:val="12"/>
        </w:rPr>
        <w:t xml:space="preserve"> </w:t>
      </w:r>
      <w:r w:rsidRPr="009209DF">
        <w:rPr>
          <w:rFonts w:ascii="Verdana" w:hAnsi="Verdana"/>
          <w:sz w:val="12"/>
          <w:szCs w:val="12"/>
        </w:rPr>
        <w:t>1993</w:t>
      </w:r>
      <w:r w:rsidRPr="009209DF">
        <w:rPr>
          <w:rFonts w:ascii="Verdana" w:hAnsi="Verdana"/>
          <w:spacing w:val="-14"/>
          <w:sz w:val="12"/>
          <w:szCs w:val="12"/>
        </w:rPr>
        <w:t xml:space="preserve"> </w:t>
      </w:r>
      <w:r w:rsidRPr="009209DF">
        <w:rPr>
          <w:rFonts w:ascii="Verdana" w:hAnsi="Verdana"/>
          <w:sz w:val="12"/>
          <w:szCs w:val="12"/>
        </w:rPr>
        <w:t>[obra,</w:t>
      </w:r>
      <w:r w:rsidRPr="009209DF">
        <w:rPr>
          <w:rFonts w:ascii="Verdana" w:hAnsi="Verdana"/>
          <w:spacing w:val="-14"/>
          <w:sz w:val="12"/>
          <w:szCs w:val="12"/>
        </w:rPr>
        <w:t xml:space="preserve"> </w:t>
      </w:r>
      <w:r w:rsidRPr="009209DF">
        <w:rPr>
          <w:rFonts w:ascii="Verdana" w:hAnsi="Verdana"/>
          <w:sz w:val="12"/>
          <w:szCs w:val="12"/>
        </w:rPr>
        <w:t>concesión,</w:t>
      </w:r>
      <w:r w:rsidRPr="009209DF">
        <w:rPr>
          <w:rFonts w:ascii="Verdana" w:hAnsi="Verdana"/>
          <w:spacing w:val="-14"/>
          <w:sz w:val="12"/>
          <w:szCs w:val="12"/>
        </w:rPr>
        <w:t xml:space="preserve"> </w:t>
      </w:r>
      <w:r w:rsidRPr="009209DF">
        <w:rPr>
          <w:rFonts w:ascii="Verdana" w:hAnsi="Verdana"/>
          <w:sz w:val="12"/>
          <w:szCs w:val="12"/>
        </w:rPr>
        <w:t>prestación</w:t>
      </w:r>
      <w:r w:rsidRPr="009209DF">
        <w:rPr>
          <w:rFonts w:ascii="Verdana" w:hAnsi="Verdana"/>
          <w:spacing w:val="-14"/>
          <w:sz w:val="12"/>
          <w:szCs w:val="12"/>
        </w:rPr>
        <w:t xml:space="preserve"> </w:t>
      </w:r>
      <w:r w:rsidRPr="009209DF">
        <w:rPr>
          <w:rFonts w:ascii="Verdana" w:hAnsi="Verdana"/>
          <w:sz w:val="12"/>
          <w:szCs w:val="12"/>
        </w:rPr>
        <w:t>de</w:t>
      </w:r>
      <w:r w:rsidRPr="009209DF">
        <w:rPr>
          <w:rFonts w:ascii="Verdana" w:hAnsi="Verdana"/>
          <w:spacing w:val="-14"/>
          <w:sz w:val="12"/>
          <w:szCs w:val="12"/>
        </w:rPr>
        <w:t xml:space="preserve"> </w:t>
      </w:r>
      <w:r w:rsidRPr="009209DF">
        <w:rPr>
          <w:rFonts w:ascii="Verdana" w:hAnsi="Verdana"/>
          <w:sz w:val="12"/>
          <w:szCs w:val="12"/>
        </w:rPr>
        <w:t>servicios,</w:t>
      </w:r>
      <w:r w:rsidRPr="009209DF">
        <w:rPr>
          <w:rFonts w:ascii="Verdana" w:hAnsi="Verdana"/>
          <w:spacing w:val="-14"/>
          <w:sz w:val="12"/>
          <w:szCs w:val="12"/>
        </w:rPr>
        <w:t xml:space="preserve"> </w:t>
      </w:r>
      <w:r w:rsidRPr="009209DF">
        <w:rPr>
          <w:rFonts w:ascii="Verdana" w:hAnsi="Verdana"/>
          <w:sz w:val="12"/>
          <w:szCs w:val="12"/>
        </w:rPr>
        <w:t>consultoría,</w:t>
      </w:r>
      <w:r w:rsidRPr="009209DF">
        <w:rPr>
          <w:rFonts w:ascii="Verdana" w:hAnsi="Verdana"/>
          <w:spacing w:val="-14"/>
          <w:sz w:val="12"/>
          <w:szCs w:val="12"/>
        </w:rPr>
        <w:t xml:space="preserve"> </w:t>
      </w:r>
      <w:r w:rsidRPr="009209DF">
        <w:rPr>
          <w:rFonts w:ascii="Verdana" w:hAnsi="Verdana"/>
          <w:sz w:val="12"/>
          <w:szCs w:val="12"/>
        </w:rPr>
        <w:t>fiducia</w:t>
      </w:r>
      <w:r w:rsidRPr="009209DF">
        <w:rPr>
          <w:rFonts w:ascii="Verdana" w:hAnsi="Verdana"/>
          <w:spacing w:val="-14"/>
          <w:sz w:val="12"/>
          <w:szCs w:val="12"/>
        </w:rPr>
        <w:t xml:space="preserve"> </w:t>
      </w:r>
      <w:r w:rsidRPr="009209DF">
        <w:rPr>
          <w:rFonts w:ascii="Verdana" w:hAnsi="Verdana"/>
          <w:sz w:val="12"/>
          <w:szCs w:val="12"/>
        </w:rPr>
        <w:t>pública]”.</w:t>
      </w:r>
      <w:r w:rsidRPr="009209DF">
        <w:rPr>
          <w:rFonts w:ascii="Verdana" w:hAnsi="Verdana"/>
          <w:spacing w:val="-15"/>
          <w:sz w:val="12"/>
          <w:szCs w:val="12"/>
        </w:rPr>
        <w:t xml:space="preserve"> </w:t>
      </w:r>
      <w:r w:rsidRPr="009209DF">
        <w:rPr>
          <w:rFonts w:ascii="Verdana" w:hAnsi="Verdana"/>
          <w:sz w:val="12"/>
          <w:szCs w:val="12"/>
        </w:rPr>
        <w:t>g)</w:t>
      </w:r>
      <w:r w:rsidRPr="009209DF">
        <w:rPr>
          <w:rFonts w:ascii="Verdana" w:hAnsi="Verdana"/>
          <w:spacing w:val="23"/>
          <w:sz w:val="12"/>
          <w:szCs w:val="12"/>
        </w:rPr>
        <w:t xml:space="preserve"> </w:t>
      </w:r>
      <w:r w:rsidRPr="009209DF">
        <w:rPr>
          <w:rFonts w:ascii="Verdana" w:hAnsi="Verdana"/>
          <w:sz w:val="12"/>
          <w:szCs w:val="12"/>
        </w:rPr>
        <w:t>Los actos y contratos que tengan por objeto directo las actividades comerciales e industriales propias de las Empresas Industriales y Comerciales Estatales y de las Sociedades de Economía Mixta, con excepción de los contratos</w:t>
      </w:r>
      <w:r w:rsidRPr="009209DF">
        <w:rPr>
          <w:rFonts w:ascii="Verdana" w:hAnsi="Verdana"/>
          <w:spacing w:val="-6"/>
          <w:sz w:val="12"/>
          <w:szCs w:val="12"/>
        </w:rPr>
        <w:t xml:space="preserve"> </w:t>
      </w:r>
      <w:r w:rsidRPr="009209DF">
        <w:rPr>
          <w:rFonts w:ascii="Verdana" w:hAnsi="Verdana"/>
          <w:sz w:val="12"/>
          <w:szCs w:val="12"/>
        </w:rPr>
        <w:t>que</w:t>
      </w:r>
      <w:r w:rsidRPr="009209DF">
        <w:rPr>
          <w:rFonts w:ascii="Verdana" w:hAnsi="Verdana"/>
          <w:spacing w:val="-7"/>
          <w:sz w:val="12"/>
          <w:szCs w:val="12"/>
        </w:rPr>
        <w:t xml:space="preserve"> </w:t>
      </w:r>
      <w:r w:rsidRPr="009209DF">
        <w:rPr>
          <w:rFonts w:ascii="Verdana" w:hAnsi="Verdana"/>
          <w:sz w:val="12"/>
          <w:szCs w:val="12"/>
        </w:rPr>
        <w:t>a</w:t>
      </w:r>
      <w:r w:rsidRPr="009209DF">
        <w:rPr>
          <w:rFonts w:ascii="Verdana" w:hAnsi="Verdana"/>
          <w:spacing w:val="-3"/>
          <w:sz w:val="12"/>
          <w:szCs w:val="12"/>
        </w:rPr>
        <w:t xml:space="preserve"> </w:t>
      </w:r>
      <w:r w:rsidRPr="009209DF">
        <w:rPr>
          <w:rFonts w:ascii="Verdana" w:hAnsi="Verdana"/>
          <w:sz w:val="12"/>
          <w:szCs w:val="12"/>
        </w:rPr>
        <w:t>título</w:t>
      </w:r>
      <w:r w:rsidRPr="009209DF">
        <w:rPr>
          <w:rFonts w:ascii="Verdana" w:hAnsi="Verdana"/>
          <w:spacing w:val="-9"/>
          <w:sz w:val="12"/>
          <w:szCs w:val="12"/>
        </w:rPr>
        <w:t xml:space="preserve"> </w:t>
      </w:r>
      <w:r w:rsidRPr="009209DF">
        <w:rPr>
          <w:rFonts w:ascii="Verdana" w:hAnsi="Verdana"/>
          <w:sz w:val="12"/>
          <w:szCs w:val="12"/>
        </w:rPr>
        <w:t>enunciativo</w:t>
      </w:r>
      <w:r w:rsidRPr="009209DF">
        <w:rPr>
          <w:rFonts w:ascii="Verdana" w:hAnsi="Verdana"/>
          <w:spacing w:val="-9"/>
          <w:sz w:val="12"/>
          <w:szCs w:val="12"/>
        </w:rPr>
        <w:t xml:space="preserve"> </w:t>
      </w:r>
      <w:r w:rsidRPr="009209DF">
        <w:rPr>
          <w:rFonts w:ascii="Verdana" w:hAnsi="Verdana"/>
          <w:sz w:val="12"/>
          <w:szCs w:val="12"/>
        </w:rPr>
        <w:t>identifica</w:t>
      </w:r>
      <w:r w:rsidRPr="009209DF">
        <w:rPr>
          <w:rFonts w:ascii="Verdana" w:hAnsi="Verdana"/>
          <w:spacing w:val="-8"/>
          <w:sz w:val="12"/>
          <w:szCs w:val="12"/>
        </w:rPr>
        <w:t xml:space="preserve"> </w:t>
      </w:r>
      <w:r w:rsidRPr="009209DF">
        <w:rPr>
          <w:rFonts w:ascii="Verdana" w:hAnsi="Verdana"/>
          <w:sz w:val="12"/>
          <w:szCs w:val="12"/>
        </w:rPr>
        <w:t>el</w:t>
      </w:r>
      <w:r w:rsidRPr="009209DF">
        <w:rPr>
          <w:rFonts w:ascii="Verdana" w:hAnsi="Verdana"/>
          <w:spacing w:val="-1"/>
          <w:sz w:val="12"/>
          <w:szCs w:val="12"/>
        </w:rPr>
        <w:t xml:space="preserve"> </w:t>
      </w:r>
      <w:r w:rsidRPr="009209DF">
        <w:rPr>
          <w:rFonts w:ascii="Verdana" w:hAnsi="Verdana"/>
          <w:sz w:val="12"/>
          <w:szCs w:val="12"/>
        </w:rPr>
        <w:t>artículo</w:t>
      </w:r>
      <w:r w:rsidRPr="009209DF">
        <w:rPr>
          <w:rFonts w:ascii="Verdana" w:hAnsi="Verdana"/>
          <w:spacing w:val="-9"/>
          <w:sz w:val="12"/>
          <w:szCs w:val="12"/>
        </w:rPr>
        <w:t xml:space="preserve"> </w:t>
      </w:r>
      <w:r w:rsidRPr="009209DF">
        <w:rPr>
          <w:rFonts w:ascii="Verdana" w:hAnsi="Verdana"/>
          <w:sz w:val="12"/>
          <w:szCs w:val="12"/>
        </w:rPr>
        <w:t>32</w:t>
      </w:r>
      <w:r w:rsidRPr="009209DF">
        <w:rPr>
          <w:rFonts w:ascii="Verdana" w:hAnsi="Verdana"/>
          <w:spacing w:val="-4"/>
          <w:sz w:val="12"/>
          <w:szCs w:val="12"/>
        </w:rPr>
        <w:t xml:space="preserve"> </w:t>
      </w:r>
      <w:r w:rsidRPr="009209DF">
        <w:rPr>
          <w:rFonts w:ascii="Verdana" w:hAnsi="Verdana"/>
          <w:sz w:val="12"/>
          <w:szCs w:val="12"/>
        </w:rPr>
        <w:t>de</w:t>
      </w:r>
      <w:r w:rsidRPr="009209DF">
        <w:rPr>
          <w:rFonts w:ascii="Verdana" w:hAnsi="Verdana"/>
          <w:spacing w:val="-7"/>
          <w:sz w:val="12"/>
          <w:szCs w:val="12"/>
        </w:rPr>
        <w:t xml:space="preserve"> </w:t>
      </w:r>
      <w:r w:rsidRPr="009209DF">
        <w:rPr>
          <w:rFonts w:ascii="Verdana" w:hAnsi="Verdana"/>
          <w:sz w:val="12"/>
          <w:szCs w:val="12"/>
        </w:rPr>
        <w:t>la Ley</w:t>
      </w:r>
      <w:r w:rsidRPr="009209DF">
        <w:rPr>
          <w:rFonts w:ascii="Verdana" w:hAnsi="Verdana"/>
          <w:spacing w:val="-7"/>
          <w:sz w:val="12"/>
          <w:szCs w:val="12"/>
        </w:rPr>
        <w:t xml:space="preserve"> </w:t>
      </w:r>
      <w:r w:rsidRPr="009209DF">
        <w:rPr>
          <w:rFonts w:ascii="Verdana" w:hAnsi="Verdana"/>
          <w:sz w:val="12"/>
          <w:szCs w:val="12"/>
        </w:rPr>
        <w:t>80</w:t>
      </w:r>
      <w:r w:rsidRPr="009209DF">
        <w:rPr>
          <w:rFonts w:ascii="Verdana" w:hAnsi="Verdana"/>
          <w:spacing w:val="-4"/>
          <w:sz w:val="12"/>
          <w:szCs w:val="12"/>
        </w:rPr>
        <w:t xml:space="preserve"> </w:t>
      </w:r>
      <w:r w:rsidRPr="009209DF">
        <w:rPr>
          <w:rFonts w:ascii="Verdana" w:hAnsi="Verdana"/>
          <w:sz w:val="12"/>
          <w:szCs w:val="12"/>
        </w:rPr>
        <w:t>de</w:t>
      </w:r>
      <w:r w:rsidRPr="009209DF">
        <w:rPr>
          <w:rFonts w:ascii="Verdana" w:hAnsi="Verdana"/>
          <w:spacing w:val="-2"/>
          <w:sz w:val="12"/>
          <w:szCs w:val="12"/>
        </w:rPr>
        <w:t xml:space="preserve"> </w:t>
      </w:r>
      <w:r w:rsidRPr="009209DF">
        <w:rPr>
          <w:rFonts w:ascii="Verdana" w:hAnsi="Verdana"/>
          <w:sz w:val="12"/>
          <w:szCs w:val="12"/>
        </w:rPr>
        <w:t>1993.</w:t>
      </w:r>
      <w:bookmarkEnd w:id="4"/>
    </w:p>
  </w:footnote>
  <w:footnote w:id="15">
    <w:p w14:paraId="39CA86A5" w14:textId="77777777" w:rsidR="00354F23" w:rsidRPr="009209DF" w:rsidRDefault="00354F23" w:rsidP="00354F23">
      <w:pPr>
        <w:pStyle w:val="Textonotapie"/>
        <w:ind w:right="49" w:firstLine="709"/>
        <w:contextualSpacing/>
        <w:jc w:val="both"/>
        <w:rPr>
          <w:rFonts w:ascii="Verdana" w:hAnsi="Verdana"/>
          <w:sz w:val="12"/>
          <w:szCs w:val="12"/>
        </w:rPr>
      </w:pPr>
      <w:r w:rsidRPr="009209DF">
        <w:rPr>
          <w:rStyle w:val="Refdenotaalpie"/>
          <w:rFonts w:ascii="Verdana" w:hAnsi="Verdana"/>
          <w:sz w:val="12"/>
          <w:szCs w:val="12"/>
        </w:rPr>
        <w:footnoteRef/>
      </w:r>
      <w:r w:rsidRPr="009209DF">
        <w:rPr>
          <w:rFonts w:ascii="Verdana" w:hAnsi="Verdana"/>
          <w:sz w:val="12"/>
          <w:szCs w:val="12"/>
        </w:rPr>
        <w:t xml:space="preserve"> El artículo</w:t>
      </w:r>
      <w:r w:rsidRPr="009209DF">
        <w:rPr>
          <w:rFonts w:ascii="Verdana" w:hAnsi="Verdana"/>
          <w:spacing w:val="-2"/>
          <w:sz w:val="12"/>
          <w:szCs w:val="12"/>
        </w:rPr>
        <w:t xml:space="preserve"> </w:t>
      </w:r>
      <w:r w:rsidRPr="009209DF">
        <w:rPr>
          <w:rFonts w:ascii="Verdana" w:hAnsi="Verdana"/>
          <w:sz w:val="12"/>
          <w:szCs w:val="12"/>
        </w:rPr>
        <w:t>14</w:t>
      </w:r>
      <w:r w:rsidRPr="009209DF">
        <w:rPr>
          <w:rFonts w:ascii="Verdana" w:hAnsi="Verdana"/>
          <w:spacing w:val="-2"/>
          <w:sz w:val="12"/>
          <w:szCs w:val="12"/>
        </w:rPr>
        <w:t xml:space="preserve"> </w:t>
      </w:r>
      <w:r w:rsidRPr="009209DF">
        <w:rPr>
          <w:rFonts w:ascii="Verdana" w:hAnsi="Verdana"/>
          <w:sz w:val="12"/>
          <w:szCs w:val="12"/>
        </w:rPr>
        <w:t>original de la</w:t>
      </w:r>
      <w:r w:rsidRPr="009209DF">
        <w:rPr>
          <w:rFonts w:ascii="Verdana" w:hAnsi="Verdana"/>
          <w:spacing w:val="-1"/>
          <w:sz w:val="12"/>
          <w:szCs w:val="12"/>
        </w:rPr>
        <w:t xml:space="preserve"> </w:t>
      </w:r>
      <w:r w:rsidRPr="009209DF">
        <w:rPr>
          <w:rFonts w:ascii="Verdana" w:hAnsi="Verdana"/>
          <w:sz w:val="12"/>
          <w:szCs w:val="12"/>
        </w:rPr>
        <w:t>Ley 1150</w:t>
      </w:r>
      <w:r w:rsidRPr="009209DF">
        <w:rPr>
          <w:rFonts w:ascii="Verdana" w:hAnsi="Verdana"/>
          <w:spacing w:val="-2"/>
          <w:sz w:val="12"/>
          <w:szCs w:val="12"/>
        </w:rPr>
        <w:t xml:space="preserve"> </w:t>
      </w:r>
      <w:r w:rsidRPr="009209DF">
        <w:rPr>
          <w:rFonts w:ascii="Verdana" w:hAnsi="Verdana"/>
          <w:sz w:val="12"/>
          <w:szCs w:val="12"/>
        </w:rPr>
        <w:t>de 2007</w:t>
      </w:r>
      <w:r w:rsidRPr="009209DF">
        <w:rPr>
          <w:rFonts w:ascii="Verdana" w:hAnsi="Verdana"/>
          <w:spacing w:val="-2"/>
          <w:sz w:val="12"/>
          <w:szCs w:val="12"/>
        </w:rPr>
        <w:t xml:space="preserve"> </w:t>
      </w:r>
      <w:r w:rsidRPr="009209DF">
        <w:rPr>
          <w:rFonts w:ascii="Verdana" w:hAnsi="Verdana"/>
          <w:sz w:val="12"/>
          <w:szCs w:val="12"/>
        </w:rPr>
        <w:t>excluía</w:t>
      </w:r>
      <w:r w:rsidRPr="009209DF">
        <w:rPr>
          <w:rFonts w:ascii="Verdana" w:hAnsi="Verdana"/>
          <w:spacing w:val="-1"/>
          <w:sz w:val="12"/>
          <w:szCs w:val="12"/>
        </w:rPr>
        <w:t xml:space="preserve"> </w:t>
      </w:r>
      <w:r w:rsidRPr="009209DF">
        <w:rPr>
          <w:rFonts w:ascii="Verdana" w:hAnsi="Verdana"/>
          <w:sz w:val="12"/>
          <w:szCs w:val="12"/>
        </w:rPr>
        <w:t>además aquellas cuya</w:t>
      </w:r>
      <w:r w:rsidRPr="009209DF">
        <w:rPr>
          <w:rFonts w:ascii="Verdana" w:hAnsi="Verdana"/>
          <w:spacing w:val="-1"/>
          <w:sz w:val="12"/>
          <w:szCs w:val="12"/>
        </w:rPr>
        <w:t xml:space="preserve"> </w:t>
      </w:r>
      <w:r w:rsidRPr="009209DF">
        <w:rPr>
          <w:rFonts w:ascii="Verdana" w:hAnsi="Verdana"/>
          <w:sz w:val="12"/>
          <w:szCs w:val="12"/>
        </w:rPr>
        <w:t>actividad</w:t>
      </w:r>
      <w:r w:rsidRPr="009209DF">
        <w:rPr>
          <w:rFonts w:ascii="Verdana" w:hAnsi="Verdana"/>
          <w:spacing w:val="-5"/>
          <w:sz w:val="12"/>
          <w:szCs w:val="12"/>
        </w:rPr>
        <w:t xml:space="preserve"> </w:t>
      </w:r>
      <w:r w:rsidRPr="009209DF">
        <w:rPr>
          <w:rFonts w:ascii="Verdana" w:hAnsi="Verdana"/>
          <w:sz w:val="12"/>
          <w:szCs w:val="12"/>
        </w:rPr>
        <w:t>se realizaba en</w:t>
      </w:r>
      <w:r w:rsidRPr="009209DF">
        <w:rPr>
          <w:rFonts w:ascii="Verdana" w:hAnsi="Verdana"/>
          <w:spacing w:val="-6"/>
          <w:sz w:val="12"/>
          <w:szCs w:val="12"/>
        </w:rPr>
        <w:t xml:space="preserve"> </w:t>
      </w:r>
      <w:r w:rsidRPr="009209DF">
        <w:rPr>
          <w:rFonts w:ascii="Verdana" w:hAnsi="Verdana"/>
          <w:sz w:val="12"/>
          <w:szCs w:val="12"/>
        </w:rPr>
        <w:t>“mercados</w:t>
      </w:r>
      <w:r w:rsidRPr="009209DF">
        <w:rPr>
          <w:rFonts w:ascii="Verdana" w:hAnsi="Verdana"/>
          <w:spacing w:val="-3"/>
          <w:sz w:val="12"/>
          <w:szCs w:val="12"/>
        </w:rPr>
        <w:t xml:space="preserve"> </w:t>
      </w:r>
      <w:r w:rsidRPr="009209DF">
        <w:rPr>
          <w:rFonts w:ascii="Verdana" w:hAnsi="Verdana"/>
          <w:sz w:val="12"/>
          <w:szCs w:val="12"/>
        </w:rPr>
        <w:t>monopolísticos”,</w:t>
      </w:r>
      <w:r w:rsidRPr="009209DF">
        <w:rPr>
          <w:rFonts w:ascii="Verdana" w:hAnsi="Verdana"/>
          <w:spacing w:val="-2"/>
          <w:sz w:val="12"/>
          <w:szCs w:val="12"/>
        </w:rPr>
        <w:t xml:space="preserve"> </w:t>
      </w:r>
      <w:r w:rsidRPr="009209DF">
        <w:rPr>
          <w:rFonts w:ascii="Verdana" w:hAnsi="Verdana"/>
          <w:sz w:val="12"/>
          <w:szCs w:val="12"/>
        </w:rPr>
        <w:t>pero,</w:t>
      </w:r>
      <w:r w:rsidRPr="009209DF">
        <w:rPr>
          <w:rFonts w:ascii="Verdana" w:hAnsi="Verdana"/>
          <w:spacing w:val="-2"/>
          <w:sz w:val="12"/>
          <w:szCs w:val="12"/>
        </w:rPr>
        <w:t xml:space="preserve"> </w:t>
      </w:r>
      <w:r w:rsidRPr="009209DF">
        <w:rPr>
          <w:rFonts w:ascii="Verdana" w:hAnsi="Verdana"/>
          <w:sz w:val="12"/>
          <w:szCs w:val="12"/>
        </w:rPr>
        <w:t>con</w:t>
      </w:r>
      <w:r w:rsidRPr="009209DF">
        <w:rPr>
          <w:rFonts w:ascii="Verdana" w:hAnsi="Verdana"/>
          <w:spacing w:val="-5"/>
          <w:sz w:val="12"/>
          <w:szCs w:val="12"/>
        </w:rPr>
        <w:t xml:space="preserve"> </w:t>
      </w:r>
      <w:r w:rsidRPr="009209DF">
        <w:rPr>
          <w:rFonts w:ascii="Verdana" w:hAnsi="Verdana"/>
          <w:sz w:val="12"/>
          <w:szCs w:val="12"/>
        </w:rPr>
        <w:t>buen</w:t>
      </w:r>
      <w:r w:rsidRPr="009209DF">
        <w:rPr>
          <w:rFonts w:ascii="Verdana" w:hAnsi="Verdana"/>
          <w:spacing w:val="-6"/>
          <w:sz w:val="12"/>
          <w:szCs w:val="12"/>
        </w:rPr>
        <w:t xml:space="preserve"> </w:t>
      </w:r>
      <w:r w:rsidRPr="009209DF">
        <w:rPr>
          <w:rFonts w:ascii="Verdana" w:hAnsi="Verdana"/>
          <w:sz w:val="12"/>
          <w:szCs w:val="12"/>
        </w:rPr>
        <w:t>tino,</w:t>
      </w:r>
      <w:r w:rsidRPr="009209DF">
        <w:rPr>
          <w:rFonts w:ascii="Verdana" w:hAnsi="Verdana"/>
          <w:spacing w:val="-2"/>
          <w:sz w:val="12"/>
          <w:szCs w:val="12"/>
        </w:rPr>
        <w:t xml:space="preserve"> </w:t>
      </w:r>
      <w:r w:rsidRPr="009209DF">
        <w:rPr>
          <w:rFonts w:ascii="Verdana" w:hAnsi="Verdana"/>
          <w:sz w:val="12"/>
          <w:szCs w:val="12"/>
        </w:rPr>
        <w:t>se</w:t>
      </w:r>
      <w:r w:rsidRPr="009209DF">
        <w:rPr>
          <w:rFonts w:ascii="Verdana" w:hAnsi="Verdana"/>
          <w:spacing w:val="-4"/>
          <w:sz w:val="12"/>
          <w:szCs w:val="12"/>
        </w:rPr>
        <w:t xml:space="preserve"> </w:t>
      </w:r>
      <w:r w:rsidRPr="009209DF">
        <w:rPr>
          <w:rFonts w:ascii="Verdana" w:hAnsi="Verdana"/>
          <w:sz w:val="12"/>
          <w:szCs w:val="12"/>
        </w:rPr>
        <w:t>eliminó</w:t>
      </w:r>
      <w:r w:rsidRPr="009209DF">
        <w:rPr>
          <w:rFonts w:ascii="Verdana" w:hAnsi="Verdana"/>
          <w:spacing w:val="-6"/>
          <w:sz w:val="12"/>
          <w:szCs w:val="12"/>
        </w:rPr>
        <w:t xml:space="preserve"> </w:t>
      </w:r>
      <w:r w:rsidRPr="009209DF">
        <w:rPr>
          <w:rFonts w:ascii="Verdana" w:hAnsi="Verdana"/>
          <w:sz w:val="12"/>
          <w:szCs w:val="12"/>
        </w:rPr>
        <w:t>en</w:t>
      </w:r>
      <w:r w:rsidRPr="009209DF">
        <w:rPr>
          <w:rFonts w:ascii="Verdana" w:hAnsi="Verdana"/>
          <w:spacing w:val="-6"/>
          <w:sz w:val="12"/>
          <w:szCs w:val="12"/>
        </w:rPr>
        <w:t xml:space="preserve"> </w:t>
      </w:r>
      <w:r w:rsidRPr="009209DF">
        <w:rPr>
          <w:rFonts w:ascii="Verdana" w:hAnsi="Verdana"/>
          <w:sz w:val="12"/>
          <w:szCs w:val="12"/>
        </w:rPr>
        <w:t>el</w:t>
      </w:r>
      <w:r w:rsidRPr="009209DF">
        <w:rPr>
          <w:rFonts w:ascii="Verdana" w:hAnsi="Verdana"/>
          <w:spacing w:val="-3"/>
          <w:sz w:val="12"/>
          <w:szCs w:val="12"/>
        </w:rPr>
        <w:t xml:space="preserve"> </w:t>
      </w:r>
      <w:r w:rsidRPr="009209DF">
        <w:rPr>
          <w:rFonts w:ascii="Verdana" w:hAnsi="Verdana"/>
          <w:sz w:val="12"/>
          <w:szCs w:val="12"/>
        </w:rPr>
        <w:t>artículo</w:t>
      </w:r>
      <w:r w:rsidRPr="009209DF">
        <w:rPr>
          <w:rFonts w:ascii="Verdana" w:hAnsi="Verdana"/>
          <w:spacing w:val="-6"/>
          <w:sz w:val="12"/>
          <w:szCs w:val="12"/>
        </w:rPr>
        <w:t xml:space="preserve"> </w:t>
      </w:r>
      <w:r w:rsidRPr="009209DF">
        <w:rPr>
          <w:rFonts w:ascii="Verdana" w:hAnsi="Verdana"/>
          <w:sz w:val="12"/>
          <w:szCs w:val="12"/>
        </w:rPr>
        <w:t>93</w:t>
      </w:r>
      <w:r w:rsidRPr="009209DF">
        <w:rPr>
          <w:rFonts w:ascii="Verdana" w:hAnsi="Verdana"/>
          <w:spacing w:val="-6"/>
          <w:sz w:val="12"/>
          <w:szCs w:val="12"/>
        </w:rPr>
        <w:t xml:space="preserve"> </w:t>
      </w:r>
      <w:r w:rsidRPr="009209DF">
        <w:rPr>
          <w:rFonts w:ascii="Verdana" w:hAnsi="Verdana"/>
          <w:sz w:val="12"/>
          <w:szCs w:val="12"/>
        </w:rPr>
        <w:t>de</w:t>
      </w:r>
      <w:r w:rsidRPr="009209DF">
        <w:rPr>
          <w:rFonts w:ascii="Verdana" w:hAnsi="Verdana"/>
          <w:spacing w:val="-4"/>
          <w:sz w:val="12"/>
          <w:szCs w:val="12"/>
        </w:rPr>
        <w:t xml:space="preserve"> </w:t>
      </w:r>
      <w:r w:rsidRPr="009209DF">
        <w:rPr>
          <w:rFonts w:ascii="Verdana" w:hAnsi="Verdana"/>
          <w:sz w:val="12"/>
          <w:szCs w:val="12"/>
        </w:rPr>
        <w:t>la</w:t>
      </w:r>
      <w:r w:rsidRPr="009209DF">
        <w:rPr>
          <w:rFonts w:ascii="Verdana" w:hAnsi="Verdana"/>
          <w:spacing w:val="-5"/>
          <w:sz w:val="12"/>
          <w:szCs w:val="12"/>
        </w:rPr>
        <w:t xml:space="preserve"> </w:t>
      </w:r>
      <w:r w:rsidRPr="009209DF">
        <w:rPr>
          <w:rFonts w:ascii="Verdana" w:hAnsi="Verdana"/>
          <w:sz w:val="12"/>
          <w:szCs w:val="12"/>
        </w:rPr>
        <w:t>Ley</w:t>
      </w:r>
      <w:r w:rsidRPr="009209DF">
        <w:rPr>
          <w:rFonts w:ascii="Verdana" w:hAnsi="Verdana"/>
          <w:spacing w:val="-4"/>
          <w:sz w:val="12"/>
          <w:szCs w:val="12"/>
        </w:rPr>
        <w:t xml:space="preserve"> </w:t>
      </w:r>
      <w:r w:rsidRPr="009209DF">
        <w:rPr>
          <w:rFonts w:ascii="Verdana" w:hAnsi="Verdana"/>
          <w:sz w:val="12"/>
          <w:szCs w:val="12"/>
        </w:rPr>
        <w:t>1474</w:t>
      </w:r>
      <w:r w:rsidRPr="009209DF">
        <w:rPr>
          <w:rFonts w:ascii="Verdana" w:hAnsi="Verdana"/>
          <w:spacing w:val="-6"/>
          <w:sz w:val="12"/>
          <w:szCs w:val="12"/>
        </w:rPr>
        <w:t xml:space="preserve"> </w:t>
      </w:r>
      <w:r w:rsidRPr="009209DF">
        <w:rPr>
          <w:rFonts w:ascii="Verdana" w:hAnsi="Verdana"/>
          <w:sz w:val="12"/>
          <w:szCs w:val="12"/>
        </w:rPr>
        <w:t>de</w:t>
      </w:r>
      <w:r w:rsidRPr="009209DF">
        <w:rPr>
          <w:rFonts w:ascii="Verdana" w:hAnsi="Verdana"/>
          <w:spacing w:val="-4"/>
          <w:sz w:val="12"/>
          <w:szCs w:val="12"/>
        </w:rPr>
        <w:t xml:space="preserve"> </w:t>
      </w:r>
      <w:r w:rsidRPr="009209DF">
        <w:rPr>
          <w:rFonts w:ascii="Verdana" w:hAnsi="Verdana"/>
          <w:sz w:val="12"/>
          <w:szCs w:val="12"/>
        </w:rPr>
        <w:t>2011,</w:t>
      </w:r>
      <w:r w:rsidRPr="009209DF">
        <w:rPr>
          <w:rFonts w:ascii="Verdana" w:hAnsi="Verdana"/>
          <w:spacing w:val="-2"/>
          <w:sz w:val="12"/>
          <w:szCs w:val="12"/>
        </w:rPr>
        <w:t xml:space="preserve"> </w:t>
      </w:r>
      <w:r w:rsidRPr="009209DF">
        <w:rPr>
          <w:rFonts w:ascii="Verdana" w:hAnsi="Verdana"/>
          <w:sz w:val="12"/>
          <w:szCs w:val="12"/>
        </w:rPr>
        <w:t>pues en ese caso no se está en presencia de los fundamentos que soportan la excepción de no aplicar el Estatuto General de Contratación de la Administración Pública, cual es la “competencia y el libre juego del mercado”.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06F3D9D"/>
    <w:multiLevelType w:val="hybridMultilevel"/>
    <w:tmpl w:val="919A48DE"/>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B42567"/>
    <w:multiLevelType w:val="hybridMultilevel"/>
    <w:tmpl w:val="1B70E156"/>
    <w:lvl w:ilvl="0" w:tplc="240A0001">
      <w:start w:val="1"/>
      <w:numFmt w:val="bullet"/>
      <w:lvlText w:val=""/>
      <w:lvlJc w:val="left"/>
      <w:pPr>
        <w:ind w:left="1689" w:hanging="360"/>
      </w:pPr>
      <w:rPr>
        <w:rFonts w:ascii="Symbol" w:hAnsi="Symbol"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4" w15:restartNumberingAfterBreak="0">
    <w:nsid w:val="0A4B097F"/>
    <w:multiLevelType w:val="hybridMultilevel"/>
    <w:tmpl w:val="EB70E66E"/>
    <w:lvl w:ilvl="0" w:tplc="5CAEE186">
      <w:numFmt w:val="bullet"/>
      <w:lvlText w:val="•"/>
      <w:lvlJc w:val="left"/>
      <w:pPr>
        <w:ind w:left="2628" w:hanging="690"/>
      </w:pPr>
      <w:rPr>
        <w:rFonts w:ascii="Verdana" w:eastAsia="Verdana" w:hAnsi="Verdana" w:cs="Verdana"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5" w15:restartNumberingAfterBreak="0">
    <w:nsid w:val="0CB05B44"/>
    <w:multiLevelType w:val="hybridMultilevel"/>
    <w:tmpl w:val="167ABCFA"/>
    <w:lvl w:ilvl="0" w:tplc="5CAEE186">
      <w:numFmt w:val="bullet"/>
      <w:lvlText w:val="•"/>
      <w:lvlJc w:val="left"/>
      <w:pPr>
        <w:ind w:left="2628" w:hanging="690"/>
      </w:pPr>
      <w:rPr>
        <w:rFonts w:ascii="Verdana" w:eastAsia="Verdana" w:hAnsi="Verdana" w:cs="Verdana"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6" w15:restartNumberingAfterBreak="0">
    <w:nsid w:val="12423303"/>
    <w:multiLevelType w:val="hybridMultilevel"/>
    <w:tmpl w:val="A0E8673A"/>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0162D4C"/>
    <w:multiLevelType w:val="hybridMultilevel"/>
    <w:tmpl w:val="83F8338C"/>
    <w:lvl w:ilvl="0" w:tplc="5CAEE186">
      <w:numFmt w:val="bullet"/>
      <w:lvlText w:val="•"/>
      <w:lvlJc w:val="left"/>
      <w:pPr>
        <w:ind w:left="1659" w:hanging="690"/>
      </w:pPr>
      <w:rPr>
        <w:rFonts w:ascii="Verdana" w:eastAsia="Verdana" w:hAnsi="Verdana" w:cs="Verdana" w:hint="default"/>
      </w:rPr>
    </w:lvl>
    <w:lvl w:ilvl="1" w:tplc="240A0003" w:tentative="1">
      <w:start w:val="1"/>
      <w:numFmt w:val="bullet"/>
      <w:lvlText w:val="o"/>
      <w:lvlJc w:val="left"/>
      <w:pPr>
        <w:ind w:left="2049" w:hanging="360"/>
      </w:pPr>
      <w:rPr>
        <w:rFonts w:ascii="Courier New" w:hAnsi="Courier New" w:cs="Courier New" w:hint="default"/>
      </w:rPr>
    </w:lvl>
    <w:lvl w:ilvl="2" w:tplc="240A0005" w:tentative="1">
      <w:start w:val="1"/>
      <w:numFmt w:val="bullet"/>
      <w:lvlText w:val=""/>
      <w:lvlJc w:val="left"/>
      <w:pPr>
        <w:ind w:left="2769" w:hanging="360"/>
      </w:pPr>
      <w:rPr>
        <w:rFonts w:ascii="Wingdings" w:hAnsi="Wingdings" w:hint="default"/>
      </w:rPr>
    </w:lvl>
    <w:lvl w:ilvl="3" w:tplc="240A0001" w:tentative="1">
      <w:start w:val="1"/>
      <w:numFmt w:val="bullet"/>
      <w:lvlText w:val=""/>
      <w:lvlJc w:val="left"/>
      <w:pPr>
        <w:ind w:left="3489" w:hanging="360"/>
      </w:pPr>
      <w:rPr>
        <w:rFonts w:ascii="Symbol" w:hAnsi="Symbol" w:hint="default"/>
      </w:rPr>
    </w:lvl>
    <w:lvl w:ilvl="4" w:tplc="240A0003" w:tentative="1">
      <w:start w:val="1"/>
      <w:numFmt w:val="bullet"/>
      <w:lvlText w:val="o"/>
      <w:lvlJc w:val="left"/>
      <w:pPr>
        <w:ind w:left="4209" w:hanging="360"/>
      </w:pPr>
      <w:rPr>
        <w:rFonts w:ascii="Courier New" w:hAnsi="Courier New" w:cs="Courier New" w:hint="default"/>
      </w:rPr>
    </w:lvl>
    <w:lvl w:ilvl="5" w:tplc="240A0005" w:tentative="1">
      <w:start w:val="1"/>
      <w:numFmt w:val="bullet"/>
      <w:lvlText w:val=""/>
      <w:lvlJc w:val="left"/>
      <w:pPr>
        <w:ind w:left="4929" w:hanging="360"/>
      </w:pPr>
      <w:rPr>
        <w:rFonts w:ascii="Wingdings" w:hAnsi="Wingdings" w:hint="default"/>
      </w:rPr>
    </w:lvl>
    <w:lvl w:ilvl="6" w:tplc="240A0001" w:tentative="1">
      <w:start w:val="1"/>
      <w:numFmt w:val="bullet"/>
      <w:lvlText w:val=""/>
      <w:lvlJc w:val="left"/>
      <w:pPr>
        <w:ind w:left="5649" w:hanging="360"/>
      </w:pPr>
      <w:rPr>
        <w:rFonts w:ascii="Symbol" w:hAnsi="Symbol" w:hint="default"/>
      </w:rPr>
    </w:lvl>
    <w:lvl w:ilvl="7" w:tplc="240A0003" w:tentative="1">
      <w:start w:val="1"/>
      <w:numFmt w:val="bullet"/>
      <w:lvlText w:val="o"/>
      <w:lvlJc w:val="left"/>
      <w:pPr>
        <w:ind w:left="6369" w:hanging="360"/>
      </w:pPr>
      <w:rPr>
        <w:rFonts w:ascii="Courier New" w:hAnsi="Courier New" w:cs="Courier New" w:hint="default"/>
      </w:rPr>
    </w:lvl>
    <w:lvl w:ilvl="8" w:tplc="240A0005" w:tentative="1">
      <w:start w:val="1"/>
      <w:numFmt w:val="bullet"/>
      <w:lvlText w:val=""/>
      <w:lvlJc w:val="left"/>
      <w:pPr>
        <w:ind w:left="7089"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AE1A10"/>
    <w:multiLevelType w:val="multilevel"/>
    <w:tmpl w:val="3FB44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707D28"/>
    <w:multiLevelType w:val="hybridMultilevel"/>
    <w:tmpl w:val="72A20974"/>
    <w:lvl w:ilvl="0" w:tplc="240A0001">
      <w:start w:val="1"/>
      <w:numFmt w:val="bullet"/>
      <w:lvlText w:val=""/>
      <w:lvlJc w:val="left"/>
      <w:pPr>
        <w:ind w:left="1689" w:hanging="360"/>
      </w:pPr>
      <w:rPr>
        <w:rFonts w:ascii="Symbol" w:hAnsi="Symbol"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9605B1"/>
    <w:multiLevelType w:val="multilevel"/>
    <w:tmpl w:val="0AC0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D45AD"/>
    <w:multiLevelType w:val="multilevel"/>
    <w:tmpl w:val="93F0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FF0212F"/>
    <w:multiLevelType w:val="hybridMultilevel"/>
    <w:tmpl w:val="949CB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6EF0A76"/>
    <w:multiLevelType w:val="hybridMultilevel"/>
    <w:tmpl w:val="2820CCFE"/>
    <w:lvl w:ilvl="0" w:tplc="5CAEE186">
      <w:numFmt w:val="bullet"/>
      <w:lvlText w:val="•"/>
      <w:lvlJc w:val="left"/>
      <w:pPr>
        <w:ind w:left="1659" w:hanging="690"/>
      </w:pPr>
      <w:rPr>
        <w:rFonts w:ascii="Verdana" w:eastAsia="Verdana" w:hAnsi="Verdana" w:cs="Verdan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6003283C"/>
    <w:multiLevelType w:val="multilevel"/>
    <w:tmpl w:val="69823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654F6C"/>
    <w:multiLevelType w:val="multilevel"/>
    <w:tmpl w:val="3BA22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0B06F78"/>
    <w:multiLevelType w:val="hybridMultilevel"/>
    <w:tmpl w:val="4AAAD28E"/>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FC3243A"/>
    <w:multiLevelType w:val="hybridMultilevel"/>
    <w:tmpl w:val="FD2897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026640692">
    <w:abstractNumId w:val="12"/>
  </w:num>
  <w:num w:numId="2" w16cid:durableId="1478105723">
    <w:abstractNumId w:val="2"/>
  </w:num>
  <w:num w:numId="3" w16cid:durableId="1028723215">
    <w:abstractNumId w:val="10"/>
  </w:num>
  <w:num w:numId="4" w16cid:durableId="16640462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9681181">
    <w:abstractNumId w:val="2"/>
  </w:num>
  <w:num w:numId="6" w16cid:durableId="611009863">
    <w:abstractNumId w:val="26"/>
  </w:num>
  <w:num w:numId="7" w16cid:durableId="1419061257">
    <w:abstractNumId w:val="11"/>
  </w:num>
  <w:num w:numId="8" w16cid:durableId="16472728">
    <w:abstractNumId w:val="25"/>
  </w:num>
  <w:num w:numId="9" w16cid:durableId="1117410604">
    <w:abstractNumId w:val="13"/>
  </w:num>
  <w:num w:numId="10" w16cid:durableId="1418214542">
    <w:abstractNumId w:val="24"/>
  </w:num>
  <w:num w:numId="11" w16cid:durableId="345138392">
    <w:abstractNumId w:val="15"/>
  </w:num>
  <w:num w:numId="12" w16cid:durableId="104428796">
    <w:abstractNumId w:val="1"/>
  </w:num>
  <w:num w:numId="13" w16cid:durableId="579756273">
    <w:abstractNumId w:val="8"/>
  </w:num>
  <w:num w:numId="14" w16cid:durableId="806822238">
    <w:abstractNumId w:val="28"/>
  </w:num>
  <w:num w:numId="15" w16cid:durableId="1869444163">
    <w:abstractNumId w:val="23"/>
  </w:num>
  <w:num w:numId="16" w16cid:durableId="1897617933">
    <w:abstractNumId w:val="21"/>
  </w:num>
  <w:num w:numId="17" w16cid:durableId="7801076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57456159">
    <w:abstractNumId w:val="19"/>
  </w:num>
  <w:num w:numId="19" w16cid:durableId="1039670042">
    <w:abstractNumId w:val="6"/>
  </w:num>
  <w:num w:numId="20" w16cid:durableId="1937012974">
    <w:abstractNumId w:val="29"/>
  </w:num>
  <w:num w:numId="21" w16cid:durableId="655381042">
    <w:abstractNumId w:val="17"/>
  </w:num>
  <w:num w:numId="22" w16cid:durableId="2137987000">
    <w:abstractNumId w:val="27"/>
  </w:num>
  <w:num w:numId="23" w16cid:durableId="484929909">
    <w:abstractNumId w:val="22"/>
  </w:num>
  <w:num w:numId="24" w16cid:durableId="2120685554">
    <w:abstractNumId w:val="16"/>
  </w:num>
  <w:num w:numId="25" w16cid:durableId="543105150">
    <w:abstractNumId w:val="14"/>
  </w:num>
  <w:num w:numId="26" w16cid:durableId="1843398221">
    <w:abstractNumId w:val="7"/>
  </w:num>
  <w:num w:numId="27" w16cid:durableId="252276685">
    <w:abstractNumId w:val="5"/>
  </w:num>
  <w:num w:numId="28" w16cid:durableId="538710214">
    <w:abstractNumId w:val="4"/>
  </w:num>
  <w:num w:numId="29" w16cid:durableId="1646927466">
    <w:abstractNumId w:val="20"/>
  </w:num>
  <w:num w:numId="30" w16cid:durableId="668870868">
    <w:abstractNumId w:val="3"/>
  </w:num>
  <w:num w:numId="31" w16cid:durableId="1386635206">
    <w:abstractNumId w:val="30"/>
  </w:num>
  <w:num w:numId="32" w16cid:durableId="1804808448">
    <w:abstractNumId w:val="0"/>
  </w:num>
  <w:num w:numId="33" w16cid:durableId="13494037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6B8"/>
    <w:rsid w:val="00004676"/>
    <w:rsid w:val="000066F9"/>
    <w:rsid w:val="000069A6"/>
    <w:rsid w:val="00016F78"/>
    <w:rsid w:val="00023E44"/>
    <w:rsid w:val="00027D5D"/>
    <w:rsid w:val="000343C3"/>
    <w:rsid w:val="000366D8"/>
    <w:rsid w:val="00041DFF"/>
    <w:rsid w:val="00046945"/>
    <w:rsid w:val="00052579"/>
    <w:rsid w:val="00061B2A"/>
    <w:rsid w:val="00065D1C"/>
    <w:rsid w:val="0008037F"/>
    <w:rsid w:val="00082362"/>
    <w:rsid w:val="00091776"/>
    <w:rsid w:val="00093AD3"/>
    <w:rsid w:val="00095416"/>
    <w:rsid w:val="000A1AC3"/>
    <w:rsid w:val="000A2BE9"/>
    <w:rsid w:val="000A4F6E"/>
    <w:rsid w:val="000A683E"/>
    <w:rsid w:val="000B19B9"/>
    <w:rsid w:val="000B613C"/>
    <w:rsid w:val="000C2CD1"/>
    <w:rsid w:val="000C5A80"/>
    <w:rsid w:val="000C69EB"/>
    <w:rsid w:val="000D0334"/>
    <w:rsid w:val="000D5CF4"/>
    <w:rsid w:val="000D5DA7"/>
    <w:rsid w:val="000E7DFD"/>
    <w:rsid w:val="000F22AB"/>
    <w:rsid w:val="000F6486"/>
    <w:rsid w:val="00100098"/>
    <w:rsid w:val="00102570"/>
    <w:rsid w:val="001033A3"/>
    <w:rsid w:val="00112BAD"/>
    <w:rsid w:val="00116940"/>
    <w:rsid w:val="00125105"/>
    <w:rsid w:val="00127233"/>
    <w:rsid w:val="0013276B"/>
    <w:rsid w:val="0013717A"/>
    <w:rsid w:val="00141F5B"/>
    <w:rsid w:val="001465D8"/>
    <w:rsid w:val="001560EB"/>
    <w:rsid w:val="0015699B"/>
    <w:rsid w:val="001656B2"/>
    <w:rsid w:val="00174E80"/>
    <w:rsid w:val="0017648D"/>
    <w:rsid w:val="00181338"/>
    <w:rsid w:val="00186248"/>
    <w:rsid w:val="001914F9"/>
    <w:rsid w:val="001A1CD0"/>
    <w:rsid w:val="001A33BF"/>
    <w:rsid w:val="001A6452"/>
    <w:rsid w:val="001B0CE4"/>
    <w:rsid w:val="001B3B0F"/>
    <w:rsid w:val="001B4E8B"/>
    <w:rsid w:val="001C2D63"/>
    <w:rsid w:val="001C3E21"/>
    <w:rsid w:val="001C5E34"/>
    <w:rsid w:val="001D2839"/>
    <w:rsid w:val="001D656E"/>
    <w:rsid w:val="001E02C1"/>
    <w:rsid w:val="001E4177"/>
    <w:rsid w:val="001E50DD"/>
    <w:rsid w:val="001F0640"/>
    <w:rsid w:val="001F0B24"/>
    <w:rsid w:val="001F150B"/>
    <w:rsid w:val="001F36F6"/>
    <w:rsid w:val="001F5F26"/>
    <w:rsid w:val="001F7DC6"/>
    <w:rsid w:val="00201C35"/>
    <w:rsid w:val="002040FE"/>
    <w:rsid w:val="0022400B"/>
    <w:rsid w:val="00224D58"/>
    <w:rsid w:val="002266B0"/>
    <w:rsid w:val="0023130C"/>
    <w:rsid w:val="00240314"/>
    <w:rsid w:val="002421BB"/>
    <w:rsid w:val="002502E2"/>
    <w:rsid w:val="002521F3"/>
    <w:rsid w:val="00254992"/>
    <w:rsid w:val="002549C5"/>
    <w:rsid w:val="0025796E"/>
    <w:rsid w:val="0026160C"/>
    <w:rsid w:val="002707A2"/>
    <w:rsid w:val="00270FCF"/>
    <w:rsid w:val="002712A7"/>
    <w:rsid w:val="0027428A"/>
    <w:rsid w:val="00277728"/>
    <w:rsid w:val="002951A0"/>
    <w:rsid w:val="002962BC"/>
    <w:rsid w:val="002A093D"/>
    <w:rsid w:val="002A0DD0"/>
    <w:rsid w:val="002A1DD0"/>
    <w:rsid w:val="002A24D8"/>
    <w:rsid w:val="002A49AC"/>
    <w:rsid w:val="002A64FD"/>
    <w:rsid w:val="002B1A97"/>
    <w:rsid w:val="002B40F3"/>
    <w:rsid w:val="002C7A84"/>
    <w:rsid w:val="002E2BF8"/>
    <w:rsid w:val="002E4A3C"/>
    <w:rsid w:val="002E4FD9"/>
    <w:rsid w:val="002E5068"/>
    <w:rsid w:val="002E548C"/>
    <w:rsid w:val="002F3E0F"/>
    <w:rsid w:val="003054A4"/>
    <w:rsid w:val="00305ECA"/>
    <w:rsid w:val="0030657A"/>
    <w:rsid w:val="00312749"/>
    <w:rsid w:val="003209F3"/>
    <w:rsid w:val="00322A85"/>
    <w:rsid w:val="00324168"/>
    <w:rsid w:val="00326446"/>
    <w:rsid w:val="00330834"/>
    <w:rsid w:val="00335DB5"/>
    <w:rsid w:val="00340048"/>
    <w:rsid w:val="00340CF2"/>
    <w:rsid w:val="0034103D"/>
    <w:rsid w:val="00341B99"/>
    <w:rsid w:val="003448F4"/>
    <w:rsid w:val="00347EDA"/>
    <w:rsid w:val="003531BA"/>
    <w:rsid w:val="00354F23"/>
    <w:rsid w:val="003552C5"/>
    <w:rsid w:val="00355C6C"/>
    <w:rsid w:val="00360CD8"/>
    <w:rsid w:val="003639FE"/>
    <w:rsid w:val="00365661"/>
    <w:rsid w:val="00374F5E"/>
    <w:rsid w:val="00376239"/>
    <w:rsid w:val="00377E3E"/>
    <w:rsid w:val="0038063A"/>
    <w:rsid w:val="00383A9A"/>
    <w:rsid w:val="00385603"/>
    <w:rsid w:val="003954EE"/>
    <w:rsid w:val="003A39AE"/>
    <w:rsid w:val="003A7055"/>
    <w:rsid w:val="003A779E"/>
    <w:rsid w:val="003B2C0E"/>
    <w:rsid w:val="003B66E3"/>
    <w:rsid w:val="003C2D8A"/>
    <w:rsid w:val="003D0F4D"/>
    <w:rsid w:val="003D1691"/>
    <w:rsid w:val="003D5B0D"/>
    <w:rsid w:val="003E0499"/>
    <w:rsid w:val="003E1D3A"/>
    <w:rsid w:val="003E48DE"/>
    <w:rsid w:val="003E4F80"/>
    <w:rsid w:val="003E6439"/>
    <w:rsid w:val="003E74E9"/>
    <w:rsid w:val="003F3941"/>
    <w:rsid w:val="003F3B39"/>
    <w:rsid w:val="003F582F"/>
    <w:rsid w:val="00406575"/>
    <w:rsid w:val="0040764E"/>
    <w:rsid w:val="00411148"/>
    <w:rsid w:val="00412BCE"/>
    <w:rsid w:val="00413BA2"/>
    <w:rsid w:val="004143A5"/>
    <w:rsid w:val="00414C1C"/>
    <w:rsid w:val="00414C74"/>
    <w:rsid w:val="00416FE5"/>
    <w:rsid w:val="00420F07"/>
    <w:rsid w:val="0042722E"/>
    <w:rsid w:val="0043220E"/>
    <w:rsid w:val="0044528D"/>
    <w:rsid w:val="00447F86"/>
    <w:rsid w:val="004525CA"/>
    <w:rsid w:val="004613DA"/>
    <w:rsid w:val="00463F6D"/>
    <w:rsid w:val="00465C86"/>
    <w:rsid w:val="00466E39"/>
    <w:rsid w:val="00473F19"/>
    <w:rsid w:val="004746EE"/>
    <w:rsid w:val="00474E3A"/>
    <w:rsid w:val="00487B41"/>
    <w:rsid w:val="004961C1"/>
    <w:rsid w:val="004968AD"/>
    <w:rsid w:val="004968BF"/>
    <w:rsid w:val="004A1847"/>
    <w:rsid w:val="004A1E87"/>
    <w:rsid w:val="004A305D"/>
    <w:rsid w:val="004A3492"/>
    <w:rsid w:val="004A5222"/>
    <w:rsid w:val="004A6272"/>
    <w:rsid w:val="004B11D6"/>
    <w:rsid w:val="004C477C"/>
    <w:rsid w:val="004D3A3B"/>
    <w:rsid w:val="004E5158"/>
    <w:rsid w:val="004F21C4"/>
    <w:rsid w:val="004F685F"/>
    <w:rsid w:val="005118DA"/>
    <w:rsid w:val="005222E8"/>
    <w:rsid w:val="00543D1E"/>
    <w:rsid w:val="005441E9"/>
    <w:rsid w:val="0054465F"/>
    <w:rsid w:val="005552C5"/>
    <w:rsid w:val="005566E8"/>
    <w:rsid w:val="005644FE"/>
    <w:rsid w:val="00570B17"/>
    <w:rsid w:val="00574867"/>
    <w:rsid w:val="00574CE2"/>
    <w:rsid w:val="00580884"/>
    <w:rsid w:val="00582ED8"/>
    <w:rsid w:val="00591460"/>
    <w:rsid w:val="005A65E0"/>
    <w:rsid w:val="005B2314"/>
    <w:rsid w:val="005C3777"/>
    <w:rsid w:val="005C426B"/>
    <w:rsid w:val="005C5CDC"/>
    <w:rsid w:val="005D476C"/>
    <w:rsid w:val="005D52B4"/>
    <w:rsid w:val="005E04A0"/>
    <w:rsid w:val="005E05E6"/>
    <w:rsid w:val="006006B8"/>
    <w:rsid w:val="00613D77"/>
    <w:rsid w:val="006200BF"/>
    <w:rsid w:val="006219F8"/>
    <w:rsid w:val="006220FC"/>
    <w:rsid w:val="006302F7"/>
    <w:rsid w:val="006340B4"/>
    <w:rsid w:val="0063415B"/>
    <w:rsid w:val="006359EC"/>
    <w:rsid w:val="00646B9F"/>
    <w:rsid w:val="006508B9"/>
    <w:rsid w:val="0066417C"/>
    <w:rsid w:val="00665D70"/>
    <w:rsid w:val="0067052E"/>
    <w:rsid w:val="00673DEE"/>
    <w:rsid w:val="00684680"/>
    <w:rsid w:val="00687E35"/>
    <w:rsid w:val="006900D9"/>
    <w:rsid w:val="00693491"/>
    <w:rsid w:val="00696696"/>
    <w:rsid w:val="006B3905"/>
    <w:rsid w:val="006B488F"/>
    <w:rsid w:val="006B5126"/>
    <w:rsid w:val="006C67C1"/>
    <w:rsid w:val="006D3DEC"/>
    <w:rsid w:val="006D514F"/>
    <w:rsid w:val="006D53A1"/>
    <w:rsid w:val="006D56DA"/>
    <w:rsid w:val="006E782D"/>
    <w:rsid w:val="006F0DBA"/>
    <w:rsid w:val="0070368D"/>
    <w:rsid w:val="00706C16"/>
    <w:rsid w:val="00723680"/>
    <w:rsid w:val="00730BA1"/>
    <w:rsid w:val="0073145D"/>
    <w:rsid w:val="007340C3"/>
    <w:rsid w:val="0073758A"/>
    <w:rsid w:val="00750001"/>
    <w:rsid w:val="0075160E"/>
    <w:rsid w:val="0075235A"/>
    <w:rsid w:val="00756841"/>
    <w:rsid w:val="007649AB"/>
    <w:rsid w:val="00771D0C"/>
    <w:rsid w:val="00773A10"/>
    <w:rsid w:val="007764B9"/>
    <w:rsid w:val="007833AC"/>
    <w:rsid w:val="00784347"/>
    <w:rsid w:val="00792082"/>
    <w:rsid w:val="007936FE"/>
    <w:rsid w:val="007A2303"/>
    <w:rsid w:val="007A46E8"/>
    <w:rsid w:val="007A559E"/>
    <w:rsid w:val="007A7EBE"/>
    <w:rsid w:val="007B268C"/>
    <w:rsid w:val="007B7171"/>
    <w:rsid w:val="007C0C0F"/>
    <w:rsid w:val="007C2E16"/>
    <w:rsid w:val="007C3140"/>
    <w:rsid w:val="007C3DC2"/>
    <w:rsid w:val="007D13EA"/>
    <w:rsid w:val="007E3612"/>
    <w:rsid w:val="007E3867"/>
    <w:rsid w:val="007E44C1"/>
    <w:rsid w:val="007E529C"/>
    <w:rsid w:val="007E5497"/>
    <w:rsid w:val="007E566E"/>
    <w:rsid w:val="007F5043"/>
    <w:rsid w:val="00800DA0"/>
    <w:rsid w:val="00806F5F"/>
    <w:rsid w:val="008102B0"/>
    <w:rsid w:val="00817FD2"/>
    <w:rsid w:val="00820278"/>
    <w:rsid w:val="0082370D"/>
    <w:rsid w:val="008258C9"/>
    <w:rsid w:val="00834C79"/>
    <w:rsid w:val="008373C4"/>
    <w:rsid w:val="0084177E"/>
    <w:rsid w:val="00843986"/>
    <w:rsid w:val="00844AE9"/>
    <w:rsid w:val="0085004B"/>
    <w:rsid w:val="00860C2E"/>
    <w:rsid w:val="00862EA8"/>
    <w:rsid w:val="008630F1"/>
    <w:rsid w:val="00867F95"/>
    <w:rsid w:val="00871C29"/>
    <w:rsid w:val="00880A5D"/>
    <w:rsid w:val="008843B6"/>
    <w:rsid w:val="00891928"/>
    <w:rsid w:val="008A446D"/>
    <w:rsid w:val="008B25F1"/>
    <w:rsid w:val="008D180B"/>
    <w:rsid w:val="008D5FBE"/>
    <w:rsid w:val="008D7D5B"/>
    <w:rsid w:val="008E16A6"/>
    <w:rsid w:val="008F0EA7"/>
    <w:rsid w:val="008F7091"/>
    <w:rsid w:val="00913D9F"/>
    <w:rsid w:val="00914EFA"/>
    <w:rsid w:val="00922037"/>
    <w:rsid w:val="00923EEF"/>
    <w:rsid w:val="00937C98"/>
    <w:rsid w:val="009419F9"/>
    <w:rsid w:val="0095685E"/>
    <w:rsid w:val="00956EF3"/>
    <w:rsid w:val="009607AA"/>
    <w:rsid w:val="00961B09"/>
    <w:rsid w:val="00962482"/>
    <w:rsid w:val="00965334"/>
    <w:rsid w:val="0097093E"/>
    <w:rsid w:val="00976C01"/>
    <w:rsid w:val="00982A57"/>
    <w:rsid w:val="00990856"/>
    <w:rsid w:val="00994553"/>
    <w:rsid w:val="009A0D4E"/>
    <w:rsid w:val="009A0DFA"/>
    <w:rsid w:val="009A11E1"/>
    <w:rsid w:val="009A132C"/>
    <w:rsid w:val="009A1C6F"/>
    <w:rsid w:val="009B2D26"/>
    <w:rsid w:val="009C29A2"/>
    <w:rsid w:val="009C43BF"/>
    <w:rsid w:val="009C4B23"/>
    <w:rsid w:val="009C71FA"/>
    <w:rsid w:val="009C72E7"/>
    <w:rsid w:val="009C7F7E"/>
    <w:rsid w:val="009D3058"/>
    <w:rsid w:val="009D72AD"/>
    <w:rsid w:val="009E0E7D"/>
    <w:rsid w:val="009F2742"/>
    <w:rsid w:val="009F3A13"/>
    <w:rsid w:val="00A00179"/>
    <w:rsid w:val="00A00536"/>
    <w:rsid w:val="00A040AC"/>
    <w:rsid w:val="00A122D3"/>
    <w:rsid w:val="00A14468"/>
    <w:rsid w:val="00A17F13"/>
    <w:rsid w:val="00A20739"/>
    <w:rsid w:val="00A23AF9"/>
    <w:rsid w:val="00A318E0"/>
    <w:rsid w:val="00A3282A"/>
    <w:rsid w:val="00A33C78"/>
    <w:rsid w:val="00A4554D"/>
    <w:rsid w:val="00A92740"/>
    <w:rsid w:val="00A95E2E"/>
    <w:rsid w:val="00A970B1"/>
    <w:rsid w:val="00AA0F1F"/>
    <w:rsid w:val="00AA62D5"/>
    <w:rsid w:val="00AB0ADB"/>
    <w:rsid w:val="00AB3615"/>
    <w:rsid w:val="00AD1A6D"/>
    <w:rsid w:val="00AD3E32"/>
    <w:rsid w:val="00AF49DD"/>
    <w:rsid w:val="00B00C0E"/>
    <w:rsid w:val="00B01564"/>
    <w:rsid w:val="00B01B1A"/>
    <w:rsid w:val="00B0381D"/>
    <w:rsid w:val="00B16B2D"/>
    <w:rsid w:val="00B221BD"/>
    <w:rsid w:val="00B24B63"/>
    <w:rsid w:val="00B36B1C"/>
    <w:rsid w:val="00B40993"/>
    <w:rsid w:val="00B44A47"/>
    <w:rsid w:val="00B61419"/>
    <w:rsid w:val="00B645E3"/>
    <w:rsid w:val="00B64D6F"/>
    <w:rsid w:val="00B72CD3"/>
    <w:rsid w:val="00B72FFF"/>
    <w:rsid w:val="00BB2195"/>
    <w:rsid w:val="00BB6B75"/>
    <w:rsid w:val="00BB7F27"/>
    <w:rsid w:val="00BC0088"/>
    <w:rsid w:val="00BC134F"/>
    <w:rsid w:val="00BC3A76"/>
    <w:rsid w:val="00BC3D36"/>
    <w:rsid w:val="00BC4A91"/>
    <w:rsid w:val="00BD54A6"/>
    <w:rsid w:val="00BD5636"/>
    <w:rsid w:val="00BD7F72"/>
    <w:rsid w:val="00BE33AF"/>
    <w:rsid w:val="00BF1C22"/>
    <w:rsid w:val="00BF2A2D"/>
    <w:rsid w:val="00BF7425"/>
    <w:rsid w:val="00C0067C"/>
    <w:rsid w:val="00C0319F"/>
    <w:rsid w:val="00C04FB3"/>
    <w:rsid w:val="00C11D8B"/>
    <w:rsid w:val="00C12328"/>
    <w:rsid w:val="00C126D1"/>
    <w:rsid w:val="00C15139"/>
    <w:rsid w:val="00C22053"/>
    <w:rsid w:val="00C27F50"/>
    <w:rsid w:val="00C303B7"/>
    <w:rsid w:val="00C330EB"/>
    <w:rsid w:val="00C33132"/>
    <w:rsid w:val="00C35675"/>
    <w:rsid w:val="00C46111"/>
    <w:rsid w:val="00C50D69"/>
    <w:rsid w:val="00C51608"/>
    <w:rsid w:val="00C519F1"/>
    <w:rsid w:val="00C5249A"/>
    <w:rsid w:val="00C5365C"/>
    <w:rsid w:val="00C605B9"/>
    <w:rsid w:val="00C63AD1"/>
    <w:rsid w:val="00C73644"/>
    <w:rsid w:val="00C754BE"/>
    <w:rsid w:val="00C76B1C"/>
    <w:rsid w:val="00C82EDC"/>
    <w:rsid w:val="00C91A83"/>
    <w:rsid w:val="00C91B74"/>
    <w:rsid w:val="00C925AC"/>
    <w:rsid w:val="00C92653"/>
    <w:rsid w:val="00C93642"/>
    <w:rsid w:val="00C944ED"/>
    <w:rsid w:val="00CA01F1"/>
    <w:rsid w:val="00CB0F11"/>
    <w:rsid w:val="00CB456B"/>
    <w:rsid w:val="00CB6357"/>
    <w:rsid w:val="00CC1B26"/>
    <w:rsid w:val="00CC3304"/>
    <w:rsid w:val="00CC5B88"/>
    <w:rsid w:val="00D01C8D"/>
    <w:rsid w:val="00D02BE2"/>
    <w:rsid w:val="00D07D54"/>
    <w:rsid w:val="00D16619"/>
    <w:rsid w:val="00D25875"/>
    <w:rsid w:val="00D274B4"/>
    <w:rsid w:val="00D361FD"/>
    <w:rsid w:val="00D37FFC"/>
    <w:rsid w:val="00D423A2"/>
    <w:rsid w:val="00D44E26"/>
    <w:rsid w:val="00D520D8"/>
    <w:rsid w:val="00D61F15"/>
    <w:rsid w:val="00D63AC2"/>
    <w:rsid w:val="00D71AEE"/>
    <w:rsid w:val="00D7383B"/>
    <w:rsid w:val="00D76451"/>
    <w:rsid w:val="00D7788A"/>
    <w:rsid w:val="00D86DF5"/>
    <w:rsid w:val="00D8706F"/>
    <w:rsid w:val="00DA231B"/>
    <w:rsid w:val="00DA3F89"/>
    <w:rsid w:val="00DA7694"/>
    <w:rsid w:val="00DB77D3"/>
    <w:rsid w:val="00DC39FC"/>
    <w:rsid w:val="00DC4AA7"/>
    <w:rsid w:val="00DC5938"/>
    <w:rsid w:val="00DD21F8"/>
    <w:rsid w:val="00DD28BD"/>
    <w:rsid w:val="00DD5BCE"/>
    <w:rsid w:val="00DF2679"/>
    <w:rsid w:val="00DF5254"/>
    <w:rsid w:val="00E02524"/>
    <w:rsid w:val="00E037AD"/>
    <w:rsid w:val="00E04AE0"/>
    <w:rsid w:val="00E05E8E"/>
    <w:rsid w:val="00E06CD5"/>
    <w:rsid w:val="00E13C40"/>
    <w:rsid w:val="00E16408"/>
    <w:rsid w:val="00E16DA0"/>
    <w:rsid w:val="00E20894"/>
    <w:rsid w:val="00E245AB"/>
    <w:rsid w:val="00E2764C"/>
    <w:rsid w:val="00E27F2E"/>
    <w:rsid w:val="00E31297"/>
    <w:rsid w:val="00E32302"/>
    <w:rsid w:val="00E50AFE"/>
    <w:rsid w:val="00E532D2"/>
    <w:rsid w:val="00E547E5"/>
    <w:rsid w:val="00E72137"/>
    <w:rsid w:val="00E75C92"/>
    <w:rsid w:val="00E771DC"/>
    <w:rsid w:val="00E8772A"/>
    <w:rsid w:val="00E9036E"/>
    <w:rsid w:val="00E90F6B"/>
    <w:rsid w:val="00E91DE5"/>
    <w:rsid w:val="00E92C27"/>
    <w:rsid w:val="00E95644"/>
    <w:rsid w:val="00EA0CEA"/>
    <w:rsid w:val="00EA0E3D"/>
    <w:rsid w:val="00EA12E1"/>
    <w:rsid w:val="00EA43A3"/>
    <w:rsid w:val="00EA6D19"/>
    <w:rsid w:val="00EB1340"/>
    <w:rsid w:val="00EB1417"/>
    <w:rsid w:val="00EC283F"/>
    <w:rsid w:val="00EC38A7"/>
    <w:rsid w:val="00EC3AEC"/>
    <w:rsid w:val="00ED07DB"/>
    <w:rsid w:val="00EE1AA8"/>
    <w:rsid w:val="00EF18BF"/>
    <w:rsid w:val="00EF5564"/>
    <w:rsid w:val="00EF69B4"/>
    <w:rsid w:val="00F23FEA"/>
    <w:rsid w:val="00F26647"/>
    <w:rsid w:val="00F31EDC"/>
    <w:rsid w:val="00F35116"/>
    <w:rsid w:val="00F36D17"/>
    <w:rsid w:val="00F40C7E"/>
    <w:rsid w:val="00F462B3"/>
    <w:rsid w:val="00F46F46"/>
    <w:rsid w:val="00F479E6"/>
    <w:rsid w:val="00F537B3"/>
    <w:rsid w:val="00F53D3F"/>
    <w:rsid w:val="00F5664F"/>
    <w:rsid w:val="00F65714"/>
    <w:rsid w:val="00F666C4"/>
    <w:rsid w:val="00F746BF"/>
    <w:rsid w:val="00F76AFC"/>
    <w:rsid w:val="00F91324"/>
    <w:rsid w:val="00F91DC2"/>
    <w:rsid w:val="00F933DA"/>
    <w:rsid w:val="00FA47C0"/>
    <w:rsid w:val="00FA4AFA"/>
    <w:rsid w:val="00FB5DD1"/>
    <w:rsid w:val="00FC01A5"/>
    <w:rsid w:val="00FC2B5D"/>
    <w:rsid w:val="00FC5CAB"/>
    <w:rsid w:val="00FC7EDB"/>
    <w:rsid w:val="00FD4DA2"/>
    <w:rsid w:val="00FE03A0"/>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0A1DA5A-697C-41FA-B76F-5CBB25332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349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3492"/>
    <w:rPr>
      <w:rFonts w:ascii="Geomanist Light" w:hAnsi="Geomanist Light"/>
      <w:lang w:val="es-ES"/>
    </w:rPr>
  </w:style>
  <w:style w:type="paragraph" w:styleId="Textoindependiente">
    <w:name w:val="Body Text"/>
    <w:basedOn w:val="Normal"/>
    <w:link w:val="TextoindependienteCar"/>
    <w:uiPriority w:val="1"/>
    <w:qFormat/>
    <w:rsid w:val="004A3492"/>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4A3492"/>
    <w:rPr>
      <w:rFonts w:ascii="Verdana" w:eastAsia="Verdana" w:hAnsi="Verdana" w:cs="Verdana"/>
      <w:lang w:val="es-ES"/>
    </w:rPr>
  </w:style>
  <w:style w:type="character" w:customStyle="1" w:styleId="NormalWebCar">
    <w:name w:val="Normal (Web) Car"/>
    <w:link w:val="NormalWeb"/>
    <w:uiPriority w:val="99"/>
    <w:locked/>
    <w:rsid w:val="004A3492"/>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4A3492"/>
    <w:pPr>
      <w:spacing w:after="0" w:line="240" w:lineRule="auto"/>
    </w:pPr>
    <w:rPr>
      <w:sz w:val="20"/>
      <w:szCs w:val="20"/>
      <w:lang w:val="es-MX"/>
    </w:rPr>
  </w:style>
  <w:style w:type="paragraph" w:styleId="Sinespaciado">
    <w:name w:val="No Spacing"/>
    <w:uiPriority w:val="1"/>
    <w:qFormat/>
    <w:rsid w:val="009C43BF"/>
    <w:pPr>
      <w:spacing w:after="0" w:line="240" w:lineRule="auto"/>
    </w:pPr>
  </w:style>
  <w:style w:type="paragraph" w:styleId="Subttulo">
    <w:name w:val="Subtitle"/>
    <w:basedOn w:val="Normal"/>
    <w:next w:val="Normal"/>
    <w:link w:val="SubttuloCar"/>
    <w:uiPriority w:val="11"/>
    <w:qFormat/>
    <w:rsid w:val="0036566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65661"/>
    <w:rPr>
      <w:rFonts w:eastAsiaTheme="majorEastAsia" w:cstheme="majorBidi"/>
      <w:color w:val="595959" w:themeColor="text1" w:themeTint="A6"/>
      <w:spacing w:val="1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yurany.triana@elc.com.co" TargetMode="External"/><Relationship Id="rId18" Type="http://schemas.openxmlformats.org/officeDocument/2006/relationships/hyperlink" Target="https://www.colombiacompra.gov.co/normativa-y-relatoria/documentos-tip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settings" Target="settings.xml"/><Relationship Id="rId12" Type="http://schemas.openxmlformats.org/officeDocument/2006/relationships/hyperlink" Target="mailto:nicolas.forero@elc.com.co" TargetMode="External"/><Relationship Id="rId17" Type="http://schemas.openxmlformats.org/officeDocument/2006/relationships/hyperlink" Target="https://formacionvirtual.colombiacompra.gov.co/mod/page/view.php?id=371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fiscalia.gov.co/colombia/wp-content/uploads/Tomo-III.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329C79-609F-43DC-A8C0-CB1D5E2CA6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62954BF-B771-439B-9270-3523B73AA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5637</Words>
  <Characters>31007</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36571</CharactersWithSpaces>
  <SharedDoc>false</SharedDoc>
  <HLinks>
    <vt:vector size="60" baseType="variant">
      <vt:variant>
        <vt:i4>4456513</vt:i4>
      </vt:variant>
      <vt:variant>
        <vt:i4>27</vt:i4>
      </vt:variant>
      <vt:variant>
        <vt:i4>0</vt:i4>
      </vt:variant>
      <vt:variant>
        <vt:i4>5</vt:i4>
      </vt:variant>
      <vt:variant>
        <vt:lpwstr>https://forms.office.com/r/pPHyWVs2SZ</vt:lpwstr>
      </vt:variant>
      <vt:variant>
        <vt:lpwstr/>
      </vt:variant>
      <vt:variant>
        <vt:i4>3407926</vt:i4>
      </vt:variant>
      <vt:variant>
        <vt:i4>24</vt:i4>
      </vt:variant>
      <vt:variant>
        <vt:i4>0</vt:i4>
      </vt:variant>
      <vt:variant>
        <vt:i4>5</vt:i4>
      </vt:variant>
      <vt:variant>
        <vt:lpwstr>https://www.colombiacompra.gov.co/pqrsd/informacion-importante-antes-de-formular-una-pqrsd</vt:lpwstr>
      </vt:variant>
      <vt:variant>
        <vt:lpwstr/>
      </vt:variant>
      <vt:variant>
        <vt:i4>4980779</vt:i4>
      </vt:variant>
      <vt:variant>
        <vt:i4>21</vt:i4>
      </vt:variant>
      <vt:variant>
        <vt:i4>0</vt:i4>
      </vt:variant>
      <vt:variant>
        <vt:i4>5</vt:i4>
      </vt:variant>
      <vt:variant>
        <vt:lpwstr>mailto:ventanilladeradicacion@colombiacompra.gov.co</vt:lpwstr>
      </vt:variant>
      <vt:variant>
        <vt:lpwstr/>
      </vt: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1900622</vt:i4>
      </vt:variant>
      <vt:variant>
        <vt:i4>9</vt:i4>
      </vt:variant>
      <vt:variant>
        <vt:i4>0</vt:i4>
      </vt:variant>
      <vt:variant>
        <vt:i4>5</vt:i4>
      </vt:variant>
      <vt:variant>
        <vt:lpwstr>https://relatoria.colombiacompra.gov.co/</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6750292</vt:i4>
      </vt:variant>
      <vt:variant>
        <vt:i4>0</vt:i4>
      </vt:variant>
      <vt:variant>
        <vt:i4>0</vt:i4>
      </vt:variant>
      <vt:variant>
        <vt:i4>5</vt:i4>
      </vt:variant>
      <vt:variant>
        <vt:lpwstr>mailto:paucamicorrea@hotmail.es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2026-05-20T14:25:00Z</dcterms:created>
  <dcterms:modified xsi:type="dcterms:W3CDTF">2026-05-20T15:47:00Z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