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451271" w14:textId="77777777" w:rsidR="00090AEB" w:rsidRPr="00BC3C31" w:rsidRDefault="00090AEB" w:rsidP="001519C3">
      <w:pPr>
        <w:spacing w:after="0" w:line="240" w:lineRule="auto"/>
        <w:jc w:val="both"/>
        <w:rPr>
          <w:rFonts w:ascii="Verdana" w:eastAsia="Verdana" w:hAnsi="Verdana" w:cs="Verdana"/>
          <w:b/>
        </w:rPr>
      </w:pPr>
      <w:bookmarkStart w:id="0" w:name="_Hlk143780582"/>
      <w:r w:rsidRPr="00BC3C31">
        <w:rPr>
          <w:rFonts w:ascii="Verdana" w:eastAsia="Verdana" w:hAnsi="Verdana" w:cs="Verdana"/>
          <w:b/>
        </w:rPr>
        <w:t xml:space="preserve">LEY DE GARANTÍAS ELECTORALES </w:t>
      </w:r>
      <w:r w:rsidRPr="00BC3C31">
        <w:rPr>
          <w:rFonts w:ascii="Verdana" w:eastAsia="Verdana" w:hAnsi="Verdana" w:cs="Verdana"/>
          <w:b/>
          <w:bCs/>
        </w:rPr>
        <w:t>‒</w:t>
      </w:r>
      <w:r w:rsidRPr="00BC3C31">
        <w:rPr>
          <w:rFonts w:ascii="Verdana" w:eastAsia="Verdana" w:hAnsi="Verdana" w:cs="Verdana"/>
          <w:b/>
        </w:rPr>
        <w:t xml:space="preserve"> Finalidad </w:t>
      </w:r>
    </w:p>
    <w:p w14:paraId="5EE16BFD" w14:textId="77777777" w:rsidR="00090AEB" w:rsidRPr="00BC3C31" w:rsidRDefault="00090AEB" w:rsidP="001519C3">
      <w:pPr>
        <w:spacing w:after="0" w:line="240" w:lineRule="auto"/>
        <w:jc w:val="both"/>
        <w:rPr>
          <w:rFonts w:ascii="Verdana" w:eastAsia="Verdana" w:hAnsi="Verdana" w:cs="Verdana"/>
        </w:rPr>
      </w:pPr>
    </w:p>
    <w:p w14:paraId="08F8BB54" w14:textId="77777777" w:rsidR="00090AEB" w:rsidRPr="004F3465" w:rsidRDefault="00090AEB" w:rsidP="001519C3">
      <w:pPr>
        <w:spacing w:after="0" w:line="240" w:lineRule="auto"/>
        <w:jc w:val="both"/>
        <w:rPr>
          <w:rFonts w:ascii="Verdana" w:eastAsia="Verdana" w:hAnsi="Verdana" w:cs="Verdana"/>
          <w:sz w:val="20"/>
        </w:rPr>
      </w:pPr>
      <w:r w:rsidRPr="004F3465">
        <w:rPr>
          <w:rFonts w:ascii="Verdana" w:eastAsia="Verdana" w:hAnsi="Verdana" w:cs="Verdana"/>
          <w:sz w:val="20"/>
        </w:rPr>
        <w:t>En el mismo sentido</w:t>
      </w:r>
      <w:r w:rsidRPr="004F3465">
        <w:rPr>
          <w:rFonts w:ascii="Verdana" w:eastAsia="Verdana" w:hAnsi="Verdana" w:cs="Verdana"/>
          <w:sz w:val="20"/>
          <w:lang w:val="es-MX"/>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49374701" w14:textId="77777777" w:rsidR="00090AEB" w:rsidRDefault="00090AEB" w:rsidP="001519C3">
      <w:pPr>
        <w:spacing w:after="0" w:line="240" w:lineRule="auto"/>
        <w:jc w:val="both"/>
        <w:rPr>
          <w:rFonts w:ascii="Verdana" w:eastAsia="Verdana" w:hAnsi="Verdana" w:cs="Verdana"/>
          <w:b/>
        </w:rPr>
      </w:pPr>
    </w:p>
    <w:p w14:paraId="68ABC1C2" w14:textId="1BE108D8" w:rsidR="00090AEB" w:rsidRPr="00BC3C31" w:rsidRDefault="00090AEB" w:rsidP="001519C3">
      <w:pPr>
        <w:spacing w:after="0" w:line="240" w:lineRule="auto"/>
        <w:jc w:val="both"/>
        <w:rPr>
          <w:rFonts w:ascii="Verdana" w:eastAsia="Verdana" w:hAnsi="Verdana" w:cs="Verdana"/>
          <w:b/>
        </w:rPr>
      </w:pPr>
      <w:r w:rsidRPr="00BC3C31">
        <w:rPr>
          <w:rFonts w:ascii="Verdana" w:eastAsia="Verdana" w:hAnsi="Verdana" w:cs="Verdana"/>
          <w:b/>
        </w:rPr>
        <w:t xml:space="preserve">LEY DE GARANTÍAS ELECTORALES </w:t>
      </w:r>
      <w:r w:rsidRPr="00BC3C31">
        <w:rPr>
          <w:rFonts w:ascii="Verdana" w:eastAsia="Verdana" w:hAnsi="Verdana" w:cs="Verdana"/>
          <w:b/>
          <w:bCs/>
        </w:rPr>
        <w:t>‒</w:t>
      </w:r>
      <w:r w:rsidRPr="00BC3C31">
        <w:rPr>
          <w:rFonts w:ascii="Verdana" w:eastAsia="Verdana" w:hAnsi="Verdana" w:cs="Verdana"/>
          <w:b/>
        </w:rPr>
        <w:t xml:space="preserve"> Tipos de restricciones </w:t>
      </w:r>
      <w:r w:rsidRPr="00BC3C31">
        <w:rPr>
          <w:rFonts w:ascii="Verdana" w:eastAsia="Verdana" w:hAnsi="Verdana" w:cs="Verdana"/>
          <w:b/>
          <w:bCs/>
        </w:rPr>
        <w:t>‒</w:t>
      </w:r>
      <w:r w:rsidRPr="00BC3C31">
        <w:rPr>
          <w:rFonts w:ascii="Verdana" w:eastAsia="Verdana" w:hAnsi="Verdana" w:cs="Verdana"/>
          <w:b/>
        </w:rPr>
        <w:t xml:space="preserve"> Ámbito temporal – </w:t>
      </w:r>
      <w:r w:rsidR="004F7CC1">
        <w:rPr>
          <w:rFonts w:ascii="Verdana" w:eastAsia="Verdana" w:hAnsi="Verdana" w:cs="Verdana"/>
          <w:b/>
        </w:rPr>
        <w:t>C</w:t>
      </w:r>
      <w:r w:rsidRPr="00BC3C31">
        <w:rPr>
          <w:rFonts w:ascii="Verdana" w:eastAsia="Verdana" w:hAnsi="Verdana" w:cs="Verdana"/>
          <w:b/>
        </w:rPr>
        <w:t>elebración</w:t>
      </w:r>
      <w:r w:rsidR="004F7CC1">
        <w:rPr>
          <w:rFonts w:ascii="Verdana" w:eastAsia="Verdana" w:hAnsi="Verdana" w:cs="Verdana"/>
          <w:b/>
        </w:rPr>
        <w:t xml:space="preserve"> </w:t>
      </w:r>
      <w:r w:rsidR="004F7CC1" w:rsidRPr="004F7CC1">
        <w:rPr>
          <w:rFonts w:ascii="Verdana" w:eastAsia="Verdana" w:hAnsi="Verdana" w:cs="Verdana"/>
          <w:b/>
          <w:bCs/>
          <w:lang w:val="es-ES"/>
        </w:rPr>
        <w:t>–</w:t>
      </w:r>
      <w:r w:rsidRPr="00BC3C31">
        <w:rPr>
          <w:rFonts w:ascii="Verdana" w:eastAsia="Verdana" w:hAnsi="Verdana" w:cs="Verdana"/>
          <w:b/>
        </w:rPr>
        <w:t xml:space="preserve"> </w:t>
      </w:r>
      <w:r w:rsidR="004F7CC1">
        <w:rPr>
          <w:rFonts w:ascii="Verdana" w:eastAsia="Verdana" w:hAnsi="Verdana" w:cs="Verdana"/>
          <w:b/>
        </w:rPr>
        <w:t>L</w:t>
      </w:r>
      <w:r w:rsidRPr="00BC3C31">
        <w:rPr>
          <w:rFonts w:ascii="Verdana" w:eastAsia="Verdana" w:hAnsi="Verdana" w:cs="Verdana"/>
          <w:b/>
        </w:rPr>
        <w:t xml:space="preserve">ímite </w:t>
      </w:r>
    </w:p>
    <w:p w14:paraId="20352BDC" w14:textId="77777777" w:rsidR="00090AEB" w:rsidRDefault="00090AEB" w:rsidP="001519C3">
      <w:pPr>
        <w:spacing w:after="0" w:line="240" w:lineRule="auto"/>
        <w:jc w:val="both"/>
        <w:rPr>
          <w:rFonts w:ascii="Verdana" w:eastAsia="Verdana" w:hAnsi="Verdana" w:cs="Verdana"/>
          <w:b/>
        </w:rPr>
      </w:pPr>
    </w:p>
    <w:p w14:paraId="32E05E7B" w14:textId="77777777" w:rsidR="00090AEB" w:rsidRDefault="00090AEB" w:rsidP="001519C3">
      <w:pPr>
        <w:spacing w:after="0" w:line="240" w:lineRule="auto"/>
        <w:jc w:val="both"/>
        <w:rPr>
          <w:rFonts w:ascii="Verdana" w:eastAsia="Verdana" w:hAnsi="Verdana" w:cs="Verdana"/>
          <w:sz w:val="20"/>
        </w:rPr>
      </w:pPr>
      <w:r w:rsidRPr="004D7FB4">
        <w:rPr>
          <w:rFonts w:ascii="Verdana" w:eastAsia="Verdana" w:hAnsi="Verdana" w:cs="Verdana"/>
          <w:sz w:val="20"/>
        </w:rPr>
        <w:t xml:space="preserve">Por un lado, el </w:t>
      </w:r>
      <w:r w:rsidRPr="004D7FB4">
        <w:rPr>
          <w:rFonts w:ascii="Verdana" w:eastAsia="Verdana" w:hAnsi="Verdana" w:cs="Verdana"/>
          <w:i/>
          <w:iCs/>
          <w:sz w:val="20"/>
        </w:rPr>
        <w:t>artículo 33 de la Ley 996 de 2005</w:t>
      </w:r>
      <w:r w:rsidRPr="004D7FB4">
        <w:rPr>
          <w:rFonts w:ascii="Verdana" w:eastAsia="Verdana" w:hAnsi="Verdana" w:cs="Verdana"/>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64955A11" w14:textId="77777777" w:rsidR="00090AEB" w:rsidRPr="004D7FB4" w:rsidRDefault="00090AEB" w:rsidP="001519C3">
      <w:pPr>
        <w:spacing w:after="0" w:line="240" w:lineRule="auto"/>
        <w:jc w:val="both"/>
        <w:rPr>
          <w:rFonts w:ascii="Verdana" w:eastAsia="Verdana" w:hAnsi="Verdana" w:cs="Verdana"/>
          <w:sz w:val="20"/>
        </w:rPr>
      </w:pPr>
    </w:p>
    <w:p w14:paraId="50AD1FA8" w14:textId="77777777" w:rsidR="00090AEB" w:rsidRDefault="00090AEB" w:rsidP="001519C3">
      <w:pPr>
        <w:spacing w:after="0" w:line="240" w:lineRule="auto"/>
        <w:jc w:val="both"/>
        <w:rPr>
          <w:rFonts w:ascii="Verdana" w:eastAsia="Verdana" w:hAnsi="Verdana" w:cs="Verdana"/>
          <w:sz w:val="20"/>
          <w:lang w:val="es-MX"/>
        </w:rPr>
      </w:pPr>
      <w:r w:rsidRPr="004D7FB4">
        <w:rPr>
          <w:rFonts w:ascii="Verdana" w:eastAsia="Verdana" w:hAnsi="Verdana" w:cs="Verdana"/>
          <w:sz w:val="20"/>
        </w:rPr>
        <w:t xml:space="preserve">Por otro lado, </w:t>
      </w:r>
      <w:r w:rsidRPr="004D7FB4">
        <w:rPr>
          <w:rFonts w:ascii="Verdana" w:eastAsia="Verdana" w:hAnsi="Verdana" w:cs="Verdana"/>
          <w:i/>
          <w:iCs/>
          <w:sz w:val="20"/>
        </w:rPr>
        <w:t>el parágrafo del artículo 38 de la Ley 996 de 2005</w:t>
      </w:r>
      <w:r w:rsidRPr="004D7FB4">
        <w:rPr>
          <w:rFonts w:ascii="Verdana" w:eastAsia="Verdana" w:hAnsi="Verdana" w:cs="Verdana"/>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4D7FB4">
        <w:rPr>
          <w:rFonts w:ascii="Verdana" w:eastAsia="Verdana" w:hAnsi="Verdana" w:cs="Verdana"/>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D7FB4">
        <w:rPr>
          <w:rFonts w:ascii="Verdana" w:eastAsia="Verdana" w:hAnsi="Verdana" w:cs="Verdana"/>
          <w:sz w:val="20"/>
        </w:rPr>
        <w:t>”</w:t>
      </w:r>
      <w:r w:rsidRPr="004D7FB4">
        <w:rPr>
          <w:rFonts w:ascii="Verdana" w:eastAsia="Verdana" w:hAnsi="Verdana" w:cs="Verdana"/>
          <w:sz w:val="20"/>
          <w:lang w:val="es-MX"/>
        </w:rPr>
        <w:t>.</w:t>
      </w:r>
    </w:p>
    <w:p w14:paraId="1CA455F0" w14:textId="77777777" w:rsidR="00090AEB" w:rsidRPr="004D7FB4" w:rsidRDefault="00090AEB" w:rsidP="001519C3">
      <w:pPr>
        <w:spacing w:after="0" w:line="240" w:lineRule="auto"/>
        <w:jc w:val="both"/>
        <w:rPr>
          <w:rFonts w:ascii="Verdana" w:eastAsia="Verdana" w:hAnsi="Verdana" w:cs="Verdana"/>
          <w:sz w:val="20"/>
          <w:lang w:bidi="es-ES"/>
        </w:rPr>
      </w:pPr>
      <w:r w:rsidRPr="004D7FB4">
        <w:rPr>
          <w:rFonts w:ascii="Verdana" w:eastAsia="Verdana" w:hAnsi="Verdana" w:cs="Verdana"/>
          <w:sz w:val="20"/>
          <w:lang w:bidi="es-ES"/>
        </w:rPr>
        <w:t xml:space="preserve"> </w:t>
      </w:r>
    </w:p>
    <w:p w14:paraId="67818CDC" w14:textId="77777777" w:rsidR="00090AEB" w:rsidRPr="004D7FB4" w:rsidRDefault="00090AEB" w:rsidP="001519C3">
      <w:pPr>
        <w:spacing w:after="0" w:line="240" w:lineRule="auto"/>
        <w:jc w:val="both"/>
        <w:rPr>
          <w:rFonts w:ascii="Verdana" w:eastAsia="Verdana" w:hAnsi="Verdana" w:cs="Verdana"/>
          <w:bCs/>
          <w:sz w:val="20"/>
        </w:rPr>
      </w:pPr>
      <w:r w:rsidRPr="004D7FB4">
        <w:rPr>
          <w:rFonts w:ascii="Verdana" w:eastAsia="Verdana" w:hAnsi="Verdana" w:cs="Verdana"/>
          <w:bCs/>
          <w:sz w:val="20"/>
          <w:lang w:val="es-MX"/>
        </w:rPr>
        <w:t>Para entender el momento de aplicación de estas restricciones, es preciso señalar que el vocablo “celebrar” es definido por el Diccionario Panhispánico del Español Jurídico como: “</w:t>
      </w:r>
      <w:r w:rsidRPr="004D7FB4">
        <w:rPr>
          <w:rFonts w:ascii="Verdana" w:eastAsia="Verdana" w:hAnsi="Verdana" w:cs="Verdana"/>
          <w:bCs/>
          <w:sz w:val="20"/>
        </w:rPr>
        <w:t>1. </w:t>
      </w:r>
      <w:r w:rsidRPr="004D7FB4">
        <w:rPr>
          <w:rFonts w:ascii="Verdana" w:eastAsia="Verdana" w:hAnsi="Verdana" w:cs="Verdana"/>
          <w:bCs/>
          <w:i/>
          <w:iCs/>
          <w:sz w:val="20"/>
        </w:rPr>
        <w:t>Gral.</w:t>
      </w:r>
      <w:r w:rsidRPr="004D7FB4">
        <w:rPr>
          <w:rFonts w:ascii="Verdana" w:eastAsia="Verdana" w:hAnsi="Verdana" w:cs="Verdana"/>
          <w:bCs/>
          <w:sz w:val="20"/>
        </w:rPr>
        <w:t xml:space="preserve"> Otorgar o firmar un contrato. 2. </w:t>
      </w:r>
      <w:proofErr w:type="spellStart"/>
      <w:r w:rsidRPr="004D7FB4">
        <w:rPr>
          <w:rFonts w:ascii="Verdana" w:eastAsia="Verdana" w:hAnsi="Verdana" w:cs="Verdana"/>
          <w:bCs/>
          <w:i/>
          <w:iCs/>
          <w:sz w:val="20"/>
        </w:rPr>
        <w:t>Proc</w:t>
      </w:r>
      <w:proofErr w:type="spellEnd"/>
      <w:r w:rsidRPr="004D7FB4">
        <w:rPr>
          <w:rFonts w:ascii="Verdana" w:eastAsia="Verdana" w:hAnsi="Verdana" w:cs="Verdana"/>
          <w:bCs/>
          <w:i/>
          <w:iCs/>
          <w:sz w:val="20"/>
        </w:rPr>
        <w:t>.</w:t>
      </w:r>
      <w:r w:rsidRPr="004D7FB4">
        <w:rPr>
          <w:rFonts w:ascii="Verdana" w:eastAsia="Verdana" w:hAnsi="Verdana" w:cs="Verdana"/>
          <w:bCs/>
          <w:sz w:val="20"/>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7005C85C" w14:textId="77777777" w:rsidR="00090AEB" w:rsidRPr="00BC3C31" w:rsidRDefault="00090AEB" w:rsidP="001519C3">
      <w:pPr>
        <w:spacing w:after="0" w:line="240" w:lineRule="auto"/>
        <w:jc w:val="both"/>
        <w:rPr>
          <w:rFonts w:ascii="Verdana" w:eastAsia="Verdana" w:hAnsi="Verdana" w:cs="Verdana"/>
          <w:b/>
        </w:rPr>
      </w:pPr>
    </w:p>
    <w:p w14:paraId="28E4559A" w14:textId="77777777" w:rsidR="00090AEB" w:rsidRPr="00BC3C31" w:rsidRDefault="00090AEB" w:rsidP="001519C3">
      <w:pPr>
        <w:spacing w:after="0" w:line="240" w:lineRule="auto"/>
        <w:jc w:val="both"/>
        <w:rPr>
          <w:rFonts w:ascii="Verdana" w:eastAsia="Verdana" w:hAnsi="Verdana" w:cs="Verdana"/>
          <w:b/>
        </w:rPr>
      </w:pPr>
      <w:r w:rsidRPr="00BC3C31">
        <w:rPr>
          <w:rFonts w:ascii="Verdana" w:eastAsia="Verdana" w:hAnsi="Verdana" w:cs="Verdana"/>
          <w:b/>
        </w:rPr>
        <w:t>LEY DE GARANTÍAS ELECTORALES – Prohibición artículo 33 – Contratación directa – Alcance</w:t>
      </w:r>
    </w:p>
    <w:p w14:paraId="5AB4C93D" w14:textId="77777777" w:rsidR="00090AEB" w:rsidRPr="00BC3C31" w:rsidRDefault="00090AEB" w:rsidP="001519C3">
      <w:pPr>
        <w:spacing w:after="0" w:line="240" w:lineRule="auto"/>
        <w:jc w:val="both"/>
        <w:rPr>
          <w:rFonts w:ascii="Verdana" w:eastAsia="Verdana" w:hAnsi="Verdana" w:cs="Verdana"/>
          <w:b/>
        </w:rPr>
      </w:pPr>
    </w:p>
    <w:p w14:paraId="64991042" w14:textId="77777777" w:rsidR="00090AEB" w:rsidRPr="004D7FB4" w:rsidRDefault="00090AEB" w:rsidP="001519C3">
      <w:pPr>
        <w:spacing w:after="0" w:line="240" w:lineRule="auto"/>
        <w:jc w:val="both"/>
        <w:rPr>
          <w:rFonts w:ascii="Verdana" w:eastAsia="Verdana" w:hAnsi="Verdana" w:cs="Verdana"/>
          <w:bCs/>
          <w:sz w:val="20"/>
        </w:rPr>
      </w:pPr>
      <w:r w:rsidRPr="004D7FB4">
        <w:rPr>
          <w:rFonts w:ascii="Verdana" w:eastAsia="Verdana" w:hAnsi="Verdana" w:cs="Verdana"/>
          <w:sz w:val="20"/>
        </w:rPr>
        <w:lastRenderedPageBreak/>
        <w:t>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el concurso de méritos y la mínima cuantía</w:t>
      </w:r>
      <w:r w:rsidRPr="004D7FB4" w:rsidDel="00A85D9F">
        <w:rPr>
          <w:rFonts w:ascii="Verdana" w:eastAsia="Verdana" w:hAnsi="Verdana" w:cs="Verdana"/>
          <w:sz w:val="20"/>
        </w:rPr>
        <w:t xml:space="preserve"> </w:t>
      </w:r>
      <w:r w:rsidRPr="004D7FB4">
        <w:rPr>
          <w:rFonts w:ascii="Verdana" w:eastAsia="Verdana" w:hAnsi="Verdana" w:cs="Verdana"/>
          <w:sz w:val="20"/>
        </w:rPr>
        <w:t>u otros previstos en normas especiales. Esta posición es congruente con la expedición de la Ley 1150 de 2007 que, entre otras reformas, introdujo la selección abreviada, rediseñó el concurso de méritos y sistematizó las causales de contratación directa, además lo es con la posterior creación de la modalidad de mínima cuantía establecida actualmente en el numeral 5 del artículo 2 de la Ley 1150 de 2007, de acuerdo con las modificaciones realizadas por leyes posteriores.</w:t>
      </w:r>
    </w:p>
    <w:p w14:paraId="5F11B1C8" w14:textId="77777777" w:rsidR="00090AEB" w:rsidRPr="00BC3C31" w:rsidRDefault="00090AEB" w:rsidP="001519C3">
      <w:pPr>
        <w:spacing w:after="0" w:line="240" w:lineRule="auto"/>
        <w:jc w:val="both"/>
        <w:rPr>
          <w:rFonts w:ascii="Verdana" w:eastAsia="Verdana" w:hAnsi="Verdana" w:cs="Verdana"/>
          <w:b/>
        </w:rPr>
      </w:pPr>
    </w:p>
    <w:p w14:paraId="44DE1E85" w14:textId="77777777" w:rsidR="00090AEB" w:rsidRPr="00BC3C31" w:rsidRDefault="00090AEB" w:rsidP="001519C3">
      <w:pPr>
        <w:spacing w:after="0" w:line="240" w:lineRule="auto"/>
        <w:jc w:val="both"/>
        <w:rPr>
          <w:rFonts w:ascii="Verdana" w:eastAsia="Verdana" w:hAnsi="Verdana" w:cs="Verdana"/>
          <w:b/>
        </w:rPr>
      </w:pPr>
      <w:r w:rsidRPr="00BC3C31">
        <w:rPr>
          <w:rFonts w:ascii="Verdana" w:eastAsia="Verdana" w:hAnsi="Verdana" w:cs="Verdana"/>
          <w:b/>
        </w:rPr>
        <w:t xml:space="preserve">LEY DE GARANTÍAS ELECTORALES – Prohibición del artículo 33 – Destinatarios </w:t>
      </w:r>
    </w:p>
    <w:p w14:paraId="1845BE7E" w14:textId="77777777" w:rsidR="00090AEB" w:rsidRPr="00BC3C31" w:rsidRDefault="00090AEB" w:rsidP="001519C3">
      <w:pPr>
        <w:spacing w:after="0" w:line="240" w:lineRule="auto"/>
        <w:jc w:val="both"/>
        <w:rPr>
          <w:rFonts w:ascii="Verdana" w:eastAsia="Verdana" w:hAnsi="Verdana" w:cs="Verdana"/>
          <w:b/>
        </w:rPr>
      </w:pPr>
    </w:p>
    <w:p w14:paraId="46A9AA03" w14:textId="77777777" w:rsidR="00090AEB" w:rsidRPr="00865A1B" w:rsidRDefault="00090AEB" w:rsidP="001519C3">
      <w:pPr>
        <w:spacing w:after="0" w:line="240" w:lineRule="auto"/>
        <w:jc w:val="both"/>
        <w:rPr>
          <w:rFonts w:ascii="Verdana" w:eastAsia="Verdana" w:hAnsi="Verdana" w:cs="Verdana"/>
          <w:bCs/>
          <w:sz w:val="20"/>
        </w:rPr>
      </w:pPr>
      <w:r w:rsidRPr="00865A1B">
        <w:rPr>
          <w:rFonts w:ascii="Verdana" w:eastAsia="Verdana" w:hAnsi="Verdana" w:cs="Verdana"/>
          <w:bCs/>
          <w:sz w:val="20"/>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sidRPr="00865A1B">
        <w:rPr>
          <w:rFonts w:ascii="Verdana" w:eastAsia="Verdana" w:hAnsi="Verdana" w:cs="Verdana"/>
          <w:sz w:val="20"/>
        </w:rPr>
        <w:t xml:space="preserve"> </w:t>
      </w:r>
      <w:r w:rsidRPr="00865A1B">
        <w:rPr>
          <w:rFonts w:ascii="Verdana" w:eastAsia="Verdana" w:hAnsi="Verdana" w:cs="Verdana"/>
          <w:bCs/>
          <w:sz w:val="20"/>
        </w:rPr>
        <w:t>En efecto, tal como lo ha sostenido el Consejo de Estado, el vocablo “todos” utilizado por el legislador comprende</w:t>
      </w:r>
      <w:r w:rsidRPr="00865A1B">
        <w:rPr>
          <w:rFonts w:ascii="Verdana" w:eastAsia="Verdana" w:hAnsi="Verdana" w:cs="Verdana"/>
          <w:sz w:val="20"/>
        </w:rPr>
        <w:t xml:space="preserve"> </w:t>
      </w:r>
      <w:r w:rsidRPr="00865A1B">
        <w:rPr>
          <w:rFonts w:ascii="Verdana" w:eastAsia="Verdana" w:hAnsi="Verdana" w:cs="Verdana"/>
          <w:bCs/>
          <w:sz w:val="20"/>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75EBFE71" w14:textId="77777777" w:rsidR="00090AEB" w:rsidRPr="004D7FB4" w:rsidRDefault="00090AEB" w:rsidP="001519C3">
      <w:pPr>
        <w:spacing w:after="0" w:line="240" w:lineRule="auto"/>
        <w:jc w:val="both"/>
        <w:rPr>
          <w:rFonts w:ascii="Verdana" w:eastAsia="Verdana" w:hAnsi="Verdana" w:cs="Verdana"/>
          <w:b/>
        </w:rPr>
      </w:pPr>
    </w:p>
    <w:p w14:paraId="798D2E95" w14:textId="77777777" w:rsidR="00090AEB" w:rsidRPr="00BC3C31" w:rsidRDefault="00090AEB" w:rsidP="001519C3">
      <w:pPr>
        <w:spacing w:after="0" w:line="240" w:lineRule="auto"/>
        <w:jc w:val="both"/>
        <w:rPr>
          <w:rFonts w:ascii="Verdana" w:eastAsia="Verdana" w:hAnsi="Verdana" w:cs="Verdana"/>
          <w:b/>
        </w:rPr>
      </w:pPr>
      <w:r w:rsidRPr="00BC3C31">
        <w:rPr>
          <w:rFonts w:ascii="Verdana" w:eastAsia="Verdana" w:hAnsi="Verdana" w:cs="Verdana"/>
          <w:b/>
        </w:rPr>
        <w:t xml:space="preserve">LEY DE GARANTÍAS ELECTORALES – Excepciones </w:t>
      </w:r>
    </w:p>
    <w:p w14:paraId="3840FBF2" w14:textId="77777777" w:rsidR="00090AEB" w:rsidRPr="00865A1B" w:rsidRDefault="00090AEB" w:rsidP="001519C3">
      <w:pPr>
        <w:spacing w:after="0" w:line="240" w:lineRule="auto"/>
        <w:jc w:val="both"/>
        <w:rPr>
          <w:rFonts w:ascii="Verdana" w:eastAsia="Verdana" w:hAnsi="Verdana" w:cs="Verdana"/>
          <w:sz w:val="20"/>
        </w:rPr>
      </w:pPr>
    </w:p>
    <w:p w14:paraId="300E4975" w14:textId="77777777" w:rsidR="00090AEB" w:rsidRPr="00865A1B" w:rsidRDefault="00090AEB" w:rsidP="001519C3">
      <w:pPr>
        <w:spacing w:after="0" w:line="240" w:lineRule="auto"/>
        <w:jc w:val="both"/>
        <w:rPr>
          <w:rFonts w:ascii="Verdana" w:eastAsia="Verdana" w:hAnsi="Verdana" w:cs="Verdana"/>
          <w:bCs/>
          <w:sz w:val="20"/>
        </w:rPr>
      </w:pPr>
      <w:r w:rsidRPr="00865A1B">
        <w:rPr>
          <w:rFonts w:ascii="Verdana" w:eastAsia="Verdana" w:hAnsi="Verdana" w:cs="Verdana"/>
          <w:bCs/>
          <w:sz w:val="20"/>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865A1B">
        <w:rPr>
          <w:rFonts w:ascii="Verdana" w:eastAsia="Verdana" w:hAnsi="Verdana" w:cs="Verdana"/>
          <w:bCs/>
          <w:sz w:val="20"/>
        </w:rPr>
        <w:t>ii</w:t>
      </w:r>
      <w:proofErr w:type="spellEnd"/>
      <w:r w:rsidRPr="00865A1B">
        <w:rPr>
          <w:rFonts w:ascii="Verdana" w:eastAsia="Verdana" w:hAnsi="Verdana" w:cs="Verdana"/>
          <w:bCs/>
          <w:sz w:val="20"/>
        </w:rPr>
        <w:t xml:space="preserve">) los contratos de crédito público; </w:t>
      </w:r>
      <w:proofErr w:type="spellStart"/>
      <w:r w:rsidRPr="00865A1B">
        <w:rPr>
          <w:rFonts w:ascii="Verdana" w:eastAsia="Verdana" w:hAnsi="Verdana" w:cs="Verdana"/>
          <w:bCs/>
          <w:sz w:val="20"/>
        </w:rPr>
        <w:t>iii</w:t>
      </w:r>
      <w:proofErr w:type="spellEnd"/>
      <w:r w:rsidRPr="00865A1B">
        <w:rPr>
          <w:rFonts w:ascii="Verdana" w:eastAsia="Verdana" w:hAnsi="Verdana" w:cs="Verdana"/>
          <w:bCs/>
          <w:sz w:val="20"/>
        </w:rPr>
        <w:t xml:space="preserve">) los requeridos para cubrir las emergencias educativas, sanitarias y desastres; </w:t>
      </w:r>
      <w:proofErr w:type="spellStart"/>
      <w:r w:rsidRPr="00865A1B">
        <w:rPr>
          <w:rFonts w:ascii="Verdana" w:eastAsia="Verdana" w:hAnsi="Verdana" w:cs="Verdana"/>
          <w:bCs/>
          <w:sz w:val="20"/>
        </w:rPr>
        <w:t>iv</w:t>
      </w:r>
      <w:proofErr w:type="spellEnd"/>
      <w:r w:rsidRPr="00865A1B">
        <w:rPr>
          <w:rFonts w:ascii="Verdana" w:eastAsia="Verdana" w:hAnsi="Verdana" w:cs="Verdana"/>
          <w:bCs/>
          <w:sz w:val="20"/>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de forma directa. </w:t>
      </w:r>
      <w:r w:rsidRPr="00865A1B">
        <w:rPr>
          <w:rFonts w:ascii="Verdana" w:eastAsia="Verdana" w:hAnsi="Verdana" w:cs="Verdana"/>
          <w:bCs/>
          <w:sz w:val="20"/>
          <w:lang w:val="es-MX"/>
        </w:rPr>
        <w:t xml:space="preserve">Así mismo, la Corte Constitucional en la Sentencia C-1153 de 2005 señaló que la expresión </w:t>
      </w:r>
      <w:r w:rsidRPr="00865A1B">
        <w:rPr>
          <w:rFonts w:ascii="Verdana" w:eastAsia="Verdana" w:hAnsi="Verdana" w:cs="Verdana"/>
          <w:i/>
          <w:iCs/>
          <w:sz w:val="20"/>
          <w:lang w:val="es-ES"/>
        </w:rPr>
        <w:t xml:space="preserve">“adicionalmente se exceptúan aquellos gastos inaplazables e imprescindibles que afecten el normal funcionamiento de la administración” </w:t>
      </w:r>
      <w:r w:rsidRPr="00865A1B">
        <w:rPr>
          <w:rFonts w:ascii="Verdana" w:eastAsia="Verdana" w:hAnsi="Verdana" w:cs="Verdana"/>
          <w:iCs/>
          <w:sz w:val="20"/>
          <w:lang w:val="es-ES"/>
        </w:rPr>
        <w:t>regulada como excepción en el artículo 33</w:t>
      </w:r>
      <w:r w:rsidRPr="00865A1B">
        <w:rPr>
          <w:rFonts w:ascii="Verdana" w:eastAsia="Verdana" w:hAnsi="Verdana" w:cs="Verdana"/>
          <w:i/>
          <w:iCs/>
          <w:sz w:val="20"/>
          <w:lang w:val="es-ES"/>
        </w:rPr>
        <w:t xml:space="preserve"> </w:t>
      </w:r>
      <w:r w:rsidRPr="00865A1B">
        <w:rPr>
          <w:rFonts w:ascii="Verdana" w:eastAsia="Verdana" w:hAnsi="Verdana" w:cs="Verdana"/>
          <w:iCs/>
          <w:sz w:val="20"/>
          <w:lang w:val="es-ES"/>
        </w:rPr>
        <w:t xml:space="preserve">es demasiado amplia y ambigua, pues términos como inaplazable, imprescindible y normal funcionamiento son evaluativos y sujetos a </w:t>
      </w:r>
      <w:r w:rsidRPr="00865A1B">
        <w:rPr>
          <w:rFonts w:ascii="Verdana" w:eastAsia="Verdana" w:hAnsi="Verdana" w:cs="Verdana"/>
          <w:iCs/>
          <w:sz w:val="20"/>
          <w:lang w:val="es-ES"/>
        </w:rPr>
        <w:lastRenderedPageBreak/>
        <w:t>interpretaciones diversas, lo que permitiría introducir múltiples excepciones que desfigurarían la prohibición original y comprometerían los fines y propósitos de la Ley de Garantías Electorales.</w:t>
      </w:r>
      <w:r w:rsidRPr="00865A1B">
        <w:rPr>
          <w:rFonts w:ascii="Verdana" w:eastAsia="Verdana" w:hAnsi="Verdana" w:cs="Verdana"/>
          <w:i/>
          <w:iCs/>
          <w:sz w:val="20"/>
          <w:lang w:val="es-ES"/>
        </w:rPr>
        <w:t xml:space="preserve"> </w:t>
      </w:r>
      <w:r w:rsidRPr="00865A1B">
        <w:rPr>
          <w:rFonts w:ascii="Verdana" w:eastAsia="Verdana" w:hAnsi="Verdana" w:cs="Verdana"/>
          <w:iCs/>
          <w:sz w:val="20"/>
          <w:lang w:val="es-ES"/>
        </w:rPr>
        <w:t>Por tanto, dicha expresión fue declarada inexequible, razón por la cual no es posible que las entidades argumenten razones como esta para exceptuar la restricción del artículo 33.</w:t>
      </w:r>
    </w:p>
    <w:p w14:paraId="2F24DF7A" w14:textId="77777777" w:rsidR="00090AEB" w:rsidRPr="00BC3C31" w:rsidRDefault="00090AEB" w:rsidP="001519C3">
      <w:pPr>
        <w:spacing w:after="0" w:line="240" w:lineRule="auto"/>
        <w:jc w:val="both"/>
        <w:rPr>
          <w:rFonts w:ascii="Verdana" w:eastAsia="Verdana" w:hAnsi="Verdana" w:cs="Verdana"/>
          <w:b/>
        </w:rPr>
      </w:pPr>
    </w:p>
    <w:p w14:paraId="349E1A39" w14:textId="77777777" w:rsidR="00090AEB" w:rsidRPr="00BC3C31" w:rsidRDefault="00090AEB" w:rsidP="001519C3">
      <w:pPr>
        <w:spacing w:after="0" w:line="240" w:lineRule="auto"/>
        <w:jc w:val="both"/>
        <w:rPr>
          <w:rFonts w:ascii="Verdana" w:eastAsia="Verdana" w:hAnsi="Verdana" w:cs="Verdana"/>
          <w:b/>
        </w:rPr>
      </w:pPr>
      <w:r w:rsidRPr="00BC3C31">
        <w:rPr>
          <w:rFonts w:ascii="Verdana" w:eastAsia="Verdana" w:hAnsi="Verdana" w:cs="Verdana"/>
          <w:b/>
        </w:rPr>
        <w:t>LEY DE GARANTÍAS ELECTORALES – Excepciones – Posturas de la Sala de Consulta y Servicio del Consejo de Estado</w:t>
      </w:r>
    </w:p>
    <w:p w14:paraId="3060BA73" w14:textId="77777777" w:rsidR="00090AEB" w:rsidRPr="00865A1B" w:rsidRDefault="00090AEB" w:rsidP="001519C3">
      <w:pPr>
        <w:spacing w:after="0" w:line="240" w:lineRule="auto"/>
        <w:jc w:val="both"/>
        <w:rPr>
          <w:rFonts w:ascii="Verdana" w:eastAsia="Verdana" w:hAnsi="Verdana" w:cs="Verdana"/>
          <w:sz w:val="20"/>
        </w:rPr>
      </w:pPr>
    </w:p>
    <w:p w14:paraId="09DD9B08" w14:textId="77777777" w:rsidR="00090AEB" w:rsidRDefault="00090AEB" w:rsidP="001519C3">
      <w:pPr>
        <w:spacing w:after="0" w:line="240" w:lineRule="auto"/>
        <w:jc w:val="both"/>
        <w:rPr>
          <w:rFonts w:ascii="Verdana" w:eastAsia="Verdana" w:hAnsi="Verdana" w:cs="Verdana"/>
          <w:sz w:val="20"/>
        </w:rPr>
      </w:pPr>
      <w:r w:rsidRPr="00865A1B">
        <w:rPr>
          <w:rFonts w:ascii="Verdana" w:eastAsia="Verdana" w:hAnsi="Verdana" w:cs="Verdana"/>
          <w:sz w:val="20"/>
          <w:lang w:bidi="es-ES"/>
        </w:rPr>
        <w:t xml:space="preserve">De lo expuesto, el Consejo de Estado resalta que el contrato que se celebra con fundamento en el artículo 5 de la Ley 109 de 1994 entre el Congreso de la República y la Imprenta Nacional no se efectúa en ejercicio de la autonomía de la voluntad ni con el fin de cumplir la misión industrial, comercial o de gestión propia de la Imprenta Nacional de Colombia, sino en cumplimiento de lo ordenado por la Ley a ambas entidades Estatales. De ahí que se concluya que en ese caso </w:t>
      </w:r>
      <w:r w:rsidRPr="00865A1B">
        <w:rPr>
          <w:rFonts w:ascii="Verdana" w:eastAsia="Verdana" w:hAnsi="Verdana" w:cs="Verdana"/>
          <w:sz w:val="20"/>
        </w:rPr>
        <w:t>el contrato no puede ser violatorio de la restricción a la contratación directa contenida en el artículo 33 de la Ley 996 de 2005.</w:t>
      </w:r>
    </w:p>
    <w:p w14:paraId="15913FCD" w14:textId="77777777" w:rsidR="00090AEB" w:rsidRPr="00865A1B" w:rsidRDefault="00090AEB" w:rsidP="001519C3">
      <w:pPr>
        <w:spacing w:after="0" w:line="240" w:lineRule="auto"/>
        <w:jc w:val="both"/>
        <w:rPr>
          <w:rFonts w:ascii="Verdana" w:eastAsia="Verdana" w:hAnsi="Verdana" w:cs="Verdana"/>
          <w:sz w:val="20"/>
        </w:rPr>
      </w:pPr>
      <w:r w:rsidRPr="00865A1B">
        <w:rPr>
          <w:rFonts w:ascii="Verdana" w:eastAsia="Verdana" w:hAnsi="Verdana" w:cs="Verdana"/>
          <w:sz w:val="20"/>
        </w:rPr>
        <w:t xml:space="preserve"> </w:t>
      </w:r>
    </w:p>
    <w:p w14:paraId="0049504D" w14:textId="77777777" w:rsidR="00090AEB" w:rsidRDefault="00090AEB" w:rsidP="001519C3">
      <w:pPr>
        <w:spacing w:after="0" w:line="240" w:lineRule="auto"/>
        <w:jc w:val="both"/>
        <w:rPr>
          <w:rFonts w:ascii="Verdana" w:eastAsia="Verdana" w:hAnsi="Verdana" w:cs="Verdana"/>
          <w:sz w:val="20"/>
          <w:lang w:bidi="es-ES"/>
        </w:rPr>
      </w:pPr>
      <w:r w:rsidRPr="00865A1B">
        <w:rPr>
          <w:rFonts w:ascii="Verdana" w:eastAsia="Verdana" w:hAnsi="Verdana" w:cs="Verdana"/>
          <w:sz w:val="20"/>
          <w:lang w:val="es-ES_tradnl"/>
        </w:rPr>
        <w:t>También la Sala de Consulta y Servicio Civil del Consejo de Estado ha presentado supuestos de excepción a la restricción de los artículos 33 y 38 cuando la contratación se enmarca en una providencia judicial</w:t>
      </w:r>
      <w:r w:rsidRPr="00865A1B">
        <w:rPr>
          <w:rFonts w:ascii="Verdana" w:eastAsia="Verdana" w:hAnsi="Verdana" w:cs="Verdana"/>
          <w:sz w:val="20"/>
          <w:lang w:bidi="es-ES"/>
        </w:rPr>
        <w:t>, pues en dicho caso debe tenerse en cuenta que las decisiones judiciales tienen fuerza vinculante y cumplirse en virtud del principio de supremacía constitucional y del derecho fundamental de acceso a la administración de justicia. La celebración de un contrato de forma directa o de un convenio interadministrativo para la ejecución de recursos públicos no obedece a una decisión discrecional de la administración, sino al cumplimiento de un mandato judicial, lo cual la diferencia de la contratación ordinaria y lo pone en un plano de obligatoriedad que no puede desconocerse por las restricciones de la Ley de Garantías.</w:t>
      </w:r>
    </w:p>
    <w:p w14:paraId="179A4FA0" w14:textId="77777777" w:rsidR="00090AEB" w:rsidRPr="00865A1B" w:rsidRDefault="00090AEB" w:rsidP="001519C3">
      <w:pPr>
        <w:spacing w:after="0" w:line="240" w:lineRule="auto"/>
        <w:jc w:val="both"/>
        <w:rPr>
          <w:rFonts w:ascii="Verdana" w:eastAsia="Verdana" w:hAnsi="Verdana" w:cs="Verdana"/>
          <w:sz w:val="20"/>
          <w:lang w:bidi="es-ES"/>
        </w:rPr>
      </w:pPr>
    </w:p>
    <w:p w14:paraId="15ED62B4" w14:textId="77777777" w:rsidR="00090AEB" w:rsidRDefault="00090AEB" w:rsidP="001519C3">
      <w:pPr>
        <w:spacing w:after="0" w:line="240" w:lineRule="auto"/>
        <w:jc w:val="both"/>
        <w:rPr>
          <w:rFonts w:ascii="Verdana" w:eastAsia="Verdana" w:hAnsi="Verdana" w:cs="Verdana"/>
          <w:sz w:val="20"/>
          <w:lang w:bidi="es-ES"/>
        </w:rPr>
      </w:pPr>
      <w:r w:rsidRPr="00865A1B">
        <w:rPr>
          <w:rFonts w:ascii="Verdana" w:eastAsia="Verdana" w:hAnsi="Verdana" w:cs="Verdana"/>
          <w:sz w:val="20"/>
          <w:lang w:bidi="es-ES"/>
        </w:rPr>
        <w:t>En este asunto, es importante resaltar que la Sala de Consulta y Servicio Civil del Consejo de Estado mediante Concepto con Radicado 1863 del 15 de noviembre de 2007 se ha pronunciado en el sentido de que no se les aplica las restricciones contempladas en Ley de Garantías Electorales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p>
    <w:p w14:paraId="5C52EC59" w14:textId="77777777" w:rsidR="00090AEB" w:rsidRPr="00090AEB" w:rsidRDefault="00090AEB" w:rsidP="001519C3">
      <w:pPr>
        <w:spacing w:after="0" w:line="240" w:lineRule="auto"/>
        <w:jc w:val="both"/>
        <w:rPr>
          <w:rFonts w:ascii="Verdana" w:eastAsia="Verdana" w:hAnsi="Verdana" w:cs="Verdana"/>
          <w:b/>
        </w:rPr>
      </w:pPr>
    </w:p>
    <w:p w14:paraId="375C611C" w14:textId="624F65AD" w:rsidR="00090AEB" w:rsidRPr="00090AEB" w:rsidRDefault="00090AEB" w:rsidP="001519C3">
      <w:pPr>
        <w:spacing w:after="0" w:line="240" w:lineRule="auto"/>
        <w:jc w:val="both"/>
        <w:rPr>
          <w:rFonts w:ascii="Verdana" w:eastAsia="Verdana" w:hAnsi="Verdana" w:cs="Verdana"/>
          <w:b/>
        </w:rPr>
      </w:pPr>
      <w:r w:rsidRPr="00090AEB">
        <w:rPr>
          <w:rFonts w:ascii="Verdana" w:eastAsia="Verdana" w:hAnsi="Verdana" w:cs="Verdana"/>
          <w:b/>
        </w:rPr>
        <w:t>CONTRATOS ESP</w:t>
      </w:r>
      <w:r w:rsidR="00C9143B">
        <w:rPr>
          <w:rFonts w:ascii="Verdana" w:eastAsia="Verdana" w:hAnsi="Verdana" w:cs="Verdana"/>
          <w:b/>
        </w:rPr>
        <w:t>E</w:t>
      </w:r>
      <w:r w:rsidRPr="00090AEB">
        <w:rPr>
          <w:rFonts w:ascii="Verdana" w:eastAsia="Verdana" w:hAnsi="Verdana" w:cs="Verdana"/>
          <w:b/>
        </w:rPr>
        <w:t>CIALES – Contratos de aporte bajo condición</w:t>
      </w:r>
    </w:p>
    <w:p w14:paraId="0309751A" w14:textId="77777777" w:rsidR="00090AEB" w:rsidRPr="00C9143B" w:rsidRDefault="00090AEB" w:rsidP="001519C3">
      <w:pPr>
        <w:spacing w:after="0" w:line="240" w:lineRule="auto"/>
        <w:jc w:val="both"/>
        <w:rPr>
          <w:rFonts w:ascii="Verdana" w:eastAsia="Verdana" w:hAnsi="Verdana" w:cs="Verdana"/>
          <w:sz w:val="20"/>
        </w:rPr>
      </w:pPr>
    </w:p>
    <w:p w14:paraId="557479E3" w14:textId="77777777" w:rsidR="00C9143B" w:rsidRDefault="00C9143B" w:rsidP="001519C3">
      <w:pPr>
        <w:spacing w:after="0" w:line="240" w:lineRule="auto"/>
        <w:jc w:val="both"/>
        <w:rPr>
          <w:rFonts w:ascii="Verdana" w:eastAsia="Verdana" w:hAnsi="Verdana" w:cs="Verdana"/>
          <w:bCs/>
          <w:sz w:val="20"/>
        </w:rPr>
      </w:pPr>
      <w:r w:rsidRPr="00C9143B">
        <w:rPr>
          <w:rFonts w:ascii="Verdana" w:eastAsia="Verdana" w:hAnsi="Verdana" w:cs="Verdana"/>
          <w:bCs/>
          <w:sz w:val="20"/>
          <w:lang w:val="es-ES"/>
        </w:rPr>
        <w:t xml:space="preserve">En este escenario, se encuentran los contratos especiales regulados en el artículo 39 de la Ley 142 de 1994, como son los </w:t>
      </w:r>
      <w:r w:rsidRPr="00C9143B">
        <w:rPr>
          <w:rFonts w:ascii="Verdana" w:eastAsia="Verdana" w:hAnsi="Verdana" w:cs="Verdana"/>
          <w:bCs/>
          <w:sz w:val="20"/>
        </w:rPr>
        <w:t xml:space="preserve">Contratos de concesión para el uso de recursos naturales o del medio ambiente, Contratos de administración profesional de acciones, Contratos de las entidades oficiales para transferir la propiedad o el uso y goce de los bienes que destina especialmente a prestar los servicios públicos, Contratos en virtud </w:t>
      </w:r>
      <w:r w:rsidRPr="00C9143B">
        <w:rPr>
          <w:rFonts w:ascii="Verdana" w:eastAsia="Verdana" w:hAnsi="Verdana" w:cs="Verdana"/>
          <w:bCs/>
          <w:sz w:val="20"/>
        </w:rPr>
        <w:lastRenderedPageBreak/>
        <w:t>de los cuales dos o más entidades prestadoras de servicios públicos o éstas con grandes proveedores o usuarios, y</w:t>
      </w:r>
      <w:r w:rsidRPr="00C9143B">
        <w:rPr>
          <w:rFonts w:ascii="Verdana" w:eastAsia="Verdana" w:hAnsi="Verdana" w:cs="Verdana"/>
          <w:bCs/>
          <w:sz w:val="20"/>
          <w:lang w:val="es-ES"/>
        </w:rPr>
        <w:t xml:space="preserve"> </w:t>
      </w:r>
      <w:r w:rsidRPr="00C9143B">
        <w:rPr>
          <w:rFonts w:ascii="Verdana" w:eastAsia="Verdana" w:hAnsi="Verdana" w:cs="Verdana"/>
          <w:bCs/>
          <w:sz w:val="20"/>
        </w:rPr>
        <w:t>Contratos para la extensión de la prestación de un servicio.</w:t>
      </w:r>
    </w:p>
    <w:p w14:paraId="22468867" w14:textId="4B3BF00A" w:rsidR="00C9143B" w:rsidRPr="00C9143B" w:rsidRDefault="00C9143B" w:rsidP="001519C3">
      <w:pPr>
        <w:spacing w:after="0" w:line="240" w:lineRule="auto"/>
        <w:jc w:val="both"/>
        <w:rPr>
          <w:rFonts w:ascii="Verdana" w:eastAsia="Verdana" w:hAnsi="Verdana" w:cs="Verdana"/>
          <w:bCs/>
          <w:sz w:val="20"/>
        </w:rPr>
      </w:pPr>
      <w:r w:rsidRPr="00C9143B">
        <w:rPr>
          <w:rFonts w:ascii="Verdana" w:eastAsia="Verdana" w:hAnsi="Verdana" w:cs="Verdana"/>
          <w:bCs/>
          <w:sz w:val="20"/>
        </w:rPr>
        <w:t xml:space="preserve"> </w:t>
      </w:r>
    </w:p>
    <w:p w14:paraId="06EB8D4C" w14:textId="526AC2E3" w:rsidR="00C9143B" w:rsidRDefault="00C9143B" w:rsidP="001519C3">
      <w:pPr>
        <w:spacing w:after="0" w:line="240" w:lineRule="auto"/>
        <w:jc w:val="both"/>
        <w:rPr>
          <w:rFonts w:ascii="Verdana" w:eastAsia="Verdana" w:hAnsi="Verdana" w:cs="Verdana"/>
          <w:bCs/>
          <w:sz w:val="20"/>
        </w:rPr>
      </w:pPr>
      <w:r w:rsidRPr="00C9143B">
        <w:rPr>
          <w:rFonts w:ascii="Verdana" w:eastAsia="Verdana" w:hAnsi="Verdana" w:cs="Verdana"/>
          <w:bCs/>
          <w:sz w:val="20"/>
        </w:rPr>
        <w:t>El artículo 39, numeral 3, de la Ley 142 de 1994 dispone que el acceso del prestador de servicios públicos domiciliarios a determinados bienes o infraestructuras puede realizarse mediante diversas modalidades contractuales, tales como contratos de operación especializada, contratos de aporte bajo condición, contratos de administración, entre otros. Estos tipos contractuales están dentro de la categoría de contratos especiales, en la medida en que responden a las particularidades del régimen de los servicios públicos y se rigen por principios propios de eficiencia, continuidad y protección del interés general. Su propósito es facilitar la adecuada prestación del servicio, permitiendo esquemas flexibles de vinculación de bienes, recursos y capacidades técnicas, sin que implique necesariamente la transferencia definitiva de la propiedad.</w:t>
      </w:r>
    </w:p>
    <w:p w14:paraId="64C35827" w14:textId="77777777" w:rsidR="00C9143B" w:rsidRPr="00C9143B" w:rsidRDefault="00C9143B" w:rsidP="001519C3">
      <w:pPr>
        <w:spacing w:after="0" w:line="240" w:lineRule="auto"/>
        <w:jc w:val="both"/>
        <w:rPr>
          <w:rFonts w:ascii="Verdana" w:eastAsia="Verdana" w:hAnsi="Verdana" w:cs="Verdana"/>
          <w:bCs/>
          <w:sz w:val="20"/>
        </w:rPr>
      </w:pPr>
    </w:p>
    <w:p w14:paraId="159840BA" w14:textId="77777777" w:rsidR="00C9143B" w:rsidRPr="00C9143B" w:rsidRDefault="00C9143B" w:rsidP="001519C3">
      <w:pPr>
        <w:spacing w:after="0" w:line="240" w:lineRule="auto"/>
        <w:jc w:val="both"/>
        <w:rPr>
          <w:rFonts w:ascii="Verdana" w:eastAsia="Verdana" w:hAnsi="Verdana" w:cs="Verdana"/>
          <w:sz w:val="20"/>
        </w:rPr>
      </w:pPr>
      <w:r w:rsidRPr="00C9143B">
        <w:rPr>
          <w:rFonts w:ascii="Verdana" w:eastAsia="Verdana" w:hAnsi="Verdana" w:cs="Verdana"/>
          <w:bCs/>
          <w:sz w:val="20"/>
        </w:rPr>
        <w:t xml:space="preserve">Dentro de este conjunto, resulta especialmente relevante el contrato de aportes bajo condición, previsto en el numeral 9 del artículo 87 de la Ley 142 de 1994, </w:t>
      </w:r>
      <w:r w:rsidRPr="00C9143B">
        <w:rPr>
          <w:rFonts w:ascii="Verdana" w:eastAsia="Verdana" w:hAnsi="Verdana" w:cs="Verdana"/>
          <w:sz w:val="20"/>
        </w:rPr>
        <w:t xml:space="preserve">lo cual implica la entrega de bienes y derechos a un prestador de servicios públicos domiciliarios bajo la condición de que sean utilizados, mantenidos y conservados por el receptor para su posterior devolución. Por lo tanto, se trata de un contrato celebrado entre una entidad pública y una empresa de servicios públicos –oficial, mixta y privada con o sin participación estatal- con obligaciones recíprocas, cuyo objeto es la operación de unos bienes públicos en favor de una comunidad de usuarios, sin que el valor de los aportes pueda reflejarse en las tarifas. </w:t>
      </w:r>
    </w:p>
    <w:p w14:paraId="0B415019" w14:textId="77777777" w:rsidR="00090AEB" w:rsidRPr="00090AEB" w:rsidRDefault="00090AEB" w:rsidP="001519C3">
      <w:pPr>
        <w:spacing w:after="0" w:line="240" w:lineRule="auto"/>
        <w:jc w:val="both"/>
        <w:rPr>
          <w:rFonts w:ascii="Verdana" w:eastAsia="Verdana" w:hAnsi="Verdana" w:cs="Verdana"/>
          <w:b/>
        </w:rPr>
      </w:pPr>
    </w:p>
    <w:p w14:paraId="54E103F1" w14:textId="77777777" w:rsidR="00090AEB" w:rsidRPr="00090AEB" w:rsidRDefault="00090AEB" w:rsidP="001519C3">
      <w:pPr>
        <w:spacing w:after="0" w:line="240" w:lineRule="auto"/>
        <w:jc w:val="both"/>
        <w:rPr>
          <w:rFonts w:ascii="Verdana" w:eastAsia="Verdana" w:hAnsi="Verdana" w:cs="Verdana"/>
          <w:b/>
        </w:rPr>
      </w:pPr>
      <w:r w:rsidRPr="00090AEB">
        <w:rPr>
          <w:rFonts w:ascii="Verdana" w:eastAsia="Verdana" w:hAnsi="Verdana" w:cs="Verdana"/>
          <w:b/>
        </w:rPr>
        <w:t xml:space="preserve">CONTRATOS DE APORTE BAJO CONDICIÓN – Características – Régimen </w:t>
      </w:r>
    </w:p>
    <w:p w14:paraId="31EDA361" w14:textId="6280691A" w:rsidR="00090AEB" w:rsidRDefault="00090AEB" w:rsidP="001519C3">
      <w:pPr>
        <w:spacing w:after="0" w:line="240" w:lineRule="auto"/>
        <w:jc w:val="both"/>
        <w:rPr>
          <w:rFonts w:ascii="Verdana" w:eastAsia="Verdana" w:hAnsi="Verdana" w:cs="Verdana"/>
          <w:b/>
        </w:rPr>
      </w:pPr>
    </w:p>
    <w:p w14:paraId="734CEBD9" w14:textId="5C67D811" w:rsidR="00C9143B" w:rsidRPr="00C9143B" w:rsidRDefault="00C9143B" w:rsidP="001519C3">
      <w:pPr>
        <w:spacing w:after="0" w:line="240" w:lineRule="auto"/>
        <w:jc w:val="both"/>
        <w:rPr>
          <w:rFonts w:ascii="Verdana" w:eastAsia="Verdana" w:hAnsi="Verdana" w:cs="Verdana"/>
          <w:sz w:val="20"/>
        </w:rPr>
      </w:pPr>
      <w:r w:rsidRPr="00C9143B">
        <w:rPr>
          <w:rFonts w:ascii="Verdana" w:eastAsia="Verdana" w:hAnsi="Verdana" w:cs="Verdana"/>
          <w:sz w:val="20"/>
        </w:rPr>
        <w:t xml:space="preserve">Teniendo en cuenta lo expuesto sobre el contrato de aporte, se encuentra que es un contrato especial dentro de la Ley 142 de 1994 que tiene como propósito corregir distorsiones del mercado y a garantizar una mayor eficiencia en la prestación de los servicios públicos domiciliarios. En esta línea, los usuarios de menores ingresos mantienen intacto su acceso al subsidio, mientras que la ampliación de su alcance evita cargas injustificadas a otros usuarios y asegura que los beneficios derivados de bienes públicos entregados gratuitamente no se traduzcan en cobros indebidos. Al respecto, la Comisión de Regulación de Energía y Gas –CREG- manifestó: “[…] frente el artículo 87.9 de la Ley 142 de 1994 y en relación con la inclusión de dichos apartes dentro del cálculo de las tarifas que hayan de cobrarse a los usuarios, entiende esta Comisión que le corresponde a las empresas llevar a cabo su aplicación al momento de llevar a cabo la aplicación de las tarifas de los servicios públicos domiciliarios de energía eléctrica y gas combustible en el caso de darse los presupuestos a los que hace referencia dicha norma”. </w:t>
      </w:r>
    </w:p>
    <w:p w14:paraId="6BB0F657" w14:textId="3812AF17" w:rsidR="00C9143B" w:rsidRPr="00C9143B" w:rsidRDefault="00C9143B" w:rsidP="001519C3">
      <w:pPr>
        <w:spacing w:after="0" w:line="240" w:lineRule="auto"/>
        <w:jc w:val="both"/>
        <w:rPr>
          <w:rFonts w:ascii="Verdana" w:eastAsia="Verdana" w:hAnsi="Verdana" w:cs="Verdana"/>
          <w:b/>
        </w:rPr>
      </w:pPr>
    </w:p>
    <w:p w14:paraId="7EE75AB1" w14:textId="1DC3C61B" w:rsidR="00C9143B" w:rsidRPr="00C9143B" w:rsidRDefault="00C9143B" w:rsidP="001519C3">
      <w:pPr>
        <w:spacing w:after="0" w:line="240" w:lineRule="auto"/>
        <w:jc w:val="both"/>
        <w:rPr>
          <w:rFonts w:ascii="Verdana" w:eastAsia="Verdana" w:hAnsi="Verdana" w:cs="Verdana"/>
          <w:sz w:val="20"/>
          <w:szCs w:val="20"/>
        </w:rPr>
      </w:pPr>
      <w:r w:rsidRPr="00C9143B">
        <w:rPr>
          <w:rFonts w:ascii="Verdana" w:eastAsia="Verdana" w:hAnsi="Verdana" w:cs="Verdana"/>
          <w:sz w:val="20"/>
          <w:szCs w:val="20"/>
        </w:rPr>
        <w:t xml:space="preserve">Ahora bien, frente a la forma cómo debe contratarse los contratos de aportes bajo condición no se establece de forma expresa la modalidad de selección, sin embargo, se acude lo expresado por la Superintendencia de Servicios Públicos Domiciliarios, quien ha señalado que en todo caso, deben celebrarse previo el trámite de un proceso de selección </w:t>
      </w:r>
      <w:r w:rsidRPr="00C9143B">
        <w:rPr>
          <w:rFonts w:ascii="Verdana" w:eastAsia="Verdana" w:hAnsi="Verdana" w:cs="Verdana"/>
          <w:sz w:val="20"/>
          <w:szCs w:val="20"/>
        </w:rPr>
        <w:lastRenderedPageBreak/>
        <w:t xml:space="preserve">objetiva, adelantado de conformidad con lo dispuesto en el parágrafo del artículo 31 de la Ley 142 de 1994, esto es, bajo la modalidad de licitación pública. </w:t>
      </w:r>
    </w:p>
    <w:p w14:paraId="38511014" w14:textId="77777777" w:rsidR="00C9143B" w:rsidRPr="00C9143B" w:rsidRDefault="00C9143B" w:rsidP="001519C3">
      <w:pPr>
        <w:spacing w:after="0" w:line="240" w:lineRule="auto"/>
        <w:jc w:val="both"/>
        <w:rPr>
          <w:rFonts w:ascii="Verdana" w:eastAsia="Verdana" w:hAnsi="Verdana" w:cs="Verdana"/>
          <w:b/>
        </w:rPr>
      </w:pPr>
    </w:p>
    <w:p w14:paraId="7145C82A" w14:textId="6BEDD29A" w:rsidR="00090AEB" w:rsidRPr="00090AEB" w:rsidRDefault="00090AEB" w:rsidP="001519C3">
      <w:pPr>
        <w:spacing w:after="0" w:line="240" w:lineRule="auto"/>
        <w:jc w:val="both"/>
        <w:rPr>
          <w:rFonts w:ascii="Verdana" w:eastAsia="Verdana" w:hAnsi="Verdana" w:cs="Verdana"/>
          <w:b/>
        </w:rPr>
      </w:pPr>
      <w:r w:rsidRPr="00090AEB">
        <w:rPr>
          <w:rFonts w:ascii="Verdana" w:eastAsia="Verdana" w:hAnsi="Verdana" w:cs="Verdana"/>
          <w:b/>
        </w:rPr>
        <w:t xml:space="preserve">CONTRATOS DE APORTE BAJO CONDICIÓN – IPSE – Contratación directa </w:t>
      </w:r>
      <w:r w:rsidR="004F7CC1" w:rsidRPr="004F7CC1">
        <w:rPr>
          <w:rFonts w:ascii="Verdana" w:eastAsia="Verdana" w:hAnsi="Verdana" w:cs="Verdana"/>
          <w:b/>
          <w:bCs/>
          <w:lang w:val="es-ES"/>
        </w:rPr>
        <w:t>–</w:t>
      </w:r>
      <w:r w:rsidR="004F7CC1">
        <w:rPr>
          <w:rFonts w:ascii="Verdana" w:eastAsia="Verdana" w:hAnsi="Verdana" w:cs="Verdana"/>
          <w:b/>
          <w:bCs/>
          <w:lang w:val="es-ES"/>
        </w:rPr>
        <w:t xml:space="preserve"> </w:t>
      </w:r>
      <w:r w:rsidRPr="00090AEB">
        <w:rPr>
          <w:rFonts w:ascii="Verdana" w:eastAsia="Verdana" w:hAnsi="Verdana" w:cs="Verdana"/>
          <w:b/>
        </w:rPr>
        <w:t xml:space="preserve">Condiciones </w:t>
      </w:r>
    </w:p>
    <w:p w14:paraId="1C01F935" w14:textId="77777777" w:rsidR="00C9143B" w:rsidRPr="00C9143B" w:rsidRDefault="00C9143B" w:rsidP="001519C3">
      <w:pPr>
        <w:spacing w:after="0" w:line="240" w:lineRule="auto"/>
        <w:jc w:val="both"/>
        <w:rPr>
          <w:rFonts w:ascii="Verdana" w:eastAsia="Verdana" w:hAnsi="Verdana" w:cs="Verdana"/>
          <w:sz w:val="20"/>
        </w:rPr>
      </w:pPr>
    </w:p>
    <w:p w14:paraId="33F9F48E" w14:textId="68C606AE" w:rsidR="00C9143B" w:rsidRPr="00C9143B" w:rsidRDefault="00C9143B" w:rsidP="001519C3">
      <w:pPr>
        <w:spacing w:after="0" w:line="240" w:lineRule="auto"/>
        <w:jc w:val="both"/>
        <w:rPr>
          <w:rFonts w:ascii="Verdana" w:eastAsia="Verdana" w:hAnsi="Verdana" w:cs="Verdana"/>
          <w:bCs/>
          <w:sz w:val="20"/>
        </w:rPr>
      </w:pPr>
      <w:r w:rsidRPr="00C9143B">
        <w:rPr>
          <w:rFonts w:ascii="Verdana" w:eastAsia="Verdana" w:hAnsi="Verdana" w:cs="Verdana"/>
          <w:sz w:val="20"/>
        </w:rPr>
        <w:t xml:space="preserve">Ahora bien, comprendiendo este tipo de contratos, es necesario tener en cuenta el rol del IPSE, el cual es un Establecimiento Público del Orden Nacional, adscrito al Ministerio de Minas y Energía, con personería jurídica, patrimonio propio y autonomía administrativa, según lo prescrito en el Decreto 257 de 2004. Así mismo, el artículo 4 dispone dicha entidad tiene “[…] por objeto identificar, promover, fomentar, desarrollar e implementar soluciones energéticas mediante esquemas empresariales eficientes, viables financieramente y sostenibles en el largo plazo, procurando la satisfacción de las necesidades energéticas de las Zonas no Interconectadas, ZNI, apoyando técnicamente a las entidades definidas por el Ministerio de Minas y Energía”. En este sentido, cabe destacar los contratos de aporte especial bajo condición que adelanta al IPSE, por lo que hay que acudir al artículo 5 de la Resolución </w:t>
      </w:r>
      <w:r w:rsidRPr="00C9143B">
        <w:rPr>
          <w:rFonts w:ascii="Verdana" w:eastAsia="Verdana" w:hAnsi="Verdana" w:cs="Verdana"/>
          <w:bCs/>
          <w:sz w:val="20"/>
        </w:rPr>
        <w:t>202510000000895 de 2025.</w:t>
      </w:r>
    </w:p>
    <w:p w14:paraId="0FFB2DEF" w14:textId="459B7987" w:rsidR="00C9143B" w:rsidRPr="001519C3" w:rsidRDefault="00C9143B" w:rsidP="001519C3">
      <w:pPr>
        <w:spacing w:after="0" w:line="240" w:lineRule="auto"/>
        <w:jc w:val="both"/>
        <w:rPr>
          <w:rFonts w:ascii="Verdana" w:eastAsia="Verdana" w:hAnsi="Verdana" w:cs="Verdana"/>
          <w:sz w:val="20"/>
        </w:rPr>
      </w:pPr>
    </w:p>
    <w:p w14:paraId="55B774FE" w14:textId="77777777" w:rsidR="001519C3" w:rsidRPr="001519C3" w:rsidRDefault="001519C3" w:rsidP="001519C3">
      <w:pPr>
        <w:spacing w:after="0" w:line="240" w:lineRule="auto"/>
        <w:jc w:val="both"/>
        <w:rPr>
          <w:rFonts w:ascii="Verdana" w:eastAsia="Verdana" w:hAnsi="Verdana" w:cs="Verdana"/>
          <w:sz w:val="20"/>
        </w:rPr>
      </w:pPr>
      <w:r w:rsidRPr="001519C3">
        <w:rPr>
          <w:rFonts w:ascii="Verdana" w:eastAsia="Verdana" w:hAnsi="Verdana" w:cs="Verdana"/>
          <w:sz w:val="20"/>
        </w:rPr>
        <w:t xml:space="preserve">Del artículo precitado, se resalta el parágrafo segundo que establece una excepción al procedimiento general de asignación de activos por parte del IPSE, al permitir la </w:t>
      </w:r>
      <w:r w:rsidRPr="001519C3">
        <w:rPr>
          <w:rFonts w:ascii="Verdana" w:eastAsia="Verdana" w:hAnsi="Verdana" w:cs="Verdana"/>
          <w:bCs/>
          <w:sz w:val="20"/>
        </w:rPr>
        <w:t>entrega directa</w:t>
      </w:r>
      <w:r w:rsidRPr="001519C3">
        <w:rPr>
          <w:rFonts w:ascii="Verdana" w:eastAsia="Verdana" w:hAnsi="Verdana" w:cs="Verdana"/>
          <w:sz w:val="20"/>
        </w:rPr>
        <w:t xml:space="preserve"> de los mismos cuando existan condiciones objetivas y previamente sustentadas que así lo justifiquen. Dichas condiciones incluyen, entre otras, la presencia de </w:t>
      </w:r>
      <w:r w:rsidRPr="001519C3">
        <w:rPr>
          <w:rFonts w:ascii="Verdana" w:eastAsia="Verdana" w:hAnsi="Verdana" w:cs="Verdana"/>
          <w:bCs/>
          <w:sz w:val="20"/>
        </w:rPr>
        <w:t>monopolios naturales</w:t>
      </w:r>
      <w:r w:rsidRPr="001519C3">
        <w:rPr>
          <w:rFonts w:ascii="Verdana" w:eastAsia="Verdana" w:hAnsi="Verdana" w:cs="Verdana"/>
          <w:sz w:val="20"/>
        </w:rPr>
        <w:t xml:space="preserve">, definiciones regulatorias que reconozcan un </w:t>
      </w:r>
      <w:r w:rsidRPr="001519C3">
        <w:rPr>
          <w:rFonts w:ascii="Verdana" w:eastAsia="Verdana" w:hAnsi="Verdana" w:cs="Verdana"/>
          <w:bCs/>
          <w:sz w:val="20"/>
        </w:rPr>
        <w:t>ámbito de mercado preferente para un prestador incumbente</w:t>
      </w:r>
      <w:r w:rsidRPr="001519C3">
        <w:rPr>
          <w:rFonts w:ascii="Verdana" w:eastAsia="Verdana" w:hAnsi="Verdana" w:cs="Verdana"/>
          <w:sz w:val="20"/>
        </w:rPr>
        <w:t xml:space="preserve">, la existencia de </w:t>
      </w:r>
      <w:r w:rsidRPr="001519C3">
        <w:rPr>
          <w:rFonts w:ascii="Verdana" w:eastAsia="Verdana" w:hAnsi="Verdana" w:cs="Verdana"/>
          <w:bCs/>
          <w:sz w:val="20"/>
        </w:rPr>
        <w:t>esquemas empresariales consolidados</w:t>
      </w:r>
      <w:r w:rsidRPr="001519C3">
        <w:rPr>
          <w:rFonts w:ascii="Verdana" w:eastAsia="Verdana" w:hAnsi="Verdana" w:cs="Verdana"/>
          <w:sz w:val="20"/>
        </w:rPr>
        <w:t xml:space="preserve"> o </w:t>
      </w:r>
      <w:r w:rsidRPr="001519C3">
        <w:rPr>
          <w:rFonts w:ascii="Verdana" w:eastAsia="Verdana" w:hAnsi="Verdana" w:cs="Verdana"/>
          <w:bCs/>
          <w:sz w:val="20"/>
        </w:rPr>
        <w:t>modelos comunitarios robustos</w:t>
      </w:r>
      <w:r w:rsidRPr="001519C3">
        <w:rPr>
          <w:rFonts w:ascii="Verdana" w:eastAsia="Verdana" w:hAnsi="Verdana" w:cs="Verdana"/>
          <w:sz w:val="20"/>
        </w:rPr>
        <w:t xml:space="preserve"> en una Zona No Interconectada (ZNI) o en el mercado de comercialización correspondiente. </w:t>
      </w:r>
    </w:p>
    <w:p w14:paraId="789208C1" w14:textId="77777777" w:rsidR="001519C3" w:rsidRPr="00090AEB" w:rsidRDefault="001519C3" w:rsidP="001519C3">
      <w:pPr>
        <w:spacing w:after="0" w:line="240" w:lineRule="auto"/>
        <w:jc w:val="both"/>
        <w:rPr>
          <w:rFonts w:ascii="Verdana" w:eastAsia="Verdana" w:hAnsi="Verdana" w:cs="Verdana"/>
          <w:b/>
        </w:rPr>
      </w:pPr>
    </w:p>
    <w:p w14:paraId="68732EF0" w14:textId="61F2261A" w:rsidR="00090AEB" w:rsidRPr="00090AEB" w:rsidRDefault="00090AEB" w:rsidP="001519C3">
      <w:pPr>
        <w:spacing w:after="0" w:line="240" w:lineRule="auto"/>
        <w:jc w:val="both"/>
        <w:rPr>
          <w:rFonts w:ascii="Verdana" w:eastAsia="Verdana" w:hAnsi="Verdana" w:cs="Verdana"/>
          <w:b/>
        </w:rPr>
      </w:pPr>
      <w:r w:rsidRPr="00090AEB">
        <w:rPr>
          <w:rFonts w:ascii="Verdana" w:eastAsia="Verdana" w:hAnsi="Verdana" w:cs="Verdana"/>
          <w:b/>
        </w:rPr>
        <w:t xml:space="preserve">LEY DE GARANTÍAS </w:t>
      </w:r>
      <w:r w:rsidRPr="00090AEB">
        <w:rPr>
          <w:rFonts w:ascii="Verdana" w:eastAsia="Verdana" w:hAnsi="Verdana" w:cs="Verdana"/>
          <w:b/>
          <w:bCs/>
          <w:lang w:val="es-ES"/>
        </w:rPr>
        <w:t>ELECTORALES – Restricciones –</w:t>
      </w:r>
      <w:r w:rsidR="004F7CC1">
        <w:rPr>
          <w:rFonts w:ascii="Verdana" w:eastAsia="Verdana" w:hAnsi="Verdana" w:cs="Verdana"/>
          <w:b/>
          <w:bCs/>
          <w:lang w:val="es-ES"/>
        </w:rPr>
        <w:t xml:space="preserve"> </w:t>
      </w:r>
      <w:r w:rsidRPr="00090AEB">
        <w:rPr>
          <w:rFonts w:ascii="Verdana" w:eastAsia="Verdana" w:hAnsi="Verdana" w:cs="Verdana"/>
          <w:b/>
          <w:bCs/>
          <w:lang w:val="es-ES"/>
        </w:rPr>
        <w:t xml:space="preserve">Superintendencia de Servicios Públicos Domiciliarios </w:t>
      </w:r>
      <w:r w:rsidR="004F7CC1" w:rsidRPr="004F7CC1">
        <w:rPr>
          <w:rFonts w:ascii="Verdana" w:eastAsia="Verdana" w:hAnsi="Verdana" w:cs="Verdana"/>
          <w:b/>
          <w:bCs/>
          <w:lang w:val="es-ES"/>
        </w:rPr>
        <w:t>–</w:t>
      </w:r>
      <w:r w:rsidRPr="00090AEB">
        <w:rPr>
          <w:rFonts w:ascii="Verdana" w:eastAsia="Verdana" w:hAnsi="Verdana" w:cs="Verdana"/>
          <w:b/>
          <w:bCs/>
          <w:lang w:val="es-ES"/>
        </w:rPr>
        <w:t xml:space="preserve"> Postura </w:t>
      </w:r>
    </w:p>
    <w:p w14:paraId="5B5AE3B9" w14:textId="1C150707" w:rsidR="00090AEB" w:rsidRDefault="00090AEB" w:rsidP="001519C3">
      <w:pPr>
        <w:spacing w:after="0" w:line="240" w:lineRule="auto"/>
        <w:jc w:val="both"/>
        <w:rPr>
          <w:rFonts w:ascii="Verdana" w:eastAsia="Verdana" w:hAnsi="Verdana" w:cs="Verdana"/>
          <w:b/>
        </w:rPr>
      </w:pPr>
    </w:p>
    <w:p w14:paraId="2755617D" w14:textId="77777777" w:rsidR="001519C3" w:rsidRPr="001519C3" w:rsidRDefault="001519C3" w:rsidP="001519C3">
      <w:pPr>
        <w:spacing w:after="0" w:line="240" w:lineRule="auto"/>
        <w:jc w:val="both"/>
        <w:rPr>
          <w:rFonts w:ascii="Verdana" w:eastAsia="Verdana" w:hAnsi="Verdana" w:cs="Verdana"/>
          <w:sz w:val="20"/>
          <w:lang w:val="es-ES"/>
        </w:rPr>
      </w:pPr>
      <w:r w:rsidRPr="001519C3">
        <w:rPr>
          <w:rFonts w:ascii="Verdana" w:eastAsia="Verdana" w:hAnsi="Verdana" w:cs="Verdana"/>
          <w:sz w:val="20"/>
          <w:lang w:val="es-ES"/>
        </w:rPr>
        <w:t xml:space="preserve">Para este tema, se trae a colación </w:t>
      </w:r>
      <w:r w:rsidRPr="001519C3">
        <w:rPr>
          <w:rFonts w:ascii="Verdana" w:eastAsia="Verdana" w:hAnsi="Verdana" w:cs="Verdana"/>
          <w:sz w:val="20"/>
        </w:rPr>
        <w:t>la postura de la Superintendencia de Servicios Públicos sobre la restricción de Ley de Garantías frente a cierto tipo de contratos, como son l</w:t>
      </w:r>
      <w:r w:rsidRPr="001519C3">
        <w:rPr>
          <w:rFonts w:ascii="Verdana" w:eastAsia="Verdana" w:hAnsi="Verdana" w:cs="Verdana"/>
          <w:iCs/>
          <w:sz w:val="20"/>
        </w:rPr>
        <w:t xml:space="preserve">a celebración de contratos o convenios para la transferencia de recursos destinados a subsidios entre los entes territoriales y los prestadores de servicios públicos constituye una obligación legal esencial, exceptuando de la aplicación de la Ley de Garantías. Este organismo considera que estos convenios o contratos no son opcionales, pues permiten asegurar la continuidad y eficacia en la prestación de los servicios públicos. Por ello, deben interpretarse conforme a los principios y fines superiores del régimen de servicios públicos, los cuales prevalecen sobre las restricciones de la Ley 996 de 2005. En tal sentido, la Superintendencia en varios de sus conceptos expresa: </w:t>
      </w:r>
    </w:p>
    <w:p w14:paraId="1CA2B840" w14:textId="77777777" w:rsidR="001519C3" w:rsidRPr="001519C3" w:rsidRDefault="001519C3" w:rsidP="001519C3">
      <w:pPr>
        <w:spacing w:after="0" w:line="240" w:lineRule="auto"/>
        <w:jc w:val="both"/>
        <w:rPr>
          <w:rFonts w:ascii="Verdana" w:eastAsia="Verdana" w:hAnsi="Verdana" w:cs="Verdana"/>
          <w:sz w:val="20"/>
        </w:rPr>
      </w:pPr>
    </w:p>
    <w:p w14:paraId="29831FBB" w14:textId="77777777" w:rsidR="001519C3" w:rsidRPr="001519C3" w:rsidRDefault="001519C3" w:rsidP="001519C3">
      <w:pPr>
        <w:spacing w:after="0" w:line="240" w:lineRule="auto"/>
        <w:jc w:val="both"/>
        <w:rPr>
          <w:rFonts w:ascii="Verdana" w:eastAsia="Verdana" w:hAnsi="Verdana" w:cs="Verdana"/>
          <w:sz w:val="20"/>
        </w:rPr>
      </w:pPr>
      <w:r w:rsidRPr="001519C3">
        <w:rPr>
          <w:rFonts w:ascii="Verdana" w:eastAsia="Verdana" w:hAnsi="Verdana" w:cs="Verdana"/>
          <w:iCs/>
          <w:sz w:val="20"/>
        </w:rPr>
        <w:t xml:space="preserve">Bajo este escenario, la Superintendencia de Servicios Públicos Domiciliarios expresa que la regulación no contempla causales que permitan a los entes territoriales abstenerse de transferir los subsidios. Por el contrario, su incumplimiento puede constituir una violación </w:t>
      </w:r>
      <w:r w:rsidRPr="001519C3">
        <w:rPr>
          <w:rFonts w:ascii="Verdana" w:eastAsia="Verdana" w:hAnsi="Verdana" w:cs="Verdana"/>
          <w:iCs/>
          <w:sz w:val="20"/>
        </w:rPr>
        <w:lastRenderedPageBreak/>
        <w:t xml:space="preserve">al régimen de servicios públicos. Incluso si no se ha suscrito el contrato o convenio correspondiente, esta omisión no exime a las entidades territoriales de cumplir con su deber de transferir los recursos presupuestales necesarios para garantizar el equilibrio financiero del sistema y la adecuada prestación del servicio. Dicha postura de la Superintendencia de Servicios Públicos Domiciliarios no se basa en las excepciones establecidas en el artículo 33 de la Ley 996 de 2005 o en otras que contemple el ordenamiento jurídico, sino que se basa en el deber constitucional y legal de las entidades territoriales de transferir los subsidios a las empresas de servicios públicos domiciliarios. </w:t>
      </w:r>
    </w:p>
    <w:p w14:paraId="6DBB59B4" w14:textId="77777777" w:rsidR="001519C3" w:rsidRPr="00090AEB" w:rsidRDefault="001519C3" w:rsidP="001519C3">
      <w:pPr>
        <w:spacing w:after="0" w:line="240" w:lineRule="auto"/>
        <w:jc w:val="both"/>
        <w:rPr>
          <w:rFonts w:ascii="Verdana" w:eastAsia="Verdana" w:hAnsi="Verdana" w:cs="Verdana"/>
          <w:b/>
        </w:rPr>
      </w:pPr>
    </w:p>
    <w:p w14:paraId="6A778873" w14:textId="21AC97C7" w:rsidR="00090AEB" w:rsidRPr="00090AEB" w:rsidRDefault="00090AEB" w:rsidP="001519C3">
      <w:pPr>
        <w:spacing w:after="0" w:line="240" w:lineRule="auto"/>
        <w:jc w:val="both"/>
        <w:rPr>
          <w:rFonts w:ascii="Verdana" w:eastAsia="Verdana" w:hAnsi="Verdana" w:cs="Verdana"/>
          <w:b/>
        </w:rPr>
      </w:pPr>
      <w:r w:rsidRPr="00090AEB">
        <w:rPr>
          <w:rFonts w:ascii="Verdana" w:eastAsia="Verdana" w:hAnsi="Verdana" w:cs="Verdana"/>
          <w:b/>
        </w:rPr>
        <w:t>CONTRATOS ESPECIALES DE APORTE – Revisión – Ley de Garantías Electorales – Excepciones</w:t>
      </w:r>
    </w:p>
    <w:p w14:paraId="3A401E11" w14:textId="77777777" w:rsidR="00090AEB" w:rsidRPr="001519C3" w:rsidRDefault="00090AEB" w:rsidP="001519C3">
      <w:pPr>
        <w:spacing w:after="0" w:line="240" w:lineRule="auto"/>
        <w:jc w:val="both"/>
        <w:rPr>
          <w:rFonts w:ascii="Verdana" w:eastAsia="Verdana" w:hAnsi="Verdana" w:cs="Verdana"/>
          <w:sz w:val="20"/>
        </w:rPr>
      </w:pPr>
    </w:p>
    <w:p w14:paraId="7F3507E4" w14:textId="4F9748E2" w:rsidR="001519C3" w:rsidRPr="001519C3" w:rsidRDefault="001519C3" w:rsidP="001519C3">
      <w:pPr>
        <w:spacing w:after="0" w:line="240" w:lineRule="auto"/>
        <w:jc w:val="both"/>
        <w:rPr>
          <w:rFonts w:ascii="Verdana" w:eastAsia="Verdana" w:hAnsi="Verdana" w:cs="Verdana"/>
          <w:bCs/>
          <w:sz w:val="20"/>
          <w:lang w:val="es-ES"/>
        </w:rPr>
      </w:pPr>
      <w:r w:rsidRPr="001519C3">
        <w:rPr>
          <w:rFonts w:ascii="Verdana" w:eastAsia="Verdana" w:hAnsi="Verdana" w:cs="Verdana"/>
          <w:sz w:val="20"/>
          <w:lang w:val="es-ES"/>
        </w:rPr>
        <w:t xml:space="preserve">En todo caso, la Agencia considera que, la posibilidad de suscribir contratos especiales de aporte bajo condición entre entidades y empresas de servicios </w:t>
      </w:r>
      <w:r w:rsidR="004F7CC1" w:rsidRPr="001519C3">
        <w:rPr>
          <w:rFonts w:ascii="Verdana" w:eastAsia="Verdana" w:hAnsi="Verdana" w:cs="Verdana"/>
          <w:sz w:val="20"/>
          <w:lang w:val="es-ES"/>
        </w:rPr>
        <w:t>públicos</w:t>
      </w:r>
      <w:r w:rsidRPr="001519C3">
        <w:rPr>
          <w:rFonts w:ascii="Verdana" w:eastAsia="Verdana" w:hAnsi="Verdana" w:cs="Verdana"/>
          <w:sz w:val="20"/>
          <w:lang w:val="es-ES"/>
        </w:rPr>
        <w:t xml:space="preserve"> depende de si </w:t>
      </w:r>
      <w:proofErr w:type="gramStart"/>
      <w:r w:rsidRPr="001519C3">
        <w:rPr>
          <w:rFonts w:ascii="Verdana" w:eastAsia="Verdana" w:hAnsi="Verdana" w:cs="Verdana"/>
          <w:sz w:val="20"/>
          <w:lang w:val="es-ES"/>
        </w:rPr>
        <w:t>se enmarca dentro de</w:t>
      </w:r>
      <w:proofErr w:type="gramEnd"/>
      <w:r w:rsidRPr="001519C3">
        <w:rPr>
          <w:rFonts w:ascii="Verdana" w:eastAsia="Verdana" w:hAnsi="Verdana" w:cs="Verdana"/>
          <w:sz w:val="20"/>
          <w:lang w:val="es-ES"/>
        </w:rPr>
        <w:t xml:space="preserve"> las excepciones reguladas en el artículo 33 de la Ley 996 de 2005, sin perjuicio de lo expresado por la Sala de Consulta y Servicio Civil del Consejo que se expuso en las razones de la respuesta. De otra parte, posturas como la de la Superintendencia de Servicios Públicos acogen la posibilidad de celebrar</w:t>
      </w:r>
      <w:r w:rsidRPr="001519C3">
        <w:rPr>
          <w:rFonts w:ascii="Verdana" w:eastAsia="Verdana" w:hAnsi="Verdana" w:cs="Verdana"/>
          <w:bCs/>
          <w:sz w:val="20"/>
          <w:lang w:val="es-ES"/>
        </w:rPr>
        <w:t xml:space="preserve"> convenios y contratos por parte de las entidades con las empresas de servicios públicos domiciliarios en periodo preelectoral, basados en el deber de garantizar la prestación efectiva de los servicios públicos de las personas más vulnerables que tienen una estrecha relación con los derechos fundamentales</w:t>
      </w:r>
      <w:r w:rsidRPr="001519C3">
        <w:rPr>
          <w:rFonts w:ascii="Verdana" w:eastAsia="Verdana" w:hAnsi="Verdana" w:cs="Verdana"/>
          <w:sz w:val="20"/>
          <w:lang w:val="es-ES"/>
        </w:rPr>
        <w:t xml:space="preserve">. </w:t>
      </w:r>
      <w:r w:rsidRPr="001519C3">
        <w:rPr>
          <w:rFonts w:ascii="Verdana" w:eastAsia="Verdana" w:hAnsi="Verdana" w:cs="Verdana"/>
          <w:bCs/>
          <w:sz w:val="20"/>
          <w:lang w:val="es-ES"/>
        </w:rPr>
        <w:t xml:space="preserve"> </w:t>
      </w:r>
    </w:p>
    <w:p w14:paraId="27C8CDBA" w14:textId="77777777" w:rsidR="00090AEB" w:rsidRPr="001519C3" w:rsidRDefault="00090AEB" w:rsidP="00E33242">
      <w:pPr>
        <w:spacing w:after="0"/>
        <w:rPr>
          <w:rFonts w:ascii="Verdana" w:eastAsia="Verdana" w:hAnsi="Verdana" w:cs="Verdana"/>
          <w:lang w:val="es-ES"/>
        </w:rPr>
      </w:pPr>
    </w:p>
    <w:p w14:paraId="69295D94" w14:textId="28A0DC4D" w:rsidR="00090AEB" w:rsidRDefault="00090AEB" w:rsidP="00E33242">
      <w:pPr>
        <w:spacing w:after="0"/>
        <w:rPr>
          <w:rFonts w:ascii="Verdana" w:eastAsia="Verdana" w:hAnsi="Verdana" w:cs="Verdana"/>
        </w:rPr>
      </w:pPr>
    </w:p>
    <w:p w14:paraId="3E303237" w14:textId="1843E16E" w:rsidR="001519C3" w:rsidRDefault="001519C3" w:rsidP="00E33242">
      <w:pPr>
        <w:spacing w:after="0"/>
        <w:rPr>
          <w:rFonts w:ascii="Verdana" w:eastAsia="Verdana" w:hAnsi="Verdana" w:cs="Verdana"/>
        </w:rPr>
      </w:pPr>
    </w:p>
    <w:p w14:paraId="7F2BF3C7" w14:textId="46C03999" w:rsidR="001519C3" w:rsidRDefault="001519C3" w:rsidP="00E33242">
      <w:pPr>
        <w:spacing w:after="0"/>
        <w:rPr>
          <w:rFonts w:ascii="Verdana" w:eastAsia="Verdana" w:hAnsi="Verdana" w:cs="Verdana"/>
        </w:rPr>
      </w:pPr>
    </w:p>
    <w:p w14:paraId="576E8004" w14:textId="4E1461E9" w:rsidR="001519C3" w:rsidRDefault="001519C3" w:rsidP="00E33242">
      <w:pPr>
        <w:spacing w:after="0"/>
        <w:rPr>
          <w:rFonts w:ascii="Verdana" w:eastAsia="Verdana" w:hAnsi="Verdana" w:cs="Verdana"/>
        </w:rPr>
      </w:pPr>
    </w:p>
    <w:p w14:paraId="7EFCF57E" w14:textId="2B94CE16" w:rsidR="001519C3" w:rsidRDefault="001519C3" w:rsidP="00E33242">
      <w:pPr>
        <w:spacing w:after="0"/>
        <w:rPr>
          <w:rFonts w:ascii="Verdana" w:eastAsia="Verdana" w:hAnsi="Verdana" w:cs="Verdana"/>
        </w:rPr>
      </w:pPr>
    </w:p>
    <w:p w14:paraId="06B2E176" w14:textId="58C7B288" w:rsidR="001519C3" w:rsidRDefault="001519C3" w:rsidP="00E33242">
      <w:pPr>
        <w:spacing w:after="0"/>
        <w:rPr>
          <w:rFonts w:ascii="Verdana" w:eastAsia="Verdana" w:hAnsi="Verdana" w:cs="Verdana"/>
        </w:rPr>
      </w:pPr>
    </w:p>
    <w:p w14:paraId="0018FB47" w14:textId="67E85CEE" w:rsidR="001519C3" w:rsidRDefault="001519C3" w:rsidP="00E33242">
      <w:pPr>
        <w:spacing w:after="0"/>
        <w:rPr>
          <w:rFonts w:ascii="Verdana" w:eastAsia="Verdana" w:hAnsi="Verdana" w:cs="Verdana"/>
        </w:rPr>
      </w:pPr>
    </w:p>
    <w:p w14:paraId="5841FB63" w14:textId="0997DC0F" w:rsidR="001519C3" w:rsidRDefault="001519C3" w:rsidP="00E33242">
      <w:pPr>
        <w:spacing w:after="0"/>
        <w:rPr>
          <w:rFonts w:ascii="Verdana" w:eastAsia="Verdana" w:hAnsi="Verdana" w:cs="Verdana"/>
        </w:rPr>
      </w:pPr>
    </w:p>
    <w:p w14:paraId="21E1D6C3" w14:textId="4E248794" w:rsidR="001519C3" w:rsidRDefault="001519C3" w:rsidP="00E33242">
      <w:pPr>
        <w:spacing w:after="0"/>
        <w:rPr>
          <w:rFonts w:ascii="Verdana" w:eastAsia="Verdana" w:hAnsi="Verdana" w:cs="Verdana"/>
        </w:rPr>
      </w:pPr>
    </w:p>
    <w:p w14:paraId="6A72063D" w14:textId="21A142B6" w:rsidR="001519C3" w:rsidRDefault="001519C3" w:rsidP="00E33242">
      <w:pPr>
        <w:spacing w:after="0"/>
        <w:rPr>
          <w:rFonts w:ascii="Verdana" w:eastAsia="Verdana" w:hAnsi="Verdana" w:cs="Verdana"/>
        </w:rPr>
      </w:pPr>
    </w:p>
    <w:p w14:paraId="4289032E" w14:textId="59B3C238" w:rsidR="001519C3" w:rsidRDefault="001519C3" w:rsidP="00E33242">
      <w:pPr>
        <w:spacing w:after="0"/>
        <w:rPr>
          <w:rFonts w:ascii="Verdana" w:eastAsia="Verdana" w:hAnsi="Verdana" w:cs="Verdana"/>
        </w:rPr>
      </w:pPr>
    </w:p>
    <w:p w14:paraId="602ED3FB" w14:textId="7B2EEC67" w:rsidR="001519C3" w:rsidRDefault="001519C3" w:rsidP="00E33242">
      <w:pPr>
        <w:spacing w:after="0"/>
        <w:rPr>
          <w:rFonts w:ascii="Verdana" w:eastAsia="Verdana" w:hAnsi="Verdana" w:cs="Verdana"/>
        </w:rPr>
      </w:pPr>
    </w:p>
    <w:p w14:paraId="523029BF" w14:textId="77777777" w:rsidR="001519C3" w:rsidRDefault="001519C3" w:rsidP="00E33242">
      <w:pPr>
        <w:spacing w:after="0"/>
        <w:rPr>
          <w:rFonts w:ascii="Verdana" w:eastAsia="Verdana" w:hAnsi="Verdana" w:cs="Verdana"/>
        </w:rPr>
      </w:pPr>
    </w:p>
    <w:p w14:paraId="2ED5B743" w14:textId="77777777" w:rsidR="00090AEB" w:rsidRDefault="00090AEB" w:rsidP="00E33242">
      <w:pPr>
        <w:spacing w:after="0"/>
        <w:rPr>
          <w:rFonts w:ascii="Verdana" w:eastAsia="Verdana" w:hAnsi="Verdana" w:cs="Verdana"/>
        </w:rPr>
      </w:pPr>
    </w:p>
    <w:p w14:paraId="5072E4E7" w14:textId="3F9DAAA0" w:rsidR="00E33242" w:rsidRPr="00891006" w:rsidRDefault="00090AEB" w:rsidP="001519C3">
      <w:pPr>
        <w:spacing w:after="0" w:line="240" w:lineRule="auto"/>
        <w:rPr>
          <w:rFonts w:ascii="Verdana" w:hAnsi="Verdana"/>
        </w:rPr>
      </w:pPr>
      <w:r w:rsidRPr="00090AEB">
        <w:rPr>
          <w:noProof/>
          <w:lang w:val="en-US"/>
        </w:rPr>
        <w:lastRenderedPageBreak/>
        <w:drawing>
          <wp:anchor distT="0" distB="0" distL="114300" distR="114300" simplePos="0" relativeHeight="251658240" behindDoc="0" locked="0" layoutInCell="1" allowOverlap="1" wp14:anchorId="1E413A08" wp14:editId="6E781B4F">
            <wp:simplePos x="0" y="0"/>
            <wp:positionH relativeFrom="margin">
              <wp:align>right</wp:align>
            </wp:positionH>
            <wp:positionV relativeFrom="paragraph">
              <wp:posOffset>182158</wp:posOffset>
            </wp:positionV>
            <wp:extent cx="2837180" cy="782955"/>
            <wp:effectExtent l="0" t="0" r="1270"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37180" cy="78295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Verdana" w:eastAsia="Verdana" w:hAnsi="Verdana" w:cs="Verdana"/>
        </w:rPr>
        <w:t>Bogotá D.C., 14 de mayo de 2026</w:t>
      </w:r>
      <w:r w:rsidR="00E33242">
        <w:br/>
      </w:r>
    </w:p>
    <w:p w14:paraId="62C449A8" w14:textId="77777777" w:rsidR="00E33242" w:rsidRPr="00891006" w:rsidRDefault="00E33242" w:rsidP="001519C3">
      <w:pPr>
        <w:spacing w:after="0" w:line="240" w:lineRule="auto"/>
        <w:rPr>
          <w:rFonts w:ascii="Verdana" w:hAnsi="Verdana"/>
        </w:rPr>
      </w:pPr>
    </w:p>
    <w:p w14:paraId="1F4AA6C6" w14:textId="77777777" w:rsidR="00E33242" w:rsidRPr="00E33242" w:rsidRDefault="00E33242" w:rsidP="001519C3">
      <w:pPr>
        <w:spacing w:after="0" w:line="240" w:lineRule="auto"/>
        <w:rPr>
          <w:rFonts w:ascii="Verdana" w:eastAsia="Calibri" w:hAnsi="Verdana" w:cs="Times New Roman"/>
          <w:lang w:val="en-US"/>
        </w:rPr>
      </w:pPr>
      <w:proofErr w:type="spellStart"/>
      <w:r w:rsidRPr="00E33242">
        <w:rPr>
          <w:rFonts w:ascii="Verdana" w:eastAsia="Calibri" w:hAnsi="Verdana" w:cs="Times New Roman"/>
          <w:lang w:val="en-US"/>
        </w:rPr>
        <w:t>Señora</w:t>
      </w:r>
      <w:proofErr w:type="spellEnd"/>
    </w:p>
    <w:p w14:paraId="0DECAD42" w14:textId="77777777" w:rsidR="00E33242" w:rsidRPr="00E33242" w:rsidRDefault="00E33242" w:rsidP="001519C3">
      <w:pPr>
        <w:spacing w:after="0" w:line="240" w:lineRule="auto"/>
        <w:rPr>
          <w:rFonts w:ascii="Verdana" w:eastAsia="Calibri" w:hAnsi="Verdana" w:cs="Times New Roman"/>
          <w:b/>
          <w:lang w:val="en-US"/>
        </w:rPr>
      </w:pPr>
      <w:r w:rsidRPr="00E33242">
        <w:rPr>
          <w:rFonts w:ascii="Verdana" w:eastAsia="Calibri" w:hAnsi="Verdana" w:cs="Times New Roman"/>
          <w:b/>
          <w:lang w:val="en-US"/>
        </w:rPr>
        <w:t>Anyi Sharlyn Marin Camargo</w:t>
      </w:r>
    </w:p>
    <w:p w14:paraId="4BBF80B6" w14:textId="77777777" w:rsidR="00E33242" w:rsidRPr="00E33242" w:rsidRDefault="00E33242" w:rsidP="001519C3">
      <w:pPr>
        <w:spacing w:after="0" w:line="240" w:lineRule="auto"/>
        <w:rPr>
          <w:rFonts w:ascii="Verdana" w:eastAsia="Calibri" w:hAnsi="Verdana" w:cs="Times New Roman"/>
          <w:lang w:val="en-US"/>
        </w:rPr>
      </w:pPr>
      <w:hyperlink r:id="rId12" w:history="1">
        <w:r w:rsidRPr="00E33242">
          <w:rPr>
            <w:rStyle w:val="Hipervnculo"/>
            <w:rFonts w:ascii="Verdana" w:eastAsia="Calibri" w:hAnsi="Verdana" w:cs="Times New Roman"/>
            <w:lang w:val="en-US"/>
          </w:rPr>
          <w:t>notificaciones@ipse.gov.co</w:t>
        </w:r>
      </w:hyperlink>
      <w:r w:rsidRPr="00E33242">
        <w:rPr>
          <w:rFonts w:ascii="Verdana" w:eastAsia="Calibri" w:hAnsi="Verdana" w:cs="Times New Roman"/>
          <w:lang w:val="en-US"/>
        </w:rPr>
        <w:t xml:space="preserve">; </w:t>
      </w:r>
      <w:hyperlink r:id="rId13" w:history="1">
        <w:r w:rsidRPr="00E33242">
          <w:rPr>
            <w:rStyle w:val="Hipervnculo"/>
            <w:rFonts w:ascii="Verdana" w:eastAsia="Calibri" w:hAnsi="Verdana" w:cs="Times New Roman"/>
            <w:lang w:val="en-US"/>
          </w:rPr>
          <w:t>ipse@ipse.gov.co</w:t>
        </w:r>
      </w:hyperlink>
      <w:r w:rsidRPr="00E33242">
        <w:rPr>
          <w:rFonts w:ascii="Verdana" w:eastAsia="Calibri" w:hAnsi="Verdana" w:cs="Times New Roman"/>
          <w:lang w:val="en-US"/>
        </w:rPr>
        <w:t xml:space="preserve"> </w:t>
      </w:r>
    </w:p>
    <w:p w14:paraId="0CB9A7C1" w14:textId="77777777" w:rsidR="00E33242" w:rsidRPr="001C636A" w:rsidRDefault="00E33242" w:rsidP="001519C3">
      <w:pPr>
        <w:spacing w:after="0" w:line="240" w:lineRule="auto"/>
        <w:rPr>
          <w:rFonts w:ascii="Verdana" w:eastAsia="Calibri" w:hAnsi="Verdana" w:cs="Times New Roman"/>
        </w:rPr>
      </w:pPr>
      <w:r w:rsidRPr="001C636A">
        <w:rPr>
          <w:rFonts w:ascii="Verdana" w:eastAsia="Calibri" w:hAnsi="Verdana" w:cs="Times New Roman"/>
        </w:rPr>
        <w:t xml:space="preserve">Bogotá D.C. </w:t>
      </w:r>
    </w:p>
    <w:p w14:paraId="49653E3A" w14:textId="77777777" w:rsidR="00E33242" w:rsidRPr="001C636A" w:rsidRDefault="00E33242" w:rsidP="00E33242">
      <w:pPr>
        <w:spacing w:after="0" w:line="240" w:lineRule="auto"/>
        <w:rPr>
          <w:rFonts w:ascii="Verdana" w:eastAsia="Calibri" w:hAnsi="Verdana" w:cs="Times New Roman"/>
        </w:rPr>
      </w:pPr>
    </w:p>
    <w:p w14:paraId="4C1109DE" w14:textId="77777777" w:rsidR="00E33242" w:rsidRPr="001C636A" w:rsidRDefault="00E33242" w:rsidP="00E33242">
      <w:pPr>
        <w:spacing w:after="0" w:line="240" w:lineRule="auto"/>
        <w:rPr>
          <w:rFonts w:ascii="Verdana" w:eastAsia="Calibri" w:hAnsi="Verdana" w:cs="Times New Roman"/>
        </w:rPr>
      </w:pPr>
    </w:p>
    <w:p w14:paraId="44B45879" w14:textId="77777777" w:rsidR="00E33242" w:rsidRPr="00891006" w:rsidRDefault="00E33242" w:rsidP="00E33242">
      <w:pPr>
        <w:spacing w:after="0" w:line="240" w:lineRule="auto"/>
        <w:rPr>
          <w:rFonts w:ascii="Verdana" w:eastAsia="Calibri" w:hAnsi="Verdana" w:cs="Times New Roman"/>
          <w:b/>
          <w:bCs/>
        </w:rPr>
      </w:pPr>
      <w:r w:rsidRPr="001C636A">
        <w:rPr>
          <w:rFonts w:ascii="Verdana" w:eastAsia="Calibri" w:hAnsi="Verdana" w:cs="Times New Roman"/>
          <w:b/>
          <w:bCs/>
        </w:rPr>
        <w:t xml:space="preserve">                                    </w:t>
      </w:r>
      <w:r>
        <w:rPr>
          <w:rFonts w:ascii="Verdana" w:eastAsia="Calibri" w:hAnsi="Verdana" w:cs="Times New Roman"/>
          <w:b/>
          <w:bCs/>
        </w:rPr>
        <w:t>Concepto C- 618</w:t>
      </w:r>
      <w:r w:rsidRPr="00891006">
        <w:rPr>
          <w:rFonts w:ascii="Verdana" w:eastAsia="Calibri" w:hAnsi="Verdana" w:cs="Times New Roman"/>
          <w:b/>
          <w:bCs/>
        </w:rPr>
        <w:t xml:space="preserve"> de 2026</w:t>
      </w:r>
    </w:p>
    <w:p w14:paraId="55B2F718" w14:textId="77777777" w:rsidR="00E33242" w:rsidRPr="00891006" w:rsidRDefault="00E33242" w:rsidP="00E33242">
      <w:pPr>
        <w:spacing w:after="0" w:line="256" w:lineRule="auto"/>
        <w:rPr>
          <w:rFonts w:ascii="Verdana" w:eastAsia="Calibri" w:hAnsi="Verdana" w:cs="Times New Roman"/>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E33242" w:rsidRPr="00891006" w14:paraId="3AA9707B" w14:textId="77777777" w:rsidTr="007E2C2E">
        <w:trPr>
          <w:trHeight w:val="645"/>
        </w:trPr>
        <w:tc>
          <w:tcPr>
            <w:tcW w:w="2685" w:type="dxa"/>
            <w:hideMark/>
          </w:tcPr>
          <w:p w14:paraId="4DBE2517" w14:textId="77777777" w:rsidR="00E33242" w:rsidRPr="00891006" w:rsidRDefault="00E33242" w:rsidP="007E2C2E">
            <w:pPr>
              <w:spacing w:line="256" w:lineRule="auto"/>
              <w:rPr>
                <w:rFonts w:ascii="Verdana" w:hAnsi="Verdana"/>
                <w:b/>
                <w:bCs/>
              </w:rPr>
            </w:pPr>
            <w:r w:rsidRPr="00891006">
              <w:rPr>
                <w:rFonts w:ascii="Verdana" w:hAnsi="Verdana"/>
                <w:b/>
                <w:bCs/>
              </w:rPr>
              <w:t xml:space="preserve">Temas:                   </w:t>
            </w:r>
          </w:p>
        </w:tc>
        <w:tc>
          <w:tcPr>
            <w:tcW w:w="6241" w:type="dxa"/>
            <w:hideMark/>
          </w:tcPr>
          <w:p w14:paraId="12A1C73D" w14:textId="3DD286E7" w:rsidR="00E33242" w:rsidRPr="00891006" w:rsidRDefault="00E33242" w:rsidP="007E2C2E">
            <w:pPr>
              <w:spacing w:line="276" w:lineRule="auto"/>
              <w:jc w:val="both"/>
              <w:rPr>
                <w:rFonts w:ascii="Verdana" w:hAnsi="Verdana" w:cs="Arial"/>
                <w:lang w:eastAsia="es-ES"/>
              </w:rPr>
            </w:pPr>
            <w:r w:rsidRPr="00891006">
              <w:rPr>
                <w:rFonts w:ascii="Verdana" w:hAnsi="Verdana" w:cs="Arial"/>
                <w:lang w:eastAsia="es-ES_tradnl"/>
              </w:rPr>
              <w:t xml:space="preserve">LEY DE GARANTÍAS ELECTORALES </w:t>
            </w:r>
            <w:r w:rsidRPr="00891006">
              <w:rPr>
                <w:rFonts w:ascii="Verdana" w:hAnsi="Verdana" w:cs="Arial"/>
                <w:bCs/>
                <w:lang w:eastAsia="es-ES_tradnl"/>
              </w:rPr>
              <w:t>‒</w:t>
            </w:r>
            <w:r w:rsidRPr="00891006">
              <w:rPr>
                <w:rFonts w:ascii="Verdana" w:hAnsi="Verdana" w:cs="Arial"/>
                <w:lang w:eastAsia="es-ES_tradnl"/>
              </w:rPr>
              <w:t xml:space="preserve"> Finalidad / LEY DE GARANTÍAS ELECTORALES </w:t>
            </w:r>
            <w:r w:rsidRPr="00891006">
              <w:rPr>
                <w:rFonts w:ascii="Verdana" w:hAnsi="Verdana" w:cs="Arial"/>
                <w:bCs/>
                <w:lang w:eastAsia="es-ES_tradnl"/>
              </w:rPr>
              <w:t>‒</w:t>
            </w:r>
            <w:r w:rsidRPr="00891006">
              <w:rPr>
                <w:rFonts w:ascii="Verdana" w:hAnsi="Verdana" w:cs="Arial"/>
                <w:lang w:eastAsia="es-ES_tradnl"/>
              </w:rPr>
              <w:t xml:space="preserve"> Tipos de restricciones </w:t>
            </w:r>
            <w:r w:rsidRPr="00891006">
              <w:rPr>
                <w:rFonts w:ascii="Verdana" w:hAnsi="Verdana" w:cs="Arial"/>
                <w:bCs/>
                <w:lang w:eastAsia="es-ES_tradnl"/>
              </w:rPr>
              <w:t>‒</w:t>
            </w:r>
            <w:r w:rsidRPr="00891006">
              <w:rPr>
                <w:rFonts w:ascii="Verdana" w:hAnsi="Verdana" w:cs="Arial"/>
                <w:lang w:eastAsia="es-ES_tradnl"/>
              </w:rPr>
              <w:t xml:space="preserve"> Ámbito temporal – celebración- límite / LEY DE GARANTÍAS ELECTORALES – Prohibición artículo 33 – Contratación directa – Alcance / LEY DE GARANTÍAS ELECTORALES – Prohibición del artículo 33 – Destinatarios</w:t>
            </w:r>
            <w:r>
              <w:rPr>
                <w:rFonts w:ascii="Verdana" w:hAnsi="Verdana" w:cs="Arial"/>
                <w:lang w:eastAsia="es-ES_tradnl"/>
              </w:rPr>
              <w:t xml:space="preserve"> /</w:t>
            </w:r>
            <w:r w:rsidRPr="00891006">
              <w:rPr>
                <w:rFonts w:ascii="Verdana" w:hAnsi="Verdana" w:cs="Arial"/>
                <w:lang w:eastAsia="es-ES_tradnl"/>
              </w:rPr>
              <w:t xml:space="preserve"> LEY DE GARANTÍAS ELECTORALES – Excepciones / </w:t>
            </w:r>
            <w:r>
              <w:rPr>
                <w:rFonts w:ascii="Verdana" w:hAnsi="Verdana" w:cs="Arial"/>
                <w:lang w:eastAsia="es-ES_tradnl"/>
              </w:rPr>
              <w:t>LEY DE GARANTÍAS ELECTORALES – Excepciones – Posturas de la Sala de Consulta y Servicio del Consejo de Estado / CONTRATOS ESP</w:t>
            </w:r>
            <w:r w:rsidR="00C9143B">
              <w:rPr>
                <w:rFonts w:ascii="Verdana" w:hAnsi="Verdana" w:cs="Arial"/>
                <w:lang w:eastAsia="es-ES_tradnl"/>
              </w:rPr>
              <w:t>E</w:t>
            </w:r>
            <w:r>
              <w:rPr>
                <w:rFonts w:ascii="Verdana" w:hAnsi="Verdana" w:cs="Arial"/>
                <w:lang w:eastAsia="es-ES_tradnl"/>
              </w:rPr>
              <w:t xml:space="preserve">CIALES – Contratos de aporte bajo condición / CONTRATOS DE APORTE BAJO CONDICIÓN – Características – Régimen  / CONTRATOS DE APORTE BAJO CONDICIÓN – IPSE – Contratación directa -Condiciones / LEY DE GARANTÍAS </w:t>
            </w:r>
            <w:r w:rsidRPr="00123807">
              <w:rPr>
                <w:rFonts w:ascii="Verdana" w:hAnsi="Verdana" w:cs="Arial"/>
                <w:bCs/>
                <w:lang w:val="es-ES" w:eastAsia="es-ES_tradnl"/>
              </w:rPr>
              <w:t>ELECTORALES – Restricciones –Superintendencia de Servicios Públicos Domiciliarios</w:t>
            </w:r>
            <w:r>
              <w:rPr>
                <w:rFonts w:ascii="Verdana" w:hAnsi="Verdana" w:cs="Arial"/>
                <w:bCs/>
                <w:lang w:val="es-ES" w:eastAsia="es-ES_tradnl"/>
              </w:rPr>
              <w:t xml:space="preserve"> - Postura</w:t>
            </w:r>
            <w:r w:rsidRPr="00123807">
              <w:rPr>
                <w:rFonts w:ascii="Verdana" w:hAnsi="Verdana" w:cs="Arial"/>
                <w:bCs/>
                <w:lang w:val="es-ES" w:eastAsia="es-ES_tradnl"/>
              </w:rPr>
              <w:t xml:space="preserve"> </w:t>
            </w:r>
            <w:r>
              <w:rPr>
                <w:rFonts w:ascii="Verdana" w:hAnsi="Verdana" w:cs="Arial"/>
                <w:lang w:eastAsia="es-ES_tradnl"/>
              </w:rPr>
              <w:t xml:space="preserve">/ CONTRATOS ESPECIALES DE APORTE – Revisión – Ley de Garantías Electorales – Excepciones. </w:t>
            </w:r>
          </w:p>
        </w:tc>
        <w:tc>
          <w:tcPr>
            <w:tcW w:w="6237" w:type="dxa"/>
          </w:tcPr>
          <w:p w14:paraId="63652781" w14:textId="77777777" w:rsidR="00E33242" w:rsidRPr="00891006" w:rsidRDefault="00E33242" w:rsidP="007E2C2E">
            <w:pPr>
              <w:spacing w:line="276" w:lineRule="auto"/>
              <w:rPr>
                <w:rFonts w:ascii="Verdana" w:hAnsi="Verdana"/>
              </w:rPr>
            </w:pPr>
          </w:p>
        </w:tc>
      </w:tr>
      <w:tr w:rsidR="00E33242" w:rsidRPr="00380CA4" w14:paraId="7CADC4F2" w14:textId="77777777" w:rsidTr="007E2C2E">
        <w:tc>
          <w:tcPr>
            <w:tcW w:w="2685" w:type="dxa"/>
          </w:tcPr>
          <w:p w14:paraId="114CF8C0" w14:textId="77777777" w:rsidR="00E33242" w:rsidRPr="00380CA4" w:rsidRDefault="00E33242" w:rsidP="007E2C2E">
            <w:pPr>
              <w:rPr>
                <w:rFonts w:ascii="Verdana" w:hAnsi="Verdana"/>
                <w:b/>
                <w:bCs/>
              </w:rPr>
            </w:pPr>
          </w:p>
          <w:p w14:paraId="50EF9DF6" w14:textId="77777777" w:rsidR="00E33242" w:rsidRPr="00380CA4" w:rsidRDefault="00E33242" w:rsidP="007E2C2E">
            <w:pPr>
              <w:rPr>
                <w:rFonts w:ascii="Verdana" w:hAnsi="Verdana"/>
                <w:b/>
                <w:bCs/>
              </w:rPr>
            </w:pPr>
            <w:r w:rsidRPr="00380CA4">
              <w:rPr>
                <w:rFonts w:ascii="Verdana" w:hAnsi="Verdana"/>
                <w:b/>
                <w:bCs/>
              </w:rPr>
              <w:t xml:space="preserve">Radicación:               </w:t>
            </w:r>
          </w:p>
        </w:tc>
        <w:tc>
          <w:tcPr>
            <w:tcW w:w="6241" w:type="dxa"/>
          </w:tcPr>
          <w:p w14:paraId="138BD9C3" w14:textId="77777777" w:rsidR="00E33242" w:rsidRPr="00380CA4" w:rsidRDefault="00E33242" w:rsidP="007E2C2E">
            <w:pPr>
              <w:jc w:val="both"/>
              <w:rPr>
                <w:rFonts w:ascii="Verdana" w:hAnsi="Verdana"/>
              </w:rPr>
            </w:pPr>
          </w:p>
          <w:p w14:paraId="772DB6D3" w14:textId="77777777" w:rsidR="00E33242" w:rsidRPr="00380CA4" w:rsidRDefault="00E33242" w:rsidP="007E2C2E">
            <w:pPr>
              <w:jc w:val="both"/>
              <w:rPr>
                <w:rFonts w:ascii="Verdana" w:hAnsi="Verdana"/>
              </w:rPr>
            </w:pPr>
            <w:r w:rsidRPr="00380CA4">
              <w:rPr>
                <w:rFonts w:ascii="Verdana" w:hAnsi="Verdana"/>
              </w:rPr>
              <w:t xml:space="preserve">Respuesta a </w:t>
            </w:r>
            <w:r>
              <w:rPr>
                <w:rFonts w:ascii="Verdana" w:hAnsi="Verdana"/>
              </w:rPr>
              <w:t xml:space="preserve">consulta con radicado No. </w:t>
            </w:r>
            <w:r w:rsidRPr="00992456">
              <w:rPr>
                <w:rFonts w:ascii="Verdana" w:hAnsi="Verdana"/>
              </w:rPr>
              <w:t>1_2026_04_15_005101</w:t>
            </w:r>
            <w:r>
              <w:rPr>
                <w:rFonts w:ascii="Verdana" w:hAnsi="Verdana"/>
              </w:rPr>
              <w:t xml:space="preserve"> </w:t>
            </w:r>
          </w:p>
          <w:p w14:paraId="2FCBA434" w14:textId="77777777" w:rsidR="00E33242" w:rsidRPr="00380CA4" w:rsidRDefault="00E33242" w:rsidP="007E2C2E">
            <w:pPr>
              <w:jc w:val="both"/>
              <w:rPr>
                <w:rFonts w:ascii="Verdana" w:hAnsi="Verdana"/>
              </w:rPr>
            </w:pPr>
          </w:p>
          <w:p w14:paraId="326739EE" w14:textId="77777777" w:rsidR="00E33242" w:rsidRPr="00380CA4" w:rsidRDefault="00E33242" w:rsidP="007E2C2E">
            <w:pPr>
              <w:jc w:val="both"/>
              <w:rPr>
                <w:rFonts w:ascii="Verdana" w:hAnsi="Verdana"/>
              </w:rPr>
            </w:pPr>
          </w:p>
        </w:tc>
        <w:tc>
          <w:tcPr>
            <w:tcW w:w="6237" w:type="dxa"/>
          </w:tcPr>
          <w:p w14:paraId="3D262D89" w14:textId="77777777" w:rsidR="00E33242" w:rsidRPr="00380CA4" w:rsidRDefault="00E33242" w:rsidP="007E2C2E">
            <w:pPr>
              <w:spacing w:line="256" w:lineRule="auto"/>
              <w:rPr>
                <w:rFonts w:ascii="Verdana" w:hAnsi="Verdana"/>
              </w:rPr>
            </w:pPr>
          </w:p>
        </w:tc>
      </w:tr>
    </w:tbl>
    <w:p w14:paraId="3169727F" w14:textId="77777777" w:rsidR="00E33242" w:rsidRPr="00380CA4" w:rsidRDefault="00E33242" w:rsidP="00E33242">
      <w:pPr>
        <w:spacing w:after="0" w:line="256" w:lineRule="auto"/>
        <w:rPr>
          <w:rFonts w:ascii="Verdana" w:eastAsia="Calibri" w:hAnsi="Verdana" w:cs="Times New Roman"/>
        </w:rPr>
      </w:pPr>
      <w:r>
        <w:rPr>
          <w:rFonts w:ascii="Verdana" w:eastAsia="Calibri" w:hAnsi="Verdana" w:cs="Times New Roman"/>
        </w:rPr>
        <w:t>Estimado Señora Marín</w:t>
      </w:r>
      <w:r w:rsidRPr="00380CA4">
        <w:rPr>
          <w:rFonts w:ascii="Verdana" w:eastAsia="Calibri" w:hAnsi="Verdana" w:cs="Times New Roman"/>
        </w:rPr>
        <w:t xml:space="preserve">: </w:t>
      </w:r>
    </w:p>
    <w:p w14:paraId="355A5245" w14:textId="77777777" w:rsidR="00E33242" w:rsidRPr="00380CA4" w:rsidRDefault="00E33242" w:rsidP="00E33242">
      <w:pPr>
        <w:spacing w:after="0" w:line="256" w:lineRule="auto"/>
        <w:rPr>
          <w:rFonts w:ascii="Verdana" w:eastAsia="Calibri" w:hAnsi="Verdana" w:cs="Times New Roman"/>
        </w:rPr>
      </w:pPr>
    </w:p>
    <w:p w14:paraId="6512FCA0" w14:textId="77777777" w:rsidR="00E33242" w:rsidRDefault="00E33242" w:rsidP="00E33242">
      <w:pPr>
        <w:spacing w:after="0" w:line="276" w:lineRule="auto"/>
        <w:jc w:val="both"/>
        <w:rPr>
          <w:rFonts w:ascii="Verdana" w:eastAsia="Calibri" w:hAnsi="Verdana" w:cs="Times New Roman"/>
        </w:rPr>
      </w:pPr>
      <w:r w:rsidRPr="00380CA4">
        <w:rPr>
          <w:rFonts w:ascii="Verdana" w:eastAsia="Calibri" w:hAnsi="Verdana" w:cs="Arial"/>
          <w:bCs/>
          <w:color w:val="000000" w:themeColor="text1"/>
          <w:lang w:eastAsia="es-ES" w:bidi="es-ES"/>
        </w:rPr>
        <w:lastRenderedPageBreak/>
        <w:t xml:space="preserve">En ejercicio de la competencia otorgada por los artículos 3, numeral 5º, y 11, numeral 8º, del Decreto Ley 4170 de 2011, </w:t>
      </w:r>
      <w:r w:rsidRPr="00380CA4">
        <w:rPr>
          <w:rFonts w:ascii="Verdana" w:eastAsia="Calibri" w:hAnsi="Verdana" w:cs="Arial"/>
          <w:bCs/>
          <w:color w:val="000000" w:themeColor="text1"/>
          <w:lang w:eastAsia="es-ES"/>
        </w:rPr>
        <w:t xml:space="preserve">así como lo establecido por la Resolución 469 de 2025 expedida por esta Entidad, </w:t>
      </w:r>
      <w:r w:rsidRPr="00380CA4">
        <w:rPr>
          <w:rFonts w:ascii="Verdana" w:eastAsia="Calibri" w:hAnsi="Verdana" w:cs="Arial"/>
          <w:bCs/>
          <w:color w:val="000000" w:themeColor="text1"/>
          <w:lang w:eastAsia="es-ES" w:bidi="es-ES"/>
        </w:rPr>
        <w:t xml:space="preserve">la Agencia Nacional de Contratación Pública – Colombia Compra Eficiente– responde la solicitud de consulta </w:t>
      </w:r>
      <w:r w:rsidRPr="00380CA4">
        <w:rPr>
          <w:rFonts w:ascii="Verdana" w:eastAsia="Calibri" w:hAnsi="Verdana" w:cs="Times New Roman"/>
        </w:rPr>
        <w:t xml:space="preserve">presentada el </w:t>
      </w:r>
      <w:r>
        <w:rPr>
          <w:rFonts w:ascii="Verdana" w:eastAsia="Calibri" w:hAnsi="Verdana" w:cs="Times New Roman"/>
        </w:rPr>
        <w:t>17 de abril de 2026</w:t>
      </w:r>
      <w:r w:rsidRPr="00380CA4">
        <w:rPr>
          <w:rFonts w:ascii="Verdana" w:eastAsia="Calibri" w:hAnsi="Verdana" w:cs="Times New Roman"/>
        </w:rPr>
        <w:t xml:space="preserve">, en la cual manifiesta: </w:t>
      </w:r>
    </w:p>
    <w:p w14:paraId="247284FB" w14:textId="77777777" w:rsidR="00E33242" w:rsidRDefault="00E33242" w:rsidP="00E33242">
      <w:pPr>
        <w:spacing w:after="0" w:line="240" w:lineRule="auto"/>
        <w:jc w:val="both"/>
        <w:rPr>
          <w:rFonts w:ascii="Verdana" w:eastAsia="Calibri" w:hAnsi="Verdana" w:cs="Times New Roman"/>
          <w:iCs/>
        </w:rPr>
      </w:pPr>
    </w:p>
    <w:p w14:paraId="58645884" w14:textId="77777777" w:rsidR="00E33242" w:rsidRPr="0013394F" w:rsidRDefault="00E33242" w:rsidP="00E33242">
      <w:pPr>
        <w:spacing w:after="0" w:line="240" w:lineRule="auto"/>
        <w:ind w:left="709" w:right="709"/>
        <w:jc w:val="both"/>
        <w:rPr>
          <w:rFonts w:ascii="Verdana" w:eastAsia="Calibri" w:hAnsi="Verdana" w:cs="Times New Roman"/>
          <w:iCs/>
          <w:sz w:val="20"/>
        </w:rPr>
      </w:pPr>
      <w:r>
        <w:rPr>
          <w:rFonts w:ascii="Verdana" w:eastAsia="Calibri" w:hAnsi="Verdana" w:cs="Times New Roman"/>
          <w:iCs/>
          <w:sz w:val="20"/>
        </w:rPr>
        <w:t>“</w:t>
      </w:r>
      <w:r w:rsidRPr="0013394F">
        <w:rPr>
          <w:rFonts w:ascii="Verdana" w:eastAsia="Calibri" w:hAnsi="Verdana" w:cs="Times New Roman"/>
          <w:iCs/>
          <w:sz w:val="20"/>
        </w:rPr>
        <w:t>1. ¿El IPSE se encuentra incluido en la prohibición d</w:t>
      </w:r>
      <w:r>
        <w:rPr>
          <w:rFonts w:ascii="Verdana" w:eastAsia="Calibri" w:hAnsi="Verdana" w:cs="Times New Roman"/>
          <w:iCs/>
          <w:sz w:val="20"/>
        </w:rPr>
        <w:t xml:space="preserve">e suscribir contratos de aporte </w:t>
      </w:r>
      <w:r w:rsidRPr="0013394F">
        <w:rPr>
          <w:rFonts w:ascii="Verdana" w:eastAsia="Calibri" w:hAnsi="Verdana" w:cs="Times New Roman"/>
          <w:iCs/>
          <w:sz w:val="20"/>
        </w:rPr>
        <w:t xml:space="preserve">para la Administración, Operación y Mantenimiento de activos </w:t>
      </w:r>
      <w:proofErr w:type="spellStart"/>
      <w:r w:rsidRPr="0013394F">
        <w:rPr>
          <w:rFonts w:ascii="Verdana" w:eastAsia="Calibri" w:hAnsi="Verdana" w:cs="Times New Roman"/>
          <w:iCs/>
          <w:sz w:val="20"/>
        </w:rPr>
        <w:t>electricos</w:t>
      </w:r>
      <w:proofErr w:type="spellEnd"/>
      <w:r w:rsidRPr="0013394F">
        <w:rPr>
          <w:rFonts w:ascii="Verdana" w:eastAsia="Calibri" w:hAnsi="Verdana" w:cs="Times New Roman"/>
          <w:iCs/>
          <w:sz w:val="20"/>
        </w:rPr>
        <w:t xml:space="preserve"> en Zonas</w:t>
      </w:r>
      <w:r>
        <w:rPr>
          <w:rFonts w:ascii="Verdana" w:eastAsia="Calibri" w:hAnsi="Verdana" w:cs="Times New Roman"/>
          <w:iCs/>
          <w:sz w:val="20"/>
        </w:rPr>
        <w:t xml:space="preserve"> </w:t>
      </w:r>
      <w:r w:rsidRPr="0013394F">
        <w:rPr>
          <w:rFonts w:ascii="Verdana" w:eastAsia="Calibri" w:hAnsi="Verdana" w:cs="Times New Roman"/>
          <w:iCs/>
          <w:sz w:val="20"/>
        </w:rPr>
        <w:t>No Interconectadas durante la vigencia de las restricciones y prohibiciones</w:t>
      </w:r>
      <w:r>
        <w:rPr>
          <w:rFonts w:ascii="Verdana" w:eastAsia="Calibri" w:hAnsi="Verdana" w:cs="Times New Roman"/>
          <w:iCs/>
          <w:sz w:val="20"/>
        </w:rPr>
        <w:t xml:space="preserve"> </w:t>
      </w:r>
      <w:r w:rsidRPr="0013394F">
        <w:rPr>
          <w:rFonts w:ascii="Verdana" w:eastAsia="Calibri" w:hAnsi="Verdana" w:cs="Times New Roman"/>
          <w:iCs/>
          <w:sz w:val="20"/>
        </w:rPr>
        <w:t>impuesta por la Ley de Garantías Electorales, en virtud de lo señalado en el</w:t>
      </w:r>
      <w:r>
        <w:rPr>
          <w:rFonts w:ascii="Verdana" w:eastAsia="Calibri" w:hAnsi="Verdana" w:cs="Times New Roman"/>
          <w:iCs/>
          <w:sz w:val="20"/>
        </w:rPr>
        <w:t xml:space="preserve"> </w:t>
      </w:r>
      <w:r w:rsidRPr="0013394F">
        <w:rPr>
          <w:rFonts w:ascii="Verdana" w:eastAsia="Calibri" w:hAnsi="Verdana" w:cs="Times New Roman"/>
          <w:iCs/>
          <w:sz w:val="20"/>
        </w:rPr>
        <w:t>artículo 33 de la Ley 996 de 2005?</w:t>
      </w:r>
    </w:p>
    <w:p w14:paraId="1CA496CC" w14:textId="77777777" w:rsidR="00E33242" w:rsidRPr="0013394F" w:rsidRDefault="00E33242" w:rsidP="00E33242">
      <w:pPr>
        <w:spacing w:after="0" w:line="240" w:lineRule="auto"/>
        <w:ind w:left="709" w:right="709"/>
        <w:jc w:val="both"/>
        <w:rPr>
          <w:rFonts w:ascii="Verdana" w:eastAsia="Calibri" w:hAnsi="Verdana" w:cs="Times New Roman"/>
          <w:iCs/>
          <w:sz w:val="20"/>
        </w:rPr>
      </w:pPr>
      <w:r w:rsidRPr="0013394F">
        <w:rPr>
          <w:rFonts w:ascii="Verdana" w:eastAsia="Calibri" w:hAnsi="Verdana" w:cs="Times New Roman"/>
          <w:iCs/>
          <w:sz w:val="20"/>
        </w:rPr>
        <w:t>2. ¿Aplican las restricciones de la Ley 996 de 2005 a la suscripción de contratos</w:t>
      </w:r>
      <w:r>
        <w:rPr>
          <w:rFonts w:ascii="Verdana" w:eastAsia="Calibri" w:hAnsi="Verdana" w:cs="Times New Roman"/>
          <w:iCs/>
          <w:sz w:val="20"/>
        </w:rPr>
        <w:t xml:space="preserve"> </w:t>
      </w:r>
      <w:r w:rsidRPr="0013394F">
        <w:rPr>
          <w:rFonts w:ascii="Verdana" w:eastAsia="Calibri" w:hAnsi="Verdana" w:cs="Times New Roman"/>
          <w:iCs/>
          <w:sz w:val="20"/>
        </w:rPr>
        <w:t>regulados por la Ley 142 y 143 de 1994?</w:t>
      </w:r>
    </w:p>
    <w:p w14:paraId="7139D797" w14:textId="77777777" w:rsidR="00E33242" w:rsidRPr="0013394F" w:rsidRDefault="00E33242" w:rsidP="00E33242">
      <w:pPr>
        <w:spacing w:after="0" w:line="240" w:lineRule="auto"/>
        <w:ind w:left="709" w:right="709"/>
        <w:jc w:val="both"/>
        <w:rPr>
          <w:rFonts w:ascii="Verdana" w:eastAsia="Calibri" w:hAnsi="Verdana" w:cs="Times New Roman"/>
          <w:iCs/>
          <w:sz w:val="20"/>
        </w:rPr>
      </w:pPr>
      <w:r w:rsidRPr="0013394F">
        <w:rPr>
          <w:rFonts w:ascii="Verdana" w:eastAsia="Calibri" w:hAnsi="Verdana" w:cs="Times New Roman"/>
          <w:iCs/>
          <w:sz w:val="20"/>
        </w:rPr>
        <w:t>3. ¿La suscripción de los contratos especiales de aporte vulneran las restricciones</w:t>
      </w:r>
      <w:r>
        <w:rPr>
          <w:rFonts w:ascii="Verdana" w:eastAsia="Calibri" w:hAnsi="Verdana" w:cs="Times New Roman"/>
          <w:iCs/>
          <w:sz w:val="20"/>
        </w:rPr>
        <w:t xml:space="preserve"> </w:t>
      </w:r>
      <w:r w:rsidRPr="0013394F">
        <w:rPr>
          <w:rFonts w:ascii="Verdana" w:eastAsia="Calibri" w:hAnsi="Verdana" w:cs="Times New Roman"/>
          <w:iCs/>
          <w:sz w:val="20"/>
        </w:rPr>
        <w:t>contempladas en la Ley 996 de 2005?</w:t>
      </w:r>
    </w:p>
    <w:p w14:paraId="5310A0A2" w14:textId="77777777" w:rsidR="00E33242" w:rsidRPr="00D0388E" w:rsidRDefault="00E33242" w:rsidP="00E33242">
      <w:pPr>
        <w:spacing w:after="0" w:line="240" w:lineRule="auto"/>
        <w:ind w:left="709" w:right="709"/>
        <w:jc w:val="both"/>
        <w:rPr>
          <w:rFonts w:ascii="Verdana" w:eastAsia="Calibri" w:hAnsi="Verdana" w:cs="Times New Roman"/>
          <w:iCs/>
          <w:sz w:val="20"/>
        </w:rPr>
      </w:pPr>
      <w:r w:rsidRPr="0013394F">
        <w:rPr>
          <w:rFonts w:ascii="Verdana" w:eastAsia="Calibri" w:hAnsi="Verdana" w:cs="Times New Roman"/>
          <w:iCs/>
          <w:sz w:val="20"/>
        </w:rPr>
        <w:t>4. ¿Cuál es el régimen de contratación aplicable para los contratos especiales de</w:t>
      </w:r>
      <w:r>
        <w:rPr>
          <w:rFonts w:ascii="Verdana" w:eastAsia="Calibri" w:hAnsi="Verdana" w:cs="Times New Roman"/>
          <w:iCs/>
          <w:sz w:val="20"/>
        </w:rPr>
        <w:t xml:space="preserve"> </w:t>
      </w:r>
      <w:r w:rsidRPr="0013394F">
        <w:rPr>
          <w:rFonts w:ascii="Verdana" w:eastAsia="Calibri" w:hAnsi="Verdana" w:cs="Times New Roman"/>
          <w:iCs/>
          <w:sz w:val="20"/>
        </w:rPr>
        <w:t>aporte?</w:t>
      </w:r>
      <w:r>
        <w:rPr>
          <w:rFonts w:ascii="Verdana" w:eastAsia="Calibri" w:hAnsi="Verdana" w:cs="Times New Roman"/>
          <w:iCs/>
          <w:sz w:val="20"/>
        </w:rPr>
        <w:t>”</w:t>
      </w:r>
    </w:p>
    <w:p w14:paraId="3FEF4C88" w14:textId="77777777" w:rsidR="00E33242" w:rsidRPr="00380CA4" w:rsidRDefault="00E33242" w:rsidP="00E33242">
      <w:pPr>
        <w:spacing w:after="0" w:line="240" w:lineRule="auto"/>
        <w:jc w:val="both"/>
        <w:rPr>
          <w:rFonts w:ascii="Verdana" w:eastAsia="Calibri" w:hAnsi="Verdana" w:cs="Times New Roman"/>
        </w:rPr>
      </w:pPr>
    </w:p>
    <w:p w14:paraId="5A57C38A" w14:textId="77777777" w:rsidR="00E33242" w:rsidRPr="00380CA4" w:rsidRDefault="00E33242" w:rsidP="00E33242">
      <w:pPr>
        <w:spacing w:after="120" w:line="276" w:lineRule="auto"/>
        <w:ind w:firstLine="709"/>
        <w:jc w:val="both"/>
        <w:rPr>
          <w:rFonts w:ascii="Verdana" w:eastAsia="Calibri" w:hAnsi="Verdana" w:cs="Times New Roman"/>
        </w:rPr>
      </w:pPr>
      <w:r w:rsidRPr="00380CA4">
        <w:rPr>
          <w:rFonts w:ascii="Verdana" w:eastAsia="Calibri" w:hAnsi="Verdana" w:cs="Times New Roman"/>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73F55F92" w14:textId="77777777" w:rsidR="00E33242" w:rsidRPr="00380CA4" w:rsidRDefault="00E33242" w:rsidP="00E33242">
      <w:pPr>
        <w:spacing w:after="0" w:line="276" w:lineRule="auto"/>
        <w:ind w:firstLine="708"/>
        <w:jc w:val="both"/>
        <w:rPr>
          <w:rFonts w:ascii="Verdana" w:eastAsia="Calibri" w:hAnsi="Verdana" w:cs="Times New Roman"/>
        </w:rPr>
      </w:pPr>
      <w:r w:rsidRPr="00380CA4">
        <w:rPr>
          <w:rFonts w:ascii="Verdana" w:eastAsia="Calibri" w:hAnsi="Verdana" w:cs="Times New Roman"/>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w:t>
      </w:r>
      <w:r>
        <w:rPr>
          <w:rFonts w:ascii="Verdana" w:eastAsia="Calibri" w:hAnsi="Verdana" w:cs="Times New Roman"/>
        </w:rPr>
        <w:t xml:space="preserve">s generales relacionadas con los problemas jurídicos </w:t>
      </w:r>
      <w:r w:rsidRPr="00380CA4">
        <w:rPr>
          <w:rFonts w:ascii="Verdana" w:eastAsia="Calibri" w:hAnsi="Verdana" w:cs="Times New Roman"/>
        </w:rPr>
        <w:t xml:space="preserve">de su consulta. </w:t>
      </w:r>
    </w:p>
    <w:p w14:paraId="27604719" w14:textId="77777777" w:rsidR="00E33242" w:rsidRDefault="00E33242" w:rsidP="00E33242">
      <w:pPr>
        <w:spacing w:after="0" w:line="276" w:lineRule="auto"/>
        <w:rPr>
          <w:rFonts w:ascii="Verdana" w:eastAsia="Calibri" w:hAnsi="Verdana" w:cs="Times New Roman"/>
        </w:rPr>
      </w:pPr>
    </w:p>
    <w:p w14:paraId="339442A7" w14:textId="77777777" w:rsidR="00E33242" w:rsidRPr="00380CA4" w:rsidRDefault="00E33242" w:rsidP="00E33242">
      <w:pPr>
        <w:spacing w:after="0" w:line="276" w:lineRule="auto"/>
        <w:rPr>
          <w:rFonts w:ascii="Verdana" w:eastAsia="Calibri" w:hAnsi="Verdana" w:cs="Times New Roman"/>
        </w:rPr>
      </w:pPr>
    </w:p>
    <w:p w14:paraId="59CDDFD3" w14:textId="77777777" w:rsidR="00E33242" w:rsidRPr="00380CA4" w:rsidRDefault="00E33242" w:rsidP="00E33242">
      <w:pPr>
        <w:numPr>
          <w:ilvl w:val="0"/>
          <w:numId w:val="21"/>
        </w:numPr>
        <w:spacing w:after="0" w:line="276" w:lineRule="auto"/>
        <w:contextualSpacing/>
        <w:rPr>
          <w:rFonts w:ascii="Verdana" w:eastAsia="Calibri" w:hAnsi="Verdana" w:cs="Times New Roman"/>
          <w:b/>
          <w:bCs/>
        </w:rPr>
      </w:pPr>
      <w:r w:rsidRPr="00380CA4">
        <w:rPr>
          <w:rFonts w:ascii="Verdana" w:eastAsia="Calibri" w:hAnsi="Verdana" w:cs="Times New Roman"/>
          <w:b/>
          <w:bCs/>
        </w:rPr>
        <w:t>Problema planteado:</w:t>
      </w:r>
    </w:p>
    <w:p w14:paraId="4A1095B7" w14:textId="77777777" w:rsidR="00E33242" w:rsidRPr="00380CA4" w:rsidRDefault="00E33242" w:rsidP="00E33242">
      <w:pPr>
        <w:spacing w:after="0" w:line="276" w:lineRule="auto"/>
        <w:rPr>
          <w:rFonts w:ascii="Verdana" w:eastAsia="Calibri" w:hAnsi="Verdana" w:cs="Times New Roman"/>
        </w:rPr>
      </w:pPr>
    </w:p>
    <w:p w14:paraId="794C752E" w14:textId="77777777" w:rsidR="00E33242" w:rsidRPr="00370A2E" w:rsidRDefault="00E33242" w:rsidP="00E33242">
      <w:pPr>
        <w:spacing w:after="0" w:line="276" w:lineRule="auto"/>
        <w:jc w:val="both"/>
        <w:rPr>
          <w:rFonts w:ascii="Verdana" w:eastAsia="Calibri" w:hAnsi="Verdana" w:cs="Times New Roman"/>
          <w:iCs/>
        </w:rPr>
      </w:pPr>
      <w:r w:rsidRPr="00380CA4">
        <w:rPr>
          <w:rFonts w:ascii="Verdana" w:eastAsia="Calibri" w:hAnsi="Verdana" w:cs="Times New Roman"/>
        </w:rPr>
        <w:t>De</w:t>
      </w:r>
      <w:r>
        <w:rPr>
          <w:rFonts w:ascii="Verdana" w:eastAsia="Calibri" w:hAnsi="Verdana" w:cs="Times New Roman"/>
        </w:rPr>
        <w:t xml:space="preserve"> acuerdo con el contenido de su solicitud</w:t>
      </w:r>
      <w:r w:rsidRPr="00380CA4">
        <w:rPr>
          <w:rFonts w:ascii="Verdana" w:eastAsia="Calibri" w:hAnsi="Verdana" w:cs="Times New Roman"/>
        </w:rPr>
        <w:t xml:space="preserve">, esta Agencia procede a resolver </w:t>
      </w:r>
      <w:r>
        <w:rPr>
          <w:rFonts w:ascii="Verdana" w:eastAsia="Calibri" w:hAnsi="Verdana" w:cs="Times New Roman"/>
        </w:rPr>
        <w:t xml:space="preserve">los siguientes problemas </w:t>
      </w:r>
      <w:r w:rsidRPr="00380CA4">
        <w:rPr>
          <w:rFonts w:ascii="Verdana" w:eastAsia="Calibri" w:hAnsi="Verdana" w:cs="Times New Roman"/>
        </w:rPr>
        <w:t>jurídico</w:t>
      </w:r>
      <w:r>
        <w:rPr>
          <w:rFonts w:ascii="Verdana" w:eastAsia="Calibri" w:hAnsi="Verdana" w:cs="Times New Roman"/>
        </w:rPr>
        <w:t>s</w:t>
      </w:r>
      <w:r w:rsidRPr="00380CA4">
        <w:rPr>
          <w:rFonts w:ascii="Verdana" w:eastAsia="Calibri" w:hAnsi="Verdana" w:cs="Times New Roman"/>
        </w:rPr>
        <w:t>:</w:t>
      </w:r>
      <w:r>
        <w:rPr>
          <w:rFonts w:ascii="Verdana" w:eastAsia="Calibri" w:hAnsi="Verdana" w:cs="Times New Roman"/>
          <w:iCs/>
        </w:rPr>
        <w:t xml:space="preserve"> i) </w:t>
      </w:r>
      <w:r w:rsidRPr="00370A2E">
        <w:rPr>
          <w:rFonts w:ascii="Verdana" w:eastAsia="Calibri" w:hAnsi="Verdana" w:cs="Times New Roman"/>
          <w:iCs/>
        </w:rPr>
        <w:t>¿Los establecimientos públicos, en particular el IPSE, están sujetos a las prohibiciones y restricciones previstas en el artículo 33 de la Ley 996 de 2005 (Ley de Garantías Electorales) para la suscripción, mediante contratación directa, de contratos de aporte destinados a la administración, operación y mantenimiento de activos eléctricos en Zonas No Interconectadas, aun cuando dichos contratos se rijan por el régimen especial establecido en las Leyes 142 y 143 de 1994?</w:t>
      </w:r>
      <w:r>
        <w:rPr>
          <w:rFonts w:ascii="Verdana" w:eastAsia="Calibri" w:hAnsi="Verdana" w:cs="Times New Roman"/>
          <w:iCs/>
        </w:rPr>
        <w:t xml:space="preserve">; </w:t>
      </w:r>
      <w:proofErr w:type="spellStart"/>
      <w:r>
        <w:rPr>
          <w:rFonts w:ascii="Verdana" w:eastAsia="Calibri" w:hAnsi="Verdana"/>
          <w:iCs/>
        </w:rPr>
        <w:t>ii</w:t>
      </w:r>
      <w:proofErr w:type="spellEnd"/>
      <w:r>
        <w:rPr>
          <w:rFonts w:ascii="Verdana" w:eastAsia="Calibri" w:hAnsi="Verdana"/>
          <w:iCs/>
        </w:rPr>
        <w:t>)</w:t>
      </w:r>
      <w:r w:rsidRPr="0013394F">
        <w:rPr>
          <w:rFonts w:ascii="Verdana" w:eastAsia="Calibri" w:hAnsi="Verdana" w:cs="Times New Roman"/>
          <w:iCs/>
        </w:rPr>
        <w:t xml:space="preserve"> ¿cuál es el régimen de contratación aplicable</w:t>
      </w:r>
      <w:r>
        <w:rPr>
          <w:rFonts w:ascii="Verdana" w:eastAsia="Calibri" w:hAnsi="Verdana" w:cs="Times New Roman"/>
          <w:iCs/>
        </w:rPr>
        <w:t xml:space="preserve"> y característica de</w:t>
      </w:r>
      <w:r w:rsidRPr="0013394F">
        <w:rPr>
          <w:rFonts w:ascii="Verdana" w:eastAsia="Calibri" w:hAnsi="Verdana" w:cs="Times New Roman"/>
          <w:iCs/>
        </w:rPr>
        <w:t xml:space="preserve"> este tipo de contratos</w:t>
      </w:r>
      <w:r>
        <w:rPr>
          <w:rFonts w:ascii="Verdana" w:eastAsia="Calibri" w:hAnsi="Verdana" w:cs="Times New Roman"/>
          <w:iCs/>
        </w:rPr>
        <w:t xml:space="preserve"> de aporte bajo condición</w:t>
      </w:r>
      <w:r w:rsidRPr="0013394F">
        <w:rPr>
          <w:rFonts w:ascii="Verdana" w:eastAsia="Calibri" w:hAnsi="Verdana" w:cs="Times New Roman"/>
          <w:iCs/>
        </w:rPr>
        <w:t>?</w:t>
      </w:r>
    </w:p>
    <w:p w14:paraId="05384E8A" w14:textId="77777777" w:rsidR="00E33242" w:rsidRPr="00380CA4" w:rsidRDefault="00E33242" w:rsidP="00E33242">
      <w:pPr>
        <w:spacing w:after="0" w:line="240" w:lineRule="auto"/>
        <w:jc w:val="both"/>
        <w:rPr>
          <w:rFonts w:ascii="Verdana" w:eastAsia="Calibri" w:hAnsi="Verdana" w:cs="Times New Roman"/>
          <w:i/>
          <w:iCs/>
        </w:rPr>
      </w:pPr>
    </w:p>
    <w:p w14:paraId="5C29BC1A" w14:textId="77777777" w:rsidR="00E33242" w:rsidRPr="00380CA4" w:rsidRDefault="00E33242" w:rsidP="00E33242">
      <w:pPr>
        <w:numPr>
          <w:ilvl w:val="0"/>
          <w:numId w:val="21"/>
        </w:numPr>
        <w:spacing w:after="0" w:line="276" w:lineRule="auto"/>
        <w:contextualSpacing/>
        <w:rPr>
          <w:rFonts w:ascii="Verdana" w:eastAsia="Calibri" w:hAnsi="Verdana" w:cs="Times New Roman"/>
          <w:b/>
          <w:bCs/>
        </w:rPr>
      </w:pPr>
      <w:r w:rsidRPr="00380CA4">
        <w:rPr>
          <w:rFonts w:ascii="Verdana" w:eastAsia="Calibri" w:hAnsi="Verdana" w:cs="Times New Roman"/>
          <w:b/>
          <w:bCs/>
        </w:rPr>
        <w:t>Respuesta:</w:t>
      </w:r>
    </w:p>
    <w:p w14:paraId="48222596" w14:textId="77777777" w:rsidR="00E33242" w:rsidRPr="00380CA4" w:rsidRDefault="00E33242" w:rsidP="00E33242">
      <w:pPr>
        <w:spacing w:after="0" w:line="276" w:lineRule="auto"/>
        <w:rPr>
          <w:rFonts w:ascii="Verdana" w:eastAsia="Calibri" w:hAnsi="Verdana" w:cs="Times New Roman"/>
          <w:b/>
          <w:bC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E33242" w:rsidRPr="00380CA4" w14:paraId="0597987B" w14:textId="77777777" w:rsidTr="007E2C2E">
        <w:trPr>
          <w:trHeight w:val="345"/>
          <w:jc w:val="center"/>
        </w:trPr>
        <w:tc>
          <w:tcPr>
            <w:tcW w:w="8784" w:type="dxa"/>
            <w:tcBorders>
              <w:bottom w:val="single" w:sz="4" w:space="0" w:color="auto"/>
            </w:tcBorders>
          </w:tcPr>
          <w:p w14:paraId="6108B3CC" w14:textId="77777777" w:rsidR="00E33242" w:rsidRDefault="00E33242" w:rsidP="007E2C2E">
            <w:pPr>
              <w:tabs>
                <w:tab w:val="left" w:pos="426"/>
              </w:tabs>
              <w:jc w:val="both"/>
              <w:rPr>
                <w:rFonts w:ascii="Verdana" w:eastAsia="Calibri" w:hAnsi="Verdana" w:cs="Times New Roman"/>
              </w:rPr>
            </w:pPr>
            <w:r>
              <w:rPr>
                <w:rFonts w:ascii="Verdana" w:eastAsia="Calibri" w:hAnsi="Verdana" w:cs="Times New Roman"/>
              </w:rPr>
              <w:t>En torno a los problemas jurídicos, objeto de consulta, se expresa:</w:t>
            </w:r>
          </w:p>
          <w:p w14:paraId="25E67DD1" w14:textId="77777777" w:rsidR="00E33242" w:rsidRDefault="00E33242" w:rsidP="007E2C2E">
            <w:pPr>
              <w:jc w:val="both"/>
              <w:rPr>
                <w:rFonts w:ascii="Verdana" w:eastAsia="Times New Roman" w:hAnsi="Verdana" w:cs="Arial"/>
                <w:color w:val="000000"/>
                <w:lang w:eastAsia="es-ES"/>
              </w:rPr>
            </w:pPr>
          </w:p>
          <w:p w14:paraId="16757333" w14:textId="77777777" w:rsidR="00E33242" w:rsidRPr="00370A2E" w:rsidRDefault="00E33242" w:rsidP="007E2C2E">
            <w:pPr>
              <w:spacing w:after="120" w:line="276" w:lineRule="auto"/>
              <w:jc w:val="both"/>
              <w:rPr>
                <w:rFonts w:ascii="Verdana" w:eastAsia="Times New Roman" w:hAnsi="Verdana" w:cs="Arial"/>
                <w:color w:val="000000"/>
                <w:lang w:eastAsia="es-ES"/>
              </w:rPr>
            </w:pPr>
            <w:r>
              <w:rPr>
                <w:rFonts w:ascii="Verdana" w:eastAsia="Times New Roman" w:hAnsi="Verdana" w:cs="Arial"/>
                <w:color w:val="000000"/>
                <w:lang w:eastAsia="es-ES"/>
              </w:rPr>
              <w:t xml:space="preserve">i. </w:t>
            </w:r>
            <w:r w:rsidRPr="00370A2E">
              <w:rPr>
                <w:rFonts w:ascii="Verdana" w:eastAsia="Times New Roman" w:hAnsi="Verdana" w:cs="Arial"/>
                <w:color w:val="000000"/>
                <w:lang w:eastAsia="es-ES"/>
              </w:rPr>
              <w:t>En relación con el primer problema jurídico, resulta pertinente partir de la premisa según la cual</w:t>
            </w:r>
            <w:r>
              <w:rPr>
                <w:rFonts w:ascii="Verdana" w:eastAsia="Times New Roman" w:hAnsi="Verdana" w:cs="Arial"/>
                <w:color w:val="000000"/>
                <w:lang w:eastAsia="es-ES"/>
              </w:rPr>
              <w:t xml:space="preserve"> </w:t>
            </w:r>
            <w:r w:rsidRPr="00EB46C9">
              <w:rPr>
                <w:rFonts w:ascii="Verdana" w:hAnsi="Verdana"/>
              </w:rPr>
              <w:t>este tipo de contratos</w:t>
            </w:r>
            <w:r>
              <w:rPr>
                <w:rFonts w:ascii="Verdana" w:hAnsi="Verdana"/>
              </w:rPr>
              <w:t xml:space="preserve"> de aportes bajo condición</w:t>
            </w:r>
            <w:r w:rsidRPr="00EB46C9">
              <w:rPr>
                <w:rFonts w:ascii="Verdana" w:hAnsi="Verdana"/>
              </w:rPr>
              <w:t xml:space="preserve"> puede celebrarse mediante </w:t>
            </w:r>
            <w:r w:rsidRPr="00EB46C9">
              <w:rPr>
                <w:rFonts w:ascii="Verdana" w:hAnsi="Verdana"/>
                <w:bCs/>
              </w:rPr>
              <w:t>contratación directa</w:t>
            </w:r>
            <w:r w:rsidRPr="00EB46C9">
              <w:rPr>
                <w:rFonts w:ascii="Verdana" w:hAnsi="Verdana"/>
              </w:rPr>
              <w:t>, conforme a las condiciones previstas en el parágrafo segundo de la Resolución</w:t>
            </w:r>
            <w:r>
              <w:rPr>
                <w:rFonts w:ascii="Verdana" w:hAnsi="Verdana"/>
              </w:rPr>
              <w:t xml:space="preserve"> </w:t>
            </w:r>
            <w:r w:rsidRPr="0053288C">
              <w:rPr>
                <w:rFonts w:ascii="Verdana" w:hAnsi="Verdana"/>
                <w:bCs/>
              </w:rPr>
              <w:t>202510000000895 de 2025</w:t>
            </w:r>
            <w:r w:rsidRPr="00EB46C9">
              <w:rPr>
                <w:rFonts w:ascii="Verdana" w:hAnsi="Verdana"/>
              </w:rPr>
              <w:t xml:space="preserve">, resulta indispensable considerar las restricciones establecidas por la Ley de Garantías Electorales, cuyas reglas y alcances han sido analizados en apartados anteriores. En este contexto, debe precisarse que, para los efectos de dicha ley y, en particular, de la prohibición o limitación temporal consagrada en su artículo 33, la noción de “contratación directa” comprende </w:t>
            </w:r>
            <w:r w:rsidRPr="00EB46C9">
              <w:rPr>
                <w:rFonts w:ascii="Verdana" w:hAnsi="Verdana"/>
                <w:bCs/>
              </w:rPr>
              <w:t>todo mecanismo de selección o procedimiento contractual</w:t>
            </w:r>
            <w:r w:rsidRPr="00EB46C9">
              <w:rPr>
                <w:rFonts w:ascii="Verdana" w:hAnsi="Verdana"/>
              </w:rPr>
              <w:t xml:space="preserve"> empleado por las entidades estatales, con independencia del régimen jurídico que las rija —como ocurre en el caso del IPSE—, siempre que dicho mecanismo no contemple la realización de una convocatoria pública en ninguna de sus etapas ni permita la concurrencia de una </w:t>
            </w:r>
            <w:r>
              <w:rPr>
                <w:rFonts w:ascii="Verdana" w:hAnsi="Verdana"/>
              </w:rPr>
              <w:t>pluralidad de oferentes</w:t>
            </w:r>
            <w:r w:rsidRPr="0057193B">
              <w:rPr>
                <w:rFonts w:ascii="Verdana" w:eastAsia="Times New Roman" w:hAnsi="Verdana" w:cs="Arial"/>
                <w:bCs/>
                <w:lang w:val="es-MX" w:eastAsia="x-none"/>
              </w:rPr>
              <w:t>.</w:t>
            </w:r>
            <w:r>
              <w:rPr>
                <w:rFonts w:ascii="Verdana" w:eastAsia="Times New Roman" w:hAnsi="Verdana" w:cs="Arial"/>
                <w:bCs/>
                <w:lang w:val="es-MX" w:eastAsia="x-none"/>
              </w:rPr>
              <w:t xml:space="preserve"> </w:t>
            </w:r>
            <w:r w:rsidRPr="0053288C">
              <w:rPr>
                <w:rFonts w:ascii="Verdana" w:eastAsia="Times New Roman" w:hAnsi="Verdana" w:cs="Arial"/>
                <w:bCs/>
                <w:lang w:eastAsia="x-none"/>
              </w:rPr>
              <w:t xml:space="preserve">De lo anterior se concluye que la restricción prevista en el artículo 33 de la Ley de Garantías Electorales es aplicable a todas las entidades estatales, sin distinción del régimen jurídico que las gobierne, y sin perjuicio de las excepciones </w:t>
            </w:r>
            <w:r w:rsidRPr="0053288C">
              <w:rPr>
                <w:rFonts w:ascii="Verdana" w:eastAsia="Times New Roman" w:hAnsi="Verdana" w:cs="Arial"/>
                <w:bCs/>
                <w:lang w:eastAsia="x-none"/>
              </w:rPr>
              <w:lastRenderedPageBreak/>
              <w:t>expresamente consagradas en la misma norma. En consecuencia, dicha limitación opera frente a la celebración de cualquier contrato mediante la modalidad de contratación directa, ya sea bajo el marco de la Ley 80 de 1993 o de regímenes especiales como los previstos en las Leyes 142 y 143 de 1994, entre otros, siempre que no exista un procedimiento de selección abierto, público y competitivo que garantice la participación de una pluralidad de oferentes.</w:t>
            </w:r>
          </w:p>
          <w:p w14:paraId="32D12ED0" w14:textId="77777777" w:rsidR="00E33242" w:rsidRPr="0019495B" w:rsidRDefault="00E33242" w:rsidP="007E2C2E">
            <w:pPr>
              <w:spacing w:after="120" w:line="276" w:lineRule="auto"/>
              <w:ind w:firstLine="708"/>
              <w:jc w:val="both"/>
              <w:rPr>
                <w:rFonts w:ascii="Verdana" w:eastAsia="Calibri" w:hAnsi="Verdana" w:cs="Times New Roman"/>
                <w:bCs/>
                <w:iCs/>
                <w:lang w:val="es-MX"/>
              </w:rPr>
            </w:pPr>
            <w:r>
              <w:rPr>
                <w:rFonts w:ascii="Verdana" w:eastAsia="Calibri" w:hAnsi="Verdana" w:cs="Times New Roman"/>
                <w:bCs/>
                <w:iCs/>
                <w:lang w:val="es-MX"/>
              </w:rPr>
              <w:t>En este asunto, el inciso segundo del artículo 33 dispone las siguientes excepciones</w:t>
            </w:r>
            <w:r w:rsidRPr="0019495B">
              <w:rPr>
                <w:rFonts w:ascii="Verdana" w:eastAsia="Calibri" w:hAnsi="Verdana" w:cs="Times New Roman"/>
                <w:bCs/>
                <w:iCs/>
                <w:lang w:val="es-MX"/>
              </w:rPr>
              <w:t xml:space="preserve">: i) los contratos relacionados con la defensa y seguridad del Estado, analizados en el Concepto 322 de 2026; </w:t>
            </w:r>
            <w:proofErr w:type="spellStart"/>
            <w:r w:rsidRPr="0019495B">
              <w:rPr>
                <w:rFonts w:ascii="Verdana" w:eastAsia="Calibri" w:hAnsi="Verdana" w:cs="Times New Roman"/>
                <w:bCs/>
                <w:iCs/>
                <w:lang w:val="es-MX"/>
              </w:rPr>
              <w:t>ii</w:t>
            </w:r>
            <w:proofErr w:type="spellEnd"/>
            <w:r w:rsidRPr="0019495B">
              <w:rPr>
                <w:rFonts w:ascii="Verdana" w:eastAsia="Calibri" w:hAnsi="Verdana" w:cs="Times New Roman"/>
                <w:bCs/>
                <w:iCs/>
                <w:lang w:val="es-MX"/>
              </w:rPr>
              <w:t xml:space="preserve">) los contratos de crédito público, abordados en el Concepto CU-372 de 2026; </w:t>
            </w:r>
            <w:proofErr w:type="spellStart"/>
            <w:r w:rsidRPr="0019495B">
              <w:rPr>
                <w:rFonts w:ascii="Verdana" w:eastAsia="Calibri" w:hAnsi="Verdana" w:cs="Times New Roman"/>
                <w:bCs/>
                <w:iCs/>
                <w:lang w:val="es-MX"/>
              </w:rPr>
              <w:t>iii</w:t>
            </w:r>
            <w:proofErr w:type="spellEnd"/>
            <w:r w:rsidRPr="0019495B">
              <w:rPr>
                <w:rFonts w:ascii="Verdana" w:eastAsia="Calibri" w:hAnsi="Verdana" w:cs="Times New Roman"/>
                <w:bCs/>
                <w:iCs/>
                <w:lang w:val="es-MX"/>
              </w:rPr>
              <w:t>) los contratos necesarios para atender emergencias educativas, sanitarias o desastres, tratados en los Conceptos C</w:t>
            </w:r>
            <w:r w:rsidRPr="0019495B">
              <w:rPr>
                <w:rFonts w:ascii="Cambria Math" w:eastAsia="Calibri" w:hAnsi="Cambria Math" w:cs="Cambria Math"/>
                <w:bCs/>
                <w:iCs/>
                <w:lang w:val="es-MX"/>
              </w:rPr>
              <w:t>‑</w:t>
            </w:r>
            <w:r w:rsidRPr="0019495B">
              <w:rPr>
                <w:rFonts w:ascii="Verdana" w:eastAsia="Calibri" w:hAnsi="Verdana" w:cs="Times New Roman"/>
                <w:bCs/>
                <w:iCs/>
                <w:lang w:val="es-MX"/>
              </w:rPr>
              <w:t>118 de 2026 y C</w:t>
            </w:r>
            <w:r w:rsidRPr="0019495B">
              <w:rPr>
                <w:rFonts w:ascii="Cambria Math" w:eastAsia="Calibri" w:hAnsi="Cambria Math" w:cs="Cambria Math"/>
                <w:bCs/>
                <w:iCs/>
                <w:lang w:val="es-MX"/>
              </w:rPr>
              <w:t>‑</w:t>
            </w:r>
            <w:r w:rsidRPr="0019495B">
              <w:rPr>
                <w:rFonts w:ascii="Verdana" w:eastAsia="Calibri" w:hAnsi="Verdana" w:cs="Times New Roman"/>
                <w:bCs/>
                <w:iCs/>
                <w:lang w:val="es-MX"/>
              </w:rPr>
              <w:t xml:space="preserve">176 de 2026, que tratan en este caso de la urgencia manifiesta; </w:t>
            </w:r>
            <w:proofErr w:type="spellStart"/>
            <w:r w:rsidRPr="0019495B">
              <w:rPr>
                <w:rFonts w:ascii="Verdana" w:eastAsia="Calibri" w:hAnsi="Verdana" w:cs="Times New Roman"/>
                <w:bCs/>
                <w:iCs/>
                <w:lang w:val="es-MX"/>
              </w:rPr>
              <w:t>iv</w:t>
            </w:r>
            <w:proofErr w:type="spellEnd"/>
            <w:r w:rsidRPr="0019495B">
              <w:rPr>
                <w:rFonts w:ascii="Verdana" w:eastAsia="Calibri" w:hAnsi="Verdana" w:cs="Times New Roman"/>
                <w:bCs/>
                <w:iCs/>
                <w:lang w:val="es-MX"/>
              </w:rPr>
              <w:t>) los contratos destinados a la reconstrucción de infraestructura vial, energética y de comunicaciones afectada por atentados, acciones terroristas, desastres naturales o fuerza mayor, igualmente estudiados en los Conceptos C</w:t>
            </w:r>
            <w:r w:rsidRPr="0019495B">
              <w:rPr>
                <w:rFonts w:ascii="Cambria Math" w:eastAsia="Calibri" w:hAnsi="Cambria Math" w:cs="Cambria Math"/>
                <w:bCs/>
                <w:iCs/>
                <w:lang w:val="es-MX"/>
              </w:rPr>
              <w:t>‑</w:t>
            </w:r>
            <w:r w:rsidRPr="0019495B">
              <w:rPr>
                <w:rFonts w:ascii="Verdana" w:eastAsia="Calibri" w:hAnsi="Verdana" w:cs="Times New Roman"/>
                <w:bCs/>
                <w:iCs/>
                <w:lang w:val="es-MX"/>
              </w:rPr>
              <w:t>118 de 2026 y C</w:t>
            </w:r>
            <w:r w:rsidRPr="0019495B">
              <w:rPr>
                <w:rFonts w:ascii="Cambria Math" w:eastAsia="Calibri" w:hAnsi="Cambria Math" w:cs="Cambria Math"/>
                <w:bCs/>
                <w:iCs/>
                <w:lang w:val="es-MX"/>
              </w:rPr>
              <w:t>‑</w:t>
            </w:r>
            <w:r w:rsidRPr="0019495B">
              <w:rPr>
                <w:rFonts w:ascii="Verdana" w:eastAsia="Calibri" w:hAnsi="Verdana" w:cs="Times New Roman"/>
                <w:bCs/>
                <w:iCs/>
                <w:lang w:val="es-MX"/>
              </w:rPr>
              <w:t>176 de 2026, entre otros; y v) la contratación directa celebrada por entidades sanitarias y hospitalarias, objeto de análisis en los Conceptos C</w:t>
            </w:r>
            <w:r w:rsidRPr="0019495B">
              <w:rPr>
                <w:rFonts w:ascii="Cambria Math" w:eastAsia="Calibri" w:hAnsi="Cambria Math" w:cs="Cambria Math"/>
                <w:bCs/>
                <w:iCs/>
                <w:lang w:val="es-MX"/>
              </w:rPr>
              <w:t>‑</w:t>
            </w:r>
            <w:r w:rsidRPr="0019495B">
              <w:rPr>
                <w:rFonts w:ascii="Verdana" w:eastAsia="Calibri" w:hAnsi="Verdana" w:cs="Times New Roman"/>
                <w:bCs/>
                <w:iCs/>
                <w:lang w:val="es-MX"/>
              </w:rPr>
              <w:t>1124 de 2026, C</w:t>
            </w:r>
            <w:r w:rsidRPr="0019495B">
              <w:rPr>
                <w:rFonts w:ascii="Cambria Math" w:eastAsia="Calibri" w:hAnsi="Cambria Math" w:cs="Cambria Math"/>
                <w:bCs/>
                <w:iCs/>
                <w:lang w:val="es-MX"/>
              </w:rPr>
              <w:t>‑</w:t>
            </w:r>
            <w:r w:rsidRPr="0019495B">
              <w:rPr>
                <w:rFonts w:ascii="Verdana" w:eastAsia="Calibri" w:hAnsi="Verdana" w:cs="Times New Roman"/>
                <w:bCs/>
                <w:iCs/>
                <w:lang w:val="es-MX"/>
              </w:rPr>
              <w:t>1406 de 2026 y C</w:t>
            </w:r>
            <w:r w:rsidRPr="0019495B">
              <w:rPr>
                <w:rFonts w:ascii="Cambria Math" w:eastAsia="Calibri" w:hAnsi="Cambria Math" w:cs="Cambria Math"/>
                <w:bCs/>
                <w:iCs/>
                <w:lang w:val="es-MX"/>
              </w:rPr>
              <w:t>‑</w:t>
            </w:r>
            <w:r w:rsidRPr="0019495B">
              <w:rPr>
                <w:rFonts w:ascii="Verdana" w:eastAsia="Calibri" w:hAnsi="Verdana" w:cs="Times New Roman"/>
                <w:bCs/>
                <w:iCs/>
                <w:lang w:val="es-MX"/>
              </w:rPr>
              <w:t xml:space="preserve">1703 de 2026. </w:t>
            </w:r>
            <w:r w:rsidRPr="00370A2E">
              <w:rPr>
                <w:rFonts w:ascii="Verdana" w:eastAsia="Calibri" w:hAnsi="Verdana" w:cs="Times New Roman"/>
                <w:bCs/>
                <w:iCs/>
                <w:lang w:val="es-MX"/>
              </w:rPr>
              <w:t xml:space="preserve">Así mismo, la Corte Constitucional en la Sentencia C-1153 de 2005 señaló que la expresión </w:t>
            </w:r>
            <w:r w:rsidRPr="00370A2E">
              <w:rPr>
                <w:rFonts w:ascii="Verdana" w:eastAsia="Calibri" w:hAnsi="Verdana" w:cs="Times New Roman"/>
                <w:bCs/>
                <w:i/>
                <w:iCs/>
                <w:lang w:val="es-ES"/>
              </w:rPr>
              <w:t xml:space="preserve">“adicionalmente se exceptúan aquellos gastos inaplazables e imprescindibles que afecten el normal funcionamiento de la administración” </w:t>
            </w:r>
            <w:r w:rsidRPr="00370A2E">
              <w:rPr>
                <w:rFonts w:ascii="Verdana" w:eastAsia="Calibri" w:hAnsi="Verdana" w:cs="Times New Roman"/>
                <w:bCs/>
                <w:iCs/>
                <w:lang w:val="es-ES"/>
              </w:rPr>
              <w:t>regulada como excepción en el artículo 33</w:t>
            </w:r>
            <w:r w:rsidRPr="00370A2E">
              <w:rPr>
                <w:rFonts w:ascii="Verdana" w:eastAsia="Calibri" w:hAnsi="Verdana" w:cs="Times New Roman"/>
                <w:bCs/>
                <w:i/>
                <w:iCs/>
                <w:lang w:val="es-ES"/>
              </w:rPr>
              <w:t xml:space="preserve"> </w:t>
            </w:r>
            <w:r w:rsidRPr="00370A2E">
              <w:rPr>
                <w:rFonts w:ascii="Verdana" w:eastAsia="Calibri" w:hAnsi="Verdana" w:cs="Times New Roman"/>
                <w:bCs/>
                <w:iCs/>
                <w:lang w:val="es-ES"/>
              </w:rPr>
              <w:t>es demasiado amplia y ambigua, pues términos como inaplazable, imprescindible y normal funcionamiento son evaluativos y sujetos a interpretaciones diversas, lo que permitiría introducir múltiples excepciones que desfigurarían la prohibición original y comprometerían los fines y propósitos de la Ley de Garantías Electorales.</w:t>
            </w:r>
            <w:r w:rsidRPr="00370A2E">
              <w:rPr>
                <w:rFonts w:ascii="Verdana" w:eastAsia="Calibri" w:hAnsi="Verdana" w:cs="Times New Roman"/>
                <w:bCs/>
                <w:i/>
                <w:iCs/>
                <w:lang w:val="es-ES"/>
              </w:rPr>
              <w:t xml:space="preserve"> </w:t>
            </w:r>
            <w:r w:rsidRPr="00370A2E">
              <w:rPr>
                <w:rFonts w:ascii="Verdana" w:eastAsia="Calibri" w:hAnsi="Verdana" w:cs="Times New Roman"/>
                <w:bCs/>
                <w:iCs/>
                <w:lang w:val="es-ES"/>
              </w:rPr>
              <w:t>Por tanto, dicha expresión fue declarada inexequible, razón por la cual no es posible que las entidades argumenten razones como esta para exceptuar la restricción del artículo 33.</w:t>
            </w:r>
            <w:r>
              <w:rPr>
                <w:rFonts w:ascii="Verdana" w:eastAsia="Calibri" w:hAnsi="Verdana" w:cs="Times New Roman"/>
                <w:bCs/>
                <w:iCs/>
                <w:lang w:val="es-ES"/>
              </w:rPr>
              <w:t xml:space="preserve"> En todo caso, e</w:t>
            </w:r>
            <w:r w:rsidRPr="0019495B">
              <w:rPr>
                <w:rFonts w:ascii="Verdana" w:eastAsia="Calibri" w:hAnsi="Verdana" w:cs="Times New Roman"/>
                <w:bCs/>
                <w:iCs/>
                <w:lang w:val="es-MX"/>
              </w:rPr>
              <w:t>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DFDBFC0" w14:textId="77777777" w:rsidR="00E33242" w:rsidRPr="00370A2E" w:rsidRDefault="00E33242" w:rsidP="007E2C2E">
            <w:pPr>
              <w:spacing w:after="120" w:line="276" w:lineRule="auto"/>
              <w:ind w:firstLine="709"/>
              <w:jc w:val="both"/>
              <w:rPr>
                <w:rFonts w:ascii="Verdana" w:hAnsi="Verdana"/>
                <w:sz w:val="20"/>
                <w:szCs w:val="20"/>
              </w:rPr>
            </w:pPr>
            <w:r>
              <w:rPr>
                <w:rFonts w:ascii="Verdana" w:hAnsi="Verdana"/>
                <w:lang w:val="es-ES"/>
              </w:rPr>
              <w:lastRenderedPageBreak/>
              <w:t xml:space="preserve">Para este tema, </w:t>
            </w:r>
            <w:r>
              <w:rPr>
                <w:rFonts w:ascii="Verdana" w:hAnsi="Verdana"/>
              </w:rPr>
              <w:t xml:space="preserve">la Superintendencia de Servicios Públicos en varios conceptos - </w:t>
            </w:r>
            <w:r w:rsidRPr="005D4BFC">
              <w:rPr>
                <w:rFonts w:ascii="Verdana" w:hAnsi="Verdana"/>
              </w:rPr>
              <w:t>C-086 de 2022 y C-194 de 2022</w:t>
            </w:r>
            <w:r>
              <w:rPr>
                <w:rFonts w:ascii="Verdana" w:hAnsi="Verdana"/>
              </w:rPr>
              <w:t>- ha expresado que l</w:t>
            </w:r>
            <w:r w:rsidRPr="00916FC1">
              <w:rPr>
                <w:rFonts w:ascii="Verdana" w:eastAsia="Calibri" w:hAnsi="Verdana" w:cs="Times New Roman"/>
                <w:iCs/>
              </w:rPr>
              <w:t>a celebración de contratos o convenios para la transferencia de recursos destinados a subsidios entre los entes territoriales y los prestadores de servicios públicos constituye una obligación legal esencial</w:t>
            </w:r>
            <w:r>
              <w:rPr>
                <w:rFonts w:ascii="Verdana" w:eastAsia="Calibri" w:hAnsi="Verdana" w:cs="Times New Roman"/>
                <w:iCs/>
              </w:rPr>
              <w:t xml:space="preserve">, exceptuando de la aplicación de la Ley de Garantías. Dicho organismo considera que estos convenios o contratos </w:t>
            </w:r>
            <w:r w:rsidRPr="00916FC1">
              <w:rPr>
                <w:rFonts w:ascii="Verdana" w:eastAsia="Calibri" w:hAnsi="Verdana" w:cs="Times New Roman"/>
                <w:iCs/>
              </w:rPr>
              <w:t>no son opcionales, pues permiten asegurar la continuidad y eficacia en la prestación de los servicios públicos. Por ello, deben interpretarse conforme a los principios y fines superiores del régimen de servicios públicos, los cuales prevalecen sobre las restricciones de la Ley 996 de 2005</w:t>
            </w:r>
            <w:r>
              <w:rPr>
                <w:rFonts w:ascii="Verdana" w:hAnsi="Verdana"/>
                <w:sz w:val="20"/>
                <w:szCs w:val="20"/>
              </w:rPr>
              <w:t xml:space="preserve">. </w:t>
            </w:r>
            <w:r>
              <w:rPr>
                <w:rFonts w:ascii="Verdana" w:eastAsia="Calibri" w:hAnsi="Verdana" w:cs="Times New Roman"/>
                <w:iCs/>
              </w:rPr>
              <w:t xml:space="preserve">Dicha </w:t>
            </w:r>
            <w:r w:rsidRPr="00B2403B">
              <w:rPr>
                <w:rFonts w:ascii="Verdana" w:eastAsia="Calibri" w:hAnsi="Verdana" w:cs="Times New Roman"/>
                <w:iCs/>
              </w:rPr>
              <w:t xml:space="preserve">postura de la Superintendencia de Servicios Públicos Domiciliarios no se basa en las excepciones establecidas en el artículo 33 de la Ley 996 de 2005 o en otras que contemple el ordenamiento jurídico, sino que se basa en el deber constitucional y legal de las entidades territoriales de transferir los subsidios a las empresas de servicios públicos domiciliarios. </w:t>
            </w:r>
          </w:p>
          <w:p w14:paraId="2AB1E897" w14:textId="77777777" w:rsidR="00E33242" w:rsidRPr="00370A2E" w:rsidRDefault="00E33242" w:rsidP="007E2C2E">
            <w:pPr>
              <w:spacing w:after="120" w:line="276" w:lineRule="auto"/>
              <w:ind w:firstLine="709"/>
              <w:jc w:val="both"/>
              <w:rPr>
                <w:rFonts w:ascii="Verdana" w:eastAsia="Times New Roman" w:hAnsi="Verdana" w:cs="Arial"/>
                <w:lang w:val="es-ES" w:eastAsia="es-CO"/>
              </w:rPr>
            </w:pPr>
            <w:r>
              <w:rPr>
                <w:rFonts w:ascii="Verdana" w:eastAsiaTheme="minorEastAsia" w:hAnsi="Verdana" w:cs="Arial"/>
                <w:lang w:eastAsia="es-CO"/>
              </w:rPr>
              <w:t xml:space="preserve">Ante estas posturas, es necesario señalar que el argumento de la Superintendencia de Servicios Públicos Domiciliarios se funda en el deber de transferir subsidios, que están contemplados en el artículo 368 constitucional, en la Ley 142 de 1994 y demás normas legales y reglamentarias. Bajo ese escenario, </w:t>
            </w:r>
            <w:r>
              <w:rPr>
                <w:rFonts w:ascii="Verdana" w:eastAsia="Arial" w:hAnsi="Verdana" w:cs="Arial"/>
                <w:lang w:val="es-ES" w:eastAsia="es-ES" w:bidi="es-ES"/>
              </w:rPr>
              <w:t xml:space="preserve">el alcance de esta obligación frente a las restricciones de la Ley de Garantías Electorales, resulta pertinente traer a colación el pronunciamiento de la Sala de Consulta y Servicio Civil del Consejo de Estado, el cual en un tema concerniente a las restricciones de la Ley de Garantías Electorales expresa que si bien </w:t>
            </w:r>
            <w:r w:rsidRPr="005B7756">
              <w:rPr>
                <w:rFonts w:ascii="Verdana" w:eastAsia="Arial" w:hAnsi="Verdana" w:cs="Arial"/>
                <w:lang w:val="es-ES" w:eastAsia="es-ES" w:bidi="es-ES"/>
              </w:rPr>
              <w:t>la seguridad social no está expresamente definida como derecho fundamental, adquiere ese carácter cuando su protección resulta necesaria para salvaguardar derechos esenciales como la vida, la dignidad o la integridad de las personas mayores, lo que hace imperativo mantener el programa de apoyo a ancianos indigentes mediante subsidio indirecto; por ello, el Administrador Fiduciario puede contratar directamente con los Centros de Bienestar del Adulto Mayor para asegurar la continuidad de los cupos asignados, y los alcaldes, a su vez, pueden celebrar estos mismos acuerdos en representación de sus municipios cuando administran recursos destinados a comunidades indígenas en resguardo, garantizando así la continuidad y eficacia de la protección estatal.</w:t>
            </w:r>
            <w:r>
              <w:rPr>
                <w:rFonts w:ascii="Verdana" w:eastAsia="Times New Roman" w:hAnsi="Verdana" w:cs="Arial"/>
                <w:bCs/>
                <w:lang w:val="es-ES" w:eastAsia="es-CO"/>
              </w:rPr>
              <w:t xml:space="preserve"> En este contexto, </w:t>
            </w:r>
            <w:r w:rsidRPr="00C15179">
              <w:rPr>
                <w:rFonts w:ascii="Verdana" w:eastAsia="Times New Roman" w:hAnsi="Verdana" w:cs="Arial"/>
                <w:bCs/>
                <w:lang w:val="es-ES" w:eastAsia="es-CO"/>
              </w:rPr>
              <w:t xml:space="preserve">La Sala de Consulta y Servicio Civil del Consejo de Estado ha señalado que las restricciones de la </w:t>
            </w:r>
            <w:r w:rsidRPr="00C15179">
              <w:rPr>
                <w:rFonts w:ascii="Verdana" w:eastAsia="Times New Roman" w:hAnsi="Verdana" w:cs="Arial"/>
                <w:bCs/>
                <w:lang w:val="es-ES" w:eastAsia="es-CO"/>
              </w:rPr>
              <w:lastRenderedPageBreak/>
              <w:t>Ley de Garantías Electorales deben interpretarse con especial cuidado cuando se trata de Empresas de Servicios Públicos Domiciliarios. En el Concepto 1727 de 2006, la Sala precisó que, aunque la norma limita la contratación directa durante la campaña presidencial, existen excepciones justificadas por razones de orden público social, particularmente en lo relacionado con la prestación de servicios públicos esenciales</w:t>
            </w:r>
            <w:r>
              <w:rPr>
                <w:rFonts w:ascii="Verdana" w:eastAsia="Times New Roman" w:hAnsi="Verdana" w:cs="Arial"/>
                <w:bCs/>
                <w:lang w:val="es-ES" w:eastAsia="es-CO"/>
              </w:rPr>
              <w:t xml:space="preserve">. </w:t>
            </w:r>
          </w:p>
          <w:p w14:paraId="0634B968" w14:textId="77777777" w:rsidR="00E33242" w:rsidRDefault="00E33242" w:rsidP="007E2C2E">
            <w:pPr>
              <w:spacing w:line="276" w:lineRule="auto"/>
              <w:ind w:firstLine="709"/>
              <w:jc w:val="both"/>
              <w:rPr>
                <w:rFonts w:ascii="Verdana" w:eastAsia="Times New Roman" w:hAnsi="Verdana" w:cs="Arial"/>
                <w:bCs/>
                <w:lang w:val="es-ES" w:eastAsia="es-CO"/>
              </w:rPr>
            </w:pPr>
            <w:r>
              <w:rPr>
                <w:rFonts w:ascii="Verdana" w:hAnsi="Verdana" w:cs="Arial"/>
                <w:lang w:val="es-ES"/>
              </w:rPr>
              <w:t xml:space="preserve">En todo caso, la Agencia considera que, la posibilidad de suscribir contratos especiales de aporte bajo condición entre entidades y empresas de servicios </w:t>
            </w:r>
            <w:proofErr w:type="gramStart"/>
            <w:r>
              <w:rPr>
                <w:rFonts w:ascii="Verdana" w:hAnsi="Verdana" w:cs="Arial"/>
                <w:lang w:val="es-ES"/>
              </w:rPr>
              <w:t>públicos,</w:t>
            </w:r>
            <w:proofErr w:type="gramEnd"/>
            <w:r>
              <w:rPr>
                <w:rFonts w:ascii="Verdana" w:hAnsi="Verdana" w:cs="Arial"/>
                <w:lang w:val="es-ES"/>
              </w:rPr>
              <w:t xml:space="preserve"> depende de si </w:t>
            </w:r>
            <w:proofErr w:type="gramStart"/>
            <w:r>
              <w:rPr>
                <w:rFonts w:ascii="Verdana" w:hAnsi="Verdana" w:cs="Arial"/>
                <w:lang w:val="es-ES"/>
              </w:rPr>
              <w:t>se enmarca dentro de</w:t>
            </w:r>
            <w:proofErr w:type="gramEnd"/>
            <w:r>
              <w:rPr>
                <w:rFonts w:ascii="Verdana" w:hAnsi="Verdana" w:cs="Arial"/>
                <w:lang w:val="es-ES"/>
              </w:rPr>
              <w:t xml:space="preserve"> las excepciones reguladas en el artículo 33 de la Ley 996 de 2005, sin perjuicio de lo expresado por la Sala de Consulta y Servicio Civil del Consejo que se expuso en las razones de la respuesta. De otra parte, posturas como la de la Superintendencia de Servicios Públicos acogen la posibilidad de celebrar</w:t>
            </w:r>
            <w:r>
              <w:rPr>
                <w:rFonts w:ascii="Verdana" w:eastAsia="Times New Roman" w:hAnsi="Verdana" w:cs="Arial"/>
                <w:bCs/>
                <w:lang w:val="es-ES" w:eastAsia="es-CO"/>
              </w:rPr>
              <w:t xml:space="preserve"> convenios y contratos por parte de las entidades con las empresas de servicios públicos domiciliarios en periodo preelectoral, basados en el deber de garantizar la prestación efectiva de los servicios públicos de las personas más vulnerables que tienen una estrecha relación con los derechos fundamentales. </w:t>
            </w:r>
          </w:p>
          <w:p w14:paraId="2FB98860" w14:textId="77777777" w:rsidR="00E33242" w:rsidRDefault="00E33242" w:rsidP="007E2C2E">
            <w:pPr>
              <w:spacing w:line="276" w:lineRule="auto"/>
              <w:jc w:val="both"/>
              <w:rPr>
                <w:rFonts w:ascii="Verdana" w:eastAsia="Calibri" w:hAnsi="Verdana" w:cs="Arial"/>
                <w:lang w:val="es-ES"/>
              </w:rPr>
            </w:pPr>
          </w:p>
          <w:p w14:paraId="7BB18A30" w14:textId="77777777" w:rsidR="00E33242" w:rsidRPr="00FA440B" w:rsidRDefault="00E33242" w:rsidP="007E2C2E">
            <w:pPr>
              <w:spacing w:after="120" w:line="276" w:lineRule="auto"/>
              <w:jc w:val="both"/>
              <w:rPr>
                <w:rFonts w:ascii="Verdana" w:eastAsia="Arial" w:hAnsi="Verdana" w:cs="Arial"/>
                <w:lang w:eastAsia="es-ES" w:bidi="es-ES"/>
              </w:rPr>
            </w:pPr>
            <w:proofErr w:type="spellStart"/>
            <w:r w:rsidRPr="00FA440B">
              <w:rPr>
                <w:rFonts w:ascii="Verdana" w:eastAsia="Calibri" w:hAnsi="Verdana" w:cs="Arial"/>
                <w:lang w:val="es-ES"/>
              </w:rPr>
              <w:t>ii</w:t>
            </w:r>
            <w:proofErr w:type="spellEnd"/>
            <w:r w:rsidRPr="00FA440B">
              <w:rPr>
                <w:rFonts w:ascii="Verdana" w:eastAsia="Calibri" w:hAnsi="Verdana" w:cs="Arial"/>
                <w:lang w:val="es-ES"/>
              </w:rPr>
              <w:t xml:space="preserve">. </w:t>
            </w:r>
            <w:proofErr w:type="gramStart"/>
            <w:r w:rsidRPr="00FA440B">
              <w:rPr>
                <w:rFonts w:ascii="Verdana" w:eastAsia="Calibri" w:hAnsi="Verdana" w:cs="Arial"/>
                <w:lang w:val="es-ES"/>
              </w:rPr>
              <w:t>En relación al</w:t>
            </w:r>
            <w:proofErr w:type="gramEnd"/>
            <w:r w:rsidRPr="00FA440B">
              <w:rPr>
                <w:rFonts w:ascii="Verdana" w:eastAsia="Calibri" w:hAnsi="Verdana" w:cs="Arial"/>
                <w:lang w:val="es-ES"/>
              </w:rPr>
              <w:t xml:space="preserve"> segundo problema jurídico, se señala que </w:t>
            </w:r>
            <w:r w:rsidRPr="00FA440B">
              <w:rPr>
                <w:rFonts w:ascii="Verdana" w:hAnsi="Verdana" w:cs="Arial"/>
                <w:bCs/>
                <w:color w:val="000000" w:themeColor="text1"/>
              </w:rPr>
              <w:t xml:space="preserve">el contrato de aportes bajo </w:t>
            </w:r>
            <w:proofErr w:type="gramStart"/>
            <w:r w:rsidRPr="00FA440B">
              <w:rPr>
                <w:rFonts w:ascii="Verdana" w:hAnsi="Verdana" w:cs="Arial"/>
                <w:bCs/>
                <w:color w:val="000000" w:themeColor="text1"/>
              </w:rPr>
              <w:t>condición,</w:t>
            </w:r>
            <w:proofErr w:type="gramEnd"/>
            <w:r w:rsidRPr="00FA440B">
              <w:rPr>
                <w:rFonts w:ascii="Verdana" w:hAnsi="Verdana" w:cs="Arial"/>
                <w:bCs/>
                <w:color w:val="000000" w:themeColor="text1"/>
              </w:rPr>
              <w:t xml:space="preserve"> está previsto en el artículo 39.3., así como en el artículo 87.9. de la Ley 142 de 1994, </w:t>
            </w:r>
            <w:r w:rsidRPr="00FA440B">
              <w:rPr>
                <w:rFonts w:ascii="Verdana" w:eastAsia="Arial" w:hAnsi="Verdana" w:cs="Arial"/>
                <w:lang w:eastAsia="es-ES" w:bidi="es-ES"/>
              </w:rPr>
              <w:t xml:space="preserve">lo cual implica la entrega de bienes y derechos a un prestador de servicios públicos domiciliarios bajo la condición de que sean utilizados, mantenidos y conservados por el receptor para su posterior devolución. Por lo tanto, se trata de un contrato celebrado entre una entidad pública y una empresa de servicios públicos –oficial, mixta y privada con o sin participación estatal- con obligaciones recíprocas, cuyo objeto es la operación de unos bienes públicos en favor de una comunidad de usuarios, sin que el valor de los aportes pueda reflejarse en las tarifas. </w:t>
            </w:r>
          </w:p>
          <w:p w14:paraId="650F3FEF" w14:textId="77777777" w:rsidR="00E33242" w:rsidRPr="00FA440B" w:rsidRDefault="00E33242" w:rsidP="007E2C2E">
            <w:pPr>
              <w:spacing w:after="120" w:line="276" w:lineRule="auto"/>
              <w:ind w:firstLine="709"/>
              <w:jc w:val="both"/>
              <w:rPr>
                <w:rFonts w:ascii="Verdana" w:eastAsia="Arial" w:hAnsi="Verdana" w:cs="Arial"/>
                <w:lang w:eastAsia="es-ES" w:bidi="es-ES"/>
              </w:rPr>
            </w:pPr>
            <w:r w:rsidRPr="00FA440B">
              <w:rPr>
                <w:rFonts w:ascii="Verdana" w:eastAsia="Arial" w:hAnsi="Verdana" w:cs="Arial"/>
                <w:lang w:eastAsia="es-ES" w:bidi="es-ES"/>
              </w:rPr>
              <w:t xml:space="preserve">Este precepto posibilitó otorgar subsidios a la demanda, esto es, a los usuarios de los servicios públicos domiciliarios, bajo el esquema de aportes de bienes o derechos que hacen las entidades a las empresas de servicios públicos domiciliarios. De igual forma, establece una forma de subsidio a la oferta, en el sentido de que las empresas prestadoras de servicios públicos domiciliarios, que reciben de forma gratuita bienes o derechos en parte de las entidades públicas para destinarlos al cumplimiento de su objeto social. En </w:t>
            </w:r>
            <w:r w:rsidRPr="00FA440B">
              <w:rPr>
                <w:rFonts w:ascii="Verdana" w:eastAsia="Arial" w:hAnsi="Verdana" w:cs="Arial"/>
                <w:lang w:eastAsia="es-ES" w:bidi="es-ES"/>
              </w:rPr>
              <w:lastRenderedPageBreak/>
              <w:t>torno a este artículo que fue modificado en su momento por el artículo 143 de la Ley 1151 de 2007, la Corte Constitucional efectuó un control de constitucionalidad en la Sentencia C-739 de 2008, manifestando que, al regular los servicios públicos domiciliarios, el legislador está sujeto a múltiples límites constitucionales. No solo debe atender los principios de igualdad y solidaridad, que exigen un régimen tarifario equitativo para los sectores de bajos ingresos (arts. 367 y 368 C.P.), sino también garantizar la eficiencia, calidad, expansión de la cobertura y atención prioritaria de necesidades básicas como el agua potable y el saneamiento (arts. 365, 366 y 367 C.P.). Esto se debe a que de la prestación eficiente, permanente y universal de los servicios públicos dependen derechos fundamentales como la vida, la salud y la vida digna, por lo que la regulación no puede privilegiar un solo criterio constitucional en detrimento de los demás.</w:t>
            </w:r>
          </w:p>
          <w:p w14:paraId="15148E44" w14:textId="77777777" w:rsidR="00E33242" w:rsidRPr="00FA440B" w:rsidRDefault="00E33242" w:rsidP="007E2C2E">
            <w:pPr>
              <w:spacing w:after="120" w:line="276" w:lineRule="auto"/>
              <w:ind w:firstLine="709"/>
              <w:jc w:val="both"/>
              <w:rPr>
                <w:rFonts w:ascii="Verdana" w:eastAsia="Arial" w:hAnsi="Verdana" w:cs="Arial"/>
                <w:lang w:eastAsia="es-ES" w:bidi="es-ES"/>
              </w:rPr>
            </w:pPr>
            <w:r w:rsidRPr="00FA440B">
              <w:rPr>
                <w:rFonts w:ascii="Verdana" w:eastAsia="Arial" w:hAnsi="Verdana" w:cs="Arial"/>
                <w:lang w:eastAsia="es-ES" w:bidi="es-ES"/>
              </w:rPr>
              <w:t xml:space="preserve">Frente a la aparente contradicción entre el artículo 143 de la Ley 1151 de 2007 y el artículo 368 de la Constitución, la Corte concluye que esta es solo aparente. El artículo 368 regula subsidios presupuestales directos dirigidos exclusivamente a personas de menores ingresos para cubrir necesidades básicas, mientras que la norma acusada autoriza subsidios indirectos a la demanda, consistentes en aportes no capitalizables (como infraestructura), entregados a empresas de servicios públicos para superar fallas del mercado y ampliar la cobertura. Estos mecanismos se justifican en contextos donde el mercado no resulta viable —por razones geográficas, socioeconómicas o por la existencia de monopolios naturales— y donde el Estado debe intervenir para asegurar la prestación efectiva y universal del servicio. Por último, la Corte aclara que esta forma de subsidio generalizado no implica una regresión en derechos sociales ni desconoce los principios de igualdad y solidaridad. </w:t>
            </w:r>
          </w:p>
          <w:p w14:paraId="50A28365" w14:textId="77777777" w:rsidR="00E33242" w:rsidRPr="00FA440B" w:rsidRDefault="00E33242" w:rsidP="007E2C2E">
            <w:pPr>
              <w:spacing w:after="120" w:line="276" w:lineRule="auto"/>
              <w:ind w:firstLine="709"/>
              <w:jc w:val="both"/>
              <w:rPr>
                <w:rFonts w:ascii="Verdana" w:hAnsi="Verdana"/>
              </w:rPr>
            </w:pPr>
            <w:r w:rsidRPr="00FA440B">
              <w:rPr>
                <w:rFonts w:ascii="Verdana" w:hAnsi="Verdana"/>
              </w:rPr>
              <w:t>Teniendo en cuenta lo expuesto sobre el contrato de aporte, se encuentra que es un contrato especial</w:t>
            </w:r>
            <w:r w:rsidRPr="00FA440B">
              <w:rPr>
                <w:rFonts w:ascii="Verdana" w:eastAsia="Times New Roman" w:hAnsi="Verdana" w:cs="Segoe UI"/>
              </w:rPr>
              <w:t xml:space="preserve"> dentro de la Ley 142 de 1994 </w:t>
            </w:r>
            <w:r w:rsidRPr="00FA440B">
              <w:rPr>
                <w:rFonts w:ascii="Verdana" w:hAnsi="Verdana"/>
              </w:rPr>
              <w:t xml:space="preserve">que tiene como propósito corregir distorsiones del mercado y a garantizar una mayor eficiencia en la prestación de los servicios públicos domiciliarios. En esta línea, los usuarios de menores ingresos mantienen intacto su acceso al subsidio, mientras que la ampliación de su alcance evita cargas injustificadas a otros usuarios y asegura que los beneficios derivados de bienes públicos entregados gratuitamente no se traduzcan en cobros indebidos. Al respecto, la Comisión </w:t>
            </w:r>
            <w:r w:rsidRPr="00FA440B">
              <w:rPr>
                <w:rFonts w:ascii="Verdana" w:hAnsi="Verdana"/>
              </w:rPr>
              <w:lastRenderedPageBreak/>
              <w:t xml:space="preserve">de Regulación de Energía y Gas –CREG- manifestó: “[…] frente el artículo 87.9 de la Ley 142 de 1994 y en relación con la inclusión de dichos apartes dentro del cálculo de las tarifas que hayan de cobrarse a los usuarios, entiende esta Comisión que le corresponde a las empresas llevar a cabo su aplicación al momento de llevar a cabo la aplicación de las tarifas de los servicios públicos domiciliarios de energía eléctrica y gas combustible en el caso de darse los presupuestos a los que hace referencia dicha norma”. En el caso de distribución de energía se encuentra la variable RPP, para lo cual dentro de los criterios generales para la remuneración de la Resolución CREG 097 de 2008, el literal m) del artículo 2 de la mencionada resolución prescribe: </w:t>
            </w:r>
            <w:r>
              <w:rPr>
                <w:rFonts w:ascii="Verdana" w:hAnsi="Verdana"/>
              </w:rPr>
              <w:t>“</w:t>
            </w:r>
            <w:r w:rsidRPr="00FA440B">
              <w:rPr>
                <w:rFonts w:ascii="Verdana" w:hAnsi="Verdana"/>
              </w:rPr>
              <w:t>m) Un Operador de Red será remunerado mediante cargos por uso por la totalidad de los activos de uso que opera y mantiene en desarrollo de la prestación del servicio público domiciliario de energía eléctrica, independientemente de que sea o no propietario de los mismos y sin perjuicio de la remuneración que deberá pagar al propietario por su inversión, con excepción de los bienes o derechos que no deban incluirse en el cálculo de las tarifas en los términos del artículo </w:t>
            </w:r>
            <w:hyperlink r:id="rId14" w:anchor="87" w:tgtFrame="_blank" w:history="1">
              <w:r w:rsidRPr="00FA440B">
                <w:rPr>
                  <w:rStyle w:val="Hipervnculo"/>
                  <w:rFonts w:ascii="Verdana" w:hAnsi="Verdana"/>
                  <w:color w:val="auto"/>
                  <w:u w:val="none"/>
                </w:rPr>
                <w:t>87</w:t>
              </w:r>
            </w:hyperlink>
            <w:r w:rsidRPr="00FA440B">
              <w:rPr>
                <w:rFonts w:ascii="Verdana" w:hAnsi="Verdana"/>
              </w:rPr>
              <w:t> numeral 87.9 de la Ley 142 de 1994, en la forma en que quedó modificado por el artículo </w:t>
            </w:r>
            <w:hyperlink r:id="rId15" w:anchor="143" w:tgtFrame="_blank" w:history="1">
              <w:r w:rsidRPr="00FA440B">
                <w:rPr>
                  <w:rStyle w:val="Hipervnculo"/>
                  <w:rFonts w:ascii="Verdana" w:hAnsi="Verdana"/>
                  <w:color w:val="auto"/>
                  <w:u w:val="none"/>
                </w:rPr>
                <w:t>143</w:t>
              </w:r>
            </w:hyperlink>
            <w:r w:rsidRPr="00FA440B">
              <w:rPr>
                <w:rFonts w:ascii="Verdana" w:hAnsi="Verdana"/>
              </w:rPr>
              <w:t> de la Ley 1151 de 2007</w:t>
            </w:r>
            <w:r>
              <w:rPr>
                <w:rFonts w:ascii="Verdana" w:hAnsi="Verdana"/>
              </w:rPr>
              <w:t>”</w:t>
            </w:r>
            <w:r w:rsidRPr="00FA440B">
              <w:rPr>
                <w:rFonts w:ascii="Verdana" w:hAnsi="Verdana"/>
              </w:rPr>
              <w:t>.</w:t>
            </w:r>
          </w:p>
        </w:tc>
      </w:tr>
    </w:tbl>
    <w:p w14:paraId="23C1518B" w14:textId="77777777" w:rsidR="00E33242" w:rsidRPr="00380CA4" w:rsidRDefault="00E33242" w:rsidP="00E33242">
      <w:pPr>
        <w:spacing w:after="0" w:line="240" w:lineRule="auto"/>
        <w:jc w:val="both"/>
        <w:rPr>
          <w:rFonts w:ascii="Verdana" w:eastAsia="Calibri" w:hAnsi="Verdana" w:cs="Arial"/>
          <w:bCs/>
          <w:color w:val="000000" w:themeColor="text1"/>
        </w:rPr>
      </w:pPr>
    </w:p>
    <w:p w14:paraId="4A621770" w14:textId="77777777" w:rsidR="00E33242" w:rsidRPr="00380CA4" w:rsidRDefault="00E33242" w:rsidP="00E33242">
      <w:pPr>
        <w:numPr>
          <w:ilvl w:val="0"/>
          <w:numId w:val="21"/>
        </w:numPr>
        <w:tabs>
          <w:tab w:val="left" w:pos="2268"/>
        </w:tabs>
        <w:spacing w:after="0" w:line="240" w:lineRule="auto"/>
        <w:rPr>
          <w:rFonts w:ascii="Verdana" w:eastAsia="Calibri" w:hAnsi="Verdana" w:cs="Times New Roman"/>
          <w:b/>
          <w:bCs/>
        </w:rPr>
      </w:pPr>
      <w:r w:rsidRPr="00380CA4">
        <w:rPr>
          <w:rFonts w:ascii="Verdana" w:eastAsia="Calibri" w:hAnsi="Verdana" w:cs="Times New Roman"/>
          <w:b/>
          <w:bCs/>
        </w:rPr>
        <w:t>Razones de la respuesta:</w:t>
      </w:r>
    </w:p>
    <w:p w14:paraId="302A0AA4" w14:textId="77777777" w:rsidR="00E33242" w:rsidRPr="00380CA4" w:rsidRDefault="00E33242" w:rsidP="00E33242">
      <w:pPr>
        <w:spacing w:after="0" w:line="240" w:lineRule="auto"/>
        <w:rPr>
          <w:rFonts w:ascii="Verdana" w:eastAsia="Calibri" w:hAnsi="Verdana" w:cs="Times New Roman"/>
          <w:b/>
          <w:bCs/>
        </w:rPr>
      </w:pPr>
    </w:p>
    <w:p w14:paraId="57E6FF15" w14:textId="77777777" w:rsidR="00E33242" w:rsidRPr="00380CA4" w:rsidRDefault="00E33242" w:rsidP="00E33242">
      <w:pPr>
        <w:spacing w:after="0" w:line="240" w:lineRule="auto"/>
        <w:jc w:val="both"/>
        <w:rPr>
          <w:rFonts w:ascii="Verdana" w:eastAsia="Calibri" w:hAnsi="Verdana" w:cs="Arial"/>
        </w:rPr>
      </w:pPr>
      <w:r w:rsidRPr="00380CA4">
        <w:rPr>
          <w:rFonts w:ascii="Verdana" w:eastAsia="Calibri" w:hAnsi="Verdana" w:cs="Arial"/>
        </w:rPr>
        <w:t xml:space="preserve">Lo anterior se sustenta en las siguientes consideraciones: </w:t>
      </w:r>
    </w:p>
    <w:p w14:paraId="53D4A9BC" w14:textId="77777777" w:rsidR="00E33242" w:rsidRDefault="00E33242" w:rsidP="00E33242">
      <w:pPr>
        <w:spacing w:after="0" w:line="240" w:lineRule="auto"/>
        <w:jc w:val="both"/>
        <w:rPr>
          <w:rFonts w:ascii="Verdana" w:eastAsia="Calibri" w:hAnsi="Verdana" w:cs="Arial"/>
          <w:lang w:val="es-ES"/>
        </w:rPr>
      </w:pPr>
    </w:p>
    <w:p w14:paraId="20807AB9" w14:textId="77777777" w:rsidR="00E33242" w:rsidRPr="002D6B43" w:rsidRDefault="00E33242" w:rsidP="00E33242">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i. 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2"/>
      </w:r>
      <w:r w:rsidRPr="002D6B43">
        <w:rPr>
          <w:rFonts w:ascii="Verdana" w:eastAsia="Calibri" w:hAnsi="Verdana" w:cs="Arial"/>
        </w:rPr>
        <w:t xml:space="preserve">. </w:t>
      </w:r>
    </w:p>
    <w:p w14:paraId="7BF0D47C" w14:textId="77777777" w:rsidR="00E33242" w:rsidRPr="006B14B5" w:rsidRDefault="00E33242" w:rsidP="00E33242">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eastAsia="es-CO"/>
        </w:rPr>
        <w:lastRenderedPageBreak/>
        <w:t>En el mismo sentido</w:t>
      </w:r>
      <w:r w:rsidRPr="00E2397D">
        <w:rPr>
          <w:rFonts w:ascii="Verdana" w:eastAsia="Times New Roman" w:hAnsi="Verdana" w:cs="Arial"/>
          <w:lang w:val="es-MX" w:eastAsia="es-CO"/>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3"/>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61148B9C" w14:textId="77777777" w:rsidR="00E33242" w:rsidRPr="00E2397D" w:rsidRDefault="00E33242" w:rsidP="00E33242">
      <w:pPr>
        <w:spacing w:after="0" w:line="276" w:lineRule="auto"/>
        <w:ind w:right="709"/>
        <w:contextualSpacing/>
        <w:jc w:val="both"/>
        <w:rPr>
          <w:rFonts w:ascii="Verdana" w:eastAsia="Times New Roman" w:hAnsi="Verdana" w:cs="Arial"/>
          <w:lang w:val="es-ES" w:eastAsia="es-CO"/>
        </w:rPr>
      </w:pPr>
    </w:p>
    <w:p w14:paraId="6C3CD588" w14:textId="77777777" w:rsidR="00E33242" w:rsidRPr="00E2397D" w:rsidRDefault="00E33242" w:rsidP="00E33242">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74D8B7E4" w14:textId="77777777" w:rsidR="00E33242" w:rsidRPr="008E17DE" w:rsidRDefault="00E33242" w:rsidP="00E33242">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39139ED7" w14:textId="77777777" w:rsidR="00E33242" w:rsidRPr="00E2397D" w:rsidRDefault="00E33242" w:rsidP="00E33242">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4"/>
      </w:r>
    </w:p>
    <w:p w14:paraId="40C15F12" w14:textId="77777777" w:rsidR="00E33242" w:rsidRPr="00E2397D" w:rsidRDefault="00E33242" w:rsidP="00E33242">
      <w:pPr>
        <w:spacing w:after="0" w:line="276" w:lineRule="auto"/>
        <w:ind w:firstLine="709"/>
        <w:jc w:val="both"/>
        <w:rPr>
          <w:rFonts w:ascii="Verdana" w:eastAsia="Times New Roman" w:hAnsi="Verdana" w:cs="Arial"/>
          <w:lang w:val="es-MX" w:eastAsia="es-CO"/>
        </w:rPr>
      </w:pPr>
    </w:p>
    <w:p w14:paraId="5568FB85" w14:textId="77777777" w:rsidR="00E33242" w:rsidRPr="00E2397D" w:rsidRDefault="00E33242" w:rsidP="00E33242">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3786102F" w14:textId="77777777" w:rsidR="00E33242" w:rsidRPr="00886C02" w:rsidRDefault="00E33242" w:rsidP="00E33242">
      <w:pPr>
        <w:spacing w:after="0" w:line="276" w:lineRule="auto"/>
        <w:ind w:firstLine="709"/>
        <w:jc w:val="both"/>
        <w:rPr>
          <w:rFonts w:ascii="Verdana" w:eastAsia="Times New Roman" w:hAnsi="Verdana" w:cs="Arial"/>
          <w:lang w:val="es-MX" w:eastAsia="es-CO"/>
        </w:rPr>
      </w:pPr>
    </w:p>
    <w:p w14:paraId="2D27A002" w14:textId="77777777" w:rsidR="00E33242" w:rsidRPr="00E2397D" w:rsidRDefault="00E33242" w:rsidP="00E33242">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64324AC2" w14:textId="77777777" w:rsidR="00E33242" w:rsidRPr="000B35C5" w:rsidRDefault="00E33242" w:rsidP="00E33242">
      <w:pPr>
        <w:spacing w:after="0" w:line="240" w:lineRule="auto"/>
        <w:ind w:right="709"/>
        <w:contextualSpacing/>
        <w:jc w:val="both"/>
        <w:rPr>
          <w:rFonts w:ascii="Verdana" w:eastAsia="Times New Roman" w:hAnsi="Verdana" w:cs="Arial"/>
          <w:sz w:val="12"/>
          <w:szCs w:val="12"/>
          <w:lang w:val="es-MX" w:eastAsia="es-CO"/>
        </w:rPr>
      </w:pPr>
    </w:p>
    <w:p w14:paraId="786AF31A" w14:textId="77777777" w:rsidR="00E33242" w:rsidRPr="00E2397D" w:rsidRDefault="00E33242" w:rsidP="00E33242">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w:t>
      </w:r>
    </w:p>
    <w:p w14:paraId="39FD2B99" w14:textId="77777777" w:rsidR="00E33242" w:rsidRPr="00E2397D" w:rsidRDefault="00E33242" w:rsidP="00E33242">
      <w:pPr>
        <w:spacing w:after="0" w:line="276" w:lineRule="auto"/>
        <w:jc w:val="both"/>
        <w:rPr>
          <w:rFonts w:ascii="Verdana" w:eastAsia="Calibri" w:hAnsi="Verdana" w:cs="Arial"/>
          <w:bCs/>
          <w:lang w:val="es-ES_tradnl"/>
        </w:rPr>
      </w:pPr>
    </w:p>
    <w:p w14:paraId="407E6FDD" w14:textId="77777777" w:rsidR="00E33242" w:rsidRDefault="00E33242" w:rsidP="00E33242">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4D963E9C" w14:textId="77777777" w:rsidR="00E33242" w:rsidRPr="00E2397D" w:rsidRDefault="00E33242" w:rsidP="00E33242">
      <w:pPr>
        <w:spacing w:after="0" w:line="276" w:lineRule="auto"/>
        <w:ind w:firstLine="709"/>
        <w:jc w:val="both"/>
        <w:rPr>
          <w:rFonts w:ascii="Verdana" w:eastAsia="Arial" w:hAnsi="Verdana" w:cs="Arial"/>
          <w:lang w:val="es-ES" w:eastAsia="es-ES" w:bidi="es-ES"/>
        </w:rPr>
      </w:pPr>
    </w:p>
    <w:p w14:paraId="17ECD1E6" w14:textId="77777777" w:rsidR="00E33242" w:rsidRPr="00E2397D" w:rsidRDefault="00E33242" w:rsidP="00E33242">
      <w:pPr>
        <w:spacing w:after="120" w:line="276" w:lineRule="auto"/>
        <w:jc w:val="both"/>
        <w:rPr>
          <w:rFonts w:ascii="Verdana" w:eastAsia="Arial" w:hAnsi="Verdana" w:cs="Arial"/>
          <w:lang w:val="es-ES" w:eastAsia="es-ES" w:bidi="es-ES"/>
        </w:rPr>
      </w:pPr>
      <w:proofErr w:type="spellStart"/>
      <w:r w:rsidRPr="00E2397D">
        <w:rPr>
          <w:rFonts w:ascii="Verdana" w:eastAsia="Arial" w:hAnsi="Verdana" w:cs="Arial"/>
          <w:lang w:val="es-ES" w:eastAsia="es-ES" w:bidi="es-ES"/>
        </w:rPr>
        <w:t>ii</w:t>
      </w:r>
      <w:proofErr w:type="spellEnd"/>
      <w:r w:rsidRPr="00E2397D">
        <w:rPr>
          <w:rFonts w:ascii="Verdana" w:eastAsia="Arial" w:hAnsi="Verdana" w:cs="Arial"/>
          <w:lang w:val="es-ES" w:eastAsia="es-ES" w:bidi="es-ES"/>
        </w:rPr>
        <w:t xml:space="preserve">. Precisado el propósito de la Ley, es pertinente señalar que las restricciones consagradas en la citada Ley se dirigen a dos (2) tipos de campañas electorales claramente diferenciadas: las presidenciales y las demás que se adelanten para </w:t>
      </w:r>
      <w:r w:rsidRPr="00E2397D">
        <w:rPr>
          <w:rFonts w:ascii="Verdana" w:eastAsia="Arial" w:hAnsi="Verdana" w:cs="Arial"/>
          <w:lang w:val="es-ES" w:eastAsia="es-ES" w:bidi="es-ES"/>
        </w:rPr>
        <w:lastRenderedPageBreak/>
        <w:t>la elección de los demás cargos de elección popular, tanto a nivel nacional como territorial.</w:t>
      </w:r>
    </w:p>
    <w:p w14:paraId="733D1541" w14:textId="77777777" w:rsidR="00E33242" w:rsidRPr="00E2397D" w:rsidRDefault="00E33242" w:rsidP="00E33242">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8"/>
      </w:r>
      <w:r w:rsidRPr="00E2397D">
        <w:rPr>
          <w:rFonts w:ascii="Verdana" w:eastAsia="Calibri" w:hAnsi="Verdana" w:cs="Arial"/>
        </w:rPr>
        <w:t>.</w:t>
      </w:r>
    </w:p>
    <w:p w14:paraId="0965615E" w14:textId="77777777" w:rsidR="00E33242" w:rsidRDefault="00E33242" w:rsidP="00E33242">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r w:rsidRPr="00E2397D">
        <w:rPr>
          <w:rFonts w:ascii="Verdana" w:eastAsia="Calibri" w:hAnsi="Verdana" w:cs="Arial"/>
          <w:vertAlign w:val="superscript"/>
        </w:rPr>
        <w:footnoteReference w:id="9"/>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11550547" w14:textId="77777777" w:rsidR="00E33242" w:rsidRDefault="00E33242" w:rsidP="00E33242">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w:t>
      </w:r>
      <w:r>
        <w:rPr>
          <w:rFonts w:ascii="Verdana" w:eastAsia="Times New Roman" w:hAnsi="Verdana" w:cs="Arial"/>
          <w:bCs/>
          <w:lang w:eastAsia="es-CO"/>
        </w:rPr>
        <w:lastRenderedPageBreak/>
        <w:t xml:space="preserve">la que se acerca a la expresión “celebrar” en el contexto de la Ley de Garantías Electorales es la primera, esto es, al perfeccionamiento del contrato. </w:t>
      </w:r>
    </w:p>
    <w:p w14:paraId="05B83C21" w14:textId="77777777" w:rsidR="00E33242" w:rsidRDefault="00E33242" w:rsidP="00E33242">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07E76E78" w14:textId="77777777" w:rsidR="00E33242" w:rsidRDefault="00E33242" w:rsidP="00E33242">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5485B913" w14:textId="77777777" w:rsidR="00E33242" w:rsidRPr="005B4B74" w:rsidRDefault="00E33242" w:rsidP="00E33242">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w:t>
      </w:r>
      <w:proofErr w:type="gramStart"/>
      <w:r w:rsidRPr="00894384">
        <w:rPr>
          <w:rFonts w:ascii="Verdana" w:eastAsia="Times New Roman" w:hAnsi="Verdana" w:cs="Arial"/>
          <w:bCs/>
          <w:lang w:val="es-MX" w:eastAsia="es-CO"/>
        </w:rPr>
        <w:t>entrada en vigencia</w:t>
      </w:r>
      <w:proofErr w:type="gramEnd"/>
      <w:r w:rsidRPr="00894384">
        <w:rPr>
          <w:rFonts w:ascii="Verdana" w:eastAsia="Times New Roman" w:hAnsi="Verdana" w:cs="Arial"/>
          <w:bCs/>
          <w:lang w:val="es-MX" w:eastAsia="es-CO"/>
        </w:rPr>
        <w:t xml:space="preserve"> de las prohibiciones anotadas, así como la cesión de </w:t>
      </w:r>
      <w:proofErr w:type="gramStart"/>
      <w:r w:rsidRPr="00894384">
        <w:rPr>
          <w:rFonts w:ascii="Verdana" w:eastAsia="Times New Roman" w:hAnsi="Verdana" w:cs="Arial"/>
          <w:bCs/>
          <w:lang w:val="es-MX" w:eastAsia="es-CO"/>
        </w:rPr>
        <w:t>los mismos</w:t>
      </w:r>
      <w:proofErr w:type="gramEnd"/>
      <w:r w:rsidRPr="00894384">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0"/>
      </w:r>
      <w:r w:rsidRPr="00894384">
        <w:rPr>
          <w:rFonts w:ascii="Verdana" w:eastAsia="Times New Roman" w:hAnsi="Verdana" w:cs="Arial"/>
          <w:bCs/>
          <w:lang w:val="es-MX" w:eastAsia="es-CO"/>
        </w:rPr>
        <w:t xml:space="preserve">. </w:t>
      </w: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2919F2AF" w14:textId="77777777" w:rsidR="00E33242" w:rsidRPr="00E2397D" w:rsidRDefault="00E33242" w:rsidP="00E33242">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637FE2D0" w14:textId="77777777" w:rsidR="00E33242" w:rsidRPr="00E2397D" w:rsidRDefault="00E33242" w:rsidP="00E33242">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E2397D">
        <w:rPr>
          <w:rFonts w:ascii="Verdana" w:eastAsia="Arial" w:hAnsi="Verdana" w:cs="Arial"/>
          <w:sz w:val="20"/>
          <w:szCs w:val="20"/>
          <w:lang w:eastAsia="es-ES" w:bidi="es-ES"/>
        </w:rPr>
        <w:t>Presidente</w:t>
      </w:r>
      <w:proofErr w:type="gramEnd"/>
      <w:r w:rsidRPr="00E2397D">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1"/>
      </w:r>
    </w:p>
    <w:p w14:paraId="3C2D2B17" w14:textId="77777777" w:rsidR="00E33242" w:rsidRPr="00E2397D" w:rsidRDefault="00E33242" w:rsidP="00E33242">
      <w:pPr>
        <w:widowControl w:val="0"/>
        <w:autoSpaceDE w:val="0"/>
        <w:autoSpaceDN w:val="0"/>
        <w:spacing w:after="0" w:line="276" w:lineRule="auto"/>
        <w:contextualSpacing/>
        <w:rPr>
          <w:rFonts w:ascii="Verdana" w:eastAsia="Arial" w:hAnsi="Verdana" w:cs="Arial"/>
          <w:lang w:val="es-ES" w:eastAsia="es-ES" w:bidi="es-ES"/>
        </w:rPr>
      </w:pPr>
    </w:p>
    <w:p w14:paraId="2BDAEFEB" w14:textId="77777777" w:rsidR="00E33242" w:rsidRPr="00E2397D" w:rsidRDefault="00E33242" w:rsidP="00E33242">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0932C6B1" w14:textId="77777777" w:rsidR="00E33242" w:rsidRPr="00E2397D" w:rsidRDefault="00E33242" w:rsidP="00E33242">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a todos los </w:t>
      </w:r>
      <w:r w:rsidRPr="00E2397D">
        <w:rPr>
          <w:rFonts w:ascii="Verdana" w:eastAsia="Arial" w:hAnsi="Verdana" w:cs="Arial"/>
          <w:lang w:val="es-ES" w:eastAsia="es-ES" w:bidi="es-ES"/>
        </w:rPr>
        <w:lastRenderedPageBreak/>
        <w:t xml:space="preserve">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7BFD303D" w14:textId="77777777" w:rsidR="00E33242" w:rsidRDefault="00E33242" w:rsidP="00E33242">
      <w:pPr>
        <w:spacing w:after="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o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y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3B30A05A" w14:textId="77777777" w:rsidR="00E33242" w:rsidRPr="00380CA4" w:rsidRDefault="00E33242" w:rsidP="00E33242">
      <w:pPr>
        <w:spacing w:after="0" w:line="276" w:lineRule="auto"/>
        <w:ind w:firstLine="709"/>
        <w:jc w:val="both"/>
        <w:rPr>
          <w:rFonts w:ascii="Verdana" w:eastAsia="Arial" w:hAnsi="Verdana" w:cs="Arial"/>
          <w:lang w:eastAsia="es-ES" w:bidi="es-ES"/>
        </w:rPr>
      </w:pPr>
      <w:bookmarkStart w:id="1" w:name="_Hlk78820161"/>
    </w:p>
    <w:p w14:paraId="538470D7" w14:textId="77777777" w:rsidR="00E33242" w:rsidRPr="00380CA4" w:rsidRDefault="00E33242" w:rsidP="00E33242">
      <w:pPr>
        <w:spacing w:after="0" w:line="276" w:lineRule="auto"/>
        <w:jc w:val="both"/>
        <w:rPr>
          <w:rFonts w:ascii="Verdana" w:eastAsia="Times New Roman" w:hAnsi="Verdana" w:cs="Arial"/>
          <w:bCs/>
          <w:lang w:eastAsia="es-CO"/>
        </w:rPr>
      </w:pPr>
      <w:proofErr w:type="spellStart"/>
      <w:r>
        <w:rPr>
          <w:rFonts w:ascii="Verdana" w:eastAsia="Arial" w:hAnsi="Verdana" w:cs="Arial"/>
          <w:lang w:eastAsia="es-ES" w:bidi="es-ES"/>
        </w:rPr>
        <w:t>iii</w:t>
      </w:r>
      <w:proofErr w:type="spellEnd"/>
      <w:r>
        <w:rPr>
          <w:rFonts w:ascii="Verdana" w:eastAsia="Arial" w:hAnsi="Verdana" w:cs="Arial"/>
          <w:lang w:eastAsia="es-ES" w:bidi="es-ES"/>
        </w:rPr>
        <w:t>.</w:t>
      </w:r>
      <w:r w:rsidRPr="00380CA4">
        <w:rPr>
          <w:rFonts w:ascii="Verdana" w:eastAsia="Arial" w:hAnsi="Verdana" w:cs="Arial"/>
          <w:lang w:eastAsia="es-ES" w:bidi="es-ES"/>
        </w:rPr>
        <w:t xml:space="preserve"> </w:t>
      </w:r>
      <w:r w:rsidRPr="00380CA4">
        <w:rPr>
          <w:rFonts w:ascii="Verdana" w:eastAsia="Times New Roman" w:hAnsi="Verdana" w:cs="Arial"/>
          <w:bCs/>
          <w:lang w:eastAsia="x-none"/>
        </w:rPr>
        <w:t xml:space="preserve">El ámbito material de la prohibición contenida en el artículo 33 de la ley 996 de 2005 está delimitado por la expresión </w:t>
      </w:r>
      <w:r w:rsidRPr="00380CA4">
        <w:rPr>
          <w:rFonts w:ascii="Verdana" w:eastAsia="Calibri" w:hAnsi="Verdana" w:cs="Arial"/>
          <w:bCs/>
          <w:sz w:val="20"/>
          <w:szCs w:val="20"/>
        </w:rPr>
        <w:t>“</w:t>
      </w:r>
      <w:r w:rsidRPr="00380CA4">
        <w:rPr>
          <w:rFonts w:ascii="Verdana" w:eastAsia="Times New Roman" w:hAnsi="Verdana" w:cs="Arial"/>
          <w:bCs/>
          <w:lang w:eastAsia="x-none"/>
        </w:rPr>
        <w:t>queda prohibida la contratación directa</w:t>
      </w:r>
      <w:r w:rsidRPr="00380CA4">
        <w:rPr>
          <w:rFonts w:ascii="Verdana" w:eastAsia="Calibri" w:hAnsi="Verdana" w:cs="Arial"/>
          <w:sz w:val="20"/>
          <w:szCs w:val="20"/>
        </w:rPr>
        <w:t>”</w:t>
      </w:r>
      <w:r w:rsidRPr="00380CA4">
        <w:rPr>
          <w:rFonts w:ascii="Verdana" w:eastAsia="Times New Roman" w:hAnsi="Verdana" w:cs="Arial"/>
          <w:bCs/>
          <w:lang w:eastAsia="x-none"/>
        </w:rPr>
        <w:t xml:space="preserve">. </w:t>
      </w:r>
      <w:r w:rsidRPr="00380CA4">
        <w:rPr>
          <w:rFonts w:ascii="Verdana" w:eastAsia="Times New Roman" w:hAnsi="Verdana" w:cs="Arial"/>
          <w:lang w:eastAsia="es-CO"/>
        </w:rPr>
        <w:t xml:space="preserve"> A propósito de esta restricción de la Ley de Garantías Electorales, la Sala de Consulta y Servicio Civil del Consejo de Estado ha considerado que:</w:t>
      </w:r>
    </w:p>
    <w:p w14:paraId="1AE9C146" w14:textId="77777777" w:rsidR="00E33242" w:rsidRPr="00380CA4" w:rsidRDefault="00E33242" w:rsidP="00E33242">
      <w:pPr>
        <w:spacing w:after="0" w:line="240" w:lineRule="auto"/>
        <w:ind w:left="708" w:right="709"/>
        <w:jc w:val="both"/>
        <w:rPr>
          <w:rFonts w:ascii="Verdana" w:eastAsia="Calibri" w:hAnsi="Verdana" w:cs="Arial"/>
          <w:sz w:val="21"/>
          <w:szCs w:val="21"/>
        </w:rPr>
      </w:pPr>
    </w:p>
    <w:p w14:paraId="14A853C1" w14:textId="77777777" w:rsidR="00E33242" w:rsidRDefault="00E33242" w:rsidP="00E33242">
      <w:pPr>
        <w:spacing w:after="0" w:line="240" w:lineRule="auto"/>
        <w:ind w:left="709" w:right="709"/>
        <w:jc w:val="both"/>
        <w:rPr>
          <w:rFonts w:ascii="Verdana" w:eastAsia="Calibri" w:hAnsi="Verdana" w:cs="Arial"/>
          <w:sz w:val="20"/>
          <w:szCs w:val="20"/>
        </w:rPr>
      </w:pPr>
      <w:r w:rsidRPr="00380CA4">
        <w:rPr>
          <w:rFonts w:ascii="Verdana" w:eastAsia="Calibri"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380CA4">
        <w:rPr>
          <w:rFonts w:ascii="Verdana" w:eastAsia="Times New Roman" w:hAnsi="Verdana" w:cs="Arial"/>
          <w:sz w:val="20"/>
          <w:szCs w:val="20"/>
          <w:vertAlign w:val="superscript"/>
          <w:lang w:eastAsia="es-CO"/>
        </w:rPr>
        <w:footnoteReference w:id="12"/>
      </w:r>
      <w:r w:rsidRPr="00380CA4">
        <w:rPr>
          <w:rFonts w:ascii="Verdana" w:eastAsia="Calibri" w:hAnsi="Verdana" w:cs="Arial"/>
          <w:sz w:val="20"/>
          <w:szCs w:val="20"/>
        </w:rPr>
        <w:t>.</w:t>
      </w:r>
    </w:p>
    <w:p w14:paraId="18A1C4DE" w14:textId="77777777" w:rsidR="00E33242" w:rsidRPr="00380CA4" w:rsidRDefault="00E33242" w:rsidP="00E33242">
      <w:pPr>
        <w:spacing w:after="0" w:line="240" w:lineRule="auto"/>
        <w:ind w:left="709" w:right="709"/>
        <w:jc w:val="both"/>
        <w:rPr>
          <w:rFonts w:ascii="Verdana" w:eastAsia="Calibri" w:hAnsi="Verdana" w:cs="Arial"/>
          <w:sz w:val="20"/>
          <w:szCs w:val="20"/>
        </w:rPr>
      </w:pPr>
    </w:p>
    <w:p w14:paraId="110A4381" w14:textId="77777777" w:rsidR="00E33242" w:rsidRPr="00380CA4" w:rsidRDefault="00E33242" w:rsidP="00E33242">
      <w:pPr>
        <w:spacing w:after="0" w:line="240" w:lineRule="auto"/>
        <w:ind w:left="708" w:right="709"/>
        <w:jc w:val="both"/>
        <w:rPr>
          <w:rFonts w:ascii="Verdana" w:eastAsia="Calibri" w:hAnsi="Verdana" w:cs="Arial"/>
          <w:sz w:val="20"/>
          <w:szCs w:val="20"/>
        </w:rPr>
      </w:pPr>
      <w:r w:rsidRPr="00380CA4">
        <w:rPr>
          <w:rFonts w:ascii="Verdana" w:eastAsia="Calibri" w:hAnsi="Verdana" w:cs="Arial"/>
          <w:sz w:val="20"/>
          <w:szCs w:val="20"/>
        </w:rPr>
        <w:t xml:space="preserve">Esta Sala ha entendido </w:t>
      </w:r>
      <w:proofErr w:type="gramStart"/>
      <w:r w:rsidRPr="00380CA4">
        <w:rPr>
          <w:rFonts w:ascii="Verdana" w:eastAsia="Calibri" w:hAnsi="Verdana" w:cs="Arial"/>
          <w:sz w:val="20"/>
          <w:szCs w:val="20"/>
        </w:rPr>
        <w:t>que</w:t>
      </w:r>
      <w:proofErr w:type="gramEnd"/>
      <w:r w:rsidRPr="00380CA4">
        <w:rPr>
          <w:rFonts w:ascii="Verdana" w:eastAsia="Calibri" w:hAnsi="Verdana" w:cs="Arial"/>
          <w:sz w:val="20"/>
          <w:szCs w:val="20"/>
        </w:rPr>
        <w:t xml:space="preserve"> para los efectos de la ley de garantías, y dada su finalidad, el enunciado ´contratación directa´ es sinónimo de cualquier sistema que no implique convocatoria pública y posibilidad de pluralidad </w:t>
      </w:r>
      <w:r w:rsidRPr="00380CA4">
        <w:rPr>
          <w:rFonts w:ascii="Verdana" w:eastAsia="Calibri" w:hAnsi="Verdana" w:cs="Arial"/>
          <w:sz w:val="20"/>
          <w:szCs w:val="20"/>
        </w:rPr>
        <w:lastRenderedPageBreak/>
        <w:t>de oferentes, y que, además, no necesariamente hace referencia al procedimiento especial regulado por la ley de contratación estatal, sino a cualquier otro que prescinda de un proceso de licitación pública o concurso</w:t>
      </w:r>
      <w:r w:rsidRPr="00380CA4">
        <w:rPr>
          <w:rFonts w:ascii="Verdana" w:eastAsia="Times New Roman" w:hAnsi="Verdana" w:cs="Arial"/>
          <w:sz w:val="20"/>
          <w:szCs w:val="20"/>
          <w:vertAlign w:val="superscript"/>
        </w:rPr>
        <w:footnoteReference w:id="13"/>
      </w:r>
      <w:r w:rsidRPr="00380CA4">
        <w:rPr>
          <w:rFonts w:ascii="Verdana" w:eastAsia="Times New Roman" w:hAnsi="Verdana" w:cs="Arial"/>
          <w:sz w:val="20"/>
          <w:szCs w:val="20"/>
          <w:vertAlign w:val="superscript"/>
        </w:rPr>
        <w:t>.</w:t>
      </w:r>
      <w:r w:rsidRPr="00380CA4">
        <w:rPr>
          <w:rFonts w:ascii="Verdana" w:eastAsia="Calibri"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380CA4">
        <w:rPr>
          <w:rFonts w:ascii="Verdana" w:eastAsia="Times New Roman" w:hAnsi="Verdana" w:cs="Arial"/>
          <w:sz w:val="20"/>
          <w:szCs w:val="20"/>
          <w:vertAlign w:val="superscript"/>
          <w:lang w:eastAsia="es-CO"/>
        </w:rPr>
        <w:footnoteReference w:id="14"/>
      </w:r>
      <w:r w:rsidRPr="00380CA4">
        <w:rPr>
          <w:rFonts w:ascii="Verdana" w:eastAsia="Calibri" w:hAnsi="Verdana" w:cs="Arial"/>
          <w:sz w:val="20"/>
          <w:szCs w:val="20"/>
        </w:rPr>
        <w:t xml:space="preserve"> .</w:t>
      </w:r>
    </w:p>
    <w:p w14:paraId="51CC70F2" w14:textId="77777777" w:rsidR="00E33242" w:rsidRPr="00380CA4" w:rsidRDefault="00E33242" w:rsidP="00E33242">
      <w:pPr>
        <w:shd w:val="clear" w:color="auto" w:fill="FFFFFF"/>
        <w:spacing w:after="0" w:line="276" w:lineRule="auto"/>
        <w:ind w:firstLine="709"/>
        <w:jc w:val="both"/>
        <w:rPr>
          <w:rFonts w:ascii="Verdana" w:eastAsia="Times New Roman" w:hAnsi="Verdana" w:cs="Arial"/>
          <w:lang w:eastAsia="x-none"/>
        </w:rPr>
      </w:pPr>
    </w:p>
    <w:p w14:paraId="2B15DFE3" w14:textId="77777777" w:rsidR="00E33242" w:rsidRPr="00380CA4" w:rsidRDefault="00E33242" w:rsidP="00E33242">
      <w:pPr>
        <w:spacing w:after="120" w:line="276" w:lineRule="auto"/>
        <w:ind w:firstLine="708"/>
        <w:jc w:val="both"/>
        <w:rPr>
          <w:rFonts w:ascii="Verdana" w:eastAsia="Times New Roman" w:hAnsi="Verdana" w:cs="Arial"/>
          <w:bCs/>
          <w:lang w:eastAsia="x-none"/>
        </w:rPr>
      </w:pPr>
      <w:r w:rsidRPr="00380CA4">
        <w:rPr>
          <w:rFonts w:ascii="Verdana" w:eastAsia="Times New Roman" w:hAnsi="Verdana" w:cs="Arial"/>
          <w:lang w:eastAsia="x-none"/>
        </w:rPr>
        <w:t xml:space="preserve">De acuerdo con el citado concepto, la prohibición del artículo 33 de la Ley de Garantías Electorales se refiere a </w:t>
      </w:r>
      <w:r w:rsidRPr="00380CA4">
        <w:rPr>
          <w:rFonts w:ascii="Verdana" w:eastAsia="Times New Roman" w:hAnsi="Verdana" w:cs="Arial"/>
          <w:sz w:val="19"/>
          <w:szCs w:val="19"/>
          <w:lang w:eastAsia="en-GB"/>
        </w:rPr>
        <w:t>“</w:t>
      </w:r>
      <w:r w:rsidRPr="00380CA4">
        <w:rPr>
          <w:rFonts w:ascii="Verdana" w:eastAsia="Times New Roman" w:hAnsi="Verdana" w:cs="Arial"/>
          <w:lang w:eastAsia="x-none"/>
        </w:rPr>
        <w:t>cualquier sistema que no implique convocatoria pública y posibilidad de pluralidad de oferentes</w:t>
      </w:r>
      <w:r w:rsidRPr="00380CA4">
        <w:rPr>
          <w:rFonts w:ascii="Verdana" w:eastAsia="Times New Roman" w:hAnsi="Verdana" w:cs="Arial"/>
          <w:lang w:eastAsia="en-GB"/>
        </w:rPr>
        <w:t>”</w:t>
      </w:r>
      <w:r w:rsidRPr="00380CA4">
        <w:rPr>
          <w:rFonts w:ascii="Verdana" w:eastAsia="Times New Roman" w:hAnsi="Verdana" w:cs="Arial"/>
          <w:lang w:eastAsia="x-none"/>
        </w:rPr>
        <w:t>, por lo que excluye las demás modalidades de contratación previstas en la Ley 1150 de 2007, es decir, la licitación pública, la selección abreviada, el concurso de méritos y la mínima cuantía</w:t>
      </w:r>
      <w:r w:rsidRPr="00380CA4" w:rsidDel="00A85D9F">
        <w:rPr>
          <w:rFonts w:ascii="Verdana" w:eastAsia="Times New Roman" w:hAnsi="Verdana" w:cs="Arial"/>
          <w:lang w:eastAsia="x-none"/>
        </w:rPr>
        <w:t xml:space="preserve"> </w:t>
      </w:r>
      <w:r w:rsidRPr="00380CA4">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380CA4">
        <w:rPr>
          <w:rFonts w:ascii="Verdana" w:eastAsia="Times New Roman" w:hAnsi="Verdana" w:cs="Arial"/>
          <w:vertAlign w:val="superscript"/>
          <w:lang w:eastAsia="x-none"/>
        </w:rPr>
        <w:footnoteReference w:id="15"/>
      </w:r>
      <w:r w:rsidRPr="00380CA4">
        <w:rPr>
          <w:rFonts w:ascii="Verdana" w:eastAsia="Times New Roman" w:hAnsi="Verdana" w:cs="Arial"/>
          <w:lang w:eastAsia="x-none"/>
        </w:rPr>
        <w:t xml:space="preserve"> y sistematizó las causales de contratación directa</w:t>
      </w:r>
      <w:r w:rsidRPr="00380CA4">
        <w:rPr>
          <w:rFonts w:ascii="Verdana" w:eastAsia="Times New Roman" w:hAnsi="Verdana" w:cs="Arial"/>
          <w:vertAlign w:val="superscript"/>
          <w:lang w:eastAsia="x-none"/>
        </w:rPr>
        <w:footnoteReference w:id="16"/>
      </w:r>
      <w:r w:rsidRPr="00380CA4">
        <w:rPr>
          <w:rFonts w:ascii="Verdana" w:eastAsia="Times New Roman" w:hAnsi="Verdana" w:cs="Arial"/>
          <w:lang w:eastAsia="x-none"/>
        </w:rPr>
        <w:t xml:space="preserve">, </w:t>
      </w:r>
      <w:r w:rsidRPr="00380CA4">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013AD77E" w14:textId="77777777" w:rsidR="00E33242" w:rsidRPr="00F04D58" w:rsidRDefault="00E33242" w:rsidP="00E33242">
      <w:pPr>
        <w:spacing w:after="120" w:line="276" w:lineRule="auto"/>
        <w:ind w:firstLine="708"/>
        <w:jc w:val="both"/>
        <w:rPr>
          <w:rFonts w:ascii="Verdana" w:eastAsia="Times New Roman" w:hAnsi="Verdana" w:cs="Arial"/>
          <w:lang w:eastAsia="en-GB"/>
        </w:rPr>
      </w:pPr>
      <w:r w:rsidRPr="00380CA4">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380CA4">
        <w:rPr>
          <w:rFonts w:ascii="Verdana" w:eastAsia="Times New Roman" w:hAnsi="Verdana" w:cs="Arial"/>
          <w:lang w:eastAsia="x-none"/>
        </w:rPr>
        <w:t>contratación directa</w:t>
      </w:r>
      <w:r>
        <w:rPr>
          <w:rFonts w:ascii="Verdana" w:eastAsia="Times New Roman" w:hAnsi="Verdana" w:cs="Arial"/>
          <w:lang w:eastAsia="en-GB"/>
        </w:rPr>
        <w:t>”</w:t>
      </w:r>
      <w:r w:rsidRPr="00380CA4">
        <w:rPr>
          <w:rFonts w:ascii="Verdana" w:eastAsia="Times New Roman" w:hAnsi="Verdana" w:cs="Arial"/>
          <w:lang w:eastAsia="x-none"/>
        </w:rPr>
        <w:t>, precisando el Consejo de Estad</w:t>
      </w:r>
      <w:r>
        <w:rPr>
          <w:rFonts w:ascii="Verdana" w:eastAsia="Times New Roman" w:hAnsi="Verdana" w:cs="Arial"/>
          <w:lang w:eastAsia="x-none"/>
        </w:rPr>
        <w:t>o –en el concepto citado– que, “</w:t>
      </w:r>
      <w:r w:rsidRPr="00380CA4">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380CA4">
        <w:rPr>
          <w:rFonts w:ascii="Verdana" w:eastAsia="Times New Roman" w:hAnsi="Verdana" w:cs="Arial"/>
          <w:vertAlign w:val="superscript"/>
          <w:lang w:eastAsia="x-none"/>
        </w:rPr>
        <w:footnoteReference w:id="17"/>
      </w:r>
      <w:r w:rsidRPr="00380CA4">
        <w:rPr>
          <w:rFonts w:ascii="Verdana" w:eastAsia="Times New Roman" w:hAnsi="Verdana" w:cs="Arial"/>
          <w:lang w:eastAsia="x-none"/>
        </w:rPr>
        <w:t xml:space="preserve">, han establecido sistemas de </w:t>
      </w:r>
      <w:r w:rsidRPr="00380CA4">
        <w:rPr>
          <w:rFonts w:ascii="Verdana" w:eastAsia="Times New Roman" w:hAnsi="Verdana" w:cs="Arial"/>
          <w:lang w:eastAsia="x-none"/>
        </w:rPr>
        <w:lastRenderedPageBreak/>
        <w:t>contratación que implican convocatoria pública y participación de varios oferentes</w:t>
      </w:r>
      <w:r>
        <w:rPr>
          <w:rFonts w:ascii="Verdana" w:eastAsia="Times New Roman" w:hAnsi="Verdana" w:cs="Arial"/>
          <w:lang w:eastAsia="en-GB"/>
        </w:rPr>
        <w:t>”</w:t>
      </w:r>
      <w:r w:rsidRPr="00380CA4">
        <w:rPr>
          <w:rFonts w:ascii="Verdana" w:eastAsia="Times New Roman" w:hAnsi="Verdana" w:cs="Arial"/>
          <w:lang w:eastAsia="x-none"/>
        </w:rPr>
        <w:t xml:space="preserve">. </w:t>
      </w:r>
    </w:p>
    <w:p w14:paraId="4969AFF3" w14:textId="77777777" w:rsidR="00E33242" w:rsidRPr="00380CA4" w:rsidRDefault="00E33242" w:rsidP="00E33242">
      <w:pPr>
        <w:spacing w:after="120" w:line="276" w:lineRule="auto"/>
        <w:ind w:firstLine="708"/>
        <w:jc w:val="both"/>
        <w:rPr>
          <w:rFonts w:ascii="Verdana" w:eastAsia="Times New Roman" w:hAnsi="Verdana" w:cs="Arial"/>
          <w:bCs/>
          <w:lang w:eastAsia="es-CO"/>
        </w:rPr>
      </w:pPr>
      <w:r w:rsidRPr="00380CA4">
        <w:rPr>
          <w:rFonts w:ascii="Verdana" w:eastAsia="Times New Roman" w:hAnsi="Verdana" w:cs="Arial"/>
          <w:bCs/>
          <w:lang w:eastAsia="x-none"/>
        </w:rPr>
        <w:t>E</w:t>
      </w:r>
      <w:r w:rsidRPr="00380CA4">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380CA4">
        <w:rPr>
          <w:rFonts w:ascii="Verdana" w:eastAsia="Times New Roman" w:hAnsi="Verdana" w:cs="Arial"/>
          <w:vertAlign w:val="superscript"/>
          <w:lang w:eastAsia="x-none"/>
        </w:rPr>
        <w:footnoteReference w:id="18"/>
      </w:r>
      <w:r w:rsidRPr="00380CA4">
        <w:rPr>
          <w:rFonts w:ascii="Verdana" w:eastAsia="Times New Roman" w:hAnsi="Verdana" w:cs="Arial"/>
          <w:lang w:eastAsia="x-none"/>
        </w:rPr>
        <w:t xml:space="preserve">. </w:t>
      </w:r>
    </w:p>
    <w:p w14:paraId="768FD970" w14:textId="77777777" w:rsidR="00E33242" w:rsidRPr="00380CA4" w:rsidRDefault="00E33242" w:rsidP="00E33242">
      <w:pPr>
        <w:spacing w:after="120" w:line="276" w:lineRule="auto"/>
        <w:ind w:firstLine="708"/>
        <w:jc w:val="both"/>
        <w:rPr>
          <w:rFonts w:ascii="Verdana" w:eastAsia="Times New Roman" w:hAnsi="Verdana" w:cs="Arial"/>
          <w:bCs/>
          <w:lang w:eastAsia="es-CO"/>
        </w:rPr>
      </w:pPr>
      <w:r w:rsidRPr="00380CA4">
        <w:rPr>
          <w:rFonts w:ascii="Verdana" w:eastAsia="Times New Roman" w:hAnsi="Verdana" w:cs="Arial"/>
          <w:bCs/>
          <w:lang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w:t>
      </w:r>
      <w:r>
        <w:rPr>
          <w:rFonts w:ascii="Verdana" w:eastAsia="Times New Roman" w:hAnsi="Verdana" w:cs="Arial"/>
          <w:bCs/>
          <w:lang w:eastAsia="es-CO"/>
        </w:rPr>
        <w:t xml:space="preserve"> mayor precisión el término de “contratación directa”</w:t>
      </w:r>
      <w:r w:rsidRPr="00380CA4">
        <w:rPr>
          <w:rFonts w:ascii="Verdana" w:eastAsia="Times New Roman" w:hAnsi="Verdana" w:cs="Arial"/>
          <w:bCs/>
          <w:lang w:eastAsia="es-CO"/>
        </w:rPr>
        <w:t>.</w:t>
      </w:r>
    </w:p>
    <w:p w14:paraId="07959307" w14:textId="77777777" w:rsidR="00E33242" w:rsidRPr="001052D1" w:rsidRDefault="00E33242" w:rsidP="00E33242">
      <w:pPr>
        <w:spacing w:after="120" w:line="276" w:lineRule="auto"/>
        <w:ind w:firstLine="708"/>
        <w:jc w:val="both"/>
        <w:rPr>
          <w:rFonts w:ascii="Verdana" w:eastAsia="Times New Roman" w:hAnsi="Verdana" w:cs="Arial"/>
          <w:bCs/>
          <w:lang w:eastAsia="x-none"/>
        </w:rPr>
      </w:pPr>
      <w:r w:rsidRPr="00380CA4">
        <w:rPr>
          <w:rFonts w:ascii="Verdana" w:eastAsia="Times New Roman"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380CA4">
        <w:rPr>
          <w:rFonts w:ascii="Verdana" w:eastAsia="Times New Roman" w:hAnsi="Verdana" w:cs="Arial"/>
          <w:vertAlign w:val="superscript"/>
          <w:lang w:eastAsia="x-none"/>
        </w:rPr>
        <w:footnoteReference w:id="19"/>
      </w:r>
      <w:r w:rsidRPr="00380CA4">
        <w:rPr>
          <w:rFonts w:ascii="Verdana" w:eastAsia="Times New Roman" w:hAnsi="Verdana" w:cs="Arial"/>
          <w:bCs/>
          <w:lang w:eastAsia="x-none"/>
        </w:rPr>
        <w:t>.</w:t>
      </w:r>
      <w:r w:rsidRPr="00380CA4">
        <w:rPr>
          <w:rFonts w:ascii="Verdana" w:eastAsia="Times New Roman" w:hAnsi="Verdana" w:cs="Arial"/>
          <w:vertAlign w:val="superscript"/>
          <w:lang w:eastAsia="x-none"/>
        </w:rPr>
        <w:t xml:space="preserve"> </w:t>
      </w:r>
      <w:r w:rsidRPr="00380CA4">
        <w:rPr>
          <w:rFonts w:ascii="Verdana" w:eastAsia="Times New Roman" w:hAnsi="Verdana" w:cs="Arial"/>
          <w:bCs/>
          <w:lang w:eastAsia="x-none"/>
        </w:rPr>
        <w:t>De lo anterior se desprende que la restricción aplica, sin perjuicio de las excepciones establecidas en la misma ley, para celebrar cualquier contrato de forma directa, esto es, sin que exista un proceso abierto y competitivo.</w:t>
      </w:r>
      <w:r w:rsidRPr="00380CA4">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w:t>
      </w:r>
      <w:r w:rsidRPr="00380CA4">
        <w:rPr>
          <w:rFonts w:ascii="Verdana" w:eastAsia="Times New Roman" w:hAnsi="Verdana" w:cs="Arial"/>
          <w:lang w:eastAsia="x-none"/>
        </w:rPr>
        <w:lastRenderedPageBreak/>
        <w:t>cuantía, razón por la cual en ese período preelectoral de que trata la disposición las entidades públicas pueden seguir contratando bajo estos sistemas.</w:t>
      </w:r>
    </w:p>
    <w:p w14:paraId="10363868" w14:textId="77777777" w:rsidR="00E33242" w:rsidRPr="00380CA4" w:rsidRDefault="00E33242" w:rsidP="00E33242">
      <w:pPr>
        <w:spacing w:after="120" w:line="276" w:lineRule="auto"/>
        <w:ind w:firstLine="708"/>
        <w:jc w:val="both"/>
        <w:rPr>
          <w:rFonts w:ascii="Verdana" w:eastAsia="Times New Roman" w:hAnsi="Verdana" w:cs="Arial"/>
          <w:bCs/>
          <w:lang w:eastAsia="es-CO"/>
        </w:rPr>
      </w:pPr>
      <w:r w:rsidRPr="00380CA4">
        <w:rPr>
          <w:rFonts w:ascii="Verdana" w:eastAsia="Times New Roman" w:hAnsi="Verdana" w:cs="Arial"/>
          <w:bCs/>
          <w:lang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380CA4">
        <w:rPr>
          <w:rFonts w:ascii="Verdana" w:eastAsia="Times New Roman" w:hAnsi="Verdana" w:cs="Arial"/>
          <w:bCs/>
          <w:lang w:eastAsia="x-none"/>
        </w:rPr>
        <w:t>ii</w:t>
      </w:r>
      <w:proofErr w:type="spellEnd"/>
      <w:r w:rsidRPr="00380CA4">
        <w:rPr>
          <w:rFonts w:ascii="Verdana" w:eastAsia="Times New Roman" w:hAnsi="Verdana" w:cs="Arial"/>
          <w:bCs/>
          <w:lang w:eastAsia="x-none"/>
        </w:rPr>
        <w:t xml:space="preserve">) los contratos de crédito público; </w:t>
      </w:r>
      <w:proofErr w:type="spellStart"/>
      <w:r w:rsidRPr="00380CA4">
        <w:rPr>
          <w:rFonts w:ascii="Verdana" w:eastAsia="Times New Roman" w:hAnsi="Verdana" w:cs="Arial"/>
          <w:bCs/>
          <w:lang w:eastAsia="x-none"/>
        </w:rPr>
        <w:t>iii</w:t>
      </w:r>
      <w:proofErr w:type="spellEnd"/>
      <w:r w:rsidRPr="00380CA4">
        <w:rPr>
          <w:rFonts w:ascii="Verdana" w:eastAsia="Times New Roman" w:hAnsi="Verdana" w:cs="Arial"/>
          <w:bCs/>
          <w:lang w:eastAsia="x-none"/>
        </w:rPr>
        <w:t xml:space="preserve">) los requeridos para cubrir las emergencias educativas, sanitarias y desastres; </w:t>
      </w:r>
      <w:proofErr w:type="spellStart"/>
      <w:r w:rsidRPr="00380CA4">
        <w:rPr>
          <w:rFonts w:ascii="Verdana" w:eastAsia="Times New Roman" w:hAnsi="Verdana" w:cs="Arial"/>
          <w:bCs/>
          <w:lang w:eastAsia="x-none"/>
        </w:rPr>
        <w:t>iv</w:t>
      </w:r>
      <w:proofErr w:type="spellEnd"/>
      <w:r w:rsidRPr="00380CA4">
        <w:rPr>
          <w:rFonts w:ascii="Verdana" w:eastAsia="Times New Roman" w:hAnsi="Verdana" w:cs="Arial"/>
          <w:bCs/>
          <w:lang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380CA4">
        <w:rPr>
          <w:rFonts w:ascii="Verdana" w:eastAsia="Times New Roman" w:hAnsi="Verdana" w:cs="Arial"/>
          <w:bCs/>
          <w:lang w:eastAsia="es-CO"/>
        </w:rPr>
        <w:t xml:space="preserve"> Es responsabilidad del respectivo ente del Estado, examinar en cada caso la naturaleza de las actividades que adelanta y determinar si las mismas se enmarcan en alguna de las mencionadas excepciones, de manera que se le permita realizar </w:t>
      </w:r>
      <w:r>
        <w:rPr>
          <w:rFonts w:ascii="Verdana" w:eastAsia="Times New Roman" w:hAnsi="Verdana" w:cs="Arial"/>
          <w:bCs/>
          <w:lang w:eastAsia="es-CO"/>
        </w:rPr>
        <w:t xml:space="preserve">la contratación que necesite de </w:t>
      </w:r>
      <w:r w:rsidRPr="00380CA4">
        <w:rPr>
          <w:rFonts w:ascii="Verdana" w:eastAsia="Times New Roman" w:hAnsi="Verdana" w:cs="Arial"/>
          <w:bCs/>
          <w:lang w:eastAsia="es-CO"/>
        </w:rPr>
        <w:t>forma directa.</w:t>
      </w:r>
      <w:r>
        <w:rPr>
          <w:rFonts w:ascii="Verdana" w:eastAsia="Times New Roman" w:hAnsi="Verdana" w:cs="Arial"/>
          <w:bCs/>
          <w:lang w:eastAsia="es-CO"/>
        </w:rPr>
        <w:t xml:space="preserve"> </w:t>
      </w:r>
      <w:r w:rsidRPr="00BB6120">
        <w:rPr>
          <w:rFonts w:ascii="Verdana" w:eastAsia="Times New Roman" w:hAnsi="Verdana" w:cs="Arial"/>
          <w:bCs/>
          <w:lang w:val="es-MX" w:eastAsia="es-CO"/>
        </w:rPr>
        <w:t xml:space="preserve">Así mismo, la Corte Constitucional en la Sentencia C-1153 de 2005 señaló que la expresión </w:t>
      </w:r>
      <w:r w:rsidRPr="00BB6120">
        <w:rPr>
          <w:rFonts w:ascii="Verdana" w:eastAsia="Times New Roman" w:hAnsi="Verdana" w:cs="Times New Roman"/>
          <w:i/>
          <w:iCs/>
          <w:lang w:val="es-ES" w:eastAsia="es-ES"/>
        </w:rPr>
        <w:t xml:space="preserve">“adicionalmente se exceptúan aquellos gastos inaplazables e imprescindibles que afecten el normal funcionamiento de la administración” </w:t>
      </w:r>
      <w:r w:rsidRPr="00BB6120">
        <w:rPr>
          <w:rFonts w:ascii="Verdana" w:eastAsia="Times New Roman" w:hAnsi="Verdana" w:cs="Times New Roman"/>
          <w:iCs/>
          <w:lang w:val="es-ES" w:eastAsia="es-ES"/>
        </w:rPr>
        <w:t>regulada como excepción en el artículo 33</w:t>
      </w:r>
      <w:r w:rsidRPr="00BB6120">
        <w:rPr>
          <w:rFonts w:ascii="Verdana" w:eastAsia="Times New Roman" w:hAnsi="Verdana" w:cs="Times New Roman"/>
          <w:i/>
          <w:iCs/>
          <w:lang w:val="es-ES" w:eastAsia="es-ES"/>
        </w:rPr>
        <w:t xml:space="preserve"> </w:t>
      </w:r>
      <w:r w:rsidRPr="00BB6120">
        <w:rPr>
          <w:rFonts w:ascii="Verdana" w:eastAsia="Times New Roman" w:hAnsi="Verdana" w:cs="Times New Roman"/>
          <w:iCs/>
          <w:lang w:val="es-ES" w:eastAsia="es-ES"/>
        </w:rPr>
        <w:t>es demasiado amplia y ambigua, pues términos como inaplazable, imprescindible y normal funcionamiento son evaluativos y sujetos a interpretaciones diversas, lo que permitiría introducir múltiples excepciones que desfigurarían la prohibición original y comprometerían los fines y propósitos de la Ley de Garantías Electorales.</w:t>
      </w:r>
      <w:r w:rsidRPr="00BB6120">
        <w:rPr>
          <w:rFonts w:ascii="Verdana" w:eastAsia="Times New Roman" w:hAnsi="Verdana" w:cs="Times New Roman"/>
          <w:i/>
          <w:iCs/>
          <w:lang w:val="es-ES" w:eastAsia="es-ES"/>
        </w:rPr>
        <w:t xml:space="preserve"> </w:t>
      </w:r>
      <w:r w:rsidRPr="00BB6120">
        <w:rPr>
          <w:rFonts w:ascii="Verdana" w:eastAsia="Times New Roman" w:hAnsi="Verdana" w:cs="Times New Roman"/>
          <w:iCs/>
          <w:lang w:val="es-ES" w:eastAsia="es-ES"/>
        </w:rPr>
        <w:t>Por tanto, dicha expresión fue declarada inexequible, razón por la cual no es posible que las entidades argumenten razones como esta para exceptuar la restricción del artículo 33.</w:t>
      </w:r>
    </w:p>
    <w:p w14:paraId="0B1E9E7D" w14:textId="77777777" w:rsidR="00E33242" w:rsidRPr="00380CA4" w:rsidRDefault="00E33242" w:rsidP="00E33242">
      <w:pPr>
        <w:spacing w:after="120" w:line="276" w:lineRule="auto"/>
        <w:ind w:firstLine="709"/>
        <w:jc w:val="both"/>
        <w:rPr>
          <w:rFonts w:ascii="Verdana" w:eastAsia="Times New Roman" w:hAnsi="Verdana" w:cs="Arial"/>
          <w:bCs/>
          <w:lang w:eastAsia="x-none"/>
        </w:rPr>
      </w:pPr>
      <w:r w:rsidRPr="00380CA4">
        <w:rPr>
          <w:rFonts w:ascii="Verdana" w:eastAsia="Times New Roman" w:hAnsi="Verdana" w:cs="Arial"/>
          <w:bCs/>
          <w:lang w:eastAsia="x-none"/>
        </w:rPr>
        <w:t xml:space="preserve">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w:t>
      </w:r>
      <w:r w:rsidRPr="00380CA4">
        <w:rPr>
          <w:rFonts w:ascii="Verdana" w:eastAsia="Times New Roman" w:hAnsi="Verdana" w:cs="Arial"/>
          <w:bCs/>
          <w:lang w:eastAsia="x-none"/>
        </w:rPr>
        <w:lastRenderedPageBreak/>
        <w:t>las excepciones para la prohibición de contratación”</w:t>
      </w:r>
      <w:r w:rsidRPr="00380CA4">
        <w:rPr>
          <w:rFonts w:ascii="Verdana" w:eastAsia="Calibri" w:hAnsi="Verdana" w:cs="Arial"/>
          <w:vertAlign w:val="superscript"/>
        </w:rPr>
        <w:footnoteReference w:id="20"/>
      </w:r>
      <w:r w:rsidRPr="00380CA4">
        <w:rPr>
          <w:rFonts w:ascii="Verdana" w:eastAsia="Times New Roman" w:hAnsi="Verdana" w:cs="Arial"/>
          <w:bCs/>
          <w:lang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30B2D76F" w14:textId="77777777" w:rsidR="00E33242" w:rsidRPr="00380CA4" w:rsidRDefault="00E33242" w:rsidP="00E33242">
      <w:pPr>
        <w:spacing w:after="0" w:line="276" w:lineRule="auto"/>
        <w:ind w:firstLine="708"/>
        <w:jc w:val="both"/>
        <w:rPr>
          <w:rFonts w:ascii="Verdana" w:eastAsia="Times New Roman" w:hAnsi="Verdana" w:cs="Arial"/>
          <w:bCs/>
          <w:lang w:eastAsia="x-none"/>
        </w:rPr>
      </w:pPr>
      <w:r w:rsidRPr="00380CA4">
        <w:rPr>
          <w:rFonts w:ascii="Verdana" w:eastAsia="Times New Roman" w:hAnsi="Verdana" w:cs="Arial"/>
          <w:bCs/>
          <w:lang w:eastAsia="x-none"/>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sidRPr="00380CA4">
        <w:rPr>
          <w:rFonts w:ascii="Verdana" w:eastAsia="Calibri" w:hAnsi="Verdana" w:cs="Arial"/>
          <w:sz w:val="24"/>
        </w:rPr>
        <w:t xml:space="preserve"> </w:t>
      </w:r>
      <w:r w:rsidRPr="00380CA4">
        <w:rPr>
          <w:rFonts w:ascii="Verdana" w:eastAsia="Times New Roman" w:hAnsi="Verdana" w:cs="Arial"/>
          <w:bCs/>
          <w:lang w:eastAsia="x-none"/>
        </w:rPr>
        <w:t>En efecto, tal como lo ha sostenido el Consejo de Estado, el vocablo “todos” utilizado por el legislador comprende</w:t>
      </w:r>
      <w:r w:rsidRPr="00380CA4">
        <w:rPr>
          <w:rFonts w:ascii="Verdana" w:eastAsia="Calibri" w:hAnsi="Verdana" w:cs="Arial"/>
          <w:sz w:val="24"/>
        </w:rPr>
        <w:t xml:space="preserve"> </w:t>
      </w:r>
      <w:r w:rsidRPr="00380CA4">
        <w:rPr>
          <w:rFonts w:ascii="Verdana" w:eastAsia="Times New Roman" w:hAnsi="Verdana" w:cs="Arial"/>
          <w:bCs/>
          <w:lang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La Sala de Consulta y Servicio Civil del Consejo de Estado, en Concepto 1727 de fecha 20 de febrero de 2006, consideró que: </w:t>
      </w:r>
    </w:p>
    <w:p w14:paraId="57FF95BD" w14:textId="77777777" w:rsidR="00E33242" w:rsidRPr="00380CA4" w:rsidRDefault="00E33242" w:rsidP="00E33242">
      <w:pPr>
        <w:spacing w:after="0" w:line="276" w:lineRule="auto"/>
        <w:jc w:val="both"/>
        <w:rPr>
          <w:rFonts w:ascii="Verdana" w:eastAsia="Times New Roman" w:hAnsi="Verdana" w:cs="Arial"/>
          <w:bCs/>
          <w:lang w:eastAsia="x-none"/>
        </w:rPr>
      </w:pPr>
    </w:p>
    <w:p w14:paraId="03205A64" w14:textId="77777777" w:rsidR="00E33242" w:rsidRPr="00625764" w:rsidRDefault="00E33242" w:rsidP="00E33242">
      <w:pPr>
        <w:spacing w:after="0" w:line="240" w:lineRule="auto"/>
        <w:ind w:left="708" w:right="709"/>
        <w:jc w:val="both"/>
        <w:rPr>
          <w:rFonts w:ascii="Verdana" w:eastAsia="Times New Roman" w:hAnsi="Verdana" w:cs="Arial"/>
          <w:bCs/>
          <w:sz w:val="20"/>
          <w:szCs w:val="20"/>
          <w:lang w:eastAsia="es-CO"/>
        </w:rPr>
      </w:pPr>
      <w:r w:rsidRPr="00625764">
        <w:rPr>
          <w:rFonts w:ascii="Verdana" w:eastAsia="Times New Roman" w:hAnsi="Verdana" w:cs="Arial"/>
          <w:bCs/>
          <w:sz w:val="20"/>
          <w:szCs w:val="20"/>
          <w:lang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625764">
        <w:rPr>
          <w:rFonts w:ascii="Verdana" w:eastAsia="Times New Roman" w:hAnsi="Verdana" w:cs="Arial"/>
          <w:bCs/>
          <w:sz w:val="20"/>
          <w:szCs w:val="20"/>
          <w:vertAlign w:val="superscript"/>
          <w:lang w:eastAsia="x-none"/>
        </w:rPr>
        <w:footnoteReference w:id="21"/>
      </w:r>
      <w:r w:rsidRPr="00625764">
        <w:rPr>
          <w:rFonts w:ascii="Verdana" w:eastAsia="Times New Roman" w:hAnsi="Verdana" w:cs="Arial"/>
          <w:bCs/>
          <w:sz w:val="20"/>
          <w:szCs w:val="20"/>
          <w:lang w:eastAsia="x-none"/>
        </w:rPr>
        <w:t>.</w:t>
      </w:r>
      <w:r w:rsidRPr="00625764">
        <w:rPr>
          <w:rFonts w:ascii="Verdana" w:eastAsia="Times New Roman" w:hAnsi="Verdana" w:cs="Arial"/>
          <w:bCs/>
          <w:sz w:val="20"/>
          <w:szCs w:val="20"/>
          <w:lang w:eastAsia="es-CO"/>
        </w:rPr>
        <w:t xml:space="preserve"> </w:t>
      </w:r>
    </w:p>
    <w:p w14:paraId="0B3862EE" w14:textId="77777777" w:rsidR="00E33242" w:rsidRPr="00380CA4" w:rsidRDefault="00E33242" w:rsidP="00E33242">
      <w:pPr>
        <w:spacing w:after="0" w:line="276" w:lineRule="auto"/>
        <w:ind w:firstLine="708"/>
        <w:jc w:val="both"/>
        <w:rPr>
          <w:rFonts w:ascii="Verdana" w:eastAsia="Times New Roman" w:hAnsi="Verdana" w:cs="Arial"/>
          <w:bCs/>
          <w:lang w:eastAsia="es-CO"/>
        </w:rPr>
      </w:pPr>
    </w:p>
    <w:p w14:paraId="0D380B93" w14:textId="77777777" w:rsidR="00E33242" w:rsidRPr="00380CA4" w:rsidRDefault="00E33242" w:rsidP="00E33242">
      <w:pPr>
        <w:spacing w:after="0" w:line="276" w:lineRule="auto"/>
        <w:ind w:firstLine="708"/>
        <w:jc w:val="both"/>
        <w:rPr>
          <w:rFonts w:ascii="Verdana" w:eastAsia="Calibri" w:hAnsi="Verdana" w:cs="Arial"/>
        </w:rPr>
      </w:pPr>
      <w:r w:rsidRPr="00380CA4">
        <w:rPr>
          <w:rFonts w:ascii="Verdana" w:eastAsia="Times New Roman" w:hAnsi="Verdana" w:cs="Arial"/>
          <w:bCs/>
          <w:lang w:eastAsia="x-none"/>
        </w:rPr>
        <w:t xml:space="preserve">De igual forma, en Concepto con radicado 1738 del 6 de abril de 2006, esa misma Corporación manifestó que “Las restricciones de la Ley de Garantías </w:t>
      </w:r>
      <w:r w:rsidRPr="00380CA4">
        <w:rPr>
          <w:rFonts w:ascii="Verdana" w:eastAsia="Times New Roman" w:hAnsi="Verdana" w:cs="Arial"/>
          <w:bCs/>
          <w:lang w:eastAsia="x-none"/>
        </w:rPr>
        <w:lastRenderedPageBreak/>
        <w:t>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380CA4">
        <w:rPr>
          <w:rFonts w:ascii="Verdana" w:eastAsia="Calibri" w:hAnsi="Verdana" w:cs="Arial"/>
          <w:sz w:val="24"/>
          <w:vertAlign w:val="superscript"/>
        </w:rPr>
        <w:footnoteReference w:id="22"/>
      </w:r>
      <w:r w:rsidRPr="00380CA4">
        <w:rPr>
          <w:rFonts w:ascii="Verdana" w:eastAsia="Times New Roman" w:hAnsi="Verdana" w:cs="Arial"/>
          <w:bCs/>
          <w:lang w:eastAsia="x-none"/>
        </w:rPr>
        <w:t>.</w:t>
      </w:r>
      <w:r w:rsidRPr="00380CA4">
        <w:rPr>
          <w:rFonts w:ascii="Verdana" w:eastAsia="Calibri" w:hAnsi="Verdana" w:cs="Arial"/>
        </w:rPr>
        <w:t xml:space="preserve"> Además, la Sala de Consulta y Servicio Civil del Consejo de Estado realizó la siguiente distinción, retomando el pronunciamiento de la misma sala del 20 de febrero de 2006, citado anteriormente:</w:t>
      </w:r>
    </w:p>
    <w:p w14:paraId="3A20B8F8" w14:textId="77777777" w:rsidR="00E33242" w:rsidRPr="00380CA4" w:rsidRDefault="00E33242" w:rsidP="00E33242">
      <w:pPr>
        <w:spacing w:after="0" w:line="276" w:lineRule="auto"/>
        <w:jc w:val="both"/>
        <w:rPr>
          <w:rFonts w:ascii="Verdana" w:eastAsia="Calibri" w:hAnsi="Verdana" w:cs="Arial"/>
        </w:rPr>
      </w:pPr>
    </w:p>
    <w:p w14:paraId="1464E3FB" w14:textId="77777777" w:rsidR="00E33242" w:rsidRPr="00380CA4" w:rsidRDefault="00E33242" w:rsidP="00E33242">
      <w:pPr>
        <w:spacing w:after="0" w:line="240" w:lineRule="auto"/>
        <w:ind w:left="708" w:right="709"/>
        <w:jc w:val="both"/>
        <w:rPr>
          <w:rFonts w:ascii="Verdana" w:eastAsia="Calibri" w:hAnsi="Verdana" w:cs="Arial"/>
          <w:sz w:val="20"/>
          <w:szCs w:val="20"/>
        </w:rPr>
      </w:pPr>
      <w:r w:rsidRPr="00380CA4">
        <w:rPr>
          <w:rFonts w:ascii="Verdana" w:eastAsia="Calibri" w:hAnsi="Verdana" w:cs="Arial"/>
          <w:sz w:val="20"/>
          <w:szCs w:val="20"/>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7D8AD79E" w14:textId="77777777" w:rsidR="00E33242" w:rsidRPr="00380CA4" w:rsidRDefault="00E33242" w:rsidP="00E33242">
      <w:pPr>
        <w:spacing w:after="0" w:line="240" w:lineRule="auto"/>
        <w:ind w:left="708" w:right="709"/>
        <w:jc w:val="both"/>
        <w:rPr>
          <w:rFonts w:ascii="Verdana" w:eastAsia="Calibri" w:hAnsi="Verdana" w:cs="Arial"/>
          <w:sz w:val="20"/>
          <w:szCs w:val="20"/>
        </w:rPr>
      </w:pPr>
    </w:p>
    <w:p w14:paraId="527EB485" w14:textId="77777777" w:rsidR="00E33242" w:rsidRPr="00380CA4" w:rsidRDefault="00E33242" w:rsidP="00E33242">
      <w:pPr>
        <w:spacing w:after="0" w:line="240" w:lineRule="auto"/>
        <w:ind w:left="708" w:right="709"/>
        <w:jc w:val="both"/>
        <w:rPr>
          <w:rFonts w:ascii="Verdana" w:eastAsia="Calibri" w:hAnsi="Verdana" w:cs="Arial"/>
          <w:sz w:val="20"/>
          <w:szCs w:val="20"/>
        </w:rPr>
      </w:pPr>
      <w:r w:rsidRPr="00380CA4">
        <w:rPr>
          <w:rFonts w:ascii="Verdana" w:eastAsia="Times New Roman" w:hAnsi="Verdana" w:cs="Arial"/>
          <w:bCs/>
          <w:sz w:val="20"/>
          <w:szCs w:val="20"/>
          <w:lang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380CA4">
        <w:rPr>
          <w:rFonts w:ascii="Verdana" w:eastAsia="Calibri" w:hAnsi="Verdana" w:cs="Arial"/>
          <w:sz w:val="20"/>
          <w:szCs w:val="20"/>
          <w:vertAlign w:val="superscript"/>
        </w:rPr>
        <w:footnoteReference w:id="23"/>
      </w:r>
      <w:r w:rsidRPr="00380CA4">
        <w:rPr>
          <w:rFonts w:ascii="Verdana" w:eastAsia="Times New Roman" w:hAnsi="Verdana" w:cs="Arial"/>
          <w:bCs/>
          <w:sz w:val="20"/>
          <w:szCs w:val="20"/>
          <w:lang w:eastAsia="x-none"/>
        </w:rPr>
        <w:t>.</w:t>
      </w:r>
    </w:p>
    <w:p w14:paraId="61E0305A" w14:textId="77777777" w:rsidR="00E33242" w:rsidRPr="00380CA4" w:rsidRDefault="00E33242" w:rsidP="00E33242">
      <w:pPr>
        <w:spacing w:after="0" w:line="276" w:lineRule="auto"/>
        <w:jc w:val="both"/>
        <w:rPr>
          <w:rFonts w:ascii="Verdana" w:eastAsia="Calibri" w:hAnsi="Verdana" w:cs="Arial"/>
        </w:rPr>
      </w:pPr>
    </w:p>
    <w:p w14:paraId="70ABC4F5" w14:textId="77777777" w:rsidR="00E33242" w:rsidRDefault="00E33242" w:rsidP="00E33242">
      <w:pPr>
        <w:spacing w:after="0" w:line="276" w:lineRule="auto"/>
        <w:ind w:firstLine="709"/>
        <w:jc w:val="both"/>
        <w:rPr>
          <w:rFonts w:ascii="Verdana" w:eastAsiaTheme="minorEastAsia" w:hAnsi="Verdana" w:cs="Arial"/>
          <w:lang w:eastAsia="es-CO"/>
        </w:rPr>
      </w:pPr>
      <w:r w:rsidRPr="00380CA4">
        <w:rPr>
          <w:rFonts w:ascii="Verdana" w:eastAsia="Calibri" w:hAnsi="Verdana" w:cs="Arial"/>
        </w:rPr>
        <w:lastRenderedPageBreak/>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w:t>
      </w:r>
      <w:r>
        <w:rPr>
          <w:rFonts w:ascii="Verdana" w:eastAsia="Calibri" w:hAnsi="Verdana" w:cs="Arial"/>
        </w:rPr>
        <w:t>l</w:t>
      </w:r>
      <w:r w:rsidRPr="00C15179">
        <w:rPr>
          <w:rFonts w:ascii="Verdana" w:eastAsia="Times New Roman" w:hAnsi="Verdana" w:cs="Arial"/>
          <w:bCs/>
          <w:lang w:val="es-ES" w:eastAsia="es-CO"/>
        </w:rPr>
        <w:t>a Sala de Consulta y Servicio Civil del Consejo de Estado ha señalado que las restricciones de la Ley de Garantías Electorales deben interpretarse con especial cuidado cuando se trata de Empresas de Servicios Públicos Domiciliarios. En el Concepto 1727 de 2006, la Sala precisó que, aunque la norma limita la contratación directa durante la campaña presidencial, existen excepciones justificadas por razones de orden público social, particularmente en lo relacionado con la prestación de servicios públicos esenciales</w:t>
      </w:r>
      <w:r>
        <w:rPr>
          <w:rFonts w:ascii="Verdana" w:eastAsia="Times New Roman" w:hAnsi="Verdana" w:cs="Arial"/>
          <w:bCs/>
          <w:lang w:val="es-ES" w:eastAsia="es-CO"/>
        </w:rPr>
        <w:t>. Al respecto, expresó</w:t>
      </w:r>
      <w:r>
        <w:rPr>
          <w:rFonts w:ascii="Verdana" w:eastAsia="Calibri" w:hAnsi="Verdana" w:cs="Arial"/>
          <w:lang w:val="es-MX"/>
        </w:rPr>
        <w:t>:</w:t>
      </w:r>
    </w:p>
    <w:p w14:paraId="08AFEA29" w14:textId="77777777" w:rsidR="00E33242" w:rsidRDefault="00E33242" w:rsidP="00E33242">
      <w:pPr>
        <w:spacing w:after="0" w:line="276" w:lineRule="auto"/>
        <w:ind w:left="709" w:right="709"/>
        <w:jc w:val="both"/>
        <w:rPr>
          <w:rFonts w:ascii="Verdana" w:eastAsia="Calibri" w:hAnsi="Verdana" w:cs="Arial"/>
          <w:sz w:val="20"/>
          <w:szCs w:val="20"/>
        </w:rPr>
      </w:pPr>
    </w:p>
    <w:p w14:paraId="5FB6E3CF" w14:textId="77777777" w:rsidR="00E33242" w:rsidRDefault="00E33242" w:rsidP="00E33242">
      <w:pPr>
        <w:spacing w:after="0" w:line="240" w:lineRule="auto"/>
        <w:ind w:left="709" w:right="709"/>
        <w:jc w:val="both"/>
        <w:rPr>
          <w:rFonts w:ascii="Verdana" w:eastAsia="Times New Roman" w:hAnsi="Verdana" w:cs="Arial"/>
          <w:lang w:eastAsia="es-CO"/>
        </w:rPr>
      </w:pPr>
      <w:r w:rsidRPr="002D1225">
        <w:rPr>
          <w:rFonts w:ascii="Verdana" w:eastAsia="Calibri" w:hAnsi="Verdana" w:cs="Arial"/>
          <w:sz w:val="20"/>
          <w:szCs w:val="20"/>
        </w:rPr>
        <w:t xml:space="preserve">“[…] en la medida en que los reglamentos internos de una empresa de servicios públicos domiciliarios determinen que la adquisición de algún insumo esencial para la prestación del servicio se realice por contratación directa, y que mientras se adelanta el trámite de la licitación pública del artículo 860 del código de comercio puede verse suspendido o gravemente afectado el servicio a su cargo, para evitar esta emergencia puede acudir a la contratación directa, pues se encontraría dentro de la excepción a la prohibición por causa de la sanidad y del mantenimiento del orden público en su elemento de salubridad, esenciales a la organización del Estado. Se anota </w:t>
      </w:r>
      <w:proofErr w:type="gramStart"/>
      <w:r w:rsidRPr="002D1225">
        <w:rPr>
          <w:rFonts w:ascii="Verdana" w:eastAsia="Calibri" w:hAnsi="Verdana" w:cs="Arial"/>
          <w:sz w:val="20"/>
          <w:szCs w:val="20"/>
        </w:rPr>
        <w:t>que</w:t>
      </w:r>
      <w:proofErr w:type="gramEnd"/>
      <w:r w:rsidRPr="002D1225">
        <w:rPr>
          <w:rFonts w:ascii="Verdana" w:eastAsia="Calibri" w:hAnsi="Verdana" w:cs="Arial"/>
          <w:sz w:val="20"/>
          <w:szCs w:val="20"/>
        </w:rPr>
        <w:t xml:space="preserve"> frente a los servicios públicos domiciliarios, los usuarios tienen un derecho subjetivo a su prestación, que en veces está en conexión con los derechos fundamentales, como en el caso de los servicios del acueducto, alcantarillado, saneamiento básico, </w:t>
      </w:r>
      <w:proofErr w:type="spellStart"/>
      <w:r w:rsidRPr="002D1225">
        <w:rPr>
          <w:rFonts w:ascii="Verdana" w:eastAsia="Calibri" w:hAnsi="Verdana" w:cs="Arial"/>
          <w:sz w:val="20"/>
          <w:szCs w:val="20"/>
        </w:rPr>
        <w:t>etc</w:t>
      </w:r>
      <w:proofErr w:type="spellEnd"/>
      <w:r>
        <w:rPr>
          <w:rFonts w:ascii="Verdana" w:eastAsia="Calibri" w:hAnsi="Verdana" w:cs="Arial"/>
          <w:lang w:val="es-MX"/>
        </w:rPr>
        <w:t>”</w:t>
      </w:r>
      <w:r w:rsidRPr="0057193B">
        <w:rPr>
          <w:rFonts w:ascii="Verdana" w:eastAsia="Calibri" w:hAnsi="Verdana" w:cs="Arial"/>
          <w:vertAlign w:val="superscript"/>
          <w:lang w:val="es-MX"/>
        </w:rPr>
        <w:footnoteReference w:id="24"/>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064E6FE4" w14:textId="77777777" w:rsidR="00E33242" w:rsidRDefault="00E33242" w:rsidP="00E33242">
      <w:pPr>
        <w:spacing w:after="0" w:line="276" w:lineRule="auto"/>
        <w:ind w:left="709" w:right="709"/>
        <w:jc w:val="both"/>
        <w:rPr>
          <w:rFonts w:ascii="Verdana" w:eastAsia="Calibri" w:hAnsi="Verdana" w:cs="Arial"/>
          <w:sz w:val="20"/>
          <w:szCs w:val="20"/>
        </w:rPr>
      </w:pPr>
    </w:p>
    <w:p w14:paraId="0A2742B1" w14:textId="77777777" w:rsidR="00E33242" w:rsidRPr="00C15525" w:rsidRDefault="00E33242" w:rsidP="00E33242">
      <w:pPr>
        <w:spacing w:after="0" w:line="276" w:lineRule="auto"/>
        <w:ind w:firstLine="709"/>
        <w:jc w:val="both"/>
        <w:rPr>
          <w:rFonts w:ascii="Verdana" w:eastAsia="Arial" w:hAnsi="Verdana" w:cs="Arial"/>
          <w:lang w:val="es-ES" w:eastAsia="es-ES" w:bidi="es-ES"/>
        </w:rPr>
      </w:pPr>
      <w:r>
        <w:rPr>
          <w:rFonts w:ascii="Verdana" w:hAnsi="Verdana" w:cs="Arial"/>
          <w:lang w:val="es-ES_tradnl"/>
        </w:rPr>
        <w:t xml:space="preserve">En otro asunto, materia de estudio, </w:t>
      </w:r>
      <w:r w:rsidRPr="00C15525">
        <w:rPr>
          <w:rFonts w:ascii="Verdana" w:eastAsia="Calibri" w:hAnsi="Verdana" w:cs="Arial"/>
          <w:color w:val="000000" w:themeColor="text1"/>
        </w:rPr>
        <w:t xml:space="preserve">es importante </w:t>
      </w:r>
      <w:r w:rsidRPr="00C15525">
        <w:rPr>
          <w:rFonts w:ascii="Verdana" w:eastAsia="Calibri" w:hAnsi="Verdana" w:cs="Arial"/>
          <w:bCs/>
          <w:color w:val="000000" w:themeColor="text1"/>
        </w:rPr>
        <w:t xml:space="preserve">tener en cuenta </w:t>
      </w:r>
      <w:r w:rsidRPr="00C15525">
        <w:rPr>
          <w:rFonts w:ascii="Verdana" w:eastAsia="Arial" w:hAnsi="Verdana" w:cs="Arial"/>
          <w:lang w:val="es-ES" w:eastAsia="es-ES" w:bidi="es-ES"/>
        </w:rPr>
        <w:t>el pronunciamiento de la Sala de Consulta y Servicio Civil del Consejo de Estado, el cual precisó, respecto del artículo 5 de la Ley 109 de 1994, que cuando excepcionalmente el contrato o convenio interadministrativo es ordenado por una ley, su celebración no resultaría violatoria de la restricción a la contratación directa contenida en la Ley 996 de 2005:</w:t>
      </w:r>
    </w:p>
    <w:p w14:paraId="1F363102" w14:textId="77777777" w:rsidR="00E33242" w:rsidRPr="00C15525" w:rsidRDefault="00E33242" w:rsidP="00E33242">
      <w:pPr>
        <w:widowControl w:val="0"/>
        <w:autoSpaceDE w:val="0"/>
        <w:autoSpaceDN w:val="0"/>
        <w:spacing w:after="0" w:line="276" w:lineRule="auto"/>
        <w:jc w:val="both"/>
        <w:rPr>
          <w:rFonts w:ascii="Verdana" w:eastAsia="Arial" w:hAnsi="Verdana" w:cs="Arial"/>
          <w:lang w:val="es-ES" w:eastAsia="es-ES" w:bidi="es-ES"/>
        </w:rPr>
      </w:pPr>
    </w:p>
    <w:p w14:paraId="7D02CFBF" w14:textId="77777777" w:rsidR="00E33242" w:rsidRPr="00C15525" w:rsidRDefault="00E33242" w:rsidP="00E33242">
      <w:pPr>
        <w:widowControl w:val="0"/>
        <w:autoSpaceDE w:val="0"/>
        <w:autoSpaceDN w:val="0"/>
        <w:spacing w:after="0" w:line="240" w:lineRule="auto"/>
        <w:ind w:left="709" w:right="709"/>
        <w:jc w:val="both"/>
        <w:rPr>
          <w:rFonts w:ascii="Verdana" w:hAnsi="Verdana" w:cs="Arial"/>
          <w:sz w:val="20"/>
          <w:szCs w:val="20"/>
        </w:rPr>
      </w:pPr>
      <w:r w:rsidRPr="00C15525">
        <w:rPr>
          <w:rFonts w:ascii="Verdana" w:hAnsi="Verdana" w:cs="Arial"/>
          <w:sz w:val="20"/>
          <w:szCs w:val="20"/>
        </w:rPr>
        <w:t xml:space="preserve">Esta norma [artículo 5 de la Ley 109 de 1994], obliga a los “organismos” de la Rama Legislativa, esto es el Congreso de la República, a contratar con la Imprenta Nacional la publicación de la Gaceta del Congreso. Se hace </w:t>
      </w:r>
      <w:r w:rsidRPr="00C15525">
        <w:rPr>
          <w:rFonts w:ascii="Verdana" w:hAnsi="Verdana" w:cs="Arial"/>
          <w:sz w:val="20"/>
          <w:szCs w:val="20"/>
        </w:rPr>
        <w:lastRenderedPageBreak/>
        <w:t xml:space="preserve">notar, que este contrato regula las relaciones jurídicas entre dos órganos del Estado que desarrollan en ejercicio de sus obligaciones legales, el Congreso para cumplir el procedimiento legislativo, y la Imprenta para ejercer su función administrativa de imprimir los actos o documentos oficiales que requieran de este requisito. </w:t>
      </w:r>
    </w:p>
    <w:p w14:paraId="6FE8D12A" w14:textId="77777777" w:rsidR="00E33242" w:rsidRPr="00C15525" w:rsidRDefault="00E33242" w:rsidP="00E33242">
      <w:pPr>
        <w:widowControl w:val="0"/>
        <w:autoSpaceDE w:val="0"/>
        <w:autoSpaceDN w:val="0"/>
        <w:spacing w:after="0" w:line="240" w:lineRule="auto"/>
        <w:ind w:left="709" w:right="709"/>
        <w:jc w:val="both"/>
        <w:rPr>
          <w:rFonts w:ascii="Verdana" w:hAnsi="Verdana" w:cs="Arial"/>
          <w:sz w:val="20"/>
          <w:szCs w:val="20"/>
        </w:rPr>
      </w:pPr>
    </w:p>
    <w:p w14:paraId="51AD1EFC" w14:textId="77777777" w:rsidR="00E33242" w:rsidRPr="00C15525" w:rsidRDefault="00E33242" w:rsidP="00E33242">
      <w:pPr>
        <w:widowControl w:val="0"/>
        <w:autoSpaceDE w:val="0"/>
        <w:autoSpaceDN w:val="0"/>
        <w:spacing w:after="0" w:line="240" w:lineRule="auto"/>
        <w:ind w:left="709" w:right="709"/>
        <w:jc w:val="both"/>
        <w:rPr>
          <w:rFonts w:ascii="Verdana" w:hAnsi="Verdana" w:cs="Arial"/>
          <w:sz w:val="20"/>
          <w:szCs w:val="20"/>
        </w:rPr>
      </w:pPr>
      <w:r w:rsidRPr="00C15525">
        <w:rPr>
          <w:rFonts w:ascii="Verdana" w:hAnsi="Verdana" w:cs="Arial"/>
          <w:sz w:val="20"/>
          <w:szCs w:val="20"/>
        </w:rPr>
        <w:t xml:space="preserve">Es claro que la ley ordena que la regulación de dicha relación interadministrativa se efectúe por el mecanismo de una convención, pero también es claro que </w:t>
      </w:r>
      <w:proofErr w:type="gramStart"/>
      <w:r w:rsidRPr="00C15525">
        <w:rPr>
          <w:rFonts w:ascii="Verdana" w:hAnsi="Verdana" w:cs="Arial"/>
          <w:sz w:val="20"/>
          <w:szCs w:val="20"/>
        </w:rPr>
        <w:t>éste</w:t>
      </w:r>
      <w:proofErr w:type="gramEnd"/>
      <w:r w:rsidRPr="00C15525">
        <w:rPr>
          <w:rFonts w:ascii="Verdana" w:hAnsi="Verdana" w:cs="Arial"/>
          <w:sz w:val="20"/>
          <w:szCs w:val="20"/>
        </w:rPr>
        <w:t xml:space="preserve"> contrato no se celebra en ejercicio de la autonomía de la voluntad ni con el fin de cumplir la misión industrial, comercial o de gestión propia de la Imprenta Nacional. En este caso, el contrato se celebra como un mero instrumento que le posibilita el desarrollo de las funciones públicas ordenadas por la ley a ambas entidades Estatales.</w:t>
      </w:r>
    </w:p>
    <w:p w14:paraId="798A8495" w14:textId="77777777" w:rsidR="00E33242" w:rsidRPr="00C15525" w:rsidRDefault="00E33242" w:rsidP="00E33242">
      <w:pPr>
        <w:widowControl w:val="0"/>
        <w:autoSpaceDE w:val="0"/>
        <w:autoSpaceDN w:val="0"/>
        <w:spacing w:after="0" w:line="240" w:lineRule="auto"/>
        <w:ind w:left="709" w:right="709"/>
        <w:jc w:val="both"/>
        <w:rPr>
          <w:rFonts w:ascii="Verdana" w:hAnsi="Verdana" w:cs="Arial"/>
          <w:sz w:val="20"/>
          <w:szCs w:val="20"/>
        </w:rPr>
      </w:pPr>
    </w:p>
    <w:p w14:paraId="520D3C91" w14:textId="77777777" w:rsidR="00E33242" w:rsidRPr="00C15525" w:rsidRDefault="00E33242" w:rsidP="00E33242">
      <w:pPr>
        <w:widowControl w:val="0"/>
        <w:autoSpaceDE w:val="0"/>
        <w:autoSpaceDN w:val="0"/>
        <w:spacing w:after="0" w:line="240" w:lineRule="auto"/>
        <w:ind w:left="709" w:right="709"/>
        <w:jc w:val="both"/>
        <w:rPr>
          <w:rFonts w:ascii="Verdana" w:hAnsi="Verdana" w:cs="Arial"/>
        </w:rPr>
      </w:pPr>
      <w:bookmarkStart w:id="2" w:name="_Hlk75761737"/>
      <w:r w:rsidRPr="00C15525">
        <w:rPr>
          <w:rFonts w:ascii="Verdana" w:hAnsi="Verdana" w:cs="Arial"/>
          <w:sz w:val="20"/>
          <w:szCs w:val="20"/>
        </w:rPr>
        <w:t>En este orden de ideas, celebrar o prorrogar el contrato entre la Cámara de Representantes y la Imprenta Nacional no puede ser violatorio de la restricción a la contratación directa contenida por ley 996 de 2005, pues las entidades públicas que lo suscriban están cumpliendo sus funciones y la orden dada por el legislador</w:t>
      </w:r>
      <w:bookmarkEnd w:id="2"/>
      <w:r w:rsidRPr="00C15525">
        <w:rPr>
          <w:rFonts w:ascii="Verdana" w:hAnsi="Verdana" w:cs="Arial"/>
          <w:sz w:val="20"/>
          <w:szCs w:val="20"/>
          <w:vertAlign w:val="superscript"/>
        </w:rPr>
        <w:footnoteReference w:id="25"/>
      </w:r>
      <w:r w:rsidRPr="00C15525">
        <w:rPr>
          <w:rFonts w:ascii="Verdana" w:hAnsi="Verdana" w:cs="Arial"/>
          <w:sz w:val="20"/>
          <w:szCs w:val="20"/>
        </w:rPr>
        <w:t xml:space="preserve">. </w:t>
      </w:r>
    </w:p>
    <w:p w14:paraId="60D96B01" w14:textId="77777777" w:rsidR="00E33242" w:rsidRPr="00C15525" w:rsidRDefault="00E33242" w:rsidP="00E33242">
      <w:pPr>
        <w:widowControl w:val="0"/>
        <w:autoSpaceDE w:val="0"/>
        <w:autoSpaceDN w:val="0"/>
        <w:spacing w:after="0" w:line="276" w:lineRule="auto"/>
        <w:jc w:val="both"/>
        <w:rPr>
          <w:rFonts w:ascii="Verdana" w:eastAsia="Arial" w:hAnsi="Verdana" w:cs="Arial"/>
          <w:lang w:val="es-ES" w:eastAsia="es-ES" w:bidi="es-ES"/>
        </w:rPr>
      </w:pPr>
    </w:p>
    <w:p w14:paraId="0FEAE786" w14:textId="77777777" w:rsidR="00E33242" w:rsidRPr="000E03E2" w:rsidRDefault="00E33242" w:rsidP="00E33242">
      <w:pPr>
        <w:widowControl w:val="0"/>
        <w:autoSpaceDE w:val="0"/>
        <w:autoSpaceDN w:val="0"/>
        <w:spacing w:after="120" w:line="276" w:lineRule="auto"/>
        <w:ind w:firstLine="709"/>
        <w:jc w:val="both"/>
        <w:rPr>
          <w:rFonts w:ascii="Verdana" w:eastAsia="Arial" w:hAnsi="Verdana" w:cs="Arial"/>
          <w:lang w:eastAsia="es-ES" w:bidi="es-ES"/>
        </w:rPr>
      </w:pPr>
      <w:r w:rsidRPr="00C15525">
        <w:rPr>
          <w:rFonts w:ascii="Verdana" w:eastAsia="Arial" w:hAnsi="Verdana" w:cs="Arial"/>
          <w:lang w:val="es-ES" w:eastAsia="es-ES" w:bidi="es-ES"/>
        </w:rPr>
        <w:t xml:space="preserve">De lo expuesto, el Consejo de Estado resalta que el contrato que se celebra con fundamento en el artículo 5 de la Ley 109 de 1994 entre el Congreso de la República y la Imprenta Nacional no se efectúa en ejercicio de la autonomía de la voluntad ni con el fin de cumplir la misión industrial, comercial o de gestión propia de la Imprenta Nacional de Colombia, sino en cumplimiento de lo ordenado por la Ley a ambas entidades Estatales. De ahí que se concluya que en ese caso </w:t>
      </w:r>
      <w:r w:rsidRPr="00C15525">
        <w:rPr>
          <w:rFonts w:ascii="Verdana" w:eastAsia="Arial" w:hAnsi="Verdana" w:cs="Arial"/>
          <w:lang w:eastAsia="es-ES" w:bidi="es-ES"/>
        </w:rPr>
        <w:t xml:space="preserve">el contrato no puede ser violatorio de la restricción a la contratación directa contenida en el artículo 33 de la Ley 996 de 2005. </w:t>
      </w:r>
    </w:p>
    <w:p w14:paraId="41C0B135" w14:textId="77777777" w:rsidR="00E33242" w:rsidRPr="006177F8" w:rsidRDefault="00E33242" w:rsidP="00E33242">
      <w:pPr>
        <w:spacing w:after="120" w:line="276" w:lineRule="auto"/>
        <w:ind w:firstLine="708"/>
        <w:jc w:val="both"/>
        <w:rPr>
          <w:rFonts w:ascii="Verdana" w:eastAsia="Arial" w:hAnsi="Verdana" w:cs="Arial"/>
          <w:lang w:val="es-ES" w:eastAsia="es-ES" w:bidi="es-ES"/>
        </w:rPr>
      </w:pPr>
      <w:r>
        <w:rPr>
          <w:rFonts w:ascii="Verdana" w:hAnsi="Verdana" w:cs="Arial"/>
          <w:lang w:val="es-ES_tradnl"/>
        </w:rPr>
        <w:t>También la Sala de Consulta y Servicio Civil del Consejo de Estado ha presentado supuestos de excepción a la restricción de los artículos 33 y 38 cuando l</w:t>
      </w:r>
      <w:r w:rsidRPr="006177F8">
        <w:rPr>
          <w:rFonts w:ascii="Verdana" w:hAnsi="Verdana" w:cs="Arial"/>
          <w:lang w:val="es-ES_tradnl"/>
        </w:rPr>
        <w:t>a contratación se enmarca en una providencia judicial</w:t>
      </w:r>
      <w:r w:rsidRPr="006177F8">
        <w:rPr>
          <w:rFonts w:ascii="Verdana" w:eastAsia="Arial" w:hAnsi="Verdana" w:cs="Arial"/>
          <w:lang w:val="es-ES" w:eastAsia="es-ES" w:bidi="es-ES"/>
        </w:rPr>
        <w:t xml:space="preserve">, </w:t>
      </w:r>
      <w:r>
        <w:rPr>
          <w:rFonts w:ascii="Verdana" w:eastAsia="Arial" w:hAnsi="Verdana" w:cs="Arial"/>
          <w:lang w:val="es-ES" w:eastAsia="es-ES" w:bidi="es-ES"/>
        </w:rPr>
        <w:t xml:space="preserve">pues en dicho caso debe tenerse </w:t>
      </w:r>
      <w:r w:rsidRPr="006177F8">
        <w:rPr>
          <w:rFonts w:ascii="Verdana" w:eastAsia="Arial" w:hAnsi="Verdana" w:cs="Arial"/>
          <w:lang w:val="es-ES" w:eastAsia="es-ES" w:bidi="es-ES"/>
        </w:rPr>
        <w:t>en cuenta que las decisiones judiciales tienen fuerza vinculante y cumplirse en virtud del principio de supremacía constitucional y del derecho fundamental de acceso a la administraci</w:t>
      </w:r>
      <w:r>
        <w:rPr>
          <w:rFonts w:ascii="Verdana" w:eastAsia="Arial" w:hAnsi="Verdana" w:cs="Arial"/>
          <w:lang w:val="es-ES" w:eastAsia="es-ES" w:bidi="es-ES"/>
        </w:rPr>
        <w:t xml:space="preserve">ón de justicia. La celebración de un contrato de forma directa o de un convenio interadministrativo para la ejecución de recursos públicos </w:t>
      </w:r>
      <w:r w:rsidRPr="006177F8">
        <w:rPr>
          <w:rFonts w:ascii="Verdana" w:eastAsia="Arial" w:hAnsi="Verdana" w:cs="Arial"/>
          <w:lang w:val="es-ES" w:eastAsia="es-ES" w:bidi="es-ES"/>
        </w:rPr>
        <w:t xml:space="preserve">no obedece a una decisión discrecional de la </w:t>
      </w:r>
      <w:r w:rsidRPr="006177F8">
        <w:rPr>
          <w:rFonts w:ascii="Verdana" w:eastAsia="Arial" w:hAnsi="Verdana" w:cs="Arial"/>
          <w:lang w:val="es-ES" w:eastAsia="es-ES" w:bidi="es-ES"/>
        </w:rPr>
        <w:lastRenderedPageBreak/>
        <w:t>administración, sino al cumplimiento de un mandato judicial, lo cual la diferencia de la contratación ordinaria y lo pone en un plano de obligatoriedad que no puede desconocerse por las restricciones de la Ley de Garantías.</w:t>
      </w:r>
    </w:p>
    <w:p w14:paraId="185B1A91" w14:textId="77777777" w:rsidR="00E33242" w:rsidRPr="006177F8" w:rsidRDefault="00E33242" w:rsidP="00E33242">
      <w:pPr>
        <w:spacing w:after="0" w:line="276" w:lineRule="auto"/>
        <w:ind w:firstLine="709"/>
        <w:jc w:val="both"/>
        <w:rPr>
          <w:rFonts w:ascii="Verdana" w:eastAsia="Arial" w:hAnsi="Verdana" w:cs="Arial"/>
          <w:lang w:val="es-ES" w:eastAsia="es-ES" w:bidi="es-ES"/>
        </w:rPr>
      </w:pPr>
      <w:r w:rsidRPr="006177F8">
        <w:rPr>
          <w:rFonts w:ascii="Verdana" w:eastAsia="Arial" w:hAnsi="Verdana" w:cs="Arial"/>
          <w:lang w:val="es-ES" w:eastAsia="es-ES" w:bidi="es-ES"/>
        </w:rPr>
        <w:t xml:space="preserve">En este asunto, es importante resaltar que la Sala de Consulta y Servicio Civil del Consejo de Estado </w:t>
      </w:r>
      <w:r>
        <w:rPr>
          <w:rFonts w:ascii="Verdana" w:eastAsia="Arial" w:hAnsi="Verdana" w:cs="Arial"/>
          <w:lang w:val="es-ES" w:eastAsia="es-ES" w:bidi="es-ES"/>
        </w:rPr>
        <w:t xml:space="preserve">mediante </w:t>
      </w:r>
      <w:r w:rsidRPr="00CD734E">
        <w:rPr>
          <w:rFonts w:ascii="Verdana" w:eastAsia="Arial" w:hAnsi="Verdana" w:cs="Arial"/>
          <w:lang w:val="es-ES" w:eastAsia="es-ES" w:bidi="es-ES"/>
        </w:rPr>
        <w:t>Concepto</w:t>
      </w:r>
      <w:r>
        <w:rPr>
          <w:rFonts w:ascii="Verdana" w:eastAsia="Arial" w:hAnsi="Verdana" w:cs="Arial"/>
          <w:lang w:val="es-ES" w:eastAsia="es-ES" w:bidi="es-ES"/>
        </w:rPr>
        <w:t xml:space="preserve"> con Radicado</w:t>
      </w:r>
      <w:r w:rsidRPr="00CD734E">
        <w:rPr>
          <w:rFonts w:ascii="Verdana" w:eastAsia="Arial" w:hAnsi="Verdana" w:cs="Arial"/>
          <w:lang w:val="es-ES" w:eastAsia="es-ES" w:bidi="es-ES"/>
        </w:rPr>
        <w:t xml:space="preserve"> 1863 del 15 de noviembre de 2007 </w:t>
      </w:r>
      <w:r w:rsidRPr="006177F8">
        <w:rPr>
          <w:rFonts w:ascii="Verdana" w:eastAsia="Arial" w:hAnsi="Verdana" w:cs="Arial"/>
          <w:lang w:val="es-ES" w:eastAsia="es-ES" w:bidi="es-ES"/>
        </w:rPr>
        <w:t xml:space="preserve">se ha pronunciado en el sentido de que </w:t>
      </w:r>
      <w:bookmarkStart w:id="3" w:name="_Hlk78820889"/>
      <w:r w:rsidRPr="006177F8">
        <w:rPr>
          <w:rFonts w:ascii="Verdana" w:eastAsia="Arial" w:hAnsi="Verdana" w:cs="Arial"/>
          <w:lang w:val="es-ES" w:eastAsia="es-ES" w:bidi="es-ES"/>
        </w:rPr>
        <w:t>no se les aplica las restricciones contempladas en Ley de Garantías Electorales que deben celebrarse en virtud de un fallo judicial. Esto</w:t>
      </w:r>
      <w:r>
        <w:rPr>
          <w:rFonts w:ascii="Verdana" w:eastAsia="Arial" w:hAnsi="Verdana" w:cs="Arial"/>
          <w:lang w:val="es-ES" w:eastAsia="es-ES" w:bidi="es-ES"/>
        </w:rPr>
        <w:t>,</w:t>
      </w:r>
      <w:r w:rsidRPr="006177F8">
        <w:rPr>
          <w:rFonts w:ascii="Verdana" w:eastAsia="Arial" w:hAnsi="Verdana" w:cs="Arial"/>
          <w:lang w:val="es-ES" w:eastAsia="es-ES" w:bidi="es-ES"/>
        </w:rPr>
        <w:t xml:space="preserve">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bookmarkEnd w:id="3"/>
      <w:r w:rsidRPr="006177F8">
        <w:rPr>
          <w:rFonts w:ascii="Verdana" w:eastAsia="Arial" w:hAnsi="Verdana" w:cs="Arial"/>
          <w:vertAlign w:val="superscript"/>
          <w:lang w:val="es-ES" w:eastAsia="es-ES" w:bidi="es-ES"/>
        </w:rPr>
        <w:footnoteReference w:id="26"/>
      </w:r>
      <w:r w:rsidRPr="006177F8">
        <w:rPr>
          <w:rFonts w:ascii="Verdana" w:eastAsia="Arial" w:hAnsi="Verdana" w:cs="Arial"/>
          <w:lang w:val="es-ES" w:eastAsia="es-ES" w:bidi="es-ES"/>
        </w:rPr>
        <w:t>. Al respecto, dicho Concepto expresa:</w:t>
      </w:r>
    </w:p>
    <w:p w14:paraId="7A16FE1F" w14:textId="77777777" w:rsidR="00E33242" w:rsidRPr="006177F8" w:rsidRDefault="00E33242" w:rsidP="00E33242">
      <w:pPr>
        <w:spacing w:after="0" w:line="276" w:lineRule="auto"/>
        <w:ind w:firstLine="709"/>
        <w:jc w:val="both"/>
        <w:rPr>
          <w:rFonts w:ascii="Verdana" w:eastAsia="Arial" w:hAnsi="Verdana" w:cs="Arial"/>
          <w:lang w:val="es-ES" w:eastAsia="es-ES" w:bidi="es-ES"/>
        </w:rPr>
      </w:pPr>
    </w:p>
    <w:p w14:paraId="5F1FD61C" w14:textId="77777777" w:rsidR="00E33242" w:rsidRPr="006177F8" w:rsidRDefault="00E33242" w:rsidP="00E33242">
      <w:pPr>
        <w:spacing w:after="0" w:line="240" w:lineRule="auto"/>
        <w:ind w:left="709" w:right="709"/>
        <w:jc w:val="both"/>
        <w:rPr>
          <w:rFonts w:ascii="Verdana" w:eastAsia="Arial" w:hAnsi="Verdana" w:cs="Arial"/>
          <w:sz w:val="20"/>
          <w:lang w:eastAsia="es-ES" w:bidi="es-ES"/>
        </w:rPr>
      </w:pPr>
      <w:r>
        <w:rPr>
          <w:rFonts w:ascii="Verdana" w:eastAsia="Arial" w:hAnsi="Verdana" w:cs="Arial"/>
          <w:sz w:val="20"/>
          <w:lang w:val="es-ES" w:eastAsia="es-ES" w:bidi="es-ES"/>
        </w:rPr>
        <w:t>“</w:t>
      </w:r>
      <w:r w:rsidRPr="006177F8">
        <w:rPr>
          <w:rFonts w:ascii="Verdana" w:eastAsia="Arial" w:hAnsi="Verdana" w:cs="Arial"/>
          <w:sz w:val="20"/>
          <w:lang w:val="es-ES" w:eastAsia="es-ES" w:bidi="es-ES"/>
        </w:rPr>
        <w:t xml:space="preserve">[…] considera </w:t>
      </w:r>
      <w:r w:rsidRPr="006177F8">
        <w:rPr>
          <w:rFonts w:ascii="Verdana" w:eastAsia="Arial" w:hAnsi="Verdana" w:cs="Arial"/>
          <w:sz w:val="20"/>
          <w:lang w:eastAsia="es-ES" w:bidi="es-ES"/>
        </w:rPr>
        <w:t>la Sala que los servidores públicos del nivel nacional o territorial que en cumplimiento de una sentencia judicial o de una providencia proferida en una acción popular o de tutela, deban contratar, ejecutar obras, efectuar gastos e incluso hacer algún reintegro de personal durante los cuatro meses anteriores a las elecciones para cargos de elección popular general o de Presidente, según el caso, </w:t>
      </w:r>
      <w:r w:rsidRPr="006177F8">
        <w:rPr>
          <w:rFonts w:ascii="Verdana" w:eastAsia="Arial" w:hAnsi="Verdana" w:cs="Arial"/>
          <w:b/>
          <w:bCs/>
          <w:sz w:val="20"/>
          <w:lang w:eastAsia="es-ES" w:bidi="es-ES"/>
        </w:rPr>
        <w:t>no violan la ley de garantías electorales</w:t>
      </w:r>
      <w:r w:rsidRPr="006177F8">
        <w:rPr>
          <w:rFonts w:ascii="Verdana" w:eastAsia="Arial" w:hAnsi="Verdana" w:cs="Arial"/>
          <w:sz w:val="20"/>
          <w:lang w:eastAsia="es-ES" w:bidi="es-ES"/>
        </w:rPr>
        <w:t>, por las razones de orden constitucional y legal que se explican a continuación.</w:t>
      </w:r>
    </w:p>
    <w:p w14:paraId="6365CAE8" w14:textId="77777777" w:rsidR="00E33242" w:rsidRPr="006177F8" w:rsidRDefault="00E33242" w:rsidP="00E33242">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Con fundamento en la autonomía del poder judicial derivada de la separación de poderes y del derecho al acceso a la administración de justicia que tienen todos los ciudadanos, las decisiones de los jueces, como ya se expuso en el acápite anterior, son de obligatorio cumplimiento para la administración y los particulares en los términos y condiciones previstos en cada providencia.</w:t>
      </w:r>
    </w:p>
    <w:p w14:paraId="53262535" w14:textId="77777777" w:rsidR="00E33242" w:rsidRPr="006177F8" w:rsidRDefault="00E33242" w:rsidP="00E33242">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Los actos de ejecución que la administración deba expedir o realizar para dar cabal cumplimiento a lo ordenado en las providencias judiciales, se fundamentan en decisiones desprovistas </w:t>
      </w:r>
      <w:r w:rsidRPr="006177F8">
        <w:rPr>
          <w:rFonts w:ascii="Verdana" w:eastAsia="Arial" w:hAnsi="Verdana" w:cs="Arial"/>
          <w:i/>
          <w:iCs/>
          <w:sz w:val="20"/>
          <w:lang w:eastAsia="es-ES" w:bidi="es-ES"/>
        </w:rPr>
        <w:t>per se </w:t>
      </w:r>
      <w:r w:rsidRPr="006177F8">
        <w:rPr>
          <w:rFonts w:ascii="Verdana" w:eastAsia="Arial" w:hAnsi="Verdana" w:cs="Arial"/>
          <w:sz w:val="20"/>
          <w:lang w:eastAsia="es-ES" w:bidi="es-ES"/>
        </w:rPr>
        <w:t>de intereses proselitistas, pues los funcionarios investidos de jurisdicción, al impartir justicia sólo están sometidos al imperio de la Constitución y de la ley (artículo 230 C.P.) , de manera que sus fallos no son fruto de las presiones propias de épocas de campaña electoral, ni comprometen o amenazan la transparencia de la actividad administrativa tutelada en la ley de </w:t>
      </w:r>
      <w:hyperlink r:id="rId16" w:anchor="0" w:history="1">
        <w:r w:rsidRPr="006177F8">
          <w:rPr>
            <w:rStyle w:val="Hipervnculo"/>
            <w:rFonts w:ascii="Verdana" w:eastAsia="Arial" w:hAnsi="Verdana" w:cs="Arial"/>
            <w:color w:val="auto"/>
            <w:sz w:val="20"/>
            <w:u w:val="none"/>
            <w:lang w:eastAsia="es-ES" w:bidi="es-ES"/>
          </w:rPr>
          <w:t>996</w:t>
        </w:r>
      </w:hyperlink>
      <w:r w:rsidRPr="006177F8">
        <w:rPr>
          <w:rFonts w:ascii="Verdana" w:eastAsia="Arial" w:hAnsi="Verdana" w:cs="Arial"/>
          <w:sz w:val="20"/>
          <w:lang w:eastAsia="es-ES" w:bidi="es-ES"/>
        </w:rPr>
        <w:t> de 2005</w:t>
      </w:r>
    </w:p>
    <w:p w14:paraId="796E56EA" w14:textId="77777777" w:rsidR="00E33242" w:rsidRPr="006177F8" w:rsidRDefault="00E33242" w:rsidP="00E33242">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 xml:space="preserve">Por tanto, el derecho de acceso y de obtener una pronta y cumplida administración de justicia , que se concreta cuando se cumple lo ordenado en las respectivas sentencias, hacen que no sea necesario que el legislador </w:t>
      </w:r>
      <w:r w:rsidRPr="006177F8">
        <w:rPr>
          <w:rFonts w:ascii="Verdana" w:eastAsia="Arial" w:hAnsi="Verdana" w:cs="Arial"/>
          <w:sz w:val="20"/>
          <w:lang w:eastAsia="es-ES" w:bidi="es-ES"/>
        </w:rPr>
        <w:lastRenderedPageBreak/>
        <w:t>hubiese incluido el cumplimiento de fallos judiciales como parte de las excepciones a los regímenes prohibitivos contendido en los artículos </w:t>
      </w:r>
      <w:hyperlink r:id="rId17" w:anchor="32" w:history="1">
        <w:r w:rsidRPr="006177F8">
          <w:rPr>
            <w:rStyle w:val="Hipervnculo"/>
            <w:rFonts w:ascii="Verdana" w:eastAsia="Arial" w:hAnsi="Verdana" w:cs="Arial"/>
            <w:color w:val="auto"/>
            <w:sz w:val="20"/>
            <w:u w:val="none"/>
            <w:lang w:eastAsia="es-ES" w:bidi="es-ES"/>
          </w:rPr>
          <w:t>32</w:t>
        </w:r>
      </w:hyperlink>
      <w:r w:rsidRPr="006177F8">
        <w:rPr>
          <w:rFonts w:ascii="Verdana" w:eastAsia="Arial" w:hAnsi="Verdana" w:cs="Arial"/>
          <w:sz w:val="20"/>
          <w:lang w:eastAsia="es-ES" w:bidi="es-ES"/>
        </w:rPr>
        <w:t>, </w:t>
      </w:r>
      <w:hyperlink r:id="rId18" w:anchor="33" w:history="1">
        <w:r w:rsidRPr="006177F8">
          <w:rPr>
            <w:rStyle w:val="Hipervnculo"/>
            <w:rFonts w:ascii="Verdana" w:eastAsia="Arial" w:hAnsi="Verdana" w:cs="Arial"/>
            <w:color w:val="auto"/>
            <w:sz w:val="20"/>
            <w:u w:val="none"/>
            <w:lang w:eastAsia="es-ES" w:bidi="es-ES"/>
          </w:rPr>
          <w:t>33</w:t>
        </w:r>
      </w:hyperlink>
      <w:r w:rsidRPr="006177F8">
        <w:rPr>
          <w:rFonts w:ascii="Verdana" w:eastAsia="Arial" w:hAnsi="Verdana" w:cs="Arial"/>
          <w:sz w:val="20"/>
          <w:lang w:eastAsia="es-ES" w:bidi="es-ES"/>
        </w:rPr>
        <w:t> y el parágrafo del artículo </w:t>
      </w:r>
      <w:hyperlink r:id="rId19" w:anchor="38" w:history="1">
        <w:r w:rsidRPr="006177F8">
          <w:rPr>
            <w:rStyle w:val="Hipervnculo"/>
            <w:rFonts w:ascii="Verdana" w:eastAsia="Arial" w:hAnsi="Verdana" w:cs="Arial"/>
            <w:color w:val="auto"/>
            <w:sz w:val="20"/>
            <w:u w:val="none"/>
            <w:lang w:eastAsia="es-ES" w:bidi="es-ES"/>
          </w:rPr>
          <w:t>38</w:t>
        </w:r>
      </w:hyperlink>
      <w:r w:rsidRPr="006177F8">
        <w:rPr>
          <w:rFonts w:ascii="Verdana" w:eastAsia="Arial" w:hAnsi="Verdana" w:cs="Arial"/>
          <w:sz w:val="20"/>
          <w:lang w:eastAsia="es-ES" w:bidi="es-ES"/>
        </w:rPr>
        <w:t>, todos ellos de la ley 996 de 2005, ya que la fuerza vinculante de la sentencias emana directamente de estructura del Estado y de la autonomía conferida al poder judicial</w:t>
      </w:r>
      <w:r>
        <w:rPr>
          <w:rFonts w:ascii="Verdana" w:eastAsia="Arial" w:hAnsi="Verdana" w:cs="Arial"/>
          <w:sz w:val="20"/>
          <w:lang w:eastAsia="es-ES" w:bidi="es-ES"/>
        </w:rPr>
        <w:t>”</w:t>
      </w:r>
      <w:r w:rsidRPr="006177F8">
        <w:rPr>
          <w:rFonts w:ascii="Verdana" w:eastAsia="Arial" w:hAnsi="Verdana" w:cs="Arial"/>
          <w:sz w:val="20"/>
          <w:lang w:eastAsia="es-ES" w:bidi="es-ES"/>
        </w:rPr>
        <w:t>.</w:t>
      </w:r>
      <w:r>
        <w:rPr>
          <w:rFonts w:ascii="Verdana" w:eastAsia="Arial" w:hAnsi="Verdana" w:cs="Arial"/>
          <w:sz w:val="20"/>
          <w:lang w:eastAsia="es-ES" w:bidi="es-ES"/>
        </w:rPr>
        <w:t xml:space="preserve"> (énfasis dentro del texto). </w:t>
      </w:r>
    </w:p>
    <w:p w14:paraId="19094818" w14:textId="77777777" w:rsidR="00E33242" w:rsidRPr="006177F8" w:rsidRDefault="00E33242" w:rsidP="00E33242">
      <w:pPr>
        <w:spacing w:after="120" w:line="240" w:lineRule="auto"/>
        <w:ind w:firstLine="709"/>
        <w:jc w:val="both"/>
        <w:rPr>
          <w:rFonts w:ascii="Verdana" w:eastAsia="Arial" w:hAnsi="Verdana" w:cs="Arial"/>
          <w:lang w:eastAsia="es-ES" w:bidi="es-ES"/>
        </w:rPr>
      </w:pPr>
    </w:p>
    <w:p w14:paraId="141F8894" w14:textId="77777777" w:rsidR="00E33242" w:rsidRDefault="00E33242" w:rsidP="00E33242">
      <w:pPr>
        <w:spacing w:after="120" w:line="276" w:lineRule="auto"/>
        <w:ind w:firstLine="708"/>
        <w:jc w:val="both"/>
        <w:rPr>
          <w:rFonts w:ascii="Verdana" w:hAnsi="Verdana" w:cs="Arial"/>
          <w:lang w:val="es-ES"/>
        </w:rPr>
      </w:pPr>
      <w:r>
        <w:rPr>
          <w:rFonts w:ascii="Verdana" w:hAnsi="Verdana" w:cs="Arial"/>
          <w:lang w:val="es-ES"/>
        </w:rPr>
        <w:t xml:space="preserve">El </w:t>
      </w:r>
      <w:r w:rsidRPr="006177F8">
        <w:rPr>
          <w:rFonts w:ascii="Verdana" w:hAnsi="Verdana" w:cs="Arial"/>
          <w:lang w:val="es-ES"/>
        </w:rPr>
        <w:t xml:space="preserve">razonamiento de la Sala de Consulta y Servicio Civil del Consejo de Estado establece que las decisiones judiciales no se encuentran restringidas por las limitaciones de la Ley de Garantías Electorales. En consecuencia, es posible que un juez ordene la suscripción de un contrato de manera directa, como ocurre con la contratación de un perito dentro de un proceso judicial. </w:t>
      </w:r>
      <w:r>
        <w:rPr>
          <w:rFonts w:ascii="Verdana" w:hAnsi="Verdana" w:cs="Arial"/>
          <w:lang w:val="es-ES"/>
        </w:rPr>
        <w:t>De tal manera, n</w:t>
      </w:r>
      <w:r w:rsidRPr="006177F8">
        <w:rPr>
          <w:rFonts w:ascii="Verdana" w:hAnsi="Verdana" w:cs="Arial"/>
          <w:lang w:val="es-ES"/>
        </w:rPr>
        <w:t>egar esta posibilidad significaría desconocer el principio de colaboración armónica entre poderes y, además, vulnerar el derecho fundamental de acceso a la justicia. Por ello, debe entenderse que el cumplimiento de órdenes judiciales se encuentra por fuera de los fines, límites y condiciones previstos en la Ley de Garantías Electorales, pues su naturaleza responde a la obligación constitucional de garantizar la efectividad de las decisiones judiciales y la protección de los derechos fundamentales.</w:t>
      </w:r>
    </w:p>
    <w:p w14:paraId="18C750A9" w14:textId="77777777" w:rsidR="00E33242" w:rsidRPr="00380CA4" w:rsidRDefault="00E33242" w:rsidP="00E33242">
      <w:pPr>
        <w:spacing w:after="120" w:line="276" w:lineRule="auto"/>
        <w:ind w:firstLine="709"/>
        <w:jc w:val="both"/>
        <w:rPr>
          <w:rFonts w:ascii="Verdana" w:eastAsia="Times New Roman" w:hAnsi="Verdana" w:cs="Arial"/>
          <w:bCs/>
          <w:lang w:eastAsia="x-none"/>
        </w:rPr>
      </w:pPr>
      <w:r w:rsidRPr="00380CA4">
        <w:rPr>
          <w:rFonts w:ascii="Verdana" w:eastAsia="Times New Roman" w:hAnsi="Verdana" w:cs="Arial"/>
          <w:lang w:eastAsia="es-CO"/>
        </w:rPr>
        <w:t>Sin perjuicio de estos pronunciamientos de la Sala de Consulta y Servicio Civil</w:t>
      </w:r>
      <w:r w:rsidRPr="00380CA4">
        <w:rPr>
          <w:rFonts w:ascii="Verdana" w:eastAsia="Calibri" w:hAnsi="Verdana" w:cs="Arial"/>
        </w:rPr>
        <w:t xml:space="preserve">, como la ha señalado esa misma Corporación, la restricción prevista en la Ley 996 de 2005 </w:t>
      </w:r>
      <w:r w:rsidRPr="00380CA4">
        <w:rPr>
          <w:rFonts w:ascii="Verdana" w:eastAsia="Times New Roman" w:hAnsi="Verdana" w:cs="Arial"/>
          <w:bCs/>
          <w:lang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316E3465" w14:textId="77777777" w:rsidR="00E33242" w:rsidRPr="00380CA4" w:rsidRDefault="00E33242" w:rsidP="00E33242">
      <w:pPr>
        <w:spacing w:after="0" w:line="276" w:lineRule="auto"/>
        <w:ind w:firstLine="709"/>
        <w:jc w:val="both"/>
        <w:rPr>
          <w:rFonts w:ascii="Verdana" w:eastAsia="Times New Roman" w:hAnsi="Verdana" w:cs="Arial"/>
          <w:bCs/>
          <w:lang w:eastAsia="x-none"/>
        </w:rPr>
      </w:pPr>
      <w:r w:rsidRPr="00380CA4">
        <w:rPr>
          <w:rFonts w:ascii="Verdana" w:eastAsia="Times New Roman" w:hAnsi="Verdana" w:cs="Arial"/>
          <w:bCs/>
          <w:lang w:eastAsia="x-none"/>
        </w:rPr>
        <w:t>Finalmente, se reitera, c</w:t>
      </w:r>
      <w:r w:rsidRPr="00380CA4">
        <w:rPr>
          <w:rFonts w:ascii="Verdana" w:eastAsia="Times New Roman" w:hAnsi="Verdana" w:cs="Arial"/>
          <w:bCs/>
          <w:lang w:eastAsia="es-CO"/>
        </w:rPr>
        <w:t xml:space="preserve">omo en otras oportunidades lo ha manifestado esta Agencia, que las prórrogas, modificaciones o adiciones de los contratos suscritos antes de la </w:t>
      </w:r>
      <w:proofErr w:type="gramStart"/>
      <w:r w:rsidRPr="00380CA4">
        <w:rPr>
          <w:rFonts w:ascii="Verdana" w:eastAsia="Times New Roman" w:hAnsi="Verdana" w:cs="Arial"/>
          <w:bCs/>
          <w:lang w:eastAsia="es-CO"/>
        </w:rPr>
        <w:t>entrada en vigencia</w:t>
      </w:r>
      <w:proofErr w:type="gramEnd"/>
      <w:r w:rsidRPr="00380CA4">
        <w:rPr>
          <w:rFonts w:ascii="Verdana" w:eastAsia="Times New Roman" w:hAnsi="Verdana" w:cs="Arial"/>
          <w:bCs/>
          <w:lang w:eastAsia="es-CO"/>
        </w:rPr>
        <w:t xml:space="preserve"> de las prohibiciones anotadas, así como la cesión de </w:t>
      </w:r>
      <w:proofErr w:type="gramStart"/>
      <w:r w:rsidRPr="00380CA4">
        <w:rPr>
          <w:rFonts w:ascii="Verdana" w:eastAsia="Times New Roman" w:hAnsi="Verdana" w:cs="Arial"/>
          <w:bCs/>
          <w:lang w:eastAsia="es-CO"/>
        </w:rPr>
        <w:t>los mismos</w:t>
      </w:r>
      <w:proofErr w:type="gramEnd"/>
      <w:r w:rsidRPr="00380CA4">
        <w:rPr>
          <w:rFonts w:ascii="Verdana" w:eastAsia="Times New Roman" w:hAnsi="Verdana" w:cs="Arial"/>
          <w:bCs/>
          <w:lang w:eastAsia="es-CO"/>
        </w:rPr>
        <w:t xml:space="preserve">, pueden tener lugar en el período de aplicación de la Ley de Garantías, sin que ello haga nugatoria la restricción de la contratación directa </w:t>
      </w:r>
      <w:r w:rsidRPr="00380CA4">
        <w:rPr>
          <w:rFonts w:ascii="Verdana" w:eastAsia="Times New Roman" w:hAnsi="Verdana" w:cs="Arial"/>
          <w:bCs/>
          <w:lang w:eastAsia="es-CO"/>
        </w:rPr>
        <w:lastRenderedPageBreak/>
        <w:t>y siempre que cumplan los principios de planeación, transparencia y responsabilidad</w:t>
      </w:r>
      <w:r w:rsidRPr="00380CA4">
        <w:rPr>
          <w:rFonts w:ascii="Verdana" w:eastAsia="Times New Roman" w:hAnsi="Verdana" w:cs="Arial"/>
          <w:bCs/>
          <w:vertAlign w:val="superscript"/>
          <w:lang w:eastAsia="es-CO"/>
        </w:rPr>
        <w:footnoteReference w:id="27"/>
      </w:r>
      <w:r w:rsidRPr="00380CA4">
        <w:rPr>
          <w:rFonts w:ascii="Verdana" w:eastAsia="Times New Roman" w:hAnsi="Verdana" w:cs="Arial"/>
          <w:bCs/>
          <w:lang w:eastAsia="es-CO"/>
        </w:rPr>
        <w:t>. Además, también es posible que contratos celebrados previamente se continúen ejecutando con normalidad.</w:t>
      </w:r>
    </w:p>
    <w:p w14:paraId="6BDCC7BA" w14:textId="77777777" w:rsidR="00E33242" w:rsidRPr="00380CA4" w:rsidRDefault="00E33242" w:rsidP="00E33242">
      <w:pPr>
        <w:spacing w:after="0" w:line="240" w:lineRule="auto"/>
        <w:jc w:val="both"/>
        <w:rPr>
          <w:rFonts w:ascii="Verdana" w:eastAsia="Times New Roman" w:hAnsi="Verdana" w:cs="Arial"/>
          <w:bCs/>
          <w:lang w:eastAsia="x-none"/>
        </w:rPr>
      </w:pPr>
    </w:p>
    <w:p w14:paraId="0FE71DE3" w14:textId="77777777" w:rsidR="00E33242" w:rsidRDefault="00E33242" w:rsidP="00E33242">
      <w:pPr>
        <w:tabs>
          <w:tab w:val="left" w:pos="426"/>
        </w:tabs>
        <w:spacing w:after="0" w:line="276" w:lineRule="auto"/>
        <w:jc w:val="both"/>
        <w:rPr>
          <w:rFonts w:ascii="Verdana" w:hAnsi="Verdana" w:cs="Arial"/>
          <w:bCs/>
          <w:lang w:val="es-MX"/>
        </w:rPr>
      </w:pPr>
      <w:proofErr w:type="spellStart"/>
      <w:r w:rsidRPr="00380CA4">
        <w:rPr>
          <w:rFonts w:ascii="Verdana" w:eastAsia="Arial" w:hAnsi="Verdana" w:cs="Arial"/>
          <w:lang w:eastAsia="es-ES" w:bidi="es-ES"/>
        </w:rPr>
        <w:t>iv</w:t>
      </w:r>
      <w:bookmarkEnd w:id="1"/>
      <w:proofErr w:type="spellEnd"/>
      <w:r>
        <w:rPr>
          <w:rFonts w:ascii="Verdana" w:eastAsia="Arial" w:hAnsi="Verdana" w:cs="Arial"/>
          <w:lang w:eastAsia="es-ES" w:bidi="es-ES"/>
        </w:rPr>
        <w:t xml:space="preserve">. </w:t>
      </w:r>
      <w:r>
        <w:rPr>
          <w:rFonts w:ascii="Verdana" w:hAnsi="Verdana" w:cs="Arial"/>
          <w:bCs/>
          <w:lang w:val="es-MX"/>
        </w:rPr>
        <w:t>El artículo 365 constitucional dispone que “</w:t>
      </w:r>
      <w:r w:rsidRPr="00AA7E50">
        <w:rPr>
          <w:rFonts w:ascii="Verdana" w:hAnsi="Verdana" w:cs="Arial"/>
          <w:bCs/>
        </w:rPr>
        <w:t>Los servicios públicos son inherentes a la finalidad social del Estado. Es deber del Estado asegurar su prestación eficiente a todos los habi</w:t>
      </w:r>
      <w:r>
        <w:rPr>
          <w:rFonts w:ascii="Verdana" w:hAnsi="Verdana" w:cs="Arial"/>
          <w:bCs/>
        </w:rPr>
        <w:t>tantes del territorio nacional”</w:t>
      </w:r>
      <w:r>
        <w:rPr>
          <w:rFonts w:ascii="Verdana" w:eastAsia="Calibri" w:hAnsi="Verdana" w:cs="Times New Roman"/>
          <w:bCs/>
          <w:iCs/>
        </w:rPr>
        <w:t xml:space="preserve">. </w:t>
      </w:r>
      <w:r>
        <w:rPr>
          <w:rFonts w:ascii="Verdana" w:hAnsi="Verdana" w:cs="Arial"/>
          <w:bCs/>
        </w:rPr>
        <w:t>Por su parte, e</w:t>
      </w:r>
      <w:r w:rsidRPr="002675E7">
        <w:rPr>
          <w:rFonts w:ascii="Verdana" w:hAnsi="Verdana" w:cs="Arial"/>
          <w:bCs/>
          <w:lang w:val="es-MX"/>
        </w:rPr>
        <w:t>l inciso segundo del 365 constitucional dispone que “Los servicios públicos estarán sometidos al régimen jurídico que fije la ley, podrán ser prestados por el Estado, directa o indirectamente, por comunidades organizadas, o por particulares […]”.</w:t>
      </w:r>
      <w:r>
        <w:rPr>
          <w:rFonts w:ascii="Verdana" w:hAnsi="Verdana" w:cs="Arial"/>
          <w:bCs/>
          <w:lang w:val="es-MX"/>
        </w:rPr>
        <w:t xml:space="preserve"> En referencia, al inciso segundo, implica</w:t>
      </w:r>
      <w:r w:rsidRPr="004B6C4C">
        <w:rPr>
          <w:rFonts w:ascii="Verdana" w:hAnsi="Verdana" w:cs="Arial"/>
          <w:bCs/>
          <w:lang w:val="es-MX"/>
        </w:rPr>
        <w:t xml:space="preserve"> dos aspectos: en primer lugar, dispone que los servicios públicos están sujetos al régimen jurídico que le establezca la ley; en segundo lugar, establece que la prestación de los servicios podrá ejercerse por el Estado de forma directa o indirecta, por comunidades organizadas o por particulares. </w:t>
      </w:r>
      <w:r>
        <w:rPr>
          <w:rFonts w:ascii="Verdana" w:hAnsi="Verdana" w:cs="Arial"/>
          <w:bCs/>
          <w:lang w:val="es-MX"/>
        </w:rPr>
        <w:t xml:space="preserve">Al respecto, Fabián Gonzalo Marín Cortés expresa: </w:t>
      </w:r>
    </w:p>
    <w:p w14:paraId="307255EC" w14:textId="77777777" w:rsidR="00E33242" w:rsidRPr="00B23C40" w:rsidRDefault="00E33242" w:rsidP="00E33242">
      <w:pPr>
        <w:tabs>
          <w:tab w:val="left" w:pos="426"/>
        </w:tabs>
        <w:spacing w:after="0" w:line="276" w:lineRule="auto"/>
        <w:jc w:val="both"/>
        <w:rPr>
          <w:rFonts w:ascii="Verdana" w:hAnsi="Verdana" w:cs="Arial"/>
          <w:bCs/>
          <w:sz w:val="20"/>
          <w:szCs w:val="20"/>
          <w:lang w:val="es-MX"/>
        </w:rPr>
      </w:pPr>
    </w:p>
    <w:p w14:paraId="2D570B03" w14:textId="77777777" w:rsidR="00E33242" w:rsidRDefault="00E33242" w:rsidP="00E33242">
      <w:pPr>
        <w:autoSpaceDE w:val="0"/>
        <w:autoSpaceDN w:val="0"/>
        <w:adjustRightInd w:val="0"/>
        <w:spacing w:after="0" w:line="240" w:lineRule="auto"/>
        <w:ind w:left="709" w:right="709"/>
        <w:jc w:val="both"/>
        <w:rPr>
          <w:rFonts w:ascii="Verdana" w:hAnsi="Verdana" w:cs="Times New Roman"/>
          <w:sz w:val="20"/>
          <w:szCs w:val="20"/>
        </w:rPr>
      </w:pPr>
      <w:r w:rsidRPr="00B23C40">
        <w:rPr>
          <w:rFonts w:ascii="Verdana" w:hAnsi="Verdana" w:cs="Times New Roman"/>
          <w:sz w:val="20"/>
          <w:szCs w:val="20"/>
        </w:rPr>
        <w:t>[…] según el artículo 365 de la Carta Fundamental, los servicios públicos podrán ser prestados por el Estado -directa o indirectamente-, por los particulares o por las comunidades organizadas. Además de dicha norma también se deduce que la apertura o libertad de empresa quedó garantizada, pues la Constitución no encomendó a la ley definir esta posibilidad, sino que -directamente- dispuso que los servicios públicos -todos, pues no hace diferencia entre sus distintas especies- "podrán ser prestados por" los entes mencionados. Se insiste: esta posibilidad no se condiciono a la ponderación o valoración que del tema hiciera el legislador, como suele ocurrir con otras materias</w:t>
      </w:r>
      <w:r w:rsidRPr="00B23C40">
        <w:rPr>
          <w:rStyle w:val="Refdenotaalpie"/>
          <w:rFonts w:ascii="Verdana" w:hAnsi="Verdana" w:cs="Times New Roman"/>
          <w:sz w:val="20"/>
          <w:szCs w:val="20"/>
        </w:rPr>
        <w:footnoteReference w:id="28"/>
      </w:r>
      <w:r w:rsidRPr="00B23C40">
        <w:rPr>
          <w:rFonts w:ascii="Verdana" w:hAnsi="Verdana" w:cs="Times New Roman"/>
          <w:sz w:val="20"/>
          <w:szCs w:val="20"/>
        </w:rPr>
        <w:t>.</w:t>
      </w:r>
    </w:p>
    <w:p w14:paraId="7F4E487B" w14:textId="77777777" w:rsidR="00E33242" w:rsidRPr="00B23C40" w:rsidRDefault="00E33242" w:rsidP="00E33242">
      <w:pPr>
        <w:autoSpaceDE w:val="0"/>
        <w:autoSpaceDN w:val="0"/>
        <w:adjustRightInd w:val="0"/>
        <w:spacing w:after="0" w:line="240" w:lineRule="auto"/>
        <w:ind w:left="709" w:right="709"/>
        <w:jc w:val="both"/>
        <w:rPr>
          <w:rFonts w:ascii="Verdana" w:hAnsi="Verdana" w:cs="Times New Roman"/>
          <w:sz w:val="20"/>
          <w:szCs w:val="20"/>
        </w:rPr>
      </w:pPr>
    </w:p>
    <w:p w14:paraId="793F8114" w14:textId="77777777" w:rsidR="00E33242" w:rsidRDefault="00E33242" w:rsidP="00E33242">
      <w:pPr>
        <w:tabs>
          <w:tab w:val="left" w:pos="426"/>
        </w:tabs>
        <w:spacing w:after="120" w:line="276" w:lineRule="auto"/>
        <w:jc w:val="both"/>
        <w:rPr>
          <w:rFonts w:ascii="Verdana" w:hAnsi="Verdana" w:cs="Arial"/>
          <w:bCs/>
          <w:lang w:val="es-MX"/>
        </w:rPr>
      </w:pPr>
      <w:r>
        <w:rPr>
          <w:rFonts w:ascii="Verdana" w:eastAsia="Calibri" w:hAnsi="Verdana" w:cs="Times New Roman"/>
          <w:iCs/>
          <w:lang w:val="es-ES"/>
        </w:rPr>
        <w:tab/>
      </w:r>
      <w:r>
        <w:rPr>
          <w:rFonts w:ascii="Verdana" w:eastAsia="Calibri" w:hAnsi="Verdana" w:cs="Times New Roman"/>
          <w:iCs/>
          <w:lang w:val="es-ES"/>
        </w:rPr>
        <w:tab/>
        <w:t xml:space="preserve">En desarrollo de dicho precepto constitucional, la Ley 142 de 1994 </w:t>
      </w:r>
      <w:r w:rsidRPr="000234A1">
        <w:rPr>
          <w:rFonts w:ascii="Verdana" w:eastAsia="Calibri" w:hAnsi="Verdana" w:cs="Times New Roman"/>
          <w:iCs/>
          <w:lang w:val="es-ES"/>
        </w:rPr>
        <w:t>“</w:t>
      </w:r>
      <w:r w:rsidRPr="000234A1">
        <w:rPr>
          <w:rFonts w:ascii="Verdana" w:eastAsia="Calibri" w:hAnsi="Verdana" w:cs="Times New Roman"/>
          <w:bCs/>
          <w:iCs/>
        </w:rPr>
        <w:t xml:space="preserve">por la cual se establece el régimen de los servicios públicos domiciliarios y se dictan otras disposiciones”, </w:t>
      </w:r>
      <w:r>
        <w:rPr>
          <w:rFonts w:ascii="Verdana" w:eastAsia="Calibri" w:hAnsi="Verdana" w:cs="Times New Roman"/>
          <w:bCs/>
          <w:iCs/>
        </w:rPr>
        <w:t xml:space="preserve">dispone en su artículo 1 que dicho cuerpo normativo </w:t>
      </w:r>
      <w:r w:rsidRPr="00AA7E50">
        <w:rPr>
          <w:rFonts w:ascii="Verdana" w:eastAsia="Calibri" w:hAnsi="Verdana" w:cs="Times New Roman"/>
          <w:bCs/>
          <w:iCs/>
        </w:rPr>
        <w:t>se aplica a los servicios públicos domiciliarios de acueducto, alcantarillado, aseo, energía eléctrica, distribución de gas combustible, telefonía pública básica conmutada y la telefonía local móvil en el sector rural</w:t>
      </w:r>
      <w:r>
        <w:rPr>
          <w:rFonts w:ascii="Verdana" w:eastAsia="Calibri" w:hAnsi="Verdana" w:cs="Times New Roman"/>
          <w:bCs/>
          <w:iCs/>
        </w:rPr>
        <w:t xml:space="preserve">. </w:t>
      </w:r>
    </w:p>
    <w:p w14:paraId="1447D9C6" w14:textId="77777777" w:rsidR="00E33242" w:rsidRPr="0090201A" w:rsidRDefault="00E33242" w:rsidP="00E33242">
      <w:pPr>
        <w:spacing w:after="120" w:line="276" w:lineRule="auto"/>
        <w:ind w:firstLine="708"/>
        <w:jc w:val="both"/>
        <w:rPr>
          <w:rFonts w:ascii="Verdana" w:hAnsi="Verdana" w:cs="Arial"/>
          <w:bCs/>
          <w:lang w:val="es-MX"/>
        </w:rPr>
      </w:pPr>
      <w:r>
        <w:rPr>
          <w:rFonts w:ascii="Verdana" w:hAnsi="Verdana" w:cs="Arial"/>
          <w:bCs/>
          <w:lang w:val="es-MX"/>
        </w:rPr>
        <w:t xml:space="preserve">Por ello, </w:t>
      </w:r>
      <w:r w:rsidRPr="002A30BA">
        <w:rPr>
          <w:rFonts w:ascii="Verdana" w:hAnsi="Verdana" w:cs="Arial"/>
          <w:bCs/>
          <w:lang w:val="es-MX"/>
        </w:rPr>
        <w:t xml:space="preserve">el </w:t>
      </w:r>
      <w:r>
        <w:rPr>
          <w:rFonts w:ascii="Verdana" w:hAnsi="Verdana" w:cs="Arial"/>
          <w:bCs/>
          <w:lang w:val="es-MX"/>
        </w:rPr>
        <w:t xml:space="preserve">inciso primero del </w:t>
      </w:r>
      <w:r w:rsidRPr="002A30BA">
        <w:rPr>
          <w:rFonts w:ascii="Verdana" w:hAnsi="Verdana" w:cs="Arial"/>
          <w:bCs/>
          <w:lang w:val="es-MX"/>
        </w:rPr>
        <w:t xml:space="preserve">artículo 31 de la Ley 142 de 1994 </w:t>
      </w:r>
      <w:r>
        <w:rPr>
          <w:rFonts w:ascii="Verdana" w:hAnsi="Verdana" w:cs="Arial"/>
          <w:bCs/>
          <w:lang w:val="es-MX"/>
        </w:rPr>
        <w:t>dispuso expresamente que</w:t>
      </w:r>
      <w:r w:rsidRPr="002A30BA">
        <w:rPr>
          <w:rFonts w:ascii="Verdana" w:hAnsi="Verdana" w:cs="Arial"/>
          <w:bCs/>
          <w:lang w:val="es-MX"/>
        </w:rPr>
        <w:t xml:space="preserve"> </w:t>
      </w:r>
      <w:r>
        <w:rPr>
          <w:rFonts w:ascii="Verdana" w:hAnsi="Verdana" w:cs="Arial"/>
          <w:bCs/>
          <w:lang w:val="es-MX"/>
        </w:rPr>
        <w:t>“</w:t>
      </w:r>
      <w:r w:rsidRPr="002A30BA">
        <w:rPr>
          <w:rFonts w:ascii="Verdana" w:hAnsi="Verdana" w:cs="Arial"/>
          <w:bCs/>
          <w:lang w:val="es-MX"/>
        </w:rPr>
        <w:t xml:space="preserve">Los contratos que celebren las </w:t>
      </w:r>
      <w:r w:rsidRPr="00C87D7C">
        <w:rPr>
          <w:rFonts w:ascii="Verdana" w:hAnsi="Verdana" w:cs="Arial"/>
          <w:bCs/>
          <w:i/>
          <w:iCs/>
          <w:lang w:val="es-MX"/>
        </w:rPr>
        <w:t xml:space="preserve">entidades estatales que </w:t>
      </w:r>
      <w:r w:rsidRPr="00C87D7C">
        <w:rPr>
          <w:rFonts w:ascii="Verdana" w:hAnsi="Verdana" w:cs="Arial"/>
          <w:bCs/>
          <w:i/>
          <w:iCs/>
          <w:lang w:val="es-MX"/>
        </w:rPr>
        <w:lastRenderedPageBreak/>
        <w:t>prestan los servicios públicos</w:t>
      </w:r>
      <w:r w:rsidRPr="002A30BA">
        <w:rPr>
          <w:rFonts w:ascii="Verdana" w:hAnsi="Verdana" w:cs="Arial"/>
          <w:bCs/>
          <w:lang w:val="es-MX"/>
        </w:rPr>
        <w:t xml:space="preserve"> a los que se refiere esta ley no estarán sujetos a las disposiciones del Estatuto General de Contratación de la Administración Pública, salvo en lo que la presente ley dispong</w:t>
      </w:r>
      <w:r w:rsidRPr="008638A5">
        <w:rPr>
          <w:rFonts w:ascii="Verdana" w:hAnsi="Verdana" w:cs="Arial"/>
          <w:bCs/>
          <w:lang w:val="es-MX"/>
        </w:rPr>
        <w:t>a otra cosa”</w:t>
      </w:r>
      <w:r>
        <w:rPr>
          <w:rFonts w:ascii="Verdana" w:hAnsi="Verdana" w:cs="Arial"/>
          <w:bCs/>
          <w:lang w:val="es-MX"/>
        </w:rPr>
        <w:t xml:space="preserve"> (Énfasis fuera de texto)</w:t>
      </w:r>
      <w:r w:rsidRPr="008638A5">
        <w:rPr>
          <w:rFonts w:ascii="Verdana" w:hAnsi="Verdana" w:cs="Arial"/>
          <w:bCs/>
          <w:lang w:val="es-MX"/>
        </w:rPr>
        <w:t xml:space="preserve">. </w:t>
      </w:r>
      <w:r>
        <w:rPr>
          <w:rFonts w:ascii="Verdana" w:hAnsi="Verdana" w:cs="Arial"/>
          <w:bCs/>
          <w:lang w:val="es-MX"/>
        </w:rPr>
        <w:t>Asimismo,</w:t>
      </w:r>
      <w:r w:rsidRPr="00C87D7C">
        <w:rPr>
          <w:rFonts w:ascii="Verdana" w:hAnsi="Verdana" w:cs="Arial"/>
          <w:bCs/>
          <w:lang w:val="es-MX"/>
        </w:rPr>
        <w:t xml:space="preserve"> </w:t>
      </w:r>
      <w:r>
        <w:rPr>
          <w:rFonts w:ascii="Verdana" w:hAnsi="Verdana" w:cs="Arial"/>
          <w:bCs/>
          <w:lang w:val="es-MX"/>
        </w:rPr>
        <w:t>el inciso primero del</w:t>
      </w:r>
      <w:r w:rsidRPr="00C87D7C">
        <w:rPr>
          <w:rFonts w:ascii="Verdana" w:hAnsi="Verdana" w:cs="Arial"/>
          <w:bCs/>
          <w:lang w:val="es-MX"/>
        </w:rPr>
        <w:t xml:space="preserve"> artículo 32 </w:t>
      </w:r>
      <w:r w:rsidRPr="00C87D7C">
        <w:rPr>
          <w:rFonts w:ascii="Verdana" w:hAnsi="Verdana" w:cs="Arial"/>
          <w:bCs/>
          <w:i/>
          <w:iCs/>
          <w:lang w:val="es-MX"/>
        </w:rPr>
        <w:t>ibidem</w:t>
      </w:r>
      <w:r>
        <w:rPr>
          <w:rFonts w:ascii="Verdana" w:hAnsi="Verdana" w:cs="Arial"/>
          <w:bCs/>
          <w:lang w:val="es-MX"/>
        </w:rPr>
        <w:t xml:space="preserve"> precisa lo siguiente: “</w:t>
      </w:r>
      <w:r w:rsidRPr="00C87D7C">
        <w:rPr>
          <w:rFonts w:ascii="Verdana" w:hAnsi="Verdana" w:cs="Arial"/>
          <w:bCs/>
          <w:lang w:val="es-MX"/>
        </w:rPr>
        <w:t xml:space="preserve">Salvo en cuanto la Constitución Política o esta Ley dispongan expresamente lo contrario, la constitución, y los actos de todas las </w:t>
      </w:r>
      <w:r w:rsidRPr="00C87D7C">
        <w:rPr>
          <w:rFonts w:ascii="Verdana" w:hAnsi="Verdana" w:cs="Arial"/>
          <w:bCs/>
          <w:i/>
          <w:iCs/>
          <w:lang w:val="es-MX"/>
        </w:rPr>
        <w:t>empresas de servicios públicos</w:t>
      </w:r>
      <w:r w:rsidRPr="00C87D7C">
        <w:rPr>
          <w:rFonts w:ascii="Verdana" w:hAnsi="Verdana" w:cs="Arial"/>
          <w:bCs/>
          <w:lang w:val="es-MX"/>
        </w:rPr>
        <w:t>, así como los requeridos para la administración y el ejercicio de los derechos de todas las personas que sean socias de ellas, en lo no dispuesto en esta Ley, se regirán exclusivamente por las reglas del derecho privado</w:t>
      </w:r>
      <w:r>
        <w:rPr>
          <w:rFonts w:ascii="Verdana" w:hAnsi="Verdana" w:cs="Arial"/>
          <w:bCs/>
          <w:lang w:val="es-MX"/>
        </w:rPr>
        <w:t>” (Énfasis fuera de texto)</w:t>
      </w:r>
      <w:r w:rsidRPr="00C87D7C">
        <w:rPr>
          <w:rFonts w:ascii="Verdana" w:hAnsi="Verdana" w:cs="Arial"/>
          <w:bCs/>
          <w:lang w:val="es-MX"/>
        </w:rPr>
        <w:t>.</w:t>
      </w:r>
      <w:r>
        <w:rPr>
          <w:rFonts w:ascii="Verdana" w:hAnsi="Verdana" w:cs="Arial"/>
          <w:bCs/>
          <w:lang w:val="es-MX"/>
        </w:rPr>
        <w:t xml:space="preserve"> </w:t>
      </w:r>
      <w:r>
        <w:rPr>
          <w:rFonts w:ascii="Verdana" w:eastAsia="Calibri" w:hAnsi="Verdana" w:cs="Arial"/>
          <w:color w:val="000000" w:themeColor="text1"/>
          <w:lang w:val="es-ES_tradnl"/>
        </w:rPr>
        <w:t xml:space="preserve">En torno a estos artículos, </w:t>
      </w:r>
      <w:r w:rsidRPr="004F2E81">
        <w:rPr>
          <w:rFonts w:ascii="Verdana" w:eastAsia="Calibri" w:hAnsi="Verdana" w:cs="Arial"/>
          <w:color w:val="000000" w:themeColor="text1"/>
          <w:lang w:val="es-ES_tradnl"/>
        </w:rPr>
        <w:t xml:space="preserve">la Superintendencia de Servicios Públicos Domiciliarios, quien en Concepto No. 715 de 2014, reiterando lo expuesto en el Concepto Unificado </w:t>
      </w:r>
      <w:r w:rsidRPr="004F2E81">
        <w:rPr>
          <w:rFonts w:ascii="Verdana" w:hAnsi="Verdana" w:cs="Arial"/>
          <w:color w:val="000000" w:themeColor="text1"/>
          <w:lang w:val="es-ES_tradnl"/>
        </w:rPr>
        <w:t>SSPD-OAJ-020-2010, expresó</w:t>
      </w:r>
      <w:r w:rsidRPr="004F2E81">
        <w:rPr>
          <w:rFonts w:ascii="Verdana" w:eastAsia="Calibri" w:hAnsi="Verdana" w:cs="Arial"/>
          <w:color w:val="000000" w:themeColor="text1"/>
          <w:lang w:val="es-ES_tradnl"/>
        </w:rPr>
        <w:t xml:space="preserve"> que el Estatuto General de Contratación de la Administración Pública, es decir, las Leyes 80 de 1993 y 1150 de 2007, solo se aplican a los contratos celebrados por las empresas de servicios públicos domiciliarios, cuando así lo ordene expresamente la Ley 142 de 1994</w:t>
      </w:r>
      <w:r w:rsidRPr="004F2E81">
        <w:rPr>
          <w:rFonts w:ascii="Verdana" w:eastAsia="Calibri" w:hAnsi="Verdana" w:cs="Arial"/>
          <w:color w:val="000000" w:themeColor="text1"/>
          <w:vertAlign w:val="superscript"/>
          <w:lang w:val="es-ES_tradnl"/>
        </w:rPr>
        <w:footnoteReference w:id="29"/>
      </w:r>
      <w:r w:rsidRPr="004F2E81">
        <w:rPr>
          <w:rFonts w:ascii="Verdana" w:eastAsia="Calibri" w:hAnsi="Verdana" w:cs="Arial"/>
          <w:color w:val="000000" w:themeColor="text1"/>
          <w:lang w:val="es-ES_tradnl"/>
        </w:rPr>
        <w:t>.</w:t>
      </w:r>
    </w:p>
    <w:p w14:paraId="237A3E00" w14:textId="77777777" w:rsidR="00E33242" w:rsidRPr="00B23C40" w:rsidRDefault="00E33242" w:rsidP="00E33242">
      <w:pPr>
        <w:spacing w:after="0" w:line="276" w:lineRule="auto"/>
        <w:ind w:firstLine="709"/>
        <w:jc w:val="both"/>
        <w:rPr>
          <w:rFonts w:ascii="Verdana" w:eastAsia="Calibri" w:hAnsi="Verdana" w:cs="Arial"/>
          <w:color w:val="000000" w:themeColor="text1"/>
          <w:lang w:val="es-ES_tradnl"/>
        </w:rPr>
      </w:pPr>
      <w:r w:rsidRPr="004F2E81">
        <w:rPr>
          <w:rFonts w:ascii="Verdana" w:eastAsia="Calibri" w:hAnsi="Verdana" w:cs="Arial"/>
          <w:color w:val="000000" w:themeColor="text1"/>
          <w:lang w:val="es-ES_tradnl"/>
        </w:rPr>
        <w:t xml:space="preserve">En otras palabras, las empresas prestadoras de servicios públicos domiciliarios se sujetan, en su actividad contractual, a las disposiciones del derecho privado, salvo en aquellos casos en los que la Constitución, la Ley 142 de 1994 u otras leyes especiales, someten tal conducta al Estatuto General de Contratación de la Administración Pública, es decir, a la Ley 80 de 1993, a la Ley 1150 de 2007 y demás normas complementarias. </w:t>
      </w:r>
      <w:r>
        <w:rPr>
          <w:rFonts w:ascii="Verdana" w:eastAsia="Calibri" w:hAnsi="Verdana" w:cs="Arial"/>
          <w:color w:val="000000" w:themeColor="text1"/>
          <w:lang w:val="es-ES"/>
        </w:rPr>
        <w:t>De esta manera, el</w:t>
      </w:r>
      <w:r w:rsidRPr="00060C87">
        <w:rPr>
          <w:rFonts w:ascii="Verdana" w:eastAsia="Calibri" w:hAnsi="Verdana" w:cs="Arial"/>
          <w:color w:val="000000" w:themeColor="text1"/>
          <w:lang w:val="es-ES"/>
        </w:rPr>
        <w:t xml:space="preserve"> máximo órgano de la Jurisdicción de lo Contencioso Administrativo</w:t>
      </w:r>
      <w:r>
        <w:rPr>
          <w:rFonts w:ascii="Verdana" w:eastAsia="Calibri" w:hAnsi="Verdana" w:cs="Arial"/>
          <w:color w:val="000000" w:themeColor="text1"/>
          <w:lang w:val="es-ES"/>
        </w:rPr>
        <w:t xml:space="preserve"> considera que</w:t>
      </w:r>
      <w:r w:rsidRPr="00060C87">
        <w:rPr>
          <w:rFonts w:ascii="Verdana" w:eastAsia="Calibri" w:hAnsi="Verdana" w:cs="Arial"/>
          <w:color w:val="000000" w:themeColor="text1"/>
          <w:lang w:val="es-ES"/>
        </w:rPr>
        <w:t xml:space="preserve">: </w:t>
      </w:r>
    </w:p>
    <w:p w14:paraId="23A93AE7" w14:textId="77777777" w:rsidR="00E33242" w:rsidRPr="00060C87" w:rsidRDefault="00E33242" w:rsidP="00E33242">
      <w:pPr>
        <w:tabs>
          <w:tab w:val="left" w:pos="426"/>
        </w:tabs>
        <w:spacing w:after="0" w:line="276" w:lineRule="auto"/>
        <w:jc w:val="both"/>
        <w:rPr>
          <w:rFonts w:ascii="Verdana" w:eastAsia="Calibri" w:hAnsi="Verdana" w:cs="Arial"/>
          <w:color w:val="000000" w:themeColor="text1"/>
          <w:lang w:val="es-ES"/>
        </w:rPr>
      </w:pPr>
    </w:p>
    <w:p w14:paraId="2E456C89" w14:textId="77777777" w:rsidR="00E33242" w:rsidRPr="00033F5A" w:rsidRDefault="00E33242" w:rsidP="00E33242">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033F5A">
        <w:rPr>
          <w:rFonts w:ascii="Verdana" w:eastAsia="Calibri" w:hAnsi="Verdana" w:cs="Arial"/>
          <w:color w:val="000000" w:themeColor="text1"/>
          <w:sz w:val="20"/>
          <w:szCs w:val="20"/>
          <w:lang w:val="es-ES"/>
        </w:rPr>
        <w:t xml:space="preserve">“En este orden de ideas, el régimen jurídico aplicable a las empresas de servicios públicos domiciliarios en materia contractual es el propio del derecho común y sólo excepcionalmente se aplican las reglas del derecho público, es decir, las reglas de la Ley 80 de 1993. </w:t>
      </w:r>
    </w:p>
    <w:p w14:paraId="38619B96" w14:textId="77777777" w:rsidR="00E33242" w:rsidRPr="00033F5A" w:rsidRDefault="00E33242" w:rsidP="00E33242">
      <w:pPr>
        <w:tabs>
          <w:tab w:val="left" w:pos="426"/>
        </w:tabs>
        <w:spacing w:after="0" w:line="240" w:lineRule="auto"/>
        <w:ind w:left="709" w:right="709"/>
        <w:jc w:val="both"/>
        <w:rPr>
          <w:rFonts w:ascii="Verdana" w:eastAsia="Calibri" w:hAnsi="Verdana" w:cs="Arial"/>
          <w:color w:val="000000" w:themeColor="text1"/>
          <w:sz w:val="20"/>
          <w:szCs w:val="20"/>
          <w:lang w:val="es-ES"/>
        </w:rPr>
      </w:pPr>
    </w:p>
    <w:p w14:paraId="139A9ED7" w14:textId="77777777" w:rsidR="00E33242" w:rsidRPr="00033F5A" w:rsidRDefault="00E33242" w:rsidP="00E33242">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033F5A">
        <w:rPr>
          <w:rFonts w:ascii="Verdana" w:eastAsia="Calibri" w:hAnsi="Verdana" w:cs="Arial"/>
          <w:color w:val="000000" w:themeColor="text1"/>
          <w:sz w:val="20"/>
          <w:szCs w:val="20"/>
          <w:lang w:val="es-ES"/>
        </w:rPr>
        <w:t xml:space="preserve">Dicho de otro modo, la regla general de aplicación del derecho común significa, que para la selección del contratista no se requiere aplicar los procedimientos a los que se refiere la Ley 80 de 1993; que las reglas de existencia del contrato no son las previstas en el artículo 41 del Estatuto General de Contratación Pública; que los requisitos de validez del contrato son los previstos en la legislación civil y comercial; que las cláusulas contractuales son las propias de los contratos entre particulares; que la ejecución del contrato debe realizarse conforme a las reglas ordinarias y </w:t>
      </w:r>
      <w:r w:rsidRPr="00033F5A">
        <w:rPr>
          <w:rFonts w:ascii="Verdana" w:eastAsia="Calibri" w:hAnsi="Verdana" w:cs="Arial"/>
          <w:color w:val="000000" w:themeColor="text1"/>
          <w:sz w:val="20"/>
          <w:szCs w:val="20"/>
          <w:lang w:val="es-ES"/>
        </w:rPr>
        <w:lastRenderedPageBreak/>
        <w:t>no a las administrativas; y que en lo relacionado con la terminación, ampliación y liquidación de los contratos, deben aplicarse las reglas del derecho común”</w:t>
      </w:r>
      <w:r w:rsidRPr="00033F5A">
        <w:rPr>
          <w:rStyle w:val="Refdenotaalpie"/>
          <w:rFonts w:ascii="Verdana" w:eastAsia="Calibri" w:hAnsi="Verdana" w:cs="Arial"/>
          <w:color w:val="000000" w:themeColor="text1"/>
          <w:sz w:val="20"/>
          <w:szCs w:val="20"/>
          <w:lang w:val="es-ES"/>
        </w:rPr>
        <w:footnoteReference w:id="30"/>
      </w:r>
      <w:r w:rsidRPr="00033F5A">
        <w:rPr>
          <w:rFonts w:ascii="Verdana" w:eastAsia="Calibri" w:hAnsi="Verdana" w:cs="Arial"/>
          <w:color w:val="000000" w:themeColor="text1"/>
          <w:sz w:val="20"/>
          <w:szCs w:val="20"/>
          <w:lang w:val="es-ES"/>
        </w:rPr>
        <w:t>.</w:t>
      </w:r>
    </w:p>
    <w:p w14:paraId="2DCC4D50" w14:textId="77777777" w:rsidR="00E33242" w:rsidRPr="00DB0EE0" w:rsidRDefault="00E33242" w:rsidP="00E33242">
      <w:pPr>
        <w:spacing w:after="0" w:line="276" w:lineRule="auto"/>
        <w:jc w:val="both"/>
        <w:rPr>
          <w:rFonts w:ascii="Verdana" w:eastAsia="Arial" w:hAnsi="Verdana" w:cs="Arial"/>
          <w:lang w:val="es-ES" w:eastAsia="es-ES" w:bidi="es-ES"/>
        </w:rPr>
      </w:pPr>
    </w:p>
    <w:p w14:paraId="11BEBA2D" w14:textId="7028BD69" w:rsidR="00E33242" w:rsidRDefault="00E33242" w:rsidP="00E33242">
      <w:pPr>
        <w:spacing w:after="120" w:line="276" w:lineRule="auto"/>
        <w:ind w:firstLine="709"/>
        <w:jc w:val="both"/>
        <w:rPr>
          <w:rFonts w:ascii="Verdana" w:hAnsi="Verdana" w:cs="Arial"/>
          <w:bCs/>
          <w:color w:val="000000" w:themeColor="text1"/>
        </w:rPr>
      </w:pPr>
      <w:r w:rsidRPr="002675E7">
        <w:rPr>
          <w:rFonts w:ascii="Verdana" w:hAnsi="Verdana" w:cs="Arial"/>
          <w:bCs/>
          <w:color w:val="000000" w:themeColor="text1"/>
          <w:lang w:val="es-ES"/>
        </w:rPr>
        <w:t>El régimen jurídico de las Empresas de Servicios Públicos Domiciliarios se rige por el derecho privado, sin perjuicio de la sujeción a los principios de la función administrativa, de la gestión fiscal, el régimen de inhabilidades e incompatibilidades, el deber de publicar de plataforma SECOP II, así como a las demás reglas sujetas por el Derecho Público</w:t>
      </w:r>
      <w:r>
        <w:rPr>
          <w:rFonts w:ascii="Verdana" w:hAnsi="Verdana" w:cs="Arial"/>
          <w:bCs/>
          <w:color w:val="000000" w:themeColor="text1"/>
          <w:lang w:val="es-ES"/>
        </w:rPr>
        <w:t>, conforme a lo prescrito en el artículo 13 de la Ley 1150 de 2007</w:t>
      </w:r>
      <w:r w:rsidRPr="002675E7">
        <w:rPr>
          <w:rFonts w:ascii="Verdana" w:hAnsi="Verdana" w:cs="Arial"/>
          <w:bCs/>
          <w:color w:val="000000" w:themeColor="text1"/>
          <w:lang w:val="es-ES"/>
        </w:rPr>
        <w:t>.</w:t>
      </w:r>
      <w:r>
        <w:rPr>
          <w:rFonts w:ascii="Verdana" w:hAnsi="Verdana" w:cs="Arial"/>
          <w:bCs/>
          <w:color w:val="000000" w:themeColor="text1"/>
          <w:lang w:val="es-ES"/>
        </w:rPr>
        <w:t xml:space="preserve"> En este escenario, se encuentran los contratos especiales</w:t>
      </w:r>
      <w:r w:rsidRPr="002675E7">
        <w:rPr>
          <w:rFonts w:ascii="Verdana" w:hAnsi="Verdana" w:cs="Arial"/>
          <w:bCs/>
          <w:color w:val="000000" w:themeColor="text1"/>
          <w:lang w:val="es-ES"/>
        </w:rPr>
        <w:t xml:space="preserve"> </w:t>
      </w:r>
      <w:r>
        <w:rPr>
          <w:rFonts w:ascii="Verdana" w:hAnsi="Verdana" w:cs="Arial"/>
          <w:bCs/>
          <w:color w:val="000000" w:themeColor="text1"/>
          <w:lang w:val="es-ES"/>
        </w:rPr>
        <w:t xml:space="preserve">regulados en el artículo 39 de la Ley 142 de 1994, como son los </w:t>
      </w:r>
      <w:r w:rsidRPr="00CD7EF4">
        <w:rPr>
          <w:rFonts w:ascii="Verdana" w:hAnsi="Verdana" w:cs="Arial"/>
          <w:bCs/>
          <w:color w:val="000000" w:themeColor="text1"/>
        </w:rPr>
        <w:t>Contratos de concesión para el uso de recursos</w:t>
      </w:r>
      <w:r>
        <w:rPr>
          <w:rFonts w:ascii="Verdana" w:hAnsi="Verdana" w:cs="Arial"/>
          <w:bCs/>
          <w:color w:val="000000" w:themeColor="text1"/>
        </w:rPr>
        <w:t xml:space="preserve"> naturales o del medio ambiente, </w:t>
      </w:r>
      <w:r w:rsidRPr="00CD7EF4">
        <w:rPr>
          <w:rFonts w:ascii="Verdana" w:hAnsi="Verdana" w:cs="Arial"/>
          <w:bCs/>
          <w:color w:val="000000" w:themeColor="text1"/>
        </w:rPr>
        <w:t>Contratos de administración profesional de acciones</w:t>
      </w:r>
      <w:r>
        <w:rPr>
          <w:rFonts w:ascii="Verdana" w:hAnsi="Verdana" w:cs="Arial"/>
          <w:bCs/>
          <w:color w:val="000000" w:themeColor="text1"/>
        </w:rPr>
        <w:t xml:space="preserve">, </w:t>
      </w:r>
      <w:r w:rsidRPr="00CD7EF4">
        <w:rPr>
          <w:rFonts w:ascii="Verdana" w:hAnsi="Verdana" w:cs="Arial"/>
          <w:bCs/>
          <w:color w:val="000000" w:themeColor="text1"/>
        </w:rPr>
        <w:t>Contratos de las entidades oficiales para transferir la propiedad o el uso y goce de los bienes que destina especialmente a prestar los servicios públicos</w:t>
      </w:r>
      <w:r>
        <w:rPr>
          <w:rFonts w:ascii="Verdana" w:hAnsi="Verdana" w:cs="Arial"/>
          <w:bCs/>
          <w:color w:val="000000" w:themeColor="text1"/>
        </w:rPr>
        <w:t xml:space="preserve">, </w:t>
      </w:r>
      <w:r w:rsidRPr="00CD7EF4">
        <w:rPr>
          <w:rFonts w:ascii="Verdana" w:hAnsi="Verdana" w:cs="Arial"/>
          <w:bCs/>
          <w:color w:val="000000" w:themeColor="text1"/>
        </w:rPr>
        <w:t>Contratos en virtud de los cuales dos o más entidades prestadoras de servicios públicos o éstas con grandes proveedores o usuarios,</w:t>
      </w:r>
      <w:r>
        <w:rPr>
          <w:rFonts w:ascii="Verdana" w:hAnsi="Verdana" w:cs="Arial"/>
          <w:bCs/>
          <w:color w:val="000000" w:themeColor="text1"/>
        </w:rPr>
        <w:t xml:space="preserve"> y</w:t>
      </w:r>
      <w:r>
        <w:rPr>
          <w:rFonts w:ascii="Verdana" w:hAnsi="Verdana" w:cs="Arial"/>
          <w:bCs/>
          <w:color w:val="000000" w:themeColor="text1"/>
          <w:lang w:val="es-ES"/>
        </w:rPr>
        <w:t xml:space="preserve"> </w:t>
      </w:r>
      <w:r w:rsidRPr="00CD7EF4">
        <w:rPr>
          <w:rFonts w:ascii="Verdana" w:hAnsi="Verdana" w:cs="Arial"/>
          <w:bCs/>
          <w:color w:val="000000" w:themeColor="text1"/>
        </w:rPr>
        <w:t>Contratos para la extensión de la prestación de un servicio</w:t>
      </w:r>
      <w:r>
        <w:rPr>
          <w:rFonts w:ascii="Verdana" w:hAnsi="Verdana" w:cs="Arial"/>
          <w:bCs/>
          <w:color w:val="000000" w:themeColor="text1"/>
        </w:rPr>
        <w:t xml:space="preserve">. </w:t>
      </w:r>
    </w:p>
    <w:p w14:paraId="5CF90818" w14:textId="77777777" w:rsidR="00E33242" w:rsidRPr="00F04EBB" w:rsidRDefault="00E33242" w:rsidP="00E33242">
      <w:pPr>
        <w:spacing w:after="120" w:line="276" w:lineRule="auto"/>
        <w:ind w:firstLine="709"/>
        <w:jc w:val="both"/>
        <w:rPr>
          <w:rFonts w:ascii="Verdana" w:hAnsi="Verdana" w:cs="Arial"/>
          <w:bCs/>
          <w:color w:val="000000" w:themeColor="text1"/>
        </w:rPr>
      </w:pPr>
      <w:r w:rsidRPr="00F04EBB">
        <w:rPr>
          <w:rFonts w:ascii="Verdana" w:hAnsi="Verdana" w:cs="Arial"/>
          <w:bCs/>
          <w:color w:val="000000" w:themeColor="text1"/>
        </w:rPr>
        <w:t>El artículo 39, numeral 3, de la Ley 142 de 1994 dispone que el acceso del prestador de servicios públicos domiciliarios a determinados bienes o infraestructuras puede realizarse mediante diversas modalidades contractuales, tales como contratos de operación especializada, contratos de aporte bajo condición, contratos de administraci</w:t>
      </w:r>
      <w:r>
        <w:rPr>
          <w:rFonts w:ascii="Verdana" w:hAnsi="Verdana" w:cs="Arial"/>
          <w:bCs/>
          <w:color w:val="000000" w:themeColor="text1"/>
        </w:rPr>
        <w:t>ón, entre otros. Estos tipos contractuales están dentro de la categoría de</w:t>
      </w:r>
      <w:r w:rsidRPr="00F04EBB">
        <w:rPr>
          <w:rFonts w:ascii="Verdana" w:hAnsi="Verdana" w:cs="Arial"/>
          <w:bCs/>
          <w:color w:val="000000" w:themeColor="text1"/>
        </w:rPr>
        <w:t xml:space="preserve"> contratos especiales, en la medida en que responden a las particularidades del régimen de los servicios públicos y se rigen por principios propios de eficiencia, continuidad y protección del interés general. Su </w:t>
      </w:r>
      <w:r>
        <w:rPr>
          <w:rFonts w:ascii="Verdana" w:hAnsi="Verdana" w:cs="Arial"/>
          <w:bCs/>
          <w:color w:val="000000" w:themeColor="text1"/>
        </w:rPr>
        <w:t xml:space="preserve">propósito </w:t>
      </w:r>
      <w:r w:rsidRPr="00F04EBB">
        <w:rPr>
          <w:rFonts w:ascii="Verdana" w:hAnsi="Verdana" w:cs="Arial"/>
          <w:bCs/>
          <w:color w:val="000000" w:themeColor="text1"/>
        </w:rPr>
        <w:t>es facilitar la adecuada prestación del servicio, permitiendo esquemas flexibles de vinculación de bienes, recursos y capacidades técnicas</w:t>
      </w:r>
      <w:r>
        <w:rPr>
          <w:rFonts w:ascii="Verdana" w:hAnsi="Verdana" w:cs="Arial"/>
          <w:bCs/>
          <w:color w:val="000000" w:themeColor="text1"/>
        </w:rPr>
        <w:t>,</w:t>
      </w:r>
      <w:r w:rsidRPr="00F04EBB">
        <w:rPr>
          <w:rFonts w:ascii="Verdana" w:hAnsi="Verdana" w:cs="Arial"/>
          <w:bCs/>
          <w:color w:val="000000" w:themeColor="text1"/>
        </w:rPr>
        <w:t xml:space="preserve"> sin que implique necesariamente la transferencia definitiva de la propiedad.</w:t>
      </w:r>
    </w:p>
    <w:p w14:paraId="58B85FF4" w14:textId="77777777" w:rsidR="00E33242" w:rsidRDefault="00E33242" w:rsidP="00E33242">
      <w:pPr>
        <w:spacing w:after="120" w:line="276" w:lineRule="auto"/>
        <w:ind w:firstLine="709"/>
        <w:jc w:val="both"/>
        <w:rPr>
          <w:rFonts w:ascii="Verdana" w:eastAsia="Arial" w:hAnsi="Verdana" w:cs="Arial"/>
          <w:lang w:eastAsia="es-ES" w:bidi="es-ES"/>
        </w:rPr>
      </w:pPr>
      <w:r w:rsidRPr="00F04EBB">
        <w:rPr>
          <w:rFonts w:ascii="Verdana" w:hAnsi="Verdana" w:cs="Arial"/>
          <w:bCs/>
          <w:color w:val="000000" w:themeColor="text1"/>
        </w:rPr>
        <w:t xml:space="preserve">Dentro de este conjunto, resulta especialmente relevante el </w:t>
      </w:r>
      <w:r w:rsidRPr="00DF4BC3">
        <w:rPr>
          <w:rFonts w:ascii="Verdana" w:hAnsi="Verdana" w:cs="Arial"/>
          <w:bCs/>
          <w:color w:val="000000" w:themeColor="text1"/>
        </w:rPr>
        <w:t xml:space="preserve">contrato de aportes bajo condición, </w:t>
      </w:r>
      <w:r w:rsidRPr="00F04EBB">
        <w:rPr>
          <w:rFonts w:ascii="Verdana" w:hAnsi="Verdana" w:cs="Arial"/>
          <w:bCs/>
          <w:color w:val="000000" w:themeColor="text1"/>
        </w:rPr>
        <w:t>previsto en el numeral 9 del art</w:t>
      </w:r>
      <w:r>
        <w:rPr>
          <w:rFonts w:ascii="Verdana" w:hAnsi="Verdana" w:cs="Arial"/>
          <w:bCs/>
          <w:color w:val="000000" w:themeColor="text1"/>
        </w:rPr>
        <w:t xml:space="preserve">ículo 87 de la Ley 142 de 1994, </w:t>
      </w:r>
      <w:r>
        <w:rPr>
          <w:rFonts w:ascii="Verdana" w:eastAsia="Arial" w:hAnsi="Verdana" w:cs="Arial"/>
          <w:lang w:eastAsia="es-ES" w:bidi="es-ES"/>
        </w:rPr>
        <w:t xml:space="preserve">lo cual </w:t>
      </w:r>
      <w:r w:rsidRPr="009E7F61">
        <w:rPr>
          <w:rFonts w:ascii="Verdana" w:eastAsia="Arial" w:hAnsi="Verdana" w:cs="Arial"/>
          <w:lang w:eastAsia="es-ES" w:bidi="es-ES"/>
        </w:rPr>
        <w:t xml:space="preserve">implica la entrega de bienes y derechos a un prestador de servicios públicos domiciliarios bajo la condición de que sean utilizados, mantenidos y </w:t>
      </w:r>
      <w:r w:rsidRPr="009E7F61">
        <w:rPr>
          <w:rFonts w:ascii="Verdana" w:eastAsia="Arial" w:hAnsi="Verdana" w:cs="Arial"/>
          <w:lang w:eastAsia="es-ES" w:bidi="es-ES"/>
        </w:rPr>
        <w:lastRenderedPageBreak/>
        <w:t>conservados por el receptor para su posterior devolución. Por lo tanto, se trata de</w:t>
      </w:r>
      <w:r>
        <w:rPr>
          <w:rFonts w:ascii="Verdana" w:eastAsia="Arial" w:hAnsi="Verdana" w:cs="Arial"/>
          <w:lang w:eastAsia="es-ES" w:bidi="es-ES"/>
        </w:rPr>
        <w:t xml:space="preserve"> un contrato celebrado entre una entidad pública</w:t>
      </w:r>
      <w:r w:rsidRPr="009E7F61">
        <w:rPr>
          <w:rFonts w:ascii="Verdana" w:eastAsia="Arial" w:hAnsi="Verdana" w:cs="Arial"/>
          <w:lang w:eastAsia="es-ES" w:bidi="es-ES"/>
        </w:rPr>
        <w:t xml:space="preserve"> y una empresa de se</w:t>
      </w:r>
      <w:r>
        <w:rPr>
          <w:rFonts w:ascii="Verdana" w:eastAsia="Arial" w:hAnsi="Verdana" w:cs="Arial"/>
          <w:lang w:eastAsia="es-ES" w:bidi="es-ES"/>
        </w:rPr>
        <w:t>rvicios públicos –oficial, mixta y privada con o sin participación estatal-</w:t>
      </w:r>
      <w:r w:rsidRPr="009E7F61">
        <w:rPr>
          <w:rFonts w:ascii="Verdana" w:eastAsia="Arial" w:hAnsi="Verdana" w:cs="Arial"/>
          <w:lang w:eastAsia="es-ES" w:bidi="es-ES"/>
        </w:rPr>
        <w:t xml:space="preserve"> con obligaciones recíprocas, cuyo objeto es la operación de unos bienes públicos en favor de una comunidad de usuarios, sin que el valor de los aportes pueda reflejarse en las tarifas. </w:t>
      </w:r>
    </w:p>
    <w:p w14:paraId="3445E850" w14:textId="77777777" w:rsidR="00E33242" w:rsidRPr="00046263" w:rsidRDefault="00E33242" w:rsidP="00E33242">
      <w:pPr>
        <w:spacing w:after="120" w:line="276" w:lineRule="auto"/>
        <w:ind w:firstLine="709"/>
        <w:jc w:val="both"/>
        <w:rPr>
          <w:rFonts w:ascii="Verdana" w:eastAsia="Arial" w:hAnsi="Verdana" w:cs="Arial"/>
          <w:lang w:eastAsia="es-ES" w:bidi="es-ES"/>
        </w:rPr>
      </w:pPr>
      <w:r>
        <w:rPr>
          <w:rFonts w:ascii="Verdana" w:eastAsia="Arial" w:hAnsi="Verdana" w:cs="Arial"/>
          <w:lang w:eastAsia="es-ES" w:bidi="es-ES"/>
        </w:rPr>
        <w:t>Este precepto posibilitó otorgar subsidios a la demanda, esto es, a los usuarios de los servicios públicos domiciliarios, bajo el esquema de aportes de bienes o derechos que hacen las entidades a las empresas de servicios públicos domiciliarios. De igual forma, establece una forma de subsidio a la oferta, en el sentido de que las empresas prestadoras de servicios públicos domiciliarios, que reciben de forma gratuita bienes o derechos en parte de las entidades públicas para destinarlos al cumplimiento de su objeto social. En torno a este artículo que fue modificado en su momento por el artículo 143 de la Ley 1151 de 2007</w:t>
      </w:r>
      <w:r>
        <w:rPr>
          <w:rStyle w:val="Refdenotaalpie"/>
          <w:rFonts w:ascii="Verdana" w:eastAsia="Arial" w:hAnsi="Verdana" w:cs="Arial"/>
          <w:lang w:eastAsia="es-ES" w:bidi="es-ES"/>
        </w:rPr>
        <w:footnoteReference w:id="31"/>
      </w:r>
      <w:r>
        <w:rPr>
          <w:rFonts w:ascii="Verdana" w:eastAsia="Arial" w:hAnsi="Verdana" w:cs="Arial"/>
          <w:lang w:eastAsia="es-ES" w:bidi="es-ES"/>
        </w:rPr>
        <w:t xml:space="preserve">, la Corte Constitucional efectuó un control de constitucionalidad en la Sentencia C-739 de 2008, manifestando </w:t>
      </w:r>
      <w:r w:rsidRPr="00046263">
        <w:rPr>
          <w:rFonts w:ascii="Verdana" w:eastAsia="Arial" w:hAnsi="Verdana" w:cs="Arial"/>
          <w:lang w:eastAsia="es-ES" w:bidi="es-ES"/>
        </w:rPr>
        <w:t>que, al regular los servicios públicos domiciliarios, el legislador está sujeto a múltiples límites constitucionales. No solo debe atender los principios de igualdad y solidaridad, que exigen un régimen tarifario equitativo para los sectores de bajos ingresos (arts. 367 y 368 C.P.), sino también garantizar la eficiencia, calidad, expansión de la cobertura y atención prioritaria de necesidades básicas como el agua potable y el saneamiento (arts. 365, 366 y 367 C.P.). Esto se debe a que de la prestación eficiente, permanente y universal de los servicios públicos dependen derechos fundamentales como la vida, la salud y la vida digna, por lo que la regulación no puede privilegiar un solo criterio constitucional en detrimento de los demás.</w:t>
      </w:r>
    </w:p>
    <w:p w14:paraId="78EE0247" w14:textId="77777777" w:rsidR="00E33242" w:rsidRPr="00046263" w:rsidRDefault="00E33242" w:rsidP="00E33242">
      <w:pPr>
        <w:spacing w:after="0" w:line="276" w:lineRule="auto"/>
        <w:ind w:firstLine="709"/>
        <w:jc w:val="both"/>
        <w:rPr>
          <w:rFonts w:ascii="Verdana" w:eastAsia="Arial" w:hAnsi="Verdana" w:cs="Arial"/>
          <w:lang w:eastAsia="es-ES" w:bidi="es-ES"/>
        </w:rPr>
      </w:pPr>
      <w:r w:rsidRPr="00046263">
        <w:rPr>
          <w:rFonts w:ascii="Verdana" w:eastAsia="Arial" w:hAnsi="Verdana" w:cs="Arial"/>
          <w:lang w:eastAsia="es-ES" w:bidi="es-ES"/>
        </w:rPr>
        <w:t xml:space="preserve">Frente a la aparente contradicción entre el artículo 143 de la Ley 1151 de 2007 y el artículo 368 de la Constitución, la Corte concluye que esta es solo aparente. El artículo 368 regula subsidios presupuestales directos dirigidos exclusivamente a personas de menores ingresos para cubrir necesidades </w:t>
      </w:r>
      <w:r w:rsidRPr="00046263">
        <w:rPr>
          <w:rFonts w:ascii="Verdana" w:eastAsia="Arial" w:hAnsi="Verdana" w:cs="Arial"/>
          <w:lang w:eastAsia="es-ES" w:bidi="es-ES"/>
        </w:rPr>
        <w:lastRenderedPageBreak/>
        <w:t>básicas, mientras que la norma acusada autoriza subsidios indirectos a la demanda, consistentes en aportes no capitalizables (como infraestructura), entregados a empresas de servicios públicos para superar fallas del mercado y ampliar la cobertura. Estos mecanismos se justifican en contextos donde el mercado no resulta viable —por razones geográficas, socioeconómicas o por la existencia de monopolios naturales— y donde el Estado debe intervenir para asegurar la prestación efectiva y universal del servicio.</w:t>
      </w:r>
      <w:r>
        <w:rPr>
          <w:rFonts w:ascii="Verdana" w:eastAsia="Arial" w:hAnsi="Verdana" w:cs="Arial"/>
          <w:lang w:eastAsia="es-ES" w:bidi="es-ES"/>
        </w:rPr>
        <w:t xml:space="preserve"> Por último</w:t>
      </w:r>
      <w:r w:rsidRPr="00046263">
        <w:rPr>
          <w:rFonts w:ascii="Verdana" w:eastAsia="Arial" w:hAnsi="Verdana" w:cs="Arial"/>
          <w:lang w:eastAsia="es-ES" w:bidi="es-ES"/>
        </w:rPr>
        <w:t xml:space="preserve">, la Corte aclara que esta forma de subsidio generalizado no implica una regresión en derechos sociales ni desconoce los principios de igualdad y solidaridad. </w:t>
      </w:r>
      <w:r>
        <w:rPr>
          <w:rFonts w:ascii="Verdana" w:eastAsia="Arial" w:hAnsi="Verdana" w:cs="Arial"/>
          <w:lang w:eastAsia="es-ES" w:bidi="es-ES"/>
        </w:rPr>
        <w:t xml:space="preserve">De tal manera, expresa: </w:t>
      </w:r>
    </w:p>
    <w:p w14:paraId="5DDA46FE" w14:textId="77777777" w:rsidR="00E33242" w:rsidRPr="00243967" w:rsidRDefault="00E33242" w:rsidP="00E33242">
      <w:pPr>
        <w:spacing w:after="0" w:line="276" w:lineRule="auto"/>
        <w:jc w:val="both"/>
        <w:rPr>
          <w:rFonts w:ascii="Verdana" w:eastAsia="Arial" w:hAnsi="Verdana" w:cs="Arial"/>
          <w:lang w:val="es-ES" w:eastAsia="es-ES" w:bidi="es-ES"/>
        </w:rPr>
      </w:pPr>
    </w:p>
    <w:p w14:paraId="19E25904" w14:textId="77777777" w:rsidR="00E33242" w:rsidRPr="00046263" w:rsidRDefault="00E33242" w:rsidP="00E33242">
      <w:pPr>
        <w:spacing w:after="0" w:line="240" w:lineRule="auto"/>
        <w:ind w:left="709" w:right="709"/>
        <w:jc w:val="both"/>
        <w:rPr>
          <w:rFonts w:ascii="Verdana" w:eastAsia="Arial" w:hAnsi="Verdana" w:cs="Arial"/>
          <w:sz w:val="20"/>
          <w:szCs w:val="20"/>
          <w:lang w:val="es-ES" w:eastAsia="es-ES" w:bidi="es-ES"/>
        </w:rPr>
      </w:pPr>
      <w:r w:rsidRPr="00046263">
        <w:rPr>
          <w:rFonts w:ascii="Verdana" w:eastAsia="Arial" w:hAnsi="Verdana" w:cs="Arial"/>
          <w:sz w:val="20"/>
          <w:szCs w:val="20"/>
          <w:lang w:val="es-ES" w:eastAsia="es-ES" w:bidi="es-ES"/>
        </w:rPr>
        <w:t xml:space="preserve">d) Finalmente, debe la Corte aclarar que aunque el numeral 9° del artículo 87.9, en la redacción que tenía antes de la reforma introducida por la disposición acusada, concedía un subsidio a la demanda pero dirigido solamente a los estratos subsidiables, mientras que el artículo 143 de la Ley 1151 de 2007, que modificó esa disposición, concede un subsidio generalizado a la demanda justificado por la necesidad de superar las barreras de mercado que impiden la eficiente y universal prestación del servicio público en ciertos casos, ello no implica ninguna regresión en materia de derechos económicos o sociales. Ciertamente, los usuarios de los estratos bajos que antes eran los exclusivos beneficiarios del </w:t>
      </w:r>
      <w:proofErr w:type="gramStart"/>
      <w:r w:rsidRPr="00046263">
        <w:rPr>
          <w:rFonts w:ascii="Verdana" w:eastAsia="Arial" w:hAnsi="Verdana" w:cs="Arial"/>
          <w:sz w:val="20"/>
          <w:szCs w:val="20"/>
          <w:lang w:val="es-ES" w:eastAsia="es-ES" w:bidi="es-ES"/>
        </w:rPr>
        <w:t>subsidio,</w:t>
      </w:r>
      <w:proofErr w:type="gramEnd"/>
      <w:r w:rsidRPr="00046263">
        <w:rPr>
          <w:rFonts w:ascii="Verdana" w:eastAsia="Arial" w:hAnsi="Verdana" w:cs="Arial"/>
          <w:sz w:val="20"/>
          <w:szCs w:val="20"/>
          <w:lang w:val="es-ES" w:eastAsia="es-ES" w:bidi="es-ES"/>
        </w:rPr>
        <w:t xml:space="preserve"> continúan siendo beneficiarios </w:t>
      </w:r>
      <w:proofErr w:type="gramStart"/>
      <w:r w:rsidRPr="00046263">
        <w:rPr>
          <w:rFonts w:ascii="Verdana" w:eastAsia="Arial" w:hAnsi="Verdana" w:cs="Arial"/>
          <w:sz w:val="20"/>
          <w:szCs w:val="20"/>
          <w:lang w:val="es-ES" w:eastAsia="es-ES" w:bidi="es-ES"/>
        </w:rPr>
        <w:t>del mismo</w:t>
      </w:r>
      <w:proofErr w:type="gramEnd"/>
      <w:r w:rsidRPr="00046263">
        <w:rPr>
          <w:rFonts w:ascii="Verdana" w:eastAsia="Arial" w:hAnsi="Verdana" w:cs="Arial"/>
          <w:sz w:val="20"/>
          <w:szCs w:val="20"/>
          <w:lang w:val="es-ES" w:eastAsia="es-ES" w:bidi="es-ES"/>
        </w:rPr>
        <w:t xml:space="preserve">. En realidad, el efecto de la reforma, como antes se dijo, consiste en evitar que las empresas de servicios públicos domiciliarios cobren a los usuarios de estratos no subsidiables el valor de uso de unos bienes o derechos que reciben gratuitamente de manos de entidades públicas. </w:t>
      </w:r>
    </w:p>
    <w:p w14:paraId="1B7DA0A8" w14:textId="77777777" w:rsidR="00E33242" w:rsidRPr="00046263" w:rsidRDefault="00E33242" w:rsidP="00E33242">
      <w:pPr>
        <w:spacing w:after="0" w:line="276" w:lineRule="auto"/>
        <w:ind w:right="709"/>
        <w:jc w:val="both"/>
        <w:rPr>
          <w:rFonts w:ascii="Verdana" w:eastAsia="Arial" w:hAnsi="Verdana" w:cs="Arial"/>
          <w:sz w:val="20"/>
          <w:szCs w:val="20"/>
          <w:lang w:eastAsia="es-ES" w:bidi="es-ES"/>
        </w:rPr>
      </w:pPr>
    </w:p>
    <w:p w14:paraId="3D891B55" w14:textId="77777777" w:rsidR="00E33242" w:rsidRPr="0090201A" w:rsidRDefault="00E33242" w:rsidP="00E33242">
      <w:pPr>
        <w:spacing w:after="0" w:line="276" w:lineRule="auto"/>
        <w:ind w:firstLine="709"/>
        <w:jc w:val="both"/>
        <w:rPr>
          <w:rFonts w:ascii="Verdana" w:hAnsi="Verdana"/>
        </w:rPr>
      </w:pPr>
      <w:r w:rsidRPr="0090201A">
        <w:rPr>
          <w:rFonts w:ascii="Verdana" w:hAnsi="Verdana"/>
        </w:rPr>
        <w:t>Teniendo en cuenta lo expuesto sobre el contrato de aporte, se encuentra que es un contrato especial</w:t>
      </w:r>
      <w:r w:rsidRPr="0090201A">
        <w:rPr>
          <w:rFonts w:ascii="Verdana" w:eastAsia="Times New Roman" w:hAnsi="Verdana" w:cs="Segoe UI"/>
        </w:rPr>
        <w:t xml:space="preserve"> dentro de la Ley 142 de 1994 </w:t>
      </w:r>
      <w:r w:rsidRPr="0090201A">
        <w:rPr>
          <w:rFonts w:ascii="Verdana" w:hAnsi="Verdana"/>
        </w:rPr>
        <w:t xml:space="preserve">que tiene como propósito corregir distorsiones del mercado y a garantizar una mayor eficiencia en la prestación de los servicios públicos domiciliarios. En esta línea, los usuarios de menores ingresos mantienen intacto su acceso al subsidio, mientras que la ampliación de su alcance evita cargas injustificadas a otros usuarios y asegura que los beneficios derivados de bienes públicos entregados gratuitamente no se traduzcan en cobros indebidos. Al respecto, la Comisión de Regulación de Energía y Gas –CREG- manifestó: “[…] frente el artículo 87.9 de la Ley 142 de 1994 y en relación con la inclusión de dichos apartes dentro del cálculo de las tarifas que hayan de cobrarse a los usuarios, entiende esta Comisión que le corresponde a las empresas llevar a cabo su aplicación al momento de llevar a </w:t>
      </w:r>
      <w:r w:rsidRPr="0090201A">
        <w:rPr>
          <w:rFonts w:ascii="Verdana" w:hAnsi="Verdana"/>
        </w:rPr>
        <w:lastRenderedPageBreak/>
        <w:t>cabo la aplicación de las tarifas de los servicios públicos domiciliarios de energía eléctrica y gas combustible en el caso de darse los presupuestos a los que hace referencia dicha norma”</w:t>
      </w:r>
      <w:r w:rsidRPr="0090201A">
        <w:rPr>
          <w:rStyle w:val="Refdenotaalpie"/>
          <w:rFonts w:ascii="Verdana" w:hAnsi="Verdana"/>
        </w:rPr>
        <w:footnoteReference w:id="32"/>
      </w:r>
      <w:r w:rsidRPr="0090201A">
        <w:rPr>
          <w:rFonts w:ascii="Verdana" w:hAnsi="Verdana"/>
        </w:rPr>
        <w:t>. En el caso de distribución de energía se encuentra la variable RPP, para lo cual dentro de los criterios generales para la remuneración de la Resolución CREG 097 de 2008, el literal m) del artículo 2 de la mencionada resolución prescribe:</w:t>
      </w:r>
    </w:p>
    <w:p w14:paraId="4FEA5E99" w14:textId="77777777" w:rsidR="00E33242" w:rsidRPr="009A2A03" w:rsidRDefault="00E33242" w:rsidP="00E33242">
      <w:pPr>
        <w:spacing w:after="0" w:line="240" w:lineRule="auto"/>
        <w:ind w:left="709" w:right="709" w:firstLine="709"/>
        <w:jc w:val="both"/>
        <w:rPr>
          <w:rFonts w:ascii="Verdana" w:hAnsi="Verdana"/>
          <w:sz w:val="20"/>
          <w:szCs w:val="20"/>
        </w:rPr>
      </w:pPr>
    </w:p>
    <w:p w14:paraId="6D3C01CD" w14:textId="77777777" w:rsidR="00E33242" w:rsidRPr="009A2A03" w:rsidRDefault="00E33242" w:rsidP="00E33242">
      <w:pPr>
        <w:spacing w:after="0" w:line="240" w:lineRule="auto"/>
        <w:ind w:left="709" w:right="709"/>
        <w:jc w:val="both"/>
        <w:rPr>
          <w:rFonts w:ascii="Verdana" w:hAnsi="Verdana"/>
          <w:sz w:val="20"/>
          <w:szCs w:val="20"/>
        </w:rPr>
      </w:pPr>
      <w:r w:rsidRPr="009A2A03">
        <w:rPr>
          <w:rFonts w:ascii="Verdana" w:hAnsi="Verdana"/>
          <w:sz w:val="20"/>
          <w:szCs w:val="20"/>
        </w:rPr>
        <w:t>m) Un Operador de Red será remunerado mediante cargos por uso por la totalidad de los activos de uso que opera y mantiene en desarrollo de la prestación del servicio público domiciliario de energía eléctrica, independientemente de que sea o no propietario de los mismos y sin perjuicio de la remuneración que deberá pagar al propietario por su inversión, con excepción de los bienes o derechos que no deban incluirse en el cálculo de las tarifas en los términos del artículo </w:t>
      </w:r>
      <w:hyperlink r:id="rId20" w:anchor="87" w:tgtFrame="_blank" w:history="1">
        <w:r w:rsidRPr="009A2A03">
          <w:rPr>
            <w:rStyle w:val="Hipervnculo"/>
            <w:rFonts w:ascii="Verdana" w:hAnsi="Verdana"/>
            <w:color w:val="auto"/>
            <w:sz w:val="20"/>
            <w:szCs w:val="20"/>
            <w:u w:val="none"/>
          </w:rPr>
          <w:t>87</w:t>
        </w:r>
      </w:hyperlink>
      <w:r w:rsidRPr="009A2A03">
        <w:rPr>
          <w:rFonts w:ascii="Verdana" w:hAnsi="Verdana"/>
          <w:sz w:val="20"/>
          <w:szCs w:val="20"/>
        </w:rPr>
        <w:t> numeral 87.9 de la Ley 142 de 1994, en la forma en que quedó modificado por el artículo </w:t>
      </w:r>
      <w:hyperlink r:id="rId21" w:anchor="143" w:tgtFrame="_blank" w:history="1">
        <w:r w:rsidRPr="009A2A03">
          <w:rPr>
            <w:rStyle w:val="Hipervnculo"/>
            <w:rFonts w:ascii="Verdana" w:hAnsi="Verdana"/>
            <w:color w:val="auto"/>
            <w:sz w:val="20"/>
            <w:szCs w:val="20"/>
            <w:u w:val="none"/>
          </w:rPr>
          <w:t>143</w:t>
        </w:r>
      </w:hyperlink>
      <w:r w:rsidRPr="009A2A03">
        <w:rPr>
          <w:rFonts w:ascii="Verdana" w:hAnsi="Verdana"/>
          <w:sz w:val="20"/>
          <w:szCs w:val="20"/>
        </w:rPr>
        <w:t> de la Ley 1151 de 2007.</w:t>
      </w:r>
    </w:p>
    <w:p w14:paraId="321DF6BB" w14:textId="77777777" w:rsidR="00E33242" w:rsidRDefault="00E33242" w:rsidP="00E33242">
      <w:pPr>
        <w:spacing w:after="0" w:line="276" w:lineRule="auto"/>
        <w:ind w:firstLine="709"/>
        <w:jc w:val="both"/>
        <w:rPr>
          <w:rFonts w:ascii="Verdana" w:hAnsi="Verdana"/>
        </w:rPr>
      </w:pPr>
    </w:p>
    <w:p w14:paraId="428F3515" w14:textId="77777777" w:rsidR="00E33242" w:rsidRDefault="00E33242" w:rsidP="00E33242">
      <w:pPr>
        <w:spacing w:after="120" w:line="276" w:lineRule="auto"/>
        <w:ind w:firstLine="709"/>
        <w:jc w:val="both"/>
        <w:rPr>
          <w:rFonts w:ascii="Verdana" w:hAnsi="Verdana"/>
        </w:rPr>
      </w:pPr>
      <w:r>
        <w:rPr>
          <w:rFonts w:ascii="Verdana" w:hAnsi="Verdana"/>
        </w:rPr>
        <w:t xml:space="preserve">Ahora bien, frente a la forma cómo debe contratarse los contratos de aportes bajo condición no se establece de forma expresa la modalidad de selección, sin embargo, se acude lo expresado por la Superintendencia de Servicios Públicos Domiciliarios, quien ha señalado que </w:t>
      </w:r>
      <w:r w:rsidRPr="00103765">
        <w:rPr>
          <w:rFonts w:ascii="Verdana" w:hAnsi="Verdana"/>
        </w:rPr>
        <w:t>en todo caso, deben celebrarse previo el trá</w:t>
      </w:r>
      <w:r>
        <w:rPr>
          <w:rFonts w:ascii="Verdana" w:hAnsi="Verdana"/>
        </w:rPr>
        <w:t xml:space="preserve">mite de un proceso de selección </w:t>
      </w:r>
      <w:r w:rsidRPr="00103765">
        <w:rPr>
          <w:rFonts w:ascii="Verdana" w:hAnsi="Verdana"/>
        </w:rPr>
        <w:t>objetiva, adelantado de conformidad con lo dispuesto en el parágrafo del artículo 31 de la Ley</w:t>
      </w:r>
      <w:r>
        <w:rPr>
          <w:rFonts w:ascii="Verdana" w:hAnsi="Verdana"/>
        </w:rPr>
        <w:t xml:space="preserve"> </w:t>
      </w:r>
      <w:r w:rsidRPr="00103765">
        <w:rPr>
          <w:rFonts w:ascii="Verdana" w:hAnsi="Verdana"/>
        </w:rPr>
        <w:t>142 de 1994, e</w:t>
      </w:r>
      <w:r>
        <w:rPr>
          <w:rFonts w:ascii="Verdana" w:hAnsi="Verdana"/>
        </w:rPr>
        <w:t>sto es, bajo la modalidad de licitación pública</w:t>
      </w:r>
      <w:r>
        <w:rPr>
          <w:rStyle w:val="Refdenotaalpie"/>
          <w:rFonts w:ascii="Verdana" w:hAnsi="Verdana"/>
        </w:rPr>
        <w:footnoteReference w:id="33"/>
      </w:r>
      <w:r>
        <w:rPr>
          <w:rFonts w:ascii="Verdana" w:hAnsi="Verdana"/>
        </w:rPr>
        <w:t xml:space="preserve">. </w:t>
      </w:r>
    </w:p>
    <w:p w14:paraId="0AF4359B" w14:textId="77777777" w:rsidR="00E33242" w:rsidRDefault="00E33242" w:rsidP="00E33242">
      <w:pPr>
        <w:spacing w:after="0" w:line="276" w:lineRule="auto"/>
        <w:ind w:firstLine="709"/>
        <w:jc w:val="both"/>
        <w:rPr>
          <w:rFonts w:ascii="Verdana" w:hAnsi="Verdana"/>
          <w:bCs/>
        </w:rPr>
      </w:pPr>
      <w:r>
        <w:rPr>
          <w:rFonts w:ascii="Verdana" w:hAnsi="Verdana"/>
        </w:rPr>
        <w:t xml:space="preserve">Ahora bien, comprendiendo este tipo de contratos, es necesario tener en cuenta el rol del IPSE, el cual es </w:t>
      </w:r>
      <w:r w:rsidRPr="00B02769">
        <w:rPr>
          <w:rFonts w:ascii="Verdana" w:hAnsi="Verdana"/>
        </w:rPr>
        <w:t>un Establecimiento Público del Orden Nacional, adscrito al Ministerio de Minas y Energía, con personería jurídica, patrimonio pro</w:t>
      </w:r>
      <w:r>
        <w:rPr>
          <w:rFonts w:ascii="Verdana" w:hAnsi="Verdana"/>
        </w:rPr>
        <w:t>pio y autonomía administrativa, según lo prescrito en el Decreto 257 de 2004. Así mismo, el artículo 4 dispone dicha entidad tiene “[…] por</w:t>
      </w:r>
      <w:r w:rsidRPr="00B02769">
        <w:rPr>
          <w:rFonts w:ascii="Verdana" w:hAnsi="Verdana"/>
        </w:rPr>
        <w:t xml:space="preserve"> objeto identificar, promover, fomentar, desarrollar e implementar soluciones energéticas mediante esquemas empresariales eficientes, viables financieramente y sostenibles en el largo plazo, procurando la satisfacción de las necesidades energéticas de las Zonas no Interconectadas, ZNI, apoyando técnicamente a las entidades definidas por el Ministerio de Minas y Energía</w:t>
      </w:r>
      <w:r>
        <w:rPr>
          <w:rFonts w:ascii="Verdana" w:hAnsi="Verdana"/>
        </w:rPr>
        <w:t xml:space="preserve">”. En este sentido, cabe destacar los contratos de aporte especial bajo condición que adelanta al IPSE, por lo que </w:t>
      </w:r>
      <w:r>
        <w:rPr>
          <w:rFonts w:ascii="Verdana" w:hAnsi="Verdana"/>
        </w:rPr>
        <w:lastRenderedPageBreak/>
        <w:t xml:space="preserve">hay que acudir al artículo 5 de la Resolución </w:t>
      </w:r>
      <w:r>
        <w:rPr>
          <w:rFonts w:ascii="Verdana" w:hAnsi="Verdana"/>
          <w:bCs/>
        </w:rPr>
        <w:t>202510000000895 de</w:t>
      </w:r>
      <w:r w:rsidRPr="00F857C3">
        <w:rPr>
          <w:rFonts w:ascii="Verdana" w:hAnsi="Verdana"/>
          <w:bCs/>
        </w:rPr>
        <w:t xml:space="preserve"> 2025</w:t>
      </w:r>
      <w:r>
        <w:rPr>
          <w:rStyle w:val="Refdenotaalpie"/>
          <w:rFonts w:ascii="Verdana" w:hAnsi="Verdana"/>
          <w:bCs/>
        </w:rPr>
        <w:footnoteReference w:id="34"/>
      </w:r>
      <w:r w:rsidRPr="00F857C3">
        <w:rPr>
          <w:rFonts w:ascii="Verdana" w:hAnsi="Verdana"/>
          <w:bCs/>
        </w:rPr>
        <w:t>, dispone que:</w:t>
      </w:r>
    </w:p>
    <w:p w14:paraId="55B94004" w14:textId="77777777" w:rsidR="00E33242" w:rsidRPr="00F857C3" w:rsidRDefault="00E33242" w:rsidP="00E33242">
      <w:pPr>
        <w:spacing w:after="0" w:line="240" w:lineRule="auto"/>
        <w:ind w:firstLine="709"/>
        <w:jc w:val="both"/>
        <w:rPr>
          <w:rFonts w:ascii="Verdana" w:hAnsi="Verdana"/>
          <w:bCs/>
        </w:rPr>
      </w:pPr>
    </w:p>
    <w:p w14:paraId="3ED9C8F2" w14:textId="77777777" w:rsidR="00E33242" w:rsidRPr="00F857C3" w:rsidRDefault="00E33242" w:rsidP="00E33242">
      <w:pPr>
        <w:spacing w:after="0" w:line="240" w:lineRule="auto"/>
        <w:ind w:left="709" w:right="709"/>
        <w:jc w:val="both"/>
        <w:rPr>
          <w:rFonts w:ascii="Verdana" w:hAnsi="Verdana"/>
          <w:sz w:val="20"/>
        </w:rPr>
      </w:pPr>
      <w:bookmarkStart w:id="5" w:name="5"/>
      <w:r w:rsidRPr="00F857C3">
        <w:rPr>
          <w:rFonts w:ascii="Verdana" w:hAnsi="Verdana"/>
          <w:bCs/>
          <w:sz w:val="20"/>
        </w:rPr>
        <w:t>ARTÍCULO 5o. RÉGIMEN JURÍDICO QUE DISCIPLINA EL PROCESO COMPETITIVO.</w:t>
      </w:r>
      <w:bookmarkEnd w:id="5"/>
      <w:r w:rsidRPr="00F857C3">
        <w:rPr>
          <w:rFonts w:ascii="Verdana" w:hAnsi="Verdana"/>
          <w:sz w:val="20"/>
        </w:rPr>
        <w:t> La entrega de los activos eléctricos de propiedad del IPSE a título no traslaticio de dominio y para destinación exclusiva en la prestación del servicio público domiciliario de energía eléctrica, se disciplinará por el régimen jurídico establecido en las Leyes </w:t>
      </w:r>
      <w:hyperlink r:id="rId22" w:anchor="0" w:tgtFrame="_blank" w:history="1">
        <w:r w:rsidRPr="00F857C3">
          <w:rPr>
            <w:rStyle w:val="Hipervnculo"/>
            <w:rFonts w:ascii="Verdana" w:hAnsi="Verdana"/>
            <w:color w:val="auto"/>
            <w:sz w:val="20"/>
            <w:u w:val="none"/>
          </w:rPr>
          <w:t>142</w:t>
        </w:r>
      </w:hyperlink>
      <w:r w:rsidRPr="00F857C3">
        <w:rPr>
          <w:rFonts w:ascii="Verdana" w:hAnsi="Verdana"/>
          <w:sz w:val="20"/>
        </w:rPr>
        <w:t> y </w:t>
      </w:r>
      <w:hyperlink r:id="rId23" w:anchor="0" w:tgtFrame="_blank" w:history="1">
        <w:r w:rsidRPr="00F857C3">
          <w:rPr>
            <w:rStyle w:val="Hipervnculo"/>
            <w:rFonts w:ascii="Verdana" w:hAnsi="Verdana"/>
            <w:color w:val="auto"/>
            <w:sz w:val="20"/>
            <w:u w:val="none"/>
          </w:rPr>
          <w:t>143</w:t>
        </w:r>
      </w:hyperlink>
      <w:r w:rsidRPr="00F857C3">
        <w:rPr>
          <w:rFonts w:ascii="Verdana" w:hAnsi="Verdana"/>
          <w:sz w:val="20"/>
        </w:rPr>
        <w:t> de 1994, de conformidad con lo dispuesto en la parte motiva de este acto administrativo.</w:t>
      </w:r>
    </w:p>
    <w:p w14:paraId="43FED08B" w14:textId="77777777" w:rsidR="00E33242" w:rsidRPr="00F857C3" w:rsidRDefault="00E33242" w:rsidP="00E33242">
      <w:pPr>
        <w:spacing w:after="0" w:line="240" w:lineRule="auto"/>
        <w:ind w:left="709" w:right="709"/>
        <w:jc w:val="both"/>
        <w:rPr>
          <w:rFonts w:ascii="Verdana" w:hAnsi="Verdana"/>
          <w:sz w:val="20"/>
        </w:rPr>
      </w:pPr>
      <w:r w:rsidRPr="00F857C3">
        <w:rPr>
          <w:rFonts w:ascii="Verdana" w:hAnsi="Verdana"/>
          <w:bCs/>
          <w:sz w:val="20"/>
        </w:rPr>
        <w:t>PARÁGRAFO 1o.</w:t>
      </w:r>
      <w:r w:rsidRPr="00F857C3">
        <w:rPr>
          <w:rFonts w:ascii="Verdana" w:hAnsi="Verdana"/>
          <w:sz w:val="20"/>
        </w:rPr>
        <w:t> En atención a la naturaleza jurídica del IPSE y en desarrollo interpretativo de las disposiciones de los artículos </w:t>
      </w:r>
      <w:hyperlink r:id="rId24" w:anchor="39" w:tgtFrame="_blank" w:history="1">
        <w:r w:rsidRPr="00F857C3">
          <w:rPr>
            <w:rStyle w:val="Hipervnculo"/>
            <w:rFonts w:ascii="Verdana" w:hAnsi="Verdana"/>
            <w:color w:val="auto"/>
            <w:sz w:val="20"/>
            <w:u w:val="none"/>
          </w:rPr>
          <w:t>39</w:t>
        </w:r>
      </w:hyperlink>
      <w:r w:rsidRPr="00F857C3">
        <w:rPr>
          <w:rFonts w:ascii="Verdana" w:hAnsi="Verdana"/>
          <w:sz w:val="20"/>
        </w:rPr>
        <w:t>.3 y </w:t>
      </w:r>
      <w:hyperlink r:id="rId25" w:anchor="87" w:tgtFrame="_blank" w:history="1">
        <w:r w:rsidRPr="00F857C3">
          <w:rPr>
            <w:rStyle w:val="Hipervnculo"/>
            <w:rFonts w:ascii="Verdana" w:hAnsi="Verdana"/>
            <w:color w:val="auto"/>
            <w:sz w:val="20"/>
            <w:u w:val="none"/>
          </w:rPr>
          <w:t>87</w:t>
        </w:r>
      </w:hyperlink>
      <w:r w:rsidRPr="00F857C3">
        <w:rPr>
          <w:rFonts w:ascii="Verdana" w:hAnsi="Verdana"/>
          <w:sz w:val="20"/>
        </w:rPr>
        <w:t>.9 de la Ley 142 de 1994, se establecerá para los casos en los que no se haya una situación jurídica consolidada o monopolios naturales, un proceso competitivo expedito, integrado con etapas y plazos simplificados para la escogencia del prestador a quien se le hará entrega de activos eléctricos del IPSE bajo título no traslaticio de dominio. Este proceso competitivo atenderá a la naturaleza de invitación a presentar oferta.</w:t>
      </w:r>
    </w:p>
    <w:p w14:paraId="21933C2A" w14:textId="77777777" w:rsidR="00E33242" w:rsidRPr="00F857C3" w:rsidRDefault="00E33242" w:rsidP="00E33242">
      <w:pPr>
        <w:spacing w:after="0" w:line="240" w:lineRule="auto"/>
        <w:ind w:left="709" w:right="709"/>
        <w:jc w:val="both"/>
        <w:rPr>
          <w:rFonts w:ascii="Verdana" w:hAnsi="Verdana"/>
          <w:sz w:val="20"/>
        </w:rPr>
      </w:pPr>
      <w:r w:rsidRPr="00F857C3">
        <w:rPr>
          <w:rFonts w:ascii="Verdana" w:hAnsi="Verdana"/>
          <w:bCs/>
          <w:sz w:val="20"/>
        </w:rPr>
        <w:t>PARÁGRAFO 2o.</w:t>
      </w:r>
      <w:r w:rsidRPr="00F857C3">
        <w:rPr>
          <w:rFonts w:ascii="Verdana" w:hAnsi="Verdana"/>
          <w:sz w:val="20"/>
        </w:rPr>
        <w:t> En aquellos casos en los cuales medien características sustentadas de previa existencia de factores tales como monopolios naturales, definiciones regulatorias que determinen un ámbito preferente particular de mercado para un determinado prestador incumbente, esquemas empresariales consolidados o modelos comunitarios robustos, en relación con una ZNI o mercado de comercialización correspondiente, el IPSE podrá efectuar entrega directa de los activos en los términos de esta resolución, en ejercicio de la facultad de que trata el artículo </w:t>
      </w:r>
      <w:hyperlink r:id="rId26" w:anchor="44" w:tgtFrame="_blank" w:history="1">
        <w:r w:rsidRPr="00F857C3">
          <w:rPr>
            <w:rStyle w:val="Hipervnculo"/>
            <w:rFonts w:ascii="Verdana" w:hAnsi="Verdana"/>
            <w:sz w:val="20"/>
          </w:rPr>
          <w:t>44</w:t>
        </w:r>
      </w:hyperlink>
      <w:r w:rsidRPr="00F857C3">
        <w:rPr>
          <w:rFonts w:ascii="Verdana" w:hAnsi="Verdana"/>
          <w:sz w:val="20"/>
        </w:rPr>
        <w:t> de la Ley 1437 de 2011.</w:t>
      </w:r>
    </w:p>
    <w:p w14:paraId="2877DEAB" w14:textId="77777777" w:rsidR="00E33242" w:rsidRPr="00F857C3" w:rsidRDefault="00E33242" w:rsidP="00E33242">
      <w:pPr>
        <w:spacing w:after="0" w:line="240" w:lineRule="auto"/>
        <w:ind w:left="709" w:right="709"/>
        <w:jc w:val="both"/>
        <w:rPr>
          <w:rFonts w:ascii="Verdana" w:hAnsi="Verdana"/>
          <w:sz w:val="20"/>
        </w:rPr>
      </w:pPr>
      <w:r w:rsidRPr="00F857C3">
        <w:rPr>
          <w:rFonts w:ascii="Verdana" w:hAnsi="Verdana"/>
          <w:bCs/>
          <w:sz w:val="20"/>
        </w:rPr>
        <w:t>PARÁGRAFO 3o.</w:t>
      </w:r>
      <w:r w:rsidRPr="00F857C3">
        <w:rPr>
          <w:rFonts w:ascii="Verdana" w:hAnsi="Verdana"/>
          <w:sz w:val="20"/>
        </w:rPr>
        <w:t> En los términos del parágrafo anterior y/o en el curso de procesos competitivos, el IPSE ejercerá facultades oficiosas en búsqueda que la entrega de los activos logre su finalidad en el marco y derrotero de la debida prestación del servicio público domiciliario de energía eléctrica en las ZNI a través de los activos eléctricos de propiedad del IPSE. Las facultades oficiosas se corresponden con la posibilidad de validar documentos que reposen en los archivos de la entidad o de entidades del sector y que se tenga conocimiento, así como la de verificar las situaciones expuestas por los eventuales interesados en ser receptores de los activos eléctricos del IPSE bajo título no traslaticio de dominio.</w:t>
      </w:r>
    </w:p>
    <w:p w14:paraId="19A5FD92" w14:textId="77777777" w:rsidR="00E33242" w:rsidRPr="00F857C3" w:rsidRDefault="00E33242" w:rsidP="00E33242">
      <w:pPr>
        <w:spacing w:after="0" w:line="240" w:lineRule="auto"/>
        <w:ind w:left="709" w:right="709"/>
        <w:jc w:val="both"/>
        <w:rPr>
          <w:rFonts w:ascii="Verdana" w:hAnsi="Verdana"/>
          <w:sz w:val="20"/>
        </w:rPr>
      </w:pPr>
      <w:r w:rsidRPr="00F857C3">
        <w:rPr>
          <w:rFonts w:ascii="Verdana" w:hAnsi="Verdana"/>
          <w:bCs/>
          <w:sz w:val="20"/>
        </w:rPr>
        <w:t>PARÁGRAFO 4o.</w:t>
      </w:r>
      <w:r w:rsidRPr="00F857C3">
        <w:rPr>
          <w:rFonts w:ascii="Verdana" w:hAnsi="Verdana"/>
          <w:sz w:val="20"/>
        </w:rPr>
        <w:t xml:space="preserve"> Este acto administrativo aplicará a aquellos procesos específicos para entregas de activos que están en proceso de consolidación, en lo que no contravenga las decisiones adoptadas frente a </w:t>
      </w:r>
      <w:r w:rsidRPr="00F857C3">
        <w:rPr>
          <w:rFonts w:ascii="Verdana" w:hAnsi="Verdana"/>
          <w:sz w:val="20"/>
        </w:rPr>
        <w:lastRenderedPageBreak/>
        <w:t>los mismos. Por tanto, en tales procesos se continuarán rigiendo por las disposiciones normativas y contractuales que posibilitan la entrega directa de activos, por entre otros, la existencia de monopolios naturales, marcos regulatorios establecidos o esquemas empresariales consolidados en una Zona No Interconectada (ZNI) o en el mercado de comercialización correspondiente y/o la existencia de cláusulas contractuales de acuerdos de voluntades suscritos por el IPSE.</w:t>
      </w:r>
    </w:p>
    <w:p w14:paraId="0FFD8D67" w14:textId="77777777" w:rsidR="00E33242" w:rsidRDefault="00E33242" w:rsidP="00E33242">
      <w:pPr>
        <w:spacing w:after="0" w:line="276" w:lineRule="auto"/>
        <w:ind w:firstLine="709"/>
        <w:jc w:val="both"/>
        <w:rPr>
          <w:rFonts w:ascii="Verdana" w:hAnsi="Verdana"/>
        </w:rPr>
      </w:pPr>
    </w:p>
    <w:p w14:paraId="0D266736" w14:textId="77777777" w:rsidR="00E33242" w:rsidRPr="00F857C3" w:rsidRDefault="00E33242" w:rsidP="00E33242">
      <w:pPr>
        <w:spacing w:after="120" w:line="276" w:lineRule="auto"/>
        <w:ind w:firstLine="708"/>
        <w:jc w:val="both"/>
        <w:rPr>
          <w:rFonts w:ascii="Verdana" w:hAnsi="Verdana"/>
        </w:rPr>
      </w:pPr>
      <w:r>
        <w:rPr>
          <w:rFonts w:ascii="Verdana" w:hAnsi="Verdana"/>
        </w:rPr>
        <w:t>Del artículo precitado, se resalta el</w:t>
      </w:r>
      <w:r w:rsidRPr="00F857C3">
        <w:rPr>
          <w:rFonts w:ascii="Verdana" w:hAnsi="Verdana"/>
        </w:rPr>
        <w:t xml:space="preserve"> parágrafo</w:t>
      </w:r>
      <w:r>
        <w:rPr>
          <w:rFonts w:ascii="Verdana" w:hAnsi="Verdana"/>
        </w:rPr>
        <w:t xml:space="preserve"> segundo que</w:t>
      </w:r>
      <w:r w:rsidRPr="00F857C3">
        <w:rPr>
          <w:rFonts w:ascii="Verdana" w:hAnsi="Verdana"/>
        </w:rPr>
        <w:t xml:space="preserve"> establece una excepción al procedimiento general de asignación de activos por parte del IPSE, al permitir la </w:t>
      </w:r>
      <w:r w:rsidRPr="00F857C3">
        <w:rPr>
          <w:rFonts w:ascii="Verdana" w:hAnsi="Verdana"/>
          <w:bCs/>
        </w:rPr>
        <w:t>entrega directa</w:t>
      </w:r>
      <w:r w:rsidRPr="00F857C3">
        <w:rPr>
          <w:rFonts w:ascii="Verdana" w:hAnsi="Verdana"/>
        </w:rPr>
        <w:t xml:space="preserve"> de los mismos cuando existan condiciones objetivas y previamente sustentadas que así lo justifiquen. Dichas condiciones incluyen, entre otras, la presencia de </w:t>
      </w:r>
      <w:r w:rsidRPr="00F857C3">
        <w:rPr>
          <w:rFonts w:ascii="Verdana" w:hAnsi="Verdana"/>
          <w:bCs/>
        </w:rPr>
        <w:t>monopolios naturales</w:t>
      </w:r>
      <w:r w:rsidRPr="00F857C3">
        <w:rPr>
          <w:rFonts w:ascii="Verdana" w:hAnsi="Verdana"/>
        </w:rPr>
        <w:t xml:space="preserve">, definiciones regulatorias que reconozcan un </w:t>
      </w:r>
      <w:r w:rsidRPr="00F857C3">
        <w:rPr>
          <w:rFonts w:ascii="Verdana" w:hAnsi="Verdana"/>
          <w:bCs/>
        </w:rPr>
        <w:t>ámbito de mercado preferente para un prestador incumbente</w:t>
      </w:r>
      <w:r w:rsidRPr="00F857C3">
        <w:rPr>
          <w:rFonts w:ascii="Verdana" w:hAnsi="Verdana"/>
        </w:rPr>
        <w:t xml:space="preserve">, la existencia de </w:t>
      </w:r>
      <w:r w:rsidRPr="00F857C3">
        <w:rPr>
          <w:rFonts w:ascii="Verdana" w:hAnsi="Verdana"/>
          <w:bCs/>
        </w:rPr>
        <w:t>esquemas empresariales consolidados</w:t>
      </w:r>
      <w:r w:rsidRPr="00F857C3">
        <w:rPr>
          <w:rFonts w:ascii="Verdana" w:hAnsi="Verdana"/>
        </w:rPr>
        <w:t xml:space="preserve"> o </w:t>
      </w:r>
      <w:r w:rsidRPr="00F857C3">
        <w:rPr>
          <w:rFonts w:ascii="Verdana" w:hAnsi="Verdana"/>
          <w:bCs/>
        </w:rPr>
        <w:t>modelos comunitarios robustos</w:t>
      </w:r>
      <w:r w:rsidRPr="00F857C3">
        <w:rPr>
          <w:rFonts w:ascii="Verdana" w:hAnsi="Verdana"/>
        </w:rPr>
        <w:t xml:space="preserve"> en una Zona No Interconectada (ZNI) o en el mercado de comercialización correspondiente. </w:t>
      </w:r>
    </w:p>
    <w:p w14:paraId="15523E57" w14:textId="77777777" w:rsidR="00E33242" w:rsidRPr="0053288C" w:rsidRDefault="00E33242" w:rsidP="00E33242">
      <w:pPr>
        <w:spacing w:after="120" w:line="276" w:lineRule="auto"/>
        <w:ind w:firstLine="708"/>
        <w:jc w:val="both"/>
        <w:rPr>
          <w:rFonts w:ascii="Verdana" w:eastAsia="Times New Roman" w:hAnsi="Verdana" w:cs="Arial"/>
          <w:bCs/>
          <w:lang w:eastAsia="x-none"/>
        </w:rPr>
      </w:pPr>
      <w:r w:rsidRPr="00EB46C9">
        <w:rPr>
          <w:rFonts w:ascii="Verdana" w:hAnsi="Verdana"/>
        </w:rPr>
        <w:t>Ahora bien, si se parte de la premisa de que este tipo de contratos</w:t>
      </w:r>
      <w:r>
        <w:rPr>
          <w:rFonts w:ascii="Verdana" w:hAnsi="Verdana"/>
        </w:rPr>
        <w:t xml:space="preserve"> de aportes bajo condición</w:t>
      </w:r>
      <w:r w:rsidRPr="00EB46C9">
        <w:rPr>
          <w:rFonts w:ascii="Verdana" w:hAnsi="Verdana"/>
        </w:rPr>
        <w:t xml:space="preserve"> puede celebrarse mediante </w:t>
      </w:r>
      <w:r w:rsidRPr="00EB46C9">
        <w:rPr>
          <w:rFonts w:ascii="Verdana" w:hAnsi="Verdana"/>
          <w:bCs/>
        </w:rPr>
        <w:t>contratación directa</w:t>
      </w:r>
      <w:r w:rsidRPr="00EB46C9">
        <w:rPr>
          <w:rFonts w:ascii="Verdana" w:hAnsi="Verdana"/>
        </w:rPr>
        <w:t>, conforme a las condiciones previstas en el parágrafo segundo de la Resolución</w:t>
      </w:r>
      <w:r>
        <w:rPr>
          <w:rFonts w:ascii="Verdana" w:hAnsi="Verdana"/>
        </w:rPr>
        <w:t xml:space="preserve"> </w:t>
      </w:r>
      <w:r w:rsidRPr="0053288C">
        <w:rPr>
          <w:rFonts w:ascii="Verdana" w:hAnsi="Verdana"/>
          <w:bCs/>
        </w:rPr>
        <w:t>202510000000895 de 2025</w:t>
      </w:r>
      <w:r w:rsidRPr="00EB46C9">
        <w:rPr>
          <w:rFonts w:ascii="Verdana" w:hAnsi="Verdana"/>
        </w:rPr>
        <w:t xml:space="preserve">, resulta indispensable considerar las restricciones establecidas por la Ley de Garantías Electorales, cuyas reglas y alcances han sido analizados en apartados anteriores. En este contexto, debe precisarse que, para los efectos de dicha ley y, en particular, de la prohibición o limitación temporal consagrada en su artículo 33, la noción de “contratación directa” comprende </w:t>
      </w:r>
      <w:r w:rsidRPr="00EB46C9">
        <w:rPr>
          <w:rFonts w:ascii="Verdana" w:hAnsi="Verdana"/>
          <w:bCs/>
        </w:rPr>
        <w:t>todo mecanismo de selección o procedimiento contractual</w:t>
      </w:r>
      <w:r w:rsidRPr="00EB46C9">
        <w:rPr>
          <w:rFonts w:ascii="Verdana" w:hAnsi="Verdana"/>
        </w:rPr>
        <w:t xml:space="preserve"> empleado por las entidades estatales, con independencia del régimen jurídico que las rija —como ocurre en el caso del IPSE—, siempre que dicho mecanismo no contemple la realización de una convocatoria pública en ninguna de sus etapas ni permita la concurrencia de una </w:t>
      </w:r>
      <w:r>
        <w:rPr>
          <w:rFonts w:ascii="Verdana" w:hAnsi="Verdana"/>
        </w:rPr>
        <w:t>pluralidad de oferentes</w:t>
      </w:r>
      <w:r w:rsidRPr="0057193B">
        <w:rPr>
          <w:rFonts w:ascii="Verdana" w:eastAsia="Times New Roman" w:hAnsi="Verdana" w:cs="Arial"/>
          <w:vertAlign w:val="superscript"/>
          <w:lang w:eastAsia="x-none"/>
        </w:rPr>
        <w:footnoteReference w:id="35"/>
      </w:r>
      <w:r w:rsidRPr="0057193B">
        <w:rPr>
          <w:rFonts w:ascii="Verdana" w:eastAsia="Times New Roman" w:hAnsi="Verdana" w:cs="Arial"/>
          <w:bCs/>
          <w:lang w:val="es-MX" w:eastAsia="x-none"/>
        </w:rPr>
        <w:t>.</w:t>
      </w:r>
      <w:r>
        <w:rPr>
          <w:rFonts w:ascii="Verdana" w:eastAsia="Times New Roman" w:hAnsi="Verdana" w:cs="Arial"/>
          <w:bCs/>
          <w:lang w:val="es-MX" w:eastAsia="x-none"/>
        </w:rPr>
        <w:t xml:space="preserve"> </w:t>
      </w:r>
      <w:r w:rsidRPr="0053288C">
        <w:rPr>
          <w:rFonts w:ascii="Verdana" w:eastAsia="Times New Roman" w:hAnsi="Verdana" w:cs="Arial"/>
          <w:bCs/>
          <w:lang w:eastAsia="x-none"/>
        </w:rPr>
        <w:t xml:space="preserve">De lo anterior se concluye que la restricción prevista en el artículo 33 de la Ley de Garantías Electorales es aplicable a todas las entidades estatales, sin distinción del régimen jurídico que las gobierne, y sin perjuicio de las excepciones expresamente consagradas en la misma norma. En consecuencia, dicha limitación opera frente </w:t>
      </w:r>
      <w:r w:rsidRPr="0053288C">
        <w:rPr>
          <w:rFonts w:ascii="Verdana" w:eastAsia="Times New Roman" w:hAnsi="Verdana" w:cs="Arial"/>
          <w:bCs/>
          <w:lang w:eastAsia="x-none"/>
        </w:rPr>
        <w:lastRenderedPageBreak/>
        <w:t>a la celebración de cualquier contrato mediante la modalidad de contratación directa, ya sea bajo el marco de la Ley 80 de 1993 o de regímenes especiales como los previstos en las Leyes 142 y 143 de 1994, entre otros, siempre que no exista un procedimiento de selección abierto, público y competitivo que garantice la participación de una pluralidad de oferentes.</w:t>
      </w:r>
    </w:p>
    <w:p w14:paraId="0F2E3A2B" w14:textId="77777777" w:rsidR="00E33242" w:rsidRPr="0019495B" w:rsidRDefault="00E33242" w:rsidP="00E33242">
      <w:pPr>
        <w:spacing w:after="120" w:line="276" w:lineRule="auto"/>
        <w:ind w:firstLine="708"/>
        <w:jc w:val="both"/>
        <w:rPr>
          <w:rFonts w:ascii="Verdana" w:eastAsia="Calibri" w:hAnsi="Verdana" w:cs="Times New Roman"/>
          <w:bCs/>
          <w:iCs/>
          <w:lang w:val="es-MX"/>
        </w:rPr>
      </w:pPr>
      <w:r>
        <w:rPr>
          <w:rFonts w:ascii="Verdana" w:eastAsia="Calibri" w:hAnsi="Verdana" w:cs="Times New Roman"/>
          <w:bCs/>
          <w:iCs/>
          <w:lang w:val="es-MX"/>
        </w:rPr>
        <w:t>En este asunto, el inciso segundo del artículo 33 dispone las siguientes excepciones</w:t>
      </w:r>
      <w:r w:rsidRPr="0019495B">
        <w:rPr>
          <w:rFonts w:ascii="Verdana" w:eastAsia="Calibri" w:hAnsi="Verdana" w:cs="Times New Roman"/>
          <w:bCs/>
          <w:iCs/>
          <w:lang w:val="es-MX"/>
        </w:rPr>
        <w:t xml:space="preserve">: i) los contratos relacionados con la defensa y seguridad del Estado, analizados en el Concepto 322 de 2026; </w:t>
      </w:r>
      <w:proofErr w:type="spellStart"/>
      <w:r w:rsidRPr="0019495B">
        <w:rPr>
          <w:rFonts w:ascii="Verdana" w:eastAsia="Calibri" w:hAnsi="Verdana" w:cs="Times New Roman"/>
          <w:bCs/>
          <w:iCs/>
          <w:lang w:val="es-MX"/>
        </w:rPr>
        <w:t>ii</w:t>
      </w:r>
      <w:proofErr w:type="spellEnd"/>
      <w:r w:rsidRPr="0019495B">
        <w:rPr>
          <w:rFonts w:ascii="Verdana" w:eastAsia="Calibri" w:hAnsi="Verdana" w:cs="Times New Roman"/>
          <w:bCs/>
          <w:iCs/>
          <w:lang w:val="es-MX"/>
        </w:rPr>
        <w:t xml:space="preserve">) los contratos de crédito público, abordados en el Concepto CU-372 de 2026; </w:t>
      </w:r>
      <w:proofErr w:type="spellStart"/>
      <w:r w:rsidRPr="0019495B">
        <w:rPr>
          <w:rFonts w:ascii="Verdana" w:eastAsia="Calibri" w:hAnsi="Verdana" w:cs="Times New Roman"/>
          <w:bCs/>
          <w:iCs/>
          <w:lang w:val="es-MX"/>
        </w:rPr>
        <w:t>iii</w:t>
      </w:r>
      <w:proofErr w:type="spellEnd"/>
      <w:r w:rsidRPr="0019495B">
        <w:rPr>
          <w:rFonts w:ascii="Verdana" w:eastAsia="Calibri" w:hAnsi="Verdana" w:cs="Times New Roman"/>
          <w:bCs/>
          <w:iCs/>
          <w:lang w:val="es-MX"/>
        </w:rPr>
        <w:t>) los contratos necesarios para atender emergencias educativas, sanitarias o desastres, tratados en los Conceptos C</w:t>
      </w:r>
      <w:r w:rsidRPr="0019495B">
        <w:rPr>
          <w:rFonts w:ascii="Cambria Math" w:eastAsia="Calibri" w:hAnsi="Cambria Math" w:cs="Cambria Math"/>
          <w:bCs/>
          <w:iCs/>
          <w:lang w:val="es-MX"/>
        </w:rPr>
        <w:t>‑</w:t>
      </w:r>
      <w:r w:rsidRPr="0019495B">
        <w:rPr>
          <w:rFonts w:ascii="Verdana" w:eastAsia="Calibri" w:hAnsi="Verdana" w:cs="Times New Roman"/>
          <w:bCs/>
          <w:iCs/>
          <w:lang w:val="es-MX"/>
        </w:rPr>
        <w:t>118 de 2026 y C</w:t>
      </w:r>
      <w:r w:rsidRPr="0019495B">
        <w:rPr>
          <w:rFonts w:ascii="Cambria Math" w:eastAsia="Calibri" w:hAnsi="Cambria Math" w:cs="Cambria Math"/>
          <w:bCs/>
          <w:iCs/>
          <w:lang w:val="es-MX"/>
        </w:rPr>
        <w:t>‑</w:t>
      </w:r>
      <w:r w:rsidRPr="0019495B">
        <w:rPr>
          <w:rFonts w:ascii="Verdana" w:eastAsia="Calibri" w:hAnsi="Verdana" w:cs="Times New Roman"/>
          <w:bCs/>
          <w:iCs/>
          <w:lang w:val="es-MX"/>
        </w:rPr>
        <w:t xml:space="preserve">176 de 2026, que tratan en este caso de la urgencia manifiesta; </w:t>
      </w:r>
      <w:proofErr w:type="spellStart"/>
      <w:r w:rsidRPr="0019495B">
        <w:rPr>
          <w:rFonts w:ascii="Verdana" w:eastAsia="Calibri" w:hAnsi="Verdana" w:cs="Times New Roman"/>
          <w:bCs/>
          <w:iCs/>
          <w:lang w:val="es-MX"/>
        </w:rPr>
        <w:t>iv</w:t>
      </w:r>
      <w:proofErr w:type="spellEnd"/>
      <w:r w:rsidRPr="0019495B">
        <w:rPr>
          <w:rFonts w:ascii="Verdana" w:eastAsia="Calibri" w:hAnsi="Verdana" w:cs="Times New Roman"/>
          <w:bCs/>
          <w:iCs/>
          <w:lang w:val="es-MX"/>
        </w:rPr>
        <w:t>) los contratos destinados a la reconstrucción de infraestructura vial, energética y de comunicaciones afectada por atentados, acciones terroristas, desastres naturales o fuerza mayor, igualmente estudiados en los Conceptos C</w:t>
      </w:r>
      <w:r w:rsidRPr="0019495B">
        <w:rPr>
          <w:rFonts w:ascii="Cambria Math" w:eastAsia="Calibri" w:hAnsi="Cambria Math" w:cs="Cambria Math"/>
          <w:bCs/>
          <w:iCs/>
          <w:lang w:val="es-MX"/>
        </w:rPr>
        <w:t>‑</w:t>
      </w:r>
      <w:r w:rsidRPr="0019495B">
        <w:rPr>
          <w:rFonts w:ascii="Verdana" w:eastAsia="Calibri" w:hAnsi="Verdana" w:cs="Times New Roman"/>
          <w:bCs/>
          <w:iCs/>
          <w:lang w:val="es-MX"/>
        </w:rPr>
        <w:t>118 de 2026 y C</w:t>
      </w:r>
      <w:r w:rsidRPr="0019495B">
        <w:rPr>
          <w:rFonts w:ascii="Cambria Math" w:eastAsia="Calibri" w:hAnsi="Cambria Math" w:cs="Cambria Math"/>
          <w:bCs/>
          <w:iCs/>
          <w:lang w:val="es-MX"/>
        </w:rPr>
        <w:t>‑</w:t>
      </w:r>
      <w:r w:rsidRPr="0019495B">
        <w:rPr>
          <w:rFonts w:ascii="Verdana" w:eastAsia="Calibri" w:hAnsi="Verdana" w:cs="Times New Roman"/>
          <w:bCs/>
          <w:iCs/>
          <w:lang w:val="es-MX"/>
        </w:rPr>
        <w:t>176 de 2026, entre otros; y v) la contratación directa celebrada por entidades sanitarias y hospitalarias, objeto de análisis en los Conceptos C</w:t>
      </w:r>
      <w:r w:rsidRPr="0019495B">
        <w:rPr>
          <w:rFonts w:ascii="Cambria Math" w:eastAsia="Calibri" w:hAnsi="Cambria Math" w:cs="Cambria Math"/>
          <w:bCs/>
          <w:iCs/>
          <w:lang w:val="es-MX"/>
        </w:rPr>
        <w:t>‑</w:t>
      </w:r>
      <w:r w:rsidRPr="0019495B">
        <w:rPr>
          <w:rFonts w:ascii="Verdana" w:eastAsia="Calibri" w:hAnsi="Verdana" w:cs="Times New Roman"/>
          <w:bCs/>
          <w:iCs/>
          <w:lang w:val="es-MX"/>
        </w:rPr>
        <w:t>1124 de 2026, C</w:t>
      </w:r>
      <w:r w:rsidRPr="0019495B">
        <w:rPr>
          <w:rFonts w:ascii="Cambria Math" w:eastAsia="Calibri" w:hAnsi="Cambria Math" w:cs="Cambria Math"/>
          <w:bCs/>
          <w:iCs/>
          <w:lang w:val="es-MX"/>
        </w:rPr>
        <w:t>‑</w:t>
      </w:r>
      <w:r w:rsidRPr="0019495B">
        <w:rPr>
          <w:rFonts w:ascii="Verdana" w:eastAsia="Calibri" w:hAnsi="Verdana" w:cs="Times New Roman"/>
          <w:bCs/>
          <w:iCs/>
          <w:lang w:val="es-MX"/>
        </w:rPr>
        <w:t>1406 de 2026 y C</w:t>
      </w:r>
      <w:r w:rsidRPr="0019495B">
        <w:rPr>
          <w:rFonts w:ascii="Cambria Math" w:eastAsia="Calibri" w:hAnsi="Cambria Math" w:cs="Cambria Math"/>
          <w:bCs/>
          <w:iCs/>
          <w:lang w:val="es-MX"/>
        </w:rPr>
        <w:t>‑</w:t>
      </w:r>
      <w:r w:rsidRPr="0019495B">
        <w:rPr>
          <w:rFonts w:ascii="Verdana" w:eastAsia="Calibri" w:hAnsi="Verdana" w:cs="Times New Roman"/>
          <w:bCs/>
          <w:iCs/>
          <w:lang w:val="es-MX"/>
        </w:rPr>
        <w:t>1703 de 2026.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r w:rsidRPr="0090201A">
        <w:rPr>
          <w:rFonts w:ascii="Verdana" w:eastAsia="Calibri" w:hAnsi="Verdana" w:cs="Times New Roman"/>
          <w:bCs/>
          <w:iCs/>
          <w:lang w:val="es-MX"/>
        </w:rPr>
        <w:t xml:space="preserve"> </w:t>
      </w:r>
      <w:r w:rsidRPr="00370A2E">
        <w:rPr>
          <w:rFonts w:ascii="Verdana" w:eastAsia="Calibri" w:hAnsi="Verdana" w:cs="Times New Roman"/>
          <w:bCs/>
          <w:iCs/>
          <w:lang w:val="es-MX"/>
        </w:rPr>
        <w:t xml:space="preserve">Así mismo, la Corte Constitucional en la Sentencia C-1153 de 2005 señaló que la expresión </w:t>
      </w:r>
      <w:r w:rsidRPr="00370A2E">
        <w:rPr>
          <w:rFonts w:ascii="Verdana" w:eastAsia="Calibri" w:hAnsi="Verdana" w:cs="Times New Roman"/>
          <w:bCs/>
          <w:i/>
          <w:iCs/>
          <w:lang w:val="es-ES"/>
        </w:rPr>
        <w:t xml:space="preserve">“adicionalmente se exceptúan aquellos gastos inaplazables e imprescindibles que afecten el normal funcionamiento de la administración” </w:t>
      </w:r>
      <w:r w:rsidRPr="00370A2E">
        <w:rPr>
          <w:rFonts w:ascii="Verdana" w:eastAsia="Calibri" w:hAnsi="Verdana" w:cs="Times New Roman"/>
          <w:bCs/>
          <w:iCs/>
          <w:lang w:val="es-ES"/>
        </w:rPr>
        <w:t>regulada como excepción en el artículo 33</w:t>
      </w:r>
      <w:r w:rsidRPr="00370A2E">
        <w:rPr>
          <w:rFonts w:ascii="Verdana" w:eastAsia="Calibri" w:hAnsi="Verdana" w:cs="Times New Roman"/>
          <w:bCs/>
          <w:i/>
          <w:iCs/>
          <w:lang w:val="es-ES"/>
        </w:rPr>
        <w:t xml:space="preserve"> </w:t>
      </w:r>
      <w:r w:rsidRPr="00370A2E">
        <w:rPr>
          <w:rFonts w:ascii="Verdana" w:eastAsia="Calibri" w:hAnsi="Verdana" w:cs="Times New Roman"/>
          <w:bCs/>
          <w:iCs/>
          <w:lang w:val="es-ES"/>
        </w:rPr>
        <w:t>es demasiado amplia y ambigua, pues términos como inaplazable, imprescindible y normal funcionamiento son evaluativos y sujetos a interpretaciones diversas, lo que permitiría introducir múltiples excepciones que desfigurarían la prohibición original y comprometerían los fines y propósitos de la Ley de Garantías Electorales.</w:t>
      </w:r>
      <w:r w:rsidRPr="00370A2E">
        <w:rPr>
          <w:rFonts w:ascii="Verdana" w:eastAsia="Calibri" w:hAnsi="Verdana" w:cs="Times New Roman"/>
          <w:bCs/>
          <w:i/>
          <w:iCs/>
          <w:lang w:val="es-ES"/>
        </w:rPr>
        <w:t xml:space="preserve"> </w:t>
      </w:r>
      <w:r w:rsidRPr="00370A2E">
        <w:rPr>
          <w:rFonts w:ascii="Verdana" w:eastAsia="Calibri" w:hAnsi="Verdana" w:cs="Times New Roman"/>
          <w:bCs/>
          <w:iCs/>
          <w:lang w:val="es-ES"/>
        </w:rPr>
        <w:t>Por tanto, dicha expresión fue declarada inexequible, razón por la cual no es posible que las entidades argumenten razones como esta para exceptuar la restricción del artículo 33.</w:t>
      </w:r>
      <w:r>
        <w:rPr>
          <w:rFonts w:ascii="Verdana" w:eastAsia="Calibri" w:hAnsi="Verdana" w:cs="Times New Roman"/>
          <w:bCs/>
          <w:iCs/>
          <w:lang w:val="es-ES"/>
        </w:rPr>
        <w:t xml:space="preserve"> En todo caso, e</w:t>
      </w:r>
      <w:r w:rsidRPr="0019495B">
        <w:rPr>
          <w:rFonts w:ascii="Verdana" w:eastAsia="Calibri" w:hAnsi="Verdana" w:cs="Times New Roman"/>
          <w:bCs/>
          <w:iCs/>
          <w:lang w:val="es-MX"/>
        </w:rPr>
        <w:t>s responsabilidad del respectivo ente del Estado, examinar en cada caso la naturaleza de las actividades que adelanta y determinar si las mismas se enmarcan en alguna de las mencionadas excepciones, de manera que se le permita realizar la contratación</w:t>
      </w:r>
      <w:r>
        <w:rPr>
          <w:rFonts w:ascii="Verdana" w:eastAsia="Calibri" w:hAnsi="Verdana" w:cs="Times New Roman"/>
          <w:bCs/>
          <w:iCs/>
          <w:lang w:val="es-MX"/>
        </w:rPr>
        <w:t xml:space="preserve"> que necesite en forma directa.</w:t>
      </w:r>
    </w:p>
    <w:p w14:paraId="7B7A3DB0" w14:textId="77777777" w:rsidR="00E33242" w:rsidRPr="0019495B" w:rsidRDefault="00E33242" w:rsidP="00E33242">
      <w:pPr>
        <w:spacing w:after="0" w:line="276" w:lineRule="auto"/>
        <w:ind w:firstLine="709"/>
        <w:jc w:val="both"/>
        <w:rPr>
          <w:rFonts w:ascii="Verdana" w:hAnsi="Verdana"/>
          <w:lang w:val="es-ES"/>
        </w:rPr>
      </w:pPr>
      <w:r>
        <w:rPr>
          <w:rFonts w:ascii="Verdana" w:hAnsi="Verdana"/>
          <w:lang w:val="es-ES"/>
        </w:rPr>
        <w:lastRenderedPageBreak/>
        <w:t xml:space="preserve">Para este tema, se trae a colación </w:t>
      </w:r>
      <w:r>
        <w:rPr>
          <w:rFonts w:ascii="Verdana" w:hAnsi="Verdana"/>
        </w:rPr>
        <w:t>la postura de la Superintendencia de Servicios Públicos sobre la restricción de Ley de Garantías frente a cierto tipo de contratos, como son l</w:t>
      </w:r>
      <w:r w:rsidRPr="00916FC1">
        <w:rPr>
          <w:rFonts w:ascii="Verdana" w:eastAsia="Calibri" w:hAnsi="Verdana" w:cs="Times New Roman"/>
          <w:iCs/>
        </w:rPr>
        <w:t>a celebración de contratos o convenios para la transferencia de recursos destinados a subsidios entre los entes territoriales y los prestadores de servicios públicos constituye una obligación legal esencial</w:t>
      </w:r>
      <w:r>
        <w:rPr>
          <w:rFonts w:ascii="Verdana" w:eastAsia="Calibri" w:hAnsi="Verdana" w:cs="Times New Roman"/>
          <w:iCs/>
        </w:rPr>
        <w:t xml:space="preserve">, exceptuando de la aplicación de la Ley de Garantías. Este organismo considera que estos convenios o contratos </w:t>
      </w:r>
      <w:r w:rsidRPr="00916FC1">
        <w:rPr>
          <w:rFonts w:ascii="Verdana" w:eastAsia="Calibri" w:hAnsi="Verdana" w:cs="Times New Roman"/>
          <w:iCs/>
        </w:rPr>
        <w:t>no son opcionales, pues permiten asegurar la continuidad y eficacia en la prestación de los servicios públicos. Por ello, deben interpretarse conforme a los principios y fines superiores del régimen de servicios públicos, los cuales prevalecen sobre las restricciones de la Ley 996 de 2005.</w:t>
      </w:r>
      <w:r>
        <w:rPr>
          <w:rFonts w:ascii="Verdana" w:eastAsia="Calibri" w:hAnsi="Verdana" w:cs="Times New Roman"/>
          <w:iCs/>
        </w:rPr>
        <w:t xml:space="preserve"> En tal sentido, la Superintendencia en varios de sus conceptos expresa: </w:t>
      </w:r>
    </w:p>
    <w:p w14:paraId="1B9D8060" w14:textId="77777777" w:rsidR="00E33242" w:rsidRDefault="00E33242" w:rsidP="00E33242">
      <w:pPr>
        <w:spacing w:after="0" w:line="276" w:lineRule="auto"/>
        <w:jc w:val="both"/>
        <w:rPr>
          <w:rFonts w:ascii="Verdana" w:eastAsia="Calibri" w:hAnsi="Verdana" w:cs="Times New Roman"/>
          <w:iCs/>
        </w:rPr>
      </w:pPr>
    </w:p>
    <w:p w14:paraId="0452AB09" w14:textId="77777777" w:rsidR="00E33242" w:rsidRPr="00B30F07" w:rsidRDefault="00E33242" w:rsidP="00E33242">
      <w:pPr>
        <w:spacing w:after="0" w:line="240" w:lineRule="auto"/>
        <w:ind w:left="709" w:right="709"/>
        <w:jc w:val="both"/>
        <w:rPr>
          <w:rFonts w:ascii="Verdana" w:hAnsi="Verdana"/>
          <w:sz w:val="20"/>
          <w:szCs w:val="20"/>
        </w:rPr>
      </w:pPr>
      <w:r w:rsidRPr="00B30F07">
        <w:rPr>
          <w:rFonts w:ascii="Verdana" w:hAnsi="Verdana"/>
          <w:sz w:val="20"/>
          <w:szCs w:val="20"/>
        </w:rPr>
        <w:t xml:space="preserve">Esta Oficina considera que aquellos acuerdos, convenios e instrumentos necesarios para garantizar la prestación de los servicios públicos, así como los contratos que se suscriben entre la empresa y el usuario con el fin de asegurar dicha prestación, deben ser interpretados a la luz de principios y fines que son superiores a los que persigue la propia Ley 996 de 2005, tales como la esencialidad de los servicios públicos domiciliarios, que precisamente busca evitar que la interrupción de esos servicios afecte o vulnere derechos fundamentales de las personas y que se cumplan los cometidos constitucionales y legales'. </w:t>
      </w:r>
    </w:p>
    <w:p w14:paraId="727828AC" w14:textId="77777777" w:rsidR="00E33242" w:rsidRPr="00B30F07" w:rsidRDefault="00E33242" w:rsidP="00E33242">
      <w:pPr>
        <w:spacing w:after="0" w:line="240" w:lineRule="auto"/>
        <w:ind w:left="709" w:right="709"/>
        <w:jc w:val="both"/>
        <w:rPr>
          <w:rFonts w:ascii="Verdana" w:hAnsi="Verdana"/>
          <w:sz w:val="20"/>
          <w:szCs w:val="20"/>
        </w:rPr>
      </w:pPr>
    </w:p>
    <w:p w14:paraId="06BD355D" w14:textId="77777777" w:rsidR="00E33242" w:rsidRDefault="00E33242" w:rsidP="00E33242">
      <w:pPr>
        <w:spacing w:after="0" w:line="240" w:lineRule="auto"/>
        <w:ind w:left="709" w:right="709"/>
        <w:jc w:val="both"/>
        <w:rPr>
          <w:rFonts w:ascii="Verdana" w:hAnsi="Verdana"/>
          <w:sz w:val="20"/>
          <w:szCs w:val="20"/>
        </w:rPr>
      </w:pPr>
      <w:r w:rsidRPr="00B30F07">
        <w:rPr>
          <w:rFonts w:ascii="Verdana" w:hAnsi="Verdana"/>
          <w:sz w:val="20"/>
          <w:szCs w:val="20"/>
        </w:rPr>
        <w:t xml:space="preserve">(…) Conforme con lo señalado, la celebración de los contratos o convenios de transferencia entre los entes territoriales y los prestadores de servicios públicos constituye una obligación legal de la cual no pueden apartarse, acuerdos cuya naturaleza no se encuentra tipificada ni en el derecho público ni en el derecho privado, por lo que constituyen una modalidad especial de contratación. </w:t>
      </w:r>
    </w:p>
    <w:p w14:paraId="23B4F366" w14:textId="77777777" w:rsidR="00E33242" w:rsidRPr="00B30F07" w:rsidRDefault="00E33242" w:rsidP="00E33242">
      <w:pPr>
        <w:spacing w:after="0" w:line="240" w:lineRule="auto"/>
        <w:ind w:left="709" w:right="709"/>
        <w:jc w:val="both"/>
        <w:rPr>
          <w:rFonts w:ascii="Verdana" w:hAnsi="Verdana"/>
          <w:sz w:val="20"/>
          <w:szCs w:val="20"/>
        </w:rPr>
      </w:pPr>
    </w:p>
    <w:p w14:paraId="6FEA55E3" w14:textId="77777777" w:rsidR="00E33242" w:rsidRDefault="00E33242" w:rsidP="00E33242">
      <w:pPr>
        <w:spacing w:after="0" w:line="240" w:lineRule="auto"/>
        <w:ind w:left="709" w:right="709"/>
        <w:jc w:val="both"/>
        <w:rPr>
          <w:rFonts w:ascii="Verdana" w:hAnsi="Verdana"/>
          <w:sz w:val="20"/>
          <w:szCs w:val="20"/>
        </w:rPr>
      </w:pPr>
      <w:r w:rsidRPr="00B30F07">
        <w:rPr>
          <w:rFonts w:ascii="Verdana" w:hAnsi="Verdana"/>
          <w:sz w:val="20"/>
          <w:szCs w:val="20"/>
        </w:rPr>
        <w:t>En este sentido, y teniendo en cuenta que la exigencia de la celebración de estos contratos, convenios o acuerdos de transferencia, fue consagrada por el legislador con el propósito de realizar la transferencia de los recursos presupuestales aludidos, para subsidiar a los usuarios de menores recursos, es dable concluir, que ni los contratos de transferencia de recursos para subsidios, ni los contratos de servicios públicos domiciliarios, pueden dejar de ser celebrados, teniendo en cuenta que la esencialidad de dichos servicios tiene su sustento en normas de orden constitucional, prevalentes sobre normas de inferior jerarquía</w:t>
      </w:r>
      <w:r>
        <w:rPr>
          <w:rStyle w:val="Refdenotaalpie"/>
          <w:rFonts w:ascii="Verdana" w:hAnsi="Verdana"/>
          <w:sz w:val="20"/>
          <w:szCs w:val="20"/>
        </w:rPr>
        <w:footnoteReference w:id="36"/>
      </w:r>
      <w:r w:rsidRPr="00B30F07">
        <w:rPr>
          <w:rFonts w:ascii="Verdana" w:hAnsi="Verdana"/>
          <w:sz w:val="20"/>
          <w:szCs w:val="20"/>
        </w:rPr>
        <w:t>.</w:t>
      </w:r>
    </w:p>
    <w:p w14:paraId="0BEDCA66" w14:textId="77777777" w:rsidR="00E33242" w:rsidRPr="00B30F07" w:rsidRDefault="00E33242" w:rsidP="00E33242">
      <w:pPr>
        <w:spacing w:after="0" w:line="240" w:lineRule="auto"/>
        <w:ind w:left="709" w:right="709"/>
        <w:jc w:val="both"/>
        <w:rPr>
          <w:rFonts w:ascii="Verdana" w:hAnsi="Verdana"/>
          <w:sz w:val="20"/>
          <w:szCs w:val="20"/>
        </w:rPr>
      </w:pPr>
    </w:p>
    <w:p w14:paraId="3C7A51F1" w14:textId="77777777" w:rsidR="00E33242" w:rsidRPr="00E662F1" w:rsidRDefault="00E33242" w:rsidP="00E33242">
      <w:pPr>
        <w:spacing w:after="120" w:line="276" w:lineRule="auto"/>
        <w:ind w:firstLine="709"/>
        <w:jc w:val="both"/>
        <w:rPr>
          <w:rFonts w:ascii="Verdana" w:eastAsia="Calibri" w:hAnsi="Verdana" w:cs="Times New Roman"/>
        </w:rPr>
      </w:pPr>
      <w:r>
        <w:rPr>
          <w:rFonts w:ascii="Verdana" w:eastAsia="Calibri" w:hAnsi="Verdana" w:cs="Times New Roman"/>
          <w:iCs/>
        </w:rPr>
        <w:lastRenderedPageBreak/>
        <w:t>Bajo este escenario, la Superintendencia de Servicios Públicos Domiciliarios expresa que l</w:t>
      </w:r>
      <w:r w:rsidRPr="00916FC1">
        <w:rPr>
          <w:rFonts w:ascii="Verdana" w:eastAsia="Calibri" w:hAnsi="Verdana" w:cs="Times New Roman"/>
          <w:iCs/>
        </w:rPr>
        <w:t>a regulación no contempla causales que permitan a los entes territoriales abstenerse de transferir los subsidios. Por el contrario, su incumplimiento puede constituir una violación al régimen de servicios públicos. Incluso si no se ha suscrito el contrato o convenio correspondiente, esta omisión no exime a las entidades territoriales de cumplir con su deber de transferir los recursos presupuestales necesarios para garantizar el equilibrio financiero del sistema y la adecuada prestación del servicio.</w:t>
      </w:r>
      <w:r>
        <w:rPr>
          <w:rFonts w:ascii="Verdana" w:eastAsia="Calibri" w:hAnsi="Verdana" w:cs="Times New Roman"/>
          <w:iCs/>
        </w:rPr>
        <w:t xml:space="preserve"> Dicha postura de la Superintendencia de Servicios Públicos Domiciliarios no se basa en las excepciones establecidas en el artículo 33 de la Ley 996 de 2005 o en otras que contemple el ordenamiento jurídico, sino que se basa en el deber constitucional y legal de las entidades territoriales de transferir los subsidios a las empresas de servicios públicos domiciliarios. </w:t>
      </w:r>
    </w:p>
    <w:p w14:paraId="3BA66ECE" w14:textId="77777777" w:rsidR="00E33242" w:rsidRDefault="00E33242" w:rsidP="00E33242">
      <w:pPr>
        <w:spacing w:after="0" w:line="276" w:lineRule="auto"/>
        <w:ind w:firstLine="709"/>
        <w:jc w:val="both"/>
        <w:rPr>
          <w:rFonts w:ascii="Verdana" w:eastAsiaTheme="minorEastAsia" w:hAnsi="Verdana" w:cs="Arial"/>
          <w:lang w:eastAsia="es-CO"/>
        </w:rPr>
      </w:pPr>
      <w:r>
        <w:rPr>
          <w:rFonts w:ascii="Verdana" w:eastAsiaTheme="minorEastAsia" w:hAnsi="Verdana" w:cs="Arial"/>
          <w:lang w:eastAsia="es-CO"/>
        </w:rPr>
        <w:t xml:space="preserve">Ante estas posturas, es necesario señalar que el argumento de la Superintendencia de Servicios Públicos Domiciliarios se funda en el deber de transferir subsidios, que están contemplados en el artículo 368 constitucional, en la Ley 142 de 1994 y demás normas legales y reglamentarias. Bajo ese escenario, </w:t>
      </w:r>
      <w:r>
        <w:rPr>
          <w:rFonts w:ascii="Verdana" w:eastAsia="Arial" w:hAnsi="Verdana" w:cs="Arial"/>
          <w:lang w:val="es-ES" w:eastAsia="es-ES" w:bidi="es-ES"/>
        </w:rPr>
        <w:t>el alcance de esta obligación frente a las restricciones de la Ley de Garantías Electorales, resulta pertinente traer a colación el pronunciamiento de la Sala de Consulta y Servicio Civil del Consejo de Estado</w:t>
      </w:r>
      <w:r>
        <w:rPr>
          <w:rStyle w:val="Refdenotaalpie"/>
          <w:rFonts w:ascii="Verdana" w:eastAsia="Arial" w:hAnsi="Verdana" w:cs="Arial"/>
          <w:lang w:val="es-ES" w:eastAsia="es-ES" w:bidi="es-ES"/>
        </w:rPr>
        <w:footnoteReference w:id="37"/>
      </w:r>
      <w:r>
        <w:rPr>
          <w:rFonts w:ascii="Verdana" w:eastAsia="Arial" w:hAnsi="Verdana" w:cs="Arial"/>
          <w:lang w:val="es-ES" w:eastAsia="es-ES" w:bidi="es-ES"/>
        </w:rPr>
        <w:t xml:space="preserve">, el cual en un tema concerniente a las restricciones de la Ley de Garantías Electorales expresa que si bien </w:t>
      </w:r>
      <w:r w:rsidRPr="005B7756">
        <w:rPr>
          <w:rFonts w:ascii="Verdana" w:eastAsia="Arial" w:hAnsi="Verdana" w:cs="Arial"/>
          <w:lang w:val="es-ES" w:eastAsia="es-ES" w:bidi="es-ES"/>
        </w:rPr>
        <w:t>la seguridad social no está expresamente definida como derecho fundamental, adquiere ese carácter cuando su protección resulta necesaria para salvaguardar derechos esenciales como la vida, la dignidad o la integridad de las personas mayores, lo que hace imperativo mantener el programa de apoyo a ancianos indigentes mediante subsidio indirecto; por ello, el Administrador Fiduciario puede contratar directamente con los Centros de Bienestar del Adulto Mayor para asegurar la continuidad de los cupos asignados, y los alcaldes, a su vez, pueden celebrar estos mismos acuerdos en representación de sus municipios cuando administran recursos destinados a comunidades indígenas en resguardo, garantizando así la continuidad y eficacia de la protección estatal.</w:t>
      </w:r>
      <w:r>
        <w:rPr>
          <w:rFonts w:ascii="Verdana" w:eastAsia="Times New Roman" w:hAnsi="Verdana" w:cs="Arial"/>
          <w:bCs/>
          <w:lang w:val="es-ES" w:eastAsia="es-CO"/>
        </w:rPr>
        <w:t xml:space="preserve"> En este contexto, </w:t>
      </w:r>
      <w:r w:rsidRPr="00C15179">
        <w:rPr>
          <w:rFonts w:ascii="Verdana" w:eastAsia="Times New Roman" w:hAnsi="Verdana" w:cs="Arial"/>
          <w:bCs/>
          <w:lang w:val="es-ES" w:eastAsia="es-CO"/>
        </w:rPr>
        <w:t xml:space="preserve">La Sala de Consulta y Servicio Civil del Consejo de Estado ha señalado que las restricciones de la Ley de Garantías Electorales deben </w:t>
      </w:r>
      <w:r w:rsidRPr="00C15179">
        <w:rPr>
          <w:rFonts w:ascii="Verdana" w:eastAsia="Times New Roman" w:hAnsi="Verdana" w:cs="Arial"/>
          <w:bCs/>
          <w:lang w:val="es-ES" w:eastAsia="es-CO"/>
        </w:rPr>
        <w:lastRenderedPageBreak/>
        <w:t>interpretarse con especial cuidado cuando se trata de Empresas de Servicios Públicos Domiciliarios. En el Concepto 1727 de 2006, la Sala precisó que, aunque la norma limita la contratación directa durante la campaña presidencial, existen excepciones justificadas por razones de orden público social, particularmente en lo relacionado con la prestación de servicios públicos esenciales</w:t>
      </w:r>
      <w:r>
        <w:rPr>
          <w:rFonts w:ascii="Verdana" w:eastAsia="Times New Roman" w:hAnsi="Verdana" w:cs="Arial"/>
          <w:bCs/>
          <w:lang w:val="es-ES" w:eastAsia="es-CO"/>
        </w:rPr>
        <w:t>. Al respecto, expresó</w:t>
      </w:r>
      <w:r>
        <w:rPr>
          <w:rFonts w:ascii="Verdana" w:eastAsia="Calibri" w:hAnsi="Verdana" w:cs="Arial"/>
          <w:lang w:val="es-MX"/>
        </w:rPr>
        <w:t>:</w:t>
      </w:r>
    </w:p>
    <w:p w14:paraId="7AF5B005" w14:textId="77777777" w:rsidR="00E33242" w:rsidRDefault="00E33242" w:rsidP="00E33242">
      <w:pPr>
        <w:spacing w:after="0" w:line="276" w:lineRule="auto"/>
        <w:ind w:left="709" w:right="709"/>
        <w:jc w:val="both"/>
        <w:rPr>
          <w:rFonts w:ascii="Verdana" w:eastAsia="Calibri" w:hAnsi="Verdana" w:cs="Arial"/>
          <w:sz w:val="20"/>
          <w:szCs w:val="20"/>
        </w:rPr>
      </w:pPr>
    </w:p>
    <w:p w14:paraId="3E6EB231" w14:textId="77777777" w:rsidR="00E33242" w:rsidRDefault="00E33242" w:rsidP="00E33242">
      <w:pPr>
        <w:spacing w:after="0" w:line="240" w:lineRule="auto"/>
        <w:ind w:left="709" w:right="709"/>
        <w:jc w:val="both"/>
        <w:rPr>
          <w:rFonts w:ascii="Verdana" w:eastAsia="Times New Roman" w:hAnsi="Verdana" w:cs="Arial"/>
          <w:lang w:eastAsia="es-CO"/>
        </w:rPr>
      </w:pPr>
      <w:r w:rsidRPr="002D1225">
        <w:rPr>
          <w:rFonts w:ascii="Verdana" w:eastAsia="Calibri" w:hAnsi="Verdana" w:cs="Arial"/>
          <w:sz w:val="20"/>
          <w:szCs w:val="20"/>
        </w:rPr>
        <w:t xml:space="preserve">“[…] en la medida en que los reglamentos internos de una empresa de servicios públicos domiciliarios determinen que la adquisición de algún insumo esencial para la prestación del servicio se realice por contratación directa, y que mientras se adelanta el trámite de la licitación pública del artículo 860 del código de comercio puede verse suspendido o gravemente afectado el servicio a su cargo, para evitar esta emergencia puede acudir a la contratación directa, pues se encontraría dentro de la excepción a la prohibición por causa de la sanidad y del mantenimiento del orden público en su elemento de salubridad, esenciales a la organización del Estado. Se anota </w:t>
      </w:r>
      <w:proofErr w:type="gramStart"/>
      <w:r w:rsidRPr="002D1225">
        <w:rPr>
          <w:rFonts w:ascii="Verdana" w:eastAsia="Calibri" w:hAnsi="Verdana" w:cs="Arial"/>
          <w:sz w:val="20"/>
          <w:szCs w:val="20"/>
        </w:rPr>
        <w:t>que</w:t>
      </w:r>
      <w:proofErr w:type="gramEnd"/>
      <w:r w:rsidRPr="002D1225">
        <w:rPr>
          <w:rFonts w:ascii="Verdana" w:eastAsia="Calibri" w:hAnsi="Verdana" w:cs="Arial"/>
          <w:sz w:val="20"/>
          <w:szCs w:val="20"/>
        </w:rPr>
        <w:t xml:space="preserve"> frente a los servicios públicos domiciliarios, los usuarios tienen un derecho subjetivo a su prestación, que en veces está en conexión con los derechos fundamentales, como en el caso de los servicios del acueducto, alcantarillado, saneamiento básico, </w:t>
      </w:r>
      <w:proofErr w:type="spellStart"/>
      <w:r w:rsidRPr="002D1225">
        <w:rPr>
          <w:rFonts w:ascii="Verdana" w:eastAsia="Calibri" w:hAnsi="Verdana" w:cs="Arial"/>
          <w:sz w:val="20"/>
          <w:szCs w:val="20"/>
        </w:rPr>
        <w:t>etc</w:t>
      </w:r>
      <w:proofErr w:type="spellEnd"/>
      <w:r>
        <w:rPr>
          <w:rFonts w:ascii="Verdana" w:eastAsia="Calibri" w:hAnsi="Verdana" w:cs="Arial"/>
          <w:lang w:val="es-MX"/>
        </w:rPr>
        <w:t>”</w:t>
      </w:r>
      <w:r w:rsidRPr="0057193B">
        <w:rPr>
          <w:rFonts w:ascii="Verdana" w:eastAsia="Calibri" w:hAnsi="Verdana" w:cs="Arial"/>
          <w:vertAlign w:val="superscript"/>
          <w:lang w:val="es-MX"/>
        </w:rPr>
        <w:footnoteReference w:id="38"/>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37B6DDBD" w14:textId="77777777" w:rsidR="00E33242" w:rsidRDefault="00E33242" w:rsidP="00E33242">
      <w:pPr>
        <w:spacing w:after="0" w:line="276" w:lineRule="auto"/>
        <w:ind w:left="709" w:right="709"/>
        <w:jc w:val="both"/>
        <w:rPr>
          <w:rFonts w:ascii="Verdana" w:eastAsia="Calibri" w:hAnsi="Verdana" w:cs="Arial"/>
          <w:sz w:val="20"/>
          <w:szCs w:val="20"/>
        </w:rPr>
      </w:pPr>
    </w:p>
    <w:p w14:paraId="7D6570A0" w14:textId="77777777" w:rsidR="00E33242" w:rsidRDefault="00E33242" w:rsidP="00E33242">
      <w:pPr>
        <w:spacing w:after="120" w:line="276" w:lineRule="auto"/>
        <w:ind w:firstLine="709"/>
        <w:jc w:val="both"/>
        <w:rPr>
          <w:rFonts w:ascii="Verdana" w:hAnsi="Verdana" w:cs="Arial"/>
        </w:rPr>
      </w:pPr>
      <w:r>
        <w:rPr>
          <w:rFonts w:ascii="Verdana" w:hAnsi="Verdana" w:cs="Arial"/>
          <w:lang w:val="es-ES_tradnl"/>
        </w:rPr>
        <w:t xml:space="preserve">También la Sala de Consulta y Servicio Civil del Consejo de Estado </w:t>
      </w:r>
      <w:r w:rsidRPr="00A458D1">
        <w:rPr>
          <w:rFonts w:ascii="Verdana" w:hAnsi="Verdana" w:cs="Arial"/>
        </w:rPr>
        <w:t>ha reconocido la existencia de supuestos excepcionales a las restricciones previstas en los artículos 33 y 38 de la Ley de Garantías, particularmente cuando la actividad contractual de la administración tiene como fundamento el cumplimiento de una providencia judicial. En estos eventos, debe prevalecer el carácter vinculante de las decisiones judiciales, cuyo acatamiento</w:t>
      </w:r>
      <w:r>
        <w:rPr>
          <w:rFonts w:ascii="Verdana" w:hAnsi="Verdana" w:cs="Arial"/>
        </w:rPr>
        <w:t xml:space="preserve"> se impone en virtud </w:t>
      </w:r>
      <w:r w:rsidRPr="00A458D1">
        <w:rPr>
          <w:rFonts w:ascii="Verdana" w:hAnsi="Verdana" w:cs="Arial"/>
        </w:rPr>
        <w:t>del derecho fundamental de acceso a la administración de justicia.</w:t>
      </w:r>
      <w:r>
        <w:rPr>
          <w:rFonts w:ascii="Verdana" w:hAnsi="Verdana" w:cs="Arial"/>
        </w:rPr>
        <w:t xml:space="preserve"> De este modo</w:t>
      </w:r>
      <w:r w:rsidRPr="00A458D1">
        <w:rPr>
          <w:rFonts w:ascii="Verdana" w:hAnsi="Verdana" w:cs="Arial"/>
        </w:rPr>
        <w:t xml:space="preserve">, la celebración de contratos directos o de convenios interadministrativos para la ejecución de recursos públicos no constituye una manifestación de la discrecionalidad administrativa, sino </w:t>
      </w:r>
      <w:r>
        <w:rPr>
          <w:rFonts w:ascii="Verdana" w:hAnsi="Verdana" w:cs="Arial"/>
        </w:rPr>
        <w:t xml:space="preserve">de una providencia judicial que debe acatarse. </w:t>
      </w:r>
    </w:p>
    <w:p w14:paraId="379EA994" w14:textId="77777777" w:rsidR="00E33242" w:rsidRPr="00043505" w:rsidRDefault="00E33242" w:rsidP="00E33242">
      <w:pPr>
        <w:spacing w:after="0" w:line="276" w:lineRule="auto"/>
        <w:ind w:firstLine="709"/>
        <w:jc w:val="both"/>
        <w:rPr>
          <w:rFonts w:ascii="Verdana" w:eastAsia="Times New Roman" w:hAnsi="Verdana" w:cs="Arial"/>
          <w:bCs/>
          <w:lang w:val="es-ES" w:eastAsia="es-CO"/>
        </w:rPr>
      </w:pPr>
      <w:r>
        <w:rPr>
          <w:rFonts w:ascii="Verdana" w:hAnsi="Verdana" w:cs="Arial"/>
          <w:lang w:val="es-ES"/>
        </w:rPr>
        <w:t xml:space="preserve">En todo caso, la Agencia considera que, la posibilidad de suscribir contratos especiales de aporte bajo condición entre entidades y empresas de servicios </w:t>
      </w:r>
      <w:proofErr w:type="gramStart"/>
      <w:r>
        <w:rPr>
          <w:rFonts w:ascii="Verdana" w:hAnsi="Verdana" w:cs="Arial"/>
          <w:lang w:val="es-ES"/>
        </w:rPr>
        <w:t>públicos,</w:t>
      </w:r>
      <w:proofErr w:type="gramEnd"/>
      <w:r>
        <w:rPr>
          <w:rFonts w:ascii="Verdana" w:hAnsi="Verdana" w:cs="Arial"/>
          <w:lang w:val="es-ES"/>
        </w:rPr>
        <w:t xml:space="preserve"> depende de si </w:t>
      </w:r>
      <w:proofErr w:type="gramStart"/>
      <w:r>
        <w:rPr>
          <w:rFonts w:ascii="Verdana" w:hAnsi="Verdana" w:cs="Arial"/>
          <w:lang w:val="es-ES"/>
        </w:rPr>
        <w:t>se enmarca dentro de</w:t>
      </w:r>
      <w:proofErr w:type="gramEnd"/>
      <w:r>
        <w:rPr>
          <w:rFonts w:ascii="Verdana" w:hAnsi="Verdana" w:cs="Arial"/>
          <w:lang w:val="es-ES"/>
        </w:rPr>
        <w:t xml:space="preserve"> las excepciones reguladas en el artículo 33 de la Ley 996 de 2005, sin perjuicio de lo expresado </w:t>
      </w:r>
      <w:r>
        <w:rPr>
          <w:rFonts w:ascii="Verdana" w:hAnsi="Verdana" w:cs="Arial"/>
          <w:lang w:val="es-ES"/>
        </w:rPr>
        <w:lastRenderedPageBreak/>
        <w:t>por la Sala de Consulta y Servicio Civil del Consejo que se expuso en las razones de la respuesta. De otra parte, posturas como la de la Superintendencia de Servicios Públicos acogen la posibilidad de celebrar</w:t>
      </w:r>
      <w:r>
        <w:rPr>
          <w:rFonts w:ascii="Verdana" w:eastAsia="Times New Roman" w:hAnsi="Verdana" w:cs="Arial"/>
          <w:bCs/>
          <w:lang w:val="es-ES" w:eastAsia="es-CO"/>
        </w:rPr>
        <w:t xml:space="preserve"> convenios y contratos por parte de las entidades con las empresas de servicios públicos domiciliarios en periodo preelectoral, basados en el deber de garantizar la prestación efectiva de los servicios públicos de las personas más vulnerables que tienen una estrecha relación con los derechos fundamentales</w:t>
      </w:r>
      <w:r>
        <w:rPr>
          <w:rFonts w:ascii="Verdana" w:hAnsi="Verdana" w:cs="Arial"/>
          <w:lang w:val="es-ES"/>
        </w:rPr>
        <w:t xml:space="preserve">. </w:t>
      </w:r>
      <w:r>
        <w:rPr>
          <w:rFonts w:ascii="Verdana" w:eastAsia="Times New Roman" w:hAnsi="Verdana" w:cs="Arial"/>
          <w:bCs/>
          <w:lang w:val="es-ES" w:eastAsia="es-CO"/>
        </w:rPr>
        <w:t xml:space="preserve"> </w:t>
      </w:r>
    </w:p>
    <w:p w14:paraId="5CDC6B8E" w14:textId="77777777" w:rsidR="00E33242" w:rsidRPr="00936B7A" w:rsidRDefault="00E33242" w:rsidP="00E33242">
      <w:pPr>
        <w:spacing w:after="0" w:line="240" w:lineRule="auto"/>
        <w:jc w:val="both"/>
        <w:rPr>
          <w:rFonts w:ascii="Verdana" w:eastAsia="Arial" w:hAnsi="Verdana" w:cs="Arial"/>
          <w:bCs/>
          <w:lang w:val="es-MX" w:eastAsia="es-ES" w:bidi="es-ES"/>
        </w:rPr>
      </w:pPr>
    </w:p>
    <w:p w14:paraId="0F1709CB" w14:textId="77777777" w:rsidR="00E33242" w:rsidRPr="00AF1D17" w:rsidRDefault="00E33242" w:rsidP="00E33242">
      <w:pPr>
        <w:spacing w:after="120" w:line="276" w:lineRule="auto"/>
        <w:jc w:val="both"/>
        <w:rPr>
          <w:rFonts w:ascii="Verdana" w:eastAsia="Times New Roman" w:hAnsi="Verdana" w:cs="Arial"/>
          <w:lang w:eastAsia="es-CO"/>
        </w:rPr>
      </w:pPr>
      <w:r>
        <w:rPr>
          <w:rFonts w:ascii="Verdana" w:hAnsi="Verdana" w:cs="Arial"/>
          <w:lang w:eastAsia="es-ES"/>
        </w:rPr>
        <w:t xml:space="preserve">v. </w:t>
      </w:r>
      <w:r w:rsidRPr="00380CA4">
        <w:rPr>
          <w:rFonts w:ascii="Verdana" w:hAnsi="Verdana" w:cs="Arial"/>
          <w:lang w:eastAsia="es-ES"/>
        </w:rPr>
        <w:t>Al margen de la explicación precedente debe advertirse que el análisis requerido para resolver problemas específicos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1DF771C" w14:textId="77777777" w:rsidR="00E33242" w:rsidRPr="00380CA4" w:rsidRDefault="00E33242" w:rsidP="00E33242">
      <w:pPr>
        <w:spacing w:after="0" w:line="276" w:lineRule="auto"/>
        <w:ind w:firstLine="709"/>
        <w:jc w:val="both"/>
        <w:rPr>
          <w:rFonts w:ascii="Verdana" w:eastAsia="Calibri" w:hAnsi="Verdana" w:cs="Arial"/>
        </w:rPr>
      </w:pPr>
      <w:r w:rsidRPr="00380CA4">
        <w:rPr>
          <w:rFonts w:ascii="Verdana" w:eastAsia="Times New Roman" w:hAnsi="Verdana" w:cs="Arial"/>
          <w:color w:val="000000"/>
          <w:lang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74E90FC9" w14:textId="77777777" w:rsidR="00E33242" w:rsidRPr="00380CA4" w:rsidRDefault="00E33242" w:rsidP="00E33242">
      <w:pPr>
        <w:spacing w:after="0" w:line="276" w:lineRule="auto"/>
        <w:jc w:val="both"/>
        <w:rPr>
          <w:rFonts w:ascii="Verdana" w:eastAsia="Calibri" w:hAnsi="Verdana" w:cs="Arial"/>
          <w:lang w:eastAsia="es-MX"/>
        </w:rPr>
      </w:pPr>
    </w:p>
    <w:p w14:paraId="2C0F8F14" w14:textId="77777777" w:rsidR="00E33242" w:rsidRPr="00380CA4" w:rsidRDefault="00E33242" w:rsidP="00E33242">
      <w:pPr>
        <w:pStyle w:val="Prrafodelista"/>
        <w:numPr>
          <w:ilvl w:val="0"/>
          <w:numId w:val="21"/>
        </w:numPr>
        <w:tabs>
          <w:tab w:val="left" w:pos="142"/>
          <w:tab w:val="left" w:pos="284"/>
        </w:tabs>
        <w:spacing w:after="0" w:line="276" w:lineRule="auto"/>
        <w:contextualSpacing w:val="0"/>
        <w:jc w:val="both"/>
        <w:rPr>
          <w:rFonts w:ascii="Verdana" w:eastAsia="Century Gothic" w:hAnsi="Verdana" w:cs="Century Gothic"/>
          <w:b/>
          <w:bCs/>
          <w:lang w:val="es-CO"/>
        </w:rPr>
      </w:pPr>
      <w:r>
        <w:rPr>
          <w:rFonts w:ascii="Verdana" w:eastAsia="Century Gothic" w:hAnsi="Verdana" w:cs="Century Gothic"/>
          <w:b/>
          <w:bCs/>
          <w:lang w:val="es-CO"/>
        </w:rPr>
        <w:t>Referencias normativas:</w:t>
      </w:r>
      <w:r w:rsidRPr="00380CA4">
        <w:rPr>
          <w:rFonts w:ascii="Verdana" w:eastAsia="Century Gothic" w:hAnsi="Verdana" w:cs="Century Gothic"/>
          <w:b/>
          <w:bCs/>
          <w:lang w:val="es-CO"/>
        </w:rPr>
        <w:t xml:space="preserve"> </w:t>
      </w:r>
    </w:p>
    <w:p w14:paraId="6BF0C2D0" w14:textId="77777777" w:rsidR="00E33242" w:rsidRPr="00380CA4" w:rsidRDefault="00E33242" w:rsidP="00E33242">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33242" w:rsidRPr="00380CA4" w14:paraId="2D6D94A7" w14:textId="77777777" w:rsidTr="007E2C2E">
        <w:trPr>
          <w:trHeight w:val="487"/>
          <w:jc w:val="center"/>
        </w:trPr>
        <w:tc>
          <w:tcPr>
            <w:tcW w:w="8647" w:type="dxa"/>
          </w:tcPr>
          <w:p w14:paraId="0E6E8985" w14:textId="77777777" w:rsidR="00E33242" w:rsidRDefault="00E33242" w:rsidP="00E33242">
            <w:pPr>
              <w:widowControl w:val="0"/>
              <w:numPr>
                <w:ilvl w:val="0"/>
                <w:numId w:val="17"/>
              </w:numPr>
              <w:autoSpaceDE w:val="0"/>
              <w:autoSpaceDN w:val="0"/>
              <w:spacing w:before="120" w:after="120" w:line="276" w:lineRule="auto"/>
              <w:jc w:val="both"/>
              <w:rPr>
                <w:rFonts w:ascii="Verdana" w:eastAsia="Arial MT" w:hAnsi="Verdana" w:cs="Arial"/>
                <w:lang w:eastAsia="es-ES" w:bidi="es-ES"/>
              </w:rPr>
            </w:pPr>
            <w:r w:rsidRPr="00380CA4">
              <w:rPr>
                <w:rFonts w:ascii="Verdana" w:eastAsia="Arial MT" w:hAnsi="Verdana" w:cs="Arial"/>
                <w:lang w:eastAsia="es-ES" w:bidi="es-ES"/>
              </w:rPr>
              <w:t xml:space="preserve">Constitución Política de 1991, </w:t>
            </w:r>
            <w:r>
              <w:rPr>
                <w:rFonts w:ascii="Verdana" w:eastAsia="Arial MT" w:hAnsi="Verdana" w:cs="Arial"/>
                <w:lang w:eastAsia="es-ES" w:bidi="es-ES"/>
              </w:rPr>
              <w:t>artículos 127, 365 y 368.</w:t>
            </w:r>
          </w:p>
          <w:p w14:paraId="419E72C8" w14:textId="77777777" w:rsidR="00E33242" w:rsidRDefault="00E33242" w:rsidP="00E33242">
            <w:pPr>
              <w:widowControl w:val="0"/>
              <w:numPr>
                <w:ilvl w:val="0"/>
                <w:numId w:val="17"/>
              </w:numPr>
              <w:autoSpaceDE w:val="0"/>
              <w:autoSpaceDN w:val="0"/>
              <w:spacing w:before="120" w:after="120" w:line="276" w:lineRule="auto"/>
              <w:jc w:val="both"/>
              <w:rPr>
                <w:rFonts w:ascii="Verdana" w:eastAsia="Arial MT" w:hAnsi="Verdana" w:cs="Arial"/>
                <w:lang w:eastAsia="es-ES" w:bidi="es-ES"/>
              </w:rPr>
            </w:pPr>
            <w:r>
              <w:rPr>
                <w:rFonts w:ascii="Verdana" w:eastAsia="Arial MT" w:hAnsi="Verdana" w:cs="Arial"/>
                <w:lang w:eastAsia="es-ES" w:bidi="es-ES"/>
              </w:rPr>
              <w:t xml:space="preserve">Código Civil, artículo 1501. </w:t>
            </w:r>
          </w:p>
          <w:p w14:paraId="76A636B9" w14:textId="77777777" w:rsidR="00E33242" w:rsidRDefault="00E33242" w:rsidP="00E33242">
            <w:pPr>
              <w:widowControl w:val="0"/>
              <w:numPr>
                <w:ilvl w:val="0"/>
                <w:numId w:val="17"/>
              </w:numPr>
              <w:autoSpaceDE w:val="0"/>
              <w:autoSpaceDN w:val="0"/>
              <w:spacing w:before="120" w:after="120" w:line="276" w:lineRule="auto"/>
              <w:jc w:val="both"/>
              <w:rPr>
                <w:rFonts w:ascii="Verdana" w:eastAsia="Arial MT" w:hAnsi="Verdana" w:cs="Arial"/>
                <w:lang w:eastAsia="es-ES" w:bidi="es-ES"/>
              </w:rPr>
            </w:pPr>
            <w:r>
              <w:rPr>
                <w:rFonts w:ascii="Verdana" w:eastAsia="Arial MT" w:hAnsi="Verdana" w:cs="Arial"/>
                <w:lang w:eastAsia="es-ES" w:bidi="es-ES"/>
              </w:rPr>
              <w:t xml:space="preserve">Ley 80 de 1993, artículos 39 y 41. </w:t>
            </w:r>
          </w:p>
          <w:p w14:paraId="618E4FC4" w14:textId="77777777" w:rsidR="00E33242" w:rsidRDefault="00E33242" w:rsidP="00E33242">
            <w:pPr>
              <w:widowControl w:val="0"/>
              <w:numPr>
                <w:ilvl w:val="0"/>
                <w:numId w:val="17"/>
              </w:numPr>
              <w:autoSpaceDE w:val="0"/>
              <w:autoSpaceDN w:val="0"/>
              <w:spacing w:before="120" w:after="120" w:line="276" w:lineRule="auto"/>
              <w:jc w:val="both"/>
              <w:rPr>
                <w:rFonts w:ascii="Verdana" w:eastAsia="Arial MT" w:hAnsi="Verdana" w:cs="Arial"/>
                <w:lang w:eastAsia="es-ES" w:bidi="es-ES"/>
              </w:rPr>
            </w:pPr>
            <w:r>
              <w:rPr>
                <w:rFonts w:ascii="Verdana" w:eastAsia="Arial MT" w:hAnsi="Verdana" w:cs="Arial"/>
                <w:lang w:eastAsia="es-ES" w:bidi="es-ES"/>
              </w:rPr>
              <w:t xml:space="preserve">Ley 142 de 1994, artículo 1, 31, 32, 39 y 87. </w:t>
            </w:r>
          </w:p>
          <w:p w14:paraId="2B96F616" w14:textId="77777777" w:rsidR="00E33242" w:rsidRPr="00FA440B" w:rsidRDefault="00E33242" w:rsidP="00E33242">
            <w:pPr>
              <w:widowControl w:val="0"/>
              <w:numPr>
                <w:ilvl w:val="0"/>
                <w:numId w:val="17"/>
              </w:numPr>
              <w:autoSpaceDE w:val="0"/>
              <w:autoSpaceDN w:val="0"/>
              <w:spacing w:before="120" w:after="120" w:line="276" w:lineRule="auto"/>
              <w:jc w:val="both"/>
              <w:rPr>
                <w:rFonts w:ascii="Verdana" w:eastAsia="Arial MT" w:hAnsi="Verdana" w:cs="Arial"/>
                <w:lang w:eastAsia="es-ES" w:bidi="es-ES"/>
              </w:rPr>
            </w:pPr>
            <w:r w:rsidRPr="00FA440B">
              <w:rPr>
                <w:rFonts w:ascii="Verdana" w:eastAsia="Calibri" w:hAnsi="Verdana" w:cs="Arial"/>
              </w:rPr>
              <w:lastRenderedPageBreak/>
              <w:t xml:space="preserve">Ley 996 de 2005, artículos 33 y 38. </w:t>
            </w:r>
          </w:p>
          <w:p w14:paraId="596B6256" w14:textId="77777777" w:rsidR="00E33242" w:rsidRPr="00EB2918" w:rsidRDefault="00E33242" w:rsidP="00E33242">
            <w:pPr>
              <w:widowControl w:val="0"/>
              <w:numPr>
                <w:ilvl w:val="0"/>
                <w:numId w:val="17"/>
              </w:numPr>
              <w:autoSpaceDE w:val="0"/>
              <w:autoSpaceDN w:val="0"/>
              <w:spacing w:after="120" w:line="276" w:lineRule="auto"/>
              <w:ind w:left="714" w:hanging="357"/>
              <w:jc w:val="both"/>
              <w:rPr>
                <w:rFonts w:ascii="Verdana" w:eastAsia="Arial MT" w:hAnsi="Verdana" w:cs="Arial"/>
                <w:lang w:eastAsia="es-ES" w:bidi="es-ES"/>
              </w:rPr>
            </w:pPr>
            <w:r>
              <w:rPr>
                <w:rFonts w:ascii="Verdana" w:eastAsia="Calibri" w:hAnsi="Verdana" w:cs="Arial"/>
              </w:rPr>
              <w:t xml:space="preserve">Ley 1150 de 2007, artículo 2. </w:t>
            </w:r>
          </w:p>
          <w:p w14:paraId="07A86DDD" w14:textId="77777777" w:rsidR="00E33242" w:rsidRDefault="00E33242" w:rsidP="00E33242">
            <w:pPr>
              <w:widowControl w:val="0"/>
              <w:numPr>
                <w:ilvl w:val="0"/>
                <w:numId w:val="17"/>
              </w:numPr>
              <w:autoSpaceDE w:val="0"/>
              <w:autoSpaceDN w:val="0"/>
              <w:spacing w:after="120" w:line="276" w:lineRule="auto"/>
              <w:ind w:left="714" w:hanging="357"/>
              <w:jc w:val="both"/>
              <w:rPr>
                <w:rFonts w:ascii="Verdana" w:eastAsia="Calibri" w:hAnsi="Verdana" w:cs="Arial"/>
              </w:rPr>
            </w:pPr>
            <w:r w:rsidRPr="00FA440B">
              <w:rPr>
                <w:rFonts w:ascii="Verdana" w:eastAsia="Calibri" w:hAnsi="Verdana" w:cs="Arial"/>
              </w:rPr>
              <w:t xml:space="preserve">Decreto 257 de 2004, artículos 2 y 4. </w:t>
            </w:r>
          </w:p>
          <w:p w14:paraId="638B6AFC" w14:textId="77777777" w:rsidR="00E33242" w:rsidRDefault="00E33242" w:rsidP="00E33242">
            <w:pPr>
              <w:widowControl w:val="0"/>
              <w:numPr>
                <w:ilvl w:val="0"/>
                <w:numId w:val="17"/>
              </w:numPr>
              <w:autoSpaceDE w:val="0"/>
              <w:autoSpaceDN w:val="0"/>
              <w:spacing w:after="120" w:line="276" w:lineRule="auto"/>
              <w:ind w:left="714" w:hanging="357"/>
              <w:jc w:val="both"/>
              <w:rPr>
                <w:rFonts w:ascii="Verdana" w:eastAsia="Calibri" w:hAnsi="Verdana" w:cs="Arial"/>
              </w:rPr>
            </w:pPr>
            <w:r>
              <w:rPr>
                <w:rFonts w:ascii="Verdana" w:eastAsia="Calibri" w:hAnsi="Verdana" w:cs="Arial"/>
              </w:rPr>
              <w:t xml:space="preserve">Resolución </w:t>
            </w:r>
            <w:r w:rsidRPr="00FA440B">
              <w:rPr>
                <w:rFonts w:ascii="Verdana" w:eastAsia="Calibri" w:hAnsi="Verdana" w:cs="Arial"/>
              </w:rPr>
              <w:t>CREG 097 de 2008</w:t>
            </w:r>
            <w:r>
              <w:rPr>
                <w:rFonts w:ascii="Verdana" w:eastAsia="Calibri" w:hAnsi="Verdana" w:cs="Arial"/>
              </w:rPr>
              <w:t xml:space="preserve">. </w:t>
            </w:r>
          </w:p>
          <w:p w14:paraId="76942C1F" w14:textId="77777777" w:rsidR="00E33242" w:rsidRPr="00FA440B" w:rsidRDefault="00E33242" w:rsidP="00E33242">
            <w:pPr>
              <w:widowControl w:val="0"/>
              <w:numPr>
                <w:ilvl w:val="0"/>
                <w:numId w:val="17"/>
              </w:numPr>
              <w:autoSpaceDE w:val="0"/>
              <w:autoSpaceDN w:val="0"/>
              <w:spacing w:after="120" w:line="276" w:lineRule="auto"/>
              <w:ind w:left="714" w:hanging="357"/>
              <w:jc w:val="both"/>
              <w:rPr>
                <w:rFonts w:ascii="Verdana" w:eastAsia="Calibri" w:hAnsi="Verdana" w:cs="Arial"/>
              </w:rPr>
            </w:pPr>
            <w:r w:rsidRPr="00FA440B">
              <w:rPr>
                <w:rFonts w:ascii="Verdana" w:eastAsia="Calibri" w:hAnsi="Verdana" w:cs="Arial"/>
              </w:rPr>
              <w:t xml:space="preserve">Resolución </w:t>
            </w:r>
            <w:r w:rsidRPr="00FA440B">
              <w:rPr>
                <w:rFonts w:ascii="Verdana" w:eastAsia="Calibri" w:hAnsi="Verdana" w:cs="Arial"/>
                <w:bCs/>
              </w:rPr>
              <w:t>202510000000895 de 2025</w:t>
            </w:r>
            <w:r>
              <w:rPr>
                <w:rFonts w:ascii="Verdana" w:eastAsia="Calibri" w:hAnsi="Verdana" w:cs="Arial"/>
                <w:bCs/>
              </w:rPr>
              <w:t xml:space="preserve"> de IPSE. </w:t>
            </w:r>
          </w:p>
        </w:tc>
      </w:tr>
    </w:tbl>
    <w:p w14:paraId="5FEC9A04" w14:textId="77777777" w:rsidR="00E33242" w:rsidRPr="00380CA4" w:rsidRDefault="00E33242" w:rsidP="00E33242">
      <w:pPr>
        <w:widowControl w:val="0"/>
        <w:autoSpaceDE w:val="0"/>
        <w:autoSpaceDN w:val="0"/>
        <w:spacing w:after="0" w:line="240" w:lineRule="auto"/>
        <w:jc w:val="both"/>
        <w:rPr>
          <w:rFonts w:ascii="Verdana" w:hAnsi="Verdana" w:cs="Arial"/>
        </w:rPr>
      </w:pPr>
    </w:p>
    <w:p w14:paraId="12DD7302" w14:textId="77777777" w:rsidR="00E33242" w:rsidRPr="00380CA4" w:rsidRDefault="00E33242" w:rsidP="00E33242">
      <w:pPr>
        <w:pStyle w:val="Prrafodelista"/>
        <w:numPr>
          <w:ilvl w:val="0"/>
          <w:numId w:val="21"/>
        </w:numPr>
        <w:tabs>
          <w:tab w:val="left" w:pos="142"/>
          <w:tab w:val="left" w:pos="284"/>
        </w:tabs>
        <w:spacing w:after="0" w:line="240" w:lineRule="auto"/>
        <w:contextualSpacing w:val="0"/>
        <w:jc w:val="both"/>
        <w:rPr>
          <w:rFonts w:ascii="Verdana" w:eastAsia="Century Gothic" w:hAnsi="Verdana" w:cs="Century Gothic"/>
          <w:b/>
          <w:bCs/>
          <w:lang w:val="es-CO"/>
        </w:rPr>
      </w:pPr>
      <w:r w:rsidRPr="00380CA4">
        <w:rPr>
          <w:rFonts w:ascii="Verdana" w:eastAsia="Century Gothic" w:hAnsi="Verdana" w:cs="Century Gothic"/>
          <w:b/>
          <w:bCs/>
          <w:lang w:val="es-CO"/>
        </w:rPr>
        <w:t>Doctrina de la Agencia Nacional de Contratación Pública:</w:t>
      </w:r>
    </w:p>
    <w:p w14:paraId="5491C840" w14:textId="77777777" w:rsidR="00E33242" w:rsidRPr="00380CA4" w:rsidRDefault="00E33242" w:rsidP="00E33242">
      <w:pPr>
        <w:widowControl w:val="0"/>
        <w:autoSpaceDE w:val="0"/>
        <w:autoSpaceDN w:val="0"/>
        <w:spacing w:after="0" w:line="240" w:lineRule="auto"/>
        <w:jc w:val="both"/>
        <w:rPr>
          <w:rFonts w:ascii="Verdana" w:hAnsi="Verdana" w:cs="Arial"/>
        </w:rPr>
      </w:pPr>
    </w:p>
    <w:p w14:paraId="77BC25C0" w14:textId="77777777" w:rsidR="00E33242" w:rsidRPr="00C04BE5" w:rsidRDefault="00E33242" w:rsidP="00E33242">
      <w:pPr>
        <w:widowControl w:val="0"/>
        <w:autoSpaceDE w:val="0"/>
        <w:autoSpaceDN w:val="0"/>
        <w:spacing w:after="0" w:line="276" w:lineRule="auto"/>
        <w:jc w:val="both"/>
        <w:rPr>
          <w:rFonts w:ascii="Verdana" w:eastAsia="Calibri" w:hAnsi="Verdana" w:cs="Times New Roman"/>
        </w:rPr>
      </w:pPr>
      <w:r w:rsidRPr="00380CA4">
        <w:rPr>
          <w:rFonts w:ascii="Verdana" w:eastAsia="Calibri" w:hAnsi="Verdana" w:cs="Times New Roman"/>
        </w:rPr>
        <w:t>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C-1401 del 22 de octubre de 2025, C-1512 del 27 de octubre de 2025, C-1488 del 30 de octubre de 2025, C-1596 del 6 de noviembre de 2025, C-1509 del 19 de noviembre de 2025, C-1548 del 2 de diciembre de 2025, C-1773 del 5 de diciembre de 2025, C-1646 del 17 de diciembre de 2025, C-1703 del 29 de diciembre de 2025, C-068 del 27 de enero de 2026</w:t>
      </w:r>
      <w:r>
        <w:rPr>
          <w:rFonts w:ascii="Verdana" w:eastAsia="Calibri" w:hAnsi="Verdana" w:cs="Times New Roman"/>
        </w:rPr>
        <w:t xml:space="preserve">, C-111 del 6 de febrero de 2026, C-127 del 6 de febrero de 2026, </w:t>
      </w:r>
      <w:r w:rsidRPr="0061256A">
        <w:rPr>
          <w:rFonts w:ascii="Verdana" w:hAnsi="Verdana" w:cs="Arial"/>
          <w:shd w:val="clear" w:color="auto" w:fill="FFFFFF"/>
        </w:rPr>
        <w:t>C-137 del 17 de febrero de 2026, C-185 del 23 de febrero de 2026, C-322 del 4 de marz</w:t>
      </w:r>
      <w:r>
        <w:rPr>
          <w:rFonts w:ascii="Verdana" w:hAnsi="Verdana" w:cs="Arial"/>
          <w:shd w:val="clear" w:color="auto" w:fill="FFFFFF"/>
        </w:rPr>
        <w:t xml:space="preserve">o de 2026, </w:t>
      </w:r>
      <w:r>
        <w:rPr>
          <w:rFonts w:ascii="Verdana" w:eastAsia="Calibri" w:hAnsi="Verdana" w:cs="Times New Roman"/>
        </w:rPr>
        <w:t xml:space="preserve">entre otros. </w:t>
      </w:r>
      <w:r w:rsidRPr="00380CA4">
        <w:rPr>
          <w:rFonts w:ascii="Verdana" w:eastAsia="Calibri" w:hAnsi="Verdana" w:cs="Times New Roman"/>
        </w:rPr>
        <w:t xml:space="preserve">Estos y otros conceptos se encuentran disponibles para consulta en el Sistema de </w:t>
      </w:r>
      <w:r w:rsidRPr="00380CA4">
        <w:rPr>
          <w:rFonts w:ascii="Verdana" w:eastAsia="Calibri" w:hAnsi="Verdana" w:cs="Times New Roman"/>
        </w:rPr>
        <w:lastRenderedPageBreak/>
        <w:t>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0801232D" w14:textId="77777777" w:rsidR="00E33242" w:rsidRPr="00380CA4" w:rsidRDefault="00E33242" w:rsidP="00E33242">
      <w:pPr>
        <w:spacing w:after="0" w:line="256" w:lineRule="auto"/>
        <w:jc w:val="both"/>
        <w:rPr>
          <w:rFonts w:ascii="Verdana" w:eastAsia="Calibri" w:hAnsi="Verdana" w:cs="Times New Roman"/>
        </w:rPr>
      </w:pPr>
      <w:hyperlink r:id="rId27" w:history="1">
        <w:r w:rsidRPr="00380CA4">
          <w:rPr>
            <w:rStyle w:val="Hipervnculo"/>
            <w:rFonts w:ascii="Verdana" w:eastAsia="Calibri" w:hAnsi="Verdana" w:cs="Times New Roman"/>
          </w:rPr>
          <w:t>https://relatoria.colombiacompra.gov.co/busqueda/conceptos</w:t>
        </w:r>
      </w:hyperlink>
      <w:r w:rsidRPr="00380CA4">
        <w:rPr>
          <w:rFonts w:ascii="Verdana" w:eastAsia="Calibri" w:hAnsi="Verdana" w:cs="Times New Roman"/>
        </w:rPr>
        <w:t xml:space="preserve">. </w:t>
      </w:r>
    </w:p>
    <w:p w14:paraId="2EAF2288" w14:textId="77777777" w:rsidR="00E33242" w:rsidRPr="00380CA4" w:rsidRDefault="00E33242" w:rsidP="00E33242">
      <w:pPr>
        <w:widowControl w:val="0"/>
        <w:autoSpaceDE w:val="0"/>
        <w:autoSpaceDN w:val="0"/>
        <w:spacing w:after="0" w:line="276" w:lineRule="auto"/>
        <w:jc w:val="both"/>
        <w:rPr>
          <w:rFonts w:ascii="Verdana" w:hAnsi="Verdana" w:cs="Arial"/>
          <w:color w:val="000000" w:themeColor="text1"/>
          <w:shd w:val="clear" w:color="auto" w:fill="FFFFFF"/>
        </w:rPr>
      </w:pPr>
    </w:p>
    <w:p w14:paraId="0FCC8331" w14:textId="77777777" w:rsidR="00E33242" w:rsidRPr="00231A97" w:rsidRDefault="00E33242" w:rsidP="00E33242">
      <w:pPr>
        <w:spacing w:after="0" w:line="256" w:lineRule="auto"/>
        <w:jc w:val="both"/>
        <w:rPr>
          <w:rFonts w:ascii="Verdana" w:eastAsia="Calibri" w:hAnsi="Verdana" w:cs="Times New Roman"/>
        </w:rPr>
      </w:pPr>
      <w:r w:rsidRPr="00231A97">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231A97">
        <w:rPr>
          <w:rFonts w:ascii="Verdana" w:eastAsia="Calibri" w:hAnsi="Verdana" w:cs="Times New Roman"/>
          <w:b/>
          <w:bCs/>
        </w:rPr>
        <w:t>Curso de Contratación Pública Sostenible y Socialmente Responsable</w:t>
      </w:r>
      <w:r w:rsidRPr="00231A97">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31A97">
        <w:rPr>
          <w:rFonts w:ascii="Verdana" w:eastAsia="Calibri" w:hAnsi="Verdana" w:cs="Times New Roman"/>
        </w:rPr>
        <w:br/>
      </w:r>
      <w:hyperlink r:id="rId28" w:tgtFrame="_new" w:history="1">
        <w:r w:rsidRPr="00231A97">
          <w:rPr>
            <w:rStyle w:val="Hipervnculo"/>
            <w:rFonts w:ascii="Verdana" w:eastAsia="Calibri" w:hAnsi="Verdana" w:cs="Times New Roman"/>
          </w:rPr>
          <w:t>https://formacionvirtual.colombiacompra.gov.co/mod/page/view.php?id=3718</w:t>
        </w:r>
      </w:hyperlink>
    </w:p>
    <w:p w14:paraId="33D1A2BA" w14:textId="77777777" w:rsidR="00E33242" w:rsidRDefault="00E33242" w:rsidP="00E33242">
      <w:pPr>
        <w:spacing w:after="0" w:line="256" w:lineRule="auto"/>
        <w:jc w:val="both"/>
        <w:rPr>
          <w:rFonts w:ascii="Verdana" w:eastAsia="Calibri" w:hAnsi="Verdana" w:cs="Times New Roman"/>
        </w:rPr>
      </w:pPr>
    </w:p>
    <w:p w14:paraId="0C5C8EB1" w14:textId="77777777" w:rsidR="00E33242" w:rsidRPr="00231A97" w:rsidRDefault="00E33242" w:rsidP="00E33242">
      <w:pPr>
        <w:spacing w:after="0" w:line="256" w:lineRule="auto"/>
        <w:jc w:val="both"/>
        <w:rPr>
          <w:rFonts w:ascii="Verdana" w:eastAsia="Calibri" w:hAnsi="Verdana" w:cs="Times New Roman"/>
        </w:rPr>
      </w:pPr>
      <w:r w:rsidRPr="00231A97">
        <w:rPr>
          <w:rFonts w:ascii="Verdana" w:eastAsia="Calibri" w:hAnsi="Verdana" w:cs="Times New Roman"/>
        </w:rPr>
        <w:t xml:space="preserve">De otro lado, te contamos que esta Agencia ha da un paso decisivo en la estandarización y modernización del </w:t>
      </w:r>
      <w:r w:rsidRPr="00231A97">
        <w:rPr>
          <w:rFonts w:ascii="Verdana" w:eastAsia="Calibri" w:hAnsi="Verdana" w:cs="Times New Roman"/>
          <w:b/>
          <w:bCs/>
        </w:rPr>
        <w:t>sector  social</w:t>
      </w:r>
      <w:r w:rsidRPr="00231A97">
        <w:rPr>
          <w:rFonts w:ascii="Verdana" w:eastAsia="Calibri" w:hAnsi="Verdana" w:cs="Times New Roman"/>
        </w:rPr>
        <w:t xml:space="preserve"> con la expedición de las </w:t>
      </w:r>
      <w:r w:rsidRPr="00231A97">
        <w:rPr>
          <w:rFonts w:ascii="Verdana" w:eastAsia="Calibri" w:hAnsi="Verdana" w:cs="Times New Roman"/>
          <w:b/>
          <w:bCs/>
        </w:rPr>
        <w:t>Resoluciones 539, 540, 541, 952 y 953 de 2025</w:t>
      </w:r>
      <w:r w:rsidRPr="00231A97">
        <w:rPr>
          <w:rFonts w:ascii="Verdana" w:eastAsia="Calibri" w:hAnsi="Verdana" w:cs="Times New Roman"/>
        </w:rPr>
        <w:t xml:space="preserve">, </w:t>
      </w:r>
      <w:r w:rsidRPr="00231A97">
        <w:rPr>
          <w:rFonts w:ascii="Verdana" w:eastAsia="Calibri" w:hAnsi="Verdana" w:cs="Times New Roman"/>
          <w:b/>
          <w:bCs/>
        </w:rPr>
        <w:t>mediante las cuales adoptó Documentos Tipo</w:t>
      </w:r>
      <w:r w:rsidRPr="00231A97">
        <w:rPr>
          <w:rFonts w:ascii="Verdana" w:eastAsia="Calibri" w:hAnsi="Verdana" w:cs="Times New Roman"/>
        </w:rPr>
        <w:t xml:space="preserve"> para las modalidades de selección de</w:t>
      </w:r>
      <w:r w:rsidRPr="00231A97">
        <w:rPr>
          <w:rFonts w:ascii="Verdana" w:eastAsia="Calibri" w:hAnsi="Verdana" w:cs="Times New Roman"/>
          <w:b/>
          <w:bCs/>
        </w:rPr>
        <w:t xml:space="preserve"> licitación pública (versión 2), selección abreviada de menor cuantía, mínima cuantía, consultoría e interventoría</w:t>
      </w:r>
      <w:r w:rsidRPr="00231A97">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29" w:tgtFrame="_new" w:history="1">
        <w:r w:rsidRPr="00231A97">
          <w:rPr>
            <w:rStyle w:val="Hipervnculo"/>
            <w:rFonts w:ascii="Verdana" w:eastAsia="Calibri" w:hAnsi="Verdana" w:cs="Times New Roman"/>
          </w:rPr>
          <w:t>https://www.colombiacompra.gov.co/normativa-y-relatoria/documentos-tipo</w:t>
        </w:r>
      </w:hyperlink>
    </w:p>
    <w:p w14:paraId="55DADCF7" w14:textId="77777777" w:rsidR="00E33242" w:rsidRDefault="00E33242" w:rsidP="00E33242">
      <w:pPr>
        <w:spacing w:after="0" w:line="256" w:lineRule="auto"/>
        <w:jc w:val="both"/>
        <w:rPr>
          <w:rFonts w:ascii="Verdana" w:eastAsia="Calibri" w:hAnsi="Verdana" w:cs="Times New Roman"/>
        </w:rPr>
      </w:pPr>
    </w:p>
    <w:p w14:paraId="485BC034" w14:textId="77777777" w:rsidR="00E33242" w:rsidRPr="00231A97" w:rsidRDefault="00E33242" w:rsidP="00E33242">
      <w:pPr>
        <w:spacing w:after="0" w:line="256" w:lineRule="auto"/>
        <w:jc w:val="both"/>
        <w:rPr>
          <w:rFonts w:ascii="Verdana" w:eastAsia="Calibri" w:hAnsi="Verdana" w:cs="Times New Roman"/>
        </w:rPr>
      </w:pPr>
      <w:r w:rsidRPr="00231A97">
        <w:rPr>
          <w:rFonts w:ascii="Verdana" w:eastAsia="Calibri" w:hAnsi="Verdana" w:cs="Times New Roman"/>
        </w:rPr>
        <w:t xml:space="preserve">Si quieres conocer más sobre la aplicación de Documentos Tipo puedes consultar la última versión de la </w:t>
      </w:r>
      <w:r w:rsidRPr="00231A97">
        <w:rPr>
          <w:rFonts w:ascii="Verdana" w:eastAsia="Calibri" w:hAnsi="Verdana" w:cs="Times New Roman"/>
          <w:b/>
          <w:bCs/>
        </w:rPr>
        <w:t>Guía para la comprensión e implementación de los Documentos Tipo de obra pública de infraestructura de transporte</w:t>
      </w:r>
      <w:r w:rsidRPr="00231A97">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31A97">
        <w:rPr>
          <w:rFonts w:ascii="Verdana" w:eastAsia="Calibri" w:hAnsi="Verdana" w:cs="Times New Roman"/>
        </w:rPr>
        <w:br/>
      </w:r>
      <w:hyperlink r:id="rId30" w:tgtFrame="_new" w:history="1">
        <w:r w:rsidRPr="00231A97">
          <w:rPr>
            <w:rStyle w:val="Hipervnculo"/>
            <w:rFonts w:ascii="Verdana" w:eastAsia="Calibri" w:hAnsi="Verdana" w:cs="Times New Roman"/>
          </w:rPr>
          <w:t>https://www.colombiacompra.gov.co/archivos/manual/guia-para-la-comprension-e-implementacion-de-los-documentos-tipo-de-obra-publica-de-</w:t>
        </w:r>
        <w:r w:rsidRPr="00231A97">
          <w:rPr>
            <w:rStyle w:val="Hipervnculo"/>
            <w:rFonts w:ascii="Verdana" w:eastAsia="Calibri" w:hAnsi="Verdana" w:cs="Times New Roman"/>
          </w:rPr>
          <w:lastRenderedPageBreak/>
          <w:t>infraestructura-de-transporte-bajo-las-diferentes-modalidades-de-contratacion-vigentes</w:t>
        </w:r>
      </w:hyperlink>
    </w:p>
    <w:p w14:paraId="02E967E1" w14:textId="77777777" w:rsidR="00E33242" w:rsidRPr="00380CA4" w:rsidRDefault="00E33242" w:rsidP="00E33242">
      <w:pPr>
        <w:shd w:val="clear" w:color="auto" w:fill="FFFFFF"/>
        <w:spacing w:after="0" w:line="276" w:lineRule="auto"/>
        <w:jc w:val="both"/>
        <w:rPr>
          <w:rFonts w:ascii="Verdana" w:hAnsi="Verdana"/>
          <w:color w:val="000000"/>
          <w:u w:val="single"/>
        </w:rPr>
      </w:pPr>
    </w:p>
    <w:p w14:paraId="4F42E62C" w14:textId="77777777" w:rsidR="00E33242" w:rsidRPr="00380CA4" w:rsidRDefault="00E33242" w:rsidP="00E33242">
      <w:pPr>
        <w:spacing w:after="0"/>
        <w:jc w:val="both"/>
        <w:rPr>
          <w:rFonts w:ascii="Verdana" w:hAnsi="Verdana"/>
        </w:rPr>
      </w:pPr>
      <w:r w:rsidRPr="00380CA4">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5485121B" w14:textId="77777777" w:rsidR="00E33242" w:rsidRPr="00380CA4" w:rsidRDefault="00E33242" w:rsidP="00E33242">
      <w:pPr>
        <w:spacing w:after="0"/>
        <w:jc w:val="both"/>
        <w:rPr>
          <w:rFonts w:ascii="Verdana" w:hAnsi="Verdana"/>
        </w:rPr>
      </w:pPr>
    </w:p>
    <w:p w14:paraId="10148AC6" w14:textId="77777777" w:rsidR="00E33242" w:rsidRPr="00380CA4" w:rsidRDefault="00E33242" w:rsidP="00E33242">
      <w:pPr>
        <w:pStyle w:val="Prrafodelista"/>
        <w:numPr>
          <w:ilvl w:val="0"/>
          <w:numId w:val="15"/>
        </w:numPr>
        <w:spacing w:after="0" w:line="240" w:lineRule="auto"/>
        <w:jc w:val="both"/>
        <w:rPr>
          <w:rFonts w:ascii="Verdana" w:eastAsia="Verdana" w:hAnsi="Verdana" w:cs="Verdana"/>
          <w:color w:val="4472C4" w:themeColor="accent1"/>
          <w:u w:val="single"/>
          <w:lang w:val="es-CO"/>
        </w:rPr>
      </w:pPr>
      <w:r w:rsidRPr="00380CA4">
        <w:rPr>
          <w:rFonts w:ascii="Verdana" w:eastAsia="Verdana" w:hAnsi="Verdana" w:cs="Verdana"/>
          <w:lang w:val="es-CO"/>
        </w:rPr>
        <w:t xml:space="preserve">Línea nacional gratuita o servicio a la ciudadanía (Mesa de servicio): </w:t>
      </w:r>
      <w:r w:rsidRPr="00380CA4">
        <w:rPr>
          <w:rStyle w:val="Hipervnculo"/>
          <w:rFonts w:ascii="Verdana" w:hAnsi="Verdana"/>
          <w:lang w:val="es-CO"/>
        </w:rPr>
        <w:t>01800 0520808</w:t>
      </w:r>
    </w:p>
    <w:p w14:paraId="7F1C9628" w14:textId="77777777" w:rsidR="00E33242" w:rsidRPr="00380CA4" w:rsidRDefault="00E33242" w:rsidP="00E33242">
      <w:pPr>
        <w:pStyle w:val="Prrafodelista"/>
        <w:numPr>
          <w:ilvl w:val="0"/>
          <w:numId w:val="15"/>
        </w:numPr>
        <w:spacing w:after="0"/>
        <w:rPr>
          <w:rFonts w:ascii="Verdana" w:eastAsia="Verdana" w:hAnsi="Verdana" w:cs="Verdana"/>
          <w:color w:val="4472C4" w:themeColor="accent1"/>
          <w:u w:val="single"/>
          <w:lang w:val="es-CO"/>
        </w:rPr>
      </w:pPr>
      <w:r w:rsidRPr="00380CA4">
        <w:rPr>
          <w:rFonts w:ascii="Verdana" w:eastAsia="Verdana" w:hAnsi="Verdana" w:cs="Verdana"/>
          <w:lang w:val="es-CO"/>
        </w:rPr>
        <w:t>Línea en Bogotá (Mesa de servicio</w:t>
      </w:r>
      <w:proofErr w:type="gramStart"/>
      <w:r w:rsidRPr="00380CA4">
        <w:rPr>
          <w:rFonts w:ascii="Verdana" w:eastAsia="Verdana" w:hAnsi="Verdana" w:cs="Verdana"/>
          <w:lang w:val="es-CO"/>
        </w:rPr>
        <w:t>):</w:t>
      </w:r>
      <w:r w:rsidRPr="00380CA4">
        <w:rPr>
          <w:rStyle w:val="Hipervnculo"/>
          <w:rFonts w:ascii="Verdana" w:hAnsi="Verdana"/>
          <w:lang w:val="es-CO"/>
        </w:rPr>
        <w:t>+</w:t>
      </w:r>
      <w:proofErr w:type="gramEnd"/>
      <w:r w:rsidRPr="00380CA4">
        <w:rPr>
          <w:rStyle w:val="Hipervnculo"/>
          <w:rFonts w:ascii="Verdana" w:hAnsi="Verdana"/>
          <w:lang w:val="es-CO"/>
        </w:rPr>
        <w:t>57 601 7456788</w:t>
      </w:r>
    </w:p>
    <w:p w14:paraId="06B980A2" w14:textId="77777777" w:rsidR="00E33242" w:rsidRPr="00380CA4" w:rsidRDefault="00E33242" w:rsidP="00E33242">
      <w:pPr>
        <w:pStyle w:val="Prrafodelista"/>
        <w:numPr>
          <w:ilvl w:val="0"/>
          <w:numId w:val="15"/>
        </w:numPr>
        <w:spacing w:after="0"/>
        <w:rPr>
          <w:rFonts w:ascii="Verdana" w:eastAsia="Verdana" w:hAnsi="Verdana" w:cs="Verdana"/>
          <w:color w:val="0000FF"/>
          <w:u w:val="single"/>
          <w:lang w:val="es-CO"/>
        </w:rPr>
      </w:pPr>
      <w:r w:rsidRPr="00380CA4">
        <w:rPr>
          <w:rFonts w:ascii="Verdana" w:eastAsia="Verdana" w:hAnsi="Verdana" w:cs="Verdana"/>
          <w:lang w:val="es-CO"/>
        </w:rPr>
        <w:t xml:space="preserve">Correo de radicación de correspondencia: </w:t>
      </w:r>
      <w:hyperlink r:id="rId31">
        <w:r w:rsidRPr="00380CA4">
          <w:rPr>
            <w:rStyle w:val="Hipervnculo"/>
            <w:rFonts w:ascii="Verdana" w:eastAsia="Verdana" w:hAnsi="Verdana" w:cs="Verdana"/>
            <w:lang w:val="es-CO"/>
          </w:rPr>
          <w:t>ventanilladeradicacion@colombiacompra.gov.co</w:t>
        </w:r>
      </w:hyperlink>
    </w:p>
    <w:p w14:paraId="15888352" w14:textId="77777777" w:rsidR="00E33242" w:rsidRPr="00380CA4" w:rsidRDefault="00E33242" w:rsidP="00E33242">
      <w:pPr>
        <w:pStyle w:val="Prrafodelista"/>
        <w:numPr>
          <w:ilvl w:val="0"/>
          <w:numId w:val="15"/>
        </w:numPr>
        <w:spacing w:after="0"/>
        <w:rPr>
          <w:rFonts w:ascii="Verdana" w:eastAsia="Verdana" w:hAnsi="Verdana" w:cs="Verdana"/>
          <w:color w:val="0000FF"/>
          <w:u w:val="single"/>
          <w:lang w:val="es-CO"/>
        </w:rPr>
      </w:pPr>
      <w:r w:rsidRPr="00380CA4">
        <w:rPr>
          <w:rFonts w:ascii="Verdana" w:eastAsia="Verdana" w:hAnsi="Verdana" w:cs="Verdana"/>
          <w:lang w:val="es-CO"/>
        </w:rPr>
        <w:t xml:space="preserve">Formulario web para PQRSD: </w:t>
      </w:r>
      <w:hyperlink r:id="rId32">
        <w:r w:rsidRPr="00380CA4">
          <w:rPr>
            <w:rStyle w:val="Hipervnculo"/>
            <w:rFonts w:ascii="Verdana" w:eastAsia="Verdana" w:hAnsi="Verdana" w:cs="Verdana"/>
            <w:lang w:val="es-CO"/>
          </w:rPr>
          <w:t>https://www.colombiacompra.gov.co/pqrsd/informacion-importante-antes-de-formular-una-pqrsd</w:t>
        </w:r>
      </w:hyperlink>
    </w:p>
    <w:p w14:paraId="3122AAAB" w14:textId="77777777" w:rsidR="00E33242" w:rsidRPr="00380CA4" w:rsidRDefault="00E33242" w:rsidP="00E33242">
      <w:pPr>
        <w:spacing w:after="0" w:line="240" w:lineRule="auto"/>
        <w:ind w:left="720"/>
        <w:jc w:val="both"/>
        <w:rPr>
          <w:rFonts w:ascii="Verdana" w:hAnsi="Verdana"/>
        </w:rPr>
      </w:pPr>
    </w:p>
    <w:p w14:paraId="19FA3FB6" w14:textId="77777777" w:rsidR="00E33242" w:rsidRPr="00380CA4" w:rsidRDefault="00E33242" w:rsidP="00E33242">
      <w:pPr>
        <w:spacing w:after="0" w:line="240" w:lineRule="auto"/>
        <w:rPr>
          <w:rFonts w:ascii="Verdana" w:hAnsi="Verdana"/>
        </w:rPr>
      </w:pPr>
      <w:r w:rsidRPr="00380CA4">
        <w:rPr>
          <w:rFonts w:ascii="Verdana" w:hAnsi="Verdana"/>
        </w:rPr>
        <w:t xml:space="preserve">Evalúa el servicio que ofrece la Agencia por el canal de atención de PQRSD en el siguiente </w:t>
      </w:r>
      <w:proofErr w:type="gramStart"/>
      <w:r w:rsidRPr="00380CA4">
        <w:rPr>
          <w:rFonts w:ascii="Verdana" w:hAnsi="Verdana"/>
        </w:rPr>
        <w:t>enlace :</w:t>
      </w:r>
      <w:proofErr w:type="gramEnd"/>
      <w:hyperlink r:id="rId33" w:tgtFrame="_blank" w:tooltip="https://forms.office.com/r/pphywvs2sz" w:history="1">
        <w:r w:rsidRPr="00380CA4">
          <w:rPr>
            <w:rStyle w:val="Hipervnculo"/>
            <w:rFonts w:ascii="Verdana" w:hAnsi="Verdana"/>
          </w:rPr>
          <w:t>https://forms.office.com/r/pPHyWVs2SZ</w:t>
        </w:r>
      </w:hyperlink>
      <w:r w:rsidRPr="00380CA4">
        <w:rPr>
          <w:rFonts w:ascii="Verdana" w:hAnsi="Verdana"/>
        </w:rPr>
        <w:t xml:space="preserve"> .¡Ayúdanos a mejorar porque el compromiso es de todos!</w:t>
      </w:r>
    </w:p>
    <w:p w14:paraId="306AD793" w14:textId="77777777" w:rsidR="00E33242" w:rsidRPr="00380CA4" w:rsidRDefault="00E33242" w:rsidP="00E33242">
      <w:pPr>
        <w:spacing w:after="0" w:line="240" w:lineRule="auto"/>
        <w:rPr>
          <w:rFonts w:ascii="Verdana" w:hAnsi="Verdana"/>
        </w:rPr>
      </w:pPr>
    </w:p>
    <w:p w14:paraId="0DDCED8F" w14:textId="77777777" w:rsidR="00E33242" w:rsidRPr="00380CA4" w:rsidRDefault="00E33242" w:rsidP="00E33242">
      <w:pPr>
        <w:spacing w:after="0" w:line="240" w:lineRule="auto"/>
        <w:jc w:val="both"/>
        <w:rPr>
          <w:rFonts w:ascii="Verdana" w:hAnsi="Verdana"/>
        </w:rPr>
      </w:pPr>
      <w:r w:rsidRPr="00380CA4">
        <w:rPr>
          <w:rFonts w:ascii="Verdana" w:hAnsi="Verdana"/>
        </w:rPr>
        <w:t xml:space="preserve">Por último, lo invitamos a seguirnos en las redes sociales en las cuales se difunde información institucional: </w:t>
      </w:r>
    </w:p>
    <w:p w14:paraId="6F92418A" w14:textId="77777777" w:rsidR="00E33242" w:rsidRPr="00380CA4" w:rsidRDefault="00E33242" w:rsidP="00E33242">
      <w:pPr>
        <w:spacing w:after="0" w:line="240" w:lineRule="auto"/>
        <w:jc w:val="both"/>
        <w:rPr>
          <w:rFonts w:ascii="Verdana" w:hAnsi="Verdana"/>
        </w:rPr>
      </w:pPr>
    </w:p>
    <w:p w14:paraId="58E94CFB" w14:textId="77777777" w:rsidR="00E33242" w:rsidRPr="00380CA4" w:rsidRDefault="00E33242" w:rsidP="00E33242">
      <w:pPr>
        <w:spacing w:after="0" w:line="240" w:lineRule="auto"/>
        <w:jc w:val="both"/>
        <w:rPr>
          <w:rFonts w:ascii="Verdana" w:hAnsi="Verdana"/>
        </w:rPr>
      </w:pPr>
      <w:r w:rsidRPr="00380CA4">
        <w:rPr>
          <w:rFonts w:ascii="Verdana" w:hAnsi="Verdana"/>
        </w:rPr>
        <w:t xml:space="preserve">Twitter: </w:t>
      </w:r>
      <w:r w:rsidRPr="00380CA4">
        <w:rPr>
          <w:rStyle w:val="Hipervnculo"/>
          <w:rFonts w:ascii="Verdana" w:hAnsi="Verdana"/>
        </w:rPr>
        <w:t>@colombiacompra</w:t>
      </w:r>
      <w:r w:rsidRPr="00380CA4">
        <w:rPr>
          <w:rFonts w:ascii="Verdana" w:hAnsi="Verdana"/>
        </w:rPr>
        <w:t xml:space="preserve"> </w:t>
      </w:r>
    </w:p>
    <w:p w14:paraId="093B3126" w14:textId="77777777" w:rsidR="00E33242" w:rsidRPr="00380CA4" w:rsidRDefault="00E33242" w:rsidP="00E33242">
      <w:pPr>
        <w:spacing w:after="0" w:line="240" w:lineRule="auto"/>
        <w:jc w:val="both"/>
        <w:rPr>
          <w:rFonts w:ascii="Verdana" w:hAnsi="Verdana"/>
        </w:rPr>
      </w:pPr>
      <w:r w:rsidRPr="00380CA4">
        <w:rPr>
          <w:rFonts w:ascii="Verdana" w:hAnsi="Verdana"/>
        </w:rPr>
        <w:t xml:space="preserve">Facebook: </w:t>
      </w:r>
      <w:proofErr w:type="spellStart"/>
      <w:r w:rsidRPr="00380CA4">
        <w:rPr>
          <w:rStyle w:val="Hipervnculo"/>
          <w:rFonts w:ascii="Verdana" w:hAnsi="Verdana"/>
        </w:rPr>
        <w:t>ColombiaCompraEficiente</w:t>
      </w:r>
      <w:proofErr w:type="spellEnd"/>
    </w:p>
    <w:p w14:paraId="3ED92ADD" w14:textId="77777777" w:rsidR="00E33242" w:rsidRPr="00380CA4" w:rsidRDefault="00E33242" w:rsidP="00E33242">
      <w:pPr>
        <w:spacing w:after="0" w:line="240" w:lineRule="auto"/>
        <w:jc w:val="both"/>
        <w:rPr>
          <w:rFonts w:ascii="Verdana" w:hAnsi="Verdana"/>
        </w:rPr>
      </w:pPr>
      <w:r w:rsidRPr="00380CA4">
        <w:rPr>
          <w:rFonts w:ascii="Verdana" w:hAnsi="Verdana"/>
        </w:rPr>
        <w:t xml:space="preserve">LinkedIn: </w:t>
      </w:r>
      <w:r w:rsidRPr="00380CA4">
        <w:rPr>
          <w:rStyle w:val="Hipervnculo"/>
          <w:rFonts w:ascii="Verdana" w:hAnsi="Verdana"/>
        </w:rPr>
        <w:t>Agencia Nacional de Contratación Pública - Colombia Compra Eficiente</w:t>
      </w:r>
      <w:r w:rsidRPr="00380CA4">
        <w:rPr>
          <w:rFonts w:ascii="Verdana" w:hAnsi="Verdana"/>
        </w:rPr>
        <w:t xml:space="preserve"> Instagram: </w:t>
      </w:r>
      <w:r w:rsidRPr="00380CA4">
        <w:rPr>
          <w:rStyle w:val="Hipervnculo"/>
          <w:rFonts w:ascii="Verdana" w:hAnsi="Verdana"/>
        </w:rPr>
        <w:t>@colombiacompraeficiente_cce</w:t>
      </w:r>
    </w:p>
    <w:p w14:paraId="2C4E32A2" w14:textId="77777777" w:rsidR="00E33242" w:rsidRPr="00380CA4" w:rsidRDefault="00E33242" w:rsidP="00E33242">
      <w:pPr>
        <w:spacing w:after="0" w:line="240" w:lineRule="auto"/>
        <w:jc w:val="both"/>
        <w:rPr>
          <w:rFonts w:ascii="Verdana" w:hAnsi="Verdana"/>
        </w:rPr>
      </w:pPr>
    </w:p>
    <w:p w14:paraId="4EF93C3B" w14:textId="77777777" w:rsidR="00E33242" w:rsidRPr="00380CA4" w:rsidRDefault="00E33242" w:rsidP="00E33242">
      <w:pPr>
        <w:spacing w:after="0" w:line="256" w:lineRule="auto"/>
        <w:jc w:val="both"/>
        <w:rPr>
          <w:rFonts w:ascii="Verdana" w:eastAsia="Calibri" w:hAnsi="Verdana" w:cs="Times New Roman"/>
          <w:bCs/>
        </w:rPr>
      </w:pPr>
      <w:r w:rsidRPr="00380CA4">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A8872EF" w14:textId="77777777" w:rsidR="00E33242" w:rsidRPr="00380CA4" w:rsidRDefault="00E33242" w:rsidP="00E33242">
      <w:pPr>
        <w:spacing w:after="0" w:line="256" w:lineRule="auto"/>
        <w:jc w:val="both"/>
        <w:rPr>
          <w:rFonts w:ascii="Verdana" w:eastAsia="Calibri" w:hAnsi="Verdana" w:cs="Times New Roman"/>
        </w:rPr>
      </w:pPr>
    </w:p>
    <w:p w14:paraId="6FAE09F2" w14:textId="77777777" w:rsidR="00E33242" w:rsidRPr="00380CA4" w:rsidRDefault="00E33242" w:rsidP="00E33242">
      <w:pPr>
        <w:spacing w:after="0" w:line="256" w:lineRule="auto"/>
        <w:jc w:val="both"/>
        <w:rPr>
          <w:rFonts w:ascii="Verdana" w:eastAsia="Calibri" w:hAnsi="Verdana" w:cs="Times New Roman"/>
        </w:rPr>
      </w:pPr>
      <w:r w:rsidRPr="00380CA4">
        <w:rPr>
          <w:rFonts w:ascii="Verdana" w:eastAsia="Calibri" w:hAnsi="Verdana" w:cs="Times New Roman"/>
        </w:rPr>
        <w:t>Atentamente,</w:t>
      </w:r>
    </w:p>
    <w:p w14:paraId="02C081ED" w14:textId="77777777" w:rsidR="00E33242" w:rsidRPr="00123807" w:rsidRDefault="00E33242" w:rsidP="00E33242">
      <w:pPr>
        <w:spacing w:after="0" w:line="256" w:lineRule="auto"/>
        <w:jc w:val="center"/>
        <w:rPr>
          <w:rFonts w:ascii="Century Gothic" w:hAnsi="Century Gothic"/>
          <w:noProof/>
          <w:sz w:val="20"/>
          <w:szCs w:val="20"/>
        </w:rPr>
      </w:pPr>
    </w:p>
    <w:p w14:paraId="2E452210" w14:textId="66BE386F" w:rsidR="00E33242" w:rsidRPr="00123807" w:rsidRDefault="00090AEB" w:rsidP="00E33242">
      <w:pPr>
        <w:spacing w:after="0" w:line="256" w:lineRule="auto"/>
        <w:jc w:val="center"/>
        <w:rPr>
          <w:noProof/>
          <w:sz w:val="20"/>
          <w:szCs w:val="20"/>
          <w:lang w:val="en-US"/>
        </w:rPr>
      </w:pPr>
      <w:r>
        <w:rPr>
          <w:noProof/>
          <w:lang w:val="en-US"/>
        </w:rPr>
        <w:lastRenderedPageBreak/>
        <w:drawing>
          <wp:inline distT="0" distB="0" distL="0" distR="0" wp14:anchorId="2A87EBC4" wp14:editId="3B6C9831">
            <wp:extent cx="3771900" cy="1400175"/>
            <wp:effectExtent l="0" t="0" r="0" b="0"/>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34"/>
                    <a:stretch>
                      <a:fillRect/>
                    </a:stretch>
                  </pic:blipFill>
                  <pic:spPr>
                    <a:xfrm>
                      <a:off x="0" y="0"/>
                      <a:ext cx="3771900" cy="1400175"/>
                    </a:xfrm>
                    <a:prstGeom prst="rect">
                      <a:avLst/>
                    </a:prstGeom>
                  </pic:spPr>
                </pic:pic>
              </a:graphicData>
            </a:graphic>
          </wp:inline>
        </w:drawing>
      </w:r>
    </w:p>
    <w:p w14:paraId="2D3885CD" w14:textId="77777777" w:rsidR="00E33242" w:rsidRPr="00123807" w:rsidRDefault="00E33242" w:rsidP="00E33242">
      <w:pPr>
        <w:spacing w:after="0" w:line="256" w:lineRule="auto"/>
        <w:jc w:val="center"/>
        <w:rPr>
          <w:rFonts w:ascii="Century Gothic" w:hAnsi="Century Gothic"/>
          <w:noProof/>
          <w:sz w:val="20"/>
          <w:szCs w:val="20"/>
        </w:rPr>
      </w:pPr>
      <w:r w:rsidRPr="00123807">
        <w:rPr>
          <w:rFonts w:ascii="Verdana" w:hAnsi="Verdana"/>
          <w:sz w:val="20"/>
          <w:szCs w:val="20"/>
        </w:rPr>
        <w:t xml:space="preserve"> </w:t>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E33242" w:rsidRPr="00380CA4" w14:paraId="19C40E60" w14:textId="77777777" w:rsidTr="007E2C2E">
        <w:trPr>
          <w:trHeight w:val="409"/>
        </w:trPr>
        <w:tc>
          <w:tcPr>
            <w:tcW w:w="817" w:type="dxa"/>
            <w:tcBorders>
              <w:top w:val="nil"/>
              <w:left w:val="nil"/>
              <w:bottom w:val="nil"/>
              <w:right w:val="nil"/>
            </w:tcBorders>
            <w:vAlign w:val="center"/>
            <w:hideMark/>
          </w:tcPr>
          <w:p w14:paraId="6C71C69D" w14:textId="77777777" w:rsidR="00E33242" w:rsidRPr="00380CA4" w:rsidRDefault="00E33242" w:rsidP="007E2C2E">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63DD5744" w14:textId="77777777" w:rsidR="00E33242" w:rsidRPr="00380CA4" w:rsidRDefault="00E33242" w:rsidP="007E2C2E">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José Luis Sánchez Cardona</w:t>
            </w:r>
          </w:p>
          <w:p w14:paraId="3D69AAA3" w14:textId="77777777" w:rsidR="00E33242" w:rsidRPr="00380CA4" w:rsidRDefault="00E33242" w:rsidP="007E2C2E">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Contratista de la Subdirección de Gestión Contractual</w:t>
            </w:r>
          </w:p>
        </w:tc>
      </w:tr>
      <w:tr w:rsidR="00E33242" w:rsidRPr="00380CA4" w14:paraId="58601053" w14:textId="77777777" w:rsidTr="007E2C2E">
        <w:trPr>
          <w:trHeight w:val="409"/>
        </w:trPr>
        <w:tc>
          <w:tcPr>
            <w:tcW w:w="817" w:type="dxa"/>
            <w:tcBorders>
              <w:top w:val="nil"/>
              <w:left w:val="nil"/>
              <w:bottom w:val="nil"/>
              <w:right w:val="nil"/>
            </w:tcBorders>
            <w:vAlign w:val="center"/>
            <w:hideMark/>
          </w:tcPr>
          <w:p w14:paraId="11684694" w14:textId="77777777" w:rsidR="00E33242" w:rsidRPr="00380CA4" w:rsidRDefault="00E33242" w:rsidP="007E2C2E">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8685D1A" w14:textId="77777777" w:rsidR="00E33242" w:rsidRPr="00380CA4" w:rsidRDefault="00E33242" w:rsidP="007E2C2E">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Alejandro R. Sarmiento Cantillo</w:t>
            </w:r>
          </w:p>
          <w:p w14:paraId="06C89746" w14:textId="77777777" w:rsidR="00E33242" w:rsidRPr="00380CA4" w:rsidRDefault="00E33242" w:rsidP="007E2C2E">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Gestor T1-15 de la Subdirección de Gestión Contractual </w:t>
            </w:r>
          </w:p>
        </w:tc>
      </w:tr>
      <w:tr w:rsidR="00E33242" w:rsidRPr="00380CA4" w14:paraId="239A01F4" w14:textId="77777777" w:rsidTr="007E2C2E">
        <w:trPr>
          <w:trHeight w:val="389"/>
        </w:trPr>
        <w:tc>
          <w:tcPr>
            <w:tcW w:w="817" w:type="dxa"/>
            <w:tcBorders>
              <w:top w:val="nil"/>
              <w:left w:val="nil"/>
              <w:bottom w:val="nil"/>
              <w:right w:val="nil"/>
            </w:tcBorders>
            <w:vAlign w:val="center"/>
            <w:hideMark/>
          </w:tcPr>
          <w:p w14:paraId="785F2D52" w14:textId="77777777" w:rsidR="00E33242" w:rsidRPr="00380CA4" w:rsidRDefault="00E33242" w:rsidP="007E2C2E">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65A9594" w14:textId="77777777" w:rsidR="00E33242" w:rsidRPr="00380CA4" w:rsidRDefault="00E33242" w:rsidP="007E2C2E">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Carolina Quintero Gacharná</w:t>
            </w:r>
          </w:p>
          <w:p w14:paraId="0C293319" w14:textId="77777777" w:rsidR="00E33242" w:rsidRPr="00380CA4" w:rsidRDefault="00E33242" w:rsidP="007E2C2E">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Subdirectora de Gestión Contractual ANCP – CCE</w:t>
            </w:r>
          </w:p>
        </w:tc>
      </w:tr>
      <w:bookmarkEnd w:id="0"/>
    </w:tbl>
    <w:p w14:paraId="41FD1E17" w14:textId="6191CBFB" w:rsidR="004674CF" w:rsidRPr="00090AEB" w:rsidRDefault="004674CF" w:rsidP="00090AEB">
      <w:pPr>
        <w:spacing w:after="0" w:line="240" w:lineRule="auto"/>
        <w:textAlignment w:val="baseline"/>
        <w:rPr>
          <w:rFonts w:ascii="Verdana" w:eastAsia="Verdana" w:hAnsi="Verdana" w:cs="Verdana"/>
          <w:lang w:eastAsia="es-CO"/>
        </w:rPr>
      </w:pPr>
    </w:p>
    <w:sectPr w:rsidR="004674CF" w:rsidRPr="00090AEB" w:rsidSect="007C0C0F">
      <w:headerReference w:type="default" r:id="rId35"/>
      <w:footerReference w:type="default" r:id="rId3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DD697F" w14:textId="77777777" w:rsidR="000046A3" w:rsidRDefault="000046A3" w:rsidP="004A1847">
      <w:pPr>
        <w:spacing w:after="0" w:line="240" w:lineRule="auto"/>
      </w:pPr>
      <w:r>
        <w:separator/>
      </w:r>
    </w:p>
  </w:endnote>
  <w:endnote w:type="continuationSeparator" w:id="0">
    <w:p w14:paraId="349FC76B" w14:textId="77777777" w:rsidR="000046A3" w:rsidRDefault="000046A3" w:rsidP="004A1847">
      <w:pPr>
        <w:spacing w:after="0" w:line="240" w:lineRule="auto"/>
      </w:pPr>
      <w:r>
        <w:continuationSeparator/>
      </w:r>
    </w:p>
  </w:endnote>
  <w:endnote w:type="continuationNotice" w:id="1">
    <w:p w14:paraId="7DE9B849" w14:textId="77777777" w:rsidR="000046A3" w:rsidRDefault="000046A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F857C3" w:rsidRDefault="00F857C3">
    <w:pPr>
      <w:pStyle w:val="Piedepgina"/>
    </w:pPr>
  </w:p>
  <w:p w14:paraId="594D6D9F" w14:textId="35AFD71B" w:rsidR="00F857C3" w:rsidRPr="00174B77" w:rsidRDefault="00F857C3"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1519C3" w:rsidRPr="001519C3">
      <w:rPr>
        <w:rFonts w:ascii="Verdana" w:eastAsiaTheme="minorEastAsia" w:hAnsi="Verdana"/>
        <w:b/>
        <w:bCs/>
        <w:noProof/>
        <w:sz w:val="16"/>
        <w:szCs w:val="16"/>
      </w:rPr>
      <w:t>7</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F857C3" w:rsidRDefault="00F857C3"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F857C3" w:rsidRPr="00E41027" w:rsidRDefault="00F857C3"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7E2C2E" w:rsidRDefault="007E2C2E">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A3FEAD" w14:textId="77777777" w:rsidR="000046A3" w:rsidRDefault="000046A3" w:rsidP="004A1847">
      <w:pPr>
        <w:spacing w:after="0" w:line="240" w:lineRule="auto"/>
      </w:pPr>
      <w:r>
        <w:separator/>
      </w:r>
    </w:p>
  </w:footnote>
  <w:footnote w:type="continuationSeparator" w:id="0">
    <w:p w14:paraId="334F2E25" w14:textId="77777777" w:rsidR="000046A3" w:rsidRDefault="000046A3" w:rsidP="004A1847">
      <w:pPr>
        <w:spacing w:after="0" w:line="240" w:lineRule="auto"/>
      </w:pPr>
      <w:r>
        <w:continuationSeparator/>
      </w:r>
    </w:p>
  </w:footnote>
  <w:footnote w:type="continuationNotice" w:id="1">
    <w:p w14:paraId="398CA5DC" w14:textId="77777777" w:rsidR="000046A3" w:rsidRDefault="000046A3">
      <w:pPr>
        <w:spacing w:after="0" w:line="240" w:lineRule="auto"/>
      </w:pPr>
    </w:p>
  </w:footnote>
  <w:footnote w:id="2">
    <w:p w14:paraId="1537F783" w14:textId="77777777" w:rsidR="00E33242" w:rsidRPr="001476AB" w:rsidRDefault="00E33242" w:rsidP="00E33242">
      <w:pPr>
        <w:pStyle w:val="Textonotapie"/>
        <w:ind w:firstLine="709"/>
        <w:jc w:val="both"/>
        <w:rPr>
          <w:rFonts w:ascii="Verdana" w:hAnsi="Verdana" w:cs="Arial"/>
          <w:sz w:val="16"/>
          <w:szCs w:val="16"/>
        </w:rPr>
      </w:pPr>
      <w:r w:rsidRPr="001476AB">
        <w:rPr>
          <w:rStyle w:val="Refdenotaalpie"/>
          <w:rFonts w:ascii="Verdana" w:hAnsi="Verdana" w:cs="Arial"/>
          <w:sz w:val="16"/>
          <w:szCs w:val="16"/>
        </w:rPr>
        <w:footnoteRef/>
      </w:r>
      <w:r w:rsidRPr="001476AB">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F1F2A5E" w14:textId="77777777" w:rsidR="00E33242" w:rsidRPr="001476AB" w:rsidRDefault="00E33242" w:rsidP="00E33242">
      <w:pPr>
        <w:pStyle w:val="Textonotapie"/>
        <w:ind w:firstLine="709"/>
        <w:jc w:val="both"/>
        <w:rPr>
          <w:rFonts w:ascii="Verdana" w:hAnsi="Verdana" w:cs="Arial"/>
          <w:sz w:val="16"/>
          <w:szCs w:val="16"/>
        </w:rPr>
      </w:pPr>
      <w:r w:rsidRPr="001476AB">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09A92075" w14:textId="77777777" w:rsidR="00E33242" w:rsidRPr="001476AB" w:rsidRDefault="00E33242" w:rsidP="00E33242">
      <w:pPr>
        <w:pStyle w:val="Textonotapie"/>
        <w:ind w:firstLine="709"/>
        <w:jc w:val="both"/>
        <w:rPr>
          <w:rFonts w:ascii="Verdana" w:hAnsi="Verdana" w:cs="Arial"/>
          <w:sz w:val="16"/>
          <w:szCs w:val="16"/>
        </w:rPr>
      </w:pPr>
      <w:r w:rsidRPr="001476AB">
        <w:rPr>
          <w:rStyle w:val="Refdenotaalpie"/>
          <w:rFonts w:ascii="Verdana" w:hAnsi="Verdana" w:cs="Arial"/>
          <w:sz w:val="16"/>
          <w:szCs w:val="16"/>
        </w:rPr>
        <w:footnoteRef/>
      </w:r>
      <w:r w:rsidRPr="001476AB">
        <w:rPr>
          <w:rFonts w:ascii="Verdana" w:hAnsi="Verdana" w:cs="Arial"/>
          <w:sz w:val="16"/>
          <w:szCs w:val="16"/>
        </w:rPr>
        <w:t xml:space="preserve"> Gaceta del Congreso de la República No. 71 del 2005.</w:t>
      </w:r>
    </w:p>
  </w:footnote>
  <w:footnote w:id="4">
    <w:p w14:paraId="384EE6D8" w14:textId="77777777" w:rsidR="00E33242" w:rsidRPr="001476AB" w:rsidRDefault="00E33242" w:rsidP="00E33242">
      <w:pPr>
        <w:pStyle w:val="Textonotapie"/>
        <w:ind w:firstLine="709"/>
        <w:jc w:val="both"/>
        <w:rPr>
          <w:rFonts w:ascii="Verdana" w:hAnsi="Verdana" w:cs="Arial"/>
          <w:sz w:val="16"/>
          <w:szCs w:val="16"/>
          <w:lang w:val="pt-BR"/>
        </w:rPr>
      </w:pPr>
      <w:r w:rsidRPr="001476AB">
        <w:rPr>
          <w:rStyle w:val="Refdenotaalpie"/>
          <w:rFonts w:ascii="Verdana" w:hAnsi="Verdana" w:cs="Arial"/>
          <w:sz w:val="16"/>
          <w:szCs w:val="16"/>
        </w:rPr>
        <w:footnoteRef/>
      </w:r>
      <w:r w:rsidRPr="001476AB">
        <w:rPr>
          <w:rFonts w:ascii="Verdana" w:hAnsi="Verdana" w:cs="Arial"/>
          <w:sz w:val="16"/>
          <w:szCs w:val="16"/>
          <w:lang w:val="pt-BR"/>
        </w:rPr>
        <w:t xml:space="preserve"> Corte Constitucional, Sentencia C- 1153 de 2005, M.P. Marco Gerardo Monroy Cabra.</w:t>
      </w:r>
    </w:p>
  </w:footnote>
  <w:footnote w:id="5">
    <w:p w14:paraId="45FACB1A" w14:textId="77777777" w:rsidR="00E33242" w:rsidRPr="001476AB" w:rsidRDefault="00E33242" w:rsidP="00E33242">
      <w:pPr>
        <w:pStyle w:val="Textonotapie"/>
        <w:ind w:firstLine="709"/>
        <w:jc w:val="both"/>
        <w:rPr>
          <w:rFonts w:ascii="Verdana" w:hAnsi="Verdana" w:cs="Arial"/>
          <w:sz w:val="16"/>
          <w:szCs w:val="16"/>
          <w:lang w:val="pt-BR"/>
        </w:rPr>
      </w:pPr>
      <w:r w:rsidRPr="001476AB">
        <w:rPr>
          <w:rStyle w:val="Refdenotaalpie"/>
          <w:rFonts w:ascii="Verdana" w:hAnsi="Verdana" w:cs="Arial"/>
          <w:sz w:val="16"/>
          <w:szCs w:val="16"/>
        </w:rPr>
        <w:footnoteRef/>
      </w:r>
      <w:r w:rsidRPr="001476AB">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414E8E18" w14:textId="77777777" w:rsidR="00E33242" w:rsidRPr="001476AB" w:rsidRDefault="00E33242" w:rsidP="00E33242">
      <w:pPr>
        <w:pStyle w:val="Textonotapie"/>
        <w:ind w:firstLine="709"/>
        <w:jc w:val="both"/>
        <w:rPr>
          <w:rFonts w:ascii="Verdana" w:hAnsi="Verdana" w:cs="Arial"/>
          <w:sz w:val="16"/>
          <w:szCs w:val="16"/>
          <w:lang w:val="es-CO"/>
        </w:rPr>
      </w:pPr>
      <w:r w:rsidRPr="001476AB">
        <w:rPr>
          <w:rStyle w:val="Refdenotaalpie"/>
          <w:rFonts w:ascii="Verdana" w:hAnsi="Verdana" w:cs="Arial"/>
          <w:sz w:val="16"/>
          <w:szCs w:val="16"/>
        </w:rPr>
        <w:footnoteRef/>
      </w:r>
      <w:r w:rsidRPr="001476AB">
        <w:rPr>
          <w:rFonts w:ascii="Verdana" w:hAnsi="Verdana" w:cs="Arial"/>
          <w:sz w:val="16"/>
          <w:szCs w:val="16"/>
          <w:lang w:val="es-CO"/>
        </w:rPr>
        <w:t xml:space="preserve"> Consejo de Estado,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7DAE0CE6" w14:textId="77777777" w:rsidR="00E33242" w:rsidRPr="001476AB" w:rsidRDefault="00E33242" w:rsidP="00E33242">
      <w:pPr>
        <w:pStyle w:val="Textonotapie"/>
        <w:ind w:firstLine="709"/>
        <w:jc w:val="both"/>
        <w:rPr>
          <w:rFonts w:ascii="Verdana" w:hAnsi="Verdana" w:cs="Arial"/>
          <w:sz w:val="16"/>
          <w:szCs w:val="16"/>
        </w:rPr>
      </w:pPr>
      <w:r w:rsidRPr="001476AB">
        <w:rPr>
          <w:rStyle w:val="Refdenotaalpie"/>
          <w:rFonts w:ascii="Verdana" w:hAnsi="Verdana" w:cs="Arial"/>
          <w:sz w:val="16"/>
          <w:szCs w:val="16"/>
        </w:rPr>
        <w:footnoteRef/>
      </w:r>
      <w:r w:rsidRPr="001476AB">
        <w:rPr>
          <w:rFonts w:ascii="Verdana" w:hAnsi="Verdana" w:cs="Arial"/>
          <w:sz w:val="16"/>
          <w:szCs w:val="16"/>
        </w:rPr>
        <w:t xml:space="preserve"> Consejo de Estado, Sala de Consulta y Servicio Civil de fecha 24 de julio de 2013. </w:t>
      </w:r>
      <w:r w:rsidRPr="001476AB">
        <w:rPr>
          <w:rFonts w:ascii="Verdana" w:hAnsi="Verdana" w:cs="Arial"/>
          <w:sz w:val="16"/>
          <w:szCs w:val="16"/>
          <w:lang w:val="es-CO"/>
        </w:rPr>
        <w:t>C. P. Álvaro Namén Vargas. Rad.</w:t>
      </w:r>
      <w:r w:rsidRPr="001476AB">
        <w:rPr>
          <w:rFonts w:ascii="Verdana" w:hAnsi="Verdana" w:cs="Arial"/>
          <w:sz w:val="16"/>
          <w:szCs w:val="16"/>
        </w:rPr>
        <w:t xml:space="preserve"> 2166, </w:t>
      </w:r>
    </w:p>
  </w:footnote>
  <w:footnote w:id="8">
    <w:p w14:paraId="1931E01F" w14:textId="77777777" w:rsidR="00E33242" w:rsidRPr="001476AB" w:rsidRDefault="00E33242" w:rsidP="00E33242">
      <w:pPr>
        <w:spacing w:after="0" w:line="240" w:lineRule="auto"/>
        <w:ind w:firstLine="709"/>
        <w:jc w:val="both"/>
        <w:rPr>
          <w:rFonts w:ascii="Verdana" w:eastAsia="Times New Roman" w:hAnsi="Verdana" w:cs="Arial"/>
          <w:sz w:val="16"/>
          <w:szCs w:val="16"/>
        </w:rPr>
      </w:pPr>
      <w:r w:rsidRPr="001476AB">
        <w:rPr>
          <w:rStyle w:val="Refdenotaalpie"/>
          <w:rFonts w:ascii="Verdana" w:hAnsi="Verdana" w:cs="Arial"/>
          <w:sz w:val="16"/>
          <w:szCs w:val="16"/>
        </w:rPr>
        <w:footnoteRef/>
      </w:r>
      <w:r w:rsidRPr="001476AB">
        <w:rPr>
          <w:rFonts w:ascii="Verdana" w:hAnsi="Verdana" w:cs="Arial"/>
          <w:sz w:val="16"/>
          <w:szCs w:val="16"/>
        </w:rPr>
        <w:t xml:space="preserve"> </w:t>
      </w:r>
      <w:r w:rsidRPr="001476AB">
        <w:rPr>
          <w:rFonts w:ascii="Verdana" w:eastAsia="Calibri" w:hAnsi="Verdana" w:cs="Arial"/>
          <w:color w:val="000000"/>
          <w:sz w:val="16"/>
          <w:szCs w:val="16"/>
        </w:rPr>
        <w:t>“</w:t>
      </w:r>
      <w:r w:rsidRPr="001476AB">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296FD5D0" w14:textId="77777777" w:rsidR="00E33242" w:rsidRPr="001476AB" w:rsidRDefault="00E33242" w:rsidP="00E33242">
      <w:pPr>
        <w:spacing w:after="0" w:line="240" w:lineRule="auto"/>
        <w:ind w:firstLine="709"/>
        <w:jc w:val="both"/>
        <w:rPr>
          <w:rFonts w:ascii="Verdana" w:eastAsia="Times New Roman" w:hAnsi="Verdana" w:cs="Arial"/>
          <w:sz w:val="16"/>
          <w:szCs w:val="16"/>
        </w:rPr>
      </w:pPr>
      <w:r w:rsidRPr="001476AB">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476AB">
        <w:rPr>
          <w:rFonts w:ascii="Verdana" w:eastAsia="Calibri" w:hAnsi="Verdana" w:cs="Arial"/>
          <w:color w:val="000000"/>
          <w:sz w:val="16"/>
          <w:szCs w:val="16"/>
        </w:rPr>
        <w:t>”</w:t>
      </w:r>
      <w:r w:rsidRPr="001476AB">
        <w:rPr>
          <w:rFonts w:ascii="Verdana" w:eastAsia="Times New Roman" w:hAnsi="Verdana" w:cs="Arial"/>
          <w:sz w:val="16"/>
          <w:szCs w:val="16"/>
        </w:rPr>
        <w:t>.</w:t>
      </w:r>
    </w:p>
  </w:footnote>
  <w:footnote w:id="9">
    <w:p w14:paraId="426A4A27" w14:textId="77777777" w:rsidR="00E33242" w:rsidRPr="001476AB" w:rsidRDefault="00E33242" w:rsidP="00E33242">
      <w:pPr>
        <w:pStyle w:val="NormalWeb"/>
        <w:spacing w:before="0" w:beforeAutospacing="0" w:after="0" w:afterAutospacing="0"/>
        <w:ind w:firstLine="709"/>
        <w:jc w:val="both"/>
        <w:rPr>
          <w:rFonts w:ascii="Verdana" w:hAnsi="Verdana" w:cs="Arial"/>
          <w:sz w:val="16"/>
          <w:szCs w:val="16"/>
          <w:lang w:val="es-MX"/>
        </w:rPr>
      </w:pPr>
      <w:r w:rsidRPr="001476AB">
        <w:rPr>
          <w:rStyle w:val="Refdenotaalpie"/>
          <w:rFonts w:ascii="Verdana" w:hAnsi="Verdana" w:cs="Arial"/>
          <w:sz w:val="16"/>
          <w:szCs w:val="16"/>
        </w:rPr>
        <w:footnoteRef/>
      </w:r>
      <w:r w:rsidRPr="001476AB">
        <w:rPr>
          <w:rFonts w:ascii="Verdana" w:hAnsi="Verdana" w:cs="Arial"/>
          <w:sz w:val="16"/>
          <w:szCs w:val="16"/>
        </w:rPr>
        <w:t xml:space="preserve"> </w:t>
      </w:r>
      <w:r w:rsidRPr="001476AB">
        <w:rPr>
          <w:rFonts w:ascii="Verdana" w:eastAsia="Calibri" w:hAnsi="Verdana" w:cs="Arial"/>
          <w:color w:val="000000"/>
          <w:sz w:val="16"/>
          <w:szCs w:val="16"/>
        </w:rPr>
        <w:t>“</w:t>
      </w:r>
      <w:r w:rsidRPr="001476AB">
        <w:rPr>
          <w:rFonts w:ascii="Verdana" w:hAnsi="Verdana" w:cs="Arial"/>
          <w:sz w:val="16"/>
          <w:szCs w:val="16"/>
          <w:lang w:val="es-MX"/>
        </w:rPr>
        <w:t>Artículo 38. Prohibiciones para los servidores públicos. A los empleados del Estado les está prohibido: […]</w:t>
      </w:r>
    </w:p>
    <w:p w14:paraId="02AB9FDA" w14:textId="77777777" w:rsidR="00E33242" w:rsidRPr="001476AB" w:rsidRDefault="00E33242" w:rsidP="00E33242">
      <w:pPr>
        <w:pStyle w:val="NormalWeb"/>
        <w:spacing w:before="0" w:beforeAutospacing="0" w:after="0" w:afterAutospacing="0"/>
        <w:ind w:firstLine="709"/>
        <w:jc w:val="both"/>
        <w:rPr>
          <w:rFonts w:ascii="Verdana" w:hAnsi="Verdana" w:cs="Arial"/>
          <w:sz w:val="16"/>
          <w:szCs w:val="16"/>
          <w:lang w:val="es-MX"/>
        </w:rPr>
      </w:pPr>
      <w:r w:rsidRPr="001476AB">
        <w:rPr>
          <w:rStyle w:val="baj"/>
          <w:rFonts w:ascii="Verdana" w:hAnsi="Verdana" w:cs="Arial"/>
          <w:sz w:val="16"/>
          <w:szCs w:val="16"/>
          <w:lang w:val="es-MX"/>
        </w:rPr>
        <w:t>Parágrafo.</w:t>
      </w:r>
      <w:r w:rsidRPr="001476AB">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476AB">
        <w:rPr>
          <w:rFonts w:ascii="Verdana" w:eastAsia="Calibri" w:hAnsi="Verdana" w:cs="Arial"/>
          <w:color w:val="000000"/>
          <w:sz w:val="16"/>
          <w:szCs w:val="16"/>
        </w:rPr>
        <w:t>”</w:t>
      </w:r>
      <w:r w:rsidRPr="001476AB">
        <w:rPr>
          <w:rFonts w:ascii="Verdana" w:hAnsi="Verdana" w:cs="Arial"/>
          <w:sz w:val="16"/>
          <w:szCs w:val="16"/>
          <w:lang w:val="es-MX"/>
        </w:rPr>
        <w:t>.</w:t>
      </w:r>
    </w:p>
  </w:footnote>
  <w:footnote w:id="10">
    <w:p w14:paraId="0D200DF8" w14:textId="77777777" w:rsidR="00E33242" w:rsidRPr="001476AB" w:rsidRDefault="00E33242" w:rsidP="00E33242">
      <w:pPr>
        <w:pStyle w:val="Textonotapie"/>
        <w:ind w:firstLine="708"/>
        <w:jc w:val="both"/>
        <w:rPr>
          <w:rFonts w:ascii="Verdana" w:hAnsi="Verdana" w:cs="Arial"/>
          <w:sz w:val="16"/>
          <w:szCs w:val="16"/>
        </w:rPr>
      </w:pPr>
      <w:r w:rsidRPr="001476AB">
        <w:rPr>
          <w:rStyle w:val="Refdenotaalpie"/>
          <w:rFonts w:ascii="Verdana" w:hAnsi="Verdana" w:cs="Arial"/>
          <w:sz w:val="16"/>
          <w:szCs w:val="16"/>
        </w:rPr>
        <w:footnoteRef/>
      </w:r>
      <w:r w:rsidRPr="001476AB">
        <w:rPr>
          <w:rFonts w:ascii="Verdana" w:hAnsi="Verdana" w:cs="Arial"/>
          <w:sz w:val="16"/>
          <w:szCs w:val="16"/>
        </w:rPr>
        <w:t xml:space="preserve"> Colombia Compra Eficiente. Circular Externa Única. Numeral 16.5. </w:t>
      </w:r>
    </w:p>
  </w:footnote>
  <w:footnote w:id="11">
    <w:p w14:paraId="21C4972C" w14:textId="77777777" w:rsidR="00E33242" w:rsidRPr="001476AB" w:rsidRDefault="00E33242" w:rsidP="00E33242">
      <w:pPr>
        <w:spacing w:after="0" w:line="240" w:lineRule="auto"/>
        <w:ind w:left="100" w:right="244" w:firstLine="608"/>
        <w:jc w:val="both"/>
        <w:rPr>
          <w:rFonts w:ascii="Verdana" w:hAnsi="Verdana" w:cs="Arial"/>
          <w:sz w:val="16"/>
          <w:szCs w:val="16"/>
          <w:lang w:val="es-ES"/>
        </w:rPr>
      </w:pPr>
      <w:r w:rsidRPr="001476AB">
        <w:rPr>
          <w:rStyle w:val="Refdenotaalpie"/>
          <w:rFonts w:ascii="Verdana" w:hAnsi="Verdana" w:cs="Arial"/>
          <w:sz w:val="16"/>
          <w:szCs w:val="16"/>
        </w:rPr>
        <w:footnoteRef/>
      </w:r>
      <w:r w:rsidRPr="001476AB">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2">
    <w:p w14:paraId="0DE846AC" w14:textId="77777777" w:rsidR="00E33242" w:rsidRPr="001476AB" w:rsidRDefault="00E33242" w:rsidP="00E33242">
      <w:pPr>
        <w:pStyle w:val="Textonotapie"/>
        <w:ind w:right="51" w:firstLine="709"/>
        <w:jc w:val="both"/>
        <w:rPr>
          <w:rFonts w:ascii="Verdana" w:hAnsi="Verdana" w:cs="Arial"/>
          <w:sz w:val="16"/>
          <w:szCs w:val="16"/>
        </w:rPr>
      </w:pPr>
      <w:r w:rsidRPr="001476AB">
        <w:rPr>
          <w:rStyle w:val="Refdenotaalpie"/>
          <w:rFonts w:ascii="Verdana" w:hAnsi="Verdana" w:cs="Arial"/>
          <w:sz w:val="16"/>
          <w:szCs w:val="16"/>
        </w:rPr>
        <w:footnoteRef/>
      </w:r>
      <w:r w:rsidRPr="001476AB">
        <w:rPr>
          <w:rFonts w:ascii="Verdana" w:hAnsi="Verdana" w:cs="Arial"/>
          <w:sz w:val="16"/>
          <w:szCs w:val="16"/>
        </w:rPr>
        <w:t xml:space="preserve"> “</w:t>
      </w:r>
      <w:r w:rsidRPr="001476AB">
        <w:rPr>
          <w:rFonts w:ascii="Verdana" w:hAnsi="Verdana" w:cs="Arial"/>
          <w:sz w:val="16"/>
          <w:szCs w:val="16"/>
          <w:lang w:val="es-ES"/>
        </w:rPr>
        <w:t xml:space="preserve">[25] </w:t>
      </w:r>
      <w:r w:rsidRPr="001476AB">
        <w:rPr>
          <w:rFonts w:ascii="Verdana" w:hAnsi="Verdana" w:cs="Arial"/>
          <w:sz w:val="16"/>
          <w:szCs w:val="16"/>
        </w:rPr>
        <w:t>Cfr. Consejo de Estado. Sección Tercera. Sentencia de 3 de diciembre de 2007. Radicados: 24.715, 25.206, 25.409, 24.524, 27.834, 25.410, 26.105, 28.244, 31.447 -acumulados-“.</w:t>
      </w:r>
    </w:p>
  </w:footnote>
  <w:footnote w:id="13">
    <w:p w14:paraId="22EBFAF5" w14:textId="77777777" w:rsidR="00E33242" w:rsidRPr="001476AB" w:rsidRDefault="00E33242" w:rsidP="00E33242">
      <w:pPr>
        <w:pStyle w:val="Textonotapie"/>
        <w:ind w:right="51" w:firstLine="709"/>
        <w:jc w:val="both"/>
        <w:rPr>
          <w:rFonts w:ascii="Verdana" w:hAnsi="Verdana" w:cs="Arial"/>
          <w:sz w:val="16"/>
          <w:szCs w:val="16"/>
        </w:rPr>
      </w:pPr>
      <w:r w:rsidRPr="001476AB">
        <w:rPr>
          <w:rStyle w:val="Refdenotaalpie"/>
          <w:rFonts w:ascii="Verdana" w:hAnsi="Verdana" w:cs="Arial"/>
          <w:sz w:val="16"/>
          <w:szCs w:val="16"/>
        </w:rPr>
        <w:footnoteRef/>
      </w:r>
      <w:r w:rsidRPr="001476AB">
        <w:rPr>
          <w:rFonts w:ascii="Verdana" w:hAnsi="Verdana" w:cs="Arial"/>
          <w:sz w:val="16"/>
          <w:szCs w:val="16"/>
        </w:rPr>
        <w:t xml:space="preserve"> “</w:t>
      </w:r>
      <w:r w:rsidRPr="001476AB">
        <w:rPr>
          <w:rFonts w:ascii="Verdana" w:hAnsi="Verdana" w:cs="Arial"/>
          <w:sz w:val="16"/>
          <w:szCs w:val="16"/>
          <w:lang w:val="es-ES"/>
        </w:rPr>
        <w:t xml:space="preserve">[26] </w:t>
      </w:r>
      <w:r w:rsidRPr="001476AB">
        <w:rPr>
          <w:rFonts w:ascii="Verdana" w:hAnsi="Verdana" w:cs="Arial"/>
          <w:sz w:val="16"/>
          <w:szCs w:val="16"/>
        </w:rPr>
        <w:t>Al respecto ver el concepto 1712 de 2 de febrero de 2006. Consejo de Estado Sala de Consulta y Servicio Civil”.</w:t>
      </w:r>
    </w:p>
  </w:footnote>
  <w:footnote w:id="14">
    <w:p w14:paraId="52074941" w14:textId="77777777" w:rsidR="00E33242" w:rsidRPr="001476AB" w:rsidRDefault="00E33242" w:rsidP="00E33242">
      <w:pPr>
        <w:pStyle w:val="Textonotapie"/>
        <w:ind w:firstLine="709"/>
        <w:jc w:val="both"/>
        <w:rPr>
          <w:rFonts w:ascii="Verdana" w:hAnsi="Verdana" w:cs="Arial"/>
          <w:sz w:val="16"/>
          <w:szCs w:val="16"/>
        </w:rPr>
      </w:pPr>
      <w:r w:rsidRPr="001476AB">
        <w:rPr>
          <w:rStyle w:val="Refdenotaalpie"/>
          <w:rFonts w:ascii="Verdana" w:hAnsi="Verdana" w:cs="Arial"/>
          <w:sz w:val="16"/>
          <w:szCs w:val="16"/>
        </w:rPr>
        <w:footnoteRef/>
      </w:r>
      <w:r w:rsidRPr="001476AB">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5">
    <w:p w14:paraId="7C92264D" w14:textId="77777777" w:rsidR="00E33242" w:rsidRPr="001476AB" w:rsidRDefault="00E33242" w:rsidP="00E33242">
      <w:pPr>
        <w:pStyle w:val="Textonotapie"/>
        <w:ind w:firstLine="709"/>
        <w:jc w:val="both"/>
        <w:rPr>
          <w:rFonts w:ascii="Verdana" w:hAnsi="Verdana" w:cs="Arial"/>
          <w:sz w:val="16"/>
          <w:szCs w:val="16"/>
          <w:lang w:val="es-ES"/>
        </w:rPr>
      </w:pPr>
      <w:r w:rsidRPr="001476AB">
        <w:rPr>
          <w:rStyle w:val="Refdenotaalpie"/>
          <w:rFonts w:ascii="Verdana" w:hAnsi="Verdana" w:cs="Arial"/>
          <w:sz w:val="16"/>
          <w:szCs w:val="16"/>
        </w:rPr>
        <w:footnoteRef/>
      </w:r>
      <w:r w:rsidRPr="001476AB">
        <w:rPr>
          <w:rFonts w:ascii="Verdana" w:hAnsi="Verdana" w:cs="Arial"/>
          <w:sz w:val="16"/>
          <w:szCs w:val="16"/>
        </w:rPr>
        <w:t xml:space="preserve"> </w:t>
      </w:r>
      <w:r w:rsidRPr="001476AB">
        <w:rPr>
          <w:rFonts w:ascii="Verdana" w:hAnsi="Verdana" w:cs="Arial"/>
          <w:sz w:val="16"/>
          <w:szCs w:val="16"/>
          <w:lang w:val="es-ES"/>
        </w:rPr>
        <w:t xml:space="preserve">Artículo 2. </w:t>
      </w:r>
    </w:p>
  </w:footnote>
  <w:footnote w:id="16">
    <w:p w14:paraId="0DD45ED9" w14:textId="77777777" w:rsidR="00E33242" w:rsidRPr="001476AB" w:rsidRDefault="00E33242" w:rsidP="00E33242">
      <w:pPr>
        <w:pStyle w:val="Textonotapie"/>
        <w:ind w:firstLine="709"/>
        <w:jc w:val="both"/>
        <w:rPr>
          <w:rFonts w:ascii="Verdana" w:hAnsi="Verdana" w:cs="Arial"/>
          <w:sz w:val="16"/>
          <w:szCs w:val="16"/>
          <w:lang w:val="es-ES"/>
        </w:rPr>
      </w:pPr>
      <w:r w:rsidRPr="001476AB">
        <w:rPr>
          <w:rStyle w:val="Refdenotaalpie"/>
          <w:rFonts w:ascii="Verdana" w:hAnsi="Verdana" w:cs="Arial"/>
          <w:sz w:val="16"/>
          <w:szCs w:val="16"/>
        </w:rPr>
        <w:footnoteRef/>
      </w:r>
      <w:r w:rsidRPr="001476AB">
        <w:rPr>
          <w:rFonts w:ascii="Verdana" w:hAnsi="Verdana" w:cs="Arial"/>
          <w:sz w:val="16"/>
          <w:szCs w:val="16"/>
        </w:rPr>
        <w:t xml:space="preserve"> </w:t>
      </w:r>
      <w:r w:rsidRPr="001476AB">
        <w:rPr>
          <w:rFonts w:ascii="Verdana" w:hAnsi="Verdana" w:cs="Arial"/>
          <w:i/>
          <w:sz w:val="16"/>
          <w:szCs w:val="16"/>
          <w:lang w:val="es-ES"/>
        </w:rPr>
        <w:t>Ídem</w:t>
      </w:r>
      <w:r w:rsidRPr="001476AB">
        <w:rPr>
          <w:rFonts w:ascii="Verdana" w:hAnsi="Verdana" w:cs="Arial"/>
          <w:sz w:val="16"/>
          <w:szCs w:val="16"/>
          <w:lang w:val="es-ES"/>
        </w:rPr>
        <w:t>.</w:t>
      </w:r>
    </w:p>
  </w:footnote>
  <w:footnote w:id="17">
    <w:p w14:paraId="27475C83" w14:textId="77777777" w:rsidR="00E33242" w:rsidRPr="001476AB" w:rsidRDefault="00E33242" w:rsidP="00E33242">
      <w:pPr>
        <w:pStyle w:val="Textonotapie"/>
        <w:ind w:firstLine="709"/>
        <w:jc w:val="both"/>
        <w:rPr>
          <w:rFonts w:ascii="Verdana" w:hAnsi="Verdana" w:cs="Arial"/>
          <w:sz w:val="16"/>
          <w:szCs w:val="16"/>
          <w:lang w:val="es-ES"/>
        </w:rPr>
      </w:pPr>
      <w:r w:rsidRPr="001476AB">
        <w:rPr>
          <w:rStyle w:val="Refdenotaalpie"/>
          <w:rFonts w:ascii="Verdana" w:hAnsi="Verdana" w:cs="Arial"/>
          <w:sz w:val="16"/>
          <w:szCs w:val="16"/>
        </w:rPr>
        <w:footnoteRef/>
      </w:r>
      <w:r w:rsidRPr="001476AB">
        <w:rPr>
          <w:rStyle w:val="Refdenotaalpie"/>
          <w:rFonts w:ascii="Verdana" w:hAnsi="Verdana" w:cs="Arial"/>
          <w:sz w:val="16"/>
          <w:szCs w:val="16"/>
        </w:rPr>
        <w:t xml:space="preserve"> </w:t>
      </w:r>
      <w:r w:rsidRPr="001476AB">
        <w:rPr>
          <w:rFonts w:ascii="Verdana" w:hAnsi="Verdana" w:cs="Arial"/>
          <w:sz w:val="16"/>
          <w:szCs w:val="16"/>
          <w:lang w:val="es-ES"/>
        </w:rPr>
        <w:t xml:space="preserve">“[…] A este respecto, cabe recordar que el artículo 860 del Código de Comercio regula la licitación en el derecho privado”. </w:t>
      </w:r>
    </w:p>
  </w:footnote>
  <w:footnote w:id="18">
    <w:p w14:paraId="77B4D179" w14:textId="77777777" w:rsidR="00E33242" w:rsidRPr="001476AB" w:rsidRDefault="00E33242" w:rsidP="00E33242">
      <w:pPr>
        <w:shd w:val="clear" w:color="auto" w:fill="FFFFFF"/>
        <w:spacing w:after="0" w:line="240" w:lineRule="auto"/>
        <w:ind w:firstLine="709"/>
        <w:jc w:val="both"/>
        <w:rPr>
          <w:rFonts w:ascii="Verdana" w:hAnsi="Verdana" w:cs="Arial"/>
          <w:sz w:val="16"/>
          <w:szCs w:val="16"/>
          <w:lang w:val="es-ES"/>
        </w:rPr>
      </w:pPr>
      <w:r w:rsidRPr="001476AB">
        <w:rPr>
          <w:rStyle w:val="Refdenotaalpie"/>
          <w:rFonts w:ascii="Verdana" w:hAnsi="Verdana" w:cs="Arial"/>
          <w:sz w:val="16"/>
          <w:szCs w:val="16"/>
        </w:rPr>
        <w:footnoteRef/>
      </w:r>
      <w:r w:rsidRPr="001476AB">
        <w:rPr>
          <w:rStyle w:val="Refdenotaalpie"/>
          <w:rFonts w:ascii="Verdana" w:hAnsi="Verdana" w:cs="Arial"/>
          <w:sz w:val="16"/>
          <w:szCs w:val="16"/>
        </w:rPr>
        <w:t xml:space="preserve"> </w:t>
      </w:r>
      <w:r w:rsidRPr="001476AB">
        <w:rPr>
          <w:rFonts w:ascii="Verdana" w:hAnsi="Verdana" w:cs="Arial"/>
          <w:sz w:val="16"/>
          <w:szCs w:val="16"/>
          <w:lang w:val="es-ES"/>
        </w:rPr>
        <w:t>Consejo de Estado. Sala de Consulta y Servicio Civil, Concepto de 8 de mayo de 2018. Radicación Número: 11001-03-06-000-2018-00095-00(2382). C.P. Álvaro Namén Vargas.</w:t>
      </w:r>
    </w:p>
  </w:footnote>
  <w:footnote w:id="19">
    <w:p w14:paraId="6ED4FE86" w14:textId="77777777" w:rsidR="00E33242" w:rsidRPr="001476AB" w:rsidRDefault="00E33242" w:rsidP="00E33242">
      <w:pPr>
        <w:pStyle w:val="Textonotapie"/>
        <w:ind w:firstLine="709"/>
        <w:jc w:val="both"/>
        <w:rPr>
          <w:rFonts w:ascii="Verdana" w:hAnsi="Verdana" w:cs="Arial"/>
          <w:sz w:val="16"/>
          <w:szCs w:val="16"/>
        </w:rPr>
      </w:pPr>
      <w:r w:rsidRPr="001476AB">
        <w:rPr>
          <w:rStyle w:val="Refdenotaalpie"/>
          <w:rFonts w:ascii="Verdana" w:hAnsi="Verdana" w:cs="Arial"/>
          <w:sz w:val="16"/>
          <w:szCs w:val="16"/>
        </w:rPr>
        <w:footnoteRef/>
      </w:r>
      <w:r w:rsidRPr="001476AB">
        <w:rPr>
          <w:rFonts w:ascii="Verdana" w:hAnsi="Verdana" w:cs="Arial"/>
          <w:sz w:val="16"/>
          <w:szCs w:val="16"/>
        </w:rPr>
        <w:t xml:space="preserve"> Consejo de Estado. Sala de Consulta y Servicio Civil. Concepto del 08 de mayo de 2018. Exp. 2.382. C.P. Álvaro Namén Vargas.</w:t>
      </w:r>
    </w:p>
  </w:footnote>
  <w:footnote w:id="20">
    <w:p w14:paraId="7C354659" w14:textId="77777777" w:rsidR="00E33242" w:rsidRPr="001476AB" w:rsidRDefault="00E33242" w:rsidP="00E33242">
      <w:pPr>
        <w:pStyle w:val="Textonotapie"/>
        <w:ind w:firstLine="709"/>
        <w:jc w:val="both"/>
        <w:rPr>
          <w:rFonts w:ascii="Verdana" w:hAnsi="Verdana" w:cs="Arial"/>
          <w:sz w:val="16"/>
          <w:szCs w:val="16"/>
        </w:rPr>
      </w:pPr>
      <w:r w:rsidRPr="001476AB">
        <w:rPr>
          <w:rStyle w:val="Refdenotaalpie"/>
          <w:rFonts w:ascii="Verdana" w:hAnsi="Verdana" w:cs="Arial"/>
          <w:sz w:val="16"/>
          <w:szCs w:val="16"/>
        </w:rPr>
        <w:footnoteRef/>
      </w:r>
      <w:r w:rsidRPr="001476AB">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1">
    <w:p w14:paraId="22D8C549" w14:textId="77777777" w:rsidR="00E33242" w:rsidRPr="001476AB" w:rsidRDefault="00E33242" w:rsidP="00E33242">
      <w:pPr>
        <w:spacing w:after="0" w:line="240" w:lineRule="auto"/>
        <w:ind w:firstLine="709"/>
        <w:jc w:val="both"/>
        <w:rPr>
          <w:rFonts w:ascii="Verdana" w:hAnsi="Verdana" w:cs="Arial"/>
          <w:sz w:val="16"/>
          <w:szCs w:val="16"/>
        </w:rPr>
      </w:pPr>
      <w:r w:rsidRPr="001476AB">
        <w:rPr>
          <w:rStyle w:val="Refdenotaalpie"/>
          <w:rFonts w:ascii="Verdana" w:hAnsi="Verdana" w:cs="Arial"/>
          <w:sz w:val="16"/>
          <w:szCs w:val="16"/>
        </w:rPr>
        <w:footnoteRef/>
      </w:r>
      <w:r w:rsidRPr="001476AB">
        <w:rPr>
          <w:rFonts w:ascii="Verdana" w:hAnsi="Verdana" w:cs="Arial"/>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2">
    <w:p w14:paraId="71154C38" w14:textId="77777777" w:rsidR="00E33242" w:rsidRPr="001476AB" w:rsidRDefault="00E33242" w:rsidP="00E33242">
      <w:pPr>
        <w:pStyle w:val="Textonotapie"/>
        <w:ind w:right="51" w:firstLine="709"/>
        <w:jc w:val="both"/>
        <w:rPr>
          <w:rFonts w:ascii="Verdana" w:eastAsia="Times New Roman" w:hAnsi="Verdana" w:cs="Arial"/>
          <w:bCs/>
          <w:sz w:val="16"/>
          <w:szCs w:val="16"/>
          <w:lang w:eastAsia="x-none"/>
        </w:rPr>
      </w:pPr>
      <w:r w:rsidRPr="001476AB">
        <w:rPr>
          <w:rStyle w:val="Refdenotaalpie"/>
          <w:rFonts w:ascii="Verdana" w:hAnsi="Verdana" w:cs="Arial"/>
          <w:sz w:val="16"/>
          <w:szCs w:val="16"/>
        </w:rPr>
        <w:footnoteRef/>
      </w:r>
      <w:r w:rsidRPr="001476AB">
        <w:rPr>
          <w:rFonts w:ascii="Verdana" w:hAnsi="Verdana" w:cs="Arial"/>
          <w:sz w:val="16"/>
          <w:szCs w:val="16"/>
        </w:rPr>
        <w:t xml:space="preserve"> Consejo de Estado. Sala de Consulta y Servicio Civil. Concepto de 6 de abril de 2006. Radicación Número: 11001-03-06-000-2006-00038-00 (1738). C.P. Enrique José Arboleda Perdomo:</w:t>
      </w:r>
      <w:r w:rsidRPr="001476AB">
        <w:rPr>
          <w:rFonts w:ascii="Verdana" w:eastAsia="Times New Roman" w:hAnsi="Verdana" w:cs="Arial"/>
          <w:bCs/>
          <w:sz w:val="16"/>
          <w:szCs w:val="16"/>
          <w:lang w:eastAsia="x-none"/>
        </w:rPr>
        <w:t xml:space="preserve"> “</w:t>
      </w:r>
      <w:r w:rsidRPr="001476AB">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1476AB">
        <w:rPr>
          <w:rFonts w:ascii="Verdana" w:eastAsia="Times New Roman" w:hAnsi="Verdana" w:cs="Arial"/>
          <w:bCs/>
          <w:sz w:val="16"/>
          <w:szCs w:val="16"/>
          <w:lang w:eastAsia="x-none"/>
        </w:rPr>
        <w:t>”.</w:t>
      </w:r>
    </w:p>
  </w:footnote>
  <w:footnote w:id="23">
    <w:p w14:paraId="591A0437" w14:textId="77777777" w:rsidR="00E33242" w:rsidRPr="001476AB" w:rsidRDefault="00E33242" w:rsidP="00E33242">
      <w:pPr>
        <w:spacing w:after="0" w:line="240" w:lineRule="auto"/>
        <w:ind w:firstLine="708"/>
        <w:jc w:val="both"/>
        <w:rPr>
          <w:rFonts w:ascii="Verdana" w:hAnsi="Verdana" w:cs="Arial"/>
          <w:sz w:val="16"/>
          <w:szCs w:val="16"/>
        </w:rPr>
      </w:pPr>
      <w:r w:rsidRPr="001476AB">
        <w:rPr>
          <w:rStyle w:val="Refdenotaalpie"/>
          <w:rFonts w:ascii="Verdana" w:hAnsi="Verdana" w:cs="Arial"/>
          <w:sz w:val="16"/>
          <w:szCs w:val="16"/>
        </w:rPr>
        <w:footnoteRef/>
      </w:r>
      <w:r w:rsidRPr="001476AB">
        <w:rPr>
          <w:rFonts w:ascii="Verdana" w:hAnsi="Verdana" w:cs="Arial"/>
          <w:sz w:val="16"/>
          <w:szCs w:val="16"/>
        </w:rPr>
        <w:t xml:space="preserve"> Consejo de Estado. Sala de Consulta y Servicio Civil. Concepto de 6 de abril de 2006. Radicación Número: 11001-03-06-000-2006-00038-00(1738). Consejero Ponente: Enrique José Arboleda Perdomo. </w:t>
      </w:r>
    </w:p>
  </w:footnote>
  <w:footnote w:id="24">
    <w:p w14:paraId="5620A631" w14:textId="77777777" w:rsidR="00E33242" w:rsidRPr="001476AB" w:rsidRDefault="00E33242" w:rsidP="00E33242">
      <w:pPr>
        <w:pStyle w:val="Textonotapie"/>
        <w:ind w:right="51" w:firstLine="709"/>
        <w:jc w:val="both"/>
        <w:rPr>
          <w:rFonts w:ascii="Verdana" w:hAnsi="Verdana" w:cs="Arial"/>
          <w:sz w:val="16"/>
          <w:szCs w:val="16"/>
        </w:rPr>
      </w:pPr>
      <w:r w:rsidRPr="001476AB">
        <w:rPr>
          <w:rStyle w:val="Refdenotaalpie"/>
          <w:rFonts w:ascii="Verdana" w:hAnsi="Verdana" w:cs="Arial"/>
          <w:sz w:val="16"/>
          <w:szCs w:val="16"/>
        </w:rPr>
        <w:footnoteRef/>
      </w:r>
      <w:r w:rsidRPr="001476AB">
        <w:rPr>
          <w:rFonts w:ascii="Verdana" w:hAnsi="Verdana" w:cs="Arial"/>
          <w:sz w:val="16"/>
          <w:szCs w:val="16"/>
        </w:rPr>
        <w:t xml:space="preserve"> Consejo de Estado. Sala de Consulta y Servicio Civil. Concepto del 20 de febrero de 2006. Rad. 1727. C.P. Enrique José Arboleda Perdomo. </w:t>
      </w:r>
    </w:p>
  </w:footnote>
  <w:footnote w:id="25">
    <w:p w14:paraId="3D949B70" w14:textId="77777777" w:rsidR="00E33242" w:rsidRPr="001476AB" w:rsidRDefault="00E33242" w:rsidP="00E33242">
      <w:pPr>
        <w:pStyle w:val="Textonotapie"/>
        <w:ind w:firstLine="709"/>
        <w:rPr>
          <w:rFonts w:ascii="Verdana" w:hAnsi="Verdana"/>
          <w:sz w:val="16"/>
          <w:szCs w:val="16"/>
          <w:lang w:val="es-CO"/>
        </w:rPr>
      </w:pPr>
      <w:r w:rsidRPr="001476AB">
        <w:rPr>
          <w:rStyle w:val="Refdenotaalpie"/>
          <w:rFonts w:ascii="Verdana" w:hAnsi="Verdana"/>
          <w:sz w:val="16"/>
          <w:szCs w:val="16"/>
        </w:rPr>
        <w:footnoteRef/>
      </w:r>
      <w:r w:rsidRPr="001476AB">
        <w:rPr>
          <w:rFonts w:ascii="Verdana" w:hAnsi="Verdana"/>
          <w:sz w:val="16"/>
          <w:szCs w:val="16"/>
        </w:rPr>
        <w:t xml:space="preserve"> </w:t>
      </w:r>
      <w:r w:rsidRPr="001476AB">
        <w:rPr>
          <w:rFonts w:ascii="Verdana" w:hAnsi="Verdana" w:cs="Arial"/>
          <w:sz w:val="16"/>
          <w:szCs w:val="16"/>
        </w:rPr>
        <w:t>Consejo de Estado. Sala de Consulta y Servicio Civil. Concepto de 6 de abril de 2006. Rad. 1738. C.P. Enrique José Arboleda Perdomo.</w:t>
      </w:r>
    </w:p>
  </w:footnote>
  <w:footnote w:id="26">
    <w:p w14:paraId="091BF846" w14:textId="77777777" w:rsidR="00E33242" w:rsidRPr="001476AB" w:rsidRDefault="00E33242" w:rsidP="00E33242">
      <w:pPr>
        <w:pStyle w:val="Textonotapie"/>
        <w:ind w:firstLine="709"/>
        <w:contextualSpacing/>
        <w:jc w:val="both"/>
        <w:rPr>
          <w:rFonts w:ascii="Verdana" w:hAnsi="Verdana" w:cs="Arial"/>
          <w:sz w:val="16"/>
          <w:szCs w:val="16"/>
        </w:rPr>
      </w:pPr>
      <w:r w:rsidRPr="001476AB">
        <w:rPr>
          <w:rStyle w:val="Refdenotaalpie"/>
          <w:rFonts w:ascii="Verdana" w:hAnsi="Verdana" w:cs="Arial"/>
          <w:sz w:val="16"/>
          <w:szCs w:val="16"/>
        </w:rPr>
        <w:footnoteRef/>
      </w:r>
      <w:r w:rsidRPr="001476AB">
        <w:rPr>
          <w:rFonts w:ascii="Verdana" w:hAnsi="Verdana" w:cs="Arial"/>
          <w:sz w:val="16"/>
          <w:szCs w:val="16"/>
        </w:rPr>
        <w:t xml:space="preserve"> </w:t>
      </w:r>
      <w:bookmarkStart w:id="4" w:name="_Hlk192533196"/>
      <w:r w:rsidRPr="001476AB">
        <w:rPr>
          <w:rFonts w:ascii="Verdana" w:hAnsi="Verdana" w:cs="Arial"/>
          <w:sz w:val="16"/>
          <w:szCs w:val="16"/>
        </w:rPr>
        <w:t>Consejo de Estado. Sala de Consulta y Servicio Civil. Concepto del 15 de noviembre de 2007. Rad. 1863. C.P.: Luis Fernando Álvarez Jaramillo.</w:t>
      </w:r>
      <w:bookmarkEnd w:id="4"/>
    </w:p>
  </w:footnote>
  <w:footnote w:id="27">
    <w:p w14:paraId="11104E14" w14:textId="77777777" w:rsidR="00E33242" w:rsidRPr="001476AB" w:rsidRDefault="00E33242" w:rsidP="00E33242">
      <w:pPr>
        <w:pStyle w:val="Textonotapie"/>
        <w:ind w:firstLine="708"/>
        <w:jc w:val="both"/>
        <w:rPr>
          <w:rFonts w:ascii="Verdana" w:hAnsi="Verdana" w:cs="Arial"/>
          <w:sz w:val="16"/>
          <w:szCs w:val="16"/>
        </w:rPr>
      </w:pPr>
      <w:r w:rsidRPr="001476AB">
        <w:rPr>
          <w:rStyle w:val="Refdenotaalpie"/>
          <w:rFonts w:ascii="Verdana" w:hAnsi="Verdana" w:cs="Arial"/>
          <w:sz w:val="16"/>
          <w:szCs w:val="16"/>
        </w:rPr>
        <w:footnoteRef/>
      </w:r>
      <w:r w:rsidRPr="001476AB">
        <w:rPr>
          <w:rFonts w:ascii="Verdana" w:hAnsi="Verdana" w:cs="Arial"/>
          <w:sz w:val="16"/>
          <w:szCs w:val="16"/>
        </w:rPr>
        <w:t xml:space="preserve"> Colombia Compra Eficiente. Circular Externa Única. Numeral 15.5.</w:t>
      </w:r>
    </w:p>
  </w:footnote>
  <w:footnote w:id="28">
    <w:p w14:paraId="39901508" w14:textId="77777777" w:rsidR="00E33242" w:rsidRPr="001476AB" w:rsidRDefault="00E33242" w:rsidP="00E33242">
      <w:pPr>
        <w:pStyle w:val="Textonotapie"/>
        <w:ind w:firstLine="708"/>
        <w:rPr>
          <w:sz w:val="16"/>
          <w:szCs w:val="16"/>
          <w:lang w:val="es-ES"/>
        </w:rPr>
      </w:pPr>
      <w:r w:rsidRPr="001476AB">
        <w:rPr>
          <w:rStyle w:val="Refdenotaalpie"/>
          <w:rFonts w:ascii="Verdana" w:hAnsi="Verdana"/>
          <w:sz w:val="16"/>
          <w:szCs w:val="16"/>
        </w:rPr>
        <w:footnoteRef/>
      </w:r>
      <w:r w:rsidRPr="001476AB">
        <w:rPr>
          <w:rFonts w:ascii="Verdana" w:hAnsi="Verdana"/>
          <w:sz w:val="16"/>
          <w:szCs w:val="16"/>
        </w:rPr>
        <w:t xml:space="preserve"> MARÍN CORTES, Fabián Gonzalo. Los servicios semipúblicos domiciliarios. Bogotá, 2010. p. 95.</w:t>
      </w:r>
      <w:r w:rsidRPr="001476AB">
        <w:rPr>
          <w:sz w:val="16"/>
          <w:szCs w:val="16"/>
        </w:rPr>
        <w:t xml:space="preserve">  </w:t>
      </w:r>
    </w:p>
  </w:footnote>
  <w:footnote w:id="29">
    <w:p w14:paraId="67839D7C" w14:textId="77777777" w:rsidR="00E33242" w:rsidRPr="001476AB" w:rsidRDefault="00E33242" w:rsidP="00E33242">
      <w:pPr>
        <w:pStyle w:val="NormalWeb"/>
        <w:shd w:val="clear" w:color="auto" w:fill="FFFFFF"/>
        <w:spacing w:before="0" w:beforeAutospacing="0" w:after="0" w:afterAutospacing="0"/>
        <w:ind w:firstLine="709"/>
        <w:jc w:val="both"/>
        <w:rPr>
          <w:rFonts w:ascii="Verdana" w:eastAsiaTheme="minorEastAsia" w:hAnsi="Verdana" w:cs="Arial"/>
          <w:color w:val="000000" w:themeColor="text1"/>
          <w:sz w:val="16"/>
          <w:szCs w:val="16"/>
          <w:lang w:val="es-ES_tradnl"/>
        </w:rPr>
      </w:pPr>
      <w:r w:rsidRPr="001476AB">
        <w:rPr>
          <w:rStyle w:val="Refdenotaalpie"/>
          <w:rFonts w:ascii="Verdana" w:hAnsi="Verdana" w:cs="Arial"/>
          <w:color w:val="000000" w:themeColor="text1"/>
          <w:sz w:val="16"/>
          <w:szCs w:val="16"/>
        </w:rPr>
        <w:footnoteRef/>
      </w:r>
      <w:r w:rsidRPr="001476AB">
        <w:rPr>
          <w:rFonts w:ascii="Verdana" w:hAnsi="Verdana" w:cs="Arial"/>
          <w:color w:val="000000" w:themeColor="text1"/>
          <w:sz w:val="16"/>
          <w:szCs w:val="16"/>
        </w:rPr>
        <w:t xml:space="preserve"> </w:t>
      </w:r>
      <w:r w:rsidRPr="001476AB">
        <w:rPr>
          <w:rStyle w:val="iaj"/>
          <w:rFonts w:ascii="Verdana" w:eastAsiaTheme="minorEastAsia" w:hAnsi="Verdana" w:cs="Arial"/>
          <w:color w:val="000000" w:themeColor="text1"/>
          <w:sz w:val="16"/>
          <w:szCs w:val="16"/>
          <w:lang w:val="es-ES_tradnl"/>
        </w:rPr>
        <w:t>Superintendencia de Servicios Públicos Domiciliarios. Concepto 715 de 2014. Radicado: 20145290427992).</w:t>
      </w:r>
    </w:p>
  </w:footnote>
  <w:footnote w:id="30">
    <w:p w14:paraId="3F3D861F" w14:textId="77777777" w:rsidR="00E33242" w:rsidRPr="001476AB" w:rsidRDefault="00E33242" w:rsidP="00E33242">
      <w:pPr>
        <w:pStyle w:val="Textonotapie"/>
        <w:ind w:firstLine="709"/>
        <w:jc w:val="both"/>
        <w:rPr>
          <w:rFonts w:ascii="Verdana" w:hAnsi="Verdana" w:cs="Arial"/>
          <w:color w:val="000000" w:themeColor="text1"/>
          <w:sz w:val="16"/>
          <w:szCs w:val="16"/>
        </w:rPr>
      </w:pPr>
      <w:r w:rsidRPr="001476AB">
        <w:rPr>
          <w:rStyle w:val="Refdenotaalpie"/>
          <w:rFonts w:ascii="Verdana" w:hAnsi="Verdana" w:cs="Arial"/>
          <w:color w:val="000000" w:themeColor="text1"/>
          <w:sz w:val="16"/>
          <w:szCs w:val="16"/>
        </w:rPr>
        <w:footnoteRef/>
      </w:r>
      <w:r w:rsidRPr="001476AB">
        <w:rPr>
          <w:rFonts w:ascii="Verdana" w:hAnsi="Verdana" w:cs="Arial"/>
          <w:color w:val="000000" w:themeColor="text1"/>
          <w:sz w:val="16"/>
          <w:szCs w:val="16"/>
        </w:rPr>
        <w:t xml:space="preserve"> Consejo de Estado. Sección Tercera. Subsección C. Sentencia del 13 de abril de 2011. Exp. 37423. C.P. Jaime Orlando Santofimio Gamboa. En similar sentido, puede verse: Consejo de Estado. Sección Tercera. Subsección B. Sentencia del 15 de noviembre de 2011. Exp. 21178. C.P. Ruth Stella Correa Palacio.</w:t>
      </w:r>
    </w:p>
  </w:footnote>
  <w:footnote w:id="31">
    <w:p w14:paraId="364F3891" w14:textId="77777777" w:rsidR="00E33242" w:rsidRPr="001476AB" w:rsidRDefault="00E33242" w:rsidP="00E33242">
      <w:pPr>
        <w:pStyle w:val="Textonotapie"/>
        <w:ind w:firstLine="708"/>
        <w:jc w:val="both"/>
        <w:rPr>
          <w:rFonts w:ascii="Verdana" w:hAnsi="Verdana"/>
          <w:sz w:val="16"/>
          <w:szCs w:val="16"/>
          <w:lang w:val="es-ES"/>
        </w:rPr>
      </w:pPr>
      <w:r w:rsidRPr="001476AB">
        <w:rPr>
          <w:rStyle w:val="Refdenotaalpie"/>
          <w:rFonts w:ascii="Verdana" w:hAnsi="Verdana"/>
          <w:sz w:val="16"/>
          <w:szCs w:val="16"/>
        </w:rPr>
        <w:footnoteRef/>
      </w:r>
      <w:r w:rsidRPr="001476AB">
        <w:rPr>
          <w:rFonts w:ascii="Verdana" w:hAnsi="Verdana"/>
          <w:sz w:val="16"/>
          <w:szCs w:val="16"/>
        </w:rPr>
        <w:t xml:space="preserve"> Dicho artículo disponía: </w:t>
      </w:r>
      <w:r w:rsidRPr="001476AB">
        <w:rPr>
          <w:rFonts w:ascii="Verdana" w:hAnsi="Verdana"/>
          <w:sz w:val="16"/>
          <w:szCs w:val="16"/>
          <w:lang w:val="es-ES"/>
        </w:rPr>
        <w:t>“87.9 Las entidades públicas podrán aportar bienes o derechos a las empresas de servicios públicos domiciliarios, siempre y cuando su valor no se incluya en el cálculo de las tarifas que hayan de cobrarse a los usuarios y que en el presupuesto de la entidad que autorice el aporte figure este valor. Las Comisiones de Regulación establecerán los mecanismos necesarios para garantizar la reposición y mantenimiento de estos bienes.</w:t>
      </w:r>
    </w:p>
    <w:p w14:paraId="1839DC55" w14:textId="77777777" w:rsidR="00E33242" w:rsidRPr="001476AB" w:rsidRDefault="00E33242" w:rsidP="00E33242">
      <w:pPr>
        <w:pStyle w:val="Textonotapie"/>
        <w:ind w:firstLine="708"/>
        <w:jc w:val="both"/>
        <w:rPr>
          <w:rFonts w:ascii="Verdana" w:hAnsi="Verdana"/>
          <w:sz w:val="16"/>
          <w:szCs w:val="16"/>
        </w:rPr>
      </w:pPr>
      <w:r w:rsidRPr="001476AB">
        <w:rPr>
          <w:rFonts w:ascii="Verdana" w:hAnsi="Verdana"/>
          <w:sz w:val="16"/>
          <w:szCs w:val="16"/>
          <w:lang w:val="es-ES"/>
        </w:rPr>
        <w:t>“Lo dispuesto en el presente artículo no es aplicable cuando se realice enajenación o capitalización respecto de dichos bienes o derechos.”</w:t>
      </w:r>
    </w:p>
  </w:footnote>
  <w:footnote w:id="32">
    <w:p w14:paraId="7EC6718E" w14:textId="77777777" w:rsidR="00E33242" w:rsidRPr="001476AB" w:rsidRDefault="00E33242" w:rsidP="00E33242">
      <w:pPr>
        <w:pStyle w:val="Textonotapie"/>
        <w:ind w:firstLine="708"/>
        <w:rPr>
          <w:rFonts w:ascii="Verdana" w:hAnsi="Verdana"/>
          <w:sz w:val="16"/>
          <w:szCs w:val="16"/>
        </w:rPr>
      </w:pPr>
      <w:r w:rsidRPr="001476AB">
        <w:rPr>
          <w:rStyle w:val="Refdenotaalpie"/>
          <w:rFonts w:ascii="Verdana" w:hAnsi="Verdana"/>
          <w:sz w:val="16"/>
          <w:szCs w:val="16"/>
        </w:rPr>
        <w:footnoteRef/>
      </w:r>
      <w:r w:rsidRPr="001476AB">
        <w:rPr>
          <w:rFonts w:ascii="Verdana" w:hAnsi="Verdana"/>
          <w:sz w:val="16"/>
          <w:szCs w:val="16"/>
        </w:rPr>
        <w:t xml:space="preserve"> Comisión de Regulación de Energía y Gas. </w:t>
      </w:r>
      <w:r w:rsidRPr="001476AB">
        <w:rPr>
          <w:rFonts w:ascii="Verdana" w:hAnsi="Verdana"/>
          <w:sz w:val="16"/>
          <w:szCs w:val="16"/>
          <w:lang w:val="es-CO"/>
        </w:rPr>
        <w:t>Concepto 6082 DE 2018</w:t>
      </w:r>
    </w:p>
  </w:footnote>
  <w:footnote w:id="33">
    <w:p w14:paraId="1DFF5C22" w14:textId="77777777" w:rsidR="00E33242" w:rsidRPr="001476AB" w:rsidRDefault="00E33242" w:rsidP="00E33242">
      <w:pPr>
        <w:pStyle w:val="Textonotapie"/>
        <w:ind w:firstLine="708"/>
        <w:jc w:val="both"/>
        <w:rPr>
          <w:rFonts w:ascii="Verdana" w:hAnsi="Verdana"/>
          <w:sz w:val="16"/>
          <w:szCs w:val="16"/>
          <w:lang w:val="es-ES"/>
        </w:rPr>
      </w:pPr>
      <w:r w:rsidRPr="001476AB">
        <w:rPr>
          <w:rStyle w:val="Refdenotaalpie"/>
          <w:rFonts w:ascii="Verdana" w:hAnsi="Verdana"/>
          <w:sz w:val="16"/>
          <w:szCs w:val="16"/>
        </w:rPr>
        <w:footnoteRef/>
      </w:r>
      <w:r w:rsidRPr="001476AB">
        <w:rPr>
          <w:rFonts w:ascii="Verdana" w:hAnsi="Verdana"/>
          <w:sz w:val="16"/>
          <w:szCs w:val="16"/>
        </w:rPr>
        <w:t xml:space="preserve"> Superintendencia de Servicios Públicos. Concepto 136 de 2020. </w:t>
      </w:r>
    </w:p>
  </w:footnote>
  <w:footnote w:id="34">
    <w:p w14:paraId="687E4E74" w14:textId="77777777" w:rsidR="00E33242" w:rsidRPr="001476AB" w:rsidRDefault="00E33242" w:rsidP="00E33242">
      <w:pPr>
        <w:pStyle w:val="Textonotapie"/>
        <w:ind w:firstLine="708"/>
        <w:jc w:val="both"/>
        <w:rPr>
          <w:sz w:val="16"/>
          <w:szCs w:val="16"/>
          <w:lang w:val="es-ES"/>
        </w:rPr>
      </w:pPr>
      <w:r w:rsidRPr="001476AB">
        <w:rPr>
          <w:rStyle w:val="Refdenotaalpie"/>
          <w:rFonts w:ascii="Verdana" w:hAnsi="Verdana"/>
          <w:sz w:val="16"/>
          <w:szCs w:val="16"/>
        </w:rPr>
        <w:footnoteRef/>
      </w:r>
      <w:r w:rsidRPr="001476AB">
        <w:rPr>
          <w:rFonts w:ascii="Verdana" w:hAnsi="Verdana"/>
          <w:sz w:val="16"/>
          <w:szCs w:val="16"/>
        </w:rPr>
        <w:t xml:space="preserve"> </w:t>
      </w:r>
      <w:r w:rsidRPr="001476AB">
        <w:rPr>
          <w:rFonts w:ascii="Verdana" w:hAnsi="Verdana"/>
          <w:sz w:val="16"/>
          <w:szCs w:val="16"/>
          <w:lang w:val="es-CO"/>
        </w:rPr>
        <w:t>Por la cual se unifican actos administrativos previos y se establecen las condiciones y el procedimiento a seguir para la entrega a título no traslaticio de dominio, de activos eléctricos de propiedad del IPSE a personas autorizadas por la ley para la prestación del servicio público domiciliario de energía eléctrica y se adoptan otras determinaciones.</w:t>
      </w:r>
    </w:p>
  </w:footnote>
  <w:footnote w:id="35">
    <w:p w14:paraId="5094AAA1" w14:textId="77777777" w:rsidR="00E33242" w:rsidRPr="001476AB" w:rsidRDefault="00E33242" w:rsidP="00E33242">
      <w:pPr>
        <w:pStyle w:val="Textonotapie"/>
        <w:ind w:firstLine="709"/>
        <w:jc w:val="both"/>
        <w:rPr>
          <w:rFonts w:ascii="Verdana" w:hAnsi="Verdana" w:cs="Arial"/>
          <w:sz w:val="16"/>
          <w:szCs w:val="16"/>
        </w:rPr>
      </w:pPr>
      <w:r w:rsidRPr="001476AB">
        <w:rPr>
          <w:rStyle w:val="Refdenotaalpie"/>
          <w:rFonts w:ascii="Verdana" w:hAnsi="Verdana" w:cs="Arial"/>
          <w:sz w:val="16"/>
          <w:szCs w:val="16"/>
        </w:rPr>
        <w:footnoteRef/>
      </w:r>
      <w:r w:rsidRPr="001476AB">
        <w:rPr>
          <w:rFonts w:ascii="Verdana" w:hAnsi="Verdana" w:cs="Arial"/>
          <w:sz w:val="16"/>
          <w:szCs w:val="16"/>
        </w:rPr>
        <w:t xml:space="preserve"> Consejo de Estado. Sala de Consulta y Servicio Civil. Concepto del 08 de mayo de 2018.</w:t>
      </w:r>
      <w:r w:rsidRPr="001476AB">
        <w:rPr>
          <w:rFonts w:ascii="Verdana" w:hAnsi="Verdana" w:cs="Arial"/>
          <w:sz w:val="16"/>
          <w:szCs w:val="16"/>
          <w:lang w:val="es-CO"/>
        </w:rPr>
        <w:t xml:space="preserve"> C.P. Álvaro Namén Vargas.</w:t>
      </w:r>
      <w:r w:rsidRPr="001476AB">
        <w:rPr>
          <w:rFonts w:ascii="Verdana" w:hAnsi="Verdana" w:cs="Arial"/>
          <w:sz w:val="16"/>
          <w:szCs w:val="16"/>
        </w:rPr>
        <w:t xml:space="preserve"> Rad. 2.382.</w:t>
      </w:r>
    </w:p>
  </w:footnote>
  <w:footnote w:id="36">
    <w:p w14:paraId="7262D14E" w14:textId="77777777" w:rsidR="00E33242" w:rsidRPr="001476AB" w:rsidRDefault="00E33242" w:rsidP="00E33242">
      <w:pPr>
        <w:pStyle w:val="Textonotapie"/>
        <w:ind w:firstLine="708"/>
        <w:rPr>
          <w:rFonts w:ascii="Verdana" w:hAnsi="Verdana"/>
          <w:sz w:val="16"/>
          <w:szCs w:val="16"/>
          <w:lang w:val="es-CO"/>
        </w:rPr>
      </w:pPr>
      <w:r w:rsidRPr="001476AB">
        <w:rPr>
          <w:rStyle w:val="Refdenotaalpie"/>
          <w:rFonts w:ascii="Verdana" w:hAnsi="Verdana"/>
          <w:sz w:val="16"/>
          <w:szCs w:val="16"/>
        </w:rPr>
        <w:footnoteRef/>
      </w:r>
      <w:r w:rsidRPr="001476AB">
        <w:rPr>
          <w:rFonts w:ascii="Verdana" w:hAnsi="Verdana"/>
          <w:sz w:val="16"/>
          <w:szCs w:val="16"/>
        </w:rPr>
        <w:t xml:space="preserve"> Superintendencia de Servicios Públicos Domiciliarios. Conceptos C-086 de 2022 y C-194 de 2022. </w:t>
      </w:r>
    </w:p>
  </w:footnote>
  <w:footnote w:id="37">
    <w:p w14:paraId="54048FFA" w14:textId="77777777" w:rsidR="00E33242" w:rsidRPr="001476AB" w:rsidRDefault="00E33242" w:rsidP="00E33242">
      <w:pPr>
        <w:pStyle w:val="Textonotapie"/>
        <w:ind w:firstLine="708"/>
        <w:jc w:val="both"/>
        <w:rPr>
          <w:rFonts w:ascii="Verdana" w:hAnsi="Verdana"/>
          <w:sz w:val="16"/>
          <w:szCs w:val="16"/>
          <w:lang w:val="es-CO"/>
        </w:rPr>
      </w:pPr>
      <w:r w:rsidRPr="001476AB">
        <w:rPr>
          <w:rStyle w:val="Refdenotaalpie"/>
          <w:rFonts w:ascii="Verdana" w:hAnsi="Verdana"/>
          <w:sz w:val="16"/>
          <w:szCs w:val="16"/>
        </w:rPr>
        <w:footnoteRef/>
      </w:r>
      <w:r w:rsidRPr="001476AB">
        <w:rPr>
          <w:rFonts w:ascii="Verdana" w:hAnsi="Verdana"/>
          <w:sz w:val="16"/>
          <w:szCs w:val="16"/>
        </w:rPr>
        <w:t xml:space="preserve"> </w:t>
      </w:r>
      <w:r w:rsidRPr="001476AB">
        <w:rPr>
          <w:rFonts w:ascii="Verdana" w:hAnsi="Verdana"/>
          <w:sz w:val="16"/>
          <w:szCs w:val="16"/>
          <w:lang w:val="es-CO"/>
        </w:rPr>
        <w:t xml:space="preserve">Consejo de Estado, Sala de Consulta y Servicio Civil. Concepto del 6 de abril de 2006, Rad. 1736. C.P. Luis Fernando Álvarez Jaramillo. </w:t>
      </w:r>
    </w:p>
  </w:footnote>
  <w:footnote w:id="38">
    <w:p w14:paraId="4E14405D" w14:textId="77777777" w:rsidR="00E33242" w:rsidRPr="00C45436" w:rsidRDefault="00E33242" w:rsidP="00E33242">
      <w:pPr>
        <w:pStyle w:val="Textonotapie"/>
        <w:ind w:right="51" w:firstLine="709"/>
        <w:jc w:val="both"/>
        <w:rPr>
          <w:rFonts w:ascii="Verdana" w:hAnsi="Verdana" w:cs="Arial"/>
          <w:sz w:val="16"/>
          <w:szCs w:val="16"/>
        </w:rPr>
      </w:pPr>
      <w:r w:rsidRPr="001476AB">
        <w:rPr>
          <w:rStyle w:val="Refdenotaalpie"/>
          <w:rFonts w:ascii="Verdana" w:hAnsi="Verdana" w:cs="Arial"/>
          <w:sz w:val="16"/>
          <w:szCs w:val="16"/>
        </w:rPr>
        <w:footnoteRef/>
      </w:r>
      <w:r w:rsidRPr="001476AB">
        <w:rPr>
          <w:rFonts w:ascii="Verdana" w:hAnsi="Verdana" w:cs="Arial"/>
          <w:sz w:val="16"/>
          <w:szCs w:val="16"/>
        </w:rPr>
        <w:t xml:space="preserve"> Consejo de Estado. Sala de Consulta y Servicio Civil. Concepto del 20 de febrero de 2006. Rad. 1727. C.P. Enrique José Arboleda Perdomo.</w:t>
      </w:r>
      <w:r w:rsidRPr="00C45436">
        <w:rPr>
          <w:rFonts w:ascii="Verdana" w:hAnsi="Verdana" w:cs="Arial"/>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F857C3" w:rsidRDefault="00F857C3"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F857C3" w:rsidRDefault="00F857C3">
    <w:pPr>
      <w:pStyle w:val="Encabezado"/>
    </w:pPr>
  </w:p>
  <w:p w14:paraId="5E18350A" w14:textId="705F7B76" w:rsidR="00F857C3" w:rsidRPr="004A305D" w:rsidRDefault="00F857C3" w:rsidP="00B01B1A">
    <w:pPr>
      <w:spacing w:after="0" w:line="120" w:lineRule="auto"/>
      <w:rPr>
        <w:rFonts w:ascii="Century Gothic" w:eastAsia="Geo" w:hAnsi="Century Gothic" w:cs="Geo"/>
        <w:sz w:val="16"/>
        <w:szCs w:val="16"/>
        <w:lang w:eastAsia="es-CO"/>
      </w:rPr>
    </w:pPr>
  </w:p>
  <w:p w14:paraId="211B7F5D" w14:textId="77777777" w:rsidR="00F857C3" w:rsidRDefault="00F857C3" w:rsidP="00844AE9">
    <w:pPr>
      <w:spacing w:after="0" w:line="240" w:lineRule="auto"/>
      <w:rPr>
        <w:rFonts w:ascii="Verdana" w:hAnsi="Verdana"/>
        <w:sz w:val="24"/>
        <w:szCs w:val="24"/>
      </w:rPr>
    </w:pPr>
  </w:p>
  <w:p w14:paraId="5A0054B1" w14:textId="77777777" w:rsidR="00F857C3" w:rsidRPr="00C925AC" w:rsidRDefault="00F857C3" w:rsidP="00844AE9">
    <w:pPr>
      <w:spacing w:after="0" w:line="240" w:lineRule="auto"/>
      <w:rPr>
        <w:rFonts w:ascii="Verdana" w:hAnsi="Verdana"/>
        <w:sz w:val="24"/>
        <w:szCs w:val="24"/>
      </w:rPr>
    </w:pPr>
  </w:p>
  <w:p w14:paraId="1FD1C243" w14:textId="37C5500A" w:rsidR="00F857C3" w:rsidRPr="00C925AC" w:rsidRDefault="00F857C3"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4CA4EFE"/>
    <w:multiLevelType w:val="hybridMultilevel"/>
    <w:tmpl w:val="535A062C"/>
    <w:lvl w:ilvl="0" w:tplc="0C0A52FC">
      <w:start w:val="1"/>
      <w:numFmt w:val="bullet"/>
      <w:lvlText w:val="•"/>
      <w:lvlJc w:val="left"/>
      <w:pPr>
        <w:tabs>
          <w:tab w:val="num" w:pos="720"/>
        </w:tabs>
        <w:ind w:left="720" w:hanging="360"/>
      </w:pPr>
      <w:rPr>
        <w:rFonts w:ascii="Arial" w:hAnsi="Arial" w:hint="default"/>
      </w:rPr>
    </w:lvl>
    <w:lvl w:ilvl="1" w:tplc="ECE23108" w:tentative="1">
      <w:start w:val="1"/>
      <w:numFmt w:val="bullet"/>
      <w:lvlText w:val="•"/>
      <w:lvlJc w:val="left"/>
      <w:pPr>
        <w:tabs>
          <w:tab w:val="num" w:pos="1440"/>
        </w:tabs>
        <w:ind w:left="1440" w:hanging="360"/>
      </w:pPr>
      <w:rPr>
        <w:rFonts w:ascii="Arial" w:hAnsi="Arial" w:hint="default"/>
      </w:rPr>
    </w:lvl>
    <w:lvl w:ilvl="2" w:tplc="5E0E9E88" w:tentative="1">
      <w:start w:val="1"/>
      <w:numFmt w:val="bullet"/>
      <w:lvlText w:val="•"/>
      <w:lvlJc w:val="left"/>
      <w:pPr>
        <w:tabs>
          <w:tab w:val="num" w:pos="2160"/>
        </w:tabs>
        <w:ind w:left="2160" w:hanging="360"/>
      </w:pPr>
      <w:rPr>
        <w:rFonts w:ascii="Arial" w:hAnsi="Arial" w:hint="default"/>
      </w:rPr>
    </w:lvl>
    <w:lvl w:ilvl="3" w:tplc="35927F38" w:tentative="1">
      <w:start w:val="1"/>
      <w:numFmt w:val="bullet"/>
      <w:lvlText w:val="•"/>
      <w:lvlJc w:val="left"/>
      <w:pPr>
        <w:tabs>
          <w:tab w:val="num" w:pos="2880"/>
        </w:tabs>
        <w:ind w:left="2880" w:hanging="360"/>
      </w:pPr>
      <w:rPr>
        <w:rFonts w:ascii="Arial" w:hAnsi="Arial" w:hint="default"/>
      </w:rPr>
    </w:lvl>
    <w:lvl w:ilvl="4" w:tplc="1CAC6EF0" w:tentative="1">
      <w:start w:val="1"/>
      <w:numFmt w:val="bullet"/>
      <w:lvlText w:val="•"/>
      <w:lvlJc w:val="left"/>
      <w:pPr>
        <w:tabs>
          <w:tab w:val="num" w:pos="3600"/>
        </w:tabs>
        <w:ind w:left="3600" w:hanging="360"/>
      </w:pPr>
      <w:rPr>
        <w:rFonts w:ascii="Arial" w:hAnsi="Arial" w:hint="default"/>
      </w:rPr>
    </w:lvl>
    <w:lvl w:ilvl="5" w:tplc="664865F0" w:tentative="1">
      <w:start w:val="1"/>
      <w:numFmt w:val="bullet"/>
      <w:lvlText w:val="•"/>
      <w:lvlJc w:val="left"/>
      <w:pPr>
        <w:tabs>
          <w:tab w:val="num" w:pos="4320"/>
        </w:tabs>
        <w:ind w:left="4320" w:hanging="360"/>
      </w:pPr>
      <w:rPr>
        <w:rFonts w:ascii="Arial" w:hAnsi="Arial" w:hint="default"/>
      </w:rPr>
    </w:lvl>
    <w:lvl w:ilvl="6" w:tplc="29840596" w:tentative="1">
      <w:start w:val="1"/>
      <w:numFmt w:val="bullet"/>
      <w:lvlText w:val="•"/>
      <w:lvlJc w:val="left"/>
      <w:pPr>
        <w:tabs>
          <w:tab w:val="num" w:pos="5040"/>
        </w:tabs>
        <w:ind w:left="5040" w:hanging="360"/>
      </w:pPr>
      <w:rPr>
        <w:rFonts w:ascii="Arial" w:hAnsi="Arial" w:hint="default"/>
      </w:rPr>
    </w:lvl>
    <w:lvl w:ilvl="7" w:tplc="B95EFAC0" w:tentative="1">
      <w:start w:val="1"/>
      <w:numFmt w:val="bullet"/>
      <w:lvlText w:val="•"/>
      <w:lvlJc w:val="left"/>
      <w:pPr>
        <w:tabs>
          <w:tab w:val="num" w:pos="5760"/>
        </w:tabs>
        <w:ind w:left="5760" w:hanging="360"/>
      </w:pPr>
      <w:rPr>
        <w:rFonts w:ascii="Arial" w:hAnsi="Arial" w:hint="default"/>
      </w:rPr>
    </w:lvl>
    <w:lvl w:ilvl="8" w:tplc="2DAC8E9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42EA5AA3"/>
    <w:multiLevelType w:val="hybridMultilevel"/>
    <w:tmpl w:val="F1968C6E"/>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3" w15:restartNumberingAfterBreak="0">
    <w:nsid w:val="45D54189"/>
    <w:multiLevelType w:val="hybridMultilevel"/>
    <w:tmpl w:val="41C698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56176E83"/>
    <w:multiLevelType w:val="multilevel"/>
    <w:tmpl w:val="C5DE6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1EC30B0"/>
    <w:multiLevelType w:val="multilevel"/>
    <w:tmpl w:val="24DEA0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745109762">
    <w:abstractNumId w:val="8"/>
  </w:num>
  <w:num w:numId="2" w16cid:durableId="877860875">
    <w:abstractNumId w:val="2"/>
  </w:num>
  <w:num w:numId="3" w16cid:durableId="748308462">
    <w:abstractNumId w:val="6"/>
  </w:num>
  <w:num w:numId="4" w16cid:durableId="31132794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05369021">
    <w:abstractNumId w:val="2"/>
  </w:num>
  <w:num w:numId="6" w16cid:durableId="626357381">
    <w:abstractNumId w:val="18"/>
  </w:num>
  <w:num w:numId="7" w16cid:durableId="1668438980">
    <w:abstractNumId w:val="7"/>
  </w:num>
  <w:num w:numId="8" w16cid:durableId="541674172">
    <w:abstractNumId w:val="17"/>
  </w:num>
  <w:num w:numId="9" w16cid:durableId="708336759">
    <w:abstractNumId w:val="9"/>
  </w:num>
  <w:num w:numId="10" w16cid:durableId="1338119216">
    <w:abstractNumId w:val="16"/>
  </w:num>
  <w:num w:numId="11" w16cid:durableId="865563793">
    <w:abstractNumId w:val="10"/>
  </w:num>
  <w:num w:numId="12" w16cid:durableId="454912841">
    <w:abstractNumId w:val="1"/>
  </w:num>
  <w:num w:numId="13" w16cid:durableId="1793939447">
    <w:abstractNumId w:val="4"/>
  </w:num>
  <w:num w:numId="14" w16cid:durableId="442574634">
    <w:abstractNumId w:val="19"/>
  </w:num>
  <w:num w:numId="15" w16cid:durableId="1706170775">
    <w:abstractNumId w:val="15"/>
  </w:num>
  <w:num w:numId="16" w16cid:durableId="1928879753">
    <w:abstractNumId w:val="0"/>
  </w:num>
  <w:num w:numId="17" w16cid:durableId="404496996">
    <w:abstractNumId w:val="11"/>
  </w:num>
  <w:num w:numId="18" w16cid:durableId="715084672">
    <w:abstractNumId w:val="13"/>
  </w:num>
  <w:num w:numId="19" w16cid:durableId="1178811577">
    <w:abstractNumId w:val="3"/>
  </w:num>
  <w:num w:numId="20" w16cid:durableId="91824889">
    <w:abstractNumId w:val="21"/>
  </w:num>
  <w:num w:numId="21" w16cid:durableId="1088885334">
    <w:abstractNumId w:val="5"/>
  </w:num>
  <w:num w:numId="22" w16cid:durableId="1376658589">
    <w:abstractNumId w:val="20"/>
  </w:num>
  <w:num w:numId="23" w16cid:durableId="1659991047">
    <w:abstractNumId w:val="12"/>
  </w:num>
  <w:num w:numId="24" w16cid:durableId="1435632373">
    <w:abstractNumId w:val="14"/>
  </w:num>
  <w:num w:numId="25" w16cid:durableId="103226275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452B"/>
    <w:rsid w:val="000046A3"/>
    <w:rsid w:val="0001041D"/>
    <w:rsid w:val="0001088B"/>
    <w:rsid w:val="00016F78"/>
    <w:rsid w:val="00027FE4"/>
    <w:rsid w:val="000345D6"/>
    <w:rsid w:val="00043505"/>
    <w:rsid w:val="00046263"/>
    <w:rsid w:val="00046945"/>
    <w:rsid w:val="00053C4A"/>
    <w:rsid w:val="00054551"/>
    <w:rsid w:val="00061B2A"/>
    <w:rsid w:val="00062DFC"/>
    <w:rsid w:val="000637C4"/>
    <w:rsid w:val="00081367"/>
    <w:rsid w:val="00082362"/>
    <w:rsid w:val="000825A6"/>
    <w:rsid w:val="00090AEB"/>
    <w:rsid w:val="00095DAE"/>
    <w:rsid w:val="000A5B19"/>
    <w:rsid w:val="000A683E"/>
    <w:rsid w:val="000B19B9"/>
    <w:rsid w:val="000C1F6A"/>
    <w:rsid w:val="000C43C5"/>
    <w:rsid w:val="000C75D3"/>
    <w:rsid w:val="000D0334"/>
    <w:rsid w:val="000D5040"/>
    <w:rsid w:val="000D5DA7"/>
    <w:rsid w:val="000F4BC5"/>
    <w:rsid w:val="000F4EFB"/>
    <w:rsid w:val="000F5544"/>
    <w:rsid w:val="000F6486"/>
    <w:rsid w:val="00102203"/>
    <w:rsid w:val="00103765"/>
    <w:rsid w:val="00104A43"/>
    <w:rsid w:val="001052D1"/>
    <w:rsid w:val="00116940"/>
    <w:rsid w:val="00123807"/>
    <w:rsid w:val="00125105"/>
    <w:rsid w:val="00127233"/>
    <w:rsid w:val="0012746B"/>
    <w:rsid w:val="00127474"/>
    <w:rsid w:val="0013394F"/>
    <w:rsid w:val="00140D86"/>
    <w:rsid w:val="001476AB"/>
    <w:rsid w:val="001519C3"/>
    <w:rsid w:val="0015699B"/>
    <w:rsid w:val="00164FB3"/>
    <w:rsid w:val="001801C8"/>
    <w:rsid w:val="0018394E"/>
    <w:rsid w:val="0018407E"/>
    <w:rsid w:val="00186DE9"/>
    <w:rsid w:val="0019495B"/>
    <w:rsid w:val="001967FD"/>
    <w:rsid w:val="001A2B78"/>
    <w:rsid w:val="001A33BF"/>
    <w:rsid w:val="001A65C5"/>
    <w:rsid w:val="001D3F22"/>
    <w:rsid w:val="001E194B"/>
    <w:rsid w:val="001E4177"/>
    <w:rsid w:val="001E5EA0"/>
    <w:rsid w:val="001F0B24"/>
    <w:rsid w:val="001F5A1F"/>
    <w:rsid w:val="001F7DC6"/>
    <w:rsid w:val="0020079E"/>
    <w:rsid w:val="00213187"/>
    <w:rsid w:val="00214034"/>
    <w:rsid w:val="00221BB3"/>
    <w:rsid w:val="0022400B"/>
    <w:rsid w:val="002249CC"/>
    <w:rsid w:val="002421BB"/>
    <w:rsid w:val="00243967"/>
    <w:rsid w:val="002441E6"/>
    <w:rsid w:val="00245765"/>
    <w:rsid w:val="0024692A"/>
    <w:rsid w:val="0025796E"/>
    <w:rsid w:val="00260064"/>
    <w:rsid w:val="00261121"/>
    <w:rsid w:val="002707A2"/>
    <w:rsid w:val="00272A28"/>
    <w:rsid w:val="002826F0"/>
    <w:rsid w:val="002845F4"/>
    <w:rsid w:val="002857D9"/>
    <w:rsid w:val="00286A15"/>
    <w:rsid w:val="00291756"/>
    <w:rsid w:val="00293441"/>
    <w:rsid w:val="002951A0"/>
    <w:rsid w:val="002962BC"/>
    <w:rsid w:val="002A093D"/>
    <w:rsid w:val="002A0DD0"/>
    <w:rsid w:val="002A49AC"/>
    <w:rsid w:val="002A5E3E"/>
    <w:rsid w:val="002A64FD"/>
    <w:rsid w:val="002A760C"/>
    <w:rsid w:val="002B00EC"/>
    <w:rsid w:val="002C5725"/>
    <w:rsid w:val="002C6F21"/>
    <w:rsid w:val="002C7A84"/>
    <w:rsid w:val="002E2BF8"/>
    <w:rsid w:val="002E4FD9"/>
    <w:rsid w:val="002E60E4"/>
    <w:rsid w:val="002F3CDF"/>
    <w:rsid w:val="0030657A"/>
    <w:rsid w:val="00322A85"/>
    <w:rsid w:val="00324168"/>
    <w:rsid w:val="00330834"/>
    <w:rsid w:val="003318AB"/>
    <w:rsid w:val="0033349E"/>
    <w:rsid w:val="00334552"/>
    <w:rsid w:val="00341304"/>
    <w:rsid w:val="003417DA"/>
    <w:rsid w:val="003448F4"/>
    <w:rsid w:val="00351261"/>
    <w:rsid w:val="00355EA0"/>
    <w:rsid w:val="00357C72"/>
    <w:rsid w:val="003604F5"/>
    <w:rsid w:val="0036365C"/>
    <w:rsid w:val="00365AE8"/>
    <w:rsid w:val="00370A2E"/>
    <w:rsid w:val="00374F5E"/>
    <w:rsid w:val="0037512C"/>
    <w:rsid w:val="00377E3E"/>
    <w:rsid w:val="00380CA4"/>
    <w:rsid w:val="00383185"/>
    <w:rsid w:val="00383B77"/>
    <w:rsid w:val="00397D73"/>
    <w:rsid w:val="003A152E"/>
    <w:rsid w:val="003A475A"/>
    <w:rsid w:val="003A622C"/>
    <w:rsid w:val="003A779E"/>
    <w:rsid w:val="003B2F20"/>
    <w:rsid w:val="003C5B9E"/>
    <w:rsid w:val="003C64B8"/>
    <w:rsid w:val="003D0F4D"/>
    <w:rsid w:val="003D1CF9"/>
    <w:rsid w:val="003D5B0D"/>
    <w:rsid w:val="003E0499"/>
    <w:rsid w:val="003E4F80"/>
    <w:rsid w:val="003E6439"/>
    <w:rsid w:val="003E6646"/>
    <w:rsid w:val="003F0A7D"/>
    <w:rsid w:val="003F3941"/>
    <w:rsid w:val="00401590"/>
    <w:rsid w:val="00406575"/>
    <w:rsid w:val="00414C74"/>
    <w:rsid w:val="00417B5B"/>
    <w:rsid w:val="004261E9"/>
    <w:rsid w:val="0042722E"/>
    <w:rsid w:val="004273F2"/>
    <w:rsid w:val="0043501E"/>
    <w:rsid w:val="00436054"/>
    <w:rsid w:val="00437377"/>
    <w:rsid w:val="0044158F"/>
    <w:rsid w:val="0044528D"/>
    <w:rsid w:val="00447D22"/>
    <w:rsid w:val="00460C08"/>
    <w:rsid w:val="00461D39"/>
    <w:rsid w:val="00466302"/>
    <w:rsid w:val="00466E39"/>
    <w:rsid w:val="004674CF"/>
    <w:rsid w:val="00473BEB"/>
    <w:rsid w:val="0048398A"/>
    <w:rsid w:val="00494C69"/>
    <w:rsid w:val="0049570F"/>
    <w:rsid w:val="004A1847"/>
    <w:rsid w:val="004A305D"/>
    <w:rsid w:val="004A6099"/>
    <w:rsid w:val="004B6C4C"/>
    <w:rsid w:val="004B7D74"/>
    <w:rsid w:val="004C1120"/>
    <w:rsid w:val="004C446E"/>
    <w:rsid w:val="004D3BDD"/>
    <w:rsid w:val="004D420F"/>
    <w:rsid w:val="004D7FB4"/>
    <w:rsid w:val="004E6F8B"/>
    <w:rsid w:val="004E7D10"/>
    <w:rsid w:val="004F1C0A"/>
    <w:rsid w:val="004F21C4"/>
    <w:rsid w:val="004F3465"/>
    <w:rsid w:val="004F5797"/>
    <w:rsid w:val="004F685F"/>
    <w:rsid w:val="004F7CC1"/>
    <w:rsid w:val="005154AE"/>
    <w:rsid w:val="005240D5"/>
    <w:rsid w:val="005269B0"/>
    <w:rsid w:val="0053199F"/>
    <w:rsid w:val="0053288C"/>
    <w:rsid w:val="005461C4"/>
    <w:rsid w:val="005566E8"/>
    <w:rsid w:val="005616BF"/>
    <w:rsid w:val="00574867"/>
    <w:rsid w:val="00580BC6"/>
    <w:rsid w:val="00585673"/>
    <w:rsid w:val="00591460"/>
    <w:rsid w:val="00597A19"/>
    <w:rsid w:val="005A65E0"/>
    <w:rsid w:val="005B0452"/>
    <w:rsid w:val="005B189F"/>
    <w:rsid w:val="005B4B74"/>
    <w:rsid w:val="005B7E48"/>
    <w:rsid w:val="005C2C9C"/>
    <w:rsid w:val="005C3777"/>
    <w:rsid w:val="005C5CDC"/>
    <w:rsid w:val="005C6BC8"/>
    <w:rsid w:val="005C755E"/>
    <w:rsid w:val="005D476C"/>
    <w:rsid w:val="005E6B20"/>
    <w:rsid w:val="005F181C"/>
    <w:rsid w:val="005F7CFB"/>
    <w:rsid w:val="00606EED"/>
    <w:rsid w:val="00614323"/>
    <w:rsid w:val="006200BF"/>
    <w:rsid w:val="006219F8"/>
    <w:rsid w:val="00621C7A"/>
    <w:rsid w:val="006229C7"/>
    <w:rsid w:val="00624340"/>
    <w:rsid w:val="00625764"/>
    <w:rsid w:val="006302F7"/>
    <w:rsid w:val="006437E1"/>
    <w:rsid w:val="00646B9F"/>
    <w:rsid w:val="006527D7"/>
    <w:rsid w:val="00652BE6"/>
    <w:rsid w:val="00656F96"/>
    <w:rsid w:val="00662D62"/>
    <w:rsid w:val="00665485"/>
    <w:rsid w:val="00665D70"/>
    <w:rsid w:val="006674AB"/>
    <w:rsid w:val="006705D8"/>
    <w:rsid w:val="0067682F"/>
    <w:rsid w:val="00686C01"/>
    <w:rsid w:val="006900D9"/>
    <w:rsid w:val="006C04F1"/>
    <w:rsid w:val="006C296B"/>
    <w:rsid w:val="006D747C"/>
    <w:rsid w:val="006D76F7"/>
    <w:rsid w:val="006E2BF4"/>
    <w:rsid w:val="006E3BCA"/>
    <w:rsid w:val="00706C16"/>
    <w:rsid w:val="00721364"/>
    <w:rsid w:val="0073108D"/>
    <w:rsid w:val="007317FA"/>
    <w:rsid w:val="007340C3"/>
    <w:rsid w:val="00737DF0"/>
    <w:rsid w:val="0075235A"/>
    <w:rsid w:val="00752490"/>
    <w:rsid w:val="007547BA"/>
    <w:rsid w:val="00756841"/>
    <w:rsid w:val="007649AB"/>
    <w:rsid w:val="00764E41"/>
    <w:rsid w:val="00771D0C"/>
    <w:rsid w:val="00771E47"/>
    <w:rsid w:val="007744FB"/>
    <w:rsid w:val="007829E1"/>
    <w:rsid w:val="007833AC"/>
    <w:rsid w:val="0078433B"/>
    <w:rsid w:val="0078567C"/>
    <w:rsid w:val="00791C33"/>
    <w:rsid w:val="007A153F"/>
    <w:rsid w:val="007B268C"/>
    <w:rsid w:val="007B7171"/>
    <w:rsid w:val="007C0C0F"/>
    <w:rsid w:val="007C11C5"/>
    <w:rsid w:val="007C3DC2"/>
    <w:rsid w:val="007C6108"/>
    <w:rsid w:val="007D3968"/>
    <w:rsid w:val="007D4893"/>
    <w:rsid w:val="007E0EF2"/>
    <w:rsid w:val="007E2C2E"/>
    <w:rsid w:val="007E5497"/>
    <w:rsid w:val="007F019B"/>
    <w:rsid w:val="007F0FED"/>
    <w:rsid w:val="00806205"/>
    <w:rsid w:val="00806F5F"/>
    <w:rsid w:val="00815B83"/>
    <w:rsid w:val="00817856"/>
    <w:rsid w:val="00820169"/>
    <w:rsid w:val="00820278"/>
    <w:rsid w:val="00824114"/>
    <w:rsid w:val="008258C9"/>
    <w:rsid w:val="00826EE8"/>
    <w:rsid w:val="00844AE9"/>
    <w:rsid w:val="00861467"/>
    <w:rsid w:val="0086491C"/>
    <w:rsid w:val="00865A1B"/>
    <w:rsid w:val="00867F95"/>
    <w:rsid w:val="008835B4"/>
    <w:rsid w:val="008843B6"/>
    <w:rsid w:val="00891006"/>
    <w:rsid w:val="00891928"/>
    <w:rsid w:val="008934CB"/>
    <w:rsid w:val="00895356"/>
    <w:rsid w:val="008A0D3F"/>
    <w:rsid w:val="008A113E"/>
    <w:rsid w:val="008A1896"/>
    <w:rsid w:val="008A446D"/>
    <w:rsid w:val="008A65F7"/>
    <w:rsid w:val="008B104D"/>
    <w:rsid w:val="008B25F1"/>
    <w:rsid w:val="008C571F"/>
    <w:rsid w:val="008C5A84"/>
    <w:rsid w:val="008D180B"/>
    <w:rsid w:val="008E72AF"/>
    <w:rsid w:val="008F0EA7"/>
    <w:rsid w:val="008F327E"/>
    <w:rsid w:val="0090201A"/>
    <w:rsid w:val="00917D01"/>
    <w:rsid w:val="00923EEF"/>
    <w:rsid w:val="00926A30"/>
    <w:rsid w:val="009305DC"/>
    <w:rsid w:val="00936B7A"/>
    <w:rsid w:val="009419F9"/>
    <w:rsid w:val="0095685E"/>
    <w:rsid w:val="00961B09"/>
    <w:rsid w:val="00965334"/>
    <w:rsid w:val="0097093E"/>
    <w:rsid w:val="00971254"/>
    <w:rsid w:val="00973E63"/>
    <w:rsid w:val="0097655E"/>
    <w:rsid w:val="00990BF1"/>
    <w:rsid w:val="00992456"/>
    <w:rsid w:val="009945A5"/>
    <w:rsid w:val="009A027F"/>
    <w:rsid w:val="009A0D37"/>
    <w:rsid w:val="009A0DFA"/>
    <w:rsid w:val="009A1C6F"/>
    <w:rsid w:val="009A2A03"/>
    <w:rsid w:val="009A44C2"/>
    <w:rsid w:val="009B27B7"/>
    <w:rsid w:val="009B2D26"/>
    <w:rsid w:val="009B651B"/>
    <w:rsid w:val="009B7652"/>
    <w:rsid w:val="009C3B44"/>
    <w:rsid w:val="009C71FA"/>
    <w:rsid w:val="009C72E7"/>
    <w:rsid w:val="009C7F7E"/>
    <w:rsid w:val="009D3058"/>
    <w:rsid w:val="009E6333"/>
    <w:rsid w:val="009E7F61"/>
    <w:rsid w:val="009F27AB"/>
    <w:rsid w:val="009F3A13"/>
    <w:rsid w:val="00A07EBF"/>
    <w:rsid w:val="00A1025E"/>
    <w:rsid w:val="00A122D3"/>
    <w:rsid w:val="00A14468"/>
    <w:rsid w:val="00A16581"/>
    <w:rsid w:val="00A17F13"/>
    <w:rsid w:val="00A20739"/>
    <w:rsid w:val="00A218FA"/>
    <w:rsid w:val="00A233A1"/>
    <w:rsid w:val="00A23AF9"/>
    <w:rsid w:val="00A33C78"/>
    <w:rsid w:val="00A458D1"/>
    <w:rsid w:val="00A51220"/>
    <w:rsid w:val="00A63F17"/>
    <w:rsid w:val="00A760A5"/>
    <w:rsid w:val="00A83161"/>
    <w:rsid w:val="00A86E5C"/>
    <w:rsid w:val="00AB0ADB"/>
    <w:rsid w:val="00AC47FA"/>
    <w:rsid w:val="00AD67E7"/>
    <w:rsid w:val="00AF1D17"/>
    <w:rsid w:val="00B00C0E"/>
    <w:rsid w:val="00B01B1A"/>
    <w:rsid w:val="00B02769"/>
    <w:rsid w:val="00B0381D"/>
    <w:rsid w:val="00B12E7A"/>
    <w:rsid w:val="00B13882"/>
    <w:rsid w:val="00B14AE1"/>
    <w:rsid w:val="00B14F11"/>
    <w:rsid w:val="00B14F36"/>
    <w:rsid w:val="00B26E62"/>
    <w:rsid w:val="00B44A47"/>
    <w:rsid w:val="00B45051"/>
    <w:rsid w:val="00B72CD3"/>
    <w:rsid w:val="00B72FFF"/>
    <w:rsid w:val="00B74176"/>
    <w:rsid w:val="00B7443D"/>
    <w:rsid w:val="00B75440"/>
    <w:rsid w:val="00B924C3"/>
    <w:rsid w:val="00B944AA"/>
    <w:rsid w:val="00B95ED8"/>
    <w:rsid w:val="00BA15D8"/>
    <w:rsid w:val="00BA7A2E"/>
    <w:rsid w:val="00BB5154"/>
    <w:rsid w:val="00BB5AC2"/>
    <w:rsid w:val="00BB6120"/>
    <w:rsid w:val="00BB7DAA"/>
    <w:rsid w:val="00BC3C31"/>
    <w:rsid w:val="00BC3D36"/>
    <w:rsid w:val="00BC4962"/>
    <w:rsid w:val="00BD54A6"/>
    <w:rsid w:val="00BD7F72"/>
    <w:rsid w:val="00BE0FC4"/>
    <w:rsid w:val="00BE5B49"/>
    <w:rsid w:val="00BF58CD"/>
    <w:rsid w:val="00BF6651"/>
    <w:rsid w:val="00BF7425"/>
    <w:rsid w:val="00BF78B9"/>
    <w:rsid w:val="00C04BE5"/>
    <w:rsid w:val="00C04FB3"/>
    <w:rsid w:val="00C11D8B"/>
    <w:rsid w:val="00C15139"/>
    <w:rsid w:val="00C330EB"/>
    <w:rsid w:val="00C35A4D"/>
    <w:rsid w:val="00C47A0A"/>
    <w:rsid w:val="00C50D69"/>
    <w:rsid w:val="00C5365C"/>
    <w:rsid w:val="00C63036"/>
    <w:rsid w:val="00C66233"/>
    <w:rsid w:val="00C67C8B"/>
    <w:rsid w:val="00C729D3"/>
    <w:rsid w:val="00C754BE"/>
    <w:rsid w:val="00C76B1C"/>
    <w:rsid w:val="00C90318"/>
    <w:rsid w:val="00C9143B"/>
    <w:rsid w:val="00C925AC"/>
    <w:rsid w:val="00C93167"/>
    <w:rsid w:val="00C9323E"/>
    <w:rsid w:val="00C946BF"/>
    <w:rsid w:val="00C94E8B"/>
    <w:rsid w:val="00C958D1"/>
    <w:rsid w:val="00CA0E68"/>
    <w:rsid w:val="00CB6357"/>
    <w:rsid w:val="00CC1431"/>
    <w:rsid w:val="00CC1B26"/>
    <w:rsid w:val="00CC4C79"/>
    <w:rsid w:val="00CD6067"/>
    <w:rsid w:val="00CD7EF4"/>
    <w:rsid w:val="00CE4589"/>
    <w:rsid w:val="00CE72C3"/>
    <w:rsid w:val="00CF0E99"/>
    <w:rsid w:val="00CF4861"/>
    <w:rsid w:val="00D0388E"/>
    <w:rsid w:val="00D06C1F"/>
    <w:rsid w:val="00D13C5D"/>
    <w:rsid w:val="00D14E75"/>
    <w:rsid w:val="00D16C15"/>
    <w:rsid w:val="00D31EC6"/>
    <w:rsid w:val="00D350D3"/>
    <w:rsid w:val="00D361FD"/>
    <w:rsid w:val="00D417C8"/>
    <w:rsid w:val="00D423A2"/>
    <w:rsid w:val="00D43545"/>
    <w:rsid w:val="00D439FC"/>
    <w:rsid w:val="00D44E26"/>
    <w:rsid w:val="00D520D8"/>
    <w:rsid w:val="00D53F94"/>
    <w:rsid w:val="00D63AC2"/>
    <w:rsid w:val="00D7383B"/>
    <w:rsid w:val="00D767C9"/>
    <w:rsid w:val="00D7788A"/>
    <w:rsid w:val="00D91BCC"/>
    <w:rsid w:val="00D95EB7"/>
    <w:rsid w:val="00D9653C"/>
    <w:rsid w:val="00DA231B"/>
    <w:rsid w:val="00DB0EE0"/>
    <w:rsid w:val="00DC39FC"/>
    <w:rsid w:val="00DC6C70"/>
    <w:rsid w:val="00DD0992"/>
    <w:rsid w:val="00DD4F85"/>
    <w:rsid w:val="00DF1F0B"/>
    <w:rsid w:val="00DF3F1B"/>
    <w:rsid w:val="00DF4BC3"/>
    <w:rsid w:val="00DF5254"/>
    <w:rsid w:val="00DF71C2"/>
    <w:rsid w:val="00E02524"/>
    <w:rsid w:val="00E1428B"/>
    <w:rsid w:val="00E16408"/>
    <w:rsid w:val="00E20894"/>
    <w:rsid w:val="00E22A1A"/>
    <w:rsid w:val="00E245AB"/>
    <w:rsid w:val="00E2764C"/>
    <w:rsid w:val="00E27F2E"/>
    <w:rsid w:val="00E33242"/>
    <w:rsid w:val="00E3445C"/>
    <w:rsid w:val="00E35083"/>
    <w:rsid w:val="00E5016B"/>
    <w:rsid w:val="00E50AFE"/>
    <w:rsid w:val="00E54809"/>
    <w:rsid w:val="00E56EE8"/>
    <w:rsid w:val="00E60AD8"/>
    <w:rsid w:val="00E75C92"/>
    <w:rsid w:val="00E760D9"/>
    <w:rsid w:val="00E771DC"/>
    <w:rsid w:val="00E8252C"/>
    <w:rsid w:val="00E83EFE"/>
    <w:rsid w:val="00E8772A"/>
    <w:rsid w:val="00E90AC3"/>
    <w:rsid w:val="00E90F6B"/>
    <w:rsid w:val="00E92C27"/>
    <w:rsid w:val="00E96642"/>
    <w:rsid w:val="00E973A4"/>
    <w:rsid w:val="00EA0E3D"/>
    <w:rsid w:val="00EA4B5D"/>
    <w:rsid w:val="00EB2918"/>
    <w:rsid w:val="00EB3B30"/>
    <w:rsid w:val="00EB46C9"/>
    <w:rsid w:val="00EC38A7"/>
    <w:rsid w:val="00EE1AA8"/>
    <w:rsid w:val="00EF6139"/>
    <w:rsid w:val="00F04C61"/>
    <w:rsid w:val="00F04D58"/>
    <w:rsid w:val="00F04EBB"/>
    <w:rsid w:val="00F04FFA"/>
    <w:rsid w:val="00F163B0"/>
    <w:rsid w:val="00F16BC8"/>
    <w:rsid w:val="00F23FEA"/>
    <w:rsid w:val="00F25E5D"/>
    <w:rsid w:val="00F31A4A"/>
    <w:rsid w:val="00F31EDC"/>
    <w:rsid w:val="00F40CC2"/>
    <w:rsid w:val="00F4179D"/>
    <w:rsid w:val="00F462B3"/>
    <w:rsid w:val="00F54FCB"/>
    <w:rsid w:val="00F5664F"/>
    <w:rsid w:val="00F624DD"/>
    <w:rsid w:val="00F66217"/>
    <w:rsid w:val="00F666C4"/>
    <w:rsid w:val="00F7007B"/>
    <w:rsid w:val="00F7339B"/>
    <w:rsid w:val="00F76AFC"/>
    <w:rsid w:val="00F85588"/>
    <w:rsid w:val="00F857C3"/>
    <w:rsid w:val="00F86DC4"/>
    <w:rsid w:val="00F92C2A"/>
    <w:rsid w:val="00FA3E17"/>
    <w:rsid w:val="00FA440B"/>
    <w:rsid w:val="00FA47C0"/>
    <w:rsid w:val="00FA6824"/>
    <w:rsid w:val="00FA7E09"/>
    <w:rsid w:val="00FB2271"/>
    <w:rsid w:val="00FB5DD1"/>
    <w:rsid w:val="00FC2B5D"/>
    <w:rsid w:val="00FD63E7"/>
    <w:rsid w:val="00FF1449"/>
    <w:rsid w:val="00FF1C5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636E8B35-C957-4134-9B14-1F43A3E6F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3242"/>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53F9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3F94"/>
    <w:rPr>
      <w:rFonts w:ascii="Geomanist Light" w:hAnsi="Geomanist Light"/>
      <w:lang w:val="es-ES"/>
    </w:rPr>
  </w:style>
  <w:style w:type="character" w:customStyle="1" w:styleId="s15">
    <w:name w:val="s15"/>
    <w:basedOn w:val="Fuentedeprrafopredeter"/>
    <w:rsid w:val="00D53F94"/>
  </w:style>
  <w:style w:type="paragraph" w:styleId="Textoindependiente">
    <w:name w:val="Body Text"/>
    <w:basedOn w:val="Normal"/>
    <w:link w:val="TextoindependienteCar"/>
    <w:uiPriority w:val="1"/>
    <w:qFormat/>
    <w:rsid w:val="00D53F9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53F94"/>
    <w:rPr>
      <w:rFonts w:ascii="Verdana" w:eastAsia="Verdana" w:hAnsi="Verdana" w:cs="Verdana"/>
      <w:lang w:val="es-ES"/>
    </w:rPr>
  </w:style>
  <w:style w:type="character" w:customStyle="1" w:styleId="NormalWebCar">
    <w:name w:val="Normal (Web) Car"/>
    <w:link w:val="NormalWeb"/>
    <w:uiPriority w:val="99"/>
    <w:locked/>
    <w:rsid w:val="00D53F94"/>
    <w:rPr>
      <w:rFonts w:ascii="Times New Roman" w:eastAsia="Times New Roman" w:hAnsi="Times New Roman" w:cs="Times New Roman"/>
      <w:sz w:val="24"/>
      <w:szCs w:val="24"/>
      <w:lang w:eastAsia="es-CO"/>
    </w:rPr>
  </w:style>
  <w:style w:type="character" w:customStyle="1" w:styleId="baj">
    <w:name w:val="b_aj"/>
    <w:basedOn w:val="Fuentedeprrafopredeter"/>
    <w:rsid w:val="00D53F94"/>
  </w:style>
  <w:style w:type="character" w:styleId="Refdecomentario">
    <w:name w:val="annotation reference"/>
    <w:basedOn w:val="Fuentedeprrafopredeter"/>
    <w:uiPriority w:val="99"/>
    <w:semiHidden/>
    <w:unhideWhenUsed/>
    <w:rsid w:val="008F327E"/>
    <w:rPr>
      <w:sz w:val="16"/>
      <w:szCs w:val="16"/>
    </w:rPr>
  </w:style>
  <w:style w:type="paragraph" w:styleId="Textocomentario">
    <w:name w:val="annotation text"/>
    <w:basedOn w:val="Normal"/>
    <w:link w:val="TextocomentarioCar"/>
    <w:uiPriority w:val="99"/>
    <w:unhideWhenUsed/>
    <w:rsid w:val="008F327E"/>
    <w:pPr>
      <w:spacing w:line="240" w:lineRule="auto"/>
    </w:pPr>
    <w:rPr>
      <w:sz w:val="20"/>
      <w:szCs w:val="20"/>
    </w:rPr>
  </w:style>
  <w:style w:type="character" w:customStyle="1" w:styleId="TextocomentarioCar">
    <w:name w:val="Texto comentario Car"/>
    <w:basedOn w:val="Fuentedeprrafopredeter"/>
    <w:link w:val="Textocomentario"/>
    <w:uiPriority w:val="99"/>
    <w:rsid w:val="008F327E"/>
    <w:rPr>
      <w:sz w:val="20"/>
      <w:szCs w:val="20"/>
    </w:rPr>
  </w:style>
  <w:style w:type="paragraph" w:styleId="Asuntodelcomentario">
    <w:name w:val="annotation subject"/>
    <w:basedOn w:val="Textocomentario"/>
    <w:next w:val="Textocomentario"/>
    <w:link w:val="AsuntodelcomentarioCar"/>
    <w:uiPriority w:val="99"/>
    <w:semiHidden/>
    <w:unhideWhenUsed/>
    <w:rsid w:val="008F327E"/>
    <w:rPr>
      <w:b/>
      <w:bCs/>
    </w:rPr>
  </w:style>
  <w:style w:type="character" w:customStyle="1" w:styleId="AsuntodelcomentarioCar">
    <w:name w:val="Asunto del comentario Car"/>
    <w:basedOn w:val="TextocomentarioCar"/>
    <w:link w:val="Asuntodelcomentario"/>
    <w:uiPriority w:val="99"/>
    <w:semiHidden/>
    <w:rsid w:val="008F327E"/>
    <w:rPr>
      <w:b/>
      <w:bCs/>
      <w:sz w:val="20"/>
      <w:szCs w:val="20"/>
    </w:rPr>
  </w:style>
  <w:style w:type="table" w:customStyle="1" w:styleId="Tablaconcuadrcula1">
    <w:name w:val="Tabla con cuadrícula1"/>
    <w:basedOn w:val="Tablanormal"/>
    <w:next w:val="Tablaconcuadrcula"/>
    <w:uiPriority w:val="39"/>
    <w:qFormat/>
    <w:rsid w:val="009305D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CE72C3"/>
    <w:rPr>
      <w:color w:val="605E5C"/>
      <w:shd w:val="clear" w:color="auto" w:fill="E1DFDD"/>
    </w:rPr>
  </w:style>
  <w:style w:type="character" w:styleId="Fuerte">
    <w:name w:val="Strong"/>
    <w:basedOn w:val="Fuentedeprrafopredeter"/>
    <w:uiPriority w:val="22"/>
    <w:qFormat/>
    <w:rsid w:val="007547BA"/>
    <w:rPr>
      <w:b/>
      <w:bCs/>
    </w:rPr>
  </w:style>
  <w:style w:type="character" w:styleId="nfasis">
    <w:name w:val="Emphasis"/>
    <w:basedOn w:val="Fuentedeprrafopredeter"/>
    <w:uiPriority w:val="20"/>
    <w:qFormat/>
    <w:rsid w:val="007547BA"/>
    <w:rPr>
      <w:i/>
      <w:iCs/>
    </w:rPr>
  </w:style>
  <w:style w:type="character" w:customStyle="1" w:styleId="iaj">
    <w:name w:val="i_aj"/>
    <w:basedOn w:val="Fuentedeprrafopredeter"/>
    <w:rsid w:val="004B6C4C"/>
  </w:style>
  <w:style w:type="character" w:styleId="Nmerodepgina">
    <w:name w:val="page number"/>
    <w:basedOn w:val="Fuentedeprrafopredeter"/>
    <w:uiPriority w:val="99"/>
    <w:rsid w:val="00243967"/>
    <w:rPr>
      <w:rFonts w:cs="Times New Roman"/>
    </w:rPr>
  </w:style>
  <w:style w:type="paragraph" w:styleId="Textodeglobo">
    <w:name w:val="Balloon Text"/>
    <w:basedOn w:val="Normal"/>
    <w:link w:val="TextodegloboCar"/>
    <w:uiPriority w:val="99"/>
    <w:semiHidden/>
    <w:unhideWhenUsed/>
    <w:rsid w:val="0024396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439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472626">
      <w:bodyDiv w:val="1"/>
      <w:marLeft w:val="0"/>
      <w:marRight w:val="0"/>
      <w:marTop w:val="0"/>
      <w:marBottom w:val="0"/>
      <w:divBdr>
        <w:top w:val="none" w:sz="0" w:space="0" w:color="auto"/>
        <w:left w:val="none" w:sz="0" w:space="0" w:color="auto"/>
        <w:bottom w:val="none" w:sz="0" w:space="0" w:color="auto"/>
        <w:right w:val="none" w:sz="0" w:space="0" w:color="auto"/>
      </w:divBdr>
    </w:div>
    <w:div w:id="223948667">
      <w:bodyDiv w:val="1"/>
      <w:marLeft w:val="0"/>
      <w:marRight w:val="0"/>
      <w:marTop w:val="0"/>
      <w:marBottom w:val="0"/>
      <w:divBdr>
        <w:top w:val="none" w:sz="0" w:space="0" w:color="auto"/>
        <w:left w:val="none" w:sz="0" w:space="0" w:color="auto"/>
        <w:bottom w:val="none" w:sz="0" w:space="0" w:color="auto"/>
        <w:right w:val="none" w:sz="0" w:space="0" w:color="auto"/>
      </w:divBdr>
      <w:divsChild>
        <w:div w:id="85922838">
          <w:marLeft w:val="0"/>
          <w:marRight w:val="0"/>
          <w:marTop w:val="0"/>
          <w:marBottom w:val="0"/>
          <w:divBdr>
            <w:top w:val="none" w:sz="0" w:space="0" w:color="auto"/>
            <w:left w:val="none" w:sz="0" w:space="0" w:color="auto"/>
            <w:bottom w:val="none" w:sz="0" w:space="0" w:color="auto"/>
            <w:right w:val="none" w:sz="0" w:space="0" w:color="auto"/>
          </w:divBdr>
        </w:div>
        <w:div w:id="165290519">
          <w:marLeft w:val="0"/>
          <w:marRight w:val="0"/>
          <w:marTop w:val="0"/>
          <w:marBottom w:val="0"/>
          <w:divBdr>
            <w:top w:val="none" w:sz="0" w:space="0" w:color="auto"/>
            <w:left w:val="none" w:sz="0" w:space="0" w:color="auto"/>
            <w:bottom w:val="none" w:sz="0" w:space="0" w:color="auto"/>
            <w:right w:val="none" w:sz="0" w:space="0" w:color="auto"/>
          </w:divBdr>
        </w:div>
        <w:div w:id="447168462">
          <w:marLeft w:val="0"/>
          <w:marRight w:val="0"/>
          <w:marTop w:val="300"/>
          <w:marBottom w:val="300"/>
          <w:divBdr>
            <w:top w:val="none" w:sz="0" w:space="0" w:color="auto"/>
            <w:left w:val="none" w:sz="0" w:space="0" w:color="auto"/>
            <w:bottom w:val="none" w:sz="0" w:space="0" w:color="auto"/>
            <w:right w:val="none" w:sz="0" w:space="0" w:color="auto"/>
          </w:divBdr>
        </w:div>
        <w:div w:id="477110413">
          <w:marLeft w:val="0"/>
          <w:marRight w:val="0"/>
          <w:marTop w:val="0"/>
          <w:marBottom w:val="0"/>
          <w:divBdr>
            <w:top w:val="none" w:sz="0" w:space="0" w:color="auto"/>
            <w:left w:val="none" w:sz="0" w:space="0" w:color="auto"/>
            <w:bottom w:val="none" w:sz="0" w:space="0" w:color="auto"/>
            <w:right w:val="none" w:sz="0" w:space="0" w:color="auto"/>
          </w:divBdr>
        </w:div>
        <w:div w:id="1263612531">
          <w:marLeft w:val="0"/>
          <w:marRight w:val="0"/>
          <w:marTop w:val="0"/>
          <w:marBottom w:val="0"/>
          <w:divBdr>
            <w:top w:val="none" w:sz="0" w:space="0" w:color="auto"/>
            <w:left w:val="none" w:sz="0" w:space="0" w:color="auto"/>
            <w:bottom w:val="none" w:sz="0" w:space="0" w:color="auto"/>
            <w:right w:val="none" w:sz="0" w:space="0" w:color="auto"/>
          </w:divBdr>
        </w:div>
        <w:div w:id="1614285467">
          <w:marLeft w:val="0"/>
          <w:marRight w:val="0"/>
          <w:marTop w:val="0"/>
          <w:marBottom w:val="0"/>
          <w:divBdr>
            <w:top w:val="none" w:sz="0" w:space="0" w:color="auto"/>
            <w:left w:val="none" w:sz="0" w:space="0" w:color="auto"/>
            <w:bottom w:val="none" w:sz="0" w:space="0" w:color="auto"/>
            <w:right w:val="none" w:sz="0" w:space="0" w:color="auto"/>
          </w:divBdr>
        </w:div>
        <w:div w:id="1749378546">
          <w:marLeft w:val="0"/>
          <w:marRight w:val="0"/>
          <w:marTop w:val="0"/>
          <w:marBottom w:val="0"/>
          <w:divBdr>
            <w:top w:val="none" w:sz="0" w:space="0" w:color="auto"/>
            <w:left w:val="none" w:sz="0" w:space="0" w:color="auto"/>
            <w:bottom w:val="none" w:sz="0" w:space="0" w:color="auto"/>
            <w:right w:val="none" w:sz="0" w:space="0" w:color="auto"/>
          </w:divBdr>
        </w:div>
        <w:div w:id="1946837566">
          <w:marLeft w:val="0"/>
          <w:marRight w:val="0"/>
          <w:marTop w:val="0"/>
          <w:marBottom w:val="0"/>
          <w:divBdr>
            <w:top w:val="none" w:sz="0" w:space="0" w:color="auto"/>
            <w:left w:val="none" w:sz="0" w:space="0" w:color="auto"/>
            <w:bottom w:val="none" w:sz="0" w:space="0" w:color="auto"/>
            <w:right w:val="none" w:sz="0" w:space="0" w:color="auto"/>
          </w:divBdr>
        </w:div>
      </w:divsChild>
    </w:div>
    <w:div w:id="246037187">
      <w:bodyDiv w:val="1"/>
      <w:marLeft w:val="0"/>
      <w:marRight w:val="0"/>
      <w:marTop w:val="0"/>
      <w:marBottom w:val="0"/>
      <w:divBdr>
        <w:top w:val="none" w:sz="0" w:space="0" w:color="auto"/>
        <w:left w:val="none" w:sz="0" w:space="0" w:color="auto"/>
        <w:bottom w:val="none" w:sz="0" w:space="0" w:color="auto"/>
        <w:right w:val="none" w:sz="0" w:space="0" w:color="auto"/>
      </w:divBdr>
    </w:div>
    <w:div w:id="363602384">
      <w:bodyDiv w:val="1"/>
      <w:marLeft w:val="0"/>
      <w:marRight w:val="0"/>
      <w:marTop w:val="0"/>
      <w:marBottom w:val="0"/>
      <w:divBdr>
        <w:top w:val="none" w:sz="0" w:space="0" w:color="auto"/>
        <w:left w:val="none" w:sz="0" w:space="0" w:color="auto"/>
        <w:bottom w:val="none" w:sz="0" w:space="0" w:color="auto"/>
        <w:right w:val="none" w:sz="0" w:space="0" w:color="auto"/>
      </w:divBdr>
    </w:div>
    <w:div w:id="387413375">
      <w:bodyDiv w:val="1"/>
      <w:marLeft w:val="0"/>
      <w:marRight w:val="0"/>
      <w:marTop w:val="0"/>
      <w:marBottom w:val="0"/>
      <w:divBdr>
        <w:top w:val="none" w:sz="0" w:space="0" w:color="auto"/>
        <w:left w:val="none" w:sz="0" w:space="0" w:color="auto"/>
        <w:bottom w:val="none" w:sz="0" w:space="0" w:color="auto"/>
        <w:right w:val="none" w:sz="0" w:space="0" w:color="auto"/>
      </w:divBdr>
    </w:div>
    <w:div w:id="468062268">
      <w:bodyDiv w:val="1"/>
      <w:marLeft w:val="0"/>
      <w:marRight w:val="0"/>
      <w:marTop w:val="0"/>
      <w:marBottom w:val="0"/>
      <w:divBdr>
        <w:top w:val="none" w:sz="0" w:space="0" w:color="auto"/>
        <w:left w:val="none" w:sz="0" w:space="0" w:color="auto"/>
        <w:bottom w:val="none" w:sz="0" w:space="0" w:color="auto"/>
        <w:right w:val="none" w:sz="0" w:space="0" w:color="auto"/>
      </w:divBdr>
    </w:div>
    <w:div w:id="481966587">
      <w:bodyDiv w:val="1"/>
      <w:marLeft w:val="0"/>
      <w:marRight w:val="0"/>
      <w:marTop w:val="0"/>
      <w:marBottom w:val="0"/>
      <w:divBdr>
        <w:top w:val="none" w:sz="0" w:space="0" w:color="auto"/>
        <w:left w:val="none" w:sz="0" w:space="0" w:color="auto"/>
        <w:bottom w:val="none" w:sz="0" w:space="0" w:color="auto"/>
        <w:right w:val="none" w:sz="0" w:space="0" w:color="auto"/>
      </w:divBdr>
    </w:div>
    <w:div w:id="592132111">
      <w:bodyDiv w:val="1"/>
      <w:marLeft w:val="0"/>
      <w:marRight w:val="0"/>
      <w:marTop w:val="0"/>
      <w:marBottom w:val="0"/>
      <w:divBdr>
        <w:top w:val="none" w:sz="0" w:space="0" w:color="auto"/>
        <w:left w:val="none" w:sz="0" w:space="0" w:color="auto"/>
        <w:bottom w:val="none" w:sz="0" w:space="0" w:color="auto"/>
        <w:right w:val="none" w:sz="0" w:space="0" w:color="auto"/>
      </w:divBdr>
      <w:divsChild>
        <w:div w:id="101337901">
          <w:marLeft w:val="0"/>
          <w:marRight w:val="0"/>
          <w:marTop w:val="0"/>
          <w:marBottom w:val="0"/>
          <w:divBdr>
            <w:top w:val="none" w:sz="0" w:space="0" w:color="auto"/>
            <w:left w:val="none" w:sz="0" w:space="0" w:color="auto"/>
            <w:bottom w:val="none" w:sz="0" w:space="0" w:color="auto"/>
            <w:right w:val="none" w:sz="0" w:space="0" w:color="auto"/>
          </w:divBdr>
        </w:div>
      </w:divsChild>
    </w:div>
    <w:div w:id="615604101">
      <w:bodyDiv w:val="1"/>
      <w:marLeft w:val="0"/>
      <w:marRight w:val="0"/>
      <w:marTop w:val="0"/>
      <w:marBottom w:val="0"/>
      <w:divBdr>
        <w:top w:val="none" w:sz="0" w:space="0" w:color="auto"/>
        <w:left w:val="none" w:sz="0" w:space="0" w:color="auto"/>
        <w:bottom w:val="none" w:sz="0" w:space="0" w:color="auto"/>
        <w:right w:val="none" w:sz="0" w:space="0" w:color="auto"/>
      </w:divBdr>
      <w:divsChild>
        <w:div w:id="550271192">
          <w:marLeft w:val="0"/>
          <w:marRight w:val="0"/>
          <w:marTop w:val="0"/>
          <w:marBottom w:val="0"/>
          <w:divBdr>
            <w:top w:val="none" w:sz="0" w:space="0" w:color="auto"/>
            <w:left w:val="none" w:sz="0" w:space="0" w:color="auto"/>
            <w:bottom w:val="none" w:sz="0" w:space="0" w:color="auto"/>
            <w:right w:val="none" w:sz="0" w:space="0" w:color="auto"/>
          </w:divBdr>
          <w:divsChild>
            <w:div w:id="1649018127">
              <w:marLeft w:val="0"/>
              <w:marRight w:val="0"/>
              <w:marTop w:val="0"/>
              <w:marBottom w:val="0"/>
              <w:divBdr>
                <w:top w:val="none" w:sz="0" w:space="0" w:color="auto"/>
                <w:left w:val="none" w:sz="0" w:space="0" w:color="auto"/>
                <w:bottom w:val="none" w:sz="0" w:space="0" w:color="auto"/>
                <w:right w:val="none" w:sz="0" w:space="0" w:color="auto"/>
              </w:divBdr>
              <w:divsChild>
                <w:div w:id="1221553269">
                  <w:marLeft w:val="0"/>
                  <w:marRight w:val="0"/>
                  <w:marTop w:val="0"/>
                  <w:marBottom w:val="0"/>
                  <w:divBdr>
                    <w:top w:val="none" w:sz="0" w:space="0" w:color="auto"/>
                    <w:left w:val="none" w:sz="0" w:space="0" w:color="auto"/>
                    <w:bottom w:val="none" w:sz="0" w:space="0" w:color="auto"/>
                    <w:right w:val="none" w:sz="0" w:space="0" w:color="auto"/>
                  </w:divBdr>
                  <w:divsChild>
                    <w:div w:id="1361512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449418">
          <w:marLeft w:val="0"/>
          <w:marRight w:val="0"/>
          <w:marTop w:val="0"/>
          <w:marBottom w:val="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71784534">
      <w:bodyDiv w:val="1"/>
      <w:marLeft w:val="0"/>
      <w:marRight w:val="0"/>
      <w:marTop w:val="0"/>
      <w:marBottom w:val="0"/>
      <w:divBdr>
        <w:top w:val="none" w:sz="0" w:space="0" w:color="auto"/>
        <w:left w:val="none" w:sz="0" w:space="0" w:color="auto"/>
        <w:bottom w:val="none" w:sz="0" w:space="0" w:color="auto"/>
        <w:right w:val="none" w:sz="0" w:space="0" w:color="auto"/>
      </w:divBdr>
      <w:divsChild>
        <w:div w:id="1956793420">
          <w:marLeft w:val="0"/>
          <w:marRight w:val="0"/>
          <w:marTop w:val="0"/>
          <w:marBottom w:val="0"/>
          <w:divBdr>
            <w:top w:val="none" w:sz="0" w:space="0" w:color="auto"/>
            <w:left w:val="none" w:sz="0" w:space="0" w:color="auto"/>
            <w:bottom w:val="none" w:sz="0" w:space="0" w:color="auto"/>
            <w:right w:val="none" w:sz="0" w:space="0" w:color="auto"/>
          </w:divBdr>
        </w:div>
      </w:divsChild>
    </w:div>
    <w:div w:id="798456624">
      <w:bodyDiv w:val="1"/>
      <w:marLeft w:val="0"/>
      <w:marRight w:val="0"/>
      <w:marTop w:val="0"/>
      <w:marBottom w:val="0"/>
      <w:divBdr>
        <w:top w:val="none" w:sz="0" w:space="0" w:color="auto"/>
        <w:left w:val="none" w:sz="0" w:space="0" w:color="auto"/>
        <w:bottom w:val="none" w:sz="0" w:space="0" w:color="auto"/>
        <w:right w:val="none" w:sz="0" w:space="0" w:color="auto"/>
      </w:divBdr>
    </w:div>
    <w:div w:id="992870627">
      <w:bodyDiv w:val="1"/>
      <w:marLeft w:val="0"/>
      <w:marRight w:val="0"/>
      <w:marTop w:val="0"/>
      <w:marBottom w:val="0"/>
      <w:divBdr>
        <w:top w:val="none" w:sz="0" w:space="0" w:color="auto"/>
        <w:left w:val="none" w:sz="0" w:space="0" w:color="auto"/>
        <w:bottom w:val="none" w:sz="0" w:space="0" w:color="auto"/>
        <w:right w:val="none" w:sz="0" w:space="0" w:color="auto"/>
      </w:divBdr>
      <w:divsChild>
        <w:div w:id="1784882834">
          <w:marLeft w:val="0"/>
          <w:marRight w:val="0"/>
          <w:marTop w:val="0"/>
          <w:marBottom w:val="0"/>
          <w:divBdr>
            <w:top w:val="none" w:sz="0" w:space="0" w:color="auto"/>
            <w:left w:val="none" w:sz="0" w:space="0" w:color="auto"/>
            <w:bottom w:val="none" w:sz="0" w:space="0" w:color="auto"/>
            <w:right w:val="none" w:sz="0" w:space="0" w:color="auto"/>
          </w:divBdr>
        </w:div>
      </w:divsChild>
    </w:div>
    <w:div w:id="1026905926">
      <w:bodyDiv w:val="1"/>
      <w:marLeft w:val="0"/>
      <w:marRight w:val="0"/>
      <w:marTop w:val="0"/>
      <w:marBottom w:val="0"/>
      <w:divBdr>
        <w:top w:val="none" w:sz="0" w:space="0" w:color="auto"/>
        <w:left w:val="none" w:sz="0" w:space="0" w:color="auto"/>
        <w:bottom w:val="none" w:sz="0" w:space="0" w:color="auto"/>
        <w:right w:val="none" w:sz="0" w:space="0" w:color="auto"/>
      </w:divBdr>
    </w:div>
    <w:div w:id="1082066201">
      <w:bodyDiv w:val="1"/>
      <w:marLeft w:val="0"/>
      <w:marRight w:val="0"/>
      <w:marTop w:val="0"/>
      <w:marBottom w:val="0"/>
      <w:divBdr>
        <w:top w:val="none" w:sz="0" w:space="0" w:color="auto"/>
        <w:left w:val="none" w:sz="0" w:space="0" w:color="auto"/>
        <w:bottom w:val="none" w:sz="0" w:space="0" w:color="auto"/>
        <w:right w:val="none" w:sz="0" w:space="0" w:color="auto"/>
      </w:divBdr>
      <w:divsChild>
        <w:div w:id="2092727023">
          <w:marLeft w:val="0"/>
          <w:marRight w:val="0"/>
          <w:marTop w:val="0"/>
          <w:marBottom w:val="0"/>
          <w:divBdr>
            <w:top w:val="none" w:sz="0" w:space="0" w:color="auto"/>
            <w:left w:val="none" w:sz="0" w:space="0" w:color="auto"/>
            <w:bottom w:val="none" w:sz="0" w:space="0" w:color="auto"/>
            <w:right w:val="none" w:sz="0" w:space="0" w:color="auto"/>
          </w:divBdr>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92573932">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488788448">
      <w:bodyDiv w:val="1"/>
      <w:marLeft w:val="0"/>
      <w:marRight w:val="0"/>
      <w:marTop w:val="0"/>
      <w:marBottom w:val="0"/>
      <w:divBdr>
        <w:top w:val="none" w:sz="0" w:space="0" w:color="auto"/>
        <w:left w:val="none" w:sz="0" w:space="0" w:color="auto"/>
        <w:bottom w:val="none" w:sz="0" w:space="0" w:color="auto"/>
        <w:right w:val="none" w:sz="0" w:space="0" w:color="auto"/>
      </w:divBdr>
      <w:divsChild>
        <w:div w:id="248468595">
          <w:marLeft w:val="0"/>
          <w:marRight w:val="0"/>
          <w:marTop w:val="0"/>
          <w:marBottom w:val="0"/>
          <w:divBdr>
            <w:top w:val="none" w:sz="0" w:space="0" w:color="auto"/>
            <w:left w:val="none" w:sz="0" w:space="0" w:color="auto"/>
            <w:bottom w:val="none" w:sz="0" w:space="0" w:color="auto"/>
            <w:right w:val="none" w:sz="0" w:space="0" w:color="auto"/>
          </w:divBdr>
          <w:divsChild>
            <w:div w:id="845632775">
              <w:marLeft w:val="0"/>
              <w:marRight w:val="0"/>
              <w:marTop w:val="0"/>
              <w:marBottom w:val="0"/>
              <w:divBdr>
                <w:top w:val="none" w:sz="0" w:space="0" w:color="auto"/>
                <w:left w:val="none" w:sz="0" w:space="0" w:color="auto"/>
                <w:bottom w:val="none" w:sz="0" w:space="0" w:color="auto"/>
                <w:right w:val="none" w:sz="0" w:space="0" w:color="auto"/>
              </w:divBdr>
              <w:divsChild>
                <w:div w:id="1447774708">
                  <w:marLeft w:val="0"/>
                  <w:marRight w:val="0"/>
                  <w:marTop w:val="0"/>
                  <w:marBottom w:val="0"/>
                  <w:divBdr>
                    <w:top w:val="none" w:sz="0" w:space="0" w:color="auto"/>
                    <w:left w:val="none" w:sz="0" w:space="0" w:color="auto"/>
                    <w:bottom w:val="none" w:sz="0" w:space="0" w:color="auto"/>
                    <w:right w:val="none" w:sz="0" w:space="0" w:color="auto"/>
                  </w:divBdr>
                  <w:divsChild>
                    <w:div w:id="295263177">
                      <w:marLeft w:val="0"/>
                      <w:marRight w:val="0"/>
                      <w:marTop w:val="0"/>
                      <w:marBottom w:val="0"/>
                      <w:divBdr>
                        <w:top w:val="none" w:sz="0" w:space="0" w:color="auto"/>
                        <w:left w:val="none" w:sz="0" w:space="0" w:color="auto"/>
                        <w:bottom w:val="none" w:sz="0" w:space="0" w:color="auto"/>
                        <w:right w:val="none" w:sz="0" w:space="0" w:color="auto"/>
                      </w:divBdr>
                      <w:divsChild>
                        <w:div w:id="1854682073">
                          <w:marLeft w:val="0"/>
                          <w:marRight w:val="0"/>
                          <w:marTop w:val="0"/>
                          <w:marBottom w:val="0"/>
                          <w:divBdr>
                            <w:top w:val="none" w:sz="0" w:space="0" w:color="auto"/>
                            <w:left w:val="none" w:sz="0" w:space="0" w:color="auto"/>
                            <w:bottom w:val="none" w:sz="0" w:space="0" w:color="auto"/>
                            <w:right w:val="none" w:sz="0" w:space="0" w:color="auto"/>
                          </w:divBdr>
                          <w:divsChild>
                            <w:div w:id="85545185">
                              <w:marLeft w:val="0"/>
                              <w:marRight w:val="0"/>
                              <w:marTop w:val="0"/>
                              <w:marBottom w:val="0"/>
                              <w:divBdr>
                                <w:top w:val="none" w:sz="0" w:space="0" w:color="auto"/>
                                <w:left w:val="none" w:sz="0" w:space="0" w:color="auto"/>
                                <w:bottom w:val="none" w:sz="0" w:space="0" w:color="auto"/>
                                <w:right w:val="none" w:sz="0" w:space="0" w:color="auto"/>
                              </w:divBdr>
                              <w:divsChild>
                                <w:div w:id="470752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1990395">
              <w:marLeft w:val="0"/>
              <w:marRight w:val="0"/>
              <w:marTop w:val="0"/>
              <w:marBottom w:val="0"/>
              <w:divBdr>
                <w:top w:val="none" w:sz="0" w:space="0" w:color="auto"/>
                <w:left w:val="none" w:sz="0" w:space="0" w:color="auto"/>
                <w:bottom w:val="none" w:sz="0" w:space="0" w:color="auto"/>
                <w:right w:val="none" w:sz="0" w:space="0" w:color="auto"/>
              </w:divBdr>
              <w:divsChild>
                <w:div w:id="264003799">
                  <w:marLeft w:val="0"/>
                  <w:marRight w:val="0"/>
                  <w:marTop w:val="0"/>
                  <w:marBottom w:val="0"/>
                  <w:divBdr>
                    <w:top w:val="none" w:sz="0" w:space="0" w:color="auto"/>
                    <w:left w:val="none" w:sz="0" w:space="0" w:color="auto"/>
                    <w:bottom w:val="none" w:sz="0" w:space="0" w:color="auto"/>
                    <w:right w:val="none" w:sz="0" w:space="0" w:color="auto"/>
                  </w:divBdr>
                  <w:divsChild>
                    <w:div w:id="1019500851">
                      <w:marLeft w:val="0"/>
                      <w:marRight w:val="0"/>
                      <w:marTop w:val="0"/>
                      <w:marBottom w:val="0"/>
                      <w:divBdr>
                        <w:top w:val="none" w:sz="0" w:space="0" w:color="auto"/>
                        <w:left w:val="none" w:sz="0" w:space="0" w:color="auto"/>
                        <w:bottom w:val="none" w:sz="0" w:space="0" w:color="auto"/>
                        <w:right w:val="none" w:sz="0" w:space="0" w:color="auto"/>
                      </w:divBdr>
                      <w:divsChild>
                        <w:div w:id="552155909">
                          <w:marLeft w:val="0"/>
                          <w:marRight w:val="0"/>
                          <w:marTop w:val="0"/>
                          <w:marBottom w:val="0"/>
                          <w:divBdr>
                            <w:top w:val="none" w:sz="0" w:space="0" w:color="auto"/>
                            <w:left w:val="none" w:sz="0" w:space="0" w:color="auto"/>
                            <w:bottom w:val="none" w:sz="0" w:space="0" w:color="auto"/>
                            <w:right w:val="none" w:sz="0" w:space="0" w:color="auto"/>
                          </w:divBdr>
                          <w:divsChild>
                            <w:div w:id="957027580">
                              <w:marLeft w:val="0"/>
                              <w:marRight w:val="0"/>
                              <w:marTop w:val="0"/>
                              <w:marBottom w:val="0"/>
                              <w:divBdr>
                                <w:top w:val="none" w:sz="0" w:space="0" w:color="auto"/>
                                <w:left w:val="none" w:sz="0" w:space="0" w:color="auto"/>
                                <w:bottom w:val="none" w:sz="0" w:space="0" w:color="auto"/>
                                <w:right w:val="none" w:sz="0" w:space="0" w:color="auto"/>
                              </w:divBdr>
                              <w:divsChild>
                                <w:div w:id="248739573">
                                  <w:marLeft w:val="0"/>
                                  <w:marRight w:val="0"/>
                                  <w:marTop w:val="0"/>
                                  <w:marBottom w:val="0"/>
                                  <w:divBdr>
                                    <w:top w:val="none" w:sz="0" w:space="0" w:color="auto"/>
                                    <w:left w:val="none" w:sz="0" w:space="0" w:color="auto"/>
                                    <w:bottom w:val="none" w:sz="0" w:space="0" w:color="auto"/>
                                    <w:right w:val="none" w:sz="0" w:space="0" w:color="auto"/>
                                  </w:divBdr>
                                  <w:divsChild>
                                    <w:div w:id="996497968">
                                      <w:marLeft w:val="0"/>
                                      <w:marRight w:val="0"/>
                                      <w:marTop w:val="0"/>
                                      <w:marBottom w:val="0"/>
                                      <w:divBdr>
                                        <w:top w:val="none" w:sz="0" w:space="0" w:color="auto"/>
                                        <w:left w:val="none" w:sz="0" w:space="0" w:color="auto"/>
                                        <w:bottom w:val="none" w:sz="0" w:space="0" w:color="auto"/>
                                        <w:right w:val="none" w:sz="0" w:space="0" w:color="auto"/>
                                      </w:divBdr>
                                      <w:divsChild>
                                        <w:div w:id="1452357050">
                                          <w:marLeft w:val="0"/>
                                          <w:marRight w:val="0"/>
                                          <w:marTop w:val="0"/>
                                          <w:marBottom w:val="0"/>
                                          <w:divBdr>
                                            <w:top w:val="none" w:sz="0" w:space="0" w:color="auto"/>
                                            <w:left w:val="none" w:sz="0" w:space="0" w:color="auto"/>
                                            <w:bottom w:val="none" w:sz="0" w:space="0" w:color="auto"/>
                                            <w:right w:val="none" w:sz="0" w:space="0" w:color="auto"/>
                                          </w:divBdr>
                                          <w:divsChild>
                                            <w:div w:id="2138572322">
                                              <w:marLeft w:val="0"/>
                                              <w:marRight w:val="0"/>
                                              <w:marTop w:val="0"/>
                                              <w:marBottom w:val="0"/>
                                              <w:divBdr>
                                                <w:top w:val="none" w:sz="0" w:space="0" w:color="auto"/>
                                                <w:left w:val="none" w:sz="0" w:space="0" w:color="auto"/>
                                                <w:bottom w:val="none" w:sz="0" w:space="0" w:color="auto"/>
                                                <w:right w:val="none" w:sz="0" w:space="0" w:color="auto"/>
                                              </w:divBdr>
                                              <w:divsChild>
                                                <w:div w:id="1658146024">
                                                  <w:marLeft w:val="0"/>
                                                  <w:marRight w:val="0"/>
                                                  <w:marTop w:val="0"/>
                                                  <w:marBottom w:val="0"/>
                                                  <w:divBdr>
                                                    <w:top w:val="none" w:sz="0" w:space="0" w:color="auto"/>
                                                    <w:left w:val="none" w:sz="0" w:space="0" w:color="auto"/>
                                                    <w:bottom w:val="none" w:sz="0" w:space="0" w:color="auto"/>
                                                    <w:right w:val="none" w:sz="0" w:space="0" w:color="auto"/>
                                                  </w:divBdr>
                                                  <w:divsChild>
                                                    <w:div w:id="360084397">
                                                      <w:marLeft w:val="0"/>
                                                      <w:marRight w:val="0"/>
                                                      <w:marTop w:val="0"/>
                                                      <w:marBottom w:val="0"/>
                                                      <w:divBdr>
                                                        <w:top w:val="none" w:sz="0" w:space="0" w:color="auto"/>
                                                        <w:left w:val="none" w:sz="0" w:space="0" w:color="auto"/>
                                                        <w:bottom w:val="none" w:sz="0" w:space="0" w:color="auto"/>
                                                        <w:right w:val="none" w:sz="0" w:space="0" w:color="auto"/>
                                                      </w:divBdr>
                                                      <w:divsChild>
                                                        <w:div w:id="1936088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45218639">
      <w:bodyDiv w:val="1"/>
      <w:marLeft w:val="0"/>
      <w:marRight w:val="0"/>
      <w:marTop w:val="0"/>
      <w:marBottom w:val="0"/>
      <w:divBdr>
        <w:top w:val="none" w:sz="0" w:space="0" w:color="auto"/>
        <w:left w:val="none" w:sz="0" w:space="0" w:color="auto"/>
        <w:bottom w:val="none" w:sz="0" w:space="0" w:color="auto"/>
        <w:right w:val="none" w:sz="0" w:space="0" w:color="auto"/>
      </w:divBdr>
      <w:divsChild>
        <w:div w:id="211616947">
          <w:marLeft w:val="0"/>
          <w:marRight w:val="0"/>
          <w:marTop w:val="0"/>
          <w:marBottom w:val="0"/>
          <w:divBdr>
            <w:top w:val="none" w:sz="0" w:space="0" w:color="auto"/>
            <w:left w:val="none" w:sz="0" w:space="0" w:color="auto"/>
            <w:bottom w:val="none" w:sz="0" w:space="0" w:color="auto"/>
            <w:right w:val="none" w:sz="0" w:space="0" w:color="auto"/>
          </w:divBdr>
        </w:div>
      </w:divsChild>
    </w:div>
    <w:div w:id="1549757397">
      <w:bodyDiv w:val="1"/>
      <w:marLeft w:val="0"/>
      <w:marRight w:val="0"/>
      <w:marTop w:val="0"/>
      <w:marBottom w:val="0"/>
      <w:divBdr>
        <w:top w:val="none" w:sz="0" w:space="0" w:color="auto"/>
        <w:left w:val="none" w:sz="0" w:space="0" w:color="auto"/>
        <w:bottom w:val="none" w:sz="0" w:space="0" w:color="auto"/>
        <w:right w:val="none" w:sz="0" w:space="0" w:color="auto"/>
      </w:divBdr>
    </w:div>
    <w:div w:id="1595820066">
      <w:bodyDiv w:val="1"/>
      <w:marLeft w:val="0"/>
      <w:marRight w:val="0"/>
      <w:marTop w:val="0"/>
      <w:marBottom w:val="0"/>
      <w:divBdr>
        <w:top w:val="none" w:sz="0" w:space="0" w:color="auto"/>
        <w:left w:val="none" w:sz="0" w:space="0" w:color="auto"/>
        <w:bottom w:val="none" w:sz="0" w:space="0" w:color="auto"/>
        <w:right w:val="none" w:sz="0" w:space="0" w:color="auto"/>
      </w:divBdr>
      <w:divsChild>
        <w:div w:id="836312849">
          <w:marLeft w:val="0"/>
          <w:marRight w:val="0"/>
          <w:marTop w:val="0"/>
          <w:marBottom w:val="0"/>
          <w:divBdr>
            <w:top w:val="none" w:sz="0" w:space="0" w:color="auto"/>
            <w:left w:val="none" w:sz="0" w:space="0" w:color="auto"/>
            <w:bottom w:val="none" w:sz="0" w:space="0" w:color="auto"/>
            <w:right w:val="none" w:sz="0" w:space="0" w:color="auto"/>
          </w:divBdr>
        </w:div>
      </w:divsChild>
    </w:div>
    <w:div w:id="1688678860">
      <w:bodyDiv w:val="1"/>
      <w:marLeft w:val="0"/>
      <w:marRight w:val="0"/>
      <w:marTop w:val="0"/>
      <w:marBottom w:val="0"/>
      <w:divBdr>
        <w:top w:val="none" w:sz="0" w:space="0" w:color="auto"/>
        <w:left w:val="none" w:sz="0" w:space="0" w:color="auto"/>
        <w:bottom w:val="none" w:sz="0" w:space="0" w:color="auto"/>
        <w:right w:val="none" w:sz="0" w:space="0" w:color="auto"/>
      </w:divBdr>
      <w:divsChild>
        <w:div w:id="1248997479">
          <w:marLeft w:val="0"/>
          <w:marRight w:val="0"/>
          <w:marTop w:val="0"/>
          <w:marBottom w:val="0"/>
          <w:divBdr>
            <w:top w:val="none" w:sz="0" w:space="0" w:color="auto"/>
            <w:left w:val="none" w:sz="0" w:space="0" w:color="auto"/>
            <w:bottom w:val="none" w:sz="0" w:space="0" w:color="auto"/>
            <w:right w:val="none" w:sz="0" w:space="0" w:color="auto"/>
          </w:divBdr>
        </w:div>
      </w:divsChild>
    </w:div>
    <w:div w:id="1765688853">
      <w:bodyDiv w:val="1"/>
      <w:marLeft w:val="0"/>
      <w:marRight w:val="0"/>
      <w:marTop w:val="0"/>
      <w:marBottom w:val="0"/>
      <w:divBdr>
        <w:top w:val="none" w:sz="0" w:space="0" w:color="auto"/>
        <w:left w:val="none" w:sz="0" w:space="0" w:color="auto"/>
        <w:bottom w:val="none" w:sz="0" w:space="0" w:color="auto"/>
        <w:right w:val="none" w:sz="0" w:space="0" w:color="auto"/>
      </w:divBdr>
    </w:div>
    <w:div w:id="1802769693">
      <w:bodyDiv w:val="1"/>
      <w:marLeft w:val="0"/>
      <w:marRight w:val="0"/>
      <w:marTop w:val="0"/>
      <w:marBottom w:val="0"/>
      <w:divBdr>
        <w:top w:val="none" w:sz="0" w:space="0" w:color="auto"/>
        <w:left w:val="none" w:sz="0" w:space="0" w:color="auto"/>
        <w:bottom w:val="none" w:sz="0" w:space="0" w:color="auto"/>
        <w:right w:val="none" w:sz="0" w:space="0" w:color="auto"/>
      </w:divBdr>
      <w:divsChild>
        <w:div w:id="1447652556">
          <w:marLeft w:val="0"/>
          <w:marRight w:val="0"/>
          <w:marTop w:val="0"/>
          <w:marBottom w:val="0"/>
          <w:divBdr>
            <w:top w:val="none" w:sz="0" w:space="0" w:color="auto"/>
            <w:left w:val="none" w:sz="0" w:space="0" w:color="auto"/>
            <w:bottom w:val="none" w:sz="0" w:space="0" w:color="auto"/>
            <w:right w:val="none" w:sz="0" w:space="0" w:color="auto"/>
          </w:divBdr>
        </w:div>
      </w:divsChild>
    </w:div>
    <w:div w:id="1872449076">
      <w:bodyDiv w:val="1"/>
      <w:marLeft w:val="0"/>
      <w:marRight w:val="0"/>
      <w:marTop w:val="0"/>
      <w:marBottom w:val="0"/>
      <w:divBdr>
        <w:top w:val="none" w:sz="0" w:space="0" w:color="auto"/>
        <w:left w:val="none" w:sz="0" w:space="0" w:color="auto"/>
        <w:bottom w:val="none" w:sz="0" w:space="0" w:color="auto"/>
        <w:right w:val="none" w:sz="0" w:space="0" w:color="auto"/>
      </w:divBdr>
      <w:divsChild>
        <w:div w:id="1674989363">
          <w:marLeft w:val="0"/>
          <w:marRight w:val="0"/>
          <w:marTop w:val="0"/>
          <w:marBottom w:val="0"/>
          <w:divBdr>
            <w:top w:val="none" w:sz="0" w:space="0" w:color="auto"/>
            <w:left w:val="none" w:sz="0" w:space="0" w:color="auto"/>
            <w:bottom w:val="none" w:sz="0" w:space="0" w:color="auto"/>
            <w:right w:val="none" w:sz="0" w:space="0" w:color="auto"/>
          </w:divBdr>
        </w:div>
      </w:divsChild>
    </w:div>
    <w:div w:id="1942448535">
      <w:bodyDiv w:val="1"/>
      <w:marLeft w:val="0"/>
      <w:marRight w:val="0"/>
      <w:marTop w:val="0"/>
      <w:marBottom w:val="0"/>
      <w:divBdr>
        <w:top w:val="none" w:sz="0" w:space="0" w:color="auto"/>
        <w:left w:val="none" w:sz="0" w:space="0" w:color="auto"/>
        <w:bottom w:val="none" w:sz="0" w:space="0" w:color="auto"/>
        <w:right w:val="none" w:sz="0" w:space="0" w:color="auto"/>
      </w:divBdr>
      <w:divsChild>
        <w:div w:id="132917679">
          <w:marLeft w:val="0"/>
          <w:marRight w:val="0"/>
          <w:marTop w:val="0"/>
          <w:marBottom w:val="0"/>
          <w:divBdr>
            <w:top w:val="none" w:sz="0" w:space="0" w:color="auto"/>
            <w:left w:val="none" w:sz="0" w:space="0" w:color="auto"/>
            <w:bottom w:val="none" w:sz="0" w:space="0" w:color="auto"/>
            <w:right w:val="none" w:sz="0" w:space="0" w:color="auto"/>
          </w:divBdr>
          <w:divsChild>
            <w:div w:id="789012070">
              <w:marLeft w:val="0"/>
              <w:marRight w:val="0"/>
              <w:marTop w:val="0"/>
              <w:marBottom w:val="0"/>
              <w:divBdr>
                <w:top w:val="none" w:sz="0" w:space="0" w:color="auto"/>
                <w:left w:val="none" w:sz="0" w:space="0" w:color="auto"/>
                <w:bottom w:val="none" w:sz="0" w:space="0" w:color="auto"/>
                <w:right w:val="none" w:sz="0" w:space="0" w:color="auto"/>
              </w:divBdr>
              <w:divsChild>
                <w:div w:id="567115539">
                  <w:marLeft w:val="0"/>
                  <w:marRight w:val="0"/>
                  <w:marTop w:val="0"/>
                  <w:marBottom w:val="0"/>
                  <w:divBdr>
                    <w:top w:val="none" w:sz="0" w:space="0" w:color="auto"/>
                    <w:left w:val="none" w:sz="0" w:space="0" w:color="auto"/>
                    <w:bottom w:val="none" w:sz="0" w:space="0" w:color="auto"/>
                    <w:right w:val="none" w:sz="0" w:space="0" w:color="auto"/>
                  </w:divBdr>
                  <w:divsChild>
                    <w:div w:id="91147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0208711">
          <w:marLeft w:val="0"/>
          <w:marRight w:val="0"/>
          <w:marTop w:val="0"/>
          <w:marBottom w:val="0"/>
          <w:divBdr>
            <w:top w:val="none" w:sz="0" w:space="0" w:color="auto"/>
            <w:left w:val="none" w:sz="0" w:space="0" w:color="auto"/>
            <w:bottom w:val="none" w:sz="0" w:space="0" w:color="auto"/>
            <w:right w:val="none" w:sz="0" w:space="0" w:color="auto"/>
          </w:divBdr>
        </w:div>
      </w:divsChild>
    </w:div>
    <w:div w:id="2104523667">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pse@ipse.gov.co" TargetMode="External"/><Relationship Id="rId18" Type="http://schemas.openxmlformats.org/officeDocument/2006/relationships/hyperlink" Target="https://www.funcionpublica.gov.co/eva/gestornormativo/norma.php?i=18232" TargetMode="External"/><Relationship Id="rId26" Type="http://schemas.openxmlformats.org/officeDocument/2006/relationships/hyperlink" Target="https://gestornormativo.creg.gov.co/gestor/entorno/docs/ley_1437_2011.htm" TargetMode="External"/><Relationship Id="rId3" Type="http://schemas.openxmlformats.org/officeDocument/2006/relationships/customXml" Target="../customXml/item3.xml"/><Relationship Id="rId21" Type="http://schemas.openxmlformats.org/officeDocument/2006/relationships/hyperlink" Target="https://gestornormativo.creg.gov.co/gestor/entorno/docs/ley_1151_2007.htm" TargetMode="External"/><Relationship Id="rId34" Type="http://schemas.openxmlformats.org/officeDocument/2006/relationships/image" Target="media/image3.png"/><Relationship Id="rId7" Type="http://schemas.openxmlformats.org/officeDocument/2006/relationships/settings" Target="settings.xml"/><Relationship Id="rId12" Type="http://schemas.openxmlformats.org/officeDocument/2006/relationships/hyperlink" Target="mailto:notificaciones@ipse.gov.co" TargetMode="External"/><Relationship Id="rId17" Type="http://schemas.openxmlformats.org/officeDocument/2006/relationships/hyperlink" Target="https://www.funcionpublica.gov.co/eva/gestornormativo/norma.php?i=18232" TargetMode="External"/><Relationship Id="rId25" Type="http://schemas.openxmlformats.org/officeDocument/2006/relationships/hyperlink" Target="https://gestornormativo.creg.gov.co/gestor/entorno/docs/ley_0142_1994.htm" TargetMode="External"/><Relationship Id="rId33" Type="http://schemas.openxmlformats.org/officeDocument/2006/relationships/hyperlink" Target="https://forms.office.com/r/pPHyWVs2SZ"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funcionpublica.gov.co/eva/gestornormativo/norma.php?i=18232" TargetMode="External"/><Relationship Id="rId20" Type="http://schemas.openxmlformats.org/officeDocument/2006/relationships/hyperlink" Target="https://gestornormativo.creg.gov.co/gestor/entorno/docs/ley_0142_1994.htm" TargetMode="External"/><Relationship Id="rId29" Type="http://schemas.openxmlformats.org/officeDocument/2006/relationships/hyperlink" Target="https://www.colombiacompra.gov.co/normativa-y-relatoria/documentos-tipo"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hyperlink" Target="https://gestornormativo.creg.gov.co/gestor/entorno/docs/ley_0142_1994.htm" TargetMode="External"/><Relationship Id="rId32" Type="http://schemas.openxmlformats.org/officeDocument/2006/relationships/hyperlink" Target="https://www.colombiacompra.gov.co/pqrsd/informacion-importante-antes-de-formular-una-pqrsd" TargetMode="External"/><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gestornormativo.creg.gov.co/gestor/entorno/docs/ley_1151_2007.htm" TargetMode="External"/><Relationship Id="rId23" Type="http://schemas.openxmlformats.org/officeDocument/2006/relationships/hyperlink" Target="https://gestornormativo.creg.gov.co/gestor/entorno/docs/ley_0143_1994.htm" TargetMode="External"/><Relationship Id="rId28" Type="http://schemas.openxmlformats.org/officeDocument/2006/relationships/hyperlink" Target="https://formacionvirtual.colombiacompra.gov.co/mod/page/view.php?id=3718" TargetMode="External"/><Relationship Id="rId36"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www.funcionpublica.gov.co/eva/gestornormativo/norma.php?i=18232" TargetMode="External"/><Relationship Id="rId31" Type="http://schemas.openxmlformats.org/officeDocument/2006/relationships/hyperlink" Target="mailto:ventanilladeradicacion@colombiacompra.gov.co"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gestornormativo.creg.gov.co/gestor/entorno/docs/ley_0142_1994.htm" TargetMode="External"/><Relationship Id="rId22" Type="http://schemas.openxmlformats.org/officeDocument/2006/relationships/hyperlink" Target="https://gestornormativo.creg.gov.co/gestor/entorno/docs/ley_0142_1994.htm" TargetMode="External"/><Relationship Id="rId27" Type="http://schemas.openxmlformats.org/officeDocument/2006/relationships/hyperlink" Target="https://relatoria.colombiacompra.gov.co/busqueda/conceptos" TargetMode="External"/><Relationship Id="rId30"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35"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F3D7481D-AC5C-4CB8-856D-C3376E5B9B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BF03EFC-C092-4900-B220-4D0D97289B55}">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46</Pages>
  <Words>16845</Words>
  <Characters>92648</Characters>
  <Application>Microsoft Office Word</Application>
  <DocSecurity>0</DocSecurity>
  <Lines>772</Lines>
  <Paragraphs>218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2026-05-14T13:12:00Z</dcterms:created>
  <dcterms:modified xsi:type="dcterms:W3CDTF">2026-05-15T16:12:00Z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