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C019B" w14:textId="77777777" w:rsidR="00CA28CA" w:rsidRPr="0060442F" w:rsidRDefault="00CA28CA" w:rsidP="00CA28CA">
      <w:pPr>
        <w:spacing w:after="0" w:line="240" w:lineRule="auto"/>
        <w:jc w:val="both"/>
        <w:rPr>
          <w:rFonts w:ascii="Verdana" w:eastAsia="Calibri" w:hAnsi="Verdana" w:cs="Arial"/>
          <w:sz w:val="20"/>
          <w:szCs w:val="20"/>
          <w:lang w:val="es-ES_tradnl" w:eastAsia="es-ES"/>
        </w:rPr>
      </w:pPr>
    </w:p>
    <w:p w14:paraId="31365F64" w14:textId="77777777" w:rsidR="00CA28CA" w:rsidRPr="0060442F" w:rsidRDefault="00CA28CA" w:rsidP="00CA28CA">
      <w:pPr>
        <w:spacing w:after="0" w:line="240" w:lineRule="auto"/>
        <w:jc w:val="both"/>
        <w:rPr>
          <w:rFonts w:ascii="Verdana" w:eastAsia="Aptos" w:hAnsi="Verdana" w:cs="Times New Roman"/>
        </w:rPr>
      </w:pPr>
      <w:r w:rsidRPr="0060442F">
        <w:rPr>
          <w:rFonts w:ascii="Verdana" w:eastAsia="Calibri" w:hAnsi="Verdana" w:cs="Arial"/>
          <w:b/>
          <w:bCs/>
          <w:lang w:val="es-ES_tradnl" w:eastAsia="es-ES"/>
        </w:rPr>
        <w:t xml:space="preserve">DOCUMENTOS TIPO – Generalidades – </w:t>
      </w:r>
      <w:r w:rsidRPr="0060442F">
        <w:rPr>
          <w:rFonts w:ascii="Verdana" w:eastAsia="Aptos" w:hAnsi="Verdana" w:cs="Times New Roman"/>
          <w:b/>
          <w:bCs/>
          <w:kern w:val="2"/>
          <w:lang w:val="es-ES_tradnl" w:eastAsia="es-ES"/>
          <w14:ligatures w14:val="standardContextual"/>
        </w:rPr>
        <w:t xml:space="preserve">Obligatoriedad </w:t>
      </w:r>
    </w:p>
    <w:p w14:paraId="0DF64F21" w14:textId="77777777" w:rsidR="00CA28CA" w:rsidRPr="0060442F" w:rsidRDefault="00CA28CA" w:rsidP="00CA28CA">
      <w:pPr>
        <w:snapToGrid w:val="0"/>
        <w:spacing w:after="0" w:line="240" w:lineRule="auto"/>
        <w:jc w:val="both"/>
        <w:rPr>
          <w:rFonts w:ascii="Verdana" w:eastAsia="Calibri" w:hAnsi="Verdana" w:cs="Arial"/>
          <w:b/>
          <w:bCs/>
          <w:sz w:val="20"/>
          <w:szCs w:val="20"/>
          <w:lang w:val="es-ES_tradnl" w:eastAsia="es-ES"/>
        </w:rPr>
      </w:pPr>
    </w:p>
    <w:p w14:paraId="3D4669A0" w14:textId="77777777" w:rsidR="00CA28CA" w:rsidRPr="0060442F" w:rsidRDefault="00CA28CA" w:rsidP="00CA28CA">
      <w:pPr>
        <w:snapToGrid w:val="0"/>
        <w:spacing w:after="0" w:line="240" w:lineRule="auto"/>
        <w:jc w:val="both"/>
        <w:rPr>
          <w:rFonts w:ascii="Verdana" w:eastAsia="Calibri" w:hAnsi="Verdana" w:cs="Arial"/>
          <w:sz w:val="20"/>
          <w:szCs w:val="20"/>
          <w:lang w:val="es-ES_tradnl"/>
        </w:rPr>
      </w:pPr>
      <w:r w:rsidRPr="0060442F">
        <w:rPr>
          <w:rFonts w:ascii="Verdana" w:eastAsia="Calibri"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14EE149" w14:textId="77777777" w:rsidR="00CA28CA" w:rsidRPr="0060442F" w:rsidRDefault="00CA28CA" w:rsidP="00CA28CA">
      <w:pPr>
        <w:snapToGrid w:val="0"/>
        <w:spacing w:after="0" w:line="240" w:lineRule="auto"/>
        <w:rPr>
          <w:rFonts w:ascii="Verdana" w:eastAsia="Geomanist Light" w:hAnsi="Verdana" w:cs="Arial"/>
          <w:sz w:val="20"/>
          <w:szCs w:val="20"/>
          <w:lang w:val="es-ES_tradnl"/>
        </w:rPr>
      </w:pPr>
    </w:p>
    <w:p w14:paraId="5A259645" w14:textId="77777777" w:rsidR="00CA28CA" w:rsidRPr="0060442F" w:rsidRDefault="00CA28CA" w:rsidP="00CA28CA">
      <w:pPr>
        <w:spacing w:after="0" w:line="240" w:lineRule="auto"/>
        <w:jc w:val="both"/>
        <w:rPr>
          <w:rFonts w:ascii="Verdana" w:eastAsia="Calibri" w:hAnsi="Verdana" w:cs="Times New Roman"/>
        </w:rPr>
      </w:pPr>
      <w:r w:rsidRPr="0060442F">
        <w:rPr>
          <w:rFonts w:ascii="Verdana" w:eastAsia="Aptos" w:hAnsi="Verdana" w:cs="Arial"/>
          <w:b/>
          <w:bCs/>
          <w:kern w:val="2"/>
          <w:lang w:val="es-MX"/>
          <w14:ligatures w14:val="standardContextual"/>
        </w:rPr>
        <w:t>INALTERABILIDAD – Documentos Tipo – Alcance</w:t>
      </w:r>
    </w:p>
    <w:p w14:paraId="6F02AC5B" w14:textId="77777777" w:rsidR="00CA28CA" w:rsidRPr="0060442F" w:rsidRDefault="00CA28CA" w:rsidP="00CA28CA">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549B1059" w14:textId="77777777" w:rsidR="00CA28CA" w:rsidRPr="0060442F" w:rsidRDefault="00CA28CA" w:rsidP="00CA28CA">
      <w:pPr>
        <w:snapToGrid w:val="0"/>
        <w:spacing w:after="0" w:line="240" w:lineRule="auto"/>
        <w:jc w:val="both"/>
        <w:rPr>
          <w:rFonts w:ascii="Verdana" w:eastAsia="Calibri" w:hAnsi="Verdana" w:cs="Arial"/>
          <w:sz w:val="20"/>
          <w:szCs w:val="20"/>
          <w:lang w:val="es-ES" w:eastAsia="es-ES"/>
        </w:rPr>
      </w:pPr>
      <w:r w:rsidRPr="0060442F">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60442F">
        <w:rPr>
          <w:rFonts w:ascii="Verdana" w:eastAsia="Times New Roman" w:hAnsi="Verdana" w:cs="Arial"/>
          <w:i/>
          <w:iCs/>
          <w:sz w:val="20"/>
          <w:szCs w:val="20"/>
          <w:shd w:val="clear" w:color="auto" w:fill="FFFFFF"/>
          <w:lang w:val="es-ES_tradnl" w:eastAsia="es-ES_tradnl"/>
        </w:rPr>
        <w:t>Documentos del Proceso</w:t>
      </w:r>
      <w:r w:rsidRPr="0060442F">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BCF18BF" w14:textId="77777777" w:rsidR="00CA28CA" w:rsidRPr="00370C45" w:rsidRDefault="00CA28CA" w:rsidP="00CA28CA">
      <w:pPr>
        <w:spacing w:after="0" w:line="240" w:lineRule="auto"/>
        <w:jc w:val="both"/>
        <w:textAlignment w:val="baseline"/>
        <w:rPr>
          <w:rFonts w:ascii="Verdana" w:hAnsi="Verdana" w:cs="Arial"/>
          <w:bCs/>
          <w:sz w:val="20"/>
          <w:szCs w:val="20"/>
          <w:lang w:val="es-ES_tradnl" w:eastAsia="es-CO"/>
        </w:rPr>
      </w:pPr>
      <w:r w:rsidRPr="00370C45">
        <w:rPr>
          <w:rFonts w:ascii="Verdana" w:hAnsi="Verdana" w:cs="Arial"/>
          <w:bCs/>
          <w:sz w:val="20"/>
          <w:szCs w:val="20"/>
          <w:lang w:val="es-ES_tradnl" w:eastAsia="es-CO"/>
        </w:rPr>
        <w:t xml:space="preserve">  </w:t>
      </w:r>
    </w:p>
    <w:p w14:paraId="32F53F3D" w14:textId="77777777" w:rsidR="00CA28CA" w:rsidRPr="00370C45" w:rsidRDefault="00CA28CA" w:rsidP="00CA28CA">
      <w:pPr>
        <w:spacing w:after="0" w:line="240" w:lineRule="auto"/>
        <w:jc w:val="both"/>
        <w:rPr>
          <w:rFonts w:ascii="Verdana" w:eastAsia="Geomanist Light" w:hAnsi="Verdana" w:cs="Arial"/>
          <w:b/>
          <w:bCs/>
          <w:color w:val="000000" w:themeColor="text1"/>
          <w:lang w:val="es-MX"/>
        </w:rPr>
      </w:pPr>
      <w:r w:rsidRPr="00370C45">
        <w:rPr>
          <w:rFonts w:ascii="Verdana" w:eastAsia="Geomanist Light" w:hAnsi="Verdana" w:cs="Arial"/>
          <w:b/>
          <w:bCs/>
          <w:color w:val="000000" w:themeColor="text1"/>
          <w:lang w:val="es-MX"/>
        </w:rPr>
        <w:t>CONTRATO DE OBRA PÚBLICA – Definición</w:t>
      </w:r>
    </w:p>
    <w:p w14:paraId="0587D790" w14:textId="77777777" w:rsidR="00CA28CA" w:rsidRPr="00370C45" w:rsidRDefault="00CA28CA" w:rsidP="00CA28CA">
      <w:pPr>
        <w:spacing w:after="0" w:line="240" w:lineRule="auto"/>
        <w:jc w:val="both"/>
        <w:rPr>
          <w:rFonts w:ascii="Verdana" w:eastAsia="Geomanist Light" w:hAnsi="Verdana" w:cs="Arial"/>
          <w:color w:val="000000" w:themeColor="text1"/>
          <w:sz w:val="20"/>
          <w:szCs w:val="20"/>
          <w:lang w:val="es-MX"/>
        </w:rPr>
      </w:pPr>
    </w:p>
    <w:p w14:paraId="47655EF7" w14:textId="77777777" w:rsidR="00CA28CA" w:rsidRPr="00370C45" w:rsidRDefault="00CA28CA" w:rsidP="00CA28CA">
      <w:pPr>
        <w:spacing w:after="0" w:line="240" w:lineRule="auto"/>
        <w:jc w:val="both"/>
        <w:rPr>
          <w:rFonts w:ascii="Verdana" w:eastAsia="Calibri" w:hAnsi="Verdana" w:cs="Arial"/>
          <w:color w:val="000000"/>
          <w:sz w:val="20"/>
          <w:szCs w:val="20"/>
          <w:lang w:val="es-ES_tradnl" w:eastAsia="es-ES" w:bidi="es-ES"/>
        </w:rPr>
      </w:pPr>
      <w:r w:rsidRPr="00370C45">
        <w:rPr>
          <w:rFonts w:ascii="Verdana" w:eastAsia="Calibri" w:hAnsi="Verdana" w:cs="Arial"/>
          <w:color w:val="000000"/>
          <w:sz w:val="20"/>
          <w:szCs w:val="20"/>
          <w:lang w:val="es-ES_tradnl" w:eastAsia="es-ES" w:bidi="es-ES"/>
        </w:rPr>
        <w:t xml:space="preserve">En </w:t>
      </w:r>
      <w:r w:rsidRPr="00370C45">
        <w:rPr>
          <w:rFonts w:ascii="Verdana" w:eastAsia="Calibri" w:hAnsi="Verdana" w:cs="Arial"/>
          <w:i/>
          <w:iCs/>
          <w:color w:val="000000"/>
          <w:sz w:val="20"/>
          <w:szCs w:val="20"/>
          <w:lang w:val="es-ES_tradnl" w:eastAsia="es-ES" w:bidi="es-ES"/>
        </w:rPr>
        <w:t>sentido amplio</w:t>
      </w:r>
      <w:r w:rsidRPr="00370C45">
        <w:rPr>
          <w:rFonts w:ascii="Verdana" w:eastAsia="Calibri" w:hAnsi="Verdana" w:cs="Arial"/>
          <w:color w:val="000000"/>
          <w:sz w:val="20"/>
          <w:szCs w:val="20"/>
          <w:lang w:val="es-ES_tradnl" w:eastAsia="es-ES" w:bidi="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370C45">
        <w:rPr>
          <w:rFonts w:ascii="Verdana" w:eastAsia="Calibri" w:hAnsi="Verdana" w:cs="Arial"/>
          <w:i/>
          <w:iCs/>
          <w:color w:val="000000"/>
          <w:sz w:val="20"/>
          <w:szCs w:val="20"/>
          <w:lang w:val="es-ES_tradnl" w:eastAsia="es-ES" w:bidi="es-ES"/>
        </w:rPr>
        <w:t>sentido restringido</w:t>
      </w:r>
      <w:r w:rsidRPr="00370C45">
        <w:rPr>
          <w:rFonts w:ascii="Verdana" w:eastAsia="Calibri" w:hAnsi="Verdana" w:cs="Arial"/>
          <w:color w:val="000000"/>
          <w:sz w:val="20"/>
          <w:szCs w:val="20"/>
          <w:lang w:val="es-ES_tradnl" w:eastAsia="es-ES" w:bidi="es-ES"/>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16F917A7" w14:textId="77777777" w:rsidR="00CA28CA" w:rsidRPr="00370C45" w:rsidRDefault="00CA28CA" w:rsidP="00CA28CA">
      <w:pPr>
        <w:spacing w:after="0" w:line="240" w:lineRule="auto"/>
        <w:jc w:val="both"/>
        <w:rPr>
          <w:rFonts w:ascii="Verdana" w:eastAsia="Geomanist Light" w:hAnsi="Verdana" w:cs="Arial"/>
          <w:color w:val="000000" w:themeColor="text1"/>
          <w:sz w:val="20"/>
          <w:szCs w:val="20"/>
          <w:lang w:val="es-MX"/>
        </w:rPr>
      </w:pPr>
    </w:p>
    <w:p w14:paraId="6D0D270D" w14:textId="77777777" w:rsidR="00CA28CA" w:rsidRPr="00370C45" w:rsidRDefault="00CA28CA" w:rsidP="00CA28CA">
      <w:pPr>
        <w:spacing w:after="0" w:line="240" w:lineRule="auto"/>
        <w:jc w:val="both"/>
        <w:rPr>
          <w:rFonts w:ascii="Verdana" w:eastAsia="Geomanist Light" w:hAnsi="Verdana" w:cs="Arial"/>
          <w:b/>
          <w:bCs/>
          <w:color w:val="000000" w:themeColor="text1"/>
          <w:lang w:val="es-MX"/>
        </w:rPr>
      </w:pPr>
      <w:r w:rsidRPr="00370C45">
        <w:rPr>
          <w:rFonts w:ascii="Verdana" w:eastAsia="Geomanist Light" w:hAnsi="Verdana" w:cs="Arial"/>
          <w:b/>
          <w:bCs/>
          <w:color w:val="000000" w:themeColor="text1"/>
          <w:lang w:val="es-MX"/>
        </w:rPr>
        <w:t xml:space="preserve">MODALIDAD LLAVE EN MANO – Contrato EPC – Definición  </w:t>
      </w:r>
    </w:p>
    <w:p w14:paraId="2C9FFF35" w14:textId="77777777" w:rsidR="00CA28CA" w:rsidRPr="00370C45" w:rsidRDefault="00CA28CA" w:rsidP="00CA28CA">
      <w:pPr>
        <w:spacing w:after="0" w:line="240" w:lineRule="auto"/>
        <w:jc w:val="both"/>
        <w:rPr>
          <w:rFonts w:ascii="Verdana" w:eastAsia="Geomanist Light" w:hAnsi="Verdana" w:cs="Arial"/>
          <w:color w:val="000000" w:themeColor="text1"/>
          <w:sz w:val="20"/>
          <w:szCs w:val="20"/>
          <w:lang w:val="es-MX"/>
        </w:rPr>
      </w:pPr>
    </w:p>
    <w:p w14:paraId="110E53DF" w14:textId="77777777" w:rsidR="00CA28CA" w:rsidRPr="00370C45" w:rsidRDefault="00CA28CA" w:rsidP="00CA28CA">
      <w:pPr>
        <w:spacing w:after="0" w:line="240" w:lineRule="auto"/>
        <w:jc w:val="both"/>
        <w:rPr>
          <w:rFonts w:ascii="Verdana" w:hAnsi="Verdana" w:cs="Arial"/>
          <w:sz w:val="20"/>
          <w:szCs w:val="20"/>
          <w:lang w:eastAsia="es-MX"/>
        </w:rPr>
      </w:pPr>
      <w:r w:rsidRPr="00370C45">
        <w:rPr>
          <w:rFonts w:ascii="Verdana" w:hAnsi="Verdana" w:cs="Arial"/>
          <w:bCs/>
          <w:color w:val="000000" w:themeColor="text1"/>
          <w:sz w:val="20"/>
          <w:szCs w:val="20"/>
          <w:lang w:val="es-ES_tradnl"/>
        </w:rPr>
        <w:t xml:space="preserve">Cuando el contratista se obliga a ejecutar la obra desde la fase inicial de diseño y hasta la puesta en marcha, podemos afirmar que se trata de un contrato de obra bajo la </w:t>
      </w:r>
      <w:r w:rsidRPr="00370C45">
        <w:rPr>
          <w:rFonts w:ascii="Verdana" w:hAnsi="Verdana" w:cs="Arial"/>
          <w:bCs/>
          <w:color w:val="000000" w:themeColor="text1"/>
          <w:sz w:val="20"/>
          <w:szCs w:val="20"/>
          <w:lang w:val="es-ES_tradnl"/>
        </w:rPr>
        <w:lastRenderedPageBreak/>
        <w:t xml:space="preserve">modalidad de llave en mano, también denominado contrato de </w:t>
      </w:r>
      <w:proofErr w:type="spellStart"/>
      <w:r w:rsidRPr="00370C45">
        <w:rPr>
          <w:rFonts w:ascii="Verdana" w:hAnsi="Verdana" w:cs="Arial"/>
          <w:bCs/>
          <w:color w:val="000000" w:themeColor="text1"/>
          <w:sz w:val="20"/>
          <w:szCs w:val="20"/>
          <w:lang w:val="es-ES_tradnl"/>
        </w:rPr>
        <w:t>Engineering</w:t>
      </w:r>
      <w:proofErr w:type="spellEnd"/>
      <w:r w:rsidRPr="00370C45">
        <w:rPr>
          <w:rFonts w:ascii="Verdana" w:hAnsi="Verdana" w:cs="Arial"/>
          <w:bCs/>
          <w:color w:val="000000" w:themeColor="text1"/>
          <w:sz w:val="20"/>
          <w:szCs w:val="20"/>
          <w:lang w:val="es-ES_tradnl"/>
        </w:rPr>
        <w:t xml:space="preserve">, </w:t>
      </w:r>
      <w:proofErr w:type="spellStart"/>
      <w:r w:rsidRPr="00370C45">
        <w:rPr>
          <w:rFonts w:ascii="Verdana" w:hAnsi="Verdana" w:cs="Arial"/>
          <w:bCs/>
          <w:color w:val="000000" w:themeColor="text1"/>
          <w:sz w:val="20"/>
          <w:szCs w:val="20"/>
          <w:lang w:val="es-ES_tradnl"/>
        </w:rPr>
        <w:t>Procurement</w:t>
      </w:r>
      <w:proofErr w:type="spellEnd"/>
      <w:r w:rsidRPr="00370C45">
        <w:rPr>
          <w:rFonts w:ascii="Verdana" w:hAnsi="Verdana" w:cs="Arial"/>
          <w:bCs/>
          <w:color w:val="000000" w:themeColor="text1"/>
          <w:sz w:val="20"/>
          <w:szCs w:val="20"/>
          <w:lang w:val="es-ES_tradnl"/>
        </w:rPr>
        <w:t xml:space="preserve"> and </w:t>
      </w:r>
      <w:proofErr w:type="spellStart"/>
      <w:r w:rsidRPr="00370C45">
        <w:rPr>
          <w:rFonts w:ascii="Verdana" w:hAnsi="Verdana" w:cs="Arial"/>
          <w:bCs/>
          <w:color w:val="000000" w:themeColor="text1"/>
          <w:sz w:val="20"/>
          <w:szCs w:val="20"/>
          <w:lang w:val="es-ES_tradnl"/>
        </w:rPr>
        <w:t>Construction</w:t>
      </w:r>
      <w:proofErr w:type="spellEnd"/>
      <w:r w:rsidRPr="00370C45">
        <w:rPr>
          <w:rFonts w:ascii="Verdana" w:hAnsi="Verdana" w:cs="Arial"/>
          <w:bCs/>
          <w:color w:val="000000" w:themeColor="text1"/>
          <w:sz w:val="20"/>
          <w:szCs w:val="20"/>
          <w:lang w:val="es-ES_tradnl"/>
        </w:rPr>
        <w:t xml:space="preserve"> –EPC–. </w:t>
      </w:r>
      <w:r w:rsidRPr="00370C45">
        <w:rPr>
          <w:rFonts w:ascii="Verdana" w:hAnsi="Verdana" w:cs="Arial"/>
          <w:bCs/>
          <w:color w:val="000000"/>
          <w:sz w:val="20"/>
          <w:szCs w:val="20"/>
          <w:lang w:val="es-ES_tradnl" w:eastAsia="es-MX"/>
        </w:rPr>
        <w:t>En efecto, según la “Guía para Procesos de Contratación de Obra Pública” expedida por la Agencia, esta es una modalidad en la cual “el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r w:rsidRPr="00370C45">
        <w:rPr>
          <w:rFonts w:ascii="Verdana" w:eastAsia="Calibri" w:hAnsi="Verdana" w:cs="Arial"/>
          <w:color w:val="000000"/>
          <w:sz w:val="20"/>
          <w:szCs w:val="20"/>
          <w:lang w:val="es-ES" w:eastAsia="es-MX"/>
        </w:rPr>
        <w:t>”.</w:t>
      </w:r>
      <w:r w:rsidRPr="00370C45">
        <w:rPr>
          <w:rFonts w:ascii="Verdana" w:hAnsi="Verdana"/>
          <w:sz w:val="20"/>
          <w:szCs w:val="20"/>
          <w:lang w:eastAsia="es-MX"/>
        </w:rPr>
        <w:t xml:space="preserve"> </w:t>
      </w:r>
      <w:r w:rsidRPr="00370C45">
        <w:rPr>
          <w:rFonts w:ascii="Verdana" w:hAnsi="Verdana" w:cs="Arial"/>
          <w:sz w:val="20"/>
          <w:szCs w:val="20"/>
          <w:lang w:eastAsia="es-MX"/>
        </w:rPr>
        <w:t>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w:t>
      </w:r>
      <w:r w:rsidRPr="00370C45">
        <w:rPr>
          <w:rFonts w:ascii="Verdana" w:hAnsi="Verdana" w:cs="Arial"/>
          <w:spacing w:val="-16"/>
          <w:sz w:val="20"/>
          <w:szCs w:val="20"/>
          <w:lang w:eastAsia="es-MX"/>
        </w:rPr>
        <w:t xml:space="preserve"> </w:t>
      </w:r>
      <w:r w:rsidRPr="00370C45">
        <w:rPr>
          <w:rFonts w:ascii="Verdana" w:hAnsi="Verdana" w:cs="Arial"/>
          <w:sz w:val="20"/>
          <w:szCs w:val="20"/>
          <w:lang w:eastAsia="es-MX"/>
        </w:rPr>
        <w:t>entrega”.</w:t>
      </w:r>
    </w:p>
    <w:p w14:paraId="6DB44DA7" w14:textId="77777777" w:rsidR="00CA28CA" w:rsidRPr="00370C45" w:rsidRDefault="00CA28CA" w:rsidP="00CA28CA">
      <w:pPr>
        <w:spacing w:after="0" w:line="240" w:lineRule="auto"/>
        <w:jc w:val="both"/>
        <w:rPr>
          <w:rFonts w:ascii="Verdana" w:eastAsia="Calibri" w:hAnsi="Verdana" w:cs="Arial"/>
          <w:sz w:val="20"/>
          <w:szCs w:val="20"/>
          <w:lang w:val="es-ES_tradnl"/>
        </w:rPr>
      </w:pPr>
    </w:p>
    <w:p w14:paraId="3913EFFC" w14:textId="77777777" w:rsidR="00CA28CA" w:rsidRPr="00370C45" w:rsidRDefault="00CA28CA" w:rsidP="00CA28CA">
      <w:pPr>
        <w:spacing w:after="0" w:line="240" w:lineRule="auto"/>
        <w:jc w:val="both"/>
        <w:rPr>
          <w:rFonts w:ascii="Verdana" w:eastAsia="Calibri" w:hAnsi="Verdana" w:cs="Arial"/>
          <w:b/>
        </w:rPr>
      </w:pPr>
      <w:r w:rsidRPr="00370C45">
        <w:rPr>
          <w:rFonts w:ascii="Verdana" w:eastAsia="Calibri" w:hAnsi="Verdana" w:cs="Arial"/>
          <w:b/>
        </w:rPr>
        <w:t xml:space="preserve">PRINCIPIO DE INALTERABILIDAD – Alcance – Documentos tipo de infraestructura </w:t>
      </w:r>
      <w:r>
        <w:rPr>
          <w:rFonts w:ascii="Verdana" w:eastAsia="Calibri" w:hAnsi="Verdana" w:cs="Arial"/>
          <w:b/>
        </w:rPr>
        <w:t>de transporte</w:t>
      </w:r>
    </w:p>
    <w:p w14:paraId="4CEA7B2D" w14:textId="77777777" w:rsidR="00CA28CA" w:rsidRPr="00370C45" w:rsidRDefault="00CA28CA" w:rsidP="00CA28CA">
      <w:pPr>
        <w:spacing w:after="0" w:line="240" w:lineRule="auto"/>
        <w:jc w:val="both"/>
        <w:rPr>
          <w:rFonts w:ascii="Verdana" w:eastAsia="Calibri" w:hAnsi="Verdana" w:cs="Arial"/>
          <w:sz w:val="20"/>
          <w:szCs w:val="20"/>
        </w:rPr>
      </w:pPr>
    </w:p>
    <w:p w14:paraId="5A844503" w14:textId="77777777" w:rsidR="00CA28CA" w:rsidRPr="00370C45" w:rsidRDefault="00CA28CA" w:rsidP="00CA28CA">
      <w:pPr>
        <w:tabs>
          <w:tab w:val="left" w:pos="6551"/>
        </w:tabs>
        <w:spacing w:after="0" w:line="240" w:lineRule="auto"/>
        <w:jc w:val="both"/>
        <w:rPr>
          <w:rFonts w:ascii="Verdana" w:eastAsia="Calibri" w:hAnsi="Verdana" w:cs="Arial"/>
          <w:bCs/>
          <w:sz w:val="20"/>
          <w:szCs w:val="20"/>
        </w:rPr>
      </w:pPr>
      <w:r w:rsidRPr="00370C45">
        <w:rPr>
          <w:rFonts w:ascii="Verdana" w:eastAsia="Calibri" w:hAnsi="Verdana" w:cs="Arial"/>
          <w:bCs/>
          <w:sz w:val="20"/>
          <w:szCs w:val="20"/>
        </w:rPr>
        <w:t xml:space="preserve">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de infraestructura </w:t>
      </w:r>
      <w:r>
        <w:rPr>
          <w:rFonts w:ascii="Verdana" w:eastAsia="Calibri" w:hAnsi="Verdana" w:cs="Arial"/>
          <w:bCs/>
          <w:sz w:val="20"/>
          <w:szCs w:val="20"/>
        </w:rPr>
        <w:t>de transporte</w:t>
      </w:r>
      <w:r w:rsidRPr="00370C45">
        <w:rPr>
          <w:rFonts w:ascii="Verdana" w:eastAsia="Calibri" w:hAnsi="Verdana" w:cs="Arial"/>
          <w:bCs/>
          <w:sz w:val="20"/>
          <w:szCs w:val="20"/>
        </w:rPr>
        <w:t xml:space="preserve">, caso en el que se podrá incluir experiencia adicional de manera excepcional; y, además, cuando el pliego tipo de forma expresa lo permita, es decir, en los aspectos incluidos en corchetes y resaltados en gris. </w:t>
      </w:r>
    </w:p>
    <w:p w14:paraId="1F5871DD" w14:textId="77777777" w:rsidR="00CA28CA" w:rsidRPr="00370C45" w:rsidRDefault="00CA28CA" w:rsidP="00CA28CA">
      <w:pPr>
        <w:tabs>
          <w:tab w:val="left" w:pos="6551"/>
        </w:tabs>
        <w:spacing w:after="0" w:line="240" w:lineRule="auto"/>
        <w:jc w:val="both"/>
        <w:rPr>
          <w:rFonts w:ascii="Verdana" w:eastAsia="Calibri" w:hAnsi="Verdana" w:cs="Arial"/>
          <w:bCs/>
          <w:sz w:val="20"/>
          <w:szCs w:val="20"/>
        </w:rPr>
      </w:pPr>
    </w:p>
    <w:p w14:paraId="1F14E2BC" w14:textId="77777777" w:rsidR="00CA28CA" w:rsidRPr="00370C45" w:rsidRDefault="00CA28CA" w:rsidP="00CA28CA">
      <w:pPr>
        <w:tabs>
          <w:tab w:val="left" w:pos="6551"/>
        </w:tabs>
        <w:spacing w:after="0" w:line="240" w:lineRule="auto"/>
        <w:jc w:val="both"/>
        <w:rPr>
          <w:rFonts w:ascii="Verdana" w:eastAsia="Calibri" w:hAnsi="Verdana" w:cs="Arial"/>
          <w:bCs/>
          <w:sz w:val="20"/>
          <w:szCs w:val="20"/>
        </w:rPr>
      </w:pPr>
      <w:r w:rsidRPr="00370C45">
        <w:rPr>
          <w:rFonts w:ascii="Verdana" w:eastAsia="Calibri" w:hAnsi="Verdana" w:cs="Arial"/>
          <w:bCs/>
          <w:sz w:val="20"/>
          <w:szCs w:val="20"/>
        </w:rPr>
        <w:t xml:space="preserve">Este principio de inalterabilidad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los cuales deben ser diligenciados por la entidad, al igual que otros aspectos relativos a información que debe ser completada por los oferentes al hacer uso del formato. </w:t>
      </w:r>
    </w:p>
    <w:p w14:paraId="7F4B09A7" w14:textId="77777777" w:rsidR="00CA28CA" w:rsidRPr="00370C45" w:rsidRDefault="00CA28CA" w:rsidP="00CA28CA">
      <w:pPr>
        <w:tabs>
          <w:tab w:val="left" w:pos="6551"/>
        </w:tabs>
        <w:spacing w:after="0" w:line="240" w:lineRule="auto"/>
        <w:jc w:val="both"/>
        <w:rPr>
          <w:rFonts w:ascii="Verdana" w:eastAsia="Calibri" w:hAnsi="Verdana" w:cs="Arial"/>
          <w:bCs/>
          <w:sz w:val="20"/>
          <w:szCs w:val="20"/>
        </w:rPr>
      </w:pPr>
    </w:p>
    <w:p w14:paraId="6FE1CEA1" w14:textId="77777777" w:rsidR="00CA28CA" w:rsidRDefault="00CA28CA" w:rsidP="00CA28CA">
      <w:pPr>
        <w:spacing w:after="0" w:line="240" w:lineRule="auto"/>
        <w:jc w:val="both"/>
        <w:rPr>
          <w:rFonts w:ascii="Verdana" w:eastAsia="Calibri" w:hAnsi="Verdana" w:cs="Arial"/>
          <w:b/>
          <w:color w:val="000000" w:themeColor="text1"/>
          <w:lang w:val="es-ES"/>
        </w:rPr>
      </w:pPr>
      <w:r w:rsidRPr="00370C45">
        <w:rPr>
          <w:rFonts w:ascii="Verdana" w:eastAsia="Calibri" w:hAnsi="Verdana" w:cs="Arial"/>
          <w:bCs/>
          <w:sz w:val="20"/>
          <w:szCs w:val="20"/>
        </w:rPr>
        <w:t>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En relación con el principio constitucional sub examine,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p>
    <w:p w14:paraId="579B94E4" w14:textId="326F38C6" w:rsidR="00FE2344" w:rsidRPr="00CA28CA" w:rsidRDefault="00FE2344" w:rsidP="00CA28CA">
      <w:pPr>
        <w:spacing w:after="0" w:line="240" w:lineRule="auto"/>
        <w:jc w:val="both"/>
        <w:rPr>
          <w:rFonts w:ascii="Verdana" w:eastAsia="Calibri" w:hAnsi="Verdana" w:cs="Arial"/>
          <w:b/>
          <w:color w:val="000000" w:themeColor="text1"/>
          <w:lang w:val="es-ES"/>
        </w:rPr>
      </w:pPr>
      <w:r w:rsidRPr="00593A5F">
        <w:rPr>
          <w:rFonts w:ascii="Verdana" w:eastAsia="Geomanist Light" w:hAnsi="Verdana" w:cs="Arial"/>
          <w:color w:val="000000" w:themeColor="text1"/>
          <w:lang w:val="es-MX"/>
        </w:rPr>
        <w:lastRenderedPageBreak/>
        <w:t>Bogotá D.C., </w:t>
      </w:r>
      <w:r w:rsidR="00621016" w:rsidRPr="00621016">
        <w:rPr>
          <w:rFonts w:ascii="Verdana" w:eastAsia="Geomanist Light" w:hAnsi="Verdana" w:cs="Arial"/>
          <w:color w:val="000000" w:themeColor="text1"/>
          <w:lang w:val="es-MX"/>
        </w:rPr>
        <w:t>28 de Abril de 2026</w:t>
      </w:r>
    </w:p>
    <w:p w14:paraId="053CD710" w14:textId="77777777" w:rsidR="001E1FDC" w:rsidRPr="00593A5F" w:rsidRDefault="001E1FDC" w:rsidP="00FE2344">
      <w:pPr>
        <w:spacing w:after="0" w:line="240" w:lineRule="auto"/>
        <w:rPr>
          <w:rFonts w:ascii="Verdana" w:eastAsia="Geomanist Light" w:hAnsi="Verdana" w:cs="Arial"/>
          <w:color w:val="201F1E"/>
          <w:lang w:val="es-MX"/>
        </w:rPr>
      </w:pPr>
    </w:p>
    <w:p w14:paraId="06ABD94E" w14:textId="4B7F703D" w:rsidR="00FE2344" w:rsidRDefault="001E1FDC" w:rsidP="001E1FDC">
      <w:pPr>
        <w:spacing w:after="0" w:line="240" w:lineRule="auto"/>
        <w:jc w:val="right"/>
        <w:rPr>
          <w:rFonts w:ascii="Verdana" w:eastAsia="Calibri" w:hAnsi="Verdana" w:cs="Arial"/>
          <w:color w:val="000000"/>
          <w:lang w:val="es-ES"/>
        </w:rPr>
      </w:pPr>
      <w:r w:rsidRPr="001E1FDC">
        <w:rPr>
          <w:rFonts w:ascii="Verdana" w:eastAsia="Calibri" w:hAnsi="Verdana" w:cs="Arial"/>
          <w:noProof/>
          <w:color w:val="000000"/>
          <w:lang w:val="es-ES"/>
        </w:rPr>
        <w:drawing>
          <wp:anchor distT="0" distB="0" distL="114300" distR="114300" simplePos="0" relativeHeight="251658240" behindDoc="0" locked="0" layoutInCell="1" allowOverlap="1" wp14:anchorId="7301BDF5" wp14:editId="5818C2F0">
            <wp:simplePos x="0" y="0"/>
            <wp:positionH relativeFrom="margin">
              <wp:align>right</wp:align>
            </wp:positionH>
            <wp:positionV relativeFrom="paragraph">
              <wp:posOffset>12065</wp:posOffset>
            </wp:positionV>
            <wp:extent cx="2717800" cy="763270"/>
            <wp:effectExtent l="0" t="0" r="6350" b="0"/>
            <wp:wrapSquare wrapText="bothSides"/>
            <wp:docPr id="10100813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081365" name=""/>
                    <pic:cNvPicPr/>
                  </pic:nvPicPr>
                  <pic:blipFill>
                    <a:blip r:embed="rId10">
                      <a:extLst>
                        <a:ext uri="{28A0092B-C50C-407E-A947-70E740481C1C}">
                          <a14:useLocalDpi xmlns:a14="http://schemas.microsoft.com/office/drawing/2010/main" val="0"/>
                        </a:ext>
                      </a:extLst>
                    </a:blip>
                    <a:stretch>
                      <a:fillRect/>
                    </a:stretch>
                  </pic:blipFill>
                  <pic:spPr>
                    <a:xfrm>
                      <a:off x="0" y="0"/>
                      <a:ext cx="2717800" cy="763270"/>
                    </a:xfrm>
                    <a:prstGeom prst="rect">
                      <a:avLst/>
                    </a:prstGeom>
                  </pic:spPr>
                </pic:pic>
              </a:graphicData>
            </a:graphic>
            <wp14:sizeRelH relativeFrom="margin">
              <wp14:pctWidth>0</wp14:pctWidth>
            </wp14:sizeRelH>
            <wp14:sizeRelV relativeFrom="margin">
              <wp14:pctHeight>0</wp14:pctHeight>
            </wp14:sizeRelV>
          </wp:anchor>
        </w:drawing>
      </w:r>
    </w:p>
    <w:p w14:paraId="09BC3D16" w14:textId="77777777" w:rsidR="00FE2344" w:rsidRPr="00593A5F" w:rsidRDefault="00FE2344" w:rsidP="00FE2344">
      <w:pPr>
        <w:spacing w:after="0" w:line="240" w:lineRule="auto"/>
        <w:jc w:val="both"/>
        <w:rPr>
          <w:rFonts w:ascii="Verdana" w:eastAsia="Calibri" w:hAnsi="Verdana" w:cs="Arial"/>
          <w:color w:val="000000"/>
          <w:lang w:val="es-ES"/>
        </w:rPr>
      </w:pPr>
    </w:p>
    <w:p w14:paraId="15802DDE" w14:textId="77777777" w:rsidR="00FE2344" w:rsidRPr="00B96799" w:rsidRDefault="00FE2344" w:rsidP="00FE234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716C4BF4" w14:textId="77777777" w:rsidR="00FE2344" w:rsidRDefault="00FE2344" w:rsidP="00FE2344">
      <w:pPr>
        <w:spacing w:after="0" w:line="240" w:lineRule="auto"/>
        <w:rPr>
          <w:rFonts w:ascii="Verdana" w:eastAsia="Calibri" w:hAnsi="Verdana" w:cs="Arial"/>
          <w:b/>
          <w:lang w:val="es-ES_tradnl" w:eastAsia="es-ES_tradnl"/>
        </w:rPr>
      </w:pPr>
      <w:r w:rsidRPr="009432B7">
        <w:rPr>
          <w:rFonts w:ascii="Verdana" w:eastAsia="Calibri" w:hAnsi="Verdana" w:cs="Arial"/>
          <w:b/>
          <w:lang w:val="es-ES_tradnl" w:eastAsia="es-ES_tradnl"/>
        </w:rPr>
        <w:t>María Lola Hernández Calderón</w:t>
      </w:r>
      <w:r w:rsidRPr="008777D5">
        <w:rPr>
          <w:rFonts w:ascii="Verdana" w:eastAsia="Calibri" w:hAnsi="Verdana" w:cs="Arial"/>
          <w:b/>
          <w:lang w:val="es-ES_tradnl" w:eastAsia="es-ES_tradnl"/>
        </w:rPr>
        <w:t xml:space="preserve"> </w:t>
      </w:r>
    </w:p>
    <w:p w14:paraId="62AAB338" w14:textId="77777777" w:rsidR="00FE2344" w:rsidRPr="008721C3" w:rsidRDefault="00FE2344" w:rsidP="00FE2344">
      <w:pPr>
        <w:spacing w:after="0" w:line="240" w:lineRule="auto"/>
        <w:rPr>
          <w:rFonts w:ascii="Verdana" w:eastAsia="Calibri" w:hAnsi="Verdana" w:cs="Arial"/>
          <w:lang w:val="es-ES" w:eastAsia="es-ES"/>
        </w:rPr>
      </w:pPr>
      <w:hyperlink r:id="rId11" w:history="1">
        <w:r w:rsidRPr="0012652B">
          <w:rPr>
            <w:rStyle w:val="Hipervnculo"/>
            <w:rFonts w:ascii="Verdana" w:hAnsi="Verdana"/>
          </w:rPr>
          <w:t>marial.hernandez@aerocivil.gov.co</w:t>
        </w:r>
      </w:hyperlink>
      <w:r>
        <w:rPr>
          <w:rFonts w:ascii="Verdana" w:hAnsi="Verdana"/>
        </w:rPr>
        <w:t xml:space="preserve"> </w:t>
      </w:r>
      <w:r w:rsidRPr="008721C3">
        <w:rPr>
          <w:rFonts w:ascii="Verdana" w:hAnsi="Verdana"/>
        </w:rPr>
        <w:t xml:space="preserve">                    </w:t>
      </w:r>
      <w:r w:rsidRPr="008721C3">
        <w:rPr>
          <w:rFonts w:ascii="Verdana" w:eastAsia="Calibri" w:hAnsi="Verdana" w:cs="Arial"/>
          <w:lang w:val="es-ES" w:eastAsia="es-ES"/>
        </w:rPr>
        <w:t xml:space="preserve">    </w:t>
      </w:r>
    </w:p>
    <w:p w14:paraId="49AA549E" w14:textId="77777777" w:rsidR="00FE2344" w:rsidRDefault="00FE2344" w:rsidP="00FE2344">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267D131B" w14:textId="77777777" w:rsidR="00FE2344" w:rsidRPr="00593A5F" w:rsidRDefault="00FE2344" w:rsidP="00FE2344">
      <w:pPr>
        <w:spacing w:after="0" w:line="240" w:lineRule="auto"/>
        <w:rPr>
          <w:rFonts w:ascii="Verdana" w:eastAsia="Calibri" w:hAnsi="Verdana" w:cs="Arial"/>
          <w:b/>
          <w:bCs/>
          <w:color w:val="000000"/>
          <w:lang w:val="es-ES_tradnl" w:eastAsia="es-ES_tradnl"/>
        </w:rPr>
      </w:pPr>
    </w:p>
    <w:p w14:paraId="2752C741" w14:textId="77777777" w:rsidR="00FE2344" w:rsidRPr="00593A5F" w:rsidRDefault="00FE2344" w:rsidP="00FE234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E2344" w:rsidRPr="00593A5F" w14:paraId="52085C3E" w14:textId="77777777" w:rsidTr="003950AD">
        <w:trPr>
          <w:trHeight w:val="884"/>
        </w:trPr>
        <w:tc>
          <w:tcPr>
            <w:tcW w:w="2689" w:type="dxa"/>
          </w:tcPr>
          <w:p w14:paraId="2DB2D74A" w14:textId="77777777" w:rsidR="00FE2344" w:rsidRPr="00C00976" w:rsidRDefault="00FE2344" w:rsidP="003950AD">
            <w:pPr>
              <w:jc w:val="both"/>
              <w:rPr>
                <w:rFonts w:ascii="Verdana" w:eastAsia="Calibri" w:hAnsi="Verdana" w:cs="Arial"/>
                <w:b/>
                <w:bCs/>
                <w:color w:val="7030A0"/>
                <w:lang w:val="es-ES_tradnl" w:eastAsia="es-ES_tradnl"/>
              </w:rPr>
            </w:pPr>
          </w:p>
        </w:tc>
        <w:tc>
          <w:tcPr>
            <w:tcW w:w="6100" w:type="dxa"/>
          </w:tcPr>
          <w:p w14:paraId="40FA0115" w14:textId="77777777" w:rsidR="00FE2344" w:rsidRPr="00C00976" w:rsidRDefault="00FE2344" w:rsidP="003950A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619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FE2344" w:rsidRPr="00593A5F" w14:paraId="6B61C73F" w14:textId="77777777" w:rsidTr="003950AD">
        <w:trPr>
          <w:trHeight w:val="884"/>
        </w:trPr>
        <w:tc>
          <w:tcPr>
            <w:tcW w:w="2689" w:type="dxa"/>
          </w:tcPr>
          <w:p w14:paraId="25C799A8" w14:textId="77777777" w:rsidR="00FE2344" w:rsidRPr="00593A5F" w:rsidRDefault="00FE2344" w:rsidP="003950A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55E816B" w14:textId="77777777" w:rsidR="00FE2344" w:rsidRPr="0060442F" w:rsidRDefault="00FE2344" w:rsidP="003950AD">
            <w:pPr>
              <w:spacing w:line="276" w:lineRule="auto"/>
              <w:jc w:val="both"/>
              <w:rPr>
                <w:rFonts w:ascii="Verdana" w:eastAsia="Calibri" w:hAnsi="Verdana" w:cs="Arial"/>
                <w:lang w:val="es-ES" w:eastAsia="es-ES"/>
              </w:rPr>
            </w:pPr>
            <w:r w:rsidRPr="0060442F">
              <w:rPr>
                <w:rFonts w:ascii="Verdana" w:eastAsia="Calibri" w:hAnsi="Verdana" w:cs="Arial"/>
                <w:lang w:val="es-ES" w:eastAsia="es-ES"/>
              </w:rPr>
              <w:t xml:space="preserve">DOCUMENTOS TIPO – Generalidades – Obligatoriedad </w:t>
            </w:r>
          </w:p>
          <w:p w14:paraId="4597D956" w14:textId="77777777" w:rsidR="00FE2344" w:rsidRPr="00A11406" w:rsidRDefault="00FE2344" w:rsidP="003950AD">
            <w:pPr>
              <w:spacing w:line="276" w:lineRule="auto"/>
              <w:jc w:val="both"/>
              <w:rPr>
                <w:rFonts w:ascii="Verdana" w:eastAsia="Calibri" w:hAnsi="Verdana" w:cs="Arial"/>
                <w:lang w:val="es-ES" w:eastAsia="es-ES"/>
              </w:rPr>
            </w:pPr>
            <w:r w:rsidRPr="0060442F">
              <w:rPr>
                <w:rFonts w:ascii="Verdana" w:eastAsia="Calibri" w:hAnsi="Verdana" w:cs="Arial"/>
                <w:lang w:val="es-ES" w:eastAsia="es-ES"/>
              </w:rPr>
              <w:t>INALTERABILIDAD – Documentos Tipo – Alcance</w:t>
            </w:r>
            <w:r>
              <w:rPr>
                <w:rFonts w:ascii="Verdana" w:eastAsia="Calibri" w:hAnsi="Verdana" w:cs="Arial"/>
                <w:lang w:val="es-ES" w:eastAsia="es-ES"/>
              </w:rPr>
              <w:t xml:space="preserve"> / </w:t>
            </w:r>
            <w:r w:rsidRPr="00370C45">
              <w:rPr>
                <w:rFonts w:ascii="Verdana" w:eastAsia="Calibri" w:hAnsi="Verdana" w:cs="Arial"/>
                <w:lang w:val="es-ES" w:eastAsia="es-ES"/>
              </w:rPr>
              <w:t>CONTRATO DE OBRA PÚBLICA – Definición</w:t>
            </w:r>
            <w:r>
              <w:rPr>
                <w:rFonts w:ascii="Verdana" w:eastAsia="Calibri" w:hAnsi="Verdana" w:cs="Arial"/>
                <w:lang w:val="es-ES" w:eastAsia="es-ES"/>
              </w:rPr>
              <w:t xml:space="preserve"> / </w:t>
            </w:r>
            <w:r w:rsidRPr="00370C45">
              <w:rPr>
                <w:rFonts w:ascii="Verdana" w:eastAsia="Calibri" w:hAnsi="Verdana" w:cs="Arial"/>
                <w:lang w:val="es-ES" w:eastAsia="es-ES"/>
              </w:rPr>
              <w:t>MODALIDAD LLAVE EN MANO – Contrato EPC – Definición</w:t>
            </w:r>
            <w:r>
              <w:rPr>
                <w:rFonts w:ascii="Verdana" w:eastAsia="Calibri" w:hAnsi="Verdana" w:cs="Arial"/>
                <w:lang w:val="es-ES" w:eastAsia="es-ES"/>
              </w:rPr>
              <w:t xml:space="preserve"> / </w:t>
            </w:r>
            <w:r w:rsidRPr="00370C45">
              <w:rPr>
                <w:rFonts w:ascii="Verdana" w:eastAsia="Calibri" w:hAnsi="Verdana" w:cs="Arial"/>
                <w:lang w:val="es-ES" w:eastAsia="es-ES"/>
              </w:rPr>
              <w:t>PRINCIPIO DE INALTERABILIDAD – Alcance – Documentos tipo de infraestructura de transporte</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D798EA2" w14:textId="77777777" w:rsidR="00FE2344" w:rsidRPr="00593A5F" w:rsidRDefault="00FE2344" w:rsidP="003950A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E2344" w:rsidRPr="008E6AD9" w14:paraId="7E9731BC" w14:textId="77777777" w:rsidTr="003950AD">
        <w:tc>
          <w:tcPr>
            <w:tcW w:w="2689" w:type="dxa"/>
          </w:tcPr>
          <w:p w14:paraId="2125B965" w14:textId="77777777" w:rsidR="00FE2344" w:rsidRPr="008E6AD9" w:rsidRDefault="00FE2344" w:rsidP="003950A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F4614C2" w14:textId="77777777" w:rsidR="00FE2344" w:rsidRPr="00B92340" w:rsidRDefault="00FE2344" w:rsidP="003950A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D36A61">
              <w:rPr>
                <w:rFonts w:ascii="Verdana" w:eastAsia="Calibri" w:hAnsi="Verdana" w:cs="Arial"/>
                <w:lang w:val="es-ES_tradnl" w:eastAsia="es-ES_tradnl"/>
              </w:rPr>
              <w:t>1_2026_04_15_005108</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95C02A5" w14:textId="77777777" w:rsidR="00FE2344" w:rsidRPr="00593A5F" w:rsidRDefault="00FE2344" w:rsidP="00FE2344">
      <w:pPr>
        <w:spacing w:after="0" w:line="240" w:lineRule="auto"/>
        <w:jc w:val="both"/>
        <w:rPr>
          <w:rFonts w:ascii="Verdana" w:eastAsia="Calibri" w:hAnsi="Verdana" w:cs="Arial"/>
          <w:color w:val="000000"/>
          <w:lang w:val="es-ES_tradnl" w:eastAsia="es-ES_tradnl"/>
        </w:rPr>
      </w:pPr>
    </w:p>
    <w:p w14:paraId="29DE2578" w14:textId="77777777" w:rsidR="00FE2344" w:rsidRPr="00593A5F" w:rsidRDefault="00FE2344" w:rsidP="00FE2344">
      <w:pPr>
        <w:spacing w:after="0" w:line="240" w:lineRule="auto"/>
        <w:jc w:val="both"/>
        <w:rPr>
          <w:rFonts w:ascii="Verdana" w:eastAsia="Calibri" w:hAnsi="Verdana" w:cs="Arial"/>
          <w:color w:val="000000"/>
          <w:lang w:val="es-ES_tradnl" w:eastAsia="es-ES_tradnl"/>
        </w:rPr>
      </w:pPr>
    </w:p>
    <w:p w14:paraId="4A5048E8" w14:textId="77777777" w:rsidR="00FE2344" w:rsidRPr="008E6AD9" w:rsidRDefault="00FE2344" w:rsidP="00FE234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911B5A">
        <w:rPr>
          <w:rFonts w:ascii="Verdana" w:eastAsia="Calibri" w:hAnsi="Verdana" w:cs="Arial"/>
          <w:lang w:val="es-ES" w:eastAsia="es-ES"/>
        </w:rPr>
        <w:t>Hernández Calderón</w:t>
      </w:r>
      <w:r w:rsidRPr="008E6AD9">
        <w:rPr>
          <w:rFonts w:ascii="Verdana" w:eastAsia="Calibri" w:hAnsi="Verdana" w:cs="Arial"/>
          <w:lang w:val="es-ES" w:eastAsia="es-ES"/>
        </w:rPr>
        <w:t xml:space="preserve">: </w:t>
      </w:r>
    </w:p>
    <w:p w14:paraId="0509BDBB" w14:textId="77777777" w:rsidR="00FE2344" w:rsidRDefault="00FE2344" w:rsidP="00FE234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C0736B" w14:textId="77777777" w:rsidR="00FE2344" w:rsidRPr="00593A5F" w:rsidRDefault="00FE2344" w:rsidP="00FE234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15 de abril de 2026, donde solicita conceptuar sobre los siguientes puntos</w:t>
      </w:r>
      <w:r w:rsidRPr="008E6AD9">
        <w:rPr>
          <w:rFonts w:ascii="Verdana" w:eastAsia="Calibri" w:hAnsi="Verdana" w:cs="Arial"/>
          <w:lang w:val="es-ES" w:eastAsia="es-ES"/>
        </w:rPr>
        <w:t xml:space="preserve">: </w:t>
      </w:r>
    </w:p>
    <w:p w14:paraId="2F18AA76" w14:textId="77777777" w:rsidR="00FE2344" w:rsidRPr="00272A7B" w:rsidRDefault="00FE2344" w:rsidP="00FE2344">
      <w:pPr>
        <w:pStyle w:val="Prrafodelista"/>
        <w:tabs>
          <w:tab w:val="left" w:pos="142"/>
          <w:tab w:val="left" w:pos="284"/>
        </w:tabs>
        <w:spacing w:after="0" w:line="276" w:lineRule="auto"/>
        <w:ind w:left="0"/>
        <w:jc w:val="both"/>
        <w:rPr>
          <w:rFonts w:ascii="Verdana" w:eastAsia="Century Gothic" w:hAnsi="Verdana" w:cs="Century Gothic"/>
          <w:b/>
          <w:bCs/>
        </w:rPr>
      </w:pPr>
    </w:p>
    <w:p w14:paraId="60503B7E" w14:textId="77777777" w:rsidR="00FE2344" w:rsidRPr="00567432" w:rsidRDefault="00FE2344" w:rsidP="00FE2344">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567432">
        <w:rPr>
          <w:rFonts w:ascii="Verdana" w:eastAsia="Century Gothic" w:hAnsi="Verdana" w:cs="Century Gothic"/>
          <w:sz w:val="20"/>
          <w:szCs w:val="20"/>
          <w:lang w:val="es-ES"/>
        </w:rPr>
        <w:t xml:space="preserve">1. Qué lineamientos, directrices o guías específicas relacionadas con la estructuración, ¿gestión de riesgos y contratación de proyectos bajo la modalidad de </w:t>
      </w:r>
      <w:r>
        <w:rPr>
          <w:rFonts w:ascii="Verdana" w:eastAsia="Century Gothic" w:hAnsi="Verdana" w:cs="Century Gothic"/>
          <w:sz w:val="20"/>
          <w:szCs w:val="20"/>
          <w:lang w:val="es-ES"/>
        </w:rPr>
        <w:t>‘</w:t>
      </w:r>
      <w:r w:rsidRPr="00567432">
        <w:rPr>
          <w:rFonts w:ascii="Verdana" w:eastAsia="Century Gothic" w:hAnsi="Verdana" w:cs="Century Gothic"/>
          <w:sz w:val="20"/>
          <w:szCs w:val="20"/>
          <w:lang w:val="es-ES"/>
        </w:rPr>
        <w:t>Llave en Mano</w:t>
      </w:r>
      <w:r>
        <w:rPr>
          <w:rFonts w:ascii="Verdana" w:eastAsia="Century Gothic" w:hAnsi="Verdana" w:cs="Century Gothic"/>
          <w:sz w:val="20"/>
          <w:szCs w:val="20"/>
          <w:lang w:val="es-ES"/>
        </w:rPr>
        <w:t>’</w:t>
      </w:r>
      <w:r w:rsidRPr="00567432">
        <w:rPr>
          <w:rFonts w:ascii="Verdana" w:eastAsia="Century Gothic" w:hAnsi="Verdana" w:cs="Century Gothic"/>
          <w:sz w:val="20"/>
          <w:szCs w:val="20"/>
          <w:lang w:val="es-ES"/>
        </w:rPr>
        <w:t xml:space="preserve"> (contratación integral) ha emitido la ANCP-CCE?</w:t>
      </w:r>
    </w:p>
    <w:p w14:paraId="01074DAF" w14:textId="77777777" w:rsidR="00FE2344" w:rsidRPr="00567432" w:rsidRDefault="00FE2344" w:rsidP="00FE2344">
      <w:pPr>
        <w:spacing w:after="120" w:line="240" w:lineRule="auto"/>
        <w:ind w:left="709" w:right="709"/>
        <w:jc w:val="both"/>
        <w:rPr>
          <w:rFonts w:ascii="Verdana" w:eastAsia="Century Gothic" w:hAnsi="Verdana" w:cs="Century Gothic"/>
          <w:sz w:val="20"/>
          <w:szCs w:val="20"/>
          <w:lang w:val="es-ES"/>
        </w:rPr>
      </w:pPr>
      <w:r w:rsidRPr="00567432">
        <w:rPr>
          <w:rFonts w:ascii="Verdana" w:eastAsia="Century Gothic" w:hAnsi="Verdana" w:cs="Century Gothic"/>
          <w:sz w:val="20"/>
          <w:szCs w:val="20"/>
          <w:lang w:val="es-ES"/>
        </w:rPr>
        <w:lastRenderedPageBreak/>
        <w:t xml:space="preserve">2. ¿Resulta procedente y compatible con el régimen de contratación estatal vigente utilizar contratos de obra </w:t>
      </w:r>
      <w:r>
        <w:rPr>
          <w:rFonts w:ascii="Verdana" w:eastAsia="Century Gothic" w:hAnsi="Verdana" w:cs="Century Gothic"/>
          <w:sz w:val="20"/>
          <w:szCs w:val="20"/>
          <w:lang w:val="es-ES"/>
        </w:rPr>
        <w:t>‘</w:t>
      </w:r>
      <w:r w:rsidRPr="00567432">
        <w:rPr>
          <w:rFonts w:ascii="Verdana" w:eastAsia="Century Gothic" w:hAnsi="Verdana" w:cs="Century Gothic"/>
          <w:sz w:val="20"/>
          <w:szCs w:val="20"/>
          <w:lang w:val="es-ES"/>
        </w:rPr>
        <w:t>Llave en Mano</w:t>
      </w:r>
      <w:r>
        <w:rPr>
          <w:rFonts w:ascii="Verdana" w:eastAsia="Century Gothic" w:hAnsi="Verdana" w:cs="Century Gothic"/>
          <w:sz w:val="20"/>
          <w:szCs w:val="20"/>
          <w:lang w:val="es-ES"/>
        </w:rPr>
        <w:t>’</w:t>
      </w:r>
      <w:r w:rsidRPr="00567432">
        <w:rPr>
          <w:rFonts w:ascii="Verdana" w:eastAsia="Century Gothic" w:hAnsi="Verdana" w:cs="Century Gothic"/>
          <w:sz w:val="20"/>
          <w:szCs w:val="20"/>
          <w:lang w:val="es-ES"/>
        </w:rPr>
        <w:t xml:space="preserve"> para proyectos de infraestructura aeroportuaria de gran escala?</w:t>
      </w:r>
    </w:p>
    <w:p w14:paraId="103BDE30" w14:textId="77777777" w:rsidR="00FE2344" w:rsidRPr="00567432" w:rsidRDefault="00FE2344" w:rsidP="00FE2344">
      <w:pPr>
        <w:spacing w:after="120" w:line="240" w:lineRule="auto"/>
        <w:ind w:left="709" w:right="709"/>
        <w:jc w:val="both"/>
        <w:rPr>
          <w:rFonts w:ascii="Verdana" w:eastAsia="Century Gothic" w:hAnsi="Verdana" w:cs="Century Gothic"/>
          <w:sz w:val="20"/>
          <w:szCs w:val="20"/>
          <w:lang w:val="es-ES"/>
        </w:rPr>
      </w:pPr>
      <w:r w:rsidRPr="00567432">
        <w:rPr>
          <w:rFonts w:ascii="Verdana" w:eastAsia="Century Gothic" w:hAnsi="Verdana" w:cs="Century Gothic"/>
          <w:sz w:val="20"/>
          <w:szCs w:val="20"/>
          <w:lang w:val="es-ES"/>
        </w:rPr>
        <w:t>3. ¿Cómo debe la Entidad armonizar la inalterabilidad de los requisitos habilitantes y ponderables</w:t>
      </w:r>
      <w:r>
        <w:rPr>
          <w:rFonts w:ascii="Verdana" w:eastAsia="Century Gothic" w:hAnsi="Verdana" w:cs="Century Gothic"/>
          <w:sz w:val="20"/>
          <w:szCs w:val="20"/>
          <w:lang w:val="es-ES"/>
        </w:rPr>
        <w:t xml:space="preserve"> </w:t>
      </w:r>
      <w:r w:rsidRPr="00567432">
        <w:rPr>
          <w:rFonts w:ascii="Verdana" w:eastAsia="Century Gothic" w:hAnsi="Verdana" w:cs="Century Gothic"/>
          <w:sz w:val="20"/>
          <w:szCs w:val="20"/>
          <w:lang w:val="es-ES"/>
        </w:rPr>
        <w:t xml:space="preserve">de los Documentos Tipo con las </w:t>
      </w:r>
      <w:r>
        <w:rPr>
          <w:rFonts w:ascii="Verdana" w:eastAsia="Century Gothic" w:hAnsi="Verdana" w:cs="Century Gothic"/>
          <w:sz w:val="20"/>
          <w:szCs w:val="20"/>
          <w:lang w:val="es-ES"/>
        </w:rPr>
        <w:t>particularidades</w:t>
      </w:r>
      <w:r w:rsidRPr="00567432">
        <w:rPr>
          <w:rFonts w:ascii="Verdana" w:eastAsia="Century Gothic" w:hAnsi="Verdana" w:cs="Century Gothic"/>
          <w:sz w:val="20"/>
          <w:szCs w:val="20"/>
          <w:lang w:val="es-ES"/>
        </w:rPr>
        <w:t xml:space="preserve"> técnicas de un esquema donde el diseño es responsabilidad del contratista?</w:t>
      </w:r>
    </w:p>
    <w:p w14:paraId="63C77FF9" w14:textId="77777777" w:rsidR="00FE2344" w:rsidRPr="00567432" w:rsidRDefault="00FE2344" w:rsidP="00FE2344">
      <w:pPr>
        <w:spacing w:after="120" w:line="240" w:lineRule="auto"/>
        <w:ind w:left="709" w:right="709"/>
        <w:jc w:val="both"/>
        <w:rPr>
          <w:rFonts w:ascii="Verdana" w:eastAsia="Century Gothic" w:hAnsi="Verdana" w:cs="Century Gothic"/>
          <w:sz w:val="20"/>
          <w:szCs w:val="20"/>
          <w:lang w:val="es-ES"/>
        </w:rPr>
      </w:pPr>
      <w:r w:rsidRPr="00567432">
        <w:rPr>
          <w:rFonts w:ascii="Verdana" w:eastAsia="Century Gothic" w:hAnsi="Verdana" w:cs="Century Gothic"/>
          <w:sz w:val="20"/>
          <w:szCs w:val="20"/>
          <w:lang w:val="es-ES"/>
        </w:rPr>
        <w:t>4. ¿Es viable incluir las actividades de gestión predial (diagnóstico, fichas, acompañamiento jurídico y social) como una obligación a cargo del contratista dentro de un contrato regulado por Documentos Tipo?</w:t>
      </w:r>
    </w:p>
    <w:p w14:paraId="7785630F" w14:textId="77777777" w:rsidR="00FE2344" w:rsidRPr="00567432" w:rsidRDefault="00FE2344" w:rsidP="00FE2344">
      <w:pPr>
        <w:spacing w:after="120" w:line="240" w:lineRule="auto"/>
        <w:ind w:left="709" w:right="709"/>
        <w:jc w:val="both"/>
        <w:rPr>
          <w:rFonts w:ascii="Verdana" w:eastAsia="Century Gothic" w:hAnsi="Verdana" w:cs="Century Gothic"/>
          <w:sz w:val="20"/>
          <w:szCs w:val="20"/>
          <w:lang w:val="es-ES"/>
        </w:rPr>
      </w:pPr>
      <w:r w:rsidRPr="00567432">
        <w:rPr>
          <w:rFonts w:ascii="Verdana" w:eastAsia="Century Gothic" w:hAnsi="Verdana" w:cs="Century Gothic"/>
          <w:sz w:val="20"/>
          <w:szCs w:val="20"/>
          <w:lang w:val="es-ES"/>
        </w:rPr>
        <w:t>a. ¿Cuáles son los criterios de excepcionalidad bajo los cuales la Entidad puede invocar el Parágrafo del artículo 16 de la Ley 1682 de 2013 para contratar integralmente estudios, diseños y construcción?</w:t>
      </w:r>
    </w:p>
    <w:p w14:paraId="533638C0" w14:textId="77777777" w:rsidR="00FE2344" w:rsidRDefault="00FE2344" w:rsidP="00FE2344">
      <w:pPr>
        <w:spacing w:after="120" w:line="240" w:lineRule="auto"/>
        <w:ind w:left="709" w:right="709"/>
        <w:jc w:val="both"/>
        <w:rPr>
          <w:rFonts w:ascii="Verdana" w:eastAsia="Century Gothic" w:hAnsi="Verdana" w:cs="Century Gothic"/>
          <w:sz w:val="20"/>
          <w:szCs w:val="20"/>
          <w:lang w:val="es-ES"/>
        </w:rPr>
      </w:pPr>
      <w:r w:rsidRPr="00567432">
        <w:rPr>
          <w:rFonts w:ascii="Verdana" w:eastAsia="Century Gothic" w:hAnsi="Verdana" w:cs="Century Gothic"/>
          <w:sz w:val="20"/>
          <w:szCs w:val="20"/>
          <w:lang w:val="es-ES"/>
        </w:rPr>
        <w:t>b. ¿Qué presupuestos fácticos y jurídicos deben quedar acreditados en el estudio previo para justificar técnicamente la aplicación de dicha excepción frente al principio de planeación y la regla de maduración de proyectos?</w:t>
      </w:r>
    </w:p>
    <w:p w14:paraId="622BF2CB" w14:textId="77777777" w:rsidR="00FE2344" w:rsidRPr="008E6AD9" w:rsidRDefault="00FE2344" w:rsidP="00FE2344">
      <w:pPr>
        <w:spacing w:after="0" w:line="240" w:lineRule="auto"/>
        <w:ind w:left="709" w:right="709"/>
        <w:jc w:val="both"/>
        <w:rPr>
          <w:rFonts w:ascii="Verdana" w:eastAsia="Century Gothic" w:hAnsi="Verdana" w:cs="Century Gothic"/>
          <w:b/>
          <w:bCs/>
        </w:rPr>
      </w:pPr>
      <w:r w:rsidRPr="00567432">
        <w:rPr>
          <w:rFonts w:ascii="Verdana" w:eastAsia="Century Gothic" w:hAnsi="Verdana" w:cs="Century Gothic"/>
          <w:sz w:val="20"/>
          <w:szCs w:val="20"/>
          <w:lang w:val="es-ES"/>
        </w:rPr>
        <w:t>5. Se solicita a la Agencia listar antecedentes de contratación de esta tipología de contrato de obra, junto con recomendaciones sobre la gestión de riesgos y lecciones aprendidas</w:t>
      </w:r>
      <w:r>
        <w:rPr>
          <w:rFonts w:ascii="Verdana" w:eastAsia="Century Gothic" w:hAnsi="Verdana" w:cs="Century Gothic"/>
          <w:sz w:val="20"/>
          <w:szCs w:val="20"/>
          <w:lang w:val="es-ES"/>
        </w:rPr>
        <w:t>”.</w:t>
      </w:r>
    </w:p>
    <w:p w14:paraId="4B0E35CE" w14:textId="77777777" w:rsidR="00FE2344" w:rsidRDefault="00FE2344" w:rsidP="00FE2344">
      <w:pPr>
        <w:spacing w:after="0" w:line="276" w:lineRule="auto"/>
        <w:ind w:firstLine="709"/>
        <w:jc w:val="both"/>
        <w:rPr>
          <w:rFonts w:ascii="Verdana" w:eastAsia="Calibri" w:hAnsi="Verdana" w:cs="Arial"/>
          <w:color w:val="000000"/>
          <w:lang w:val="es-ES" w:eastAsia="es-ES"/>
        </w:rPr>
      </w:pPr>
    </w:p>
    <w:p w14:paraId="7B32F46D" w14:textId="77777777" w:rsidR="00FE2344" w:rsidRPr="00A652FF" w:rsidRDefault="00FE2344" w:rsidP="00FE234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CD7FC92" w14:textId="77777777" w:rsidR="00FE2344" w:rsidRDefault="00FE2344" w:rsidP="00FE234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5015A5C" w14:textId="77777777" w:rsidR="00FE2344" w:rsidRPr="00593A5F" w:rsidRDefault="00FE2344" w:rsidP="00FE2344">
      <w:pPr>
        <w:spacing w:after="0" w:line="276" w:lineRule="auto"/>
        <w:ind w:firstLine="709"/>
        <w:jc w:val="both"/>
        <w:rPr>
          <w:rFonts w:ascii="Verdana" w:eastAsia="Calibri" w:hAnsi="Verdana" w:cs="Arial"/>
          <w:color w:val="000000"/>
          <w:lang w:val="es-ES" w:eastAsia="es-ES"/>
        </w:rPr>
      </w:pPr>
    </w:p>
    <w:p w14:paraId="0FF455DD" w14:textId="77777777" w:rsidR="00FE2344" w:rsidRPr="00593A5F" w:rsidRDefault="00FE2344" w:rsidP="00FE234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Problema planteado:</w:t>
      </w:r>
    </w:p>
    <w:p w14:paraId="2B8EBBFB" w14:textId="77777777" w:rsidR="00FE2344" w:rsidRPr="00593A5F" w:rsidRDefault="00FE2344" w:rsidP="00FE2344">
      <w:pPr>
        <w:tabs>
          <w:tab w:val="left" w:pos="426"/>
        </w:tabs>
        <w:spacing w:after="0" w:line="276" w:lineRule="auto"/>
        <w:jc w:val="both"/>
        <w:rPr>
          <w:rFonts w:ascii="Verdana" w:eastAsia="Century Gothic" w:hAnsi="Verdana" w:cs="Century Gothic"/>
          <w:lang w:val="es-ES"/>
        </w:rPr>
      </w:pPr>
    </w:p>
    <w:p w14:paraId="1DCE449B" w14:textId="77777777" w:rsidR="00FE2344" w:rsidRPr="00593A5F" w:rsidRDefault="00FE2344" w:rsidP="00FE234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9164FF">
        <w:rPr>
          <w:rFonts w:ascii="Verdana" w:eastAsia="Century Gothic" w:hAnsi="Verdana" w:cs="Century Gothic"/>
        </w:rPr>
        <w:t>¿la ejecución de contratos de obra llave en mano es compatible con la aplicación de los documentos tipo de infraestructura de transporte?</w:t>
      </w:r>
      <w:r>
        <w:rPr>
          <w:rFonts w:ascii="Verdana" w:eastAsia="Century Gothic" w:hAnsi="Verdana" w:cs="Century Gothic"/>
        </w:rPr>
        <w:t xml:space="preserve"> </w:t>
      </w:r>
    </w:p>
    <w:p w14:paraId="0D2ABF89" w14:textId="77777777" w:rsidR="00FE2344" w:rsidRPr="004B140F" w:rsidRDefault="00FE2344" w:rsidP="00FE2344">
      <w:pPr>
        <w:spacing w:after="0" w:line="276" w:lineRule="auto"/>
        <w:jc w:val="both"/>
        <w:rPr>
          <w:rFonts w:ascii="Verdana" w:eastAsia="Calibri" w:hAnsi="Verdana" w:cs="Arial"/>
          <w:color w:val="7030A0"/>
        </w:rPr>
      </w:pPr>
    </w:p>
    <w:p w14:paraId="3C029A59" w14:textId="77777777" w:rsidR="00FE2344" w:rsidRPr="00593A5F" w:rsidRDefault="00FE2344" w:rsidP="00FE23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AE82F48" w14:textId="77777777" w:rsidR="00FE2344" w:rsidRPr="00593A5F" w:rsidRDefault="00FE2344" w:rsidP="00FE234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2344" w:rsidRPr="00593A5F" w14:paraId="0C4D7993" w14:textId="77777777" w:rsidTr="003950AD">
        <w:trPr>
          <w:jc w:val="center"/>
        </w:trPr>
        <w:tc>
          <w:tcPr>
            <w:tcW w:w="8828" w:type="dxa"/>
          </w:tcPr>
          <w:p w14:paraId="486ACD06" w14:textId="77777777" w:rsidR="00FE2344" w:rsidRDefault="00FE2344" w:rsidP="003950AD">
            <w:pPr>
              <w:tabs>
                <w:tab w:val="left" w:pos="426"/>
              </w:tabs>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E931C6">
              <w:rPr>
                <w:rFonts w:ascii="Verdana" w:eastAsia="Calibri" w:hAnsi="Verdana" w:cs="Arial"/>
                <w:lang w:val="es-MX"/>
              </w:rPr>
              <w:t xml:space="preserve">el numeral 12 del </w:t>
            </w:r>
            <w:r w:rsidRPr="00E931C6">
              <w:rPr>
                <w:rFonts w:ascii="Verdana" w:hAnsi="Verdana" w:cs="Arial"/>
                <w:bCs/>
                <w:color w:val="000000"/>
                <w:lang w:val="es-ES_tradnl" w:eastAsia="es-MX"/>
              </w:rPr>
              <w:t xml:space="preserve">del artículo 25 de la Ley 80 de 1993, modificado por el artículo 87 de la Ley 1474 de 2011, no prohíbe </w:t>
            </w:r>
            <w:r w:rsidRPr="00E931C6">
              <w:rPr>
                <w:rFonts w:ascii="Verdana" w:eastAsia="Calibri" w:hAnsi="Verdana" w:cs="Arial"/>
                <w:lang w:val="es-MX"/>
              </w:rPr>
              <w:t xml:space="preserve">la posibilidad de </w:t>
            </w:r>
            <w:r w:rsidRPr="00E931C6">
              <w:rPr>
                <w:rFonts w:ascii="Verdana" w:eastAsia="Calibri" w:hAnsi="Verdana" w:cs="Arial"/>
                <w:lang w:val="es-ES"/>
              </w:rPr>
              <w:t xml:space="preserve">que en un mismo proceso de contratación se adelante de forma conjunta la construcción de la obra y la elaboración de los estudios y diseños. Dicha norma exige que, previo a la </w:t>
            </w:r>
            <w:r w:rsidRPr="00E931C6">
              <w:rPr>
                <w:rFonts w:ascii="Verdana" w:hAnsi="Verdana" w:cs="Arial"/>
                <w:bCs/>
                <w:color w:val="000000"/>
                <w:lang w:val="es-ES_tradnl" w:eastAsia="es-MX"/>
              </w:rPr>
              <w:t>apertura de un procedimiento de licitación pública para la contratación de una obra,</w:t>
            </w:r>
            <w:r w:rsidRPr="00E931C6">
              <w:rPr>
                <w:rFonts w:ascii="Verdana" w:eastAsia="Calibri" w:hAnsi="Verdana" w:cs="Arial"/>
                <w:lang w:val="es-ES"/>
              </w:rPr>
              <w:t xml:space="preserve"> la entidad deberá contar con estudios que permita establecer la viabilidad del proyecto, es decir, que acredite los estudios de ingeniería correspondientes que determinen un grado de maduración del proyecto que se planea desarrollar.</w:t>
            </w:r>
          </w:p>
          <w:p w14:paraId="44484049" w14:textId="77777777" w:rsidR="00FE2344" w:rsidRDefault="00FE2344" w:rsidP="003950AD">
            <w:pPr>
              <w:tabs>
                <w:tab w:val="left" w:pos="426"/>
              </w:tabs>
              <w:spacing w:after="120" w:line="276" w:lineRule="auto"/>
              <w:ind w:firstLine="736"/>
              <w:jc w:val="both"/>
              <w:rPr>
                <w:rFonts w:ascii="Verdana" w:eastAsia="Arial" w:hAnsi="Verdana" w:cs="Arial"/>
                <w:lang w:val="es-MX" w:eastAsia="es-ES" w:bidi="es-ES"/>
              </w:rPr>
            </w:pPr>
            <w:r>
              <w:rPr>
                <w:rFonts w:ascii="Verdana" w:eastAsia="Arial" w:hAnsi="Verdana" w:cs="Arial"/>
                <w:lang w:val="es-MX" w:eastAsia="es-ES" w:bidi="es-ES"/>
              </w:rPr>
              <w:t xml:space="preserve">De esta manera, </w:t>
            </w:r>
            <w:r w:rsidRPr="00370C45">
              <w:rPr>
                <w:rFonts w:ascii="Verdana" w:eastAsia="Arial" w:hAnsi="Verdana" w:cs="Arial"/>
                <w:lang w:val="es-MX" w:eastAsia="es-ES" w:bidi="es-ES"/>
              </w:rPr>
              <w:t xml:space="preserve">los documentos tipo de licitación de obra pública de infraestructura </w:t>
            </w:r>
            <w:r>
              <w:rPr>
                <w:rFonts w:ascii="Verdana" w:eastAsia="Arial" w:hAnsi="Verdana" w:cs="Arial"/>
                <w:lang w:val="es-MX" w:eastAsia="es-ES" w:bidi="es-ES"/>
              </w:rPr>
              <w:t>de transporte</w:t>
            </w:r>
            <w:r w:rsidRPr="00370C45">
              <w:rPr>
                <w:rFonts w:ascii="Verdana" w:eastAsia="Arial" w:hAnsi="Verdana" w:cs="Arial"/>
                <w:lang w:val="es-MX" w:eastAsia="es-ES" w:bidi="es-ES"/>
              </w:rPr>
              <w:t xml:space="preserve"> aplican para las obras contenidas </w:t>
            </w:r>
            <w:r>
              <w:rPr>
                <w:rFonts w:ascii="Verdana" w:eastAsia="Arial" w:hAnsi="Verdana" w:cs="Arial"/>
                <w:lang w:val="es-MX" w:eastAsia="es-ES" w:bidi="es-ES"/>
              </w:rPr>
              <w:t>la</w:t>
            </w:r>
            <w:r w:rsidRPr="00370C45">
              <w:rPr>
                <w:rFonts w:ascii="Verdana" w:eastAsia="Arial" w:hAnsi="Verdana" w:cs="Arial"/>
                <w:lang w:val="es-MX" w:eastAsia="es-ES" w:bidi="es-ES"/>
              </w:rPr>
              <w:t xml:space="preserve"> matriz de experiencia</w:t>
            </w:r>
            <w:r>
              <w:rPr>
                <w:rFonts w:ascii="Verdana" w:eastAsia="Arial" w:hAnsi="Verdana" w:cs="Arial"/>
                <w:lang w:val="es-MX" w:eastAsia="es-ES" w:bidi="es-ES"/>
              </w:rPr>
              <w:t xml:space="preserve"> correspondiente</w:t>
            </w:r>
            <w:r w:rsidRPr="00370C45">
              <w:rPr>
                <w:rFonts w:ascii="Verdana" w:eastAsia="Arial" w:hAnsi="Verdana" w:cs="Arial"/>
                <w:lang w:val="es-MX" w:eastAsia="es-ES" w:bidi="es-ES"/>
              </w:rPr>
              <w:t xml:space="preserve">. En este sentido, si la obra que la entidad pretende ejecutar se enmarca en alguno de los tipos de proyectos o actividades incluidas en alguna de las matrices de experiencia de los documentos tipo relacionados con la infraestructura </w:t>
            </w:r>
            <w:r>
              <w:rPr>
                <w:rFonts w:ascii="Verdana" w:eastAsia="Arial" w:hAnsi="Verdana" w:cs="Arial"/>
                <w:lang w:val="es-MX" w:eastAsia="es-ES" w:bidi="es-ES"/>
              </w:rPr>
              <w:t>de transporte</w:t>
            </w:r>
            <w:r w:rsidRPr="00370C45">
              <w:rPr>
                <w:rFonts w:ascii="Verdana" w:eastAsia="Arial" w:hAnsi="Verdana" w:cs="Arial"/>
                <w:lang w:val="es-MX" w:eastAsia="es-ES" w:bidi="es-ES"/>
              </w:rPr>
              <w:t xml:space="preserve">, el proceso de selección debe adelantarse utilizando dichos documentos tipo. </w:t>
            </w:r>
          </w:p>
          <w:p w14:paraId="22D719F2" w14:textId="77777777" w:rsidR="00FE2344" w:rsidRPr="00370C45" w:rsidRDefault="00FE2344" w:rsidP="003950AD">
            <w:pPr>
              <w:tabs>
                <w:tab w:val="left" w:pos="426"/>
              </w:tabs>
              <w:spacing w:after="120" w:line="276" w:lineRule="auto"/>
              <w:ind w:firstLine="736"/>
              <w:jc w:val="both"/>
              <w:rPr>
                <w:rFonts w:ascii="Verdana" w:eastAsia="Arial" w:hAnsi="Verdana" w:cs="Arial"/>
                <w:lang w:val="es-MX" w:eastAsia="es-ES" w:bidi="es-ES"/>
              </w:rPr>
            </w:pPr>
            <w:r w:rsidRPr="00370C45">
              <w:rPr>
                <w:rFonts w:ascii="Verdana" w:eastAsia="Arial" w:hAnsi="Verdana" w:cs="Arial"/>
                <w:lang w:val="es-MX" w:eastAsia="es-ES" w:bidi="es-ES"/>
              </w:rPr>
              <w:t xml:space="preserve">Esto aplica, incluso, para los contratos de obra “llave en mano”, en donde se considere necesario exigir experiencia adicional para la ejecución de bienes o servicios adicionales a la obra pública, como sería la realización de los diseños de la obra, caso en que procede la aplicación del artículo 4 de la Resolución </w:t>
            </w:r>
            <w:r w:rsidRPr="006C1C39">
              <w:rPr>
                <w:rFonts w:ascii="Verdana" w:eastAsia="Aptos" w:hAnsi="Verdana" w:cs="Arial"/>
                <w:lang w:val="es-ES"/>
              </w:rPr>
              <w:t>465 de 2024</w:t>
            </w:r>
            <w:r w:rsidRPr="00370C45">
              <w:rPr>
                <w:rFonts w:ascii="Verdana" w:eastAsia="Arial" w:hAnsi="Verdana" w:cs="Arial"/>
                <w:lang w:val="es-MX" w:eastAsia="es-ES" w:bidi="es-ES"/>
              </w:rPr>
              <w:t xml:space="preserve">. Esta norma dispone que en los eventos en los que el objeto contractual incluya bienes o servicios adicionales, la entidad puede incluir experiencia adicional para evaluar la idoneidad respecto de los bienes o servicios ajenos a la obra pública de infraestructura </w:t>
            </w:r>
            <w:r>
              <w:rPr>
                <w:rFonts w:ascii="Verdana" w:eastAsia="Arial" w:hAnsi="Verdana" w:cs="Arial"/>
                <w:lang w:val="es-MX" w:eastAsia="es-ES" w:bidi="es-ES"/>
              </w:rPr>
              <w:t>de transporte</w:t>
            </w:r>
            <w:r w:rsidRPr="00370C45">
              <w:rPr>
                <w:rFonts w:ascii="Verdana" w:eastAsia="Arial" w:hAnsi="Verdana" w:cs="Arial"/>
                <w:lang w:val="es-MX" w:eastAsia="es-ES" w:bidi="es-ES"/>
              </w:rPr>
              <w:t xml:space="preserve">, como sería la realización de los diseños de la obra. </w:t>
            </w:r>
          </w:p>
          <w:p w14:paraId="310B2232" w14:textId="77777777" w:rsidR="00FE2344" w:rsidRPr="00D85AD7" w:rsidRDefault="00FE2344" w:rsidP="003950AD">
            <w:pPr>
              <w:tabs>
                <w:tab w:val="left" w:pos="426"/>
              </w:tabs>
              <w:spacing w:after="120" w:line="276" w:lineRule="auto"/>
              <w:ind w:firstLine="736"/>
              <w:jc w:val="both"/>
              <w:rPr>
                <w:rFonts w:ascii="Verdana" w:eastAsia="Arial" w:hAnsi="Verdana" w:cs="Arial"/>
                <w:lang w:val="es-MX" w:eastAsia="es-ES" w:bidi="es-ES"/>
              </w:rPr>
            </w:pPr>
            <w:r w:rsidRPr="00370C45">
              <w:rPr>
                <w:rFonts w:ascii="Verdana" w:eastAsia="Arial" w:hAnsi="Verdana" w:cs="Arial"/>
                <w:lang w:val="es-MX" w:eastAsia="es-ES" w:bidi="es-ES"/>
              </w:rPr>
              <w:lastRenderedPageBreak/>
              <w:t xml:space="preserve">En armonía con el artículo señalado, si de manera excepcional la entidad estatal considera que el contratista de la obra que debe contratarse a través de la aplicación de los documentos tipo de infraestructura </w:t>
            </w:r>
            <w:r>
              <w:rPr>
                <w:rFonts w:ascii="Verdana" w:eastAsia="Arial" w:hAnsi="Verdana" w:cs="Arial"/>
                <w:lang w:val="es-MX" w:eastAsia="es-ES" w:bidi="es-ES"/>
              </w:rPr>
              <w:t>de transporte</w:t>
            </w:r>
            <w:r w:rsidRPr="00370C45">
              <w:rPr>
                <w:rFonts w:ascii="Verdana" w:eastAsia="Arial" w:hAnsi="Verdana" w:cs="Arial"/>
                <w:lang w:val="es-MX" w:eastAsia="es-ES" w:bidi="es-ES"/>
              </w:rPr>
              <w:t xml:space="preserve"> debe ejecutar bienes o servicios adicionales, como sería el caso de los diseños necesarios para la obra</w:t>
            </w:r>
            <w:r>
              <w:rPr>
                <w:rFonts w:ascii="Verdana" w:eastAsia="Arial" w:hAnsi="Verdana" w:cs="Arial"/>
                <w:lang w:val="es-MX" w:eastAsia="es-ES" w:bidi="es-ES"/>
              </w:rPr>
              <w:t xml:space="preserve"> o la gestión predial</w:t>
            </w:r>
            <w:r w:rsidRPr="00370C45">
              <w:rPr>
                <w:rFonts w:ascii="Verdana" w:eastAsia="Arial" w:hAnsi="Verdana" w:cs="Arial"/>
                <w:lang w:val="es-MX" w:eastAsia="es-ES" w:bidi="es-ES"/>
              </w:rPr>
              <w:t xml:space="preserve">, puede incluir la experiencia adicional para evaluar la idoneidad de los proponentes, cumpliendo todas las demás exigencias de los documentos tipo. La anterior conclusión además se fundamenta con la posibilidad de incluir como obligación contractual la realización de los diseños en el contrato de obra, como se </w:t>
            </w:r>
            <w:r>
              <w:rPr>
                <w:rFonts w:ascii="Verdana" w:eastAsia="Arial" w:hAnsi="Verdana" w:cs="Arial"/>
                <w:lang w:val="es-MX" w:eastAsia="es-ES" w:bidi="es-ES"/>
              </w:rPr>
              <w:t>explicará</w:t>
            </w:r>
            <w:r w:rsidRPr="00370C45">
              <w:rPr>
                <w:rFonts w:ascii="Verdana" w:eastAsia="Arial" w:hAnsi="Verdana" w:cs="Arial"/>
                <w:lang w:val="es-MX" w:eastAsia="es-ES" w:bidi="es-ES"/>
              </w:rPr>
              <w:t xml:space="preserve"> en las consideraciones.</w:t>
            </w:r>
            <w:r>
              <w:rPr>
                <w:rFonts w:ascii="Verdana" w:eastAsia="Arial" w:hAnsi="Verdana" w:cs="Arial"/>
                <w:lang w:val="es-MX" w:eastAsia="es-ES" w:bidi="es-ES"/>
              </w:rPr>
              <w:t xml:space="preserve"> (Respuesta a las preguntas 2, 3, 4, a y b)</w:t>
            </w:r>
          </w:p>
          <w:p w14:paraId="132BA45F" w14:textId="77777777" w:rsidR="00FE2344" w:rsidRPr="001941FD" w:rsidRDefault="00FE2344" w:rsidP="003950AD">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w:t>
            </w:r>
            <w:r>
              <w:rPr>
                <w:rFonts w:ascii="Verdana" w:eastAsia="Calibri" w:hAnsi="Verdana" w:cs="Arial"/>
                <w:bCs/>
                <w:color w:val="000000" w:themeColor="text1"/>
              </w:rPr>
              <w:t>Ante la ausencia de lineamientos y antecedentes en los términos solicitados en la consulta</w:t>
            </w:r>
            <w:r w:rsidRPr="00A47393">
              <w:rPr>
                <w:rStyle w:val="s15"/>
                <w:rFonts w:ascii="Verdana" w:hAnsi="Verdana"/>
                <w:color w:val="000000"/>
              </w:rPr>
              <w:t>,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(Respuesta a las preguntas 1 y 5) </w:t>
            </w:r>
          </w:p>
        </w:tc>
      </w:tr>
    </w:tbl>
    <w:p w14:paraId="133DC490" w14:textId="77777777" w:rsidR="00FE2344" w:rsidRPr="00593A5F" w:rsidRDefault="00FE2344" w:rsidP="00FE2344">
      <w:pPr>
        <w:tabs>
          <w:tab w:val="left" w:pos="142"/>
          <w:tab w:val="left" w:pos="284"/>
        </w:tabs>
        <w:spacing w:after="0" w:line="276" w:lineRule="auto"/>
        <w:jc w:val="both"/>
        <w:rPr>
          <w:rFonts w:ascii="Verdana" w:eastAsia="Century Gothic" w:hAnsi="Verdana" w:cs="Century Gothic"/>
          <w:b/>
          <w:bCs/>
          <w:lang w:val="es-ES"/>
        </w:rPr>
      </w:pPr>
    </w:p>
    <w:bookmarkEnd w:id="1"/>
    <w:p w14:paraId="43AA78B7" w14:textId="77777777" w:rsidR="00FE2344" w:rsidRPr="00593A5F" w:rsidRDefault="00FE2344" w:rsidP="00FE23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E5EB5B" w14:textId="77777777" w:rsidR="00FE2344" w:rsidRPr="00593A5F" w:rsidRDefault="00FE2344" w:rsidP="00FE2344">
      <w:pPr>
        <w:spacing w:after="0" w:line="276" w:lineRule="auto"/>
        <w:jc w:val="both"/>
        <w:rPr>
          <w:rFonts w:ascii="Verdana" w:eastAsia="Calibri" w:hAnsi="Verdana" w:cs="Arial"/>
          <w:color w:val="7030A0"/>
          <w:lang w:val="es-ES"/>
        </w:rPr>
      </w:pPr>
    </w:p>
    <w:p w14:paraId="7882EAF4" w14:textId="77777777" w:rsidR="00FE2344" w:rsidRDefault="00FE2344" w:rsidP="00FE234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17C9E3B" w14:textId="77777777" w:rsidR="00FE2344" w:rsidRPr="00415608" w:rsidRDefault="00FE2344" w:rsidP="00FE2344">
      <w:pPr>
        <w:spacing w:after="0" w:line="276" w:lineRule="auto"/>
        <w:jc w:val="both"/>
        <w:rPr>
          <w:rFonts w:ascii="Verdana" w:eastAsia="Calibri" w:hAnsi="Verdana" w:cs="Arial"/>
          <w:lang w:val="es-ES"/>
        </w:rPr>
      </w:pPr>
    </w:p>
    <w:p w14:paraId="34CF268F" w14:textId="77777777" w:rsidR="00FE2344" w:rsidRPr="006C1C39" w:rsidRDefault="00FE2344" w:rsidP="00FE2344">
      <w:pPr>
        <w:spacing w:after="120" w:line="276" w:lineRule="auto"/>
        <w:jc w:val="both"/>
        <w:rPr>
          <w:rFonts w:ascii="Verdana" w:eastAsia="Aptos" w:hAnsi="Verdana" w:cs="ArialMT"/>
        </w:rPr>
      </w:pPr>
      <w:r w:rsidRPr="00A47393">
        <w:rPr>
          <w:rFonts w:ascii="Verdana" w:hAnsi="Verdana" w:cs="Arial"/>
          <w:color w:val="000000" w:themeColor="text1"/>
          <w:lang w:val="es-ES"/>
        </w:rPr>
        <w:t xml:space="preserve">i. </w:t>
      </w:r>
      <w:r w:rsidRPr="006C1C39">
        <w:rPr>
          <w:rFonts w:ascii="Verdana" w:eastAsia="Aptos" w:hAnsi="Verdana" w:cs="Arial"/>
        </w:rPr>
        <w:t xml:space="preserve">Los documentos tipo expedidos por la Agencia Nacional de Contratación Pública </w:t>
      </w:r>
      <w:r w:rsidRPr="006C1C39">
        <w:rPr>
          <w:rFonts w:ascii="Verdana" w:eastAsia="Aptos" w:hAnsi="Verdana" w:cs="ArialMT"/>
        </w:rPr>
        <w:t xml:space="preserve">– Colombia Compra Eficiente </w:t>
      </w:r>
      <w:r w:rsidRPr="006C1C39">
        <w:rPr>
          <w:rFonts w:ascii="Verdana" w:eastAsia="Aptos" w:hAnsi="Verdana" w:cs="Arial"/>
        </w:rPr>
        <w:t>en ejercicio de la potestad otorgada</w:t>
      </w:r>
      <w:r w:rsidRPr="006C1C39">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w:t>
      </w:r>
      <w:r>
        <w:rPr>
          <w:rFonts w:ascii="Verdana" w:eastAsia="Aptos" w:hAnsi="Verdana" w:cs="ArialMT"/>
        </w:rPr>
        <w:t>i</w:t>
      </w:r>
      <w:r w:rsidRPr="006C1C39">
        <w:rPr>
          <w:rFonts w:ascii="Verdana" w:eastAsia="Aptos" w:hAnsi="Verdana" w:cs="ArialMT"/>
        </w:rPr>
        <w:t>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0A070FB9" w14:textId="77777777" w:rsidR="00FE2344" w:rsidRPr="006C1C39" w:rsidRDefault="00FE2344" w:rsidP="00FE2344">
      <w:pPr>
        <w:spacing w:after="120" w:line="276" w:lineRule="auto"/>
        <w:ind w:firstLine="708"/>
        <w:jc w:val="both"/>
        <w:rPr>
          <w:rFonts w:ascii="Verdana" w:eastAsia="Aptos" w:hAnsi="Verdana" w:cs="ArialMT"/>
        </w:rPr>
      </w:pPr>
      <w:r w:rsidRPr="006C1C39">
        <w:rPr>
          <w:rFonts w:ascii="Verdana" w:eastAsia="Aptos" w:hAnsi="Verdana" w:cs="ArialMT"/>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6C1C39">
        <w:rPr>
          <w:rFonts w:ascii="Verdana" w:eastAsia="Calibri" w:hAnsi="Verdana" w:cs="Times New Roman"/>
          <w:vertAlign w:val="superscript"/>
        </w:rPr>
        <w:footnoteReference w:id="1"/>
      </w:r>
      <w:r w:rsidRPr="006C1C39">
        <w:rPr>
          <w:rFonts w:ascii="Verdana" w:eastAsia="Aptos" w:hAnsi="Verdana" w:cs="ArialMT"/>
        </w:rPr>
        <w:t xml:space="preserve">. </w:t>
      </w:r>
    </w:p>
    <w:p w14:paraId="4BF2E288" w14:textId="77777777" w:rsidR="00FE2344" w:rsidRPr="006C1C39" w:rsidRDefault="00FE2344" w:rsidP="00FE2344">
      <w:pPr>
        <w:spacing w:after="120" w:line="276" w:lineRule="auto"/>
        <w:ind w:firstLine="708"/>
        <w:jc w:val="both"/>
        <w:rPr>
          <w:rFonts w:ascii="Verdana" w:eastAsia="Aptos" w:hAnsi="Verdana" w:cs="ArialMT"/>
        </w:rPr>
      </w:pPr>
      <w:r w:rsidRPr="006C1C39">
        <w:rPr>
          <w:rFonts w:ascii="Verdana" w:eastAsia="Aptos" w:hAnsi="Verdana" w:cs="ArialMT"/>
        </w:rPr>
        <w:t xml:space="preserve">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w:t>
      </w:r>
      <w:r>
        <w:rPr>
          <w:rFonts w:ascii="Verdana" w:eastAsia="Aptos" w:hAnsi="Verdana" w:cs="ArialMT"/>
        </w:rPr>
        <w:t>Además</w:t>
      </w:r>
      <w:r w:rsidRPr="006C1C39">
        <w:rPr>
          <w:rFonts w:ascii="Verdana" w:eastAsia="Aptos" w:hAnsi="Verdana" w:cs="ArialMT"/>
        </w:rPr>
        <w:t>, esta Agencia expidió documentos tipo de concurso de méritos para contratar la interventoría y la consultoría de estudios de ingeniería de infraestructura de transporte</w:t>
      </w:r>
      <w:r w:rsidRPr="006C1C39">
        <w:rPr>
          <w:rFonts w:ascii="Verdana" w:eastAsia="Calibri" w:hAnsi="Verdana" w:cs="Times New Roman"/>
          <w:vertAlign w:val="superscript"/>
        </w:rPr>
        <w:footnoteReference w:id="2"/>
      </w:r>
      <w:r w:rsidRPr="006C1C39">
        <w:rPr>
          <w:rFonts w:ascii="Verdana" w:eastAsia="Aptos" w:hAnsi="Verdana" w:cs="ArialMT"/>
        </w:rPr>
        <w:t xml:space="preserve">. </w:t>
      </w:r>
    </w:p>
    <w:p w14:paraId="3FE94955" w14:textId="77777777" w:rsidR="00FE2344" w:rsidRPr="006C1C39" w:rsidRDefault="00FE2344" w:rsidP="00FE2344">
      <w:pPr>
        <w:spacing w:after="120" w:line="276" w:lineRule="auto"/>
        <w:ind w:firstLine="708"/>
        <w:jc w:val="both"/>
        <w:rPr>
          <w:rFonts w:ascii="Verdana" w:eastAsia="Aptos" w:hAnsi="Verdana" w:cs="ArialMT"/>
        </w:rPr>
      </w:pPr>
      <w:r w:rsidRPr="006C1C39">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73AF181E" w14:textId="77777777" w:rsidR="00FE2344" w:rsidRPr="006C1C39" w:rsidRDefault="00FE2344" w:rsidP="00FE2344">
      <w:pPr>
        <w:spacing w:after="120" w:line="276" w:lineRule="auto"/>
        <w:ind w:firstLine="708"/>
        <w:jc w:val="both"/>
        <w:rPr>
          <w:rFonts w:ascii="Verdana" w:eastAsia="Aptos" w:hAnsi="Verdana" w:cs="ArialMT"/>
        </w:rPr>
      </w:pPr>
      <w:r w:rsidRPr="006C1C39">
        <w:rPr>
          <w:rFonts w:ascii="Verdana" w:eastAsia="Aptos" w:hAnsi="Verdana" w:cs="ArialMT"/>
        </w:rPr>
        <w:lastRenderedPageBreak/>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1F3D39BA" w14:textId="77777777" w:rsidR="00FE2344" w:rsidRPr="006C1C39" w:rsidRDefault="00FE2344" w:rsidP="00FE2344">
      <w:pPr>
        <w:spacing w:after="120" w:line="276" w:lineRule="auto"/>
        <w:ind w:firstLine="708"/>
        <w:jc w:val="both"/>
        <w:rPr>
          <w:rFonts w:ascii="Verdana" w:eastAsia="Aptos" w:hAnsi="Verdana" w:cs="ArialMT"/>
        </w:rPr>
      </w:pPr>
      <w:r w:rsidRPr="006C1C39">
        <w:rPr>
          <w:rFonts w:ascii="Verdana" w:eastAsia="Aptos" w:hAnsi="Verdana" w:cs="ArialMT"/>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0ADC4D98" w14:textId="77777777" w:rsidR="00FE2344" w:rsidRPr="006C1C39" w:rsidRDefault="00FE2344" w:rsidP="00FE2344">
      <w:pPr>
        <w:snapToGrid w:val="0"/>
        <w:spacing w:after="120" w:line="276" w:lineRule="auto"/>
        <w:jc w:val="both"/>
        <w:rPr>
          <w:rFonts w:ascii="Verdana" w:eastAsia="Calibri" w:hAnsi="Verdana" w:cs="Arial"/>
          <w:lang w:val="es-ES" w:eastAsia="es-ES"/>
        </w:rPr>
      </w:pPr>
      <w:r w:rsidRPr="006C1C39">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6C1C39">
        <w:rPr>
          <w:rFonts w:ascii="Verdana" w:eastAsia="Aptos" w:hAnsi="Verdana" w:cs="Times New Roman"/>
          <w:shd w:val="clear" w:color="auto" w:fill="FFFFFF"/>
          <w:vertAlign w:val="superscript"/>
          <w:lang w:val="es-ES_tradnl" w:eastAsia="es-ES_tradnl"/>
        </w:rPr>
        <w:footnoteReference w:id="3"/>
      </w:r>
      <w:r w:rsidRPr="006C1C39">
        <w:rPr>
          <w:rFonts w:ascii="Verdana" w:eastAsia="Times New Roman" w:hAnsi="Verdana" w:cs="Arial"/>
          <w:shd w:val="clear" w:color="auto" w:fill="FFFFFF"/>
          <w:lang w:val="es-ES_tradnl" w:eastAsia="es-ES_tradnl"/>
        </w:rPr>
        <w:t>. Esta prohibición consiste en que las entidades estatales no pueden incluir o modificar en los Documentos del Proceso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0997C76" w14:textId="77777777" w:rsidR="00FE2344" w:rsidRPr="006C1C39" w:rsidRDefault="00FE2344" w:rsidP="00FE2344">
      <w:pPr>
        <w:snapToGrid w:val="0"/>
        <w:spacing w:after="120" w:line="276" w:lineRule="auto"/>
        <w:jc w:val="both"/>
        <w:rPr>
          <w:rFonts w:ascii="Verdana" w:eastAsia="Times New Roman" w:hAnsi="Verdana" w:cs="Arial"/>
          <w:shd w:val="clear" w:color="auto" w:fill="FFFFFF"/>
          <w:lang w:val="es-ES_tradnl" w:eastAsia="es-ES_tradnl"/>
        </w:rPr>
      </w:pPr>
      <w:r w:rsidRPr="006C1C39">
        <w:rPr>
          <w:rFonts w:ascii="Verdana" w:eastAsia="Calibri" w:hAnsi="Verdana" w:cs="Arial"/>
          <w:lang w:val="es-ES" w:eastAsia="es-ES"/>
        </w:rPr>
        <w:tab/>
      </w:r>
      <w:r w:rsidRPr="006C1C39">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6C1C39">
        <w:rPr>
          <w:rFonts w:ascii="Verdana" w:eastAsia="Times New Roman" w:hAnsi="Verdana" w:cs="Arial"/>
          <w:lang w:val="es-ES_tradnl" w:eastAsia="es-ES_tradnl"/>
        </w:rPr>
        <w:t xml:space="preserve">[…] </w:t>
      </w:r>
      <w:r w:rsidRPr="006C1C39">
        <w:rPr>
          <w:rFonts w:ascii="Verdana" w:eastAsia="Times New Roman" w:hAnsi="Verdana" w:cs="Arial"/>
          <w:shd w:val="clear" w:color="auto" w:fill="FFFFFF"/>
          <w:lang w:val="es-ES_tradnl" w:eastAsia="es-ES_tradnl"/>
        </w:rPr>
        <w:t xml:space="preserve">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w:t>
      </w:r>
      <w:r w:rsidRPr="006C1C39">
        <w:rPr>
          <w:rFonts w:ascii="Verdana" w:eastAsia="Times New Roman" w:hAnsi="Verdana" w:cs="Arial"/>
          <w:shd w:val="clear" w:color="auto" w:fill="FFFFFF"/>
          <w:lang w:val="es-ES_tradnl" w:eastAsia="es-ES_tradnl"/>
        </w:rPr>
        <w:lastRenderedPageBreak/>
        <w:t>594 de 2020, que adicionaron, respectivamente, los artículos 2.2.1.2.6.1.4. y 2.2.1.2.6.3.4 al Decreto 1082 de 2015.</w:t>
      </w:r>
      <w:r w:rsidRPr="006C1C39">
        <w:rPr>
          <w:rFonts w:ascii="Verdana" w:eastAsia="Times New Roman" w:hAnsi="Verdana" w:cs="Arial"/>
          <w:shd w:val="clear" w:color="auto" w:fill="FFFFFF"/>
          <w:lang w:val="es-ES" w:eastAsia="es-ES"/>
        </w:rPr>
        <w:tab/>
      </w:r>
    </w:p>
    <w:p w14:paraId="5B489634" w14:textId="77777777" w:rsidR="00FE2344" w:rsidRPr="006C1C39" w:rsidRDefault="00FE2344" w:rsidP="00FE2344">
      <w:pPr>
        <w:snapToGrid w:val="0"/>
        <w:spacing w:after="120" w:line="276" w:lineRule="auto"/>
        <w:jc w:val="both"/>
        <w:rPr>
          <w:rFonts w:ascii="Verdana" w:eastAsia="Times New Roman" w:hAnsi="Verdana" w:cs="Arial"/>
          <w:shd w:val="clear" w:color="auto" w:fill="FFFFFF"/>
          <w:lang w:val="es-ES" w:eastAsia="es-ES"/>
        </w:rPr>
      </w:pPr>
      <w:r w:rsidRPr="006C1C39">
        <w:rPr>
          <w:rFonts w:ascii="Verdana" w:eastAsia="Times New Roman" w:hAnsi="Verdana" w:cs="Arial"/>
          <w:shd w:val="clear" w:color="auto" w:fill="FFFFFF"/>
          <w:lang w:val="es-ES_tradnl" w:eastAsia="es-ES_tradnl"/>
        </w:rPr>
        <w:tab/>
      </w:r>
      <w:r w:rsidRPr="006C1C39">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6C1C39">
        <w:rPr>
          <w:rFonts w:ascii="Verdana" w:eastAsia="Times New Roman" w:hAnsi="Verdana" w:cs="Arial"/>
          <w:highlight w:val="lightGray"/>
          <w:shd w:val="clear" w:color="auto" w:fill="FFFFFF"/>
          <w:lang w:val="es-ES" w:eastAsia="es-ES"/>
        </w:rPr>
        <w:t>–[texto]–</w:t>
      </w:r>
      <w:r w:rsidRPr="006C1C39">
        <w:rPr>
          <w:rFonts w:ascii="Verdana" w:eastAsia="Times New Roman" w:hAnsi="Verdana" w:cs="Arial"/>
          <w:shd w:val="clear" w:color="auto" w:fill="FFFFFF"/>
          <w:lang w:val="es-ES" w:eastAsia="es-ES"/>
        </w:rPr>
        <w:t>, para lo cual deberán observarse las instrucciones contenidas en los mismos para su diligenciamiento.</w:t>
      </w:r>
      <w:r w:rsidRPr="006C1C39">
        <w:rPr>
          <w:rFonts w:ascii="Verdana" w:eastAsia="Times New Roman" w:hAnsi="Verdana" w:cs="Arial"/>
          <w:shd w:val="clear" w:color="auto" w:fill="FFFFFF"/>
          <w:lang w:val="es-ES_tradnl" w:eastAsia="es-ES_tradnl"/>
        </w:rPr>
        <w:tab/>
      </w:r>
    </w:p>
    <w:p w14:paraId="0AB732D8" w14:textId="77777777" w:rsidR="00FE2344" w:rsidRPr="006C1C39" w:rsidRDefault="00FE2344" w:rsidP="00FE2344">
      <w:pPr>
        <w:snapToGrid w:val="0"/>
        <w:spacing w:after="120" w:line="276" w:lineRule="auto"/>
        <w:jc w:val="both"/>
        <w:rPr>
          <w:rFonts w:ascii="Verdana" w:eastAsia="Times New Roman" w:hAnsi="Verdana" w:cs="Arial"/>
          <w:shd w:val="clear" w:color="auto" w:fill="FFFFFF"/>
          <w:lang w:val="es-ES_tradnl" w:eastAsia="es-ES_tradnl"/>
        </w:rPr>
      </w:pPr>
      <w:r w:rsidRPr="006C1C39">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12635CD" w14:textId="77777777" w:rsidR="00FE2344" w:rsidRDefault="00FE2344" w:rsidP="00FE2344">
      <w:pPr>
        <w:spacing w:before="120" w:after="0" w:line="276" w:lineRule="auto"/>
        <w:ind w:firstLine="709"/>
        <w:jc w:val="both"/>
        <w:rPr>
          <w:rFonts w:ascii="Verdana" w:eastAsia="Aptos" w:hAnsi="Verdana" w:cs="Arial"/>
          <w:lang w:val="es-ES"/>
        </w:rPr>
      </w:pPr>
      <w:r w:rsidRPr="006C1C39">
        <w:rPr>
          <w:rFonts w:ascii="Verdana" w:eastAsia="Aptos" w:hAnsi="Verdana" w:cs="Arial"/>
          <w:lang w:val="es-ES"/>
        </w:rPr>
        <w:t>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relacionados con la posibilidad de exigir experiencia adicional en determinados supuestos</w:t>
      </w:r>
      <w:r w:rsidRPr="006C1C39">
        <w:rPr>
          <w:rFonts w:ascii="Verdana" w:eastAsia="Aptos" w:hAnsi="Verdana" w:cs="Times New Roman"/>
          <w:sz w:val="24"/>
          <w:szCs w:val="24"/>
          <w:vertAlign w:val="superscript"/>
          <w:lang w:val="es-ES"/>
        </w:rPr>
        <w:footnoteReference w:id="4"/>
      </w:r>
      <w:r w:rsidRPr="006C1C39">
        <w:rPr>
          <w:rFonts w:ascii="Verdana" w:eastAsia="Aptos" w:hAnsi="Verdana" w:cs="Arial"/>
          <w:lang w:val="es-ES"/>
        </w:rPr>
        <w:t>.</w:t>
      </w:r>
    </w:p>
    <w:p w14:paraId="21EACF31" w14:textId="77777777" w:rsidR="00FE2344" w:rsidRDefault="00FE2344" w:rsidP="00FE2344">
      <w:pPr>
        <w:spacing w:after="0" w:line="276" w:lineRule="auto"/>
        <w:ind w:firstLine="709"/>
        <w:jc w:val="both"/>
        <w:rPr>
          <w:rFonts w:ascii="Verdana" w:eastAsia="Aptos" w:hAnsi="Verdana" w:cs="Arial"/>
          <w:lang w:val="es-ES"/>
        </w:rPr>
      </w:pPr>
    </w:p>
    <w:p w14:paraId="481B5CD9" w14:textId="77777777" w:rsidR="00FE2344" w:rsidRPr="00EC5368" w:rsidRDefault="00FE2344" w:rsidP="00FE2344">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Pr>
          <w:rFonts w:ascii="Verdana" w:eastAsia="Aptos" w:hAnsi="Verdana" w:cs="Arial"/>
          <w:lang w:val="es-ES"/>
        </w:rPr>
        <w:t>ii</w:t>
      </w:r>
      <w:proofErr w:type="spellEnd"/>
      <w:r>
        <w:rPr>
          <w:rFonts w:ascii="Verdana" w:eastAsia="Aptos" w:hAnsi="Verdana" w:cs="Arial"/>
          <w:lang w:val="es-ES"/>
        </w:rPr>
        <w:t xml:space="preserve">. </w:t>
      </w:r>
      <w:r>
        <w:rPr>
          <w:rFonts w:ascii="Verdana" w:eastAsia="Calibri" w:hAnsi="Verdana" w:cs="Arial"/>
          <w:lang w:val="es-MX"/>
        </w:rPr>
        <w:t>L</w:t>
      </w:r>
      <w:r w:rsidRPr="00EC5368">
        <w:rPr>
          <w:rFonts w:ascii="Verdana" w:eastAsia="Calibri" w:hAnsi="Verdana" w:cs="Arial"/>
          <w:lang w:val="es-MX"/>
        </w:rPr>
        <w:t>a</w:t>
      </w:r>
      <w:r w:rsidRPr="00EC5368">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5CC5C6B3" w14:textId="77777777" w:rsidR="00FE2344" w:rsidRPr="00EC5368" w:rsidRDefault="00FE2344" w:rsidP="00FE2344">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2"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w:t>
      </w:r>
      <w:r w:rsidRPr="418CF8A0">
        <w:rPr>
          <w:rFonts w:ascii="Verdana" w:eastAsia="Calibri" w:hAnsi="Verdana" w:cs="Arial"/>
          <w:color w:val="000000" w:themeColor="text1"/>
          <w:lang w:val="es-ES" w:eastAsia="es-ES" w:bidi="es-ES"/>
        </w:rPr>
        <w:lastRenderedPageBreak/>
        <w:t xml:space="preserve">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2"/>
      <w:r w:rsidRPr="418CF8A0">
        <w:rPr>
          <w:rFonts w:ascii="Verdana" w:eastAsia="Calibri" w:hAnsi="Verdana" w:cs="Arial"/>
          <w:color w:val="000000" w:themeColor="text1"/>
          <w:lang w:val="es-ES" w:eastAsia="es-ES" w:bidi="es-ES"/>
        </w:rPr>
        <w:t>Así, la doctrina considera que:</w:t>
      </w:r>
    </w:p>
    <w:p w14:paraId="2A64A103" w14:textId="77777777" w:rsidR="00FE2344" w:rsidRPr="00EC5368" w:rsidRDefault="00FE2344" w:rsidP="00FE2344">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7181BDB6" w14:textId="77777777" w:rsidR="00FE2344" w:rsidRPr="00A24EDB" w:rsidRDefault="00FE2344" w:rsidP="00FE2344">
      <w:pPr>
        <w:widowControl w:val="0"/>
        <w:autoSpaceDE w:val="0"/>
        <w:autoSpaceDN w:val="0"/>
        <w:spacing w:after="120" w:line="240" w:lineRule="auto"/>
        <w:ind w:left="709" w:right="709"/>
        <w:jc w:val="both"/>
        <w:rPr>
          <w:rFonts w:ascii="Verdana" w:eastAsia="Calibri" w:hAnsi="Verdana" w:cs="Arial"/>
          <w:color w:val="000000"/>
          <w:sz w:val="20"/>
          <w:szCs w:val="20"/>
          <w:lang w:val="es-ES_tradnl" w:eastAsia="es-ES" w:bidi="es-ES"/>
        </w:rPr>
      </w:pPr>
      <w:r w:rsidRPr="00A24EDB">
        <w:rPr>
          <w:rFonts w:ascii="Verdana" w:eastAsia="Calibri" w:hAnsi="Verdana" w:cs="Arial"/>
          <w:color w:val="000000"/>
          <w:sz w:val="20"/>
          <w:szCs w:val="20"/>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1957F637" w14:textId="77777777" w:rsidR="00FE2344" w:rsidRPr="00EC5368" w:rsidRDefault="00FE2344" w:rsidP="00FE2344">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A24EDB">
        <w:rPr>
          <w:rFonts w:ascii="Verdana" w:eastAsia="Calibri" w:hAnsi="Verdana" w:cs="Arial"/>
          <w:color w:val="000000"/>
          <w:sz w:val="20"/>
          <w:szCs w:val="20"/>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A24EDB">
        <w:rPr>
          <w:rFonts w:ascii="Verdana" w:eastAsia="Calibri" w:hAnsi="Verdana" w:cs="Arial"/>
          <w:color w:val="000000"/>
          <w:sz w:val="20"/>
          <w:szCs w:val="20"/>
          <w:vertAlign w:val="superscript"/>
          <w:lang w:val="es-ES_tradnl" w:eastAsia="es-ES" w:bidi="es-ES"/>
        </w:rPr>
        <w:footnoteReference w:id="5"/>
      </w:r>
      <w:r w:rsidRPr="00A24EDB">
        <w:rPr>
          <w:rFonts w:ascii="Verdana" w:eastAsia="Calibri" w:hAnsi="Verdana" w:cs="Arial"/>
          <w:color w:val="000000"/>
          <w:sz w:val="20"/>
          <w:szCs w:val="20"/>
          <w:lang w:val="es-ES_tradnl" w:eastAsia="es-ES" w:bidi="es-ES"/>
        </w:rPr>
        <w:t xml:space="preserve">. </w:t>
      </w:r>
      <w:r w:rsidRPr="00EC5368">
        <w:rPr>
          <w:rFonts w:ascii="Verdana" w:eastAsia="Calibri" w:hAnsi="Verdana" w:cs="Arial"/>
          <w:color w:val="000000"/>
          <w:sz w:val="21"/>
          <w:szCs w:val="21"/>
          <w:lang w:val="es-ES_tradnl" w:eastAsia="es-ES" w:bidi="es-ES"/>
        </w:rPr>
        <w:t xml:space="preserve"> </w:t>
      </w:r>
    </w:p>
    <w:p w14:paraId="5E8D62A3" w14:textId="77777777" w:rsidR="00FE2344" w:rsidRPr="006E15C6" w:rsidRDefault="00FE2344" w:rsidP="00FE2344">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710DEC11" w14:textId="77777777" w:rsidR="00FE2344" w:rsidRDefault="00FE2344" w:rsidP="00FE2344">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3"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4"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w:t>
      </w:r>
      <w:r w:rsidRPr="00EC5368">
        <w:rPr>
          <w:rFonts w:ascii="Verdana" w:eastAsia="Calibri" w:hAnsi="Verdana" w:cs="Arial"/>
          <w:color w:val="000000"/>
          <w:lang w:val="es-ES_tradnl" w:eastAsia="es-ES" w:bidi="es-ES"/>
        </w:rPr>
        <w:lastRenderedPageBreak/>
        <w:t xml:space="preserve">“Son contratos de obra los que celebren las entidades estatales para la </w:t>
      </w:r>
      <w:bookmarkStart w:id="5" w:name="_Hlk171668266"/>
      <w:r w:rsidRPr="00EC5368">
        <w:rPr>
          <w:rFonts w:ascii="Verdana" w:eastAsia="Calibri" w:hAnsi="Verdana" w:cs="Arial"/>
          <w:color w:val="000000"/>
          <w:lang w:val="es-ES_tradnl" w:eastAsia="es-ES" w:bidi="es-ES"/>
        </w:rPr>
        <w:t>construcción, mantenimiento, instalación</w:t>
      </w:r>
      <w:bookmarkEnd w:id="5"/>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6" w:name="_Hlk171667437"/>
      <w:r w:rsidRPr="00EC5368">
        <w:rPr>
          <w:rFonts w:ascii="Verdana" w:eastAsia="Calibri" w:hAnsi="Verdana" w:cs="Arial"/>
          <w:color w:val="000000"/>
          <w:lang w:val="es-ES_tradnl" w:eastAsia="es-ES" w:bidi="es-ES"/>
        </w:rPr>
        <w:t>cualquiera que sea la modalidad de ejecución y pago</w:t>
      </w:r>
      <w:bookmarkEnd w:id="6"/>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EC5368">
        <w:rPr>
          <w:rStyle w:val="Refdenotaalpie"/>
          <w:rFonts w:ascii="Verdana" w:eastAsia="Calibri" w:hAnsi="Verdana" w:cs="Arial"/>
          <w:color w:val="000000"/>
          <w:lang w:val="es-ES_tradnl" w:eastAsia="es-ES" w:bidi="es-ES"/>
        </w:rPr>
        <w:footnoteReference w:id="6"/>
      </w:r>
      <w:r w:rsidRPr="00EC5368">
        <w:rPr>
          <w:rFonts w:ascii="Verdana" w:eastAsia="Calibri" w:hAnsi="Verdana" w:cs="Arial"/>
          <w:color w:val="000000"/>
          <w:lang w:val="es-ES_tradnl" w:eastAsia="es-ES" w:bidi="es-ES"/>
        </w:rPr>
        <w:t xml:space="preserve">. </w:t>
      </w:r>
    </w:p>
    <w:p w14:paraId="3E2634BF" w14:textId="77777777" w:rsidR="00FE2344" w:rsidRPr="00EC5368" w:rsidRDefault="00FE2344" w:rsidP="00FE2344">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3"/>
      <w:bookmarkEnd w:id="4"/>
      <w:r w:rsidRPr="00EC5368">
        <w:rPr>
          <w:rFonts w:ascii="Verdana" w:eastAsia="Calibri" w:hAnsi="Verdana" w:cs="Arial"/>
          <w:color w:val="000000"/>
          <w:vertAlign w:val="superscript"/>
          <w:lang w:val="es-ES_tradnl" w:eastAsia="es-ES" w:bidi="es-ES"/>
        </w:rPr>
        <w:footnoteReference w:id="7"/>
      </w:r>
      <w:r w:rsidRPr="00EC5368">
        <w:rPr>
          <w:rFonts w:ascii="Verdana" w:eastAsia="Calibri" w:hAnsi="Verdana" w:cs="Arial"/>
          <w:color w:val="000000"/>
          <w:lang w:val="es-ES_tradnl" w:eastAsia="es-ES" w:bidi="es-ES"/>
        </w:rPr>
        <w:t>. De esta manera:</w:t>
      </w:r>
    </w:p>
    <w:p w14:paraId="5AC264DE" w14:textId="77777777" w:rsidR="00FE2344" w:rsidRPr="00EC5368" w:rsidRDefault="00FE2344" w:rsidP="00FE2344">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6EA47E8C" w14:textId="77777777" w:rsidR="00FE2344" w:rsidRPr="00A24EDB" w:rsidRDefault="00FE2344" w:rsidP="00FE2344">
      <w:pPr>
        <w:widowControl w:val="0"/>
        <w:autoSpaceDE w:val="0"/>
        <w:autoSpaceDN w:val="0"/>
        <w:spacing w:line="240" w:lineRule="auto"/>
        <w:ind w:left="709" w:right="709"/>
        <w:jc w:val="both"/>
        <w:rPr>
          <w:rFonts w:ascii="Verdana" w:eastAsia="Calibri" w:hAnsi="Verdana" w:cs="Arial"/>
          <w:color w:val="000000"/>
          <w:sz w:val="20"/>
          <w:szCs w:val="20"/>
          <w:lang w:val="es-ES_tradnl" w:eastAsia="es-ES" w:bidi="es-ES"/>
        </w:rPr>
      </w:pPr>
      <w:r w:rsidRPr="00A24EDB">
        <w:rPr>
          <w:rFonts w:ascii="Verdana" w:eastAsia="Calibri" w:hAnsi="Verdana" w:cs="Arial"/>
          <w:color w:val="000000"/>
          <w:sz w:val="20"/>
          <w:szCs w:val="20"/>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3797C243" w14:textId="77777777" w:rsidR="00FE2344" w:rsidRPr="00EC5368" w:rsidRDefault="00FE2344" w:rsidP="00FE2344">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A24EDB">
        <w:rPr>
          <w:rFonts w:ascii="Verdana" w:eastAsia="Calibri" w:hAnsi="Verdana" w:cs="Arial"/>
          <w:color w:val="000000"/>
          <w:sz w:val="20"/>
          <w:szCs w:val="20"/>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A24EDB">
        <w:rPr>
          <w:rFonts w:ascii="Verdana" w:eastAsia="Calibri" w:hAnsi="Verdana" w:cs="Arial"/>
          <w:color w:val="000000"/>
          <w:sz w:val="20"/>
          <w:szCs w:val="20"/>
          <w:vertAlign w:val="superscript"/>
          <w:lang w:val="es-ES_tradnl" w:eastAsia="es-ES" w:bidi="es-ES"/>
        </w:rPr>
        <w:footnoteReference w:id="8"/>
      </w:r>
      <w:r w:rsidRPr="00A24EDB">
        <w:rPr>
          <w:rFonts w:ascii="Verdana" w:eastAsia="Calibri" w:hAnsi="Verdana" w:cs="Arial"/>
          <w:color w:val="000000"/>
          <w:sz w:val="20"/>
          <w:szCs w:val="20"/>
          <w:lang w:val="es-ES_tradnl" w:eastAsia="es-ES" w:bidi="es-ES"/>
        </w:rPr>
        <w:t>.</w:t>
      </w:r>
    </w:p>
    <w:p w14:paraId="5404527D" w14:textId="77777777" w:rsidR="00FE2344" w:rsidRPr="00EC5368" w:rsidRDefault="00FE2344" w:rsidP="00FE2344">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44DD708F" w14:textId="77777777" w:rsidR="00FE2344" w:rsidRDefault="00FE2344" w:rsidP="00FE2344">
      <w:pPr>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w:t>
      </w:r>
      <w:r w:rsidRPr="00EC5368">
        <w:rPr>
          <w:rFonts w:ascii="Verdana" w:eastAsia="Calibri" w:hAnsi="Verdana" w:cs="Arial"/>
          <w:color w:val="000000"/>
          <w:lang w:val="es-ES_tradnl" w:eastAsia="es-ES" w:bidi="es-ES"/>
        </w:rPr>
        <w:lastRenderedPageBreak/>
        <w:t>en su lugar debido. Igualmente, el concepto se extiende a cualquier trabajo material realizado sobre bienes inmuebles, tales como la reforma y la demolición.</w:t>
      </w:r>
    </w:p>
    <w:p w14:paraId="7E33EE0B" w14:textId="77777777" w:rsidR="00FE2344" w:rsidRDefault="00FE2344" w:rsidP="00FE2344">
      <w:pPr>
        <w:spacing w:after="0" w:line="276" w:lineRule="auto"/>
        <w:ind w:firstLine="708"/>
        <w:jc w:val="both"/>
        <w:rPr>
          <w:rFonts w:ascii="Verdana" w:eastAsia="Calibri" w:hAnsi="Verdana" w:cs="Arial"/>
          <w:color w:val="000000"/>
          <w:lang w:val="es-ES_tradnl" w:eastAsia="es-ES" w:bidi="es-ES"/>
        </w:rPr>
      </w:pPr>
    </w:p>
    <w:p w14:paraId="294022DE" w14:textId="77777777" w:rsidR="00FE2344" w:rsidRPr="00E931C6" w:rsidRDefault="00FE2344" w:rsidP="00FE2344">
      <w:pPr>
        <w:spacing w:after="0" w:line="276" w:lineRule="auto"/>
        <w:jc w:val="both"/>
        <w:rPr>
          <w:rFonts w:ascii="Verdana" w:hAnsi="Verdana" w:cs="Arial"/>
          <w:bCs/>
          <w:color w:val="000000"/>
          <w:lang w:val="es-ES_tradnl" w:eastAsia="es-MX"/>
        </w:rPr>
      </w:pPr>
      <w:proofErr w:type="spellStart"/>
      <w:r>
        <w:rPr>
          <w:rFonts w:ascii="Verdana" w:eastAsia="Calibri" w:hAnsi="Verdana" w:cs="Arial"/>
          <w:color w:val="000000"/>
          <w:lang w:val="es-ES_tradnl" w:eastAsia="es-ES" w:bidi="es-ES"/>
        </w:rPr>
        <w:t>iii</w:t>
      </w:r>
      <w:proofErr w:type="spellEnd"/>
      <w:r>
        <w:rPr>
          <w:rFonts w:ascii="Verdana" w:eastAsia="Calibri" w:hAnsi="Verdana" w:cs="Arial"/>
          <w:color w:val="000000"/>
          <w:lang w:val="es-ES_tradnl" w:eastAsia="es-ES" w:bidi="es-ES"/>
        </w:rPr>
        <w:t xml:space="preserve">. </w:t>
      </w:r>
      <w:r w:rsidRPr="00E931C6">
        <w:rPr>
          <w:rFonts w:ascii="Verdana" w:hAnsi="Verdana" w:cs="Arial"/>
          <w:bCs/>
          <w:color w:val="000000"/>
          <w:lang w:val="es-ES_tradnl" w:eastAsia="es-MX"/>
        </w:rPr>
        <w:t>Previo a la apertura de un procedimiento de licitación pública para la contratación de una obra pública, la entidad estatal debe contar con “los estudios y diseños que permitan establecer la viabilidad del proyecto y su impacto social, económico y ambiental”, como lo establece el artículo 25.12 de la Ley 80 de 1993, modificado por el artículo 87 de la Ley 1474 de 2011.</w:t>
      </w:r>
      <w:r w:rsidRPr="00E931C6">
        <w:rPr>
          <w:rFonts w:ascii="Verdana" w:hAnsi="Verdana" w:cs="Arial"/>
          <w:lang w:eastAsia="es-MX"/>
        </w:rPr>
        <w:t xml:space="preserve"> El referido artículo 87 dispone que, cuando el objeto de la contratación incluya la realización de una obra, previo a la apertura del proceso de selección, o a la firma del contrato, deberán elaborarse los estudios, diseños y proyectos requeridos que permitan establecer la viabilidad del proyecto y su impacto social, económico y ambiental.</w:t>
      </w:r>
      <w:r w:rsidRPr="00E931C6">
        <w:rPr>
          <w:rFonts w:ascii="Verdana" w:hAnsi="Verdana" w:cs="Arial"/>
          <w:bCs/>
          <w:color w:val="000000"/>
          <w:lang w:val="es-ES_tradnl" w:eastAsia="es-MX"/>
        </w:rPr>
        <w:t xml:space="preserve"> Por ello, la norma dispone lo siguiente:</w:t>
      </w:r>
    </w:p>
    <w:p w14:paraId="1C8676B1" w14:textId="77777777" w:rsidR="00FE2344" w:rsidRPr="00E931C6" w:rsidRDefault="00FE2344" w:rsidP="00FE2344">
      <w:pPr>
        <w:spacing w:after="0" w:line="276" w:lineRule="auto"/>
        <w:jc w:val="both"/>
        <w:rPr>
          <w:rFonts w:ascii="Verdana" w:hAnsi="Verdana" w:cs="Arial"/>
          <w:bCs/>
          <w:color w:val="000000"/>
          <w:lang w:val="es-ES_tradnl" w:eastAsia="es-MX"/>
        </w:rPr>
      </w:pPr>
    </w:p>
    <w:p w14:paraId="6D84282F" w14:textId="77777777" w:rsidR="00FE2344" w:rsidRPr="00A24EDB" w:rsidRDefault="00FE2344" w:rsidP="00FE2344">
      <w:pPr>
        <w:spacing w:after="120" w:line="240" w:lineRule="auto"/>
        <w:ind w:left="709" w:right="709"/>
        <w:jc w:val="both"/>
        <w:rPr>
          <w:rFonts w:ascii="Verdana" w:hAnsi="Verdana" w:cs="Arial"/>
          <w:sz w:val="20"/>
          <w:szCs w:val="20"/>
          <w:lang w:eastAsia="es-MX"/>
        </w:rPr>
      </w:pPr>
      <w:r w:rsidRPr="00A24EDB">
        <w:rPr>
          <w:rFonts w:ascii="Verdana" w:hAnsi="Verdana" w:cs="Arial"/>
          <w:sz w:val="20"/>
          <w:szCs w:val="20"/>
          <w:lang w:eastAsia="es-MX"/>
        </w:rPr>
        <w:t xml:space="preserve">“Artículo 87. Maduración de proyectos. El numeral 12 del artículo </w:t>
      </w:r>
      <w:hyperlink r:id="rId12" w:anchor="25">
        <w:r w:rsidRPr="00A24EDB">
          <w:rPr>
            <w:rFonts w:ascii="Verdana" w:hAnsi="Verdana" w:cs="Arial"/>
            <w:sz w:val="20"/>
            <w:szCs w:val="20"/>
            <w:lang w:eastAsia="es-MX"/>
          </w:rPr>
          <w:t xml:space="preserve">25 </w:t>
        </w:r>
      </w:hyperlink>
      <w:r w:rsidRPr="00A24EDB">
        <w:rPr>
          <w:rFonts w:ascii="Verdana" w:hAnsi="Verdana" w:cs="Arial"/>
          <w:sz w:val="20"/>
          <w:szCs w:val="20"/>
          <w:lang w:eastAsia="es-MX"/>
        </w:rPr>
        <w:t>de la Ley 80 de 1993 quedará así:</w:t>
      </w:r>
    </w:p>
    <w:p w14:paraId="020682A6" w14:textId="77777777" w:rsidR="00FE2344" w:rsidRPr="00A24EDB" w:rsidRDefault="00FE2344" w:rsidP="00FE2344">
      <w:pPr>
        <w:spacing w:after="120" w:line="240" w:lineRule="auto"/>
        <w:ind w:left="709" w:right="709"/>
        <w:jc w:val="both"/>
        <w:rPr>
          <w:rFonts w:ascii="Verdana" w:hAnsi="Verdana" w:cs="Arial"/>
          <w:sz w:val="20"/>
          <w:szCs w:val="20"/>
          <w:lang w:eastAsia="es-MX"/>
        </w:rPr>
      </w:pPr>
      <w:r w:rsidRPr="00A24EDB">
        <w:rPr>
          <w:rFonts w:ascii="Verdana" w:hAnsi="Verdana" w:cs="Arial"/>
          <w:sz w:val="20"/>
          <w:szCs w:val="20"/>
          <w:lang w:eastAsia="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ECEB940" w14:textId="77777777" w:rsidR="00FE2344" w:rsidRPr="00E931C6" w:rsidRDefault="00FE2344" w:rsidP="00FE2344">
      <w:pPr>
        <w:spacing w:after="0" w:line="240" w:lineRule="auto"/>
        <w:ind w:left="709" w:right="709"/>
        <w:jc w:val="both"/>
        <w:rPr>
          <w:rFonts w:ascii="Verdana" w:hAnsi="Verdana" w:cs="Arial"/>
          <w:sz w:val="21"/>
          <w:szCs w:val="21"/>
          <w:lang w:eastAsia="es-MX"/>
        </w:rPr>
      </w:pPr>
      <w:r w:rsidRPr="00A24EDB">
        <w:rPr>
          <w:rFonts w:ascii="Verdana" w:hAnsi="Verdana" w:cs="Arial"/>
          <w:sz w:val="20"/>
          <w:szCs w:val="20"/>
          <w:lang w:eastAsia="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r>
        <w:rPr>
          <w:rFonts w:ascii="Verdana" w:hAnsi="Verdana" w:cs="Arial"/>
          <w:sz w:val="21"/>
          <w:szCs w:val="21"/>
          <w:lang w:eastAsia="es-MX"/>
        </w:rPr>
        <w:t xml:space="preserve"> </w:t>
      </w:r>
    </w:p>
    <w:p w14:paraId="6BA5A6C3" w14:textId="77777777" w:rsidR="00FE2344" w:rsidRPr="00E931C6" w:rsidRDefault="00FE2344" w:rsidP="00FE2344">
      <w:pPr>
        <w:widowControl w:val="0"/>
        <w:autoSpaceDE w:val="0"/>
        <w:autoSpaceDN w:val="0"/>
        <w:spacing w:before="5" w:after="0" w:line="276" w:lineRule="auto"/>
        <w:rPr>
          <w:rFonts w:ascii="Verdana" w:eastAsia="Arial" w:hAnsi="Verdana" w:cs="Arial"/>
          <w:lang w:val="es-ES"/>
        </w:rPr>
      </w:pPr>
    </w:p>
    <w:p w14:paraId="4CFB87DE" w14:textId="77777777" w:rsidR="00FE2344" w:rsidRPr="00E931C6" w:rsidRDefault="00FE2344" w:rsidP="00FE2344">
      <w:pPr>
        <w:widowControl w:val="0"/>
        <w:autoSpaceDE w:val="0"/>
        <w:autoSpaceDN w:val="0"/>
        <w:spacing w:after="120" w:line="276" w:lineRule="auto"/>
        <w:ind w:firstLine="708"/>
        <w:jc w:val="both"/>
        <w:rPr>
          <w:rFonts w:ascii="Verdana" w:eastAsia="Arial" w:hAnsi="Verdana" w:cs="Arial"/>
          <w:lang w:val="es-ES"/>
        </w:rPr>
      </w:pPr>
      <w:r w:rsidRPr="00E931C6">
        <w:rPr>
          <w:rFonts w:ascii="Verdana" w:eastAsia="Arial" w:hAnsi="Verdana" w:cs="Arial"/>
          <w:lang w:val="es-ES"/>
        </w:rPr>
        <w:t xml:space="preserve">De acuerdo con esta disposición, para adelantar el procedimiento de selección para ejecutar una obra pública, se requerirá que al menos consten los estudios de viabilidad del proyecto. No obstante, no se impide que en un mismo proceso de contratación se adelante de forma conjunta el proceso de construcción de la obra y la elaboración de los estudios y diseños que expliquen con mayor detalle las obras y estructuras que se requieran, de tal forma que un constructor pueda materializar el proyecto, pues solo se requiere que existan unos estudios de viabilidad. </w:t>
      </w:r>
    </w:p>
    <w:p w14:paraId="6898213E" w14:textId="77777777" w:rsidR="00FE2344" w:rsidRPr="00E931C6" w:rsidRDefault="00FE2344" w:rsidP="00FE2344">
      <w:pPr>
        <w:widowControl w:val="0"/>
        <w:autoSpaceDE w:val="0"/>
        <w:autoSpaceDN w:val="0"/>
        <w:spacing w:before="120" w:after="0" w:line="276" w:lineRule="auto"/>
        <w:ind w:firstLine="709"/>
        <w:jc w:val="both"/>
        <w:rPr>
          <w:rFonts w:ascii="Verdana" w:eastAsia="Arial" w:hAnsi="Verdana" w:cs="Arial"/>
          <w:bCs/>
          <w:color w:val="000000"/>
          <w:lang w:val="es-ES_tradnl"/>
        </w:rPr>
      </w:pPr>
      <w:r w:rsidRPr="00E931C6">
        <w:rPr>
          <w:rFonts w:ascii="Verdana" w:eastAsia="Arial" w:hAnsi="Verdana" w:cs="Arial"/>
          <w:bCs/>
          <w:color w:val="000000"/>
          <w:lang w:val="es-ES_tradnl"/>
        </w:rPr>
        <w:t xml:space="preserve">De hecho, tampoco fue la intención del legislador prohibir la celebración de estos contratos que incluyan los estudios, diseños y la construcción en un </w:t>
      </w:r>
      <w:r w:rsidRPr="00E931C6">
        <w:rPr>
          <w:rFonts w:ascii="Verdana" w:eastAsia="Arial" w:hAnsi="Verdana" w:cs="Arial"/>
          <w:bCs/>
          <w:color w:val="000000"/>
          <w:lang w:val="es-ES_tradnl"/>
        </w:rPr>
        <w:lastRenderedPageBreak/>
        <w:t xml:space="preserve">mismo objeto. En efecto, </w:t>
      </w:r>
      <w:r w:rsidRPr="00E931C6">
        <w:rPr>
          <w:rFonts w:ascii="Verdana" w:hAnsi="Verdana" w:cs="Arial"/>
          <w:lang w:val="es-MX"/>
        </w:rPr>
        <w:t xml:space="preserve">en el informe de ponencia para primer debate al proyecto de Ley No. 142 de 2010, </w:t>
      </w:r>
      <w:r w:rsidRPr="00E931C6">
        <w:rPr>
          <w:rFonts w:ascii="Verdana" w:hAnsi="Verdana" w:cs="Arial"/>
        </w:rPr>
        <w:t>“por la cual se dictan normas orientadas a fortalecer los mecanismos de prevención, investigación y sanción de actos de corrupción y la efectividad del control de la gestión pública”</w:t>
      </w:r>
      <w:r w:rsidRPr="00E931C6">
        <w:rPr>
          <w:rFonts w:ascii="Verdana" w:hAnsi="Verdana" w:cs="Arial"/>
          <w:lang w:val="es-MX"/>
        </w:rPr>
        <w:t xml:space="preserve">, se resaltó la importancia de adoptar medidas para evitar la improvisación de la contratación, exigiendo que para los contratos de obra se deben contar con estudios de ingeniería básica, sin perjuicio de los llamados contratos llave en mano: </w:t>
      </w:r>
    </w:p>
    <w:p w14:paraId="2F40404F" w14:textId="77777777" w:rsidR="00FE2344" w:rsidRPr="00E931C6" w:rsidRDefault="00FE2344" w:rsidP="00FE2344">
      <w:pPr>
        <w:widowControl w:val="0"/>
        <w:autoSpaceDE w:val="0"/>
        <w:autoSpaceDN w:val="0"/>
        <w:spacing w:after="0" w:line="276" w:lineRule="auto"/>
        <w:ind w:firstLine="709"/>
        <w:jc w:val="both"/>
        <w:rPr>
          <w:rFonts w:ascii="Verdana" w:hAnsi="Verdana" w:cs="Arial"/>
          <w:lang w:val="es-MX"/>
        </w:rPr>
      </w:pPr>
    </w:p>
    <w:p w14:paraId="4EEFE90B" w14:textId="77777777" w:rsidR="00FE2344" w:rsidRPr="00A24EDB" w:rsidRDefault="00FE2344" w:rsidP="00FE2344">
      <w:pPr>
        <w:spacing w:after="0" w:line="240" w:lineRule="auto"/>
        <w:ind w:left="709" w:right="709"/>
        <w:jc w:val="both"/>
        <w:rPr>
          <w:rFonts w:ascii="Verdana" w:hAnsi="Verdana" w:cs="Arial"/>
          <w:sz w:val="20"/>
          <w:szCs w:val="20"/>
          <w:highlight w:val="yellow"/>
          <w:lang w:eastAsia="es-MX"/>
        </w:rPr>
      </w:pPr>
      <w:r w:rsidRPr="00A24EDB">
        <w:rPr>
          <w:rFonts w:ascii="Verdana" w:hAnsi="Verdana" w:cs="Arial"/>
          <w:sz w:val="20"/>
          <w:szCs w:val="20"/>
          <w:lang w:eastAsia="es-MX"/>
        </w:rPr>
        <w:t>“C. Se toman medidas para evitar la improvisación en la contratación pública. El proyecto exige que para la celebración de contratos de obra o de concesión que involucren obras, se deba contar con estudios suficientes de ingeniería básica con el alcance que establezca el reglamento. Ello garantizará que se cuente de manera previa con los estudios, diseños y demás elementos de juicio que garanticen una correcta ejecución, para que no se malgasten los recursos públicos en proyectos inocuos</w:t>
      </w:r>
      <w:r w:rsidRPr="00A24EDB">
        <w:rPr>
          <w:rFonts w:ascii="Verdana" w:hAnsi="Verdana" w:cs="Arial"/>
          <w:i/>
          <w:iCs/>
          <w:sz w:val="20"/>
          <w:szCs w:val="20"/>
          <w:lang w:eastAsia="es-MX"/>
        </w:rPr>
        <w:t>. Todo ello sin perjuicio de los llamados contratos ‘llave en mano’, esto es, aquellos que tengan por objeto la contratación integral de diseño y construcción,</w:t>
      </w:r>
      <w:r w:rsidRPr="00A24EDB">
        <w:rPr>
          <w:rFonts w:ascii="Verdana" w:hAnsi="Verdana" w:cs="Arial"/>
          <w:sz w:val="20"/>
          <w:szCs w:val="20"/>
          <w:lang w:eastAsia="es-MX"/>
        </w:rPr>
        <w:t xml:space="preserve"> en cuyo caso los estudios previos deberán ser suficientes para ese propósito”</w:t>
      </w:r>
      <w:r w:rsidRPr="00A24EDB">
        <w:rPr>
          <w:rStyle w:val="Refdenotaalpie"/>
          <w:rFonts w:ascii="Verdana" w:hAnsi="Verdana" w:cs="Arial"/>
          <w:sz w:val="20"/>
          <w:szCs w:val="20"/>
          <w:lang w:eastAsia="es-MX"/>
        </w:rPr>
        <w:footnoteReference w:id="9"/>
      </w:r>
      <w:r w:rsidRPr="00A24EDB">
        <w:rPr>
          <w:rFonts w:ascii="Verdana" w:hAnsi="Verdana" w:cs="Arial"/>
          <w:sz w:val="20"/>
          <w:szCs w:val="20"/>
          <w:lang w:eastAsia="es-MX"/>
        </w:rPr>
        <w:t>. (Énfasis fuera del texto)</w:t>
      </w:r>
    </w:p>
    <w:p w14:paraId="64CC3CBC" w14:textId="77777777" w:rsidR="00FE2344" w:rsidRPr="00E931C6" w:rsidRDefault="00FE2344" w:rsidP="00FE2344">
      <w:pPr>
        <w:spacing w:after="0" w:line="276" w:lineRule="auto"/>
        <w:ind w:left="709" w:right="709"/>
        <w:jc w:val="both"/>
        <w:rPr>
          <w:rFonts w:ascii="Verdana" w:hAnsi="Verdana" w:cs="Arial"/>
          <w:lang w:eastAsia="es-MX"/>
        </w:rPr>
      </w:pPr>
    </w:p>
    <w:p w14:paraId="0A42EE2A" w14:textId="77777777" w:rsidR="00FE2344" w:rsidRPr="00E931C6" w:rsidRDefault="00FE2344" w:rsidP="00FE2344">
      <w:pPr>
        <w:widowControl w:val="0"/>
        <w:autoSpaceDE w:val="0"/>
        <w:autoSpaceDN w:val="0"/>
        <w:spacing w:line="276" w:lineRule="auto"/>
        <w:ind w:firstLine="709"/>
        <w:jc w:val="both"/>
        <w:rPr>
          <w:rFonts w:ascii="Verdana" w:hAnsi="Verdana" w:cs="Arial"/>
        </w:rPr>
      </w:pPr>
      <w:r w:rsidRPr="00E931C6">
        <w:rPr>
          <w:rFonts w:ascii="Verdana" w:hAnsi="Verdana" w:cs="Arial"/>
        </w:rPr>
        <w:t>Lo expuesto se reflejó en el texto inicial del proyecto de ley, cuyo artículo 90 se refería expresamente a los contratos que contemplaran en un mismo objeto el diseño y la construcción</w:t>
      </w:r>
      <w:r w:rsidRPr="00E931C6">
        <w:rPr>
          <w:rStyle w:val="Refdenotaalpie"/>
          <w:rFonts w:ascii="Verdana" w:hAnsi="Verdana" w:cs="Arial"/>
        </w:rPr>
        <w:footnoteReference w:id="10"/>
      </w:r>
      <w:r w:rsidRPr="00E931C6">
        <w:rPr>
          <w:rFonts w:ascii="Verdana" w:hAnsi="Verdana" w:cs="Arial"/>
        </w:rPr>
        <w:t>. Aunque la redacción del texto sufrió varias modificaciones a lo largo del trámite legislativo y su contenido inicial no es igual al contemplado en el artículo 87 de la Ley 1474 de 2011, la motivación de esta norma no cambió, pues su finalidad es evitar la improvisación en los contratos de obra y no la prohibición de celebrar contratos con objeto de diseños y construcción. Es por ello que se exige que estos tengan unos estudios suficientes que permitan determinar la viabilidad del proyecto.</w:t>
      </w:r>
    </w:p>
    <w:p w14:paraId="44B76A05" w14:textId="77777777" w:rsidR="00FE2344" w:rsidRPr="00E931C6" w:rsidRDefault="00FE2344" w:rsidP="00FE2344">
      <w:pPr>
        <w:widowControl w:val="0"/>
        <w:autoSpaceDE w:val="0"/>
        <w:autoSpaceDN w:val="0"/>
        <w:spacing w:before="120" w:line="276" w:lineRule="auto"/>
        <w:ind w:firstLine="709"/>
        <w:jc w:val="both"/>
        <w:rPr>
          <w:rFonts w:ascii="Verdana" w:hAnsi="Verdana" w:cs="Arial"/>
          <w:sz w:val="19"/>
          <w:szCs w:val="19"/>
        </w:rPr>
      </w:pPr>
      <w:r w:rsidRPr="00E931C6">
        <w:rPr>
          <w:rFonts w:ascii="Verdana" w:hAnsi="Verdana" w:cs="Arial"/>
        </w:rPr>
        <w:lastRenderedPageBreak/>
        <w:t xml:space="preserve"> Inclusive de la misma redacción del artículo 87 de la Ley 1474 de 2011 puede concluirse que es posible la celebración de estos contratos. De hecho, el inciso final de esta norma dispone que </w:t>
      </w:r>
      <w:r w:rsidRPr="00E931C6">
        <w:rPr>
          <w:rFonts w:ascii="Verdana" w:eastAsia="Arial" w:hAnsi="Verdana" w:cs="Arial"/>
          <w:lang w:val="es-ES"/>
        </w:rPr>
        <w:t>“</w:t>
      </w:r>
      <w:r w:rsidRPr="00E931C6">
        <w:rPr>
          <w:rFonts w:ascii="Verdana" w:hAnsi="Verdana" w:cs="Arial"/>
        </w:rPr>
        <w:t xml:space="preserve">Esta condición será aplicable incluso para los contratos que incluyan </w:t>
      </w:r>
      <w:r w:rsidRPr="00E931C6">
        <w:rPr>
          <w:rFonts w:ascii="Verdana" w:hAnsi="Verdana" w:cs="Arial"/>
          <w:i/>
          <w:iCs/>
        </w:rPr>
        <w:t>dentro del objeto el diseño</w:t>
      </w:r>
      <w:r w:rsidRPr="00E931C6">
        <w:rPr>
          <w:rFonts w:ascii="Verdana" w:hAnsi="Verdana" w:cs="Arial"/>
        </w:rPr>
        <w:t xml:space="preserve">” (Énfasis fuera del texto). De lo anterior puede interpretarse que al citar la frase </w:t>
      </w:r>
      <w:r w:rsidRPr="00E931C6">
        <w:rPr>
          <w:rFonts w:ascii="Verdana" w:eastAsia="Arial" w:hAnsi="Verdana" w:cs="Arial"/>
          <w:lang w:val="es-ES"/>
        </w:rPr>
        <w:t>“</w:t>
      </w:r>
      <w:r w:rsidRPr="00E931C6">
        <w:rPr>
          <w:rFonts w:ascii="Verdana" w:hAnsi="Verdana" w:cs="Arial"/>
        </w:rPr>
        <w:t xml:space="preserve">dentro del objeto”, se refiere al contrato de obra, es decir, cuando se celebren contratos de obra y de diseño en un mismo objeto, de manera que, la exigencia de contar con la viabilidad del proyecto  puede extenderse a estos contratos. </w:t>
      </w:r>
    </w:p>
    <w:p w14:paraId="4B6B1476" w14:textId="77777777" w:rsidR="00FE2344" w:rsidRPr="00E931C6" w:rsidRDefault="00FE2344" w:rsidP="00FE2344">
      <w:pPr>
        <w:widowControl w:val="0"/>
        <w:autoSpaceDE w:val="0"/>
        <w:autoSpaceDN w:val="0"/>
        <w:spacing w:before="120" w:line="276" w:lineRule="auto"/>
        <w:jc w:val="both"/>
        <w:rPr>
          <w:rFonts w:ascii="Verdana" w:eastAsia="Arial" w:hAnsi="Verdana" w:cs="Arial"/>
          <w:bCs/>
          <w:color w:val="000000"/>
          <w:lang w:val="es-ES_tradnl"/>
        </w:rPr>
      </w:pPr>
      <w:r w:rsidRPr="00E931C6">
        <w:rPr>
          <w:rFonts w:ascii="Verdana" w:eastAsia="Arial" w:hAnsi="Verdana" w:cs="Arial"/>
          <w:lang w:val="es-ES"/>
        </w:rPr>
        <w:tab/>
        <w:t>Lo anterior es coherente con lo previsto en el artículo 2.2.1.1.2.1.1 del Decreto 1082 de 2015, el cual señala que, dentro de los estudios previos, cuando el objeto de contratación incluye el diseño y construcción, se requieren los documentos técnicos del proyecto</w:t>
      </w:r>
      <w:r w:rsidRPr="00E931C6">
        <w:rPr>
          <w:rFonts w:ascii="Verdana" w:eastAsia="Arial" w:hAnsi="Verdana" w:cs="Arial"/>
          <w:vertAlign w:val="superscript"/>
          <w:lang w:val="es-ES"/>
        </w:rPr>
        <w:footnoteReference w:id="11"/>
      </w:r>
      <w:r w:rsidRPr="00E931C6">
        <w:rPr>
          <w:rFonts w:ascii="Verdana" w:eastAsia="Arial" w:hAnsi="Verdana" w:cs="Arial"/>
          <w:lang w:val="es-ES"/>
        </w:rPr>
        <w:t>. En este sentido, de</w:t>
      </w:r>
      <w:r w:rsidRPr="00E931C6">
        <w:rPr>
          <w:rFonts w:ascii="Verdana" w:eastAsia="Arial" w:hAnsi="Verdana" w:cs="Arial"/>
          <w:spacing w:val="47"/>
          <w:lang w:val="es-ES"/>
        </w:rPr>
        <w:t xml:space="preserve"> </w:t>
      </w:r>
      <w:r w:rsidRPr="00E931C6">
        <w:rPr>
          <w:rFonts w:ascii="Verdana" w:eastAsia="Arial" w:hAnsi="Verdana" w:cs="Arial"/>
          <w:lang w:val="es-ES"/>
        </w:rPr>
        <w:t>forma expresa, se prevé la posibilidad de que en un mismo proceso de contratación se adelante la elaboración de los diseños y la construcción de una obra. En otras palabras, debe quedar claro que la consagración de la obligación contractual a cargo del contratista de obra de realizar los estudios y diseños para la obra pública constituye una de las formas en las que se satisface plenamente el deber legal de contar, de manera p</w:t>
      </w:r>
      <w:r w:rsidRPr="00E931C6">
        <w:rPr>
          <w:rFonts w:ascii="Verdana" w:eastAsia="Arial" w:hAnsi="Verdana" w:cs="Arial"/>
          <w:bCs/>
          <w:color w:val="000000"/>
          <w:lang w:val="es-ES"/>
        </w:rPr>
        <w:t>revia</w:t>
      </w:r>
      <w:r w:rsidRPr="00E931C6">
        <w:rPr>
          <w:rFonts w:ascii="Verdana" w:eastAsia="Arial" w:hAnsi="Verdana" w:cs="Arial"/>
          <w:bCs/>
          <w:color w:val="000000"/>
          <w:lang w:val="es-ES_tradnl"/>
        </w:rPr>
        <w:t xml:space="preserve"> a la apertura de un procedimiento de licitación pública para la contratación de una obra pública, con los estudios y diseños que permitan establecer la viabilidad del proyecto y su impacto social, económico y ambiental</w:t>
      </w:r>
      <w:r w:rsidRPr="00E931C6">
        <w:rPr>
          <w:rFonts w:ascii="Verdana" w:eastAsia="Arial" w:hAnsi="Verdana" w:cs="Arial"/>
          <w:bCs/>
          <w:color w:val="000000"/>
          <w:vertAlign w:val="superscript"/>
          <w:lang w:val="es-ES_tradnl"/>
        </w:rPr>
        <w:footnoteReference w:id="12"/>
      </w:r>
      <w:r w:rsidRPr="00E931C6">
        <w:rPr>
          <w:rFonts w:ascii="Verdana" w:eastAsia="Arial" w:hAnsi="Verdana" w:cs="Arial"/>
          <w:bCs/>
          <w:color w:val="000000"/>
          <w:lang w:val="es-ES_tradnl"/>
        </w:rPr>
        <w:t>.</w:t>
      </w:r>
    </w:p>
    <w:p w14:paraId="65FCDA1E" w14:textId="77777777" w:rsidR="00FE2344" w:rsidRPr="00E931C6" w:rsidRDefault="00FE2344" w:rsidP="00FE2344">
      <w:pPr>
        <w:widowControl w:val="0"/>
        <w:autoSpaceDE w:val="0"/>
        <w:autoSpaceDN w:val="0"/>
        <w:spacing w:before="120" w:line="276" w:lineRule="auto"/>
        <w:ind w:firstLine="709"/>
        <w:jc w:val="both"/>
        <w:rPr>
          <w:rFonts w:ascii="Verdana" w:eastAsia="Arial" w:hAnsi="Verdana" w:cs="Arial"/>
          <w:lang w:val="es-ES"/>
        </w:rPr>
      </w:pPr>
      <w:r w:rsidRPr="00E931C6">
        <w:rPr>
          <w:rFonts w:ascii="Verdana" w:eastAsia="Arial" w:hAnsi="Verdana" w:cs="Arial"/>
          <w:lang w:val="es-ES"/>
        </w:rPr>
        <w:t xml:space="preserve">Ahora bien, sobre la viabilidad del proyecto es importante subrayar que en materia de infraestructura de transporte en nuestro ordenamiento jurídico existen distintas fases para la elaboración y contratación de los estudios de viabilidad de un proyecto. En efecto, el artículo 12 de la Ley 1682 de 2013 define </w:t>
      </w:r>
      <w:r w:rsidRPr="00E931C6">
        <w:rPr>
          <w:rFonts w:ascii="Verdana" w:eastAsia="Arial" w:hAnsi="Verdana" w:cs="Arial"/>
          <w:lang w:val="es-ES"/>
        </w:rPr>
        <w:lastRenderedPageBreak/>
        <w:t xml:space="preserve">y clasifica los diversos estudios de ingeniería que se adelantan para la ejecución de los proyectos de infraestructura en: i) fase I – prefactibilidad, </w:t>
      </w:r>
      <w:proofErr w:type="spellStart"/>
      <w:r w:rsidRPr="00E931C6">
        <w:rPr>
          <w:rFonts w:ascii="Verdana" w:eastAsia="Arial" w:hAnsi="Verdana" w:cs="Arial"/>
          <w:lang w:val="es-ES"/>
        </w:rPr>
        <w:t>ii</w:t>
      </w:r>
      <w:proofErr w:type="spellEnd"/>
      <w:r w:rsidRPr="00E931C6">
        <w:rPr>
          <w:rFonts w:ascii="Verdana" w:eastAsia="Arial" w:hAnsi="Verdana" w:cs="Arial"/>
          <w:lang w:val="es-ES"/>
        </w:rPr>
        <w:t xml:space="preserve">) fase II –factibilidad y </w:t>
      </w:r>
      <w:proofErr w:type="spellStart"/>
      <w:r w:rsidRPr="00E931C6">
        <w:rPr>
          <w:rFonts w:ascii="Verdana" w:eastAsia="Arial" w:hAnsi="Verdana" w:cs="Arial"/>
          <w:lang w:val="es-ES"/>
        </w:rPr>
        <w:t>iii</w:t>
      </w:r>
      <w:proofErr w:type="spellEnd"/>
      <w:r w:rsidRPr="00E931C6">
        <w:rPr>
          <w:rFonts w:ascii="Verdana" w:eastAsia="Arial" w:hAnsi="Verdana" w:cs="Arial"/>
          <w:lang w:val="es-ES"/>
        </w:rPr>
        <w:t>) fase III – estudios y diseños</w:t>
      </w:r>
      <w:r w:rsidRPr="00E931C6">
        <w:rPr>
          <w:rFonts w:ascii="Verdana" w:eastAsia="Arial" w:hAnsi="Verdana" w:cs="Arial"/>
          <w:spacing w:val="-1"/>
          <w:lang w:val="es-ES"/>
        </w:rPr>
        <w:t xml:space="preserve"> </w:t>
      </w:r>
      <w:r w:rsidRPr="00E931C6">
        <w:rPr>
          <w:rFonts w:ascii="Verdana" w:eastAsia="Arial" w:hAnsi="Verdana" w:cs="Arial"/>
          <w:lang w:val="es-ES"/>
        </w:rPr>
        <w:t>definitivos.</w:t>
      </w:r>
    </w:p>
    <w:p w14:paraId="30489647" w14:textId="77777777" w:rsidR="00FE2344" w:rsidRPr="00E931C6" w:rsidRDefault="00FE2344" w:rsidP="00FE2344">
      <w:pPr>
        <w:widowControl w:val="0"/>
        <w:autoSpaceDE w:val="0"/>
        <w:autoSpaceDN w:val="0"/>
        <w:spacing w:before="120" w:after="120" w:line="276" w:lineRule="auto"/>
        <w:ind w:firstLine="709"/>
        <w:jc w:val="both"/>
        <w:rPr>
          <w:rFonts w:ascii="Verdana" w:eastAsia="Arial" w:hAnsi="Verdana" w:cs="Arial"/>
          <w:lang w:val="es-ES"/>
        </w:rPr>
      </w:pPr>
      <w:r w:rsidRPr="00E931C6">
        <w:rPr>
          <w:rFonts w:ascii="Verdana" w:eastAsia="Arial" w:hAnsi="Verdana" w:cs="Arial"/>
          <w:lang w:val="es-ES"/>
        </w:rPr>
        <w:t>En los estudios de “Fase 1. Prefactibilidad” se realiza el prediseño aproximado del proyecto, presentando alternativas y adelantando la evaluación económica preliminar recurriendo a costos obtenidos en proyectos con condiciones similares, utilizando modelos de simulación debidamente aprobados por las entidades solicitantes. En el estudio de “Fase 2. Factibilidad” debe diseñarse el proyecto y efectuar la evaluación económica final, y, además, tiene por finalidad establecer si el proyecto es factible para su ejecución, considerando todos los aspectos relacionados con el mismo. Finalmente, en el estudio de “Fase 3. Estudios y diseños definitivos” deben elaborarse los diseños detallados tanto geométrico como de todas las estructuras y obras que se requieran, de tal forma que un constructor pueda materializar el proyecto</w:t>
      </w:r>
      <w:r w:rsidRPr="00E931C6">
        <w:rPr>
          <w:rFonts w:ascii="Verdana" w:eastAsia="Arial" w:hAnsi="Verdana" w:cs="Arial"/>
          <w:vertAlign w:val="superscript"/>
          <w:lang w:val="es-ES"/>
        </w:rPr>
        <w:footnoteReference w:id="13"/>
      </w:r>
      <w:r w:rsidRPr="00E931C6">
        <w:rPr>
          <w:rFonts w:ascii="Verdana" w:eastAsia="Arial" w:hAnsi="Verdana" w:cs="Arial"/>
          <w:lang w:val="es-ES"/>
        </w:rPr>
        <w:t xml:space="preserve">. </w:t>
      </w:r>
    </w:p>
    <w:p w14:paraId="6BB9F26A" w14:textId="77777777" w:rsidR="00FE2344" w:rsidRPr="00E931C6" w:rsidRDefault="00FE2344" w:rsidP="00FE2344">
      <w:pPr>
        <w:widowControl w:val="0"/>
        <w:autoSpaceDE w:val="0"/>
        <w:autoSpaceDN w:val="0"/>
        <w:spacing w:before="120" w:after="120" w:line="276" w:lineRule="auto"/>
        <w:ind w:firstLine="709"/>
        <w:jc w:val="both"/>
        <w:rPr>
          <w:rFonts w:ascii="Verdana" w:eastAsia="Arial" w:hAnsi="Verdana" w:cs="Arial"/>
          <w:lang w:val="es-ES"/>
        </w:rPr>
      </w:pPr>
      <w:r w:rsidRPr="00E931C6">
        <w:rPr>
          <w:rFonts w:ascii="Verdana" w:eastAsia="Arial" w:hAnsi="Verdana" w:cs="Arial"/>
          <w:lang w:val="es-ES"/>
        </w:rPr>
        <w:t>Aunque no existen definiciones similares para otros tipos de infraestructura</w:t>
      </w:r>
      <w:r w:rsidRPr="00E931C6">
        <w:rPr>
          <w:rFonts w:ascii="Verdana" w:eastAsia="Calibri" w:hAnsi="Verdana" w:cs="Arial"/>
          <w:lang w:val="es-MX"/>
        </w:rPr>
        <w:t xml:space="preserve">, </w:t>
      </w:r>
      <w:r w:rsidRPr="00E931C6">
        <w:rPr>
          <w:rFonts w:ascii="Verdana" w:eastAsia="Arial" w:hAnsi="Verdana" w:cs="Arial"/>
          <w:lang w:val="es-ES"/>
        </w:rPr>
        <w:t xml:space="preserve">puede concluirse que, para adelantar el proceso de contratación, se requerirá contar con los estudios de prefactibilidad y factibilidad, porque es a </w:t>
      </w:r>
      <w:r w:rsidRPr="00E931C6">
        <w:rPr>
          <w:rFonts w:ascii="Verdana" w:eastAsia="Arial" w:hAnsi="Verdana" w:cs="Arial"/>
          <w:lang w:val="es-ES"/>
        </w:rPr>
        <w:lastRenderedPageBreak/>
        <w:t xml:space="preserve">través de estos que se verifica la viabilidad del proyecto. Debido a que los estudios de ingeniería en las fases descritas corresponden a aspectos técnicos propios del área de la ingeniera, podríamos concluir igualmente que, para verificar la viabilidad del proyecto de cualquier obra, la entidad deberá contar con los estudios de ingeniería correspondientes en las fases de prefactibilidad y factibilidad de acuerdo con las normas técnicas que regulan la materia. </w:t>
      </w:r>
    </w:p>
    <w:p w14:paraId="5795B76E" w14:textId="77777777" w:rsidR="00FE2344" w:rsidRPr="00E931C6" w:rsidRDefault="00FE2344" w:rsidP="00FE2344">
      <w:pPr>
        <w:spacing w:before="120" w:line="276" w:lineRule="auto"/>
        <w:ind w:firstLine="709"/>
        <w:jc w:val="both"/>
        <w:rPr>
          <w:rFonts w:ascii="Verdana" w:hAnsi="Verdana" w:cs="Arial"/>
          <w:color w:val="000000" w:themeColor="text1"/>
          <w:lang w:val="es-ES_tradnl"/>
        </w:rPr>
      </w:pPr>
      <w:r w:rsidRPr="00E931C6">
        <w:rPr>
          <w:rFonts w:ascii="Verdana" w:hAnsi="Verdana" w:cs="Arial"/>
          <w:color w:val="000000" w:themeColor="text1"/>
          <w:lang w:val="es-ES_tradnl"/>
        </w:rPr>
        <w:t xml:space="preserve">Al respecto, es necesario tener en cuenta que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en el artículo 29 </w:t>
      </w:r>
      <w:r w:rsidRPr="00E931C6">
        <w:rPr>
          <w:rFonts w:ascii="Verdana" w:hAnsi="Verdana" w:cs="Arial"/>
          <w:i/>
          <w:iCs/>
          <w:color w:val="000000" w:themeColor="text1"/>
          <w:lang w:val="es-ES_tradnl"/>
        </w:rPr>
        <w:t>ibidem</w:t>
      </w:r>
      <w:r w:rsidRPr="00E931C6">
        <w:rPr>
          <w:rFonts w:ascii="Verdana" w:hAnsi="Verdana" w:cs="Arial"/>
          <w:color w:val="000000" w:themeColor="text1"/>
          <w:lang w:val="es-ES_tradnl"/>
        </w:rPr>
        <w:t>, también prescribe que “Las palabras técnicas de toda ciencia o arte se tomarán en el sentido que les den los que profesan la misma ciencia o arte; a menos que aparezca claramente que se han formado en sentido diverso”.</w:t>
      </w:r>
    </w:p>
    <w:p w14:paraId="25AAD898" w14:textId="77777777" w:rsidR="00FE2344" w:rsidRPr="00E931C6" w:rsidRDefault="00FE2344" w:rsidP="00FE2344">
      <w:pPr>
        <w:spacing w:before="120" w:line="276" w:lineRule="auto"/>
        <w:ind w:firstLine="709"/>
        <w:jc w:val="both"/>
        <w:rPr>
          <w:rFonts w:ascii="Verdana" w:hAnsi="Verdana" w:cs="Arial"/>
          <w:color w:val="000000" w:themeColor="text1"/>
          <w:lang w:val="es-ES_tradnl"/>
        </w:rPr>
      </w:pPr>
      <w:r w:rsidRPr="00E931C6">
        <w:rPr>
          <w:rFonts w:ascii="Verdana" w:hAnsi="Verdana" w:cs="Arial"/>
          <w:color w:val="000000" w:themeColor="text1"/>
          <w:lang w:val="es-ES_tradnl"/>
        </w:rPr>
        <w:t xml:space="preserve">Conforme a lo anterior, las fases de prefactibilidad y factibilidad que permitan determinar la viabilidad de proyectos de obra deben entenderse siguiendo los significados técnicos atribuidos en esta materia. En todo caso, es claro que la entidad deberá contar con los estudios de ingeniería correspondientes que permitan determinar la viabilidad del proyecto, para efectos de adelantar el proceso licitatorio. </w:t>
      </w:r>
    </w:p>
    <w:p w14:paraId="26440CB2" w14:textId="77777777" w:rsidR="00FE2344" w:rsidRPr="00E931C6" w:rsidRDefault="00FE2344" w:rsidP="00FE2344">
      <w:pPr>
        <w:spacing w:before="120" w:line="276" w:lineRule="auto"/>
        <w:ind w:firstLine="709"/>
        <w:jc w:val="both"/>
        <w:rPr>
          <w:rFonts w:ascii="Verdana" w:hAnsi="Verdana" w:cs="Arial"/>
          <w:color w:val="000000" w:themeColor="text1"/>
          <w:lang w:val="es-ES_tradnl"/>
        </w:rPr>
      </w:pPr>
      <w:r w:rsidRPr="00E931C6">
        <w:rPr>
          <w:rFonts w:ascii="Verdana" w:hAnsi="Verdana" w:cs="Arial"/>
          <w:color w:val="000000" w:themeColor="text1"/>
          <w:lang w:val="es-ES_tradnl"/>
        </w:rPr>
        <w:t xml:space="preserve">Lo expuesto es congruente con </w:t>
      </w:r>
      <w:r w:rsidRPr="00E931C6">
        <w:rPr>
          <w:rFonts w:ascii="Verdana" w:hAnsi="Verdana" w:cs="Arial"/>
          <w:color w:val="000000" w:themeColor="text1"/>
          <w:lang w:val="es-ES"/>
        </w:rPr>
        <w:t xml:space="preserve">la “Guía para Proceso de Contratación de Obra Pública” expedida por la Agencia, en la cual se indica que </w:t>
      </w:r>
      <w:r w:rsidRPr="00E931C6">
        <w:rPr>
          <w:rFonts w:ascii="Verdana" w:hAnsi="Verdana" w:cs="Arial"/>
          <w:color w:val="000000" w:themeColor="text1"/>
          <w:lang w:val="es-ES_tradnl"/>
        </w:rPr>
        <w:t>“</w:t>
      </w:r>
      <w:r w:rsidRPr="00E931C6">
        <w:rPr>
          <w:rFonts w:ascii="Verdana" w:hAnsi="Verdana" w:cs="Arial"/>
          <w:color w:val="000000" w:themeColor="text1"/>
          <w:lang w:val="es-ES"/>
        </w:rPr>
        <w:t xml:space="preserve">las entidades estatales en la fase de planeación en procesos de contratación de obra pública debe </w:t>
      </w:r>
      <w:r w:rsidRPr="00E931C6">
        <w:rPr>
          <w:rFonts w:ascii="Verdana" w:hAnsi="Verdana" w:cs="Arial"/>
          <w:color w:val="000000" w:themeColor="text1"/>
        </w:rPr>
        <w:t>elaborar los estudios técnicos que son los análisis necesarios para establecer la viabilidad del proyecto en cuanto corresponde a (i) estudios de ingeniería, (</w:t>
      </w:r>
      <w:proofErr w:type="spellStart"/>
      <w:r w:rsidRPr="00E931C6">
        <w:rPr>
          <w:rFonts w:ascii="Verdana" w:hAnsi="Verdana" w:cs="Arial"/>
          <w:color w:val="000000" w:themeColor="text1"/>
        </w:rPr>
        <w:t>ii</w:t>
      </w:r>
      <w:proofErr w:type="spellEnd"/>
      <w:r w:rsidRPr="00E931C6">
        <w:rPr>
          <w:rFonts w:ascii="Verdana" w:hAnsi="Verdana" w:cs="Arial"/>
          <w:color w:val="000000" w:themeColor="text1"/>
        </w:rPr>
        <w:t>) aspectos presupuestales, (</w:t>
      </w:r>
      <w:proofErr w:type="spellStart"/>
      <w:r w:rsidRPr="00E931C6">
        <w:rPr>
          <w:rFonts w:ascii="Verdana" w:hAnsi="Verdana" w:cs="Arial"/>
          <w:color w:val="000000" w:themeColor="text1"/>
        </w:rPr>
        <w:t>iii</w:t>
      </w:r>
      <w:proofErr w:type="spellEnd"/>
      <w:r w:rsidRPr="00E931C6">
        <w:rPr>
          <w:rFonts w:ascii="Verdana" w:hAnsi="Verdana" w:cs="Arial"/>
          <w:color w:val="000000" w:themeColor="text1"/>
        </w:rPr>
        <w:t>) establecer el impacto social, económico y ambiental, (</w:t>
      </w:r>
      <w:proofErr w:type="spellStart"/>
      <w:r w:rsidRPr="00E931C6">
        <w:rPr>
          <w:rFonts w:ascii="Verdana" w:hAnsi="Verdana" w:cs="Arial"/>
          <w:color w:val="000000" w:themeColor="text1"/>
        </w:rPr>
        <w:t>iv</w:t>
      </w:r>
      <w:proofErr w:type="spellEnd"/>
      <w:r w:rsidRPr="00E931C6">
        <w:rPr>
          <w:rFonts w:ascii="Verdana" w:hAnsi="Verdana" w:cs="Arial"/>
          <w:color w:val="000000" w:themeColor="text1"/>
        </w:rPr>
        <w:t>) identificar los permisos, autorizaciones y licencias requeridas para la ejecución del proyecto y (v) proyectar la gestión predial</w:t>
      </w:r>
      <w:r w:rsidRPr="00E931C6">
        <w:rPr>
          <w:rFonts w:ascii="Verdana" w:hAnsi="Verdana" w:cs="Arial"/>
          <w:color w:val="000000" w:themeColor="text1"/>
          <w:lang w:val="es-ES_tradnl"/>
        </w:rPr>
        <w:t>”</w:t>
      </w:r>
      <w:r w:rsidRPr="00E931C6">
        <w:rPr>
          <w:rFonts w:ascii="Verdana" w:eastAsia="Calibri" w:hAnsi="Verdana" w:cs="Arial"/>
          <w:color w:val="000000"/>
          <w:vertAlign w:val="superscript"/>
          <w:lang w:val="es-ES" w:eastAsia="es-MX"/>
        </w:rPr>
        <w:footnoteReference w:id="14"/>
      </w:r>
      <w:r w:rsidRPr="00E931C6">
        <w:rPr>
          <w:rFonts w:ascii="Verdana" w:hAnsi="Verdana" w:cs="Arial"/>
          <w:color w:val="000000" w:themeColor="text1"/>
        </w:rPr>
        <w:t xml:space="preserve">. </w:t>
      </w:r>
    </w:p>
    <w:p w14:paraId="1BA7DB76" w14:textId="77777777" w:rsidR="00FE2344" w:rsidRPr="00E931C6" w:rsidRDefault="00FE2344" w:rsidP="00FE2344">
      <w:pPr>
        <w:spacing w:after="0" w:line="276" w:lineRule="auto"/>
        <w:ind w:firstLine="708"/>
        <w:jc w:val="both"/>
        <w:rPr>
          <w:rFonts w:ascii="Verdana" w:hAnsi="Verdana" w:cs="Arial"/>
          <w:lang w:eastAsia="es-MX"/>
        </w:rPr>
      </w:pPr>
      <w:r w:rsidRPr="00E931C6">
        <w:rPr>
          <w:rFonts w:ascii="Verdana" w:hAnsi="Verdana" w:cs="Arial"/>
          <w:bCs/>
          <w:color w:val="000000"/>
          <w:lang w:val="es-ES_tradnl" w:eastAsia="es-MX"/>
        </w:rPr>
        <w:t>Ahora bien, inclusive en el evento en que la entidad estatal ya cuente con estudios y diseños para la obra pública, siempre en cumplimiento del principio de planeación y con el fin de corroborar la “viabilidad</w:t>
      </w:r>
      <w:r w:rsidRPr="00E931C6">
        <w:rPr>
          <w:rFonts w:ascii="Verdana" w:hAnsi="Verdana" w:cs="Arial"/>
          <w:lang w:eastAsia="es-MX"/>
        </w:rPr>
        <w:t xml:space="preserve">” del proyecto, puede </w:t>
      </w:r>
      <w:r w:rsidRPr="00E931C6">
        <w:rPr>
          <w:rFonts w:ascii="Verdana" w:hAnsi="Verdana" w:cs="Arial"/>
          <w:lang w:eastAsia="es-MX"/>
        </w:rPr>
        <w:lastRenderedPageBreak/>
        <w:t xml:space="preserve">modificarlos o ajustarlos. Precisamente, en relación con este supuesto, la Sala de Consulta y Servicio Civil del Consejo de Estado considera que: </w:t>
      </w:r>
    </w:p>
    <w:p w14:paraId="119B0CB2" w14:textId="77777777" w:rsidR="00FE2344" w:rsidRPr="00E931C6" w:rsidRDefault="00FE2344" w:rsidP="00FE2344">
      <w:pPr>
        <w:spacing w:after="0" w:line="276" w:lineRule="auto"/>
        <w:ind w:firstLine="708"/>
        <w:jc w:val="both"/>
        <w:rPr>
          <w:rFonts w:ascii="Verdana" w:hAnsi="Verdana" w:cs="Arial"/>
          <w:lang w:eastAsia="es-MX"/>
        </w:rPr>
      </w:pPr>
    </w:p>
    <w:p w14:paraId="0442BF71" w14:textId="77777777" w:rsidR="00FE2344" w:rsidRPr="00A24EDB" w:rsidRDefault="00FE2344" w:rsidP="00FE2344">
      <w:pPr>
        <w:spacing w:line="240" w:lineRule="auto"/>
        <w:ind w:left="709" w:right="709"/>
        <w:jc w:val="both"/>
        <w:rPr>
          <w:rFonts w:ascii="Verdana" w:hAnsi="Verdana" w:cs="Arial"/>
          <w:sz w:val="20"/>
          <w:szCs w:val="20"/>
          <w:lang w:eastAsia="es-MX"/>
        </w:rPr>
      </w:pPr>
      <w:r w:rsidRPr="00A24EDB">
        <w:rPr>
          <w:rFonts w:ascii="Verdana" w:hAnsi="Verdana" w:cs="Arial"/>
          <w:sz w:val="20"/>
          <w:szCs w:val="20"/>
          <w:lang w:eastAsia="es-MX"/>
        </w:rPr>
        <w:t xml:space="preserve">“La contratación, entendida como un instrumento para alcanzar los fines estatales y satisfacer el interés público, </w:t>
      </w:r>
      <w:r w:rsidRPr="00A24EDB">
        <w:rPr>
          <w:rFonts w:ascii="Verdana" w:hAnsi="Verdana" w:cs="Arial"/>
          <w:i/>
          <w:sz w:val="20"/>
          <w:szCs w:val="20"/>
          <w:lang w:eastAsia="es-MX"/>
        </w:rPr>
        <w:t>hace que la administración se encuentre facultada para modificar los diseños y estudios previstos inicialmente para la ejecución de una obra pública, cuando éstos adolezcan de errores o sean insuficientes o inadecuados</w:t>
      </w:r>
      <w:r w:rsidRPr="00A24EDB">
        <w:rPr>
          <w:rFonts w:ascii="Verdana" w:hAnsi="Verdana" w:cs="Arial"/>
          <w:b/>
          <w:bCs/>
          <w:sz w:val="20"/>
          <w:szCs w:val="20"/>
          <w:lang w:eastAsia="es-MX"/>
        </w:rPr>
        <w:t>,</w:t>
      </w:r>
      <w:r w:rsidRPr="00A24EDB">
        <w:rPr>
          <w:rFonts w:ascii="Verdana" w:hAnsi="Verdana" w:cs="Arial"/>
          <w:sz w:val="20"/>
          <w:szCs w:val="20"/>
          <w:lang w:eastAsia="es-MX"/>
        </w:rPr>
        <w:t xml:space="preserve"> independientemente de la responsabilidad que ello pueda</w:t>
      </w:r>
      <w:r w:rsidRPr="00A24EDB">
        <w:rPr>
          <w:rFonts w:ascii="Verdana" w:hAnsi="Verdana" w:cs="Arial"/>
          <w:spacing w:val="-5"/>
          <w:sz w:val="20"/>
          <w:szCs w:val="20"/>
          <w:lang w:eastAsia="es-MX"/>
        </w:rPr>
        <w:t xml:space="preserve"> </w:t>
      </w:r>
      <w:r w:rsidRPr="00A24EDB">
        <w:rPr>
          <w:rFonts w:ascii="Verdana" w:hAnsi="Verdana" w:cs="Arial"/>
          <w:sz w:val="20"/>
          <w:szCs w:val="20"/>
          <w:lang w:eastAsia="es-MX"/>
        </w:rPr>
        <w:t xml:space="preserve">generar. </w:t>
      </w:r>
    </w:p>
    <w:p w14:paraId="0FB6FD10" w14:textId="77777777" w:rsidR="00FE2344" w:rsidRPr="00A24EDB" w:rsidRDefault="00FE2344" w:rsidP="00FE2344">
      <w:pPr>
        <w:spacing w:before="121" w:line="240" w:lineRule="auto"/>
        <w:ind w:left="709" w:right="709"/>
        <w:jc w:val="both"/>
        <w:rPr>
          <w:rFonts w:ascii="Verdana" w:hAnsi="Verdana" w:cs="Arial"/>
          <w:sz w:val="20"/>
          <w:szCs w:val="20"/>
          <w:lang w:eastAsia="es-MX"/>
        </w:rPr>
      </w:pPr>
      <w:r w:rsidRPr="00A24EDB">
        <w:rPr>
          <w:rFonts w:ascii="Verdana" w:hAnsi="Verdana" w:cs="Arial"/>
          <w:sz w:val="20"/>
          <w:szCs w:val="20"/>
          <w:lang w:eastAsia="es-MX"/>
        </w:rPr>
        <w:t>Por consiguiente, si para alcanzar el objeto contractual se hace necesario corregir errores de diseño o buscar soluciones técnicas alternativas frente a eventos no previstos</w:t>
      </w:r>
      <w:r w:rsidRPr="00A24EDB">
        <w:rPr>
          <w:rFonts w:ascii="Verdana" w:hAnsi="Verdana" w:cs="Arial"/>
          <w:b/>
          <w:sz w:val="20"/>
          <w:szCs w:val="20"/>
          <w:lang w:eastAsia="es-MX"/>
        </w:rPr>
        <w:t xml:space="preserve">, </w:t>
      </w:r>
      <w:r w:rsidRPr="00A24EDB">
        <w:rPr>
          <w:rFonts w:ascii="Verdana" w:hAnsi="Verdana" w:cs="Arial"/>
          <w:i/>
          <w:sz w:val="20"/>
          <w:szCs w:val="20"/>
          <w:lang w:eastAsia="es-MX"/>
        </w:rPr>
        <w:t xml:space="preserve">la administración está en la posibilidad, y en el deber jurídico, de adecuar los diseños y estudios, así ello implique la ejecución de una mayor cantidad de obra y el desarrollo de obras adicionales al objeto </w:t>
      </w:r>
      <w:r w:rsidRPr="00A24EDB">
        <w:rPr>
          <w:rFonts w:ascii="Verdana" w:hAnsi="Verdana" w:cs="Arial"/>
          <w:sz w:val="20"/>
          <w:szCs w:val="20"/>
          <w:lang w:eastAsia="es-MX"/>
        </w:rPr>
        <w:t>contractual, máxime si, como en el caso que nos ocupa, actuar de una manera distinta puede comprometer la estabilidad misma de los trabajos.</w:t>
      </w:r>
    </w:p>
    <w:p w14:paraId="7A170C53" w14:textId="77777777" w:rsidR="00FE2344" w:rsidRPr="00A24EDB" w:rsidRDefault="00FE2344" w:rsidP="00FE2344">
      <w:pPr>
        <w:spacing w:before="120" w:after="0" w:line="240" w:lineRule="auto"/>
        <w:ind w:left="709" w:right="709"/>
        <w:jc w:val="both"/>
        <w:rPr>
          <w:rFonts w:ascii="Verdana" w:hAnsi="Verdana" w:cs="Arial"/>
          <w:sz w:val="20"/>
          <w:szCs w:val="20"/>
          <w:lang w:eastAsia="es-MX"/>
        </w:rPr>
      </w:pPr>
      <w:r w:rsidRPr="00A24EDB">
        <w:rPr>
          <w:rFonts w:ascii="Verdana" w:hAnsi="Verdana" w:cs="Arial"/>
          <w:i/>
          <w:sz w:val="20"/>
          <w:szCs w:val="20"/>
          <w:lang w:eastAsia="es-MX"/>
        </w:rPr>
        <w:t xml:space="preserve">De lo anterior resulta claro que es un deber de la administración ordenar las modificaciones necesarias para responder por la buena ejecución </w:t>
      </w:r>
      <w:r w:rsidRPr="00A24EDB">
        <w:rPr>
          <w:rFonts w:ascii="Verdana" w:hAnsi="Verdana" w:cs="Arial"/>
          <w:sz w:val="20"/>
          <w:szCs w:val="20"/>
          <w:lang w:eastAsia="es-MX"/>
        </w:rPr>
        <w:t>de los trabajos y el logro del fin perseguido con la contratación; es un imperativo de su gestión, al cual no puede sustraerse so pena de incurrir en responsabilidad por omisión, pues iría en contra de lo previsto en el artículo 3º de la Ley 80 de 1993”</w:t>
      </w:r>
      <w:r w:rsidRPr="00A24EDB">
        <w:rPr>
          <w:rFonts w:ascii="Verdana" w:hAnsi="Verdana" w:cs="Arial"/>
          <w:sz w:val="20"/>
          <w:szCs w:val="20"/>
          <w:vertAlign w:val="superscript"/>
          <w:lang w:eastAsia="es-MX"/>
        </w:rPr>
        <w:footnoteReference w:id="15"/>
      </w:r>
      <w:r w:rsidRPr="00A24EDB">
        <w:rPr>
          <w:rFonts w:ascii="Verdana" w:hAnsi="Verdana" w:cs="Arial"/>
          <w:sz w:val="20"/>
          <w:szCs w:val="20"/>
          <w:lang w:eastAsia="es-MX"/>
        </w:rPr>
        <w:t xml:space="preserve">. </w:t>
      </w:r>
      <w:bookmarkStart w:id="7" w:name="_Hlk74906795"/>
      <w:r w:rsidRPr="00A24EDB">
        <w:rPr>
          <w:rFonts w:ascii="Verdana" w:hAnsi="Verdana" w:cs="Arial"/>
          <w:sz w:val="20"/>
          <w:szCs w:val="20"/>
          <w:lang w:eastAsia="es-MX"/>
        </w:rPr>
        <w:t>(Énfasis fuera del texto)</w:t>
      </w:r>
    </w:p>
    <w:bookmarkEnd w:id="7"/>
    <w:p w14:paraId="6140D139" w14:textId="77777777" w:rsidR="00FE2344" w:rsidRPr="00E931C6" w:rsidRDefault="00FE2344" w:rsidP="00FE2344">
      <w:pPr>
        <w:widowControl w:val="0"/>
        <w:autoSpaceDE w:val="0"/>
        <w:autoSpaceDN w:val="0"/>
        <w:spacing w:after="0"/>
        <w:rPr>
          <w:rFonts w:ascii="Verdana" w:eastAsia="Arial" w:hAnsi="Verdana" w:cs="Arial"/>
          <w:lang w:val="es-ES"/>
        </w:rPr>
      </w:pPr>
    </w:p>
    <w:p w14:paraId="0EA76854" w14:textId="77777777" w:rsidR="00FE2344" w:rsidRPr="00E931C6" w:rsidRDefault="00FE2344" w:rsidP="00FE2344">
      <w:pPr>
        <w:widowControl w:val="0"/>
        <w:autoSpaceDE w:val="0"/>
        <w:autoSpaceDN w:val="0"/>
        <w:spacing w:after="0" w:line="276" w:lineRule="auto"/>
        <w:ind w:firstLine="709"/>
        <w:jc w:val="both"/>
        <w:rPr>
          <w:rFonts w:ascii="Verdana" w:eastAsia="Arial" w:hAnsi="Verdana" w:cs="Arial"/>
          <w:lang w:val="es-ES"/>
        </w:rPr>
      </w:pPr>
      <w:r w:rsidRPr="00E931C6">
        <w:rPr>
          <w:rFonts w:ascii="Verdana" w:eastAsia="Arial" w:hAnsi="Verdana" w:cs="Arial"/>
          <w:lang w:val="es-ES"/>
        </w:rPr>
        <w:t>Dicho lo anterior, es un deber jurídico de la entidad estatal adecuar los diseños y estudios, cuando sea necesario, con el fin de procurar que la ejecución de la obra cumpla con las finalidades previstas. En este sentido, se corrobora que el alcance del objeto del contrato de obra pública permitiría que una de las obligaciones del contratista sea ajustar, revisar y/o modificar los estudios con que cuenta la entidad pública contratante. En el mismo sentido, la doctrina considera lo siguiente:</w:t>
      </w:r>
    </w:p>
    <w:p w14:paraId="475A1237" w14:textId="77777777" w:rsidR="00FE2344" w:rsidRPr="00E931C6" w:rsidRDefault="00FE2344" w:rsidP="00FE2344">
      <w:pPr>
        <w:widowControl w:val="0"/>
        <w:autoSpaceDE w:val="0"/>
        <w:autoSpaceDN w:val="0"/>
        <w:spacing w:after="0" w:line="276" w:lineRule="auto"/>
        <w:ind w:firstLine="709"/>
        <w:jc w:val="both"/>
        <w:rPr>
          <w:rFonts w:ascii="Verdana" w:eastAsia="Arial" w:hAnsi="Verdana" w:cs="Arial"/>
          <w:sz w:val="20"/>
          <w:szCs w:val="20"/>
          <w:lang w:val="es-ES"/>
        </w:rPr>
      </w:pPr>
    </w:p>
    <w:p w14:paraId="6579AE8E" w14:textId="77777777" w:rsidR="00FE2344" w:rsidRPr="00A24EDB" w:rsidRDefault="00FE2344" w:rsidP="00FE2344">
      <w:pPr>
        <w:spacing w:after="0" w:line="240" w:lineRule="auto"/>
        <w:ind w:left="709" w:right="709"/>
        <w:jc w:val="both"/>
        <w:rPr>
          <w:rFonts w:ascii="Verdana" w:hAnsi="Verdana" w:cs="Arial"/>
          <w:sz w:val="20"/>
          <w:szCs w:val="20"/>
          <w:lang w:eastAsia="es-MX"/>
        </w:rPr>
      </w:pPr>
      <w:r w:rsidRPr="00A24EDB">
        <w:rPr>
          <w:rFonts w:ascii="Verdana" w:hAnsi="Verdana" w:cs="Arial"/>
          <w:sz w:val="20"/>
          <w:szCs w:val="20"/>
          <w:lang w:eastAsia="es-MX"/>
        </w:rPr>
        <w:t xml:space="preserve">“A menos de que el contrato se ordene, el constructor no está obligado a revisar ni a completar los diseños constitutivos del proyecto, porque el diseño y la construcción son actividades especializadas. </w:t>
      </w:r>
      <w:r w:rsidRPr="00A24EDB">
        <w:rPr>
          <w:rFonts w:ascii="Verdana" w:hAnsi="Verdana" w:cs="Arial"/>
          <w:i/>
          <w:sz w:val="20"/>
          <w:szCs w:val="20"/>
          <w:lang w:eastAsia="es-MX"/>
        </w:rPr>
        <w:t xml:space="preserve">Pero en ocasiones el constructor es llamado a verificar y al complementar los diseños, e incluso adoptarlos como suyos. Entonces el dueño le traslada verdaderas </w:t>
      </w:r>
      <w:r w:rsidRPr="00A24EDB">
        <w:rPr>
          <w:rFonts w:ascii="Verdana" w:hAnsi="Verdana" w:cs="Arial"/>
          <w:i/>
          <w:sz w:val="20"/>
          <w:szCs w:val="20"/>
          <w:lang w:eastAsia="es-MX"/>
        </w:rPr>
        <w:lastRenderedPageBreak/>
        <w:t xml:space="preserve">obligaciones profesionales tocantes con la concepción misma del proyecto cuya ejecución le ha confiado </w:t>
      </w:r>
      <w:r w:rsidRPr="00A24EDB">
        <w:rPr>
          <w:rFonts w:ascii="Verdana" w:hAnsi="Verdana" w:cs="Arial"/>
          <w:sz w:val="20"/>
          <w:szCs w:val="20"/>
          <w:lang w:eastAsia="es-MX"/>
        </w:rPr>
        <w:t>[…]”</w:t>
      </w:r>
      <w:r w:rsidRPr="00A24EDB">
        <w:rPr>
          <w:rFonts w:ascii="Verdana" w:hAnsi="Verdana" w:cs="Arial"/>
          <w:sz w:val="20"/>
          <w:szCs w:val="20"/>
          <w:vertAlign w:val="superscript"/>
          <w:lang w:eastAsia="es-MX"/>
        </w:rPr>
        <w:footnoteReference w:id="16"/>
      </w:r>
      <w:r w:rsidRPr="00A24EDB">
        <w:rPr>
          <w:rFonts w:ascii="Verdana" w:hAnsi="Verdana" w:cs="Arial"/>
          <w:sz w:val="20"/>
          <w:szCs w:val="20"/>
          <w:lang w:eastAsia="es-MX"/>
        </w:rPr>
        <w:t>. (Énfasis fuera de</w:t>
      </w:r>
      <w:r w:rsidRPr="00A24EDB">
        <w:rPr>
          <w:rFonts w:ascii="Verdana" w:hAnsi="Verdana" w:cs="Arial"/>
          <w:spacing w:val="-10"/>
          <w:sz w:val="20"/>
          <w:szCs w:val="20"/>
          <w:lang w:eastAsia="es-MX"/>
        </w:rPr>
        <w:t xml:space="preserve"> </w:t>
      </w:r>
      <w:r w:rsidRPr="00A24EDB">
        <w:rPr>
          <w:rFonts w:ascii="Verdana" w:hAnsi="Verdana" w:cs="Arial"/>
          <w:sz w:val="20"/>
          <w:szCs w:val="20"/>
          <w:lang w:eastAsia="es-MX"/>
        </w:rPr>
        <w:t>texto)</w:t>
      </w:r>
    </w:p>
    <w:p w14:paraId="082A70FB" w14:textId="77777777" w:rsidR="00FE2344" w:rsidRPr="00E931C6" w:rsidRDefault="00FE2344" w:rsidP="00FE2344">
      <w:pPr>
        <w:spacing w:after="0" w:line="276" w:lineRule="auto"/>
        <w:ind w:left="709" w:right="709"/>
        <w:jc w:val="both"/>
        <w:rPr>
          <w:rFonts w:ascii="Verdana" w:hAnsi="Verdana" w:cs="Arial"/>
          <w:sz w:val="21"/>
          <w:lang w:eastAsia="es-MX"/>
        </w:rPr>
      </w:pPr>
    </w:p>
    <w:p w14:paraId="5F3CF62B" w14:textId="77777777" w:rsidR="00FE2344" w:rsidRPr="00E931C6" w:rsidRDefault="00FE2344" w:rsidP="00FE2344">
      <w:pPr>
        <w:spacing w:after="0" w:line="276" w:lineRule="auto"/>
        <w:ind w:firstLine="709"/>
        <w:jc w:val="both"/>
        <w:rPr>
          <w:rFonts w:ascii="Verdana" w:eastAsia="Calibri" w:hAnsi="Verdana" w:cs="Arial"/>
          <w:lang w:val="es-ES"/>
        </w:rPr>
      </w:pPr>
      <w:r w:rsidRPr="00E931C6">
        <w:rPr>
          <w:rFonts w:ascii="Verdana" w:eastAsia="Calibri" w:hAnsi="Verdana" w:cs="Arial"/>
          <w:lang w:val="es-MX"/>
        </w:rPr>
        <w:t xml:space="preserve">En síntesis, el numeral 12 del </w:t>
      </w:r>
      <w:r w:rsidRPr="00E931C6">
        <w:rPr>
          <w:rFonts w:ascii="Verdana" w:hAnsi="Verdana" w:cs="Arial"/>
          <w:bCs/>
          <w:color w:val="000000"/>
          <w:lang w:val="es-ES_tradnl" w:eastAsia="es-MX"/>
        </w:rPr>
        <w:t xml:space="preserve">del artículo 25 de la Ley 80 de 1993, modificado por el artículo 87 de la Ley 1474 de 2011, no prohíbe </w:t>
      </w:r>
      <w:r w:rsidRPr="00E931C6">
        <w:rPr>
          <w:rFonts w:ascii="Verdana" w:eastAsia="Calibri" w:hAnsi="Verdana" w:cs="Arial"/>
          <w:lang w:val="es-MX"/>
        </w:rPr>
        <w:t xml:space="preserve">la posibilidad de </w:t>
      </w:r>
      <w:r w:rsidRPr="00E931C6">
        <w:rPr>
          <w:rFonts w:ascii="Verdana" w:eastAsia="Calibri" w:hAnsi="Verdana" w:cs="Arial"/>
          <w:lang w:val="es-ES"/>
        </w:rPr>
        <w:t xml:space="preserve">que en un mismo proceso de contratación se adelante de forma conjunta la construcción de la obra y la elaboración de los estudios y diseños. Dicha norma exige que, previo a la </w:t>
      </w:r>
      <w:r w:rsidRPr="00E931C6">
        <w:rPr>
          <w:rFonts w:ascii="Verdana" w:hAnsi="Verdana" w:cs="Arial"/>
          <w:bCs/>
          <w:color w:val="000000"/>
          <w:lang w:val="es-ES_tradnl" w:eastAsia="es-MX"/>
        </w:rPr>
        <w:t>apertura de un procedimiento de licitación pública para la contratación de una obra,</w:t>
      </w:r>
      <w:r w:rsidRPr="00E931C6">
        <w:rPr>
          <w:rFonts w:ascii="Verdana" w:eastAsia="Calibri" w:hAnsi="Verdana" w:cs="Arial"/>
          <w:lang w:val="es-ES"/>
        </w:rPr>
        <w:t xml:space="preserve"> la entidad deberá contar con estudios que permita establecer la viabilidad del proyecto, es decir, que acredite los estudios de ingeniería correspondientes que determinen un grado de maduración del proyecto que se planea desarrollar. </w:t>
      </w:r>
    </w:p>
    <w:p w14:paraId="40BCB72C" w14:textId="77777777" w:rsidR="00FE2344" w:rsidRDefault="00FE2344" w:rsidP="00FE2344">
      <w:pPr>
        <w:tabs>
          <w:tab w:val="left" w:pos="0"/>
        </w:tabs>
        <w:spacing w:after="0" w:line="276" w:lineRule="auto"/>
        <w:jc w:val="both"/>
        <w:rPr>
          <w:rFonts w:ascii="Verdana" w:eastAsia="Calibri" w:hAnsi="Verdana" w:cs="Arial"/>
          <w:kern w:val="2"/>
          <w:lang w:val="es-ES"/>
          <w14:ligatures w14:val="standardContextual"/>
        </w:rPr>
      </w:pPr>
    </w:p>
    <w:p w14:paraId="22CBEDE0" w14:textId="77777777" w:rsidR="00FE2344" w:rsidRPr="009A4D75" w:rsidRDefault="00FE2344" w:rsidP="00FE2344">
      <w:pPr>
        <w:spacing w:line="276" w:lineRule="auto"/>
        <w:jc w:val="both"/>
        <w:rPr>
          <w:rFonts w:ascii="Verdana" w:hAnsi="Verdana" w:cs="Arial"/>
          <w:bCs/>
          <w:color w:val="000000" w:themeColor="text1"/>
          <w:lang w:val="es-ES_tradnl"/>
        </w:rPr>
      </w:pPr>
      <w:proofErr w:type="spellStart"/>
      <w:r>
        <w:rPr>
          <w:rFonts w:ascii="Verdana" w:eastAsia="Calibri" w:hAnsi="Verdana" w:cs="Arial"/>
          <w:kern w:val="2"/>
          <w:lang w:val="es-ES"/>
          <w14:ligatures w14:val="standardContextual"/>
        </w:rPr>
        <w:t>iv</w:t>
      </w:r>
      <w:proofErr w:type="spellEnd"/>
      <w:r>
        <w:rPr>
          <w:rFonts w:ascii="Verdana" w:eastAsia="Calibri" w:hAnsi="Verdana" w:cs="Arial"/>
          <w:kern w:val="2"/>
          <w:lang w:val="es-ES"/>
          <w14:ligatures w14:val="standardContextual"/>
        </w:rPr>
        <w:t xml:space="preserve">. </w:t>
      </w:r>
      <w:r w:rsidRPr="009A4D75">
        <w:rPr>
          <w:rFonts w:ascii="Verdana" w:hAnsi="Verdana" w:cs="Arial"/>
          <w:color w:val="000000" w:themeColor="text1"/>
          <w:lang w:val="es-ES_tradnl"/>
        </w:rPr>
        <w:t xml:space="preserve">La definición del contrato de obra pública está prevista en el numeral 1° del artículo 32 de la Ley 80 de 1993, como aquel celebrado por una entidad estatal, cuyo objeto sea la construcción, mantenimiento, instalación y, en general, la realización de cualquier otro trabajo material sobre bienes inmuebles, cualquiera que sea la modalidad de ejecución y pago. Al respecto, en sentencia de unificación jurisprudencial de la Sala Plena del Consejo de </w:t>
      </w:r>
      <w:r w:rsidRPr="009A4D75">
        <w:rPr>
          <w:rFonts w:ascii="Verdana" w:hAnsi="Verdana" w:cs="Arial"/>
          <w:bCs/>
          <w:color w:val="000000" w:themeColor="text1"/>
          <w:lang w:val="es-ES_tradnl"/>
        </w:rPr>
        <w:t>Estado del 25 de febrero de 2020, la jurisprudencia considera que “[…] en términos generales, el contrato de obra pública es el celebrado con entidades de derecho público para la realización de trabajos materiales sobre bienes inmuebles […]”</w:t>
      </w:r>
      <w:r w:rsidRPr="009A4D75">
        <w:rPr>
          <w:rFonts w:ascii="Verdana" w:hAnsi="Verdana" w:cs="Arial"/>
          <w:bCs/>
          <w:vertAlign w:val="superscript"/>
        </w:rPr>
        <w:footnoteReference w:id="17"/>
      </w:r>
      <w:r w:rsidRPr="009A4D75">
        <w:rPr>
          <w:rFonts w:ascii="Verdana" w:hAnsi="Verdana" w:cs="Arial"/>
          <w:bCs/>
          <w:color w:val="000000" w:themeColor="text1"/>
          <w:lang w:val="es-ES_tradnl"/>
        </w:rPr>
        <w:t>.</w:t>
      </w:r>
    </w:p>
    <w:p w14:paraId="04716A85" w14:textId="77777777" w:rsidR="00FE2344" w:rsidRPr="009A4D75" w:rsidRDefault="00FE2344" w:rsidP="00FE2344">
      <w:pPr>
        <w:spacing w:before="120" w:line="276" w:lineRule="auto"/>
        <w:ind w:firstLine="709"/>
        <w:jc w:val="both"/>
        <w:rPr>
          <w:rFonts w:ascii="Verdana" w:hAnsi="Verdana" w:cs="Arial"/>
          <w:bCs/>
          <w:color w:val="000000" w:themeColor="text1"/>
          <w:lang w:val="es-ES_tradnl"/>
        </w:rPr>
      </w:pPr>
      <w:bookmarkStart w:id="9" w:name="_Hlk134112705"/>
      <w:r w:rsidRPr="009A4D75">
        <w:rPr>
          <w:rFonts w:ascii="Verdana" w:hAnsi="Verdana" w:cs="Arial"/>
          <w:bCs/>
          <w:color w:val="000000" w:themeColor="text1"/>
          <w:lang w:val="es-ES_tradnl"/>
        </w:rPr>
        <w:t xml:space="preserve">Cuando el contratista se obliga a ejecutar la obra desde la fase inicial de diseño y hasta la puesta en marcha, podemos afirmar que se trata de un contrato de obra bajo la modalidad de llave en mano, también denominado contrato de </w:t>
      </w:r>
      <w:bookmarkStart w:id="10" w:name="_Hlk134107595"/>
      <w:proofErr w:type="spellStart"/>
      <w:r w:rsidRPr="009A4D75">
        <w:rPr>
          <w:rFonts w:ascii="Verdana" w:hAnsi="Verdana" w:cs="Arial"/>
          <w:bCs/>
          <w:color w:val="000000" w:themeColor="text1"/>
          <w:lang w:val="es-ES_tradnl"/>
        </w:rPr>
        <w:t>Engineering</w:t>
      </w:r>
      <w:proofErr w:type="spellEnd"/>
      <w:r w:rsidRPr="009A4D75">
        <w:rPr>
          <w:rFonts w:ascii="Verdana" w:hAnsi="Verdana" w:cs="Arial"/>
          <w:bCs/>
          <w:color w:val="000000" w:themeColor="text1"/>
          <w:lang w:val="es-ES_tradnl"/>
        </w:rPr>
        <w:t xml:space="preserve">, </w:t>
      </w:r>
      <w:proofErr w:type="spellStart"/>
      <w:r w:rsidRPr="009A4D75">
        <w:rPr>
          <w:rFonts w:ascii="Verdana" w:hAnsi="Verdana" w:cs="Arial"/>
          <w:bCs/>
          <w:color w:val="000000" w:themeColor="text1"/>
          <w:lang w:val="es-ES_tradnl"/>
        </w:rPr>
        <w:t>Procurement</w:t>
      </w:r>
      <w:proofErr w:type="spellEnd"/>
      <w:r w:rsidRPr="009A4D75">
        <w:rPr>
          <w:rFonts w:ascii="Verdana" w:hAnsi="Verdana" w:cs="Arial"/>
          <w:bCs/>
          <w:color w:val="000000" w:themeColor="text1"/>
          <w:lang w:val="es-ES_tradnl"/>
        </w:rPr>
        <w:t xml:space="preserve"> and </w:t>
      </w:r>
      <w:proofErr w:type="spellStart"/>
      <w:r w:rsidRPr="009A4D75">
        <w:rPr>
          <w:rFonts w:ascii="Verdana" w:hAnsi="Verdana" w:cs="Arial"/>
          <w:bCs/>
          <w:color w:val="000000" w:themeColor="text1"/>
          <w:lang w:val="es-ES_tradnl"/>
        </w:rPr>
        <w:t>Construction</w:t>
      </w:r>
      <w:bookmarkEnd w:id="10"/>
      <w:proofErr w:type="spellEnd"/>
      <w:r w:rsidRPr="009A4D75">
        <w:rPr>
          <w:rFonts w:ascii="Verdana" w:hAnsi="Verdana" w:cs="Arial"/>
          <w:bCs/>
          <w:color w:val="000000" w:themeColor="text1"/>
          <w:lang w:val="es-ES_tradnl"/>
        </w:rPr>
        <w:t xml:space="preserve"> –EPC–</w:t>
      </w:r>
      <w:r w:rsidRPr="009A4D75">
        <w:rPr>
          <w:rStyle w:val="Refdenotaalpie"/>
          <w:rFonts w:ascii="Verdana" w:hAnsi="Verdana" w:cs="Arial"/>
          <w:bCs/>
          <w:color w:val="000000" w:themeColor="text1"/>
          <w:lang w:val="es-ES_tradnl"/>
        </w:rPr>
        <w:footnoteReference w:id="18"/>
      </w:r>
      <w:r w:rsidRPr="009A4D75">
        <w:rPr>
          <w:rFonts w:ascii="Verdana" w:hAnsi="Verdana" w:cs="Arial"/>
          <w:bCs/>
          <w:color w:val="000000" w:themeColor="text1"/>
          <w:lang w:val="es-ES_tradnl"/>
        </w:rPr>
        <w:t xml:space="preserve">. </w:t>
      </w:r>
      <w:r w:rsidRPr="009A4D75">
        <w:rPr>
          <w:rFonts w:ascii="Verdana" w:hAnsi="Verdana" w:cs="Arial"/>
          <w:bCs/>
          <w:color w:val="000000"/>
          <w:lang w:val="es-ES_tradnl" w:eastAsia="es-MX"/>
        </w:rPr>
        <w:t>En efecto, según la “Guía para Procesos de Contratación de Obra Pública” expedida por la Agencia, esta es una modalidad en la cual “</w:t>
      </w:r>
      <w:bookmarkStart w:id="11" w:name="_Hlk69292474"/>
      <w:r w:rsidRPr="009A4D75">
        <w:rPr>
          <w:rFonts w:ascii="Verdana" w:hAnsi="Verdana" w:cs="Arial"/>
          <w:bCs/>
          <w:color w:val="000000"/>
          <w:lang w:val="es-ES_tradnl" w:eastAsia="es-MX"/>
        </w:rPr>
        <w:t xml:space="preserve">el contratista se compromete a realizar todas las </w:t>
      </w:r>
      <w:r w:rsidRPr="009A4D75">
        <w:rPr>
          <w:rFonts w:ascii="Verdana" w:hAnsi="Verdana" w:cs="Arial"/>
          <w:bCs/>
          <w:color w:val="000000"/>
          <w:lang w:val="es-ES_tradnl" w:eastAsia="es-MX"/>
        </w:rPr>
        <w:lastRenderedPageBreak/>
        <w:t>labores relacionadas con la obra incluyendo los diseños, estudios de factibilidad, construcción, contratación del personal, instalaciones y suministros y la contraprestación a cargo del contratista es la obra terminada y en funcionamiento</w:t>
      </w:r>
      <w:bookmarkEnd w:id="11"/>
      <w:r w:rsidRPr="009A4D75">
        <w:rPr>
          <w:rFonts w:ascii="Verdana" w:eastAsia="Calibri" w:hAnsi="Verdana" w:cs="Arial"/>
          <w:color w:val="000000"/>
          <w:lang w:val="es-ES" w:eastAsia="es-MX"/>
        </w:rPr>
        <w:t>”</w:t>
      </w:r>
      <w:r w:rsidRPr="009A4D75">
        <w:rPr>
          <w:rFonts w:ascii="Verdana" w:eastAsia="Calibri" w:hAnsi="Verdana" w:cs="Arial"/>
          <w:color w:val="000000"/>
          <w:vertAlign w:val="superscript"/>
          <w:lang w:val="es-ES" w:eastAsia="es-MX"/>
        </w:rPr>
        <w:footnoteReference w:id="19"/>
      </w:r>
      <w:r w:rsidRPr="009A4D75">
        <w:rPr>
          <w:rFonts w:ascii="Verdana" w:eastAsia="Calibri" w:hAnsi="Verdana" w:cs="Arial"/>
          <w:color w:val="000000"/>
          <w:lang w:val="es-ES" w:eastAsia="es-MX"/>
        </w:rPr>
        <w:t>.</w:t>
      </w:r>
      <w:r w:rsidRPr="009A4D75">
        <w:rPr>
          <w:rFonts w:ascii="Verdana" w:hAnsi="Verdana"/>
          <w:lang w:eastAsia="es-MX"/>
        </w:rPr>
        <w:t xml:space="preserve"> </w:t>
      </w:r>
      <w:r w:rsidRPr="009A4D75">
        <w:rPr>
          <w:rFonts w:ascii="Verdana" w:hAnsi="Verdana" w:cs="Arial"/>
          <w:lang w:eastAsia="es-MX"/>
        </w:rPr>
        <w:t>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w:t>
      </w:r>
      <w:r w:rsidRPr="009A4D75">
        <w:rPr>
          <w:rFonts w:ascii="Verdana" w:hAnsi="Verdana" w:cs="Arial"/>
          <w:spacing w:val="-16"/>
          <w:lang w:eastAsia="es-MX"/>
        </w:rPr>
        <w:t xml:space="preserve"> </w:t>
      </w:r>
      <w:r w:rsidRPr="009A4D75">
        <w:rPr>
          <w:rFonts w:ascii="Verdana" w:hAnsi="Verdana" w:cs="Arial"/>
          <w:lang w:eastAsia="es-MX"/>
        </w:rPr>
        <w:t>entrega”</w:t>
      </w:r>
      <w:r w:rsidRPr="009A4D75">
        <w:rPr>
          <w:rStyle w:val="Refdenotaalpie"/>
          <w:rFonts w:ascii="Verdana" w:hAnsi="Verdana" w:cs="Arial"/>
          <w:lang w:eastAsia="es-MX"/>
        </w:rPr>
        <w:footnoteReference w:id="20"/>
      </w:r>
      <w:r w:rsidRPr="009A4D75">
        <w:rPr>
          <w:rFonts w:ascii="Verdana" w:hAnsi="Verdana" w:cs="Arial"/>
          <w:lang w:eastAsia="es-MX"/>
        </w:rPr>
        <w:t>.</w:t>
      </w:r>
    </w:p>
    <w:bookmarkEnd w:id="9"/>
    <w:p w14:paraId="0E101004" w14:textId="77777777" w:rsidR="00FE2344" w:rsidRPr="009A4D75" w:rsidRDefault="00FE2344" w:rsidP="00FE2344">
      <w:pPr>
        <w:widowControl w:val="0"/>
        <w:autoSpaceDE w:val="0"/>
        <w:autoSpaceDN w:val="0"/>
        <w:spacing w:before="120" w:line="276" w:lineRule="auto"/>
        <w:ind w:firstLine="707"/>
        <w:jc w:val="both"/>
        <w:rPr>
          <w:rFonts w:ascii="Verdana" w:eastAsia="Arial" w:hAnsi="Verdana" w:cs="Arial"/>
          <w:lang w:val="es-ES"/>
        </w:rPr>
      </w:pPr>
      <w:r w:rsidRPr="009A4D75">
        <w:rPr>
          <w:rFonts w:ascii="Verdana" w:eastAsia="Arial" w:hAnsi="Verdana" w:cs="Arial"/>
          <w:lang w:val="es-ES"/>
        </w:rPr>
        <w:t>Por lo tanto, el contrato de obra bajo la modalidad de llave en mano no se agota en la labor constructiva típica, pues incluye tanto la elaboración de los diseños como la puesta en funcionamiento de la obra contratada. En efecto, para la aplicación de esta modalidad, la obra “[…] debe estar provista de todo lo que fuere necesario, según las normas técnicas aplicables, para operar en condiciones de eficiencia y seguridad […]”</w:t>
      </w:r>
      <w:r w:rsidRPr="009A4D75">
        <w:rPr>
          <w:rFonts w:ascii="Verdana" w:eastAsia="Arial" w:hAnsi="Verdana" w:cs="Arial"/>
          <w:vertAlign w:val="superscript"/>
          <w:lang w:val="es-ES"/>
        </w:rPr>
        <w:footnoteReference w:id="21"/>
      </w:r>
      <w:r w:rsidRPr="009A4D75">
        <w:rPr>
          <w:rFonts w:ascii="Verdana" w:eastAsia="Arial" w:hAnsi="Verdana" w:cs="Arial"/>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9A4D75">
        <w:rPr>
          <w:rFonts w:ascii="Verdana" w:eastAsia="Arial" w:hAnsi="Verdana" w:cs="Arial"/>
          <w:vertAlign w:val="superscript"/>
          <w:lang w:val="es-ES"/>
        </w:rPr>
        <w:footnoteReference w:id="22"/>
      </w:r>
      <w:r w:rsidRPr="009A4D75">
        <w:rPr>
          <w:rFonts w:ascii="Verdana" w:eastAsia="Arial" w:hAnsi="Verdana" w:cs="Arial"/>
          <w:lang w:val="es-ES"/>
        </w:rPr>
        <w:t xml:space="preserve">. Estas características especiales del contrato son una solución eficaz para reducir costos de transacción y los plazos en la licitación de obras, pues en un solo proceso se lleva a cabo la licitación del diseño de las obras y su construcción, responsabilizando al contratante de la planeación de la obra y reduciendo los riesgos asociados con “errores de diseño” que son una causa normal sobrecostos. </w:t>
      </w:r>
    </w:p>
    <w:p w14:paraId="19431690" w14:textId="77777777" w:rsidR="00FE2344" w:rsidRPr="009A4D75" w:rsidRDefault="00FE2344" w:rsidP="00FE2344">
      <w:pPr>
        <w:spacing w:before="120" w:after="0" w:line="276" w:lineRule="auto"/>
        <w:ind w:firstLine="709"/>
        <w:jc w:val="both"/>
        <w:rPr>
          <w:rFonts w:ascii="Verdana" w:eastAsia="Calibri" w:hAnsi="Verdana" w:cs="Arial"/>
          <w:color w:val="000000"/>
          <w:lang w:val="es-ES" w:eastAsia="en-GB"/>
        </w:rPr>
      </w:pPr>
      <w:r w:rsidRPr="009A4D75">
        <w:rPr>
          <w:rFonts w:ascii="Verdana" w:eastAsia="Calibri" w:hAnsi="Verdana" w:cs="Arial"/>
          <w:color w:val="000000"/>
          <w:lang w:val="es-ES" w:eastAsia="en-GB"/>
        </w:rPr>
        <w:t xml:space="preserve">Para la Sección Cuarta del Consejo de Estado, </w:t>
      </w:r>
      <w:r w:rsidRPr="009A4D75">
        <w:rPr>
          <w:rFonts w:ascii="Verdana" w:eastAsia="Arial" w:hAnsi="Verdana" w:cs="Arial"/>
          <w:lang w:val="es-ES"/>
        </w:rPr>
        <w:t>“</w:t>
      </w:r>
      <w:r w:rsidRPr="009A4D75">
        <w:rPr>
          <w:rFonts w:ascii="Verdana" w:hAnsi="Verdana" w:cs="Arial"/>
          <w:lang w:val="es-ES" w:eastAsia="es-ES"/>
        </w:rPr>
        <w:t xml:space="preserve">En virtud del contrato llave en mano, el contratista se compromete a llevar a cabo una obra, incluyendo los estudios previos, la ejecución de la construcción, el suministro de equipos y la puesta en operación de la obra al momento de su entrega. En general, aunque el contrato llave en mano no se limita a la elaboración de una obra material, se ha considerado como una modalidad especial del contrato de obra pública o de </w:t>
      </w:r>
      <w:r w:rsidRPr="009A4D75">
        <w:rPr>
          <w:rFonts w:ascii="Verdana" w:hAnsi="Verdana" w:cs="Arial"/>
          <w:lang w:val="es-ES" w:eastAsia="es-ES"/>
        </w:rPr>
        <w:lastRenderedPageBreak/>
        <w:t>construcción de un bien inmueble</w:t>
      </w:r>
      <w:r w:rsidRPr="009A4D75">
        <w:rPr>
          <w:rFonts w:ascii="Verdana" w:eastAsia="Arial" w:hAnsi="Verdana" w:cs="Arial"/>
        </w:rPr>
        <w:t>”</w:t>
      </w:r>
      <w:r w:rsidRPr="009A4D75">
        <w:rPr>
          <w:rStyle w:val="Refdenotaalpie"/>
          <w:rFonts w:ascii="Verdana" w:hAnsi="Verdana" w:cs="Arial"/>
          <w:lang w:val="es-ES" w:eastAsia="es-ES"/>
        </w:rPr>
        <w:footnoteReference w:id="23"/>
      </w:r>
      <w:r w:rsidRPr="009A4D75">
        <w:rPr>
          <w:rFonts w:ascii="Verdana" w:eastAsia="Calibri" w:hAnsi="Verdana" w:cs="Arial"/>
          <w:color w:val="000000"/>
          <w:lang w:val="es-ES" w:eastAsia="en-GB"/>
        </w:rPr>
        <w:t xml:space="preserve">. Asimismo, la Sala de Consulta y Servicio Civil de esta Corporación, ha señalado que </w:t>
      </w:r>
      <w:r w:rsidRPr="009A4D75">
        <w:rPr>
          <w:rFonts w:ascii="Verdana" w:eastAsia="Arial" w:hAnsi="Verdana" w:cs="Arial"/>
          <w:lang w:val="es-ES"/>
        </w:rPr>
        <w:t>“</w:t>
      </w:r>
      <w:r w:rsidRPr="009A4D75">
        <w:rPr>
          <w:rFonts w:ascii="Verdana" w:eastAsia="Calibri" w:hAnsi="Verdana" w:cs="Arial"/>
          <w:color w:val="000000"/>
          <w:lang w:val="es-ES" w:eastAsia="en-GB"/>
        </w:rPr>
        <w:t>dentro de las modalidades que puede adoptar el contrato de obra, se encuentra la de “llave en mano”, negocio jurídico que en términos generales consiste en un acuerdo de voluntades en virtud del cual una parte se compromete frente a otra, a cambio de una remuneración, a diseñar, construir y poner en marcha y lista para su funcionamiento una determinada obra</w:t>
      </w:r>
      <w:r w:rsidRPr="009A4D75">
        <w:rPr>
          <w:rFonts w:ascii="Verdana" w:eastAsia="Arial" w:hAnsi="Verdana" w:cs="Arial"/>
        </w:rPr>
        <w:t>”</w:t>
      </w:r>
      <w:r w:rsidRPr="009A4D75">
        <w:rPr>
          <w:rStyle w:val="Refdenotaalpie"/>
          <w:rFonts w:ascii="Verdana" w:eastAsia="Arial" w:hAnsi="Verdana" w:cs="Arial"/>
        </w:rPr>
        <w:footnoteReference w:id="24"/>
      </w:r>
      <w:r w:rsidRPr="009A4D75">
        <w:rPr>
          <w:rFonts w:ascii="Verdana" w:eastAsia="Calibri" w:hAnsi="Verdana" w:cs="Arial"/>
          <w:color w:val="000000"/>
          <w:lang w:val="es-ES" w:eastAsia="en-GB"/>
        </w:rPr>
        <w:t xml:space="preserve">. La justicia arbitral también concibe el tema de la misma forma, pues tiene el siguiente entendimiento sobre la expresión </w:t>
      </w:r>
      <w:r w:rsidRPr="009A4D75">
        <w:rPr>
          <w:rFonts w:ascii="Verdana" w:eastAsia="Arial" w:hAnsi="Verdana" w:cs="Arial"/>
          <w:lang w:val="es-ES"/>
        </w:rPr>
        <w:t>“</w:t>
      </w:r>
      <w:r w:rsidRPr="009A4D75">
        <w:rPr>
          <w:rFonts w:ascii="Verdana" w:eastAsia="Calibri" w:hAnsi="Verdana" w:cs="Arial"/>
          <w:color w:val="000000"/>
          <w:lang w:val="es-ES" w:eastAsia="en-GB"/>
        </w:rPr>
        <w:t>llave en mano</w:t>
      </w:r>
      <w:r w:rsidRPr="009A4D75">
        <w:rPr>
          <w:rFonts w:ascii="Verdana" w:eastAsia="Arial" w:hAnsi="Verdana" w:cs="Arial"/>
        </w:rPr>
        <w:t>”</w:t>
      </w:r>
      <w:r w:rsidRPr="009A4D75">
        <w:rPr>
          <w:rFonts w:ascii="Verdana" w:eastAsia="Calibri" w:hAnsi="Verdana" w:cs="Arial"/>
          <w:color w:val="000000"/>
          <w:lang w:val="es-ES" w:eastAsia="en-GB"/>
        </w:rPr>
        <w:t xml:space="preserve"> como una modalidad del contrato de obra:</w:t>
      </w:r>
    </w:p>
    <w:p w14:paraId="3DC55320" w14:textId="77777777" w:rsidR="00FE2344" w:rsidRPr="009A4D75" w:rsidRDefault="00FE2344" w:rsidP="00FE2344">
      <w:pPr>
        <w:spacing w:after="0" w:line="276" w:lineRule="auto"/>
        <w:ind w:firstLine="709"/>
        <w:jc w:val="both"/>
        <w:rPr>
          <w:rFonts w:ascii="Verdana" w:eastAsia="Calibri" w:hAnsi="Verdana" w:cs="Arial"/>
          <w:color w:val="000000"/>
          <w:lang w:val="es-ES" w:eastAsia="en-GB"/>
        </w:rPr>
      </w:pPr>
    </w:p>
    <w:p w14:paraId="5612D109" w14:textId="77777777" w:rsidR="00FE2344" w:rsidRPr="009A4D75" w:rsidRDefault="00FE2344" w:rsidP="00FE2344">
      <w:pPr>
        <w:spacing w:after="0" w:line="240" w:lineRule="auto"/>
        <w:ind w:left="709" w:right="476"/>
        <w:jc w:val="both"/>
        <w:rPr>
          <w:rFonts w:ascii="Verdana" w:eastAsia="Calibri" w:hAnsi="Verdana" w:cs="Arial"/>
          <w:color w:val="000000"/>
          <w:lang w:val="es-ES" w:eastAsia="en-GB"/>
        </w:rPr>
      </w:pPr>
      <w:r w:rsidRPr="009A4D75">
        <w:rPr>
          <w:rFonts w:ascii="Verdana" w:hAnsi="Verdana" w:cs="Arial"/>
          <w:sz w:val="21"/>
          <w:lang w:eastAsia="es-MX"/>
        </w:rPr>
        <w:t xml:space="preserve">“Para evitar confusiones hay que aclarar que </w:t>
      </w:r>
      <w:r>
        <w:rPr>
          <w:rFonts w:ascii="Verdana" w:hAnsi="Verdana" w:cs="Arial"/>
          <w:sz w:val="21"/>
          <w:lang w:eastAsia="es-MX"/>
        </w:rPr>
        <w:t>‘</w:t>
      </w:r>
      <w:r w:rsidRPr="009A4D75">
        <w:rPr>
          <w:rFonts w:ascii="Verdana" w:hAnsi="Verdana" w:cs="Arial"/>
          <w:sz w:val="21"/>
          <w:lang w:eastAsia="es-MX"/>
        </w:rPr>
        <w:t>llave en mano</w:t>
      </w:r>
      <w:r>
        <w:rPr>
          <w:rFonts w:ascii="Verdana" w:hAnsi="Verdana" w:cs="Arial"/>
          <w:sz w:val="21"/>
          <w:lang w:eastAsia="es-MX"/>
        </w:rPr>
        <w:t>’</w:t>
      </w:r>
      <w:r w:rsidRPr="009A4D75">
        <w:rPr>
          <w:rFonts w:ascii="Verdana" w:hAnsi="Verdana" w:cs="Arial"/>
          <w:sz w:val="21"/>
          <w:lang w:eastAsia="es-MX"/>
        </w:rPr>
        <w:t xml:space="preserve"> es una modalidad de contratación. </w:t>
      </w:r>
      <w:r w:rsidRPr="009A4D75">
        <w:rPr>
          <w:rFonts w:ascii="Verdana" w:hAnsi="Verdana" w:cs="Arial"/>
          <w:i/>
          <w:iCs/>
          <w:sz w:val="21"/>
          <w:lang w:eastAsia="es-MX"/>
        </w:rPr>
        <w:t>El ámbito natural de esta modalidad es el contrato de obras, entonces esa será la clase de contrato: de obra</w:t>
      </w:r>
      <w:r w:rsidRPr="009A4D75">
        <w:rPr>
          <w:rFonts w:ascii="Verdana" w:hAnsi="Verdana" w:cs="Arial"/>
          <w:sz w:val="21"/>
          <w:lang w:eastAsia="es-MX"/>
        </w:rPr>
        <w:t xml:space="preserve">, en oposición a otras clases como suministro, servicios, etc. El contrato </w:t>
      </w:r>
      <w:r>
        <w:rPr>
          <w:rFonts w:ascii="Verdana" w:hAnsi="Verdana" w:cs="Arial"/>
          <w:sz w:val="21"/>
          <w:lang w:eastAsia="es-MX"/>
        </w:rPr>
        <w:t>‘</w:t>
      </w:r>
      <w:proofErr w:type="spellStart"/>
      <w:r w:rsidRPr="009A4D75">
        <w:rPr>
          <w:rFonts w:ascii="Verdana" w:hAnsi="Verdana" w:cs="Arial"/>
          <w:sz w:val="21"/>
          <w:lang w:eastAsia="es-MX"/>
        </w:rPr>
        <w:t>clé</w:t>
      </w:r>
      <w:proofErr w:type="spellEnd"/>
      <w:r w:rsidRPr="009A4D75">
        <w:rPr>
          <w:rFonts w:ascii="Verdana" w:hAnsi="Verdana" w:cs="Arial"/>
          <w:sz w:val="21"/>
          <w:lang w:eastAsia="es-MX"/>
        </w:rPr>
        <w:t xml:space="preserve"> en </w:t>
      </w:r>
      <w:proofErr w:type="spellStart"/>
      <w:r w:rsidRPr="009A4D75">
        <w:rPr>
          <w:rFonts w:ascii="Verdana" w:hAnsi="Verdana" w:cs="Arial"/>
          <w:sz w:val="21"/>
          <w:lang w:eastAsia="es-MX"/>
        </w:rPr>
        <w:t>main</w:t>
      </w:r>
      <w:proofErr w:type="spellEnd"/>
      <w:r>
        <w:rPr>
          <w:rFonts w:ascii="Verdana" w:hAnsi="Verdana" w:cs="Arial"/>
          <w:sz w:val="21"/>
          <w:lang w:eastAsia="es-MX"/>
        </w:rPr>
        <w:t>’</w:t>
      </w:r>
      <w:r w:rsidRPr="009A4D75">
        <w:rPr>
          <w:rFonts w:ascii="Verdana" w:hAnsi="Verdana" w:cs="Arial"/>
          <w:sz w:val="21"/>
          <w:lang w:eastAsia="es-MX"/>
        </w:rPr>
        <w:t xml:space="preserve">, implica especialización del contratista así como la obligación de este de entregar un producto plenamente terminado y en </w:t>
      </w:r>
      <w:r>
        <w:rPr>
          <w:rFonts w:ascii="Verdana" w:hAnsi="Verdana" w:cs="Arial"/>
          <w:sz w:val="21"/>
          <w:lang w:eastAsia="es-MX"/>
        </w:rPr>
        <w:t>‘</w:t>
      </w:r>
      <w:r w:rsidRPr="009A4D75">
        <w:rPr>
          <w:rFonts w:ascii="Verdana" w:hAnsi="Verdana" w:cs="Arial"/>
          <w:sz w:val="21"/>
          <w:lang w:eastAsia="es-MX"/>
        </w:rPr>
        <w:t>marcha</w:t>
      </w:r>
      <w:r>
        <w:rPr>
          <w:rFonts w:ascii="Verdana" w:hAnsi="Verdana" w:cs="Arial"/>
          <w:sz w:val="21"/>
          <w:lang w:eastAsia="es-MX"/>
        </w:rPr>
        <w:t>’</w:t>
      </w:r>
      <w:r w:rsidRPr="009A4D75">
        <w:rPr>
          <w:rFonts w:ascii="Verdana" w:hAnsi="Verdana" w:cs="Arial"/>
          <w:sz w:val="21"/>
          <w:lang w:eastAsia="es-MX"/>
        </w:rPr>
        <w:t>. Para ello asume una obligación global de realizar todas las prestaciones necesarias, coadyuvantes o complementarias de la obra a realizar”</w:t>
      </w:r>
      <w:r w:rsidRPr="009A4D75">
        <w:rPr>
          <w:rStyle w:val="Refdenotaalpie"/>
          <w:rFonts w:ascii="Verdana" w:hAnsi="Verdana" w:cs="Arial"/>
          <w:sz w:val="21"/>
          <w:lang w:eastAsia="es-MX"/>
        </w:rPr>
        <w:footnoteReference w:id="25"/>
      </w:r>
      <w:r w:rsidRPr="009A4D75">
        <w:rPr>
          <w:rFonts w:ascii="Verdana" w:hAnsi="Verdana" w:cs="Arial"/>
          <w:sz w:val="21"/>
          <w:lang w:eastAsia="es-MX"/>
        </w:rPr>
        <w:t xml:space="preserve">. </w:t>
      </w:r>
    </w:p>
    <w:p w14:paraId="2AEA1B04" w14:textId="77777777" w:rsidR="00FE2344" w:rsidRPr="009A4D75" w:rsidRDefault="00FE2344" w:rsidP="00FE2344">
      <w:pPr>
        <w:spacing w:after="0" w:line="276" w:lineRule="auto"/>
        <w:jc w:val="both"/>
        <w:rPr>
          <w:rFonts w:ascii="Verdana" w:eastAsia="Calibri" w:hAnsi="Verdana" w:cs="Arial"/>
          <w:b/>
          <w:bCs/>
          <w:color w:val="000000"/>
          <w:lang w:eastAsia="en-GB"/>
        </w:rPr>
      </w:pPr>
    </w:p>
    <w:p w14:paraId="721B2CA3" w14:textId="77777777" w:rsidR="00FE2344" w:rsidRPr="009A4D75" w:rsidRDefault="00FE2344" w:rsidP="00FE2344">
      <w:pPr>
        <w:spacing w:line="276" w:lineRule="auto"/>
        <w:ind w:firstLine="709"/>
        <w:jc w:val="both"/>
        <w:rPr>
          <w:rFonts w:ascii="Verdana" w:eastAsia="Calibri" w:hAnsi="Verdana" w:cs="Arial"/>
          <w:color w:val="000000"/>
          <w:lang w:eastAsia="en-GB"/>
        </w:rPr>
      </w:pPr>
      <w:r w:rsidRPr="009A4D75">
        <w:rPr>
          <w:rFonts w:ascii="Verdana" w:eastAsia="Calibri" w:hAnsi="Verdana" w:cs="Arial"/>
          <w:color w:val="000000"/>
          <w:lang w:eastAsia="en-GB"/>
        </w:rPr>
        <w:t>Igualmente, en la doctrina se concibe como una modalidad de pago del contrato de obra en la que el contratista se compromete a realizar la totalidad de los anteproyectos, proyectos, estudios y diseños de obra requeridos y la ejecución material de las obras, instalaciones y suministros</w:t>
      </w:r>
      <w:r w:rsidRPr="009A4D75">
        <w:rPr>
          <w:rStyle w:val="Refdenotaalpie"/>
          <w:rFonts w:ascii="Verdana" w:eastAsia="Calibri" w:hAnsi="Verdana" w:cs="Arial"/>
          <w:color w:val="000000"/>
          <w:lang w:eastAsia="en-GB"/>
        </w:rPr>
        <w:footnoteReference w:id="26"/>
      </w:r>
      <w:r w:rsidRPr="009A4D75">
        <w:rPr>
          <w:rFonts w:ascii="Verdana" w:eastAsia="Calibri" w:hAnsi="Verdana" w:cs="Arial"/>
          <w:color w:val="000000"/>
          <w:lang w:eastAsia="en-GB"/>
        </w:rPr>
        <w:t>.</w:t>
      </w:r>
    </w:p>
    <w:p w14:paraId="178C4E4C" w14:textId="77777777" w:rsidR="00FE2344" w:rsidRDefault="00FE2344" w:rsidP="00FE2344">
      <w:pPr>
        <w:tabs>
          <w:tab w:val="left" w:pos="0"/>
        </w:tabs>
        <w:spacing w:after="0" w:line="276" w:lineRule="auto"/>
        <w:jc w:val="both"/>
        <w:rPr>
          <w:rFonts w:ascii="Verdana" w:hAnsi="Verdana" w:cs="Arial"/>
          <w:color w:val="000000" w:themeColor="text1"/>
          <w:lang w:val="es-ES_tradnl"/>
        </w:rPr>
      </w:pPr>
      <w:r>
        <w:rPr>
          <w:rFonts w:ascii="Verdana" w:eastAsia="Calibri" w:hAnsi="Verdana" w:cs="Arial"/>
          <w:color w:val="000000"/>
          <w:lang w:eastAsia="en-GB"/>
        </w:rPr>
        <w:tab/>
      </w:r>
      <w:r w:rsidRPr="009A4D75">
        <w:rPr>
          <w:rFonts w:ascii="Verdana" w:eastAsia="Calibri" w:hAnsi="Verdana" w:cs="Arial"/>
          <w:color w:val="000000"/>
          <w:lang w:eastAsia="en-GB"/>
        </w:rPr>
        <w:t xml:space="preserve">De lo expuesto, es claro que el contrato de obra previsto en </w:t>
      </w:r>
      <w:bookmarkStart w:id="12" w:name="_Hlk74941095"/>
      <w:r w:rsidRPr="009A4D75">
        <w:rPr>
          <w:rFonts w:ascii="Verdana" w:eastAsia="Calibri" w:hAnsi="Verdana" w:cs="Arial"/>
          <w:color w:val="000000"/>
          <w:lang w:eastAsia="en-GB"/>
        </w:rPr>
        <w:t xml:space="preserve">el </w:t>
      </w:r>
      <w:r w:rsidRPr="009A4D75">
        <w:rPr>
          <w:rFonts w:ascii="Verdana" w:hAnsi="Verdana" w:cs="Arial"/>
          <w:color w:val="000000" w:themeColor="text1"/>
          <w:lang w:val="es-ES_tradnl"/>
        </w:rPr>
        <w:t>numeral 1° del artículo 32 de la Ley 80 de 1993</w:t>
      </w:r>
      <w:bookmarkEnd w:id="12"/>
      <w:r w:rsidRPr="009A4D75">
        <w:rPr>
          <w:rFonts w:ascii="Verdana" w:hAnsi="Verdana" w:cs="Arial"/>
          <w:color w:val="000000" w:themeColor="text1"/>
          <w:lang w:val="es-ES_tradnl"/>
        </w:rPr>
        <w:t xml:space="preserve"> puede ejecutarse mediante la modalidad denominada </w:t>
      </w:r>
      <w:r w:rsidRPr="009A4D75">
        <w:rPr>
          <w:rFonts w:ascii="Verdana" w:hAnsi="Verdana" w:cs="Arial"/>
          <w:lang w:eastAsia="es-MX"/>
        </w:rPr>
        <w:t xml:space="preserve">“llave en mano”,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En otros términos, la modalidad que se emplee para la ejecución y pago del contrato de obra no determina la naturaleza </w:t>
      </w:r>
      <w:r w:rsidRPr="009A4D75">
        <w:rPr>
          <w:rFonts w:ascii="Verdana" w:hAnsi="Verdana" w:cs="Arial"/>
          <w:lang w:eastAsia="es-MX"/>
        </w:rPr>
        <w:lastRenderedPageBreak/>
        <w:t>de este, pues mientras el contrato contemple las actividades definidas en el</w:t>
      </w:r>
      <w:r w:rsidRPr="009A4D75">
        <w:rPr>
          <w:rFonts w:ascii="Verdana" w:eastAsia="Calibri" w:hAnsi="Verdana" w:cs="Arial"/>
          <w:color w:val="000000"/>
          <w:lang w:eastAsia="en-GB"/>
        </w:rPr>
        <w:t xml:space="preserve"> </w:t>
      </w:r>
      <w:r w:rsidRPr="009A4D75">
        <w:rPr>
          <w:rFonts w:ascii="Verdana" w:hAnsi="Verdana" w:cs="Arial"/>
          <w:color w:val="000000" w:themeColor="text1"/>
          <w:lang w:val="es-ES_tradnl"/>
        </w:rPr>
        <w:t>numeral 1° del artículo 32 de la Ley 80 de 1993, tendrá la denominación de obra, aunque incluya otras prestaciones, como es el caso de la modalidad de llave en mano.</w:t>
      </w:r>
    </w:p>
    <w:p w14:paraId="7CA46E6E" w14:textId="77777777" w:rsidR="00FE2344" w:rsidRPr="009A4D75" w:rsidRDefault="00FE2344" w:rsidP="00FE2344">
      <w:pPr>
        <w:tabs>
          <w:tab w:val="left" w:pos="0"/>
        </w:tabs>
        <w:spacing w:after="0" w:line="276" w:lineRule="auto"/>
        <w:jc w:val="both"/>
        <w:rPr>
          <w:rFonts w:ascii="Verdana" w:eastAsia="Calibri" w:hAnsi="Verdana" w:cs="Arial"/>
          <w:kern w:val="2"/>
          <w:lang w:val="es-ES"/>
          <w14:ligatures w14:val="standardContextual"/>
        </w:rPr>
      </w:pPr>
    </w:p>
    <w:p w14:paraId="4B2D7456" w14:textId="77777777" w:rsidR="00FE2344" w:rsidRPr="00C05785" w:rsidRDefault="00FE2344" w:rsidP="00FE2344">
      <w:pPr>
        <w:shd w:val="clear" w:color="auto" w:fill="FFFFFF"/>
        <w:spacing w:line="276" w:lineRule="auto"/>
        <w:jc w:val="both"/>
        <w:textAlignment w:val="baseline"/>
        <w:rPr>
          <w:rFonts w:ascii="Verdana" w:hAnsi="Verdana" w:cs="Arial"/>
          <w:b/>
          <w:bCs/>
          <w:color w:val="000000"/>
          <w:lang w:eastAsia="es-CO"/>
        </w:rPr>
      </w:pPr>
      <w:r>
        <w:rPr>
          <w:rFonts w:ascii="Verdana" w:eastAsia="Calibri" w:hAnsi="Verdana" w:cs="Arial"/>
          <w:kern w:val="2"/>
          <w:lang w:val="es-ES"/>
          <w14:ligatures w14:val="standardContextual"/>
        </w:rPr>
        <w:t xml:space="preserve">v. </w:t>
      </w:r>
      <w:bookmarkStart w:id="13" w:name="_Hlk72774853"/>
      <w:r w:rsidRPr="00C05785">
        <w:rPr>
          <w:rFonts w:ascii="Verdana" w:hAnsi="Verdana" w:cs="Arial"/>
          <w:bCs/>
          <w:lang w:val="es-ES_tradnl"/>
        </w:rPr>
        <w:t xml:space="preserve">Para las obras públicas de infraestructura de transporte, el </w:t>
      </w:r>
      <w:bookmarkStart w:id="14" w:name="_Hlk81313863"/>
      <w:r w:rsidRPr="00C05785">
        <w:rPr>
          <w:rFonts w:ascii="Verdana" w:hAnsi="Verdana" w:cs="Arial"/>
          <w:bCs/>
          <w:lang w:val="es-ES_tradnl"/>
        </w:rPr>
        <w:t xml:space="preserve">artículo 2.2.1.2.6.1.4 del Decreto 1082 de 2015 </w:t>
      </w:r>
      <w:bookmarkEnd w:id="14"/>
      <w:r w:rsidRPr="00C05785">
        <w:rPr>
          <w:rFonts w:ascii="Verdana" w:hAnsi="Verdana" w:cs="Arial"/>
          <w:bCs/>
          <w:lang w:val="es-ES_tradnl"/>
        </w:rPr>
        <w:t>disponía la inalterabilidad de los documentos tipo para la modalidad de licitación pública, que consiste en que las entidades estatales no pueden incluir o modificar en los documentos del proceso las condiciones habilitantes, los factores técnicos y económicos de escogencia y los sistemas de ponderación distintos a los señalados en los documentos tipo</w:t>
      </w:r>
      <w:r w:rsidRPr="00C05785">
        <w:rPr>
          <w:rStyle w:val="Refdenotaalpie"/>
          <w:rFonts w:ascii="Verdana" w:hAnsi="Verdana" w:cs="Arial"/>
          <w:bCs/>
          <w:lang w:val="es-ES_tradnl"/>
        </w:rPr>
        <w:footnoteReference w:id="27"/>
      </w:r>
      <w:r w:rsidRPr="00C05785">
        <w:rPr>
          <w:rFonts w:ascii="Verdana" w:hAnsi="Verdana" w:cs="Arial"/>
          <w:bCs/>
          <w:lang w:val="es-ES_tradnl"/>
        </w:rPr>
        <w:t>. En consecuencia</w:t>
      </w:r>
      <w:bookmarkStart w:id="15" w:name="_Hlk64290904"/>
      <w:r w:rsidRPr="00C05785">
        <w:rPr>
          <w:rFonts w:ascii="Verdana" w:hAnsi="Verdana" w:cs="Arial"/>
          <w:bCs/>
          <w:lang w:val="es-ES_tradnl"/>
        </w:rPr>
        <w:t>,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no pueden variarse los requisitos que fijados en ellos.</w:t>
      </w:r>
      <w:bookmarkEnd w:id="15"/>
      <w:r w:rsidRPr="00C05785">
        <w:rPr>
          <w:rFonts w:ascii="Verdana" w:hAnsi="Verdana" w:cs="Arial"/>
          <w:bCs/>
          <w:lang w:val="es-ES_tradnl"/>
        </w:rPr>
        <w:t xml:space="preserve"> </w:t>
      </w:r>
    </w:p>
    <w:p w14:paraId="29D4E32E" w14:textId="77777777" w:rsidR="00FE2344" w:rsidRPr="00C05785" w:rsidRDefault="00FE2344" w:rsidP="00FE2344">
      <w:pPr>
        <w:spacing w:before="120" w:line="276" w:lineRule="auto"/>
        <w:ind w:firstLine="709"/>
        <w:jc w:val="both"/>
        <w:rPr>
          <w:rFonts w:ascii="Verdana" w:hAnsi="Verdana" w:cs="Arial"/>
          <w:bCs/>
          <w:lang w:val="es-ES_tradnl"/>
        </w:rPr>
      </w:pPr>
      <w:r>
        <w:rPr>
          <w:rFonts w:ascii="Verdana" w:hAnsi="Verdana" w:cs="Arial"/>
          <w:bCs/>
          <w:lang w:val="es-ES_tradnl"/>
        </w:rPr>
        <w:t>Por ejemplo</w:t>
      </w:r>
      <w:r w:rsidRPr="00C05785">
        <w:rPr>
          <w:rFonts w:ascii="Verdana" w:hAnsi="Verdana" w:cs="Arial"/>
          <w:bCs/>
          <w:lang w:val="es-ES_tradnl"/>
        </w:rPr>
        <w:t xml:space="preserve">, esta prohibición se ratifica en el </w:t>
      </w:r>
      <w:bookmarkStart w:id="16" w:name="_Hlk81313856"/>
      <w:r w:rsidRPr="00C05785">
        <w:rPr>
          <w:rFonts w:ascii="Verdana" w:hAnsi="Verdana" w:cs="Arial"/>
          <w:bCs/>
          <w:lang w:val="es-ES_tradnl"/>
        </w:rPr>
        <w:t xml:space="preserve">artículo 3 de la Resolución </w:t>
      </w:r>
      <w:bookmarkEnd w:id="16"/>
      <w:r>
        <w:rPr>
          <w:rFonts w:ascii="Verdana" w:hAnsi="Verdana" w:cs="Arial"/>
          <w:bCs/>
          <w:lang w:val="es-ES_tradnl"/>
        </w:rPr>
        <w:t>465 de 2024</w:t>
      </w:r>
      <w:r w:rsidRPr="00C05785">
        <w:rPr>
          <w:rFonts w:ascii="Verdana" w:hAnsi="Verdana" w:cs="Arial"/>
          <w:bCs/>
          <w:lang w:val="es-ES_tradnl"/>
        </w:rPr>
        <w:t>, mediante la cual se implementaron los documentos tipo para esta modalidad de licitación pública, al disponer la inalterabilidad en los siguientes términos: “</w:t>
      </w:r>
      <w:r w:rsidRPr="00E22F6C">
        <w:rPr>
          <w:rFonts w:ascii="Verdana" w:hAnsi="Verdana" w:cs="Arial"/>
          <w:bCs/>
          <w:lang w:val="es-ES_tradnl"/>
        </w:rPr>
        <w:t>De conformidad con el artículo 1 de la Ley 2022</w:t>
      </w:r>
      <w:r>
        <w:rPr>
          <w:rFonts w:ascii="Verdana" w:hAnsi="Verdana" w:cs="Arial"/>
          <w:bCs/>
          <w:lang w:val="es-ES_tradnl"/>
        </w:rPr>
        <w:t xml:space="preserve"> </w:t>
      </w:r>
      <w:r w:rsidRPr="00E22F6C">
        <w:rPr>
          <w:rFonts w:ascii="Verdana" w:hAnsi="Verdana" w:cs="Arial"/>
          <w:bCs/>
          <w:lang w:val="es-ES_tradnl"/>
        </w:rPr>
        <w:t>de 2020, los documentos tipo son obligatorios en la actividad contractual de las entidades estatales</w:t>
      </w:r>
      <w:r>
        <w:rPr>
          <w:rFonts w:ascii="Verdana" w:hAnsi="Verdana" w:cs="Arial"/>
          <w:bCs/>
          <w:lang w:val="es-ES_tradnl"/>
        </w:rPr>
        <w:t xml:space="preserve"> </w:t>
      </w:r>
      <w:r w:rsidRPr="00E22F6C">
        <w:rPr>
          <w:rFonts w:ascii="Verdana" w:hAnsi="Verdana" w:cs="Arial"/>
          <w:bCs/>
          <w:lang w:val="es-ES_tradnl"/>
        </w:rPr>
        <w:t>sometidas al Estatuto General de Contratación de la Administración Pública, patrimonios autónomos</w:t>
      </w:r>
      <w:r>
        <w:rPr>
          <w:rFonts w:ascii="Verdana" w:hAnsi="Verdana" w:cs="Arial"/>
          <w:bCs/>
          <w:lang w:val="es-ES_tradnl"/>
        </w:rPr>
        <w:t xml:space="preserve"> </w:t>
      </w:r>
      <w:r w:rsidRPr="00E22F6C">
        <w:rPr>
          <w:rFonts w:ascii="Verdana" w:hAnsi="Verdana" w:cs="Arial"/>
          <w:bCs/>
          <w:lang w:val="es-ES_tradnl"/>
        </w:rPr>
        <w:t>o personas naturales o jurídicas de derecho público o privado que por mandamiento legal estén</w:t>
      </w:r>
      <w:r>
        <w:rPr>
          <w:rFonts w:ascii="Verdana" w:hAnsi="Verdana" w:cs="Arial"/>
          <w:bCs/>
          <w:lang w:val="es-ES_tradnl"/>
        </w:rPr>
        <w:t xml:space="preserve"> </w:t>
      </w:r>
      <w:r w:rsidRPr="00E22F6C">
        <w:rPr>
          <w:rFonts w:ascii="Verdana" w:hAnsi="Verdana" w:cs="Arial"/>
          <w:bCs/>
          <w:lang w:val="es-ES_tradnl"/>
        </w:rPr>
        <w:t>obligadas a su aplicación. En consecuencia, los obligados a su aplicación, al adelantar sus</w:t>
      </w:r>
      <w:r>
        <w:rPr>
          <w:rFonts w:ascii="Verdana" w:hAnsi="Verdana" w:cs="Arial"/>
          <w:bCs/>
          <w:lang w:val="es-ES_tradnl"/>
        </w:rPr>
        <w:t xml:space="preserve"> </w:t>
      </w:r>
      <w:r w:rsidRPr="00E22F6C">
        <w:rPr>
          <w:rFonts w:ascii="Verdana" w:hAnsi="Verdana" w:cs="Arial"/>
          <w:bCs/>
          <w:lang w:val="es-ES_tradnl"/>
        </w:rPr>
        <w:t>procedimientos de selección, solo podrán modificarlos en los aspectos en que los documentos tipo lo</w:t>
      </w:r>
      <w:r>
        <w:rPr>
          <w:rFonts w:ascii="Verdana" w:hAnsi="Verdana" w:cs="Arial"/>
          <w:bCs/>
          <w:lang w:val="es-ES_tradnl"/>
        </w:rPr>
        <w:t xml:space="preserve"> </w:t>
      </w:r>
      <w:r w:rsidRPr="00E22F6C">
        <w:rPr>
          <w:rFonts w:ascii="Verdana" w:hAnsi="Verdana" w:cs="Arial"/>
          <w:bCs/>
          <w:lang w:val="es-ES_tradnl"/>
        </w:rPr>
        <w:t>permitan</w:t>
      </w:r>
      <w:r w:rsidRPr="00C05785">
        <w:rPr>
          <w:rFonts w:ascii="Verdana" w:hAnsi="Verdana" w:cs="Arial"/>
          <w:bCs/>
          <w:lang w:val="es-ES_tradnl"/>
        </w:rPr>
        <w:t>”.</w:t>
      </w:r>
    </w:p>
    <w:bookmarkEnd w:id="13"/>
    <w:p w14:paraId="671C30AD" w14:textId="77777777" w:rsidR="00FE2344" w:rsidRPr="00C05785" w:rsidRDefault="00FE2344" w:rsidP="00FE2344">
      <w:pPr>
        <w:spacing w:before="120" w:line="276" w:lineRule="auto"/>
        <w:ind w:firstLine="708"/>
        <w:jc w:val="both"/>
        <w:rPr>
          <w:rFonts w:ascii="Verdana" w:hAnsi="Verdana" w:cs="Arial"/>
          <w:bCs/>
          <w:lang w:val="es-ES_tradnl"/>
        </w:rPr>
      </w:pPr>
      <w:r w:rsidRPr="00C05785">
        <w:rPr>
          <w:rFonts w:ascii="Verdana" w:hAnsi="Verdana" w:cs="Arial"/>
          <w:bCs/>
          <w:lang w:val="es-ES_tradnl"/>
        </w:rPr>
        <w:t xml:space="preserve">Además, las entidades estatales deben garantizar el </w:t>
      </w:r>
      <w:r w:rsidRPr="00C05785">
        <w:rPr>
          <w:rFonts w:ascii="Verdana" w:hAnsi="Verdana" w:cs="Arial"/>
          <w:bCs/>
          <w:i/>
          <w:iCs/>
          <w:lang w:val="es-ES_tradnl"/>
        </w:rPr>
        <w:t>principio de economía</w:t>
      </w:r>
      <w:r w:rsidRPr="00C05785">
        <w:rPr>
          <w:rFonts w:ascii="Verdana" w:hAnsi="Verdana" w:cs="Arial"/>
          <w:bCs/>
          <w:lang w:val="es-ES_tradnl"/>
        </w:rPr>
        <w:t xml:space="preserve">, del cual se desprende que no pueden exigir documentos o requisitos más allá de los que permitan la Constitución, la ley y los reglamentos. Este </w:t>
      </w:r>
      <w:r w:rsidRPr="00C05785">
        <w:rPr>
          <w:rFonts w:ascii="Verdana" w:hAnsi="Verdana" w:cs="Arial"/>
          <w:bCs/>
          <w:lang w:val="es-ES_tradnl"/>
        </w:rPr>
        <w:lastRenderedPageBreak/>
        <w:t>postulado ha encontrado eco no solo en la contratación estatal</w:t>
      </w:r>
      <w:r w:rsidRPr="00C05785">
        <w:rPr>
          <w:rStyle w:val="Refdenotaalpie"/>
          <w:rFonts w:ascii="Verdana" w:hAnsi="Verdana" w:cs="Arial"/>
          <w:bCs/>
          <w:lang w:val="es-ES_tradnl"/>
        </w:rPr>
        <w:footnoteReference w:id="28"/>
      </w:r>
      <w:r w:rsidRPr="00C05785">
        <w:rPr>
          <w:rFonts w:ascii="Verdana" w:hAnsi="Verdana" w:cs="Arial"/>
          <w:bCs/>
          <w:lang w:val="es-ES_tradnl"/>
        </w:rPr>
        <w:t xml:space="preserve"> sino además en la normativa </w:t>
      </w:r>
      <w:proofErr w:type="spellStart"/>
      <w:r w:rsidRPr="00C05785">
        <w:rPr>
          <w:rFonts w:ascii="Verdana" w:hAnsi="Verdana" w:cs="Arial"/>
          <w:bCs/>
          <w:lang w:val="es-ES_tradnl"/>
        </w:rPr>
        <w:t>antitrámites</w:t>
      </w:r>
      <w:proofErr w:type="spellEnd"/>
      <w:r w:rsidRPr="00C05785">
        <w:rPr>
          <w:rFonts w:ascii="Verdana" w:hAnsi="Verdana" w:cs="Arial"/>
          <w:bCs/>
          <w:lang w:val="es-ES_tradnl"/>
        </w:rPr>
        <w:t>, pues se inscribe dentro de la tendencia de simplificación y racionalización de los procedimientos administrativos</w:t>
      </w:r>
      <w:r w:rsidRPr="00C05785">
        <w:rPr>
          <w:rStyle w:val="Refdenotaalpie"/>
          <w:rFonts w:ascii="Verdana" w:hAnsi="Verdana" w:cs="Arial"/>
          <w:bCs/>
          <w:lang w:val="es-ES_tradnl"/>
        </w:rPr>
        <w:footnoteReference w:id="29"/>
      </w:r>
      <w:r w:rsidRPr="00C05785">
        <w:rPr>
          <w:rFonts w:ascii="Verdana" w:hAnsi="Verdana" w:cs="Arial"/>
          <w:bCs/>
          <w:lang w:val="es-ES_tradnl"/>
        </w:rPr>
        <w:t>. De ahí que cuando las autoridades solicitan la entrega de documentación innecesaria, menoscaban el principio de economía.</w:t>
      </w:r>
    </w:p>
    <w:p w14:paraId="3F845C4D" w14:textId="77777777" w:rsidR="00FE2344" w:rsidRPr="00C05785" w:rsidRDefault="00FE2344" w:rsidP="00FE2344">
      <w:pPr>
        <w:spacing w:before="120" w:line="276" w:lineRule="auto"/>
        <w:ind w:firstLine="709"/>
        <w:jc w:val="both"/>
        <w:rPr>
          <w:rFonts w:ascii="Verdana" w:hAnsi="Verdana" w:cs="Arial"/>
        </w:rPr>
      </w:pPr>
      <w:r w:rsidRPr="00C05785">
        <w:rPr>
          <w:rFonts w:ascii="Verdana" w:hAnsi="Verdana" w:cs="Arial"/>
        </w:rPr>
        <w:t xml:space="preserve">Por su parte, la parte introductoria de los documentos tipo dispone que los aspectos incluidos en corchetes y resaltado gris </w:t>
      </w:r>
      <w:r w:rsidRPr="00C05785">
        <w:rPr>
          <w:rFonts w:ascii="Verdana" w:hAnsi="Verdana" w:cs="Arial"/>
          <w:highlight w:val="lightGray"/>
        </w:rPr>
        <w:t>–[texto de ejemplo]–</w:t>
      </w:r>
      <w:r w:rsidRPr="00C05785">
        <w:rPr>
          <w:rFonts w:ascii="Verdana" w:hAnsi="Verdana" w:cs="Arial"/>
        </w:rPr>
        <w:t xml:space="preserve">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del pliego. </w:t>
      </w:r>
    </w:p>
    <w:p w14:paraId="53D5CEB0" w14:textId="77777777" w:rsidR="00FE2344" w:rsidRPr="00C05785" w:rsidRDefault="00FE2344" w:rsidP="00FE2344">
      <w:pPr>
        <w:spacing w:before="120" w:line="276" w:lineRule="auto"/>
        <w:ind w:firstLine="709"/>
        <w:jc w:val="both"/>
        <w:rPr>
          <w:rFonts w:ascii="Verdana" w:hAnsi="Verdana" w:cs="Arial"/>
          <w:bCs/>
        </w:rPr>
      </w:pPr>
      <w:r w:rsidRPr="00C05785">
        <w:rPr>
          <w:rFonts w:ascii="Verdana" w:hAnsi="Verdana" w:cs="Arial"/>
          <w:bCs/>
        </w:rPr>
        <w:t>Es de precisar que la entidad durante la etapa de planeación como resultado del estudio del sector y del análisis de riesgo, debe establecer las condiciones necesarias para garantizar la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principio de inalterabilidad.</w:t>
      </w:r>
    </w:p>
    <w:p w14:paraId="4C67122C" w14:textId="77777777" w:rsidR="00FE2344" w:rsidRPr="00C05785" w:rsidRDefault="00FE2344" w:rsidP="00FE2344">
      <w:pPr>
        <w:spacing w:before="120" w:line="276" w:lineRule="auto"/>
        <w:ind w:firstLine="709"/>
        <w:jc w:val="both"/>
        <w:rPr>
          <w:rFonts w:ascii="Verdana" w:hAnsi="Verdana" w:cs="Arial"/>
        </w:rPr>
      </w:pPr>
      <w:r w:rsidRPr="00C05785">
        <w:rPr>
          <w:rFonts w:ascii="Verdana" w:hAnsi="Verdana" w:cs="Arial"/>
        </w:rPr>
        <w:t xml:space="preserve">Además, el artículo 4 de la Resolución </w:t>
      </w:r>
      <w:r>
        <w:rPr>
          <w:rFonts w:ascii="Verdana" w:hAnsi="Verdana" w:cs="Arial"/>
          <w:bCs/>
          <w:lang w:val="es-ES_tradnl"/>
        </w:rPr>
        <w:t>465 de 2024</w:t>
      </w:r>
      <w:r w:rsidRPr="00C05785">
        <w:rPr>
          <w:rFonts w:ascii="Verdana" w:hAnsi="Verdana" w:cs="Arial"/>
        </w:rPr>
        <w:t xml:space="preserve"> regula los eventos en los que el objeto contractual incluye bienes o servicios adicionales a la obra pública de infraestructura </w:t>
      </w:r>
      <w:r>
        <w:rPr>
          <w:rFonts w:ascii="Verdana" w:hAnsi="Verdana" w:cs="Arial"/>
        </w:rPr>
        <w:t>de transporte</w:t>
      </w:r>
      <w:r w:rsidRPr="00C05785">
        <w:rPr>
          <w:rFonts w:ascii="Verdana" w:hAnsi="Verdana" w:cs="Arial"/>
        </w:rPr>
        <w:t xml:space="preserve">. En este caso, la entidad estatal puede complementar experiencia adicional para evaluar la idoneidad respecto de los </w:t>
      </w:r>
      <w:r w:rsidRPr="00C05785">
        <w:rPr>
          <w:rFonts w:ascii="Verdana" w:hAnsi="Verdana" w:cs="Arial"/>
        </w:rPr>
        <w:lastRenderedPageBreak/>
        <w:t xml:space="preserve">bienes o servicios ajenos a la obra pública. No obstante, deberá seguir los siguientes parámetros: i)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 </w:t>
      </w:r>
      <w:proofErr w:type="spellStart"/>
      <w:r w:rsidRPr="00C05785">
        <w:rPr>
          <w:rFonts w:ascii="Verdana" w:hAnsi="Verdana" w:cs="Arial"/>
        </w:rPr>
        <w:t>ii</w:t>
      </w:r>
      <w:proofErr w:type="spellEnd"/>
      <w:r w:rsidRPr="00C05785">
        <w:rPr>
          <w:rFonts w:ascii="Verdana" w:hAnsi="Verdana" w:cs="Arial"/>
        </w:rPr>
        <w:t xml:space="preserve">) conservar los requisitos exigidos en los documentos tipo, </w:t>
      </w:r>
      <w:proofErr w:type="spellStart"/>
      <w:r w:rsidRPr="00C05785">
        <w:rPr>
          <w:rFonts w:ascii="Verdana" w:hAnsi="Verdana" w:cs="Arial"/>
        </w:rPr>
        <w:t>iii</w:t>
      </w:r>
      <w:proofErr w:type="spellEnd"/>
      <w:r w:rsidRPr="00C05785">
        <w:rPr>
          <w:rFonts w:ascii="Verdana" w:hAnsi="Verdana" w:cs="Arial"/>
        </w:rPr>
        <w:t xml:space="preserve">) abstenerse de pedir experiencia exclusiva con entidades estatales, experiencia previa en un territorio específico, limitada en el tiempo o que incluya volúmenes o cantidades de obra específica, </w:t>
      </w:r>
      <w:proofErr w:type="spellStart"/>
      <w:r w:rsidRPr="00C05785">
        <w:rPr>
          <w:rFonts w:ascii="Verdana" w:hAnsi="Verdana" w:cs="Arial"/>
        </w:rPr>
        <w:t>iv</w:t>
      </w:r>
      <w:proofErr w:type="spellEnd"/>
      <w:r w:rsidRPr="00C05785">
        <w:rPr>
          <w:rFonts w:ascii="Verdana" w:hAnsi="Verdana" w:cs="Arial"/>
        </w:rPr>
        <w:t>) clasificar la experiencia requerida solo hasta el tercer nivel del Clasificador de Bienes y Servicios e incluir exclusivamente los códigos que estén relacionados directamente con el objeto a contratar</w:t>
      </w:r>
      <w:r w:rsidRPr="00C05785">
        <w:rPr>
          <w:rStyle w:val="Refdenotaalpie"/>
          <w:rFonts w:ascii="Verdana" w:hAnsi="Verdana" w:cs="Arial"/>
        </w:rPr>
        <w:footnoteReference w:id="30"/>
      </w:r>
      <w:r w:rsidRPr="00C05785">
        <w:rPr>
          <w:rFonts w:ascii="Verdana" w:hAnsi="Verdana" w:cs="Arial"/>
        </w:rPr>
        <w:t xml:space="preserve">. </w:t>
      </w:r>
    </w:p>
    <w:p w14:paraId="293112D4" w14:textId="77777777" w:rsidR="00FE2344" w:rsidRPr="00C05785" w:rsidRDefault="00FE2344" w:rsidP="00FE2344">
      <w:pPr>
        <w:spacing w:before="120" w:after="120" w:line="276" w:lineRule="auto"/>
        <w:ind w:firstLine="709"/>
        <w:jc w:val="both"/>
        <w:rPr>
          <w:rFonts w:ascii="Verdana" w:eastAsia="Calibri" w:hAnsi="Verdana" w:cs="Arial"/>
        </w:rPr>
      </w:pPr>
      <w:r w:rsidRPr="00C05785">
        <w:rPr>
          <w:rFonts w:ascii="Verdana" w:eastAsia="Calibri" w:hAnsi="Verdana" w:cs="Arial"/>
        </w:rPr>
        <w:t xml:space="preserve">En armonía con lo anterior, la entidad estatal que opte por solicitar experiencia adicional debe evidenciar en los documentos del proceso que agotó estos pasos y cumplió con los parámetros exigidos. Para ello, debe justificar en los estudios y documentos previos, como parte del deber de análisis, que ha verificado que la experiencia adicional relacionada con los bienes o servicios y que dicha experiencia no afecta significativamente la pluralidad de oferentes. Es </w:t>
      </w:r>
      <w:r w:rsidRPr="00C05785">
        <w:rPr>
          <w:rFonts w:ascii="Verdana" w:eastAsia="Calibri" w:hAnsi="Verdana" w:cs="Arial"/>
        </w:rPr>
        <w:lastRenderedPageBreak/>
        <w:t>decir, la entidad estatal debe revisar que al solicitar esta experiencia existan suficientes potenciales proponentes que puedan acreditar estas condiciones. En segundo lugar, la solicitud de esta experiencia no permite que la entidad modifique los requisitos habilitantes y de ponderación de las propuestas, por lo cual se deben mantener los establecidos en los documentos tipo.</w:t>
      </w:r>
    </w:p>
    <w:p w14:paraId="5AAC179F" w14:textId="77777777" w:rsidR="00FE2344" w:rsidRPr="00C05785" w:rsidRDefault="00FE2344" w:rsidP="00FE2344">
      <w:pPr>
        <w:spacing w:before="120" w:after="120" w:line="276" w:lineRule="auto"/>
        <w:ind w:firstLine="709"/>
        <w:jc w:val="both"/>
        <w:rPr>
          <w:rFonts w:ascii="Verdana" w:eastAsia="Calibri" w:hAnsi="Verdana" w:cs="Arial"/>
        </w:rPr>
      </w:pPr>
      <w:r w:rsidRPr="00C05785">
        <w:rPr>
          <w:rFonts w:ascii="Verdana" w:eastAsia="Calibri" w:hAnsi="Verdana" w:cs="Arial"/>
        </w:rPr>
        <w:t xml:space="preserve">De este modo, conforme al </w:t>
      </w:r>
      <w:r w:rsidRPr="00C05785">
        <w:rPr>
          <w:rFonts w:ascii="Verdana" w:hAnsi="Verdana" w:cs="Arial"/>
        </w:rPr>
        <w:t xml:space="preserve">artículo 4 de la Resolución </w:t>
      </w:r>
      <w:r>
        <w:rPr>
          <w:rFonts w:ascii="Verdana" w:hAnsi="Verdana" w:cs="Arial"/>
          <w:bCs/>
          <w:lang w:val="es-ES_tradnl"/>
        </w:rPr>
        <w:t>465 de 2024</w:t>
      </w:r>
      <w:r w:rsidRPr="00C05785">
        <w:rPr>
          <w:rFonts w:ascii="Verdana" w:eastAsia="Calibri" w:hAnsi="Verdana" w:cs="Arial"/>
        </w:rPr>
        <w:t xml:space="preserve">, si de manera excepcional la entidad estatal considera que el contratista de la obra que debe contratarse a través de la aplicación de los documentos tipo de infraestructura </w:t>
      </w:r>
      <w:r>
        <w:rPr>
          <w:rFonts w:ascii="Verdana" w:eastAsia="Calibri" w:hAnsi="Verdana" w:cs="Arial"/>
        </w:rPr>
        <w:t>de transporte</w:t>
      </w:r>
      <w:r w:rsidRPr="00C05785">
        <w:rPr>
          <w:rFonts w:ascii="Verdana" w:eastAsia="Calibri" w:hAnsi="Verdana" w:cs="Arial"/>
        </w:rPr>
        <w:t xml:space="preserve"> debe ejecutar bienes o servicios adicionales, como sería el caso de los estudios y diseños necesarios para la obra, puede incluir la experiencia adicional para evaluar la idoneidad de los proponentes, cumpliendo todas las demás exigencias de los documentos tipo. La anterior conclusión, además, se refuerza con consideraciones relativas a la posibilidad de incluir como obligación contractual en un contrato de obra la realización de los estudios y diseños.</w:t>
      </w:r>
    </w:p>
    <w:p w14:paraId="171308FA" w14:textId="77777777" w:rsidR="00FE2344" w:rsidRPr="00C05785" w:rsidRDefault="00FE2344" w:rsidP="00FE2344">
      <w:pPr>
        <w:spacing w:before="120" w:after="120" w:line="276" w:lineRule="auto"/>
        <w:ind w:firstLine="709"/>
        <w:jc w:val="both"/>
        <w:rPr>
          <w:rFonts w:ascii="Verdana" w:eastAsia="Calibri" w:hAnsi="Verdana" w:cs="Arial"/>
        </w:rPr>
      </w:pPr>
      <w:r w:rsidRPr="00C05785">
        <w:rPr>
          <w:rFonts w:ascii="Verdana" w:eastAsia="Calibri" w:hAnsi="Verdana" w:cs="Arial"/>
        </w:rPr>
        <w:t xml:space="preserve">Así las cosas, si la obra que pretende ejecutar la entidad estatal se enmarca en alguno de los tipos de proyectos o actividades incluidas en alguna de las matrices de experiencia de los documentos tipo </w:t>
      </w:r>
      <w:r w:rsidRPr="00C05785">
        <w:rPr>
          <w:rFonts w:ascii="Verdana" w:eastAsia="Calibri" w:hAnsi="Verdana" w:cs="Arial"/>
          <w:i/>
          <w:iCs/>
        </w:rPr>
        <w:t>complementarios</w:t>
      </w:r>
      <w:r w:rsidRPr="00C05785">
        <w:rPr>
          <w:rFonts w:ascii="Verdana" w:eastAsia="Calibri" w:hAnsi="Verdana" w:cs="Arial"/>
        </w:rPr>
        <w:t xml:space="preserve"> relacionados con la infraestructura </w:t>
      </w:r>
      <w:r>
        <w:rPr>
          <w:rFonts w:ascii="Verdana" w:eastAsia="Calibri" w:hAnsi="Verdana" w:cs="Arial"/>
        </w:rPr>
        <w:t>de transporte</w:t>
      </w:r>
      <w:r w:rsidRPr="00C05785">
        <w:rPr>
          <w:rFonts w:ascii="Verdana" w:eastAsia="Calibri" w:hAnsi="Verdana" w:cs="Arial"/>
        </w:rPr>
        <w:t xml:space="preserve">, el proceso de selección debe adelantarse utilizando dichos documentos tipo. Esto aplica, incluso, para los contratos de obra “llave en mano” para infraestructura </w:t>
      </w:r>
      <w:r>
        <w:rPr>
          <w:rFonts w:ascii="Verdana" w:eastAsia="Calibri" w:hAnsi="Verdana" w:cs="Arial"/>
        </w:rPr>
        <w:t xml:space="preserve"> de transporte</w:t>
      </w:r>
      <w:r w:rsidRPr="00C05785">
        <w:rPr>
          <w:rFonts w:ascii="Verdana" w:eastAsia="Calibri" w:hAnsi="Verdana" w:cs="Arial"/>
        </w:rPr>
        <w:t>, en donde se considere necesario exigir experiencia adicional para la ejecución de bienes o servicios adicionales a la obra pública, como sería la realización de los diseños de la obra.</w:t>
      </w:r>
    </w:p>
    <w:p w14:paraId="504C2CF8" w14:textId="77777777" w:rsidR="00FE2344" w:rsidRPr="00C05785" w:rsidRDefault="00FE2344" w:rsidP="00FE2344">
      <w:pPr>
        <w:spacing w:before="120" w:line="276" w:lineRule="auto"/>
        <w:ind w:firstLine="709"/>
        <w:jc w:val="both"/>
        <w:rPr>
          <w:rFonts w:ascii="Verdana" w:hAnsi="Verdana" w:cs="Arial"/>
          <w:bCs/>
        </w:rPr>
      </w:pPr>
      <w:r w:rsidRPr="00C05785">
        <w:rPr>
          <w:rFonts w:ascii="Verdana" w:hAnsi="Verdana" w:cs="Arial"/>
          <w:bCs/>
        </w:rPr>
        <w:t xml:space="preserve">En suma, 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de infraestructura </w:t>
      </w:r>
      <w:r>
        <w:rPr>
          <w:rFonts w:ascii="Verdana" w:hAnsi="Verdana" w:cs="Arial"/>
          <w:bCs/>
        </w:rPr>
        <w:t>de transporte</w:t>
      </w:r>
      <w:r w:rsidRPr="00C05785">
        <w:rPr>
          <w:rFonts w:ascii="Verdana" w:hAnsi="Verdana" w:cs="Arial"/>
          <w:bCs/>
        </w:rPr>
        <w:t xml:space="preserve">, caso en el que se podrá incluir experiencia adicional de manera excepcional; y, además, cuando el pliego tipo de forma expresa lo permita, es decir, en los aspectos incluidos en corchetes y resaltados en gris. </w:t>
      </w:r>
    </w:p>
    <w:p w14:paraId="1566113E" w14:textId="77777777" w:rsidR="00FE2344" w:rsidRPr="00C05785" w:rsidRDefault="00FE2344" w:rsidP="00FE2344">
      <w:pPr>
        <w:spacing w:before="120" w:line="276" w:lineRule="auto"/>
        <w:ind w:firstLine="709"/>
        <w:jc w:val="both"/>
        <w:rPr>
          <w:rFonts w:ascii="Verdana" w:hAnsi="Verdana" w:cs="Arial"/>
          <w:bCs/>
          <w:lang w:val="es-ES_tradnl"/>
        </w:rPr>
      </w:pPr>
      <w:r w:rsidRPr="00C05785">
        <w:rPr>
          <w:rFonts w:ascii="Verdana" w:hAnsi="Verdana" w:cs="Arial"/>
          <w:bCs/>
        </w:rPr>
        <w:t xml:space="preserve">Este principio de inalterabilidad se extiende a los formatos y anexos implementados junto con el “Documento Base”, los cuales deben usarse para </w:t>
      </w:r>
      <w:r w:rsidRPr="00C05785">
        <w:rPr>
          <w:rFonts w:ascii="Verdana" w:hAnsi="Verdana" w:cs="Arial"/>
          <w:bCs/>
        </w:rPr>
        <w:lastRenderedPageBreak/>
        <w:t xml:space="preserve">desarrollar el procedimiento de contratación y que los proponentes acrediten los diferentes requisitos establecidos para participar en él. Estos, al igual que el pliego de condiciones, contienen apartes entre corchetes y resaltados en gris, los cuales deben ser diligenciados por la entidad, al igual que otros aspectos relativos a información que debe ser completada por los oferentes al hacer uso del formato. </w:t>
      </w:r>
    </w:p>
    <w:p w14:paraId="07B047A0" w14:textId="77777777" w:rsidR="00FE2344" w:rsidRPr="00C05785" w:rsidRDefault="00FE2344" w:rsidP="00FE2344">
      <w:pPr>
        <w:spacing w:before="120" w:line="276" w:lineRule="auto"/>
        <w:ind w:firstLine="709"/>
        <w:jc w:val="both"/>
        <w:rPr>
          <w:rFonts w:ascii="Verdana" w:hAnsi="Verdana" w:cs="Arial"/>
        </w:rPr>
      </w:pPr>
      <w:r w:rsidRPr="00C05785">
        <w:rPr>
          <w:rFonts w:ascii="Verdana" w:hAnsi="Verdana" w:cs="Arial"/>
        </w:rPr>
        <w:t xml:space="preserve">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En relación con el principio constitucional </w:t>
      </w:r>
      <w:r w:rsidRPr="00C05785">
        <w:rPr>
          <w:rFonts w:ascii="Verdana" w:hAnsi="Verdana" w:cs="Arial"/>
          <w:i/>
          <w:iCs/>
        </w:rPr>
        <w:t>sub examine</w:t>
      </w:r>
      <w:r w:rsidRPr="00C05785">
        <w:rPr>
          <w:rFonts w:ascii="Verdana"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C05785">
        <w:rPr>
          <w:rStyle w:val="Refdenotaalpie"/>
          <w:rFonts w:ascii="Verdana" w:hAnsi="Verdana" w:cs="Arial"/>
        </w:rPr>
        <w:footnoteReference w:id="31"/>
      </w:r>
      <w:r w:rsidRPr="00C05785">
        <w:rPr>
          <w:rFonts w:ascii="Verdana" w:hAnsi="Verdana" w:cs="Arial"/>
        </w:rPr>
        <w:t xml:space="preserve">. </w:t>
      </w:r>
    </w:p>
    <w:p w14:paraId="10B87F46" w14:textId="77777777" w:rsidR="00FE2344" w:rsidRPr="00C05785" w:rsidRDefault="00FE2344" w:rsidP="00FE2344">
      <w:pPr>
        <w:spacing w:before="120" w:after="0" w:line="276" w:lineRule="auto"/>
        <w:ind w:firstLine="709"/>
        <w:jc w:val="both"/>
        <w:rPr>
          <w:rStyle w:val="normaltextrun"/>
          <w:rFonts w:ascii="Verdana" w:hAnsi="Verdana" w:cs="Arial"/>
        </w:rPr>
      </w:pPr>
      <w:r w:rsidRPr="00C05785">
        <w:rPr>
          <w:rFonts w:ascii="Verdana" w:hAnsi="Verdana" w:cs="Arial"/>
        </w:rPr>
        <w:t>De acuerdo con lo anterior, el carácter inalterable de los documentos tipo no puede hacerse extensivo a los aspectos simplemente formales de tales documentos, esto es, el tamaño y tipo de letra, las márgenes o las expresiones que pretenden hacer más comprensible el documento, como es el caso de aquellas que informan que una expresión larga será referida con otra similar pero más corta. Lo anterior teniendo en cuenta que estos aspectos en nada afectan la aplicación y alcance de los documentos tipo, esto es, no afectan su contenido esencial y, mucho menos, las obligaciones, deberes y derechos que se derivan para las partes contratantes.</w:t>
      </w:r>
      <w:r w:rsidRPr="00C05785">
        <w:rPr>
          <w:rStyle w:val="normaltextrun"/>
          <w:rFonts w:ascii="Verdana" w:hAnsi="Verdana" w:cs="Arial"/>
          <w:color w:val="000000"/>
          <w:shd w:val="clear" w:color="auto" w:fill="FFFFFF"/>
        </w:rPr>
        <w:t xml:space="preserve"> </w:t>
      </w:r>
    </w:p>
    <w:p w14:paraId="10F7521C" w14:textId="77777777" w:rsidR="00FE2344" w:rsidRDefault="00FE2344" w:rsidP="00FE2344">
      <w:pPr>
        <w:tabs>
          <w:tab w:val="left" w:pos="709"/>
        </w:tabs>
        <w:spacing w:after="0" w:line="276" w:lineRule="auto"/>
        <w:jc w:val="both"/>
        <w:rPr>
          <w:rFonts w:ascii="Verdana" w:eastAsia="Calibri" w:hAnsi="Verdana" w:cs="Arial"/>
          <w:kern w:val="2"/>
          <w14:ligatures w14:val="standardContextual"/>
        </w:rPr>
      </w:pPr>
    </w:p>
    <w:p w14:paraId="7B15C00E" w14:textId="77777777" w:rsidR="00FE2344" w:rsidRPr="00A47393" w:rsidRDefault="00FE2344" w:rsidP="00FE2344">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kern w:val="2"/>
          <w14:ligatures w14:val="standardContextual"/>
        </w:rPr>
        <w:t xml:space="preserve">vi. </w:t>
      </w:r>
      <w:r w:rsidRPr="00A473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w:t>
      </w:r>
      <w:r w:rsidRPr="00A47393">
        <w:rPr>
          <w:rFonts w:ascii="Verdana" w:eastAsia="Calibri" w:hAnsi="Verdana" w:cs="Arial"/>
          <w:bCs/>
          <w:color w:val="000000" w:themeColor="text1"/>
        </w:rPr>
        <w:lastRenderedPageBreak/>
        <w:t xml:space="preserve">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Pr>
          <w:rFonts w:ascii="Verdana" w:eastAsia="Calibri" w:hAnsi="Verdana" w:cs="Arial"/>
          <w:bCs/>
          <w:color w:val="000000" w:themeColor="text1"/>
        </w:rPr>
        <w:t>Ante la ausencia de lineamientos y antecedentes en los términos solicitados en la consulta</w:t>
      </w:r>
      <w:r w:rsidRPr="00A47393">
        <w:rPr>
          <w:rFonts w:ascii="Verdana" w:eastAsia="Calibri" w:hAnsi="Verdana" w:cs="Arial"/>
          <w:bCs/>
          <w:color w:val="000000" w:themeColor="text1"/>
        </w:rPr>
        <w:t>, previo concepto de sus asesores, la solución de situaciones particulares corresponde a los interesados adoptar la decisión correspondiente y, en caso de conflicto, a las autoridades judiciales, fiscales y disciplinarias.</w:t>
      </w:r>
    </w:p>
    <w:p w14:paraId="0C75C8A8" w14:textId="77777777" w:rsidR="00FE2344" w:rsidRPr="00185EE9" w:rsidRDefault="00FE2344" w:rsidP="00FE2344">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1D9F9A58" w14:textId="77777777" w:rsidR="00FE2344" w:rsidRPr="00182C89" w:rsidRDefault="00FE2344" w:rsidP="00FE2344">
      <w:pPr>
        <w:tabs>
          <w:tab w:val="left" w:pos="709"/>
        </w:tabs>
        <w:spacing w:after="0" w:line="276" w:lineRule="auto"/>
        <w:jc w:val="both"/>
        <w:rPr>
          <w:rFonts w:ascii="Verdana" w:eastAsia="Calibri" w:hAnsi="Verdana" w:cs="Arial"/>
          <w:color w:val="000000" w:themeColor="text1"/>
        </w:rPr>
      </w:pPr>
    </w:p>
    <w:p w14:paraId="0EF0D61F" w14:textId="77777777" w:rsidR="00FE2344" w:rsidRPr="00593A5F" w:rsidRDefault="00FE2344" w:rsidP="00FE23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85326EC" w14:textId="77777777" w:rsidR="00FE2344" w:rsidRPr="00593A5F" w:rsidRDefault="00FE2344" w:rsidP="00FE234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2344" w:rsidRPr="002407CE" w14:paraId="041CF212" w14:textId="77777777" w:rsidTr="003950AD">
        <w:trPr>
          <w:trHeight w:val="56"/>
          <w:jc w:val="center"/>
        </w:trPr>
        <w:tc>
          <w:tcPr>
            <w:tcW w:w="8647" w:type="dxa"/>
          </w:tcPr>
          <w:p w14:paraId="39090666" w14:textId="77777777" w:rsidR="00FE2344" w:rsidRDefault="00FE2344" w:rsidP="00FE23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 25 y 32.</w:t>
            </w:r>
          </w:p>
          <w:p w14:paraId="2A4748A7" w14:textId="77777777" w:rsidR="00FE2344" w:rsidRDefault="00FE2344" w:rsidP="00FE23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1682 de 2013, </w:t>
            </w:r>
            <w:r w:rsidRPr="00E931C6">
              <w:rPr>
                <w:rFonts w:ascii="Verdana" w:eastAsia="Arial" w:hAnsi="Verdana" w:cs="Arial"/>
              </w:rPr>
              <w:t>artículo 12</w:t>
            </w:r>
            <w:r>
              <w:rPr>
                <w:rFonts w:ascii="Verdana" w:eastAsia="Arial" w:hAnsi="Verdana" w:cs="Arial"/>
              </w:rPr>
              <w:t>.</w:t>
            </w:r>
          </w:p>
          <w:p w14:paraId="0BBB0118" w14:textId="77777777" w:rsidR="00FE2344" w:rsidRDefault="00FE2344" w:rsidP="00FE23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2022 de 2020, artículo 1.</w:t>
            </w:r>
            <w:r w:rsidRPr="00B87E7A">
              <w:rPr>
                <w:rFonts w:ascii="Verdana" w:hAnsi="Verdana" w:cs="Arial"/>
              </w:rPr>
              <w:t xml:space="preserve"> </w:t>
            </w:r>
          </w:p>
          <w:p w14:paraId="2025A1B4" w14:textId="77777777" w:rsidR="00FE2344" w:rsidRDefault="00FE2344" w:rsidP="00FE23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w:t>
            </w:r>
            <w:r w:rsidRPr="00E931C6">
              <w:rPr>
                <w:rFonts w:ascii="Verdana" w:eastAsia="Arial" w:hAnsi="Verdana" w:cs="Arial"/>
              </w:rPr>
              <w:t>artículo 2.2.1.1.2.1.1</w:t>
            </w:r>
            <w:r>
              <w:rPr>
                <w:rFonts w:ascii="Verdana" w:eastAsia="Arial" w:hAnsi="Verdana" w:cs="Arial"/>
              </w:rPr>
              <w:t>.</w:t>
            </w:r>
          </w:p>
          <w:p w14:paraId="5EB941C4" w14:textId="77777777" w:rsidR="00FE2344" w:rsidRPr="00D1188B" w:rsidRDefault="00FE2344" w:rsidP="00FE234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28, 29, 2053, 2060 y 2061.</w:t>
            </w:r>
          </w:p>
        </w:tc>
      </w:tr>
    </w:tbl>
    <w:p w14:paraId="657F454C" w14:textId="77777777" w:rsidR="00FE2344" w:rsidRPr="002407CE" w:rsidRDefault="00FE2344" w:rsidP="00FE2344">
      <w:pPr>
        <w:widowControl w:val="0"/>
        <w:autoSpaceDE w:val="0"/>
        <w:autoSpaceDN w:val="0"/>
        <w:spacing w:after="0" w:line="276" w:lineRule="auto"/>
        <w:jc w:val="both"/>
        <w:rPr>
          <w:rFonts w:ascii="Verdana" w:hAnsi="Verdana" w:cs="Arial"/>
        </w:rPr>
      </w:pPr>
    </w:p>
    <w:p w14:paraId="5E926D9E" w14:textId="77777777" w:rsidR="00FE2344" w:rsidRPr="00593A5F" w:rsidRDefault="00FE2344" w:rsidP="00FE23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2842DA7" w14:textId="77777777" w:rsidR="00FE2344" w:rsidRPr="00593A5F" w:rsidRDefault="00FE2344" w:rsidP="00FE2344">
      <w:pPr>
        <w:widowControl w:val="0"/>
        <w:autoSpaceDE w:val="0"/>
        <w:autoSpaceDN w:val="0"/>
        <w:spacing w:after="0" w:line="276" w:lineRule="auto"/>
        <w:jc w:val="both"/>
        <w:rPr>
          <w:rFonts w:ascii="Verdana" w:hAnsi="Verdana" w:cs="Arial"/>
        </w:rPr>
      </w:pPr>
    </w:p>
    <w:p w14:paraId="13D81EB0" w14:textId="77777777" w:rsidR="00FE2344" w:rsidRPr="00ED0098" w:rsidRDefault="00FE2344" w:rsidP="00FE2344">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6C1C39">
        <w:rPr>
          <w:rFonts w:ascii="Verdana" w:eastAsia="Calibri" w:hAnsi="Verdana" w:cs="Arial"/>
          <w:shd w:val="clear" w:color="auto" w:fill="FFFFFF"/>
          <w:lang w:val="es-ES"/>
        </w:rPr>
        <w:t xml:space="preserve">sobre el fundamento normativo de los documentos tipo en los </w:t>
      </w:r>
      <w:r>
        <w:rPr>
          <w:rFonts w:ascii="Verdana" w:eastAsia="Calibri" w:hAnsi="Verdana" w:cs="Arial"/>
          <w:shd w:val="clear" w:color="auto" w:fill="FFFFFF"/>
          <w:lang w:val="es-ES"/>
        </w:rPr>
        <w:t>C</w:t>
      </w:r>
      <w:r w:rsidRPr="006C1C39">
        <w:rPr>
          <w:rFonts w:ascii="Verdana" w:eastAsia="Calibri" w:hAnsi="Verdana" w:cs="Arial"/>
          <w:shd w:val="clear" w:color="auto" w:fill="FFFFFF"/>
          <w:lang w:val="es-ES"/>
        </w:rPr>
        <w:t xml:space="preserve">onceptos </w:t>
      </w:r>
      <w:r w:rsidRPr="006C1C39">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w:t>
      </w:r>
      <w:r w:rsidRPr="006C1C39">
        <w:rPr>
          <w:rFonts w:ascii="Verdana" w:eastAsia="Times New Roman" w:hAnsi="Verdana" w:cs="Arial"/>
          <w:shd w:val="clear" w:color="auto" w:fill="FFFFFF"/>
          <w:lang w:val="es-ES"/>
        </w:rPr>
        <w:lastRenderedPageBreak/>
        <w:t>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51DF032" w14:textId="77777777" w:rsidR="00FE2344" w:rsidRPr="00096788" w:rsidRDefault="00FE2344" w:rsidP="00FE2344">
      <w:pPr>
        <w:widowControl w:val="0"/>
        <w:autoSpaceDE w:val="0"/>
        <w:autoSpaceDN w:val="0"/>
        <w:spacing w:after="0" w:line="276" w:lineRule="auto"/>
        <w:jc w:val="both"/>
        <w:rPr>
          <w:rFonts w:ascii="Verdana" w:hAnsi="Verdana" w:cs="Arial"/>
          <w:color w:val="000000" w:themeColor="text1"/>
          <w:shd w:val="clear" w:color="auto" w:fill="FFFFFF"/>
        </w:rPr>
      </w:pPr>
    </w:p>
    <w:p w14:paraId="48949916" w14:textId="77777777" w:rsidR="00FE2344" w:rsidRDefault="00FE2344" w:rsidP="00FE2344">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7C1C28D" w14:textId="77777777" w:rsidR="00FE2344" w:rsidRPr="009A385A" w:rsidRDefault="00FE2344" w:rsidP="00FE2344">
      <w:pPr>
        <w:spacing w:after="0"/>
        <w:jc w:val="both"/>
        <w:rPr>
          <w:rFonts w:ascii="Verdana" w:hAnsi="Verdana"/>
        </w:rPr>
      </w:pPr>
    </w:p>
    <w:p w14:paraId="2F5161BB" w14:textId="77777777" w:rsidR="00FE2344" w:rsidRDefault="00FE2344" w:rsidP="00FE2344">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601F19D9" w14:textId="77777777" w:rsidR="00FE2344" w:rsidRDefault="00FE2344" w:rsidP="00FE2344">
      <w:pPr>
        <w:spacing w:after="0"/>
        <w:jc w:val="both"/>
        <w:rPr>
          <w:rFonts w:ascii="Verdana" w:hAnsi="Verdana"/>
        </w:rPr>
      </w:pPr>
    </w:p>
    <w:p w14:paraId="242F8EA6" w14:textId="77777777" w:rsidR="00FE2344" w:rsidRPr="008E1CD7" w:rsidRDefault="00FE2344" w:rsidP="00FE2344">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F803099" w14:textId="77777777" w:rsidR="00FE2344" w:rsidRDefault="00FE2344" w:rsidP="00FE2344">
      <w:pPr>
        <w:shd w:val="clear" w:color="auto" w:fill="FFFFFF"/>
        <w:spacing w:after="0" w:line="276" w:lineRule="auto"/>
        <w:jc w:val="both"/>
        <w:rPr>
          <w:rFonts w:ascii="Verdana" w:hAnsi="Verdana"/>
          <w:color w:val="000000"/>
          <w:u w:val="single"/>
        </w:rPr>
      </w:pPr>
    </w:p>
    <w:p w14:paraId="03D54390" w14:textId="77777777" w:rsidR="00FE2344" w:rsidRPr="00116940" w:rsidRDefault="00FE2344" w:rsidP="00FE234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78DA6F5" w14:textId="77777777" w:rsidR="00FE2344" w:rsidRPr="00116940" w:rsidRDefault="00FE2344" w:rsidP="00FE2344">
      <w:pPr>
        <w:spacing w:after="0"/>
        <w:jc w:val="both"/>
        <w:rPr>
          <w:rFonts w:ascii="Verdana" w:hAnsi="Verdana"/>
        </w:rPr>
      </w:pPr>
    </w:p>
    <w:p w14:paraId="004ACEF6" w14:textId="77777777" w:rsidR="00FE2344" w:rsidRPr="00116940" w:rsidRDefault="00FE2344" w:rsidP="00FE234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0F2718F" w14:textId="77777777" w:rsidR="00FE2344" w:rsidRPr="00116940" w:rsidRDefault="00FE2344" w:rsidP="00FE234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FFB4BA5" w14:textId="77777777" w:rsidR="00FE2344" w:rsidRPr="00116940" w:rsidRDefault="00FE2344" w:rsidP="00FE23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691F937" w14:textId="77777777" w:rsidR="00FE2344" w:rsidRPr="00116940" w:rsidRDefault="00FE2344" w:rsidP="00FE23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0912B1FD" w14:textId="77777777" w:rsidR="00FE2344" w:rsidRPr="00116940" w:rsidRDefault="00FE2344" w:rsidP="00FE2344">
      <w:pPr>
        <w:spacing w:after="0" w:line="240" w:lineRule="auto"/>
        <w:ind w:left="720"/>
        <w:jc w:val="both"/>
        <w:rPr>
          <w:rFonts w:ascii="Verdana" w:hAnsi="Verdana"/>
        </w:rPr>
      </w:pPr>
    </w:p>
    <w:p w14:paraId="2D42E5D1" w14:textId="77777777" w:rsidR="00FE2344" w:rsidRPr="00116940" w:rsidRDefault="00FE2344" w:rsidP="00FE2344">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A775186" w14:textId="77777777" w:rsidR="00FE2344" w:rsidRPr="00116940" w:rsidRDefault="00FE2344" w:rsidP="00FE2344">
      <w:pPr>
        <w:spacing w:after="0" w:line="240" w:lineRule="auto"/>
        <w:rPr>
          <w:rFonts w:ascii="Verdana" w:hAnsi="Verdana"/>
        </w:rPr>
      </w:pPr>
    </w:p>
    <w:p w14:paraId="4E7F7046" w14:textId="77777777" w:rsidR="00FE2344" w:rsidRPr="00116940" w:rsidRDefault="00FE2344" w:rsidP="00FE234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A030B2B" w14:textId="77777777" w:rsidR="00FE2344" w:rsidRPr="00116940" w:rsidRDefault="00FE2344" w:rsidP="00FE2344">
      <w:pPr>
        <w:spacing w:after="0" w:line="240" w:lineRule="auto"/>
        <w:jc w:val="both"/>
        <w:rPr>
          <w:rFonts w:ascii="Verdana" w:hAnsi="Verdana"/>
        </w:rPr>
      </w:pPr>
    </w:p>
    <w:p w14:paraId="31D02D04" w14:textId="77777777" w:rsidR="00FE2344" w:rsidRPr="00116940" w:rsidRDefault="00FE2344" w:rsidP="00FE234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A5BB55E" w14:textId="77777777" w:rsidR="00FE2344" w:rsidRPr="00116940" w:rsidRDefault="00FE2344" w:rsidP="00FE234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B49927E" w14:textId="77777777" w:rsidR="00FE2344" w:rsidRPr="00116940" w:rsidRDefault="00FE2344" w:rsidP="00FE2344">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85C037" w14:textId="77777777" w:rsidR="00FE2344" w:rsidRPr="009C4035" w:rsidRDefault="00FE2344" w:rsidP="00FE2344">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62BF306" w14:textId="77777777" w:rsidR="00FE2344" w:rsidRPr="00593A5F" w:rsidRDefault="00FE2344" w:rsidP="00FE234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F16D604" w14:textId="77777777" w:rsidR="00FE2344" w:rsidRPr="00593A5F" w:rsidRDefault="00FE2344" w:rsidP="00FE2344">
      <w:pPr>
        <w:widowControl w:val="0"/>
        <w:autoSpaceDE w:val="0"/>
        <w:autoSpaceDN w:val="0"/>
        <w:spacing w:after="0" w:line="276" w:lineRule="auto"/>
        <w:jc w:val="both"/>
        <w:rPr>
          <w:rFonts w:ascii="Verdana" w:hAnsi="Verdana" w:cs="Arial"/>
        </w:rPr>
      </w:pPr>
    </w:p>
    <w:p w14:paraId="0A1D3112" w14:textId="77777777" w:rsidR="00FE2344" w:rsidRPr="00593A5F" w:rsidRDefault="00FE2344" w:rsidP="00FE234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CF03C4F" w14:textId="5F3FA2B3" w:rsidR="00FE2344" w:rsidRPr="00593A5F" w:rsidRDefault="00F15BAF" w:rsidP="00FE2344">
      <w:pPr>
        <w:spacing w:line="276" w:lineRule="auto"/>
        <w:jc w:val="center"/>
        <w:rPr>
          <w:rFonts w:ascii="Verdana" w:hAnsi="Verdana" w:cs="Arial"/>
          <w:color w:val="000000"/>
          <w:lang w:val="es-ES_tradnl" w:eastAsia="es-CO"/>
        </w:rPr>
      </w:pPr>
      <w:r>
        <w:rPr>
          <w:noProof/>
        </w:rPr>
        <w:drawing>
          <wp:inline distT="0" distB="0" distL="0" distR="0" wp14:anchorId="27519EFF" wp14:editId="014D5AA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2344" w:rsidRPr="00593A5F" w14:paraId="5D5CE2B8" w14:textId="77777777" w:rsidTr="003950AD">
        <w:trPr>
          <w:trHeight w:val="315"/>
        </w:trPr>
        <w:tc>
          <w:tcPr>
            <w:tcW w:w="893" w:type="dxa"/>
            <w:vAlign w:val="center"/>
            <w:hideMark/>
          </w:tcPr>
          <w:p w14:paraId="47466217" w14:textId="77777777" w:rsidR="00FE2344" w:rsidRPr="003751C7" w:rsidRDefault="00FE2344" w:rsidP="003950A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22DD974" w14:textId="77777777" w:rsidR="00FE2344" w:rsidRPr="00254A7A" w:rsidRDefault="00FE2344" w:rsidP="003950A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3FC33D2" w14:textId="77777777" w:rsidR="00FE2344" w:rsidRPr="00254A7A" w:rsidRDefault="00FE2344" w:rsidP="003950A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E2344" w:rsidRPr="00593A5F" w14:paraId="518988DF" w14:textId="77777777" w:rsidTr="003950AD">
        <w:trPr>
          <w:trHeight w:val="330"/>
        </w:trPr>
        <w:tc>
          <w:tcPr>
            <w:tcW w:w="893" w:type="dxa"/>
            <w:vAlign w:val="center"/>
            <w:hideMark/>
          </w:tcPr>
          <w:p w14:paraId="4F72881B" w14:textId="77777777" w:rsidR="00FE2344" w:rsidRPr="003751C7" w:rsidRDefault="00FE2344" w:rsidP="003950A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DC56C9" w14:textId="77777777" w:rsidR="00FE2344" w:rsidRPr="00D73BF8" w:rsidRDefault="00FE2344" w:rsidP="003950AD">
            <w:pPr>
              <w:pStyle w:val="paragraph"/>
              <w:spacing w:after="0"/>
              <w:contextualSpacing/>
              <w:textAlignment w:val="baseline"/>
              <w:rPr>
                <w:rStyle w:val="normaltextrun"/>
                <w:rFonts w:ascii="Verdana" w:hAnsi="Verdana" w:cs="Arial"/>
                <w:sz w:val="16"/>
                <w:szCs w:val="16"/>
                <w:lang w:val="es-ES_tradnl"/>
              </w:rPr>
            </w:pPr>
            <w:r w:rsidRPr="00D73BF8">
              <w:rPr>
                <w:rStyle w:val="normaltextrun"/>
                <w:rFonts w:ascii="Verdana" w:hAnsi="Verdana" w:cs="Arial"/>
                <w:sz w:val="16"/>
                <w:szCs w:val="16"/>
                <w:lang w:val="es-ES_tradnl"/>
              </w:rPr>
              <w:t>Alejandro Sarmiento Cantillo</w:t>
            </w:r>
          </w:p>
          <w:p w14:paraId="5AFA5B33" w14:textId="77777777" w:rsidR="00FE2344" w:rsidRPr="00A40FD0" w:rsidRDefault="00FE2344" w:rsidP="003950AD">
            <w:pPr>
              <w:pStyle w:val="paragraph"/>
              <w:spacing w:before="0" w:beforeAutospacing="0" w:after="0" w:afterAutospacing="0"/>
              <w:contextualSpacing/>
              <w:textAlignment w:val="baseline"/>
              <w:rPr>
                <w:rFonts w:ascii="Verdana" w:hAnsi="Verdana" w:cs="Segoe UI"/>
                <w:sz w:val="16"/>
                <w:szCs w:val="16"/>
              </w:rPr>
            </w:pPr>
            <w:r w:rsidRPr="00D73BF8">
              <w:rPr>
                <w:rStyle w:val="normaltextrun"/>
                <w:rFonts w:ascii="Verdana" w:hAnsi="Verdana" w:cs="Arial"/>
                <w:sz w:val="16"/>
                <w:szCs w:val="16"/>
                <w:lang w:val="es-ES_tradnl"/>
              </w:rPr>
              <w:t>Gestor T1 ‒ 15 de la Subdirección de Gestión Contractua</w:t>
            </w:r>
            <w:r w:rsidRPr="00A40FD0">
              <w:rPr>
                <w:rStyle w:val="normaltextrun"/>
                <w:rFonts w:ascii="Verdana" w:hAnsi="Verdana" w:cs="Arial"/>
                <w:sz w:val="16"/>
                <w:szCs w:val="16"/>
                <w:lang w:val="es-ES_tradnl"/>
              </w:rPr>
              <w:t>l</w:t>
            </w:r>
          </w:p>
        </w:tc>
      </w:tr>
      <w:tr w:rsidR="00FE2344" w:rsidRPr="00593A5F" w14:paraId="268F104D" w14:textId="77777777" w:rsidTr="003950AD">
        <w:trPr>
          <w:trHeight w:val="300"/>
        </w:trPr>
        <w:tc>
          <w:tcPr>
            <w:tcW w:w="893" w:type="dxa"/>
            <w:vAlign w:val="center"/>
          </w:tcPr>
          <w:p w14:paraId="2454A895" w14:textId="77777777" w:rsidR="00FE2344" w:rsidRPr="003751C7" w:rsidRDefault="00FE2344" w:rsidP="003950A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D4203D" w14:textId="77777777" w:rsidR="00FE2344" w:rsidRPr="00FE00BE" w:rsidRDefault="00FE2344" w:rsidP="003950A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0AE5A246" w14:textId="77777777" w:rsidR="00FE2344" w:rsidRPr="00FE00BE" w:rsidRDefault="00FE2344" w:rsidP="003950A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9712EA4" w14:textId="77777777" w:rsidR="00FE2344" w:rsidRDefault="00FE2344" w:rsidP="00FE2344"/>
    <w:p w14:paraId="66172D28" w14:textId="5FA33EE9" w:rsidR="00FE2344" w:rsidRPr="00543BFE" w:rsidRDefault="00FE2344" w:rsidP="00FE2344"/>
    <w:p w14:paraId="0F293BF4" w14:textId="5238342A" w:rsidR="00127233" w:rsidRPr="009A5CA1" w:rsidRDefault="00127233" w:rsidP="009A5CA1"/>
    <w:sectPr w:rsidR="00127233" w:rsidRPr="009A5CA1"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85E20" w14:textId="77777777" w:rsidR="00ED118A" w:rsidRDefault="00ED118A" w:rsidP="004A1847">
      <w:pPr>
        <w:spacing w:after="0" w:line="240" w:lineRule="auto"/>
      </w:pPr>
      <w:r>
        <w:separator/>
      </w:r>
    </w:p>
  </w:endnote>
  <w:endnote w:type="continuationSeparator" w:id="0">
    <w:p w14:paraId="5A8127E6" w14:textId="77777777" w:rsidR="00ED118A" w:rsidRDefault="00ED118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CB25B" w14:textId="77777777" w:rsidR="00ED118A" w:rsidRDefault="00ED118A" w:rsidP="004A1847">
      <w:pPr>
        <w:spacing w:after="0" w:line="240" w:lineRule="auto"/>
      </w:pPr>
      <w:r>
        <w:separator/>
      </w:r>
    </w:p>
  </w:footnote>
  <w:footnote w:type="continuationSeparator" w:id="0">
    <w:p w14:paraId="4CF4CB88" w14:textId="77777777" w:rsidR="00ED118A" w:rsidRDefault="00ED118A" w:rsidP="004A1847">
      <w:pPr>
        <w:spacing w:after="0" w:line="240" w:lineRule="auto"/>
      </w:pPr>
      <w:r>
        <w:continuationSeparator/>
      </w:r>
    </w:p>
  </w:footnote>
  <w:footnote w:id="1">
    <w:p w14:paraId="60724CE6" w14:textId="77777777" w:rsidR="00FE2344" w:rsidRPr="00C05785" w:rsidRDefault="00FE2344" w:rsidP="00FE2344">
      <w:pPr>
        <w:pStyle w:val="Textonotapie"/>
        <w:ind w:firstLine="708"/>
        <w:jc w:val="both"/>
        <w:rPr>
          <w:rFonts w:ascii="Verdana" w:hAnsi="Verdana"/>
          <w:color w:val="000000"/>
          <w:sz w:val="16"/>
          <w:szCs w:val="16"/>
          <w:lang w:val="es-CO"/>
        </w:rPr>
      </w:pPr>
      <w:r w:rsidRPr="00C05785">
        <w:rPr>
          <w:rStyle w:val="Refdenotaalpie"/>
          <w:rFonts w:ascii="Verdana" w:hAnsi="Verdana"/>
          <w:color w:val="000000"/>
          <w:sz w:val="16"/>
          <w:szCs w:val="16"/>
          <w:lang w:val="es-CO"/>
        </w:rPr>
        <w:footnoteRef/>
      </w:r>
      <w:r w:rsidRPr="00C05785">
        <w:rPr>
          <w:rFonts w:ascii="Verdana" w:hAnsi="Verdana"/>
          <w:color w:val="000000"/>
          <w:sz w:val="16"/>
          <w:szCs w:val="16"/>
          <w:lang w:val="es-CO"/>
        </w:rPr>
        <w:t xml:space="preserve"> Estos Documentos Tipo pueden ser consultados en la página web de Colombia Compra Eficiente, a través del siguiente enlace: </w:t>
      </w:r>
      <w:hyperlink r:id="rId1" w:history="1">
        <w:r w:rsidRPr="00C05785">
          <w:rPr>
            <w:rStyle w:val="Hipervnculo"/>
            <w:rFonts w:ascii="Verdana" w:hAnsi="Verdana"/>
            <w:color w:val="000000"/>
            <w:sz w:val="16"/>
            <w:szCs w:val="16"/>
            <w:lang w:val="es-CO"/>
          </w:rPr>
          <w:t>https://www.colombiacompra.gov.co/documentos-tipo/documentos-tipo</w:t>
        </w:r>
      </w:hyperlink>
      <w:r w:rsidRPr="00C05785">
        <w:rPr>
          <w:rFonts w:ascii="Verdana" w:hAnsi="Verdana"/>
          <w:color w:val="000000"/>
          <w:sz w:val="16"/>
          <w:szCs w:val="16"/>
          <w:lang w:val="es-CO"/>
        </w:rPr>
        <w:t xml:space="preserve"> </w:t>
      </w:r>
    </w:p>
  </w:footnote>
  <w:footnote w:id="2">
    <w:p w14:paraId="1BFD01C7"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Style w:val="Refdenotaalpie"/>
          <w:rFonts w:ascii="Verdana" w:hAnsi="Verdana"/>
          <w:color w:val="000000"/>
          <w:sz w:val="16"/>
          <w:szCs w:val="16"/>
        </w:rPr>
        <w:footnoteRef/>
      </w:r>
      <w:r w:rsidRPr="00C05785">
        <w:rPr>
          <w:rFonts w:ascii="Verdana" w:hAnsi="Verdana"/>
          <w:color w:val="000000"/>
          <w:sz w:val="16"/>
          <w:szCs w:val="16"/>
        </w:rPr>
        <w:t xml:space="preserve"> </w:t>
      </w:r>
      <w:r w:rsidRPr="00C05785">
        <w:rPr>
          <w:rFonts w:ascii="Verdana" w:eastAsia="Calibri" w:hAnsi="Verdana" w:cs="Arial"/>
          <w:bCs/>
          <w:color w:val="000000"/>
          <w:sz w:val="16"/>
          <w:szCs w:val="16"/>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5439EA30"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4CDA046F"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 xml:space="preserve">Resolución 464 del 10 de septiembre de 2024: “Por la cual se actualizan los documentos tipo para los procesos de obra pública de infraestructura de transporte adelantados bajo la modalidad de mínima cuantía”. </w:t>
      </w:r>
    </w:p>
    <w:p w14:paraId="62E8FDB9"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F5A9586"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456 del 10 de septiembre de 2024: “Por la cual se adopta la versión 4 de los documentos tipo para los procesos de selección de licitación de obra pública de infraestructura de transporte y se deroga la Resolución 240 de 2020”.</w:t>
      </w:r>
    </w:p>
  </w:footnote>
  <w:footnote w:id="3">
    <w:p w14:paraId="7126FE0F" w14:textId="77777777" w:rsidR="00FE2344" w:rsidRPr="00C05785" w:rsidRDefault="00FE2344" w:rsidP="00FE2344">
      <w:pPr>
        <w:spacing w:after="0" w:line="240" w:lineRule="auto"/>
        <w:ind w:firstLine="708"/>
        <w:jc w:val="both"/>
        <w:rPr>
          <w:rFonts w:ascii="Verdana" w:eastAsia="Calibri" w:hAnsi="Verdana" w:cs="Arial"/>
          <w:bCs/>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w:t>
      </w:r>
      <w:r w:rsidRPr="00C05785">
        <w:rPr>
          <w:rFonts w:ascii="Verdana" w:eastAsia="Calibri" w:hAnsi="Verdana" w:cs="Arial"/>
          <w:bCs/>
          <w:color w:val="000000"/>
          <w:sz w:val="16"/>
          <w:szCs w:val="16"/>
        </w:rPr>
        <w:t>Entre estas se encuentra el artículo 3 de la Resolución 725 del 19 de diciembre de 2024, que dispone: “</w:t>
      </w:r>
      <w:r w:rsidRPr="00C05785">
        <w:rPr>
          <w:rFonts w:ascii="Verdana" w:hAnsi="Verdana"/>
          <w:color w:val="000000"/>
          <w:sz w:val="16"/>
          <w:szCs w:val="16"/>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4">
    <w:p w14:paraId="7FED711E"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En relación con los documentos tipo para los procesos de selección abreviada de menor cuantía de obra pública de infraestructura de transporte, esta posibilidad se encuentra establecida en el artículo 4 de la Resolución 463 de 2024. </w:t>
      </w:r>
    </w:p>
  </w:footnote>
  <w:footnote w:id="5">
    <w:p w14:paraId="53198CD9" w14:textId="77777777" w:rsidR="00FE2344" w:rsidRPr="00C05785" w:rsidRDefault="00FE2344" w:rsidP="00FE2344">
      <w:pPr>
        <w:pStyle w:val="Textonotapie"/>
        <w:ind w:firstLine="709"/>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ALESSANDRI RODRÍGUEZ, Arturo. De los contratos. Santiago de Chile: Editorial Jurídica EDIAR-CONOCSUR LTDA, 1988. p. 182. Particularmente, tomando como referencia las reglas del artículo 2060 del Código Civil, la doctrina define el contrato de construcción como “[…] aquel en que el propietario o mandante encarga al constructor o contratista la ejecución de una obra conforme a un proyecto determinado, la que debe ser ejecutada en el plazo y precio convenido. El objeto del contrato consistirá en la ejecución de la obra, la que estará sujeta a un proyecto, entendiéndose por tal el conjunto de planos, especificaciones técnicas, memorias de cálculo y demás antecedentes que permitan establecer o precisar aquello que se debe ejecutar, dentro de un determinado plazo y a un precio convenido, el que incluye los costos directos, los gastos generales y la utilidad a que tiene derecho el contratista” (MOLINA ZALDÍVAR, Carlos y RÍOS SALAS, Víctor. Derecho de la construcción. Santiago de Chile: O 'Print Impresores S.A, 2016. p. 22).  </w:t>
      </w:r>
    </w:p>
  </w:footnote>
  <w:footnote w:id="6">
    <w:p w14:paraId="163D51E7" w14:textId="77777777" w:rsidR="00FE2344" w:rsidRPr="00C05785" w:rsidRDefault="00FE2344" w:rsidP="00FE2344">
      <w:pPr>
        <w:pStyle w:val="Textonotapie"/>
        <w:ind w:firstLine="708"/>
        <w:jc w:val="both"/>
        <w:rPr>
          <w:rFonts w:ascii="Verdana" w:hAnsi="Verdana" w:cs="Arial"/>
          <w:sz w:val="16"/>
          <w:szCs w:val="16"/>
          <w:lang w:val="es-ES_tradnl"/>
        </w:rPr>
      </w:pPr>
      <w:r w:rsidRPr="00C05785">
        <w:rPr>
          <w:rStyle w:val="Refdenotaalpie"/>
          <w:rFonts w:ascii="Verdana" w:hAnsi="Verdana" w:cs="Arial"/>
          <w:sz w:val="16"/>
          <w:szCs w:val="16"/>
        </w:rPr>
        <w:footnoteRef/>
      </w:r>
      <w:r w:rsidRPr="00C05785">
        <w:rPr>
          <w:rFonts w:ascii="Verdana" w:hAnsi="Verdana" w:cs="Arial"/>
          <w:sz w:val="16"/>
          <w:szCs w:val="16"/>
        </w:rPr>
        <w:t xml:space="preserve"> </w:t>
      </w:r>
      <w:r w:rsidRPr="00C05785">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7">
    <w:p w14:paraId="497BC211" w14:textId="77777777" w:rsidR="00FE2344" w:rsidRPr="00C05785" w:rsidRDefault="00FE2344" w:rsidP="00FE2344">
      <w:pPr>
        <w:pStyle w:val="Textonotapie"/>
        <w:ind w:firstLine="709"/>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OSPINA MENA, Jesús Marino. Régimen de la Contratación Estatal. Un salto a la contratación liquida. Bogotá: Dike, 2020. p. 168.</w:t>
      </w:r>
    </w:p>
  </w:footnote>
  <w:footnote w:id="8">
    <w:p w14:paraId="2BD0D407" w14:textId="77777777" w:rsidR="00FE2344" w:rsidRPr="00C05785" w:rsidRDefault="00FE2344" w:rsidP="00FE2344">
      <w:pPr>
        <w:pStyle w:val="Textonotapie"/>
        <w:ind w:firstLine="709"/>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CONSEJO DE ESTADO. Sala de Consulta y Servicio Civil. Concepto del 5 de septiembre de 2018. Rad. 2.386. C.P. Edgar González López.</w:t>
      </w:r>
    </w:p>
  </w:footnote>
  <w:footnote w:id="9">
    <w:p w14:paraId="0562DFD2" w14:textId="77777777" w:rsidR="00FE2344" w:rsidRPr="00C05785" w:rsidRDefault="00FE2344" w:rsidP="00FE2344">
      <w:pPr>
        <w:pStyle w:val="Textonotapie"/>
        <w:ind w:firstLine="709"/>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color w:val="000000" w:themeColor="text1"/>
          <w:sz w:val="16"/>
          <w:szCs w:val="16"/>
        </w:rPr>
        <w:t xml:space="preserve"> Gaceta del Congreso de la República No. 784/10. Disponible en </w:t>
      </w:r>
      <w:hyperlink r:id="rId2" w:history="1">
        <w:r w:rsidRPr="00C05785">
          <w:rPr>
            <w:rStyle w:val="Hipervnculo"/>
            <w:rFonts w:ascii="Verdana" w:hAnsi="Verdana" w:cs="Arial"/>
            <w:color w:val="000000" w:themeColor="text1"/>
            <w:sz w:val="16"/>
            <w:szCs w:val="16"/>
          </w:rPr>
          <w:t>http://leyes.senado.gov.co/proyectos/images/documentos/Textos%20Radicados/Ponencias/2010/gaceta_784%20%20.pdf</w:t>
        </w:r>
      </w:hyperlink>
      <w:r w:rsidRPr="00C05785">
        <w:rPr>
          <w:rFonts w:ascii="Verdana" w:hAnsi="Verdana" w:cs="Arial"/>
          <w:sz w:val="16"/>
          <w:szCs w:val="16"/>
        </w:rPr>
        <w:t xml:space="preserve"> </w:t>
      </w:r>
    </w:p>
  </w:footnote>
  <w:footnote w:id="10">
    <w:p w14:paraId="3D313582" w14:textId="77777777" w:rsidR="00FE2344" w:rsidRPr="00C05785" w:rsidRDefault="00FE2344" w:rsidP="00FE2344">
      <w:pPr>
        <w:pStyle w:val="Textonotapie"/>
        <w:ind w:firstLine="709"/>
        <w:jc w:val="both"/>
        <w:rPr>
          <w:rFonts w:ascii="Verdana" w:hAnsi="Verdana" w:cs="Arial"/>
          <w:sz w:val="16"/>
          <w:szCs w:val="16"/>
          <w:lang w:val="es-CO"/>
        </w:rPr>
      </w:pPr>
      <w:r w:rsidRPr="00C05785">
        <w:rPr>
          <w:rStyle w:val="Refdenotaalpie"/>
          <w:rFonts w:ascii="Verdana" w:hAnsi="Verdana" w:cs="Arial"/>
          <w:sz w:val="16"/>
          <w:szCs w:val="16"/>
        </w:rPr>
        <w:footnoteRef/>
      </w:r>
      <w:r w:rsidRPr="00C05785">
        <w:rPr>
          <w:rFonts w:ascii="Verdana" w:hAnsi="Verdana" w:cs="Arial"/>
          <w:sz w:val="16"/>
          <w:szCs w:val="16"/>
        </w:rPr>
        <w:t xml:space="preserve">  Artículo 90. </w:t>
      </w:r>
      <w:r w:rsidRPr="00C05785">
        <w:rPr>
          <w:rFonts w:ascii="Verdana" w:hAnsi="Verdana" w:cs="Arial"/>
          <w:i/>
          <w:iCs/>
          <w:sz w:val="16"/>
          <w:szCs w:val="16"/>
          <w:lang w:val="es-CO"/>
        </w:rPr>
        <w:t xml:space="preserve">Maduración de proyectos. </w:t>
      </w:r>
      <w:r w:rsidRPr="00C05785">
        <w:rPr>
          <w:rFonts w:ascii="Verdana" w:hAnsi="Verdana" w:cs="Arial"/>
          <w:sz w:val="16"/>
          <w:szCs w:val="16"/>
          <w:lang w:val="es-CO"/>
        </w:rPr>
        <w:t>El numeral 12 del artículo 25 de la Ley 80 de 1993 quedará así: Con la debida antelación a la apertura del proceso de selección, deberán elaborarse los estudios, diseños y proyectos requeridos, y el proyecto de pliegos de condiciones según corresponda. Los procesos de selección que tengan por objeto la realización de una obra o la celebración de un contrato de concesión que involucre obra, solamente podrán iniciarse cuando la entidad contratante haya terminado la etapa de preinversión que incluya los estudios de ingeniería básica de prefactibilidad y factibilidad de los respectivos objetos contractuales, con el alcance que para los mismos establezca el reglamento. Se exceptúan de esta regla los procesos cuando el objeto del contrato se extienda al diseño y a la construcción, caso en el cual los estudios de prefactibilidad y factibilidad atenderán a ese objeto.</w:t>
      </w:r>
    </w:p>
  </w:footnote>
  <w:footnote w:id="11">
    <w:p w14:paraId="23DE9B3D" w14:textId="77777777" w:rsidR="00FE2344" w:rsidRPr="00C05785" w:rsidRDefault="00FE2344" w:rsidP="00FE2344">
      <w:pPr>
        <w:spacing w:after="0" w:line="240" w:lineRule="auto"/>
        <w:ind w:firstLine="709"/>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Decreto 1082 de 2015: “Artículo 2.2.1.1.2.1.1</w:t>
      </w:r>
      <w:r w:rsidRPr="00C05785">
        <w:rPr>
          <w:rFonts w:ascii="Verdana" w:hAnsi="Verdana" w:cs="Arial"/>
          <w:b/>
          <w:sz w:val="16"/>
          <w:szCs w:val="16"/>
        </w:rPr>
        <w:t xml:space="preserve">. </w:t>
      </w:r>
      <w:r w:rsidRPr="00C05785">
        <w:rPr>
          <w:rFonts w:ascii="Verdana" w:hAnsi="Verdana" w:cs="Arial"/>
          <w:sz w:val="16"/>
          <w:szCs w:val="16"/>
        </w:rPr>
        <w:t>Estudios y documentos previos</w:t>
      </w:r>
      <w:r w:rsidRPr="00C05785">
        <w:rPr>
          <w:rFonts w:ascii="Verdana" w:hAnsi="Verdana" w:cs="Arial"/>
          <w:b/>
          <w:i/>
          <w:sz w:val="16"/>
          <w:szCs w:val="16"/>
        </w:rPr>
        <w:t xml:space="preserve">. </w:t>
      </w:r>
      <w:r w:rsidRPr="00C05785">
        <w:rPr>
          <w:rFonts w:ascii="Verdana" w:hAnsi="Verdana" w:cs="Arial"/>
          <w:sz w:val="16"/>
          <w:szCs w:val="16"/>
        </w:rPr>
        <w:t xml:space="preserve">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 2. El objeto a contratar, con sus especificaciones, las autorizaciones, permisos y licencias requeridos para su ejecución, </w:t>
      </w:r>
      <w:r w:rsidRPr="00C05785">
        <w:rPr>
          <w:rFonts w:ascii="Verdana" w:hAnsi="Verdana" w:cs="Arial"/>
          <w:i/>
          <w:sz w:val="16"/>
          <w:szCs w:val="16"/>
        </w:rPr>
        <w:t>y cuando el contrato incluye diseño y construcción, los documentos técnicos para el desarrollo del proyecto</w:t>
      </w:r>
      <w:r w:rsidRPr="00C05785">
        <w:rPr>
          <w:rFonts w:ascii="Verdana" w:hAnsi="Verdana" w:cs="Arial"/>
          <w:sz w:val="16"/>
          <w:szCs w:val="16"/>
        </w:rPr>
        <w:t xml:space="preserve"> [...]” (Cursivas fuera de texto).</w:t>
      </w:r>
    </w:p>
  </w:footnote>
  <w:footnote w:id="12">
    <w:p w14:paraId="2DF632ED"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Al respecto, la doctrina considera que “[…]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 (Cfr. SUÁREZ BELTRÁN, Gonzalo. Estudios de derecho público contractual: Bogotá: Legis, 2014. p. 6). Es necesario tener en cuenta que el artículo 20 del Decreto 1510 de 2013 actualmente está compilado en el artículo 2.2.1.1.2.1.1 del Decreto 1082 de 2015, modificado por el artículo 1 del Decreto 399 del 2021.   </w:t>
      </w:r>
    </w:p>
  </w:footnote>
  <w:footnote w:id="13">
    <w:p w14:paraId="590C77AD" w14:textId="77777777" w:rsidR="00FE2344" w:rsidRPr="00C05785" w:rsidRDefault="00FE2344" w:rsidP="00FE2344">
      <w:pPr>
        <w:spacing w:after="0" w:line="240" w:lineRule="auto"/>
        <w:ind w:firstLine="709"/>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Ley 1682 de 2013: “Artículo 12. En lo que se refiere a la infraestructura de transporte terrestre, aeronáutica, aeroportuaria y acuática, se tendrán en cuenta las siguientes definiciones:</w:t>
      </w:r>
    </w:p>
    <w:p w14:paraId="4E580FEC"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Estudios de Ingeniería. Sin perjuicio de lo previsto en la Ley</w:t>
      </w:r>
      <w:hyperlink r:id="rId3" w:anchor="Inicio">
        <w:r w:rsidRPr="00C05785">
          <w:rPr>
            <w:rFonts w:ascii="Verdana" w:hAnsi="Verdana" w:cs="Arial"/>
            <w:sz w:val="16"/>
            <w:szCs w:val="16"/>
          </w:rPr>
          <w:t xml:space="preserve"> 1508 </w:t>
        </w:r>
      </w:hyperlink>
      <w:r w:rsidRPr="00C05785">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C05785">
        <w:rPr>
          <w:rFonts w:ascii="Verdana" w:hAnsi="Verdana" w:cs="Arial"/>
          <w:spacing w:val="-10"/>
          <w:sz w:val="16"/>
          <w:szCs w:val="16"/>
        </w:rPr>
        <w:t xml:space="preserve"> </w:t>
      </w:r>
      <w:r w:rsidRPr="00C05785">
        <w:rPr>
          <w:rFonts w:ascii="Verdana" w:hAnsi="Verdana" w:cs="Arial"/>
          <w:sz w:val="16"/>
          <w:szCs w:val="16"/>
        </w:rPr>
        <w:t>infraestructura:</w:t>
      </w:r>
    </w:p>
    <w:p w14:paraId="2367B60A"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5CBF6749"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35EA4A90"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783B577E"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17986D2B" w14:textId="77777777" w:rsidR="00FE2344" w:rsidRPr="00C05785" w:rsidRDefault="00FE2344" w:rsidP="00FE2344">
      <w:pPr>
        <w:spacing w:after="0" w:line="240" w:lineRule="auto"/>
        <w:ind w:firstLine="709"/>
        <w:jc w:val="both"/>
        <w:rPr>
          <w:rFonts w:ascii="Verdana" w:hAnsi="Verdana" w:cs="Arial"/>
          <w:sz w:val="16"/>
          <w:szCs w:val="16"/>
        </w:rPr>
      </w:pPr>
      <w:r w:rsidRPr="00C05785">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C05785">
        <w:rPr>
          <w:rFonts w:ascii="Verdana" w:hAnsi="Verdana" w:cs="Arial"/>
          <w:spacing w:val="-6"/>
          <w:sz w:val="16"/>
          <w:szCs w:val="16"/>
        </w:rPr>
        <w:t xml:space="preserve"> </w:t>
      </w:r>
      <w:r w:rsidRPr="00C05785">
        <w:rPr>
          <w:rFonts w:ascii="Verdana" w:hAnsi="Verdana" w:cs="Arial"/>
          <w:sz w:val="16"/>
          <w:szCs w:val="16"/>
        </w:rPr>
        <w:t>respectiva.</w:t>
      </w:r>
    </w:p>
    <w:p w14:paraId="4DA0CFC8" w14:textId="77777777" w:rsidR="00FE2344" w:rsidRPr="00C05785" w:rsidRDefault="00FE2344" w:rsidP="00FE2344">
      <w:pPr>
        <w:spacing w:after="0" w:line="240" w:lineRule="auto"/>
        <w:ind w:firstLine="708"/>
        <w:jc w:val="both"/>
        <w:rPr>
          <w:rFonts w:ascii="Verdana" w:hAnsi="Verdana" w:cs="Arial"/>
          <w:sz w:val="16"/>
          <w:szCs w:val="16"/>
        </w:rPr>
      </w:pPr>
      <w:r w:rsidRPr="00C05785">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p>
  </w:footnote>
  <w:footnote w:id="14">
    <w:p w14:paraId="2D4FF83C" w14:textId="77777777" w:rsidR="00FE2344" w:rsidRPr="00C05785" w:rsidRDefault="00FE2344" w:rsidP="00FE2344">
      <w:pPr>
        <w:pStyle w:val="Textonotapie"/>
        <w:ind w:firstLine="709"/>
        <w:jc w:val="both"/>
        <w:rPr>
          <w:rFonts w:ascii="Verdana" w:hAnsi="Verdana" w:cs="Arial"/>
          <w:sz w:val="16"/>
          <w:szCs w:val="16"/>
          <w:lang w:val="es-ES"/>
        </w:rPr>
      </w:pPr>
      <w:r w:rsidRPr="00C05785">
        <w:rPr>
          <w:rStyle w:val="Refdenotaalpie"/>
          <w:rFonts w:ascii="Verdana" w:hAnsi="Verdana" w:cs="Arial"/>
          <w:sz w:val="16"/>
          <w:szCs w:val="16"/>
        </w:rPr>
        <w:footnoteRef/>
      </w:r>
      <w:r w:rsidRPr="00C05785">
        <w:rPr>
          <w:rFonts w:ascii="Verdana" w:hAnsi="Verdana" w:cs="Arial"/>
          <w:sz w:val="16"/>
          <w:szCs w:val="16"/>
        </w:rPr>
        <w:t xml:space="preserve"> </w:t>
      </w:r>
      <w:r w:rsidRPr="00C05785">
        <w:rPr>
          <w:rFonts w:ascii="Verdana" w:hAnsi="Verdana" w:cs="Arial"/>
          <w:sz w:val="16"/>
          <w:szCs w:val="16"/>
          <w:lang w:val="es-ES"/>
        </w:rPr>
        <w:t xml:space="preserve">Guía para los procesos de contratación de obra pública, expedida por Colombia Compra Eficiente. Pág 4. </w:t>
      </w:r>
    </w:p>
  </w:footnote>
  <w:footnote w:id="15">
    <w:p w14:paraId="6FF2E1B2" w14:textId="77777777" w:rsidR="00FE2344" w:rsidRPr="00C05785" w:rsidRDefault="00FE2344" w:rsidP="00FE2344">
      <w:pPr>
        <w:pStyle w:val="Textonotapie"/>
        <w:ind w:firstLine="709"/>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CONSEJO DE ESTADO, Sala de Consulta y Servicio Civil, Concepto 1439 del 18 de julio de 2002. Consejera Ponente: Susana Montes de Echeverri.</w:t>
      </w:r>
    </w:p>
  </w:footnote>
  <w:footnote w:id="16">
    <w:p w14:paraId="53C969F1" w14:textId="77777777" w:rsidR="00FE2344" w:rsidRPr="00C05785" w:rsidRDefault="00FE2344" w:rsidP="00FE2344">
      <w:pPr>
        <w:spacing w:after="0" w:line="240" w:lineRule="auto"/>
        <w:ind w:firstLine="707"/>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VALLEJO, Felipe. Responsabilidad profesional en la construcción de obras. Revista Derecho Del Estado, n.º 20 (1), 97-120. </w:t>
      </w:r>
      <w:hyperlink r:id="rId4">
        <w:bookmarkStart w:id="8" w:name="OLE_LINK1"/>
        <w:r w:rsidRPr="00C05785">
          <w:rPr>
            <w:rFonts w:ascii="Verdana" w:hAnsi="Verdana" w:cs="Arial"/>
            <w:color w:val="000000"/>
            <w:sz w:val="16"/>
            <w:szCs w:val="16"/>
            <w:u w:val="single" w:color="F1F1F1"/>
          </w:rPr>
          <w:t>https://revistas.uexternado.edu.co/index.php/derest/article/view/706</w:t>
        </w:r>
        <w:bookmarkEnd w:id="8"/>
        <w:r w:rsidRPr="00C05785">
          <w:rPr>
            <w:rFonts w:ascii="Verdana" w:hAnsi="Verdana" w:cs="Arial"/>
            <w:color w:val="000000"/>
            <w:sz w:val="16"/>
            <w:szCs w:val="16"/>
          </w:rPr>
          <w:t xml:space="preserve">. </w:t>
        </w:r>
      </w:hyperlink>
      <w:r w:rsidRPr="00C05785">
        <w:rPr>
          <w:rFonts w:ascii="Verdana" w:hAnsi="Verdana" w:cs="Arial"/>
          <w:color w:val="000000"/>
          <w:sz w:val="16"/>
          <w:szCs w:val="16"/>
        </w:rPr>
        <w:t>pp. 106-107.</w:t>
      </w:r>
    </w:p>
  </w:footnote>
  <w:footnote w:id="17">
    <w:p w14:paraId="70F21B30"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Consejo de Estado. Sala Plena. Sentencia de unificación del 25 de febrero de 2020. Exp. 25000-23-37-000-2014-00721-01(22473) (IJ). C.P. William Hernández Gómez. </w:t>
      </w:r>
    </w:p>
  </w:footnote>
  <w:footnote w:id="18">
    <w:p w14:paraId="1309FC12"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Al respecto, la doctrina explica lo siguiente: “En la práctica jurídico-empresarial es muy habitual que también se aluda a este contrato utilizando la denominación “</w:t>
      </w:r>
      <w:r w:rsidRPr="00C05785">
        <w:rPr>
          <w:rFonts w:ascii="Verdana" w:hAnsi="Verdana" w:cs="Arial"/>
          <w:i/>
          <w:iCs/>
          <w:sz w:val="16"/>
          <w:szCs w:val="16"/>
        </w:rPr>
        <w:t>turnkey contract</w:t>
      </w:r>
      <w:r w:rsidRPr="00C05785">
        <w:rPr>
          <w:rFonts w:ascii="Verdana" w:hAnsi="Verdana" w:cs="Arial"/>
          <w:sz w:val="16"/>
          <w:szCs w:val="16"/>
        </w:rPr>
        <w:t xml:space="preserve">” –en referencia al término en inglés que ilustra la esencia del contracto, puesto que el cliente solo tiene que “girar la llave” para disfrutar de su prestación–. En ocasiones, se recurre asimismo a la noción de “contrato EPC”, cuyas siglas corresponden con las del inglés </w:t>
      </w:r>
      <w:r w:rsidRPr="00C05785">
        <w:rPr>
          <w:rFonts w:ascii="Verdana" w:hAnsi="Verdana" w:cs="Arial"/>
          <w:i/>
          <w:iCs/>
          <w:sz w:val="16"/>
          <w:szCs w:val="16"/>
        </w:rPr>
        <w:t>Engineering, Procurement, Construction</w:t>
      </w:r>
      <w:r w:rsidRPr="00C05785">
        <w:rPr>
          <w:rFonts w:ascii="Verdana" w:hAnsi="Verdana" w:cs="Arial"/>
          <w:sz w:val="16"/>
          <w:szCs w:val="16"/>
        </w:rPr>
        <w:t xml:space="preserve">, en alusión a las múltiples prestaciones que este engloba […]” (Cfr. ABRIL, Antonio. Los contratos mercantiles y su aplicación práctica. Madrid: Bosch, 2017. p 553).  </w:t>
      </w:r>
    </w:p>
  </w:footnote>
  <w:footnote w:id="19">
    <w:p w14:paraId="01180D25" w14:textId="77777777" w:rsidR="00FE2344" w:rsidRPr="00C05785" w:rsidRDefault="00FE2344" w:rsidP="00FE2344">
      <w:pPr>
        <w:pStyle w:val="Textonotapie"/>
        <w:ind w:firstLine="709"/>
        <w:jc w:val="both"/>
        <w:rPr>
          <w:rFonts w:ascii="Verdana" w:hAnsi="Verdana" w:cs="Arial"/>
          <w:sz w:val="16"/>
          <w:szCs w:val="16"/>
          <w:lang w:val="es-ES"/>
        </w:rPr>
      </w:pPr>
      <w:r w:rsidRPr="00C05785">
        <w:rPr>
          <w:rStyle w:val="Refdenotaalpie"/>
          <w:rFonts w:ascii="Verdana" w:hAnsi="Verdana" w:cs="Arial"/>
          <w:sz w:val="16"/>
          <w:szCs w:val="16"/>
        </w:rPr>
        <w:footnoteRef/>
      </w:r>
      <w:r w:rsidRPr="00C05785">
        <w:rPr>
          <w:rFonts w:ascii="Verdana" w:hAnsi="Verdana" w:cs="Arial"/>
          <w:sz w:val="16"/>
          <w:szCs w:val="16"/>
        </w:rPr>
        <w:t xml:space="preserve"> </w:t>
      </w:r>
      <w:r w:rsidRPr="00C05785">
        <w:rPr>
          <w:rFonts w:ascii="Verdana" w:hAnsi="Verdana" w:cs="Arial"/>
          <w:sz w:val="16"/>
          <w:szCs w:val="16"/>
          <w:lang w:val="es-ES"/>
        </w:rPr>
        <w:t xml:space="preserve">Guía para los procesos de contratación de obra pública, expedida por Colombia Compra Eficiente. Pág 9. </w:t>
      </w:r>
    </w:p>
  </w:footnote>
  <w:footnote w:id="20">
    <w:p w14:paraId="12BCE650" w14:textId="77777777" w:rsidR="00FE2344" w:rsidRPr="00C05785" w:rsidRDefault="00FE2344" w:rsidP="00FE2344">
      <w:pPr>
        <w:pStyle w:val="Textonotapie"/>
        <w:ind w:firstLine="709"/>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w:t>
      </w:r>
      <w:r w:rsidRPr="00C05785">
        <w:rPr>
          <w:rFonts w:ascii="Verdana" w:hAnsi="Verdana" w:cs="Arial"/>
          <w:sz w:val="16"/>
          <w:szCs w:val="16"/>
          <w:lang w:val="es-CO"/>
        </w:rPr>
        <w:t xml:space="preserve">DIAN. Concepto No. </w:t>
      </w:r>
      <w:r w:rsidRPr="00C05785">
        <w:rPr>
          <w:rFonts w:ascii="Verdana" w:hAnsi="Verdana" w:cs="Arial"/>
          <w:sz w:val="16"/>
          <w:szCs w:val="16"/>
        </w:rPr>
        <w:t>32082 del 30 de mayo de 2002.</w:t>
      </w:r>
    </w:p>
  </w:footnote>
  <w:footnote w:id="21">
    <w:p w14:paraId="73DC426F" w14:textId="77777777" w:rsidR="00FE2344" w:rsidRPr="00C05785" w:rsidRDefault="00FE2344" w:rsidP="00FE2344">
      <w:pPr>
        <w:spacing w:after="0" w:line="240" w:lineRule="auto"/>
        <w:ind w:firstLine="709"/>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PODETTI, Humberto. El contrato de construcción. Buenos Aires: Editorial Astrea, 2004, p. 248.</w:t>
      </w:r>
    </w:p>
  </w:footnote>
  <w:footnote w:id="22">
    <w:p w14:paraId="63ED8A94" w14:textId="77777777" w:rsidR="00FE2344" w:rsidRPr="00C05785" w:rsidRDefault="00FE2344" w:rsidP="00FE2344">
      <w:pPr>
        <w:spacing w:after="0" w:line="240" w:lineRule="auto"/>
        <w:ind w:firstLine="709"/>
        <w:jc w:val="both"/>
        <w:rPr>
          <w:rFonts w:ascii="Verdana" w:hAnsi="Verdana" w:cs="Arial"/>
          <w:color w:val="000000"/>
          <w:sz w:val="16"/>
          <w:szCs w:val="16"/>
        </w:rPr>
      </w:pPr>
      <w:r w:rsidRPr="00C05785">
        <w:rPr>
          <w:rStyle w:val="Refdenotaalpie"/>
          <w:rFonts w:ascii="Verdana" w:hAnsi="Verdana" w:cs="Arial"/>
          <w:color w:val="000000"/>
          <w:sz w:val="16"/>
          <w:szCs w:val="16"/>
        </w:rPr>
        <w:footnoteRef/>
      </w:r>
      <w:r w:rsidRPr="00C05785">
        <w:rPr>
          <w:rFonts w:ascii="Verdana" w:hAnsi="Verdana" w:cs="Arial"/>
          <w:color w:val="000000"/>
          <w:sz w:val="16"/>
          <w:szCs w:val="16"/>
        </w:rPr>
        <w:t xml:space="preserve"> </w:t>
      </w:r>
      <w:r w:rsidRPr="00C05785">
        <w:rPr>
          <w:rFonts w:ascii="Verdana" w:hAnsi="Verdana" w:cs="Arial"/>
          <w:i/>
          <w:color w:val="000000"/>
          <w:sz w:val="16"/>
          <w:szCs w:val="16"/>
        </w:rPr>
        <w:t>Ibidem</w:t>
      </w:r>
      <w:r w:rsidRPr="00C05785">
        <w:rPr>
          <w:rFonts w:ascii="Verdana" w:hAnsi="Verdana" w:cs="Arial"/>
          <w:color w:val="000000"/>
          <w:sz w:val="16"/>
          <w:szCs w:val="16"/>
        </w:rPr>
        <w:t xml:space="preserve">., pp. 248-249. </w:t>
      </w:r>
    </w:p>
  </w:footnote>
  <w:footnote w:id="23">
    <w:p w14:paraId="2AEA47BA" w14:textId="77777777" w:rsidR="00FE2344" w:rsidRPr="00C05785" w:rsidRDefault="00FE2344" w:rsidP="00FE2344">
      <w:pPr>
        <w:pStyle w:val="Textonotapie"/>
        <w:ind w:firstLine="709"/>
        <w:jc w:val="both"/>
        <w:rPr>
          <w:rFonts w:ascii="Verdana" w:hAnsi="Verdana" w:cs="Arial"/>
          <w:sz w:val="16"/>
          <w:szCs w:val="16"/>
          <w:lang w:val="es-CO"/>
        </w:rPr>
      </w:pPr>
      <w:r w:rsidRPr="00C05785">
        <w:rPr>
          <w:rStyle w:val="Refdenotaalpie"/>
          <w:rFonts w:ascii="Verdana" w:hAnsi="Verdana" w:cs="Arial"/>
          <w:sz w:val="16"/>
          <w:szCs w:val="16"/>
        </w:rPr>
        <w:footnoteRef/>
      </w:r>
      <w:r w:rsidRPr="00C05785">
        <w:rPr>
          <w:rFonts w:ascii="Verdana" w:hAnsi="Verdana" w:cs="Arial"/>
          <w:sz w:val="16"/>
          <w:szCs w:val="16"/>
        </w:rPr>
        <w:t xml:space="preserve"> </w:t>
      </w:r>
      <w:r w:rsidRPr="00C05785">
        <w:rPr>
          <w:rFonts w:ascii="Verdana" w:hAnsi="Verdana" w:cs="Arial"/>
          <w:sz w:val="16"/>
          <w:szCs w:val="16"/>
          <w:lang w:val="es-ES"/>
        </w:rPr>
        <w:t xml:space="preserve">Sentencia del 13 de marzo del 2018. Sección cuarta. C.P:Hector J. Romero Díaz. </w:t>
      </w:r>
      <w:r w:rsidRPr="00C05785">
        <w:rPr>
          <w:rFonts w:ascii="Verdana" w:hAnsi="Verdana" w:cs="Arial"/>
          <w:sz w:val="16"/>
          <w:szCs w:val="16"/>
          <w:lang w:val="es-CO"/>
        </w:rPr>
        <w:t>Exp 15009.</w:t>
      </w:r>
    </w:p>
  </w:footnote>
  <w:footnote w:id="24">
    <w:p w14:paraId="78CE7CFD" w14:textId="77777777" w:rsidR="00FE2344" w:rsidRPr="00C05785" w:rsidRDefault="00FE2344" w:rsidP="00FE2344">
      <w:pPr>
        <w:pStyle w:val="Textonotapie"/>
        <w:ind w:firstLine="709"/>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Sala de Consulta y Servicio Civil. 28 de marzo del 2017. C.P.Edgar González López. Rad.2331.</w:t>
      </w:r>
    </w:p>
  </w:footnote>
  <w:footnote w:id="25">
    <w:p w14:paraId="249DEE9F" w14:textId="77777777" w:rsidR="00FE2344" w:rsidRPr="00C05785" w:rsidRDefault="00FE2344" w:rsidP="00FE2344">
      <w:pPr>
        <w:pStyle w:val="Textonotapie"/>
        <w:ind w:firstLine="709"/>
        <w:jc w:val="both"/>
        <w:rPr>
          <w:rFonts w:ascii="Verdana" w:hAnsi="Verdana" w:cs="Arial"/>
          <w:sz w:val="16"/>
          <w:szCs w:val="16"/>
          <w:lang w:val="es-ES"/>
        </w:rPr>
      </w:pPr>
      <w:r w:rsidRPr="00C05785">
        <w:rPr>
          <w:rStyle w:val="Refdenotaalpie"/>
          <w:rFonts w:ascii="Verdana" w:hAnsi="Verdana" w:cs="Arial"/>
          <w:sz w:val="16"/>
          <w:szCs w:val="16"/>
        </w:rPr>
        <w:footnoteRef/>
      </w:r>
      <w:r w:rsidRPr="00C05785">
        <w:rPr>
          <w:rFonts w:ascii="Verdana" w:hAnsi="Verdana" w:cs="Arial"/>
          <w:sz w:val="16"/>
          <w:szCs w:val="16"/>
          <w:lang w:val="es-CO"/>
        </w:rPr>
        <w:t xml:space="preserve"> </w:t>
      </w:r>
      <w:r w:rsidRPr="00C05785">
        <w:rPr>
          <w:rFonts w:ascii="Verdana" w:hAnsi="Verdana" w:cs="Arial"/>
          <w:sz w:val="16"/>
          <w:szCs w:val="16"/>
        </w:rPr>
        <w:t>CÁMARA DE COMERCIO DE BOGOTÁ. Laudo TA-CCB-20040531 del 31 de mayo de 2004. Concesión Santa Marta Paraguachón vs. Instituto Nacional de Vías.</w:t>
      </w:r>
    </w:p>
  </w:footnote>
  <w:footnote w:id="26">
    <w:p w14:paraId="59D81537" w14:textId="77777777" w:rsidR="00FE2344" w:rsidRPr="00C05785" w:rsidRDefault="00FE2344" w:rsidP="00FE2344">
      <w:pPr>
        <w:pStyle w:val="Textonotapie"/>
        <w:ind w:firstLine="709"/>
        <w:jc w:val="both"/>
        <w:rPr>
          <w:rFonts w:ascii="Verdana" w:hAnsi="Verdana" w:cs="Arial"/>
          <w:sz w:val="16"/>
          <w:szCs w:val="16"/>
          <w:lang w:val="es-ES"/>
        </w:rPr>
      </w:pPr>
      <w:r w:rsidRPr="00C05785">
        <w:rPr>
          <w:rStyle w:val="Refdenotaalpie"/>
          <w:rFonts w:ascii="Verdana" w:hAnsi="Verdana" w:cs="Arial"/>
          <w:sz w:val="16"/>
          <w:szCs w:val="16"/>
        </w:rPr>
        <w:footnoteRef/>
      </w:r>
      <w:r w:rsidRPr="00C05785">
        <w:rPr>
          <w:rFonts w:ascii="Verdana" w:hAnsi="Verdana" w:cs="Arial"/>
          <w:sz w:val="16"/>
          <w:szCs w:val="16"/>
        </w:rPr>
        <w:t xml:space="preserve"> Matallana Camacho, Ernesto. </w:t>
      </w:r>
      <w:r w:rsidRPr="00C05785">
        <w:rPr>
          <w:rFonts w:ascii="Verdana" w:hAnsi="Verdana" w:cs="Arial"/>
          <w:sz w:val="16"/>
          <w:szCs w:val="16"/>
          <w:lang w:val="es-ES"/>
        </w:rPr>
        <w:t>Manual de contratación de la administración pública: reforma de la Ley 80 de 1993. Bogotá. Universidad Externado de Colombia, 2015 – 4 edición Pág. 957.</w:t>
      </w:r>
    </w:p>
  </w:footnote>
  <w:footnote w:id="27">
    <w:p w14:paraId="51B2B572"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Decreto 342 de 2019 “Artículo 2.2.1.2.6.1.4. Inalterabilidad de los Documentos Tipo. Las entidades estatales contratantes no podrán incluir o modificar dentro de los Documentos del Proceso las condiciones habilitantes, los factores técnicos y económicos de escogencia y los sistemas de ponderación distintos a los señalados en los Documentos Tipo”.</w:t>
      </w:r>
    </w:p>
  </w:footnote>
  <w:footnote w:id="28">
    <w:p w14:paraId="4FE7C7C8" w14:textId="77777777" w:rsidR="00FE2344" w:rsidRPr="00C05785" w:rsidRDefault="00FE2344" w:rsidP="00FE2344">
      <w:pPr>
        <w:pStyle w:val="Textonotapie"/>
        <w:ind w:firstLine="709"/>
        <w:jc w:val="both"/>
        <w:rPr>
          <w:rFonts w:ascii="Verdana" w:hAnsi="Verdana" w:cs="Arial"/>
          <w:color w:val="000000" w:themeColor="text1"/>
          <w:sz w:val="16"/>
          <w:szCs w:val="16"/>
        </w:rPr>
      </w:pPr>
      <w:r w:rsidRPr="00C05785">
        <w:rPr>
          <w:rStyle w:val="Refdenotaalpie"/>
          <w:rFonts w:ascii="Verdana" w:hAnsi="Verdana" w:cs="Arial"/>
          <w:color w:val="000000" w:themeColor="text1"/>
          <w:sz w:val="16"/>
          <w:szCs w:val="16"/>
        </w:rPr>
        <w:footnoteRef/>
      </w:r>
      <w:r w:rsidRPr="00C05785">
        <w:rPr>
          <w:rFonts w:ascii="Verdana" w:hAnsi="Verdana" w:cs="Arial"/>
          <w:color w:val="000000" w:themeColor="text1"/>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footnote>
  <w:footnote w:id="29">
    <w:p w14:paraId="09E816AE" w14:textId="77777777" w:rsidR="00FE2344" w:rsidRPr="00C05785" w:rsidRDefault="00FE2344" w:rsidP="00FE2344">
      <w:pPr>
        <w:spacing w:after="0" w:line="240" w:lineRule="auto"/>
        <w:ind w:firstLine="709"/>
        <w:jc w:val="both"/>
        <w:rPr>
          <w:rFonts w:ascii="Verdana" w:hAnsi="Verdana" w:cs="Arial"/>
          <w:color w:val="000000" w:themeColor="text1"/>
          <w:sz w:val="16"/>
          <w:szCs w:val="16"/>
          <w:lang w:val="es-ES"/>
        </w:rPr>
      </w:pPr>
      <w:r w:rsidRPr="00C05785">
        <w:rPr>
          <w:rStyle w:val="Refdenotaalpie"/>
          <w:rFonts w:ascii="Verdana" w:hAnsi="Verdana" w:cs="Arial"/>
          <w:color w:val="000000" w:themeColor="text1"/>
          <w:sz w:val="16"/>
          <w:szCs w:val="16"/>
        </w:rPr>
        <w:footnoteRef/>
      </w:r>
      <w:r w:rsidRPr="00C05785">
        <w:rPr>
          <w:rFonts w:ascii="Verdana" w:hAnsi="Verdana" w:cs="Arial"/>
          <w:color w:val="000000" w:themeColor="text1"/>
          <w:sz w:val="16"/>
          <w:szCs w:val="16"/>
        </w:rPr>
        <w:t xml:space="preserve"> </w:t>
      </w:r>
      <w:r w:rsidRPr="00C05785">
        <w:rPr>
          <w:rFonts w:ascii="Verdana" w:hAnsi="Verdana" w:cs="Arial"/>
          <w:color w:val="000000" w:themeColor="text1"/>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30">
    <w:p w14:paraId="27BACE94" w14:textId="77777777" w:rsidR="00FE2344" w:rsidRPr="00C05785" w:rsidRDefault="00FE2344" w:rsidP="00FE2344">
      <w:pPr>
        <w:pStyle w:val="Textonotapie"/>
        <w:ind w:firstLine="708"/>
        <w:jc w:val="both"/>
        <w:rPr>
          <w:rFonts w:ascii="Verdana" w:hAnsi="Verdana" w:cs="Arial"/>
          <w:sz w:val="16"/>
          <w:szCs w:val="16"/>
        </w:rPr>
      </w:pPr>
      <w:r w:rsidRPr="00C05785">
        <w:rPr>
          <w:rStyle w:val="Refdenotaalpie"/>
          <w:rFonts w:ascii="Verdana" w:hAnsi="Verdana" w:cs="Arial"/>
          <w:sz w:val="16"/>
          <w:szCs w:val="16"/>
        </w:rPr>
        <w:footnoteRef/>
      </w:r>
      <w:r w:rsidRPr="00C05785">
        <w:rPr>
          <w:rFonts w:ascii="Verdana" w:hAnsi="Verdana" w:cs="Arial"/>
          <w:sz w:val="16"/>
          <w:szCs w:val="16"/>
        </w:rPr>
        <w:t xml:space="preserve"> La norma dispone que “Cuando el objeto contractual incluya bienes o servicios ajenos a la obra pública de infraestructura </w:t>
      </w:r>
      <w:r>
        <w:rPr>
          <w:rFonts w:ascii="Verdana" w:hAnsi="Verdana" w:cs="Arial"/>
          <w:sz w:val="16"/>
          <w:szCs w:val="16"/>
        </w:rPr>
        <w:t>de transporte</w:t>
      </w:r>
      <w:r w:rsidRPr="00C05785">
        <w:rPr>
          <w:rFonts w:ascii="Verdana" w:hAnsi="Verdana" w:cs="Arial"/>
          <w:sz w:val="16"/>
          <w:szCs w:val="16"/>
        </w:rPr>
        <w:t>, la entidad estatal deberá aplicar los documentos tipo. Si de manera excepcional requiere incluir experiencia adicional para evaluar la idoneidad respecto de los bienes o servicios ajenos a la obra pública, deberá seguir los siguientes parámetros:</w:t>
      </w:r>
    </w:p>
    <w:p w14:paraId="4493D48A" w14:textId="77777777" w:rsidR="00FE2344" w:rsidRPr="00C05785" w:rsidRDefault="00FE2344" w:rsidP="00FE2344">
      <w:pPr>
        <w:pStyle w:val="Textonotapie"/>
        <w:ind w:firstLine="708"/>
        <w:jc w:val="both"/>
        <w:rPr>
          <w:rFonts w:ascii="Verdana" w:hAnsi="Verdana" w:cs="Arial"/>
          <w:sz w:val="16"/>
          <w:szCs w:val="16"/>
        </w:rPr>
      </w:pPr>
      <w:r w:rsidRPr="00C05785">
        <w:rPr>
          <w:rFonts w:ascii="Verdana" w:hAnsi="Verdana" w:cs="Arial"/>
          <w:sz w:val="16"/>
          <w:szCs w:val="16"/>
        </w:rPr>
        <w:t>1.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w:t>
      </w:r>
    </w:p>
    <w:p w14:paraId="764D84A0" w14:textId="77777777" w:rsidR="00FE2344" w:rsidRPr="00C05785" w:rsidRDefault="00FE2344" w:rsidP="00FE2344">
      <w:pPr>
        <w:pStyle w:val="Textonotapie"/>
        <w:ind w:firstLine="708"/>
        <w:jc w:val="both"/>
        <w:rPr>
          <w:rFonts w:ascii="Verdana" w:hAnsi="Verdana" w:cs="Arial"/>
          <w:sz w:val="16"/>
          <w:szCs w:val="16"/>
        </w:rPr>
      </w:pPr>
      <w:r w:rsidRPr="00C05785">
        <w:rPr>
          <w:rFonts w:ascii="Verdana" w:hAnsi="Verdana" w:cs="Arial"/>
          <w:sz w:val="16"/>
          <w:szCs w:val="16"/>
        </w:rPr>
        <w:t>Para tal efecto, la entidad realizará el estudio previo y el análisis del sector en los términos de los artículos 2.2.1.1.1.6.1 y 2.2.1.1.1.6.2 del Decreto 1082 de 2015, o la norma que los adicione, complemente o sustituya.</w:t>
      </w:r>
    </w:p>
    <w:p w14:paraId="16E5EDCE" w14:textId="77777777" w:rsidR="00FE2344" w:rsidRPr="00C05785" w:rsidRDefault="00FE2344" w:rsidP="00FE2344">
      <w:pPr>
        <w:pStyle w:val="Textonotapie"/>
        <w:ind w:firstLine="708"/>
        <w:jc w:val="both"/>
        <w:rPr>
          <w:rFonts w:ascii="Verdana" w:hAnsi="Verdana" w:cs="Arial"/>
          <w:sz w:val="16"/>
          <w:szCs w:val="16"/>
        </w:rPr>
      </w:pPr>
      <w:r w:rsidRPr="00C05785">
        <w:rPr>
          <w:rFonts w:ascii="Verdana" w:hAnsi="Verdana" w:cs="Arial"/>
          <w:sz w:val="16"/>
          <w:szCs w:val="16"/>
        </w:rPr>
        <w:t>2. Conservar los requisitos exigidos en los documentos tipo.</w:t>
      </w:r>
    </w:p>
    <w:p w14:paraId="0DE0BF19" w14:textId="77777777" w:rsidR="00FE2344" w:rsidRPr="00C05785" w:rsidRDefault="00FE2344" w:rsidP="00FE2344">
      <w:pPr>
        <w:pStyle w:val="Textonotapie"/>
        <w:ind w:firstLine="708"/>
        <w:jc w:val="both"/>
        <w:rPr>
          <w:rFonts w:ascii="Verdana" w:hAnsi="Verdana" w:cs="Arial"/>
          <w:sz w:val="16"/>
          <w:szCs w:val="16"/>
          <w:lang w:val="es-CO"/>
        </w:rPr>
      </w:pPr>
      <w:r w:rsidRPr="00C05785">
        <w:rPr>
          <w:rFonts w:ascii="Verdana" w:hAnsi="Verdana" w:cs="Arial"/>
          <w:sz w:val="16"/>
          <w:szCs w:val="16"/>
          <w:lang w:val="es-CO"/>
        </w:rPr>
        <w:t>3. Abstenerse de pedir experiencia exclusiva con entidades de cualquier naturaleza, experiencia previa exclusiva en un territorio específico, limitada en el tiempo o que incluya volúmenes o cantidades de obra específica.</w:t>
      </w:r>
    </w:p>
    <w:p w14:paraId="020FCB99" w14:textId="77777777" w:rsidR="00FE2344" w:rsidRPr="00C05785" w:rsidRDefault="00FE2344" w:rsidP="00FE2344">
      <w:pPr>
        <w:pStyle w:val="Textonotapie"/>
        <w:ind w:firstLine="708"/>
        <w:jc w:val="both"/>
        <w:rPr>
          <w:rFonts w:ascii="Verdana" w:hAnsi="Verdana" w:cs="Arial"/>
          <w:sz w:val="16"/>
          <w:szCs w:val="16"/>
          <w:lang w:val="es-CO"/>
        </w:rPr>
      </w:pPr>
      <w:r w:rsidRPr="00C05785">
        <w:rPr>
          <w:rFonts w:ascii="Verdana" w:hAnsi="Verdana" w:cs="Arial"/>
          <w:sz w:val="16"/>
          <w:szCs w:val="16"/>
          <w:lang w:val="es-CO"/>
        </w:rPr>
        <w:t>4. Clasificar la experiencia requerida solo hasta el tercer nivel del Clasificador de Bienes y Servicios e incluir exclusivamente los códigos que estén relacionados directamente con el objeto a contratar.</w:t>
      </w:r>
    </w:p>
    <w:p w14:paraId="330251D3" w14:textId="77777777" w:rsidR="00FE2344" w:rsidRPr="00C05785" w:rsidRDefault="00FE2344" w:rsidP="00FE2344">
      <w:pPr>
        <w:pStyle w:val="Textonotapie"/>
        <w:ind w:firstLine="708"/>
        <w:jc w:val="both"/>
        <w:rPr>
          <w:rFonts w:ascii="Verdana" w:hAnsi="Verdana" w:cs="Arial"/>
          <w:sz w:val="16"/>
          <w:szCs w:val="16"/>
          <w:lang w:val="es-CO"/>
        </w:rPr>
      </w:pPr>
      <w:r w:rsidRPr="00C05785">
        <w:rPr>
          <w:rFonts w:ascii="Verdana" w:hAnsi="Verdana" w:cs="Arial"/>
          <w:sz w:val="16"/>
          <w:szCs w:val="16"/>
          <w:lang w:val="es-CO"/>
        </w:rPr>
        <w:t>Parágrafo 1. En los casos que el objeto contractual incluya actividades que son abarcadas por otros Documentos, la Entidad Estatal aplicará las reglas de combinación de experiencia previstas en el numeral 3.5.</w:t>
      </w:r>
      <w:r>
        <w:rPr>
          <w:rFonts w:ascii="Verdana" w:hAnsi="Verdana" w:cs="Arial"/>
          <w:sz w:val="16"/>
          <w:szCs w:val="16"/>
          <w:lang w:val="es-CO"/>
        </w:rPr>
        <w:t>2</w:t>
      </w:r>
      <w:r w:rsidRPr="00C05785">
        <w:rPr>
          <w:rFonts w:ascii="Verdana" w:hAnsi="Verdana" w:cs="Arial"/>
          <w:sz w:val="16"/>
          <w:szCs w:val="16"/>
          <w:lang w:val="es-CO"/>
        </w:rPr>
        <w:t xml:space="preserve"> del documento base.</w:t>
      </w:r>
    </w:p>
    <w:p w14:paraId="7B09C9B1" w14:textId="77777777" w:rsidR="00FE2344" w:rsidRPr="00C05785" w:rsidRDefault="00FE2344" w:rsidP="00FE2344">
      <w:pPr>
        <w:pStyle w:val="Textonotapie"/>
        <w:ind w:firstLine="708"/>
        <w:jc w:val="both"/>
        <w:rPr>
          <w:rFonts w:ascii="Verdana" w:hAnsi="Verdana" w:cs="Arial"/>
          <w:sz w:val="16"/>
          <w:szCs w:val="16"/>
          <w:lang w:val="es-CO"/>
        </w:rPr>
      </w:pPr>
      <w:r w:rsidRPr="00C05785">
        <w:rPr>
          <w:rFonts w:ascii="Verdana" w:hAnsi="Verdana" w:cs="Arial"/>
          <w:sz w:val="16"/>
          <w:szCs w:val="16"/>
          <w:lang w:val="es-CO"/>
        </w:rPr>
        <w:t xml:space="preserve">Parágrafo 2. </w:t>
      </w:r>
      <w:r w:rsidRPr="007C5133">
        <w:rPr>
          <w:rFonts w:ascii="Verdana" w:hAnsi="Verdana" w:cs="Arial"/>
          <w:sz w:val="16"/>
          <w:szCs w:val="16"/>
          <w:lang w:val="es-CO"/>
        </w:rPr>
        <w:t>Para los efectos de este artículo se entiende por "obras, bienes o servicios adicionales"</w:t>
      </w:r>
      <w:r>
        <w:rPr>
          <w:rFonts w:ascii="Verdana" w:hAnsi="Verdana" w:cs="Arial"/>
          <w:sz w:val="16"/>
          <w:szCs w:val="16"/>
          <w:lang w:val="es-CO"/>
        </w:rPr>
        <w:t xml:space="preserve"> </w:t>
      </w:r>
      <w:r w:rsidRPr="007C5133">
        <w:rPr>
          <w:rFonts w:ascii="Verdana" w:hAnsi="Verdana" w:cs="Arial"/>
          <w:sz w:val="16"/>
          <w:szCs w:val="16"/>
          <w:lang w:val="es-CO"/>
        </w:rPr>
        <w:t>aquellas actividades que no están incluidas en la matriz de experiencia de los documentos tipo de</w:t>
      </w:r>
      <w:r>
        <w:rPr>
          <w:rFonts w:ascii="Verdana" w:hAnsi="Verdana" w:cs="Arial"/>
          <w:sz w:val="16"/>
          <w:szCs w:val="16"/>
          <w:lang w:val="es-CO"/>
        </w:rPr>
        <w:t xml:space="preserve"> </w:t>
      </w:r>
      <w:r w:rsidRPr="007C5133">
        <w:rPr>
          <w:rFonts w:ascii="Verdana" w:hAnsi="Verdana" w:cs="Arial"/>
          <w:sz w:val="16"/>
          <w:szCs w:val="16"/>
          <w:lang w:val="es-CO"/>
        </w:rPr>
        <w:t>infraestructura de transporte aplicable, pero que están relacionadas con el contrato a ejecutar. Por</w:t>
      </w:r>
      <w:r>
        <w:rPr>
          <w:rFonts w:ascii="Verdana" w:hAnsi="Verdana" w:cs="Arial"/>
          <w:sz w:val="16"/>
          <w:szCs w:val="16"/>
          <w:lang w:val="es-CO"/>
        </w:rPr>
        <w:t xml:space="preserve"> </w:t>
      </w:r>
      <w:r w:rsidRPr="007C5133">
        <w:rPr>
          <w:rFonts w:ascii="Verdana" w:hAnsi="Verdana" w:cs="Arial"/>
          <w:sz w:val="16"/>
          <w:szCs w:val="16"/>
          <w:lang w:val="es-CO"/>
        </w:rPr>
        <w:t>ejemplo, en caso de que el proyecto de obra pública a ejecutar esté relacionado con infraestructura</w:t>
      </w:r>
      <w:r>
        <w:rPr>
          <w:rFonts w:ascii="Verdana" w:hAnsi="Verdana" w:cs="Arial"/>
          <w:sz w:val="16"/>
          <w:szCs w:val="16"/>
          <w:lang w:val="es-CO"/>
        </w:rPr>
        <w:t xml:space="preserve"> </w:t>
      </w:r>
      <w:r w:rsidRPr="007C5133">
        <w:rPr>
          <w:rFonts w:ascii="Verdana" w:hAnsi="Verdana" w:cs="Arial"/>
          <w:sz w:val="16"/>
          <w:szCs w:val="16"/>
          <w:lang w:val="es-CO"/>
        </w:rPr>
        <w:t>de transporte, pero, además, con proyectos de agua potable y saneamiento básico o con proyectos</w:t>
      </w:r>
      <w:r>
        <w:rPr>
          <w:rFonts w:ascii="Verdana" w:hAnsi="Verdana" w:cs="Arial"/>
          <w:sz w:val="16"/>
          <w:szCs w:val="16"/>
          <w:lang w:val="es-CO"/>
        </w:rPr>
        <w:t xml:space="preserve"> </w:t>
      </w:r>
      <w:r w:rsidRPr="007C5133">
        <w:rPr>
          <w:rFonts w:ascii="Verdana" w:hAnsi="Verdana" w:cs="Arial"/>
          <w:sz w:val="16"/>
          <w:szCs w:val="16"/>
          <w:lang w:val="es-CO"/>
        </w:rPr>
        <w:t>de infraestructura social, el servicio adicional serán las actividades de obra pública en infraestructura</w:t>
      </w:r>
      <w:r>
        <w:rPr>
          <w:rFonts w:ascii="Verdana" w:hAnsi="Verdana" w:cs="Arial"/>
          <w:sz w:val="16"/>
          <w:szCs w:val="16"/>
          <w:lang w:val="es-CO"/>
        </w:rPr>
        <w:t xml:space="preserve"> </w:t>
      </w:r>
      <w:r w:rsidRPr="007C5133">
        <w:rPr>
          <w:rFonts w:ascii="Verdana" w:hAnsi="Verdana" w:cs="Arial"/>
          <w:sz w:val="16"/>
          <w:szCs w:val="16"/>
          <w:lang w:val="es-CO"/>
        </w:rPr>
        <w:t>de agua potable y saneamiento básico o las actividades de obra pública de infraestructura social</w:t>
      </w:r>
      <w:r w:rsidRPr="00C05785">
        <w:rPr>
          <w:rFonts w:ascii="Verdana" w:hAnsi="Verdana" w:cs="Arial"/>
          <w:sz w:val="16"/>
          <w:szCs w:val="16"/>
          <w:lang w:val="es-CO"/>
        </w:rPr>
        <w:t>”.</w:t>
      </w:r>
    </w:p>
  </w:footnote>
  <w:footnote w:id="31">
    <w:p w14:paraId="418B8B6E" w14:textId="77777777" w:rsidR="00FE2344" w:rsidRPr="00C05785" w:rsidRDefault="00FE2344" w:rsidP="00FE2344">
      <w:pPr>
        <w:spacing w:after="0" w:line="240" w:lineRule="auto"/>
        <w:ind w:firstLine="708"/>
        <w:jc w:val="both"/>
        <w:rPr>
          <w:rFonts w:ascii="Verdana" w:hAnsi="Verdana" w:cs="Arial"/>
          <w:color w:val="000000" w:themeColor="text1"/>
          <w:sz w:val="16"/>
          <w:szCs w:val="16"/>
        </w:rPr>
      </w:pPr>
      <w:r w:rsidRPr="00C05785">
        <w:rPr>
          <w:rStyle w:val="Refdenotaalpie"/>
          <w:rFonts w:ascii="Verdana" w:hAnsi="Verdana" w:cs="Arial"/>
          <w:color w:val="000000" w:themeColor="text1"/>
          <w:sz w:val="16"/>
          <w:szCs w:val="16"/>
        </w:rPr>
        <w:footnoteRef/>
      </w:r>
      <w:r w:rsidRPr="00C05785">
        <w:rPr>
          <w:rFonts w:ascii="Verdana" w:hAnsi="Verdana" w:cs="Arial"/>
          <w:color w:val="000000" w:themeColor="text1"/>
          <w:sz w:val="16"/>
          <w:szCs w:val="16"/>
        </w:rPr>
        <w:t xml:space="preserve"> Cita tomada de la providencia del 20 de febrero de 2020, dictada por el Consejo de Estado. Sección Tercera. Subsección A, dentro del expediente 47001-23-33-000-2018-00035-01 (63.854), cuya ponente fue Marta Nubia Velásquez Rico.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367"/>
    <w:rsid w:val="00061B2A"/>
    <w:rsid w:val="00082362"/>
    <w:rsid w:val="000A683E"/>
    <w:rsid w:val="000B19B9"/>
    <w:rsid w:val="000D0334"/>
    <w:rsid w:val="000D5DA7"/>
    <w:rsid w:val="000F6486"/>
    <w:rsid w:val="00116940"/>
    <w:rsid w:val="00125105"/>
    <w:rsid w:val="00127233"/>
    <w:rsid w:val="0015699B"/>
    <w:rsid w:val="001631C2"/>
    <w:rsid w:val="001A33BF"/>
    <w:rsid w:val="001B50D1"/>
    <w:rsid w:val="001E1FDC"/>
    <w:rsid w:val="001E4177"/>
    <w:rsid w:val="001F0B24"/>
    <w:rsid w:val="001F7DC6"/>
    <w:rsid w:val="0022400B"/>
    <w:rsid w:val="00237B32"/>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0B08"/>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016"/>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5CA1"/>
    <w:rsid w:val="009B2D26"/>
    <w:rsid w:val="009C71FA"/>
    <w:rsid w:val="009C72E7"/>
    <w:rsid w:val="009C7F7E"/>
    <w:rsid w:val="009D3058"/>
    <w:rsid w:val="009F3A13"/>
    <w:rsid w:val="009F7DE7"/>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28CA"/>
    <w:rsid w:val="00CB6357"/>
    <w:rsid w:val="00CC1B26"/>
    <w:rsid w:val="00D03026"/>
    <w:rsid w:val="00D25ABE"/>
    <w:rsid w:val="00D361FD"/>
    <w:rsid w:val="00D423A2"/>
    <w:rsid w:val="00D44E26"/>
    <w:rsid w:val="00D507ED"/>
    <w:rsid w:val="00D520D8"/>
    <w:rsid w:val="00D63AC2"/>
    <w:rsid w:val="00D7335E"/>
    <w:rsid w:val="00D7383B"/>
    <w:rsid w:val="00D7788A"/>
    <w:rsid w:val="00DA231B"/>
    <w:rsid w:val="00DC39FC"/>
    <w:rsid w:val="00DF2E7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118A"/>
    <w:rsid w:val="00EE1AA8"/>
    <w:rsid w:val="00F15BAF"/>
    <w:rsid w:val="00F23FEA"/>
    <w:rsid w:val="00F31EDC"/>
    <w:rsid w:val="00F462B3"/>
    <w:rsid w:val="00F5664F"/>
    <w:rsid w:val="00F666C4"/>
    <w:rsid w:val="00F76AFC"/>
    <w:rsid w:val="00FA47C0"/>
    <w:rsid w:val="00FB5DD1"/>
    <w:rsid w:val="00FC2B5D"/>
    <w:rsid w:val="00FE2344"/>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234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E2344"/>
    <w:rPr>
      <w:rFonts w:ascii="Geomanist Light" w:hAnsi="Geomanist Light"/>
      <w:lang w:val="es-ES"/>
    </w:rPr>
  </w:style>
  <w:style w:type="character" w:customStyle="1" w:styleId="s15">
    <w:name w:val="s15"/>
    <w:basedOn w:val="Fuentedeprrafopredeter"/>
    <w:rsid w:val="00FE2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l.hernandez@aerocivil.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1508_2012.html" TargetMode="External"/><Relationship Id="rId2" Type="http://schemas.openxmlformats.org/officeDocument/2006/relationships/hyperlink" Target="http://leyes.senado.gov.co/proyectos/images/documentos/Textos%20Radicados/Ponencias/2010/gaceta_784%20%20.pdf" TargetMode="External"/><Relationship Id="rId1" Type="http://schemas.openxmlformats.org/officeDocument/2006/relationships/hyperlink" Target="https://www.colombiacompra.gov.co/documentos-tipo/documentos-tipo" TargetMode="External"/><Relationship Id="rId4" Type="http://schemas.openxmlformats.org/officeDocument/2006/relationships/hyperlink" Target="https://revistas.uexternado.edu.co/index.php/derest/article/view/70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EE2AB0-7075-4FB1-9864-A6299BFD6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29</Pages>
  <Words>9516</Words>
  <Characters>52343</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2026-04-28T03:57:00Z</dcterms:created>
  <dcterms:modified xsi:type="dcterms:W3CDTF">2026-05-04T14:55:00Z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