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510C2" w14:textId="77777777" w:rsidR="0082719E" w:rsidRPr="00437C34" w:rsidRDefault="0082719E" w:rsidP="0082719E">
      <w:pPr>
        <w:spacing w:after="0" w:line="240" w:lineRule="auto"/>
        <w:jc w:val="both"/>
        <w:rPr>
          <w:rFonts w:ascii="Verdana" w:hAnsi="Verdana" w:cs="Arial"/>
          <w:b/>
          <w:lang w:val="es-MX" w:eastAsia="es-ES_tradnl"/>
        </w:rPr>
      </w:pPr>
      <w:bookmarkStart w:id="0" w:name="_Hlk143780582"/>
      <w:r w:rsidRPr="00437C34">
        <w:rPr>
          <w:rFonts w:ascii="Verdana" w:hAnsi="Verdana" w:cs="Arial"/>
          <w:b/>
          <w:lang w:val="es-MX" w:eastAsia="es-ES_tradnl"/>
        </w:rPr>
        <w:t xml:space="preserve">LEY DE GARANTÍAS ELECTORALES </w:t>
      </w:r>
      <w:r w:rsidRPr="00437C34">
        <w:rPr>
          <w:rFonts w:ascii="Verdana" w:hAnsi="Verdana" w:cs="Arial"/>
          <w:b/>
          <w:bCs/>
          <w:lang w:val="es-MX" w:eastAsia="es-ES_tradnl"/>
        </w:rPr>
        <w:t>‒</w:t>
      </w:r>
      <w:r w:rsidRPr="00437C34">
        <w:rPr>
          <w:rFonts w:ascii="Verdana" w:hAnsi="Verdana" w:cs="Arial"/>
          <w:b/>
          <w:lang w:val="es-MX" w:eastAsia="es-ES_tradnl"/>
        </w:rPr>
        <w:t xml:space="preserve"> Finalidad </w:t>
      </w:r>
    </w:p>
    <w:p w14:paraId="4BF0A7EF" w14:textId="77777777" w:rsidR="0082719E" w:rsidRPr="00437C34" w:rsidRDefault="0082719E" w:rsidP="0082719E">
      <w:pPr>
        <w:spacing w:after="0" w:line="240" w:lineRule="auto"/>
        <w:jc w:val="both"/>
        <w:rPr>
          <w:rFonts w:ascii="Verdana" w:hAnsi="Verdana" w:cs="Arial"/>
          <w:b/>
          <w:lang w:val="es-MX" w:eastAsia="es-ES_tradnl"/>
        </w:rPr>
      </w:pPr>
    </w:p>
    <w:p w14:paraId="6A676446" w14:textId="77777777" w:rsidR="0082719E" w:rsidRPr="00437C34" w:rsidRDefault="0082719E" w:rsidP="0082719E">
      <w:pPr>
        <w:spacing w:after="0" w:line="240" w:lineRule="auto"/>
        <w:jc w:val="both"/>
        <w:rPr>
          <w:rFonts w:ascii="Verdana" w:eastAsia="Times New Roman" w:hAnsi="Verdana" w:cs="Arial"/>
          <w:sz w:val="20"/>
          <w:lang w:val="es-MX" w:eastAsia="es-CO"/>
        </w:rPr>
      </w:pPr>
      <w:r w:rsidRPr="00437C34">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B7EB337" w14:textId="77777777" w:rsidR="0082719E" w:rsidRPr="00437C34" w:rsidRDefault="0082719E" w:rsidP="0082719E">
      <w:pPr>
        <w:spacing w:after="0" w:line="240" w:lineRule="auto"/>
        <w:jc w:val="both"/>
        <w:rPr>
          <w:rFonts w:ascii="Verdana" w:hAnsi="Verdana" w:cs="Arial"/>
          <w:b/>
          <w:sz w:val="20"/>
          <w:lang w:val="es-MX" w:eastAsia="es-ES_tradnl"/>
        </w:rPr>
      </w:pPr>
    </w:p>
    <w:p w14:paraId="66ADFA07" w14:textId="07860139" w:rsidR="0082719E" w:rsidRPr="00437C34" w:rsidRDefault="0082719E" w:rsidP="0082719E">
      <w:pPr>
        <w:spacing w:after="0" w:line="240" w:lineRule="auto"/>
        <w:jc w:val="both"/>
        <w:rPr>
          <w:rFonts w:ascii="Verdana" w:hAnsi="Verdana" w:cs="Arial"/>
          <w:b/>
          <w:lang w:val="es-MX" w:eastAsia="es-ES_tradnl"/>
        </w:rPr>
      </w:pPr>
      <w:r w:rsidRPr="00437C34">
        <w:rPr>
          <w:rFonts w:ascii="Verdana" w:hAnsi="Verdana" w:cs="Arial"/>
          <w:b/>
          <w:lang w:val="es-MX" w:eastAsia="es-ES_tradnl"/>
        </w:rPr>
        <w:t xml:space="preserve">LEY DE GARANTÍAS ELECTORALES </w:t>
      </w:r>
      <w:r w:rsidRPr="00437C34">
        <w:rPr>
          <w:rFonts w:ascii="Verdana" w:hAnsi="Verdana" w:cs="Arial"/>
          <w:b/>
          <w:bCs/>
          <w:lang w:val="es-MX" w:eastAsia="es-ES_tradnl"/>
        </w:rPr>
        <w:t>‒</w:t>
      </w:r>
      <w:r w:rsidRPr="00437C34">
        <w:rPr>
          <w:rFonts w:ascii="Verdana" w:hAnsi="Verdana" w:cs="Arial"/>
          <w:b/>
          <w:lang w:val="es-MX" w:eastAsia="es-ES_tradnl"/>
        </w:rPr>
        <w:t xml:space="preserve"> Tipos de restricciones </w:t>
      </w:r>
      <w:r w:rsidRPr="00437C34">
        <w:rPr>
          <w:rFonts w:ascii="Verdana" w:hAnsi="Verdana" w:cs="Arial"/>
          <w:b/>
          <w:bCs/>
          <w:lang w:val="es-MX" w:eastAsia="es-ES_tradnl"/>
        </w:rPr>
        <w:t>‒</w:t>
      </w:r>
      <w:r w:rsidRPr="00437C34">
        <w:rPr>
          <w:rFonts w:ascii="Verdana" w:hAnsi="Verdana" w:cs="Arial"/>
          <w:b/>
          <w:lang w:val="es-MX" w:eastAsia="es-ES_tradnl"/>
        </w:rPr>
        <w:t xml:space="preserve"> Ámbito temporal – </w:t>
      </w:r>
      <w:r w:rsidR="002D53EA">
        <w:rPr>
          <w:rFonts w:ascii="Verdana" w:hAnsi="Verdana" w:cs="Arial"/>
          <w:b/>
          <w:lang w:val="es-MX" w:eastAsia="es-ES_tradnl"/>
        </w:rPr>
        <w:t>C</w:t>
      </w:r>
      <w:r w:rsidRPr="00437C34">
        <w:rPr>
          <w:rFonts w:ascii="Verdana" w:hAnsi="Verdana" w:cs="Arial"/>
          <w:b/>
          <w:lang w:val="es-MX" w:eastAsia="es-ES_tradnl"/>
        </w:rPr>
        <w:t>elebración</w:t>
      </w:r>
      <w:r w:rsidR="002D53EA">
        <w:rPr>
          <w:rFonts w:ascii="Verdana" w:hAnsi="Verdana" w:cs="Arial"/>
          <w:b/>
          <w:lang w:val="es-MX" w:eastAsia="es-ES_tradnl"/>
        </w:rPr>
        <w:t xml:space="preserve"> </w:t>
      </w:r>
      <w:r w:rsidR="002D53EA" w:rsidRPr="002D53EA">
        <w:rPr>
          <w:rFonts w:ascii="Verdana" w:hAnsi="Verdana" w:cs="Arial"/>
          <w:b/>
          <w:bCs/>
          <w:lang w:val="es-ES" w:eastAsia="es-ES_tradnl"/>
        </w:rPr>
        <w:t>–</w:t>
      </w:r>
      <w:r w:rsidRPr="00437C34">
        <w:rPr>
          <w:rFonts w:ascii="Verdana" w:hAnsi="Verdana" w:cs="Arial"/>
          <w:b/>
          <w:lang w:val="es-MX" w:eastAsia="es-ES_tradnl"/>
        </w:rPr>
        <w:t xml:space="preserve"> </w:t>
      </w:r>
      <w:r w:rsidR="002D53EA">
        <w:rPr>
          <w:rFonts w:ascii="Verdana" w:hAnsi="Verdana" w:cs="Arial"/>
          <w:b/>
          <w:lang w:val="es-MX" w:eastAsia="es-ES_tradnl"/>
        </w:rPr>
        <w:t>L</w:t>
      </w:r>
      <w:r w:rsidRPr="00437C34">
        <w:rPr>
          <w:rFonts w:ascii="Verdana" w:hAnsi="Verdana" w:cs="Arial"/>
          <w:b/>
          <w:lang w:val="es-MX" w:eastAsia="es-ES_tradnl"/>
        </w:rPr>
        <w:t>ímite</w:t>
      </w:r>
    </w:p>
    <w:p w14:paraId="3B5DCF76" w14:textId="77777777" w:rsidR="0082719E" w:rsidRPr="00437C34" w:rsidRDefault="0082719E" w:rsidP="0082719E">
      <w:pPr>
        <w:spacing w:after="0" w:line="240" w:lineRule="auto"/>
        <w:jc w:val="both"/>
        <w:rPr>
          <w:rFonts w:ascii="Verdana" w:hAnsi="Verdana" w:cs="Arial"/>
          <w:b/>
          <w:lang w:val="es-MX" w:eastAsia="es-ES_tradnl"/>
        </w:rPr>
      </w:pPr>
    </w:p>
    <w:p w14:paraId="18ECB172" w14:textId="77777777" w:rsidR="0082719E" w:rsidRPr="00437C34" w:rsidRDefault="0082719E" w:rsidP="0082719E">
      <w:pPr>
        <w:spacing w:after="0" w:line="240" w:lineRule="auto"/>
        <w:jc w:val="both"/>
        <w:rPr>
          <w:rFonts w:ascii="Verdana" w:eastAsia="Calibri" w:hAnsi="Verdana" w:cs="Arial"/>
          <w:sz w:val="20"/>
        </w:rPr>
      </w:pPr>
      <w:r w:rsidRPr="00437C34">
        <w:rPr>
          <w:rFonts w:ascii="Verdana" w:eastAsia="Calibri" w:hAnsi="Verdana" w:cs="Arial"/>
          <w:sz w:val="20"/>
        </w:rPr>
        <w:t xml:space="preserve">Por un lado, el </w:t>
      </w:r>
      <w:r w:rsidRPr="00437C34">
        <w:rPr>
          <w:rFonts w:ascii="Verdana" w:eastAsia="Calibri" w:hAnsi="Verdana" w:cs="Arial"/>
          <w:i/>
          <w:iCs/>
          <w:sz w:val="20"/>
        </w:rPr>
        <w:t>artículo 33 de la Ley 996 de 2005</w:t>
      </w:r>
      <w:r w:rsidRPr="00437C34">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B601225" w14:textId="77777777" w:rsidR="0082719E" w:rsidRPr="00437C34" w:rsidRDefault="0082719E" w:rsidP="0082719E">
      <w:pPr>
        <w:spacing w:after="0" w:line="240" w:lineRule="auto"/>
        <w:jc w:val="both"/>
        <w:rPr>
          <w:rFonts w:ascii="Verdana" w:eastAsia="Calibri" w:hAnsi="Verdana" w:cs="Arial"/>
          <w:sz w:val="20"/>
        </w:rPr>
      </w:pPr>
    </w:p>
    <w:p w14:paraId="3FA4E3F7" w14:textId="77777777" w:rsidR="0082719E" w:rsidRPr="00437C34" w:rsidRDefault="0082719E" w:rsidP="0082719E">
      <w:pPr>
        <w:widowControl w:val="0"/>
        <w:autoSpaceDE w:val="0"/>
        <w:autoSpaceDN w:val="0"/>
        <w:spacing w:after="0" w:line="240" w:lineRule="auto"/>
        <w:ind w:right="113"/>
        <w:jc w:val="both"/>
        <w:rPr>
          <w:rFonts w:ascii="Verdana" w:eastAsia="Arial" w:hAnsi="Verdana" w:cs="Arial"/>
          <w:sz w:val="20"/>
          <w:lang w:val="es-ES" w:eastAsia="es-ES" w:bidi="es-ES"/>
        </w:rPr>
      </w:pPr>
      <w:r w:rsidRPr="00437C34">
        <w:rPr>
          <w:rFonts w:ascii="Verdana" w:eastAsia="Calibri" w:hAnsi="Verdana" w:cs="Arial"/>
          <w:sz w:val="20"/>
        </w:rPr>
        <w:t xml:space="preserve">Por otro lado, </w:t>
      </w:r>
      <w:r w:rsidRPr="00437C34">
        <w:rPr>
          <w:rFonts w:ascii="Verdana" w:eastAsia="Calibri" w:hAnsi="Verdana" w:cs="Arial"/>
          <w:i/>
          <w:iCs/>
          <w:sz w:val="20"/>
        </w:rPr>
        <w:t>el parágrafo del artículo 38 de la Ley 996 de 2005</w:t>
      </w:r>
      <w:r w:rsidRPr="00437C34">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37C34">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7C34">
        <w:rPr>
          <w:rFonts w:ascii="Verdana" w:eastAsia="Calibri" w:hAnsi="Verdana" w:cs="Arial"/>
          <w:sz w:val="20"/>
        </w:rPr>
        <w:t>”</w:t>
      </w:r>
      <w:r w:rsidRPr="00437C34">
        <w:rPr>
          <w:rFonts w:ascii="Verdana" w:eastAsia="Calibri" w:hAnsi="Verdana" w:cs="Arial"/>
          <w:sz w:val="20"/>
          <w:lang w:val="es-MX"/>
        </w:rPr>
        <w:t>.</w:t>
      </w:r>
      <w:r w:rsidRPr="00437C34">
        <w:rPr>
          <w:rFonts w:ascii="Verdana" w:eastAsia="Arial" w:hAnsi="Verdana" w:cs="Arial"/>
          <w:sz w:val="20"/>
          <w:lang w:val="es-ES" w:eastAsia="es-ES" w:bidi="es-ES"/>
        </w:rPr>
        <w:t xml:space="preserve"> </w:t>
      </w:r>
    </w:p>
    <w:p w14:paraId="33CA625B" w14:textId="77777777" w:rsidR="0082719E" w:rsidRPr="00437C34" w:rsidRDefault="0082719E" w:rsidP="0082719E">
      <w:pPr>
        <w:widowControl w:val="0"/>
        <w:autoSpaceDE w:val="0"/>
        <w:autoSpaceDN w:val="0"/>
        <w:spacing w:after="0" w:line="240" w:lineRule="auto"/>
        <w:ind w:right="113"/>
        <w:jc w:val="both"/>
        <w:rPr>
          <w:rFonts w:ascii="Verdana" w:eastAsia="Arial" w:hAnsi="Verdana" w:cs="Arial"/>
          <w:sz w:val="20"/>
          <w:lang w:val="es-ES" w:eastAsia="es-ES" w:bidi="es-ES"/>
        </w:rPr>
      </w:pPr>
    </w:p>
    <w:p w14:paraId="762C1EE9" w14:textId="77777777" w:rsidR="0082719E" w:rsidRPr="00437C34" w:rsidRDefault="0082719E" w:rsidP="0082719E">
      <w:pPr>
        <w:spacing w:after="0" w:line="240" w:lineRule="auto"/>
        <w:jc w:val="both"/>
        <w:rPr>
          <w:rFonts w:ascii="Verdana" w:eastAsia="Times New Roman" w:hAnsi="Verdana" w:cs="Arial"/>
          <w:bCs/>
          <w:sz w:val="20"/>
          <w:lang w:val="es-ES" w:eastAsia="es-CO"/>
        </w:rPr>
      </w:pPr>
      <w:r w:rsidRPr="00437C34">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37C34">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437C34">
        <w:rPr>
          <w:rFonts w:ascii="Verdana" w:eastAsia="Times New Roman" w:hAnsi="Verdana" w:cs="Arial"/>
          <w:bCs/>
          <w:i/>
          <w:sz w:val="20"/>
          <w:lang w:val="es-ES" w:eastAsia="es-CO"/>
        </w:rPr>
        <w:t>ibídem</w:t>
      </w:r>
      <w:proofErr w:type="spellEnd"/>
      <w:r w:rsidRPr="00437C34">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5AAD964" w14:textId="77777777" w:rsidR="0082719E" w:rsidRPr="00437C34" w:rsidRDefault="0082719E" w:rsidP="0082719E">
      <w:pPr>
        <w:spacing w:after="0" w:line="240" w:lineRule="auto"/>
        <w:jc w:val="both"/>
        <w:rPr>
          <w:rFonts w:ascii="Verdana" w:hAnsi="Verdana" w:cs="Arial"/>
          <w:b/>
          <w:sz w:val="20"/>
          <w:lang w:val="es-MX" w:eastAsia="es-ES_tradnl"/>
        </w:rPr>
      </w:pPr>
    </w:p>
    <w:p w14:paraId="566297D6" w14:textId="77777777" w:rsidR="0082719E" w:rsidRPr="00437C34" w:rsidRDefault="0082719E" w:rsidP="0082719E">
      <w:pPr>
        <w:spacing w:after="0" w:line="240" w:lineRule="auto"/>
        <w:jc w:val="both"/>
        <w:rPr>
          <w:rFonts w:ascii="Verdana" w:hAnsi="Verdana" w:cs="Arial"/>
          <w:b/>
          <w:lang w:val="es-MX" w:eastAsia="es-ES_tradnl"/>
        </w:rPr>
      </w:pPr>
      <w:r w:rsidRPr="00437C34">
        <w:rPr>
          <w:rFonts w:ascii="Verdana" w:hAnsi="Verdana" w:cs="Arial"/>
          <w:b/>
          <w:lang w:val="es-MX" w:eastAsia="es-ES_tradnl"/>
        </w:rPr>
        <w:t xml:space="preserve">LEY DE GARANTÍAS ELECTORALES – Prohibición artículo 33 – Contratación directa – Alcance </w:t>
      </w:r>
    </w:p>
    <w:p w14:paraId="1F67C3A9" w14:textId="77777777" w:rsidR="0082719E" w:rsidRPr="00437C34" w:rsidRDefault="0082719E" w:rsidP="0082719E">
      <w:pPr>
        <w:spacing w:after="0" w:line="240" w:lineRule="auto"/>
        <w:jc w:val="both"/>
        <w:rPr>
          <w:rFonts w:ascii="Verdana" w:hAnsi="Verdana" w:cs="Arial"/>
          <w:b/>
          <w:lang w:val="es-MX" w:eastAsia="es-ES_tradnl"/>
        </w:rPr>
      </w:pPr>
    </w:p>
    <w:p w14:paraId="6AC9F8D8" w14:textId="77777777" w:rsidR="0082719E" w:rsidRPr="00437C34" w:rsidRDefault="0082719E" w:rsidP="0082719E">
      <w:pPr>
        <w:spacing w:after="0" w:line="240" w:lineRule="auto"/>
        <w:jc w:val="both"/>
        <w:rPr>
          <w:rFonts w:ascii="Verdana" w:eastAsia="Times New Roman" w:hAnsi="Verdana" w:cs="Arial"/>
          <w:bCs/>
          <w:sz w:val="20"/>
          <w:lang w:eastAsia="x-none"/>
        </w:rPr>
      </w:pPr>
      <w:r w:rsidRPr="00437C34">
        <w:rPr>
          <w:rFonts w:ascii="Verdana" w:eastAsia="Times New Roman" w:hAnsi="Verdana" w:cs="Arial"/>
          <w:sz w:val="20"/>
          <w:lang w:eastAsia="x-none"/>
        </w:rPr>
        <w:lastRenderedPageBreak/>
        <w:t xml:space="preserve">De acuerdo con el citado concepto, la prohibición del artículo 33 de la Ley de Garantías Electorales se refiere a </w:t>
      </w:r>
      <w:r w:rsidRPr="00437C34">
        <w:rPr>
          <w:rFonts w:ascii="Verdana" w:eastAsia="Times New Roman" w:hAnsi="Verdana" w:cs="Arial"/>
          <w:sz w:val="18"/>
          <w:szCs w:val="19"/>
          <w:lang w:eastAsia="en-GB"/>
        </w:rPr>
        <w:t>“</w:t>
      </w:r>
      <w:r w:rsidRPr="00437C34">
        <w:rPr>
          <w:rFonts w:ascii="Verdana" w:eastAsia="Times New Roman" w:hAnsi="Verdana" w:cs="Arial"/>
          <w:sz w:val="20"/>
          <w:lang w:eastAsia="x-none"/>
        </w:rPr>
        <w:t>cualquier sistema que no implique convocatoria pública y posibilidad de pluralidad de oferentes</w:t>
      </w:r>
      <w:r w:rsidRPr="00437C34">
        <w:rPr>
          <w:rFonts w:ascii="Verdana" w:eastAsia="Times New Roman" w:hAnsi="Verdana" w:cs="Arial"/>
          <w:sz w:val="20"/>
          <w:lang w:eastAsia="en-GB"/>
        </w:rPr>
        <w:t>”</w:t>
      </w:r>
      <w:r w:rsidRPr="00437C34">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437C34">
        <w:rPr>
          <w:rFonts w:ascii="Verdana" w:eastAsia="Times New Roman" w:hAnsi="Verdana" w:cs="Arial"/>
          <w:sz w:val="20"/>
          <w:lang w:val="es-ES_tradnl" w:eastAsia="x-none"/>
        </w:rPr>
        <w:t>y la mínima cuantía</w:t>
      </w:r>
      <w:r w:rsidRPr="00437C34" w:rsidDel="00A85D9F">
        <w:rPr>
          <w:rFonts w:ascii="Verdana" w:eastAsia="Times New Roman" w:hAnsi="Verdana" w:cs="Arial"/>
          <w:sz w:val="20"/>
          <w:lang w:eastAsia="x-none"/>
        </w:rPr>
        <w:t xml:space="preserve"> </w:t>
      </w:r>
      <w:r w:rsidRPr="00437C34">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437C34">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15C5720" w14:textId="77777777" w:rsidR="0082719E" w:rsidRPr="00437C34" w:rsidRDefault="0082719E" w:rsidP="0082719E">
      <w:pPr>
        <w:spacing w:after="0" w:line="240" w:lineRule="auto"/>
        <w:jc w:val="both"/>
        <w:rPr>
          <w:rFonts w:ascii="Verdana" w:hAnsi="Verdana" w:cs="Arial"/>
          <w:b/>
          <w:lang w:eastAsia="es-ES_tradnl"/>
        </w:rPr>
      </w:pPr>
    </w:p>
    <w:p w14:paraId="2E874CC1" w14:textId="77777777" w:rsidR="0082719E" w:rsidRPr="00437C34" w:rsidRDefault="0082719E" w:rsidP="0082719E">
      <w:pPr>
        <w:spacing w:after="0" w:line="240" w:lineRule="auto"/>
        <w:jc w:val="both"/>
        <w:rPr>
          <w:rFonts w:ascii="Verdana" w:hAnsi="Verdana" w:cs="Arial"/>
          <w:b/>
          <w:lang w:val="es-MX" w:eastAsia="es-ES_tradnl"/>
        </w:rPr>
      </w:pPr>
      <w:r w:rsidRPr="00437C34">
        <w:rPr>
          <w:rFonts w:ascii="Verdana" w:hAnsi="Verdana" w:cs="Arial"/>
          <w:b/>
          <w:lang w:val="es-MX" w:eastAsia="es-ES_tradnl"/>
        </w:rPr>
        <w:t>LEY DE GARANTÍAS ELECTORALES – Excepciones</w:t>
      </w:r>
    </w:p>
    <w:p w14:paraId="179851B2" w14:textId="77777777" w:rsidR="0082719E" w:rsidRPr="00437C34" w:rsidRDefault="0082719E" w:rsidP="0082719E">
      <w:pPr>
        <w:spacing w:after="0" w:line="240" w:lineRule="auto"/>
        <w:jc w:val="both"/>
        <w:rPr>
          <w:rFonts w:ascii="Verdana" w:hAnsi="Verdana" w:cs="Arial"/>
          <w:b/>
          <w:sz w:val="20"/>
          <w:lang w:val="es-MX" w:eastAsia="es-ES_tradnl"/>
        </w:rPr>
      </w:pPr>
    </w:p>
    <w:p w14:paraId="4982DB60" w14:textId="77777777" w:rsidR="0082719E" w:rsidRPr="00437C34" w:rsidRDefault="0082719E" w:rsidP="0082719E">
      <w:pPr>
        <w:spacing w:after="0" w:line="240" w:lineRule="auto"/>
        <w:jc w:val="both"/>
        <w:rPr>
          <w:rFonts w:ascii="Verdana" w:eastAsia="Times New Roman" w:hAnsi="Verdana" w:cs="Arial"/>
          <w:bCs/>
          <w:sz w:val="20"/>
          <w:lang w:val="es-MX" w:eastAsia="es-CO"/>
        </w:rPr>
      </w:pPr>
      <w:r w:rsidRPr="00437C34">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437C34">
        <w:rPr>
          <w:rFonts w:ascii="Verdana" w:eastAsia="Times New Roman" w:hAnsi="Verdana" w:cs="Arial"/>
          <w:bCs/>
          <w:sz w:val="20"/>
          <w:lang w:val="es-MX" w:eastAsia="x-none"/>
        </w:rPr>
        <w:t>ii</w:t>
      </w:r>
      <w:proofErr w:type="spellEnd"/>
      <w:r w:rsidRPr="00437C34">
        <w:rPr>
          <w:rFonts w:ascii="Verdana" w:eastAsia="Times New Roman" w:hAnsi="Verdana" w:cs="Arial"/>
          <w:bCs/>
          <w:sz w:val="20"/>
          <w:lang w:val="es-MX" w:eastAsia="x-none"/>
        </w:rPr>
        <w:t xml:space="preserve">) los contratos de crédito público; </w:t>
      </w:r>
      <w:proofErr w:type="spellStart"/>
      <w:r w:rsidRPr="00437C34">
        <w:rPr>
          <w:rFonts w:ascii="Verdana" w:eastAsia="Times New Roman" w:hAnsi="Verdana" w:cs="Arial"/>
          <w:bCs/>
          <w:sz w:val="20"/>
          <w:lang w:val="es-MX" w:eastAsia="x-none"/>
        </w:rPr>
        <w:t>iii</w:t>
      </w:r>
      <w:proofErr w:type="spellEnd"/>
      <w:r w:rsidRPr="00437C34">
        <w:rPr>
          <w:rFonts w:ascii="Verdana" w:eastAsia="Times New Roman" w:hAnsi="Verdana" w:cs="Arial"/>
          <w:bCs/>
          <w:sz w:val="20"/>
          <w:lang w:val="es-MX" w:eastAsia="x-none"/>
        </w:rPr>
        <w:t xml:space="preserve">) los requeridos para cubrir las emergencias educativas, sanitarias y desastres; </w:t>
      </w:r>
      <w:proofErr w:type="spellStart"/>
      <w:r w:rsidRPr="00437C34">
        <w:rPr>
          <w:rFonts w:ascii="Verdana" w:eastAsia="Times New Roman" w:hAnsi="Verdana" w:cs="Arial"/>
          <w:bCs/>
          <w:sz w:val="20"/>
          <w:lang w:val="es-MX" w:eastAsia="x-none"/>
        </w:rPr>
        <w:t>iv</w:t>
      </w:r>
      <w:proofErr w:type="spellEnd"/>
      <w:r w:rsidRPr="00437C34">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437C34">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C26D72E" w14:textId="77777777" w:rsidR="0082719E" w:rsidRPr="00437C34" w:rsidRDefault="0082719E" w:rsidP="0082719E">
      <w:pPr>
        <w:spacing w:after="0" w:line="240" w:lineRule="auto"/>
        <w:jc w:val="both"/>
        <w:rPr>
          <w:rFonts w:ascii="Verdana" w:hAnsi="Verdana" w:cs="Arial"/>
          <w:b/>
          <w:lang w:val="es-MX" w:eastAsia="es-ES_tradnl"/>
        </w:rPr>
      </w:pPr>
    </w:p>
    <w:p w14:paraId="3919C95E" w14:textId="77777777" w:rsidR="0082719E" w:rsidRPr="00437C34" w:rsidRDefault="0082719E" w:rsidP="0082719E">
      <w:pPr>
        <w:spacing w:after="0" w:line="240" w:lineRule="auto"/>
        <w:jc w:val="both"/>
        <w:rPr>
          <w:rFonts w:ascii="Verdana" w:hAnsi="Verdana" w:cs="Arial"/>
          <w:b/>
          <w:lang w:val="es-MX" w:eastAsia="es-ES_tradnl"/>
        </w:rPr>
      </w:pPr>
      <w:r w:rsidRPr="00437C34">
        <w:rPr>
          <w:rFonts w:ascii="Verdana" w:hAnsi="Verdana" w:cs="Arial"/>
          <w:b/>
          <w:lang w:val="es-MX" w:eastAsia="es-ES_tradnl"/>
        </w:rPr>
        <w:t xml:space="preserve"> LEY DE GARANTÍAS ELECTORALES – Prohibición del artículo 33 – Destinatarios </w:t>
      </w:r>
    </w:p>
    <w:p w14:paraId="2D4EE3D5" w14:textId="77777777" w:rsidR="0082719E" w:rsidRPr="00437C34" w:rsidRDefault="0082719E" w:rsidP="0082719E">
      <w:pPr>
        <w:spacing w:after="0" w:line="240" w:lineRule="auto"/>
        <w:rPr>
          <w:rFonts w:ascii="Verdana" w:hAnsi="Verdana" w:cs="Arial"/>
          <w:lang w:val="es-MX" w:eastAsia="es-ES_tradnl"/>
        </w:rPr>
      </w:pPr>
    </w:p>
    <w:p w14:paraId="46871D33" w14:textId="77777777" w:rsidR="0082719E" w:rsidRPr="00437C34" w:rsidRDefault="0082719E" w:rsidP="0082719E">
      <w:pPr>
        <w:spacing w:after="0" w:line="240" w:lineRule="auto"/>
        <w:jc w:val="both"/>
        <w:rPr>
          <w:rFonts w:ascii="Verdana" w:hAnsi="Verdana" w:cs="Arial"/>
          <w:sz w:val="20"/>
          <w:lang w:val="es-MX" w:eastAsia="es-ES_tradnl"/>
        </w:rPr>
      </w:pPr>
      <w:r w:rsidRPr="00437C34">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437C34">
        <w:rPr>
          <w:rFonts w:ascii="Verdana" w:eastAsia="Times New Roman" w:hAnsi="Verdana" w:cs="Arial"/>
          <w:bCs/>
          <w:sz w:val="20"/>
          <w:lang w:val="es-MX" w:eastAsia="x-none"/>
        </w:rPr>
        <w:t>establecimientos de crédito, las sociedades de servicios financieros y las entidades aseguradoras</w:t>
      </w:r>
      <w:r w:rsidRPr="00437C34">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877F78E" w14:textId="77777777" w:rsidR="0082719E" w:rsidRPr="00437C34" w:rsidRDefault="0082719E" w:rsidP="0082719E">
      <w:pPr>
        <w:spacing w:after="0" w:line="240" w:lineRule="auto"/>
        <w:jc w:val="both"/>
        <w:rPr>
          <w:rFonts w:ascii="Verdana" w:hAnsi="Verdana"/>
          <w:b/>
        </w:rPr>
      </w:pPr>
    </w:p>
    <w:p w14:paraId="3D60EE1C" w14:textId="77777777" w:rsidR="0082719E" w:rsidRPr="00437C34" w:rsidRDefault="0082719E" w:rsidP="0082719E">
      <w:pPr>
        <w:spacing w:after="0" w:line="240" w:lineRule="auto"/>
        <w:jc w:val="both"/>
        <w:rPr>
          <w:rFonts w:ascii="Verdana" w:hAnsi="Verdana"/>
          <w:b/>
        </w:rPr>
      </w:pPr>
      <w:r w:rsidRPr="00437C34">
        <w:rPr>
          <w:rFonts w:ascii="Verdana" w:hAnsi="Verdana"/>
          <w:b/>
        </w:rPr>
        <w:lastRenderedPageBreak/>
        <w:t xml:space="preserve">SISTEMA GENERAL DE REGALÍAS – Objeto – Artículo 101 – Ley de Garantías Electorales </w:t>
      </w:r>
    </w:p>
    <w:p w14:paraId="4A9B74C0" w14:textId="77777777" w:rsidR="0082719E" w:rsidRPr="00437C34" w:rsidRDefault="0082719E" w:rsidP="0082719E">
      <w:pPr>
        <w:spacing w:after="0" w:line="240" w:lineRule="auto"/>
        <w:jc w:val="both"/>
        <w:rPr>
          <w:rFonts w:ascii="Verdana" w:hAnsi="Verdana"/>
          <w:b/>
        </w:rPr>
      </w:pPr>
    </w:p>
    <w:p w14:paraId="48DAB5A7" w14:textId="77777777" w:rsidR="0082719E" w:rsidRPr="00437C34" w:rsidRDefault="0082719E" w:rsidP="0082719E">
      <w:pPr>
        <w:spacing w:after="0" w:line="240" w:lineRule="auto"/>
        <w:jc w:val="both"/>
        <w:rPr>
          <w:rFonts w:ascii="Verdana" w:hAnsi="Verdana"/>
          <w:bCs/>
          <w:sz w:val="20"/>
        </w:rPr>
      </w:pPr>
      <w:r w:rsidRPr="00437C34">
        <w:rPr>
          <w:rFonts w:ascii="Verdana" w:hAnsi="Verdana"/>
          <w:bCs/>
          <w:sz w:val="20"/>
        </w:rPr>
        <w:t>Teniendo en cuenta estas precisiones, es necesario revisar si lo dispuesto en el Sistema General de Regalías le aplica la Ley 996 de 2005 –Ley de Garantías Electorales- y en particular lo señalado en el artículo 101 de la Ley 2056 de 2020. Para ello, es importante señalar que la Ley 2056 de 2020, “por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0977A196" w14:textId="77777777" w:rsidR="0082719E" w:rsidRPr="00437C34" w:rsidRDefault="0082719E" w:rsidP="0082719E">
      <w:pPr>
        <w:spacing w:after="0" w:line="240" w:lineRule="auto"/>
        <w:jc w:val="both"/>
        <w:rPr>
          <w:rFonts w:ascii="Verdana" w:hAnsi="Verdana"/>
          <w:bCs/>
          <w:sz w:val="20"/>
        </w:rPr>
      </w:pPr>
    </w:p>
    <w:p w14:paraId="4D7EA9C5" w14:textId="77777777" w:rsidR="0082719E" w:rsidRPr="00437C34" w:rsidRDefault="0082719E" w:rsidP="0082719E">
      <w:pPr>
        <w:spacing w:after="0" w:line="240" w:lineRule="auto"/>
        <w:jc w:val="both"/>
        <w:rPr>
          <w:rFonts w:ascii="Verdana" w:hAnsi="Verdana"/>
          <w:bCs/>
          <w:sz w:val="20"/>
        </w:rPr>
      </w:pPr>
      <w:r w:rsidRPr="00437C34">
        <w:rPr>
          <w:rFonts w:ascii="Verdana" w:eastAsia="Calibri" w:hAnsi="Verdana" w:cs="Arial"/>
          <w:sz w:val="20"/>
        </w:rPr>
        <w:t>[…]</w:t>
      </w:r>
    </w:p>
    <w:p w14:paraId="0F43BFD7" w14:textId="77777777" w:rsidR="0082719E" w:rsidRPr="00437C34" w:rsidRDefault="0082719E" w:rsidP="0082719E">
      <w:pPr>
        <w:spacing w:after="0" w:line="240" w:lineRule="auto"/>
        <w:jc w:val="both"/>
        <w:rPr>
          <w:rFonts w:ascii="Verdana" w:hAnsi="Verdana"/>
          <w:bCs/>
          <w:sz w:val="20"/>
        </w:rPr>
      </w:pPr>
    </w:p>
    <w:p w14:paraId="35234358" w14:textId="77777777" w:rsidR="0082719E" w:rsidRPr="00437C34" w:rsidRDefault="0082719E" w:rsidP="0082719E">
      <w:pPr>
        <w:spacing w:after="0" w:line="240" w:lineRule="auto"/>
        <w:jc w:val="both"/>
        <w:rPr>
          <w:rFonts w:ascii="Verdana" w:hAnsi="Verdana"/>
          <w:bCs/>
          <w:sz w:val="20"/>
        </w:rPr>
      </w:pPr>
      <w:r w:rsidRPr="00437C34">
        <w:rPr>
          <w:rFonts w:ascii="Verdana" w:hAnsi="Verdana"/>
          <w:bCs/>
          <w:sz w:val="20"/>
        </w:rPr>
        <w:t xml:space="preserve">Pues bien, analizado el marco normativo expuesto no se evidencia una excepción a lo dispuesto en el artículo 33 de la Ley 996 de 2005 que restringe la contratación directa en el periodo preelectoral a las elecciones presidenciales por el tipo de recurso que pretende ejecutarse. En otras palabras, esta normatividad especial para la ejecución de recursos del Sistema General de </w:t>
      </w:r>
      <w:proofErr w:type="gramStart"/>
      <w:r w:rsidRPr="00437C34">
        <w:rPr>
          <w:rFonts w:ascii="Verdana" w:hAnsi="Verdana"/>
          <w:bCs/>
          <w:sz w:val="20"/>
        </w:rPr>
        <w:t>Regalías,</w:t>
      </w:r>
      <w:proofErr w:type="gramEnd"/>
      <w:r w:rsidRPr="00437C34">
        <w:rPr>
          <w:rFonts w:ascii="Verdana" w:hAnsi="Verdana"/>
          <w:bCs/>
          <w:sz w:val="20"/>
        </w:rPr>
        <w:t xml:space="preserve"> no implica que esté exonerada de la restricción, pues el legislador no hizo distinción del tipo de recursos al establecer la prohibición.  En este sentido, aplicará la restricción señalada respecto de todos los entes del Estado, con independencia de la fuente de los recursos. </w:t>
      </w:r>
    </w:p>
    <w:p w14:paraId="24DB4F34" w14:textId="77777777" w:rsidR="0082719E" w:rsidRPr="00437C34" w:rsidRDefault="0082719E" w:rsidP="0082719E">
      <w:pPr>
        <w:spacing w:after="0" w:line="240" w:lineRule="auto"/>
        <w:jc w:val="both"/>
        <w:rPr>
          <w:rFonts w:ascii="Verdana" w:hAnsi="Verdana"/>
          <w:bCs/>
          <w:sz w:val="20"/>
        </w:rPr>
      </w:pPr>
    </w:p>
    <w:p w14:paraId="0C7A3544" w14:textId="77777777" w:rsidR="0082719E" w:rsidRPr="00437C34" w:rsidRDefault="0082719E" w:rsidP="0082719E">
      <w:pPr>
        <w:spacing w:after="0" w:line="240" w:lineRule="auto"/>
        <w:jc w:val="both"/>
        <w:rPr>
          <w:rFonts w:ascii="Verdana" w:hAnsi="Verdana"/>
          <w:bCs/>
          <w:sz w:val="20"/>
        </w:rPr>
      </w:pPr>
      <w:r w:rsidRPr="00437C34">
        <w:rPr>
          <w:rFonts w:ascii="Verdana" w:hAnsi="Verdana"/>
          <w:bCs/>
          <w:sz w:val="20"/>
        </w:rPr>
        <w:t>En efecto, si bien el artículo 101 de la Ley 2056 de 2020 dispone el deber de suscribir un convenio dentro de los dos (2) meses siguientes a la aprobación del proyecto de inversión, dicha disposición no consagra de manera expresa una excepción a las restricciones previstas en el artículo 33 de la Ley 996 de 2005. En este caso, el legislador se limitó a establecer un término para la celebración del convenio, pero no señaló que esta actuación contractual pudiera adelantarse durante el periodo de restricción electoral ni excluyó expresamente su aplicación del régimen de la Ley de Garantías Electorales.</w:t>
      </w:r>
    </w:p>
    <w:p w14:paraId="475A2E18" w14:textId="77777777" w:rsidR="0082719E" w:rsidRPr="00437C34" w:rsidRDefault="0082719E" w:rsidP="0082719E">
      <w:pPr>
        <w:spacing w:after="0" w:line="240" w:lineRule="auto"/>
        <w:jc w:val="both"/>
        <w:rPr>
          <w:rFonts w:ascii="Verdana" w:hAnsi="Verdana"/>
          <w:lang w:val="es-MX"/>
        </w:rPr>
      </w:pPr>
    </w:p>
    <w:p w14:paraId="69A737FE" w14:textId="77777777" w:rsidR="0082719E" w:rsidRPr="00437C34" w:rsidRDefault="0082719E" w:rsidP="0082719E">
      <w:pPr>
        <w:spacing w:after="0" w:line="240" w:lineRule="auto"/>
        <w:jc w:val="both"/>
        <w:rPr>
          <w:rFonts w:ascii="Verdana" w:hAnsi="Verdana"/>
          <w:lang w:val="es-MX"/>
        </w:rPr>
      </w:pPr>
    </w:p>
    <w:p w14:paraId="4F1BECFB" w14:textId="77777777" w:rsidR="0082719E" w:rsidRPr="00437C34" w:rsidRDefault="0082719E" w:rsidP="0082719E">
      <w:pPr>
        <w:spacing w:after="0" w:line="240" w:lineRule="auto"/>
        <w:jc w:val="both"/>
        <w:rPr>
          <w:rFonts w:ascii="Verdana" w:hAnsi="Verdana"/>
          <w:lang w:val="es-MX"/>
        </w:rPr>
      </w:pPr>
    </w:p>
    <w:p w14:paraId="7D5F2DA0" w14:textId="77777777" w:rsidR="0082719E" w:rsidRPr="00437C34" w:rsidRDefault="0082719E" w:rsidP="0082719E">
      <w:pPr>
        <w:spacing w:after="0" w:line="240" w:lineRule="auto"/>
        <w:jc w:val="both"/>
        <w:rPr>
          <w:rFonts w:ascii="Verdana" w:hAnsi="Verdana"/>
          <w:lang w:val="es-MX"/>
        </w:rPr>
      </w:pPr>
    </w:p>
    <w:p w14:paraId="4766482A" w14:textId="77777777" w:rsidR="0082719E" w:rsidRPr="00437C34" w:rsidRDefault="0082719E" w:rsidP="0082719E">
      <w:pPr>
        <w:spacing w:after="0" w:line="240" w:lineRule="auto"/>
        <w:jc w:val="both"/>
        <w:rPr>
          <w:rFonts w:ascii="Verdana" w:hAnsi="Verdana"/>
          <w:lang w:val="es-MX"/>
        </w:rPr>
      </w:pPr>
    </w:p>
    <w:p w14:paraId="39EB429C" w14:textId="77777777" w:rsidR="0082719E" w:rsidRPr="00437C34" w:rsidRDefault="0082719E" w:rsidP="0082719E">
      <w:pPr>
        <w:spacing w:after="0" w:line="240" w:lineRule="auto"/>
        <w:jc w:val="both"/>
        <w:rPr>
          <w:rFonts w:ascii="Verdana" w:hAnsi="Verdana"/>
          <w:lang w:val="es-MX"/>
        </w:rPr>
      </w:pPr>
    </w:p>
    <w:p w14:paraId="11671BDD" w14:textId="77777777" w:rsidR="0082719E" w:rsidRPr="00437C34" w:rsidRDefault="0082719E" w:rsidP="0082719E">
      <w:pPr>
        <w:spacing w:after="0" w:line="240" w:lineRule="auto"/>
        <w:jc w:val="both"/>
        <w:rPr>
          <w:rFonts w:ascii="Verdana" w:hAnsi="Verdana"/>
          <w:lang w:val="es-MX"/>
        </w:rPr>
      </w:pPr>
    </w:p>
    <w:p w14:paraId="3C474205" w14:textId="77777777" w:rsidR="003B0E7A" w:rsidRDefault="003B0E7A" w:rsidP="00C3541E">
      <w:pPr>
        <w:spacing w:after="0" w:line="240" w:lineRule="auto"/>
        <w:rPr>
          <w:rFonts w:ascii="Verdana" w:eastAsia="Geomanist Light" w:hAnsi="Verdana" w:cs="Arial"/>
          <w:color w:val="000000" w:themeColor="text1"/>
          <w:lang w:val="es-MX"/>
        </w:rPr>
      </w:pPr>
    </w:p>
    <w:p w14:paraId="2014F5BE" w14:textId="77777777" w:rsidR="003B0E7A" w:rsidRDefault="003B0E7A" w:rsidP="00C3541E">
      <w:pPr>
        <w:spacing w:after="0" w:line="240" w:lineRule="auto"/>
        <w:rPr>
          <w:rFonts w:ascii="Verdana" w:eastAsia="Geomanist Light" w:hAnsi="Verdana" w:cs="Arial"/>
          <w:color w:val="000000" w:themeColor="text1"/>
          <w:lang w:val="es-MX"/>
        </w:rPr>
      </w:pPr>
    </w:p>
    <w:p w14:paraId="0BB884BE" w14:textId="77777777" w:rsidR="003B0E7A" w:rsidRDefault="003B0E7A" w:rsidP="00C3541E">
      <w:pPr>
        <w:spacing w:after="0" w:line="240" w:lineRule="auto"/>
        <w:rPr>
          <w:rFonts w:ascii="Verdana" w:eastAsia="Geomanist Light" w:hAnsi="Verdana" w:cs="Arial"/>
          <w:color w:val="000000" w:themeColor="text1"/>
          <w:lang w:val="es-MX"/>
        </w:rPr>
      </w:pPr>
    </w:p>
    <w:p w14:paraId="7F079F22" w14:textId="77777777" w:rsidR="003B0E7A" w:rsidRDefault="003B0E7A" w:rsidP="00C3541E">
      <w:pPr>
        <w:spacing w:after="0" w:line="240" w:lineRule="auto"/>
        <w:rPr>
          <w:rFonts w:ascii="Verdana" w:eastAsia="Geomanist Light" w:hAnsi="Verdana" w:cs="Arial"/>
          <w:color w:val="000000" w:themeColor="text1"/>
          <w:lang w:val="es-MX"/>
        </w:rPr>
      </w:pPr>
    </w:p>
    <w:p w14:paraId="1F615FCD" w14:textId="77777777" w:rsidR="003B0E7A" w:rsidRDefault="003B0E7A" w:rsidP="00C3541E">
      <w:pPr>
        <w:spacing w:after="0" w:line="240" w:lineRule="auto"/>
        <w:rPr>
          <w:rFonts w:ascii="Verdana" w:eastAsia="Geomanist Light" w:hAnsi="Verdana" w:cs="Arial"/>
          <w:color w:val="000000" w:themeColor="text1"/>
          <w:lang w:val="es-MX"/>
        </w:rPr>
      </w:pPr>
    </w:p>
    <w:p w14:paraId="53E58CA5" w14:textId="77777777" w:rsidR="003B0E7A" w:rsidRDefault="003B0E7A" w:rsidP="00C3541E">
      <w:pPr>
        <w:spacing w:after="0" w:line="240" w:lineRule="auto"/>
        <w:rPr>
          <w:rFonts w:ascii="Verdana" w:eastAsia="Geomanist Light" w:hAnsi="Verdana" w:cs="Arial"/>
          <w:color w:val="000000" w:themeColor="text1"/>
          <w:lang w:val="es-MX"/>
        </w:rPr>
      </w:pPr>
    </w:p>
    <w:p w14:paraId="5A987687" w14:textId="77777777" w:rsidR="003B0E7A" w:rsidRDefault="003B0E7A" w:rsidP="00C3541E">
      <w:pPr>
        <w:spacing w:after="0" w:line="240" w:lineRule="auto"/>
        <w:rPr>
          <w:rFonts w:ascii="Verdana" w:eastAsia="Geomanist Light" w:hAnsi="Verdana" w:cs="Arial"/>
          <w:color w:val="000000" w:themeColor="text1"/>
          <w:lang w:val="es-MX"/>
        </w:rPr>
      </w:pPr>
    </w:p>
    <w:p w14:paraId="21FC4456" w14:textId="3E25D664" w:rsidR="00C3541E" w:rsidRPr="00437C34" w:rsidRDefault="00C3541E" w:rsidP="00C3541E">
      <w:pPr>
        <w:spacing w:after="0" w:line="240" w:lineRule="auto"/>
        <w:rPr>
          <w:rFonts w:ascii="Verdana" w:eastAsia="Geomanist Light" w:hAnsi="Verdana" w:cs="Arial"/>
          <w:color w:val="201F1E"/>
          <w:lang w:val="es-MX"/>
        </w:rPr>
      </w:pPr>
      <w:r w:rsidRPr="00437C34">
        <w:rPr>
          <w:rFonts w:ascii="Verdana" w:eastAsia="Geomanist Light" w:hAnsi="Verdana" w:cs="Arial"/>
          <w:color w:val="000000" w:themeColor="text1"/>
          <w:lang w:val="es-MX"/>
        </w:rPr>
        <w:lastRenderedPageBreak/>
        <w:t>Bogotá D.C., </w:t>
      </w:r>
      <w:r w:rsidR="003B0E7A">
        <w:rPr>
          <w:rFonts w:ascii="Verdana" w:eastAsia="Geomanist Light" w:hAnsi="Verdana" w:cs="Arial"/>
          <w:color w:val="201F1E"/>
        </w:rPr>
        <w:t>6 de mayo de 2026</w:t>
      </w:r>
    </w:p>
    <w:p w14:paraId="65D662FE" w14:textId="77777777" w:rsidR="00C3541E" w:rsidRPr="00437C34" w:rsidRDefault="00C3541E" w:rsidP="00C3541E">
      <w:pPr>
        <w:spacing w:after="0" w:line="240" w:lineRule="auto"/>
        <w:jc w:val="both"/>
        <w:rPr>
          <w:rFonts w:ascii="Verdana" w:hAnsi="Verdana"/>
        </w:rPr>
      </w:pPr>
    </w:p>
    <w:p w14:paraId="6CA09C9D" w14:textId="7A1149B5" w:rsidR="00C3541E" w:rsidRPr="00437C34" w:rsidRDefault="003B0E7A" w:rsidP="00C3541E">
      <w:pPr>
        <w:spacing w:after="0"/>
        <w:jc w:val="right"/>
        <w:rPr>
          <w:rFonts w:ascii="Verdana" w:hAnsi="Verdana"/>
        </w:rPr>
      </w:pPr>
      <w:r w:rsidRPr="003B0E7A">
        <w:rPr>
          <w:rFonts w:ascii="Verdana" w:hAnsi="Verdana"/>
          <w:noProof/>
        </w:rPr>
        <w:drawing>
          <wp:anchor distT="0" distB="0" distL="114300" distR="114300" simplePos="0" relativeHeight="251658240" behindDoc="0" locked="0" layoutInCell="1" allowOverlap="1" wp14:anchorId="30466BAE" wp14:editId="01B27964">
            <wp:simplePos x="0" y="0"/>
            <wp:positionH relativeFrom="column">
              <wp:posOffset>3164205</wp:posOffset>
            </wp:positionH>
            <wp:positionV relativeFrom="paragraph">
              <wp:posOffset>1270</wp:posOffset>
            </wp:positionV>
            <wp:extent cx="2446020" cy="952500"/>
            <wp:effectExtent l="0" t="0" r="0" b="0"/>
            <wp:wrapSquare wrapText="bothSides"/>
            <wp:docPr id="19278933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6020" cy="952500"/>
                    </a:xfrm>
                    <a:prstGeom prst="rect">
                      <a:avLst/>
                    </a:prstGeom>
                    <a:noFill/>
                    <a:ln>
                      <a:noFill/>
                    </a:ln>
                  </pic:spPr>
                </pic:pic>
              </a:graphicData>
            </a:graphic>
          </wp:anchor>
        </w:drawing>
      </w:r>
    </w:p>
    <w:p w14:paraId="68A513EA" w14:textId="77777777" w:rsidR="00C3541E" w:rsidRPr="00437C34" w:rsidRDefault="00C3541E" w:rsidP="00C3541E">
      <w:pPr>
        <w:spacing w:after="0" w:line="240" w:lineRule="auto"/>
        <w:rPr>
          <w:rFonts w:ascii="Verdana" w:eastAsia="Calibri" w:hAnsi="Verdana" w:cs="Times New Roman"/>
          <w:lang w:val="es-MX"/>
        </w:rPr>
      </w:pPr>
      <w:r w:rsidRPr="00437C34">
        <w:rPr>
          <w:rFonts w:ascii="Verdana" w:eastAsia="Calibri" w:hAnsi="Verdana" w:cs="Times New Roman"/>
          <w:lang w:val="es-MX"/>
        </w:rPr>
        <w:t>Señor</w:t>
      </w:r>
    </w:p>
    <w:p w14:paraId="1FF9F2F8" w14:textId="77777777" w:rsidR="00C3541E" w:rsidRPr="00437C34" w:rsidRDefault="00C3541E" w:rsidP="00C3541E">
      <w:pPr>
        <w:autoSpaceDE w:val="0"/>
        <w:autoSpaceDN w:val="0"/>
        <w:adjustRightInd w:val="0"/>
        <w:spacing w:after="0" w:line="240" w:lineRule="auto"/>
        <w:rPr>
          <w:rFonts w:ascii="Verdana" w:hAnsi="Verdana" w:cs="Arial"/>
          <w:b/>
          <w:bCs/>
        </w:rPr>
      </w:pPr>
      <w:r w:rsidRPr="00437C34">
        <w:rPr>
          <w:rFonts w:ascii="Verdana" w:hAnsi="Verdana" w:cs="Arial"/>
          <w:b/>
          <w:bCs/>
        </w:rPr>
        <w:t>Carlos Mario Ordosgoitia Liñán</w:t>
      </w:r>
    </w:p>
    <w:p w14:paraId="52EACA57" w14:textId="77777777" w:rsidR="00C3541E" w:rsidRPr="00437C34" w:rsidRDefault="00C3541E" w:rsidP="00C3541E">
      <w:pPr>
        <w:autoSpaceDE w:val="0"/>
        <w:autoSpaceDN w:val="0"/>
        <w:adjustRightInd w:val="0"/>
        <w:spacing w:after="0" w:line="240" w:lineRule="auto"/>
        <w:rPr>
          <w:rFonts w:ascii="Verdana" w:hAnsi="Verdana" w:cs="Arial"/>
        </w:rPr>
      </w:pPr>
      <w:r w:rsidRPr="00437C34">
        <w:rPr>
          <w:rFonts w:ascii="Verdana" w:hAnsi="Verdana" w:cs="Arial"/>
        </w:rPr>
        <w:t>Asesor Código 105 Grado 47</w:t>
      </w:r>
    </w:p>
    <w:p w14:paraId="146158EE" w14:textId="77777777" w:rsidR="00C3541E" w:rsidRPr="00437C34" w:rsidRDefault="00C3541E" w:rsidP="00C3541E">
      <w:pPr>
        <w:autoSpaceDE w:val="0"/>
        <w:autoSpaceDN w:val="0"/>
        <w:adjustRightInd w:val="0"/>
        <w:spacing w:after="0" w:line="240" w:lineRule="auto"/>
        <w:rPr>
          <w:rFonts w:ascii="Verdana" w:hAnsi="Verdana" w:cs="Arial"/>
        </w:rPr>
      </w:pPr>
      <w:r w:rsidRPr="00437C34">
        <w:rPr>
          <w:rFonts w:ascii="Verdana" w:hAnsi="Verdana" w:cs="Arial"/>
        </w:rPr>
        <w:t>Oficina Asesora Jurídica</w:t>
      </w:r>
    </w:p>
    <w:p w14:paraId="759D5675" w14:textId="77777777" w:rsidR="00C3541E" w:rsidRPr="00437C34" w:rsidRDefault="00C3541E" w:rsidP="00C3541E">
      <w:pPr>
        <w:spacing w:after="0" w:line="240" w:lineRule="auto"/>
        <w:rPr>
          <w:rFonts w:ascii="Verdana" w:hAnsi="Verdana" w:cs="Arial"/>
        </w:rPr>
      </w:pPr>
      <w:r w:rsidRPr="00437C34">
        <w:rPr>
          <w:rFonts w:ascii="Verdana" w:hAnsi="Verdana" w:cs="Arial"/>
        </w:rPr>
        <w:t>Distrito de Cartagena</w:t>
      </w:r>
    </w:p>
    <w:p w14:paraId="300AC8F5" w14:textId="77777777" w:rsidR="00C3541E" w:rsidRPr="00437C34" w:rsidRDefault="00C3541E" w:rsidP="00C3541E">
      <w:pPr>
        <w:spacing w:after="0" w:line="240" w:lineRule="auto"/>
        <w:rPr>
          <w:rFonts w:ascii="Verdana" w:hAnsi="Verdana" w:cs="Arial"/>
        </w:rPr>
      </w:pPr>
      <w:hyperlink r:id="rId12" w:history="1">
        <w:r w:rsidRPr="00437C34">
          <w:rPr>
            <w:rFonts w:ascii="Verdana" w:hAnsi="Verdana" w:cs="Arial"/>
            <w:color w:val="0000FF"/>
            <w:u w:val="single"/>
          </w:rPr>
          <w:t>c.ordosgoitia@hotmail.com</w:t>
        </w:r>
      </w:hyperlink>
      <w:r w:rsidRPr="00437C34">
        <w:rPr>
          <w:rFonts w:ascii="Verdana" w:hAnsi="Verdana" w:cs="Arial"/>
        </w:rPr>
        <w:t xml:space="preserve"> </w:t>
      </w:r>
    </w:p>
    <w:p w14:paraId="28CC1B9F" w14:textId="77777777" w:rsidR="00C3541E" w:rsidRPr="00437C34" w:rsidRDefault="00C3541E" w:rsidP="00C3541E">
      <w:pPr>
        <w:spacing w:after="0" w:line="240" w:lineRule="auto"/>
        <w:rPr>
          <w:rFonts w:ascii="Verdana" w:hAnsi="Verdana" w:cs="Arial"/>
        </w:rPr>
      </w:pPr>
      <w:r w:rsidRPr="00437C34">
        <w:rPr>
          <w:rFonts w:ascii="Verdana" w:hAnsi="Verdana" w:cs="Arial"/>
        </w:rPr>
        <w:t>Cartagena, Bolivar</w:t>
      </w:r>
    </w:p>
    <w:p w14:paraId="394C7A94" w14:textId="77777777" w:rsidR="00C3541E" w:rsidRPr="00437C34" w:rsidRDefault="00C3541E" w:rsidP="00C3541E">
      <w:pPr>
        <w:spacing w:after="0" w:line="256" w:lineRule="auto"/>
        <w:rPr>
          <w:rFonts w:ascii="Verdana" w:eastAsia="Calibri" w:hAnsi="Verdana" w:cs="Times New Roman"/>
        </w:rPr>
      </w:pPr>
    </w:p>
    <w:p w14:paraId="4607551C" w14:textId="77777777" w:rsidR="00C3541E" w:rsidRPr="00437C34" w:rsidRDefault="00C3541E" w:rsidP="00C3541E">
      <w:pPr>
        <w:spacing w:after="0" w:line="256" w:lineRule="auto"/>
        <w:rPr>
          <w:rFonts w:ascii="Verdana" w:eastAsia="Calibri" w:hAnsi="Verdana" w:cs="Times New Roman"/>
        </w:rPr>
      </w:pPr>
    </w:p>
    <w:p w14:paraId="2258E8BE" w14:textId="77777777" w:rsidR="00C3541E" w:rsidRPr="00437C34" w:rsidRDefault="00C3541E" w:rsidP="00C3541E">
      <w:pPr>
        <w:spacing w:after="0" w:line="256" w:lineRule="auto"/>
        <w:rPr>
          <w:rFonts w:ascii="Verdana" w:eastAsia="Calibri" w:hAnsi="Verdana" w:cs="Times New Roman"/>
          <w:b/>
          <w:bCs/>
          <w:lang w:val="es-ES"/>
        </w:rPr>
      </w:pPr>
      <w:r w:rsidRPr="00437C34">
        <w:rPr>
          <w:rFonts w:ascii="Verdana" w:eastAsia="Calibri" w:hAnsi="Verdana" w:cs="Times New Roman"/>
          <w:b/>
          <w:bCs/>
          <w:lang w:val="es-ES"/>
        </w:rPr>
        <w:t xml:space="preserve">                                    Concepto C- 623 de 2026</w:t>
      </w:r>
    </w:p>
    <w:p w14:paraId="47E58522" w14:textId="77777777" w:rsidR="00C3541E" w:rsidRPr="00437C34" w:rsidRDefault="00C3541E" w:rsidP="00C3541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C3541E" w:rsidRPr="00437C34" w14:paraId="3402AF1E" w14:textId="77777777" w:rsidTr="00296B97">
        <w:trPr>
          <w:trHeight w:val="645"/>
        </w:trPr>
        <w:tc>
          <w:tcPr>
            <w:tcW w:w="2685" w:type="dxa"/>
            <w:hideMark/>
          </w:tcPr>
          <w:p w14:paraId="4B314776" w14:textId="77777777" w:rsidR="00C3541E" w:rsidRPr="00437C34" w:rsidRDefault="00C3541E" w:rsidP="00296B97">
            <w:pPr>
              <w:spacing w:line="256" w:lineRule="auto"/>
              <w:rPr>
                <w:rFonts w:ascii="Verdana" w:hAnsi="Verdana"/>
                <w:b/>
                <w:bCs/>
                <w:lang w:val="es-ES_tradnl"/>
              </w:rPr>
            </w:pPr>
            <w:r w:rsidRPr="00437C34">
              <w:rPr>
                <w:rFonts w:ascii="Verdana" w:hAnsi="Verdana"/>
                <w:b/>
                <w:bCs/>
                <w:lang w:val="es-ES_tradnl"/>
              </w:rPr>
              <w:t xml:space="preserve">Temas:                   </w:t>
            </w:r>
          </w:p>
        </w:tc>
        <w:tc>
          <w:tcPr>
            <w:tcW w:w="6241" w:type="dxa"/>
            <w:hideMark/>
          </w:tcPr>
          <w:p w14:paraId="3C8F591A" w14:textId="77777777" w:rsidR="00C3541E" w:rsidRPr="00437C34" w:rsidRDefault="00C3541E" w:rsidP="00296B97">
            <w:pPr>
              <w:spacing w:line="276" w:lineRule="auto"/>
              <w:jc w:val="both"/>
              <w:rPr>
                <w:rFonts w:ascii="Verdana" w:hAnsi="Verdana" w:cs="Arial"/>
                <w:lang w:val="es-MX" w:eastAsia="es-ES_tradnl"/>
              </w:rPr>
            </w:pPr>
            <w:r w:rsidRPr="00437C34">
              <w:rPr>
                <w:rFonts w:ascii="Verdana" w:hAnsi="Verdana" w:cs="Arial"/>
                <w:lang w:val="es-MX" w:eastAsia="es-ES_tradnl"/>
              </w:rPr>
              <w:t xml:space="preserve">LEY DE GARANTÍAS ELECTORALES </w:t>
            </w:r>
            <w:r w:rsidRPr="00437C34">
              <w:rPr>
                <w:rFonts w:ascii="Verdana" w:hAnsi="Verdana" w:cs="Arial"/>
                <w:bCs/>
                <w:lang w:val="es-MX" w:eastAsia="es-ES_tradnl"/>
              </w:rPr>
              <w:t>‒</w:t>
            </w:r>
            <w:r w:rsidRPr="00437C34">
              <w:rPr>
                <w:rFonts w:ascii="Verdana" w:hAnsi="Verdana" w:cs="Arial"/>
                <w:lang w:val="es-MX" w:eastAsia="es-ES_tradnl"/>
              </w:rPr>
              <w:t xml:space="preserve"> Finalidad / LEY DE GARANTÍAS ELECTORALES </w:t>
            </w:r>
            <w:r w:rsidRPr="00437C34">
              <w:rPr>
                <w:rFonts w:ascii="Verdana" w:hAnsi="Verdana" w:cs="Arial"/>
                <w:bCs/>
                <w:lang w:val="es-MX" w:eastAsia="es-ES_tradnl"/>
              </w:rPr>
              <w:t>‒</w:t>
            </w:r>
            <w:r w:rsidRPr="00437C34">
              <w:rPr>
                <w:rFonts w:ascii="Verdana" w:hAnsi="Verdana" w:cs="Arial"/>
                <w:lang w:val="es-MX" w:eastAsia="es-ES_tradnl"/>
              </w:rPr>
              <w:t xml:space="preserve"> Tipos de restricciones </w:t>
            </w:r>
            <w:r w:rsidRPr="00437C34">
              <w:rPr>
                <w:rFonts w:ascii="Verdana" w:hAnsi="Verdana" w:cs="Arial"/>
                <w:bCs/>
                <w:lang w:val="es-MX" w:eastAsia="es-ES_tradnl"/>
              </w:rPr>
              <w:t>‒</w:t>
            </w:r>
            <w:r w:rsidRPr="00437C34">
              <w:rPr>
                <w:rFonts w:ascii="Verdana" w:hAnsi="Verdana" w:cs="Arial"/>
                <w:lang w:val="es-MX" w:eastAsia="es-ES_tradnl"/>
              </w:rPr>
              <w:t xml:space="preserve"> Ámbito temporal – celebración- límite / LEY DE GARANTÍAS ELECTORALES – Prohibición artículo 33 – Contratación directa – Alcance / LEY DE GARANTÍAS ELECTORALES – Excepciones / LEY DE GARANTÍAS ELECTORALES – Prohibición del artículo 33 – Destinatarios / SISTEMA GENERAL DE REGALÍAS – Objeto – </w:t>
            </w:r>
            <w:r w:rsidRPr="00437C34">
              <w:rPr>
                <w:rFonts w:ascii="Verdana" w:hAnsi="Verdana"/>
                <w:bCs/>
              </w:rPr>
              <w:t>Artículo 101</w:t>
            </w:r>
            <w:r w:rsidRPr="00437C34">
              <w:rPr>
                <w:rFonts w:ascii="Verdana" w:hAnsi="Verdana"/>
                <w:b/>
              </w:rPr>
              <w:t xml:space="preserve"> </w:t>
            </w:r>
            <w:r w:rsidRPr="00437C34">
              <w:rPr>
                <w:rFonts w:ascii="Verdana" w:hAnsi="Verdana" w:cs="Arial"/>
                <w:lang w:val="es-MX" w:eastAsia="es-ES_tradnl"/>
              </w:rPr>
              <w:t xml:space="preserve">– Ley de Garantías Electorales </w:t>
            </w:r>
          </w:p>
        </w:tc>
        <w:tc>
          <w:tcPr>
            <w:tcW w:w="6237" w:type="dxa"/>
          </w:tcPr>
          <w:p w14:paraId="625A0F1D" w14:textId="77777777" w:rsidR="00C3541E" w:rsidRPr="00437C34" w:rsidRDefault="00C3541E" w:rsidP="00296B97">
            <w:pPr>
              <w:spacing w:line="256" w:lineRule="auto"/>
              <w:rPr>
                <w:rFonts w:ascii="Verdana" w:hAnsi="Verdana"/>
              </w:rPr>
            </w:pPr>
          </w:p>
        </w:tc>
      </w:tr>
      <w:tr w:rsidR="00C3541E" w:rsidRPr="00437C34" w14:paraId="5CCA82FB" w14:textId="77777777" w:rsidTr="00296B97">
        <w:tc>
          <w:tcPr>
            <w:tcW w:w="2685" w:type="dxa"/>
          </w:tcPr>
          <w:p w14:paraId="6604D4BC" w14:textId="77777777" w:rsidR="00C3541E" w:rsidRPr="00437C34" w:rsidRDefault="00C3541E" w:rsidP="00296B97">
            <w:pPr>
              <w:spacing w:line="256" w:lineRule="auto"/>
              <w:rPr>
                <w:rFonts w:ascii="Verdana" w:hAnsi="Verdana"/>
                <w:b/>
                <w:bCs/>
                <w:lang w:val="es-ES_tradnl"/>
              </w:rPr>
            </w:pPr>
          </w:p>
          <w:p w14:paraId="62620B09" w14:textId="77777777" w:rsidR="00C3541E" w:rsidRPr="00437C34" w:rsidRDefault="00C3541E" w:rsidP="00296B97">
            <w:pPr>
              <w:spacing w:line="256" w:lineRule="auto"/>
              <w:rPr>
                <w:rFonts w:ascii="Verdana" w:hAnsi="Verdana"/>
                <w:b/>
                <w:bCs/>
                <w:lang w:val="es-ES_tradnl"/>
              </w:rPr>
            </w:pPr>
          </w:p>
          <w:p w14:paraId="664E30D5" w14:textId="77777777" w:rsidR="00C3541E" w:rsidRPr="00437C34" w:rsidRDefault="00C3541E" w:rsidP="00296B97">
            <w:pPr>
              <w:spacing w:line="256" w:lineRule="auto"/>
              <w:rPr>
                <w:rFonts w:ascii="Verdana" w:hAnsi="Verdana"/>
                <w:b/>
                <w:bCs/>
                <w:lang w:val="es-ES_tradnl"/>
              </w:rPr>
            </w:pPr>
            <w:r w:rsidRPr="00437C34">
              <w:rPr>
                <w:rFonts w:ascii="Verdana" w:hAnsi="Verdana"/>
                <w:b/>
                <w:bCs/>
                <w:lang w:val="es-ES_tradnl"/>
              </w:rPr>
              <w:t xml:space="preserve">Radicación:               </w:t>
            </w:r>
          </w:p>
        </w:tc>
        <w:tc>
          <w:tcPr>
            <w:tcW w:w="6241" w:type="dxa"/>
          </w:tcPr>
          <w:p w14:paraId="60B4500A" w14:textId="77777777" w:rsidR="00C3541E" w:rsidRPr="00437C34" w:rsidRDefault="00C3541E" w:rsidP="00296B97">
            <w:pPr>
              <w:spacing w:line="257" w:lineRule="auto"/>
              <w:jc w:val="both"/>
              <w:rPr>
                <w:rFonts w:ascii="Verdana" w:hAnsi="Verdana"/>
                <w:lang w:val="es-ES_tradnl"/>
              </w:rPr>
            </w:pPr>
          </w:p>
          <w:p w14:paraId="006F88B9" w14:textId="77777777" w:rsidR="00C3541E" w:rsidRPr="00437C34" w:rsidRDefault="00C3541E" w:rsidP="00296B97">
            <w:pPr>
              <w:spacing w:line="257" w:lineRule="auto"/>
              <w:jc w:val="both"/>
              <w:rPr>
                <w:rFonts w:ascii="Verdana" w:hAnsi="Verdana"/>
                <w:lang w:val="es-ES_tradnl"/>
              </w:rPr>
            </w:pPr>
            <w:r w:rsidRPr="00437C34">
              <w:rPr>
                <w:rFonts w:ascii="Verdana" w:hAnsi="Verdana"/>
                <w:lang w:val="es-ES_tradnl"/>
              </w:rPr>
              <w:t>Respuesta a consultas con radicados Nos.</w:t>
            </w:r>
            <w:r w:rsidRPr="00437C34">
              <w:t xml:space="preserve"> </w:t>
            </w:r>
            <w:r w:rsidRPr="00437C34">
              <w:rPr>
                <w:rFonts w:ascii="Verdana" w:hAnsi="Verdana"/>
                <w:lang w:val="es-ES_tradnl"/>
              </w:rPr>
              <w:t>1_2026_04_15_005148 y 1_2026_04_16_005176 (Acumulados)</w:t>
            </w:r>
          </w:p>
          <w:p w14:paraId="51DCC2B3" w14:textId="77777777" w:rsidR="00C3541E" w:rsidRPr="00437C34" w:rsidRDefault="00C3541E" w:rsidP="00296B97">
            <w:pPr>
              <w:spacing w:line="257" w:lineRule="auto"/>
              <w:jc w:val="both"/>
              <w:rPr>
                <w:rFonts w:ascii="Verdana" w:hAnsi="Verdana"/>
              </w:rPr>
            </w:pPr>
          </w:p>
        </w:tc>
        <w:tc>
          <w:tcPr>
            <w:tcW w:w="6237" w:type="dxa"/>
          </w:tcPr>
          <w:p w14:paraId="1D262E4A" w14:textId="77777777" w:rsidR="00C3541E" w:rsidRPr="00437C34" w:rsidRDefault="00C3541E" w:rsidP="00296B97">
            <w:pPr>
              <w:spacing w:line="256" w:lineRule="auto"/>
              <w:rPr>
                <w:rFonts w:ascii="Verdana" w:hAnsi="Verdana"/>
                <w:lang w:val="es-ES_tradnl"/>
              </w:rPr>
            </w:pPr>
          </w:p>
        </w:tc>
      </w:tr>
    </w:tbl>
    <w:p w14:paraId="600FB691" w14:textId="77777777" w:rsidR="00C3541E" w:rsidRPr="00437C34" w:rsidRDefault="00C3541E" w:rsidP="00C3541E">
      <w:pPr>
        <w:spacing w:after="0" w:line="256" w:lineRule="auto"/>
        <w:rPr>
          <w:rFonts w:ascii="Verdana" w:eastAsia="Calibri" w:hAnsi="Verdana" w:cs="Times New Roman"/>
          <w:lang w:val="es-ES"/>
        </w:rPr>
      </w:pPr>
    </w:p>
    <w:p w14:paraId="55DBBB48" w14:textId="77777777" w:rsidR="00C3541E" w:rsidRPr="00437C34" w:rsidRDefault="00C3541E" w:rsidP="00C3541E">
      <w:pPr>
        <w:spacing w:after="0" w:line="256" w:lineRule="auto"/>
        <w:rPr>
          <w:rFonts w:ascii="Verdana" w:eastAsia="Calibri" w:hAnsi="Verdana" w:cs="Times New Roman"/>
          <w:lang w:val="es-ES"/>
        </w:rPr>
      </w:pPr>
      <w:r w:rsidRPr="00437C34">
        <w:rPr>
          <w:rFonts w:ascii="Verdana" w:eastAsia="Calibri" w:hAnsi="Verdana" w:cs="Times New Roman"/>
          <w:lang w:val="es-ES"/>
        </w:rPr>
        <w:t xml:space="preserve">Estimado Señor </w:t>
      </w:r>
      <w:proofErr w:type="spellStart"/>
      <w:r w:rsidRPr="00437C34">
        <w:rPr>
          <w:rFonts w:ascii="Verdana" w:hAnsi="Verdana" w:cs="Arial"/>
        </w:rPr>
        <w:t>Ordosgoitia</w:t>
      </w:r>
      <w:proofErr w:type="spellEnd"/>
      <w:r w:rsidRPr="00437C34">
        <w:rPr>
          <w:rFonts w:ascii="Verdana" w:eastAsia="Calibri" w:hAnsi="Verdana" w:cs="Times New Roman"/>
          <w:lang w:val="es-ES"/>
        </w:rPr>
        <w:t xml:space="preserve">:  </w:t>
      </w:r>
    </w:p>
    <w:p w14:paraId="69AC947E" w14:textId="77777777" w:rsidR="00C3541E" w:rsidRPr="00437C34" w:rsidRDefault="00C3541E" w:rsidP="00C3541E">
      <w:pPr>
        <w:spacing w:after="0" w:line="256" w:lineRule="auto"/>
        <w:rPr>
          <w:rFonts w:ascii="Verdana" w:eastAsia="Calibri" w:hAnsi="Verdana" w:cs="Times New Roman"/>
          <w:lang w:val="es-ES"/>
        </w:rPr>
      </w:pPr>
    </w:p>
    <w:p w14:paraId="1CC98FB9" w14:textId="77777777" w:rsidR="00C3541E" w:rsidRPr="00437C34" w:rsidRDefault="00C3541E" w:rsidP="00C3541E">
      <w:pPr>
        <w:spacing w:after="0" w:line="276" w:lineRule="auto"/>
        <w:jc w:val="both"/>
        <w:rPr>
          <w:rFonts w:ascii="Verdana" w:eastAsia="Calibri" w:hAnsi="Verdana" w:cs="Times New Roman"/>
        </w:rPr>
      </w:pPr>
      <w:r w:rsidRPr="00437C34">
        <w:rPr>
          <w:rFonts w:ascii="Verdana" w:eastAsia="Calibri" w:hAnsi="Verdana" w:cs="Times New Roman"/>
          <w:bCs/>
          <w:lang w:val="es-ES" w:bidi="es-ES"/>
        </w:rPr>
        <w:t xml:space="preserve">En ejercicio de la competencia otorgada por los artículos 3, numeral 5º, y 11, numeral 8º, del Decreto Ley 4170 de 2011, </w:t>
      </w:r>
      <w:r w:rsidRPr="00437C34">
        <w:rPr>
          <w:rFonts w:ascii="Verdana" w:eastAsia="Calibri" w:hAnsi="Verdana" w:cs="Times New Roman"/>
          <w:bCs/>
        </w:rPr>
        <w:t xml:space="preserve">así como lo establecido por la Resolución 469 de 2025 expedida por esta Entidad, </w:t>
      </w:r>
      <w:r w:rsidRPr="00437C34">
        <w:rPr>
          <w:rFonts w:ascii="Verdana" w:eastAsia="Calibri" w:hAnsi="Verdana" w:cs="Times New Roman"/>
          <w:bCs/>
          <w:lang w:val="es-ES" w:bidi="es-ES"/>
        </w:rPr>
        <w:t>la Agencia Nacional de Contratación Pública – Colombia Compra Eficiente–</w:t>
      </w:r>
      <w:r w:rsidRPr="00437C34">
        <w:rPr>
          <w:rFonts w:ascii="Verdana" w:eastAsia="Calibri" w:hAnsi="Verdana" w:cs="Times New Roman"/>
          <w:lang w:val="es-ES"/>
        </w:rPr>
        <w:t xml:space="preserve"> responde la solicitud de consulta presentada el 15 de abril de 2026, en la cual manifiesta:</w:t>
      </w:r>
      <w:r w:rsidRPr="00437C34">
        <w:rPr>
          <w:rFonts w:ascii="Verdana" w:eastAsia="Calibri" w:hAnsi="Verdana" w:cs="Times New Roman"/>
        </w:rPr>
        <w:t xml:space="preserve"> </w:t>
      </w:r>
    </w:p>
    <w:p w14:paraId="7B9B7FE6" w14:textId="77777777" w:rsidR="00C3541E" w:rsidRPr="00437C34" w:rsidRDefault="00C3541E" w:rsidP="00C3541E">
      <w:pPr>
        <w:spacing w:after="0" w:line="240" w:lineRule="auto"/>
        <w:ind w:left="720" w:right="709"/>
        <w:contextualSpacing/>
        <w:jc w:val="both"/>
        <w:rPr>
          <w:rFonts w:ascii="Verdana" w:eastAsia="Calibri" w:hAnsi="Verdana" w:cs="Times New Roman"/>
          <w:i/>
          <w:iCs/>
          <w:sz w:val="20"/>
          <w:szCs w:val="20"/>
        </w:rPr>
      </w:pPr>
    </w:p>
    <w:p w14:paraId="178696A4"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 xml:space="preserve">“Siendo responsabilidad de las Entidades Públicas atender a las prohibiciones señaladas en la Ley 996 de 2005 «Por medio de la cual se reglamenta la elección de Presidente de la República, de conformidad con el artículo 152 literal f) de la Constitución Política de Colombia, y de </w:t>
      </w:r>
      <w:r w:rsidRPr="00437C34">
        <w:rPr>
          <w:rFonts w:ascii="Verdana" w:eastAsia="Calibri" w:hAnsi="Verdana" w:cs="Times New Roman"/>
          <w:sz w:val="20"/>
          <w:szCs w:val="20"/>
        </w:rPr>
        <w:lastRenderedPageBreak/>
        <w:t>acuerdo con lo establecido en el Acto Legislativo 02 de 2004, y se dictan otras disposiciones.» para la entidad es necesario precisar el alcance de la restricción frente a la aplicación de la Ley 2056 del 2020, que en su artículo 101 reza:</w:t>
      </w:r>
    </w:p>
    <w:p w14:paraId="214DBD43"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3E628935"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«ARTÍCULO 101. Proyectos financiables con recursos de la Asignación Directa. Para el caso de los proyectos de inversión con cargo a la asignación directa para Comunidades Negras, Afrocolombianas, Raizales y Palenqueras, una vez sean formulados, serán sus representantes legales quienes realizarán la viabilidad, registro, priorización y aprobación conforme su derecho propio y las nomas del Sistema General de Regalías.</w:t>
      </w:r>
    </w:p>
    <w:p w14:paraId="6536963C"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7A2E6FC8"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Dentro de los dos (2) meses siguientes a la aprobación del proyecto de inversión, se suscribirá un convenio entre el alcalde o gobernador y el representante legal que lo haya presentado, mediante el cual se formalizará la entrega del proyecto. En caso de que transcurrido este término no se haya suscrito el correspondiente convenio, el alcalde o Gobernador estará sujeto a las sanciones a las que haya lugar.</w:t>
      </w:r>
    </w:p>
    <w:p w14:paraId="628352C0"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630A7CC5"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Mediante acto administrativo el alcalde o gobernador designará a la entidad ejecutora propuesta en el proyecto de inversión formulado por la respectiva Comunidad Negra, Afrocolombiana, Raizal y Palenquera,</w:t>
      </w:r>
    </w:p>
    <w:p w14:paraId="2461766C"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la cual debe corresponder a una de las entidades previstas en el estatuto de contratación estatal, quien se encargará de contratar la ejecución del proyecto de inversión y la interventoría de éste cuando aplique.»</w:t>
      </w:r>
    </w:p>
    <w:p w14:paraId="4A08D371"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4FA47775"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Para la Administración es necesario aclarar la posibilidad de dar aplicación y cumplimiento a la entrega de proyectos financiables con recursos del Sistema General de Regalías para Comunidades Negras, Afrocolombianas,</w:t>
      </w:r>
    </w:p>
    <w:p w14:paraId="7387A26F"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Raizales y Palenqueras, teniéndose en cuenta las consideraciones expuestas por este ente rector en el Concepto C-263 de 2026, donde se deja de manifiesto, que la celebración de convenciones por orden legal, no se encuentran cobijadas por la restricción mencionada, comoquiera que no obedecen al libre consentimiento de las partes ni de su autonomía negocial.</w:t>
      </w:r>
    </w:p>
    <w:p w14:paraId="356F81D9"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11D52FB0"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 xml:space="preserve">Expuesto lo anterior, solicito respetuosamente se dé respuesta a las siguientes solicitudes </w:t>
      </w:r>
    </w:p>
    <w:p w14:paraId="3A931BD9"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38A0346A"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¿Pueden celebrarse los convenios directos de que trata el artículo 101 de la Ley 2056 del 2020 amparados en que son convenios celebrados por mandato legal para la Entidad Estatal en el término de</w:t>
      </w:r>
      <w:r w:rsidRPr="00437C34">
        <w:rPr>
          <w:rFonts w:ascii="Geomanist Light" w:hAnsi="Geomanist Light"/>
          <w:lang w:val="es-ES"/>
        </w:rPr>
        <w:t xml:space="preserve"> </w:t>
      </w:r>
      <w:r w:rsidRPr="00437C34">
        <w:rPr>
          <w:rFonts w:ascii="Verdana" w:eastAsia="Calibri" w:hAnsi="Verdana" w:cs="Times New Roman"/>
          <w:sz w:val="20"/>
          <w:szCs w:val="20"/>
        </w:rPr>
        <w:t>restricción establecido por la Ley 996 de 2005?</w:t>
      </w:r>
    </w:p>
    <w:p w14:paraId="7507A584"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41659F15"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O en el caso contrario,</w:t>
      </w:r>
    </w:p>
    <w:p w14:paraId="7294B248"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p>
    <w:p w14:paraId="4D886333" w14:textId="77777777" w:rsidR="00C3541E" w:rsidRPr="00437C34" w:rsidRDefault="00C3541E" w:rsidP="00C3541E">
      <w:pPr>
        <w:spacing w:after="0" w:line="240" w:lineRule="auto"/>
        <w:ind w:left="720" w:right="709"/>
        <w:contextualSpacing/>
        <w:jc w:val="both"/>
        <w:rPr>
          <w:rFonts w:ascii="Verdana" w:eastAsia="Calibri" w:hAnsi="Verdana" w:cs="Times New Roman"/>
          <w:sz w:val="20"/>
          <w:szCs w:val="20"/>
        </w:rPr>
      </w:pPr>
      <w:r w:rsidRPr="00437C34">
        <w:rPr>
          <w:rFonts w:ascii="Verdana" w:eastAsia="Calibri" w:hAnsi="Verdana" w:cs="Times New Roman"/>
          <w:sz w:val="20"/>
          <w:szCs w:val="20"/>
        </w:rPr>
        <w:t>¿Los convenios de que trata la Ley 2056 del 2020 también están sometidos a las restricciones temporales propias de la Ley 996 de 2005?”</w:t>
      </w:r>
    </w:p>
    <w:p w14:paraId="04527CDD" w14:textId="77777777" w:rsidR="00C3541E" w:rsidRPr="00437C34" w:rsidRDefault="00C3541E" w:rsidP="00C3541E">
      <w:pPr>
        <w:spacing w:after="0" w:line="240" w:lineRule="auto"/>
        <w:ind w:left="720" w:right="709"/>
        <w:contextualSpacing/>
        <w:jc w:val="both"/>
        <w:rPr>
          <w:rFonts w:ascii="Verdana" w:eastAsia="Calibri" w:hAnsi="Verdana" w:cs="Times New Roman"/>
          <w:i/>
          <w:iCs/>
          <w:sz w:val="20"/>
          <w:szCs w:val="20"/>
        </w:rPr>
      </w:pPr>
    </w:p>
    <w:p w14:paraId="6B8CDBE3" w14:textId="77777777" w:rsidR="00C3541E" w:rsidRPr="00437C34" w:rsidRDefault="00C3541E" w:rsidP="00C3541E">
      <w:pPr>
        <w:spacing w:after="0" w:line="240" w:lineRule="auto"/>
        <w:ind w:right="709"/>
        <w:jc w:val="both"/>
        <w:rPr>
          <w:rFonts w:ascii="Verdana" w:eastAsia="Calibri" w:hAnsi="Verdana" w:cs="Times New Roman"/>
          <w:i/>
          <w:iCs/>
          <w:sz w:val="20"/>
        </w:rPr>
      </w:pPr>
    </w:p>
    <w:p w14:paraId="15DC76BF" w14:textId="77777777" w:rsidR="00C3541E" w:rsidRPr="00437C34" w:rsidRDefault="00C3541E" w:rsidP="00C3541E">
      <w:pPr>
        <w:spacing w:after="120" w:line="276" w:lineRule="auto"/>
        <w:ind w:firstLine="709"/>
        <w:jc w:val="both"/>
        <w:rPr>
          <w:rFonts w:ascii="Verdana" w:eastAsia="Calibri" w:hAnsi="Verdana" w:cs="Times New Roman"/>
          <w:lang w:val="es-ES"/>
        </w:rPr>
      </w:pPr>
      <w:r w:rsidRPr="00437C34">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5C44ACA" w14:textId="77777777" w:rsidR="00C3541E" w:rsidRPr="00437C34" w:rsidRDefault="00C3541E" w:rsidP="00C3541E">
      <w:pPr>
        <w:spacing w:after="0" w:line="276" w:lineRule="auto"/>
        <w:ind w:firstLine="708"/>
        <w:jc w:val="both"/>
        <w:rPr>
          <w:rFonts w:ascii="Verdana" w:eastAsia="Calibri" w:hAnsi="Verdana" w:cs="Times New Roman"/>
          <w:lang w:val="es-ES"/>
        </w:rPr>
      </w:pPr>
      <w:r w:rsidRPr="00437C34">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1675F337" w14:textId="77777777" w:rsidR="00C3541E" w:rsidRPr="00437C34" w:rsidRDefault="00C3541E" w:rsidP="00C3541E">
      <w:pPr>
        <w:spacing w:after="0" w:line="276" w:lineRule="auto"/>
        <w:rPr>
          <w:rFonts w:ascii="Verdana" w:eastAsia="Calibri" w:hAnsi="Verdana" w:cs="Times New Roman"/>
          <w:lang w:val="es-ES"/>
        </w:rPr>
      </w:pPr>
    </w:p>
    <w:p w14:paraId="46003190" w14:textId="77777777" w:rsidR="00C3541E" w:rsidRPr="00437C34" w:rsidRDefault="00C3541E" w:rsidP="00C3541E">
      <w:pPr>
        <w:numPr>
          <w:ilvl w:val="0"/>
          <w:numId w:val="19"/>
        </w:numPr>
        <w:spacing w:after="0" w:line="276" w:lineRule="auto"/>
        <w:contextualSpacing/>
        <w:rPr>
          <w:rFonts w:ascii="Verdana" w:eastAsia="Calibri" w:hAnsi="Verdana" w:cs="Times New Roman"/>
          <w:b/>
          <w:bCs/>
          <w:lang w:val="es-ES"/>
        </w:rPr>
      </w:pPr>
      <w:r w:rsidRPr="00437C34">
        <w:rPr>
          <w:rFonts w:ascii="Verdana" w:eastAsia="Calibri" w:hAnsi="Verdana" w:cs="Times New Roman"/>
          <w:b/>
          <w:bCs/>
          <w:lang w:val="es-ES"/>
        </w:rPr>
        <w:t>Problema planteado:</w:t>
      </w:r>
    </w:p>
    <w:p w14:paraId="107A3E14" w14:textId="77777777" w:rsidR="00C3541E" w:rsidRPr="00437C34" w:rsidRDefault="00C3541E" w:rsidP="00C3541E">
      <w:pPr>
        <w:spacing w:after="0" w:line="276" w:lineRule="auto"/>
        <w:rPr>
          <w:rFonts w:ascii="Verdana" w:eastAsia="Calibri" w:hAnsi="Verdana" w:cs="Times New Roman"/>
        </w:rPr>
      </w:pPr>
    </w:p>
    <w:p w14:paraId="3CAC33CC" w14:textId="77777777" w:rsidR="00C3541E" w:rsidRPr="00437C34" w:rsidRDefault="00C3541E" w:rsidP="00C3541E">
      <w:pPr>
        <w:spacing w:after="0" w:line="276" w:lineRule="auto"/>
        <w:jc w:val="both"/>
        <w:rPr>
          <w:rFonts w:ascii="Verdana" w:eastAsia="Calibri" w:hAnsi="Verdana" w:cs="Times New Roman"/>
          <w:iCs/>
        </w:rPr>
      </w:pPr>
      <w:r w:rsidRPr="00437C34">
        <w:rPr>
          <w:rFonts w:ascii="Verdana" w:eastAsia="Calibri" w:hAnsi="Verdana" w:cs="Times New Roman"/>
        </w:rPr>
        <w:t>De acuerdo con el contenido de sus solicitudes, esta Agencia procede a resolver el siguiente problema jurídico:</w:t>
      </w:r>
      <w:r w:rsidRPr="00437C34">
        <w:rPr>
          <w:rFonts w:ascii="Verdana" w:eastAsia="Calibri" w:hAnsi="Verdana" w:cs="Times New Roman"/>
          <w:iCs/>
          <w:lang w:val="es-ES"/>
        </w:rPr>
        <w:t xml:space="preserve"> ¿aplican las restricciones reguladas en la Ley 996 de 2005 </w:t>
      </w:r>
      <w:r w:rsidRPr="00437C34">
        <w:rPr>
          <w:rFonts w:ascii="Verdana" w:eastAsia="Calibri" w:hAnsi="Verdana" w:cs="Times New Roman"/>
          <w:bCs/>
          <w:iCs/>
        </w:rPr>
        <w:t>frente a los convenios contemplados en el artículo 101 de la Ley 2056 de 2020</w:t>
      </w:r>
      <w:r w:rsidRPr="00437C34">
        <w:rPr>
          <w:rFonts w:ascii="Verdana" w:eastAsia="Calibri" w:hAnsi="Verdana" w:cs="Times New Roman"/>
          <w:iCs/>
        </w:rPr>
        <w:t>?</w:t>
      </w:r>
    </w:p>
    <w:p w14:paraId="354BEB3B" w14:textId="77777777" w:rsidR="00C3541E" w:rsidRPr="00437C34" w:rsidRDefault="00C3541E" w:rsidP="00C3541E">
      <w:pPr>
        <w:spacing w:after="0" w:line="276" w:lineRule="auto"/>
        <w:jc w:val="both"/>
        <w:rPr>
          <w:rFonts w:ascii="Verdana" w:eastAsia="Calibri" w:hAnsi="Verdana" w:cs="Times New Roman"/>
          <w:i/>
          <w:iCs/>
        </w:rPr>
      </w:pPr>
    </w:p>
    <w:p w14:paraId="3C8C1345" w14:textId="77777777" w:rsidR="00C3541E" w:rsidRPr="00437C34" w:rsidRDefault="00C3541E" w:rsidP="00C3541E">
      <w:pPr>
        <w:numPr>
          <w:ilvl w:val="0"/>
          <w:numId w:val="19"/>
        </w:numPr>
        <w:spacing w:after="0" w:line="276" w:lineRule="auto"/>
        <w:contextualSpacing/>
        <w:rPr>
          <w:rFonts w:ascii="Verdana" w:eastAsia="Calibri" w:hAnsi="Verdana" w:cs="Times New Roman"/>
          <w:b/>
          <w:bCs/>
          <w:lang w:val="es-ES"/>
        </w:rPr>
      </w:pPr>
      <w:r w:rsidRPr="00437C34">
        <w:rPr>
          <w:rFonts w:ascii="Verdana" w:eastAsia="Calibri" w:hAnsi="Verdana" w:cs="Times New Roman"/>
          <w:b/>
          <w:bCs/>
          <w:lang w:val="es-ES"/>
        </w:rPr>
        <w:t>Respuesta:</w:t>
      </w:r>
    </w:p>
    <w:p w14:paraId="64CC19ED" w14:textId="77777777" w:rsidR="00C3541E" w:rsidRPr="00437C34" w:rsidRDefault="00C3541E" w:rsidP="00C3541E">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C3541E" w:rsidRPr="00437C34" w14:paraId="2962A629" w14:textId="77777777" w:rsidTr="00296B97">
        <w:trPr>
          <w:trHeight w:val="618"/>
          <w:jc w:val="center"/>
        </w:trPr>
        <w:tc>
          <w:tcPr>
            <w:tcW w:w="8784" w:type="dxa"/>
            <w:tcBorders>
              <w:bottom w:val="single" w:sz="4" w:space="0" w:color="auto"/>
            </w:tcBorders>
          </w:tcPr>
          <w:p w14:paraId="050B8D77" w14:textId="77777777" w:rsidR="00C3541E" w:rsidRPr="00437C34" w:rsidRDefault="00C3541E" w:rsidP="00296B97">
            <w:pPr>
              <w:spacing w:before="120" w:after="120" w:line="276" w:lineRule="auto"/>
              <w:jc w:val="both"/>
              <w:rPr>
                <w:rFonts w:ascii="Verdana" w:eastAsia="Times New Roman" w:hAnsi="Verdana" w:cs="Arial"/>
                <w:bCs/>
                <w:lang w:val="es-MX" w:eastAsia="x-none"/>
              </w:rPr>
            </w:pPr>
            <w:r w:rsidRPr="00437C34">
              <w:rPr>
                <w:rFonts w:ascii="Verdana" w:eastAsia="Calibri" w:hAnsi="Verdana" w:cs="Times New Roman"/>
              </w:rPr>
              <w:t xml:space="preserve">En cuanto a </w:t>
            </w:r>
            <w:r w:rsidRPr="00437C34">
              <w:rPr>
                <w:rFonts w:ascii="Verdana" w:eastAsia="Calibri" w:hAnsi="Verdana" w:cs="Arial"/>
                <w:lang w:val="es-MX"/>
              </w:rPr>
              <w:t xml:space="preserve">la restricción prevista en el artículo 33 de la Ley 996 de 2005 es preciso resaltar que esta </w:t>
            </w:r>
            <w:r w:rsidRPr="00437C34">
              <w:rPr>
                <w:rFonts w:ascii="Verdana" w:eastAsia="Times New Roman" w:hAnsi="Verdana" w:cs="Arial"/>
                <w:bCs/>
                <w:lang w:val="es-MX" w:eastAsia="x-none"/>
              </w:rPr>
              <w:t xml:space="preserve">cobija a cualquier </w:t>
            </w:r>
            <w:r w:rsidRPr="00437C34">
              <w:rPr>
                <w:rFonts w:ascii="Verdana" w:eastAsia="Times New Roman" w:hAnsi="Verdana" w:cs="Arial"/>
                <w:bCs/>
                <w:i/>
                <w:iCs/>
                <w:lang w:val="es-MX" w:eastAsia="x-none"/>
              </w:rPr>
              <w:t>entidad pública</w:t>
            </w:r>
            <w:r w:rsidRPr="00437C34">
              <w:rPr>
                <w:rFonts w:ascii="Verdana" w:eastAsia="Times New Roman" w:hAnsi="Verdana" w:cs="Arial"/>
                <w:bCs/>
                <w:lang w:val="es-MX" w:eastAsia="x-none"/>
              </w:rPr>
              <w:t xml:space="preserve">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w:t>
            </w:r>
            <w:r w:rsidRPr="00437C34">
              <w:rPr>
                <w:rFonts w:ascii="Verdana" w:eastAsia="Times New Roman" w:hAnsi="Verdana" w:cs="Arial"/>
                <w:bCs/>
                <w:i/>
                <w:iCs/>
                <w:lang w:val="es-MX" w:eastAsia="x-none"/>
              </w:rPr>
              <w:t>por la ejecución de un cierto tipo de recursos en sus contrataciones</w:t>
            </w:r>
            <w:r w:rsidRPr="00437C34">
              <w:rPr>
                <w:rFonts w:ascii="Verdana" w:eastAsia="Times New Roman" w:hAnsi="Verdana" w:cs="Arial"/>
                <w:bCs/>
                <w:lang w:val="es-MX" w:eastAsia="x-none"/>
              </w:rPr>
              <w:t xml:space="preserve">, pues, la posibilidad de que los entes del </w:t>
            </w:r>
            <w:r w:rsidRPr="00437C34">
              <w:rPr>
                <w:rFonts w:ascii="Verdana" w:eastAsia="Times New Roman" w:hAnsi="Verdana" w:cs="Arial"/>
                <w:bCs/>
                <w:lang w:val="es-MX" w:eastAsia="x-none"/>
              </w:rPr>
              <w:lastRenderedPageBreak/>
              <w:t xml:space="preserve">Estado usen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273EC514" w14:textId="77777777" w:rsidR="00C3541E" w:rsidRPr="00437C34" w:rsidRDefault="00C3541E" w:rsidP="00296B97">
            <w:pPr>
              <w:spacing w:after="120" w:line="276" w:lineRule="auto"/>
              <w:ind w:firstLine="709"/>
              <w:jc w:val="both"/>
              <w:rPr>
                <w:rFonts w:ascii="Verdana" w:eastAsia="Times New Roman" w:hAnsi="Verdana" w:cs="Arial"/>
                <w:bCs/>
                <w:lang w:val="es-MX" w:eastAsia="x-none"/>
              </w:rPr>
            </w:pPr>
            <w:r w:rsidRPr="00437C34">
              <w:rPr>
                <w:rFonts w:ascii="Verdana" w:eastAsia="Times New Roman" w:hAnsi="Verdana" w:cs="Arial"/>
                <w:bCs/>
                <w:lang w:val="es-MX" w:eastAsia="x-none"/>
              </w:rPr>
              <w:t xml:space="preserve">En relación con los destinatarios de la restricción analizada, el artículo 33 de la Ley 996 de 2005 los señala expresamente, en el sentido de que son </w:t>
            </w:r>
            <w:r w:rsidRPr="00437C34">
              <w:rPr>
                <w:rFonts w:ascii="Verdana" w:eastAsia="Times New Roman" w:hAnsi="Verdana" w:cs="Arial"/>
                <w:bCs/>
                <w:i/>
                <w:iCs/>
                <w:lang w:val="es-MX" w:eastAsia="x-none"/>
              </w:rPr>
              <w:t xml:space="preserve">“todos los entes del Estado”, </w:t>
            </w:r>
            <w:r w:rsidRPr="00437C34">
              <w:rPr>
                <w:rFonts w:ascii="Verdana" w:eastAsia="Times New Roman" w:hAnsi="Verdana" w:cs="Arial"/>
                <w:bCs/>
                <w:lang w:val="es-MX" w:eastAsia="x-none"/>
              </w:rPr>
              <w:t xml:space="preserve">expresión que contempla a los diferentes organismos o entidades autorizadas por la ley para suscribir contratos, </w:t>
            </w:r>
            <w:r w:rsidRPr="00437C34">
              <w:rPr>
                <w:rFonts w:ascii="Verdana" w:eastAsia="Times New Roman" w:hAnsi="Verdana" w:cs="Arial"/>
                <w:bCs/>
                <w:lang w:eastAsia="x-none"/>
              </w:rPr>
              <w:t xml:space="preserve">sin distinción del régimen jurídico, forma de organización o naturaleza, su pertenencia a una u otra rama del poder público o su autonomía, e incluso si se trata de entidades estatales que al estar sometidas a un régimen especial se encuentren del ámbito de aplicación del Estatuto General de Contratación de la Administración Pública. </w:t>
            </w:r>
          </w:p>
          <w:p w14:paraId="2E1B689C" w14:textId="77777777" w:rsidR="00C3541E" w:rsidRPr="00437C34" w:rsidRDefault="00C3541E" w:rsidP="00296B97">
            <w:pPr>
              <w:spacing w:after="120" w:line="276" w:lineRule="auto"/>
              <w:ind w:firstLine="709"/>
              <w:jc w:val="both"/>
              <w:rPr>
                <w:rFonts w:ascii="Verdana" w:hAnsi="Verdana" w:cs="Arial"/>
                <w:lang w:val="es-ES"/>
              </w:rPr>
            </w:pPr>
            <w:r w:rsidRPr="00437C34">
              <w:rPr>
                <w:rFonts w:ascii="Verdana" w:eastAsia="Times New Roman" w:hAnsi="Verdana" w:cs="Arial"/>
                <w:bCs/>
                <w:lang w:val="es-ES" w:eastAsia="x-none"/>
              </w:rPr>
              <w:t xml:space="preserve">En esta cuestión, </w:t>
            </w:r>
            <w:r w:rsidRPr="00437C34">
              <w:rPr>
                <w:rFonts w:ascii="Verdana" w:eastAsia="Times New Roman" w:hAnsi="Verdana" w:cs="Arial"/>
                <w:bCs/>
                <w:lang w:eastAsia="x-none"/>
              </w:rPr>
              <w:t xml:space="preserve">analizada la Ley 2056 de 2020 y en particular, el artículo 101, </w:t>
            </w:r>
            <w:r w:rsidRPr="00437C34">
              <w:rPr>
                <w:rFonts w:ascii="Verdana" w:eastAsia="Times New Roman" w:hAnsi="Verdana" w:cs="Arial"/>
                <w:bCs/>
                <w:lang w:val="es-ES" w:eastAsia="x-none"/>
              </w:rPr>
              <w:t xml:space="preserve">no se evidencia una excepción a lo dispuesto en el artículo 33 de la Ley 996 de 2005 </w:t>
            </w:r>
            <w:r w:rsidRPr="00437C34">
              <w:rPr>
                <w:rFonts w:ascii="Verdana" w:eastAsia="Times New Roman" w:hAnsi="Verdana" w:cs="Arial"/>
                <w:bCs/>
                <w:lang w:val="es-MX" w:eastAsia="x-none"/>
              </w:rPr>
              <w:t xml:space="preserve">que restringe la contratación directa en el periodo preelectoral a las elecciones presidenciales por el tipo de recurso que pretende ejecutarse. En otras palabras, esta normatividad especial para la ejecución de recursos del Sistema General de </w:t>
            </w:r>
            <w:proofErr w:type="gramStart"/>
            <w:r w:rsidRPr="00437C34">
              <w:rPr>
                <w:rFonts w:ascii="Verdana" w:eastAsia="Times New Roman" w:hAnsi="Verdana" w:cs="Arial"/>
                <w:bCs/>
                <w:lang w:val="es-MX" w:eastAsia="x-none"/>
              </w:rPr>
              <w:t>Regalías,</w:t>
            </w:r>
            <w:proofErr w:type="gramEnd"/>
            <w:r w:rsidRPr="00437C34">
              <w:rPr>
                <w:rFonts w:ascii="Verdana" w:eastAsia="Times New Roman" w:hAnsi="Verdana" w:cs="Arial"/>
                <w:bCs/>
                <w:lang w:val="es-MX" w:eastAsia="x-none"/>
              </w:rPr>
              <w:t xml:space="preserve"> no implica que esté exonerada de la restricción, pues el legislador no hizo distinción del tipo de recursos al establecer la prohibición.  En este sentido, aplicará la restricción señalada respecto de todos los entes del Estado</w:t>
            </w:r>
            <w:r w:rsidRPr="00437C34">
              <w:rPr>
                <w:rFonts w:ascii="Verdana" w:eastAsia="Times New Roman" w:hAnsi="Verdana" w:cs="Arial"/>
                <w:bCs/>
                <w:i/>
                <w:iCs/>
                <w:lang w:val="es-MX" w:eastAsia="x-none"/>
              </w:rPr>
              <w:t>,</w:t>
            </w:r>
            <w:r w:rsidRPr="00437C34">
              <w:rPr>
                <w:rFonts w:ascii="Verdana" w:eastAsia="Times New Roman" w:hAnsi="Verdana" w:cs="Arial"/>
                <w:bCs/>
                <w:lang w:val="es-MX" w:eastAsia="x-none"/>
              </w:rPr>
              <w:t xml:space="preserve"> con independencia de la fuente de los recursos. </w:t>
            </w:r>
          </w:p>
          <w:p w14:paraId="6C88E211" w14:textId="77777777" w:rsidR="00C3541E" w:rsidRPr="00437C34" w:rsidRDefault="00C3541E" w:rsidP="00296B97">
            <w:pPr>
              <w:spacing w:after="120" w:line="276" w:lineRule="auto"/>
              <w:ind w:firstLine="709"/>
              <w:jc w:val="both"/>
              <w:rPr>
                <w:rFonts w:ascii="Verdana" w:hAnsi="Verdana" w:cs="Arial"/>
                <w:lang w:val="es-ES"/>
              </w:rPr>
            </w:pPr>
            <w:r w:rsidRPr="00437C34">
              <w:rPr>
                <w:rFonts w:ascii="Verdana" w:hAnsi="Verdana" w:cs="Arial"/>
                <w:lang w:val="es-ES"/>
              </w:rPr>
              <w:t xml:space="preserve">En efecto, si bien el artículo 101 de la Ley 2056 de 2020 dispone el deber de suscribir un convenio dentro de los dos (2) meses siguientes a la aprobación del proyecto de inversión, dicha disposición no consagra de manera expresa una excepción a las restricciones previstas en el artículo 33 de la Ley 996 de 2005. En este caso, el legislador se limitó a establecer un término para la celebración del convenio, pero no señaló que esta actuación contractual pudiera adelantarse durante el periodo de restricción electoral ni excluyó expresamente su aplicación del régimen de la Ley de Garantías Electorales. </w:t>
            </w:r>
          </w:p>
          <w:p w14:paraId="5A558542" w14:textId="77777777" w:rsidR="00C3541E" w:rsidRPr="00437C34" w:rsidRDefault="00C3541E" w:rsidP="00296B97">
            <w:pPr>
              <w:spacing w:after="120" w:line="276" w:lineRule="auto"/>
              <w:ind w:firstLine="709"/>
              <w:jc w:val="both"/>
              <w:rPr>
                <w:rFonts w:ascii="Verdana" w:hAnsi="Verdana" w:cs="Arial"/>
                <w:lang w:val="es-ES"/>
              </w:rPr>
            </w:pPr>
            <w:r w:rsidRPr="00437C34">
              <w:rPr>
                <w:rFonts w:ascii="Verdana" w:hAnsi="Verdana" w:cs="Arial"/>
                <w:lang w:val="es-ES"/>
              </w:rPr>
              <w:t xml:space="preserve">Al respecto, es importante precisar que la previsión legal de un término para la suscripción del convenio no implica, por sí misma, que dicho plazo prevalezca sobre las restricciones contenidas en la Ley de Garantías Electorales. Debe tenerse en cuenta que la Ley 996 de 2005, por su naturaleza </w:t>
            </w:r>
            <w:r w:rsidRPr="00437C34">
              <w:rPr>
                <w:rFonts w:ascii="Verdana" w:hAnsi="Verdana" w:cs="Arial"/>
                <w:lang w:val="es-ES"/>
              </w:rPr>
              <w:lastRenderedPageBreak/>
              <w:t>estatutaria, goza de una jerarquía superior en el ordenamiento jurídico, en la medida que desarrolla materias relacionadas con las garantías electorales y la participación democrática. Por ello, no puede interpretarse que el término previsto en el artículo 101 de la Ley 2056 de 2020 para suscripción del convenio constituye, de manera implícita, una excepción a la prohibición de contratación durante el periodo electoral, pues esto implicaría hacer prevalecer una disposición de una ley ordinaria sobre una restricción establecida en una ley estatutaria, sin que el legislador hubiera previsto expresamente dicha consecuencia.</w:t>
            </w:r>
          </w:p>
          <w:p w14:paraId="1DE62226" w14:textId="77777777" w:rsidR="00C3541E" w:rsidRPr="00437C34" w:rsidRDefault="00C3541E" w:rsidP="00296B97">
            <w:pPr>
              <w:spacing w:after="120" w:line="276" w:lineRule="auto"/>
              <w:ind w:firstLine="709"/>
              <w:jc w:val="both"/>
              <w:rPr>
                <w:rFonts w:ascii="Verdana" w:hAnsi="Verdana" w:cs="Arial"/>
                <w:lang w:val="es-ES"/>
              </w:rPr>
            </w:pPr>
            <w:r w:rsidRPr="00437C34">
              <w:rPr>
                <w:rFonts w:ascii="Verdana" w:hAnsi="Verdana" w:cs="Arial"/>
                <w:lang w:val="es-ES"/>
              </w:rPr>
              <w:t>En este sentido, no resulta jurídicamente viable sostener que en este caso existe una excepción a la Ley de Garantías Electorales por el deber de celebrar el convenio dentro de un plazo determinado, especialmente si se tiene en cuenta que las excepciones a las restricciones en materia electoral, debido a su naturaleza excepcional, deben estar consagradas de manera expresa y ser objeto de una interpretación estricta y restrictiva.</w:t>
            </w:r>
          </w:p>
          <w:p w14:paraId="20B8D83C" w14:textId="77777777" w:rsidR="00C3541E" w:rsidRPr="00437C34" w:rsidRDefault="00C3541E" w:rsidP="00296B97">
            <w:pPr>
              <w:spacing w:after="120" w:line="276" w:lineRule="auto"/>
              <w:ind w:firstLine="709"/>
              <w:jc w:val="both"/>
              <w:rPr>
                <w:rFonts w:ascii="Verdana" w:hAnsi="Verdana" w:cs="Arial"/>
                <w:lang w:val="es-ES"/>
              </w:rPr>
            </w:pPr>
            <w:r w:rsidRPr="00437C34">
              <w:rPr>
                <w:rFonts w:ascii="Verdana" w:hAnsi="Verdana" w:cs="Arial"/>
                <w:lang w:val="es-ES"/>
              </w:rPr>
              <w:t xml:space="preserve">Aunado a lo anterior, resulta pertinente señalar que no es procedente equiparar el supuesto previsto en el artículo 101 de la Ley 2056 de 2020 con el analizado en los conceptos C-247 y C-263 de 2026 en relación con la contratación celebrada con la Imprenta Nacional al amparo del artículo 5 de la Ley 109 de 1994. Lo anterior, por cuanto entre ambos escenarios no existe identidad de criterios fácticos ni jurídicos que permita aplicar la interpretación excepcional adoptada por el Consejo de Estado al caso particular de los convenios regulados en el marco del Sistema General de Regalías. </w:t>
            </w:r>
          </w:p>
          <w:p w14:paraId="6E4C33C3" w14:textId="77777777" w:rsidR="00C3541E" w:rsidRPr="00437C34" w:rsidRDefault="00C3541E" w:rsidP="00296B97">
            <w:pPr>
              <w:tabs>
                <w:tab w:val="left" w:pos="1843"/>
              </w:tabs>
              <w:spacing w:after="120" w:line="276" w:lineRule="auto"/>
              <w:ind w:firstLine="709"/>
              <w:jc w:val="both"/>
              <w:rPr>
                <w:rFonts w:ascii="Verdana" w:eastAsia="Times New Roman" w:hAnsi="Verdana" w:cs="Arial"/>
                <w:bCs/>
                <w:lang w:val="es-MX" w:eastAsia="x-none"/>
              </w:rPr>
            </w:pPr>
            <w:r w:rsidRPr="00437C34">
              <w:rPr>
                <w:rFonts w:ascii="Verdana" w:hAnsi="Verdana" w:cs="Arial"/>
                <w:lang w:val="es-ES"/>
              </w:rPr>
              <w:t xml:space="preserve">En este contexto, debe reiterarse que </w:t>
            </w:r>
            <w:r w:rsidRPr="00437C34">
              <w:rPr>
                <w:rFonts w:ascii="Verdana" w:eastAsia="Times New Roman" w:hAnsi="Verdana" w:cs="Arial"/>
                <w:bCs/>
                <w:lang w:val="es-MX" w:eastAsia="x-none"/>
              </w:rPr>
              <w:t xml:space="preserve">la restricción del artículo 33 de la Ley de Garantías Electorales aplica, sin perjuicio de las excepciones establecidas en el inciso segundo del precitado artículo: i) los contratos relacionados con la defensa y seguridad del Estado, analizados en el Concepto 322 de 2026; </w:t>
            </w:r>
            <w:proofErr w:type="spellStart"/>
            <w:r w:rsidRPr="00437C34">
              <w:rPr>
                <w:rFonts w:ascii="Verdana" w:eastAsia="Times New Roman" w:hAnsi="Verdana" w:cs="Arial"/>
                <w:bCs/>
                <w:lang w:val="es-MX" w:eastAsia="x-none"/>
              </w:rPr>
              <w:t>ii</w:t>
            </w:r>
            <w:proofErr w:type="spellEnd"/>
            <w:r w:rsidRPr="00437C34">
              <w:rPr>
                <w:rFonts w:ascii="Verdana" w:eastAsia="Times New Roman" w:hAnsi="Verdana" w:cs="Arial"/>
                <w:bCs/>
                <w:lang w:val="es-MX" w:eastAsia="x-none"/>
              </w:rPr>
              <w:t xml:space="preserve">) los contratos de crédito público, abordados en el Concepto CU-372 de 2026; </w:t>
            </w:r>
            <w:proofErr w:type="spellStart"/>
            <w:r w:rsidRPr="00437C34">
              <w:rPr>
                <w:rFonts w:ascii="Verdana" w:eastAsia="Times New Roman" w:hAnsi="Verdana" w:cs="Arial"/>
                <w:bCs/>
                <w:lang w:val="es-MX" w:eastAsia="x-none"/>
              </w:rPr>
              <w:t>iii</w:t>
            </w:r>
            <w:proofErr w:type="spellEnd"/>
            <w:r w:rsidRPr="00437C34">
              <w:rPr>
                <w:rFonts w:ascii="Verdana" w:eastAsia="Times New Roman" w:hAnsi="Verdana" w:cs="Arial"/>
                <w:bCs/>
                <w:lang w:val="es-MX" w:eastAsia="x-none"/>
              </w:rPr>
              <w:t>) los contratos necesarios para atender emergencias educativas, sanitarias o desastres, tratados en los Conceptos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118 de 2026 y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 xml:space="preserve">176 de 2026, que tratan en este caso de la urgencia manifiesta; </w:t>
            </w:r>
            <w:proofErr w:type="spellStart"/>
            <w:r w:rsidRPr="00437C34">
              <w:rPr>
                <w:rFonts w:ascii="Verdana" w:eastAsia="Times New Roman" w:hAnsi="Verdana" w:cs="Arial"/>
                <w:bCs/>
                <w:lang w:val="es-MX" w:eastAsia="x-none"/>
              </w:rPr>
              <w:t>iv</w:t>
            </w:r>
            <w:proofErr w:type="spellEnd"/>
            <w:r w:rsidRPr="00437C34">
              <w:rPr>
                <w:rFonts w:ascii="Verdana" w:eastAsia="Times New Roman" w:hAnsi="Verdana" w:cs="Arial"/>
                <w:bCs/>
                <w:lang w:val="es-MX" w:eastAsia="x-none"/>
              </w:rPr>
              <w:t>) los contratos destinados a la reconstrucción de infraestructura vial, energética y de comunicaciones afectada por atentados, acciones terroristas, desastres naturales o fuerza mayor, igualmente estudiados en los Conceptos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118 de 2026 y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 xml:space="preserve">176 de 2026, entre otros; y v) la contratación directa celebrada por </w:t>
            </w:r>
            <w:r w:rsidRPr="00437C34">
              <w:rPr>
                <w:rFonts w:ascii="Verdana" w:eastAsia="Times New Roman" w:hAnsi="Verdana" w:cs="Arial"/>
                <w:bCs/>
                <w:lang w:val="es-MX" w:eastAsia="x-none"/>
              </w:rPr>
              <w:lastRenderedPageBreak/>
              <w:t>entidades sanitarias y hospitalarias, objeto de análisis en los Conceptos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1124 de 2026,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1406 de 2026 y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 xml:space="preserve">1703 de 2026. </w:t>
            </w:r>
          </w:p>
          <w:p w14:paraId="7C6AA1FE" w14:textId="77777777" w:rsidR="00C3541E" w:rsidRPr="00437C34" w:rsidRDefault="00C3541E" w:rsidP="00296B97">
            <w:pPr>
              <w:tabs>
                <w:tab w:val="left" w:pos="1843"/>
              </w:tabs>
              <w:spacing w:after="120" w:line="276" w:lineRule="auto"/>
              <w:ind w:firstLine="709"/>
              <w:jc w:val="both"/>
              <w:rPr>
                <w:rFonts w:ascii="Verdana" w:eastAsia="Times New Roman" w:hAnsi="Verdana" w:cs="Arial"/>
                <w:bCs/>
                <w:lang w:eastAsia="es-CO"/>
              </w:rPr>
            </w:pPr>
            <w:r w:rsidRPr="00437C34">
              <w:rPr>
                <w:rFonts w:ascii="Verdana" w:eastAsia="Times New Roman" w:hAnsi="Verdana" w:cs="Arial"/>
                <w:bCs/>
                <w:lang w:eastAsia="es-CO"/>
              </w:rPr>
              <w:t>Bajo este contexto, corresponde a cada entidad estatal analizar, en el caso concreto, la naturaleza y finalidad de las actividades que pretende desarrollar mediante el respectivo convenio, con el propósito de determinar si su objeto se encuentra comprendido dentro de alguna de las excepciones expresamente admitidas al régimen de restricciones previsto en la Ley de Garantías Electorales</w:t>
            </w:r>
            <w:r w:rsidRPr="00437C34">
              <w:rPr>
                <w:rFonts w:ascii="Verdana" w:eastAsia="Times New Roman" w:hAnsi="Verdana" w:cs="Arial"/>
                <w:bCs/>
                <w:lang w:val="es-MX" w:eastAsia="es-CO"/>
              </w:rPr>
              <w:t xml:space="preserve">. Asimismo, </w:t>
            </w:r>
            <w:r w:rsidRPr="00437C34">
              <w:rPr>
                <w:rFonts w:ascii="Verdana" w:eastAsiaTheme="minorEastAsia" w:hAnsi="Verdana" w:cs="Arial"/>
                <w:lang w:eastAsia="es-CO"/>
              </w:rPr>
              <w:t xml:space="preserve">vale la pena indicar que </w:t>
            </w:r>
            <w:r w:rsidRPr="00437C34">
              <w:rPr>
                <w:rFonts w:ascii="Verdana" w:eastAsia="Calibri" w:hAnsi="Verdana" w:cs="Arial"/>
              </w:rPr>
              <w:t>l</w:t>
            </w:r>
            <w:r w:rsidRPr="00437C34">
              <w:rPr>
                <w:rFonts w:ascii="Verdana" w:eastAsia="Times New Roman" w:hAnsi="Verdana" w:cs="Arial"/>
                <w:bCs/>
                <w:lang w:val="es-ES" w:eastAsia="es-CO"/>
              </w:rPr>
              <w:t xml:space="preserve">a Sala de Consulta y Servicio Civil del Consejo de Estado ha señalado algunas situaciones en las que se exceptúa la aplicación de la Ley de Garantías como, por ejemplo, para prestación de servicios públicos esenciales y el cumplimiento de un fallo judicial. </w:t>
            </w:r>
          </w:p>
          <w:p w14:paraId="21D58BAE" w14:textId="77777777" w:rsidR="00C3541E" w:rsidRPr="00437C34" w:rsidRDefault="00C3541E" w:rsidP="00296B97">
            <w:pPr>
              <w:spacing w:after="120" w:line="276" w:lineRule="auto"/>
              <w:ind w:firstLine="709"/>
              <w:jc w:val="both"/>
              <w:rPr>
                <w:rFonts w:ascii="Verdana" w:hAnsi="Verdana" w:cs="Arial"/>
                <w:lang w:val="es-ES"/>
              </w:rPr>
            </w:pPr>
            <w:r w:rsidRPr="00437C34">
              <w:rPr>
                <w:rFonts w:ascii="Verdana" w:hAnsi="Verdana" w:cs="Arial"/>
                <w:lang w:val="es-ES"/>
              </w:rPr>
              <w:t>Así las cosas, la Agencia considera que la posibilidad de suscribir un convenio con fundamento en el artículo 101 de la Ley 2056 de 2020, dependerá del análisis particular que realice la entidad sobre la existencia de alguna de las excepciones establecidas en el artículo 33 de la Ley de Garantías Electorales, sin perjuicio de lo expresado por la Sala de Consulta y Servicio Civil del Consejo que se expuso en el presente concepto.</w:t>
            </w:r>
          </w:p>
          <w:p w14:paraId="185C562C" w14:textId="77777777" w:rsidR="00C3541E" w:rsidRPr="00437C34" w:rsidRDefault="00C3541E" w:rsidP="00296B97">
            <w:pPr>
              <w:spacing w:after="120" w:line="276" w:lineRule="auto"/>
              <w:ind w:firstLine="709"/>
              <w:jc w:val="both"/>
              <w:rPr>
                <w:rFonts w:ascii="Verdana" w:eastAsia="Times New Roman" w:hAnsi="Verdana" w:cs="Arial"/>
                <w:bCs/>
                <w:lang w:val="es-ES" w:eastAsia="x-none"/>
              </w:rPr>
            </w:pPr>
            <w:r w:rsidRPr="00437C34">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488D3402" w14:textId="77777777" w:rsidR="00C3541E" w:rsidRPr="00437C34" w:rsidRDefault="00C3541E" w:rsidP="00C3541E">
      <w:pPr>
        <w:spacing w:after="0" w:line="276" w:lineRule="auto"/>
        <w:jc w:val="both"/>
        <w:rPr>
          <w:rFonts w:ascii="Verdana" w:eastAsia="Calibri" w:hAnsi="Verdana" w:cs="Arial"/>
          <w:bCs/>
          <w:color w:val="000000" w:themeColor="text1"/>
        </w:rPr>
      </w:pPr>
    </w:p>
    <w:p w14:paraId="6C1104A5" w14:textId="77777777" w:rsidR="00C3541E" w:rsidRPr="00437C34" w:rsidRDefault="00C3541E" w:rsidP="00C3541E">
      <w:pPr>
        <w:spacing w:after="0" w:line="276" w:lineRule="auto"/>
        <w:jc w:val="both"/>
        <w:rPr>
          <w:rFonts w:ascii="Verdana" w:eastAsia="Calibri" w:hAnsi="Verdana" w:cs="Arial"/>
          <w:bCs/>
          <w:color w:val="000000" w:themeColor="text1"/>
        </w:rPr>
      </w:pPr>
    </w:p>
    <w:p w14:paraId="63EC1890" w14:textId="77777777" w:rsidR="00C3541E" w:rsidRPr="00437C34" w:rsidRDefault="00C3541E" w:rsidP="00C3541E">
      <w:pPr>
        <w:numPr>
          <w:ilvl w:val="0"/>
          <w:numId w:val="19"/>
        </w:numPr>
        <w:tabs>
          <w:tab w:val="left" w:pos="2268"/>
        </w:tabs>
        <w:spacing w:after="0" w:line="276" w:lineRule="auto"/>
        <w:rPr>
          <w:rFonts w:ascii="Verdana" w:eastAsia="Calibri" w:hAnsi="Verdana" w:cs="Times New Roman"/>
          <w:b/>
          <w:bCs/>
          <w:lang w:val="es-ES"/>
        </w:rPr>
      </w:pPr>
      <w:r w:rsidRPr="00437C34">
        <w:rPr>
          <w:rFonts w:ascii="Verdana" w:eastAsia="Calibri" w:hAnsi="Verdana" w:cs="Times New Roman"/>
          <w:b/>
          <w:bCs/>
          <w:lang w:val="es-ES"/>
        </w:rPr>
        <w:t>Razones de la respuesta:</w:t>
      </w:r>
    </w:p>
    <w:p w14:paraId="7377386E" w14:textId="77777777" w:rsidR="00C3541E" w:rsidRPr="00437C34" w:rsidRDefault="00C3541E" w:rsidP="00C3541E">
      <w:pPr>
        <w:spacing w:after="0" w:line="276" w:lineRule="auto"/>
        <w:rPr>
          <w:rFonts w:ascii="Verdana" w:eastAsia="Calibri" w:hAnsi="Verdana" w:cs="Times New Roman"/>
          <w:b/>
          <w:bCs/>
          <w:lang w:val="es-ES"/>
        </w:rPr>
      </w:pPr>
    </w:p>
    <w:p w14:paraId="3FBCD849" w14:textId="77777777" w:rsidR="00C3541E" w:rsidRPr="00437C34" w:rsidRDefault="00C3541E" w:rsidP="00C3541E">
      <w:pPr>
        <w:spacing w:after="0" w:line="276" w:lineRule="auto"/>
        <w:jc w:val="both"/>
        <w:rPr>
          <w:rFonts w:ascii="Verdana" w:eastAsia="Calibri" w:hAnsi="Verdana" w:cs="Arial"/>
          <w:lang w:val="es-ES"/>
        </w:rPr>
      </w:pPr>
      <w:r w:rsidRPr="00437C34">
        <w:rPr>
          <w:rFonts w:ascii="Verdana" w:eastAsia="Calibri" w:hAnsi="Verdana" w:cs="Arial"/>
          <w:lang w:val="es-ES"/>
        </w:rPr>
        <w:t xml:space="preserve">Lo anterior se sustenta en las siguientes consideraciones: </w:t>
      </w:r>
    </w:p>
    <w:p w14:paraId="4AC239F7" w14:textId="77777777" w:rsidR="00C3541E" w:rsidRPr="00437C34" w:rsidRDefault="00C3541E" w:rsidP="00C3541E">
      <w:pPr>
        <w:spacing w:after="0" w:line="276" w:lineRule="auto"/>
        <w:jc w:val="both"/>
        <w:rPr>
          <w:rFonts w:ascii="Verdana" w:eastAsia="Calibri" w:hAnsi="Verdana" w:cs="Arial"/>
          <w:color w:val="000000" w:themeColor="text1"/>
        </w:rPr>
      </w:pPr>
    </w:p>
    <w:p w14:paraId="1836A395" w14:textId="77777777" w:rsidR="00C3541E" w:rsidRPr="00437C34" w:rsidRDefault="00C3541E" w:rsidP="00C3541E">
      <w:pPr>
        <w:tabs>
          <w:tab w:val="left" w:pos="426"/>
        </w:tabs>
        <w:spacing w:after="120" w:line="276" w:lineRule="auto"/>
        <w:jc w:val="both"/>
        <w:rPr>
          <w:rFonts w:ascii="Verdana" w:eastAsia="Times New Roman" w:hAnsi="Verdana" w:cs="Arial"/>
          <w:lang w:eastAsia="es-CO"/>
        </w:rPr>
      </w:pPr>
      <w:r w:rsidRPr="00437C34">
        <w:rPr>
          <w:rFonts w:ascii="Verdana" w:eastAsia="Calibri" w:hAnsi="Verdana" w:cs="Arial"/>
        </w:rPr>
        <w:t>i. El ordenamiento jurídico colombiano contempla previsiones claras para evitar la obtención de beneficios personales en asuntos propios de la administración pública</w:t>
      </w:r>
      <w:r w:rsidRPr="00437C34">
        <w:rPr>
          <w:rFonts w:ascii="Verdana" w:eastAsia="Calibri" w:hAnsi="Verdana" w:cs="Arial"/>
          <w:i/>
        </w:rPr>
        <w:t xml:space="preserve">. </w:t>
      </w:r>
      <w:r w:rsidRPr="00437C34">
        <w:rPr>
          <w:rFonts w:ascii="Verdana" w:eastAsia="Calibri" w:hAnsi="Verdana" w:cs="Arial"/>
        </w:rPr>
        <w:t xml:space="preserve">Por ejemplo, el artículo 127 de la Constitución Política establece una </w:t>
      </w:r>
      <w:r w:rsidRPr="00437C34">
        <w:rPr>
          <w:rFonts w:ascii="Verdana" w:eastAsia="Calibri" w:hAnsi="Verdana" w:cs="Arial"/>
        </w:rPr>
        <w:lastRenderedPageBreak/>
        <w:t>prohibición contractual a los servidores públicos y, en cuanto a aspectos políticos, establece restricciones a ciertos empleados del Estado, incluso en época no electoral</w:t>
      </w:r>
      <w:r w:rsidRPr="00437C34">
        <w:rPr>
          <w:rFonts w:ascii="Verdana" w:hAnsi="Verdana"/>
          <w:vertAlign w:val="superscript"/>
        </w:rPr>
        <w:footnoteReference w:id="2"/>
      </w:r>
      <w:r w:rsidRPr="00437C34">
        <w:rPr>
          <w:rFonts w:ascii="Verdana" w:eastAsia="Calibri" w:hAnsi="Verdana" w:cs="Arial"/>
        </w:rPr>
        <w:t xml:space="preserve">. </w:t>
      </w:r>
    </w:p>
    <w:p w14:paraId="032E3F5C" w14:textId="77777777" w:rsidR="00C3541E" w:rsidRPr="00437C34" w:rsidRDefault="00C3541E" w:rsidP="00C3541E">
      <w:pPr>
        <w:tabs>
          <w:tab w:val="left" w:pos="426"/>
        </w:tabs>
        <w:spacing w:after="0" w:line="276" w:lineRule="auto"/>
        <w:ind w:firstLine="709"/>
        <w:jc w:val="both"/>
        <w:rPr>
          <w:rFonts w:ascii="Verdana" w:eastAsia="Calibri" w:hAnsi="Verdana" w:cs="Arial"/>
          <w:lang w:val="es-ES_tradnl"/>
        </w:rPr>
      </w:pPr>
      <w:r w:rsidRPr="00437C34">
        <w:rPr>
          <w:rFonts w:ascii="Verdana" w:eastAsia="Times New Roman" w:hAnsi="Verdana" w:cs="Arial"/>
          <w:lang w:eastAsia="es-CO"/>
        </w:rPr>
        <w:t>En el mismo sentido</w:t>
      </w:r>
      <w:r w:rsidRPr="00437C34">
        <w:rPr>
          <w:rFonts w:ascii="Verdana" w:eastAsia="Times New Roman" w:hAnsi="Verdana" w:cs="Arial"/>
          <w:lang w:val="es-MX" w:eastAsia="es-CO"/>
        </w:rPr>
        <w:t xml:space="preserve">, </w:t>
      </w:r>
      <w:bookmarkStart w:id="1" w:name="_Hlk99576829"/>
      <w:r w:rsidRPr="00437C34">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37C34">
        <w:rPr>
          <w:rFonts w:ascii="Verdana" w:eastAsia="Times New Roman" w:hAnsi="Verdana" w:cs="Arial"/>
          <w:vertAlign w:val="superscript"/>
          <w:lang w:val="es-MX" w:eastAsia="es-CO"/>
        </w:rPr>
        <w:footnoteReference w:id="3"/>
      </w:r>
      <w:r w:rsidRPr="00437C34">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37C34">
        <w:rPr>
          <w:rFonts w:ascii="Verdana" w:eastAsia="Calibri" w:hAnsi="Verdana" w:cs="Arial"/>
          <w:lang w:val="es-ES_tradnl"/>
        </w:rPr>
        <w:t xml:space="preserve"> </w:t>
      </w:r>
      <w:bookmarkEnd w:id="1"/>
      <w:r w:rsidRPr="00437C34">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04150B0" w14:textId="77777777" w:rsidR="00C3541E" w:rsidRPr="00437C34" w:rsidRDefault="00C3541E" w:rsidP="00C3541E">
      <w:pPr>
        <w:spacing w:after="0" w:line="276" w:lineRule="auto"/>
        <w:ind w:right="709"/>
        <w:contextualSpacing/>
        <w:jc w:val="both"/>
        <w:rPr>
          <w:rFonts w:ascii="Verdana" w:eastAsia="Times New Roman" w:hAnsi="Verdana" w:cs="Arial"/>
          <w:lang w:val="es-ES" w:eastAsia="es-CO"/>
        </w:rPr>
      </w:pPr>
    </w:p>
    <w:p w14:paraId="04C1467C" w14:textId="77777777" w:rsidR="00C3541E" w:rsidRPr="00437C34" w:rsidRDefault="00C3541E" w:rsidP="00C3541E">
      <w:pPr>
        <w:spacing w:after="0" w:line="240" w:lineRule="auto"/>
        <w:ind w:left="709" w:right="709"/>
        <w:contextualSpacing/>
        <w:jc w:val="both"/>
        <w:rPr>
          <w:rFonts w:ascii="Verdana" w:eastAsia="Times New Roman" w:hAnsi="Verdana" w:cs="Arial"/>
          <w:sz w:val="20"/>
          <w:szCs w:val="20"/>
          <w:lang w:val="es-MX" w:eastAsia="es-CO"/>
        </w:rPr>
      </w:pPr>
      <w:r w:rsidRPr="00437C34">
        <w:rPr>
          <w:rFonts w:ascii="Verdana" w:eastAsia="Times New Roman" w:hAnsi="Verdana" w:cs="Arial"/>
          <w:sz w:val="20"/>
          <w:szCs w:val="20"/>
          <w:lang w:val="es-ES" w:eastAsia="es-CO"/>
        </w:rPr>
        <w:t xml:space="preserve">“[…] </w:t>
      </w:r>
      <w:r w:rsidRPr="00437C34">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5B9C5A9" w14:textId="77777777" w:rsidR="00C3541E" w:rsidRPr="00437C34" w:rsidRDefault="00C3541E" w:rsidP="00C3541E">
      <w:pPr>
        <w:spacing w:after="0" w:line="240" w:lineRule="auto"/>
        <w:ind w:left="709" w:right="709"/>
        <w:contextualSpacing/>
        <w:jc w:val="both"/>
        <w:rPr>
          <w:rFonts w:ascii="Verdana" w:eastAsia="Times New Roman" w:hAnsi="Verdana" w:cs="Arial"/>
          <w:sz w:val="20"/>
          <w:szCs w:val="20"/>
          <w:lang w:val="es-MX" w:eastAsia="es-CO"/>
        </w:rPr>
      </w:pPr>
      <w:r w:rsidRPr="00437C34">
        <w:rPr>
          <w:rFonts w:ascii="Verdana" w:eastAsia="Times New Roman" w:hAnsi="Verdana" w:cs="Arial"/>
          <w:sz w:val="20"/>
          <w:szCs w:val="20"/>
          <w:lang w:val="es-MX" w:eastAsia="es-CO"/>
        </w:rPr>
        <w:t xml:space="preserve">[…] </w:t>
      </w:r>
    </w:p>
    <w:p w14:paraId="42E0AA3A" w14:textId="77777777" w:rsidR="00C3541E" w:rsidRPr="00437C34" w:rsidRDefault="00C3541E" w:rsidP="00C3541E">
      <w:pPr>
        <w:spacing w:after="0" w:line="240" w:lineRule="auto"/>
        <w:ind w:left="709" w:right="709"/>
        <w:contextualSpacing/>
        <w:jc w:val="both"/>
        <w:rPr>
          <w:rFonts w:ascii="Verdana" w:eastAsia="Times New Roman" w:hAnsi="Verdana" w:cs="Arial"/>
          <w:sz w:val="20"/>
          <w:szCs w:val="20"/>
          <w:lang w:val="es-MX" w:eastAsia="es-CO"/>
        </w:rPr>
      </w:pPr>
      <w:r w:rsidRPr="00437C34">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37C34">
        <w:rPr>
          <w:rFonts w:ascii="Verdana" w:eastAsia="Calibri" w:hAnsi="Verdana" w:cs="Arial"/>
          <w:sz w:val="20"/>
          <w:szCs w:val="20"/>
          <w:vertAlign w:val="superscript"/>
          <w:lang w:val="es-MX"/>
        </w:rPr>
        <w:footnoteReference w:id="4"/>
      </w:r>
    </w:p>
    <w:p w14:paraId="3FEF5800" w14:textId="77777777" w:rsidR="00C3541E" w:rsidRPr="00437C34" w:rsidRDefault="00C3541E" w:rsidP="00C3541E">
      <w:pPr>
        <w:spacing w:after="0" w:line="276" w:lineRule="auto"/>
        <w:ind w:firstLine="709"/>
        <w:jc w:val="both"/>
        <w:rPr>
          <w:rFonts w:ascii="Verdana" w:eastAsia="Times New Roman" w:hAnsi="Verdana" w:cs="Arial"/>
          <w:lang w:val="es-MX" w:eastAsia="es-CO"/>
        </w:rPr>
      </w:pPr>
      <w:bookmarkStart w:id="2" w:name="_Hlk78818186"/>
    </w:p>
    <w:p w14:paraId="5C0FC52D" w14:textId="77777777" w:rsidR="00C3541E" w:rsidRPr="00437C34" w:rsidRDefault="00C3541E" w:rsidP="00C3541E">
      <w:pPr>
        <w:spacing w:after="0" w:line="276" w:lineRule="auto"/>
        <w:ind w:firstLine="709"/>
        <w:jc w:val="both"/>
        <w:rPr>
          <w:rFonts w:ascii="Verdana" w:eastAsia="Times New Roman" w:hAnsi="Verdana" w:cs="Arial"/>
          <w:lang w:val="es-MX" w:eastAsia="es-CO"/>
        </w:rPr>
      </w:pPr>
      <w:r w:rsidRPr="00437C34">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w:t>
      </w:r>
      <w:r w:rsidRPr="00437C34">
        <w:rPr>
          <w:rFonts w:ascii="Verdana" w:eastAsia="Times New Roman" w:hAnsi="Verdana" w:cs="Arial"/>
          <w:lang w:val="es-MX" w:eastAsia="es-CO"/>
        </w:rPr>
        <w:lastRenderedPageBreak/>
        <w:t xml:space="preserve">aspiraciones electorales. </w:t>
      </w:r>
      <w:bookmarkEnd w:id="2"/>
      <w:r w:rsidRPr="00437C34">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640C2CA2" w14:textId="77777777" w:rsidR="00C3541E" w:rsidRPr="00437C34" w:rsidRDefault="00C3541E" w:rsidP="00C3541E">
      <w:pPr>
        <w:spacing w:after="0" w:line="276" w:lineRule="auto"/>
        <w:ind w:firstLine="709"/>
        <w:jc w:val="both"/>
        <w:rPr>
          <w:rFonts w:ascii="Verdana" w:eastAsia="Times New Roman" w:hAnsi="Verdana" w:cs="Arial"/>
          <w:lang w:val="es-MX" w:eastAsia="es-CO"/>
        </w:rPr>
      </w:pPr>
    </w:p>
    <w:p w14:paraId="42192229" w14:textId="77777777" w:rsidR="00C3541E" w:rsidRPr="00437C34" w:rsidRDefault="00C3541E" w:rsidP="00C3541E">
      <w:pPr>
        <w:spacing w:after="0" w:line="240" w:lineRule="auto"/>
        <w:ind w:left="709" w:right="709"/>
        <w:contextualSpacing/>
        <w:jc w:val="both"/>
        <w:rPr>
          <w:rFonts w:ascii="Verdana" w:eastAsia="Times New Roman" w:hAnsi="Verdana" w:cs="Arial"/>
          <w:sz w:val="20"/>
          <w:szCs w:val="20"/>
          <w:lang w:val="es-MX" w:eastAsia="es-CO"/>
        </w:rPr>
      </w:pPr>
      <w:r w:rsidRPr="00437C34">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37C34">
        <w:rPr>
          <w:rFonts w:ascii="Verdana" w:eastAsia="Times New Roman" w:hAnsi="Verdana" w:cs="Arial"/>
          <w:sz w:val="20"/>
          <w:szCs w:val="20"/>
          <w:lang w:val="es-MX" w:eastAsia="es-CO"/>
        </w:rPr>
        <w:t>legis</w:t>
      </w:r>
      <w:proofErr w:type="spellEnd"/>
      <w:r w:rsidRPr="00437C34">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9405A88" w14:textId="77777777" w:rsidR="00C3541E" w:rsidRPr="00437C34" w:rsidRDefault="00C3541E" w:rsidP="00C3541E">
      <w:pPr>
        <w:spacing w:after="0" w:line="240" w:lineRule="auto"/>
        <w:ind w:right="709"/>
        <w:contextualSpacing/>
        <w:jc w:val="both"/>
        <w:rPr>
          <w:rFonts w:ascii="Verdana" w:eastAsia="Times New Roman" w:hAnsi="Verdana" w:cs="Arial"/>
          <w:lang w:val="es-MX" w:eastAsia="es-CO"/>
        </w:rPr>
      </w:pPr>
    </w:p>
    <w:p w14:paraId="14DDF2DE" w14:textId="77777777" w:rsidR="00C3541E" w:rsidRPr="00437C34" w:rsidRDefault="00C3541E" w:rsidP="00C3541E">
      <w:pPr>
        <w:spacing w:after="0" w:line="240" w:lineRule="auto"/>
        <w:ind w:left="709" w:right="709"/>
        <w:contextualSpacing/>
        <w:jc w:val="both"/>
        <w:rPr>
          <w:rFonts w:ascii="Verdana" w:eastAsia="Times New Roman" w:hAnsi="Verdana" w:cs="Arial"/>
          <w:sz w:val="20"/>
          <w:szCs w:val="20"/>
          <w:lang w:val="es-MX" w:eastAsia="es-CO"/>
        </w:rPr>
      </w:pPr>
      <w:r w:rsidRPr="00437C34">
        <w:rPr>
          <w:rFonts w:ascii="Verdana" w:eastAsia="Times New Roman" w:hAnsi="Verdana" w:cs="Arial"/>
          <w:sz w:val="20"/>
          <w:szCs w:val="20"/>
          <w:lang w:val="es-MX" w:eastAsia="es-CO"/>
        </w:rPr>
        <w:t>La jurisprudencia de la Corte Constitucional</w:t>
      </w:r>
      <w:r w:rsidRPr="00437C34">
        <w:rPr>
          <w:rFonts w:ascii="Verdana" w:eastAsia="Times New Roman" w:hAnsi="Verdana" w:cs="Arial"/>
          <w:sz w:val="20"/>
          <w:szCs w:val="20"/>
          <w:vertAlign w:val="superscript"/>
          <w:lang w:val="es-MX" w:eastAsia="es-CO"/>
        </w:rPr>
        <w:footnoteReference w:id="5"/>
      </w:r>
      <w:r w:rsidRPr="00437C34">
        <w:rPr>
          <w:rFonts w:ascii="Verdana" w:eastAsia="Times New Roman" w:hAnsi="Verdana" w:cs="Arial"/>
          <w:sz w:val="20"/>
          <w:szCs w:val="20"/>
          <w:lang w:val="es-MX" w:eastAsia="es-CO"/>
        </w:rPr>
        <w:t> y del Consejo de Estado</w:t>
      </w:r>
      <w:r w:rsidRPr="00437C34">
        <w:rPr>
          <w:rFonts w:ascii="Verdana" w:eastAsia="Times New Roman" w:hAnsi="Verdana" w:cs="Arial"/>
          <w:sz w:val="20"/>
          <w:szCs w:val="20"/>
          <w:vertAlign w:val="superscript"/>
          <w:lang w:val="es-MX" w:eastAsia="es-CO"/>
        </w:rPr>
        <w:footnoteReference w:id="6"/>
      </w:r>
      <w:r w:rsidRPr="00437C34">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37C34">
        <w:rPr>
          <w:rFonts w:ascii="Verdana" w:eastAsia="Times New Roman" w:hAnsi="Verdana" w:cs="Arial"/>
          <w:sz w:val="20"/>
          <w:szCs w:val="20"/>
          <w:vertAlign w:val="superscript"/>
          <w:lang w:val="es-MX" w:eastAsia="es-CO"/>
        </w:rPr>
        <w:footnoteReference w:id="7"/>
      </w:r>
      <w:r w:rsidRPr="00437C34">
        <w:rPr>
          <w:rFonts w:ascii="Verdana" w:eastAsia="Times New Roman" w:hAnsi="Verdana" w:cs="Arial"/>
          <w:sz w:val="20"/>
          <w:szCs w:val="20"/>
          <w:lang w:val="es-MX" w:eastAsia="es-CO"/>
        </w:rPr>
        <w:t>.</w:t>
      </w:r>
    </w:p>
    <w:p w14:paraId="21BAF1DC" w14:textId="77777777" w:rsidR="00C3541E" w:rsidRPr="00437C34" w:rsidRDefault="00C3541E" w:rsidP="00C3541E">
      <w:pPr>
        <w:spacing w:after="0" w:line="276" w:lineRule="auto"/>
        <w:jc w:val="both"/>
        <w:rPr>
          <w:rFonts w:ascii="Verdana" w:eastAsia="Calibri" w:hAnsi="Verdana" w:cs="Arial"/>
          <w:bCs/>
          <w:lang w:val="es-ES_tradnl"/>
        </w:rPr>
      </w:pPr>
    </w:p>
    <w:p w14:paraId="1BDD5C24" w14:textId="77777777" w:rsidR="00C3541E" w:rsidRPr="00437C34" w:rsidRDefault="00C3541E" w:rsidP="00C3541E">
      <w:pPr>
        <w:spacing w:after="120" w:line="276" w:lineRule="auto"/>
        <w:ind w:firstLine="709"/>
        <w:jc w:val="both"/>
        <w:rPr>
          <w:rFonts w:ascii="Verdana" w:eastAsia="Arial" w:hAnsi="Verdana" w:cs="Arial"/>
          <w:lang w:val="es-ES" w:eastAsia="es-ES" w:bidi="es-ES"/>
        </w:rPr>
      </w:pPr>
      <w:r w:rsidRPr="00437C34">
        <w:rPr>
          <w:rFonts w:ascii="Verdana" w:eastAsia="Times New Roman" w:hAnsi="Verdana" w:cs="Arial"/>
          <w:lang w:val="es-MX" w:eastAsia="es-CO"/>
        </w:rPr>
        <w:t>De</w:t>
      </w:r>
      <w:r w:rsidRPr="00437C34">
        <w:rPr>
          <w:rFonts w:ascii="Verdana" w:eastAsia="Arial" w:hAnsi="Verdana" w:cs="Arial"/>
          <w:lang w:val="es-ES" w:eastAsia="es-ES" w:bidi="es-ES"/>
        </w:rPr>
        <w:t xml:space="preserve"> conformidad con lo anterior, </w:t>
      </w:r>
      <w:bookmarkStart w:id="3" w:name="_Hlk77236098"/>
      <w:bookmarkStart w:id="4" w:name="_Hlk100679383"/>
      <w:r w:rsidRPr="00437C34">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624950A" w14:textId="77777777" w:rsidR="00C3541E" w:rsidRPr="00437C34" w:rsidRDefault="00C3541E" w:rsidP="00C3541E">
      <w:pPr>
        <w:spacing w:after="120" w:line="276" w:lineRule="auto"/>
        <w:jc w:val="both"/>
        <w:rPr>
          <w:rFonts w:ascii="Verdana" w:eastAsia="Arial" w:hAnsi="Verdana" w:cs="Arial"/>
          <w:lang w:val="es-ES" w:eastAsia="es-ES" w:bidi="es-ES"/>
        </w:rPr>
      </w:pPr>
      <w:proofErr w:type="spellStart"/>
      <w:r w:rsidRPr="00437C34">
        <w:rPr>
          <w:rFonts w:ascii="Verdana" w:eastAsia="Arial" w:hAnsi="Verdana" w:cs="Arial"/>
          <w:lang w:val="es-ES" w:eastAsia="es-ES" w:bidi="es-ES"/>
        </w:rPr>
        <w:t>ii</w:t>
      </w:r>
      <w:proofErr w:type="spellEnd"/>
      <w:r w:rsidRPr="00437C34">
        <w:rPr>
          <w:rFonts w:ascii="Verdana" w:eastAsia="Arial" w:hAnsi="Verdana" w:cs="Arial"/>
          <w:lang w:val="es-ES" w:eastAsia="es-ES" w:bidi="es-ES"/>
        </w:rPr>
        <w:t xml:space="preserve">. Precisado el propósito de la Ley, es pertinente señalar que las restricciones consagradas en la citada Ley se dirigen a dos (2) tipos de campañas electorales claramente diferenciadas: las presidenciales y las demás que se adelanten para </w:t>
      </w:r>
      <w:r w:rsidRPr="00437C34">
        <w:rPr>
          <w:rFonts w:ascii="Verdana" w:eastAsia="Arial" w:hAnsi="Verdana" w:cs="Arial"/>
          <w:lang w:val="es-ES" w:eastAsia="es-ES" w:bidi="es-ES"/>
        </w:rPr>
        <w:lastRenderedPageBreak/>
        <w:t>la elección de los demás cargos de elección popular, tanto a nivel nacional como territorial.</w:t>
      </w:r>
      <w:bookmarkEnd w:id="3"/>
    </w:p>
    <w:p w14:paraId="147670CF" w14:textId="77777777" w:rsidR="00C3541E" w:rsidRPr="00437C34" w:rsidRDefault="00C3541E" w:rsidP="00C3541E">
      <w:pPr>
        <w:spacing w:after="120" w:line="276" w:lineRule="auto"/>
        <w:ind w:firstLine="708"/>
        <w:jc w:val="both"/>
        <w:rPr>
          <w:rFonts w:ascii="Verdana" w:eastAsia="Calibri" w:hAnsi="Verdana" w:cs="Arial"/>
        </w:rPr>
      </w:pPr>
      <w:r w:rsidRPr="00437C34">
        <w:rPr>
          <w:rFonts w:ascii="Verdana" w:eastAsia="Calibri" w:hAnsi="Verdana" w:cs="Arial"/>
        </w:rPr>
        <w:t xml:space="preserve">Por un lado, el </w:t>
      </w:r>
      <w:r w:rsidRPr="00437C34">
        <w:rPr>
          <w:rFonts w:ascii="Verdana" w:eastAsia="Calibri" w:hAnsi="Verdana" w:cs="Arial"/>
          <w:i/>
          <w:iCs/>
        </w:rPr>
        <w:t>artículo 33 de la Ley 996 de 2005</w:t>
      </w:r>
      <w:r w:rsidRPr="00437C34">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37C34">
        <w:rPr>
          <w:rFonts w:ascii="Verdana" w:eastAsia="Calibri" w:hAnsi="Verdana" w:cs="Arial"/>
          <w:vertAlign w:val="superscript"/>
        </w:rPr>
        <w:footnoteReference w:id="8"/>
      </w:r>
      <w:r w:rsidRPr="00437C34">
        <w:rPr>
          <w:rFonts w:ascii="Verdana" w:eastAsia="Calibri" w:hAnsi="Verdana" w:cs="Arial"/>
        </w:rPr>
        <w:t>.</w:t>
      </w:r>
    </w:p>
    <w:p w14:paraId="1ED27650" w14:textId="77777777" w:rsidR="00C3541E" w:rsidRPr="00437C34" w:rsidRDefault="00C3541E" w:rsidP="00C3541E">
      <w:pPr>
        <w:widowControl w:val="0"/>
        <w:autoSpaceDE w:val="0"/>
        <w:autoSpaceDN w:val="0"/>
        <w:spacing w:after="120" w:line="276" w:lineRule="auto"/>
        <w:ind w:right="113" w:firstLine="709"/>
        <w:jc w:val="both"/>
        <w:rPr>
          <w:rFonts w:ascii="Verdana" w:eastAsia="Arial" w:hAnsi="Verdana" w:cs="Arial"/>
          <w:lang w:val="es-ES" w:eastAsia="es-ES" w:bidi="es-ES"/>
        </w:rPr>
      </w:pPr>
      <w:r w:rsidRPr="00437C34">
        <w:rPr>
          <w:rFonts w:ascii="Verdana" w:eastAsia="Calibri" w:hAnsi="Verdana" w:cs="Arial"/>
        </w:rPr>
        <w:t xml:space="preserve">Por otro lado, </w:t>
      </w:r>
      <w:r w:rsidRPr="00437C34">
        <w:rPr>
          <w:rFonts w:ascii="Verdana" w:eastAsia="Calibri" w:hAnsi="Verdana" w:cs="Arial"/>
          <w:i/>
          <w:iCs/>
        </w:rPr>
        <w:t>el parágrafo del artículo 38 de la Ley 996 de 2005</w:t>
      </w:r>
      <w:r w:rsidRPr="00437C34">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37C34">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7C34">
        <w:rPr>
          <w:rFonts w:ascii="Verdana" w:eastAsia="Calibri" w:hAnsi="Verdana" w:cs="Arial"/>
        </w:rPr>
        <w:t>”</w:t>
      </w:r>
      <w:bookmarkEnd w:id="4"/>
      <w:r w:rsidRPr="00437C34">
        <w:rPr>
          <w:rFonts w:ascii="Verdana" w:eastAsia="Calibri" w:hAnsi="Verdana" w:cs="Arial"/>
          <w:vertAlign w:val="superscript"/>
        </w:rPr>
        <w:footnoteReference w:id="9"/>
      </w:r>
      <w:r w:rsidRPr="00437C34">
        <w:rPr>
          <w:rFonts w:ascii="Verdana" w:eastAsia="Calibri" w:hAnsi="Verdana" w:cs="Arial"/>
          <w:lang w:val="es-MX"/>
        </w:rPr>
        <w:t>.</w:t>
      </w:r>
      <w:r w:rsidRPr="00437C34">
        <w:rPr>
          <w:rFonts w:ascii="Verdana" w:eastAsia="Arial" w:hAnsi="Verdana" w:cs="Arial"/>
          <w:lang w:val="es-ES" w:eastAsia="es-ES" w:bidi="es-ES"/>
        </w:rPr>
        <w:t xml:space="preserve"> </w:t>
      </w:r>
    </w:p>
    <w:p w14:paraId="0B11AEFC" w14:textId="77777777" w:rsidR="00C3541E" w:rsidRPr="00437C34" w:rsidRDefault="00C3541E" w:rsidP="00C3541E">
      <w:pPr>
        <w:spacing w:after="120" w:line="276" w:lineRule="auto"/>
        <w:ind w:firstLine="708"/>
        <w:jc w:val="both"/>
        <w:rPr>
          <w:rFonts w:ascii="Verdana" w:eastAsia="Times New Roman" w:hAnsi="Verdana" w:cs="Arial"/>
          <w:bCs/>
          <w:lang w:eastAsia="es-CO"/>
        </w:rPr>
      </w:pPr>
      <w:r w:rsidRPr="00437C34">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437C34">
        <w:rPr>
          <w:rFonts w:ascii="Verdana" w:eastAsia="Times New Roman" w:hAnsi="Verdana" w:cs="Arial"/>
          <w:bCs/>
          <w:lang w:eastAsia="es-CO"/>
        </w:rPr>
        <w:t>1. </w:t>
      </w:r>
      <w:r w:rsidRPr="00437C34">
        <w:rPr>
          <w:rFonts w:ascii="Verdana" w:eastAsia="Times New Roman" w:hAnsi="Verdana" w:cs="Arial"/>
          <w:bCs/>
          <w:i/>
          <w:iCs/>
          <w:lang w:eastAsia="es-CO"/>
        </w:rPr>
        <w:t>Gral.</w:t>
      </w:r>
      <w:r w:rsidRPr="00437C34">
        <w:rPr>
          <w:rFonts w:ascii="Verdana" w:eastAsia="Times New Roman" w:hAnsi="Verdana" w:cs="Arial"/>
          <w:bCs/>
          <w:lang w:eastAsia="es-CO"/>
        </w:rPr>
        <w:t xml:space="preserve"> Otorgar o firmar un contrato. 2. </w:t>
      </w:r>
      <w:proofErr w:type="spellStart"/>
      <w:r w:rsidRPr="00437C34">
        <w:rPr>
          <w:rFonts w:ascii="Verdana" w:eastAsia="Times New Roman" w:hAnsi="Verdana" w:cs="Arial"/>
          <w:bCs/>
          <w:i/>
          <w:iCs/>
          <w:lang w:eastAsia="es-CO"/>
        </w:rPr>
        <w:t>Proc</w:t>
      </w:r>
      <w:proofErr w:type="spellEnd"/>
      <w:r w:rsidRPr="00437C34">
        <w:rPr>
          <w:rFonts w:ascii="Verdana" w:eastAsia="Times New Roman" w:hAnsi="Verdana" w:cs="Arial"/>
          <w:bCs/>
          <w:i/>
          <w:iCs/>
          <w:lang w:eastAsia="es-CO"/>
        </w:rPr>
        <w:t>.</w:t>
      </w:r>
      <w:r w:rsidRPr="00437C34">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4072BDCF" w14:textId="77777777" w:rsidR="00C3541E" w:rsidRPr="00437C34" w:rsidRDefault="00C3541E" w:rsidP="00C3541E">
      <w:pPr>
        <w:spacing w:after="120" w:line="276" w:lineRule="auto"/>
        <w:ind w:firstLine="708"/>
        <w:jc w:val="both"/>
        <w:rPr>
          <w:rFonts w:ascii="Verdana" w:eastAsia="Times New Roman" w:hAnsi="Verdana" w:cs="Arial"/>
          <w:bCs/>
          <w:lang w:val="es-ES" w:eastAsia="es-CO"/>
        </w:rPr>
      </w:pPr>
      <w:r w:rsidRPr="00437C34">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37C34">
        <w:rPr>
          <w:rFonts w:ascii="Verdana" w:eastAsia="Times New Roman" w:hAnsi="Verdana" w:cs="Arial"/>
          <w:bCs/>
          <w:lang w:val="es-ES" w:eastAsia="es-CO"/>
        </w:rPr>
        <w:t xml:space="preserve">la </w:t>
      </w:r>
      <w:r w:rsidRPr="00437C34">
        <w:rPr>
          <w:rFonts w:ascii="Verdana" w:eastAsia="Times New Roman" w:hAnsi="Verdana" w:cs="Arial"/>
          <w:bCs/>
          <w:lang w:val="es-ES" w:eastAsia="es-CO"/>
        </w:rPr>
        <w:lastRenderedPageBreak/>
        <w:t xml:space="preserve">existencia de los contratos estatales, es decir, la producción de efectos jurídicos en los términos del artículo 1501 </w:t>
      </w:r>
      <w:proofErr w:type="spellStart"/>
      <w:r w:rsidRPr="00437C34">
        <w:rPr>
          <w:rFonts w:ascii="Verdana" w:eastAsia="Times New Roman" w:hAnsi="Verdana" w:cs="Arial"/>
          <w:bCs/>
          <w:i/>
          <w:lang w:val="es-ES" w:eastAsia="es-CO"/>
        </w:rPr>
        <w:t>ibídem</w:t>
      </w:r>
      <w:proofErr w:type="spellEnd"/>
      <w:r w:rsidRPr="00437C34">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CE873E3" w14:textId="77777777" w:rsidR="00C3541E" w:rsidRPr="00437C34" w:rsidRDefault="00C3541E" w:rsidP="00C3541E">
      <w:pPr>
        <w:spacing w:after="120" w:line="276" w:lineRule="auto"/>
        <w:ind w:firstLine="708"/>
        <w:jc w:val="both"/>
        <w:rPr>
          <w:rFonts w:ascii="Verdana" w:eastAsia="Times New Roman" w:hAnsi="Verdana" w:cs="Arial"/>
          <w:bCs/>
          <w:lang w:val="es-ES" w:eastAsia="es-CO"/>
        </w:rPr>
      </w:pPr>
      <w:r w:rsidRPr="00437C34">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CB27C18" w14:textId="77777777" w:rsidR="00C3541E" w:rsidRPr="00437C34" w:rsidRDefault="00C3541E" w:rsidP="00C3541E">
      <w:pPr>
        <w:spacing w:after="120" w:line="276" w:lineRule="auto"/>
        <w:ind w:firstLine="708"/>
        <w:jc w:val="both"/>
        <w:rPr>
          <w:rFonts w:ascii="Verdana" w:eastAsia="Times New Roman" w:hAnsi="Verdana" w:cs="Arial"/>
          <w:bCs/>
          <w:lang w:val="es-ES" w:eastAsia="es-CO"/>
        </w:rPr>
      </w:pPr>
      <w:r w:rsidRPr="00437C34">
        <w:rPr>
          <w:rFonts w:ascii="Verdana" w:eastAsia="Times New Roman" w:hAnsi="Verdana" w:cs="Arial"/>
          <w:bCs/>
          <w:lang w:val="es-ES" w:eastAsia="es-CO"/>
        </w:rPr>
        <w:t xml:space="preserve">Así mismo, </w:t>
      </w:r>
      <w:r w:rsidRPr="00437C34">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437C34">
        <w:rPr>
          <w:rFonts w:ascii="Verdana" w:eastAsia="Times New Roman" w:hAnsi="Verdana" w:cs="Arial"/>
          <w:bCs/>
          <w:lang w:val="es-MX" w:eastAsia="es-CO"/>
        </w:rPr>
        <w:t>entrada en vigencia</w:t>
      </w:r>
      <w:proofErr w:type="gramEnd"/>
      <w:r w:rsidRPr="00437C34">
        <w:rPr>
          <w:rFonts w:ascii="Verdana" w:eastAsia="Times New Roman" w:hAnsi="Verdana" w:cs="Arial"/>
          <w:bCs/>
          <w:lang w:val="es-MX" w:eastAsia="es-CO"/>
        </w:rPr>
        <w:t xml:space="preserve"> de las prohibiciones anotadas, así como la cesión de </w:t>
      </w:r>
      <w:proofErr w:type="gramStart"/>
      <w:r w:rsidRPr="00437C34">
        <w:rPr>
          <w:rFonts w:ascii="Verdana" w:eastAsia="Times New Roman" w:hAnsi="Verdana" w:cs="Arial"/>
          <w:bCs/>
          <w:lang w:val="es-MX" w:eastAsia="es-CO"/>
        </w:rPr>
        <w:t>los mismos</w:t>
      </w:r>
      <w:proofErr w:type="gramEnd"/>
      <w:r w:rsidRPr="00437C3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437C34">
        <w:rPr>
          <w:rFonts w:ascii="Verdana" w:eastAsia="Times New Roman" w:hAnsi="Verdana" w:cs="Arial"/>
          <w:bCs/>
          <w:vertAlign w:val="superscript"/>
          <w:lang w:val="es-MX" w:eastAsia="es-CO"/>
        </w:rPr>
        <w:footnoteReference w:id="10"/>
      </w:r>
      <w:r w:rsidRPr="00437C34">
        <w:rPr>
          <w:rFonts w:ascii="Verdana" w:eastAsia="Times New Roman" w:hAnsi="Verdana" w:cs="Arial"/>
          <w:bCs/>
          <w:lang w:val="es-MX" w:eastAsia="es-CO"/>
        </w:rPr>
        <w:t xml:space="preserve">. </w:t>
      </w:r>
    </w:p>
    <w:p w14:paraId="764F7A22" w14:textId="77777777" w:rsidR="00C3541E" w:rsidRPr="00437C34" w:rsidRDefault="00C3541E" w:rsidP="00C3541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37C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20D6D40" w14:textId="77777777" w:rsidR="00C3541E" w:rsidRPr="00437C34" w:rsidRDefault="00C3541E" w:rsidP="00C3541E">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82516AE" w14:textId="77777777" w:rsidR="00C3541E" w:rsidRPr="00437C34" w:rsidRDefault="00C3541E" w:rsidP="00C3541E">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437C34">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437C34">
        <w:rPr>
          <w:rFonts w:ascii="Verdana" w:eastAsia="Arial" w:hAnsi="Verdana" w:cs="Arial"/>
          <w:sz w:val="20"/>
          <w:szCs w:val="20"/>
          <w:lang w:eastAsia="es-ES" w:bidi="es-ES"/>
        </w:rPr>
        <w:t>se integran parcialmente</w:t>
      </w:r>
      <w:bookmarkEnd w:id="7"/>
      <w:r w:rsidRPr="00437C34">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w:t>
      </w:r>
      <w:r w:rsidRPr="00437C34">
        <w:rPr>
          <w:rFonts w:ascii="Verdana" w:eastAsia="Arial" w:hAnsi="Verdana" w:cs="Arial"/>
          <w:sz w:val="20"/>
          <w:szCs w:val="20"/>
          <w:lang w:eastAsia="es-ES" w:bidi="es-ES"/>
        </w:rPr>
        <w:lastRenderedPageBreak/>
        <w:t xml:space="preserve">restricciones de los artículos 32 y 33 con sus excepciones, así como las del parágrafo del artículo 38. En cambio, para elecciones en general, excluyendo las correspondientes a </w:t>
      </w:r>
      <w:proofErr w:type="gramStart"/>
      <w:r w:rsidRPr="00437C34">
        <w:rPr>
          <w:rFonts w:ascii="Verdana" w:eastAsia="Arial" w:hAnsi="Verdana" w:cs="Arial"/>
          <w:sz w:val="20"/>
          <w:szCs w:val="20"/>
          <w:lang w:eastAsia="es-ES" w:bidi="es-ES"/>
        </w:rPr>
        <w:t>Presidente</w:t>
      </w:r>
      <w:proofErr w:type="gramEnd"/>
      <w:r w:rsidRPr="00437C34">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437C34">
        <w:rPr>
          <w:rFonts w:ascii="Verdana" w:eastAsia="Arial" w:hAnsi="Verdana" w:cs="Arial"/>
          <w:sz w:val="20"/>
          <w:szCs w:val="20"/>
          <w:vertAlign w:val="superscript"/>
          <w:lang w:eastAsia="es-ES" w:bidi="es-ES"/>
        </w:rPr>
        <w:footnoteReference w:id="11"/>
      </w:r>
    </w:p>
    <w:p w14:paraId="01E3D04E" w14:textId="77777777" w:rsidR="00C3541E" w:rsidRPr="00437C34" w:rsidRDefault="00C3541E" w:rsidP="00C3541E">
      <w:pPr>
        <w:widowControl w:val="0"/>
        <w:autoSpaceDE w:val="0"/>
        <w:autoSpaceDN w:val="0"/>
        <w:spacing w:after="0" w:line="276" w:lineRule="auto"/>
        <w:contextualSpacing/>
        <w:rPr>
          <w:rFonts w:ascii="Verdana" w:eastAsia="Arial" w:hAnsi="Verdana" w:cs="Arial"/>
          <w:lang w:val="es-ES" w:eastAsia="es-ES" w:bidi="es-ES"/>
        </w:rPr>
      </w:pPr>
    </w:p>
    <w:p w14:paraId="1BBAF191" w14:textId="77777777" w:rsidR="00C3541E" w:rsidRPr="00437C34" w:rsidRDefault="00C3541E" w:rsidP="00C3541E">
      <w:pPr>
        <w:spacing w:after="120" w:line="276" w:lineRule="auto"/>
        <w:ind w:firstLine="709"/>
        <w:jc w:val="both"/>
        <w:rPr>
          <w:rFonts w:ascii="Verdana" w:eastAsia="Arial" w:hAnsi="Verdana" w:cs="Arial"/>
          <w:lang w:val="es-ES" w:eastAsia="es-ES" w:bidi="es-ES"/>
        </w:rPr>
      </w:pPr>
      <w:r w:rsidRPr="00437C34">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437C34">
        <w:rPr>
          <w:rFonts w:ascii="Verdana" w:eastAsia="Arial" w:hAnsi="Verdana" w:cs="Arial"/>
          <w:lang w:val="es-ES" w:eastAsia="es-ES" w:bidi="es-ES"/>
        </w:rPr>
        <w:t xml:space="preserve">la Ley 996 de 2005 establece dos (2) tipos de restricciones en materia de contratación, las cuales coinciden parcialmente. </w:t>
      </w:r>
      <w:r w:rsidRPr="00437C34">
        <w:rPr>
          <w:rFonts w:ascii="Verdana" w:eastAsia="Arial" w:hAnsi="Verdana" w:cs="Arial"/>
          <w:i/>
          <w:lang w:val="es-ES" w:eastAsia="es-ES" w:bidi="es-ES"/>
        </w:rPr>
        <w:t>En primer lugar</w:t>
      </w:r>
      <w:r w:rsidRPr="00437C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37C34">
        <w:rPr>
          <w:rFonts w:ascii="Verdana" w:eastAsia="Arial" w:hAnsi="Verdana" w:cs="Arial"/>
          <w:i/>
          <w:lang w:val="es-ES" w:eastAsia="es-ES" w:bidi="es-ES"/>
        </w:rPr>
        <w:t>En segundo lugar</w:t>
      </w:r>
      <w:r w:rsidRPr="00437C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6DD2081D" w14:textId="77777777" w:rsidR="00C3541E" w:rsidRPr="00437C34" w:rsidRDefault="00C3541E" w:rsidP="00C3541E">
      <w:pPr>
        <w:spacing w:after="120" w:line="276" w:lineRule="auto"/>
        <w:ind w:firstLine="709"/>
        <w:jc w:val="both"/>
        <w:rPr>
          <w:rFonts w:ascii="Verdana" w:eastAsia="Arial" w:hAnsi="Verdana" w:cs="Arial"/>
          <w:lang w:val="es-ES" w:eastAsia="es-ES" w:bidi="es-ES"/>
        </w:rPr>
      </w:pPr>
      <w:r w:rsidRPr="00437C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37C34">
        <w:rPr>
          <w:rFonts w:ascii="Verdana" w:eastAsia="Arial" w:hAnsi="Verdana" w:cs="Arial"/>
          <w:lang w:val="es-ES" w:eastAsia="es-ES" w:bidi="es-ES"/>
        </w:rPr>
        <w:t>Presidente</w:t>
      </w:r>
      <w:proofErr w:type="gramEnd"/>
      <w:r w:rsidRPr="00437C34">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37C34">
        <w:rPr>
          <w:rFonts w:ascii="Verdana" w:eastAsia="Arial" w:hAnsi="Verdana" w:cs="Arial"/>
          <w:lang w:val="es-ES" w:eastAsia="es-ES" w:bidi="es-ES"/>
        </w:rPr>
        <w:t>Presidente</w:t>
      </w:r>
      <w:proofErr w:type="gramEnd"/>
      <w:r w:rsidRPr="00437C34">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2D8E3979" w14:textId="77777777" w:rsidR="00C3541E" w:rsidRPr="00437C34" w:rsidRDefault="00C3541E" w:rsidP="00C3541E">
      <w:pPr>
        <w:spacing w:after="120" w:line="276" w:lineRule="auto"/>
        <w:ind w:firstLine="709"/>
        <w:jc w:val="both"/>
        <w:rPr>
          <w:rFonts w:ascii="Verdana" w:eastAsia="Arial" w:hAnsi="Verdana" w:cs="Arial"/>
          <w:lang w:val="es-ES" w:eastAsia="es-ES" w:bidi="es-ES"/>
        </w:rPr>
      </w:pPr>
      <w:r w:rsidRPr="00437C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37C34">
        <w:rPr>
          <w:rFonts w:ascii="Verdana" w:eastAsia="Arial" w:hAnsi="Verdana" w:cs="Arial"/>
          <w:lang w:val="es-ES" w:eastAsia="es-ES" w:bidi="es-ES"/>
        </w:rPr>
        <w:t>Presidente</w:t>
      </w:r>
      <w:proofErr w:type="gramEnd"/>
      <w:r w:rsidRPr="00437C34">
        <w:rPr>
          <w:rFonts w:ascii="Verdana" w:eastAsia="Arial" w:hAnsi="Verdana" w:cs="Arial"/>
          <w:lang w:val="es-ES" w:eastAsia="es-ES" w:bidi="es-ES"/>
        </w:rPr>
        <w:t xml:space="preserve"> o el </w:t>
      </w:r>
      <w:proofErr w:type="gramStart"/>
      <w:r w:rsidRPr="00437C34">
        <w:rPr>
          <w:rFonts w:ascii="Verdana" w:eastAsia="Arial" w:hAnsi="Verdana" w:cs="Arial"/>
          <w:lang w:val="es-ES" w:eastAsia="es-ES" w:bidi="es-ES"/>
        </w:rPr>
        <w:t>Vicepresidente</w:t>
      </w:r>
      <w:proofErr w:type="gramEnd"/>
      <w:r w:rsidRPr="00437C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437C34">
        <w:rPr>
          <w:rFonts w:ascii="Verdana" w:eastAsia="Arial" w:hAnsi="Verdana" w:cs="Arial"/>
          <w:lang w:val="es-ES" w:eastAsia="es-ES" w:bidi="es-ES"/>
        </w:rPr>
        <w:lastRenderedPageBreak/>
        <w:t xml:space="preserve">momento en que estas restricciones empiezan a regir para el </w:t>
      </w:r>
      <w:proofErr w:type="gramStart"/>
      <w:r w:rsidRPr="00437C34">
        <w:rPr>
          <w:rFonts w:ascii="Verdana" w:eastAsia="Arial" w:hAnsi="Verdana" w:cs="Arial"/>
          <w:lang w:val="es-ES" w:eastAsia="es-ES" w:bidi="es-ES"/>
        </w:rPr>
        <w:t>Presidente</w:t>
      </w:r>
      <w:proofErr w:type="gramEnd"/>
      <w:r w:rsidRPr="00437C34">
        <w:rPr>
          <w:rFonts w:ascii="Verdana" w:eastAsia="Arial" w:hAnsi="Verdana" w:cs="Arial"/>
          <w:lang w:val="es-ES" w:eastAsia="es-ES" w:bidi="es-ES"/>
        </w:rPr>
        <w:t xml:space="preserve"> y el </w:t>
      </w:r>
      <w:proofErr w:type="gramStart"/>
      <w:r w:rsidRPr="00437C34">
        <w:rPr>
          <w:rFonts w:ascii="Verdana" w:eastAsia="Arial" w:hAnsi="Verdana" w:cs="Arial"/>
          <w:lang w:val="es-ES" w:eastAsia="es-ES" w:bidi="es-ES"/>
        </w:rPr>
        <w:t>Vicepresidente</w:t>
      </w:r>
      <w:proofErr w:type="gramEnd"/>
      <w:r w:rsidRPr="00437C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437C34">
        <w:rPr>
          <w:rFonts w:ascii="Verdana" w:eastAsia="Arial" w:hAnsi="Verdana" w:cs="Arial"/>
          <w:lang w:val="es-ES" w:eastAsia="es-ES" w:bidi="es-ES"/>
        </w:rPr>
        <w:t>Vicepresidente</w:t>
      </w:r>
      <w:proofErr w:type="gramEnd"/>
      <w:r w:rsidRPr="00437C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bookmarkStart w:id="11" w:name="_Hlk78820161"/>
    </w:p>
    <w:p w14:paraId="443F9107" w14:textId="77777777" w:rsidR="00C3541E" w:rsidRPr="00437C34" w:rsidRDefault="00C3541E" w:rsidP="00C3541E">
      <w:pPr>
        <w:spacing w:after="120" w:line="276" w:lineRule="auto"/>
        <w:jc w:val="both"/>
        <w:rPr>
          <w:rFonts w:ascii="Verdana" w:eastAsia="Arial" w:hAnsi="Verdana" w:cs="Arial"/>
          <w:lang w:val="es-ES" w:eastAsia="es-ES" w:bidi="es-ES"/>
        </w:rPr>
      </w:pPr>
      <w:proofErr w:type="spellStart"/>
      <w:r w:rsidRPr="00437C34">
        <w:rPr>
          <w:rFonts w:ascii="Verdana" w:eastAsia="Arial" w:hAnsi="Verdana" w:cs="Arial"/>
          <w:lang w:val="es-ES" w:eastAsia="es-ES" w:bidi="es-ES"/>
        </w:rPr>
        <w:t>iii</w:t>
      </w:r>
      <w:proofErr w:type="spellEnd"/>
      <w:r w:rsidRPr="00437C34">
        <w:rPr>
          <w:rFonts w:ascii="Verdana" w:eastAsia="Arial" w:hAnsi="Verdana" w:cs="Arial"/>
          <w:lang w:val="es-ES" w:eastAsia="es-ES" w:bidi="es-ES"/>
        </w:rPr>
        <w:t xml:space="preserve">. </w:t>
      </w:r>
      <w:r w:rsidRPr="00437C34">
        <w:rPr>
          <w:rFonts w:ascii="Verdana" w:eastAsia="Times New Roman" w:hAnsi="Verdana" w:cs="Arial"/>
          <w:bCs/>
          <w:lang w:val="es-MX" w:eastAsia="x-none"/>
        </w:rPr>
        <w:t xml:space="preserve">El ámbito material de la prohibición contenida en el artículo 33 de la ley 996 de 2005 está delimitado por la expresión </w:t>
      </w:r>
      <w:r w:rsidRPr="00437C34">
        <w:rPr>
          <w:rFonts w:ascii="Verdana" w:eastAsia="Calibri" w:hAnsi="Verdana" w:cs="Arial"/>
          <w:bCs/>
          <w:sz w:val="20"/>
          <w:szCs w:val="20"/>
          <w:lang w:val="es-MX"/>
        </w:rPr>
        <w:t>“</w:t>
      </w:r>
      <w:r w:rsidRPr="00437C34">
        <w:rPr>
          <w:rFonts w:ascii="Verdana" w:eastAsia="Times New Roman" w:hAnsi="Verdana" w:cs="Arial"/>
          <w:bCs/>
          <w:lang w:val="es-MX" w:eastAsia="x-none"/>
        </w:rPr>
        <w:t>queda prohibida la contratación directa</w:t>
      </w:r>
      <w:r w:rsidRPr="00437C34">
        <w:rPr>
          <w:rFonts w:ascii="Verdana" w:eastAsia="Calibri" w:hAnsi="Verdana" w:cs="Arial"/>
          <w:sz w:val="20"/>
          <w:szCs w:val="20"/>
          <w:lang w:val="es-MX"/>
        </w:rPr>
        <w:t>”</w:t>
      </w:r>
      <w:r w:rsidRPr="00437C34">
        <w:rPr>
          <w:rFonts w:ascii="Verdana" w:eastAsia="Times New Roman" w:hAnsi="Verdana" w:cs="Arial"/>
          <w:bCs/>
          <w:lang w:val="es-MX" w:eastAsia="x-none"/>
        </w:rPr>
        <w:t xml:space="preserve">. </w:t>
      </w:r>
      <w:r w:rsidRPr="00437C34">
        <w:rPr>
          <w:rFonts w:ascii="Verdana" w:eastAsia="Times New Roman" w:hAnsi="Verdana" w:cs="Arial"/>
          <w:lang w:val="es-MX" w:eastAsia="es-CO"/>
        </w:rPr>
        <w:t xml:space="preserve"> A propósito de </w:t>
      </w:r>
      <w:r w:rsidRPr="00437C34">
        <w:rPr>
          <w:rFonts w:ascii="Verdana" w:eastAsia="Times New Roman" w:hAnsi="Verdana" w:cs="Arial"/>
          <w:lang w:eastAsia="es-CO"/>
        </w:rPr>
        <w:t>esta restricción de la Ley de Garantías Electorales, la Sala de Consulta y Servicio Civil del Consejo de Estado ha considerado que:</w:t>
      </w:r>
    </w:p>
    <w:p w14:paraId="55AB8A9D" w14:textId="77777777" w:rsidR="00C3541E" w:rsidRPr="00437C34" w:rsidRDefault="00C3541E" w:rsidP="00C3541E">
      <w:pPr>
        <w:spacing w:after="0" w:line="240" w:lineRule="auto"/>
        <w:ind w:left="708" w:right="709"/>
        <w:jc w:val="both"/>
        <w:rPr>
          <w:rFonts w:ascii="Verdana" w:eastAsia="Calibri" w:hAnsi="Verdana" w:cs="Arial"/>
          <w:sz w:val="21"/>
          <w:szCs w:val="21"/>
          <w:lang w:val="es-MX"/>
        </w:rPr>
      </w:pPr>
    </w:p>
    <w:p w14:paraId="30F19768" w14:textId="77777777" w:rsidR="00C3541E" w:rsidRPr="00437C34" w:rsidRDefault="00C3541E" w:rsidP="00C3541E">
      <w:pPr>
        <w:spacing w:after="120" w:line="240" w:lineRule="auto"/>
        <w:ind w:left="709" w:right="709"/>
        <w:jc w:val="both"/>
        <w:rPr>
          <w:rFonts w:ascii="Verdana" w:eastAsia="Calibri" w:hAnsi="Verdana" w:cs="Arial"/>
          <w:sz w:val="20"/>
          <w:szCs w:val="20"/>
          <w:lang w:val="es-MX"/>
        </w:rPr>
      </w:pPr>
      <w:r w:rsidRPr="00437C34">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437C34">
        <w:rPr>
          <w:rFonts w:ascii="Verdana" w:eastAsia="Times New Roman" w:hAnsi="Verdana" w:cs="Arial"/>
          <w:sz w:val="20"/>
          <w:szCs w:val="20"/>
          <w:vertAlign w:val="superscript"/>
          <w:lang w:eastAsia="es-CO"/>
        </w:rPr>
        <w:footnoteReference w:id="12"/>
      </w:r>
      <w:r w:rsidRPr="00437C34">
        <w:rPr>
          <w:rFonts w:ascii="Verdana" w:eastAsia="Calibri" w:hAnsi="Verdana" w:cs="Arial"/>
          <w:sz w:val="20"/>
          <w:szCs w:val="20"/>
          <w:lang w:val="es-MX"/>
        </w:rPr>
        <w:t>.</w:t>
      </w:r>
    </w:p>
    <w:p w14:paraId="3F4A399D" w14:textId="77777777" w:rsidR="00C3541E" w:rsidRPr="00437C34" w:rsidRDefault="00C3541E" w:rsidP="00C3541E">
      <w:pPr>
        <w:spacing w:after="0" w:line="240" w:lineRule="auto"/>
        <w:ind w:left="708" w:right="709"/>
        <w:jc w:val="both"/>
        <w:rPr>
          <w:rFonts w:ascii="Verdana" w:eastAsia="Calibri" w:hAnsi="Verdana" w:cs="Arial"/>
          <w:sz w:val="21"/>
          <w:szCs w:val="21"/>
          <w:lang w:val="es-MX"/>
        </w:rPr>
      </w:pPr>
      <w:r w:rsidRPr="00437C34">
        <w:rPr>
          <w:rFonts w:ascii="Verdana" w:eastAsia="Calibri" w:hAnsi="Verdana" w:cs="Arial"/>
          <w:sz w:val="20"/>
          <w:szCs w:val="20"/>
          <w:lang w:val="es-MX"/>
        </w:rPr>
        <w:t xml:space="preserve">Esta Sala ha entendido </w:t>
      </w:r>
      <w:proofErr w:type="gramStart"/>
      <w:r w:rsidRPr="00437C34">
        <w:rPr>
          <w:rFonts w:ascii="Verdana" w:eastAsia="Calibri" w:hAnsi="Verdana" w:cs="Arial"/>
          <w:sz w:val="20"/>
          <w:szCs w:val="20"/>
          <w:lang w:val="es-MX"/>
        </w:rPr>
        <w:t>que</w:t>
      </w:r>
      <w:proofErr w:type="gramEnd"/>
      <w:r w:rsidRPr="00437C34">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437C34">
        <w:rPr>
          <w:rFonts w:ascii="Verdana" w:eastAsia="Times New Roman" w:hAnsi="Verdana" w:cs="Arial"/>
          <w:sz w:val="20"/>
          <w:szCs w:val="20"/>
          <w:vertAlign w:val="superscript"/>
          <w:lang w:val="es-MX"/>
        </w:rPr>
        <w:footnoteReference w:id="13"/>
      </w:r>
      <w:r w:rsidRPr="00437C34">
        <w:rPr>
          <w:rFonts w:ascii="Verdana" w:eastAsia="Times New Roman" w:hAnsi="Verdana" w:cs="Arial"/>
          <w:sz w:val="20"/>
          <w:szCs w:val="20"/>
          <w:vertAlign w:val="superscript"/>
          <w:lang w:val="es-MX"/>
        </w:rPr>
        <w:t>.</w:t>
      </w:r>
      <w:r w:rsidRPr="00437C34">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437C34">
        <w:rPr>
          <w:rFonts w:ascii="Verdana" w:eastAsia="Times New Roman" w:hAnsi="Verdana" w:cs="Arial"/>
          <w:vertAlign w:val="superscript"/>
          <w:lang w:eastAsia="es-CO"/>
        </w:rPr>
        <w:footnoteReference w:id="14"/>
      </w:r>
      <w:r w:rsidRPr="00437C34">
        <w:rPr>
          <w:rFonts w:ascii="Verdana" w:eastAsia="Calibri" w:hAnsi="Verdana" w:cs="Arial"/>
          <w:sz w:val="21"/>
          <w:szCs w:val="21"/>
          <w:lang w:val="es-MX"/>
        </w:rPr>
        <w:t xml:space="preserve"> .</w:t>
      </w:r>
    </w:p>
    <w:p w14:paraId="1D9104CB" w14:textId="77777777" w:rsidR="00C3541E" w:rsidRPr="00437C34" w:rsidRDefault="00C3541E" w:rsidP="00C3541E">
      <w:pPr>
        <w:shd w:val="clear" w:color="auto" w:fill="FFFFFF"/>
        <w:spacing w:after="0" w:line="276" w:lineRule="auto"/>
        <w:ind w:firstLine="709"/>
        <w:jc w:val="both"/>
        <w:rPr>
          <w:rFonts w:ascii="Verdana" w:eastAsia="Times New Roman" w:hAnsi="Verdana" w:cs="Arial"/>
          <w:lang w:eastAsia="x-none"/>
        </w:rPr>
      </w:pPr>
    </w:p>
    <w:p w14:paraId="5F71A188" w14:textId="77777777" w:rsidR="00C3541E" w:rsidRPr="00437C34" w:rsidRDefault="00C3541E" w:rsidP="00C3541E">
      <w:pPr>
        <w:spacing w:after="120" w:line="276" w:lineRule="auto"/>
        <w:ind w:firstLine="708"/>
        <w:jc w:val="both"/>
        <w:rPr>
          <w:rFonts w:ascii="Verdana" w:eastAsia="Times New Roman" w:hAnsi="Verdana" w:cs="Arial"/>
          <w:bCs/>
          <w:lang w:eastAsia="x-none"/>
        </w:rPr>
      </w:pPr>
      <w:r w:rsidRPr="00437C34">
        <w:rPr>
          <w:rFonts w:ascii="Verdana" w:eastAsia="Times New Roman" w:hAnsi="Verdana" w:cs="Arial"/>
          <w:lang w:eastAsia="x-none"/>
        </w:rPr>
        <w:t xml:space="preserve">De acuerdo con el citado concepto, la prohibición del artículo 33 de la Ley de Garantías Electorales se refiere a </w:t>
      </w:r>
      <w:r w:rsidRPr="00437C34">
        <w:rPr>
          <w:rFonts w:ascii="Verdana" w:eastAsia="Times New Roman" w:hAnsi="Verdana" w:cs="Arial"/>
          <w:sz w:val="19"/>
          <w:szCs w:val="19"/>
          <w:lang w:eastAsia="en-GB"/>
        </w:rPr>
        <w:t>“</w:t>
      </w:r>
      <w:r w:rsidRPr="00437C34">
        <w:rPr>
          <w:rFonts w:ascii="Verdana" w:eastAsia="Times New Roman" w:hAnsi="Verdana" w:cs="Arial"/>
          <w:lang w:eastAsia="x-none"/>
        </w:rPr>
        <w:t>cualquier sistema que no implique convocatoria pública y posibilidad de pluralidad de oferentes</w:t>
      </w:r>
      <w:r w:rsidRPr="00437C34">
        <w:rPr>
          <w:rFonts w:ascii="Verdana" w:eastAsia="Times New Roman" w:hAnsi="Verdana" w:cs="Arial"/>
          <w:lang w:eastAsia="en-GB"/>
        </w:rPr>
        <w:t>”</w:t>
      </w:r>
      <w:r w:rsidRPr="00437C34">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437C34">
        <w:rPr>
          <w:rFonts w:ascii="Verdana" w:eastAsia="Times New Roman" w:hAnsi="Verdana" w:cs="Arial"/>
          <w:lang w:val="es-ES_tradnl" w:eastAsia="x-none"/>
        </w:rPr>
        <w:t>y la mínima cuantía</w:t>
      </w:r>
      <w:r w:rsidRPr="00437C34" w:rsidDel="00A85D9F">
        <w:rPr>
          <w:rFonts w:ascii="Verdana" w:eastAsia="Times New Roman" w:hAnsi="Verdana" w:cs="Arial"/>
          <w:lang w:eastAsia="x-none"/>
        </w:rPr>
        <w:t xml:space="preserve"> </w:t>
      </w:r>
      <w:r w:rsidRPr="00437C34">
        <w:rPr>
          <w:rFonts w:ascii="Verdana" w:eastAsia="Times New Roman" w:hAnsi="Verdana" w:cs="Arial"/>
          <w:lang w:eastAsia="x-none"/>
        </w:rPr>
        <w:t xml:space="preserve">u otros previstos en normas especiales. Esta posición es </w:t>
      </w:r>
      <w:r w:rsidRPr="00437C34">
        <w:rPr>
          <w:rFonts w:ascii="Verdana" w:eastAsia="Times New Roman" w:hAnsi="Verdana" w:cs="Arial"/>
          <w:lang w:eastAsia="x-none"/>
        </w:rPr>
        <w:lastRenderedPageBreak/>
        <w:t>congruente con la expedición de la Ley 1150 de 2007 que, entre otras reformas, introdujo la selección abreviada, rediseñó el concurso de méritos</w:t>
      </w:r>
      <w:r w:rsidRPr="00437C34">
        <w:rPr>
          <w:rFonts w:ascii="Verdana" w:eastAsia="Times New Roman" w:hAnsi="Verdana" w:cs="Arial"/>
          <w:vertAlign w:val="superscript"/>
          <w:lang w:val="en-GB" w:eastAsia="x-none"/>
        </w:rPr>
        <w:footnoteReference w:id="15"/>
      </w:r>
      <w:r w:rsidRPr="00437C34">
        <w:rPr>
          <w:rFonts w:ascii="Verdana" w:eastAsia="Times New Roman" w:hAnsi="Verdana" w:cs="Arial"/>
          <w:lang w:eastAsia="x-none"/>
        </w:rPr>
        <w:t xml:space="preserve"> y sistematizó las causales de contratación directa</w:t>
      </w:r>
      <w:r w:rsidRPr="00437C34">
        <w:rPr>
          <w:rFonts w:ascii="Verdana" w:eastAsia="Times New Roman" w:hAnsi="Verdana" w:cs="Arial"/>
          <w:vertAlign w:val="superscript"/>
          <w:lang w:val="en-GB" w:eastAsia="x-none"/>
        </w:rPr>
        <w:footnoteReference w:id="16"/>
      </w:r>
      <w:r w:rsidRPr="00437C34">
        <w:rPr>
          <w:rFonts w:ascii="Verdana" w:eastAsia="Times New Roman" w:hAnsi="Verdana" w:cs="Arial"/>
          <w:lang w:eastAsia="x-none"/>
        </w:rPr>
        <w:t xml:space="preserve">, </w:t>
      </w:r>
      <w:r w:rsidRPr="00437C3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54ECAAE" w14:textId="77777777" w:rsidR="00C3541E" w:rsidRPr="00437C34" w:rsidRDefault="00C3541E" w:rsidP="00C3541E">
      <w:pPr>
        <w:spacing w:after="120" w:line="276" w:lineRule="auto"/>
        <w:ind w:firstLine="708"/>
        <w:jc w:val="both"/>
        <w:rPr>
          <w:rFonts w:ascii="Verdana" w:eastAsia="Times New Roman" w:hAnsi="Verdana" w:cs="Arial"/>
          <w:lang w:val="es-MX" w:eastAsia="x-none"/>
        </w:rPr>
      </w:pPr>
      <w:r w:rsidRPr="00437C34">
        <w:rPr>
          <w:rFonts w:ascii="Verdana" w:eastAsia="Times New Roman" w:hAnsi="Verdana" w:cs="Arial"/>
          <w:lang w:eastAsia="x-none"/>
        </w:rPr>
        <w:t xml:space="preserve">De esta forma, con fundamento en la evolución de la normativa sobre la contratación pública, se ha depurado la noción de </w:t>
      </w:r>
      <w:r w:rsidRPr="00437C34">
        <w:rPr>
          <w:rFonts w:ascii="Verdana" w:eastAsia="Times New Roman" w:hAnsi="Verdana" w:cs="Arial"/>
          <w:sz w:val="19"/>
          <w:szCs w:val="19"/>
          <w:lang w:eastAsia="en-GB"/>
        </w:rPr>
        <w:t>“</w:t>
      </w:r>
      <w:r w:rsidRPr="00437C34">
        <w:rPr>
          <w:rFonts w:ascii="Verdana" w:eastAsia="Times New Roman" w:hAnsi="Verdana" w:cs="Arial"/>
          <w:lang w:eastAsia="x-none"/>
        </w:rPr>
        <w:t>contratación directa</w:t>
      </w:r>
      <w:r w:rsidRPr="00437C34">
        <w:rPr>
          <w:rFonts w:ascii="Verdana" w:eastAsia="Times New Roman" w:hAnsi="Verdana" w:cs="Arial"/>
          <w:lang w:eastAsia="en-GB"/>
        </w:rPr>
        <w:t>”</w:t>
      </w:r>
      <w:r w:rsidRPr="00437C34">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437C34">
        <w:rPr>
          <w:rFonts w:ascii="Verdana" w:eastAsia="Times New Roman" w:hAnsi="Verdana" w:cs="Arial"/>
          <w:vertAlign w:val="superscript"/>
          <w:lang w:val="en-GB" w:eastAsia="x-none"/>
        </w:rPr>
        <w:footnoteReference w:id="17"/>
      </w:r>
      <w:r w:rsidRPr="00437C34">
        <w:rPr>
          <w:rFonts w:ascii="Verdana" w:eastAsia="Times New Roman" w:hAnsi="Verdana" w:cs="Arial"/>
          <w:lang w:eastAsia="x-none"/>
        </w:rPr>
        <w:t>, han establecido sistemas de contratación que implican convocatoria pública y participación de varios oferentes</w:t>
      </w:r>
      <w:r w:rsidRPr="00437C34">
        <w:rPr>
          <w:rFonts w:ascii="Verdana" w:eastAsia="Times New Roman" w:hAnsi="Verdana" w:cs="Arial"/>
          <w:lang w:eastAsia="en-GB"/>
        </w:rPr>
        <w:t>”</w:t>
      </w:r>
      <w:r w:rsidRPr="00437C34">
        <w:rPr>
          <w:rFonts w:ascii="Verdana" w:eastAsia="Times New Roman" w:hAnsi="Verdana" w:cs="Arial"/>
          <w:lang w:eastAsia="x-none"/>
        </w:rPr>
        <w:t xml:space="preserve">. </w:t>
      </w:r>
    </w:p>
    <w:p w14:paraId="5AC23ABE" w14:textId="77777777" w:rsidR="00C3541E" w:rsidRPr="00437C34" w:rsidRDefault="00C3541E" w:rsidP="00C3541E">
      <w:pPr>
        <w:spacing w:after="120" w:line="276" w:lineRule="auto"/>
        <w:ind w:firstLine="708"/>
        <w:jc w:val="both"/>
        <w:rPr>
          <w:rFonts w:ascii="Verdana" w:eastAsia="Times New Roman" w:hAnsi="Verdana" w:cs="Arial"/>
          <w:bCs/>
          <w:lang w:val="es-MX" w:eastAsia="es-CO"/>
        </w:rPr>
      </w:pPr>
      <w:r w:rsidRPr="00437C34">
        <w:rPr>
          <w:rFonts w:ascii="Verdana" w:eastAsia="Times New Roman" w:hAnsi="Verdana" w:cs="Arial"/>
          <w:bCs/>
          <w:lang w:val="es-MX" w:eastAsia="x-none"/>
        </w:rPr>
        <w:t>E</w:t>
      </w:r>
      <w:r w:rsidRPr="00437C3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437C34">
        <w:rPr>
          <w:rFonts w:ascii="Verdana" w:eastAsia="Times New Roman" w:hAnsi="Verdana" w:cs="Arial"/>
          <w:vertAlign w:val="superscript"/>
          <w:lang w:eastAsia="x-none"/>
        </w:rPr>
        <w:footnoteReference w:id="18"/>
      </w:r>
      <w:r w:rsidRPr="00437C34">
        <w:rPr>
          <w:rFonts w:ascii="Verdana" w:eastAsia="Times New Roman" w:hAnsi="Verdana" w:cs="Arial"/>
          <w:lang w:eastAsia="x-none"/>
        </w:rPr>
        <w:t xml:space="preserve">. </w:t>
      </w:r>
    </w:p>
    <w:p w14:paraId="68547A71" w14:textId="77777777" w:rsidR="00C3541E" w:rsidRPr="00437C34" w:rsidRDefault="00C3541E" w:rsidP="00C3541E">
      <w:pPr>
        <w:spacing w:after="120" w:line="276" w:lineRule="auto"/>
        <w:ind w:firstLine="708"/>
        <w:jc w:val="both"/>
        <w:rPr>
          <w:rFonts w:ascii="Verdana" w:eastAsia="Times New Roman" w:hAnsi="Verdana" w:cs="Arial"/>
          <w:bCs/>
          <w:lang w:val="es-MX" w:eastAsia="es-CO"/>
        </w:rPr>
      </w:pPr>
      <w:r w:rsidRPr="00437C34">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437C34">
        <w:rPr>
          <w:rFonts w:ascii="Verdana" w:eastAsia="Times New Roman" w:hAnsi="Verdana" w:cs="Arial"/>
          <w:bCs/>
          <w:lang w:val="es-MX" w:eastAsia="es-CO"/>
        </w:rPr>
        <w:lastRenderedPageBreak/>
        <w:t>de la expedición de Ley 1150 de 2007, el Consejo de Estado comenzó a delimitar con mayor precisión el término de “contratación directa”.</w:t>
      </w:r>
    </w:p>
    <w:p w14:paraId="0BEA1EB7" w14:textId="77777777" w:rsidR="00C3541E" w:rsidRPr="00437C34" w:rsidRDefault="00C3541E" w:rsidP="00C3541E">
      <w:pPr>
        <w:spacing w:after="120" w:line="276" w:lineRule="auto"/>
        <w:ind w:firstLine="708"/>
        <w:jc w:val="both"/>
        <w:rPr>
          <w:rFonts w:ascii="Verdana" w:eastAsia="Times New Roman" w:hAnsi="Verdana" w:cs="Arial"/>
          <w:bCs/>
          <w:lang w:val="es-MX" w:eastAsia="x-none"/>
        </w:rPr>
      </w:pPr>
      <w:r w:rsidRPr="00437C34">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437C34">
        <w:rPr>
          <w:rFonts w:ascii="Verdana" w:eastAsia="Times New Roman" w:hAnsi="Verdana" w:cs="Arial"/>
          <w:vertAlign w:val="superscript"/>
          <w:lang w:eastAsia="x-none"/>
        </w:rPr>
        <w:footnoteReference w:id="19"/>
      </w:r>
      <w:r w:rsidRPr="00437C34">
        <w:rPr>
          <w:rFonts w:ascii="Verdana" w:eastAsia="Times New Roman" w:hAnsi="Verdana" w:cs="Arial"/>
          <w:bCs/>
          <w:lang w:val="es-MX" w:eastAsia="x-none"/>
        </w:rPr>
        <w:t>.</w:t>
      </w:r>
      <w:r w:rsidRPr="00437C34">
        <w:rPr>
          <w:rFonts w:ascii="Verdana" w:eastAsia="Times New Roman" w:hAnsi="Verdana" w:cs="Arial"/>
          <w:vertAlign w:val="superscript"/>
          <w:lang w:eastAsia="x-none"/>
        </w:rPr>
        <w:t xml:space="preserve"> </w:t>
      </w:r>
    </w:p>
    <w:p w14:paraId="2FA907E8" w14:textId="77777777" w:rsidR="00C3541E" w:rsidRPr="00437C34" w:rsidRDefault="00C3541E" w:rsidP="00C3541E">
      <w:pPr>
        <w:spacing w:after="120" w:line="276" w:lineRule="auto"/>
        <w:ind w:firstLine="708"/>
        <w:jc w:val="both"/>
        <w:rPr>
          <w:rFonts w:ascii="Verdana" w:eastAsia="Times New Roman" w:hAnsi="Verdana" w:cs="Arial"/>
          <w:lang w:eastAsia="x-none"/>
        </w:rPr>
      </w:pPr>
      <w:r w:rsidRPr="00437C34">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437C3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2A11651" w14:textId="77777777" w:rsidR="00C3541E" w:rsidRPr="00437C34" w:rsidRDefault="00C3541E" w:rsidP="00C3541E">
      <w:pPr>
        <w:spacing w:after="120" w:line="276" w:lineRule="auto"/>
        <w:ind w:firstLine="708"/>
        <w:jc w:val="both"/>
        <w:rPr>
          <w:rFonts w:ascii="Verdana" w:eastAsia="Times New Roman" w:hAnsi="Verdana" w:cs="Arial"/>
          <w:bCs/>
          <w:lang w:val="es-MX" w:eastAsia="es-CO"/>
        </w:rPr>
      </w:pPr>
      <w:r w:rsidRPr="00437C34">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437C34">
        <w:rPr>
          <w:rFonts w:ascii="Verdana" w:eastAsia="Times New Roman" w:hAnsi="Verdana" w:cs="Arial"/>
          <w:bCs/>
          <w:lang w:val="es-MX" w:eastAsia="es-CO"/>
        </w:rPr>
        <w:t>entrada en vigencia</w:t>
      </w:r>
      <w:proofErr w:type="gramEnd"/>
      <w:r w:rsidRPr="00437C34">
        <w:rPr>
          <w:rFonts w:ascii="Verdana" w:eastAsia="Times New Roman" w:hAnsi="Verdana" w:cs="Arial"/>
          <w:bCs/>
          <w:lang w:val="es-MX" w:eastAsia="es-CO"/>
        </w:rPr>
        <w:t xml:space="preserve"> de las prohibiciones anotadas, así como la cesión de </w:t>
      </w:r>
      <w:proofErr w:type="gramStart"/>
      <w:r w:rsidRPr="00437C34">
        <w:rPr>
          <w:rFonts w:ascii="Verdana" w:eastAsia="Times New Roman" w:hAnsi="Verdana" w:cs="Arial"/>
          <w:bCs/>
          <w:lang w:val="es-MX" w:eastAsia="es-CO"/>
        </w:rPr>
        <w:t>los mismos</w:t>
      </w:r>
      <w:proofErr w:type="gramEnd"/>
      <w:r w:rsidRPr="00437C3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437C34">
        <w:rPr>
          <w:rFonts w:ascii="Verdana" w:eastAsia="Times New Roman" w:hAnsi="Verdana" w:cs="Arial"/>
          <w:bCs/>
          <w:vertAlign w:val="superscript"/>
          <w:lang w:val="es-MX" w:eastAsia="es-CO"/>
        </w:rPr>
        <w:footnoteReference w:id="20"/>
      </w:r>
      <w:r w:rsidRPr="00437C34">
        <w:rPr>
          <w:rFonts w:ascii="Verdana" w:eastAsia="Times New Roman" w:hAnsi="Verdana" w:cs="Arial"/>
          <w:bCs/>
          <w:lang w:val="es-MX" w:eastAsia="es-CO"/>
        </w:rPr>
        <w:t xml:space="preserve">. Además, también es posible que contratos celebrados previamente se continúen ejecutando con normalidad. </w:t>
      </w:r>
    </w:p>
    <w:p w14:paraId="78E1DC64" w14:textId="77777777" w:rsidR="00C3541E" w:rsidRPr="00437C34" w:rsidRDefault="00C3541E" w:rsidP="00C3541E">
      <w:pPr>
        <w:spacing w:after="120" w:line="276" w:lineRule="auto"/>
        <w:ind w:firstLine="708"/>
        <w:jc w:val="both"/>
        <w:rPr>
          <w:rFonts w:ascii="Verdana" w:eastAsia="Times New Roman" w:hAnsi="Verdana" w:cs="Arial"/>
          <w:bCs/>
          <w:lang w:val="es-MX" w:eastAsia="es-CO"/>
        </w:rPr>
      </w:pPr>
      <w:r w:rsidRPr="00437C34">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437C34">
        <w:rPr>
          <w:rFonts w:ascii="Verdana" w:eastAsia="Times New Roman" w:hAnsi="Verdana" w:cs="Arial"/>
          <w:bCs/>
          <w:lang w:val="es-MX" w:eastAsia="x-none"/>
        </w:rPr>
        <w:t>ii</w:t>
      </w:r>
      <w:proofErr w:type="spellEnd"/>
      <w:r w:rsidRPr="00437C34">
        <w:rPr>
          <w:rFonts w:ascii="Verdana" w:eastAsia="Times New Roman" w:hAnsi="Verdana" w:cs="Arial"/>
          <w:bCs/>
          <w:lang w:val="es-MX" w:eastAsia="x-none"/>
        </w:rPr>
        <w:t xml:space="preserve">) los contratos de crédito público; </w:t>
      </w:r>
      <w:proofErr w:type="spellStart"/>
      <w:r w:rsidRPr="00437C34">
        <w:rPr>
          <w:rFonts w:ascii="Verdana" w:eastAsia="Times New Roman" w:hAnsi="Verdana" w:cs="Arial"/>
          <w:bCs/>
          <w:lang w:val="es-MX" w:eastAsia="x-none"/>
        </w:rPr>
        <w:t>iii</w:t>
      </w:r>
      <w:proofErr w:type="spellEnd"/>
      <w:r w:rsidRPr="00437C34">
        <w:rPr>
          <w:rFonts w:ascii="Verdana" w:eastAsia="Times New Roman" w:hAnsi="Verdana" w:cs="Arial"/>
          <w:bCs/>
          <w:lang w:val="es-MX" w:eastAsia="x-none"/>
        </w:rPr>
        <w:t xml:space="preserve">) los requeridos para cubrir las emergencias educativas, sanitarias y desastres; </w:t>
      </w:r>
      <w:proofErr w:type="spellStart"/>
      <w:r w:rsidRPr="00437C34">
        <w:rPr>
          <w:rFonts w:ascii="Verdana" w:eastAsia="Times New Roman" w:hAnsi="Verdana" w:cs="Arial"/>
          <w:bCs/>
          <w:lang w:val="es-MX" w:eastAsia="x-none"/>
        </w:rPr>
        <w:t>iv</w:t>
      </w:r>
      <w:proofErr w:type="spellEnd"/>
      <w:r w:rsidRPr="00437C34">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w:t>
      </w:r>
      <w:r w:rsidRPr="00437C34">
        <w:rPr>
          <w:rFonts w:ascii="Verdana" w:eastAsia="Times New Roman" w:hAnsi="Verdana" w:cs="Arial"/>
          <w:bCs/>
          <w:lang w:val="es-MX" w:eastAsia="x-none"/>
        </w:rPr>
        <w:lastRenderedPageBreak/>
        <w:t>terroristas, desastres naturales o casos de fuerza mayor; y, v) los que deban realizar las entidades sanitarias y hospitalarias.</w:t>
      </w:r>
      <w:r w:rsidRPr="00437C34">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BD0E6AA" w14:textId="77777777" w:rsidR="00C3541E" w:rsidRPr="00437C34" w:rsidRDefault="00C3541E" w:rsidP="00C3541E">
      <w:pPr>
        <w:spacing w:after="120" w:line="276" w:lineRule="auto"/>
        <w:ind w:firstLine="709"/>
        <w:jc w:val="both"/>
        <w:rPr>
          <w:rFonts w:ascii="Verdana" w:eastAsia="Times New Roman" w:hAnsi="Verdana" w:cs="Arial"/>
          <w:bCs/>
          <w:lang w:val="es-MX" w:eastAsia="x-none"/>
        </w:rPr>
      </w:pPr>
      <w:r w:rsidRPr="00437C34">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437C34">
        <w:rPr>
          <w:rFonts w:ascii="Verdana" w:eastAsia="Calibri" w:hAnsi="Verdana" w:cs="Arial"/>
          <w:vertAlign w:val="superscript"/>
          <w:lang w:val="es-MX"/>
        </w:rPr>
        <w:footnoteReference w:id="21"/>
      </w:r>
      <w:r w:rsidRPr="00437C34">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82DB563" w14:textId="77777777" w:rsidR="00C3541E" w:rsidRPr="00437C34" w:rsidRDefault="00C3541E" w:rsidP="00C3541E">
      <w:pPr>
        <w:spacing w:after="0" w:line="276" w:lineRule="auto"/>
        <w:jc w:val="both"/>
        <w:rPr>
          <w:rFonts w:ascii="Verdana" w:eastAsia="Times New Roman" w:hAnsi="Verdana" w:cs="Arial"/>
          <w:bCs/>
          <w:lang w:val="es-MX" w:eastAsia="x-none"/>
        </w:rPr>
      </w:pPr>
      <w:proofErr w:type="spellStart"/>
      <w:r w:rsidRPr="00437C34">
        <w:rPr>
          <w:rFonts w:ascii="Verdana" w:eastAsia="Times New Roman" w:hAnsi="Verdana" w:cs="Arial"/>
          <w:bCs/>
          <w:lang w:val="es-MX" w:eastAsia="x-none"/>
        </w:rPr>
        <w:t>iv</w:t>
      </w:r>
      <w:proofErr w:type="spellEnd"/>
      <w:r w:rsidRPr="00437C34">
        <w:rPr>
          <w:rFonts w:ascii="Verdana" w:eastAsia="Times New Roman" w:hAnsi="Verdana" w:cs="Arial"/>
          <w:bCs/>
          <w:lang w:val="es-MX" w:eastAsia="x-none"/>
        </w:rPr>
        <w:t>.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437C34">
        <w:rPr>
          <w:rFonts w:ascii="Verdana" w:eastAsia="Calibri" w:hAnsi="Verdana" w:cs="Arial"/>
          <w:sz w:val="24"/>
          <w:lang w:val="es-MX"/>
        </w:rPr>
        <w:t xml:space="preserve"> </w:t>
      </w:r>
      <w:r w:rsidRPr="00437C34">
        <w:rPr>
          <w:rFonts w:ascii="Verdana" w:eastAsia="Times New Roman" w:hAnsi="Verdana" w:cs="Arial"/>
          <w:bCs/>
          <w:lang w:val="es-MX" w:eastAsia="x-none"/>
        </w:rPr>
        <w:t>En efecto, tal como lo ha sostenido el Consejo de Estado, el vocablo “todos” utilizado por el legislador comprende</w:t>
      </w:r>
      <w:r w:rsidRPr="00437C34">
        <w:rPr>
          <w:rFonts w:ascii="Verdana" w:eastAsia="Calibri" w:hAnsi="Verdana" w:cs="Arial"/>
          <w:sz w:val="24"/>
          <w:lang w:val="es-MX"/>
        </w:rPr>
        <w:t xml:space="preserve"> </w:t>
      </w:r>
      <w:r w:rsidRPr="00437C34">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437C34">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3C94888F" w14:textId="77777777" w:rsidR="00C3541E" w:rsidRPr="00437C34" w:rsidRDefault="00C3541E" w:rsidP="00C3541E">
      <w:pPr>
        <w:spacing w:after="0" w:line="276" w:lineRule="auto"/>
        <w:jc w:val="both"/>
        <w:rPr>
          <w:rFonts w:ascii="Verdana" w:eastAsia="Times New Roman" w:hAnsi="Verdana" w:cs="Arial"/>
          <w:bCs/>
          <w:lang w:val="es-MX" w:eastAsia="x-none"/>
        </w:rPr>
      </w:pPr>
    </w:p>
    <w:p w14:paraId="29479783" w14:textId="77777777" w:rsidR="00C3541E" w:rsidRPr="00437C34" w:rsidRDefault="00C3541E" w:rsidP="00C3541E">
      <w:pPr>
        <w:spacing w:after="0" w:line="240" w:lineRule="auto"/>
        <w:ind w:left="708" w:right="709"/>
        <w:jc w:val="both"/>
        <w:rPr>
          <w:rFonts w:ascii="Verdana" w:eastAsia="Times New Roman" w:hAnsi="Verdana" w:cs="Arial"/>
          <w:bCs/>
          <w:sz w:val="21"/>
          <w:szCs w:val="21"/>
          <w:lang w:val="es-MX" w:eastAsia="es-CO"/>
        </w:rPr>
      </w:pPr>
      <w:r w:rsidRPr="00437C34">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437C34">
        <w:rPr>
          <w:rFonts w:ascii="Verdana" w:eastAsia="Times New Roman" w:hAnsi="Verdana" w:cs="Arial"/>
          <w:bCs/>
          <w:sz w:val="20"/>
          <w:szCs w:val="20"/>
          <w:lang w:val="es-MX" w:eastAsia="x-none"/>
        </w:rPr>
        <w:lastRenderedPageBreak/>
        <w:t>prestadores directos, incluyendo las excepciones contenidas en el segundo inciso de esta norma</w:t>
      </w:r>
      <w:r w:rsidRPr="00437C34">
        <w:rPr>
          <w:rFonts w:ascii="Verdana" w:eastAsia="Times New Roman" w:hAnsi="Verdana" w:cs="Arial"/>
          <w:bCs/>
          <w:sz w:val="21"/>
          <w:szCs w:val="21"/>
          <w:vertAlign w:val="superscript"/>
          <w:lang w:val="es-MX" w:eastAsia="x-none"/>
        </w:rPr>
        <w:footnoteReference w:id="22"/>
      </w:r>
      <w:r w:rsidRPr="00437C34">
        <w:rPr>
          <w:rFonts w:ascii="Verdana" w:eastAsia="Times New Roman" w:hAnsi="Verdana" w:cs="Arial"/>
          <w:bCs/>
          <w:sz w:val="21"/>
          <w:szCs w:val="21"/>
          <w:lang w:val="es-MX" w:eastAsia="x-none"/>
        </w:rPr>
        <w:t>.</w:t>
      </w:r>
      <w:r w:rsidRPr="00437C34">
        <w:rPr>
          <w:rFonts w:ascii="Verdana" w:eastAsia="Times New Roman" w:hAnsi="Verdana" w:cs="Arial"/>
          <w:bCs/>
          <w:sz w:val="21"/>
          <w:szCs w:val="21"/>
          <w:lang w:val="es-MX" w:eastAsia="es-CO"/>
        </w:rPr>
        <w:t xml:space="preserve"> </w:t>
      </w:r>
    </w:p>
    <w:p w14:paraId="3A8C53F5" w14:textId="77777777" w:rsidR="00C3541E" w:rsidRPr="00437C34" w:rsidRDefault="00C3541E" w:rsidP="00C3541E">
      <w:pPr>
        <w:spacing w:after="0" w:line="276" w:lineRule="auto"/>
        <w:ind w:firstLine="708"/>
        <w:jc w:val="both"/>
        <w:rPr>
          <w:rFonts w:ascii="Verdana" w:eastAsia="Times New Roman" w:hAnsi="Verdana" w:cs="Arial"/>
          <w:bCs/>
          <w:lang w:val="es-MX" w:eastAsia="es-CO"/>
        </w:rPr>
      </w:pPr>
    </w:p>
    <w:p w14:paraId="347DAFE7" w14:textId="77777777" w:rsidR="00C3541E" w:rsidRPr="00437C34" w:rsidRDefault="00C3541E" w:rsidP="00C3541E">
      <w:pPr>
        <w:spacing w:after="0" w:line="276" w:lineRule="auto"/>
        <w:ind w:firstLine="708"/>
        <w:jc w:val="both"/>
        <w:rPr>
          <w:rFonts w:ascii="Verdana" w:eastAsia="Calibri" w:hAnsi="Verdana" w:cs="Arial"/>
          <w:lang w:val="es-MX"/>
        </w:rPr>
      </w:pPr>
      <w:r w:rsidRPr="00437C34">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437C34">
        <w:rPr>
          <w:rFonts w:ascii="Verdana" w:eastAsia="Calibri" w:hAnsi="Verdana" w:cs="Arial"/>
          <w:sz w:val="24"/>
          <w:vertAlign w:val="superscript"/>
          <w:lang w:val="es-MX"/>
        </w:rPr>
        <w:footnoteReference w:id="23"/>
      </w:r>
      <w:r w:rsidRPr="00437C34">
        <w:rPr>
          <w:rFonts w:ascii="Verdana" w:eastAsia="Times New Roman" w:hAnsi="Verdana" w:cs="Arial"/>
          <w:bCs/>
          <w:lang w:val="es-MX" w:eastAsia="x-none"/>
        </w:rPr>
        <w:t>.</w:t>
      </w:r>
      <w:r w:rsidRPr="00437C34">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54D1F8D9" w14:textId="77777777" w:rsidR="00C3541E" w:rsidRPr="00437C34" w:rsidRDefault="00C3541E" w:rsidP="00C3541E">
      <w:pPr>
        <w:spacing w:after="0" w:line="276" w:lineRule="auto"/>
        <w:jc w:val="both"/>
        <w:rPr>
          <w:rFonts w:ascii="Verdana" w:eastAsia="Calibri" w:hAnsi="Verdana" w:cs="Arial"/>
          <w:lang w:val="es-MX"/>
        </w:rPr>
      </w:pPr>
    </w:p>
    <w:p w14:paraId="1644850F"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r w:rsidRPr="00437C34">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DB15D53"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p>
    <w:p w14:paraId="785620ED"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r w:rsidRPr="00437C34">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w:t>
      </w:r>
      <w:r w:rsidRPr="00437C34">
        <w:rPr>
          <w:rFonts w:ascii="Verdana" w:eastAsia="Times New Roman" w:hAnsi="Verdana" w:cs="Arial"/>
          <w:bCs/>
          <w:sz w:val="20"/>
          <w:szCs w:val="20"/>
          <w:lang w:val="es-MX" w:eastAsia="x-none"/>
        </w:rPr>
        <w:lastRenderedPageBreak/>
        <w:t>significaría la parálisis de tal actividad de interés público, lo que de ninguna manera es lo querido por la ley 996 de 2005</w:t>
      </w:r>
      <w:r w:rsidRPr="00437C34">
        <w:rPr>
          <w:rFonts w:ascii="Verdana" w:eastAsia="Calibri" w:hAnsi="Verdana" w:cs="Arial"/>
          <w:sz w:val="20"/>
          <w:szCs w:val="20"/>
          <w:vertAlign w:val="superscript"/>
          <w:lang w:val="es-MX"/>
        </w:rPr>
        <w:footnoteReference w:id="24"/>
      </w:r>
      <w:r w:rsidRPr="00437C34">
        <w:rPr>
          <w:rFonts w:ascii="Verdana" w:eastAsia="Times New Roman" w:hAnsi="Verdana" w:cs="Arial"/>
          <w:bCs/>
          <w:sz w:val="20"/>
          <w:szCs w:val="20"/>
          <w:lang w:val="es-MX" w:eastAsia="x-none"/>
        </w:rPr>
        <w:t>.</w:t>
      </w:r>
    </w:p>
    <w:p w14:paraId="1B3A13E5" w14:textId="77777777" w:rsidR="00C3541E" w:rsidRPr="00437C34" w:rsidRDefault="00C3541E" w:rsidP="00C3541E">
      <w:pPr>
        <w:spacing w:after="0" w:line="276" w:lineRule="auto"/>
        <w:jc w:val="both"/>
        <w:rPr>
          <w:rFonts w:ascii="Verdana" w:eastAsia="Calibri" w:hAnsi="Verdana" w:cs="Arial"/>
          <w:lang w:val="es-MX"/>
        </w:rPr>
      </w:pPr>
    </w:p>
    <w:p w14:paraId="1E19EBF8" w14:textId="77777777" w:rsidR="00C3541E" w:rsidRPr="00437C34" w:rsidRDefault="00C3541E" w:rsidP="00C3541E">
      <w:pPr>
        <w:spacing w:after="120" w:line="276" w:lineRule="auto"/>
        <w:ind w:firstLine="709"/>
        <w:jc w:val="both"/>
        <w:rPr>
          <w:rFonts w:ascii="Verdana" w:eastAsia="Times New Roman" w:hAnsi="Verdana" w:cs="Arial"/>
          <w:lang w:eastAsia="es-CO"/>
        </w:rPr>
      </w:pPr>
      <w:r w:rsidRPr="00437C34">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437C34">
        <w:rPr>
          <w:rFonts w:ascii="Verdana" w:eastAsia="Times New Roman" w:hAnsi="Verdana" w:cs="Arial"/>
          <w:bCs/>
          <w:lang w:val="es-MX" w:eastAsia="x-none"/>
        </w:rPr>
        <w:t>establecimientos de crédito, las sociedades de servicios financieros y las entidades aseguradoras</w:t>
      </w:r>
      <w:r w:rsidRPr="00437C34">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437C34">
        <w:rPr>
          <w:rFonts w:ascii="Verdana" w:eastAsia="Calibri" w:hAnsi="Verdana" w:cs="Arial"/>
          <w:vertAlign w:val="superscript"/>
          <w:lang w:val="es-MX"/>
        </w:rPr>
        <w:footnoteReference w:id="25"/>
      </w:r>
      <w:r w:rsidRPr="00437C34">
        <w:rPr>
          <w:rFonts w:ascii="Verdana" w:eastAsia="Calibri" w:hAnsi="Verdana" w:cs="Arial"/>
          <w:lang w:val="es-MX"/>
        </w:rPr>
        <w:t>.</w:t>
      </w:r>
      <w:r w:rsidRPr="00437C34">
        <w:rPr>
          <w:rFonts w:ascii="Verdana" w:eastAsia="Times New Roman" w:hAnsi="Verdana" w:cs="Arial"/>
          <w:lang w:eastAsia="es-CO"/>
        </w:rPr>
        <w:t xml:space="preserve"> </w:t>
      </w:r>
    </w:p>
    <w:p w14:paraId="637E5046" w14:textId="77777777" w:rsidR="00C3541E" w:rsidRPr="00437C34" w:rsidRDefault="00C3541E" w:rsidP="00C3541E">
      <w:pPr>
        <w:spacing w:after="120" w:line="276" w:lineRule="auto"/>
        <w:ind w:firstLine="709"/>
        <w:jc w:val="both"/>
        <w:rPr>
          <w:rFonts w:ascii="Verdana" w:eastAsia="Times New Roman" w:hAnsi="Verdana" w:cs="Arial"/>
          <w:bCs/>
          <w:lang w:val="es-MX" w:eastAsia="x-none"/>
        </w:rPr>
      </w:pPr>
      <w:r w:rsidRPr="00437C34">
        <w:rPr>
          <w:rFonts w:ascii="Verdana" w:eastAsia="Times New Roman" w:hAnsi="Verdana" w:cs="Arial"/>
          <w:lang w:eastAsia="es-CO"/>
        </w:rPr>
        <w:t>Sin perjuicio de estos pronunciamientos de la Sala de Consulta y Servicio Civil</w:t>
      </w:r>
      <w:r w:rsidRPr="00437C34">
        <w:rPr>
          <w:rFonts w:ascii="Verdana" w:eastAsia="Calibri" w:hAnsi="Verdana" w:cs="Arial"/>
          <w:lang w:val="es-MX"/>
        </w:rPr>
        <w:t xml:space="preserve">, como la ha señalado esa misma Corporación, la restricción prevista en la Ley 996 de 2005 </w:t>
      </w:r>
      <w:r w:rsidRPr="00437C34">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FDA7CB2" w14:textId="77777777" w:rsidR="00C3541E" w:rsidRPr="00437C34" w:rsidRDefault="00C3541E" w:rsidP="00C3541E">
      <w:pPr>
        <w:spacing w:after="120" w:line="276" w:lineRule="auto"/>
        <w:jc w:val="both"/>
        <w:rPr>
          <w:rFonts w:ascii="Verdana" w:eastAsia="Times New Roman" w:hAnsi="Verdana" w:cs="Arial"/>
          <w:bCs/>
          <w:lang w:eastAsia="x-none"/>
        </w:rPr>
      </w:pPr>
      <w:r w:rsidRPr="00437C34">
        <w:rPr>
          <w:rFonts w:ascii="Verdana" w:eastAsia="Times New Roman" w:hAnsi="Verdana" w:cs="Arial"/>
          <w:bCs/>
          <w:lang w:val="es-MX" w:eastAsia="x-none"/>
        </w:rPr>
        <w:t>v. Teniendo en cuenta estas precisiones, es necesario revisar si lo dispuesto en el Sistema General de Regalías le aplica la Ley 996 de 2005 –Ley de Garantías Electorales- y en particular a lo contemplado en el artículo 101 de la Ley 2056 de 2020. Para ello, es importante señalar que la Ley 2056 de 2020, “</w:t>
      </w:r>
      <w:r w:rsidRPr="00437C34">
        <w:rPr>
          <w:rFonts w:ascii="Verdana" w:eastAsia="Times New Roman" w:hAnsi="Verdana" w:cs="Arial"/>
          <w:bCs/>
          <w:lang w:eastAsia="x-none"/>
        </w:rPr>
        <w:t xml:space="preserve">por la cual se regula la organización y el funcionamiento del Sistema General de Regalías”, tiene por objeto: “[…] determinar la distribución, objetivos, fines, </w:t>
      </w:r>
      <w:r w:rsidRPr="00437C34">
        <w:rPr>
          <w:rFonts w:ascii="Verdana" w:eastAsia="Times New Roman" w:hAnsi="Verdana" w:cs="Arial"/>
          <w:bCs/>
          <w:lang w:eastAsia="x-none"/>
        </w:rPr>
        <w:lastRenderedPageBreak/>
        <w:t>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7BEEAEBF" w14:textId="77777777" w:rsidR="00C3541E" w:rsidRPr="00437C34" w:rsidRDefault="00C3541E" w:rsidP="00C3541E">
      <w:pPr>
        <w:spacing w:after="120" w:line="276" w:lineRule="auto"/>
        <w:ind w:firstLine="709"/>
        <w:jc w:val="both"/>
        <w:rPr>
          <w:rFonts w:ascii="Verdana" w:eastAsia="Times New Roman" w:hAnsi="Verdana" w:cs="Arial"/>
          <w:bCs/>
          <w:lang w:eastAsia="x-none"/>
        </w:rPr>
      </w:pPr>
      <w:r w:rsidRPr="00437C34">
        <w:rPr>
          <w:rFonts w:ascii="Verdana" w:hAnsi="Verdana" w:cs="Arial"/>
          <w:lang w:val="es-ES"/>
        </w:rPr>
        <w:t>En el Título IV, Capítulo I, la Ley 2056 de 2020 establece las reglas generales para los proyectos de inversión financiados con recursos del SGR. En esta línea, regula la destinación de los proyectos del Sistema –artículo 28–, las características de los proyectos de inversión –artículo 29–, los ejercicios de planeación –artículo 30–, el ciclo de los proyectos de inversión –artículo 31–, el registro de proyectos –artículo 32–, formulación y presentación de los proyectos –artículo 33–, viabilidad de los proyectos –artículo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 De esta manera, se destacan algunos artículos que regulan aspectos importantes en la materia.</w:t>
      </w:r>
    </w:p>
    <w:p w14:paraId="0EB2DFC8"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Sobre el tipo de asignaciones, es importante resaltar que los proyectos de inversión pueden financiarse con cargo a Asignaciones Directas, a la Asignación para la Inversión Local o la Asignación para la Inversión Regional,</w:t>
      </w:r>
      <w:r w:rsidRPr="00437C34">
        <w:rPr>
          <w:rFonts w:ascii="Verdana" w:eastAsia="Times New Roman" w:hAnsi="Verdana" w:cs="Arial"/>
          <w:color w:val="0D0D0D"/>
          <w:position w:val="3"/>
          <w:sz w:val="28"/>
          <w:szCs w:val="28"/>
          <w:lang w:val="es-MX" w:eastAsia="es-CO"/>
        </w:rPr>
        <w:t xml:space="preserve"> </w:t>
      </w:r>
      <w:r w:rsidRPr="00437C34">
        <w:rPr>
          <w:rFonts w:ascii="Verdana" w:hAnsi="Verdana" w:cs="Arial"/>
          <w:lang w:val="es-ES"/>
        </w:rPr>
        <w:t xml:space="preserve">a la </w:t>
      </w:r>
      <w:r w:rsidRPr="00437C34">
        <w:rPr>
          <w:rFonts w:ascii="Verdana" w:hAnsi="Verdana" w:cs="Arial"/>
          <w:lang w:val="es-MX"/>
        </w:rPr>
        <w:t>Asignación para la inversión en ciencia, tecnología e innovación, entre otros</w:t>
      </w:r>
      <w:r w:rsidRPr="00437C34">
        <w:rPr>
          <w:rFonts w:ascii="Verdana" w:hAnsi="Verdana" w:cs="Arial"/>
          <w:lang w:val="es-ES"/>
        </w:rPr>
        <w:t xml:space="preserve">. Atendiendo al tipo de asignación, la Ley 2056 de 2020 establece un procedimiento distinto para la viabilidad, priorización y aprobación de los proyectos, así como para la designación del ejecutor y órganos responsables. </w:t>
      </w:r>
    </w:p>
    <w:p w14:paraId="7F3FC203"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 xml:space="preserve">Particularmente, el Título V de la Ley 2056 de 2020 establece el marco legal de los proyectos de inversión financiados con recursos del SGR relacionados con las comunidades étnicas. El Capítulo III regula lo referente a la inversión de los recursos del Sistema General de Regalías para Comunidades Negras, Afrocolombianas Raizales y Palenqueras, que determina la destinación de un porcentaje específico de recursos para dichas comunidades –artículo 88–, la instancia de decisión encargada de viabilizar, priorizar y aprobar los proyectos de inversión –artículo 89–, la definición de su integración, funciones y modalidades de funcionamiento, –artículos 90 a 93–, y se fijan las reglas para los ejercicios de planeación, formulación, presentación, viabilidad, registro, priorización, aprobación, ejecución y control de los proyectos financiados con recursos de regalías -artículos 94 a 100–. Asimismo, tratándose de proyectos financiados con Asignaciones Directas, se establece que una vez aprobados </w:t>
      </w:r>
      <w:r w:rsidRPr="00437C34">
        <w:rPr>
          <w:rFonts w:ascii="Verdana" w:hAnsi="Verdana" w:cs="Arial"/>
          <w:lang w:val="es-ES"/>
        </w:rPr>
        <w:lastRenderedPageBreak/>
        <w:t xml:space="preserve">deberá suscribirse un convenio entre el alcalde o gobernador y el representante legal que presentó el proyecto, con el fin de formalizar su entrega y ejecución conforme a las normas del Sistema General de Regalías y del régimen de contratación estatal –artículo 101–. En concreto esta norma dispone lo siguiente: </w:t>
      </w:r>
    </w:p>
    <w:p w14:paraId="4C02DC6F" w14:textId="77777777" w:rsidR="00C3541E" w:rsidRPr="00437C34" w:rsidRDefault="00C3541E" w:rsidP="00C3541E">
      <w:pPr>
        <w:spacing w:after="0" w:line="276" w:lineRule="auto"/>
        <w:ind w:firstLine="709"/>
        <w:jc w:val="both"/>
        <w:rPr>
          <w:rFonts w:ascii="Verdana" w:hAnsi="Verdana" w:cs="Arial"/>
          <w:lang w:val="es-ES"/>
        </w:rPr>
      </w:pPr>
    </w:p>
    <w:p w14:paraId="24CF652B"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r w:rsidRPr="00437C34">
        <w:rPr>
          <w:rFonts w:ascii="Verdana" w:eastAsia="Calibri" w:hAnsi="Verdana" w:cs="Arial"/>
          <w:sz w:val="20"/>
          <w:szCs w:val="20"/>
          <w:lang w:val="es-MX"/>
        </w:rPr>
        <w:t>ARTÍCULO 101. Proyectos financiables con recursos de la Asignación Directa. Para el caso de los proyectos de inversión con cargo a la asignación directa para Comunidades Negras, Afrocolombianas, Raizales y Palenqueras, una vez sean formulados, serán sus representantes legales quienes realizarán la viabilidad, registro, priorización y aprobación conforme su derecho propio y las nomas del Sistema General de Regalías.</w:t>
      </w:r>
    </w:p>
    <w:p w14:paraId="4368EA1A"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p>
    <w:p w14:paraId="2AE9CC3A" w14:textId="77777777" w:rsidR="00C3541E" w:rsidRPr="00437C34" w:rsidRDefault="00C3541E" w:rsidP="00C3541E">
      <w:pPr>
        <w:spacing w:after="0" w:line="240" w:lineRule="auto"/>
        <w:ind w:left="708" w:right="709"/>
        <w:jc w:val="both"/>
        <w:rPr>
          <w:rFonts w:ascii="Verdana" w:eastAsia="Calibri" w:hAnsi="Verdana" w:cs="Arial"/>
          <w:i/>
          <w:iCs/>
          <w:sz w:val="20"/>
          <w:szCs w:val="20"/>
          <w:lang w:val="es-MX"/>
        </w:rPr>
      </w:pPr>
      <w:r w:rsidRPr="00437C34">
        <w:rPr>
          <w:rFonts w:ascii="Verdana" w:eastAsia="Calibri" w:hAnsi="Verdana" w:cs="Arial"/>
          <w:i/>
          <w:iCs/>
          <w:sz w:val="20"/>
          <w:szCs w:val="20"/>
          <w:lang w:val="es-MX"/>
        </w:rPr>
        <w:t>Dentro de los dos (2) meses siguientes a la aprobación del proyecto de inversión, se suscribirá un convenio entre el alcalde o gobernador y el representante legal que lo haya presentado, mediante el cual se formalizará la entrega del proyecto. En caso de que transcurrido este término no se haya suscrito el correspondiente convenio, el alcalde o Gobernador estará sujeto a las sanciones a las que haya lugar.</w:t>
      </w:r>
    </w:p>
    <w:p w14:paraId="664C8C4F"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p>
    <w:p w14:paraId="21AF983B" w14:textId="77777777" w:rsidR="00C3541E" w:rsidRPr="00437C34" w:rsidRDefault="00C3541E" w:rsidP="00C3541E">
      <w:pPr>
        <w:spacing w:after="0" w:line="240" w:lineRule="auto"/>
        <w:ind w:left="708" w:right="709"/>
        <w:jc w:val="both"/>
        <w:rPr>
          <w:rFonts w:ascii="Verdana" w:eastAsia="Calibri" w:hAnsi="Verdana" w:cs="Arial"/>
          <w:sz w:val="20"/>
          <w:szCs w:val="20"/>
          <w:lang w:val="es-MX"/>
        </w:rPr>
      </w:pPr>
      <w:r w:rsidRPr="00437C34">
        <w:rPr>
          <w:rFonts w:ascii="Verdana" w:eastAsia="Calibri" w:hAnsi="Verdana" w:cs="Arial"/>
          <w:sz w:val="20"/>
          <w:szCs w:val="20"/>
          <w:lang w:val="es-MX"/>
        </w:rPr>
        <w:t>Mediante acto administrativo el alcalde o gobernador designará a la entidad ejecutora propuesta en el proyecto de inversión formulado por la respectiva Comunidad Negra, Afrocolombiana, Raizal y Palenquera, la cual debe corresponder a una de las entidades previstas en el estatuto de contratación estatal, quien se encargará de contratar la ejecución del proyecto de inversión y la interventoría de éste cuando aplique.</w:t>
      </w:r>
      <w:r w:rsidRPr="00437C34">
        <w:rPr>
          <w:rFonts w:ascii="Verdana" w:hAnsi="Verdana"/>
          <w:bCs/>
          <w:sz w:val="20"/>
          <w:szCs w:val="20"/>
        </w:rPr>
        <w:t xml:space="preserve"> [Énfasis pro fuera de texto]</w:t>
      </w:r>
    </w:p>
    <w:p w14:paraId="686FC7A1" w14:textId="77777777" w:rsidR="00C3541E" w:rsidRPr="00437C34" w:rsidRDefault="00C3541E" w:rsidP="00C3541E">
      <w:pPr>
        <w:spacing w:after="120" w:line="276" w:lineRule="auto"/>
        <w:ind w:firstLine="709"/>
        <w:jc w:val="both"/>
        <w:rPr>
          <w:rFonts w:ascii="Verdana" w:hAnsi="Verdana" w:cs="Arial"/>
          <w:lang w:val="es-ES"/>
        </w:rPr>
      </w:pPr>
    </w:p>
    <w:p w14:paraId="234A4E2C" w14:textId="77777777" w:rsidR="00C3541E" w:rsidRPr="00437C34" w:rsidRDefault="00C3541E" w:rsidP="00C3541E">
      <w:pPr>
        <w:spacing w:after="120" w:line="276" w:lineRule="auto"/>
        <w:ind w:firstLine="709"/>
        <w:jc w:val="both"/>
        <w:rPr>
          <w:rFonts w:ascii="Verdana" w:eastAsia="Times New Roman" w:hAnsi="Verdana" w:cs="Arial"/>
          <w:bCs/>
          <w:lang w:eastAsia="x-none"/>
        </w:rPr>
      </w:pPr>
      <w:r w:rsidRPr="00437C34">
        <w:rPr>
          <w:rFonts w:ascii="Verdana" w:eastAsia="Times New Roman" w:hAnsi="Verdana" w:cs="Arial"/>
          <w:bCs/>
          <w:lang w:val="es-MX" w:eastAsia="x-none"/>
        </w:rPr>
        <w:t xml:space="preserve">Ahora bien, conforme a la consulta planteada, surge la inquietud concreta sobre la aplicación de las restricciones de la Ley de Garantías Electorales en relación con el artículo 101 en mención, en particular respecto del deber que impone la norma de celebrar un convenio </w:t>
      </w:r>
      <w:r w:rsidRPr="00437C34">
        <w:rPr>
          <w:rFonts w:ascii="Verdana" w:eastAsia="Times New Roman" w:hAnsi="Verdana" w:cs="Arial"/>
          <w:bCs/>
          <w:i/>
          <w:iCs/>
          <w:lang w:eastAsia="x-none"/>
        </w:rPr>
        <w:t>dentro de los dos (2) meses</w:t>
      </w:r>
      <w:r w:rsidRPr="00437C34">
        <w:rPr>
          <w:rFonts w:ascii="Verdana" w:eastAsia="Times New Roman" w:hAnsi="Verdana" w:cs="Arial"/>
          <w:bCs/>
          <w:lang w:eastAsia="x-none"/>
        </w:rPr>
        <w:t xml:space="preserve"> siguientes a la aprobación del proyecto de inversión, entre el alcalde o gobernador y el representante legal Comunidades Negras, Afrocolombianas, Raizales y Palenqueras que lo haya presentado. </w:t>
      </w:r>
    </w:p>
    <w:p w14:paraId="74A5A9ED"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eastAsia="Times New Roman" w:hAnsi="Verdana" w:cs="Arial"/>
          <w:bCs/>
          <w:lang w:eastAsia="x-none"/>
        </w:rPr>
        <w:t xml:space="preserve">Pues bien, analizado el marco normativo expuesto </w:t>
      </w:r>
      <w:r w:rsidRPr="00437C34">
        <w:rPr>
          <w:rFonts w:ascii="Verdana" w:eastAsia="Times New Roman" w:hAnsi="Verdana" w:cs="Arial"/>
          <w:bCs/>
          <w:lang w:val="es-ES" w:eastAsia="x-none"/>
        </w:rPr>
        <w:t xml:space="preserve">no se evidencia una excepción a lo dispuesto en el artículo 33 de la Ley 996 de 2005 </w:t>
      </w:r>
      <w:r w:rsidRPr="00437C34">
        <w:rPr>
          <w:rFonts w:ascii="Verdana" w:eastAsia="Times New Roman" w:hAnsi="Verdana" w:cs="Arial"/>
          <w:bCs/>
          <w:lang w:val="es-MX" w:eastAsia="x-none"/>
        </w:rPr>
        <w:t xml:space="preserve">que restringe la contratación directa en el periodo preelectoral a las elecciones presidenciales por el tipo de recurso que pretende ejecutarse. En otras palabras, esta normatividad especial para la ejecución de recursos del Sistema General de </w:t>
      </w:r>
      <w:proofErr w:type="gramStart"/>
      <w:r w:rsidRPr="00437C34">
        <w:rPr>
          <w:rFonts w:ascii="Verdana" w:eastAsia="Times New Roman" w:hAnsi="Verdana" w:cs="Arial"/>
          <w:bCs/>
          <w:lang w:val="es-MX" w:eastAsia="x-none"/>
        </w:rPr>
        <w:t>Regalías,</w:t>
      </w:r>
      <w:proofErr w:type="gramEnd"/>
      <w:r w:rsidRPr="00437C34">
        <w:rPr>
          <w:rFonts w:ascii="Verdana" w:eastAsia="Times New Roman" w:hAnsi="Verdana" w:cs="Arial"/>
          <w:bCs/>
          <w:lang w:val="es-MX" w:eastAsia="x-none"/>
        </w:rPr>
        <w:t xml:space="preserve"> no implica que esté exonerada de la restricción, pues el legislador no </w:t>
      </w:r>
      <w:r w:rsidRPr="00437C34">
        <w:rPr>
          <w:rFonts w:ascii="Verdana" w:eastAsia="Times New Roman" w:hAnsi="Verdana" w:cs="Arial"/>
          <w:bCs/>
          <w:lang w:val="es-MX" w:eastAsia="x-none"/>
        </w:rPr>
        <w:lastRenderedPageBreak/>
        <w:t xml:space="preserve">hizo distinción del tipo de recursos al establecer la prohibición.  En este sentido, aplicará la restricción señalada respecto de todos los </w:t>
      </w:r>
      <w:r w:rsidRPr="00437C34">
        <w:rPr>
          <w:rFonts w:ascii="Verdana" w:eastAsia="Times New Roman" w:hAnsi="Verdana" w:cs="Arial"/>
          <w:bCs/>
          <w:i/>
          <w:iCs/>
          <w:lang w:val="es-MX" w:eastAsia="x-none"/>
        </w:rPr>
        <w:t>entes del Estado,</w:t>
      </w:r>
      <w:r w:rsidRPr="00437C34">
        <w:rPr>
          <w:rFonts w:ascii="Verdana" w:eastAsia="Times New Roman" w:hAnsi="Verdana" w:cs="Arial"/>
          <w:bCs/>
          <w:lang w:val="es-MX" w:eastAsia="x-none"/>
        </w:rPr>
        <w:t xml:space="preserve"> con independencia de la fuente de los recursos. </w:t>
      </w:r>
    </w:p>
    <w:p w14:paraId="1274CEEE"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 xml:space="preserve">En efecto, si bien el artículo 101 de la Ley 2056 de 2020 dispone el deber de suscribir un convenio dentro de los dos (2) meses siguientes a la aprobación del proyecto de inversión, dicha disposición no consagra de manera expresa una excepción a las restricciones previstas en el artículo 33 de la Ley 996 de 2005. En este caso, el legislador se limitó a establecer un término para la celebración del convenio, pero no señaló que esta actuación contractual pudiera adelantarse durante el periodo de restricción electoral ni excluyó expresamente su aplicación del régimen de la Ley de Garantías Electorales. </w:t>
      </w:r>
    </w:p>
    <w:p w14:paraId="26332E3E"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Al respecto, es importante precisar que la previsión legal de un término para la suscripción del convenio no implica, por sí misma, que dicho plazo prevalezca sobre las restricciones contenidas en la Ley de Garantías Electorales. Debe tenerse en cuenta que la Ley 996 de 2005, por su naturaleza estatutaria, goza de una jerarquía superior en el ordenamiento jurídico, en la medida que desarrolla materias relacionadas con las garantías electorales y la participación democrática. Por ello, no puede interpretarse que el término previsto en el artículo 101 de la Ley 2056 de 2020 para suscripción del convenio constituye, de manera implícita, una excepción a la prohibición de contratación durante el periodo electoral, pues esto implicaría hacer prevalecer una disposición de una ley ordinaria sobre una restricción establecida en una ley estatutaria, sin que el legislador hubiera previsto expresamente dicha consecuencia.</w:t>
      </w:r>
    </w:p>
    <w:p w14:paraId="1481D9B1"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En este sentido, no resulta jurídicamente viable sostener que en este caso existe una excepción a la Ley de Garantías Electorales por el deber de celebrar el convenio dentro de un plazo determinado, especialmente si se tiene en cuenta que las excepciones a las restricciones en materia electoral, debido a su naturaleza excepcional, deben estar consagradas de manera expresa y ser objeto de una interpretación estricta y restrictiva.</w:t>
      </w:r>
    </w:p>
    <w:p w14:paraId="5489149F"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 xml:space="preserve">Aunado a lo anterior, resulta pertinente señalar que no es procedente equiparar el supuesto previsto en el artículo 101 de la Ley 2056 de 2020 con el analizado en los conceptos C-247 y C-263 de 2026 en relación con la contratación celebrada con la Imprenta Nacional al amparo del artículo 5 de la Ley 109 de 1994. Lo anterior, por cuanto entre ambos escenarios no existe identidad de criterios fácticos ni jurídicos que permita aplicar la interpretación excepcional adoptada por el Consejo de Estado al caso particular de los convenios regulados en el marco del Sistema General de Regalías. </w:t>
      </w:r>
    </w:p>
    <w:p w14:paraId="29E8EFE1"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lastRenderedPageBreak/>
        <w:t xml:space="preserve">En efecto, la </w:t>
      </w:r>
      <w:r w:rsidRPr="00437C34">
        <w:rPr>
          <w:rFonts w:ascii="Verdana" w:eastAsia="Arial" w:hAnsi="Verdana" w:cs="Arial"/>
          <w:lang w:val="es-ES" w:eastAsia="es-ES" w:bidi="es-ES"/>
        </w:rPr>
        <w:t>Sala de Consulta y Servicio Civil del Consejo de Estado, respecto del artículo 5 de la Ley 109 de 1994, precis</w:t>
      </w:r>
      <w:r>
        <w:rPr>
          <w:rFonts w:ascii="Verdana" w:eastAsia="Arial" w:hAnsi="Verdana" w:cs="Arial"/>
          <w:lang w:val="es-ES" w:eastAsia="es-ES" w:bidi="es-ES"/>
        </w:rPr>
        <w:t>ó</w:t>
      </w:r>
      <w:r w:rsidRPr="00437C34">
        <w:rPr>
          <w:rFonts w:ascii="Verdana" w:eastAsia="Arial" w:hAnsi="Verdana" w:cs="Arial"/>
          <w:lang w:val="es-ES" w:eastAsia="es-ES" w:bidi="es-ES"/>
        </w:rPr>
        <w:t xml:space="preserve"> que “</w:t>
      </w:r>
      <w:r w:rsidRPr="00437C34">
        <w:rPr>
          <w:rFonts w:ascii="Verdana" w:hAnsi="Verdana" w:cs="Arial"/>
        </w:rPr>
        <w:t>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r w:rsidRPr="00437C34">
        <w:rPr>
          <w:rFonts w:ascii="Verdana" w:hAnsi="Verdana" w:cs="Arial"/>
          <w:vertAlign w:val="superscript"/>
        </w:rPr>
        <w:footnoteReference w:id="26"/>
      </w:r>
      <w:r w:rsidRPr="00437C34">
        <w:rPr>
          <w:rFonts w:ascii="Verdana" w:hAnsi="Verdana" w:cs="Arial"/>
          <w:sz w:val="20"/>
          <w:szCs w:val="20"/>
        </w:rPr>
        <w:t xml:space="preserve">”. </w:t>
      </w:r>
      <w:r w:rsidRPr="00437C34">
        <w:rPr>
          <w:rFonts w:ascii="Verdana" w:hAnsi="Verdana" w:cs="Arial"/>
          <w:lang w:val="es-ES"/>
        </w:rPr>
        <w:t>En este caso, se explicó que esta norma  obliga a los “organismos” de la Rama Legislativa, esto es el Congreso de la República, a contratar con la Imprenta Nacional la publicación de la Gaceta del Congreso y que dicho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w:t>
      </w:r>
    </w:p>
    <w:p w14:paraId="68475597"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De esta manera, la excepción admitida por la jurisprudencia se fundamenta en la existencia de un mandato legal específico y plenamente determinado, en virtud del cual la ley identifica de manera expresa tanto el sujeto contratista como el servicio que debe ser prestado. Así, el legislador definió directamente que determinadas actividades debían contratarse con la Imprenta Nacional, de manera que la entidad estatal carecía de margen de escogencia respecto del contratista y, en la práctica, la celebración del contrato constituía una actuación necesaria e indispensable para garantizar la prestación del servicio encomendado por la ley.</w:t>
      </w:r>
    </w:p>
    <w:p w14:paraId="13AB6D4E" w14:textId="77777777" w:rsidR="00C3541E" w:rsidRPr="00437C34" w:rsidRDefault="00C3541E" w:rsidP="00C3541E">
      <w:pPr>
        <w:spacing w:after="120" w:line="276" w:lineRule="auto"/>
        <w:ind w:firstLine="709"/>
        <w:jc w:val="both"/>
        <w:rPr>
          <w:rFonts w:ascii="Verdana" w:hAnsi="Verdana" w:cs="Arial"/>
        </w:rPr>
      </w:pPr>
      <w:r w:rsidRPr="00437C34">
        <w:rPr>
          <w:rFonts w:ascii="Verdana" w:hAnsi="Verdana" w:cs="Arial"/>
          <w:lang w:val="es-ES"/>
        </w:rPr>
        <w:t xml:space="preserve">Bajo ese entendimiento </w:t>
      </w:r>
      <w:r w:rsidRPr="00437C34">
        <w:rPr>
          <w:rFonts w:ascii="Verdana" w:hAnsi="Verdana" w:cs="Arial"/>
        </w:rPr>
        <w:t xml:space="preserve">el contrato se celebra como un mero instrumento que le posibilita el desarrollo de las funciones públicas ordenadas por la ley a ambas entidades Estatales </w:t>
      </w:r>
      <w:proofErr w:type="gramStart"/>
      <w:r w:rsidRPr="00437C34">
        <w:rPr>
          <w:rFonts w:ascii="Verdana" w:hAnsi="Verdana" w:cs="Arial"/>
        </w:rPr>
        <w:t>y</w:t>
      </w:r>
      <w:proofErr w:type="gramEnd"/>
      <w:r w:rsidRPr="00437C34">
        <w:rPr>
          <w:rFonts w:ascii="Verdana" w:hAnsi="Verdana" w:cs="Arial"/>
        </w:rPr>
        <w:t xml:space="preserve"> por tanto, su celebración no se efectúa con base en</w:t>
      </w:r>
      <w:r w:rsidRPr="00437C34">
        <w:rPr>
          <w:rFonts w:ascii="Verdana" w:hAnsi="Verdana" w:cs="Arial"/>
          <w:lang w:val="es-ES"/>
        </w:rPr>
        <w:t xml:space="preserve"> una facultad discrecional, sino que simplemente daba cumplimiento a un mandato legal concreto que predeterminaba los elementos esenciales del negocio jurídico. </w:t>
      </w:r>
    </w:p>
    <w:p w14:paraId="328D0EF2" w14:textId="77777777" w:rsidR="00C3541E" w:rsidRPr="00437C34" w:rsidRDefault="00C3541E" w:rsidP="00C3541E">
      <w:pPr>
        <w:spacing w:after="120" w:line="276" w:lineRule="auto"/>
        <w:ind w:firstLine="709"/>
        <w:jc w:val="both"/>
        <w:rPr>
          <w:rFonts w:ascii="Verdana" w:hAnsi="Verdana" w:cs="Arial"/>
        </w:rPr>
      </w:pPr>
      <w:r w:rsidRPr="00437C34">
        <w:rPr>
          <w:rFonts w:ascii="Verdana" w:hAnsi="Verdana" w:cs="Arial"/>
        </w:rPr>
        <w:t xml:space="preserve">Por el contrario, en el supuesto regulado por el artículo 101 de la Ley 2056 de 2020 no se presenta esa misma estructura fáctica ni jurídica. La disposición no identifica de manera previa y taxativa a una entidad estatal en particular con la cual debe celebrarse el convenio, ni determina plenamente el objeto contractual en los términos en que ocurre con la Imprenta Nacional. La norma únicamente dispone que, una vez aprobado el proyecto, deberá suscribirse un convenio entre el alcalde o gobernador y el representante legal que presentó el </w:t>
      </w:r>
      <w:r w:rsidRPr="00437C34">
        <w:rPr>
          <w:rFonts w:ascii="Verdana" w:hAnsi="Verdana" w:cs="Arial"/>
        </w:rPr>
        <w:lastRenderedPageBreak/>
        <w:t>proyecto, con el propósito de formalizar su entrega. Sin embargo, ello no elimina la existencia de un margen de configuración jurídica y negocial respecto del objeto y demás condiciones del convenio.</w:t>
      </w:r>
    </w:p>
    <w:p w14:paraId="688329EF" w14:textId="77777777" w:rsidR="00C3541E" w:rsidRPr="00437C34" w:rsidRDefault="00C3541E" w:rsidP="00C3541E">
      <w:pPr>
        <w:spacing w:after="120" w:line="276" w:lineRule="auto"/>
        <w:ind w:firstLine="709"/>
        <w:jc w:val="both"/>
        <w:rPr>
          <w:rFonts w:ascii="Verdana" w:hAnsi="Verdana" w:cs="Arial"/>
        </w:rPr>
      </w:pPr>
      <w:r w:rsidRPr="00437C34">
        <w:rPr>
          <w:rFonts w:ascii="Verdana" w:hAnsi="Verdana" w:cs="Arial"/>
        </w:rPr>
        <w:t xml:space="preserve">En este sentido, mientras en el caso del artículo </w:t>
      </w:r>
      <w:r w:rsidRPr="00437C34">
        <w:rPr>
          <w:rFonts w:ascii="Verdana" w:eastAsia="Arial" w:hAnsi="Verdana" w:cs="Arial"/>
          <w:lang w:val="es-ES" w:eastAsia="es-ES" w:bidi="es-ES"/>
        </w:rPr>
        <w:t>5 de la Ley 109 de 1994</w:t>
      </w:r>
      <w:r w:rsidRPr="00437C34">
        <w:rPr>
          <w:rFonts w:ascii="Verdana" w:hAnsi="Verdana" w:cs="Arial"/>
        </w:rPr>
        <w:t xml:space="preserve"> el legislador estableció la obligación de celebración del convenio con una entidad particular, en el artículo 101 de la Ley 2056 de 2020 no existe una identificación plena y predeterminada del contratista ni una obligación legal de acudir a una entidad específica previamente definida por el legislador para la prestación de un servicio exclusivo. </w:t>
      </w:r>
    </w:p>
    <w:p w14:paraId="0AECB5BB" w14:textId="77777777" w:rsidR="00C3541E" w:rsidRPr="00437C34" w:rsidRDefault="00C3541E" w:rsidP="00C3541E">
      <w:pPr>
        <w:spacing w:after="120" w:line="276" w:lineRule="auto"/>
        <w:ind w:firstLine="709"/>
        <w:jc w:val="both"/>
        <w:rPr>
          <w:rFonts w:ascii="Verdana" w:hAnsi="Verdana" w:cs="Arial"/>
          <w:lang w:val="es-ES"/>
        </w:rPr>
      </w:pPr>
      <w:r w:rsidRPr="00437C34">
        <w:rPr>
          <w:rFonts w:ascii="Verdana" w:hAnsi="Verdana" w:cs="Arial"/>
          <w:lang w:val="es-ES"/>
        </w:rPr>
        <w:t xml:space="preserve">En consecuencia, no existe unidad de criterios entre ambos supuestos que permita concluir que el deber de celebrar un convenio en el plazo de dos meses implique automáticamente una excepción a la Ley de Garantías Electorales. La interpretación efectuada respecto del convenio con Imprenta Nacional al amparo del artículo </w:t>
      </w:r>
      <w:r w:rsidRPr="00437C34">
        <w:rPr>
          <w:rFonts w:ascii="Verdana" w:eastAsia="Arial" w:hAnsi="Verdana" w:cs="Arial"/>
          <w:lang w:val="es-ES" w:eastAsia="es-ES" w:bidi="es-ES"/>
        </w:rPr>
        <w:t xml:space="preserve">5 de la Ley 109 de 1994, </w:t>
      </w:r>
      <w:r w:rsidRPr="00437C34">
        <w:rPr>
          <w:rFonts w:ascii="Verdana" w:hAnsi="Verdana" w:cs="Arial"/>
          <w:lang w:val="es-ES"/>
        </w:rPr>
        <w:t>respondió a circunstancias normativas particulares y excepcionales que no concurren en el caso de los convenios previstos en el artículo 101 de la Ley 2056 de 2020, razón por la cual no resulta jurídicamente viable aplicar esa excepción por vía analógica.</w:t>
      </w:r>
    </w:p>
    <w:p w14:paraId="36047CBC" w14:textId="77777777" w:rsidR="00C3541E" w:rsidRPr="00437C34" w:rsidRDefault="00C3541E" w:rsidP="00C3541E">
      <w:pPr>
        <w:tabs>
          <w:tab w:val="left" w:pos="1843"/>
        </w:tabs>
        <w:spacing w:after="120" w:line="276" w:lineRule="auto"/>
        <w:ind w:firstLine="709"/>
        <w:jc w:val="both"/>
        <w:rPr>
          <w:rFonts w:ascii="Verdana" w:eastAsia="Times New Roman" w:hAnsi="Verdana" w:cs="Arial"/>
          <w:bCs/>
          <w:lang w:val="es-MX" w:eastAsia="x-none"/>
        </w:rPr>
      </w:pPr>
      <w:r w:rsidRPr="00437C34">
        <w:rPr>
          <w:rFonts w:ascii="Verdana" w:hAnsi="Verdana" w:cs="Arial"/>
          <w:lang w:val="es-ES"/>
        </w:rPr>
        <w:t xml:space="preserve">En este contexto, debe reiterarse que </w:t>
      </w:r>
      <w:r w:rsidRPr="00437C34">
        <w:rPr>
          <w:rFonts w:ascii="Verdana" w:eastAsia="Times New Roman" w:hAnsi="Verdana" w:cs="Arial"/>
          <w:bCs/>
          <w:lang w:val="es-MX" w:eastAsia="x-none"/>
        </w:rPr>
        <w:t xml:space="preserve">la restricción del artículo 33 de la Ley de Garantías Electorales aplica, sin perjuicio de las excepciones establecidas en el inciso segundo del precitado artículo: i) los contratos relacionados con la defensa y seguridad del Estado, analizados en el Concepto 322 de 2026; </w:t>
      </w:r>
      <w:proofErr w:type="spellStart"/>
      <w:r w:rsidRPr="00437C34">
        <w:rPr>
          <w:rFonts w:ascii="Verdana" w:eastAsia="Times New Roman" w:hAnsi="Verdana" w:cs="Arial"/>
          <w:bCs/>
          <w:lang w:val="es-MX" w:eastAsia="x-none"/>
        </w:rPr>
        <w:t>ii</w:t>
      </w:r>
      <w:proofErr w:type="spellEnd"/>
      <w:r w:rsidRPr="00437C34">
        <w:rPr>
          <w:rFonts w:ascii="Verdana" w:eastAsia="Times New Roman" w:hAnsi="Verdana" w:cs="Arial"/>
          <w:bCs/>
          <w:lang w:val="es-MX" w:eastAsia="x-none"/>
        </w:rPr>
        <w:t xml:space="preserve">) los contratos de crédito público, abordados en el Concepto CU-372 de 2026; </w:t>
      </w:r>
      <w:proofErr w:type="spellStart"/>
      <w:r w:rsidRPr="00437C34">
        <w:rPr>
          <w:rFonts w:ascii="Verdana" w:eastAsia="Times New Roman" w:hAnsi="Verdana" w:cs="Arial"/>
          <w:bCs/>
          <w:lang w:val="es-MX" w:eastAsia="x-none"/>
        </w:rPr>
        <w:t>iii</w:t>
      </w:r>
      <w:proofErr w:type="spellEnd"/>
      <w:r w:rsidRPr="00437C34">
        <w:rPr>
          <w:rFonts w:ascii="Verdana" w:eastAsia="Times New Roman" w:hAnsi="Verdana" w:cs="Arial"/>
          <w:bCs/>
          <w:lang w:val="es-MX" w:eastAsia="x-none"/>
        </w:rPr>
        <w:t>) los contratos necesarios para atender emergencias educativas, sanitarias o desastres, tratados en los Conceptos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118 de 2026 y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 xml:space="preserve">176 de 2026, que tratan en este caso de la urgencia manifiesta; </w:t>
      </w:r>
      <w:proofErr w:type="spellStart"/>
      <w:r w:rsidRPr="00437C34">
        <w:rPr>
          <w:rFonts w:ascii="Verdana" w:eastAsia="Times New Roman" w:hAnsi="Verdana" w:cs="Arial"/>
          <w:bCs/>
          <w:lang w:val="es-MX" w:eastAsia="x-none"/>
        </w:rPr>
        <w:t>iv</w:t>
      </w:r>
      <w:proofErr w:type="spellEnd"/>
      <w:r w:rsidRPr="00437C34">
        <w:rPr>
          <w:rFonts w:ascii="Verdana" w:eastAsia="Times New Roman" w:hAnsi="Verdana" w:cs="Arial"/>
          <w:bCs/>
          <w:lang w:val="es-MX" w:eastAsia="x-none"/>
        </w:rPr>
        <w:t>) los contratos destinados a la reconstrucción de infraestructura vial, energética y de comunicaciones afectada por atentados, acciones terroristas, desastres naturales o fuerza mayor, igualmente estudiados en los Conceptos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118 de 2026 y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176 de 2026, entre otros; y v) la contratación directa celebrada por entidades sanitarias y hospitalarias, objeto de análisis en los Conceptos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1124 de 2026,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1406 de 2026 y C</w:t>
      </w:r>
      <w:r w:rsidRPr="00437C34">
        <w:rPr>
          <w:rFonts w:ascii="Cambria Math" w:eastAsia="Times New Roman" w:hAnsi="Cambria Math" w:cs="Cambria Math"/>
          <w:bCs/>
          <w:lang w:val="es-MX" w:eastAsia="x-none"/>
        </w:rPr>
        <w:noBreakHyphen/>
      </w:r>
      <w:r w:rsidRPr="00437C34">
        <w:rPr>
          <w:rFonts w:ascii="Verdana" w:eastAsia="Times New Roman" w:hAnsi="Verdana" w:cs="Arial"/>
          <w:bCs/>
          <w:lang w:val="es-MX" w:eastAsia="x-none"/>
        </w:rPr>
        <w:t xml:space="preserve">1703 de 2026. </w:t>
      </w:r>
    </w:p>
    <w:p w14:paraId="6531FBCE" w14:textId="77777777" w:rsidR="00C3541E" w:rsidRPr="00437C34" w:rsidRDefault="00C3541E" w:rsidP="00C3541E">
      <w:pPr>
        <w:tabs>
          <w:tab w:val="left" w:pos="1843"/>
        </w:tabs>
        <w:spacing w:after="120" w:line="276" w:lineRule="auto"/>
        <w:ind w:firstLine="709"/>
        <w:jc w:val="both"/>
        <w:rPr>
          <w:rFonts w:ascii="Verdana" w:eastAsia="Times New Roman" w:hAnsi="Verdana" w:cs="Arial"/>
          <w:bCs/>
          <w:lang w:val="es-MX" w:eastAsia="es-CO"/>
        </w:rPr>
      </w:pPr>
      <w:r w:rsidRPr="00437C34">
        <w:rPr>
          <w:rFonts w:ascii="Verdana" w:eastAsia="Times New Roman" w:hAnsi="Verdana" w:cs="Arial"/>
          <w:bCs/>
          <w:lang w:eastAsia="es-CO"/>
        </w:rPr>
        <w:t xml:space="preserve">Bajo este contexto, corresponde a cada entidad estatal analizar, en el caso concreto, la naturaleza y finalidad de las actividades que pretende desarrollar mediante el respectivo convenio, con el propósito de determinar si su objeto se encuentra comprendido dentro de alguna de las excepciones expresamente admitidas al régimen de restricciones previsto en la Ley de Garantías Electorales. </w:t>
      </w:r>
    </w:p>
    <w:p w14:paraId="499600ED" w14:textId="77777777" w:rsidR="00C3541E" w:rsidRPr="00437C34" w:rsidRDefault="00C3541E" w:rsidP="00C3541E">
      <w:pPr>
        <w:spacing w:after="0" w:line="276" w:lineRule="auto"/>
        <w:ind w:firstLine="709"/>
        <w:jc w:val="both"/>
        <w:rPr>
          <w:rFonts w:ascii="Verdana" w:eastAsiaTheme="minorEastAsia" w:hAnsi="Verdana" w:cs="Arial"/>
          <w:lang w:eastAsia="es-CO"/>
        </w:rPr>
      </w:pPr>
      <w:r w:rsidRPr="00437C34">
        <w:rPr>
          <w:rFonts w:ascii="Verdana" w:eastAsiaTheme="minorEastAsia" w:hAnsi="Verdana" w:cs="Arial"/>
          <w:lang w:eastAsia="es-CO"/>
        </w:rPr>
        <w:lastRenderedPageBreak/>
        <w:t xml:space="preserve">Asimismo, vale la pena indicar que </w:t>
      </w:r>
      <w:r w:rsidRPr="00437C34">
        <w:rPr>
          <w:rFonts w:ascii="Verdana" w:eastAsia="Calibri" w:hAnsi="Verdana" w:cs="Arial"/>
        </w:rPr>
        <w:t>l</w:t>
      </w:r>
      <w:r w:rsidRPr="00437C34">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 Al respecto, expresó</w:t>
      </w:r>
      <w:r w:rsidRPr="00437C34">
        <w:rPr>
          <w:rFonts w:ascii="Verdana" w:eastAsia="Calibri" w:hAnsi="Verdana" w:cs="Arial"/>
          <w:lang w:val="es-MX"/>
        </w:rPr>
        <w:t>:</w:t>
      </w:r>
    </w:p>
    <w:p w14:paraId="1AAE5DF0" w14:textId="77777777" w:rsidR="00C3541E" w:rsidRPr="00437C34" w:rsidRDefault="00C3541E" w:rsidP="00C3541E">
      <w:pPr>
        <w:spacing w:after="0" w:line="276" w:lineRule="auto"/>
        <w:ind w:left="709" w:right="709"/>
        <w:jc w:val="both"/>
        <w:rPr>
          <w:rFonts w:ascii="Verdana" w:eastAsia="Calibri" w:hAnsi="Verdana" w:cs="Arial"/>
          <w:sz w:val="20"/>
          <w:szCs w:val="20"/>
        </w:rPr>
      </w:pPr>
    </w:p>
    <w:p w14:paraId="2E5691DC" w14:textId="77777777" w:rsidR="00C3541E" w:rsidRPr="00437C34" w:rsidRDefault="00C3541E" w:rsidP="00C3541E">
      <w:pPr>
        <w:spacing w:after="0" w:line="240" w:lineRule="auto"/>
        <w:ind w:left="709" w:right="709"/>
        <w:jc w:val="both"/>
        <w:rPr>
          <w:rFonts w:ascii="Verdana" w:eastAsia="Times New Roman" w:hAnsi="Verdana" w:cs="Arial"/>
          <w:lang w:eastAsia="es-CO"/>
        </w:rPr>
      </w:pPr>
      <w:r w:rsidRPr="00437C34">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437C34">
        <w:rPr>
          <w:rFonts w:ascii="Verdana" w:eastAsia="Calibri" w:hAnsi="Verdana" w:cs="Arial"/>
          <w:sz w:val="20"/>
          <w:szCs w:val="20"/>
        </w:rPr>
        <w:t>que</w:t>
      </w:r>
      <w:proofErr w:type="gramEnd"/>
      <w:r w:rsidRPr="00437C34">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437C34">
        <w:rPr>
          <w:rFonts w:ascii="Verdana" w:eastAsia="Calibri" w:hAnsi="Verdana" w:cs="Arial"/>
          <w:sz w:val="20"/>
          <w:szCs w:val="20"/>
        </w:rPr>
        <w:t>etc</w:t>
      </w:r>
      <w:proofErr w:type="spellEnd"/>
      <w:r w:rsidRPr="00437C34">
        <w:rPr>
          <w:rFonts w:ascii="Verdana" w:eastAsia="Calibri" w:hAnsi="Verdana" w:cs="Arial"/>
          <w:lang w:val="es-MX"/>
        </w:rPr>
        <w:t>”</w:t>
      </w:r>
      <w:r w:rsidRPr="00437C34">
        <w:rPr>
          <w:rFonts w:ascii="Verdana" w:eastAsia="Calibri" w:hAnsi="Verdana" w:cs="Arial"/>
          <w:vertAlign w:val="superscript"/>
          <w:lang w:val="es-MX"/>
        </w:rPr>
        <w:footnoteReference w:id="27"/>
      </w:r>
      <w:r w:rsidRPr="00437C34">
        <w:rPr>
          <w:rFonts w:ascii="Verdana" w:eastAsia="Calibri" w:hAnsi="Verdana" w:cs="Arial"/>
          <w:lang w:val="es-MX"/>
        </w:rPr>
        <w:t>.</w:t>
      </w:r>
      <w:r w:rsidRPr="00437C34">
        <w:rPr>
          <w:rFonts w:ascii="Verdana" w:eastAsia="Times New Roman" w:hAnsi="Verdana" w:cs="Arial"/>
          <w:lang w:val="es-MX" w:eastAsia="es-CO"/>
        </w:rPr>
        <w:t xml:space="preserve"> </w:t>
      </w:r>
    </w:p>
    <w:p w14:paraId="4A267E50" w14:textId="77777777" w:rsidR="00C3541E" w:rsidRPr="00437C34" w:rsidRDefault="00C3541E" w:rsidP="00C3541E">
      <w:pPr>
        <w:spacing w:after="0" w:line="276" w:lineRule="auto"/>
        <w:ind w:left="709" w:right="709"/>
        <w:jc w:val="both"/>
        <w:rPr>
          <w:rFonts w:ascii="Verdana" w:eastAsia="Calibri" w:hAnsi="Verdana" w:cs="Arial"/>
          <w:sz w:val="20"/>
          <w:szCs w:val="20"/>
        </w:rPr>
      </w:pPr>
    </w:p>
    <w:p w14:paraId="41C8914A" w14:textId="77777777" w:rsidR="00C3541E" w:rsidRPr="00437C34" w:rsidRDefault="00C3541E" w:rsidP="00C3541E">
      <w:pPr>
        <w:spacing w:after="120" w:line="276" w:lineRule="auto"/>
        <w:ind w:firstLine="708"/>
        <w:jc w:val="both"/>
        <w:rPr>
          <w:rFonts w:ascii="Verdana" w:eastAsia="Arial" w:hAnsi="Verdana" w:cs="Arial"/>
          <w:lang w:val="es-ES" w:eastAsia="es-ES" w:bidi="es-ES"/>
        </w:rPr>
      </w:pPr>
      <w:r w:rsidRPr="00437C34">
        <w:rPr>
          <w:rFonts w:ascii="Verdana" w:hAnsi="Verdana" w:cs="Arial"/>
          <w:lang w:val="es-ES_tradnl"/>
        </w:rPr>
        <w:t>También la Sala de Consulta y Servicio Civil del Consejo de Estado ha presentado supuestos de excepción a la restricción de los artículos 33 y 38 cuando la contratación se enmarca en una providencia judicial</w:t>
      </w:r>
      <w:r w:rsidRPr="00437C34">
        <w:rPr>
          <w:rFonts w:ascii="Verdana" w:eastAsia="Arial" w:hAnsi="Verdana" w:cs="Arial"/>
          <w:lang w:val="es-ES" w:eastAsia="es-ES"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467A8FA3" w14:textId="77777777" w:rsidR="00C3541E" w:rsidRPr="00437C34" w:rsidRDefault="00C3541E" w:rsidP="00C3541E">
      <w:pPr>
        <w:spacing w:after="0" w:line="276" w:lineRule="auto"/>
        <w:ind w:firstLine="709"/>
        <w:jc w:val="both"/>
        <w:rPr>
          <w:rFonts w:ascii="Verdana" w:eastAsia="Arial" w:hAnsi="Verdana" w:cs="Arial"/>
          <w:lang w:val="es-ES" w:eastAsia="es-ES" w:bidi="es-ES"/>
        </w:rPr>
      </w:pPr>
      <w:r w:rsidRPr="00437C34">
        <w:rPr>
          <w:rFonts w:ascii="Verdana" w:eastAsia="Arial" w:hAnsi="Verdana" w:cs="Arial"/>
          <w:lang w:val="es-ES" w:eastAsia="es-ES" w:bidi="es-ES"/>
        </w:rPr>
        <w:t xml:space="preserve">En este asunto, es importante resaltar que la Sala de Consulta y Servicio Civil del Consejo de Estado mediante Concepto con Radicado 1863 del 15 de noviembre de 2007 se ha pronunciado en el sentido de que </w:t>
      </w:r>
      <w:bookmarkStart w:id="12" w:name="_Hlk78820889"/>
      <w:r w:rsidRPr="00437C34">
        <w:rPr>
          <w:rFonts w:ascii="Verdana" w:eastAsia="Arial" w:hAnsi="Verdana" w:cs="Arial"/>
          <w:lang w:val="es-ES" w:eastAsia="es-ES" w:bidi="es-ES"/>
        </w:rPr>
        <w:t xml:space="preserve">no se les aplica las restricciones contempladas en Ley de Garantías Electorales que deben celebrarse en virtud de un fallo judicial. Esto, en la medida que la obligatoriedad </w:t>
      </w:r>
      <w:r w:rsidRPr="00437C34">
        <w:rPr>
          <w:rFonts w:ascii="Verdana" w:eastAsia="Arial" w:hAnsi="Verdana" w:cs="Arial"/>
          <w:lang w:val="es-ES" w:eastAsia="es-ES" w:bidi="es-ES"/>
        </w:rPr>
        <w:lastRenderedPageBreak/>
        <w:t>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2"/>
      <w:r w:rsidRPr="00437C34">
        <w:rPr>
          <w:rFonts w:ascii="Verdana" w:eastAsia="Arial" w:hAnsi="Verdana" w:cs="Arial"/>
          <w:vertAlign w:val="superscript"/>
          <w:lang w:val="es-ES" w:eastAsia="es-ES" w:bidi="es-ES"/>
        </w:rPr>
        <w:footnoteReference w:id="28"/>
      </w:r>
      <w:r w:rsidRPr="00437C34">
        <w:rPr>
          <w:rFonts w:ascii="Verdana" w:eastAsia="Arial" w:hAnsi="Verdana" w:cs="Arial"/>
          <w:lang w:val="es-ES" w:eastAsia="es-ES" w:bidi="es-ES"/>
        </w:rPr>
        <w:t>. Al respecto, dicho Concepto expresa:</w:t>
      </w:r>
    </w:p>
    <w:p w14:paraId="66E52C31" w14:textId="77777777" w:rsidR="00C3541E" w:rsidRPr="00437C34" w:rsidRDefault="00C3541E" w:rsidP="00C3541E">
      <w:pPr>
        <w:spacing w:after="0" w:line="276" w:lineRule="auto"/>
        <w:ind w:firstLine="709"/>
        <w:jc w:val="both"/>
        <w:rPr>
          <w:rFonts w:ascii="Verdana" w:eastAsia="Arial" w:hAnsi="Verdana" w:cs="Arial"/>
          <w:lang w:val="es-ES" w:eastAsia="es-ES" w:bidi="es-ES"/>
        </w:rPr>
      </w:pPr>
    </w:p>
    <w:p w14:paraId="00DD34B0"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r w:rsidRPr="00437C34">
        <w:rPr>
          <w:rFonts w:ascii="Verdana" w:eastAsia="Arial" w:hAnsi="Verdana" w:cs="Arial"/>
          <w:sz w:val="20"/>
          <w:lang w:val="es-ES" w:eastAsia="es-ES" w:bidi="es-ES"/>
        </w:rPr>
        <w:t xml:space="preserve">“[…] considera </w:t>
      </w:r>
      <w:r w:rsidRPr="00437C34">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no violan la ley de garantías electorales, por las razones de orden constitucional y legal que se explican a continuación.</w:t>
      </w:r>
    </w:p>
    <w:p w14:paraId="413AF218"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p>
    <w:p w14:paraId="0D66585E"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r w:rsidRPr="00437C34">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2A58BE54"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p>
    <w:p w14:paraId="298A6E7D"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r w:rsidRPr="00437C34">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437C34">
        <w:rPr>
          <w:rFonts w:ascii="Verdana" w:eastAsia="Arial" w:hAnsi="Verdana" w:cs="Arial"/>
          <w:i/>
          <w:iCs/>
          <w:sz w:val="20"/>
          <w:lang w:eastAsia="es-ES" w:bidi="es-ES"/>
        </w:rPr>
        <w:t>per se </w:t>
      </w:r>
      <w:r w:rsidRPr="00437C34">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437C34">
          <w:rPr>
            <w:rFonts w:ascii="Verdana" w:eastAsia="Arial" w:hAnsi="Verdana" w:cs="Arial"/>
            <w:color w:val="000000" w:themeColor="text1"/>
            <w:sz w:val="20"/>
            <w:lang w:eastAsia="es-ES" w:bidi="es-ES"/>
          </w:rPr>
          <w:t>996</w:t>
        </w:r>
      </w:hyperlink>
      <w:r w:rsidRPr="00437C34">
        <w:rPr>
          <w:rFonts w:ascii="Verdana" w:eastAsia="Arial" w:hAnsi="Verdana" w:cs="Arial"/>
          <w:color w:val="000000" w:themeColor="text1"/>
          <w:sz w:val="20"/>
          <w:lang w:eastAsia="es-ES" w:bidi="es-ES"/>
        </w:rPr>
        <w:t xml:space="preserve"> de </w:t>
      </w:r>
      <w:r w:rsidRPr="00437C34">
        <w:rPr>
          <w:rFonts w:ascii="Verdana" w:eastAsia="Arial" w:hAnsi="Verdana" w:cs="Arial"/>
          <w:sz w:val="20"/>
          <w:lang w:eastAsia="es-ES" w:bidi="es-ES"/>
        </w:rPr>
        <w:t>2005.</w:t>
      </w:r>
    </w:p>
    <w:p w14:paraId="3EBD804F"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p>
    <w:p w14:paraId="06F03ACF" w14:textId="77777777" w:rsidR="00C3541E" w:rsidRPr="00437C34" w:rsidRDefault="00C3541E" w:rsidP="00C3541E">
      <w:pPr>
        <w:spacing w:after="0" w:line="240" w:lineRule="auto"/>
        <w:ind w:left="709" w:right="709"/>
        <w:jc w:val="both"/>
        <w:rPr>
          <w:rFonts w:ascii="Verdana" w:eastAsia="Arial" w:hAnsi="Verdana" w:cs="Arial"/>
          <w:sz w:val="20"/>
          <w:lang w:eastAsia="es-ES" w:bidi="es-ES"/>
        </w:rPr>
      </w:pPr>
      <w:r w:rsidRPr="00437C34">
        <w:rPr>
          <w:rFonts w:ascii="Verdana" w:eastAsia="Arial" w:hAnsi="Verdana" w:cs="Arial"/>
          <w:sz w:val="20"/>
          <w:lang w:eastAsia="es-ES" w:bidi="es-ES"/>
        </w:rPr>
        <w:t xml:space="preserve">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w:t>
      </w:r>
      <w:r w:rsidRPr="00437C34">
        <w:rPr>
          <w:rFonts w:ascii="Verdana" w:eastAsia="Arial" w:hAnsi="Verdana" w:cs="Arial"/>
          <w:color w:val="000000" w:themeColor="text1"/>
          <w:sz w:val="20"/>
          <w:lang w:eastAsia="es-ES" w:bidi="es-ES"/>
        </w:rPr>
        <w:t>artículos </w:t>
      </w:r>
      <w:hyperlink r:id="rId14" w:anchor="32" w:history="1">
        <w:r w:rsidRPr="00437C34">
          <w:rPr>
            <w:rFonts w:ascii="Verdana" w:eastAsia="Arial" w:hAnsi="Verdana" w:cs="Arial"/>
            <w:color w:val="000000" w:themeColor="text1"/>
            <w:sz w:val="20"/>
            <w:lang w:eastAsia="es-ES" w:bidi="es-ES"/>
          </w:rPr>
          <w:t>32</w:t>
        </w:r>
      </w:hyperlink>
      <w:r w:rsidRPr="00437C34">
        <w:rPr>
          <w:rFonts w:ascii="Verdana" w:eastAsia="Arial" w:hAnsi="Verdana" w:cs="Arial"/>
          <w:color w:val="000000" w:themeColor="text1"/>
          <w:sz w:val="20"/>
          <w:lang w:eastAsia="es-ES" w:bidi="es-ES"/>
        </w:rPr>
        <w:t>, </w:t>
      </w:r>
      <w:hyperlink r:id="rId15" w:anchor="33" w:history="1">
        <w:r w:rsidRPr="00437C34">
          <w:rPr>
            <w:rFonts w:ascii="Verdana" w:eastAsia="Arial" w:hAnsi="Verdana" w:cs="Arial"/>
            <w:color w:val="000000" w:themeColor="text1"/>
            <w:sz w:val="20"/>
            <w:lang w:eastAsia="es-ES" w:bidi="es-ES"/>
          </w:rPr>
          <w:t>33</w:t>
        </w:r>
      </w:hyperlink>
      <w:r w:rsidRPr="00437C34">
        <w:rPr>
          <w:rFonts w:ascii="Verdana" w:eastAsia="Arial" w:hAnsi="Verdana" w:cs="Arial"/>
          <w:color w:val="000000" w:themeColor="text1"/>
          <w:sz w:val="20"/>
          <w:lang w:eastAsia="es-ES" w:bidi="es-ES"/>
        </w:rPr>
        <w:t> y el parágrafo del artículo </w:t>
      </w:r>
      <w:hyperlink r:id="rId16" w:anchor="38" w:history="1">
        <w:r w:rsidRPr="00437C34">
          <w:rPr>
            <w:rFonts w:ascii="Verdana" w:eastAsia="Arial" w:hAnsi="Verdana" w:cs="Arial"/>
            <w:color w:val="000000" w:themeColor="text1"/>
            <w:sz w:val="20"/>
            <w:lang w:eastAsia="es-ES" w:bidi="es-ES"/>
          </w:rPr>
          <w:t>38</w:t>
        </w:r>
      </w:hyperlink>
      <w:r w:rsidRPr="00437C34">
        <w:rPr>
          <w:rFonts w:ascii="Verdana" w:eastAsia="Arial" w:hAnsi="Verdana" w:cs="Arial"/>
          <w:color w:val="000000" w:themeColor="text1"/>
          <w:sz w:val="20"/>
          <w:lang w:eastAsia="es-ES" w:bidi="es-ES"/>
        </w:rPr>
        <w:t xml:space="preserve">, todos ellos de la ley 996 de 2005, ya que la fuerza vinculante de la sentencias emana directamente de estructura del Estado y de la autonomía conferida </w:t>
      </w:r>
      <w:r w:rsidRPr="00437C34">
        <w:rPr>
          <w:rFonts w:ascii="Verdana" w:eastAsia="Arial" w:hAnsi="Verdana" w:cs="Arial"/>
          <w:sz w:val="20"/>
          <w:lang w:eastAsia="es-ES" w:bidi="es-ES"/>
        </w:rPr>
        <w:t xml:space="preserve">al poder judicial”. (énfasis dentro del texto). </w:t>
      </w:r>
    </w:p>
    <w:p w14:paraId="490CBE16" w14:textId="77777777" w:rsidR="00C3541E" w:rsidRPr="00437C34" w:rsidRDefault="00C3541E" w:rsidP="00C3541E">
      <w:pPr>
        <w:spacing w:after="120" w:line="240" w:lineRule="auto"/>
        <w:ind w:firstLine="709"/>
        <w:jc w:val="both"/>
        <w:rPr>
          <w:rFonts w:ascii="Verdana" w:eastAsia="Arial" w:hAnsi="Verdana" w:cs="Arial"/>
          <w:lang w:eastAsia="es-ES" w:bidi="es-ES"/>
        </w:rPr>
      </w:pPr>
    </w:p>
    <w:p w14:paraId="08E53640" w14:textId="77777777" w:rsidR="00C3541E" w:rsidRPr="00437C34" w:rsidRDefault="00C3541E" w:rsidP="00C3541E">
      <w:pPr>
        <w:spacing w:after="120" w:line="276" w:lineRule="auto"/>
        <w:ind w:firstLine="708"/>
        <w:jc w:val="both"/>
        <w:rPr>
          <w:rFonts w:ascii="Verdana" w:hAnsi="Verdana" w:cs="Arial"/>
          <w:lang w:val="es-ES"/>
        </w:rPr>
      </w:pPr>
      <w:r w:rsidRPr="00437C34">
        <w:rPr>
          <w:rFonts w:ascii="Verdana" w:hAnsi="Verdana" w:cs="Arial"/>
          <w:lang w:val="es-ES"/>
        </w:rPr>
        <w:t xml:space="preserve">El razonamiento de la Sala de Consulta y Servicio Civil del Consejo de Estado establece que las decisiones judiciales no se encuentran restringidas por las limitaciones de la Ley de Garantías Electorales. En consecuencia, es posible </w:t>
      </w:r>
      <w:r w:rsidRPr="00437C34">
        <w:rPr>
          <w:rFonts w:ascii="Verdana" w:hAnsi="Verdana" w:cs="Arial"/>
          <w:lang w:val="es-ES"/>
        </w:rPr>
        <w:lastRenderedPageBreak/>
        <w:t>que un juez ordene la suscripción de un contrato de manera directa, como ocurre con la contratación de un perito dentro de un proceso judicial. De tal manera, negar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5C5EEA13" w14:textId="77777777" w:rsidR="00C3541E" w:rsidRPr="00437C34" w:rsidRDefault="00C3541E" w:rsidP="00C3541E">
      <w:pPr>
        <w:spacing w:after="120" w:line="276" w:lineRule="auto"/>
        <w:ind w:firstLine="709"/>
        <w:jc w:val="both"/>
        <w:rPr>
          <w:rFonts w:ascii="Verdana" w:eastAsia="Times New Roman" w:hAnsi="Verdana" w:cs="Arial"/>
          <w:bCs/>
          <w:lang w:val="es-ES" w:eastAsia="es-CO"/>
        </w:rPr>
      </w:pPr>
      <w:r w:rsidRPr="00437C34">
        <w:rPr>
          <w:rFonts w:ascii="Verdana" w:eastAsia="Arial" w:hAnsi="Verdana" w:cs="Arial"/>
          <w:lang w:val="es-ES" w:eastAsia="es-ES" w:bidi="es-ES"/>
        </w:rPr>
        <w:t>De igual manera, resulta pertinente traer a colación el pronunciamiento de la Sala de Consulta y Servicio Civil del Consejo de Estado</w:t>
      </w:r>
      <w:r w:rsidRPr="00437C34">
        <w:rPr>
          <w:rFonts w:ascii="Verdana" w:eastAsia="Arial" w:hAnsi="Verdana" w:cs="Arial"/>
          <w:vertAlign w:val="superscript"/>
          <w:lang w:val="es-ES" w:eastAsia="es-ES" w:bidi="es-ES"/>
        </w:rPr>
        <w:t xml:space="preserve"> </w:t>
      </w:r>
      <w:r w:rsidRPr="00437C34">
        <w:rPr>
          <w:rFonts w:ascii="Verdana" w:hAnsi="Verdana"/>
        </w:rPr>
        <w:t>en Concepto con Radicado 1736</w:t>
      </w:r>
      <w:r w:rsidRPr="00437C34">
        <w:rPr>
          <w:rFonts w:ascii="Verdana" w:eastAsia="Arial" w:hAnsi="Verdana" w:cs="Arial"/>
          <w:lang w:val="es-ES" w:eastAsia="es-ES" w:bidi="es-ES"/>
        </w:rPr>
        <w:t>, el cual, en un tema concerniente a las restricciones de la Ley de Garantías Electorales, expresa que si bien 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sidRPr="00437C34">
        <w:rPr>
          <w:rFonts w:ascii="Verdana" w:eastAsia="Times New Roman" w:hAnsi="Verdana" w:cs="Arial"/>
          <w:bCs/>
          <w:lang w:val="es-ES" w:eastAsia="es-CO"/>
        </w:rPr>
        <w:t xml:space="preserve"> </w:t>
      </w:r>
    </w:p>
    <w:p w14:paraId="4046B6EA" w14:textId="77777777" w:rsidR="00C3541E" w:rsidRPr="00437C34" w:rsidRDefault="00C3541E" w:rsidP="00C3541E">
      <w:pPr>
        <w:spacing w:after="120" w:line="276" w:lineRule="auto"/>
        <w:ind w:firstLine="709"/>
        <w:jc w:val="both"/>
        <w:rPr>
          <w:rFonts w:ascii="Verdana" w:eastAsiaTheme="minorEastAsia" w:hAnsi="Verdana" w:cs="Arial"/>
          <w:lang w:eastAsia="es-CO"/>
        </w:rPr>
      </w:pPr>
      <w:r w:rsidRPr="00437C34">
        <w:rPr>
          <w:rFonts w:ascii="Verdana" w:hAnsi="Verdana" w:cs="Arial"/>
          <w:lang w:val="es-ES"/>
        </w:rPr>
        <w:t xml:space="preserve">En todo caso, la Agencia considera que la posibilidad de suscribir un convenio con fundamento en el artículo 101 de la Ley 2056 de 2020, dependerá del análisis particular que realice la entidad sobre la existencia de alguna de las excepciones establecidas en el artículo 33 de la Ley de Garantías Electorales, sin perjuicio de lo expresado por la Sala de Consulta y Servicio Civil del Consejo que se expuso previamente. </w:t>
      </w:r>
      <w:bookmarkEnd w:id="11"/>
    </w:p>
    <w:p w14:paraId="73E40AF1" w14:textId="77777777" w:rsidR="00C3541E" w:rsidRPr="00437C34" w:rsidRDefault="00C3541E" w:rsidP="00C3541E">
      <w:pPr>
        <w:spacing w:after="120" w:line="276" w:lineRule="auto"/>
        <w:jc w:val="both"/>
        <w:rPr>
          <w:rFonts w:ascii="Verdana" w:eastAsiaTheme="minorEastAsia" w:hAnsi="Verdana" w:cs="Arial"/>
          <w:lang w:eastAsia="es-CO"/>
        </w:rPr>
      </w:pPr>
      <w:r w:rsidRPr="00437C34">
        <w:rPr>
          <w:rFonts w:ascii="Verdana" w:eastAsia="Calibri" w:hAnsi="Verdana" w:cs="Arial"/>
          <w:bCs/>
          <w:iCs/>
          <w:lang w:val="es-ES" w:eastAsia="es-ES_tradnl"/>
        </w:rPr>
        <w:t xml:space="preserve">v. </w:t>
      </w:r>
      <w:r w:rsidRPr="00437C34">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437C34">
        <w:rPr>
          <w:rFonts w:ascii="Verdana" w:eastAsia="Calibri" w:hAnsi="Verdana" w:cs="Arial"/>
          <w:bCs/>
          <w:color w:val="000000" w:themeColor="text1"/>
        </w:rPr>
        <w:lastRenderedPageBreak/>
        <w:t>correspondiente y, en caso de conflicto, a las autoridades judiciales, fiscales y disciplinarias.</w:t>
      </w:r>
    </w:p>
    <w:p w14:paraId="0E84BAE3" w14:textId="77777777" w:rsidR="00C3541E" w:rsidRPr="00437C34" w:rsidRDefault="00C3541E" w:rsidP="00C3541E">
      <w:pPr>
        <w:spacing w:after="120" w:line="276" w:lineRule="auto"/>
        <w:ind w:firstLine="708"/>
        <w:jc w:val="both"/>
        <w:rPr>
          <w:rFonts w:ascii="Verdana" w:eastAsia="Calibri" w:hAnsi="Verdana" w:cs="Arial"/>
          <w:bCs/>
          <w:color w:val="000000" w:themeColor="text1"/>
        </w:rPr>
      </w:pPr>
      <w:r w:rsidRPr="00437C34">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5024958" w14:textId="77777777" w:rsidR="00C3541E" w:rsidRPr="00437C34" w:rsidRDefault="00C3541E" w:rsidP="00C3541E">
      <w:pPr>
        <w:spacing w:after="120" w:line="276" w:lineRule="auto"/>
        <w:ind w:firstLine="709"/>
        <w:jc w:val="both"/>
        <w:rPr>
          <w:rFonts w:ascii="Verdana" w:eastAsia="Arial" w:hAnsi="Verdana" w:cs="Arial"/>
          <w:bCs/>
          <w:lang w:eastAsia="es-ES" w:bidi="es-ES"/>
        </w:rPr>
      </w:pPr>
    </w:p>
    <w:p w14:paraId="13C47543" w14:textId="77777777" w:rsidR="00C3541E" w:rsidRPr="00437C34" w:rsidRDefault="00C3541E" w:rsidP="00C3541E">
      <w:pPr>
        <w:numPr>
          <w:ilvl w:val="0"/>
          <w:numId w:val="19"/>
        </w:numPr>
        <w:tabs>
          <w:tab w:val="left" w:pos="142"/>
          <w:tab w:val="left" w:pos="284"/>
        </w:tabs>
        <w:spacing w:after="0" w:line="276" w:lineRule="auto"/>
        <w:jc w:val="both"/>
        <w:rPr>
          <w:rFonts w:ascii="Verdana" w:eastAsia="Century Gothic" w:hAnsi="Verdana" w:cs="Century Gothic"/>
          <w:b/>
          <w:bCs/>
          <w:lang w:val="es-ES"/>
        </w:rPr>
      </w:pPr>
      <w:r w:rsidRPr="00437C34">
        <w:rPr>
          <w:rFonts w:ascii="Verdana" w:eastAsia="Century Gothic" w:hAnsi="Verdana" w:cs="Century Gothic"/>
          <w:b/>
          <w:bCs/>
          <w:lang w:val="es-ES"/>
        </w:rPr>
        <w:t xml:space="preserve">Referencias normativas, jurisprudenciales y otras fuentes </w:t>
      </w:r>
    </w:p>
    <w:p w14:paraId="72D338F8" w14:textId="77777777" w:rsidR="00C3541E" w:rsidRPr="00437C34" w:rsidRDefault="00C3541E" w:rsidP="00C3541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3541E" w:rsidRPr="00437C34" w14:paraId="5A98211A" w14:textId="77777777" w:rsidTr="00296B97">
        <w:trPr>
          <w:trHeight w:val="477"/>
          <w:jc w:val="center"/>
        </w:trPr>
        <w:tc>
          <w:tcPr>
            <w:tcW w:w="8647" w:type="dxa"/>
          </w:tcPr>
          <w:p w14:paraId="2C3D73B0" w14:textId="77777777" w:rsidR="00C3541E" w:rsidRPr="00437C34" w:rsidRDefault="00C3541E" w:rsidP="00C3541E">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437C34">
              <w:rPr>
                <w:rFonts w:ascii="Verdana" w:eastAsia="Arial MT" w:hAnsi="Verdana" w:cs="Arial"/>
                <w:lang w:eastAsia="es-ES" w:bidi="es-ES"/>
              </w:rPr>
              <w:t>Constitución Política: Artículo 127.</w:t>
            </w:r>
          </w:p>
          <w:p w14:paraId="4C8BE880" w14:textId="77777777" w:rsidR="00C3541E" w:rsidRPr="00437C34" w:rsidRDefault="00C3541E" w:rsidP="00C3541E">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437C34">
              <w:rPr>
                <w:rFonts w:ascii="Verdana" w:eastAsia="Arial MT" w:hAnsi="Verdana" w:cs="Arial"/>
                <w:bCs/>
                <w:lang w:val="es-ES" w:eastAsia="es-ES" w:bidi="es-ES"/>
              </w:rPr>
              <w:t>Ley 996 de 2005: artículos 33 y 38 parágrafo.</w:t>
            </w:r>
          </w:p>
          <w:p w14:paraId="2E634DDE" w14:textId="77777777" w:rsidR="00C3541E" w:rsidRPr="00437C34" w:rsidRDefault="00C3541E" w:rsidP="00C3541E">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437C34">
              <w:rPr>
                <w:rFonts w:ascii="Verdana" w:eastAsia="Arial MT" w:hAnsi="Verdana" w:cs="Arial"/>
                <w:bCs/>
                <w:lang w:val="es-ES" w:eastAsia="es-ES" w:bidi="es-ES"/>
              </w:rPr>
              <w:t>Ley 2056 de 2020</w:t>
            </w:r>
          </w:p>
          <w:p w14:paraId="32AF0F8C" w14:textId="77777777" w:rsidR="00C3541E" w:rsidRPr="00437C34" w:rsidRDefault="00C3541E" w:rsidP="00C3541E">
            <w:pPr>
              <w:widowControl w:val="0"/>
              <w:numPr>
                <w:ilvl w:val="0"/>
                <w:numId w:val="20"/>
              </w:numPr>
              <w:autoSpaceDE w:val="0"/>
              <w:autoSpaceDN w:val="0"/>
              <w:spacing w:after="120" w:line="276" w:lineRule="auto"/>
              <w:jc w:val="both"/>
              <w:rPr>
                <w:rFonts w:ascii="Verdana" w:eastAsia="Calibri" w:hAnsi="Verdana" w:cs="Arial"/>
                <w:lang w:val="es-ES"/>
              </w:rPr>
            </w:pPr>
            <w:r w:rsidRPr="00437C34">
              <w:rPr>
                <w:rFonts w:ascii="Verdana" w:eastAsia="Calibri" w:hAnsi="Verdana" w:cs="Arial"/>
                <w:lang w:val="es-ES"/>
              </w:rPr>
              <w:t>Consejo de Estado. Sala de Consulta y Servicio Civil. Concepto de 20 de febrero de 2006. Radicado. 1727. C.P. Enrique José Arboleda Perdomo.</w:t>
            </w:r>
          </w:p>
          <w:p w14:paraId="00F435CB" w14:textId="77777777" w:rsidR="00C3541E" w:rsidRPr="00437C34" w:rsidRDefault="00C3541E" w:rsidP="00C3541E">
            <w:pPr>
              <w:widowControl w:val="0"/>
              <w:numPr>
                <w:ilvl w:val="0"/>
                <w:numId w:val="20"/>
              </w:numPr>
              <w:autoSpaceDE w:val="0"/>
              <w:autoSpaceDN w:val="0"/>
              <w:spacing w:after="120" w:line="276" w:lineRule="auto"/>
              <w:jc w:val="both"/>
              <w:rPr>
                <w:rFonts w:ascii="Verdana" w:eastAsia="Calibri" w:hAnsi="Verdana" w:cs="Arial"/>
                <w:lang w:val="es-ES"/>
              </w:rPr>
            </w:pPr>
            <w:r w:rsidRPr="00437C34">
              <w:rPr>
                <w:rFonts w:ascii="Verdana" w:eastAsia="Calibri" w:hAnsi="Verdana" w:cs="Arial"/>
                <w:lang w:val="es-ES"/>
              </w:rPr>
              <w:t xml:space="preserve">Consejo de Estado. Sala de Consulta y Servicio Civil. Concepto de 6 de abril de 2006. Radicado. 1738. C.P. Enrique José Arboleda Perdomo. </w:t>
            </w:r>
          </w:p>
          <w:p w14:paraId="33C06E9C" w14:textId="77777777" w:rsidR="00C3541E" w:rsidRPr="00437C34" w:rsidRDefault="00C3541E" w:rsidP="00C3541E">
            <w:pPr>
              <w:widowControl w:val="0"/>
              <w:numPr>
                <w:ilvl w:val="0"/>
                <w:numId w:val="20"/>
              </w:numPr>
              <w:autoSpaceDE w:val="0"/>
              <w:autoSpaceDN w:val="0"/>
              <w:spacing w:after="120" w:line="276" w:lineRule="auto"/>
              <w:jc w:val="both"/>
              <w:rPr>
                <w:rFonts w:ascii="Verdana" w:eastAsia="Calibri" w:hAnsi="Verdana" w:cs="Arial"/>
              </w:rPr>
            </w:pPr>
            <w:r w:rsidRPr="00437C34">
              <w:rPr>
                <w:rFonts w:ascii="Verdana" w:eastAsia="Calibri" w:hAnsi="Verdana" w:cs="Arial"/>
              </w:rPr>
              <w:t xml:space="preserve">Consejo de Estado. Sala de Consulta y Servicio Civil. Concepto del 15 de noviembre de 2007. Rad. 1863. C.P. Luis Fernando Álvarez Jaramillo. </w:t>
            </w:r>
          </w:p>
          <w:p w14:paraId="7860238C" w14:textId="77777777" w:rsidR="00C3541E" w:rsidRPr="00437C34" w:rsidRDefault="00C3541E" w:rsidP="00C3541E">
            <w:pPr>
              <w:widowControl w:val="0"/>
              <w:numPr>
                <w:ilvl w:val="0"/>
                <w:numId w:val="20"/>
              </w:numPr>
              <w:autoSpaceDE w:val="0"/>
              <w:autoSpaceDN w:val="0"/>
              <w:spacing w:after="120" w:line="276" w:lineRule="auto"/>
              <w:jc w:val="both"/>
              <w:rPr>
                <w:rFonts w:ascii="Verdana" w:eastAsia="Calibri" w:hAnsi="Verdana" w:cs="Arial"/>
                <w:lang w:val="es-ES"/>
              </w:rPr>
            </w:pPr>
            <w:r w:rsidRPr="00437C34">
              <w:rPr>
                <w:rFonts w:ascii="Verdana" w:eastAsia="Calibri" w:hAnsi="Verdana" w:cs="Arial"/>
                <w:lang w:val="es-ES"/>
              </w:rPr>
              <w:t xml:space="preserve">Consejo de Estado, Sala de Consulta y Servicio Civil de fecha 24 de julio de 2013, Radicado 2166, C. P. Álvaro Namén Vargas.  </w:t>
            </w:r>
          </w:p>
          <w:p w14:paraId="1B40A524" w14:textId="77777777" w:rsidR="00C3541E" w:rsidRPr="00437C34" w:rsidRDefault="00C3541E" w:rsidP="00C3541E">
            <w:pPr>
              <w:widowControl w:val="0"/>
              <w:numPr>
                <w:ilvl w:val="0"/>
                <w:numId w:val="20"/>
              </w:numPr>
              <w:autoSpaceDE w:val="0"/>
              <w:autoSpaceDN w:val="0"/>
              <w:spacing w:after="120" w:line="276" w:lineRule="auto"/>
              <w:jc w:val="both"/>
              <w:rPr>
                <w:rFonts w:ascii="Verdana" w:eastAsia="Calibri" w:hAnsi="Verdana" w:cs="Arial"/>
                <w:lang w:val="es-ES"/>
              </w:rPr>
            </w:pPr>
            <w:r w:rsidRPr="00437C34">
              <w:rPr>
                <w:rFonts w:ascii="Verdana" w:eastAsia="Calibri" w:hAnsi="Verdana" w:cs="Arial"/>
                <w:lang w:val="es-ES"/>
              </w:rPr>
              <w:t xml:space="preserve">Consejo de Estado. Sala de Consulta y Servicio Civil. Concepto del 2 de septiembre de 2013. Radicado: 2168. C.P. Álvaro Namén Vargas. </w:t>
            </w:r>
          </w:p>
          <w:p w14:paraId="1A0C07E8" w14:textId="77777777" w:rsidR="00C3541E" w:rsidRPr="00437C34" w:rsidRDefault="00C3541E" w:rsidP="00C3541E">
            <w:pPr>
              <w:widowControl w:val="0"/>
              <w:numPr>
                <w:ilvl w:val="0"/>
                <w:numId w:val="20"/>
              </w:numPr>
              <w:autoSpaceDE w:val="0"/>
              <w:autoSpaceDN w:val="0"/>
              <w:spacing w:after="120" w:line="276" w:lineRule="auto"/>
              <w:jc w:val="both"/>
              <w:rPr>
                <w:rFonts w:ascii="Verdana" w:eastAsia="Calibri" w:hAnsi="Verdana" w:cs="Arial"/>
                <w:lang w:val="es-ES"/>
              </w:rPr>
            </w:pPr>
            <w:r w:rsidRPr="00437C34">
              <w:rPr>
                <w:rFonts w:ascii="Verdana" w:eastAsia="Calibri" w:hAnsi="Verdana" w:cs="Arial"/>
                <w:lang w:val="es-ES"/>
              </w:rPr>
              <w:t>Consejo de Estado. Sala de Consulta y Servicio Civil. Concepto del 08 de mayo de 2018. Radicado. 2.382. C.P. Álvaro Namén Vargas.</w:t>
            </w:r>
          </w:p>
        </w:tc>
      </w:tr>
    </w:tbl>
    <w:p w14:paraId="193AC9C6" w14:textId="77777777" w:rsidR="00C3541E" w:rsidRPr="00437C34" w:rsidRDefault="00C3541E" w:rsidP="00C3541E">
      <w:pPr>
        <w:widowControl w:val="0"/>
        <w:autoSpaceDE w:val="0"/>
        <w:autoSpaceDN w:val="0"/>
        <w:spacing w:after="0" w:line="276" w:lineRule="auto"/>
        <w:jc w:val="both"/>
        <w:rPr>
          <w:rFonts w:ascii="Verdana" w:hAnsi="Verdana" w:cs="Arial"/>
          <w:lang w:val="pt-BR"/>
        </w:rPr>
      </w:pPr>
    </w:p>
    <w:p w14:paraId="7F5B76E9" w14:textId="77777777" w:rsidR="00C3541E" w:rsidRPr="00437C34" w:rsidRDefault="00C3541E" w:rsidP="00C3541E">
      <w:pPr>
        <w:numPr>
          <w:ilvl w:val="0"/>
          <w:numId w:val="19"/>
        </w:numPr>
        <w:tabs>
          <w:tab w:val="left" w:pos="142"/>
          <w:tab w:val="left" w:pos="284"/>
        </w:tabs>
        <w:spacing w:after="0" w:line="276" w:lineRule="auto"/>
        <w:jc w:val="both"/>
        <w:rPr>
          <w:rFonts w:ascii="Verdana" w:eastAsia="Century Gothic" w:hAnsi="Verdana" w:cs="Century Gothic"/>
          <w:b/>
          <w:bCs/>
          <w:lang w:val="es-ES"/>
        </w:rPr>
      </w:pPr>
      <w:r w:rsidRPr="00437C34">
        <w:rPr>
          <w:rFonts w:ascii="Verdana" w:eastAsia="Century Gothic" w:hAnsi="Verdana" w:cs="Century Gothic"/>
          <w:b/>
          <w:bCs/>
          <w:lang w:val="es-ES"/>
        </w:rPr>
        <w:lastRenderedPageBreak/>
        <w:t>Doctrina de la Agencia Nacional de Contratación Pública:</w:t>
      </w:r>
    </w:p>
    <w:p w14:paraId="72EDBB82" w14:textId="77777777" w:rsidR="00C3541E" w:rsidRPr="00437C34" w:rsidRDefault="00C3541E" w:rsidP="00C3541E">
      <w:pPr>
        <w:widowControl w:val="0"/>
        <w:autoSpaceDE w:val="0"/>
        <w:autoSpaceDN w:val="0"/>
        <w:spacing w:after="0" w:line="276" w:lineRule="auto"/>
        <w:jc w:val="both"/>
        <w:rPr>
          <w:rFonts w:ascii="Verdana" w:hAnsi="Verdana" w:cs="Arial"/>
        </w:rPr>
      </w:pPr>
    </w:p>
    <w:p w14:paraId="253F559A" w14:textId="77777777" w:rsidR="00C3541E" w:rsidRPr="00437C34" w:rsidRDefault="00C3541E" w:rsidP="00C3541E">
      <w:pPr>
        <w:widowControl w:val="0"/>
        <w:autoSpaceDE w:val="0"/>
        <w:autoSpaceDN w:val="0"/>
        <w:spacing w:after="0" w:line="276" w:lineRule="auto"/>
        <w:jc w:val="both"/>
        <w:rPr>
          <w:rFonts w:ascii="Verdana" w:hAnsi="Verdana" w:cs="Arial"/>
          <w:bCs/>
          <w:shd w:val="clear" w:color="auto" w:fill="FFFFFF"/>
        </w:rPr>
      </w:pPr>
      <w:r w:rsidRPr="00437C34">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C-1170 del 16 de septiembre de 2025, C-1236 del 17 de octubre de 2025, C-1488 del 30 de octubre de 2025, entre otros. </w:t>
      </w:r>
      <w:r w:rsidRPr="00437C3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9C3B3AA" w14:textId="77777777" w:rsidR="00C3541E" w:rsidRPr="00437C34" w:rsidRDefault="00C3541E" w:rsidP="00C3541E">
      <w:pPr>
        <w:spacing w:after="0" w:line="256" w:lineRule="auto"/>
        <w:jc w:val="both"/>
        <w:rPr>
          <w:rFonts w:ascii="Verdana" w:eastAsia="Calibri" w:hAnsi="Verdana" w:cs="Times New Roman"/>
        </w:rPr>
      </w:pPr>
      <w:hyperlink r:id="rId17" w:history="1">
        <w:r w:rsidRPr="00437C34">
          <w:rPr>
            <w:rFonts w:ascii="Verdana" w:eastAsia="Calibri" w:hAnsi="Verdana" w:cs="Times New Roman"/>
            <w:color w:val="0000FF"/>
            <w:u w:val="single"/>
            <w:lang w:val="es-ES"/>
          </w:rPr>
          <w:t>https://relatoria.colombiacompra.gov.co/busqueda/conceptos</w:t>
        </w:r>
      </w:hyperlink>
      <w:r w:rsidRPr="00437C34">
        <w:rPr>
          <w:rFonts w:ascii="Verdana" w:eastAsia="Calibri" w:hAnsi="Verdana" w:cs="Times New Roman"/>
        </w:rPr>
        <w:t xml:space="preserve">. </w:t>
      </w:r>
    </w:p>
    <w:p w14:paraId="33D03582" w14:textId="77777777" w:rsidR="00C3541E" w:rsidRPr="00437C34" w:rsidRDefault="00C3541E" w:rsidP="00C3541E">
      <w:pPr>
        <w:widowControl w:val="0"/>
        <w:autoSpaceDE w:val="0"/>
        <w:autoSpaceDN w:val="0"/>
        <w:spacing w:after="0" w:line="276" w:lineRule="auto"/>
        <w:jc w:val="both"/>
        <w:rPr>
          <w:rFonts w:ascii="Verdana" w:eastAsia="Calibri" w:hAnsi="Verdana" w:cs="Arial"/>
          <w:color w:val="FF0000"/>
          <w:shd w:val="clear" w:color="auto" w:fill="FFFFFF"/>
          <w:lang w:val="es-ES_tradnl"/>
        </w:rPr>
      </w:pPr>
    </w:p>
    <w:p w14:paraId="55A19145" w14:textId="77777777" w:rsidR="00C3541E" w:rsidRPr="00437C34" w:rsidRDefault="00C3541E" w:rsidP="00C3541E">
      <w:pPr>
        <w:jc w:val="both"/>
        <w:rPr>
          <w:rFonts w:ascii="Verdana" w:hAnsi="Verdana"/>
        </w:rPr>
      </w:pPr>
      <w:r w:rsidRPr="00437C34">
        <w:rPr>
          <w:rFonts w:ascii="Verdana" w:hAnsi="Verdana"/>
        </w:rPr>
        <w:t xml:space="preserve">La sostenibilidad no es una opción, es una obligación. Por ello, la Agencia Nacional de Contratación Pública –Colombia Compra Eficiente– te invita a realizar el </w:t>
      </w:r>
      <w:r w:rsidRPr="00437C34">
        <w:rPr>
          <w:rFonts w:ascii="Verdana" w:hAnsi="Verdana"/>
          <w:b/>
          <w:bCs/>
        </w:rPr>
        <w:t>Curso de Contratación Pública Sostenible y Socialmente Responsable</w:t>
      </w:r>
      <w:r w:rsidRPr="00437C3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37C34">
        <w:rPr>
          <w:rFonts w:ascii="Verdana" w:hAnsi="Verdana"/>
        </w:rPr>
        <w:br/>
      </w:r>
      <w:hyperlink r:id="rId18" w:tgtFrame="_new" w:history="1">
        <w:r w:rsidRPr="00437C34">
          <w:rPr>
            <w:rFonts w:ascii="Verdana" w:hAnsi="Verdana"/>
            <w:color w:val="0000FF"/>
            <w:u w:val="single"/>
          </w:rPr>
          <w:t>https://formacionvirtual.colombiacompra.gov.co/mod/page/view.php?id=3718</w:t>
        </w:r>
      </w:hyperlink>
    </w:p>
    <w:p w14:paraId="324EE420" w14:textId="77777777" w:rsidR="00C3541E" w:rsidRPr="00437C34" w:rsidRDefault="00C3541E" w:rsidP="00C3541E">
      <w:pPr>
        <w:jc w:val="both"/>
        <w:rPr>
          <w:rFonts w:ascii="Verdana" w:hAnsi="Verdana"/>
        </w:rPr>
      </w:pPr>
      <w:r w:rsidRPr="00437C34">
        <w:rPr>
          <w:rFonts w:ascii="Verdana" w:hAnsi="Verdana"/>
        </w:rPr>
        <w:t xml:space="preserve">De otro lado, te contamos que esta Agencia ha da un paso decisivo en la estandarización y modernización del </w:t>
      </w:r>
      <w:r w:rsidRPr="00437C34">
        <w:rPr>
          <w:rFonts w:ascii="Verdana" w:hAnsi="Verdana"/>
          <w:b/>
          <w:bCs/>
        </w:rPr>
        <w:t>sector  social</w:t>
      </w:r>
      <w:r w:rsidRPr="00437C34">
        <w:rPr>
          <w:rFonts w:ascii="Verdana" w:hAnsi="Verdana"/>
        </w:rPr>
        <w:t xml:space="preserve"> con la expedición de las </w:t>
      </w:r>
      <w:r w:rsidRPr="00437C34">
        <w:rPr>
          <w:rFonts w:ascii="Verdana" w:hAnsi="Verdana"/>
          <w:b/>
          <w:bCs/>
        </w:rPr>
        <w:t>Resoluciones 539, 540, 541, 952 y 953 de 2025</w:t>
      </w:r>
      <w:r w:rsidRPr="00437C34">
        <w:rPr>
          <w:rFonts w:ascii="Verdana" w:hAnsi="Verdana"/>
        </w:rPr>
        <w:t xml:space="preserve">, </w:t>
      </w:r>
      <w:r w:rsidRPr="00437C34">
        <w:rPr>
          <w:rFonts w:ascii="Verdana" w:hAnsi="Verdana"/>
          <w:b/>
          <w:bCs/>
        </w:rPr>
        <w:t>mediante las cuales adoptó Documentos Tipo</w:t>
      </w:r>
      <w:r w:rsidRPr="00437C34">
        <w:rPr>
          <w:rFonts w:ascii="Verdana" w:hAnsi="Verdana"/>
        </w:rPr>
        <w:t xml:space="preserve"> para las modalidades de selección de</w:t>
      </w:r>
      <w:r w:rsidRPr="00437C34">
        <w:rPr>
          <w:rFonts w:ascii="Verdana" w:hAnsi="Verdana"/>
          <w:b/>
          <w:bCs/>
        </w:rPr>
        <w:t xml:space="preserve"> licitación </w:t>
      </w:r>
      <w:r w:rsidRPr="00437C34">
        <w:rPr>
          <w:rFonts w:ascii="Verdana" w:hAnsi="Verdana"/>
          <w:b/>
          <w:bCs/>
        </w:rPr>
        <w:lastRenderedPageBreak/>
        <w:t>pública (versión 2), selección abreviada de menor cuantía, mínima cuantía, consultoría e interventoría</w:t>
      </w:r>
      <w:r w:rsidRPr="00437C3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437C34">
          <w:rPr>
            <w:rFonts w:ascii="Verdana" w:hAnsi="Verdana"/>
            <w:color w:val="0000FF"/>
            <w:u w:val="single"/>
          </w:rPr>
          <w:t>https://www.colombiacompra.gov.co/normativa-y-relatoria/documentos-tipo</w:t>
        </w:r>
      </w:hyperlink>
    </w:p>
    <w:p w14:paraId="17927439" w14:textId="77777777" w:rsidR="00C3541E" w:rsidRPr="00437C34" w:rsidRDefault="00C3541E" w:rsidP="00C3541E">
      <w:pPr>
        <w:jc w:val="both"/>
        <w:rPr>
          <w:rFonts w:ascii="Verdana" w:hAnsi="Verdana"/>
          <w:color w:val="000000"/>
          <w:lang w:val="es-ES_tradnl"/>
        </w:rPr>
      </w:pPr>
      <w:r w:rsidRPr="00437C34">
        <w:rPr>
          <w:rFonts w:ascii="Verdana" w:hAnsi="Verdana"/>
        </w:rPr>
        <w:t xml:space="preserve">Si quieres conocer más sobre la aplicación de Documentos Tipo puedes consultar la última versión de la </w:t>
      </w:r>
      <w:r w:rsidRPr="00437C34">
        <w:rPr>
          <w:rFonts w:ascii="Verdana" w:hAnsi="Verdana"/>
          <w:b/>
          <w:bCs/>
        </w:rPr>
        <w:t>Guía para la comprensión e implementación de los Documentos Tipo de obra pública de infraestructura de transporte</w:t>
      </w:r>
      <w:r w:rsidRPr="00437C3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37C34">
        <w:rPr>
          <w:rFonts w:ascii="Verdana" w:hAnsi="Verdana"/>
        </w:rPr>
        <w:br/>
      </w:r>
      <w:hyperlink r:id="rId20" w:tgtFrame="_new" w:history="1">
        <w:r w:rsidRPr="00437C3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688164F4" w14:textId="77777777" w:rsidR="00C3541E" w:rsidRPr="00437C34" w:rsidRDefault="00C3541E" w:rsidP="00C3541E">
      <w:pPr>
        <w:spacing w:after="0"/>
        <w:jc w:val="both"/>
        <w:rPr>
          <w:rFonts w:ascii="Verdana" w:hAnsi="Verdana"/>
        </w:rPr>
      </w:pPr>
      <w:r w:rsidRPr="00437C3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70AD1F6" w14:textId="77777777" w:rsidR="00C3541E" w:rsidRPr="00437C34" w:rsidRDefault="00C3541E" w:rsidP="00C3541E">
      <w:pPr>
        <w:spacing w:after="0"/>
        <w:jc w:val="both"/>
        <w:rPr>
          <w:rFonts w:ascii="Verdana" w:hAnsi="Verdana"/>
        </w:rPr>
      </w:pPr>
    </w:p>
    <w:p w14:paraId="0525A4BC" w14:textId="77777777" w:rsidR="00C3541E" w:rsidRPr="00437C34" w:rsidRDefault="00C3541E" w:rsidP="00C3541E">
      <w:pPr>
        <w:numPr>
          <w:ilvl w:val="0"/>
          <w:numId w:val="15"/>
        </w:numPr>
        <w:spacing w:after="0" w:line="240" w:lineRule="auto"/>
        <w:contextualSpacing/>
        <w:jc w:val="both"/>
        <w:rPr>
          <w:rFonts w:ascii="Verdana" w:eastAsia="Verdana" w:hAnsi="Verdana" w:cs="Verdana"/>
          <w:color w:val="4472C4" w:themeColor="accent1"/>
          <w:u w:val="single"/>
          <w:lang w:val="es-MX"/>
        </w:rPr>
      </w:pPr>
      <w:r w:rsidRPr="00437C34">
        <w:rPr>
          <w:rFonts w:ascii="Verdana" w:eastAsia="Verdana" w:hAnsi="Verdana" w:cs="Verdana"/>
          <w:lang w:val="es-MX"/>
        </w:rPr>
        <w:t xml:space="preserve">Línea nacional gratuita o servicio a la ciudadanía (Mesa de servicio): </w:t>
      </w:r>
      <w:r w:rsidRPr="00437C34">
        <w:rPr>
          <w:rFonts w:ascii="Verdana" w:hAnsi="Verdana"/>
          <w:color w:val="0000FF"/>
          <w:u w:val="single"/>
          <w:lang w:val="es-ES"/>
        </w:rPr>
        <w:t>01800 0520808</w:t>
      </w:r>
    </w:p>
    <w:p w14:paraId="102D7606" w14:textId="77777777" w:rsidR="00C3541E" w:rsidRPr="00437C34" w:rsidRDefault="00C3541E" w:rsidP="00C3541E">
      <w:pPr>
        <w:numPr>
          <w:ilvl w:val="0"/>
          <w:numId w:val="15"/>
        </w:numPr>
        <w:spacing w:after="0" w:line="256" w:lineRule="auto"/>
        <w:contextualSpacing/>
        <w:rPr>
          <w:rFonts w:ascii="Verdana" w:eastAsia="Verdana" w:hAnsi="Verdana" w:cs="Verdana"/>
          <w:color w:val="4472C4" w:themeColor="accent1"/>
          <w:u w:val="single"/>
          <w:lang w:val="es-MX"/>
        </w:rPr>
      </w:pPr>
      <w:r w:rsidRPr="00437C34">
        <w:rPr>
          <w:rFonts w:ascii="Verdana" w:eastAsia="Verdana" w:hAnsi="Verdana" w:cs="Verdana"/>
          <w:lang w:val="es-MX"/>
        </w:rPr>
        <w:t>Línea en Bogotá (Mesa de servicio</w:t>
      </w:r>
      <w:proofErr w:type="gramStart"/>
      <w:r w:rsidRPr="00437C34">
        <w:rPr>
          <w:rFonts w:ascii="Verdana" w:eastAsia="Verdana" w:hAnsi="Verdana" w:cs="Verdana"/>
          <w:lang w:val="es-MX"/>
        </w:rPr>
        <w:t>):</w:t>
      </w:r>
      <w:r w:rsidRPr="00437C34">
        <w:rPr>
          <w:rFonts w:ascii="Verdana" w:hAnsi="Verdana"/>
          <w:color w:val="0000FF"/>
          <w:u w:val="single"/>
          <w:lang w:val="es-ES"/>
        </w:rPr>
        <w:t>+</w:t>
      </w:r>
      <w:proofErr w:type="gramEnd"/>
      <w:r w:rsidRPr="00437C34">
        <w:rPr>
          <w:rFonts w:ascii="Verdana" w:hAnsi="Verdana"/>
          <w:color w:val="0000FF"/>
          <w:u w:val="single"/>
          <w:lang w:val="es-ES"/>
        </w:rPr>
        <w:t>57 601 7456788</w:t>
      </w:r>
    </w:p>
    <w:p w14:paraId="3B1580B9" w14:textId="77777777" w:rsidR="00C3541E" w:rsidRPr="00437C34" w:rsidRDefault="00C3541E" w:rsidP="00C3541E">
      <w:pPr>
        <w:numPr>
          <w:ilvl w:val="0"/>
          <w:numId w:val="15"/>
        </w:numPr>
        <w:spacing w:after="0" w:line="256" w:lineRule="auto"/>
        <w:contextualSpacing/>
        <w:rPr>
          <w:rFonts w:ascii="Verdana" w:eastAsia="Verdana" w:hAnsi="Verdana" w:cs="Verdana"/>
          <w:color w:val="0000FF"/>
          <w:u w:val="single"/>
          <w:lang w:val="es-MX"/>
        </w:rPr>
      </w:pPr>
      <w:r w:rsidRPr="00437C34">
        <w:rPr>
          <w:rFonts w:ascii="Verdana" w:eastAsia="Verdana" w:hAnsi="Verdana" w:cs="Verdana"/>
          <w:lang w:val="es-MX"/>
        </w:rPr>
        <w:t xml:space="preserve">Correo de radicación de correspondencia: </w:t>
      </w:r>
      <w:hyperlink r:id="rId21" w:history="1">
        <w:r w:rsidRPr="00437C34">
          <w:rPr>
            <w:rFonts w:ascii="Verdana" w:eastAsia="Verdana" w:hAnsi="Verdana" w:cs="Verdana"/>
            <w:color w:val="0000FF"/>
            <w:u w:val="single"/>
            <w:lang w:val="es-MX"/>
          </w:rPr>
          <w:t>ventanilladeradicacion@colombiacompra.gov.co</w:t>
        </w:r>
      </w:hyperlink>
    </w:p>
    <w:p w14:paraId="42F80A0E" w14:textId="77777777" w:rsidR="00C3541E" w:rsidRPr="00437C34" w:rsidRDefault="00C3541E" w:rsidP="00C3541E">
      <w:pPr>
        <w:numPr>
          <w:ilvl w:val="0"/>
          <w:numId w:val="15"/>
        </w:numPr>
        <w:spacing w:after="0" w:line="256" w:lineRule="auto"/>
        <w:contextualSpacing/>
        <w:rPr>
          <w:rFonts w:ascii="Verdana" w:eastAsia="Verdana" w:hAnsi="Verdana" w:cs="Verdana"/>
          <w:color w:val="0000FF"/>
          <w:u w:val="single"/>
          <w:lang w:val="es-MX"/>
        </w:rPr>
      </w:pPr>
      <w:r w:rsidRPr="00437C34">
        <w:rPr>
          <w:rFonts w:ascii="Verdana" w:eastAsia="Verdana" w:hAnsi="Verdana" w:cs="Verdana"/>
          <w:lang w:val="es-ES"/>
        </w:rPr>
        <w:t xml:space="preserve">Formulario web para PQRSD: </w:t>
      </w:r>
      <w:hyperlink r:id="rId22" w:history="1">
        <w:r w:rsidRPr="00437C34">
          <w:rPr>
            <w:rFonts w:ascii="Verdana" w:eastAsia="Verdana" w:hAnsi="Verdana" w:cs="Verdana"/>
            <w:color w:val="0000FF"/>
            <w:u w:val="single"/>
            <w:lang w:val="es-MX"/>
          </w:rPr>
          <w:t>https://www.colombiacompra.gov.co/pqrsd/informacion-importante-antes-de-formular-una-pqrsd</w:t>
        </w:r>
      </w:hyperlink>
    </w:p>
    <w:p w14:paraId="40A6948D" w14:textId="77777777" w:rsidR="00C3541E" w:rsidRPr="00437C34" w:rsidRDefault="00C3541E" w:rsidP="00C3541E">
      <w:pPr>
        <w:spacing w:after="0" w:line="240" w:lineRule="auto"/>
        <w:ind w:left="720"/>
        <w:jc w:val="both"/>
        <w:rPr>
          <w:rFonts w:ascii="Verdana" w:hAnsi="Verdana"/>
        </w:rPr>
      </w:pPr>
    </w:p>
    <w:p w14:paraId="519DBA6A" w14:textId="77777777" w:rsidR="00C3541E" w:rsidRPr="00437C34" w:rsidRDefault="00C3541E" w:rsidP="00C3541E">
      <w:pPr>
        <w:spacing w:after="0" w:line="240" w:lineRule="auto"/>
        <w:rPr>
          <w:rFonts w:ascii="Verdana" w:hAnsi="Verdana"/>
        </w:rPr>
      </w:pPr>
      <w:r w:rsidRPr="00437C34">
        <w:rPr>
          <w:rFonts w:ascii="Verdana" w:hAnsi="Verdana"/>
        </w:rPr>
        <w:t xml:space="preserve">Evalúa el servicio que ofrece la Agencia por el canal de atención de PQRSD en el siguiente </w:t>
      </w:r>
      <w:proofErr w:type="gramStart"/>
      <w:r w:rsidRPr="00437C34">
        <w:rPr>
          <w:rFonts w:ascii="Verdana" w:hAnsi="Verdana"/>
        </w:rPr>
        <w:t>enlace :</w:t>
      </w:r>
      <w:proofErr w:type="gramEnd"/>
      <w:hyperlink r:id="rId23" w:tgtFrame="_blank" w:tooltip="https://forms.office.com/r/pphywvs2sz" w:history="1">
        <w:r w:rsidRPr="00437C34">
          <w:rPr>
            <w:rFonts w:ascii="Verdana" w:hAnsi="Verdana"/>
            <w:color w:val="0000FF"/>
            <w:u w:val="single"/>
          </w:rPr>
          <w:t>https://forms.office.com/r/pPHyWVs2SZ</w:t>
        </w:r>
      </w:hyperlink>
      <w:r w:rsidRPr="00437C34">
        <w:rPr>
          <w:rFonts w:ascii="Verdana" w:hAnsi="Verdana"/>
        </w:rPr>
        <w:t xml:space="preserve"> .¡Ayúdanos a mejorar porque el compromiso es de todos!</w:t>
      </w:r>
    </w:p>
    <w:p w14:paraId="2B056281" w14:textId="77777777" w:rsidR="00C3541E" w:rsidRPr="00437C34" w:rsidRDefault="00C3541E" w:rsidP="00C3541E">
      <w:pPr>
        <w:spacing w:after="0" w:line="240" w:lineRule="auto"/>
        <w:rPr>
          <w:rFonts w:ascii="Verdana" w:hAnsi="Verdana"/>
        </w:rPr>
      </w:pPr>
    </w:p>
    <w:p w14:paraId="08A0BB38" w14:textId="77777777" w:rsidR="00C3541E" w:rsidRPr="00437C34" w:rsidRDefault="00C3541E" w:rsidP="00C3541E">
      <w:pPr>
        <w:spacing w:after="0" w:line="240" w:lineRule="auto"/>
        <w:jc w:val="both"/>
        <w:rPr>
          <w:rFonts w:ascii="Verdana" w:hAnsi="Verdana"/>
        </w:rPr>
      </w:pPr>
      <w:r w:rsidRPr="00437C34">
        <w:rPr>
          <w:rFonts w:ascii="Verdana" w:hAnsi="Verdana"/>
        </w:rPr>
        <w:t xml:space="preserve">Por último, lo invitamos a seguirnos en las redes sociales en las cuales se difunde información institucional: </w:t>
      </w:r>
    </w:p>
    <w:p w14:paraId="193B0A58" w14:textId="77777777" w:rsidR="00C3541E" w:rsidRPr="00437C34" w:rsidRDefault="00C3541E" w:rsidP="00C3541E">
      <w:pPr>
        <w:spacing w:after="0" w:line="240" w:lineRule="auto"/>
        <w:jc w:val="both"/>
        <w:rPr>
          <w:rFonts w:ascii="Verdana" w:hAnsi="Verdana"/>
        </w:rPr>
      </w:pPr>
    </w:p>
    <w:p w14:paraId="090891E3" w14:textId="77777777" w:rsidR="00C3541E" w:rsidRPr="00437C34" w:rsidRDefault="00C3541E" w:rsidP="00C3541E">
      <w:pPr>
        <w:spacing w:after="0" w:line="240" w:lineRule="auto"/>
        <w:jc w:val="both"/>
        <w:rPr>
          <w:rFonts w:ascii="Verdana" w:hAnsi="Verdana"/>
        </w:rPr>
      </w:pPr>
      <w:r w:rsidRPr="00437C34">
        <w:rPr>
          <w:rFonts w:ascii="Verdana" w:hAnsi="Verdana"/>
        </w:rPr>
        <w:t xml:space="preserve">Twitter: </w:t>
      </w:r>
      <w:r w:rsidRPr="00437C34">
        <w:rPr>
          <w:rFonts w:ascii="Verdana" w:hAnsi="Verdana"/>
          <w:color w:val="0000FF"/>
          <w:u w:val="single"/>
        </w:rPr>
        <w:t>@colombiacompra</w:t>
      </w:r>
      <w:r w:rsidRPr="00437C34">
        <w:rPr>
          <w:rFonts w:ascii="Verdana" w:hAnsi="Verdana"/>
        </w:rPr>
        <w:t xml:space="preserve"> </w:t>
      </w:r>
    </w:p>
    <w:p w14:paraId="28D1629F" w14:textId="77777777" w:rsidR="00C3541E" w:rsidRPr="00437C34" w:rsidRDefault="00C3541E" w:rsidP="00C3541E">
      <w:pPr>
        <w:spacing w:after="0" w:line="240" w:lineRule="auto"/>
        <w:jc w:val="both"/>
        <w:rPr>
          <w:rFonts w:ascii="Verdana" w:hAnsi="Verdana"/>
        </w:rPr>
      </w:pPr>
      <w:r w:rsidRPr="00437C34">
        <w:rPr>
          <w:rFonts w:ascii="Verdana" w:hAnsi="Verdana"/>
        </w:rPr>
        <w:t xml:space="preserve">Facebook: </w:t>
      </w:r>
      <w:proofErr w:type="spellStart"/>
      <w:r w:rsidRPr="00437C34">
        <w:rPr>
          <w:rFonts w:ascii="Verdana" w:hAnsi="Verdana"/>
          <w:color w:val="0000FF"/>
          <w:u w:val="single"/>
        </w:rPr>
        <w:t>ColombiaCompraEficiente</w:t>
      </w:r>
      <w:proofErr w:type="spellEnd"/>
    </w:p>
    <w:p w14:paraId="03C1273C" w14:textId="77777777" w:rsidR="00C3541E" w:rsidRPr="00437C34" w:rsidRDefault="00C3541E" w:rsidP="00C3541E">
      <w:pPr>
        <w:spacing w:after="0" w:line="240" w:lineRule="auto"/>
        <w:jc w:val="both"/>
        <w:rPr>
          <w:rFonts w:ascii="Verdana" w:hAnsi="Verdana"/>
        </w:rPr>
      </w:pPr>
      <w:r w:rsidRPr="00437C34">
        <w:rPr>
          <w:rFonts w:ascii="Verdana" w:hAnsi="Verdana"/>
        </w:rPr>
        <w:t xml:space="preserve">LinkedIn: </w:t>
      </w:r>
      <w:r w:rsidRPr="00437C34">
        <w:rPr>
          <w:rFonts w:ascii="Verdana" w:hAnsi="Verdana"/>
          <w:color w:val="0000FF"/>
          <w:u w:val="single"/>
        </w:rPr>
        <w:t>Agencia Nacional de Contratación Pública - Colombia Compra Eficiente</w:t>
      </w:r>
      <w:r w:rsidRPr="00437C34">
        <w:rPr>
          <w:rFonts w:ascii="Verdana" w:hAnsi="Verdana"/>
        </w:rPr>
        <w:t xml:space="preserve"> Instagram: </w:t>
      </w:r>
      <w:r w:rsidRPr="00437C34">
        <w:rPr>
          <w:rFonts w:ascii="Verdana" w:hAnsi="Verdana"/>
          <w:color w:val="0000FF"/>
          <w:u w:val="single"/>
        </w:rPr>
        <w:t>@colombiacompraeficiente_cce</w:t>
      </w:r>
    </w:p>
    <w:p w14:paraId="240AE87D" w14:textId="77777777" w:rsidR="00C3541E" w:rsidRPr="00437C34" w:rsidRDefault="00C3541E" w:rsidP="00C3541E">
      <w:pPr>
        <w:widowControl w:val="0"/>
        <w:autoSpaceDE w:val="0"/>
        <w:autoSpaceDN w:val="0"/>
        <w:spacing w:after="120" w:line="276" w:lineRule="auto"/>
        <w:jc w:val="both"/>
        <w:rPr>
          <w:rFonts w:ascii="Verdana" w:hAnsi="Verdana" w:cs="Arial"/>
          <w:color w:val="FF0000"/>
          <w:shd w:val="clear" w:color="auto" w:fill="FFFFFF"/>
          <w:lang w:val="es-ES_tradnl"/>
        </w:rPr>
      </w:pPr>
      <w:r w:rsidRPr="00437C34">
        <w:rPr>
          <w:rFonts w:ascii="Verdana" w:hAnsi="Verdana" w:cs="Arial"/>
          <w:color w:val="FF0000"/>
          <w:shd w:val="clear" w:color="auto" w:fill="FFFFFF"/>
          <w:lang w:val="es-ES_tradnl"/>
        </w:rPr>
        <w:t xml:space="preserve">              </w:t>
      </w:r>
    </w:p>
    <w:p w14:paraId="5185C605" w14:textId="77777777" w:rsidR="00C3541E" w:rsidRPr="00437C34" w:rsidRDefault="00C3541E" w:rsidP="00C3541E">
      <w:pPr>
        <w:widowControl w:val="0"/>
        <w:autoSpaceDE w:val="0"/>
        <w:autoSpaceDN w:val="0"/>
        <w:spacing w:after="0" w:line="276" w:lineRule="auto"/>
        <w:jc w:val="both"/>
        <w:rPr>
          <w:rFonts w:ascii="Verdana" w:hAnsi="Verdana" w:cs="Arial"/>
          <w:lang w:val="es-ES_tradnl"/>
        </w:rPr>
      </w:pPr>
      <w:r w:rsidRPr="00437C34">
        <w:rPr>
          <w:rFonts w:ascii="Verdana" w:hAnsi="Verdana" w:cs="Arial"/>
        </w:rPr>
        <w:t xml:space="preserve">Este concepto tiene el alcance previsto en el artículo 28 del Código de Procedimiento Administrativo y de lo Contencioso Administrativo </w:t>
      </w:r>
      <w:r w:rsidRPr="00437C34">
        <w:rPr>
          <w:rFonts w:ascii="Verdana" w:hAnsi="Verdana" w:cs="Arial"/>
          <w:lang w:val="es-ES_tradnl"/>
        </w:rPr>
        <w:t>y las expresiones aquí utilizadas con mayúscula inicial deben ser entendidas con el significado que les otorga el artículo 2.2.1.1.1.3.1. del Decreto 1082 de 2015.</w:t>
      </w:r>
    </w:p>
    <w:p w14:paraId="140A9A04" w14:textId="77777777" w:rsidR="00C3541E" w:rsidRPr="00437C34" w:rsidRDefault="00C3541E" w:rsidP="00C3541E">
      <w:pPr>
        <w:widowControl w:val="0"/>
        <w:autoSpaceDE w:val="0"/>
        <w:autoSpaceDN w:val="0"/>
        <w:spacing w:after="0" w:line="276" w:lineRule="auto"/>
        <w:jc w:val="both"/>
        <w:rPr>
          <w:rFonts w:ascii="Verdana" w:hAnsi="Verdana" w:cs="Arial"/>
        </w:rPr>
      </w:pPr>
    </w:p>
    <w:p w14:paraId="75C34A04" w14:textId="77777777" w:rsidR="00C3541E" w:rsidRPr="00437C34" w:rsidRDefault="00C3541E" w:rsidP="00C3541E">
      <w:pPr>
        <w:spacing w:after="0" w:line="240" w:lineRule="auto"/>
        <w:rPr>
          <w:rFonts w:ascii="Verdana" w:hAnsi="Verdana" w:cs="Arial"/>
          <w:lang w:eastAsia="es-CO"/>
        </w:rPr>
      </w:pPr>
      <w:r w:rsidRPr="00437C34">
        <w:rPr>
          <w:rFonts w:ascii="Verdana" w:eastAsia="Times New Roman" w:hAnsi="Verdana" w:cs="Arial"/>
          <w:lang w:eastAsia="es-CO"/>
        </w:rPr>
        <w:t>Atentamente,</w:t>
      </w:r>
      <w:r w:rsidRPr="00437C34">
        <w:rPr>
          <w:rFonts w:ascii="Verdana" w:hAnsi="Verdana" w:cs="Arial"/>
          <w:lang w:eastAsia="es-CO"/>
        </w:rPr>
        <w:t xml:space="preserve"> </w:t>
      </w:r>
    </w:p>
    <w:p w14:paraId="5FFB6EFE" w14:textId="2B8F6DF3" w:rsidR="00C3541E" w:rsidRPr="00437C34" w:rsidRDefault="00BF33BA" w:rsidP="00C3541E">
      <w:pPr>
        <w:spacing w:line="276" w:lineRule="auto"/>
        <w:jc w:val="center"/>
        <w:rPr>
          <w:rFonts w:ascii="Verdana" w:hAnsi="Verdana" w:cs="Arial"/>
          <w:color w:val="000000"/>
          <w:lang w:val="es-ES_tradnl" w:eastAsia="es-CO"/>
        </w:rPr>
      </w:pPr>
      <w:r>
        <w:rPr>
          <w:noProof/>
        </w:rPr>
        <w:drawing>
          <wp:inline distT="0" distB="0" distL="0" distR="0" wp14:anchorId="3879CA3C" wp14:editId="33503A29">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3541E" w:rsidRPr="00437C34" w14:paraId="5ACF4DE6" w14:textId="77777777" w:rsidTr="00296B97">
        <w:trPr>
          <w:trHeight w:val="315"/>
        </w:trPr>
        <w:tc>
          <w:tcPr>
            <w:tcW w:w="893" w:type="dxa"/>
            <w:vAlign w:val="center"/>
            <w:hideMark/>
          </w:tcPr>
          <w:p w14:paraId="4BDDE3B5" w14:textId="77777777" w:rsidR="00C3541E" w:rsidRPr="00437C34" w:rsidRDefault="00C3541E" w:rsidP="00296B97">
            <w:pPr>
              <w:contextualSpacing/>
              <w:rPr>
                <w:rFonts w:ascii="Verdana" w:hAnsi="Verdana" w:cs="Arial"/>
                <w:sz w:val="16"/>
                <w:szCs w:val="16"/>
                <w:lang w:val="es-ES" w:eastAsia="es-ES"/>
              </w:rPr>
            </w:pPr>
            <w:r w:rsidRPr="00437C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758401" w14:textId="77777777" w:rsidR="00C3541E" w:rsidRPr="00437C34" w:rsidRDefault="00C3541E" w:rsidP="00296B97">
            <w:pPr>
              <w:contextualSpacing/>
              <w:rPr>
                <w:rFonts w:ascii="Verdana" w:hAnsi="Verdana"/>
                <w:sz w:val="16"/>
                <w:szCs w:val="16"/>
              </w:rPr>
            </w:pPr>
            <w:r w:rsidRPr="00437C34">
              <w:rPr>
                <w:rFonts w:ascii="Verdana" w:hAnsi="Verdana"/>
                <w:sz w:val="16"/>
                <w:szCs w:val="16"/>
              </w:rPr>
              <w:t>Tatiana Baquero Iguarán</w:t>
            </w:r>
          </w:p>
          <w:p w14:paraId="2955C766" w14:textId="77777777" w:rsidR="00C3541E" w:rsidRPr="00437C34" w:rsidRDefault="00C3541E" w:rsidP="00296B97">
            <w:pPr>
              <w:contextualSpacing/>
              <w:rPr>
                <w:rFonts w:ascii="Verdana" w:eastAsia="Arial" w:hAnsi="Verdana" w:cs="Arial"/>
                <w:sz w:val="16"/>
                <w:szCs w:val="16"/>
              </w:rPr>
            </w:pPr>
            <w:r w:rsidRPr="00437C34">
              <w:rPr>
                <w:rFonts w:ascii="Verdana" w:hAnsi="Verdana"/>
                <w:sz w:val="16"/>
                <w:szCs w:val="16"/>
              </w:rPr>
              <w:t>Contratista de la Subdirección de Gestión Contractual</w:t>
            </w:r>
          </w:p>
        </w:tc>
      </w:tr>
      <w:tr w:rsidR="00C3541E" w:rsidRPr="00437C34" w14:paraId="51BCEF18" w14:textId="77777777" w:rsidTr="00296B97">
        <w:trPr>
          <w:trHeight w:val="330"/>
        </w:trPr>
        <w:tc>
          <w:tcPr>
            <w:tcW w:w="893" w:type="dxa"/>
            <w:vAlign w:val="center"/>
            <w:hideMark/>
          </w:tcPr>
          <w:p w14:paraId="5DEC5315" w14:textId="77777777" w:rsidR="00C3541E" w:rsidRPr="00437C34" w:rsidRDefault="00C3541E" w:rsidP="00296B97">
            <w:pPr>
              <w:contextualSpacing/>
              <w:rPr>
                <w:rFonts w:ascii="Verdana" w:hAnsi="Verdana" w:cs="Arial"/>
                <w:sz w:val="16"/>
                <w:szCs w:val="16"/>
                <w:lang w:val="es-ES" w:eastAsia="es-ES"/>
              </w:rPr>
            </w:pPr>
            <w:r w:rsidRPr="00437C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3C475C" w14:textId="77777777" w:rsidR="00C3541E" w:rsidRPr="00437C34" w:rsidRDefault="00C3541E" w:rsidP="00296B97">
            <w:pPr>
              <w:spacing w:before="100" w:beforeAutospacing="1" w:afterAutospacing="1"/>
              <w:contextualSpacing/>
              <w:textAlignment w:val="baseline"/>
              <w:rPr>
                <w:rFonts w:ascii="Verdana" w:eastAsia="Times New Roman" w:hAnsi="Verdana" w:cs="Arial"/>
                <w:sz w:val="16"/>
                <w:szCs w:val="16"/>
                <w:lang w:val="es-ES" w:eastAsia="es-ES_tradnl"/>
              </w:rPr>
            </w:pPr>
            <w:r w:rsidRPr="00437C34">
              <w:rPr>
                <w:rFonts w:ascii="Verdana" w:eastAsia="Times New Roman" w:hAnsi="Verdana" w:cs="Arial"/>
                <w:sz w:val="16"/>
                <w:szCs w:val="16"/>
                <w:lang w:val="es-ES" w:eastAsia="es-ES_tradnl"/>
              </w:rPr>
              <w:t>Alejandro Sarmiento Cantillo</w:t>
            </w:r>
          </w:p>
          <w:p w14:paraId="798A827D" w14:textId="77777777" w:rsidR="00C3541E" w:rsidRPr="00437C34" w:rsidRDefault="00C3541E" w:rsidP="00296B97">
            <w:pPr>
              <w:contextualSpacing/>
              <w:textAlignment w:val="baseline"/>
              <w:rPr>
                <w:rFonts w:ascii="Verdana" w:eastAsia="Times New Roman" w:hAnsi="Verdana" w:cs="Segoe UI"/>
                <w:sz w:val="16"/>
                <w:szCs w:val="16"/>
                <w:lang w:eastAsia="es-ES_tradnl"/>
              </w:rPr>
            </w:pPr>
            <w:r w:rsidRPr="00437C34">
              <w:rPr>
                <w:rFonts w:ascii="Verdana" w:eastAsia="Times New Roman" w:hAnsi="Verdana" w:cs="Arial"/>
                <w:sz w:val="16"/>
                <w:szCs w:val="16"/>
                <w:lang w:val="es-ES" w:eastAsia="es-ES_tradnl"/>
              </w:rPr>
              <w:t>Gestor T1 ‒ 15 de la Subdirección de Gestión Contractual</w:t>
            </w:r>
            <w:r w:rsidRPr="00437C34">
              <w:rPr>
                <w:rFonts w:ascii="Verdana" w:eastAsia="Times New Roman" w:hAnsi="Verdana" w:cs="Arial"/>
                <w:sz w:val="16"/>
                <w:szCs w:val="16"/>
                <w:lang w:eastAsia="es-ES_tradnl"/>
              </w:rPr>
              <w:t> </w:t>
            </w:r>
          </w:p>
        </w:tc>
      </w:tr>
      <w:tr w:rsidR="00C3541E" w:rsidRPr="00437C34" w14:paraId="5BE1CDC5" w14:textId="77777777" w:rsidTr="00296B97">
        <w:trPr>
          <w:trHeight w:val="300"/>
        </w:trPr>
        <w:tc>
          <w:tcPr>
            <w:tcW w:w="893" w:type="dxa"/>
            <w:vAlign w:val="center"/>
          </w:tcPr>
          <w:p w14:paraId="582D44F5" w14:textId="77777777" w:rsidR="00C3541E" w:rsidRPr="00437C34" w:rsidRDefault="00C3541E" w:rsidP="00296B97">
            <w:pPr>
              <w:contextualSpacing/>
              <w:rPr>
                <w:rFonts w:ascii="Verdana" w:hAnsi="Verdana" w:cs="Arial"/>
                <w:sz w:val="16"/>
                <w:szCs w:val="16"/>
                <w:lang w:val="es-ES" w:eastAsia="es-ES"/>
              </w:rPr>
            </w:pPr>
            <w:r w:rsidRPr="00437C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BBB51A8" w14:textId="77777777" w:rsidR="00C3541E" w:rsidRPr="00437C34" w:rsidRDefault="00C3541E" w:rsidP="00296B97">
            <w:pPr>
              <w:contextualSpacing/>
              <w:rPr>
                <w:rFonts w:ascii="Verdana" w:eastAsia="Calibri" w:hAnsi="Verdana" w:cs="Arial"/>
                <w:sz w:val="16"/>
                <w:szCs w:val="16"/>
                <w:lang w:val="pt-BR" w:eastAsia="es-ES"/>
              </w:rPr>
            </w:pPr>
            <w:r w:rsidRPr="00437C34">
              <w:rPr>
                <w:rFonts w:ascii="Verdana" w:eastAsia="Calibri" w:hAnsi="Verdana" w:cs="Arial"/>
                <w:sz w:val="16"/>
                <w:szCs w:val="16"/>
                <w:lang w:val="pt-BR" w:eastAsia="es-ES"/>
              </w:rPr>
              <w:t xml:space="preserve">Carolina Quintero </w:t>
            </w:r>
            <w:proofErr w:type="spellStart"/>
            <w:r w:rsidRPr="00437C34">
              <w:rPr>
                <w:rFonts w:ascii="Verdana" w:eastAsia="Calibri" w:hAnsi="Verdana" w:cs="Arial"/>
                <w:sz w:val="16"/>
                <w:szCs w:val="16"/>
                <w:lang w:val="pt-BR" w:eastAsia="es-ES"/>
              </w:rPr>
              <w:t>Gacharná</w:t>
            </w:r>
            <w:proofErr w:type="spellEnd"/>
          </w:p>
          <w:p w14:paraId="3C386E07" w14:textId="77777777" w:rsidR="00C3541E" w:rsidRPr="00437C34" w:rsidRDefault="00C3541E" w:rsidP="00296B97">
            <w:pPr>
              <w:contextualSpacing/>
              <w:rPr>
                <w:rFonts w:ascii="Verdana" w:eastAsia="Calibri" w:hAnsi="Verdana" w:cs="Arial"/>
                <w:sz w:val="16"/>
                <w:szCs w:val="16"/>
                <w:lang w:val="pt-BR" w:eastAsia="es-ES"/>
              </w:rPr>
            </w:pPr>
            <w:r w:rsidRPr="00437C34">
              <w:rPr>
                <w:rFonts w:ascii="Verdana" w:eastAsia="Calibri" w:hAnsi="Verdana" w:cs="Arial"/>
                <w:sz w:val="16"/>
                <w:szCs w:val="16"/>
                <w:lang w:eastAsia="es-ES"/>
              </w:rPr>
              <w:t>Subdirectora</w:t>
            </w:r>
            <w:r w:rsidRPr="00437C34">
              <w:rPr>
                <w:rFonts w:ascii="Verdana" w:eastAsia="Calibri" w:hAnsi="Verdana" w:cs="Arial"/>
                <w:sz w:val="16"/>
                <w:szCs w:val="16"/>
                <w:lang w:val="pt-BR" w:eastAsia="es-ES"/>
              </w:rPr>
              <w:t xml:space="preserve"> de Gestión Contratual ANCP – CCE</w:t>
            </w:r>
          </w:p>
        </w:tc>
      </w:tr>
    </w:tbl>
    <w:p w14:paraId="009FE67F" w14:textId="36E793B9" w:rsidR="00C3541E" w:rsidRPr="000E2B93" w:rsidRDefault="00C3541E" w:rsidP="00C3541E">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3BA4A1CF" w14:textId="77777777" w:rsidR="0082719E" w:rsidRPr="00437C34" w:rsidRDefault="0082719E" w:rsidP="0082719E">
      <w:pPr>
        <w:spacing w:after="0" w:line="240" w:lineRule="auto"/>
        <w:rPr>
          <w:rFonts w:ascii="Verdana" w:eastAsia="Geomanist Light" w:hAnsi="Verdana" w:cs="Arial"/>
          <w:color w:val="000000" w:themeColor="text1"/>
          <w:lang w:val="es-MX"/>
        </w:rPr>
      </w:pPr>
    </w:p>
    <w:sectPr w:rsidR="0082719E" w:rsidRPr="00437C34"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5E590" w14:textId="77777777" w:rsidR="00D86592" w:rsidRDefault="00D86592" w:rsidP="004A1847">
      <w:pPr>
        <w:spacing w:after="0" w:line="240" w:lineRule="auto"/>
      </w:pPr>
      <w:r>
        <w:separator/>
      </w:r>
    </w:p>
  </w:endnote>
  <w:endnote w:type="continuationSeparator" w:id="0">
    <w:p w14:paraId="17739963" w14:textId="77777777" w:rsidR="00D86592" w:rsidRDefault="00D86592" w:rsidP="004A1847">
      <w:pPr>
        <w:spacing w:after="0" w:line="240" w:lineRule="auto"/>
      </w:pPr>
      <w:r>
        <w:continuationSeparator/>
      </w:r>
    </w:p>
  </w:endnote>
  <w:endnote w:type="continuationNotice" w:id="1">
    <w:p w14:paraId="75856BB1" w14:textId="77777777" w:rsidR="00D86592" w:rsidRDefault="00D865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05795" w:rsidRDefault="00505795">
    <w:pPr>
      <w:pStyle w:val="Piedepgina"/>
    </w:pPr>
  </w:p>
  <w:p w14:paraId="594D6D9F" w14:textId="5E5D99D9" w:rsidR="00505795" w:rsidRPr="00174B77" w:rsidRDefault="0050579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17C8D" w:rsidRPr="00A17C8D">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05795" w:rsidRDefault="0050579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05795" w:rsidRPr="00E41027" w:rsidRDefault="0050579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505795" w:rsidRDefault="0050579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FB1EB" w14:textId="77777777" w:rsidR="00D86592" w:rsidRDefault="00D86592" w:rsidP="004A1847">
      <w:pPr>
        <w:spacing w:after="0" w:line="240" w:lineRule="auto"/>
      </w:pPr>
      <w:r>
        <w:separator/>
      </w:r>
    </w:p>
  </w:footnote>
  <w:footnote w:type="continuationSeparator" w:id="0">
    <w:p w14:paraId="58ED5F41" w14:textId="77777777" w:rsidR="00D86592" w:rsidRDefault="00D86592" w:rsidP="004A1847">
      <w:pPr>
        <w:spacing w:after="0" w:line="240" w:lineRule="auto"/>
      </w:pPr>
      <w:r>
        <w:continuationSeparator/>
      </w:r>
    </w:p>
  </w:footnote>
  <w:footnote w:type="continuationNotice" w:id="1">
    <w:p w14:paraId="407337FA" w14:textId="77777777" w:rsidR="00D86592" w:rsidRDefault="00D86592">
      <w:pPr>
        <w:spacing w:after="0" w:line="240" w:lineRule="auto"/>
      </w:pPr>
    </w:p>
  </w:footnote>
  <w:footnote w:id="2">
    <w:p w14:paraId="1D43DDFB"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FA7A99E" w14:textId="77777777" w:rsidR="00C3541E" w:rsidRPr="0011785C" w:rsidRDefault="00C3541E" w:rsidP="00C3541E">
      <w:pPr>
        <w:pStyle w:val="Textonotapie"/>
        <w:ind w:firstLine="709"/>
        <w:jc w:val="both"/>
        <w:rPr>
          <w:rFonts w:ascii="Verdana" w:hAnsi="Verdana" w:cs="Arial"/>
          <w:sz w:val="12"/>
          <w:szCs w:val="12"/>
        </w:rPr>
      </w:pPr>
      <w:r w:rsidRPr="0011785C">
        <w:rPr>
          <w:rFonts w:ascii="Verdana" w:hAnsi="Verdana" w:cs="Arial"/>
          <w:sz w:val="12"/>
          <w:szCs w:val="12"/>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6E22FE84"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Gaceta del Congreso de la República No. 71 del 2005.</w:t>
      </w:r>
    </w:p>
  </w:footnote>
  <w:footnote w:id="4">
    <w:p w14:paraId="4F8B1247" w14:textId="77777777" w:rsidR="00C3541E" w:rsidRPr="0011785C" w:rsidRDefault="00C3541E" w:rsidP="00C3541E">
      <w:pPr>
        <w:pStyle w:val="Textonotapie"/>
        <w:ind w:firstLine="709"/>
        <w:jc w:val="both"/>
        <w:rPr>
          <w:rFonts w:ascii="Verdana" w:hAnsi="Verdana" w:cs="Arial"/>
          <w:sz w:val="12"/>
          <w:szCs w:val="12"/>
          <w:lang w:val="pt-BR"/>
        </w:rPr>
      </w:pPr>
      <w:r w:rsidRPr="0011785C">
        <w:rPr>
          <w:rStyle w:val="Refdenotaalpie"/>
          <w:rFonts w:ascii="Verdana" w:hAnsi="Verdana" w:cs="Arial"/>
          <w:sz w:val="12"/>
          <w:szCs w:val="12"/>
        </w:rPr>
        <w:footnoteRef/>
      </w:r>
      <w:r w:rsidRPr="0011785C">
        <w:rPr>
          <w:rFonts w:ascii="Verdana" w:hAnsi="Verdana" w:cs="Arial"/>
          <w:sz w:val="12"/>
          <w:szCs w:val="12"/>
          <w:lang w:val="pt-BR"/>
        </w:rPr>
        <w:t xml:space="preserve"> Corte Constitucional, Sentencia C- 1153 de 2005, M.P. Marco Gerardo Monroy Cabra.</w:t>
      </w:r>
    </w:p>
  </w:footnote>
  <w:footnote w:id="5">
    <w:p w14:paraId="2548FF3E" w14:textId="77777777" w:rsidR="00C3541E" w:rsidRPr="0011785C" w:rsidRDefault="00C3541E" w:rsidP="00C3541E">
      <w:pPr>
        <w:pStyle w:val="Textonotapie"/>
        <w:ind w:firstLine="709"/>
        <w:jc w:val="both"/>
        <w:rPr>
          <w:rFonts w:ascii="Verdana" w:hAnsi="Verdana" w:cs="Arial"/>
          <w:sz w:val="12"/>
          <w:szCs w:val="12"/>
          <w:lang w:val="pt-BR"/>
        </w:rPr>
      </w:pPr>
      <w:r w:rsidRPr="0011785C">
        <w:rPr>
          <w:rStyle w:val="Refdenotaalpie"/>
          <w:rFonts w:ascii="Verdana" w:hAnsi="Verdana" w:cs="Arial"/>
          <w:sz w:val="12"/>
          <w:szCs w:val="12"/>
        </w:rPr>
        <w:footnoteRef/>
      </w:r>
      <w:r w:rsidRPr="0011785C">
        <w:rPr>
          <w:rFonts w:ascii="Verdana" w:hAnsi="Verdana" w:cs="Arial"/>
          <w:sz w:val="12"/>
          <w:szCs w:val="12"/>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7C74B201" w14:textId="77777777" w:rsidR="00C3541E" w:rsidRPr="0011785C" w:rsidRDefault="00C3541E" w:rsidP="00C3541E">
      <w:pPr>
        <w:pStyle w:val="Textonotapie"/>
        <w:ind w:firstLine="709"/>
        <w:jc w:val="both"/>
        <w:rPr>
          <w:rFonts w:ascii="Verdana" w:hAnsi="Verdana" w:cs="Arial"/>
          <w:sz w:val="12"/>
          <w:szCs w:val="12"/>
          <w:lang w:val="es-CO"/>
        </w:rPr>
      </w:pPr>
      <w:r w:rsidRPr="0011785C">
        <w:rPr>
          <w:rStyle w:val="Refdenotaalpie"/>
          <w:rFonts w:ascii="Verdana" w:hAnsi="Verdana" w:cs="Arial"/>
          <w:sz w:val="12"/>
          <w:szCs w:val="12"/>
        </w:rPr>
        <w:footnoteRef/>
      </w:r>
      <w:r w:rsidRPr="0011785C">
        <w:rPr>
          <w:rFonts w:ascii="Verdana" w:hAnsi="Verdana" w:cs="Arial"/>
          <w:sz w:val="12"/>
          <w:szCs w:val="12"/>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3DDD151"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de fecha 24 de julio de 2013, radicado 2166, C. P. Álvaro Namén Vargas.  </w:t>
      </w:r>
    </w:p>
  </w:footnote>
  <w:footnote w:id="8">
    <w:p w14:paraId="0FB3DB22" w14:textId="77777777" w:rsidR="00C3541E" w:rsidRPr="0011785C" w:rsidRDefault="00C3541E" w:rsidP="00C3541E">
      <w:pPr>
        <w:spacing w:after="0" w:line="240" w:lineRule="auto"/>
        <w:ind w:firstLine="709"/>
        <w:jc w:val="both"/>
        <w:rPr>
          <w:rFonts w:ascii="Verdana" w:eastAsia="Times New Roman"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w:t>
      </w:r>
      <w:bookmarkStart w:id="5" w:name="33"/>
      <w:r w:rsidRPr="0011785C">
        <w:rPr>
          <w:rFonts w:ascii="Verdana" w:eastAsia="Calibri" w:hAnsi="Verdana" w:cs="Arial"/>
          <w:color w:val="000000"/>
          <w:sz w:val="12"/>
          <w:szCs w:val="12"/>
        </w:rPr>
        <w:t>“</w:t>
      </w:r>
      <w:r w:rsidRPr="0011785C">
        <w:rPr>
          <w:rFonts w:ascii="Verdana" w:eastAsia="Times New Roman" w:hAnsi="Verdana" w:cs="Arial"/>
          <w:sz w:val="12"/>
          <w:szCs w:val="12"/>
        </w:rPr>
        <w:t>Artículo 33. Restricciones a la contratación pública.</w:t>
      </w:r>
      <w:bookmarkEnd w:id="5"/>
      <w:r w:rsidRPr="0011785C">
        <w:rPr>
          <w:rFonts w:ascii="Verdana" w:eastAsia="Times New Roman" w:hAnsi="Verdana" w:cs="Arial"/>
          <w:sz w:val="12"/>
          <w:szCs w:val="12"/>
        </w:rPr>
        <w:t> Durante los cuatro (4) meses anteriores a la elección presidencial y hasta la realización de la elección en la segunda vuelta, si fuere el caso, queda prohibida la contratación directa por parte de todos los entes del Estado.</w:t>
      </w:r>
    </w:p>
    <w:p w14:paraId="01EA5E81" w14:textId="77777777" w:rsidR="00C3541E" w:rsidRPr="0011785C" w:rsidRDefault="00C3541E" w:rsidP="00C3541E">
      <w:pPr>
        <w:spacing w:after="0" w:line="240" w:lineRule="auto"/>
        <w:ind w:firstLine="709"/>
        <w:jc w:val="both"/>
        <w:rPr>
          <w:rFonts w:ascii="Verdana" w:eastAsia="Times New Roman" w:hAnsi="Verdana" w:cs="Arial"/>
          <w:sz w:val="12"/>
          <w:szCs w:val="12"/>
        </w:rPr>
      </w:pPr>
      <w:r w:rsidRPr="0011785C">
        <w:rPr>
          <w:rFonts w:ascii="Verdana" w:eastAsia="Times New Roman" w:hAnsi="Verdana" w:cs="Arial"/>
          <w:sz w:val="12"/>
          <w:szCs w:val="12"/>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1785C">
        <w:rPr>
          <w:rFonts w:ascii="Verdana" w:eastAsia="Calibri" w:hAnsi="Verdana" w:cs="Arial"/>
          <w:color w:val="000000"/>
          <w:sz w:val="12"/>
          <w:szCs w:val="12"/>
        </w:rPr>
        <w:t>”</w:t>
      </w:r>
      <w:r w:rsidRPr="0011785C">
        <w:rPr>
          <w:rFonts w:ascii="Verdana" w:eastAsia="Times New Roman" w:hAnsi="Verdana" w:cs="Arial"/>
          <w:sz w:val="12"/>
          <w:szCs w:val="12"/>
        </w:rPr>
        <w:t>.</w:t>
      </w:r>
    </w:p>
  </w:footnote>
  <w:footnote w:id="9">
    <w:p w14:paraId="1738225A" w14:textId="77777777" w:rsidR="00C3541E" w:rsidRPr="0011785C" w:rsidRDefault="00C3541E" w:rsidP="00C3541E">
      <w:pPr>
        <w:pStyle w:val="NormalWeb"/>
        <w:spacing w:before="0" w:beforeAutospacing="0" w:after="0" w:afterAutospacing="0"/>
        <w:ind w:firstLine="709"/>
        <w:jc w:val="both"/>
        <w:rPr>
          <w:rFonts w:ascii="Verdana" w:hAnsi="Verdana" w:cs="Arial"/>
          <w:sz w:val="12"/>
          <w:szCs w:val="12"/>
          <w:lang w:val="es-MX"/>
        </w:rPr>
      </w:pPr>
      <w:r w:rsidRPr="0011785C">
        <w:rPr>
          <w:rStyle w:val="Refdenotaalpie"/>
          <w:rFonts w:ascii="Verdana" w:hAnsi="Verdana" w:cs="Arial"/>
          <w:sz w:val="12"/>
          <w:szCs w:val="12"/>
        </w:rPr>
        <w:footnoteRef/>
      </w:r>
      <w:r w:rsidRPr="0011785C">
        <w:rPr>
          <w:rFonts w:ascii="Verdana" w:hAnsi="Verdana" w:cs="Arial"/>
          <w:sz w:val="12"/>
          <w:szCs w:val="12"/>
        </w:rPr>
        <w:t xml:space="preserve"> </w:t>
      </w:r>
      <w:bookmarkStart w:id="6" w:name="38"/>
      <w:r w:rsidRPr="0011785C">
        <w:rPr>
          <w:rFonts w:ascii="Verdana" w:eastAsia="Calibri" w:hAnsi="Verdana" w:cs="Arial"/>
          <w:color w:val="000000"/>
          <w:sz w:val="12"/>
          <w:szCs w:val="12"/>
        </w:rPr>
        <w:t>“</w:t>
      </w:r>
      <w:r w:rsidRPr="0011785C">
        <w:rPr>
          <w:rFonts w:ascii="Verdana" w:hAnsi="Verdana" w:cs="Arial"/>
          <w:sz w:val="12"/>
          <w:szCs w:val="12"/>
          <w:lang w:val="es-MX"/>
        </w:rPr>
        <w:t>Artículo 38. Prohibiciones para los servidores públicos. A los empleados del Estado les está prohibido:</w:t>
      </w:r>
      <w:bookmarkEnd w:id="6"/>
      <w:r w:rsidRPr="0011785C">
        <w:rPr>
          <w:rFonts w:ascii="Verdana" w:hAnsi="Verdana" w:cs="Arial"/>
          <w:sz w:val="12"/>
          <w:szCs w:val="12"/>
          <w:lang w:val="es-MX"/>
        </w:rPr>
        <w:t xml:space="preserve"> […]</w:t>
      </w:r>
    </w:p>
    <w:p w14:paraId="5F8AA5F8" w14:textId="77777777" w:rsidR="00C3541E" w:rsidRPr="0011785C" w:rsidRDefault="00C3541E" w:rsidP="00C3541E">
      <w:pPr>
        <w:pStyle w:val="NormalWeb"/>
        <w:spacing w:before="0" w:beforeAutospacing="0" w:after="0" w:afterAutospacing="0"/>
        <w:ind w:firstLine="709"/>
        <w:jc w:val="both"/>
        <w:rPr>
          <w:rFonts w:ascii="Verdana" w:hAnsi="Verdana" w:cs="Arial"/>
          <w:sz w:val="12"/>
          <w:szCs w:val="12"/>
          <w:lang w:val="es-MX"/>
        </w:rPr>
      </w:pPr>
      <w:r w:rsidRPr="0011785C">
        <w:rPr>
          <w:rStyle w:val="baj"/>
          <w:rFonts w:ascii="Verdana" w:eastAsiaTheme="minorEastAsia" w:hAnsi="Verdana" w:cs="Arial"/>
          <w:sz w:val="12"/>
          <w:szCs w:val="12"/>
          <w:lang w:val="es-MX"/>
        </w:rPr>
        <w:t>Parágrafo.</w:t>
      </w:r>
      <w:r w:rsidRPr="0011785C">
        <w:rPr>
          <w:rFonts w:ascii="Verdana" w:hAnsi="Verdana" w:cs="Arial"/>
          <w:sz w:val="12"/>
          <w:szCs w:val="12"/>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1785C">
        <w:rPr>
          <w:rFonts w:ascii="Verdana" w:eastAsia="Calibri" w:hAnsi="Verdana" w:cs="Arial"/>
          <w:color w:val="000000"/>
          <w:sz w:val="12"/>
          <w:szCs w:val="12"/>
        </w:rPr>
        <w:t>”</w:t>
      </w:r>
      <w:r w:rsidRPr="0011785C">
        <w:rPr>
          <w:rFonts w:ascii="Verdana" w:hAnsi="Verdana" w:cs="Arial"/>
          <w:sz w:val="12"/>
          <w:szCs w:val="12"/>
          <w:lang w:val="es-MX"/>
        </w:rPr>
        <w:t>.</w:t>
      </w:r>
    </w:p>
  </w:footnote>
  <w:footnote w:id="10">
    <w:p w14:paraId="650E12AD" w14:textId="77777777" w:rsidR="00C3541E" w:rsidRPr="0011785C" w:rsidRDefault="00C3541E" w:rsidP="00C3541E">
      <w:pPr>
        <w:pStyle w:val="Textonotapie"/>
        <w:ind w:firstLine="708"/>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Colombia Compra Eficiente. Circular Externa Única. Numeral 16.5. </w:t>
      </w:r>
    </w:p>
  </w:footnote>
  <w:footnote w:id="11">
    <w:p w14:paraId="67EF7327" w14:textId="77777777" w:rsidR="00C3541E" w:rsidRPr="0011785C" w:rsidRDefault="00C3541E" w:rsidP="00C3541E">
      <w:pPr>
        <w:spacing w:after="0" w:line="240" w:lineRule="auto"/>
        <w:ind w:left="100" w:right="244" w:firstLine="709"/>
        <w:jc w:val="both"/>
        <w:rPr>
          <w:rFonts w:ascii="Verdana" w:hAnsi="Verdana" w:cs="Arial"/>
          <w:sz w:val="12"/>
          <w:szCs w:val="12"/>
          <w:lang w:val="es-ES"/>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del 17 de febrero de 2015. C.P. William Zambrano Cetina. Radicación No. 11001-03-06-000-2015-00164-00(2269).</w:t>
      </w:r>
    </w:p>
  </w:footnote>
  <w:footnote w:id="12">
    <w:p w14:paraId="6821861E" w14:textId="77777777" w:rsidR="00C3541E" w:rsidRPr="0011785C" w:rsidRDefault="00C3541E" w:rsidP="00C3541E">
      <w:pPr>
        <w:pStyle w:val="Textonotapie"/>
        <w:ind w:right="51"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w:t>
      </w:r>
      <w:r w:rsidRPr="0011785C">
        <w:rPr>
          <w:rFonts w:ascii="Verdana" w:hAnsi="Verdana" w:cs="Arial"/>
          <w:sz w:val="12"/>
          <w:szCs w:val="12"/>
          <w:lang w:val="es-ES"/>
        </w:rPr>
        <w:t xml:space="preserve">[25] </w:t>
      </w:r>
      <w:r w:rsidRPr="0011785C">
        <w:rPr>
          <w:rFonts w:ascii="Verdana" w:hAnsi="Verdana" w:cs="Arial"/>
          <w:sz w:val="12"/>
          <w:szCs w:val="12"/>
        </w:rPr>
        <w:t>Cfr. Consejo de Estado. Sección Tercera. Sentencia de 3 de diciembre de 2007. Radicados: 24.715, 25.206, 25.409, 24.524, 27.834, 25.410, 26.105, 28.244, 31.447 -acumulados-“.</w:t>
      </w:r>
    </w:p>
  </w:footnote>
  <w:footnote w:id="13">
    <w:p w14:paraId="69231CC4" w14:textId="77777777" w:rsidR="00C3541E" w:rsidRPr="0011785C" w:rsidRDefault="00C3541E" w:rsidP="00C3541E">
      <w:pPr>
        <w:pStyle w:val="Textonotapie"/>
        <w:ind w:right="51"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w:t>
      </w:r>
      <w:r w:rsidRPr="0011785C">
        <w:rPr>
          <w:rFonts w:ascii="Verdana" w:hAnsi="Verdana" w:cs="Arial"/>
          <w:sz w:val="12"/>
          <w:szCs w:val="12"/>
          <w:lang w:val="es-ES"/>
        </w:rPr>
        <w:t xml:space="preserve">[26] </w:t>
      </w:r>
      <w:r w:rsidRPr="0011785C">
        <w:rPr>
          <w:rFonts w:ascii="Verdana" w:hAnsi="Verdana" w:cs="Arial"/>
          <w:sz w:val="12"/>
          <w:szCs w:val="12"/>
        </w:rPr>
        <w:t>Al respecto ver el concepto 1712 de 2 de febrero de 2006. Consejo de Estado Sala de Consulta y Servicio Civil”.</w:t>
      </w:r>
    </w:p>
  </w:footnote>
  <w:footnote w:id="14">
    <w:p w14:paraId="03136C50"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del 2 de septiembre de 2013. Radicación número: 11001-03-06-000-2013-00412-00 (2168). Consejero Ponente: Álvaro Namén Vargas.</w:t>
      </w:r>
    </w:p>
  </w:footnote>
  <w:footnote w:id="15">
    <w:p w14:paraId="1B2EFC20" w14:textId="77777777" w:rsidR="00C3541E" w:rsidRPr="0011785C" w:rsidRDefault="00C3541E" w:rsidP="00C3541E">
      <w:pPr>
        <w:pStyle w:val="Textonotapie"/>
        <w:ind w:firstLine="709"/>
        <w:jc w:val="both"/>
        <w:rPr>
          <w:rFonts w:ascii="Verdana" w:hAnsi="Verdana" w:cs="Arial"/>
          <w:sz w:val="12"/>
          <w:szCs w:val="12"/>
          <w:lang w:val="es-ES"/>
        </w:rPr>
      </w:pPr>
      <w:r w:rsidRPr="0011785C">
        <w:rPr>
          <w:rStyle w:val="Refdenotaalpie"/>
          <w:rFonts w:ascii="Verdana" w:hAnsi="Verdana" w:cs="Arial"/>
          <w:sz w:val="12"/>
          <w:szCs w:val="12"/>
        </w:rPr>
        <w:footnoteRef/>
      </w:r>
      <w:r w:rsidRPr="0011785C">
        <w:rPr>
          <w:rFonts w:ascii="Verdana" w:hAnsi="Verdana" w:cs="Arial"/>
          <w:sz w:val="12"/>
          <w:szCs w:val="12"/>
        </w:rPr>
        <w:t xml:space="preserve"> </w:t>
      </w:r>
      <w:r w:rsidRPr="0011785C">
        <w:rPr>
          <w:rFonts w:ascii="Verdana" w:hAnsi="Verdana" w:cs="Arial"/>
          <w:sz w:val="12"/>
          <w:szCs w:val="12"/>
          <w:lang w:val="es-ES"/>
        </w:rPr>
        <w:t xml:space="preserve">Artículo 2. </w:t>
      </w:r>
    </w:p>
  </w:footnote>
  <w:footnote w:id="16">
    <w:p w14:paraId="748B20E8" w14:textId="77777777" w:rsidR="00C3541E" w:rsidRPr="0011785C" w:rsidRDefault="00C3541E" w:rsidP="00C3541E">
      <w:pPr>
        <w:pStyle w:val="Textonotapie"/>
        <w:ind w:firstLine="709"/>
        <w:jc w:val="both"/>
        <w:rPr>
          <w:rFonts w:ascii="Verdana" w:hAnsi="Verdana" w:cs="Arial"/>
          <w:sz w:val="12"/>
          <w:szCs w:val="12"/>
          <w:lang w:val="es-ES"/>
        </w:rPr>
      </w:pPr>
      <w:r w:rsidRPr="0011785C">
        <w:rPr>
          <w:rStyle w:val="Refdenotaalpie"/>
          <w:rFonts w:ascii="Verdana" w:hAnsi="Verdana" w:cs="Arial"/>
          <w:sz w:val="12"/>
          <w:szCs w:val="12"/>
        </w:rPr>
        <w:footnoteRef/>
      </w:r>
      <w:r w:rsidRPr="0011785C">
        <w:rPr>
          <w:rFonts w:ascii="Verdana" w:hAnsi="Verdana" w:cs="Arial"/>
          <w:sz w:val="12"/>
          <w:szCs w:val="12"/>
        </w:rPr>
        <w:t xml:space="preserve"> </w:t>
      </w:r>
      <w:r w:rsidRPr="0011785C">
        <w:rPr>
          <w:rFonts w:ascii="Verdana" w:hAnsi="Verdana" w:cs="Arial"/>
          <w:i/>
          <w:sz w:val="12"/>
          <w:szCs w:val="12"/>
          <w:lang w:val="es-ES"/>
        </w:rPr>
        <w:t>Ídem</w:t>
      </w:r>
      <w:r w:rsidRPr="0011785C">
        <w:rPr>
          <w:rFonts w:ascii="Verdana" w:hAnsi="Verdana" w:cs="Arial"/>
          <w:sz w:val="12"/>
          <w:szCs w:val="12"/>
          <w:lang w:val="es-ES"/>
        </w:rPr>
        <w:t>.</w:t>
      </w:r>
    </w:p>
  </w:footnote>
  <w:footnote w:id="17">
    <w:p w14:paraId="187A477D" w14:textId="77777777" w:rsidR="00C3541E" w:rsidRPr="0011785C" w:rsidRDefault="00C3541E" w:rsidP="00C3541E">
      <w:pPr>
        <w:pStyle w:val="Textonotapie"/>
        <w:ind w:firstLine="709"/>
        <w:jc w:val="both"/>
        <w:rPr>
          <w:rFonts w:ascii="Verdana" w:hAnsi="Verdana" w:cs="Arial"/>
          <w:sz w:val="12"/>
          <w:szCs w:val="12"/>
          <w:lang w:val="es-ES"/>
        </w:rPr>
      </w:pPr>
      <w:r w:rsidRPr="0011785C">
        <w:rPr>
          <w:rStyle w:val="Refdenotaalpie"/>
          <w:rFonts w:ascii="Verdana" w:hAnsi="Verdana" w:cs="Arial"/>
          <w:sz w:val="12"/>
          <w:szCs w:val="12"/>
        </w:rPr>
        <w:footnoteRef/>
      </w:r>
      <w:r w:rsidRPr="0011785C">
        <w:rPr>
          <w:rStyle w:val="Refdenotaalpie"/>
          <w:rFonts w:ascii="Verdana" w:hAnsi="Verdana" w:cs="Arial"/>
          <w:sz w:val="12"/>
          <w:szCs w:val="12"/>
        </w:rPr>
        <w:t xml:space="preserve"> </w:t>
      </w:r>
      <w:r w:rsidRPr="0011785C">
        <w:rPr>
          <w:rFonts w:ascii="Verdana" w:hAnsi="Verdana" w:cs="Arial"/>
          <w:sz w:val="12"/>
          <w:szCs w:val="12"/>
          <w:lang w:val="es-ES"/>
        </w:rPr>
        <w:t xml:space="preserve">“[…] A este respecto, cabe recordar que el artículo 860 del Código de Comercio regula la licitación en el derecho privado”. </w:t>
      </w:r>
    </w:p>
  </w:footnote>
  <w:footnote w:id="18">
    <w:p w14:paraId="26154CC5" w14:textId="77777777" w:rsidR="00C3541E" w:rsidRPr="0011785C" w:rsidRDefault="00C3541E" w:rsidP="00C3541E">
      <w:pPr>
        <w:shd w:val="clear" w:color="auto" w:fill="FFFFFF"/>
        <w:spacing w:after="0" w:line="240" w:lineRule="auto"/>
        <w:ind w:firstLine="709"/>
        <w:jc w:val="both"/>
        <w:rPr>
          <w:rFonts w:ascii="Verdana" w:hAnsi="Verdana" w:cs="Arial"/>
          <w:sz w:val="12"/>
          <w:szCs w:val="12"/>
          <w:lang w:val="es-ES"/>
        </w:rPr>
      </w:pPr>
      <w:r w:rsidRPr="0011785C">
        <w:rPr>
          <w:rStyle w:val="Refdenotaalpie"/>
          <w:rFonts w:ascii="Verdana" w:hAnsi="Verdana" w:cs="Arial"/>
          <w:sz w:val="12"/>
          <w:szCs w:val="12"/>
        </w:rPr>
        <w:footnoteRef/>
      </w:r>
      <w:r w:rsidRPr="0011785C">
        <w:rPr>
          <w:rStyle w:val="Refdenotaalpie"/>
          <w:rFonts w:ascii="Verdana" w:hAnsi="Verdana" w:cs="Arial"/>
          <w:sz w:val="12"/>
          <w:szCs w:val="12"/>
        </w:rPr>
        <w:t xml:space="preserve"> </w:t>
      </w:r>
      <w:r w:rsidRPr="0011785C">
        <w:rPr>
          <w:rFonts w:ascii="Verdana" w:hAnsi="Verdana" w:cs="Arial"/>
          <w:sz w:val="12"/>
          <w:szCs w:val="12"/>
          <w:lang w:val="es-ES"/>
        </w:rPr>
        <w:t>Consejo de Estado. Sala de Consulta y Servicio Civil, Concepto de 8 de mayo de 2018. Radicación Número: 11001-03-06-000-2018-00095-00(2382). C.P. Álvaro Namén Vargas.</w:t>
      </w:r>
    </w:p>
  </w:footnote>
  <w:footnote w:id="19">
    <w:p w14:paraId="1A2EEA8D"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del 08 de mayo de 2018. Exp. 2.382. C.P. Álvaro Namén Vargas.</w:t>
      </w:r>
    </w:p>
  </w:footnote>
  <w:footnote w:id="20">
    <w:p w14:paraId="14E8D38E" w14:textId="77777777" w:rsidR="00C3541E" w:rsidRPr="0011785C" w:rsidRDefault="00C3541E" w:rsidP="00C3541E">
      <w:pPr>
        <w:pStyle w:val="Textonotapie"/>
        <w:ind w:firstLine="708"/>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4308A822"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3E26E702" w14:textId="77777777" w:rsidR="00C3541E" w:rsidRPr="0011785C" w:rsidRDefault="00C3541E" w:rsidP="00C3541E">
      <w:pPr>
        <w:spacing w:after="0" w:line="240" w:lineRule="auto"/>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75791C94" w14:textId="77777777" w:rsidR="00C3541E" w:rsidRPr="0011785C" w:rsidRDefault="00C3541E" w:rsidP="00C3541E">
      <w:pPr>
        <w:pStyle w:val="Textonotapie"/>
        <w:ind w:right="51" w:firstLine="709"/>
        <w:jc w:val="both"/>
        <w:rPr>
          <w:rFonts w:ascii="Verdana" w:eastAsia="Times New Roman" w:hAnsi="Verdana" w:cs="Arial"/>
          <w:bCs/>
          <w:sz w:val="12"/>
          <w:szCs w:val="12"/>
          <w:lang w:eastAsia="x-none"/>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 6 de abril de 2006. Radicación Número: 11001-03-06-000-2006-00038-00 (1738). C.P. Enrique José Arboleda Perdomo:</w:t>
      </w:r>
      <w:r w:rsidRPr="0011785C">
        <w:rPr>
          <w:rFonts w:ascii="Verdana" w:eastAsia="Times New Roman" w:hAnsi="Verdana" w:cs="Arial"/>
          <w:bCs/>
          <w:sz w:val="12"/>
          <w:szCs w:val="12"/>
          <w:lang w:eastAsia="x-none"/>
        </w:rPr>
        <w:t xml:space="preserve"> “</w:t>
      </w:r>
      <w:r w:rsidRPr="0011785C">
        <w:rPr>
          <w:rFonts w:ascii="Verdana" w:hAnsi="Verdana" w:cs="Arial"/>
          <w:sz w:val="12"/>
          <w:szCs w:val="12"/>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11785C">
        <w:rPr>
          <w:rFonts w:ascii="Verdana" w:eastAsia="Times New Roman" w:hAnsi="Verdana" w:cs="Arial"/>
          <w:bCs/>
          <w:sz w:val="12"/>
          <w:szCs w:val="12"/>
          <w:lang w:eastAsia="x-none"/>
        </w:rPr>
        <w:t>”.</w:t>
      </w:r>
    </w:p>
  </w:footnote>
  <w:footnote w:id="24">
    <w:p w14:paraId="424A4656" w14:textId="77777777" w:rsidR="00C3541E" w:rsidRPr="0011785C" w:rsidRDefault="00C3541E" w:rsidP="00C3541E">
      <w:pPr>
        <w:spacing w:after="0" w:line="240" w:lineRule="auto"/>
        <w:ind w:firstLine="708"/>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 6 de abril de 2006. Radicación Número: 11001-03-06-000-2006-00038-00(1738). Consejero Ponente: Enrique José Arboleda Perdomo. </w:t>
      </w:r>
    </w:p>
  </w:footnote>
  <w:footnote w:id="25">
    <w:p w14:paraId="367932BA" w14:textId="77777777" w:rsidR="00C3541E" w:rsidRPr="0011785C" w:rsidRDefault="00C3541E" w:rsidP="00C3541E">
      <w:pPr>
        <w:pStyle w:val="Textonotapie"/>
        <w:ind w:right="51"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ídem.</w:t>
      </w:r>
    </w:p>
  </w:footnote>
  <w:footnote w:id="26">
    <w:p w14:paraId="629BC91C" w14:textId="77777777" w:rsidR="00C3541E" w:rsidRPr="0011785C" w:rsidRDefault="00C3541E" w:rsidP="00C3541E">
      <w:pPr>
        <w:pStyle w:val="Textonotapie"/>
        <w:ind w:firstLine="709"/>
        <w:rPr>
          <w:sz w:val="12"/>
          <w:szCs w:val="12"/>
          <w:lang w:val="es-CO"/>
        </w:rPr>
      </w:pPr>
      <w:r w:rsidRPr="0011785C">
        <w:rPr>
          <w:rStyle w:val="Refdenotaalpie"/>
          <w:sz w:val="12"/>
          <w:szCs w:val="12"/>
        </w:rPr>
        <w:footnoteRef/>
      </w:r>
      <w:r w:rsidRPr="0011785C">
        <w:rPr>
          <w:sz w:val="12"/>
          <w:szCs w:val="12"/>
        </w:rPr>
        <w:t xml:space="preserve"> </w:t>
      </w:r>
      <w:r w:rsidRPr="0011785C">
        <w:rPr>
          <w:rFonts w:ascii="Verdana" w:hAnsi="Verdana" w:cs="Arial"/>
          <w:sz w:val="12"/>
          <w:szCs w:val="12"/>
        </w:rPr>
        <w:t>Consejo de Estado. Sala de Consulta y Servicio Civil. Concepto de 6 de abril de 2006. Rad. 1738. C.P. Enrique José Arboleda Perdomo.</w:t>
      </w:r>
    </w:p>
  </w:footnote>
  <w:footnote w:id="27">
    <w:p w14:paraId="0D7F1237" w14:textId="77777777" w:rsidR="00C3541E" w:rsidRPr="0011785C" w:rsidRDefault="00C3541E" w:rsidP="00C3541E">
      <w:pPr>
        <w:pStyle w:val="Textonotapie"/>
        <w:ind w:right="51"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Consejo de Estado. Sala de Consulta y Servicio Civil. Concepto del 20 de febrero de 2006. Rad. 1727. C.P. Enrique José Arboleda Perdomo. </w:t>
      </w:r>
    </w:p>
  </w:footnote>
  <w:footnote w:id="28">
    <w:p w14:paraId="5EEA6FB1" w14:textId="77777777" w:rsidR="00C3541E" w:rsidRPr="0011785C" w:rsidRDefault="00C3541E" w:rsidP="00C3541E">
      <w:pPr>
        <w:pStyle w:val="Textonotapie"/>
        <w:ind w:firstLine="709"/>
        <w:jc w:val="both"/>
        <w:rPr>
          <w:rFonts w:ascii="Verdana" w:hAnsi="Verdana" w:cs="Arial"/>
          <w:sz w:val="12"/>
          <w:szCs w:val="12"/>
        </w:rPr>
      </w:pPr>
      <w:r w:rsidRPr="0011785C">
        <w:rPr>
          <w:rStyle w:val="Refdenotaalpie"/>
          <w:rFonts w:ascii="Verdana" w:hAnsi="Verdana" w:cs="Arial"/>
          <w:sz w:val="12"/>
          <w:szCs w:val="12"/>
        </w:rPr>
        <w:footnoteRef/>
      </w:r>
      <w:r w:rsidRPr="0011785C">
        <w:rPr>
          <w:rFonts w:ascii="Verdana" w:hAnsi="Verdana" w:cs="Arial"/>
          <w:sz w:val="12"/>
          <w:szCs w:val="12"/>
        </w:rPr>
        <w:t xml:space="preserve"> </w:t>
      </w:r>
      <w:bookmarkStart w:id="13" w:name="_Hlk192533196"/>
      <w:r w:rsidRPr="0011785C">
        <w:rPr>
          <w:rFonts w:ascii="Verdana" w:hAnsi="Verdana" w:cs="Arial"/>
          <w:sz w:val="12"/>
          <w:szCs w:val="12"/>
        </w:rPr>
        <w:t>Consejo de Estado. Sala de Consulta y Servicio Civil. Concepto del 15 de noviembre de 2007. Rad. 1863. C.P.: Luis Fernando Álvarez Jaramillo.</w:t>
      </w:r>
      <w:bookmarkEnd w:id="13"/>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05795" w:rsidRDefault="00505795">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05795" w:rsidRDefault="00505795">
    <w:pPr>
      <w:pStyle w:val="Encabezado"/>
    </w:pPr>
  </w:p>
  <w:p w14:paraId="3079FC11" w14:textId="77777777" w:rsidR="00505795" w:rsidRDefault="00505795" w:rsidP="004A305D">
    <w:pPr>
      <w:spacing w:after="0"/>
      <w:rPr>
        <w:rFonts w:ascii="Verdana" w:hAnsi="Verdana"/>
        <w:b/>
        <w:bCs/>
      </w:rPr>
    </w:pPr>
  </w:p>
  <w:p w14:paraId="5E18350A" w14:textId="705F7B76" w:rsidR="00505795" w:rsidRPr="004A305D" w:rsidRDefault="00505795" w:rsidP="00B01B1A">
    <w:pPr>
      <w:spacing w:after="0" w:line="120" w:lineRule="auto"/>
      <w:rPr>
        <w:rFonts w:ascii="Century Gothic" w:eastAsia="Geo" w:hAnsi="Century Gothic" w:cs="Geo"/>
        <w:sz w:val="16"/>
        <w:szCs w:val="16"/>
        <w:lang w:eastAsia="es-CO"/>
      </w:rPr>
    </w:pPr>
  </w:p>
  <w:p w14:paraId="1FD1C243" w14:textId="6D74A3CF" w:rsidR="00505795" w:rsidRDefault="0050579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194347614">
    <w:abstractNumId w:val="13"/>
  </w:num>
  <w:num w:numId="2" w16cid:durableId="500238443">
    <w:abstractNumId w:val="3"/>
  </w:num>
  <w:num w:numId="3" w16cid:durableId="56320567">
    <w:abstractNumId w:val="11"/>
  </w:num>
  <w:num w:numId="4" w16cid:durableId="7780620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12834008">
    <w:abstractNumId w:val="3"/>
  </w:num>
  <w:num w:numId="6" w16cid:durableId="354581257">
    <w:abstractNumId w:val="26"/>
  </w:num>
  <w:num w:numId="7" w16cid:durableId="338504686">
    <w:abstractNumId w:val="12"/>
  </w:num>
  <w:num w:numId="8" w16cid:durableId="209659900">
    <w:abstractNumId w:val="25"/>
  </w:num>
  <w:num w:numId="9" w16cid:durableId="255208196">
    <w:abstractNumId w:val="14"/>
  </w:num>
  <w:num w:numId="10" w16cid:durableId="1891113331">
    <w:abstractNumId w:val="24"/>
  </w:num>
  <w:num w:numId="11" w16cid:durableId="413170348">
    <w:abstractNumId w:val="15"/>
  </w:num>
  <w:num w:numId="12" w16cid:durableId="226693051">
    <w:abstractNumId w:val="1"/>
  </w:num>
  <w:num w:numId="13" w16cid:durableId="1654718733">
    <w:abstractNumId w:val="8"/>
  </w:num>
  <w:num w:numId="14" w16cid:durableId="696857488">
    <w:abstractNumId w:val="27"/>
  </w:num>
  <w:num w:numId="15" w16cid:durableId="907156477">
    <w:abstractNumId w:val="23"/>
  </w:num>
  <w:num w:numId="16" w16cid:durableId="167472290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05542927">
    <w:abstractNumId w:val="4"/>
  </w:num>
  <w:num w:numId="18" w16cid:durableId="739443779">
    <w:abstractNumId w:val="22"/>
  </w:num>
  <w:num w:numId="19" w16cid:durableId="235213829">
    <w:abstractNumId w:val="10"/>
  </w:num>
  <w:num w:numId="20" w16cid:durableId="1335767883">
    <w:abstractNumId w:val="16"/>
  </w:num>
  <w:num w:numId="21" w16cid:durableId="2103648496">
    <w:abstractNumId w:val="28"/>
  </w:num>
  <w:num w:numId="22" w16cid:durableId="2080513317">
    <w:abstractNumId w:val="19"/>
  </w:num>
  <w:num w:numId="23" w16cid:durableId="1548027161">
    <w:abstractNumId w:val="7"/>
  </w:num>
  <w:num w:numId="24" w16cid:durableId="980815240">
    <w:abstractNumId w:val="17"/>
  </w:num>
  <w:num w:numId="25" w16cid:durableId="163791140">
    <w:abstractNumId w:val="2"/>
  </w:num>
  <w:num w:numId="26" w16cid:durableId="1067805025">
    <w:abstractNumId w:val="5"/>
  </w:num>
  <w:num w:numId="27" w16cid:durableId="1397706499">
    <w:abstractNumId w:val="20"/>
  </w:num>
  <w:num w:numId="28" w16cid:durableId="1446971064">
    <w:abstractNumId w:val="6"/>
  </w:num>
  <w:num w:numId="29" w16cid:durableId="1002660985">
    <w:abstractNumId w:val="9"/>
  </w:num>
  <w:num w:numId="30" w16cid:durableId="1238437493">
    <w:abstractNumId w:val="0"/>
  </w:num>
  <w:num w:numId="31" w16cid:durableId="1636175434">
    <w:abstractNumId w:val="18"/>
  </w:num>
  <w:num w:numId="32" w16cid:durableId="47961829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40BB"/>
    <w:rsid w:val="000062F3"/>
    <w:rsid w:val="000077D4"/>
    <w:rsid w:val="0000797D"/>
    <w:rsid w:val="0001328B"/>
    <w:rsid w:val="000151A2"/>
    <w:rsid w:val="00016FFB"/>
    <w:rsid w:val="000205C5"/>
    <w:rsid w:val="000224F2"/>
    <w:rsid w:val="00023C3E"/>
    <w:rsid w:val="0002653B"/>
    <w:rsid w:val="000322B7"/>
    <w:rsid w:val="00034682"/>
    <w:rsid w:val="00035E21"/>
    <w:rsid w:val="00036FA9"/>
    <w:rsid w:val="00036FB3"/>
    <w:rsid w:val="00040B74"/>
    <w:rsid w:val="00042856"/>
    <w:rsid w:val="0004434A"/>
    <w:rsid w:val="000501F2"/>
    <w:rsid w:val="0005281E"/>
    <w:rsid w:val="00052A4B"/>
    <w:rsid w:val="00055421"/>
    <w:rsid w:val="00055433"/>
    <w:rsid w:val="00055502"/>
    <w:rsid w:val="0005604D"/>
    <w:rsid w:val="0005682C"/>
    <w:rsid w:val="00056D71"/>
    <w:rsid w:val="0005788D"/>
    <w:rsid w:val="00057D91"/>
    <w:rsid w:val="00061B2A"/>
    <w:rsid w:val="00062BAF"/>
    <w:rsid w:val="000630B9"/>
    <w:rsid w:val="000643B2"/>
    <w:rsid w:val="00065E80"/>
    <w:rsid w:val="000666AA"/>
    <w:rsid w:val="00066BB4"/>
    <w:rsid w:val="0007022C"/>
    <w:rsid w:val="00071DE6"/>
    <w:rsid w:val="000754B0"/>
    <w:rsid w:val="0007673F"/>
    <w:rsid w:val="000772A9"/>
    <w:rsid w:val="00077439"/>
    <w:rsid w:val="000774B8"/>
    <w:rsid w:val="00080578"/>
    <w:rsid w:val="00080E46"/>
    <w:rsid w:val="00080FE4"/>
    <w:rsid w:val="00082362"/>
    <w:rsid w:val="0008328D"/>
    <w:rsid w:val="00084D78"/>
    <w:rsid w:val="00092B45"/>
    <w:rsid w:val="0009387A"/>
    <w:rsid w:val="0009387B"/>
    <w:rsid w:val="000963C6"/>
    <w:rsid w:val="000974AC"/>
    <w:rsid w:val="0009762F"/>
    <w:rsid w:val="000A31B9"/>
    <w:rsid w:val="000A3330"/>
    <w:rsid w:val="000A36D8"/>
    <w:rsid w:val="000A3D63"/>
    <w:rsid w:val="000A683A"/>
    <w:rsid w:val="000A683E"/>
    <w:rsid w:val="000B0E2E"/>
    <w:rsid w:val="000B19B9"/>
    <w:rsid w:val="000B3001"/>
    <w:rsid w:val="000B7DDA"/>
    <w:rsid w:val="000C2889"/>
    <w:rsid w:val="000C3673"/>
    <w:rsid w:val="000C538B"/>
    <w:rsid w:val="000D0152"/>
    <w:rsid w:val="000D0334"/>
    <w:rsid w:val="000D0B4D"/>
    <w:rsid w:val="000D3B29"/>
    <w:rsid w:val="000D67A0"/>
    <w:rsid w:val="000E06F4"/>
    <w:rsid w:val="000E1AC7"/>
    <w:rsid w:val="000E4CE4"/>
    <w:rsid w:val="000E5B81"/>
    <w:rsid w:val="000F443B"/>
    <w:rsid w:val="000F46C6"/>
    <w:rsid w:val="000F6486"/>
    <w:rsid w:val="000F669F"/>
    <w:rsid w:val="00101597"/>
    <w:rsid w:val="001063B3"/>
    <w:rsid w:val="00107599"/>
    <w:rsid w:val="00107ACA"/>
    <w:rsid w:val="001114A9"/>
    <w:rsid w:val="00111979"/>
    <w:rsid w:val="00111EC5"/>
    <w:rsid w:val="00115273"/>
    <w:rsid w:val="001154D1"/>
    <w:rsid w:val="00116537"/>
    <w:rsid w:val="00116894"/>
    <w:rsid w:val="00120766"/>
    <w:rsid w:val="00120A28"/>
    <w:rsid w:val="00122FA6"/>
    <w:rsid w:val="001240BD"/>
    <w:rsid w:val="00125105"/>
    <w:rsid w:val="001268F7"/>
    <w:rsid w:val="00127233"/>
    <w:rsid w:val="001276D9"/>
    <w:rsid w:val="001372FC"/>
    <w:rsid w:val="001379FC"/>
    <w:rsid w:val="0014309F"/>
    <w:rsid w:val="0014317D"/>
    <w:rsid w:val="00143E81"/>
    <w:rsid w:val="00143FD9"/>
    <w:rsid w:val="00145047"/>
    <w:rsid w:val="0014521E"/>
    <w:rsid w:val="00146C57"/>
    <w:rsid w:val="001476DD"/>
    <w:rsid w:val="00150ADA"/>
    <w:rsid w:val="00151807"/>
    <w:rsid w:val="0015527D"/>
    <w:rsid w:val="001569A8"/>
    <w:rsid w:val="001625D4"/>
    <w:rsid w:val="00162D09"/>
    <w:rsid w:val="0016332F"/>
    <w:rsid w:val="00163786"/>
    <w:rsid w:val="0016642E"/>
    <w:rsid w:val="00167727"/>
    <w:rsid w:val="001717E9"/>
    <w:rsid w:val="0017238A"/>
    <w:rsid w:val="001800BA"/>
    <w:rsid w:val="00180A30"/>
    <w:rsid w:val="00185EE9"/>
    <w:rsid w:val="00187F79"/>
    <w:rsid w:val="001927F3"/>
    <w:rsid w:val="00196F32"/>
    <w:rsid w:val="00197274"/>
    <w:rsid w:val="001A0B04"/>
    <w:rsid w:val="001A237A"/>
    <w:rsid w:val="001A26CF"/>
    <w:rsid w:val="001A2919"/>
    <w:rsid w:val="001A58CF"/>
    <w:rsid w:val="001B2CFE"/>
    <w:rsid w:val="001C0E85"/>
    <w:rsid w:val="001C222E"/>
    <w:rsid w:val="001C22F9"/>
    <w:rsid w:val="001C27C6"/>
    <w:rsid w:val="001C3AEC"/>
    <w:rsid w:val="001D1C29"/>
    <w:rsid w:val="001D2CCC"/>
    <w:rsid w:val="001E3C06"/>
    <w:rsid w:val="001E4177"/>
    <w:rsid w:val="001F0A0F"/>
    <w:rsid w:val="001F218E"/>
    <w:rsid w:val="001F4EFD"/>
    <w:rsid w:val="001F59AB"/>
    <w:rsid w:val="001F5E13"/>
    <w:rsid w:val="001F6D11"/>
    <w:rsid w:val="001F7DC6"/>
    <w:rsid w:val="00202886"/>
    <w:rsid w:val="0020406B"/>
    <w:rsid w:val="00205784"/>
    <w:rsid w:val="00210946"/>
    <w:rsid w:val="0021130A"/>
    <w:rsid w:val="00213510"/>
    <w:rsid w:val="0021372A"/>
    <w:rsid w:val="00215CEF"/>
    <w:rsid w:val="00217A08"/>
    <w:rsid w:val="00220B77"/>
    <w:rsid w:val="00221D27"/>
    <w:rsid w:val="00230EF3"/>
    <w:rsid w:val="00231968"/>
    <w:rsid w:val="00235BC9"/>
    <w:rsid w:val="00237233"/>
    <w:rsid w:val="00241376"/>
    <w:rsid w:val="002421BB"/>
    <w:rsid w:val="00245707"/>
    <w:rsid w:val="00246A81"/>
    <w:rsid w:val="00251A5F"/>
    <w:rsid w:val="002525BD"/>
    <w:rsid w:val="00252B30"/>
    <w:rsid w:val="00253C95"/>
    <w:rsid w:val="0025796E"/>
    <w:rsid w:val="002603E5"/>
    <w:rsid w:val="002638B2"/>
    <w:rsid w:val="002660F2"/>
    <w:rsid w:val="002664BB"/>
    <w:rsid w:val="002707A2"/>
    <w:rsid w:val="00273620"/>
    <w:rsid w:val="00277150"/>
    <w:rsid w:val="002826F0"/>
    <w:rsid w:val="002835A6"/>
    <w:rsid w:val="002844ED"/>
    <w:rsid w:val="00286FAD"/>
    <w:rsid w:val="0029325F"/>
    <w:rsid w:val="002951A0"/>
    <w:rsid w:val="002962BC"/>
    <w:rsid w:val="002A093D"/>
    <w:rsid w:val="002A0DD0"/>
    <w:rsid w:val="002A1D2F"/>
    <w:rsid w:val="002A49AC"/>
    <w:rsid w:val="002A64FD"/>
    <w:rsid w:val="002A6BBF"/>
    <w:rsid w:val="002B1E57"/>
    <w:rsid w:val="002B1F7F"/>
    <w:rsid w:val="002B290B"/>
    <w:rsid w:val="002B331C"/>
    <w:rsid w:val="002B61F2"/>
    <w:rsid w:val="002B7AD9"/>
    <w:rsid w:val="002C110E"/>
    <w:rsid w:val="002C2AAA"/>
    <w:rsid w:val="002C379A"/>
    <w:rsid w:val="002C765E"/>
    <w:rsid w:val="002C7A84"/>
    <w:rsid w:val="002D13A1"/>
    <w:rsid w:val="002D26E5"/>
    <w:rsid w:val="002D284C"/>
    <w:rsid w:val="002D3F0D"/>
    <w:rsid w:val="002D400C"/>
    <w:rsid w:val="002D53EA"/>
    <w:rsid w:val="002D7677"/>
    <w:rsid w:val="002E1D98"/>
    <w:rsid w:val="002E2C3F"/>
    <w:rsid w:val="002E4FD9"/>
    <w:rsid w:val="002E6C9D"/>
    <w:rsid w:val="002E6F15"/>
    <w:rsid w:val="002F13FD"/>
    <w:rsid w:val="002F53FB"/>
    <w:rsid w:val="00300AD4"/>
    <w:rsid w:val="00303544"/>
    <w:rsid w:val="00303985"/>
    <w:rsid w:val="003039C1"/>
    <w:rsid w:val="0030488C"/>
    <w:rsid w:val="003101A1"/>
    <w:rsid w:val="00310DBE"/>
    <w:rsid w:val="00310E5C"/>
    <w:rsid w:val="003119D8"/>
    <w:rsid w:val="00313060"/>
    <w:rsid w:val="0031430F"/>
    <w:rsid w:val="00320BBD"/>
    <w:rsid w:val="003226F7"/>
    <w:rsid w:val="00322A85"/>
    <w:rsid w:val="00324168"/>
    <w:rsid w:val="00325755"/>
    <w:rsid w:val="00325A9A"/>
    <w:rsid w:val="0033032A"/>
    <w:rsid w:val="00330353"/>
    <w:rsid w:val="003306EA"/>
    <w:rsid w:val="00330C97"/>
    <w:rsid w:val="0033192A"/>
    <w:rsid w:val="00333EDB"/>
    <w:rsid w:val="00334C6A"/>
    <w:rsid w:val="00336C05"/>
    <w:rsid w:val="003409C8"/>
    <w:rsid w:val="00342675"/>
    <w:rsid w:val="00343512"/>
    <w:rsid w:val="003448F4"/>
    <w:rsid w:val="00345330"/>
    <w:rsid w:val="00350480"/>
    <w:rsid w:val="003509D9"/>
    <w:rsid w:val="00351223"/>
    <w:rsid w:val="003522B9"/>
    <w:rsid w:val="0035242B"/>
    <w:rsid w:val="00352576"/>
    <w:rsid w:val="003528DF"/>
    <w:rsid w:val="00352C12"/>
    <w:rsid w:val="00354277"/>
    <w:rsid w:val="00354BCA"/>
    <w:rsid w:val="00354FEA"/>
    <w:rsid w:val="00362DEE"/>
    <w:rsid w:val="003637C2"/>
    <w:rsid w:val="0036594E"/>
    <w:rsid w:val="003665EE"/>
    <w:rsid w:val="0037010E"/>
    <w:rsid w:val="003734F4"/>
    <w:rsid w:val="0037410B"/>
    <w:rsid w:val="00374F5E"/>
    <w:rsid w:val="0037527B"/>
    <w:rsid w:val="00377E3E"/>
    <w:rsid w:val="003815B3"/>
    <w:rsid w:val="003815E8"/>
    <w:rsid w:val="00386D13"/>
    <w:rsid w:val="00391392"/>
    <w:rsid w:val="00392A49"/>
    <w:rsid w:val="00392E7C"/>
    <w:rsid w:val="00393812"/>
    <w:rsid w:val="003A26D1"/>
    <w:rsid w:val="003A3B30"/>
    <w:rsid w:val="003A40E2"/>
    <w:rsid w:val="003A477B"/>
    <w:rsid w:val="003A779E"/>
    <w:rsid w:val="003A7ABC"/>
    <w:rsid w:val="003B005A"/>
    <w:rsid w:val="003B0636"/>
    <w:rsid w:val="003B0E7A"/>
    <w:rsid w:val="003B148F"/>
    <w:rsid w:val="003B2D86"/>
    <w:rsid w:val="003B4035"/>
    <w:rsid w:val="003B6385"/>
    <w:rsid w:val="003B66E8"/>
    <w:rsid w:val="003B6E09"/>
    <w:rsid w:val="003B74D0"/>
    <w:rsid w:val="003B78C4"/>
    <w:rsid w:val="003C1E56"/>
    <w:rsid w:val="003C3ABE"/>
    <w:rsid w:val="003C3FA5"/>
    <w:rsid w:val="003D0F4D"/>
    <w:rsid w:val="003D1B5E"/>
    <w:rsid w:val="003D5B0D"/>
    <w:rsid w:val="003E0499"/>
    <w:rsid w:val="003E1329"/>
    <w:rsid w:val="003E40F2"/>
    <w:rsid w:val="003E7EAA"/>
    <w:rsid w:val="003F2A9C"/>
    <w:rsid w:val="003F3941"/>
    <w:rsid w:val="003F5594"/>
    <w:rsid w:val="00400676"/>
    <w:rsid w:val="00400747"/>
    <w:rsid w:val="004008A9"/>
    <w:rsid w:val="0040480E"/>
    <w:rsid w:val="00404C4F"/>
    <w:rsid w:val="00406575"/>
    <w:rsid w:val="004069AB"/>
    <w:rsid w:val="00410906"/>
    <w:rsid w:val="00413C3D"/>
    <w:rsid w:val="0041655A"/>
    <w:rsid w:val="004252BF"/>
    <w:rsid w:val="00426FD7"/>
    <w:rsid w:val="0042722E"/>
    <w:rsid w:val="00427DA0"/>
    <w:rsid w:val="00432D87"/>
    <w:rsid w:val="004358A6"/>
    <w:rsid w:val="00440391"/>
    <w:rsid w:val="004405A4"/>
    <w:rsid w:val="004407EF"/>
    <w:rsid w:val="004426AD"/>
    <w:rsid w:val="00442874"/>
    <w:rsid w:val="00442C7F"/>
    <w:rsid w:val="0044528D"/>
    <w:rsid w:val="0044798F"/>
    <w:rsid w:val="00447D82"/>
    <w:rsid w:val="00450920"/>
    <w:rsid w:val="004530EA"/>
    <w:rsid w:val="00454D48"/>
    <w:rsid w:val="00455470"/>
    <w:rsid w:val="004554F9"/>
    <w:rsid w:val="00457B75"/>
    <w:rsid w:val="0046004D"/>
    <w:rsid w:val="00461A6A"/>
    <w:rsid w:val="00462114"/>
    <w:rsid w:val="004633DE"/>
    <w:rsid w:val="00464753"/>
    <w:rsid w:val="00465E71"/>
    <w:rsid w:val="00466040"/>
    <w:rsid w:val="00467C73"/>
    <w:rsid w:val="00471654"/>
    <w:rsid w:val="004734BD"/>
    <w:rsid w:val="00474B71"/>
    <w:rsid w:val="00475854"/>
    <w:rsid w:val="00480BAF"/>
    <w:rsid w:val="00482562"/>
    <w:rsid w:val="00482608"/>
    <w:rsid w:val="00483749"/>
    <w:rsid w:val="004845C6"/>
    <w:rsid w:val="00484809"/>
    <w:rsid w:val="00484BB1"/>
    <w:rsid w:val="00493A76"/>
    <w:rsid w:val="00495BC7"/>
    <w:rsid w:val="004A0980"/>
    <w:rsid w:val="004A0B8B"/>
    <w:rsid w:val="004A1847"/>
    <w:rsid w:val="004A29D8"/>
    <w:rsid w:val="004A305D"/>
    <w:rsid w:val="004A3312"/>
    <w:rsid w:val="004A66E3"/>
    <w:rsid w:val="004B01B2"/>
    <w:rsid w:val="004B1343"/>
    <w:rsid w:val="004B3755"/>
    <w:rsid w:val="004B740F"/>
    <w:rsid w:val="004B791C"/>
    <w:rsid w:val="004C05F5"/>
    <w:rsid w:val="004C2796"/>
    <w:rsid w:val="004C28C6"/>
    <w:rsid w:val="004C2E9A"/>
    <w:rsid w:val="004C486F"/>
    <w:rsid w:val="004C4B37"/>
    <w:rsid w:val="004D026D"/>
    <w:rsid w:val="004D23A7"/>
    <w:rsid w:val="004D2494"/>
    <w:rsid w:val="004D3239"/>
    <w:rsid w:val="004E0036"/>
    <w:rsid w:val="004E221E"/>
    <w:rsid w:val="004E2892"/>
    <w:rsid w:val="004E325F"/>
    <w:rsid w:val="004E3289"/>
    <w:rsid w:val="004E4C0B"/>
    <w:rsid w:val="004E505B"/>
    <w:rsid w:val="004E6A68"/>
    <w:rsid w:val="004E7CE7"/>
    <w:rsid w:val="004F01CB"/>
    <w:rsid w:val="004F1ECF"/>
    <w:rsid w:val="004F21C4"/>
    <w:rsid w:val="004F3012"/>
    <w:rsid w:val="004F3B9E"/>
    <w:rsid w:val="004F5559"/>
    <w:rsid w:val="004F685F"/>
    <w:rsid w:val="004F714C"/>
    <w:rsid w:val="004F7EC9"/>
    <w:rsid w:val="00504CBE"/>
    <w:rsid w:val="00505795"/>
    <w:rsid w:val="0051018F"/>
    <w:rsid w:val="00514598"/>
    <w:rsid w:val="005163B5"/>
    <w:rsid w:val="005164AB"/>
    <w:rsid w:val="00524A49"/>
    <w:rsid w:val="0052543A"/>
    <w:rsid w:val="00525FDB"/>
    <w:rsid w:val="0052785C"/>
    <w:rsid w:val="00531925"/>
    <w:rsid w:val="00533E1B"/>
    <w:rsid w:val="00536857"/>
    <w:rsid w:val="00540A3E"/>
    <w:rsid w:val="00540C2D"/>
    <w:rsid w:val="0054335F"/>
    <w:rsid w:val="00546D8F"/>
    <w:rsid w:val="0054709C"/>
    <w:rsid w:val="005511A8"/>
    <w:rsid w:val="00552502"/>
    <w:rsid w:val="00554BD4"/>
    <w:rsid w:val="00556143"/>
    <w:rsid w:val="005566E8"/>
    <w:rsid w:val="005571E8"/>
    <w:rsid w:val="00560CB5"/>
    <w:rsid w:val="00564F8B"/>
    <w:rsid w:val="005655EF"/>
    <w:rsid w:val="00567B3F"/>
    <w:rsid w:val="0057193B"/>
    <w:rsid w:val="00571EE9"/>
    <w:rsid w:val="00573690"/>
    <w:rsid w:val="00574122"/>
    <w:rsid w:val="00574867"/>
    <w:rsid w:val="00576089"/>
    <w:rsid w:val="00576338"/>
    <w:rsid w:val="00577D09"/>
    <w:rsid w:val="0058087F"/>
    <w:rsid w:val="00583D1E"/>
    <w:rsid w:val="00591460"/>
    <w:rsid w:val="00592628"/>
    <w:rsid w:val="00595426"/>
    <w:rsid w:val="00597C75"/>
    <w:rsid w:val="005A0430"/>
    <w:rsid w:val="005A0868"/>
    <w:rsid w:val="005A0CFB"/>
    <w:rsid w:val="005A111B"/>
    <w:rsid w:val="005A282F"/>
    <w:rsid w:val="005A2AC9"/>
    <w:rsid w:val="005A6C21"/>
    <w:rsid w:val="005B2CCE"/>
    <w:rsid w:val="005B516E"/>
    <w:rsid w:val="005B58C1"/>
    <w:rsid w:val="005B6033"/>
    <w:rsid w:val="005C3777"/>
    <w:rsid w:val="005C5CDC"/>
    <w:rsid w:val="005C70EF"/>
    <w:rsid w:val="005D17C8"/>
    <w:rsid w:val="005D2B2B"/>
    <w:rsid w:val="005D3C67"/>
    <w:rsid w:val="005D476C"/>
    <w:rsid w:val="005D5F91"/>
    <w:rsid w:val="005D7B25"/>
    <w:rsid w:val="005E6B74"/>
    <w:rsid w:val="005F3427"/>
    <w:rsid w:val="005F3CE0"/>
    <w:rsid w:val="005F7C43"/>
    <w:rsid w:val="00601DFC"/>
    <w:rsid w:val="00605A00"/>
    <w:rsid w:val="00610812"/>
    <w:rsid w:val="00612CE7"/>
    <w:rsid w:val="00615F46"/>
    <w:rsid w:val="0062005D"/>
    <w:rsid w:val="006219F8"/>
    <w:rsid w:val="00622E46"/>
    <w:rsid w:val="00623237"/>
    <w:rsid w:val="00623BBA"/>
    <w:rsid w:val="00630245"/>
    <w:rsid w:val="0063165E"/>
    <w:rsid w:val="00632C08"/>
    <w:rsid w:val="006459E1"/>
    <w:rsid w:val="0064722F"/>
    <w:rsid w:val="00650FF7"/>
    <w:rsid w:val="00656421"/>
    <w:rsid w:val="00660153"/>
    <w:rsid w:val="006606E1"/>
    <w:rsid w:val="00660F6A"/>
    <w:rsid w:val="00661543"/>
    <w:rsid w:val="00663B19"/>
    <w:rsid w:val="00665032"/>
    <w:rsid w:val="00665D70"/>
    <w:rsid w:val="00666218"/>
    <w:rsid w:val="00671DAC"/>
    <w:rsid w:val="006747C7"/>
    <w:rsid w:val="00676214"/>
    <w:rsid w:val="0067697D"/>
    <w:rsid w:val="00677483"/>
    <w:rsid w:val="006827AC"/>
    <w:rsid w:val="00682C93"/>
    <w:rsid w:val="006859A3"/>
    <w:rsid w:val="006900D9"/>
    <w:rsid w:val="006920AE"/>
    <w:rsid w:val="00692604"/>
    <w:rsid w:val="006934EF"/>
    <w:rsid w:val="00697B17"/>
    <w:rsid w:val="006A0008"/>
    <w:rsid w:val="006A10DF"/>
    <w:rsid w:val="006A122C"/>
    <w:rsid w:val="006A3147"/>
    <w:rsid w:val="006B14B5"/>
    <w:rsid w:val="006B25DE"/>
    <w:rsid w:val="006B4CA3"/>
    <w:rsid w:val="006B67F3"/>
    <w:rsid w:val="006C0240"/>
    <w:rsid w:val="006C238E"/>
    <w:rsid w:val="006C5595"/>
    <w:rsid w:val="006D12F8"/>
    <w:rsid w:val="006D4E33"/>
    <w:rsid w:val="006E1DA0"/>
    <w:rsid w:val="006E41C6"/>
    <w:rsid w:val="006E697E"/>
    <w:rsid w:val="006F0D40"/>
    <w:rsid w:val="006F2501"/>
    <w:rsid w:val="006F4445"/>
    <w:rsid w:val="006F4CCE"/>
    <w:rsid w:val="00700975"/>
    <w:rsid w:val="007043BB"/>
    <w:rsid w:val="00704D9B"/>
    <w:rsid w:val="00705E5F"/>
    <w:rsid w:val="00706C16"/>
    <w:rsid w:val="0070723A"/>
    <w:rsid w:val="00710637"/>
    <w:rsid w:val="007114A7"/>
    <w:rsid w:val="00711790"/>
    <w:rsid w:val="00711C85"/>
    <w:rsid w:val="00713695"/>
    <w:rsid w:val="00713F06"/>
    <w:rsid w:val="0071458F"/>
    <w:rsid w:val="00715BB9"/>
    <w:rsid w:val="0071627C"/>
    <w:rsid w:val="007215D5"/>
    <w:rsid w:val="00723A7F"/>
    <w:rsid w:val="00723F2B"/>
    <w:rsid w:val="007312C3"/>
    <w:rsid w:val="0073703D"/>
    <w:rsid w:val="00737C53"/>
    <w:rsid w:val="00737DFA"/>
    <w:rsid w:val="00737DFD"/>
    <w:rsid w:val="007534CA"/>
    <w:rsid w:val="00754B16"/>
    <w:rsid w:val="00756841"/>
    <w:rsid w:val="00757B5C"/>
    <w:rsid w:val="0076066F"/>
    <w:rsid w:val="00762AA9"/>
    <w:rsid w:val="00763207"/>
    <w:rsid w:val="007649AB"/>
    <w:rsid w:val="007670E3"/>
    <w:rsid w:val="00771D0C"/>
    <w:rsid w:val="00771FD2"/>
    <w:rsid w:val="00774A85"/>
    <w:rsid w:val="00782694"/>
    <w:rsid w:val="0078274D"/>
    <w:rsid w:val="00783102"/>
    <w:rsid w:val="007833AC"/>
    <w:rsid w:val="00784504"/>
    <w:rsid w:val="00784D58"/>
    <w:rsid w:val="00786FBF"/>
    <w:rsid w:val="00790AB7"/>
    <w:rsid w:val="0079105E"/>
    <w:rsid w:val="007913EA"/>
    <w:rsid w:val="00791769"/>
    <w:rsid w:val="00796340"/>
    <w:rsid w:val="007978D0"/>
    <w:rsid w:val="007A23EA"/>
    <w:rsid w:val="007A5189"/>
    <w:rsid w:val="007A5B2D"/>
    <w:rsid w:val="007B0D88"/>
    <w:rsid w:val="007B268C"/>
    <w:rsid w:val="007B3DD1"/>
    <w:rsid w:val="007B7171"/>
    <w:rsid w:val="007B7D02"/>
    <w:rsid w:val="007C0C0F"/>
    <w:rsid w:val="007C2E67"/>
    <w:rsid w:val="007C3DC2"/>
    <w:rsid w:val="007C4E2B"/>
    <w:rsid w:val="007C6793"/>
    <w:rsid w:val="007D0457"/>
    <w:rsid w:val="007D124A"/>
    <w:rsid w:val="007D43C9"/>
    <w:rsid w:val="007D7CFD"/>
    <w:rsid w:val="007E5497"/>
    <w:rsid w:val="007F28CA"/>
    <w:rsid w:val="007F3366"/>
    <w:rsid w:val="007F4F17"/>
    <w:rsid w:val="007F52A4"/>
    <w:rsid w:val="007F5FAF"/>
    <w:rsid w:val="007F60FB"/>
    <w:rsid w:val="007F7B94"/>
    <w:rsid w:val="00800789"/>
    <w:rsid w:val="00800B7D"/>
    <w:rsid w:val="00804981"/>
    <w:rsid w:val="00806F5F"/>
    <w:rsid w:val="00810FC5"/>
    <w:rsid w:val="00811270"/>
    <w:rsid w:val="008113AB"/>
    <w:rsid w:val="00811E4F"/>
    <w:rsid w:val="00814360"/>
    <w:rsid w:val="008163D7"/>
    <w:rsid w:val="0081653F"/>
    <w:rsid w:val="00820278"/>
    <w:rsid w:val="00825675"/>
    <w:rsid w:val="0082719E"/>
    <w:rsid w:val="00831F05"/>
    <w:rsid w:val="00833FFC"/>
    <w:rsid w:val="00834554"/>
    <w:rsid w:val="00834B31"/>
    <w:rsid w:val="00840ADC"/>
    <w:rsid w:val="00841A23"/>
    <w:rsid w:val="00843902"/>
    <w:rsid w:val="00843928"/>
    <w:rsid w:val="00843BF7"/>
    <w:rsid w:val="008449B3"/>
    <w:rsid w:val="00846276"/>
    <w:rsid w:val="00850E23"/>
    <w:rsid w:val="00851137"/>
    <w:rsid w:val="00853978"/>
    <w:rsid w:val="0085432F"/>
    <w:rsid w:val="00855525"/>
    <w:rsid w:val="00856C43"/>
    <w:rsid w:val="00860AAE"/>
    <w:rsid w:val="00864209"/>
    <w:rsid w:val="00865207"/>
    <w:rsid w:val="008704A9"/>
    <w:rsid w:val="0087325B"/>
    <w:rsid w:val="00877EBA"/>
    <w:rsid w:val="0088002A"/>
    <w:rsid w:val="00881101"/>
    <w:rsid w:val="00881ABA"/>
    <w:rsid w:val="008841E9"/>
    <w:rsid w:val="008843B6"/>
    <w:rsid w:val="00884F68"/>
    <w:rsid w:val="008853C1"/>
    <w:rsid w:val="00886C02"/>
    <w:rsid w:val="00886C89"/>
    <w:rsid w:val="00887569"/>
    <w:rsid w:val="00891928"/>
    <w:rsid w:val="00894384"/>
    <w:rsid w:val="00894B8B"/>
    <w:rsid w:val="008961BA"/>
    <w:rsid w:val="008A00A4"/>
    <w:rsid w:val="008A0221"/>
    <w:rsid w:val="008A446D"/>
    <w:rsid w:val="008A7A64"/>
    <w:rsid w:val="008A7F08"/>
    <w:rsid w:val="008B10BB"/>
    <w:rsid w:val="008B2013"/>
    <w:rsid w:val="008B2F0E"/>
    <w:rsid w:val="008B5A2E"/>
    <w:rsid w:val="008B6383"/>
    <w:rsid w:val="008D01B8"/>
    <w:rsid w:val="008D180B"/>
    <w:rsid w:val="008D1BDB"/>
    <w:rsid w:val="008D277C"/>
    <w:rsid w:val="008D65B9"/>
    <w:rsid w:val="008D6CDA"/>
    <w:rsid w:val="008D7227"/>
    <w:rsid w:val="008E1F92"/>
    <w:rsid w:val="008E7333"/>
    <w:rsid w:val="008E7B09"/>
    <w:rsid w:val="008E7CDC"/>
    <w:rsid w:val="008F0EA7"/>
    <w:rsid w:val="008F1CA9"/>
    <w:rsid w:val="008F7BB9"/>
    <w:rsid w:val="00900E6C"/>
    <w:rsid w:val="00904692"/>
    <w:rsid w:val="009049A4"/>
    <w:rsid w:val="00910097"/>
    <w:rsid w:val="00910290"/>
    <w:rsid w:val="00911C7C"/>
    <w:rsid w:val="0091561E"/>
    <w:rsid w:val="00920849"/>
    <w:rsid w:val="00922F57"/>
    <w:rsid w:val="00923EEF"/>
    <w:rsid w:val="00925DB4"/>
    <w:rsid w:val="00930362"/>
    <w:rsid w:val="009325CC"/>
    <w:rsid w:val="0093558D"/>
    <w:rsid w:val="009411F5"/>
    <w:rsid w:val="009419F9"/>
    <w:rsid w:val="00945B9F"/>
    <w:rsid w:val="00950A2A"/>
    <w:rsid w:val="00950BE2"/>
    <w:rsid w:val="00951380"/>
    <w:rsid w:val="00953AA4"/>
    <w:rsid w:val="00954545"/>
    <w:rsid w:val="00955305"/>
    <w:rsid w:val="0095685E"/>
    <w:rsid w:val="009572D9"/>
    <w:rsid w:val="009600D2"/>
    <w:rsid w:val="00961409"/>
    <w:rsid w:val="00961B09"/>
    <w:rsid w:val="00962300"/>
    <w:rsid w:val="00965334"/>
    <w:rsid w:val="0097093E"/>
    <w:rsid w:val="00972162"/>
    <w:rsid w:val="00972487"/>
    <w:rsid w:val="009725F1"/>
    <w:rsid w:val="00976025"/>
    <w:rsid w:val="009762B1"/>
    <w:rsid w:val="00976F04"/>
    <w:rsid w:val="009800BE"/>
    <w:rsid w:val="00982D5D"/>
    <w:rsid w:val="00982E41"/>
    <w:rsid w:val="00983B79"/>
    <w:rsid w:val="00983EEA"/>
    <w:rsid w:val="009844CF"/>
    <w:rsid w:val="00984649"/>
    <w:rsid w:val="009858BE"/>
    <w:rsid w:val="009872EF"/>
    <w:rsid w:val="0099271E"/>
    <w:rsid w:val="00993688"/>
    <w:rsid w:val="00994705"/>
    <w:rsid w:val="00995791"/>
    <w:rsid w:val="009A0AE7"/>
    <w:rsid w:val="009A0DFA"/>
    <w:rsid w:val="009A3C2C"/>
    <w:rsid w:val="009A46F5"/>
    <w:rsid w:val="009A4A40"/>
    <w:rsid w:val="009A53D3"/>
    <w:rsid w:val="009A6353"/>
    <w:rsid w:val="009B1E58"/>
    <w:rsid w:val="009B2D26"/>
    <w:rsid w:val="009B3595"/>
    <w:rsid w:val="009B5228"/>
    <w:rsid w:val="009B6C8C"/>
    <w:rsid w:val="009B77A5"/>
    <w:rsid w:val="009B780F"/>
    <w:rsid w:val="009B7C63"/>
    <w:rsid w:val="009C0922"/>
    <w:rsid w:val="009C2DD0"/>
    <w:rsid w:val="009C3AC7"/>
    <w:rsid w:val="009C4CB7"/>
    <w:rsid w:val="009C6159"/>
    <w:rsid w:val="009C71FA"/>
    <w:rsid w:val="009C72E7"/>
    <w:rsid w:val="009D0555"/>
    <w:rsid w:val="009D1086"/>
    <w:rsid w:val="009D1830"/>
    <w:rsid w:val="009D3058"/>
    <w:rsid w:val="009D3A11"/>
    <w:rsid w:val="009D44C4"/>
    <w:rsid w:val="009D6427"/>
    <w:rsid w:val="009D67FD"/>
    <w:rsid w:val="009E0BAB"/>
    <w:rsid w:val="009E4636"/>
    <w:rsid w:val="009E5A30"/>
    <w:rsid w:val="009E723E"/>
    <w:rsid w:val="009E7C05"/>
    <w:rsid w:val="009F3831"/>
    <w:rsid w:val="009F3832"/>
    <w:rsid w:val="009F3911"/>
    <w:rsid w:val="009F3A13"/>
    <w:rsid w:val="009F4AB2"/>
    <w:rsid w:val="009F63D6"/>
    <w:rsid w:val="009F73F7"/>
    <w:rsid w:val="00A02465"/>
    <w:rsid w:val="00A03415"/>
    <w:rsid w:val="00A04A81"/>
    <w:rsid w:val="00A07474"/>
    <w:rsid w:val="00A11F25"/>
    <w:rsid w:val="00A122D3"/>
    <w:rsid w:val="00A14D3D"/>
    <w:rsid w:val="00A16344"/>
    <w:rsid w:val="00A168E1"/>
    <w:rsid w:val="00A17597"/>
    <w:rsid w:val="00A17C8D"/>
    <w:rsid w:val="00A17F13"/>
    <w:rsid w:val="00A20739"/>
    <w:rsid w:val="00A2108F"/>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088C"/>
    <w:rsid w:val="00A42050"/>
    <w:rsid w:val="00A43292"/>
    <w:rsid w:val="00A445C0"/>
    <w:rsid w:val="00A468B8"/>
    <w:rsid w:val="00A52D82"/>
    <w:rsid w:val="00A56959"/>
    <w:rsid w:val="00A56FCA"/>
    <w:rsid w:val="00A6004A"/>
    <w:rsid w:val="00A60FCC"/>
    <w:rsid w:val="00A613C2"/>
    <w:rsid w:val="00A7332E"/>
    <w:rsid w:val="00A745FA"/>
    <w:rsid w:val="00A74DE6"/>
    <w:rsid w:val="00A75832"/>
    <w:rsid w:val="00A75866"/>
    <w:rsid w:val="00A8086A"/>
    <w:rsid w:val="00A80F32"/>
    <w:rsid w:val="00A828F1"/>
    <w:rsid w:val="00A830AD"/>
    <w:rsid w:val="00A87F7D"/>
    <w:rsid w:val="00A9244C"/>
    <w:rsid w:val="00A94D14"/>
    <w:rsid w:val="00A95106"/>
    <w:rsid w:val="00A95A1A"/>
    <w:rsid w:val="00A95F3C"/>
    <w:rsid w:val="00A97D3A"/>
    <w:rsid w:val="00AA0A07"/>
    <w:rsid w:val="00AA1328"/>
    <w:rsid w:val="00AA23BB"/>
    <w:rsid w:val="00AB08D6"/>
    <w:rsid w:val="00AB0ADB"/>
    <w:rsid w:val="00AB3FD1"/>
    <w:rsid w:val="00AB4466"/>
    <w:rsid w:val="00AB51C6"/>
    <w:rsid w:val="00AB666B"/>
    <w:rsid w:val="00AC0DF9"/>
    <w:rsid w:val="00AC0EAB"/>
    <w:rsid w:val="00AC3FB7"/>
    <w:rsid w:val="00AC4701"/>
    <w:rsid w:val="00AC49A2"/>
    <w:rsid w:val="00AD3C9D"/>
    <w:rsid w:val="00AD6C85"/>
    <w:rsid w:val="00AD73E2"/>
    <w:rsid w:val="00AE0B1E"/>
    <w:rsid w:val="00AE2631"/>
    <w:rsid w:val="00AE2BCE"/>
    <w:rsid w:val="00AE3D6C"/>
    <w:rsid w:val="00AF0EC2"/>
    <w:rsid w:val="00AF1BEC"/>
    <w:rsid w:val="00AF54CA"/>
    <w:rsid w:val="00B009B8"/>
    <w:rsid w:val="00B01B1A"/>
    <w:rsid w:val="00B0268A"/>
    <w:rsid w:val="00B0410F"/>
    <w:rsid w:val="00B048F3"/>
    <w:rsid w:val="00B079AF"/>
    <w:rsid w:val="00B07DDD"/>
    <w:rsid w:val="00B14E03"/>
    <w:rsid w:val="00B23657"/>
    <w:rsid w:val="00B26B98"/>
    <w:rsid w:val="00B30894"/>
    <w:rsid w:val="00B35201"/>
    <w:rsid w:val="00B35ADC"/>
    <w:rsid w:val="00B36A23"/>
    <w:rsid w:val="00B37C24"/>
    <w:rsid w:val="00B40FBC"/>
    <w:rsid w:val="00B427E2"/>
    <w:rsid w:val="00B44949"/>
    <w:rsid w:val="00B44ABE"/>
    <w:rsid w:val="00B46F27"/>
    <w:rsid w:val="00B47728"/>
    <w:rsid w:val="00B47FD7"/>
    <w:rsid w:val="00B51F75"/>
    <w:rsid w:val="00B52169"/>
    <w:rsid w:val="00B52937"/>
    <w:rsid w:val="00B53E27"/>
    <w:rsid w:val="00B558AF"/>
    <w:rsid w:val="00B57B90"/>
    <w:rsid w:val="00B615BA"/>
    <w:rsid w:val="00B62D8B"/>
    <w:rsid w:val="00B72CD3"/>
    <w:rsid w:val="00B72FFF"/>
    <w:rsid w:val="00B74FAE"/>
    <w:rsid w:val="00B750DE"/>
    <w:rsid w:val="00B76CEB"/>
    <w:rsid w:val="00B80CC6"/>
    <w:rsid w:val="00B81847"/>
    <w:rsid w:val="00B8257D"/>
    <w:rsid w:val="00B82B8B"/>
    <w:rsid w:val="00B83FCE"/>
    <w:rsid w:val="00B86FE2"/>
    <w:rsid w:val="00B91186"/>
    <w:rsid w:val="00B93423"/>
    <w:rsid w:val="00B93E58"/>
    <w:rsid w:val="00B948E8"/>
    <w:rsid w:val="00B96D00"/>
    <w:rsid w:val="00BA0A22"/>
    <w:rsid w:val="00BA2EF4"/>
    <w:rsid w:val="00BA3877"/>
    <w:rsid w:val="00BA44A8"/>
    <w:rsid w:val="00BA6BE0"/>
    <w:rsid w:val="00BB22DA"/>
    <w:rsid w:val="00BB2C9D"/>
    <w:rsid w:val="00BB695F"/>
    <w:rsid w:val="00BC0036"/>
    <w:rsid w:val="00BC05A6"/>
    <w:rsid w:val="00BC3820"/>
    <w:rsid w:val="00BC3D36"/>
    <w:rsid w:val="00BC4B34"/>
    <w:rsid w:val="00BC7498"/>
    <w:rsid w:val="00BD0D56"/>
    <w:rsid w:val="00BD424C"/>
    <w:rsid w:val="00BD4BCA"/>
    <w:rsid w:val="00BD7F72"/>
    <w:rsid w:val="00BE03BC"/>
    <w:rsid w:val="00BE0A18"/>
    <w:rsid w:val="00BE27D3"/>
    <w:rsid w:val="00BE3EC5"/>
    <w:rsid w:val="00BF0D99"/>
    <w:rsid w:val="00BF1201"/>
    <w:rsid w:val="00BF1D4A"/>
    <w:rsid w:val="00BF230F"/>
    <w:rsid w:val="00BF2EAC"/>
    <w:rsid w:val="00BF33BA"/>
    <w:rsid w:val="00C002E3"/>
    <w:rsid w:val="00C00DA0"/>
    <w:rsid w:val="00C012CC"/>
    <w:rsid w:val="00C04FB3"/>
    <w:rsid w:val="00C06C4F"/>
    <w:rsid w:val="00C106DF"/>
    <w:rsid w:val="00C147D0"/>
    <w:rsid w:val="00C159C1"/>
    <w:rsid w:val="00C16346"/>
    <w:rsid w:val="00C20D56"/>
    <w:rsid w:val="00C21B15"/>
    <w:rsid w:val="00C21B8C"/>
    <w:rsid w:val="00C229C8"/>
    <w:rsid w:val="00C32523"/>
    <w:rsid w:val="00C3281B"/>
    <w:rsid w:val="00C330EB"/>
    <w:rsid w:val="00C34712"/>
    <w:rsid w:val="00C3541E"/>
    <w:rsid w:val="00C371C9"/>
    <w:rsid w:val="00C40E9F"/>
    <w:rsid w:val="00C41249"/>
    <w:rsid w:val="00C41481"/>
    <w:rsid w:val="00C42396"/>
    <w:rsid w:val="00C42469"/>
    <w:rsid w:val="00C46683"/>
    <w:rsid w:val="00C46D91"/>
    <w:rsid w:val="00C47A07"/>
    <w:rsid w:val="00C47B74"/>
    <w:rsid w:val="00C50855"/>
    <w:rsid w:val="00C51623"/>
    <w:rsid w:val="00C57281"/>
    <w:rsid w:val="00C57E63"/>
    <w:rsid w:val="00C60CB1"/>
    <w:rsid w:val="00C64813"/>
    <w:rsid w:val="00C65D65"/>
    <w:rsid w:val="00C66D80"/>
    <w:rsid w:val="00C66EED"/>
    <w:rsid w:val="00C67703"/>
    <w:rsid w:val="00C67E1A"/>
    <w:rsid w:val="00C7173F"/>
    <w:rsid w:val="00C730B6"/>
    <w:rsid w:val="00C7352F"/>
    <w:rsid w:val="00C7482D"/>
    <w:rsid w:val="00C754BE"/>
    <w:rsid w:val="00C76466"/>
    <w:rsid w:val="00C76B1C"/>
    <w:rsid w:val="00C82239"/>
    <w:rsid w:val="00C90209"/>
    <w:rsid w:val="00C915DD"/>
    <w:rsid w:val="00C91B94"/>
    <w:rsid w:val="00C92665"/>
    <w:rsid w:val="00C95218"/>
    <w:rsid w:val="00CA3FE3"/>
    <w:rsid w:val="00CA4272"/>
    <w:rsid w:val="00CA641A"/>
    <w:rsid w:val="00CA6A9D"/>
    <w:rsid w:val="00CA7F6B"/>
    <w:rsid w:val="00CB1F5F"/>
    <w:rsid w:val="00CB6357"/>
    <w:rsid w:val="00CC0106"/>
    <w:rsid w:val="00CC0FA3"/>
    <w:rsid w:val="00CC1B26"/>
    <w:rsid w:val="00CC49F7"/>
    <w:rsid w:val="00CC54DB"/>
    <w:rsid w:val="00CC5FBE"/>
    <w:rsid w:val="00CC7787"/>
    <w:rsid w:val="00CD087D"/>
    <w:rsid w:val="00CD0A62"/>
    <w:rsid w:val="00CD41CB"/>
    <w:rsid w:val="00CD5B94"/>
    <w:rsid w:val="00CD5C90"/>
    <w:rsid w:val="00CD5EE0"/>
    <w:rsid w:val="00CE02A2"/>
    <w:rsid w:val="00CE031F"/>
    <w:rsid w:val="00CE2C9A"/>
    <w:rsid w:val="00CE3019"/>
    <w:rsid w:val="00CE3273"/>
    <w:rsid w:val="00CE509A"/>
    <w:rsid w:val="00CE5414"/>
    <w:rsid w:val="00CF241F"/>
    <w:rsid w:val="00CF2D08"/>
    <w:rsid w:val="00CF7826"/>
    <w:rsid w:val="00D0157A"/>
    <w:rsid w:val="00D02088"/>
    <w:rsid w:val="00D02657"/>
    <w:rsid w:val="00D036D8"/>
    <w:rsid w:val="00D038ED"/>
    <w:rsid w:val="00D059D1"/>
    <w:rsid w:val="00D06242"/>
    <w:rsid w:val="00D06D26"/>
    <w:rsid w:val="00D10B75"/>
    <w:rsid w:val="00D13351"/>
    <w:rsid w:val="00D15E25"/>
    <w:rsid w:val="00D161D4"/>
    <w:rsid w:val="00D16C3A"/>
    <w:rsid w:val="00D20317"/>
    <w:rsid w:val="00D20368"/>
    <w:rsid w:val="00D2053D"/>
    <w:rsid w:val="00D22361"/>
    <w:rsid w:val="00D22598"/>
    <w:rsid w:val="00D24631"/>
    <w:rsid w:val="00D26924"/>
    <w:rsid w:val="00D35468"/>
    <w:rsid w:val="00D3614C"/>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609E"/>
    <w:rsid w:val="00D80722"/>
    <w:rsid w:val="00D81A63"/>
    <w:rsid w:val="00D81D25"/>
    <w:rsid w:val="00D845AD"/>
    <w:rsid w:val="00D85C60"/>
    <w:rsid w:val="00D86592"/>
    <w:rsid w:val="00D86C54"/>
    <w:rsid w:val="00D911DD"/>
    <w:rsid w:val="00D91F8B"/>
    <w:rsid w:val="00D94C40"/>
    <w:rsid w:val="00D961D5"/>
    <w:rsid w:val="00DA231B"/>
    <w:rsid w:val="00DA23A0"/>
    <w:rsid w:val="00DA7D04"/>
    <w:rsid w:val="00DA7F66"/>
    <w:rsid w:val="00DB186F"/>
    <w:rsid w:val="00DB291E"/>
    <w:rsid w:val="00DB31CC"/>
    <w:rsid w:val="00DB77B8"/>
    <w:rsid w:val="00DB7C49"/>
    <w:rsid w:val="00DC376C"/>
    <w:rsid w:val="00DC39FC"/>
    <w:rsid w:val="00DC4385"/>
    <w:rsid w:val="00DC484F"/>
    <w:rsid w:val="00DC4C27"/>
    <w:rsid w:val="00DC51BC"/>
    <w:rsid w:val="00DC6452"/>
    <w:rsid w:val="00DC78A7"/>
    <w:rsid w:val="00DC793F"/>
    <w:rsid w:val="00DE3BDD"/>
    <w:rsid w:val="00DE4629"/>
    <w:rsid w:val="00DE58C9"/>
    <w:rsid w:val="00DE6EAA"/>
    <w:rsid w:val="00DE7C00"/>
    <w:rsid w:val="00DF11FD"/>
    <w:rsid w:val="00DF5254"/>
    <w:rsid w:val="00DF5C8D"/>
    <w:rsid w:val="00E012A9"/>
    <w:rsid w:val="00E01484"/>
    <w:rsid w:val="00E0264F"/>
    <w:rsid w:val="00E052F2"/>
    <w:rsid w:val="00E06C97"/>
    <w:rsid w:val="00E12426"/>
    <w:rsid w:val="00E14EB2"/>
    <w:rsid w:val="00E16408"/>
    <w:rsid w:val="00E20894"/>
    <w:rsid w:val="00E2386E"/>
    <w:rsid w:val="00E2397D"/>
    <w:rsid w:val="00E23B70"/>
    <w:rsid w:val="00E245AB"/>
    <w:rsid w:val="00E26239"/>
    <w:rsid w:val="00E2764C"/>
    <w:rsid w:val="00E27F2E"/>
    <w:rsid w:val="00E35539"/>
    <w:rsid w:val="00E37595"/>
    <w:rsid w:val="00E413EA"/>
    <w:rsid w:val="00E41D93"/>
    <w:rsid w:val="00E41F23"/>
    <w:rsid w:val="00E4556D"/>
    <w:rsid w:val="00E47F28"/>
    <w:rsid w:val="00E50AFE"/>
    <w:rsid w:val="00E525AC"/>
    <w:rsid w:val="00E52E49"/>
    <w:rsid w:val="00E536A2"/>
    <w:rsid w:val="00E577AC"/>
    <w:rsid w:val="00E578B6"/>
    <w:rsid w:val="00E6117F"/>
    <w:rsid w:val="00E61547"/>
    <w:rsid w:val="00E61702"/>
    <w:rsid w:val="00E708B1"/>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A4"/>
    <w:rsid w:val="00EA1CD8"/>
    <w:rsid w:val="00EA29F8"/>
    <w:rsid w:val="00EA393B"/>
    <w:rsid w:val="00EA39A5"/>
    <w:rsid w:val="00EA52E2"/>
    <w:rsid w:val="00EA65CD"/>
    <w:rsid w:val="00EB2C4B"/>
    <w:rsid w:val="00EB3BB3"/>
    <w:rsid w:val="00EB5D9B"/>
    <w:rsid w:val="00EB7319"/>
    <w:rsid w:val="00EB7E00"/>
    <w:rsid w:val="00EC1A2C"/>
    <w:rsid w:val="00EC1FE1"/>
    <w:rsid w:val="00EC214E"/>
    <w:rsid w:val="00EC38A7"/>
    <w:rsid w:val="00EC7771"/>
    <w:rsid w:val="00ED042A"/>
    <w:rsid w:val="00ED0967"/>
    <w:rsid w:val="00ED0D4A"/>
    <w:rsid w:val="00EE1AA8"/>
    <w:rsid w:val="00EE5BF5"/>
    <w:rsid w:val="00EE6DCD"/>
    <w:rsid w:val="00EF26C3"/>
    <w:rsid w:val="00EF419E"/>
    <w:rsid w:val="00EF489F"/>
    <w:rsid w:val="00F00796"/>
    <w:rsid w:val="00F11213"/>
    <w:rsid w:val="00F11BAA"/>
    <w:rsid w:val="00F177C1"/>
    <w:rsid w:val="00F17EB6"/>
    <w:rsid w:val="00F238F2"/>
    <w:rsid w:val="00F248A2"/>
    <w:rsid w:val="00F260AA"/>
    <w:rsid w:val="00F2713F"/>
    <w:rsid w:val="00F27AA1"/>
    <w:rsid w:val="00F27B26"/>
    <w:rsid w:val="00F30B1C"/>
    <w:rsid w:val="00F313AD"/>
    <w:rsid w:val="00F31EDC"/>
    <w:rsid w:val="00F34D02"/>
    <w:rsid w:val="00F34E84"/>
    <w:rsid w:val="00F37ED5"/>
    <w:rsid w:val="00F40890"/>
    <w:rsid w:val="00F40BAD"/>
    <w:rsid w:val="00F4131E"/>
    <w:rsid w:val="00F4300B"/>
    <w:rsid w:val="00F462B3"/>
    <w:rsid w:val="00F50DC9"/>
    <w:rsid w:val="00F5184B"/>
    <w:rsid w:val="00F5491E"/>
    <w:rsid w:val="00F55081"/>
    <w:rsid w:val="00F55168"/>
    <w:rsid w:val="00F5557A"/>
    <w:rsid w:val="00F5664F"/>
    <w:rsid w:val="00F56E38"/>
    <w:rsid w:val="00F61ABB"/>
    <w:rsid w:val="00F62382"/>
    <w:rsid w:val="00F626C4"/>
    <w:rsid w:val="00F64D9E"/>
    <w:rsid w:val="00F64FF9"/>
    <w:rsid w:val="00F664EC"/>
    <w:rsid w:val="00F666C4"/>
    <w:rsid w:val="00F7342E"/>
    <w:rsid w:val="00F7684C"/>
    <w:rsid w:val="00F76AFC"/>
    <w:rsid w:val="00F77655"/>
    <w:rsid w:val="00F8035A"/>
    <w:rsid w:val="00F80CBE"/>
    <w:rsid w:val="00F85198"/>
    <w:rsid w:val="00F85237"/>
    <w:rsid w:val="00F90C89"/>
    <w:rsid w:val="00F939CB"/>
    <w:rsid w:val="00F9479C"/>
    <w:rsid w:val="00F95083"/>
    <w:rsid w:val="00F965EE"/>
    <w:rsid w:val="00F97949"/>
    <w:rsid w:val="00FA1110"/>
    <w:rsid w:val="00FA1361"/>
    <w:rsid w:val="00FA34EC"/>
    <w:rsid w:val="00FA358D"/>
    <w:rsid w:val="00FA47C0"/>
    <w:rsid w:val="00FA5F1F"/>
    <w:rsid w:val="00FB4425"/>
    <w:rsid w:val="00FB5615"/>
    <w:rsid w:val="00FB5DD1"/>
    <w:rsid w:val="00FB5F87"/>
    <w:rsid w:val="00FC07B5"/>
    <w:rsid w:val="00FC0B51"/>
    <w:rsid w:val="00FC2B5D"/>
    <w:rsid w:val="00FC636E"/>
    <w:rsid w:val="00FD00BB"/>
    <w:rsid w:val="00FD00E9"/>
    <w:rsid w:val="00FD03E3"/>
    <w:rsid w:val="00FD108E"/>
    <w:rsid w:val="00FD653F"/>
    <w:rsid w:val="00FE115B"/>
    <w:rsid w:val="00FE122A"/>
    <w:rsid w:val="00FE20E6"/>
    <w:rsid w:val="00FE3927"/>
    <w:rsid w:val="00FE7E06"/>
    <w:rsid w:val="00FF1187"/>
    <w:rsid w:val="00FF1449"/>
    <w:rsid w:val="00FF6BC9"/>
    <w:rsid w:val="00FF74EA"/>
    <w:rsid w:val="00FF7C60"/>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05E"/>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table" w:customStyle="1" w:styleId="Tablaconcuadrcula11">
    <w:name w:val="Tabla con cuadrícula11"/>
    <w:basedOn w:val="Tablanormal"/>
    <w:next w:val="Tablaconcuadrcula"/>
    <w:uiPriority w:val="39"/>
    <w:qFormat/>
    <w:rsid w:val="00FF7C60"/>
    <w:pPr>
      <w:spacing w:after="0" w:line="240" w:lineRule="auto"/>
    </w:pPr>
    <w:tblPr/>
  </w:style>
  <w:style w:type="character" w:styleId="Mencinsinresolver">
    <w:name w:val="Unresolved Mention"/>
    <w:basedOn w:val="Fuentedeprrafopredeter"/>
    <w:uiPriority w:val="99"/>
    <w:semiHidden/>
    <w:unhideWhenUsed/>
    <w:rsid w:val="002113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07377614">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mailto:c.ordosgoitia@hotmail.com"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1AE2C4-2296-4BF9-9655-BD5E369662B2}">
  <ds:schemaRefs>
    <ds:schemaRef ds:uri="http://schemas.openxmlformats.org/officeDocument/2006/bibliography"/>
  </ds:schemaRefs>
</ds:datastoreItem>
</file>

<file path=customXml/itemProps2.xml><?xml version="1.0" encoding="utf-8"?>
<ds:datastoreItem xmlns:ds="http://schemas.openxmlformats.org/officeDocument/2006/customXml" ds:itemID="{1F4A7D6E-E278-4EA8-89FC-EB3098996A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32</Pages>
  <Words>12151</Words>
  <Characters>66834</Characters>
  <Application>Microsoft Office Word</Application>
  <DocSecurity>0</DocSecurity>
  <Lines>556</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2025-02-25T15:45:00Z</cp:lastPrinted>
  <dcterms:created xsi:type="dcterms:W3CDTF">2026-05-08T15:31:00Z</dcterms:created>
  <dcterms:modified xsi:type="dcterms:W3CDTF">2026-05-08T23:43:00Z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