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F74884" w14:textId="77777777" w:rsidR="00FE5496" w:rsidRDefault="00FE5496" w:rsidP="00FE5496">
      <w:pPr>
        <w:spacing w:after="0" w:line="240" w:lineRule="auto"/>
        <w:jc w:val="both"/>
        <w:rPr>
          <w:rFonts w:ascii="Verdana" w:eastAsia="Calibri" w:hAnsi="Verdana" w:cs="Arial"/>
          <w:b/>
          <w:bCs/>
          <w:lang w:val="es-ES_tradnl"/>
        </w:rPr>
      </w:pPr>
      <w:bookmarkStart w:id="0" w:name="_Hlk143780582"/>
      <w:r>
        <w:rPr>
          <w:rFonts w:ascii="Verdana" w:eastAsia="Calibri" w:hAnsi="Verdana" w:cs="Arial"/>
          <w:b/>
          <w:bCs/>
          <w:lang w:val="es-ES_tradnl"/>
        </w:rPr>
        <w:t xml:space="preserve">SISTEMA DE PREFERENCIA PARA PERSONAS CON DISCAPACIDAD </w:t>
      </w:r>
      <w:r w:rsidRPr="004C2794">
        <w:rPr>
          <w:rFonts w:ascii="Verdana" w:eastAsia="Calibri" w:hAnsi="Verdana" w:cs="Arial"/>
          <w:b/>
          <w:bCs/>
          <w:lang w:val="es-ES_tradnl"/>
        </w:rPr>
        <w:t>‒</w:t>
      </w:r>
      <w:r>
        <w:rPr>
          <w:rFonts w:ascii="Verdana" w:eastAsia="Calibri" w:hAnsi="Verdana" w:cs="Arial"/>
          <w:b/>
          <w:bCs/>
          <w:lang w:val="es-ES_tradnl"/>
        </w:rPr>
        <w:t xml:space="preserve"> Constitución Política </w:t>
      </w:r>
      <w:r w:rsidRPr="004C2794">
        <w:rPr>
          <w:rFonts w:ascii="Verdana" w:eastAsia="Calibri" w:hAnsi="Verdana" w:cs="Arial"/>
          <w:b/>
          <w:bCs/>
          <w:lang w:val="es-ES_tradnl"/>
        </w:rPr>
        <w:t>‒</w:t>
      </w:r>
      <w:r>
        <w:rPr>
          <w:rFonts w:ascii="Verdana" w:eastAsia="Calibri" w:hAnsi="Verdana" w:cs="Arial"/>
          <w:b/>
          <w:bCs/>
          <w:lang w:val="es-ES_tradnl"/>
        </w:rPr>
        <w:t xml:space="preserve"> Ley </w:t>
      </w:r>
      <w:r w:rsidRPr="00915323">
        <w:rPr>
          <w:rFonts w:ascii="Verdana" w:eastAsia="Calibri" w:hAnsi="Verdana" w:cs="Arial"/>
          <w:b/>
          <w:bCs/>
          <w:lang w:val="es-ES_tradnl"/>
        </w:rPr>
        <w:t>1618 de 2013</w:t>
      </w:r>
    </w:p>
    <w:p w14:paraId="4BA5A814" w14:textId="77777777" w:rsidR="00FE5496" w:rsidRDefault="00FE5496" w:rsidP="00FE5496">
      <w:pPr>
        <w:spacing w:after="0" w:line="240" w:lineRule="auto"/>
        <w:jc w:val="both"/>
        <w:rPr>
          <w:rFonts w:ascii="Verdana" w:eastAsia="Calibri" w:hAnsi="Verdana" w:cs="Arial"/>
          <w:b/>
          <w:bCs/>
          <w:lang w:val="es-ES_tradnl"/>
        </w:rPr>
      </w:pPr>
    </w:p>
    <w:p w14:paraId="2D2DD39C" w14:textId="77777777" w:rsidR="00FE5496" w:rsidRDefault="00FE5496" w:rsidP="00FE5496">
      <w:pPr>
        <w:spacing w:after="0" w:line="240" w:lineRule="auto"/>
        <w:jc w:val="both"/>
        <w:rPr>
          <w:rFonts w:ascii="Verdana" w:eastAsia="Calibri" w:hAnsi="Verdana" w:cs="Arial"/>
          <w:sz w:val="20"/>
          <w:szCs w:val="20"/>
          <w:lang w:val="es-ES"/>
        </w:rPr>
      </w:pPr>
      <w:r w:rsidRPr="027CD088">
        <w:rPr>
          <w:rFonts w:ascii="Verdana" w:eastAsia="Calibri" w:hAnsi="Verdana" w:cs="Arial"/>
          <w:sz w:val="20"/>
          <w:szCs w:val="20"/>
          <w:lang w:val="es-ES"/>
        </w:rPr>
        <w:t>El fundamento del Sistema de Preferencias para Personas con Discapacidad (PcD) en la contratación pública es el principio de igualdad real y efectiva consagrado en el artículo 13 de la Constitución Política de 1991, que impone al Estado el deber positivo de adoptar acciones afirmativas en favor de grupos históricamente excluidos. La Corte Constitucional ha sostenido que tales medidas buscan contrarrestar los efectos de la discriminación y que el Estado puede establecer tratamientos diferenciales a favor de estos grupos en aras de lograr una igualdad real y efectiva. Los artículos 47 y 54 de la Carta Política refuerzan este mandato al ordenar políticas de integración social y ubicación laboral para las PcD.</w:t>
      </w:r>
    </w:p>
    <w:p w14:paraId="521BD5BF" w14:textId="77777777" w:rsidR="00FE5496" w:rsidRDefault="00FE5496" w:rsidP="00FE5496">
      <w:pPr>
        <w:spacing w:after="0" w:line="240" w:lineRule="auto"/>
        <w:jc w:val="both"/>
        <w:rPr>
          <w:rFonts w:ascii="Verdana" w:eastAsia="Calibri" w:hAnsi="Verdana" w:cs="Arial"/>
          <w:sz w:val="20"/>
          <w:szCs w:val="20"/>
          <w:lang w:val="es-ES_tradnl"/>
        </w:rPr>
      </w:pPr>
    </w:p>
    <w:p w14:paraId="4F943E3A" w14:textId="77777777" w:rsidR="0089661E" w:rsidRDefault="0089661E" w:rsidP="0089661E">
      <w:pPr>
        <w:spacing w:after="0" w:line="240" w:lineRule="auto"/>
        <w:jc w:val="both"/>
        <w:rPr>
          <w:rFonts w:ascii="Verdana" w:eastAsia="Calibri" w:hAnsi="Verdana" w:cs="Arial"/>
          <w:color w:val="000000"/>
          <w:kern w:val="2"/>
          <w:sz w:val="20"/>
          <w:szCs w:val="20"/>
          <w14:ligatures w14:val="standardContextual"/>
        </w:rPr>
      </w:pPr>
      <w:r w:rsidRPr="00F119B0">
        <w:rPr>
          <w:rFonts w:ascii="Verdana" w:eastAsia="Calibri" w:hAnsi="Verdana" w:cs="Arial"/>
          <w:color w:val="000000"/>
          <w:kern w:val="2"/>
          <w:sz w:val="20"/>
          <w:szCs w:val="20"/>
          <w14:ligatures w14:val="standardContextual"/>
        </w:rPr>
        <w:t>[</w:t>
      </w:r>
      <w:r>
        <w:rPr>
          <w:rFonts w:ascii="Verdana" w:eastAsia="Calibri" w:hAnsi="Verdana" w:cs="Arial"/>
          <w:color w:val="000000"/>
          <w:kern w:val="2"/>
          <w:sz w:val="20"/>
          <w:szCs w:val="20"/>
          <w14:ligatures w14:val="standardContextual"/>
        </w:rPr>
        <w:t>…</w:t>
      </w:r>
      <w:r w:rsidRPr="00F119B0">
        <w:rPr>
          <w:rFonts w:ascii="Verdana" w:eastAsia="Calibri" w:hAnsi="Verdana" w:cs="Arial"/>
          <w:color w:val="000000"/>
          <w:kern w:val="2"/>
          <w:sz w:val="20"/>
          <w:szCs w:val="20"/>
          <w14:ligatures w14:val="standardContextual"/>
        </w:rPr>
        <w:t>]</w:t>
      </w:r>
    </w:p>
    <w:p w14:paraId="2D812C7B" w14:textId="77777777" w:rsidR="0089661E" w:rsidRDefault="0089661E" w:rsidP="00FE5496">
      <w:pPr>
        <w:spacing w:after="0" w:line="240" w:lineRule="auto"/>
        <w:jc w:val="both"/>
        <w:rPr>
          <w:rFonts w:ascii="Verdana" w:eastAsia="Calibri" w:hAnsi="Verdana" w:cs="Arial"/>
          <w:sz w:val="20"/>
          <w:szCs w:val="20"/>
          <w:lang w:val="es-ES_tradnl"/>
        </w:rPr>
      </w:pPr>
    </w:p>
    <w:p w14:paraId="10E3E492" w14:textId="77777777" w:rsidR="00FE5496" w:rsidRPr="00915323" w:rsidRDefault="00FE5496" w:rsidP="00FE5496">
      <w:pPr>
        <w:spacing w:after="0" w:line="240" w:lineRule="auto"/>
        <w:jc w:val="both"/>
        <w:rPr>
          <w:rFonts w:ascii="Verdana" w:eastAsia="Calibri" w:hAnsi="Verdana" w:cs="Arial"/>
          <w:sz w:val="20"/>
          <w:szCs w:val="20"/>
          <w:lang w:val="es-ES"/>
        </w:rPr>
      </w:pPr>
      <w:r w:rsidRPr="027CD088">
        <w:rPr>
          <w:rFonts w:ascii="Verdana" w:eastAsia="Calibri" w:hAnsi="Verdana" w:cs="Arial"/>
          <w:sz w:val="20"/>
          <w:szCs w:val="20"/>
          <w:lang w:val="es-ES"/>
        </w:rPr>
        <w:t>La Ley Estatutaria 1618 de 2013 representó un salto cualitativo en el marco jurídico de protección de las PcD, al definir a estas como "aquellas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 . Su artículo 13, en los numerales 1, 7 y 8, ordenó al Gobierno Nacional reglamentar: una puntuación adicional en licitación pública, concurso de méritos y contratación directa para empresas que vinculen PcD y para empresas de PcD; un sistema de preferencias para empleadores de PcD en la adjudicación; y un sistema de preferencias en favor de las propias PcD como contratistas. Este último mandato fue especialmente significativo porque introdujo el concepto de "sistema de preferencias", que por definición no puede reducirse a una sola medida sino que implica un conjunto estructurado de instrumentos que actúen en las distintas fases del proceso contractual.</w:t>
      </w:r>
    </w:p>
    <w:p w14:paraId="11C462E6" w14:textId="77777777" w:rsidR="00FE5496" w:rsidRPr="001B3C5D" w:rsidRDefault="00FE5496" w:rsidP="00FE5496">
      <w:pPr>
        <w:spacing w:after="0" w:line="240" w:lineRule="auto"/>
        <w:jc w:val="both"/>
        <w:rPr>
          <w:rFonts w:ascii="Aptos" w:eastAsia="Aptos" w:hAnsi="Aptos" w:cs="Times New Roman"/>
          <w:sz w:val="20"/>
          <w:szCs w:val="20"/>
          <w:lang w:val="es-MX"/>
        </w:rPr>
      </w:pPr>
    </w:p>
    <w:p w14:paraId="3612CB53" w14:textId="77777777" w:rsidR="00FE5496" w:rsidRDefault="00FE5496" w:rsidP="00FE5496">
      <w:pPr>
        <w:spacing w:after="0" w:line="240" w:lineRule="auto"/>
        <w:jc w:val="both"/>
        <w:rPr>
          <w:rFonts w:ascii="Verdana" w:eastAsia="Calibri" w:hAnsi="Verdana" w:cs="Arial"/>
          <w:b/>
          <w:bCs/>
          <w:lang w:eastAsia="es-ES"/>
        </w:rPr>
      </w:pPr>
      <w:r w:rsidRPr="00915323">
        <w:rPr>
          <w:rFonts w:ascii="Verdana" w:eastAsia="Calibri" w:hAnsi="Verdana" w:cs="Arial"/>
          <w:b/>
          <w:bCs/>
          <w:lang w:eastAsia="es-ES"/>
        </w:rPr>
        <w:t xml:space="preserve">DECRETO 287 DE 2026 ‒ Antecedentes normativos ‒ Decreto 392 de 2018 </w:t>
      </w:r>
    </w:p>
    <w:p w14:paraId="0A0F0AB8" w14:textId="77777777" w:rsidR="00FE5496" w:rsidRDefault="00FE5496" w:rsidP="00FE5496">
      <w:pPr>
        <w:spacing w:after="0" w:line="240" w:lineRule="auto"/>
        <w:jc w:val="both"/>
        <w:rPr>
          <w:rFonts w:ascii="Verdana" w:eastAsia="Calibri" w:hAnsi="Verdana" w:cs="Arial"/>
          <w:b/>
          <w:bCs/>
          <w:lang w:eastAsia="es-ES"/>
        </w:rPr>
      </w:pPr>
    </w:p>
    <w:p w14:paraId="7E1AE6F8" w14:textId="77777777" w:rsidR="00FE5496" w:rsidRDefault="00FE5496" w:rsidP="00FE5496">
      <w:pPr>
        <w:spacing w:after="0" w:line="240" w:lineRule="auto"/>
        <w:jc w:val="both"/>
        <w:rPr>
          <w:rFonts w:ascii="Verdana" w:eastAsia="Calibri" w:hAnsi="Verdana" w:cs="Arial"/>
          <w:sz w:val="20"/>
          <w:szCs w:val="20"/>
          <w:lang w:eastAsia="es-ES"/>
        </w:rPr>
      </w:pPr>
      <w:r w:rsidRPr="00915323">
        <w:rPr>
          <w:rFonts w:ascii="Verdana" w:eastAsia="Calibri" w:hAnsi="Verdana" w:cs="Arial"/>
          <w:sz w:val="20"/>
          <w:szCs w:val="20"/>
          <w:lang w:eastAsia="es-ES"/>
        </w:rPr>
        <w:t>En cumplimiento parcial de los numerales 1 y 8 del artículo 13 de la Ley 1618 de 2013, se expidió el Decreto 392 de 2018. Sin embargo, como se reconoce en los considerandos del Decreto 0287 de 2026, dicha regulación presentó omisiones estructurales que frustraron la finalidad de la ley estatutaria, pues solo contempló el 1% de puntaje para empleadores de PcD, sin incluir a las empresas de PcD, redujo el "sistema de preferencias" a un único criterio de desempate y no previó medidas en planeación, criterios habilitantes diferenciales, condiciones especiales de ejecución ni abordó la contratación directa como escenario de inclusión. En consecuencia, desde el punto de vista sustantivo, el Decreto 392 de 2018 reglamentó el numeral 1 de manera parcial y el numeral 7, dejando sin reglamentación material el numeral 8, que era precisamente el que ordenaba el sistema de preferencias en favor de las propias PcD como contratistas.</w:t>
      </w:r>
    </w:p>
    <w:p w14:paraId="691BA5C9" w14:textId="77777777" w:rsidR="00FE5496" w:rsidRPr="00915323" w:rsidRDefault="00FE5496" w:rsidP="00FE5496">
      <w:pPr>
        <w:spacing w:after="0" w:line="240" w:lineRule="auto"/>
        <w:jc w:val="both"/>
        <w:rPr>
          <w:rFonts w:ascii="Verdana" w:eastAsia="Calibri" w:hAnsi="Verdana" w:cs="Arial"/>
          <w:sz w:val="20"/>
          <w:szCs w:val="20"/>
          <w:lang w:eastAsia="es-ES"/>
        </w:rPr>
      </w:pPr>
    </w:p>
    <w:p w14:paraId="64B40D39" w14:textId="77777777" w:rsidR="00FE5496" w:rsidRPr="00915323" w:rsidRDefault="00FE5496" w:rsidP="00FE5496">
      <w:pPr>
        <w:spacing w:after="0" w:line="240" w:lineRule="auto"/>
        <w:jc w:val="both"/>
        <w:rPr>
          <w:rFonts w:ascii="Verdana" w:eastAsia="Calibri" w:hAnsi="Verdana" w:cs="Arial"/>
          <w:sz w:val="20"/>
          <w:szCs w:val="20"/>
          <w:lang w:eastAsia="es-ES"/>
        </w:rPr>
      </w:pPr>
      <w:r w:rsidRPr="00915323">
        <w:rPr>
          <w:rFonts w:ascii="Verdana" w:eastAsia="Calibri" w:hAnsi="Verdana" w:cs="Arial"/>
          <w:sz w:val="20"/>
          <w:szCs w:val="20"/>
          <w:lang w:eastAsia="es-ES"/>
        </w:rPr>
        <w:lastRenderedPageBreak/>
        <w:t>Lo anterior fue ratificado por el Consejo de Estado</w:t>
      </w:r>
      <w:r>
        <w:rPr>
          <w:rFonts w:ascii="Verdana" w:eastAsia="Calibri" w:hAnsi="Verdana" w:cs="Arial"/>
          <w:sz w:val="20"/>
          <w:szCs w:val="20"/>
          <w:lang w:eastAsia="es-ES"/>
        </w:rPr>
        <w:t xml:space="preserve"> </w:t>
      </w:r>
      <w:r w:rsidRPr="00915323">
        <w:rPr>
          <w:rFonts w:ascii="Verdana" w:eastAsia="Calibri" w:hAnsi="Verdana" w:cs="Arial"/>
          <w:sz w:val="20"/>
          <w:szCs w:val="20"/>
          <w:lang w:eastAsia="es-ES"/>
        </w:rPr>
        <w:t>que mediante una acción de cumplimiento, declaró el incumplimiento del deber de reglamentar integralmente el artículo 13 de la Ley 1618 de 2013 y ordenó al Gobierno Nacional expedir la regulación necesaria para hacer efectivo el sistema de preferencias en favor de las personas con discapacidad, sus emprendimientos y empresas que las contratan. La Sala calificó la obligación como imperativa, expresa e inobjetable, señalando que el Gobierno Nacional no contaba con margen de discrecionalidad para decidir si reglamentaba o no el sistema de preferencias.</w:t>
      </w:r>
    </w:p>
    <w:p w14:paraId="6A6C318D" w14:textId="77777777" w:rsidR="00FE5496" w:rsidRDefault="00FE5496" w:rsidP="00FE5496">
      <w:pPr>
        <w:spacing w:after="0" w:line="240" w:lineRule="auto"/>
        <w:jc w:val="both"/>
        <w:rPr>
          <w:rFonts w:ascii="Verdana" w:eastAsia="Calibri" w:hAnsi="Verdana" w:cs="Arial"/>
          <w:lang w:eastAsia="es-ES"/>
        </w:rPr>
      </w:pPr>
    </w:p>
    <w:p w14:paraId="53B5D300" w14:textId="77777777" w:rsidR="00FE5496" w:rsidRDefault="00FE5496" w:rsidP="00FE5496">
      <w:pPr>
        <w:spacing w:after="0" w:line="240" w:lineRule="auto"/>
        <w:jc w:val="both"/>
        <w:rPr>
          <w:rFonts w:ascii="Verdana" w:eastAsia="Calibri" w:hAnsi="Verdana" w:cs="Arial"/>
          <w:b/>
          <w:bCs/>
          <w:lang w:val="es-ES_tradnl"/>
        </w:rPr>
      </w:pPr>
      <w:r w:rsidRPr="004C2794">
        <w:rPr>
          <w:rFonts w:ascii="Verdana" w:eastAsia="Calibri" w:hAnsi="Verdana" w:cs="Arial"/>
          <w:b/>
          <w:bCs/>
          <w:lang w:val="es-ES_tradnl"/>
        </w:rPr>
        <w:t xml:space="preserve">DECRETO 0287 DE 2026 ‒ Sistema Integral de Preferencias ‒ Contratación pública inclusiva ‒ Personas con discapacidad </w:t>
      </w:r>
    </w:p>
    <w:p w14:paraId="016C8C9B" w14:textId="77777777" w:rsidR="00FE5496" w:rsidRDefault="00FE5496" w:rsidP="00FE5496">
      <w:pPr>
        <w:spacing w:after="0" w:line="240" w:lineRule="auto"/>
        <w:jc w:val="both"/>
        <w:rPr>
          <w:rFonts w:ascii="Verdana" w:eastAsia="Calibri" w:hAnsi="Verdana" w:cs="Arial"/>
          <w:color w:val="000000"/>
          <w:kern w:val="2"/>
          <w:sz w:val="20"/>
          <w:szCs w:val="20"/>
          <w:lang w:val="es-MX"/>
          <w14:ligatures w14:val="standardContextual"/>
        </w:rPr>
      </w:pPr>
    </w:p>
    <w:p w14:paraId="3C5AD579" w14:textId="77777777" w:rsidR="00FE5496" w:rsidRPr="001B3C5D" w:rsidRDefault="00FE5496" w:rsidP="00FE5496">
      <w:pPr>
        <w:spacing w:after="0" w:line="240" w:lineRule="auto"/>
        <w:jc w:val="both"/>
        <w:rPr>
          <w:rFonts w:ascii="Verdana" w:eastAsia="Calibri" w:hAnsi="Verdana" w:cs="Arial"/>
          <w:color w:val="000000"/>
          <w:kern w:val="2"/>
          <w:sz w:val="20"/>
          <w:szCs w:val="20"/>
          <w:lang w:val="es-MX"/>
          <w14:ligatures w14:val="standardContextual"/>
        </w:rPr>
      </w:pPr>
      <w:r w:rsidRPr="00915323">
        <w:rPr>
          <w:rFonts w:ascii="Verdana" w:eastAsia="Calibri" w:hAnsi="Verdana" w:cs="Arial"/>
          <w:color w:val="000000"/>
          <w:kern w:val="2"/>
          <w:sz w:val="20"/>
          <w:szCs w:val="20"/>
          <w14:ligatures w14:val="standardContextual"/>
        </w:rPr>
        <w:t>En cumplimiento de esa decisión fue expedido el Decreto 0287 de 2026, el cual establece un Sistema Integral de Preferencias compuesto por cinco medidas afirmativas que actúan en todas las fases del proceso contractual, planeación, selección, adjudicación y ejecución, y que benefician a dos sujetos diferenciados: los emprendimientos y empresas de PcD y los empleadores de PcD. Mediante la expedición del mencionado decreto, en aplicación directa de la Constitución Política y para que exista una igualdad material para las personas con discapacidad, se pretende subsanar la falta de acciones afirmativas del Decreto 392 de 2018, modificando los artículos 2.2.1.2.4.2.6, 2.2.1.2.4.2.7. y 2.2.1.2.4.2.8. del Decreto 1082 de 2015</w:t>
      </w:r>
      <w:r>
        <w:rPr>
          <w:rFonts w:ascii="Verdana" w:eastAsia="Calibri" w:hAnsi="Verdana" w:cs="Arial"/>
          <w:color w:val="000000"/>
          <w:kern w:val="2"/>
          <w:sz w:val="20"/>
          <w:szCs w:val="20"/>
          <w14:ligatures w14:val="standardContextual"/>
        </w:rPr>
        <w:t>.</w:t>
      </w:r>
    </w:p>
    <w:p w14:paraId="03BC6186" w14:textId="77777777" w:rsidR="00FE5496" w:rsidRPr="001B3C5D" w:rsidRDefault="00FE5496" w:rsidP="00FE5496">
      <w:pPr>
        <w:spacing w:after="0" w:line="240" w:lineRule="auto"/>
        <w:jc w:val="both"/>
        <w:rPr>
          <w:rFonts w:ascii="Verdana" w:eastAsia="Calibri" w:hAnsi="Verdana" w:cs="Arial"/>
          <w:color w:val="000000"/>
          <w:sz w:val="20"/>
          <w:szCs w:val="20"/>
          <w:lang w:val="es-MX"/>
        </w:rPr>
      </w:pPr>
    </w:p>
    <w:p w14:paraId="6CF5F318" w14:textId="77777777" w:rsidR="00FE5496" w:rsidRDefault="00FE5496" w:rsidP="00FE5496">
      <w:pPr>
        <w:spacing w:after="0" w:line="240" w:lineRule="auto"/>
        <w:jc w:val="both"/>
        <w:rPr>
          <w:rFonts w:ascii="Verdana" w:eastAsia="Calibri" w:hAnsi="Verdana" w:cs="Arial"/>
          <w:b/>
          <w:bCs/>
        </w:rPr>
      </w:pPr>
      <w:r w:rsidRPr="00A72007">
        <w:rPr>
          <w:rFonts w:ascii="Verdana" w:eastAsia="Calibri" w:hAnsi="Verdana" w:cs="Arial"/>
          <w:b/>
          <w:bCs/>
        </w:rPr>
        <w:t>DECRETO 0287 DE 2026 ‒ Emprendimientos y empresas de personas con discapacidad ‒ Personas jurídicas ‒ Nivel directivo ‒</w:t>
      </w:r>
      <w:r>
        <w:rPr>
          <w:rFonts w:ascii="Verdana" w:eastAsia="Calibri" w:hAnsi="Verdana" w:cs="Arial"/>
          <w:b/>
          <w:bCs/>
        </w:rPr>
        <w:t xml:space="preserve"> Certificado de discapacidad</w:t>
      </w:r>
    </w:p>
    <w:p w14:paraId="327BE05F" w14:textId="77777777" w:rsidR="00FE5496" w:rsidRDefault="00FE5496" w:rsidP="00FE5496">
      <w:pPr>
        <w:spacing w:after="0" w:line="240" w:lineRule="auto"/>
        <w:jc w:val="both"/>
        <w:rPr>
          <w:rFonts w:ascii="Verdana" w:eastAsia="Calibri" w:hAnsi="Verdana" w:cs="Arial"/>
          <w:b/>
          <w:bCs/>
        </w:rPr>
      </w:pPr>
    </w:p>
    <w:p w14:paraId="555B71B4" w14:textId="77777777" w:rsidR="00FE5496" w:rsidRDefault="00FE5496" w:rsidP="00FE5496">
      <w:pPr>
        <w:spacing w:after="0" w:line="240" w:lineRule="auto"/>
        <w:jc w:val="both"/>
        <w:rPr>
          <w:rFonts w:ascii="Verdana" w:eastAsia="Calibri" w:hAnsi="Verdana" w:cs="Arial"/>
          <w:color w:val="000000"/>
          <w:kern w:val="2"/>
          <w:sz w:val="20"/>
          <w:szCs w:val="20"/>
          <w14:ligatures w14:val="standardContextual"/>
        </w:rPr>
      </w:pPr>
      <w:r>
        <w:rPr>
          <w:rFonts w:ascii="Verdana" w:eastAsia="Calibri" w:hAnsi="Verdana" w:cs="Arial"/>
          <w:color w:val="000000"/>
          <w:kern w:val="2"/>
          <w:sz w:val="20"/>
          <w:szCs w:val="20"/>
          <w14:ligatures w14:val="standardContextual"/>
        </w:rPr>
        <w:t>E</w:t>
      </w:r>
      <w:r w:rsidRPr="00A72007">
        <w:rPr>
          <w:rFonts w:ascii="Verdana" w:eastAsia="Calibri" w:hAnsi="Verdana" w:cs="Arial"/>
          <w:color w:val="000000"/>
          <w:kern w:val="2"/>
          <w:sz w:val="20"/>
          <w:szCs w:val="20"/>
          <w14:ligatures w14:val="standardContextual"/>
        </w:rPr>
        <w:t>l artículo 2.2.1.2.4.2.6 incorpora la definición de emprendimientos y empresas de personas con discapacidad y consagra cuatro criterios alternativos en atención a los cuales una persona natural o jurídica puede acceder a los criterios diferenciales y puntaje adicional en favor de ellos, siendo suficiente la configuración de uno de estos criterios para que se materialice la respectiva definición respecto de sujeto en particular. Uno de estos criterios es el definido en el numeral 4 relacionado con la vinculación laboral de al menos una persona con discapacidad en empleos del nivel directivo de la empresa, al cual se alude en la consulta</w:t>
      </w:r>
      <w:r>
        <w:rPr>
          <w:rFonts w:ascii="Verdana" w:eastAsia="Calibri" w:hAnsi="Verdana" w:cs="Arial"/>
          <w:color w:val="000000"/>
          <w:kern w:val="2"/>
          <w:sz w:val="20"/>
          <w:szCs w:val="20"/>
          <w14:ligatures w14:val="standardContextual"/>
        </w:rPr>
        <w:t xml:space="preserve">. </w:t>
      </w:r>
    </w:p>
    <w:p w14:paraId="3025F463" w14:textId="77777777" w:rsidR="00FE5496" w:rsidRDefault="00FE5496" w:rsidP="00FE5496">
      <w:pPr>
        <w:spacing w:after="0" w:line="240" w:lineRule="auto"/>
        <w:jc w:val="both"/>
        <w:rPr>
          <w:rFonts w:ascii="Verdana" w:eastAsia="Calibri" w:hAnsi="Verdana" w:cs="Arial"/>
          <w:color w:val="000000"/>
          <w:kern w:val="2"/>
          <w:sz w:val="20"/>
          <w:szCs w:val="20"/>
          <w14:ligatures w14:val="standardContextual"/>
        </w:rPr>
      </w:pPr>
    </w:p>
    <w:p w14:paraId="3B1D4651" w14:textId="77777777" w:rsidR="00FE5496" w:rsidRDefault="00FE5496" w:rsidP="00FE5496">
      <w:pPr>
        <w:spacing w:after="0" w:line="240" w:lineRule="auto"/>
        <w:jc w:val="both"/>
        <w:rPr>
          <w:rFonts w:ascii="Verdana" w:eastAsia="Calibri" w:hAnsi="Verdana" w:cs="Arial"/>
          <w:color w:val="000000"/>
          <w:kern w:val="2"/>
          <w:sz w:val="20"/>
          <w:szCs w:val="20"/>
          <w14:ligatures w14:val="standardContextual"/>
        </w:rPr>
      </w:pPr>
      <w:r w:rsidRPr="0050097B">
        <w:rPr>
          <w:rFonts w:ascii="Verdana" w:eastAsia="Calibri" w:hAnsi="Verdana" w:cs="Arial"/>
          <w:color w:val="000000"/>
          <w:kern w:val="2"/>
          <w:sz w:val="20"/>
          <w:szCs w:val="20"/>
          <w14:ligatures w14:val="standardContextual"/>
        </w:rPr>
        <w:t>De acuerdo con el numeral citado, una persona jurídica podrá ser considerada como un emprendimiento o empresa de Personas con Discapacidad cuando tengan vinculadas laboralmente al menos una persona con discapacidad en empleos del nivel directivo. Tales empleos son aquellos relacionados con la dirección de áreas misionales y las decisiones de nivel estratégico de la respectiva empresa.</w:t>
      </w:r>
    </w:p>
    <w:p w14:paraId="6D1F6EC9" w14:textId="77777777" w:rsidR="00FE5496" w:rsidRDefault="00FE5496" w:rsidP="00FE5496">
      <w:pPr>
        <w:spacing w:after="0" w:line="240" w:lineRule="auto"/>
        <w:jc w:val="both"/>
        <w:rPr>
          <w:rFonts w:ascii="Verdana" w:eastAsia="Calibri" w:hAnsi="Verdana" w:cs="Arial"/>
          <w:color w:val="000000"/>
          <w:kern w:val="2"/>
          <w:sz w:val="20"/>
          <w:szCs w:val="20"/>
          <w14:ligatures w14:val="standardContextual"/>
        </w:rPr>
      </w:pPr>
    </w:p>
    <w:p w14:paraId="69E9FB4B" w14:textId="77777777" w:rsidR="00FE5496" w:rsidRDefault="00FE5496" w:rsidP="00FE5496">
      <w:pPr>
        <w:spacing w:after="0" w:line="240" w:lineRule="auto"/>
        <w:jc w:val="both"/>
        <w:rPr>
          <w:rFonts w:ascii="Verdana" w:eastAsia="Calibri" w:hAnsi="Verdana" w:cs="Arial"/>
          <w:color w:val="000000"/>
          <w:kern w:val="2"/>
          <w:sz w:val="20"/>
          <w:szCs w:val="20"/>
          <w14:ligatures w14:val="standardContextual"/>
        </w:rPr>
      </w:pPr>
      <w:r w:rsidRPr="00F119B0">
        <w:rPr>
          <w:rFonts w:ascii="Verdana" w:eastAsia="Calibri" w:hAnsi="Verdana" w:cs="Arial"/>
          <w:color w:val="000000"/>
          <w:kern w:val="2"/>
          <w:sz w:val="20"/>
          <w:szCs w:val="20"/>
          <w14:ligatures w14:val="standardContextual"/>
        </w:rPr>
        <w:t>[</w:t>
      </w:r>
      <w:r>
        <w:rPr>
          <w:rFonts w:ascii="Verdana" w:eastAsia="Calibri" w:hAnsi="Verdana" w:cs="Arial"/>
          <w:color w:val="000000"/>
          <w:kern w:val="2"/>
          <w:sz w:val="20"/>
          <w:szCs w:val="20"/>
          <w14:ligatures w14:val="standardContextual"/>
        </w:rPr>
        <w:t>…</w:t>
      </w:r>
      <w:r w:rsidRPr="00F119B0">
        <w:rPr>
          <w:rFonts w:ascii="Verdana" w:eastAsia="Calibri" w:hAnsi="Verdana" w:cs="Arial"/>
          <w:color w:val="000000"/>
          <w:kern w:val="2"/>
          <w:sz w:val="20"/>
          <w:szCs w:val="20"/>
          <w14:ligatures w14:val="standardContextual"/>
        </w:rPr>
        <w:t>]</w:t>
      </w:r>
    </w:p>
    <w:p w14:paraId="505A6A33" w14:textId="77777777" w:rsidR="00FE5496" w:rsidRDefault="00FE5496" w:rsidP="00FE5496">
      <w:pPr>
        <w:spacing w:after="0" w:line="240" w:lineRule="auto"/>
        <w:jc w:val="both"/>
        <w:rPr>
          <w:rFonts w:ascii="Verdana" w:eastAsia="Calibri" w:hAnsi="Verdana" w:cs="Arial"/>
          <w:color w:val="000000"/>
          <w:kern w:val="2"/>
          <w:sz w:val="20"/>
          <w:szCs w:val="20"/>
          <w14:ligatures w14:val="standardContextual"/>
        </w:rPr>
      </w:pPr>
    </w:p>
    <w:p w14:paraId="37A90D54" w14:textId="77777777" w:rsidR="00FE5496" w:rsidRPr="00A72007" w:rsidRDefault="00FE5496" w:rsidP="00FE5496">
      <w:pPr>
        <w:spacing w:after="0" w:line="240" w:lineRule="auto"/>
        <w:jc w:val="both"/>
        <w:rPr>
          <w:rFonts w:ascii="Verdana" w:eastAsia="Calibri" w:hAnsi="Verdana" w:cs="Arial"/>
          <w:color w:val="000000"/>
          <w:kern w:val="2"/>
          <w:sz w:val="20"/>
          <w:szCs w:val="20"/>
          <w14:ligatures w14:val="standardContextual"/>
        </w:rPr>
      </w:pPr>
      <w:r w:rsidRPr="00F119B0">
        <w:rPr>
          <w:rFonts w:ascii="Verdana" w:eastAsia="Calibri" w:hAnsi="Verdana" w:cs="Arial"/>
          <w:color w:val="000000"/>
          <w:kern w:val="2"/>
          <w:sz w:val="20"/>
          <w:szCs w:val="20"/>
          <w14:ligatures w14:val="standardContextual"/>
        </w:rPr>
        <w:t xml:space="preserve">Respecto del certificado de discapacidad expedido en los términos establecidos por la normativa del Ministerio de Salud y Protección Social requerido para acceder a las </w:t>
      </w:r>
      <w:r w:rsidRPr="00F119B0">
        <w:rPr>
          <w:rFonts w:ascii="Verdana" w:eastAsia="Calibri" w:hAnsi="Verdana" w:cs="Arial"/>
          <w:color w:val="000000"/>
          <w:kern w:val="2"/>
          <w:sz w:val="20"/>
          <w:szCs w:val="20"/>
          <w14:ligatures w14:val="standardContextual"/>
        </w:rPr>
        <w:lastRenderedPageBreak/>
        <w:t>medidas afirmativas señaladas en el Decreto 287 de 2026, se advierte que la disposición normativa no exige la acreditación de un porcentaje mínimo de pérdida de capacidad laboral o funcional. Esta disposición se limita a señalar que deberá aportarse el certificado de discapacidad expedido conforme a la normativa vigente del Ministerio de Salud y Protección Social.</w:t>
      </w:r>
    </w:p>
    <w:p w14:paraId="6B713172" w14:textId="77777777" w:rsidR="00FE5496" w:rsidRDefault="00FE5496" w:rsidP="00FE5496">
      <w:pPr>
        <w:spacing w:after="0" w:line="240" w:lineRule="auto"/>
        <w:jc w:val="both"/>
        <w:rPr>
          <w:rFonts w:ascii="Verdana" w:eastAsia="Calibri" w:hAnsi="Verdana" w:cs="Arial"/>
          <w:b/>
          <w:bCs/>
        </w:rPr>
      </w:pPr>
    </w:p>
    <w:p w14:paraId="7082CBC3" w14:textId="77777777" w:rsidR="00FE5496" w:rsidRPr="0050097B" w:rsidRDefault="00FE5496" w:rsidP="00FE5496">
      <w:pPr>
        <w:spacing w:after="0" w:line="240" w:lineRule="auto"/>
        <w:jc w:val="both"/>
        <w:rPr>
          <w:rFonts w:ascii="Verdana" w:eastAsia="Calibri" w:hAnsi="Verdana" w:cs="Arial"/>
          <w:b/>
          <w:bCs/>
          <w:lang w:eastAsia="es-ES"/>
        </w:rPr>
      </w:pPr>
      <w:r w:rsidRPr="0050097B">
        <w:rPr>
          <w:rFonts w:ascii="Verdana" w:eastAsia="Calibri" w:hAnsi="Verdana" w:cs="Arial"/>
          <w:b/>
          <w:bCs/>
          <w:lang w:eastAsia="es-ES"/>
        </w:rPr>
        <w:t xml:space="preserve">DECRETO 0287 DE 2026 ‒ Puntaje adicional del 2% ‒ No acumulabilidad ‒ Acreditación simultánea de condiciones  </w:t>
      </w:r>
    </w:p>
    <w:p w14:paraId="64CFE0AA" w14:textId="77777777" w:rsidR="00FE5496" w:rsidRPr="001B3C5D" w:rsidRDefault="00FE5496" w:rsidP="00FE5496">
      <w:pPr>
        <w:spacing w:after="0" w:line="276" w:lineRule="auto"/>
        <w:jc w:val="both"/>
        <w:rPr>
          <w:rFonts w:ascii="Verdana" w:eastAsia="Calibri" w:hAnsi="Verdana" w:cs="Arial"/>
          <w:b/>
          <w:bCs/>
          <w:color w:val="000000"/>
          <w:lang w:eastAsia="es-ES_tradnl"/>
        </w:rPr>
      </w:pPr>
    </w:p>
    <w:p w14:paraId="15EAB818" w14:textId="77777777" w:rsidR="00FE5496" w:rsidRDefault="00FE5496" w:rsidP="00FE5496">
      <w:pPr>
        <w:spacing w:after="0" w:line="240" w:lineRule="auto"/>
        <w:jc w:val="both"/>
        <w:rPr>
          <w:rFonts w:ascii="Verdana" w:eastAsia="Calibri" w:hAnsi="Verdana" w:cs="Arial"/>
          <w:color w:val="000000"/>
          <w:kern w:val="2"/>
          <w:sz w:val="20"/>
          <w:szCs w:val="20"/>
          <w:lang w:val="es-MX"/>
          <w14:ligatures w14:val="standardContextual"/>
        </w:rPr>
      </w:pPr>
      <w:r w:rsidRPr="00D66D81">
        <w:rPr>
          <w:rFonts w:ascii="Verdana" w:eastAsia="Calibri" w:hAnsi="Verdana" w:cs="Arial"/>
          <w:color w:val="000000"/>
          <w:kern w:val="2"/>
          <w:sz w:val="20"/>
          <w:szCs w:val="20"/>
          <w:lang w:val="es-MX"/>
          <w14:ligatures w14:val="standardContextual"/>
        </w:rPr>
        <w:t>El artículo 2.1.2.4.2.7.4 del Decreto 287 de 2026 contempla uno de los incentivos centrales en favor de los empleadores de personas con discapacidad y de los emprendimientos y empresas de personas con discapacidad, referente al puntaje adicional del 2%. Este puntaje puede obtenerse acreditando cualquiera de las dos situaciones que la norma contempla: i) ser emprendimiento o empresa de PcD, conforme a las categorías del artículo 2.2.1.2.4.2.6., o ser ii) empleador de PcD que supere los mínimos de vinculación exigidos por la Ley 2466 de 2025 (Reforma Laboral) conforme a la tabla establecida. Sin embargo, el hecho de que ambas condiciones puedan acreditarse simultáneamente no significa que el puntaje sea acumulable</w:t>
      </w:r>
    </w:p>
    <w:p w14:paraId="68A53E7E" w14:textId="77777777" w:rsidR="00FE5496" w:rsidRDefault="00FE5496" w:rsidP="00FE5496">
      <w:pPr>
        <w:spacing w:after="0" w:line="240" w:lineRule="auto"/>
        <w:jc w:val="both"/>
        <w:rPr>
          <w:rFonts w:ascii="Verdana" w:eastAsia="Calibri" w:hAnsi="Verdana" w:cs="Arial"/>
          <w:color w:val="000000"/>
          <w:kern w:val="2"/>
          <w:sz w:val="20"/>
          <w:szCs w:val="20"/>
          <w:lang w:val="es-MX"/>
          <w14:ligatures w14:val="standardContextual"/>
        </w:rPr>
      </w:pPr>
    </w:p>
    <w:p w14:paraId="265B5672" w14:textId="77777777" w:rsidR="00FE5496" w:rsidRPr="00D95793" w:rsidRDefault="00FE5496" w:rsidP="00FE5496">
      <w:pPr>
        <w:spacing w:after="0" w:line="240" w:lineRule="auto"/>
        <w:jc w:val="both"/>
        <w:rPr>
          <w:rFonts w:ascii="Verdana" w:eastAsia="Calibri" w:hAnsi="Verdana" w:cs="Arial"/>
          <w:b/>
          <w:bCs/>
          <w:color w:val="000000"/>
          <w:kern w:val="2"/>
          <w:sz w:val="20"/>
          <w:szCs w:val="20"/>
          <w:lang w:val="es-MX"/>
          <w14:ligatures w14:val="standardContextual"/>
        </w:rPr>
      </w:pPr>
      <w:r w:rsidRPr="00D95793">
        <w:rPr>
          <w:rFonts w:ascii="Verdana" w:eastAsia="Calibri" w:hAnsi="Verdana" w:cs="Arial"/>
          <w:b/>
          <w:bCs/>
          <w:lang w:eastAsia="es-ES"/>
        </w:rPr>
        <w:t>DECRETO 0287 DE 2026 ‒ Vigencia ‒ Resolución de apertura</w:t>
      </w:r>
    </w:p>
    <w:p w14:paraId="191011C2" w14:textId="77777777" w:rsidR="00FE5496" w:rsidRDefault="00FE5496" w:rsidP="00FE5496">
      <w:pPr>
        <w:spacing w:after="0" w:line="240" w:lineRule="auto"/>
        <w:rPr>
          <w:rFonts w:ascii="Verdana" w:eastAsia="Calibri" w:hAnsi="Verdana" w:cs="Arial"/>
          <w:b/>
          <w:bCs/>
          <w:lang w:val="es-ES_tradnl"/>
        </w:rPr>
      </w:pPr>
    </w:p>
    <w:p w14:paraId="1885F7C0" w14:textId="77777777" w:rsidR="00FE5496" w:rsidRPr="00D95793" w:rsidRDefault="00FE5496" w:rsidP="00FE5496">
      <w:pPr>
        <w:spacing w:after="0" w:line="240" w:lineRule="auto"/>
        <w:jc w:val="both"/>
        <w:rPr>
          <w:rFonts w:ascii="Verdana" w:eastAsia="Calibri" w:hAnsi="Verdana" w:cs="Arial"/>
          <w:color w:val="000000"/>
          <w:kern w:val="2"/>
          <w:sz w:val="20"/>
          <w:szCs w:val="20"/>
          <w:lang w:val="es-MX"/>
          <w14:ligatures w14:val="standardContextual"/>
        </w:rPr>
      </w:pPr>
      <w:r>
        <w:rPr>
          <w:rFonts w:ascii="Verdana" w:eastAsia="Calibri" w:hAnsi="Verdana" w:cs="Arial"/>
          <w:color w:val="000000"/>
          <w:kern w:val="2"/>
          <w:sz w:val="20"/>
          <w:szCs w:val="20"/>
          <w:lang w:val="es-MX"/>
          <w14:ligatures w14:val="standardContextual"/>
        </w:rPr>
        <w:t>L</w:t>
      </w:r>
      <w:r w:rsidRPr="00BD2EF9">
        <w:rPr>
          <w:rFonts w:ascii="Verdana" w:eastAsia="Calibri" w:hAnsi="Verdana" w:cs="Arial"/>
          <w:color w:val="000000"/>
          <w:kern w:val="2"/>
          <w:sz w:val="20"/>
          <w:szCs w:val="20"/>
          <w:lang w:val="es-MX"/>
          <w14:ligatures w14:val="standardContextual"/>
        </w:rPr>
        <w:t>a aplicación del Decreto 287 de 2026 en los procesos de contratación que estén en curso depende de si estos contaban o no con resolución de apertura antes del 20 de marzo de 2026: i) La resolución de apertura fue expedida el 19 de marzo de 2026 o antes de esta fecha, en este caso el proceso continúa con las reglas originales sin aplicar el Decreto 287 de 2026; y ii) La resolución de apertura no existe, o fue expedida el 20 de marzo de 2026 o en fecha posterior, por lo que se debe incorporar el Decreto 287 de 2026 al proceso contractual y la entidad debe ajustar sus estudios previos y pliegos de condiciones, incluido el proyecto de pliego, para dar pleno cumplimiento al decreto antes de expedir el acto administrativo de apertura</w:t>
      </w:r>
    </w:p>
    <w:p w14:paraId="667E4409" w14:textId="77777777" w:rsidR="00FE5496" w:rsidRDefault="00FE5496" w:rsidP="00FE5496">
      <w:pPr>
        <w:spacing w:after="0" w:line="240" w:lineRule="auto"/>
        <w:rPr>
          <w:rFonts w:ascii="Verdana" w:eastAsia="Geomanist Light" w:hAnsi="Verdana" w:cs="Arial"/>
          <w:color w:val="000000" w:themeColor="text1"/>
          <w:lang w:val="es-MX"/>
        </w:rPr>
      </w:pPr>
    </w:p>
    <w:p w14:paraId="1504EB75" w14:textId="77777777" w:rsidR="00FE5496" w:rsidRDefault="00FE5496" w:rsidP="00FE5496">
      <w:pPr>
        <w:spacing w:after="0" w:line="240" w:lineRule="auto"/>
        <w:rPr>
          <w:rFonts w:ascii="Verdana" w:eastAsia="Geomanist Light" w:hAnsi="Verdana" w:cs="Arial"/>
          <w:color w:val="000000" w:themeColor="text1"/>
          <w:lang w:val="es-MX"/>
        </w:rPr>
      </w:pPr>
    </w:p>
    <w:p w14:paraId="78C9A757" w14:textId="77777777" w:rsidR="00FE5496" w:rsidRDefault="00FE5496" w:rsidP="00FE5496">
      <w:pPr>
        <w:spacing w:after="0" w:line="240" w:lineRule="auto"/>
        <w:rPr>
          <w:rFonts w:ascii="Verdana" w:eastAsia="Geomanist Light" w:hAnsi="Verdana" w:cs="Arial"/>
          <w:color w:val="000000" w:themeColor="text1"/>
          <w:lang w:val="es-MX"/>
        </w:rPr>
      </w:pPr>
    </w:p>
    <w:p w14:paraId="6B25AB84" w14:textId="77777777" w:rsidR="00FE5496" w:rsidRDefault="00FE5496" w:rsidP="00FE5496">
      <w:pPr>
        <w:spacing w:after="0" w:line="240" w:lineRule="auto"/>
        <w:rPr>
          <w:rFonts w:ascii="Verdana" w:eastAsia="Geomanist Light" w:hAnsi="Verdana" w:cs="Arial"/>
          <w:color w:val="000000" w:themeColor="text1"/>
          <w:lang w:val="es-MX"/>
        </w:rPr>
      </w:pPr>
    </w:p>
    <w:p w14:paraId="1F31CAFC" w14:textId="77777777" w:rsidR="00FE5496" w:rsidRDefault="00FE5496" w:rsidP="00FE5496">
      <w:pPr>
        <w:spacing w:after="0" w:line="240" w:lineRule="auto"/>
        <w:rPr>
          <w:rFonts w:ascii="Verdana" w:eastAsia="Geomanist Light" w:hAnsi="Verdana" w:cs="Arial"/>
          <w:color w:val="000000" w:themeColor="text1"/>
          <w:lang w:val="es-MX"/>
        </w:rPr>
      </w:pPr>
    </w:p>
    <w:p w14:paraId="5444EBE7" w14:textId="77777777" w:rsidR="00FE5496" w:rsidRDefault="00FE5496" w:rsidP="00FE5496">
      <w:pPr>
        <w:spacing w:after="0" w:line="240" w:lineRule="auto"/>
        <w:rPr>
          <w:rFonts w:ascii="Verdana" w:eastAsia="Geomanist Light" w:hAnsi="Verdana" w:cs="Arial"/>
          <w:color w:val="000000" w:themeColor="text1"/>
          <w:lang w:val="es-MX"/>
        </w:rPr>
      </w:pPr>
    </w:p>
    <w:p w14:paraId="731AEC42" w14:textId="77777777" w:rsidR="00FE5496" w:rsidRDefault="00FE5496" w:rsidP="00FE5496">
      <w:pPr>
        <w:spacing w:after="0" w:line="240" w:lineRule="auto"/>
        <w:rPr>
          <w:rFonts w:ascii="Verdana" w:eastAsia="Geomanist Light" w:hAnsi="Verdana" w:cs="Arial"/>
          <w:color w:val="000000" w:themeColor="text1"/>
          <w:lang w:val="es-MX"/>
        </w:rPr>
      </w:pPr>
    </w:p>
    <w:p w14:paraId="6AE69D08" w14:textId="77777777" w:rsidR="00FE5496" w:rsidRDefault="00FE5496" w:rsidP="00FE5496">
      <w:pPr>
        <w:spacing w:after="0" w:line="240" w:lineRule="auto"/>
        <w:rPr>
          <w:rFonts w:ascii="Verdana" w:eastAsia="Geomanist Light" w:hAnsi="Verdana" w:cs="Arial"/>
          <w:color w:val="000000" w:themeColor="text1"/>
          <w:lang w:val="es-MX"/>
        </w:rPr>
      </w:pPr>
    </w:p>
    <w:p w14:paraId="2C231BE4" w14:textId="77777777" w:rsidR="00FE5496" w:rsidRDefault="00FE5496" w:rsidP="00FE5496">
      <w:pPr>
        <w:spacing w:after="0" w:line="240" w:lineRule="auto"/>
        <w:rPr>
          <w:rFonts w:ascii="Verdana" w:eastAsia="Geomanist Light" w:hAnsi="Verdana" w:cs="Arial"/>
          <w:color w:val="000000" w:themeColor="text1"/>
          <w:lang w:val="es-MX"/>
        </w:rPr>
      </w:pPr>
    </w:p>
    <w:p w14:paraId="59F1C787" w14:textId="77777777" w:rsidR="00FE5496" w:rsidRDefault="00FE5496" w:rsidP="00FE5496">
      <w:pPr>
        <w:spacing w:after="0" w:line="240" w:lineRule="auto"/>
        <w:rPr>
          <w:rFonts w:ascii="Verdana" w:eastAsia="Geomanist Light" w:hAnsi="Verdana" w:cs="Arial"/>
          <w:color w:val="000000" w:themeColor="text1"/>
          <w:lang w:val="es-MX"/>
        </w:rPr>
      </w:pPr>
    </w:p>
    <w:p w14:paraId="2B806DBF" w14:textId="77777777" w:rsidR="00FE5496" w:rsidRDefault="00FE5496" w:rsidP="00FE5496">
      <w:pPr>
        <w:spacing w:after="0" w:line="240" w:lineRule="auto"/>
        <w:rPr>
          <w:rFonts w:ascii="Verdana" w:eastAsia="Geomanist Light" w:hAnsi="Verdana" w:cs="Arial"/>
          <w:color w:val="000000" w:themeColor="text1"/>
          <w:lang w:val="es-MX"/>
        </w:rPr>
      </w:pPr>
    </w:p>
    <w:p w14:paraId="78FEFAD8" w14:textId="77777777" w:rsidR="00FE5496" w:rsidRDefault="00FE5496" w:rsidP="00FE5496">
      <w:pPr>
        <w:spacing w:after="0" w:line="240" w:lineRule="auto"/>
        <w:rPr>
          <w:rFonts w:ascii="Verdana" w:eastAsia="Geomanist Light" w:hAnsi="Verdana" w:cs="Arial"/>
          <w:color w:val="000000" w:themeColor="text1"/>
          <w:lang w:val="es-MX"/>
        </w:rPr>
      </w:pPr>
    </w:p>
    <w:p w14:paraId="68EA3517" w14:textId="77777777" w:rsidR="00FE5496" w:rsidRDefault="00FE5496" w:rsidP="00FE5496">
      <w:pPr>
        <w:spacing w:after="0" w:line="240" w:lineRule="auto"/>
        <w:rPr>
          <w:rFonts w:ascii="Verdana" w:eastAsia="Geomanist Light" w:hAnsi="Verdana" w:cs="Arial"/>
          <w:color w:val="000000" w:themeColor="text1"/>
          <w:lang w:val="es-MX"/>
        </w:rPr>
      </w:pPr>
    </w:p>
    <w:p w14:paraId="7C03A0AC" w14:textId="77777777" w:rsidR="00FE5496" w:rsidRDefault="00FE5496" w:rsidP="00FE5496">
      <w:pPr>
        <w:spacing w:after="0" w:line="240" w:lineRule="auto"/>
        <w:rPr>
          <w:rFonts w:ascii="Verdana" w:eastAsia="Geomanist Light" w:hAnsi="Verdana" w:cs="Arial"/>
          <w:color w:val="000000" w:themeColor="text1"/>
          <w:lang w:val="es-MX"/>
        </w:rPr>
      </w:pPr>
    </w:p>
    <w:p w14:paraId="3237E736" w14:textId="77777777" w:rsidR="00FE5496" w:rsidRDefault="00FE5496" w:rsidP="00FE5496">
      <w:pPr>
        <w:spacing w:after="0" w:line="240" w:lineRule="auto"/>
        <w:rPr>
          <w:rFonts w:ascii="Verdana" w:eastAsia="Geomanist Light" w:hAnsi="Verdana" w:cs="Arial"/>
          <w:color w:val="000000" w:themeColor="text1"/>
          <w:lang w:val="es-MX"/>
        </w:rPr>
      </w:pPr>
    </w:p>
    <w:p w14:paraId="25ADDEDB" w14:textId="77777777" w:rsidR="00FE5496" w:rsidRDefault="00FE5496" w:rsidP="00FE5496">
      <w:pPr>
        <w:spacing w:after="0" w:line="240" w:lineRule="auto"/>
        <w:rPr>
          <w:rFonts w:ascii="Verdana" w:eastAsia="Geomanist Light" w:hAnsi="Verdana" w:cs="Arial"/>
          <w:color w:val="000000" w:themeColor="text1"/>
          <w:lang w:val="es-MX"/>
        </w:rPr>
      </w:pPr>
    </w:p>
    <w:p w14:paraId="1A4B420A" w14:textId="3A79EBE5" w:rsidR="00FE5496" w:rsidRPr="00241376" w:rsidRDefault="00FE5496" w:rsidP="00FE5496">
      <w:pPr>
        <w:spacing w:after="0" w:line="240" w:lineRule="auto"/>
        <w:rPr>
          <w:rFonts w:ascii="Verdana" w:eastAsia="Geomanist Light" w:hAnsi="Verdana" w:cs="Arial"/>
          <w:color w:val="201F1E"/>
          <w:lang w:val="es-MX"/>
        </w:rPr>
      </w:pPr>
      <w:r w:rsidRPr="00241376">
        <w:rPr>
          <w:rFonts w:ascii="Verdana" w:eastAsia="Geomanist Light" w:hAnsi="Verdana" w:cs="Arial"/>
          <w:color w:val="000000" w:themeColor="text1"/>
          <w:lang w:val="es-MX"/>
        </w:rPr>
        <w:t>Bogotá D.C., </w:t>
      </w:r>
      <w:r w:rsidR="0089661E">
        <w:rPr>
          <w:rFonts w:ascii="Verdana" w:eastAsia="Geomanist Light" w:hAnsi="Verdana" w:cs="Arial"/>
          <w:color w:val="201F1E"/>
        </w:rPr>
        <w:t>11 de mayo de 2026</w:t>
      </w:r>
    </w:p>
    <w:p w14:paraId="5431423D" w14:textId="43DEDA3B" w:rsidR="00FE5496" w:rsidRDefault="00424789" w:rsidP="00FE5496">
      <w:pPr>
        <w:spacing w:after="0" w:line="278" w:lineRule="auto"/>
        <w:rPr>
          <w:rFonts w:ascii="Verdana" w:eastAsia="Aptos" w:hAnsi="Verdana" w:cs="Times New Roman"/>
          <w:kern w:val="2"/>
          <w14:ligatures w14:val="standardContextual"/>
        </w:rPr>
      </w:pPr>
      <w:r w:rsidRPr="0089661E">
        <w:rPr>
          <w:rFonts w:ascii="Verdana" w:eastAsia="Aptos" w:hAnsi="Verdana" w:cs="Times New Roman"/>
          <w:noProof/>
          <w:kern w:val="2"/>
          <w:sz w:val="24"/>
          <w:szCs w:val="24"/>
          <w14:ligatures w14:val="standardContextual"/>
        </w:rPr>
        <w:drawing>
          <wp:anchor distT="0" distB="0" distL="114300" distR="114300" simplePos="0" relativeHeight="251658240" behindDoc="0" locked="0" layoutInCell="1" allowOverlap="1" wp14:anchorId="2F8B19EE" wp14:editId="628E696C">
            <wp:simplePos x="0" y="0"/>
            <wp:positionH relativeFrom="column">
              <wp:posOffset>3446145</wp:posOffset>
            </wp:positionH>
            <wp:positionV relativeFrom="paragraph">
              <wp:posOffset>198755</wp:posOffset>
            </wp:positionV>
            <wp:extent cx="2164080" cy="876300"/>
            <wp:effectExtent l="0" t="0" r="7620" b="0"/>
            <wp:wrapSquare wrapText="bothSides"/>
            <wp:docPr id="21015202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64080" cy="8763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C6F861" w14:textId="59F5C04B" w:rsidR="00FE5496" w:rsidRPr="001B3C5D" w:rsidRDefault="00FE5496" w:rsidP="00FE5496">
      <w:pPr>
        <w:spacing w:after="0" w:line="278" w:lineRule="auto"/>
        <w:jc w:val="right"/>
        <w:rPr>
          <w:rFonts w:ascii="Verdana" w:eastAsia="Aptos" w:hAnsi="Verdana" w:cs="Times New Roman"/>
          <w:kern w:val="2"/>
          <w:sz w:val="24"/>
          <w:szCs w:val="24"/>
          <w14:ligatures w14:val="standardContextual"/>
        </w:rPr>
      </w:pPr>
    </w:p>
    <w:p w14:paraId="6C334906" w14:textId="77777777" w:rsidR="00FE5496" w:rsidRPr="001B3C5D" w:rsidRDefault="00FE5496" w:rsidP="00FE5496">
      <w:pPr>
        <w:spacing w:after="0" w:line="240" w:lineRule="auto"/>
        <w:rPr>
          <w:rFonts w:ascii="Verdana" w:eastAsia="Calibri" w:hAnsi="Verdana" w:cs="Arial"/>
          <w:kern w:val="2"/>
          <w:lang w:val="es-ES" w:eastAsia="es-ES"/>
          <w14:ligatures w14:val="standardContextual"/>
        </w:rPr>
      </w:pPr>
      <w:r w:rsidRPr="001B3C5D">
        <w:rPr>
          <w:rFonts w:ascii="Verdana" w:eastAsia="Calibri" w:hAnsi="Verdana" w:cs="Arial"/>
          <w:kern w:val="2"/>
          <w:lang w:val="es-ES" w:eastAsia="es-ES"/>
          <w14:ligatures w14:val="standardContextual"/>
        </w:rPr>
        <w:t>Señor</w:t>
      </w:r>
      <w:r>
        <w:rPr>
          <w:rFonts w:ascii="Verdana" w:eastAsia="Calibri" w:hAnsi="Verdana" w:cs="Arial"/>
          <w:kern w:val="2"/>
          <w:lang w:val="es-ES" w:eastAsia="es-ES"/>
          <w14:ligatures w14:val="standardContextual"/>
        </w:rPr>
        <w:t>a</w:t>
      </w:r>
    </w:p>
    <w:p w14:paraId="06855655" w14:textId="77777777" w:rsidR="00FE5496" w:rsidRDefault="00FE5496" w:rsidP="00FE5496">
      <w:pPr>
        <w:spacing w:after="0" w:line="240" w:lineRule="auto"/>
        <w:rPr>
          <w:rFonts w:ascii="Verdana" w:eastAsia="Calibri" w:hAnsi="Verdana" w:cs="Arial"/>
          <w:b/>
          <w:bCs/>
          <w:kern w:val="2"/>
          <w:lang w:val="es-ES" w:eastAsia="es-ES"/>
          <w14:ligatures w14:val="standardContextual"/>
        </w:rPr>
      </w:pPr>
      <w:r w:rsidRPr="00D357FA">
        <w:rPr>
          <w:rFonts w:ascii="Verdana" w:eastAsia="Calibri" w:hAnsi="Verdana" w:cs="Arial"/>
          <w:b/>
          <w:bCs/>
          <w:kern w:val="2"/>
          <w:lang w:val="es-ES" w:eastAsia="es-ES"/>
          <w14:ligatures w14:val="standardContextual"/>
        </w:rPr>
        <w:t>Johana Medina</w:t>
      </w:r>
      <w:r>
        <w:rPr>
          <w:rFonts w:ascii="Verdana" w:eastAsia="Calibri" w:hAnsi="Verdana" w:cs="Arial"/>
          <w:b/>
          <w:bCs/>
          <w:kern w:val="2"/>
          <w:lang w:val="es-ES" w:eastAsia="es-ES"/>
          <w14:ligatures w14:val="standardContextual"/>
        </w:rPr>
        <w:t xml:space="preserve"> </w:t>
      </w:r>
    </w:p>
    <w:p w14:paraId="444DB027" w14:textId="77777777" w:rsidR="00FE5496" w:rsidRPr="008B2C76" w:rsidRDefault="00FE5496" w:rsidP="00FE5496">
      <w:pPr>
        <w:spacing w:after="0" w:line="240" w:lineRule="auto"/>
        <w:rPr>
          <w:rFonts w:ascii="Verdana" w:eastAsia="Calibri" w:hAnsi="Verdana" w:cs="Arial"/>
          <w:kern w:val="2"/>
          <w:lang w:val="es-ES" w:eastAsia="es-ES"/>
          <w14:ligatures w14:val="standardContextual"/>
        </w:rPr>
      </w:pPr>
      <w:hyperlink r:id="rId12" w:history="1">
        <w:r w:rsidRPr="00271990">
          <w:rPr>
            <w:rStyle w:val="Hipervnculo"/>
            <w:rFonts w:ascii="Verdana" w:eastAsia="Calibri" w:hAnsi="Verdana" w:cs="Arial"/>
            <w:kern w:val="2"/>
            <w:lang w:val="es-ES" w:eastAsia="es-ES"/>
            <w14:ligatures w14:val="standardContextual"/>
          </w:rPr>
          <w:t>johana.medina@lockton.com</w:t>
        </w:r>
      </w:hyperlink>
      <w:r>
        <w:rPr>
          <w:rFonts w:ascii="Verdana" w:eastAsia="Calibri" w:hAnsi="Verdana" w:cs="Arial"/>
          <w:kern w:val="2"/>
          <w:lang w:val="es-ES" w:eastAsia="es-ES"/>
          <w14:ligatures w14:val="standardContextual"/>
        </w:rPr>
        <w:t xml:space="preserve"> </w:t>
      </w:r>
    </w:p>
    <w:p w14:paraId="736BA7A0" w14:textId="77777777" w:rsidR="00FE5496" w:rsidRPr="001B3C5D" w:rsidRDefault="00FE5496" w:rsidP="00FE5496">
      <w:pPr>
        <w:spacing w:after="0" w:line="240" w:lineRule="auto"/>
        <w:rPr>
          <w:rFonts w:ascii="Verdana" w:eastAsia="Calibri" w:hAnsi="Verdana" w:cs="Arial"/>
          <w:lang w:val="es-ES_tradnl" w:eastAsia="es-ES_tradnl"/>
        </w:rPr>
      </w:pPr>
      <w:r>
        <w:rPr>
          <w:rFonts w:ascii="Verdana" w:eastAsia="Calibri" w:hAnsi="Verdana" w:cs="Arial"/>
          <w:kern w:val="2"/>
          <w:lang w:val="es-ES" w:eastAsia="es-ES"/>
          <w14:ligatures w14:val="standardContextual"/>
        </w:rPr>
        <w:t>Bogotá D.C.</w:t>
      </w:r>
    </w:p>
    <w:p w14:paraId="040A8EB4" w14:textId="77777777" w:rsidR="00FE5496" w:rsidRDefault="00FE5496" w:rsidP="00FE5496">
      <w:pPr>
        <w:spacing w:after="0" w:line="240" w:lineRule="auto"/>
        <w:rPr>
          <w:rFonts w:ascii="Verdana" w:eastAsia="Calibri" w:hAnsi="Verdana" w:cs="Arial"/>
          <w:b/>
          <w:bCs/>
          <w:lang w:val="es-ES_tradnl" w:eastAsia="es-ES_tradnl"/>
        </w:rPr>
      </w:pPr>
    </w:p>
    <w:p w14:paraId="24114052" w14:textId="77777777" w:rsidR="00FE5496" w:rsidRPr="001B3C5D" w:rsidRDefault="00FE5496" w:rsidP="00FE5496">
      <w:pPr>
        <w:spacing w:after="0" w:line="240" w:lineRule="auto"/>
        <w:rPr>
          <w:rFonts w:ascii="Verdana" w:eastAsia="Calibri" w:hAnsi="Verdana" w:cs="Arial"/>
          <w:b/>
          <w:bCs/>
          <w:lang w:val="es-ES_tradnl" w:eastAsia="es-ES_tradnl"/>
        </w:rPr>
      </w:pPr>
    </w:p>
    <w:tbl>
      <w:tblPr>
        <w:tblStyle w:val="Tablaconcuadrcula1"/>
        <w:tblW w:w="89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6383"/>
      </w:tblGrid>
      <w:tr w:rsidR="00FE5496" w:rsidRPr="001B3C5D" w14:paraId="3DB69D8B" w14:textId="77777777" w:rsidTr="004B349E">
        <w:trPr>
          <w:trHeight w:val="229"/>
        </w:trPr>
        <w:tc>
          <w:tcPr>
            <w:tcW w:w="2552" w:type="dxa"/>
          </w:tcPr>
          <w:p w14:paraId="44DD54B8" w14:textId="77777777" w:rsidR="00FE5496" w:rsidRPr="001B3C5D" w:rsidRDefault="00FE5496" w:rsidP="004B349E">
            <w:pPr>
              <w:jc w:val="both"/>
              <w:rPr>
                <w:rFonts w:ascii="Verdana" w:eastAsia="Calibri" w:hAnsi="Verdana" w:cs="Arial"/>
                <w:b/>
                <w:bCs/>
                <w:lang w:val="es-ES_tradnl" w:eastAsia="es-ES_tradnl"/>
              </w:rPr>
            </w:pPr>
          </w:p>
        </w:tc>
        <w:tc>
          <w:tcPr>
            <w:tcW w:w="6383" w:type="dxa"/>
          </w:tcPr>
          <w:p w14:paraId="7A07E2E5" w14:textId="77777777" w:rsidR="00FE5496" w:rsidRPr="001B3C5D" w:rsidRDefault="00FE5496" w:rsidP="004B349E">
            <w:pPr>
              <w:jc w:val="both"/>
              <w:rPr>
                <w:rFonts w:ascii="Verdana" w:eastAsia="Calibri" w:hAnsi="Verdana" w:cs="Arial"/>
                <w:b/>
                <w:bCs/>
                <w:lang w:val="es-ES" w:eastAsia="es-ES"/>
              </w:rPr>
            </w:pPr>
            <w:r w:rsidRPr="001B3C5D">
              <w:rPr>
                <w:rFonts w:ascii="Verdana" w:eastAsia="Calibri" w:hAnsi="Verdana" w:cs="Arial"/>
                <w:b/>
                <w:bCs/>
                <w:lang w:val="es-ES" w:eastAsia="es-ES"/>
              </w:rPr>
              <w:t>Concepto C–</w:t>
            </w:r>
            <w:r>
              <w:rPr>
                <w:rFonts w:ascii="Verdana" w:eastAsia="Calibri" w:hAnsi="Verdana" w:cs="Arial"/>
                <w:b/>
                <w:bCs/>
                <w:lang w:val="es-ES" w:eastAsia="es-ES"/>
              </w:rPr>
              <w:t>629</w:t>
            </w:r>
            <w:r w:rsidRPr="001B3C5D">
              <w:rPr>
                <w:rFonts w:ascii="Verdana" w:eastAsia="Calibri" w:hAnsi="Verdana" w:cs="Arial"/>
                <w:b/>
                <w:bCs/>
                <w:lang w:val="es-ES" w:eastAsia="es-ES"/>
              </w:rPr>
              <w:t xml:space="preserve"> de 2026</w:t>
            </w:r>
          </w:p>
          <w:p w14:paraId="1B98530B" w14:textId="77777777" w:rsidR="00FE5496" w:rsidRPr="001B3C5D" w:rsidRDefault="00FE5496" w:rsidP="004B349E">
            <w:pPr>
              <w:jc w:val="both"/>
              <w:rPr>
                <w:rFonts w:ascii="Verdana" w:eastAsia="Calibri" w:hAnsi="Verdana" w:cs="Arial"/>
                <w:b/>
                <w:bCs/>
                <w:lang w:val="es-ES" w:eastAsia="es-ES"/>
              </w:rPr>
            </w:pPr>
          </w:p>
        </w:tc>
      </w:tr>
      <w:tr w:rsidR="00FE5496" w:rsidRPr="001B3C5D" w14:paraId="1F6A4BA8" w14:textId="77777777" w:rsidTr="004B349E">
        <w:trPr>
          <w:trHeight w:val="884"/>
        </w:trPr>
        <w:tc>
          <w:tcPr>
            <w:tcW w:w="2552" w:type="dxa"/>
          </w:tcPr>
          <w:p w14:paraId="21C6C174" w14:textId="77777777" w:rsidR="00FE5496" w:rsidRPr="001B3C5D" w:rsidRDefault="00FE5496" w:rsidP="004B349E">
            <w:pPr>
              <w:jc w:val="both"/>
              <w:rPr>
                <w:rFonts w:ascii="Verdana" w:eastAsia="Calibri" w:hAnsi="Verdana" w:cs="Arial"/>
                <w:lang w:val="es-ES_tradnl" w:eastAsia="es-ES_tradnl"/>
              </w:rPr>
            </w:pPr>
            <w:r w:rsidRPr="001B3C5D">
              <w:rPr>
                <w:rFonts w:ascii="Verdana" w:eastAsia="Calibri" w:hAnsi="Verdana" w:cs="Arial"/>
                <w:b/>
                <w:lang w:val="es-ES_tradnl" w:eastAsia="es-ES_tradnl"/>
              </w:rPr>
              <w:t>Temas:</w:t>
            </w:r>
            <w:r w:rsidRPr="001B3C5D">
              <w:rPr>
                <w:rFonts w:ascii="Verdana" w:eastAsia="Calibri" w:hAnsi="Verdana" w:cs="Arial"/>
                <w:lang w:val="es-ES_tradnl" w:eastAsia="es-ES_tradnl"/>
              </w:rPr>
              <w:t xml:space="preserve">                   </w:t>
            </w:r>
          </w:p>
        </w:tc>
        <w:tc>
          <w:tcPr>
            <w:tcW w:w="6383" w:type="dxa"/>
          </w:tcPr>
          <w:p w14:paraId="60F83E74" w14:textId="77777777" w:rsidR="00FE5496" w:rsidRPr="001B3C5D" w:rsidRDefault="00FE5496" w:rsidP="004B349E">
            <w:pPr>
              <w:widowControl w:val="0"/>
              <w:autoSpaceDE w:val="0"/>
              <w:autoSpaceDN w:val="0"/>
              <w:spacing w:line="276" w:lineRule="auto"/>
              <w:jc w:val="both"/>
              <w:rPr>
                <w:rFonts w:ascii="Verdana" w:eastAsia="Calibri" w:hAnsi="Verdana" w:cs="Times New Roman"/>
                <w:lang w:val="es-ES"/>
              </w:rPr>
            </w:pPr>
            <w:r w:rsidRPr="00915323">
              <w:rPr>
                <w:rFonts w:ascii="Verdana" w:eastAsia="Calibri" w:hAnsi="Verdana" w:cs="Arial"/>
                <w:lang w:eastAsia="es-ES"/>
              </w:rPr>
              <w:t>SISTEMA DE PREFERENCIA PARA PERSONAS CON DISCAPACIDAD ‒ Constitución Política ‒ Ley 1618 de 2013</w:t>
            </w:r>
            <w:r>
              <w:rPr>
                <w:rFonts w:ascii="Verdana" w:eastAsia="Calibri" w:hAnsi="Verdana" w:cs="Arial"/>
                <w:lang w:eastAsia="es-ES"/>
              </w:rPr>
              <w:t xml:space="preserve"> / </w:t>
            </w:r>
            <w:r w:rsidRPr="00777292">
              <w:rPr>
                <w:rFonts w:ascii="Verdana" w:eastAsia="Calibri" w:hAnsi="Verdana" w:cs="Arial"/>
                <w:lang w:eastAsia="es-ES"/>
              </w:rPr>
              <w:t xml:space="preserve">DECRETO 0287 DE 2026 ‒ Antecedentes normativos ‒ Decreto 392 de 2018 </w:t>
            </w:r>
            <w:r>
              <w:rPr>
                <w:rFonts w:ascii="Verdana" w:eastAsia="Calibri" w:hAnsi="Verdana" w:cs="Arial"/>
                <w:lang w:eastAsia="es-ES"/>
              </w:rPr>
              <w:t xml:space="preserve">/ </w:t>
            </w:r>
            <w:r w:rsidRPr="00777292">
              <w:rPr>
                <w:rFonts w:ascii="Verdana" w:eastAsia="Calibri" w:hAnsi="Verdana" w:cs="Arial"/>
                <w:lang w:eastAsia="es-ES"/>
              </w:rPr>
              <w:t>DECRETO 0287 DE 2026 ‒ Sistema Integral de Preferencias ‒ Contratación pública inclusiva ‒ Personas con discapacidad</w:t>
            </w:r>
            <w:r>
              <w:rPr>
                <w:rFonts w:ascii="Verdana" w:eastAsia="Calibri" w:hAnsi="Verdana" w:cs="Arial"/>
                <w:lang w:eastAsia="es-ES"/>
              </w:rPr>
              <w:t xml:space="preserve"> / </w:t>
            </w:r>
            <w:r w:rsidRPr="00777292">
              <w:rPr>
                <w:rFonts w:ascii="Verdana" w:eastAsia="Calibri" w:hAnsi="Verdana" w:cs="Arial"/>
                <w:lang w:eastAsia="es-ES"/>
              </w:rPr>
              <w:t xml:space="preserve">DECRETO 0287 DE 2026 ‒ Emprendimientos y empresas de personas con discapacidad ‒ </w:t>
            </w:r>
            <w:r>
              <w:rPr>
                <w:rFonts w:ascii="Verdana" w:eastAsia="Calibri" w:hAnsi="Verdana" w:cs="Arial"/>
                <w:lang w:eastAsia="es-ES"/>
              </w:rPr>
              <w:t xml:space="preserve">Personas jurídicas </w:t>
            </w:r>
            <w:r w:rsidRPr="00777292">
              <w:rPr>
                <w:rFonts w:ascii="Verdana" w:eastAsia="Calibri" w:hAnsi="Verdana" w:cs="Arial"/>
                <w:lang w:eastAsia="es-ES"/>
              </w:rPr>
              <w:t>‒</w:t>
            </w:r>
            <w:r>
              <w:rPr>
                <w:rFonts w:ascii="Verdana" w:eastAsia="Calibri" w:hAnsi="Verdana" w:cs="Arial"/>
                <w:lang w:eastAsia="es-ES"/>
              </w:rPr>
              <w:t xml:space="preserve"> Nivel directivo </w:t>
            </w:r>
            <w:r w:rsidRPr="00777292">
              <w:rPr>
                <w:rFonts w:ascii="Verdana" w:eastAsia="Calibri" w:hAnsi="Verdana" w:cs="Arial"/>
                <w:lang w:eastAsia="es-ES"/>
              </w:rPr>
              <w:t>‒</w:t>
            </w:r>
            <w:r>
              <w:rPr>
                <w:rFonts w:ascii="Verdana" w:eastAsia="Calibri" w:hAnsi="Verdana" w:cs="Arial"/>
                <w:b/>
                <w:bCs/>
              </w:rPr>
              <w:t xml:space="preserve"> </w:t>
            </w:r>
            <w:r w:rsidRPr="000D1CBA">
              <w:rPr>
                <w:rFonts w:ascii="Verdana" w:eastAsia="Calibri" w:hAnsi="Verdana" w:cs="Arial"/>
              </w:rPr>
              <w:t>Certificado de discapacidad</w:t>
            </w:r>
            <w:r>
              <w:rPr>
                <w:rFonts w:ascii="Verdana" w:eastAsia="Calibri" w:hAnsi="Verdana" w:cs="Arial"/>
                <w:lang w:eastAsia="es-ES"/>
              </w:rPr>
              <w:t xml:space="preserve"> / </w:t>
            </w:r>
            <w:r w:rsidRPr="00777292">
              <w:rPr>
                <w:rFonts w:ascii="Verdana" w:eastAsia="Calibri" w:hAnsi="Verdana" w:cs="Arial"/>
                <w:lang w:eastAsia="es-ES"/>
              </w:rPr>
              <w:t xml:space="preserve">DECRETO 0287 DE 2026 ‒ Puntaje adicional del 2% ‒ No acumulabilidad ‒ Acreditación simultánea de condiciones </w:t>
            </w:r>
            <w:r>
              <w:rPr>
                <w:rFonts w:ascii="Verdana" w:eastAsia="Calibri" w:hAnsi="Verdana" w:cs="Arial"/>
                <w:lang w:eastAsia="es-ES"/>
              </w:rPr>
              <w:t xml:space="preserve">/ </w:t>
            </w:r>
            <w:r w:rsidRPr="00777292">
              <w:rPr>
                <w:rFonts w:ascii="Verdana" w:eastAsia="Calibri" w:hAnsi="Verdana" w:cs="Arial"/>
                <w:lang w:eastAsia="es-ES"/>
              </w:rPr>
              <w:t>DECRETO 0287 DE 2026 ‒ Vigencia ‒ Resolución de apertura</w:t>
            </w:r>
          </w:p>
          <w:p w14:paraId="2E80D4A3" w14:textId="77777777" w:rsidR="00FE5496" w:rsidRPr="001B3C5D" w:rsidRDefault="00FE5496" w:rsidP="004B349E">
            <w:pPr>
              <w:widowControl w:val="0"/>
              <w:autoSpaceDE w:val="0"/>
              <w:autoSpaceDN w:val="0"/>
              <w:jc w:val="both"/>
              <w:rPr>
                <w:rFonts w:ascii="Verdana" w:eastAsia="Calibri" w:hAnsi="Verdana" w:cs="Times New Roman"/>
                <w:highlight w:val="yellow"/>
                <w:lang w:val="es-ES"/>
              </w:rPr>
            </w:pPr>
          </w:p>
        </w:tc>
      </w:tr>
      <w:tr w:rsidR="00FE5496" w:rsidRPr="001B3C5D" w14:paraId="1CD02480" w14:textId="77777777" w:rsidTr="004B349E">
        <w:tc>
          <w:tcPr>
            <w:tcW w:w="2552" w:type="dxa"/>
          </w:tcPr>
          <w:p w14:paraId="4BE528B9" w14:textId="77777777" w:rsidR="00FE5496" w:rsidRPr="001B3C5D" w:rsidRDefault="00FE5496" w:rsidP="004B349E">
            <w:pPr>
              <w:jc w:val="both"/>
              <w:rPr>
                <w:rFonts w:ascii="Verdana" w:eastAsia="Calibri" w:hAnsi="Verdana" w:cs="Arial"/>
                <w:b/>
                <w:lang w:val="es-ES_tradnl" w:eastAsia="es-ES_tradnl"/>
              </w:rPr>
            </w:pPr>
            <w:r w:rsidRPr="001B3C5D">
              <w:rPr>
                <w:rFonts w:ascii="Verdana" w:eastAsia="Calibri" w:hAnsi="Verdana" w:cs="Arial"/>
                <w:b/>
                <w:lang w:val="es-ES_tradnl" w:eastAsia="es-ES_tradnl"/>
              </w:rPr>
              <w:t>Radicación:</w:t>
            </w:r>
            <w:r w:rsidRPr="001B3C5D">
              <w:rPr>
                <w:rFonts w:ascii="Verdana" w:eastAsia="Calibri" w:hAnsi="Verdana" w:cs="Arial"/>
                <w:lang w:val="es-ES_tradnl" w:eastAsia="es-ES_tradnl"/>
              </w:rPr>
              <w:t xml:space="preserve">               </w:t>
            </w:r>
          </w:p>
        </w:tc>
        <w:tc>
          <w:tcPr>
            <w:tcW w:w="6383" w:type="dxa"/>
          </w:tcPr>
          <w:p w14:paraId="31581FFE" w14:textId="77777777" w:rsidR="00FE5496" w:rsidRPr="001B3C5D" w:rsidRDefault="00FE5496" w:rsidP="004B349E">
            <w:pPr>
              <w:ind w:left="3" w:hanging="3"/>
              <w:jc w:val="both"/>
              <w:rPr>
                <w:rFonts w:ascii="Verdana" w:eastAsia="Calibri" w:hAnsi="Verdana" w:cs="Arial"/>
                <w:lang w:val="es-ES_tradnl" w:eastAsia="es-ES_tradnl"/>
              </w:rPr>
            </w:pPr>
            <w:r w:rsidRPr="001B3C5D">
              <w:rPr>
                <w:rFonts w:ascii="Verdana" w:eastAsia="Calibri" w:hAnsi="Verdana" w:cs="Arial"/>
                <w:lang w:val="es-ES_tradnl" w:eastAsia="es-ES_tradnl"/>
              </w:rPr>
              <w:t xml:space="preserve">Respuesta a consulta con radicado No. </w:t>
            </w:r>
            <w:r w:rsidRPr="00152C22">
              <w:rPr>
                <w:rFonts w:ascii="Verdana" w:eastAsia="Calibri" w:hAnsi="Verdana" w:cs="Arial"/>
                <w:lang w:val="es-ES_tradnl" w:eastAsia="es-ES_tradnl"/>
              </w:rPr>
              <w:t>1_2026_04_16_005220</w:t>
            </w:r>
          </w:p>
        </w:tc>
      </w:tr>
    </w:tbl>
    <w:p w14:paraId="7814F214" w14:textId="77777777" w:rsidR="00FE5496" w:rsidRPr="001B3C5D" w:rsidRDefault="00FE5496" w:rsidP="00FE5496">
      <w:pPr>
        <w:spacing w:after="0" w:line="240" w:lineRule="auto"/>
        <w:jc w:val="both"/>
        <w:rPr>
          <w:rFonts w:ascii="Verdana" w:eastAsia="Calibri" w:hAnsi="Verdana" w:cs="Arial"/>
          <w:lang w:val="es-ES_tradnl" w:eastAsia="es-ES_tradnl"/>
        </w:rPr>
      </w:pPr>
    </w:p>
    <w:p w14:paraId="5697D037" w14:textId="77777777" w:rsidR="00FE5496" w:rsidRDefault="00FE5496" w:rsidP="00FE5496">
      <w:pPr>
        <w:spacing w:after="0" w:line="276" w:lineRule="auto"/>
        <w:jc w:val="both"/>
        <w:rPr>
          <w:rFonts w:ascii="Verdana" w:eastAsia="Calibri" w:hAnsi="Verdana" w:cs="Arial"/>
          <w:lang w:val="es-ES" w:eastAsia="es-ES"/>
        </w:rPr>
      </w:pPr>
    </w:p>
    <w:p w14:paraId="191BBE00" w14:textId="77777777" w:rsidR="00FE5496" w:rsidRPr="001B3C5D" w:rsidRDefault="00FE5496" w:rsidP="00FE5496">
      <w:pPr>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Estimad</w:t>
      </w:r>
      <w:r>
        <w:rPr>
          <w:rFonts w:ascii="Verdana" w:eastAsia="Calibri" w:hAnsi="Verdana" w:cs="Arial"/>
          <w:lang w:val="es-ES" w:eastAsia="es-ES"/>
        </w:rPr>
        <w:t xml:space="preserve">a </w:t>
      </w:r>
      <w:r w:rsidRPr="001B3C5D">
        <w:rPr>
          <w:rFonts w:ascii="Verdana" w:eastAsia="Calibri" w:hAnsi="Verdana" w:cs="Arial"/>
          <w:lang w:val="es-ES" w:eastAsia="es-ES"/>
        </w:rPr>
        <w:t>señor</w:t>
      </w:r>
      <w:r>
        <w:rPr>
          <w:rFonts w:ascii="Verdana" w:eastAsia="Calibri" w:hAnsi="Verdana" w:cs="Arial"/>
          <w:lang w:val="es-ES" w:eastAsia="es-ES"/>
        </w:rPr>
        <w:t>a Medina</w:t>
      </w:r>
      <w:r w:rsidRPr="001B3C5D">
        <w:rPr>
          <w:rFonts w:ascii="Verdana" w:eastAsia="Calibri" w:hAnsi="Verdana" w:cs="Arial"/>
          <w:kern w:val="2"/>
          <w:lang w:eastAsia="es-ES_tradnl"/>
          <w14:ligatures w14:val="standardContextual"/>
        </w:rPr>
        <w:t>:</w:t>
      </w:r>
      <w:r w:rsidRPr="001B3C5D">
        <w:rPr>
          <w:rFonts w:ascii="Verdana" w:eastAsia="Calibri" w:hAnsi="Verdana" w:cs="Arial"/>
          <w:lang w:val="es-ES" w:eastAsia="es-ES"/>
        </w:rPr>
        <w:t xml:space="preserve"> </w:t>
      </w:r>
    </w:p>
    <w:p w14:paraId="5854CEAE" w14:textId="77777777" w:rsidR="00FE5496" w:rsidRPr="001B3C5D" w:rsidRDefault="00FE5496" w:rsidP="00FE5496">
      <w:pPr>
        <w:tabs>
          <w:tab w:val="left" w:pos="3768"/>
        </w:tabs>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 xml:space="preserve"> </w:t>
      </w:r>
    </w:p>
    <w:p w14:paraId="4889CA65" w14:textId="77777777" w:rsidR="00FE5496" w:rsidRPr="001B3C5D" w:rsidRDefault="00FE5496" w:rsidP="00FE5496">
      <w:pPr>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En ejercicio de la competencia otorgada por los artículos 3, numeral 5º, y 11, numeral 8º, del Decreto Ley 4170 de 2011,</w:t>
      </w:r>
      <w:r w:rsidRPr="001B3C5D">
        <w:rPr>
          <w:rFonts w:ascii="Verdana" w:eastAsia="Arial MT" w:hAnsi="Verdana" w:cs="Arial MT"/>
          <w:lang w:val="es-ES" w:eastAsia="es-ES"/>
        </w:rPr>
        <w:t xml:space="preserve"> </w:t>
      </w:r>
      <w:r w:rsidRPr="001B3C5D">
        <w:rPr>
          <w:rFonts w:ascii="Verdana" w:eastAsia="Calibri" w:hAnsi="Verdana" w:cs="Arial"/>
        </w:rPr>
        <w:t xml:space="preserve">así como lo establecido en la Resolución No. 469 del 2025 expedida por esta Entidad, </w:t>
      </w:r>
      <w:r w:rsidRPr="001B3C5D">
        <w:rPr>
          <w:rFonts w:ascii="Verdana" w:eastAsia="Calibri" w:hAnsi="Verdana" w:cs="Arial"/>
          <w:lang w:val="es-ES" w:eastAsia="es-ES"/>
        </w:rPr>
        <w:t xml:space="preserve">la Agencia Nacional de Contratación Pública – Colombia Compra Eficiente– responde su solicitud de consulta del </w:t>
      </w:r>
      <w:r>
        <w:rPr>
          <w:rFonts w:ascii="Verdana" w:eastAsia="Calibri" w:hAnsi="Verdana" w:cs="Arial"/>
          <w:lang w:val="es-ES" w:eastAsia="es-ES"/>
        </w:rPr>
        <w:t>16</w:t>
      </w:r>
      <w:r w:rsidRPr="001B3C5D">
        <w:rPr>
          <w:rFonts w:ascii="Verdana" w:eastAsia="Calibri" w:hAnsi="Verdana" w:cs="Arial"/>
          <w:lang w:val="es-ES" w:eastAsia="es-ES"/>
        </w:rPr>
        <w:t xml:space="preserve"> de </w:t>
      </w:r>
      <w:r>
        <w:rPr>
          <w:rFonts w:ascii="Verdana" w:eastAsia="Calibri" w:hAnsi="Verdana" w:cs="Arial"/>
          <w:lang w:val="es-ES" w:eastAsia="es-ES"/>
        </w:rPr>
        <w:t>abril</w:t>
      </w:r>
      <w:r w:rsidRPr="001B3C5D">
        <w:rPr>
          <w:rFonts w:ascii="Verdana" w:eastAsia="Calibri" w:hAnsi="Verdana" w:cs="Arial"/>
          <w:lang w:val="es-ES" w:eastAsia="es-ES"/>
        </w:rPr>
        <w:t xml:space="preserve"> de 2026, en la cual</w:t>
      </w:r>
      <w:r>
        <w:rPr>
          <w:rFonts w:ascii="Verdana" w:eastAsia="Calibri" w:hAnsi="Verdana" w:cs="Arial"/>
          <w:lang w:val="es-ES" w:eastAsia="es-ES"/>
        </w:rPr>
        <w:t xml:space="preserve"> </w:t>
      </w:r>
      <w:r w:rsidRPr="001B3C5D">
        <w:rPr>
          <w:rFonts w:ascii="Verdana" w:eastAsia="Calibri" w:hAnsi="Verdana" w:cs="Arial"/>
          <w:lang w:val="es-ES" w:eastAsia="es-ES"/>
        </w:rPr>
        <w:t>manifiesta lo siguiente:</w:t>
      </w:r>
    </w:p>
    <w:p w14:paraId="69264EB8" w14:textId="77777777" w:rsidR="00FE5496" w:rsidRPr="001B3C5D" w:rsidRDefault="00FE5496" w:rsidP="00FE5496">
      <w:pPr>
        <w:spacing w:after="0" w:line="276" w:lineRule="auto"/>
        <w:jc w:val="both"/>
        <w:rPr>
          <w:rFonts w:ascii="Verdana" w:eastAsia="Calibri" w:hAnsi="Verdana" w:cs="Arial"/>
          <w:lang w:val="es-ES" w:eastAsia="es-ES"/>
        </w:rPr>
      </w:pPr>
    </w:p>
    <w:p w14:paraId="7DA6D45D" w14:textId="77777777" w:rsidR="00FE5496" w:rsidRPr="000759FD" w:rsidRDefault="00FE5496" w:rsidP="00FE5496">
      <w:pPr>
        <w:spacing w:after="0" w:line="240" w:lineRule="auto"/>
        <w:ind w:left="709" w:right="709"/>
        <w:jc w:val="both"/>
        <w:rPr>
          <w:rFonts w:ascii="Verdana" w:eastAsia="Aptos" w:hAnsi="Verdana" w:cs="Helvetica"/>
          <w:color w:val="000000"/>
          <w:sz w:val="20"/>
          <w:szCs w:val="20"/>
          <w14:ligatures w14:val="standardContextual"/>
        </w:rPr>
      </w:pPr>
      <w:r w:rsidRPr="001B3C5D">
        <w:rPr>
          <w:rFonts w:ascii="Verdana" w:eastAsia="Aptos" w:hAnsi="Verdana" w:cs="Helvetica"/>
          <w:color w:val="000000"/>
          <w:sz w:val="20"/>
          <w:szCs w:val="20"/>
          <w14:ligatures w14:val="standardContextual"/>
        </w:rPr>
        <w:lastRenderedPageBreak/>
        <w:t>“</w:t>
      </w:r>
      <w:r w:rsidRPr="000759FD">
        <w:rPr>
          <w:rFonts w:ascii="Verdana" w:eastAsia="Aptos" w:hAnsi="Verdana" w:cs="Helvetica"/>
          <w:color w:val="000000"/>
          <w:sz w:val="20"/>
          <w:szCs w:val="20"/>
          <w14:ligatures w14:val="standardContextual"/>
        </w:rPr>
        <w:t>En nuestra condición de corredor de seguros habilitado y participante habitual en procesos de concurso de méritos adelantados por entidades estatales, nos dirigimos a esta Agencia con el fin de solicitar un concepto orientador sobre la interpretación y aplicación de las disposiciones del Decreto 287 del 19 de marzo de 2026, que modificó los artículos 2.2.1.2.4.2.6., 2.2.1.2.4.2.7. y 2.2.1.2.4.2.8. del Decreto 1082 de 2015.</w:t>
      </w:r>
    </w:p>
    <w:p w14:paraId="042DE6BB" w14:textId="77777777" w:rsidR="00FE5496" w:rsidRPr="000759FD" w:rsidRDefault="00FE5496" w:rsidP="00FE5496">
      <w:pPr>
        <w:spacing w:after="0" w:line="240" w:lineRule="auto"/>
        <w:ind w:left="709" w:right="709"/>
        <w:jc w:val="both"/>
        <w:rPr>
          <w:rFonts w:ascii="Verdana" w:eastAsia="Aptos" w:hAnsi="Verdana" w:cs="Helvetica"/>
          <w:color w:val="000000"/>
          <w:sz w:val="20"/>
          <w:szCs w:val="20"/>
          <w14:ligatures w14:val="standardContextual"/>
        </w:rPr>
      </w:pPr>
    </w:p>
    <w:p w14:paraId="6FF9399F" w14:textId="77777777" w:rsidR="00FE5496" w:rsidRPr="000759FD" w:rsidRDefault="00FE5496" w:rsidP="00FE5496">
      <w:pPr>
        <w:spacing w:after="0" w:line="240" w:lineRule="auto"/>
        <w:ind w:left="709" w:right="709"/>
        <w:jc w:val="both"/>
        <w:rPr>
          <w:rFonts w:ascii="Verdana" w:eastAsia="Aptos" w:hAnsi="Verdana" w:cs="Helvetica"/>
          <w:color w:val="000000"/>
          <w:sz w:val="20"/>
          <w:szCs w:val="20"/>
          <w14:ligatures w14:val="standardContextual"/>
        </w:rPr>
      </w:pPr>
      <w:r w:rsidRPr="000759FD">
        <w:rPr>
          <w:rFonts w:ascii="Verdana" w:eastAsia="Aptos" w:hAnsi="Verdana" w:cs="Helvetica"/>
          <w:color w:val="000000"/>
          <w:sz w:val="20"/>
          <w:szCs w:val="20"/>
          <w14:ligatures w14:val="standardContextual"/>
        </w:rPr>
        <w:t>Las consultas que sometemos a consideración de esa Agencia son las siguientes:</w:t>
      </w:r>
    </w:p>
    <w:p w14:paraId="4724709D" w14:textId="77777777" w:rsidR="00FE5496" w:rsidRPr="000759FD" w:rsidRDefault="00FE5496" w:rsidP="00FE5496">
      <w:pPr>
        <w:spacing w:after="0" w:line="240" w:lineRule="auto"/>
        <w:ind w:left="709" w:right="709"/>
        <w:jc w:val="both"/>
        <w:rPr>
          <w:rFonts w:ascii="Verdana" w:eastAsia="Aptos" w:hAnsi="Verdana" w:cs="Helvetica"/>
          <w:color w:val="000000"/>
          <w:sz w:val="20"/>
          <w:szCs w:val="20"/>
          <w14:ligatures w14:val="standardContextual"/>
        </w:rPr>
      </w:pPr>
    </w:p>
    <w:p w14:paraId="5C010795" w14:textId="77777777" w:rsidR="00FE5496" w:rsidRDefault="00FE5496" w:rsidP="00FE5496">
      <w:pPr>
        <w:spacing w:after="0" w:line="240" w:lineRule="auto"/>
        <w:ind w:left="709" w:right="709"/>
        <w:jc w:val="both"/>
        <w:rPr>
          <w:rFonts w:ascii="Verdana" w:eastAsia="Aptos" w:hAnsi="Verdana" w:cs="Helvetica"/>
          <w:color w:val="000000"/>
          <w:sz w:val="20"/>
          <w:szCs w:val="20"/>
          <w14:ligatures w14:val="standardContextual"/>
        </w:rPr>
      </w:pPr>
      <w:r>
        <w:rPr>
          <w:rFonts w:ascii="Verdana" w:eastAsia="Aptos" w:hAnsi="Verdana" w:cs="Helvetica"/>
          <w:color w:val="000000"/>
          <w:sz w:val="20"/>
          <w:szCs w:val="20"/>
          <w14:ligatures w14:val="standardContextual"/>
        </w:rPr>
        <w:t xml:space="preserve">1. </w:t>
      </w:r>
      <w:r w:rsidRPr="000759FD">
        <w:rPr>
          <w:rFonts w:ascii="Verdana" w:eastAsia="Aptos" w:hAnsi="Verdana" w:cs="Helvetica"/>
          <w:color w:val="000000"/>
          <w:sz w:val="20"/>
          <w:szCs w:val="20"/>
          <w14:ligatures w14:val="standardContextual"/>
        </w:rPr>
        <w:t>Alcance del puntaje del 2% frente a la acreditación simultánea de condiciones</w:t>
      </w:r>
      <w:r>
        <w:rPr>
          <w:rFonts w:ascii="Verdana" w:eastAsia="Aptos" w:hAnsi="Verdana" w:cs="Helvetica"/>
          <w:color w:val="000000"/>
          <w:sz w:val="20"/>
          <w:szCs w:val="20"/>
          <w14:ligatures w14:val="standardContextual"/>
        </w:rPr>
        <w:t xml:space="preserve">. </w:t>
      </w:r>
    </w:p>
    <w:p w14:paraId="2E8CC316" w14:textId="77777777" w:rsidR="00FE5496" w:rsidRPr="000759FD" w:rsidRDefault="00FE5496" w:rsidP="00FE5496">
      <w:pPr>
        <w:spacing w:after="0" w:line="240" w:lineRule="auto"/>
        <w:ind w:left="709" w:right="709"/>
        <w:jc w:val="both"/>
        <w:rPr>
          <w:rFonts w:ascii="Verdana" w:eastAsia="Aptos" w:hAnsi="Verdana" w:cs="Helvetica"/>
          <w:color w:val="000000"/>
          <w:sz w:val="20"/>
          <w:szCs w:val="20"/>
          <w14:ligatures w14:val="standardContextual"/>
        </w:rPr>
      </w:pPr>
      <w:r w:rsidRPr="000759FD">
        <w:rPr>
          <w:rFonts w:ascii="Verdana" w:eastAsia="Aptos" w:hAnsi="Verdana" w:cs="Helvetica"/>
          <w:color w:val="000000"/>
          <w:sz w:val="20"/>
          <w:szCs w:val="20"/>
          <w14:ligatures w14:val="standardContextual"/>
        </w:rPr>
        <w:t>El artículo 2.2.1.2.4.2.7.4 establece que el proponente podrá acreditar alguna de las situaciones previstas (ser emprendimiento o empresa de persona con discapacidad conforme al art. 2.2.1.2.4.2.6, o ser empleador con trabajadores con discapacidad según la tabla del mismo artículo), y precisa que el puntaje adicional “total y único” será del 2%, sin que sean acumulables. La consulta es: cuando un proponente acredita simultáneamente ambas situaciones (por ejemplo, es a la vez emprendimiento de persona con discapacidad y emplea trabajadores con discapacidad en su planta), la no acumulabilidad implica que el puntaje se mantiene en el 2% en todo caso, con independencia de cuántas condiciones se acrediten? O existe algún efecto diferencial en la evaluación?</w:t>
      </w:r>
    </w:p>
    <w:p w14:paraId="6924E24E" w14:textId="77777777" w:rsidR="00FE5496" w:rsidRDefault="00FE5496" w:rsidP="00FE5496">
      <w:pPr>
        <w:spacing w:after="0" w:line="240" w:lineRule="auto"/>
        <w:ind w:left="709" w:right="709"/>
        <w:jc w:val="both"/>
        <w:rPr>
          <w:rFonts w:ascii="Verdana" w:eastAsia="Aptos" w:hAnsi="Verdana" w:cs="Helvetica"/>
          <w:color w:val="000000"/>
          <w:sz w:val="20"/>
          <w:szCs w:val="20"/>
          <w14:ligatures w14:val="standardContextual"/>
        </w:rPr>
      </w:pPr>
    </w:p>
    <w:p w14:paraId="470AB6D5" w14:textId="77777777" w:rsidR="00FE5496" w:rsidRPr="000759FD" w:rsidRDefault="00FE5496" w:rsidP="00FE5496">
      <w:pPr>
        <w:spacing w:after="0" w:line="240" w:lineRule="auto"/>
        <w:ind w:left="709" w:right="709"/>
        <w:jc w:val="both"/>
        <w:rPr>
          <w:rFonts w:ascii="Verdana" w:eastAsia="Aptos" w:hAnsi="Verdana" w:cs="Helvetica"/>
          <w:color w:val="000000"/>
          <w:sz w:val="20"/>
          <w:szCs w:val="20"/>
          <w14:ligatures w14:val="standardContextual"/>
        </w:rPr>
      </w:pPr>
      <w:r>
        <w:rPr>
          <w:rFonts w:ascii="Verdana" w:eastAsia="Aptos" w:hAnsi="Verdana" w:cs="Helvetica"/>
          <w:color w:val="000000"/>
          <w:sz w:val="20"/>
          <w:szCs w:val="20"/>
          <w14:ligatures w14:val="standardContextual"/>
        </w:rPr>
        <w:t xml:space="preserve">2. </w:t>
      </w:r>
      <w:r w:rsidRPr="000759FD">
        <w:rPr>
          <w:rFonts w:ascii="Verdana" w:eastAsia="Aptos" w:hAnsi="Verdana" w:cs="Helvetica"/>
          <w:color w:val="000000"/>
          <w:sz w:val="20"/>
          <w:szCs w:val="20"/>
          <w14:ligatures w14:val="standardContextual"/>
        </w:rPr>
        <w:t>Alcance de la definición de “nivel directivo” en empresas de servicios profesionales</w:t>
      </w:r>
      <w:r>
        <w:rPr>
          <w:rFonts w:ascii="Verdana" w:eastAsia="Aptos" w:hAnsi="Verdana" w:cs="Helvetica"/>
          <w:color w:val="000000"/>
          <w:sz w:val="20"/>
          <w:szCs w:val="20"/>
          <w14:ligatures w14:val="standardContextual"/>
        </w:rPr>
        <w:t>.</w:t>
      </w:r>
    </w:p>
    <w:p w14:paraId="0114E3D2" w14:textId="77777777" w:rsidR="00FE5496" w:rsidRDefault="00FE5496" w:rsidP="00FE5496">
      <w:pPr>
        <w:spacing w:after="0" w:line="240" w:lineRule="auto"/>
        <w:ind w:left="709" w:right="709"/>
        <w:jc w:val="both"/>
        <w:rPr>
          <w:rFonts w:ascii="Verdana" w:eastAsia="Aptos" w:hAnsi="Verdana" w:cs="Helvetica"/>
          <w:color w:val="000000"/>
          <w:sz w:val="20"/>
          <w:szCs w:val="20"/>
          <w14:ligatures w14:val="standardContextual"/>
        </w:rPr>
      </w:pPr>
      <w:r w:rsidRPr="000759FD">
        <w:rPr>
          <w:rFonts w:ascii="Verdana" w:eastAsia="Aptos" w:hAnsi="Verdana" w:cs="Helvetica"/>
          <w:color w:val="000000"/>
          <w:sz w:val="20"/>
          <w:szCs w:val="20"/>
          <w14:ligatures w14:val="standardContextual"/>
        </w:rPr>
        <w:t>El artículo 2.2.1.2.4.2.6, condición 4, habilita a personas jurídicas que tengan vinculada laboralmente al menos una persona con discapacidad en “empleos del</w:t>
      </w:r>
      <w:r>
        <w:rPr>
          <w:rFonts w:ascii="Verdana" w:eastAsia="Aptos" w:hAnsi="Verdana" w:cs="Helvetica"/>
          <w:color w:val="000000"/>
          <w:sz w:val="20"/>
          <w:szCs w:val="20"/>
          <w14:ligatures w14:val="standardContextual"/>
        </w:rPr>
        <w:t xml:space="preserve"> </w:t>
      </w:r>
      <w:r w:rsidRPr="008D0043">
        <w:rPr>
          <w:rFonts w:ascii="Verdana" w:eastAsia="Aptos" w:hAnsi="Verdana" w:cs="Helvetica"/>
          <w:color w:val="000000"/>
          <w:sz w:val="20"/>
          <w:szCs w:val="20"/>
          <w14:ligatures w14:val="standardContextual"/>
        </w:rPr>
        <w:t>nivel directivo”. El Decreto define dicho nivel como cargos “relacionados con la dirección de áreas misionales de la empresa y la toma de decisiones a nivel estratégico”, así como cargos encaminados a representar al empleador.</w:t>
      </w:r>
    </w:p>
    <w:p w14:paraId="1974ABFC" w14:textId="77777777" w:rsidR="00FE5496" w:rsidRPr="008D0043" w:rsidRDefault="00FE5496" w:rsidP="00FE5496">
      <w:pPr>
        <w:spacing w:after="0" w:line="240" w:lineRule="auto"/>
        <w:ind w:left="709" w:right="709"/>
        <w:jc w:val="both"/>
        <w:rPr>
          <w:rFonts w:ascii="Verdana" w:eastAsia="Aptos" w:hAnsi="Verdana" w:cs="Helvetica"/>
          <w:color w:val="000000"/>
          <w:sz w:val="20"/>
          <w:szCs w:val="20"/>
          <w14:ligatures w14:val="standardContextual"/>
        </w:rPr>
      </w:pPr>
    </w:p>
    <w:p w14:paraId="2BF69AF8" w14:textId="77777777" w:rsidR="00FE5496" w:rsidRPr="008D0043" w:rsidRDefault="00FE5496" w:rsidP="00FE5496">
      <w:pPr>
        <w:spacing w:after="0" w:line="240" w:lineRule="auto"/>
        <w:ind w:left="709" w:right="709"/>
        <w:jc w:val="both"/>
        <w:rPr>
          <w:rFonts w:ascii="Verdana" w:eastAsia="Aptos" w:hAnsi="Verdana" w:cs="Helvetica"/>
          <w:color w:val="000000"/>
          <w:sz w:val="20"/>
          <w:szCs w:val="20"/>
          <w14:ligatures w14:val="standardContextual"/>
        </w:rPr>
      </w:pPr>
      <w:r w:rsidRPr="008D0043">
        <w:rPr>
          <w:rFonts w:ascii="Verdana" w:eastAsia="Aptos" w:hAnsi="Verdana" w:cs="Helvetica"/>
          <w:color w:val="000000"/>
          <w:sz w:val="20"/>
          <w:szCs w:val="20"/>
          <w14:ligatures w14:val="standardContextual"/>
        </w:rPr>
        <w:t>En el contexto de empresas de intermediación de seguros y reaseguros, cuya actividad misional es precisamente la gestión, asesoría y colocación de riesgos, se consulta: los cargos de gerencia de área, dirección comercial, o dirección técnica de riesgos, que implican la toma de decisiones sobre la actividad misional, encuadran en la definición de nivel directivo del Decreto? ¿Debe la entidad estatal verificar esa condición con base en la descripción de funciones del contrato laboral, o existe algún estándar adicional?</w:t>
      </w:r>
    </w:p>
    <w:p w14:paraId="2EA3F8D2" w14:textId="77777777" w:rsidR="00FE5496" w:rsidRPr="008D0043" w:rsidRDefault="00FE5496" w:rsidP="00FE5496">
      <w:pPr>
        <w:spacing w:after="0" w:line="240" w:lineRule="auto"/>
        <w:ind w:left="709" w:right="709"/>
        <w:jc w:val="both"/>
        <w:rPr>
          <w:rFonts w:ascii="Verdana" w:eastAsia="Aptos" w:hAnsi="Verdana" w:cs="Helvetica"/>
          <w:color w:val="000000"/>
          <w:sz w:val="20"/>
          <w:szCs w:val="20"/>
          <w14:ligatures w14:val="standardContextual"/>
        </w:rPr>
      </w:pPr>
    </w:p>
    <w:p w14:paraId="638D4E84" w14:textId="77777777" w:rsidR="00FE5496" w:rsidRPr="008D0043" w:rsidRDefault="00FE5496" w:rsidP="00FE5496">
      <w:pPr>
        <w:spacing w:after="0" w:line="240" w:lineRule="auto"/>
        <w:ind w:left="709" w:right="709"/>
        <w:jc w:val="both"/>
        <w:rPr>
          <w:rFonts w:ascii="Verdana" w:eastAsia="Aptos" w:hAnsi="Verdana" w:cs="Helvetica"/>
          <w:color w:val="000000"/>
          <w:sz w:val="20"/>
          <w:szCs w:val="20"/>
          <w14:ligatures w14:val="standardContextual"/>
        </w:rPr>
      </w:pPr>
      <w:r>
        <w:rPr>
          <w:rFonts w:ascii="Verdana" w:eastAsia="Aptos" w:hAnsi="Verdana" w:cs="Helvetica"/>
          <w:color w:val="000000"/>
          <w:sz w:val="20"/>
          <w:szCs w:val="20"/>
          <w14:ligatures w14:val="standardContextual"/>
        </w:rPr>
        <w:t xml:space="preserve">3. </w:t>
      </w:r>
      <w:r w:rsidRPr="008D0043">
        <w:rPr>
          <w:rFonts w:ascii="Verdana" w:eastAsia="Aptos" w:hAnsi="Verdana" w:cs="Helvetica"/>
          <w:color w:val="000000"/>
          <w:sz w:val="20"/>
          <w:szCs w:val="20"/>
          <w14:ligatures w14:val="standardContextual"/>
        </w:rPr>
        <w:t>Exigencia del certificado de discapacidad - porcentaje mínimo aplicable</w:t>
      </w:r>
    </w:p>
    <w:p w14:paraId="3F0A0551" w14:textId="77777777" w:rsidR="00FE5496" w:rsidRPr="008D0043" w:rsidRDefault="00FE5496" w:rsidP="00FE5496">
      <w:pPr>
        <w:spacing w:after="0" w:line="240" w:lineRule="auto"/>
        <w:ind w:left="709" w:right="709"/>
        <w:jc w:val="both"/>
        <w:rPr>
          <w:rFonts w:ascii="Verdana" w:eastAsia="Aptos" w:hAnsi="Verdana" w:cs="Helvetica"/>
          <w:color w:val="000000"/>
          <w:sz w:val="20"/>
          <w:szCs w:val="20"/>
          <w14:ligatures w14:val="standardContextual"/>
        </w:rPr>
      </w:pPr>
      <w:r w:rsidRPr="008D0043">
        <w:rPr>
          <w:rFonts w:ascii="Verdana" w:eastAsia="Aptos" w:hAnsi="Verdana" w:cs="Helvetica"/>
          <w:color w:val="000000"/>
          <w:sz w:val="20"/>
          <w:szCs w:val="20"/>
          <w14:ligatures w14:val="standardContextual"/>
        </w:rPr>
        <w:t xml:space="preserve">El Decreto exige el certificado de discapacidad expedido conforme a la normativa del Ministerio de Salud y Protección Social, sin fijar en su texto </w:t>
      </w:r>
      <w:r w:rsidRPr="008D0043">
        <w:rPr>
          <w:rFonts w:ascii="Verdana" w:eastAsia="Aptos" w:hAnsi="Verdana" w:cs="Helvetica"/>
          <w:color w:val="000000"/>
          <w:sz w:val="20"/>
          <w:szCs w:val="20"/>
          <w14:ligatures w14:val="standardContextual"/>
        </w:rPr>
        <w:lastRenderedPageBreak/>
        <w:t>un porcentaje mínimo de pérdida de capacidad laboral o funcional. Se consulta: basta la certificación oficial de discapacidad emitida por la entidad competente para efectos de este Decreto, con independencia del porcentaje calificado? O existe remisión a algún umbral establecido en normas del MinSalud que la entidad estatal deba verificar?</w:t>
      </w:r>
    </w:p>
    <w:p w14:paraId="7E7AD109" w14:textId="77777777" w:rsidR="00FE5496" w:rsidRPr="008D0043" w:rsidRDefault="00FE5496" w:rsidP="00FE5496">
      <w:pPr>
        <w:spacing w:after="0" w:line="240" w:lineRule="auto"/>
        <w:ind w:right="709"/>
        <w:jc w:val="both"/>
        <w:rPr>
          <w:rFonts w:ascii="Verdana" w:eastAsia="Aptos" w:hAnsi="Verdana" w:cs="Helvetica"/>
          <w:color w:val="000000"/>
          <w:sz w:val="20"/>
          <w:szCs w:val="20"/>
          <w14:ligatures w14:val="standardContextual"/>
        </w:rPr>
      </w:pPr>
    </w:p>
    <w:p w14:paraId="48B23397" w14:textId="77777777" w:rsidR="00FE5496" w:rsidRDefault="00FE5496" w:rsidP="00FE5496">
      <w:pPr>
        <w:spacing w:after="0" w:line="240" w:lineRule="auto"/>
        <w:ind w:left="709" w:right="709"/>
        <w:jc w:val="both"/>
        <w:rPr>
          <w:rFonts w:ascii="Verdana" w:eastAsia="Aptos" w:hAnsi="Verdana" w:cs="Helvetica"/>
          <w:color w:val="000000"/>
          <w:sz w:val="20"/>
          <w:szCs w:val="20"/>
          <w14:ligatures w14:val="standardContextual"/>
        </w:rPr>
      </w:pPr>
      <w:r>
        <w:rPr>
          <w:rFonts w:ascii="Verdana" w:eastAsia="Aptos" w:hAnsi="Verdana" w:cs="Helvetica"/>
          <w:color w:val="000000"/>
          <w:sz w:val="20"/>
          <w:szCs w:val="20"/>
          <w14:ligatures w14:val="standardContextual"/>
        </w:rPr>
        <w:t xml:space="preserve">4. </w:t>
      </w:r>
      <w:r w:rsidRPr="008D0043">
        <w:rPr>
          <w:rFonts w:ascii="Verdana" w:eastAsia="Aptos" w:hAnsi="Verdana" w:cs="Helvetica"/>
          <w:color w:val="000000"/>
          <w:sz w:val="20"/>
          <w:szCs w:val="20"/>
          <w14:ligatures w14:val="standardContextual"/>
        </w:rPr>
        <w:t>Compatibilidad y acumulación con puntajes de MiPyme y empresas de mujeres en concurso de méritos</w:t>
      </w:r>
    </w:p>
    <w:p w14:paraId="7772024A" w14:textId="77777777" w:rsidR="00FE5496" w:rsidRPr="008D0043" w:rsidRDefault="00FE5496" w:rsidP="00FE5496">
      <w:pPr>
        <w:spacing w:after="0" w:line="240" w:lineRule="auto"/>
        <w:ind w:left="709" w:right="709"/>
        <w:jc w:val="both"/>
        <w:rPr>
          <w:rFonts w:ascii="Verdana" w:eastAsia="Aptos" w:hAnsi="Verdana" w:cs="Helvetica"/>
          <w:color w:val="000000"/>
          <w:sz w:val="20"/>
          <w:szCs w:val="20"/>
          <w14:ligatures w14:val="standardContextual"/>
        </w:rPr>
      </w:pPr>
    </w:p>
    <w:p w14:paraId="6BCEDA4D" w14:textId="77777777" w:rsidR="00FE5496" w:rsidRPr="008D0043" w:rsidRDefault="00FE5496" w:rsidP="00FE5496">
      <w:pPr>
        <w:spacing w:after="0" w:line="240" w:lineRule="auto"/>
        <w:ind w:left="709" w:right="709"/>
        <w:jc w:val="both"/>
        <w:rPr>
          <w:rFonts w:ascii="Verdana" w:eastAsia="Aptos" w:hAnsi="Verdana" w:cs="Helvetica"/>
          <w:color w:val="000000"/>
          <w:sz w:val="20"/>
          <w:szCs w:val="20"/>
          <w14:ligatures w14:val="standardContextual"/>
        </w:rPr>
      </w:pPr>
      <w:r w:rsidRPr="008D0043">
        <w:rPr>
          <w:rFonts w:ascii="Verdana" w:eastAsia="Aptos" w:hAnsi="Verdana" w:cs="Helvetica"/>
          <w:color w:val="000000"/>
          <w:sz w:val="20"/>
          <w:szCs w:val="20"/>
          <w14:ligatures w14:val="standardContextual"/>
        </w:rPr>
        <w:t>El parágrafo 2º del artículo 2.2.1.2.4.2.7.4 establece que el puntaje del 2% no excluye los incentivos de MiPymes ni los de emprendimientos y empresas de mujeres. Se consulta: esta compatibilidad opera automáticamente o requiere que los pliegos de condiciones del proceso específico hayan incorporado previamente todos los criterios? En los procesos en los que los pliegos solo contemplaban puntaje de MiPyme y/o mujer, expedidos antes del 19 de marzo de 2026, las entidades estatales tienen obligación de incorporar el puntaje por discapacidad en adendas, dada la vigencia inmediata del Decreto?</w:t>
      </w:r>
      <w:r>
        <w:rPr>
          <w:rFonts w:ascii="Verdana" w:eastAsia="Aptos" w:hAnsi="Verdana" w:cs="Helvetica"/>
          <w:color w:val="000000"/>
          <w:sz w:val="20"/>
          <w:szCs w:val="20"/>
          <w14:ligatures w14:val="standardContextual"/>
        </w:rPr>
        <w:t>”</w:t>
      </w:r>
    </w:p>
    <w:p w14:paraId="79999AE7" w14:textId="77777777" w:rsidR="00FE5496" w:rsidRPr="001B3C5D" w:rsidRDefault="00FE5496" w:rsidP="00FE5496">
      <w:pPr>
        <w:spacing w:after="0" w:line="276" w:lineRule="auto"/>
        <w:jc w:val="both"/>
        <w:rPr>
          <w:rFonts w:ascii="Verdana" w:eastAsia="Calibri" w:hAnsi="Verdana" w:cs="Arial"/>
          <w:lang w:val="es-ES" w:eastAsia="es-ES"/>
        </w:rPr>
      </w:pPr>
    </w:p>
    <w:p w14:paraId="14D89585" w14:textId="77777777" w:rsidR="00FE5496" w:rsidRPr="001B3C5D" w:rsidRDefault="00FE5496" w:rsidP="00FE5496">
      <w:pPr>
        <w:spacing w:after="120" w:line="276" w:lineRule="auto"/>
        <w:ind w:firstLine="709"/>
        <w:jc w:val="both"/>
        <w:rPr>
          <w:rFonts w:ascii="Verdana" w:eastAsia="Calibri" w:hAnsi="Verdana" w:cs="Arial"/>
          <w:color w:val="000000"/>
          <w:lang w:val="es-ES" w:eastAsia="es-ES"/>
        </w:rPr>
      </w:pPr>
      <w:r w:rsidRPr="001B3C5D">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3ECBDB2" w14:textId="77777777" w:rsidR="00FE5496" w:rsidRPr="001B3C5D" w:rsidRDefault="00FE5496" w:rsidP="00FE5496">
      <w:pPr>
        <w:spacing w:after="0" w:line="276" w:lineRule="auto"/>
        <w:ind w:firstLine="709"/>
        <w:jc w:val="both"/>
        <w:rPr>
          <w:rFonts w:ascii="Verdana" w:eastAsia="Calibri" w:hAnsi="Verdana" w:cs="Arial"/>
          <w:color w:val="000000"/>
          <w:lang w:val="es-ES" w:eastAsia="es-ES"/>
        </w:rPr>
      </w:pPr>
      <w:r w:rsidRPr="001B3C5D">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problema</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jurídico</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 xml:space="preserve">de su consulta. </w:t>
      </w:r>
    </w:p>
    <w:p w14:paraId="3C364036" w14:textId="77777777" w:rsidR="00FE5496" w:rsidRPr="001B3C5D" w:rsidRDefault="00FE5496" w:rsidP="00FE5496">
      <w:pPr>
        <w:tabs>
          <w:tab w:val="left" w:pos="142"/>
          <w:tab w:val="left" w:pos="284"/>
        </w:tabs>
        <w:spacing w:after="0" w:line="276" w:lineRule="auto"/>
        <w:contextualSpacing/>
        <w:jc w:val="both"/>
        <w:rPr>
          <w:rFonts w:ascii="Verdana" w:eastAsia="Century Gothic" w:hAnsi="Verdana" w:cs="Century Gothic"/>
          <w:b/>
          <w:bCs/>
          <w:lang w:val="es-ES"/>
        </w:rPr>
      </w:pPr>
    </w:p>
    <w:p w14:paraId="084A3CB3" w14:textId="77777777" w:rsidR="00FE5496" w:rsidRPr="001B3C5D" w:rsidRDefault="00FE5496" w:rsidP="00FE5496">
      <w:pPr>
        <w:tabs>
          <w:tab w:val="left" w:pos="142"/>
          <w:tab w:val="left" w:pos="284"/>
        </w:tabs>
        <w:spacing w:after="0" w:line="276" w:lineRule="auto"/>
        <w:contextualSpacing/>
        <w:jc w:val="both"/>
        <w:rPr>
          <w:rFonts w:ascii="Verdana" w:eastAsia="Century Gothic" w:hAnsi="Verdana" w:cs="Century Gothic"/>
          <w:b/>
          <w:bCs/>
          <w:lang w:val="es-ES"/>
        </w:rPr>
      </w:pPr>
      <w:r w:rsidRPr="001B3C5D">
        <w:rPr>
          <w:rFonts w:ascii="Verdana" w:eastAsia="Century Gothic" w:hAnsi="Verdana" w:cs="Century Gothic"/>
          <w:b/>
          <w:bCs/>
          <w:lang w:val="es-ES"/>
        </w:rPr>
        <w:t>1. Problema planteado:</w:t>
      </w:r>
    </w:p>
    <w:p w14:paraId="230753C7" w14:textId="77777777" w:rsidR="00FE5496" w:rsidRPr="001B3C5D" w:rsidRDefault="00FE5496" w:rsidP="00FE5496">
      <w:pPr>
        <w:tabs>
          <w:tab w:val="left" w:pos="426"/>
        </w:tabs>
        <w:spacing w:after="0" w:line="276" w:lineRule="auto"/>
        <w:jc w:val="both"/>
        <w:rPr>
          <w:rFonts w:ascii="Verdana" w:eastAsia="Century Gothic" w:hAnsi="Verdana" w:cs="Century Gothic"/>
          <w:lang w:val="es-ES"/>
        </w:rPr>
      </w:pPr>
    </w:p>
    <w:p w14:paraId="6B25CE56" w14:textId="2654E752" w:rsidR="00FE5496" w:rsidRPr="001B3C5D" w:rsidRDefault="00FE5496" w:rsidP="00FE5496">
      <w:pPr>
        <w:tabs>
          <w:tab w:val="left" w:pos="0"/>
        </w:tabs>
        <w:spacing w:after="0" w:line="276" w:lineRule="auto"/>
        <w:jc w:val="both"/>
        <w:rPr>
          <w:rFonts w:ascii="Verdana" w:eastAsia="Calibri" w:hAnsi="Verdana" w:cs="Arial"/>
          <w:bCs/>
          <w:lang w:val="es-ES_tradnl" w:eastAsia="es-ES_tradnl"/>
        </w:rPr>
      </w:pPr>
      <w:r w:rsidRPr="001B3C5D">
        <w:rPr>
          <w:rFonts w:ascii="Verdana" w:eastAsia="Century Gothic" w:hAnsi="Verdana" w:cs="Century Gothic"/>
        </w:rPr>
        <w:lastRenderedPageBreak/>
        <w:t>De acuerdo con el contenido de su solicitud, esta Agencia resolverá los siguientes problemas jurídicos:</w:t>
      </w:r>
      <w:r>
        <w:rPr>
          <w:rFonts w:ascii="Verdana" w:eastAsia="Century Gothic" w:hAnsi="Verdana" w:cs="Century Gothic"/>
        </w:rPr>
        <w:t xml:space="preserve">  </w:t>
      </w:r>
      <w:r w:rsidRPr="001B3C5D">
        <w:rPr>
          <w:rFonts w:ascii="Verdana" w:eastAsia="Century Gothic" w:hAnsi="Verdana" w:cs="Century Gothic"/>
        </w:rPr>
        <w:t xml:space="preserve"> i) </w:t>
      </w:r>
      <w:r w:rsidRPr="001B3C5D">
        <w:rPr>
          <w:rFonts w:ascii="Verdana" w:eastAsia="Calibri" w:hAnsi="Verdana" w:cs="Arial"/>
          <w:bCs/>
          <w:lang w:val="es-ES_tradnl" w:eastAsia="es-ES_tradnl"/>
        </w:rPr>
        <w:t>¿</w:t>
      </w:r>
      <w:r w:rsidRPr="00CA640D">
        <w:rPr>
          <w:rFonts w:ascii="Verdana" w:eastAsia="Calibri" w:hAnsi="Verdana" w:cs="Arial"/>
          <w:bCs/>
          <w:lang w:eastAsia="es-ES_tradnl"/>
        </w:rPr>
        <w:t>La acreditación simultánea de varias</w:t>
      </w:r>
      <w:r>
        <w:rPr>
          <w:rFonts w:ascii="Verdana" w:eastAsia="Calibri" w:hAnsi="Verdana" w:cs="Arial"/>
          <w:bCs/>
          <w:lang w:eastAsia="es-ES_tradnl"/>
        </w:rPr>
        <w:t xml:space="preserve"> de las </w:t>
      </w:r>
      <w:r w:rsidRPr="00CA640D">
        <w:rPr>
          <w:rFonts w:ascii="Verdana" w:eastAsia="Calibri" w:hAnsi="Verdana" w:cs="Arial"/>
          <w:bCs/>
          <w:lang w:eastAsia="es-ES_tradnl"/>
        </w:rPr>
        <w:t xml:space="preserve">condiciones previstas en el artículo </w:t>
      </w:r>
      <w:r w:rsidRPr="00201242">
        <w:rPr>
          <w:rFonts w:ascii="Verdana" w:eastAsia="Calibri" w:hAnsi="Verdana" w:cs="Arial"/>
          <w:lang w:eastAsia="es-ES_tradnl"/>
        </w:rPr>
        <w:t>2</w:t>
      </w:r>
      <w:r>
        <w:rPr>
          <w:rFonts w:ascii="Verdana" w:eastAsia="Calibri" w:hAnsi="Verdana" w:cs="Arial"/>
          <w:lang w:eastAsia="es-ES_tradnl"/>
        </w:rPr>
        <w:t>.</w:t>
      </w:r>
      <w:r w:rsidRPr="00201242">
        <w:rPr>
          <w:rFonts w:ascii="Verdana" w:eastAsia="Calibri" w:hAnsi="Verdana" w:cs="Arial"/>
          <w:lang w:eastAsia="es-ES_tradnl"/>
        </w:rPr>
        <w:t>2.1.2.4.2.7.4</w:t>
      </w:r>
      <w:r>
        <w:rPr>
          <w:rFonts w:ascii="Verdana" w:eastAsia="Calibri" w:hAnsi="Verdana" w:cs="Arial"/>
          <w:b/>
          <w:bCs/>
          <w:lang w:eastAsia="es-ES_tradnl"/>
        </w:rPr>
        <w:t xml:space="preserve"> </w:t>
      </w:r>
      <w:r w:rsidRPr="00CA640D">
        <w:rPr>
          <w:rFonts w:ascii="Verdana" w:eastAsia="Calibri" w:hAnsi="Verdana" w:cs="Arial"/>
          <w:bCs/>
          <w:lang w:eastAsia="es-ES_tradnl"/>
        </w:rPr>
        <w:t>del Decreto 1082 de 2015 permite otorgar un puntaje superior al 2%</w:t>
      </w:r>
      <w:r>
        <w:rPr>
          <w:rFonts w:ascii="Verdana" w:eastAsia="Calibri" w:hAnsi="Verdana" w:cs="Arial"/>
          <w:bCs/>
          <w:lang w:eastAsia="es-ES_tradnl"/>
        </w:rPr>
        <w:t xml:space="preserve">?; </w:t>
      </w:r>
      <w:r w:rsidRPr="001B3C5D">
        <w:rPr>
          <w:rFonts w:ascii="Verdana" w:eastAsia="Calibri" w:hAnsi="Verdana" w:cs="Arial"/>
          <w:bCs/>
          <w:lang w:val="es-ES_tradnl" w:eastAsia="es-ES_tradnl"/>
        </w:rPr>
        <w:t>ii)</w:t>
      </w:r>
      <w:r>
        <w:rPr>
          <w:rFonts w:ascii="Verdana" w:eastAsia="Calibri" w:hAnsi="Verdana" w:cs="Arial"/>
          <w:bCs/>
          <w:lang w:val="es-ES_tradnl" w:eastAsia="es-ES_tradnl"/>
        </w:rPr>
        <w:t xml:space="preserve"> </w:t>
      </w:r>
      <w:r w:rsidRPr="001B3C5D">
        <w:rPr>
          <w:rFonts w:ascii="Verdana" w:eastAsia="Calibri" w:hAnsi="Verdana" w:cs="Arial"/>
          <w:bCs/>
          <w:lang w:val="es-ES_tradnl" w:eastAsia="es-ES_tradnl"/>
        </w:rPr>
        <w:t>¿</w:t>
      </w:r>
      <w:r>
        <w:rPr>
          <w:rFonts w:ascii="Verdana" w:eastAsia="Century Gothic" w:hAnsi="Verdana" w:cs="Century Gothic"/>
        </w:rPr>
        <w:t xml:space="preserve">Cuál es el alcance de la definición de </w:t>
      </w:r>
      <w:r w:rsidRPr="00924A77">
        <w:rPr>
          <w:rFonts w:ascii="Verdana" w:eastAsia="Century Gothic" w:hAnsi="Verdana" w:cs="Century Gothic"/>
          <w:i/>
          <w:iCs/>
        </w:rPr>
        <w:t>empleo nivel directivo</w:t>
      </w:r>
      <w:r>
        <w:rPr>
          <w:rFonts w:ascii="Verdana" w:eastAsia="Century Gothic" w:hAnsi="Verdana" w:cs="Century Gothic"/>
        </w:rPr>
        <w:t xml:space="preserve"> a efectos de acreditar la calidad de emprendimiento y empresas de Personas con Discapacidad mujeres establecida </w:t>
      </w:r>
      <w:r w:rsidRPr="006B0744">
        <w:rPr>
          <w:rFonts w:ascii="Verdana" w:eastAsia="Calibri" w:hAnsi="Verdana" w:cs="Arial"/>
          <w:bCs/>
          <w:lang w:val="es-ES_tradnl" w:eastAsia="es-ES_tradnl"/>
        </w:rPr>
        <w:t>el</w:t>
      </w:r>
      <w:r>
        <w:rPr>
          <w:rFonts w:ascii="Verdana" w:eastAsia="Calibri" w:hAnsi="Verdana" w:cs="Arial"/>
          <w:bCs/>
          <w:lang w:val="es-ES_tradnl" w:eastAsia="es-ES_tradnl"/>
        </w:rPr>
        <w:t xml:space="preserve"> numeral 4 del</w:t>
      </w:r>
      <w:r w:rsidRPr="006B0744">
        <w:rPr>
          <w:rFonts w:ascii="Verdana" w:eastAsia="Calibri" w:hAnsi="Verdana" w:cs="Arial"/>
          <w:bCs/>
          <w:lang w:val="es-ES_tradnl" w:eastAsia="es-ES_tradnl"/>
        </w:rPr>
        <w:t xml:space="preserve"> artículo 2?2.1.2.4.2.6 del Decreto 1082 de 2015?</w:t>
      </w:r>
      <w:r>
        <w:rPr>
          <w:rFonts w:ascii="Verdana" w:eastAsia="Calibri" w:hAnsi="Verdana" w:cs="Arial"/>
          <w:bCs/>
          <w:lang w:val="es-ES_tradnl" w:eastAsia="es-ES_tradnl"/>
        </w:rPr>
        <w:t xml:space="preserve">; </w:t>
      </w:r>
      <w:r w:rsidRPr="3EC47442">
        <w:rPr>
          <w:rFonts w:ascii="Verdana" w:eastAsia="Calibri" w:hAnsi="Verdana" w:cs="Arial"/>
          <w:lang w:val="es-ES" w:eastAsia="es-ES"/>
        </w:rPr>
        <w:t xml:space="preserve">iii) ¿El certificado de discapacidad requerido en el Decreto 287 de 2026, debe establecer un porcentaje mínimo de pérdida de capacidad laboral o funcional?; </w:t>
      </w:r>
      <w:r>
        <w:rPr>
          <w:rFonts w:ascii="Verdana" w:eastAsia="Calibri" w:hAnsi="Verdana" w:cs="Arial"/>
          <w:bCs/>
          <w:lang w:val="es-ES_tradnl" w:eastAsia="es-ES_tradnl"/>
        </w:rPr>
        <w:t>iv</w:t>
      </w:r>
      <w:r w:rsidRPr="001B3C5D">
        <w:rPr>
          <w:rFonts w:ascii="Verdana" w:eastAsia="Calibri" w:hAnsi="Verdana" w:cs="Arial"/>
          <w:bCs/>
          <w:lang w:val="es-ES_tradnl" w:eastAsia="es-ES_tradnl"/>
        </w:rPr>
        <w:t xml:space="preserve">) </w:t>
      </w:r>
      <w:r w:rsidRPr="00376DC9">
        <w:rPr>
          <w:rFonts w:ascii="Verdana" w:eastAsia="Calibri" w:hAnsi="Verdana" w:cs="Arial"/>
          <w:bCs/>
          <w:lang w:val="es-ES_tradnl" w:eastAsia="es-ES_tradnl"/>
        </w:rPr>
        <w:t>¿</w:t>
      </w:r>
      <w:r w:rsidRPr="00376DC9">
        <w:rPr>
          <w:rFonts w:ascii="Verdana" w:eastAsia="Century Gothic" w:hAnsi="Verdana" w:cs="Century Gothic"/>
          <w:lang w:val="es-ES"/>
        </w:rPr>
        <w:t>El puntaje del 2% es compatible con los incentivos para MiPymes y para emprendimiento y empresas de mujeres?</w:t>
      </w:r>
      <w:r>
        <w:rPr>
          <w:rFonts w:ascii="Verdana" w:eastAsia="Century Gothic" w:hAnsi="Verdana" w:cs="Century Gothic"/>
          <w:lang w:val="es-ES"/>
        </w:rPr>
        <w:t>;</w:t>
      </w:r>
      <w:r w:rsidR="00AD78E1">
        <w:rPr>
          <w:rFonts w:ascii="Verdana" w:eastAsia="Century Gothic" w:hAnsi="Verdana" w:cs="Century Gothic"/>
          <w:lang w:val="es-ES"/>
        </w:rPr>
        <w:t xml:space="preserve"> </w:t>
      </w:r>
      <w:r>
        <w:rPr>
          <w:rFonts w:ascii="Verdana" w:eastAsia="Calibri" w:hAnsi="Verdana" w:cs="Arial"/>
          <w:bCs/>
          <w:lang w:val="es-ES_tradnl" w:eastAsia="es-ES_tradnl"/>
        </w:rPr>
        <w:t xml:space="preserve">v) </w:t>
      </w:r>
      <w:r w:rsidRPr="001B3C5D">
        <w:rPr>
          <w:rFonts w:ascii="Verdana" w:eastAsia="Calibri" w:hAnsi="Verdana" w:cs="Arial"/>
          <w:bCs/>
          <w:lang w:val="es-ES_tradnl" w:eastAsia="es-ES_tradnl"/>
        </w:rPr>
        <w:t>¿</w:t>
      </w:r>
      <w:r>
        <w:rPr>
          <w:rFonts w:ascii="Verdana" w:eastAsia="Calibri" w:hAnsi="Verdana" w:cs="Arial"/>
          <w:bCs/>
          <w:lang w:val="es-ES_tradnl" w:eastAsia="es-ES_tradnl"/>
        </w:rPr>
        <w:t>L</w:t>
      </w:r>
      <w:r w:rsidRPr="00B33ABB">
        <w:rPr>
          <w:rFonts w:ascii="Verdana" w:eastAsia="Calibri" w:hAnsi="Verdana" w:cs="Arial"/>
          <w:bCs/>
          <w:lang w:val="es-ES_tradnl" w:eastAsia="es-ES_tradnl"/>
        </w:rPr>
        <w:t xml:space="preserve">as entidades estatales tienen obligación de incorporar el puntaje </w:t>
      </w:r>
      <w:r>
        <w:rPr>
          <w:rFonts w:ascii="Verdana" w:eastAsia="Calibri" w:hAnsi="Verdana" w:cs="Arial"/>
          <w:bCs/>
          <w:lang w:val="es-ES_tradnl" w:eastAsia="es-ES_tradnl"/>
        </w:rPr>
        <w:t>adicional</w:t>
      </w:r>
      <w:r w:rsidRPr="00B33ABB">
        <w:rPr>
          <w:rFonts w:ascii="Verdana" w:eastAsia="Calibri" w:hAnsi="Verdana" w:cs="Arial"/>
          <w:bCs/>
          <w:lang w:val="es-ES_tradnl" w:eastAsia="es-ES_tradnl"/>
        </w:rPr>
        <w:t xml:space="preserve"> </w:t>
      </w:r>
      <w:r>
        <w:rPr>
          <w:rFonts w:ascii="Verdana" w:eastAsia="Calibri" w:hAnsi="Verdana" w:cs="Arial"/>
          <w:bCs/>
          <w:lang w:val="es-ES_tradnl" w:eastAsia="es-ES_tradnl"/>
        </w:rPr>
        <w:t>e</w:t>
      </w:r>
      <w:r w:rsidRPr="00B33ABB">
        <w:rPr>
          <w:rFonts w:ascii="Verdana" w:eastAsia="Calibri" w:hAnsi="Verdana" w:cs="Arial"/>
          <w:bCs/>
          <w:lang w:val="es-ES_tradnl" w:eastAsia="es-ES_tradnl"/>
        </w:rPr>
        <w:t>n los procesos</w:t>
      </w:r>
      <w:r>
        <w:rPr>
          <w:rFonts w:ascii="Verdana" w:eastAsia="Calibri" w:hAnsi="Verdana" w:cs="Arial"/>
          <w:bCs/>
          <w:lang w:val="es-ES_tradnl" w:eastAsia="es-ES_tradnl"/>
        </w:rPr>
        <w:t xml:space="preserve"> de contratación cuya resolución de apertura se realizó antes del 19 de marzo de 2026</w:t>
      </w:r>
      <w:r w:rsidRPr="001B3C5D">
        <w:rPr>
          <w:rFonts w:ascii="Verdana" w:eastAsia="Calibri" w:hAnsi="Verdana" w:cs="Arial"/>
          <w:bCs/>
          <w:lang w:val="es-ES_tradnl" w:eastAsia="es-ES_tradnl"/>
        </w:rPr>
        <w:t xml:space="preserve">? </w:t>
      </w:r>
    </w:p>
    <w:p w14:paraId="2469994D" w14:textId="77777777" w:rsidR="00FE5496" w:rsidRPr="001B3C5D" w:rsidRDefault="00FE5496" w:rsidP="00FE5496">
      <w:pPr>
        <w:spacing w:after="0" w:line="276" w:lineRule="auto"/>
        <w:jc w:val="both"/>
        <w:rPr>
          <w:rFonts w:ascii="Verdana" w:eastAsia="Century Gothic" w:hAnsi="Verdana" w:cs="Century Gothic"/>
          <w:lang w:val="es-ES_tradnl"/>
        </w:rPr>
      </w:pPr>
    </w:p>
    <w:p w14:paraId="022AF3B8" w14:textId="77777777" w:rsidR="00FE5496" w:rsidRPr="001B3C5D" w:rsidRDefault="00FE5496" w:rsidP="00FE5496">
      <w:pPr>
        <w:tabs>
          <w:tab w:val="left" w:pos="142"/>
          <w:tab w:val="left" w:pos="284"/>
        </w:tabs>
        <w:spacing w:after="0" w:line="276" w:lineRule="auto"/>
        <w:contextualSpacing/>
        <w:jc w:val="both"/>
        <w:rPr>
          <w:rFonts w:ascii="Verdana" w:eastAsia="Century Gothic" w:hAnsi="Verdana" w:cs="Century Gothic"/>
          <w:b/>
          <w:bCs/>
          <w:lang w:val="es-ES"/>
        </w:rPr>
      </w:pPr>
      <w:r w:rsidRPr="001B3C5D">
        <w:rPr>
          <w:rFonts w:ascii="Verdana" w:eastAsia="Century Gothic" w:hAnsi="Verdana" w:cs="Century Gothic"/>
          <w:b/>
          <w:bCs/>
          <w:lang w:val="es-ES"/>
        </w:rPr>
        <w:t>2. Respuestas:</w:t>
      </w:r>
    </w:p>
    <w:p w14:paraId="44D49E07" w14:textId="77777777" w:rsidR="00FE5496" w:rsidRPr="001B3C5D" w:rsidRDefault="00FE5496" w:rsidP="00FE5496">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E5496" w:rsidRPr="001B3C5D" w14:paraId="3D1C99E4" w14:textId="77777777" w:rsidTr="004B349E">
        <w:trPr>
          <w:trHeight w:val="40"/>
        </w:trPr>
        <w:tc>
          <w:tcPr>
            <w:tcW w:w="8828" w:type="dxa"/>
            <w:tcBorders>
              <w:top w:val="dotted" w:sz="4" w:space="0" w:color="auto"/>
              <w:left w:val="dotted" w:sz="4" w:space="0" w:color="auto"/>
              <w:bottom w:val="dotted" w:sz="4" w:space="0" w:color="auto"/>
              <w:right w:val="dotted" w:sz="4" w:space="0" w:color="auto"/>
            </w:tcBorders>
          </w:tcPr>
          <w:p w14:paraId="2BBF57A0" w14:textId="77777777" w:rsidR="00FE5496" w:rsidRPr="00EE6840" w:rsidRDefault="00FE5496" w:rsidP="004B349E">
            <w:pPr>
              <w:spacing w:after="120" w:line="276" w:lineRule="auto"/>
              <w:jc w:val="both"/>
              <w:rPr>
                <w:rFonts w:ascii="Verdana" w:eastAsia="Times New Roman" w:hAnsi="Verdana" w:cs="Times New Roman"/>
                <w:i/>
                <w:iCs/>
              </w:rPr>
            </w:pPr>
            <w:r w:rsidRPr="00B37B67">
              <w:rPr>
                <w:rFonts w:ascii="Verdana" w:eastAsia="Aptos" w:hAnsi="Verdana" w:cs="Times New Roman"/>
              </w:rPr>
              <w:t>i. E</w:t>
            </w:r>
            <w:r w:rsidRPr="00B37B67">
              <w:rPr>
                <w:rFonts w:ascii="Verdana" w:eastAsia="Aptos" w:hAnsi="Verdana" w:cs="Times New Roman"/>
                <w:kern w:val="2"/>
                <w14:ligatures w14:val="standardContextual"/>
              </w:rPr>
              <w:t xml:space="preserve">l artículo 2.1.2.4.2.7.4 del Decreto 287 de 2026 contempla </w:t>
            </w:r>
            <w:r w:rsidRPr="00B37B67">
              <w:rPr>
                <w:rFonts w:ascii="Verdana" w:eastAsia="Times New Roman" w:hAnsi="Verdana" w:cs="Times New Roman"/>
              </w:rPr>
              <w:t xml:space="preserve">uno de los incentivos centrales en favor </w:t>
            </w:r>
            <w:r w:rsidRPr="00B37B67">
              <w:rPr>
                <w:rFonts w:ascii="Verdana" w:eastAsia="Aptos" w:hAnsi="Verdana" w:cs="Times New Roman"/>
                <w:kern w:val="2"/>
                <w14:ligatures w14:val="standardContextual"/>
              </w:rPr>
              <w:t>de los empleadores de personas con discapacidad y de los emprendimientos y empresas de personas con discapacidad</w:t>
            </w:r>
            <w:r w:rsidRPr="00B37B67">
              <w:rPr>
                <w:rFonts w:ascii="Verdana" w:eastAsia="Times New Roman" w:hAnsi="Verdana" w:cs="Times New Roman"/>
              </w:rPr>
              <w:t>, referente al puntaje adicional del 2%. Este puntaje puede obtenerse acreditando cualquiera de las dos situaciones que la norma contempla: i) ser emprendimiento o empresa de PcD, conforme a las categorías del artículo 2.2.1.2.4.2.6., o ser ii) empleador de PcD que supere los mínimos de vinculación exigidos por la Ley 2466 de 2025 (Reforma Laboral) conforme a la tabla establecida. Sin embargo, el hecho de que ambas condiciones puedan acreditarse simultáneamente no significa que el puntaje sea acumulable. El mismo artículo es explícito al disponer que:</w:t>
            </w:r>
            <w:r>
              <w:rPr>
                <w:rFonts w:ascii="Verdana" w:eastAsia="Times New Roman" w:hAnsi="Verdana" w:cs="Times New Roman"/>
              </w:rPr>
              <w:t xml:space="preserve"> </w:t>
            </w:r>
            <w:r w:rsidRPr="00EE6840">
              <w:rPr>
                <w:rFonts w:ascii="Verdana" w:eastAsia="Times New Roman" w:hAnsi="Verdana" w:cs="Times New Roman"/>
                <w:i/>
                <w:iCs/>
              </w:rPr>
              <w:t>"El proponente podrá acreditar alguna de las situaciones mencionadas, y en todo caso el puntaje adicional total y único a otorgar por este criterio será del dos por ciento (2%), sin que sean acumulables a efecto de la evaluación de la oferta."</w:t>
            </w:r>
          </w:p>
          <w:p w14:paraId="669160E0" w14:textId="77777777" w:rsidR="00FE5496" w:rsidRDefault="00FE5496" w:rsidP="004B349E">
            <w:pPr>
              <w:spacing w:after="120" w:line="276" w:lineRule="auto"/>
              <w:ind w:firstLine="743"/>
              <w:jc w:val="both"/>
              <w:rPr>
                <w:rFonts w:ascii="Verdana" w:eastAsia="Aptos" w:hAnsi="Verdana" w:cs="Times New Roman"/>
              </w:rPr>
            </w:pPr>
            <w:r w:rsidRPr="00E727F0">
              <w:rPr>
                <w:rFonts w:ascii="Verdana" w:eastAsia="Times New Roman" w:hAnsi="Verdana" w:cs="Times New Roman"/>
              </w:rPr>
              <w:t xml:space="preserve">Esta decisión normativa responde a </w:t>
            </w:r>
            <w:r>
              <w:rPr>
                <w:rFonts w:ascii="Verdana" w:eastAsia="Times New Roman" w:hAnsi="Verdana" w:cs="Times New Roman"/>
              </w:rPr>
              <w:t>que e</w:t>
            </w:r>
            <w:r w:rsidRPr="00E727F0">
              <w:rPr>
                <w:rFonts w:ascii="Verdana" w:eastAsia="Times New Roman" w:hAnsi="Verdana" w:cs="Times New Roman"/>
              </w:rPr>
              <w:t>l 2% incorpora el estímulo suficiente para promover la inclusión de PcD y permitir su acumulación distorsionaría la evaluación de las ofertas en perjuicio de la pluralidad de oferentes y de la selección objetiva, que son principios rectores de la contratación estatal. Es importante distinguir entre la acreditación de condiciones y el puntaje resultante</w:t>
            </w:r>
            <w:r>
              <w:rPr>
                <w:rFonts w:ascii="Verdana" w:eastAsia="Times New Roman" w:hAnsi="Verdana" w:cs="Times New Roman"/>
              </w:rPr>
              <w:t>, ya que</w:t>
            </w:r>
            <w:r w:rsidRPr="00E727F0">
              <w:rPr>
                <w:rFonts w:ascii="Verdana" w:eastAsia="Times New Roman" w:hAnsi="Verdana" w:cs="Times New Roman"/>
              </w:rPr>
              <w:t xml:space="preserve"> el proponente puede acreditar </w:t>
            </w:r>
            <w:r w:rsidRPr="00E727F0">
              <w:rPr>
                <w:rFonts w:ascii="Verdana" w:eastAsia="Times New Roman" w:hAnsi="Verdana" w:cs="Times New Roman"/>
              </w:rPr>
              <w:lastRenderedPageBreak/>
              <w:t>varias condiciones al mismo tiempo, pero el puntaje que recibe siempre será el 2%, sin variación.</w:t>
            </w:r>
          </w:p>
          <w:p w14:paraId="723E63B6" w14:textId="77777777" w:rsidR="00FE5496" w:rsidRDefault="00FE5496" w:rsidP="004B349E">
            <w:pPr>
              <w:spacing w:after="120" w:line="276" w:lineRule="auto"/>
              <w:jc w:val="both"/>
              <w:rPr>
                <w:rFonts w:ascii="Verdana" w:hAnsi="Verdana"/>
              </w:rPr>
            </w:pPr>
            <w:r>
              <w:rPr>
                <w:rFonts w:ascii="Verdana" w:eastAsia="Aptos" w:hAnsi="Verdana" w:cs="Times New Roman"/>
              </w:rPr>
              <w:t>ii. De acuerdo con el numeral 4 d</w:t>
            </w:r>
            <w:r>
              <w:rPr>
                <w:rFonts w:ascii="Verdana" w:eastAsia="Calibri" w:hAnsi="Verdana" w:cs="Arial"/>
                <w:lang w:val="es-ES_tradnl"/>
              </w:rPr>
              <w:t>e</w:t>
            </w:r>
            <w:r w:rsidRPr="001D0D1B">
              <w:rPr>
                <w:rFonts w:ascii="Verdana" w:eastAsia="Calibri" w:hAnsi="Verdana" w:cs="Arial"/>
                <w:lang w:val="es-ES_tradnl"/>
              </w:rPr>
              <w:t xml:space="preserve">l artículo </w:t>
            </w:r>
            <w:r w:rsidRPr="001B3C5D">
              <w:rPr>
                <w:rFonts w:ascii="Verdana" w:eastAsia="Aptos" w:hAnsi="Verdana" w:cs="Times New Roman"/>
                <w:kern w:val="2"/>
                <w14:ligatures w14:val="standardContextual"/>
              </w:rPr>
              <w:t>2.2.1.2.4.2.6</w:t>
            </w:r>
            <w:r w:rsidRPr="00210AEB">
              <w:rPr>
                <w:rFonts w:ascii="Verdana" w:hAnsi="Verdana"/>
              </w:rPr>
              <w:t xml:space="preserve"> una persona jurídica podrá ser considerada como un emprendimiento </w:t>
            </w:r>
            <w:r>
              <w:rPr>
                <w:rFonts w:ascii="Verdana" w:hAnsi="Verdana"/>
              </w:rPr>
              <w:t xml:space="preserve">y empresa </w:t>
            </w:r>
            <w:r w:rsidRPr="001B3C5D">
              <w:rPr>
                <w:rFonts w:ascii="Verdana" w:eastAsia="Aptos" w:hAnsi="Verdana" w:cs="Times New Roman"/>
                <w:kern w:val="2"/>
                <w14:ligatures w14:val="standardContextual"/>
              </w:rPr>
              <w:t>de personas con discapacidad</w:t>
            </w:r>
            <w:r>
              <w:rPr>
                <w:rFonts w:ascii="Verdana" w:eastAsia="Calibri" w:hAnsi="Verdana" w:cs="Arial"/>
                <w:lang w:val="es-ES_tradnl"/>
              </w:rPr>
              <w:t xml:space="preserve"> </w:t>
            </w:r>
            <w:r>
              <w:rPr>
                <w:rFonts w:ascii="Verdana" w:hAnsi="Verdana"/>
              </w:rPr>
              <w:t xml:space="preserve">cuando </w:t>
            </w:r>
            <w:r w:rsidRPr="002E48C0">
              <w:rPr>
                <w:rFonts w:ascii="Verdana" w:hAnsi="Verdana"/>
              </w:rPr>
              <w:t xml:space="preserve">tengan vinculadas laboralmente al menos una persona con discapacidad en </w:t>
            </w:r>
            <w:r w:rsidRPr="00AF1760">
              <w:rPr>
                <w:rFonts w:ascii="Verdana" w:hAnsi="Verdana"/>
                <w:i/>
                <w:iCs/>
              </w:rPr>
              <w:t>empleos del nivel directivo</w:t>
            </w:r>
            <w:r w:rsidRPr="002E48C0">
              <w:rPr>
                <w:rFonts w:ascii="Verdana" w:hAnsi="Verdana"/>
              </w:rPr>
              <w:t xml:space="preserve"> de la empresa durante al menos el último año anterior a la fecha de cierre del Proceso de Selección en el mismo cargo u otro del mismo nivel</w:t>
            </w:r>
            <w:r>
              <w:rPr>
                <w:rFonts w:ascii="Verdana" w:hAnsi="Verdana"/>
              </w:rPr>
              <w:t xml:space="preserve">. </w:t>
            </w:r>
          </w:p>
          <w:p w14:paraId="5E84445C" w14:textId="77777777" w:rsidR="00FE5496" w:rsidRDefault="00FE5496" w:rsidP="004B349E">
            <w:pPr>
              <w:spacing w:after="120" w:line="276" w:lineRule="auto"/>
              <w:ind w:firstLine="743"/>
              <w:jc w:val="both"/>
              <w:rPr>
                <w:rFonts w:ascii="Verdana" w:eastAsia="Aptos" w:hAnsi="Verdana" w:cs="Times New Roman"/>
                <w:kern w:val="2"/>
                <w14:ligatures w14:val="standardContextual"/>
              </w:rPr>
            </w:pPr>
            <w:r>
              <w:rPr>
                <w:rFonts w:ascii="Verdana" w:eastAsia="Arial" w:hAnsi="Verdana" w:cs="Arial"/>
              </w:rPr>
              <w:t>Tales empleos son aquellos relacionados con la dirección de áreas misionales y las decisiones de nivel estratégico</w:t>
            </w:r>
            <w:r>
              <w:rPr>
                <w:rFonts w:ascii="Verdana" w:eastAsia="Arial" w:hAnsi="Verdana" w:cs="Arial"/>
                <w:spacing w:val="1"/>
              </w:rPr>
              <w:t xml:space="preserve"> </w:t>
            </w:r>
            <w:r>
              <w:rPr>
                <w:rFonts w:ascii="Verdana" w:eastAsia="Arial" w:hAnsi="Verdana" w:cs="Arial"/>
              </w:rPr>
              <w:t>de la respectiva empresa</w:t>
            </w:r>
            <w:r>
              <w:rPr>
                <w:rFonts w:ascii="Verdana" w:eastAsia="Aptos" w:hAnsi="Verdana" w:cs="Times New Roman"/>
                <w:kern w:val="2"/>
                <w14:ligatures w14:val="standardContextual"/>
              </w:rPr>
              <w:t xml:space="preserve">. </w:t>
            </w:r>
            <w:r w:rsidRPr="008D0137">
              <w:rPr>
                <w:rFonts w:ascii="Verdana" w:eastAsia="Aptos" w:hAnsi="Verdana" w:cs="Times New Roman"/>
                <w:kern w:val="2"/>
                <w14:ligatures w14:val="standardContextual"/>
              </w:rPr>
              <w:t>De esta manera los cargos directivos deben identificarse de acuerdo con la definición que para el efecto estableció el mismo numeral 4. En ese sentido, independientemente de la denominación del cargo, su naturaleza será directiva bien porque se encuentra en un nivel especial de mando o, porque de acuerdo con su jerarquía, representa al empleador en los términos del artículo 32 del Código Sustantivo del Trabajo.</w:t>
            </w:r>
          </w:p>
          <w:p w14:paraId="133F7862" w14:textId="77777777" w:rsidR="00FE5496" w:rsidRPr="008D0137" w:rsidRDefault="00FE5496" w:rsidP="004B349E">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D0137">
              <w:rPr>
                <w:rFonts w:ascii="Verdana" w:eastAsia="Aptos" w:hAnsi="Verdana" w:cs="Times New Roman"/>
                <w:kern w:val="2"/>
                <w14:ligatures w14:val="standardContextual"/>
              </w:rPr>
              <w:t xml:space="preserve">Para la aplicación de la definición que se comenta, </w:t>
            </w:r>
            <w:r>
              <w:rPr>
                <w:rFonts w:ascii="Verdana" w:eastAsia="Aptos" w:hAnsi="Verdana" w:cs="Times New Roman"/>
                <w:kern w:val="2"/>
                <w14:ligatures w14:val="standardContextual"/>
              </w:rPr>
              <w:t xml:space="preserve">en primer lugar, </w:t>
            </w:r>
            <w:r w:rsidRPr="008D0137">
              <w:rPr>
                <w:rFonts w:ascii="Verdana" w:eastAsia="Aptos" w:hAnsi="Verdana" w:cs="Times New Roman"/>
                <w:kern w:val="2"/>
                <w14:ligatures w14:val="standardContextual"/>
              </w:rPr>
              <w:t xml:space="preserve">debe tenerse en cuenta únicamente a los empleos del nivel directivo, lo que excluye a los demás empleos de planta de personal, como por ejemplo los operativos. </w:t>
            </w:r>
            <w:r>
              <w:rPr>
                <w:rFonts w:ascii="Verdana" w:eastAsia="Arial" w:hAnsi="Verdana" w:cs="Arial"/>
              </w:rPr>
              <w:t>En segundo lugar,</w:t>
            </w:r>
            <w:r>
              <w:rPr>
                <w:rFonts w:ascii="Verdana" w:eastAsia="Arial" w:hAnsi="Verdana" w:cs="Arial"/>
                <w:spacing w:val="1"/>
              </w:rPr>
              <w:t xml:space="preserve"> </w:t>
            </w:r>
            <w:r>
              <w:rPr>
                <w:rFonts w:ascii="Verdana" w:eastAsia="Calibri" w:hAnsi="Verdana" w:cs="Arial"/>
                <w:lang w:val="es-ES_tradnl"/>
              </w:rPr>
              <w:t xml:space="preserve">se excluyen las personas vinculadas mediante </w:t>
            </w:r>
            <w:r>
              <w:rPr>
                <w:rFonts w:ascii="Verdana" w:eastAsia="Calibri" w:hAnsi="Verdana" w:cs="Arial"/>
                <w:color w:val="000000" w:themeColor="text1"/>
                <w:lang w:val="es-ES"/>
              </w:rPr>
              <w:t>figuras jurídicas</w:t>
            </w:r>
            <w:r>
              <w:rPr>
                <w:rFonts w:ascii="Verdana" w:eastAsia="Calibri" w:hAnsi="Verdana" w:cs="Arial"/>
                <w:lang w:val="es-ES_tradnl"/>
              </w:rPr>
              <w:t xml:space="preserve"> diferentes a un contrato de trabajo, como es el caso de los contratos de prestación de servicios. </w:t>
            </w:r>
            <w:r w:rsidRPr="008D0137">
              <w:rPr>
                <w:rFonts w:ascii="Verdana" w:eastAsia="Aptos" w:hAnsi="Verdana" w:cs="Times New Roman"/>
                <w:kern w:val="2"/>
                <w14:ligatures w14:val="standardContextual"/>
              </w:rPr>
              <w:t xml:space="preserve">En </w:t>
            </w:r>
            <w:r>
              <w:rPr>
                <w:rFonts w:ascii="Verdana" w:eastAsia="Aptos" w:hAnsi="Verdana" w:cs="Times New Roman"/>
                <w:kern w:val="2"/>
                <w14:ligatures w14:val="standardContextual"/>
              </w:rPr>
              <w:t>tercer</w:t>
            </w:r>
            <w:r w:rsidRPr="008D0137">
              <w:rPr>
                <w:rFonts w:ascii="Verdana" w:eastAsia="Aptos" w:hAnsi="Verdana" w:cs="Times New Roman"/>
                <w:kern w:val="2"/>
                <w14:ligatures w14:val="standardContextual"/>
              </w:rPr>
              <w:t xml:space="preserve"> lugar, no basta con que </w:t>
            </w:r>
            <w:r w:rsidRPr="009A055B">
              <w:rPr>
                <w:rFonts w:ascii="Verdana" w:eastAsia="Aptos" w:hAnsi="Verdana" w:cs="Times New Roman"/>
                <w:kern w:val="2"/>
                <w14:ligatures w14:val="standardContextual"/>
              </w:rPr>
              <w:t xml:space="preserve">tengan vinculadas laboralmente al menos una persona con discapacidad </w:t>
            </w:r>
            <w:r w:rsidRPr="008D0137">
              <w:rPr>
                <w:rFonts w:ascii="Verdana" w:eastAsia="Aptos" w:hAnsi="Verdana" w:cs="Times New Roman"/>
                <w:kern w:val="2"/>
                <w14:ligatures w14:val="standardContextual"/>
              </w:rPr>
              <w:t>para que sea considerada como empresa o emprendimiento a los que se refiere la norma, sino que además es necesario que dicha vinculación en el mismo cargo</w:t>
            </w:r>
            <w:r>
              <w:rPr>
                <w:rFonts w:ascii="Verdana" w:eastAsia="Aptos" w:hAnsi="Verdana" w:cs="Times New Roman"/>
                <w:kern w:val="2"/>
                <w14:ligatures w14:val="standardContextual"/>
              </w:rPr>
              <w:t xml:space="preserve"> directivo</w:t>
            </w:r>
            <w:r w:rsidRPr="008D0137">
              <w:rPr>
                <w:rFonts w:ascii="Verdana" w:eastAsia="Aptos" w:hAnsi="Verdana" w:cs="Times New Roman"/>
                <w:kern w:val="2"/>
                <w14:ligatures w14:val="standardContextual"/>
              </w:rPr>
              <w:t xml:space="preserve"> u otro del mismo nivel se haya mantenido como mínimo durante el periodo de un año, contado a partir de la fecha de cierre del proceso de selección. De esta manera, el criterio establecido en la norma para definir los emprendimientos y empresas de </w:t>
            </w:r>
            <w:r>
              <w:rPr>
                <w:rFonts w:ascii="Verdana" w:eastAsia="Aptos" w:hAnsi="Verdana" w:cs="Times New Roman"/>
                <w:kern w:val="2"/>
                <w14:ligatures w14:val="standardContextual"/>
              </w:rPr>
              <w:t>p</w:t>
            </w:r>
            <w:r w:rsidRPr="008D0137">
              <w:rPr>
                <w:rFonts w:ascii="Verdana" w:eastAsia="Aptos" w:hAnsi="Verdana" w:cs="Times New Roman"/>
                <w:kern w:val="2"/>
                <w14:ligatures w14:val="standardContextual"/>
              </w:rPr>
              <w:t xml:space="preserve">ersonas con </w:t>
            </w:r>
            <w:r>
              <w:rPr>
                <w:rFonts w:ascii="Verdana" w:eastAsia="Aptos" w:hAnsi="Verdana" w:cs="Times New Roman"/>
                <w:kern w:val="2"/>
                <w14:ligatures w14:val="standardContextual"/>
              </w:rPr>
              <w:t>d</w:t>
            </w:r>
            <w:r w:rsidRPr="008D0137">
              <w:rPr>
                <w:rFonts w:ascii="Verdana" w:eastAsia="Aptos" w:hAnsi="Verdana" w:cs="Times New Roman"/>
                <w:kern w:val="2"/>
                <w14:ligatures w14:val="standardContextual"/>
              </w:rPr>
              <w:t>iscapacidad deja por fuera de dicha categoría a aquellas sociedades que, a pesar de contar con una vinculación labora</w:t>
            </w:r>
            <w:r>
              <w:rPr>
                <w:rFonts w:ascii="Verdana" w:eastAsia="Aptos" w:hAnsi="Verdana" w:cs="Times New Roman"/>
                <w:kern w:val="2"/>
                <w14:ligatures w14:val="standardContextual"/>
              </w:rPr>
              <w:t>l</w:t>
            </w:r>
            <w:r w:rsidRPr="008D0137">
              <w:rPr>
                <w:rFonts w:ascii="Verdana" w:eastAsia="Aptos" w:hAnsi="Verdana" w:cs="Times New Roman"/>
                <w:kern w:val="2"/>
                <w14:ligatures w14:val="standardContextual"/>
              </w:rPr>
              <w:t xml:space="preserve"> de una </w:t>
            </w:r>
            <w:r>
              <w:rPr>
                <w:rFonts w:ascii="Verdana" w:eastAsia="Aptos" w:hAnsi="Verdana" w:cs="Times New Roman"/>
                <w:kern w:val="2"/>
                <w14:ligatures w14:val="standardContextual"/>
              </w:rPr>
              <w:t>p</w:t>
            </w:r>
            <w:r w:rsidRPr="008D0137">
              <w:rPr>
                <w:rFonts w:ascii="Verdana" w:eastAsia="Aptos" w:hAnsi="Verdana" w:cs="Times New Roman"/>
                <w:kern w:val="2"/>
                <w14:ligatures w14:val="standardContextual"/>
              </w:rPr>
              <w:t xml:space="preserve">ersona con </w:t>
            </w:r>
            <w:r>
              <w:rPr>
                <w:rFonts w:ascii="Verdana" w:eastAsia="Aptos" w:hAnsi="Verdana" w:cs="Times New Roman"/>
                <w:kern w:val="2"/>
                <w14:ligatures w14:val="standardContextual"/>
              </w:rPr>
              <w:t>d</w:t>
            </w:r>
            <w:r w:rsidRPr="008D0137">
              <w:rPr>
                <w:rFonts w:ascii="Verdana" w:eastAsia="Aptos" w:hAnsi="Verdana" w:cs="Times New Roman"/>
                <w:kern w:val="2"/>
                <w14:ligatures w14:val="standardContextual"/>
              </w:rPr>
              <w:t>iscapacidad en el nivel directivo, no cuenten con el requerimiento del tiempo mínimo de un año.</w:t>
            </w:r>
          </w:p>
          <w:p w14:paraId="04F9FDDB" w14:textId="77777777" w:rsidR="00FE5496" w:rsidRDefault="00FE5496" w:rsidP="004B349E">
            <w:pPr>
              <w:spacing w:after="120" w:line="276" w:lineRule="auto"/>
              <w:ind w:left="119" w:right="79" w:firstLine="709"/>
              <w:jc w:val="both"/>
              <w:rPr>
                <w:rFonts w:ascii="Verdana" w:eastAsia="Arial" w:hAnsi="Verdana" w:cs="Arial"/>
              </w:rPr>
            </w:pPr>
            <w:r>
              <w:rPr>
                <w:rFonts w:ascii="Verdana" w:eastAsia="Arial" w:hAnsi="Verdana" w:cs="Arial"/>
              </w:rPr>
              <w:t>Con todo, debe advertirse que corresponde a las entidades estatales</w:t>
            </w:r>
            <w:r>
              <w:rPr>
                <w:rFonts w:ascii="Verdana" w:eastAsia="Arial" w:hAnsi="Verdana" w:cs="Arial"/>
                <w:spacing w:val="1"/>
              </w:rPr>
              <w:t xml:space="preserve"> </w:t>
            </w:r>
            <w:r>
              <w:rPr>
                <w:rFonts w:ascii="Verdana" w:eastAsia="Arial" w:hAnsi="Verdana" w:cs="Arial"/>
              </w:rPr>
              <w:t>contratantes determinar</w:t>
            </w:r>
            <w:r>
              <w:rPr>
                <w:rFonts w:ascii="Verdana" w:eastAsia="Arial" w:hAnsi="Verdana" w:cs="Arial"/>
                <w:spacing w:val="1"/>
              </w:rPr>
              <w:t xml:space="preserve"> </w:t>
            </w:r>
            <w:r>
              <w:rPr>
                <w:rFonts w:ascii="Verdana" w:eastAsia="Arial" w:hAnsi="Verdana" w:cs="Arial"/>
              </w:rPr>
              <w:t>en cada caso concreto</w:t>
            </w:r>
            <w:r>
              <w:rPr>
                <w:rFonts w:ascii="Verdana" w:eastAsia="Arial" w:hAnsi="Verdana" w:cs="Arial"/>
                <w:spacing w:val="1"/>
              </w:rPr>
              <w:t xml:space="preserve"> </w:t>
            </w:r>
            <w:r>
              <w:rPr>
                <w:rFonts w:ascii="Verdana" w:eastAsia="Arial" w:hAnsi="Verdana" w:cs="Arial"/>
              </w:rPr>
              <w:t>si en efecto</w:t>
            </w:r>
            <w:r>
              <w:rPr>
                <w:rFonts w:ascii="Verdana" w:eastAsia="Arial" w:hAnsi="Verdana" w:cs="Arial"/>
                <w:spacing w:val="1"/>
              </w:rPr>
              <w:t xml:space="preserve"> </w:t>
            </w:r>
            <w:r>
              <w:rPr>
                <w:rFonts w:ascii="Verdana" w:eastAsia="Arial" w:hAnsi="Verdana" w:cs="Arial"/>
              </w:rPr>
              <w:t>se cumplen las condiciones</w:t>
            </w:r>
            <w:r>
              <w:rPr>
                <w:rFonts w:ascii="Verdana" w:eastAsia="Arial" w:hAnsi="Verdana" w:cs="Arial"/>
                <w:spacing w:val="1"/>
              </w:rPr>
              <w:t xml:space="preserve"> </w:t>
            </w:r>
            <w:r>
              <w:rPr>
                <w:rFonts w:ascii="Verdana" w:eastAsia="Arial" w:hAnsi="Verdana" w:cs="Arial"/>
              </w:rPr>
              <w:t>antes</w:t>
            </w:r>
            <w:r>
              <w:rPr>
                <w:rFonts w:ascii="Verdana" w:eastAsia="Arial" w:hAnsi="Verdana" w:cs="Arial"/>
                <w:spacing w:val="1"/>
              </w:rPr>
              <w:t xml:space="preserve"> </w:t>
            </w:r>
            <w:r>
              <w:rPr>
                <w:rFonts w:ascii="Verdana" w:eastAsia="Arial" w:hAnsi="Verdana" w:cs="Arial"/>
              </w:rPr>
              <w:t>explicadas, verificando</w:t>
            </w:r>
            <w:r>
              <w:rPr>
                <w:rFonts w:ascii="Verdana" w:eastAsia="Arial" w:hAnsi="Verdana" w:cs="Arial"/>
                <w:spacing w:val="-10"/>
              </w:rPr>
              <w:t xml:space="preserve"> </w:t>
            </w:r>
            <w:r>
              <w:rPr>
                <w:rFonts w:ascii="Verdana" w:eastAsia="Arial" w:hAnsi="Verdana" w:cs="Arial"/>
              </w:rPr>
              <w:t>además</w:t>
            </w:r>
            <w:r>
              <w:rPr>
                <w:rFonts w:ascii="Verdana" w:eastAsia="Arial" w:hAnsi="Verdana" w:cs="Arial"/>
                <w:spacing w:val="-10"/>
              </w:rPr>
              <w:t xml:space="preserve"> </w:t>
            </w:r>
            <w:r>
              <w:rPr>
                <w:rFonts w:ascii="Verdana" w:eastAsia="Arial" w:hAnsi="Verdana" w:cs="Arial"/>
              </w:rPr>
              <w:t>que</w:t>
            </w:r>
            <w:r>
              <w:rPr>
                <w:rFonts w:ascii="Verdana" w:eastAsia="Arial" w:hAnsi="Verdana" w:cs="Arial"/>
                <w:spacing w:val="-10"/>
              </w:rPr>
              <w:t xml:space="preserve"> </w:t>
            </w:r>
            <w:r>
              <w:rPr>
                <w:rFonts w:ascii="Verdana" w:eastAsia="Arial" w:hAnsi="Verdana" w:cs="Arial"/>
              </w:rPr>
              <w:t>dicha</w:t>
            </w:r>
            <w:r>
              <w:rPr>
                <w:rFonts w:ascii="Verdana" w:eastAsia="Arial" w:hAnsi="Verdana" w:cs="Arial"/>
                <w:spacing w:val="-10"/>
              </w:rPr>
              <w:t xml:space="preserve"> </w:t>
            </w:r>
            <w:r>
              <w:rPr>
                <w:rFonts w:ascii="Verdana" w:eastAsia="Arial" w:hAnsi="Verdana" w:cs="Arial"/>
              </w:rPr>
              <w:t>acreditación</w:t>
            </w:r>
            <w:r>
              <w:rPr>
                <w:rFonts w:ascii="Verdana" w:eastAsia="Arial" w:hAnsi="Verdana" w:cs="Arial"/>
                <w:spacing w:val="-10"/>
              </w:rPr>
              <w:t xml:space="preserve"> </w:t>
            </w:r>
            <w:r>
              <w:rPr>
                <w:rFonts w:ascii="Verdana" w:eastAsia="Arial" w:hAnsi="Verdana" w:cs="Arial"/>
              </w:rPr>
              <w:t>se</w:t>
            </w:r>
            <w:r>
              <w:rPr>
                <w:rFonts w:ascii="Verdana" w:eastAsia="Arial" w:hAnsi="Verdana" w:cs="Arial"/>
                <w:spacing w:val="-10"/>
              </w:rPr>
              <w:t xml:space="preserve"> </w:t>
            </w:r>
            <w:r>
              <w:rPr>
                <w:rFonts w:ascii="Verdana" w:eastAsia="Arial" w:hAnsi="Verdana" w:cs="Arial"/>
              </w:rPr>
              <w:lastRenderedPageBreak/>
              <w:t>haga</w:t>
            </w:r>
            <w:r>
              <w:rPr>
                <w:rFonts w:ascii="Verdana" w:eastAsia="Arial" w:hAnsi="Verdana" w:cs="Arial"/>
                <w:spacing w:val="-10"/>
              </w:rPr>
              <w:t xml:space="preserve"> </w:t>
            </w:r>
            <w:r>
              <w:rPr>
                <w:rFonts w:ascii="Verdana" w:eastAsia="Arial" w:hAnsi="Verdana" w:cs="Arial"/>
              </w:rPr>
              <w:t>con</w:t>
            </w:r>
            <w:r>
              <w:rPr>
                <w:rFonts w:ascii="Verdana" w:eastAsia="Arial" w:hAnsi="Verdana" w:cs="Arial"/>
                <w:spacing w:val="-10"/>
              </w:rPr>
              <w:t xml:space="preserve"> </w:t>
            </w:r>
            <w:r>
              <w:rPr>
                <w:rFonts w:ascii="Verdana" w:eastAsia="Arial" w:hAnsi="Verdana" w:cs="Arial"/>
              </w:rPr>
              <w:t>sujeción</w:t>
            </w:r>
            <w:r>
              <w:rPr>
                <w:rFonts w:ascii="Verdana" w:eastAsia="Arial" w:hAnsi="Verdana" w:cs="Arial"/>
                <w:spacing w:val="-10"/>
              </w:rPr>
              <w:t xml:space="preserve"> </w:t>
            </w:r>
            <w:r>
              <w:rPr>
                <w:rFonts w:ascii="Verdana" w:eastAsia="Arial" w:hAnsi="Verdana" w:cs="Arial"/>
              </w:rPr>
              <w:t>al</w:t>
            </w:r>
            <w:r>
              <w:rPr>
                <w:rFonts w:ascii="Verdana" w:eastAsia="Arial" w:hAnsi="Verdana" w:cs="Arial"/>
                <w:spacing w:val="-10"/>
              </w:rPr>
              <w:t xml:space="preserve"> </w:t>
            </w:r>
            <w:r>
              <w:rPr>
                <w:rFonts w:ascii="Verdana" w:eastAsia="Arial" w:hAnsi="Verdana" w:cs="Arial"/>
              </w:rPr>
              <w:t>marco</w:t>
            </w:r>
            <w:r>
              <w:rPr>
                <w:rFonts w:ascii="Verdana" w:eastAsia="Arial" w:hAnsi="Verdana" w:cs="Arial"/>
                <w:spacing w:val="-10"/>
              </w:rPr>
              <w:t xml:space="preserve"> </w:t>
            </w:r>
            <w:r>
              <w:rPr>
                <w:rFonts w:ascii="Verdana" w:eastAsia="Arial" w:hAnsi="Verdana" w:cs="Arial"/>
              </w:rPr>
              <w:t>jurídico</w:t>
            </w:r>
            <w:r>
              <w:rPr>
                <w:rFonts w:ascii="Verdana" w:eastAsia="Arial" w:hAnsi="Verdana" w:cs="Arial"/>
                <w:spacing w:val="-10"/>
              </w:rPr>
              <w:t xml:space="preserve"> </w:t>
            </w:r>
            <w:r>
              <w:rPr>
                <w:rFonts w:ascii="Verdana" w:eastAsia="Arial" w:hAnsi="Verdana" w:cs="Arial"/>
              </w:rPr>
              <w:t>aplicable.</w:t>
            </w:r>
            <w:r>
              <w:rPr>
                <w:rFonts w:ascii="Verdana" w:eastAsia="Arial" w:hAnsi="Verdana" w:cs="Arial"/>
                <w:spacing w:val="41"/>
              </w:rPr>
              <w:t xml:space="preserve"> </w:t>
            </w:r>
            <w:r>
              <w:rPr>
                <w:rFonts w:ascii="Verdana" w:eastAsia="Arial" w:hAnsi="Verdana" w:cs="Arial"/>
              </w:rPr>
              <w:t>Para estos efectos deberá realizarse el análisis de cada uno de los empleos certificados para verificar si cada</w:t>
            </w:r>
            <w:r>
              <w:rPr>
                <w:rFonts w:ascii="Verdana" w:eastAsia="Arial" w:hAnsi="Verdana" w:cs="Arial"/>
                <w:spacing w:val="1"/>
              </w:rPr>
              <w:t xml:space="preserve"> </w:t>
            </w:r>
            <w:r>
              <w:rPr>
                <w:rFonts w:ascii="Verdana" w:eastAsia="Arial" w:hAnsi="Verdana" w:cs="Arial"/>
              </w:rPr>
              <w:t>uno</w:t>
            </w:r>
            <w:r>
              <w:rPr>
                <w:rFonts w:ascii="Verdana" w:eastAsia="Arial" w:hAnsi="Verdana" w:cs="Arial"/>
                <w:spacing w:val="1"/>
              </w:rPr>
              <w:t xml:space="preserve"> </w:t>
            </w:r>
            <w:r>
              <w:rPr>
                <w:rFonts w:ascii="Verdana" w:eastAsia="Arial" w:hAnsi="Verdana" w:cs="Arial"/>
              </w:rPr>
              <w:t>de ellos</w:t>
            </w:r>
            <w:r>
              <w:rPr>
                <w:rFonts w:ascii="Verdana" w:eastAsia="Arial" w:hAnsi="Verdana" w:cs="Arial"/>
                <w:spacing w:val="1"/>
              </w:rPr>
              <w:t xml:space="preserve"> </w:t>
            </w:r>
            <w:r>
              <w:rPr>
                <w:rFonts w:ascii="Verdana" w:eastAsia="Arial" w:hAnsi="Verdana" w:cs="Arial"/>
              </w:rPr>
              <w:t>puede</w:t>
            </w:r>
            <w:r>
              <w:rPr>
                <w:rFonts w:ascii="Verdana" w:eastAsia="Arial" w:hAnsi="Verdana" w:cs="Arial"/>
                <w:spacing w:val="1"/>
              </w:rPr>
              <w:t xml:space="preserve"> </w:t>
            </w:r>
            <w:r>
              <w:rPr>
                <w:rFonts w:ascii="Verdana" w:eastAsia="Arial" w:hAnsi="Verdana" w:cs="Arial"/>
              </w:rPr>
              <w:t>ser considerado</w:t>
            </w:r>
            <w:r>
              <w:rPr>
                <w:rFonts w:ascii="Verdana" w:eastAsia="Arial" w:hAnsi="Verdana" w:cs="Arial"/>
                <w:spacing w:val="1"/>
              </w:rPr>
              <w:t xml:space="preserve"> </w:t>
            </w:r>
            <w:r>
              <w:rPr>
                <w:rFonts w:ascii="Verdana" w:eastAsia="Arial" w:hAnsi="Verdana" w:cs="Arial"/>
              </w:rPr>
              <w:t>del</w:t>
            </w:r>
            <w:r>
              <w:rPr>
                <w:rFonts w:ascii="Verdana" w:eastAsia="Arial" w:hAnsi="Verdana" w:cs="Arial"/>
                <w:spacing w:val="1"/>
              </w:rPr>
              <w:t xml:space="preserve"> </w:t>
            </w:r>
            <w:r>
              <w:rPr>
                <w:rFonts w:ascii="Verdana" w:eastAsia="Arial" w:hAnsi="Verdana" w:cs="Arial"/>
              </w:rPr>
              <w:t>nivel</w:t>
            </w:r>
            <w:r>
              <w:rPr>
                <w:rFonts w:ascii="Verdana" w:eastAsia="Arial" w:hAnsi="Verdana" w:cs="Arial"/>
                <w:spacing w:val="1"/>
              </w:rPr>
              <w:t xml:space="preserve"> </w:t>
            </w:r>
            <w:r>
              <w:rPr>
                <w:rFonts w:ascii="Verdana" w:eastAsia="Arial" w:hAnsi="Verdana" w:cs="Arial"/>
              </w:rPr>
              <w:t>directivo</w:t>
            </w:r>
            <w:r>
              <w:rPr>
                <w:rFonts w:ascii="Verdana" w:eastAsia="Arial" w:hAnsi="Verdana" w:cs="Arial"/>
                <w:spacing w:val="1"/>
              </w:rPr>
              <w:t xml:space="preserve"> </w:t>
            </w:r>
            <w:r>
              <w:rPr>
                <w:rFonts w:ascii="Verdana" w:eastAsia="Arial" w:hAnsi="Verdana" w:cs="Arial"/>
              </w:rPr>
              <w:t>en virtud</w:t>
            </w:r>
            <w:r>
              <w:rPr>
                <w:rFonts w:ascii="Verdana" w:eastAsia="Arial" w:hAnsi="Verdana" w:cs="Arial"/>
                <w:spacing w:val="1"/>
              </w:rPr>
              <w:t xml:space="preserve"> </w:t>
            </w:r>
            <w:r>
              <w:rPr>
                <w:rFonts w:ascii="Verdana" w:eastAsia="Arial" w:hAnsi="Verdana" w:cs="Arial"/>
              </w:rPr>
              <w:t>de las funciones</w:t>
            </w:r>
            <w:r>
              <w:rPr>
                <w:rFonts w:ascii="Verdana" w:eastAsia="Arial" w:hAnsi="Verdana" w:cs="Arial"/>
                <w:spacing w:val="1"/>
              </w:rPr>
              <w:t xml:space="preserve"> </w:t>
            </w:r>
            <w:r>
              <w:rPr>
                <w:rFonts w:ascii="Verdana" w:eastAsia="Arial" w:hAnsi="Verdana" w:cs="Arial"/>
              </w:rPr>
              <w:t>que</w:t>
            </w:r>
            <w:r>
              <w:rPr>
                <w:rFonts w:ascii="Verdana" w:eastAsia="Arial" w:hAnsi="Verdana" w:cs="Arial"/>
                <w:spacing w:val="1"/>
              </w:rPr>
              <w:t xml:space="preserve"> </w:t>
            </w:r>
            <w:r>
              <w:rPr>
                <w:rFonts w:ascii="Verdana" w:eastAsia="Arial" w:hAnsi="Verdana" w:cs="Arial"/>
              </w:rPr>
              <w:t>tenga asignadas.</w:t>
            </w:r>
          </w:p>
          <w:p w14:paraId="058C5B28" w14:textId="77777777" w:rsidR="00FE5496" w:rsidRPr="003F2A16" w:rsidRDefault="00FE5496" w:rsidP="004B349E">
            <w:pPr>
              <w:widowControl w:val="0"/>
              <w:autoSpaceDE w:val="0"/>
              <w:autoSpaceDN w:val="0"/>
              <w:spacing w:after="120" w:line="276" w:lineRule="auto"/>
              <w:jc w:val="both"/>
              <w:rPr>
                <w:rFonts w:ascii="Verdana" w:eastAsia="Aptos" w:hAnsi="Verdana" w:cs="Times New Roman"/>
                <w:kern w:val="2"/>
                <w14:ligatures w14:val="standardContextual"/>
              </w:rPr>
            </w:pPr>
            <w:r>
              <w:rPr>
                <w:rFonts w:ascii="Verdana" w:eastAsia="Arial" w:hAnsi="Verdana" w:cs="Arial"/>
              </w:rPr>
              <w:t>iii.</w:t>
            </w:r>
            <w:r w:rsidRPr="003F2A16">
              <w:rPr>
                <w:rFonts w:ascii="Verdana" w:eastAsia="Aptos" w:hAnsi="Verdana" w:cs="Times New Roman"/>
                <w:kern w:val="2"/>
                <w14:ligatures w14:val="standardContextual"/>
              </w:rPr>
              <w:t xml:space="preserve"> Respecto de</w:t>
            </w:r>
            <w:r>
              <w:rPr>
                <w:rFonts w:ascii="Verdana" w:eastAsia="Aptos" w:hAnsi="Verdana" w:cs="Times New Roman"/>
                <w:kern w:val="2"/>
                <w14:ligatures w14:val="standardContextual"/>
              </w:rPr>
              <w:t xml:space="preserve">l certificado de </w:t>
            </w:r>
            <w:r w:rsidRPr="003F2A16">
              <w:rPr>
                <w:rFonts w:ascii="Verdana" w:eastAsia="Aptos" w:hAnsi="Verdana" w:cs="Times New Roman"/>
                <w:kern w:val="2"/>
                <w14:ligatures w14:val="standardContextual"/>
              </w:rPr>
              <w:t>discapacidad</w:t>
            </w:r>
            <w:r>
              <w:rPr>
                <w:rFonts w:ascii="Verdana" w:eastAsia="Aptos" w:hAnsi="Verdana" w:cs="Times New Roman"/>
                <w:kern w:val="2"/>
                <w14:ligatures w14:val="standardContextual"/>
              </w:rPr>
              <w:t xml:space="preserve"> </w:t>
            </w:r>
            <w:r w:rsidRPr="003F2A16">
              <w:rPr>
                <w:rFonts w:ascii="Verdana" w:eastAsia="Aptos" w:hAnsi="Verdana" w:cs="Times New Roman"/>
                <w:kern w:val="2"/>
                <w14:ligatures w14:val="standardContextual"/>
              </w:rPr>
              <w:t xml:space="preserve">expedido en los términos </w:t>
            </w:r>
            <w:r>
              <w:rPr>
                <w:rFonts w:ascii="Verdana" w:eastAsia="Aptos" w:hAnsi="Verdana" w:cs="Times New Roman"/>
                <w:kern w:val="2"/>
                <w14:ligatures w14:val="standardContextual"/>
              </w:rPr>
              <w:t xml:space="preserve">establecidos por la normativa del </w:t>
            </w:r>
            <w:r w:rsidRPr="003F2A16">
              <w:rPr>
                <w:rFonts w:ascii="Verdana" w:eastAsia="Aptos" w:hAnsi="Verdana" w:cs="Times New Roman"/>
                <w:kern w:val="2"/>
                <w14:ligatures w14:val="standardContextual"/>
              </w:rPr>
              <w:t>Ministerio de Salud y Protección Social</w:t>
            </w:r>
            <w:r>
              <w:rPr>
                <w:rFonts w:ascii="Verdana" w:eastAsia="Aptos" w:hAnsi="Verdana" w:cs="Times New Roman"/>
                <w:kern w:val="2"/>
                <w14:ligatures w14:val="standardContextual"/>
              </w:rPr>
              <w:t xml:space="preserve"> requerido para acceder a las medidas afirmativas señaladas en el Decreto 287 de 2026</w:t>
            </w:r>
            <w:r w:rsidRPr="003F2A16">
              <w:rPr>
                <w:rFonts w:ascii="Verdana" w:eastAsia="Aptos" w:hAnsi="Verdana" w:cs="Times New Roman"/>
                <w:kern w:val="2"/>
                <w14:ligatures w14:val="standardContextual"/>
              </w:rPr>
              <w:t xml:space="preserve">, se advierte que la disposición normativa no exige la acreditación de un porcentaje mínimo de pérdida de capacidad laboral o funcional. </w:t>
            </w:r>
            <w:r>
              <w:rPr>
                <w:rFonts w:ascii="Verdana" w:eastAsia="Aptos" w:hAnsi="Verdana" w:cs="Times New Roman"/>
                <w:kern w:val="2"/>
                <w14:ligatures w14:val="standardContextual"/>
              </w:rPr>
              <w:t xml:space="preserve">Esta disposición </w:t>
            </w:r>
            <w:r w:rsidRPr="003F2A16">
              <w:rPr>
                <w:rFonts w:ascii="Verdana" w:eastAsia="Aptos" w:hAnsi="Verdana" w:cs="Times New Roman"/>
                <w:kern w:val="2"/>
                <w14:ligatures w14:val="standardContextual"/>
              </w:rPr>
              <w:t>se limita a señalar que deberá aportarse el certificado de discapacidad expedido conforme a la normativa vigente del Ministerio de Salud y Protección Social.</w:t>
            </w:r>
          </w:p>
          <w:p w14:paraId="7491C187" w14:textId="77777777" w:rsidR="00FE5496" w:rsidRDefault="00FE5496" w:rsidP="004B349E">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F2A16">
              <w:rPr>
                <w:rFonts w:ascii="Verdana" w:eastAsia="Aptos" w:hAnsi="Verdana" w:cs="Times New Roman"/>
                <w:kern w:val="2"/>
                <w14:ligatures w14:val="standardContextual"/>
              </w:rPr>
              <w:t xml:space="preserve">En ese sentido, una interpretación literal y sistemática de la norma permite concluir que no </w:t>
            </w:r>
            <w:r>
              <w:rPr>
                <w:rFonts w:ascii="Verdana" w:eastAsia="Aptos" w:hAnsi="Verdana" w:cs="Times New Roman"/>
                <w:kern w:val="2"/>
                <w14:ligatures w14:val="standardContextual"/>
              </w:rPr>
              <w:t xml:space="preserve">se </w:t>
            </w:r>
            <w:r w:rsidRPr="003F2A16">
              <w:rPr>
                <w:rFonts w:ascii="Verdana" w:eastAsia="Aptos" w:hAnsi="Verdana" w:cs="Times New Roman"/>
                <w:kern w:val="2"/>
                <w14:ligatures w14:val="standardContextual"/>
              </w:rPr>
              <w:t>condicionó el acceso a las medidas afirmativas previstas en el Decreto 287 de 2026 a la verificación de un umbral específico de discapacidad, sino únicamente a la existencia de una certificación válida emitida por la autoridad competente.</w:t>
            </w:r>
            <w:r>
              <w:rPr>
                <w:rFonts w:ascii="Verdana" w:eastAsia="Aptos" w:hAnsi="Verdana" w:cs="Times New Roman"/>
                <w:kern w:val="2"/>
                <w14:ligatures w14:val="standardContextual"/>
              </w:rPr>
              <w:t xml:space="preserve"> </w:t>
            </w:r>
            <w:r w:rsidRPr="00CE5DB0">
              <w:rPr>
                <w:rFonts w:ascii="Verdana" w:eastAsia="Aptos" w:hAnsi="Verdana" w:cs="Times New Roman"/>
                <w:kern w:val="2"/>
                <w14:ligatures w14:val="standardContextual"/>
              </w:rPr>
              <w:t>Esto se refuerza a lo largo del Decreto, en la medida en que ninguna de las disposiciones que regulan la exigencia del certificado de discapacidad hace referencia a la acreditación de un porcentaje específico</w:t>
            </w:r>
            <w:r>
              <w:rPr>
                <w:rFonts w:ascii="Verdana" w:eastAsia="Aptos" w:hAnsi="Verdana" w:cs="Times New Roman"/>
                <w:kern w:val="2"/>
                <w14:ligatures w14:val="standardContextual"/>
              </w:rPr>
              <w:t xml:space="preserve">. </w:t>
            </w:r>
            <w:r w:rsidRPr="003F2A16">
              <w:rPr>
                <w:rFonts w:ascii="Verdana" w:eastAsia="Aptos" w:hAnsi="Verdana" w:cs="Times New Roman"/>
                <w:kern w:val="2"/>
                <w14:ligatures w14:val="standardContextual"/>
              </w:rPr>
              <w:t xml:space="preserve">Así, para efectos de la acreditación del requisito, resulta suficiente que el proponente allegue el certificado de discapacidad expedido en los términos </w:t>
            </w:r>
            <w:r>
              <w:rPr>
                <w:rFonts w:ascii="Verdana" w:eastAsia="Aptos" w:hAnsi="Verdana" w:cs="Times New Roman"/>
                <w:kern w:val="2"/>
                <w14:ligatures w14:val="standardContextual"/>
              </w:rPr>
              <w:t xml:space="preserve">establecidos por la normativa del </w:t>
            </w:r>
            <w:r w:rsidRPr="003F2A16">
              <w:rPr>
                <w:rFonts w:ascii="Verdana" w:eastAsia="Aptos" w:hAnsi="Verdana" w:cs="Times New Roman"/>
                <w:kern w:val="2"/>
                <w14:ligatures w14:val="standardContextual"/>
              </w:rPr>
              <w:t>Ministerio de Salud y Protección Social, sin que sea procedente exigir porcentajes mínimos</w:t>
            </w:r>
            <w:r>
              <w:rPr>
                <w:rFonts w:ascii="Verdana" w:eastAsia="Aptos" w:hAnsi="Verdana" w:cs="Times New Roman"/>
                <w:kern w:val="2"/>
                <w14:ligatures w14:val="standardContextual"/>
              </w:rPr>
              <w:t xml:space="preserve"> de discapacidad</w:t>
            </w:r>
            <w:r w:rsidRPr="003F2A16">
              <w:rPr>
                <w:rFonts w:ascii="Verdana" w:eastAsia="Aptos" w:hAnsi="Verdana" w:cs="Times New Roman"/>
                <w:kern w:val="2"/>
                <w14:ligatures w14:val="standardContextual"/>
              </w:rPr>
              <w:t xml:space="preserve"> no previstos expresamente en la norma</w:t>
            </w:r>
            <w:r>
              <w:rPr>
                <w:rFonts w:ascii="Verdana" w:eastAsia="Aptos" w:hAnsi="Verdana" w:cs="Times New Roman"/>
                <w:kern w:val="2"/>
                <w14:ligatures w14:val="standardContextual"/>
              </w:rPr>
              <w:t xml:space="preserve">. </w:t>
            </w:r>
          </w:p>
          <w:p w14:paraId="16BA5A7F" w14:textId="77777777" w:rsidR="00FE5496" w:rsidRDefault="00FE5496" w:rsidP="004B349E">
            <w:pPr>
              <w:widowControl w:val="0"/>
              <w:autoSpaceDE w:val="0"/>
              <w:autoSpaceDN w:val="0"/>
              <w:spacing w:after="120" w:line="276" w:lineRule="auto"/>
              <w:jc w:val="both"/>
              <w:rPr>
                <w:rFonts w:ascii="Verdana" w:eastAsia="Aptos" w:hAnsi="Verdana" w:cs="Times New Roman"/>
                <w:kern w:val="2"/>
                <w14:ligatures w14:val="standardContextual"/>
              </w:rPr>
            </w:pPr>
            <w:r>
              <w:rPr>
                <w:rFonts w:ascii="Verdana" w:eastAsia="Aptos" w:hAnsi="Verdana" w:cs="Times New Roman"/>
                <w:kern w:val="2"/>
                <w14:ligatures w14:val="standardContextual"/>
              </w:rPr>
              <w:t>iv. E</w:t>
            </w:r>
            <w:r w:rsidRPr="00782E4A">
              <w:rPr>
                <w:rFonts w:ascii="Verdana" w:eastAsia="Arial" w:hAnsi="Verdana" w:cs="Arial"/>
              </w:rPr>
              <w:t xml:space="preserve">l </w:t>
            </w:r>
            <w:r w:rsidRPr="00D35021">
              <w:rPr>
                <w:rFonts w:ascii="Verdana" w:eastAsia="Aptos" w:hAnsi="Verdana" w:cs="Times New Roman"/>
                <w:kern w:val="2"/>
                <w14:ligatures w14:val="standardContextual"/>
              </w:rPr>
              <w:t xml:space="preserve">parágrafo 2 del artículo </w:t>
            </w:r>
            <w:r w:rsidRPr="001B3C5D">
              <w:rPr>
                <w:rFonts w:ascii="Verdana" w:eastAsia="Aptos" w:hAnsi="Verdana" w:cs="Times New Roman"/>
                <w:kern w:val="2"/>
                <w14:ligatures w14:val="standardContextual"/>
              </w:rPr>
              <w:t xml:space="preserve">2.1.2.4.2.7.4 </w:t>
            </w:r>
            <w:r>
              <w:rPr>
                <w:rFonts w:ascii="Verdana" w:eastAsia="Aptos" w:hAnsi="Verdana" w:cs="Times New Roman"/>
                <w:kern w:val="2"/>
                <w14:ligatures w14:val="standardContextual"/>
              </w:rPr>
              <w:t>del Decreto 287 de 2026 señala que “</w:t>
            </w:r>
            <w:r w:rsidRPr="00D35021">
              <w:rPr>
                <w:rFonts w:ascii="Verdana" w:eastAsia="Aptos" w:hAnsi="Verdana" w:cs="Times New Roman"/>
                <w:kern w:val="2"/>
                <w14:ligatures w14:val="standardContextual"/>
              </w:rPr>
              <w:t>el puntaje adicional previsto en este artículo no excluye la aplicación de incentivos contractuales ni de criterios diferenciales en favor de las MiPymes y los emprendimientos y empresas de mujeres”. Esto significa que el puntaje aquí previsto es acumulable con el puntaje que favorezca a los proponentes que acrediten la calidad de emprendimiento y empresas de mujeres y los que ostentan la condición de Mipyme, de conformidad con lo dispuesto en el Decreto 1860 de 2021.</w:t>
            </w:r>
          </w:p>
          <w:p w14:paraId="062E76C2" w14:textId="77777777" w:rsidR="00FE5496" w:rsidRPr="00D35021" w:rsidRDefault="00FE5496" w:rsidP="004B349E">
            <w:pPr>
              <w:widowControl w:val="0"/>
              <w:autoSpaceDE w:val="0"/>
              <w:autoSpaceDN w:val="0"/>
              <w:spacing w:after="120" w:line="276" w:lineRule="auto"/>
              <w:ind w:firstLine="743"/>
              <w:jc w:val="both"/>
              <w:rPr>
                <w:rFonts w:ascii="Verdana" w:eastAsia="Aptos" w:hAnsi="Verdana" w:cs="Times New Roman"/>
                <w:kern w:val="2"/>
                <w14:ligatures w14:val="standardContextual"/>
              </w:rPr>
            </w:pPr>
            <w:r w:rsidRPr="00D35021">
              <w:rPr>
                <w:rFonts w:ascii="Verdana" w:eastAsia="Aptos" w:hAnsi="Verdana" w:cs="Times New Roman"/>
                <w:kern w:val="2"/>
                <w14:ligatures w14:val="standardContextual"/>
              </w:rPr>
              <w:t xml:space="preserve">En este sentido, el alcance práctico de lo dispuesto en el parágrafo 2 del artículo 2.2.1.2.4.2.7.4 del Decreto 287 de 2026 consiste en que, en los procedimientos de licitación pública y concurso de méritos, la entidad estatal </w:t>
            </w:r>
            <w:r w:rsidRPr="00D35021">
              <w:rPr>
                <w:rFonts w:ascii="Verdana" w:eastAsia="Aptos" w:hAnsi="Verdana" w:cs="Times New Roman"/>
                <w:kern w:val="2"/>
                <w14:ligatures w14:val="standardContextual"/>
              </w:rPr>
              <w:lastRenderedPageBreak/>
              <w:t xml:space="preserve">deberá otorgar: (i) un puntaje de hasta el 0,25% a los proponentes que acrediten la condición de MiPyme; (ii) un puntaje de hasta el 0,25% a quienes acrediten la calidad de emprendimientos y empresas de mujeres; y (iii) un puntaje adicional de hasta el 2% del total de los puntos previstos en los pliegos de condiciones o documentos equivalentes, a los oferentes que acrediten la calidad de emprendimientos y empresas de personas con discapacidad, o que sean empleadores de personas con discapacidad. Lo anterior, sin perjuicio de los demás requisitos de evaluación que se deben establecer de acuerdo con cada modalidad de selección. </w:t>
            </w:r>
          </w:p>
          <w:p w14:paraId="3F8EA1EE" w14:textId="77777777" w:rsidR="00FE5496" w:rsidRDefault="00FE5496" w:rsidP="004B349E">
            <w:pPr>
              <w:widowControl w:val="0"/>
              <w:autoSpaceDE w:val="0"/>
              <w:autoSpaceDN w:val="0"/>
              <w:spacing w:after="120" w:line="276" w:lineRule="auto"/>
              <w:jc w:val="both"/>
              <w:rPr>
                <w:rFonts w:ascii="Verdana" w:eastAsia="Aptos" w:hAnsi="Verdana" w:cs="Times New Roman"/>
                <w:kern w:val="2"/>
                <w14:ligatures w14:val="standardContextual"/>
              </w:rPr>
            </w:pPr>
            <w:r>
              <w:rPr>
                <w:rFonts w:ascii="Verdana" w:eastAsia="Aptos" w:hAnsi="Verdana" w:cs="Times New Roman"/>
                <w:kern w:val="2"/>
                <w14:ligatures w14:val="standardContextual"/>
              </w:rPr>
              <w:t xml:space="preserve">v. </w:t>
            </w:r>
            <w:r>
              <w:rPr>
                <w:rFonts w:ascii="Verdana" w:eastAsia="Arial" w:hAnsi="Verdana" w:cs="Arial"/>
              </w:rPr>
              <w:t>Finalmente, en relación con el inicio de vigencia del Decreto 287 de 2026</w:t>
            </w:r>
            <w:r w:rsidRPr="001B3C5D">
              <w:rPr>
                <w:rFonts w:ascii="Verdana" w:eastAsia="Aptos" w:hAnsi="Verdana" w:cs="Times New Roman"/>
                <w:kern w:val="2"/>
                <w14:ligatures w14:val="standardContextual"/>
              </w:rPr>
              <w:t>, el artículo 2 establece las vigencias y derogatorias, en los siguiente</w:t>
            </w:r>
            <w:r>
              <w:rPr>
                <w:rFonts w:ascii="Verdana" w:eastAsia="Aptos" w:hAnsi="Verdana" w:cs="Times New Roman"/>
                <w:kern w:val="2"/>
                <w14:ligatures w14:val="standardContextual"/>
              </w:rPr>
              <w:t>s</w:t>
            </w:r>
            <w:r w:rsidRPr="001B3C5D">
              <w:rPr>
                <w:rFonts w:ascii="Verdana" w:eastAsia="Aptos" w:hAnsi="Verdana" w:cs="Times New Roman"/>
                <w:kern w:val="2"/>
                <w14:ligatures w14:val="standardContextual"/>
              </w:rPr>
              <w:t xml:space="preserve"> términos: “El presente Decreto rige a partir del día siguiente a su publicación, modifica los artículos 2.2.1.2.4.2.6., 2.2.1 .2.4.2.7. </w:t>
            </w:r>
            <w:r>
              <w:rPr>
                <w:rFonts w:ascii="Verdana" w:eastAsia="Aptos" w:hAnsi="Verdana" w:cs="Times New Roman"/>
                <w:kern w:val="2"/>
                <w14:ligatures w14:val="standardContextual"/>
              </w:rPr>
              <w:t>y</w:t>
            </w:r>
            <w:r w:rsidRPr="001B3C5D">
              <w:rPr>
                <w:rFonts w:ascii="Verdana" w:eastAsia="Aptos" w:hAnsi="Verdana" w:cs="Times New Roman"/>
                <w:kern w:val="2"/>
                <w14:ligatures w14:val="standardContextual"/>
              </w:rPr>
              <w:t xml:space="preserve"> 2.2.1.2.4.2.8. de la Subsección 2 de la Sección 4 del Capítulo 2 del Título 1 de la Parte 2 del Libro 2 del Decreto 1082 de 2015, Único Reglamentario del Sector Administrativo de Planeación, y deroga todas las disposiciones que le sean contrarias”.</w:t>
            </w:r>
            <w:r>
              <w:rPr>
                <w:rFonts w:ascii="Verdana" w:eastAsia="Aptos" w:hAnsi="Verdana" w:cs="Times New Roman"/>
                <w:kern w:val="2"/>
                <w14:ligatures w14:val="standardContextual"/>
              </w:rPr>
              <w:t xml:space="preserve"> Este decreto fue publicado el 19 de marzo de 2026, por lo que empezó a regir a partir del 20 de marzo.</w:t>
            </w:r>
          </w:p>
          <w:p w14:paraId="5DE6FCCE" w14:textId="77777777" w:rsidR="00FE5496" w:rsidRPr="00BD2EF9" w:rsidRDefault="00FE5496" w:rsidP="004B349E">
            <w:pPr>
              <w:widowControl w:val="0"/>
              <w:autoSpaceDE w:val="0"/>
              <w:autoSpaceDN w:val="0"/>
              <w:spacing w:after="120" w:line="276" w:lineRule="auto"/>
              <w:ind w:firstLine="743"/>
              <w:jc w:val="both"/>
              <w:rPr>
                <w:rFonts w:ascii="Verdana" w:eastAsia="Aptos" w:hAnsi="Verdana" w:cs="Times New Roman"/>
                <w:kern w:val="2"/>
                <w14:ligatures w14:val="standardContextual"/>
              </w:rPr>
            </w:pPr>
            <w:r>
              <w:rPr>
                <w:rFonts w:ascii="Verdana" w:eastAsia="Aptos" w:hAnsi="Verdana" w:cs="Times New Roman"/>
                <w:kern w:val="2"/>
                <w14:ligatures w14:val="standardContextual"/>
              </w:rPr>
              <w:t>Así, l</w:t>
            </w:r>
            <w:r w:rsidRPr="00BD2EF9">
              <w:rPr>
                <w:rFonts w:ascii="Verdana" w:eastAsia="Aptos" w:hAnsi="Verdana" w:cs="Times New Roman"/>
                <w:kern w:val="2"/>
                <w14:ligatures w14:val="standardContextual"/>
              </w:rPr>
              <w:t>a aplicación del Decreto 287 de 2026 en los procesos de contratación que estén en curso depende de si estos contaban o no con resolución de apertura antes del 20 de marzo de 2026: i) La resolución de apertura fue expedida el 19 de marzo de 2026 o antes de esta fecha, en este caso el proceso continúa con las reglas originales sin aplicar el Decreto 287 de 2026; y ii) La resolución de apertura no existe, o fue expedida el 20 de marzo de 2026 o en fecha posterior, por lo que se debe incorporar el Decreto 287 de 2026 al proceso contractual y la entidad debe ajustar sus estudios previos y pliegos de condiciones, incluido el proyecto de pliego, para dar pleno cumplimiento al decreto antes de expedir el acto administrativo de apertura.</w:t>
            </w:r>
          </w:p>
          <w:p w14:paraId="017D4068" w14:textId="77777777" w:rsidR="00FE5496" w:rsidRPr="001B3C5D" w:rsidRDefault="00FE5496" w:rsidP="004B349E">
            <w:pPr>
              <w:widowControl w:val="0"/>
              <w:autoSpaceDE w:val="0"/>
              <w:autoSpaceDN w:val="0"/>
              <w:spacing w:after="120" w:line="276" w:lineRule="auto"/>
              <w:ind w:firstLine="743"/>
              <w:jc w:val="both"/>
              <w:rPr>
                <w:rFonts w:ascii="Verdana" w:eastAsia="Aptos" w:hAnsi="Verdana" w:cs="Times New Roman"/>
                <w:kern w:val="2"/>
                <w14:ligatures w14:val="standardContextual"/>
              </w:rPr>
            </w:pPr>
            <w:r w:rsidRPr="00BD2EF9">
              <w:rPr>
                <w:rFonts w:ascii="Verdana" w:eastAsia="Aptos" w:hAnsi="Verdana" w:cs="Times New Roman"/>
                <w:kern w:val="2"/>
                <w14:ligatures w14:val="standardContextual"/>
              </w:rPr>
              <w:t>Para los procesos de contratación con proyecto de pliego publicado pero sin apertura al 19 de marzo de 2026, se recomienda que se incorporen las medidas del Decreto 287 de 2026 antes de publicar los pliegos definitivos. En esa etapa aún es posible realizar ajustes sin afectar derechos adquiridos de los proponentes.</w:t>
            </w:r>
          </w:p>
        </w:tc>
      </w:tr>
    </w:tbl>
    <w:p w14:paraId="0D489DF1" w14:textId="77777777" w:rsidR="00FE5496" w:rsidRPr="001B3C5D" w:rsidRDefault="00FE5496" w:rsidP="00FE5496">
      <w:pPr>
        <w:tabs>
          <w:tab w:val="left" w:pos="142"/>
          <w:tab w:val="left" w:pos="284"/>
        </w:tabs>
        <w:spacing w:after="0" w:line="276" w:lineRule="auto"/>
        <w:jc w:val="both"/>
        <w:rPr>
          <w:rFonts w:ascii="Verdana" w:eastAsia="Century Gothic" w:hAnsi="Verdana" w:cs="Century Gothic"/>
          <w:b/>
          <w:bCs/>
          <w:lang w:val="es-ES"/>
        </w:rPr>
      </w:pPr>
    </w:p>
    <w:p w14:paraId="35DFEAE3" w14:textId="77777777" w:rsidR="00FE5496" w:rsidRPr="001B3C5D" w:rsidRDefault="00FE5496" w:rsidP="00FE5496">
      <w:pPr>
        <w:tabs>
          <w:tab w:val="left" w:pos="142"/>
          <w:tab w:val="left" w:pos="284"/>
        </w:tabs>
        <w:spacing w:after="0" w:line="276" w:lineRule="auto"/>
        <w:jc w:val="both"/>
        <w:rPr>
          <w:rFonts w:ascii="Verdana" w:eastAsia="Century Gothic" w:hAnsi="Verdana" w:cs="Century Gothic"/>
          <w:b/>
          <w:bCs/>
          <w:lang w:val="es-ES"/>
        </w:rPr>
      </w:pPr>
      <w:r w:rsidRPr="001B3C5D">
        <w:rPr>
          <w:rFonts w:ascii="Verdana" w:eastAsia="Century Gothic" w:hAnsi="Verdana" w:cs="Century Gothic"/>
          <w:b/>
          <w:bCs/>
          <w:lang w:val="es-ES"/>
        </w:rPr>
        <w:t>3. Razones de la respuesta:</w:t>
      </w:r>
    </w:p>
    <w:p w14:paraId="6A42D31D" w14:textId="77777777" w:rsidR="00FE5496" w:rsidRPr="001B3C5D" w:rsidRDefault="00FE5496" w:rsidP="00FE5496">
      <w:pPr>
        <w:spacing w:after="0" w:line="276" w:lineRule="auto"/>
        <w:jc w:val="both"/>
        <w:rPr>
          <w:rFonts w:ascii="Verdana" w:eastAsia="Calibri" w:hAnsi="Verdana" w:cs="Arial"/>
          <w:lang w:val="es-ES"/>
        </w:rPr>
      </w:pPr>
    </w:p>
    <w:p w14:paraId="20A9F8C5" w14:textId="77777777" w:rsidR="00FE5496" w:rsidRPr="001B3C5D" w:rsidRDefault="00FE5496" w:rsidP="00FE5496">
      <w:pPr>
        <w:spacing w:after="0" w:line="276" w:lineRule="auto"/>
        <w:jc w:val="both"/>
        <w:rPr>
          <w:rFonts w:ascii="Verdana" w:eastAsia="Calibri" w:hAnsi="Verdana" w:cs="Arial"/>
          <w:lang w:val="es-ES"/>
        </w:rPr>
      </w:pPr>
      <w:r w:rsidRPr="001B3C5D">
        <w:rPr>
          <w:rFonts w:ascii="Verdana" w:eastAsia="Calibri" w:hAnsi="Verdana" w:cs="Arial"/>
          <w:lang w:val="es-ES"/>
        </w:rPr>
        <w:t xml:space="preserve">Lo anterior se sustenta en las siguientes consideraciones: </w:t>
      </w:r>
    </w:p>
    <w:p w14:paraId="33B9735C" w14:textId="77777777" w:rsidR="00FE5496" w:rsidRPr="001B3C5D" w:rsidRDefault="00FE5496" w:rsidP="00FE5496">
      <w:pPr>
        <w:widowControl w:val="0"/>
        <w:autoSpaceDE w:val="0"/>
        <w:autoSpaceDN w:val="0"/>
        <w:spacing w:after="0" w:line="276" w:lineRule="auto"/>
        <w:jc w:val="both"/>
        <w:rPr>
          <w:rFonts w:ascii="Verdana" w:eastAsia="Aptos" w:hAnsi="Verdana" w:cs="Times New Roman"/>
          <w:kern w:val="2"/>
          <w:sz w:val="24"/>
          <w:szCs w:val="24"/>
          <w14:ligatures w14:val="standardContextual"/>
        </w:rPr>
      </w:pPr>
      <w:bookmarkStart w:id="1" w:name="_Hlk113022941"/>
    </w:p>
    <w:p w14:paraId="6C8B696F" w14:textId="77777777" w:rsidR="00FE5496" w:rsidRPr="00206556" w:rsidRDefault="00FE5496" w:rsidP="00FE5496">
      <w:pPr>
        <w:spacing w:after="120" w:line="276" w:lineRule="auto"/>
        <w:jc w:val="both"/>
        <w:rPr>
          <w:rFonts w:ascii="Verdana" w:hAnsi="Verdana"/>
        </w:rPr>
      </w:pPr>
      <w:r>
        <w:rPr>
          <w:rFonts w:ascii="Verdana" w:eastAsia="Aptos" w:hAnsi="Verdana" w:cs="Times New Roman"/>
          <w:kern w:val="2"/>
          <w14:ligatures w14:val="standardContextual"/>
        </w:rPr>
        <w:t xml:space="preserve">i. </w:t>
      </w:r>
      <w:r w:rsidRPr="00206556">
        <w:rPr>
          <w:rFonts w:ascii="Verdana" w:eastAsia="Times New Roman" w:hAnsi="Verdana" w:cs="Times New Roman"/>
        </w:rPr>
        <w:t>El fundamento del Sistema de Preferencias para P</w:t>
      </w:r>
      <w:r>
        <w:rPr>
          <w:rFonts w:ascii="Verdana" w:eastAsia="Times New Roman" w:hAnsi="Verdana" w:cs="Times New Roman"/>
        </w:rPr>
        <w:t xml:space="preserve">ersonas </w:t>
      </w:r>
      <w:r w:rsidRPr="00206556">
        <w:rPr>
          <w:rFonts w:ascii="Verdana" w:eastAsia="Times New Roman" w:hAnsi="Verdana" w:cs="Times New Roman"/>
        </w:rPr>
        <w:t>c</w:t>
      </w:r>
      <w:r>
        <w:rPr>
          <w:rFonts w:ascii="Verdana" w:eastAsia="Times New Roman" w:hAnsi="Verdana" w:cs="Times New Roman"/>
        </w:rPr>
        <w:t xml:space="preserve">on </w:t>
      </w:r>
      <w:r w:rsidRPr="00206556">
        <w:rPr>
          <w:rFonts w:ascii="Verdana" w:eastAsia="Times New Roman" w:hAnsi="Verdana" w:cs="Times New Roman"/>
        </w:rPr>
        <w:t>D</w:t>
      </w:r>
      <w:r>
        <w:rPr>
          <w:rFonts w:ascii="Verdana" w:eastAsia="Times New Roman" w:hAnsi="Verdana" w:cs="Times New Roman"/>
        </w:rPr>
        <w:t>iscapacidad (PcD)</w:t>
      </w:r>
      <w:r w:rsidRPr="00206556">
        <w:rPr>
          <w:rFonts w:ascii="Verdana" w:eastAsia="Times New Roman" w:hAnsi="Verdana" w:cs="Times New Roman"/>
        </w:rPr>
        <w:t xml:space="preserve"> en la contratación pública es el principio de igualdad real y efectiva consagrado en el artículo 13 de la Constitución Política de 1991</w:t>
      </w:r>
      <w:r w:rsidRPr="00206556">
        <w:rPr>
          <w:rStyle w:val="Refdenotaalpie"/>
          <w:rFonts w:ascii="Verdana" w:eastAsia="Times New Roman" w:hAnsi="Verdana" w:cs="Times New Roman"/>
        </w:rPr>
        <w:footnoteReference w:id="1"/>
      </w:r>
      <w:r>
        <w:rPr>
          <w:rFonts w:ascii="Verdana" w:eastAsia="Times New Roman" w:hAnsi="Verdana" w:cs="Times New Roman"/>
        </w:rPr>
        <w:t>,</w:t>
      </w:r>
      <w:r w:rsidRPr="00206556">
        <w:rPr>
          <w:rFonts w:ascii="Verdana" w:eastAsia="Times New Roman" w:hAnsi="Verdana" w:cs="Times New Roman"/>
        </w:rPr>
        <w:t xml:space="preserve"> que impone al Estado el deber positivo de adoptar </w:t>
      </w:r>
      <w:r w:rsidRPr="00206556">
        <w:rPr>
          <w:rFonts w:ascii="Verdana" w:eastAsia="Times New Roman" w:hAnsi="Verdana" w:cs="Times New Roman"/>
          <w:i/>
          <w:iCs/>
        </w:rPr>
        <w:t>acciones afirmativas</w:t>
      </w:r>
      <w:r w:rsidRPr="00206556">
        <w:rPr>
          <w:rFonts w:ascii="Verdana" w:eastAsia="Times New Roman" w:hAnsi="Verdana" w:cs="Times New Roman"/>
        </w:rPr>
        <w:t xml:space="preserve"> en favor de grupos históricamente excluidos. La Corte Constitucional ha sostenido que tales medidas buscan contrarrestar los efectos de la discriminación y que el Estado puede establecer tratamientos diferenciales a favor de estos grupos en aras de lograr una igualdad real y efectiva. Los artículos 47 y 54 de la Carta Política refuerzan este mandato al ordenar políticas de integración social y ubicación laboral para las PcD</w:t>
      </w:r>
      <w:r w:rsidRPr="00206556">
        <w:rPr>
          <w:rStyle w:val="Refdenotaalpie"/>
          <w:rFonts w:ascii="Verdana" w:eastAsia="Times New Roman" w:hAnsi="Verdana" w:cs="Times New Roman"/>
        </w:rPr>
        <w:footnoteReference w:id="2"/>
      </w:r>
      <w:r>
        <w:rPr>
          <w:rFonts w:ascii="Verdana" w:eastAsia="Times New Roman" w:hAnsi="Verdana" w:cs="Times New Roman"/>
        </w:rPr>
        <w:t>.</w:t>
      </w:r>
    </w:p>
    <w:p w14:paraId="3B58BF6F" w14:textId="77777777" w:rsidR="00FE5496" w:rsidRPr="00206556" w:rsidRDefault="00FE5496" w:rsidP="00FE5496">
      <w:pPr>
        <w:spacing w:after="120" w:line="276" w:lineRule="auto"/>
        <w:ind w:firstLine="708"/>
        <w:jc w:val="both"/>
        <w:rPr>
          <w:rFonts w:ascii="Verdana" w:hAnsi="Verdana"/>
        </w:rPr>
      </w:pPr>
      <w:r w:rsidRPr="00206556">
        <w:rPr>
          <w:rFonts w:ascii="Verdana" w:eastAsia="Times New Roman" w:hAnsi="Verdana" w:cs="Times New Roman"/>
        </w:rPr>
        <w:t>En el plano internacional, Colombia es Estado Parte de instrumentos que conforman el Bloque de Constitucionalidad en virtud del artículo 93 superior. La Convención sobre los Derechos de las Personas con Discapacidad de la ONU</w:t>
      </w:r>
      <w:r w:rsidRPr="00206556">
        <w:rPr>
          <w:rStyle w:val="Refdenotaalpie"/>
          <w:rFonts w:ascii="Verdana" w:eastAsia="Times New Roman" w:hAnsi="Verdana" w:cs="Times New Roman"/>
        </w:rPr>
        <w:footnoteReference w:id="3"/>
      </w:r>
      <w:r w:rsidRPr="00206556">
        <w:rPr>
          <w:rFonts w:ascii="Verdana" w:eastAsia="Times New Roman" w:hAnsi="Verdana" w:cs="Times New Roman"/>
        </w:rPr>
        <w:t xml:space="preserve"> reconoce el derecho de las PcD a trabajar en igualdad de condiciones y exige programas de acción afirmativa. La Convención Interamericana para la Eliminación de todas las Formas de Discriminación</w:t>
      </w:r>
      <w:r w:rsidRPr="00206556">
        <w:rPr>
          <w:rStyle w:val="Refdenotaalpie"/>
          <w:rFonts w:ascii="Verdana" w:eastAsia="Times New Roman" w:hAnsi="Verdana" w:cs="Times New Roman"/>
        </w:rPr>
        <w:footnoteReference w:id="4"/>
      </w:r>
      <w:r w:rsidRPr="00206556">
        <w:rPr>
          <w:rFonts w:ascii="Verdana" w:eastAsia="Times New Roman" w:hAnsi="Verdana" w:cs="Times New Roman"/>
        </w:rPr>
        <w:t xml:space="preserve"> ordena eliminar progresivamente la discriminación en la prestación de servicios, incluido el empleo. El Convenio 159 de la OIT</w:t>
      </w:r>
      <w:r w:rsidRPr="00206556">
        <w:rPr>
          <w:rStyle w:val="Refdenotaalpie"/>
          <w:rFonts w:ascii="Verdana" w:eastAsia="Times New Roman" w:hAnsi="Verdana" w:cs="Times New Roman"/>
        </w:rPr>
        <w:footnoteReference w:id="5"/>
      </w:r>
      <w:r w:rsidRPr="00206556">
        <w:rPr>
          <w:rFonts w:ascii="Verdana" w:eastAsia="Times New Roman" w:hAnsi="Verdana" w:cs="Times New Roman"/>
        </w:rPr>
        <w:t xml:space="preserve"> exige medidas orientadas a garantizar la igualdad de oportunidades de todas las categorías de PcD en materia de empleo.</w:t>
      </w:r>
    </w:p>
    <w:p w14:paraId="56B4E5C2" w14:textId="77777777" w:rsidR="00FE5496" w:rsidRPr="00206556" w:rsidRDefault="00FE5496" w:rsidP="00FE5496">
      <w:pPr>
        <w:spacing w:after="120" w:line="276" w:lineRule="auto"/>
        <w:jc w:val="both"/>
        <w:rPr>
          <w:rFonts w:ascii="Verdana" w:hAnsi="Verdana"/>
        </w:rPr>
      </w:pPr>
      <w:r w:rsidRPr="00206556">
        <w:rPr>
          <w:rFonts w:ascii="Verdana" w:eastAsia="Times New Roman" w:hAnsi="Verdana" w:cs="Times New Roman"/>
          <w:b/>
          <w:bCs/>
        </w:rPr>
        <w:lastRenderedPageBreak/>
        <w:t xml:space="preserve">        </w:t>
      </w:r>
      <w:r w:rsidRPr="00206556">
        <w:rPr>
          <w:rFonts w:ascii="Verdana" w:eastAsia="Times New Roman" w:hAnsi="Verdana" w:cs="Times New Roman"/>
        </w:rPr>
        <w:t>La Ley 361 de 1997 estableció los primeros mecanismos de integración social de las PcD. Su artículo 24 introdujo una preferencia en igualdad de condiciones en licitaciones y adjudicaciones de contratos para los empleadores que tuvieran al menos el 10% de su nómina compuesta por PcD</w:t>
      </w:r>
      <w:r w:rsidRPr="00206556">
        <w:rPr>
          <w:rStyle w:val="Refdenotaalpie"/>
          <w:rFonts w:ascii="Verdana" w:eastAsia="Times New Roman" w:hAnsi="Verdana" w:cs="Times New Roman"/>
        </w:rPr>
        <w:footnoteReference w:id="6"/>
      </w:r>
      <w:r>
        <w:rPr>
          <w:rFonts w:ascii="Verdana" w:eastAsia="Times New Roman" w:hAnsi="Verdana" w:cs="Times New Roman"/>
        </w:rPr>
        <w:t>.</w:t>
      </w:r>
      <w:r w:rsidRPr="00206556">
        <w:rPr>
          <w:rFonts w:ascii="Verdana" w:eastAsia="Times New Roman" w:hAnsi="Verdana" w:cs="Times New Roman"/>
        </w:rPr>
        <w:t xml:space="preserve"> Esta norma vinculó por primera vez la contratación pública con la inclusión laboral de las PcD, pero su alcance era limitado: una preferencia residual aplicable solo en caso de empate, que beneficiaba únicamente a los empleadores de PcD sin considerar a las propias PcD como proponentes directos.</w:t>
      </w:r>
    </w:p>
    <w:p w14:paraId="74DF148C" w14:textId="77777777" w:rsidR="00FE5496" w:rsidRPr="00206556" w:rsidRDefault="00FE5496" w:rsidP="00FE5496">
      <w:pPr>
        <w:spacing w:after="120" w:line="276" w:lineRule="auto"/>
        <w:ind w:firstLine="709"/>
        <w:jc w:val="both"/>
        <w:rPr>
          <w:rFonts w:ascii="Verdana" w:hAnsi="Verdana"/>
        </w:rPr>
      </w:pPr>
      <w:r w:rsidRPr="00206556">
        <w:rPr>
          <w:rFonts w:ascii="Verdana" w:eastAsia="Times New Roman" w:hAnsi="Verdana" w:cs="Times New Roman"/>
        </w:rPr>
        <w:t xml:space="preserve">La Ley Estatutaria 1618 de 2013 representó un salto cualitativo en el marco jurídico de protección de las PcD, al definir a estas como </w:t>
      </w:r>
      <w:r w:rsidRPr="00670DE8">
        <w:rPr>
          <w:rFonts w:ascii="Verdana" w:eastAsia="Times New Roman" w:hAnsi="Verdana" w:cs="Times New Roman"/>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r w:rsidRPr="00206556">
        <w:rPr>
          <w:rStyle w:val="Refdenotaalpie"/>
          <w:rFonts w:ascii="Verdana" w:eastAsia="Times New Roman" w:hAnsi="Verdana" w:cs="Times New Roman"/>
          <w:i/>
          <w:iCs/>
        </w:rPr>
        <w:footnoteReference w:id="7"/>
      </w:r>
      <w:r>
        <w:rPr>
          <w:rFonts w:ascii="Verdana" w:eastAsia="Times New Roman" w:hAnsi="Verdana" w:cs="Times New Roman"/>
          <w:i/>
          <w:iCs/>
        </w:rPr>
        <w:t>.</w:t>
      </w:r>
      <w:r w:rsidRPr="00206556">
        <w:rPr>
          <w:rFonts w:ascii="Verdana" w:eastAsia="Times New Roman" w:hAnsi="Verdana" w:cs="Times New Roman"/>
        </w:rPr>
        <w:t xml:space="preserve"> Su artículo 13, en los numerales 1, 7 y 8, ordenó al Gobierno Nacional reglamentar: una puntuación adicional en licitación pública, concurso de méritos y contratación directa para empresas que vinculen PcD y para empresas de PcD; un sistema de preferencias para empleadores de PcD en la adjudicación; y un sistema de preferencias en favor de las propias PcD como contratistas</w:t>
      </w:r>
      <w:r w:rsidRPr="00206556">
        <w:rPr>
          <w:rStyle w:val="Refdenotaalpie"/>
          <w:rFonts w:ascii="Verdana" w:eastAsia="Times New Roman" w:hAnsi="Verdana" w:cs="Times New Roman"/>
        </w:rPr>
        <w:footnoteReference w:id="8"/>
      </w:r>
      <w:r>
        <w:rPr>
          <w:rFonts w:ascii="Verdana" w:eastAsia="Times New Roman" w:hAnsi="Verdana" w:cs="Times New Roman"/>
        </w:rPr>
        <w:t>.</w:t>
      </w:r>
      <w:r w:rsidRPr="00206556">
        <w:rPr>
          <w:rFonts w:ascii="Verdana" w:eastAsia="Times New Roman" w:hAnsi="Verdana" w:cs="Times New Roman"/>
        </w:rPr>
        <w:t xml:space="preserve"> Este último mandato fue especialmente significativo porque introdujo el concepto de </w:t>
      </w:r>
      <w:r w:rsidRPr="00206556">
        <w:rPr>
          <w:rFonts w:ascii="Verdana" w:eastAsia="Times New Roman" w:hAnsi="Verdana" w:cs="Times New Roman"/>
          <w:i/>
          <w:iCs/>
        </w:rPr>
        <w:t>"sistema de preferencias"</w:t>
      </w:r>
      <w:r w:rsidRPr="00206556">
        <w:rPr>
          <w:rFonts w:ascii="Verdana" w:eastAsia="Times New Roman" w:hAnsi="Verdana" w:cs="Times New Roman"/>
        </w:rPr>
        <w:t>, que por definición no puede reducirse a una sola medida sino que implica un conjunto estructurado de instrumentos que actúen en las distintas fases del proceso contractual.</w:t>
      </w:r>
    </w:p>
    <w:p w14:paraId="2D242D3B" w14:textId="77777777" w:rsidR="00FE5496" w:rsidRPr="00E727F0" w:rsidRDefault="00FE5496" w:rsidP="00FE5496">
      <w:pPr>
        <w:spacing w:after="120" w:line="276" w:lineRule="auto"/>
        <w:ind w:firstLine="709"/>
        <w:jc w:val="both"/>
        <w:rPr>
          <w:rFonts w:ascii="Verdana" w:hAnsi="Verdana"/>
        </w:rPr>
      </w:pPr>
      <w:r w:rsidRPr="00E727F0">
        <w:rPr>
          <w:rFonts w:ascii="Verdana" w:hAnsi="Verdana"/>
        </w:rPr>
        <w:t>En cumplimiento parcial de los numerales 1 y 8 del artículo 13 de la Ley 1618 de 2013, se expidió el Decreto 392 de 2018. Sin embargo, como se reconoce en los considerandos del Decreto 0287 de 2026, dicha regulación presentó omisiones estructurales que frustraron la finalidad de la ley estatutaria</w:t>
      </w:r>
      <w:r>
        <w:rPr>
          <w:rFonts w:ascii="Verdana" w:hAnsi="Verdana"/>
        </w:rPr>
        <w:t>, pues</w:t>
      </w:r>
      <w:r w:rsidRPr="00E727F0">
        <w:rPr>
          <w:rFonts w:ascii="Verdana" w:hAnsi="Verdana"/>
        </w:rPr>
        <w:t xml:space="preserve"> solo contempló el 1% de puntaje para empleadores de PcD, sin incluir a las </w:t>
      </w:r>
      <w:r w:rsidRPr="00E727F0">
        <w:rPr>
          <w:rFonts w:ascii="Verdana" w:hAnsi="Verdana"/>
        </w:rPr>
        <w:lastRenderedPageBreak/>
        <w:t>empresas de PcD</w:t>
      </w:r>
      <w:r>
        <w:rPr>
          <w:rFonts w:ascii="Verdana" w:hAnsi="Verdana"/>
        </w:rPr>
        <w:t>,</w:t>
      </w:r>
      <w:r w:rsidRPr="00E727F0">
        <w:rPr>
          <w:rFonts w:ascii="Verdana" w:hAnsi="Verdana"/>
        </w:rPr>
        <w:t xml:space="preserve"> redujo el "sistema de preferencias" a un único criterio de desempate y no previó medidas en planeación, criterios habilitantes diferenciales, condiciones especiales de ejecución ni abordó la contratación directa como escenario de inclusión.</w:t>
      </w:r>
      <w:r>
        <w:rPr>
          <w:rFonts w:ascii="Verdana" w:hAnsi="Verdana"/>
        </w:rPr>
        <w:t xml:space="preserve"> </w:t>
      </w:r>
      <w:r w:rsidRPr="00A420A9">
        <w:rPr>
          <w:rFonts w:ascii="Verdana" w:hAnsi="Verdana"/>
        </w:rPr>
        <w:t>En consecuencia, desde el punto de vista sustantivo, el Decreto 392 de 2018 reglamentó el numeral 1 de manera parcial y el numeral 7, dejando sin reglamentación material el numeral 8, que era precisamente el que ordenaba el sistema de preferencias en favor de las propias PcD como contratistas.</w:t>
      </w:r>
    </w:p>
    <w:p w14:paraId="5FE7F956" w14:textId="77777777" w:rsidR="00FE5496" w:rsidRPr="00DF1F0B" w:rsidRDefault="00FE5496" w:rsidP="00FE5496">
      <w:pPr>
        <w:spacing w:after="120" w:line="276" w:lineRule="auto"/>
        <w:ind w:firstLine="709"/>
        <w:jc w:val="both"/>
        <w:rPr>
          <w:rFonts w:ascii="Verdana" w:eastAsia="Aptos" w:hAnsi="Verdana" w:cs="Times New Roman"/>
          <w:kern w:val="2"/>
          <w14:ligatures w14:val="standardContextual"/>
        </w:rPr>
      </w:pPr>
      <w:r w:rsidRPr="00A420A9">
        <w:rPr>
          <w:rFonts w:ascii="Verdana" w:hAnsi="Verdana"/>
        </w:rPr>
        <w:t>L</w:t>
      </w:r>
      <w:r>
        <w:rPr>
          <w:rFonts w:ascii="Verdana" w:hAnsi="Verdana"/>
        </w:rPr>
        <w:t>o anterior fue ratificado por el Consejo de Estado</w:t>
      </w:r>
      <w:r>
        <w:rPr>
          <w:rStyle w:val="Refdenotaalpie"/>
          <w:rFonts w:ascii="Verdana" w:hAnsi="Verdana"/>
        </w:rPr>
        <w:footnoteReference w:id="9"/>
      </w:r>
      <w:r>
        <w:rPr>
          <w:rFonts w:ascii="Verdana" w:hAnsi="Verdana"/>
        </w:rPr>
        <w:t>,</w:t>
      </w:r>
      <w:r w:rsidRPr="008332CA">
        <w:rPr>
          <w:rFonts w:ascii="Verdana" w:eastAsia="Aptos" w:hAnsi="Verdana" w:cs="Times New Roman"/>
          <w:kern w:val="2"/>
          <w14:ligatures w14:val="standardContextual"/>
        </w:rPr>
        <w:t xml:space="preserve"> </w:t>
      </w:r>
      <w:r w:rsidRPr="001B3C5D">
        <w:rPr>
          <w:rFonts w:ascii="Verdana" w:eastAsia="Aptos" w:hAnsi="Verdana" w:cs="Times New Roman"/>
          <w:kern w:val="2"/>
          <w14:ligatures w14:val="standardContextual"/>
        </w:rPr>
        <w:t>que mediante una acción de cumplimiento</w:t>
      </w:r>
      <w:r>
        <w:rPr>
          <w:rFonts w:ascii="Verdana" w:eastAsia="Aptos" w:hAnsi="Verdana" w:cs="Times New Roman"/>
          <w:kern w:val="2"/>
          <w14:ligatures w14:val="standardContextual"/>
        </w:rPr>
        <w:t xml:space="preserve">, </w:t>
      </w:r>
      <w:r w:rsidRPr="00A420A9">
        <w:rPr>
          <w:rFonts w:ascii="Verdana" w:hAnsi="Verdana"/>
        </w:rPr>
        <w:t xml:space="preserve">declaró el incumplimiento </w:t>
      </w:r>
      <w:r w:rsidRPr="001B3C5D">
        <w:rPr>
          <w:rFonts w:ascii="Verdana" w:eastAsia="Aptos" w:hAnsi="Verdana" w:cs="Times New Roman"/>
          <w:kern w:val="2"/>
          <w14:ligatures w14:val="standardContextual"/>
        </w:rPr>
        <w:t>del deber de reglamentar integralmente el artículo 13 de la Ley 1618 de 2013 y ordenó al Gobierno Nacional expedir la regulación necesaria para hacer efectivo el sistema de preferencias en favor de las personas con discapacidad, sus emprendimientos y empresas que las contratan.</w:t>
      </w:r>
      <w:r>
        <w:rPr>
          <w:rFonts w:ascii="Verdana" w:eastAsia="Aptos" w:hAnsi="Verdana" w:cs="Times New Roman"/>
          <w:kern w:val="2"/>
          <w14:ligatures w14:val="standardContextual"/>
        </w:rPr>
        <w:t xml:space="preserve"> </w:t>
      </w:r>
      <w:r w:rsidRPr="00A420A9">
        <w:rPr>
          <w:rFonts w:ascii="Verdana" w:hAnsi="Verdana"/>
        </w:rPr>
        <w:t>La Sala calificó la obligación como imperativa, expresa e inobjetable, señalando que el Gobierno Nacional no contaba con margen de discrecionalidad para decidir si reglamentaba o no el sistema de preferencias</w:t>
      </w:r>
      <w:r>
        <w:rPr>
          <w:rFonts w:ascii="Verdana" w:hAnsi="Verdana"/>
        </w:rPr>
        <w:t>.</w:t>
      </w:r>
    </w:p>
    <w:p w14:paraId="61554E54" w14:textId="77777777" w:rsidR="00FE5496" w:rsidRPr="00C42155" w:rsidRDefault="00FE5496" w:rsidP="00FE5496">
      <w:pPr>
        <w:spacing w:after="120" w:line="276" w:lineRule="auto"/>
        <w:ind w:firstLine="709"/>
        <w:jc w:val="both"/>
        <w:rPr>
          <w:rFonts w:ascii="Verdana" w:hAnsi="Verdana"/>
        </w:rPr>
      </w:pPr>
      <w:r w:rsidRPr="00E727F0">
        <w:rPr>
          <w:rFonts w:ascii="Verdana" w:hAnsi="Verdana"/>
        </w:rPr>
        <w:t>En cumplimiento de esa decisión fue expedido el Decreto 0287 de 2026, el cual</w:t>
      </w:r>
      <w:r>
        <w:rPr>
          <w:rFonts w:ascii="Verdana" w:hAnsi="Verdana"/>
        </w:rPr>
        <w:t xml:space="preserve"> </w:t>
      </w:r>
      <w:r w:rsidRPr="00E727F0">
        <w:rPr>
          <w:rFonts w:ascii="Verdana" w:hAnsi="Verdana"/>
        </w:rPr>
        <w:t>establece un Sistema Integral de Preferencias compuesto por cinco medidas afirmativas que actúan en todas las fases del proceso contractual</w:t>
      </w:r>
      <w:r>
        <w:rPr>
          <w:rFonts w:ascii="Verdana" w:hAnsi="Verdana"/>
        </w:rPr>
        <w:t xml:space="preserve">, </w:t>
      </w:r>
      <w:r w:rsidRPr="00E727F0">
        <w:rPr>
          <w:rFonts w:ascii="Verdana" w:hAnsi="Verdana"/>
        </w:rPr>
        <w:t>planeación, selección, adjudicación y ejecución</w:t>
      </w:r>
      <w:r>
        <w:rPr>
          <w:rFonts w:ascii="Verdana" w:hAnsi="Verdana"/>
        </w:rPr>
        <w:t xml:space="preserve">, </w:t>
      </w:r>
      <w:r w:rsidRPr="00E727F0">
        <w:rPr>
          <w:rFonts w:ascii="Verdana" w:hAnsi="Verdana"/>
        </w:rPr>
        <w:t>y que benefician a dos sujetos diferenciados: los emprendimientos y empresas de PcD y los empleadores de PcD</w:t>
      </w:r>
      <w:r w:rsidRPr="001B3C5D">
        <w:rPr>
          <w:rFonts w:ascii="Verdana" w:eastAsia="Aptos" w:hAnsi="Verdana" w:cs="Times New Roman"/>
          <w:kern w:val="2"/>
          <w14:ligatures w14:val="standardContextual"/>
        </w:rPr>
        <w:t xml:space="preserve">. </w:t>
      </w:r>
      <w:r>
        <w:rPr>
          <w:rFonts w:ascii="Verdana" w:eastAsia="Aptos" w:hAnsi="Verdana" w:cs="Times New Roman"/>
          <w:kern w:val="2"/>
          <w14:ligatures w14:val="standardContextual"/>
        </w:rPr>
        <w:t>M</w:t>
      </w:r>
      <w:r w:rsidRPr="001B3C5D">
        <w:rPr>
          <w:rFonts w:ascii="Verdana" w:eastAsia="Aptos" w:hAnsi="Verdana" w:cs="Times New Roman"/>
          <w:kern w:val="2"/>
          <w14:ligatures w14:val="standardContextual"/>
        </w:rPr>
        <w:t xml:space="preserve">ediante la expedición del mencionado decreto, en aplicación directa de la Constitución Política y para que exista una igualdad material para las personas con discapacidad, </w:t>
      </w:r>
      <w:r>
        <w:rPr>
          <w:rFonts w:ascii="Verdana" w:eastAsia="Aptos" w:hAnsi="Verdana" w:cs="Times New Roman"/>
          <w:kern w:val="2"/>
          <w14:ligatures w14:val="standardContextual"/>
        </w:rPr>
        <w:t xml:space="preserve">se </w:t>
      </w:r>
      <w:r w:rsidRPr="001B3C5D">
        <w:rPr>
          <w:rFonts w:ascii="Verdana" w:eastAsia="Aptos" w:hAnsi="Verdana" w:cs="Times New Roman"/>
          <w:kern w:val="2"/>
          <w14:ligatures w14:val="standardContextual"/>
        </w:rPr>
        <w:t xml:space="preserve">pretende subsanar la falta de acciones afirmativas del Decreto 392 de 2018, </w:t>
      </w:r>
      <w:r>
        <w:rPr>
          <w:rFonts w:ascii="Verdana" w:eastAsia="Aptos" w:hAnsi="Verdana" w:cs="Times New Roman"/>
          <w:kern w:val="2"/>
          <w14:ligatures w14:val="standardContextual"/>
        </w:rPr>
        <w:t xml:space="preserve">en el que </w:t>
      </w:r>
      <w:r w:rsidRPr="001B3C5D">
        <w:rPr>
          <w:rFonts w:ascii="Verdana" w:eastAsia="Aptos" w:hAnsi="Verdana" w:cs="Times New Roman"/>
          <w:kern w:val="2"/>
          <w14:ligatures w14:val="standardContextual"/>
        </w:rPr>
        <w:t>modific</w:t>
      </w:r>
      <w:r>
        <w:rPr>
          <w:rFonts w:ascii="Verdana" w:eastAsia="Aptos" w:hAnsi="Verdana" w:cs="Times New Roman"/>
          <w:kern w:val="2"/>
          <w14:ligatures w14:val="standardContextual"/>
        </w:rPr>
        <w:t>ó</w:t>
      </w:r>
      <w:r w:rsidRPr="001B3C5D">
        <w:rPr>
          <w:rFonts w:ascii="Verdana" w:eastAsia="Aptos" w:hAnsi="Verdana" w:cs="Times New Roman"/>
          <w:kern w:val="2"/>
          <w14:ligatures w14:val="standardContextual"/>
        </w:rPr>
        <w:t xml:space="preserve"> los artículos 2.2.1.2.4.2.6, 2.2.1.2.4.2.7. y 2.2.1.2.4.2.8. del Decreto 1082 de 2015</w:t>
      </w:r>
      <w:r>
        <w:rPr>
          <w:rFonts w:ascii="Verdana" w:eastAsia="Aptos" w:hAnsi="Verdana" w:cs="Times New Roman"/>
          <w:kern w:val="2"/>
          <w14:ligatures w14:val="standardContextual"/>
        </w:rPr>
        <w:t xml:space="preserve"> de la siguiente manera</w:t>
      </w:r>
      <w:r w:rsidRPr="001B3C5D">
        <w:rPr>
          <w:rFonts w:ascii="Verdana" w:eastAsia="Aptos" w:hAnsi="Verdana" w:cs="Times New Roman"/>
          <w:kern w:val="2"/>
          <w14:ligatures w14:val="standardContextual"/>
        </w:rPr>
        <w:t xml:space="preserve">: </w:t>
      </w:r>
    </w:p>
    <w:p w14:paraId="20AAD08C" w14:textId="77777777" w:rsidR="00FE5496" w:rsidRPr="001B3C5D" w:rsidRDefault="00FE5496" w:rsidP="00FE549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 i) El artículo 1, modifica el artículo 2.2.1.2.4.2.6. </w:t>
      </w:r>
      <w:r>
        <w:rPr>
          <w:rFonts w:ascii="Verdana" w:eastAsia="Aptos" w:hAnsi="Verdana" w:cs="Times New Roman"/>
          <w:kern w:val="2"/>
          <w14:ligatures w14:val="standardContextual"/>
        </w:rPr>
        <w:t>d</w:t>
      </w:r>
      <w:r w:rsidRPr="001B3C5D">
        <w:rPr>
          <w:rFonts w:ascii="Verdana" w:eastAsia="Aptos" w:hAnsi="Verdana" w:cs="Times New Roman"/>
          <w:kern w:val="2"/>
          <w14:ligatures w14:val="standardContextual"/>
        </w:rPr>
        <w:t>el Decreto 1082 de 2015, incorporando la definición de emprendimientos y empresas de personas con discapacidad, con el propósito de adoptar medidas afirmativas que incentiven las personas en condición de discapacidad en el sistema de compras y contratación pública.</w:t>
      </w:r>
    </w:p>
    <w:p w14:paraId="540F5124" w14:textId="77777777" w:rsidR="00FE5496" w:rsidRPr="001B3C5D" w:rsidRDefault="00FE5496" w:rsidP="00FE549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lastRenderedPageBreak/>
        <w:t xml:space="preserve">ii) El artículo 1, modifica el artículo 2.2.1.2.4.2.7. del Decreto 1082 de 2015, estableciendo un Sistema de Preferencias en Favor de las Personas con Discapacidad en el Sistema de Compras y Contratación Pública, mediante medidas afirmativas, que deben adoptar las Entidades Estatales en sus Procesos de Contratación, para promover condiciones efectivas de igualdad para estas personas, corregir barreras estructurales de acceso y fomentar su participación como proponentes, contratistas o integrantes de la cadena de valor. </w:t>
      </w:r>
    </w:p>
    <w:p w14:paraId="6AA8BA73" w14:textId="77777777" w:rsidR="00FE5496" w:rsidRPr="001B3C5D" w:rsidRDefault="00FE5496" w:rsidP="00FE549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iii). El artículo 1, </w:t>
      </w:r>
      <w:r>
        <w:rPr>
          <w:rFonts w:ascii="Verdana" w:eastAsia="Aptos" w:hAnsi="Verdana" w:cs="Times New Roman"/>
          <w:kern w:val="2"/>
          <w14:ligatures w14:val="standardContextual"/>
        </w:rPr>
        <w:t>incluye</w:t>
      </w:r>
      <w:r w:rsidRPr="001B3C5D">
        <w:rPr>
          <w:rFonts w:ascii="Verdana" w:eastAsia="Aptos" w:hAnsi="Verdana" w:cs="Times New Roman"/>
          <w:kern w:val="2"/>
          <w14:ligatures w14:val="standardContextual"/>
        </w:rPr>
        <w:t xml:space="preserve"> el artículo 2.2.1.2.4.2.7.1. del Decreto 1082 de 2015, disponiendo que todas las entidades que manejen recursos públicos están obligadas a garantizar la accesibilidad para personas con discapacidad en sus procesos de contratación. </w:t>
      </w:r>
    </w:p>
    <w:p w14:paraId="6605CEF4" w14:textId="77777777" w:rsidR="00FE5496" w:rsidRPr="001B3C5D" w:rsidRDefault="00FE5496" w:rsidP="00FE549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Aptos" w:eastAsia="Aptos" w:hAnsi="Aptos" w:cs="Times New Roman"/>
          <w:kern w:val="2"/>
          <w:sz w:val="24"/>
          <w:szCs w:val="24"/>
          <w14:ligatures w14:val="standardContextual"/>
        </w:rPr>
        <w:t xml:space="preserve">iv) </w:t>
      </w:r>
      <w:r w:rsidRPr="001B3C5D">
        <w:rPr>
          <w:rFonts w:ascii="Verdana" w:eastAsia="Aptos" w:hAnsi="Verdana" w:cs="Times New Roman"/>
          <w:kern w:val="2"/>
          <w14:ligatures w14:val="standardContextual"/>
        </w:rPr>
        <w:t xml:space="preserve">El artículo 1, </w:t>
      </w:r>
      <w:r>
        <w:rPr>
          <w:rFonts w:ascii="Verdana" w:eastAsia="Aptos" w:hAnsi="Verdana" w:cs="Times New Roman"/>
          <w:kern w:val="2"/>
          <w14:ligatures w14:val="standardContextual"/>
        </w:rPr>
        <w:t>incluye</w:t>
      </w:r>
      <w:r w:rsidRPr="001B3C5D">
        <w:rPr>
          <w:rFonts w:ascii="Verdana" w:eastAsia="Aptos" w:hAnsi="Verdana" w:cs="Times New Roman"/>
          <w:kern w:val="2"/>
          <w14:ligatures w14:val="standardContextual"/>
        </w:rPr>
        <w:t xml:space="preserve"> el 2.2.1.2.4.2.7.2. del Decreto 1082 de 2015. De esta forma, se consagra que, en la planeación contractual, las Entidades Estatales deben implementar acciones concretas para promover la participación de emprendimientos y empresas de personas con discapacidad, asegurando igualdad de oportunidades en los procesos de contratación pública. Esto implica diseñar mecanismos que eliminen barreras de acceso y fomenten una participación más inclusiva desde las etapas iniciales del proceso.</w:t>
      </w:r>
    </w:p>
    <w:p w14:paraId="07E1462E" w14:textId="77777777" w:rsidR="00FE5496" w:rsidRPr="001B3C5D" w:rsidRDefault="00FE5496" w:rsidP="00FE549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v) El artículo 1, </w:t>
      </w:r>
      <w:r>
        <w:rPr>
          <w:rFonts w:ascii="Verdana" w:eastAsia="Aptos" w:hAnsi="Verdana" w:cs="Times New Roman"/>
          <w:kern w:val="2"/>
          <w14:ligatures w14:val="standardContextual"/>
        </w:rPr>
        <w:t>incluye</w:t>
      </w:r>
      <w:r w:rsidRPr="001B3C5D">
        <w:rPr>
          <w:rFonts w:ascii="Verdana" w:eastAsia="Aptos" w:hAnsi="Verdana" w:cs="Times New Roman"/>
          <w:kern w:val="2"/>
          <w14:ligatures w14:val="standardContextual"/>
        </w:rPr>
        <w:t xml:space="preserve"> el artículo 2.2.1.2.4.2.7.3. del Decreto 1082 de 2015, incorporando criterios diferenciales en favor de los emprendimientos y empresas de personas con discapacidad en la habilitación, como parte del sistema de preferencias para esta población en la contratación pública que impone reglamentar la Ley 1618 de 2013. Este aspecto considerando que “(…) es necesario flexibilizar los requisitos habilitantes de los procesos de contratación para facilitar la participación de las personas con discapacidad, debido a que sin esto el puntaje que también regula el presente Decreto (287 de 2026) se vuelve inocuo porque no se podría aplicar si las personas con discapacidad no superan el primer filtro, que resulta de la aplicación de los requisitos habilitantes que pueden resultar un impedimento para la posterior evaluación de su oferta y que pueda tener efectividad el puntaje”</w:t>
      </w:r>
      <w:r w:rsidRPr="001B3C5D">
        <w:rPr>
          <w:rFonts w:ascii="Verdana" w:eastAsia="Aptos" w:hAnsi="Verdana" w:cs="Times New Roman"/>
          <w:kern w:val="2"/>
          <w:vertAlign w:val="superscript"/>
          <w14:ligatures w14:val="standardContextual"/>
        </w:rPr>
        <w:footnoteReference w:id="10"/>
      </w:r>
      <w:r w:rsidRPr="001B3C5D">
        <w:rPr>
          <w:rFonts w:ascii="Verdana" w:eastAsia="Aptos" w:hAnsi="Verdana" w:cs="Times New Roman"/>
          <w:kern w:val="2"/>
          <w14:ligatures w14:val="standardContextual"/>
        </w:rPr>
        <w:t xml:space="preserve">. </w:t>
      </w:r>
    </w:p>
    <w:p w14:paraId="684DF686" w14:textId="77777777" w:rsidR="00FE5496" w:rsidRPr="001B3C5D" w:rsidRDefault="00FE5496" w:rsidP="00FE549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vi) El artículo 1, </w:t>
      </w:r>
      <w:r>
        <w:rPr>
          <w:rFonts w:ascii="Verdana" w:eastAsia="Aptos" w:hAnsi="Verdana" w:cs="Times New Roman"/>
          <w:kern w:val="2"/>
          <w14:ligatures w14:val="standardContextual"/>
        </w:rPr>
        <w:t>incluye</w:t>
      </w:r>
      <w:r w:rsidRPr="001B3C5D">
        <w:rPr>
          <w:rFonts w:ascii="Verdana" w:eastAsia="Aptos" w:hAnsi="Verdana" w:cs="Times New Roman"/>
          <w:kern w:val="2"/>
          <w14:ligatures w14:val="standardContextual"/>
        </w:rPr>
        <w:t xml:space="preserve"> el artículo 2.1.2.4.2.7.4 del Decreto 1082 de 2015. Así, se establece un puntaje adicional en favor de los empleadores de personas con discapacidad y de los emprendimientos y empresas de personas con </w:t>
      </w:r>
      <w:r w:rsidRPr="001B3C5D">
        <w:rPr>
          <w:rFonts w:ascii="Verdana" w:eastAsia="Aptos" w:hAnsi="Verdana" w:cs="Times New Roman"/>
          <w:kern w:val="2"/>
          <w14:ligatures w14:val="standardContextual"/>
        </w:rPr>
        <w:lastRenderedPageBreak/>
        <w:t xml:space="preserve">discapacidad del dos por ciento (2%) del valor total de los puntos establecidos en el pliego de condiciones o documentos equivalentes, para promover la inclusión laboral de personas con discapacidad en los procedimientos de licitación pública y concurso de méritos que adelanten las entidades estatales, cuando se configuren las situaciones previstas en ese artículo. </w:t>
      </w:r>
    </w:p>
    <w:p w14:paraId="11F76C24" w14:textId="77777777" w:rsidR="00FE5496" w:rsidRPr="001B3C5D" w:rsidRDefault="00FE5496" w:rsidP="00FE549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vii)</w:t>
      </w:r>
      <w:r>
        <w:rPr>
          <w:rFonts w:ascii="Verdana" w:eastAsia="Aptos" w:hAnsi="Verdana" w:cs="Times New Roman"/>
          <w:kern w:val="2"/>
          <w14:ligatures w14:val="standardContextual"/>
        </w:rPr>
        <w:t xml:space="preserve"> </w:t>
      </w:r>
      <w:r w:rsidRPr="001B3C5D">
        <w:rPr>
          <w:rFonts w:ascii="Verdana" w:eastAsia="Aptos" w:hAnsi="Verdana" w:cs="Times New Roman"/>
          <w:kern w:val="2"/>
          <w14:ligatures w14:val="standardContextual"/>
        </w:rPr>
        <w:t xml:space="preserve">El artículo 1, </w:t>
      </w:r>
      <w:r>
        <w:rPr>
          <w:rFonts w:ascii="Verdana" w:eastAsia="Aptos" w:hAnsi="Verdana" w:cs="Times New Roman"/>
          <w:kern w:val="2"/>
          <w14:ligatures w14:val="standardContextual"/>
        </w:rPr>
        <w:t>incluye</w:t>
      </w:r>
      <w:r w:rsidRPr="001B3C5D">
        <w:rPr>
          <w:rFonts w:ascii="Verdana" w:eastAsia="Aptos" w:hAnsi="Verdana" w:cs="Times New Roman"/>
          <w:kern w:val="2"/>
          <w14:ligatures w14:val="standardContextual"/>
        </w:rPr>
        <w:t xml:space="preserve"> el artículo 2.2.1.2.4.2.7.5. del Decreto 1082 de 2015, indicando condiciones especiales de sujeción en favor de personas con discapacidad, que deberán incluir las entidades estatales como obligación contractual en los documentos del proceso, previo análisis de oportunidad y conveniencia. </w:t>
      </w:r>
    </w:p>
    <w:p w14:paraId="5BFC6569" w14:textId="77777777" w:rsidR="00FE5496" w:rsidRPr="001B3C5D" w:rsidRDefault="00FE5496" w:rsidP="00FE549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viii) El artículo 1, </w:t>
      </w:r>
      <w:r>
        <w:rPr>
          <w:rFonts w:ascii="Verdana" w:eastAsia="Aptos" w:hAnsi="Verdana" w:cs="Times New Roman"/>
          <w:kern w:val="2"/>
          <w14:ligatures w14:val="standardContextual"/>
        </w:rPr>
        <w:t>incluye</w:t>
      </w:r>
      <w:r w:rsidRPr="001B3C5D">
        <w:rPr>
          <w:rFonts w:ascii="Verdana" w:eastAsia="Aptos" w:hAnsi="Verdana" w:cs="Times New Roman"/>
          <w:kern w:val="2"/>
          <w14:ligatures w14:val="standardContextual"/>
        </w:rPr>
        <w:t xml:space="preserve"> el artículo 2.2.1.2.4.2.7.6. del Decreto 1082 de 2015, </w:t>
      </w:r>
      <w:r>
        <w:rPr>
          <w:rFonts w:ascii="Verdana" w:eastAsia="Aptos" w:hAnsi="Verdana" w:cs="Times New Roman"/>
          <w:kern w:val="2"/>
          <w14:ligatures w14:val="standardContextual"/>
        </w:rPr>
        <w:t>contemplando</w:t>
      </w:r>
      <w:r w:rsidRPr="001B3C5D">
        <w:rPr>
          <w:rFonts w:ascii="Verdana" w:eastAsia="Aptos" w:hAnsi="Verdana" w:cs="Times New Roman"/>
          <w:kern w:val="2"/>
          <w14:ligatures w14:val="standardContextual"/>
        </w:rPr>
        <w:t xml:space="preserve"> que, las Entidades Estatales propenderán por la contratación de personas con discapacidad mediante la celebración de contratos de prestación de servicios profesionales y/o de apoyo a la gestión, de acuerdo con su planeación contractual, disponibilidad presupuestal y las necesidades del servicio.</w:t>
      </w:r>
    </w:p>
    <w:p w14:paraId="7CCB6028" w14:textId="77777777" w:rsidR="00FE5496" w:rsidRDefault="00FE5496" w:rsidP="00FE549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ix) El artículo 1, </w:t>
      </w:r>
      <w:r>
        <w:rPr>
          <w:rFonts w:ascii="Verdana" w:eastAsia="Aptos" w:hAnsi="Verdana" w:cs="Times New Roman"/>
          <w:kern w:val="2"/>
          <w14:ligatures w14:val="standardContextual"/>
        </w:rPr>
        <w:t>incluye</w:t>
      </w:r>
      <w:r w:rsidRPr="001B3C5D">
        <w:rPr>
          <w:rFonts w:ascii="Verdana" w:eastAsia="Aptos" w:hAnsi="Verdana" w:cs="Times New Roman"/>
          <w:kern w:val="2"/>
          <w14:ligatures w14:val="standardContextual"/>
        </w:rPr>
        <w:t xml:space="preserve"> el artículo 2.2.1.2.4.2.7.</w:t>
      </w:r>
      <w:r>
        <w:rPr>
          <w:rFonts w:ascii="Verdana" w:eastAsia="Aptos" w:hAnsi="Verdana" w:cs="Times New Roman"/>
          <w:kern w:val="2"/>
          <w14:ligatures w14:val="standardContextual"/>
        </w:rPr>
        <w:t>7</w:t>
      </w:r>
      <w:r w:rsidRPr="001B3C5D">
        <w:rPr>
          <w:rFonts w:ascii="Verdana" w:eastAsia="Aptos" w:hAnsi="Verdana" w:cs="Times New Roman"/>
          <w:kern w:val="2"/>
          <w14:ligatures w14:val="standardContextual"/>
        </w:rPr>
        <w:t>. del Decreto 1082 de 2015, que</w:t>
      </w:r>
      <w:r>
        <w:rPr>
          <w:rFonts w:ascii="Verdana" w:eastAsia="Aptos" w:hAnsi="Verdana" w:cs="Times New Roman"/>
          <w:kern w:val="2"/>
          <w14:ligatures w14:val="standardContextual"/>
        </w:rPr>
        <w:t xml:space="preserve"> incorpora el</w:t>
      </w:r>
      <w:r w:rsidRPr="004B7044">
        <w:t xml:space="preserve"> </w:t>
      </w:r>
      <w:r w:rsidRPr="004B7044">
        <w:rPr>
          <w:rFonts w:ascii="Verdana" w:eastAsia="Aptos" w:hAnsi="Verdana" w:cs="Times New Roman"/>
          <w:kern w:val="2"/>
          <w14:ligatures w14:val="standardContextual"/>
        </w:rPr>
        <w:t>seguimiento a la inclusión de personas con discapacidad a través de contratos de prestación de servicios profesionales y lo de apoyo a la gestión.</w:t>
      </w:r>
    </w:p>
    <w:p w14:paraId="2134D7C4" w14:textId="77777777" w:rsidR="00FE5496" w:rsidRDefault="00FE5496" w:rsidP="00FE5496">
      <w:pPr>
        <w:widowControl w:val="0"/>
        <w:autoSpaceDE w:val="0"/>
        <w:autoSpaceDN w:val="0"/>
        <w:spacing w:after="120" w:line="276" w:lineRule="auto"/>
        <w:ind w:firstLine="708"/>
        <w:jc w:val="both"/>
        <w:rPr>
          <w:rFonts w:ascii="Verdana" w:eastAsia="Aptos" w:hAnsi="Verdana" w:cs="Times New Roman"/>
          <w:kern w:val="2"/>
          <w14:ligatures w14:val="standardContextual"/>
        </w:rPr>
      </w:pPr>
      <w:r>
        <w:rPr>
          <w:rFonts w:ascii="Verdana" w:eastAsia="Aptos" w:hAnsi="Verdana" w:cs="Times New Roman"/>
          <w:kern w:val="2"/>
          <w14:ligatures w14:val="standardContextual"/>
        </w:rPr>
        <w:t xml:space="preserve">x) </w:t>
      </w:r>
      <w:r w:rsidRPr="001B3C5D">
        <w:rPr>
          <w:rFonts w:ascii="Verdana" w:eastAsia="Aptos" w:hAnsi="Verdana" w:cs="Times New Roman"/>
          <w:kern w:val="2"/>
          <w14:ligatures w14:val="standardContextual"/>
        </w:rPr>
        <w:t>El artículo 1, modifica el artículo 2.2.1.2.4.2.7.8 del Decreto 1082 de 2015</w:t>
      </w:r>
      <w:r>
        <w:rPr>
          <w:rFonts w:ascii="Verdana" w:eastAsia="Aptos" w:hAnsi="Verdana" w:cs="Times New Roman"/>
          <w:kern w:val="2"/>
          <w14:ligatures w14:val="standardContextual"/>
        </w:rPr>
        <w:t xml:space="preserve"> y</w:t>
      </w:r>
      <w:r w:rsidRPr="001B3C5D">
        <w:rPr>
          <w:rFonts w:ascii="Verdana" w:eastAsia="Aptos" w:hAnsi="Verdana" w:cs="Times New Roman"/>
          <w:kern w:val="2"/>
          <w14:ligatures w14:val="standardContextual"/>
        </w:rPr>
        <w:t xml:space="preserve"> dispone que, la Agencia Nacional de Contratación Pública –Colombia Compra Eficiente garantizará la adopción permanente de las acciones necesarias para que las medidas señaladas en favor de las Personas con Discapacidad se incorporen a los documentos e instrumentos que genera. </w:t>
      </w:r>
    </w:p>
    <w:p w14:paraId="03465026" w14:textId="77777777" w:rsidR="00FE5496" w:rsidRDefault="00FE5496" w:rsidP="00FE5496">
      <w:pPr>
        <w:widowControl w:val="0"/>
        <w:autoSpaceDE w:val="0"/>
        <w:autoSpaceDN w:val="0"/>
        <w:spacing w:after="120" w:line="276" w:lineRule="auto"/>
        <w:ind w:firstLine="708"/>
        <w:jc w:val="both"/>
        <w:rPr>
          <w:rFonts w:ascii="Verdana" w:eastAsia="Aptos" w:hAnsi="Verdana" w:cs="Times New Roman"/>
          <w:kern w:val="2"/>
          <w14:ligatures w14:val="standardContextual"/>
        </w:rPr>
      </w:pPr>
      <w:r>
        <w:rPr>
          <w:rFonts w:ascii="Verdana" w:eastAsia="Aptos" w:hAnsi="Verdana" w:cs="Times New Roman"/>
          <w:kern w:val="2"/>
          <w14:ligatures w14:val="standardContextual"/>
        </w:rPr>
        <w:t>xi)</w:t>
      </w:r>
      <w:r w:rsidRPr="007C6E53">
        <w:rPr>
          <w:rFonts w:ascii="Verdana" w:eastAsia="Aptos" w:hAnsi="Verdana" w:cs="Times New Roman"/>
          <w:kern w:val="2"/>
          <w14:ligatures w14:val="standardContextual"/>
        </w:rPr>
        <w:t xml:space="preserve"> </w:t>
      </w:r>
      <w:r w:rsidRPr="0046297E">
        <w:rPr>
          <w:rFonts w:ascii="Verdana" w:eastAsia="Aptos" w:hAnsi="Verdana" w:cs="Times New Roman"/>
          <w:color w:val="000000" w:themeColor="text1"/>
          <w:kern w:val="2"/>
          <w14:ligatures w14:val="standardContextual"/>
        </w:rPr>
        <w:t>El artículo 1, incluye el artículo 2.2.1.2.4.2.7.9 del Decreto 1082 de 2015</w:t>
      </w:r>
      <w:r w:rsidRPr="0046297E">
        <w:rPr>
          <w:rFonts w:ascii="Work Sans" w:hAnsi="Work Sans"/>
          <w:b/>
          <w:bCs/>
          <w:color w:val="000000" w:themeColor="text1"/>
          <w:sz w:val="25"/>
          <w:szCs w:val="25"/>
          <w:shd w:val="clear" w:color="auto" w:fill="FFFFFF"/>
        </w:rPr>
        <w:t xml:space="preserve"> </w:t>
      </w:r>
      <w:r w:rsidRPr="0046297E">
        <w:rPr>
          <w:rFonts w:ascii="Verdana" w:hAnsi="Verdana"/>
          <w:color w:val="000000" w:themeColor="text1"/>
          <w:shd w:val="clear" w:color="auto" w:fill="FFFFFF"/>
        </w:rPr>
        <w:t>que establece lo referente al</w:t>
      </w:r>
      <w:r w:rsidRPr="0046297E">
        <w:rPr>
          <w:rFonts w:ascii="Work Sans" w:hAnsi="Work Sans"/>
          <w:b/>
          <w:bCs/>
          <w:color w:val="000000" w:themeColor="text1"/>
          <w:sz w:val="25"/>
          <w:szCs w:val="25"/>
          <w:shd w:val="clear" w:color="auto" w:fill="FFFFFF"/>
        </w:rPr>
        <w:t xml:space="preserve"> </w:t>
      </w:r>
      <w:r w:rsidRPr="0046297E">
        <w:rPr>
          <w:rFonts w:ascii="Verdana" w:eastAsia="Aptos" w:hAnsi="Verdana" w:cs="Times New Roman"/>
          <w:color w:val="000000" w:themeColor="text1"/>
          <w:kern w:val="2"/>
          <w14:ligatures w14:val="standardContextual"/>
        </w:rPr>
        <w:t>acceso y accesibilidad del sistema electrónico de contratación pública - SECOP. </w:t>
      </w:r>
    </w:p>
    <w:p w14:paraId="3B7D8265" w14:textId="77777777" w:rsidR="00FE5496" w:rsidRDefault="00FE5496" w:rsidP="00FE5496">
      <w:pPr>
        <w:widowControl w:val="0"/>
        <w:autoSpaceDE w:val="0"/>
        <w:autoSpaceDN w:val="0"/>
        <w:spacing w:after="120" w:line="276" w:lineRule="auto"/>
        <w:jc w:val="both"/>
        <w:rPr>
          <w:rFonts w:ascii="Verdana" w:eastAsia="Aptos" w:hAnsi="Verdana" w:cs="Times New Roman"/>
          <w:kern w:val="2"/>
          <w14:ligatures w14:val="standardContextual"/>
        </w:rPr>
      </w:pPr>
      <w:r>
        <w:rPr>
          <w:rFonts w:ascii="Verdana" w:eastAsia="Aptos" w:hAnsi="Verdana" w:cs="Times New Roman"/>
          <w:kern w:val="2"/>
          <w14:ligatures w14:val="standardContextual"/>
        </w:rPr>
        <w:t xml:space="preserve">ii. Ahora bien, de acuerdo con las inquietudes planteadas, resulta necesario realizar algunas precisiones en relación con el alcance de lo dispuesto en los artículos </w:t>
      </w:r>
      <w:r w:rsidRPr="001B3C5D">
        <w:rPr>
          <w:rFonts w:ascii="Verdana" w:eastAsia="Aptos" w:hAnsi="Verdana" w:cs="Times New Roman"/>
          <w:kern w:val="2"/>
          <w14:ligatures w14:val="standardContextual"/>
        </w:rPr>
        <w:t>2.2.1.2.4.2.6</w:t>
      </w:r>
      <w:r>
        <w:rPr>
          <w:rFonts w:ascii="Verdana" w:eastAsia="Aptos" w:hAnsi="Verdana" w:cs="Times New Roman"/>
          <w:kern w:val="2"/>
          <w14:ligatures w14:val="standardContextual"/>
        </w:rPr>
        <w:t xml:space="preserve">, numeral 4, y </w:t>
      </w:r>
      <w:r w:rsidRPr="001B3C5D">
        <w:rPr>
          <w:rFonts w:ascii="Verdana" w:eastAsia="Aptos" w:hAnsi="Verdana" w:cs="Times New Roman"/>
          <w:kern w:val="2"/>
          <w14:ligatures w14:val="standardContextual"/>
        </w:rPr>
        <w:t xml:space="preserve">2.1.2.4.2.7.4 </w:t>
      </w:r>
      <w:r>
        <w:rPr>
          <w:rFonts w:ascii="Verdana" w:eastAsia="Aptos" w:hAnsi="Verdana" w:cs="Times New Roman"/>
          <w:kern w:val="2"/>
          <w14:ligatures w14:val="standardContextual"/>
        </w:rPr>
        <w:t xml:space="preserve">del Decreto 287 de 2026.  </w:t>
      </w:r>
    </w:p>
    <w:p w14:paraId="59002632" w14:textId="77777777" w:rsidR="00FE5496" w:rsidRDefault="00FE5496" w:rsidP="00FE5496">
      <w:pPr>
        <w:widowControl w:val="0"/>
        <w:autoSpaceDE w:val="0"/>
        <w:autoSpaceDN w:val="0"/>
        <w:spacing w:after="120" w:line="276" w:lineRule="auto"/>
        <w:ind w:firstLine="709"/>
        <w:jc w:val="both"/>
        <w:rPr>
          <w:rFonts w:ascii="Verdana" w:hAnsi="Verdana"/>
        </w:rPr>
      </w:pPr>
      <w:r>
        <w:rPr>
          <w:rFonts w:ascii="Verdana" w:eastAsia="Calibri" w:hAnsi="Verdana" w:cs="Arial"/>
          <w:lang w:val="es-ES_tradnl"/>
        </w:rPr>
        <w:t>Como se indicó, e</w:t>
      </w:r>
      <w:r w:rsidRPr="001D0D1B">
        <w:rPr>
          <w:rFonts w:ascii="Verdana" w:eastAsia="Calibri" w:hAnsi="Verdana" w:cs="Arial"/>
          <w:lang w:val="es-ES_tradnl"/>
        </w:rPr>
        <w:t xml:space="preserve">l artículo </w:t>
      </w:r>
      <w:r w:rsidRPr="001B3C5D">
        <w:rPr>
          <w:rFonts w:ascii="Verdana" w:eastAsia="Aptos" w:hAnsi="Verdana" w:cs="Times New Roman"/>
          <w:kern w:val="2"/>
          <w14:ligatures w14:val="standardContextual"/>
        </w:rPr>
        <w:t>2.2.1.2.4.2.6</w:t>
      </w:r>
      <w:r>
        <w:rPr>
          <w:rFonts w:ascii="Verdana" w:eastAsia="Aptos" w:hAnsi="Verdana" w:cs="Times New Roman"/>
          <w:kern w:val="2"/>
          <w14:ligatures w14:val="standardContextual"/>
        </w:rPr>
        <w:t xml:space="preserve"> </w:t>
      </w:r>
      <w:r w:rsidRPr="001B3C5D">
        <w:rPr>
          <w:rFonts w:ascii="Verdana" w:eastAsia="Aptos" w:hAnsi="Verdana" w:cs="Times New Roman"/>
          <w:kern w:val="2"/>
          <w14:ligatures w14:val="standardContextual"/>
        </w:rPr>
        <w:t>incorpora la definición de emprendimientos y empresas de personas con discapacidad</w:t>
      </w:r>
      <w:r>
        <w:rPr>
          <w:rFonts w:ascii="Verdana" w:eastAsia="Calibri" w:hAnsi="Verdana" w:cs="Arial"/>
          <w:lang w:val="es-ES_tradnl"/>
        </w:rPr>
        <w:t xml:space="preserve"> y </w:t>
      </w:r>
      <w:r>
        <w:rPr>
          <w:rFonts w:ascii="Verdana" w:hAnsi="Verdana"/>
        </w:rPr>
        <w:t xml:space="preserve">consagra cuatro criterios alternativos en atención a los cuales una persona natural o jurídica </w:t>
      </w:r>
      <w:r>
        <w:rPr>
          <w:rFonts w:ascii="Verdana" w:hAnsi="Verdana"/>
        </w:rPr>
        <w:lastRenderedPageBreak/>
        <w:t>puede acceder a los criterios diferenciales y puntaje adicional en favor de ellos</w:t>
      </w:r>
      <w:r>
        <w:rPr>
          <w:rFonts w:ascii="Verdana" w:eastAsia="Calibri" w:hAnsi="Verdana" w:cs="Arial"/>
          <w:lang w:val="es-ES_tradnl"/>
        </w:rPr>
        <w:t xml:space="preserve">, siendo suficiente la configuración de uno de estos criterios para que se materialice la respectiva definición respecto de sujeto en particular. </w:t>
      </w:r>
      <w:r>
        <w:rPr>
          <w:rFonts w:ascii="Verdana" w:hAnsi="Verdana"/>
        </w:rPr>
        <w:t>Uno de estos criterios es el definido en el numeral 4 relacionado con la vinculación laboral de a</w:t>
      </w:r>
      <w:r w:rsidRPr="006C4B1D">
        <w:rPr>
          <w:rFonts w:ascii="Verdana" w:hAnsi="Verdana"/>
        </w:rPr>
        <w:t>l menos una persona con discapacidad en empleos del nivel directivo de la empresa</w:t>
      </w:r>
      <w:r>
        <w:rPr>
          <w:rFonts w:ascii="Verdana" w:hAnsi="Verdana"/>
        </w:rPr>
        <w:t xml:space="preserve">, al cual se alude en la consulta. Dicha norma indica lo siguiente:  </w:t>
      </w:r>
    </w:p>
    <w:p w14:paraId="75C64445" w14:textId="77777777" w:rsidR="00FE5496" w:rsidRDefault="00FE5496" w:rsidP="00FE5496">
      <w:pPr>
        <w:spacing w:after="0"/>
        <w:ind w:left="709" w:right="709"/>
        <w:jc w:val="both"/>
        <w:rPr>
          <w:rFonts w:ascii="Verdana" w:hAnsi="Verdana"/>
          <w:i/>
          <w:iCs/>
          <w:sz w:val="21"/>
          <w:szCs w:val="21"/>
        </w:rPr>
      </w:pPr>
    </w:p>
    <w:p w14:paraId="523611C9" w14:textId="77777777" w:rsidR="00FE5496" w:rsidRDefault="00FE5496" w:rsidP="00FE5496">
      <w:pPr>
        <w:spacing w:after="0" w:line="240" w:lineRule="auto"/>
        <w:ind w:left="709" w:right="709"/>
        <w:jc w:val="both"/>
        <w:rPr>
          <w:rFonts w:ascii="Verdana" w:hAnsi="Verdana"/>
          <w:iCs/>
          <w:sz w:val="20"/>
          <w:szCs w:val="20"/>
        </w:rPr>
      </w:pPr>
      <w:r w:rsidRPr="008F5EB5">
        <w:rPr>
          <w:rFonts w:ascii="Verdana" w:hAnsi="Verdana"/>
          <w:iCs/>
          <w:sz w:val="20"/>
          <w:szCs w:val="20"/>
        </w:rPr>
        <w:t>“ARTÍCULO 2.2.1.2.4.2.6. DEFINICIÓN DE EMPRENDIMIENTOS Y EMPRESAS DE PERSONAS CON DISCAPACIDAD. Con el propósito de adoptar medidas afirmativas que incentiven la participación de las personas con discapacidad en el sistema de compras y contratación Pública, mediante la reglamentación del puntaje al que se refiere el numeral 1 del artículo 13 de la Ley 1618 de 2013 y el desarrollo del sistema de preferencias del numeral 8 del mismo artículo, se entenderán com</w:t>
      </w:r>
      <w:r>
        <w:rPr>
          <w:rFonts w:ascii="Verdana" w:hAnsi="Verdana"/>
          <w:iCs/>
          <w:sz w:val="20"/>
          <w:szCs w:val="20"/>
        </w:rPr>
        <w:t>o</w:t>
      </w:r>
      <w:r w:rsidRPr="008F5EB5">
        <w:rPr>
          <w:rFonts w:ascii="Verdana" w:hAnsi="Verdana"/>
          <w:iCs/>
          <w:sz w:val="20"/>
          <w:szCs w:val="20"/>
        </w:rPr>
        <w:t xml:space="preserve"> emprendimientos y empresas de personas con discapacidad aquellos que cumplan con alguna de las siguientes condiciones:</w:t>
      </w:r>
    </w:p>
    <w:p w14:paraId="7F553CA2" w14:textId="77777777" w:rsidR="00FE5496" w:rsidRPr="008F5EB5" w:rsidRDefault="00FE5496" w:rsidP="00FE5496">
      <w:pPr>
        <w:spacing w:after="0" w:line="240" w:lineRule="auto"/>
        <w:ind w:left="709" w:right="709"/>
        <w:jc w:val="both"/>
        <w:rPr>
          <w:rFonts w:ascii="Verdana" w:hAnsi="Verdana"/>
          <w:iCs/>
          <w:sz w:val="20"/>
          <w:szCs w:val="20"/>
        </w:rPr>
      </w:pPr>
    </w:p>
    <w:p w14:paraId="04041348" w14:textId="77777777" w:rsidR="00FE5496" w:rsidRPr="008F5EB5" w:rsidRDefault="00FE5496" w:rsidP="00FE5496">
      <w:pPr>
        <w:spacing w:after="0" w:line="240" w:lineRule="auto"/>
        <w:ind w:left="709" w:right="709"/>
        <w:jc w:val="both"/>
        <w:rPr>
          <w:rFonts w:ascii="Verdana" w:hAnsi="Verdana"/>
          <w:iCs/>
          <w:sz w:val="20"/>
          <w:szCs w:val="20"/>
        </w:rPr>
      </w:pPr>
      <w:r w:rsidRPr="008F5EB5">
        <w:rPr>
          <w:rFonts w:ascii="Verdana" w:hAnsi="Verdana"/>
          <w:iCs/>
          <w:sz w:val="20"/>
          <w:szCs w:val="20"/>
        </w:rPr>
        <w:t>[…]</w:t>
      </w:r>
    </w:p>
    <w:p w14:paraId="2B647185" w14:textId="77777777" w:rsidR="00FE5496" w:rsidRPr="008F5EB5" w:rsidRDefault="00FE5496" w:rsidP="00FE5496">
      <w:pPr>
        <w:spacing w:after="0" w:line="240" w:lineRule="auto"/>
        <w:ind w:left="709" w:right="709"/>
        <w:jc w:val="both"/>
        <w:rPr>
          <w:rFonts w:ascii="Verdana" w:hAnsi="Verdana"/>
          <w:iCs/>
          <w:sz w:val="20"/>
          <w:szCs w:val="20"/>
        </w:rPr>
      </w:pPr>
    </w:p>
    <w:p w14:paraId="4763D647" w14:textId="77777777" w:rsidR="00FE5496" w:rsidRPr="008F5EB5" w:rsidRDefault="00FE5496" w:rsidP="00FE5496">
      <w:pPr>
        <w:spacing w:after="0" w:line="240" w:lineRule="auto"/>
        <w:ind w:left="709" w:right="709"/>
        <w:jc w:val="both"/>
        <w:rPr>
          <w:rFonts w:ascii="Verdana" w:hAnsi="Verdana"/>
          <w:iCs/>
          <w:sz w:val="20"/>
          <w:szCs w:val="20"/>
        </w:rPr>
      </w:pPr>
      <w:r w:rsidRPr="008F5EB5">
        <w:rPr>
          <w:rFonts w:ascii="Verdana" w:hAnsi="Verdana"/>
          <w:iCs/>
          <w:sz w:val="20"/>
          <w:szCs w:val="20"/>
        </w:rPr>
        <w:t>4) Personas jurídicas que tengan vinculadas laboralmente al menos una persona con discapacidad en empleos del nivel directivo de la empresa durante al menos el último año anterior a la fecha de cierre del Proceso de Selección en el mismo cargo u otro del mismo nivel.</w:t>
      </w:r>
    </w:p>
    <w:p w14:paraId="5C204F43" w14:textId="77777777" w:rsidR="00FE5496" w:rsidRPr="008F5EB5" w:rsidRDefault="00FE5496" w:rsidP="00FE5496">
      <w:pPr>
        <w:spacing w:after="0" w:line="240" w:lineRule="auto"/>
        <w:ind w:left="709" w:right="709"/>
        <w:jc w:val="both"/>
        <w:rPr>
          <w:rFonts w:ascii="Verdana" w:hAnsi="Verdana"/>
          <w:iCs/>
          <w:sz w:val="20"/>
          <w:szCs w:val="20"/>
        </w:rPr>
      </w:pPr>
    </w:p>
    <w:p w14:paraId="5E8DA5A3" w14:textId="77777777" w:rsidR="00FE5496" w:rsidRPr="008F5EB5" w:rsidRDefault="00FE5496" w:rsidP="00FE5496">
      <w:pPr>
        <w:spacing w:after="0" w:line="240" w:lineRule="auto"/>
        <w:ind w:left="709" w:right="709"/>
        <w:jc w:val="both"/>
        <w:rPr>
          <w:rFonts w:ascii="Verdana" w:hAnsi="Verdana"/>
          <w:iCs/>
          <w:sz w:val="20"/>
          <w:szCs w:val="20"/>
        </w:rPr>
      </w:pPr>
      <w:r w:rsidRPr="008F5EB5">
        <w:rPr>
          <w:rFonts w:ascii="Verdana" w:hAnsi="Verdana"/>
          <w:iCs/>
          <w:sz w:val="20"/>
          <w:szCs w:val="20"/>
        </w:rPr>
        <w:t>Por otra parte, 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7B18586B" w14:textId="77777777" w:rsidR="00FE5496" w:rsidRPr="008F5EB5" w:rsidRDefault="00FE5496" w:rsidP="00FE5496">
      <w:pPr>
        <w:spacing w:after="0" w:line="240" w:lineRule="auto"/>
        <w:ind w:left="709" w:right="709"/>
        <w:jc w:val="both"/>
        <w:rPr>
          <w:rFonts w:ascii="Verdana" w:hAnsi="Verdana"/>
          <w:iCs/>
          <w:sz w:val="20"/>
          <w:szCs w:val="20"/>
        </w:rPr>
      </w:pPr>
    </w:p>
    <w:p w14:paraId="70050AE3" w14:textId="77777777" w:rsidR="00FE5496" w:rsidRPr="008F5EB5" w:rsidRDefault="00FE5496" w:rsidP="00FE5496">
      <w:pPr>
        <w:spacing w:after="0" w:line="240" w:lineRule="auto"/>
        <w:ind w:left="709" w:right="709"/>
        <w:jc w:val="both"/>
        <w:rPr>
          <w:rFonts w:ascii="Verdana" w:hAnsi="Verdana"/>
          <w:iCs/>
          <w:sz w:val="20"/>
          <w:szCs w:val="20"/>
        </w:rPr>
      </w:pPr>
      <w:r w:rsidRPr="008F5EB5">
        <w:rPr>
          <w:rFonts w:ascii="Verdana" w:hAnsi="Verdana"/>
          <w:iCs/>
          <w:sz w:val="20"/>
          <w:szCs w:val="20"/>
        </w:rPr>
        <w:t>Esta circunstancia se acreditará mediante certificación expedida por el representante legal y el revisor fiscal, cuando exista de acuerdo con los requerimientos de ley, o el contador, donde se señale de manera detallada las personas con discapacidad que ocupan cargos de nivel directivo del proponente y el tiempo de vinculación.</w:t>
      </w:r>
    </w:p>
    <w:p w14:paraId="0C7F96C9" w14:textId="77777777" w:rsidR="00FE5496" w:rsidRPr="008F5EB5" w:rsidRDefault="00FE5496" w:rsidP="00FE5496">
      <w:pPr>
        <w:spacing w:after="0" w:line="240" w:lineRule="auto"/>
        <w:ind w:right="709"/>
        <w:jc w:val="both"/>
        <w:rPr>
          <w:rFonts w:ascii="Verdana" w:hAnsi="Verdana"/>
          <w:iCs/>
          <w:sz w:val="20"/>
          <w:szCs w:val="20"/>
        </w:rPr>
      </w:pPr>
    </w:p>
    <w:p w14:paraId="15C85B4A" w14:textId="77777777" w:rsidR="00FE5496" w:rsidRPr="008F5EB5" w:rsidRDefault="00FE5496" w:rsidP="00FE5496">
      <w:pPr>
        <w:spacing w:after="0" w:line="240" w:lineRule="auto"/>
        <w:ind w:left="709" w:right="709"/>
        <w:jc w:val="both"/>
        <w:rPr>
          <w:rFonts w:ascii="Verdana" w:hAnsi="Verdana"/>
          <w:iCs/>
          <w:sz w:val="20"/>
          <w:szCs w:val="20"/>
        </w:rPr>
      </w:pPr>
      <w:r w:rsidRPr="008F5EB5">
        <w:rPr>
          <w:rFonts w:ascii="Verdana" w:hAnsi="Verdana"/>
          <w:iCs/>
          <w:sz w:val="20"/>
          <w:szCs w:val="20"/>
        </w:rPr>
        <w:t xml:space="preserve">La certificación deberá relacionar el nombre completo y el número de documento de identidad de las personas con discapacidad que ocupan cargos de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w:t>
      </w:r>
      <w:r w:rsidRPr="008F5EB5">
        <w:rPr>
          <w:rFonts w:ascii="Verdana" w:hAnsi="Verdana"/>
          <w:iCs/>
          <w:sz w:val="20"/>
          <w:szCs w:val="20"/>
        </w:rPr>
        <w:lastRenderedPageBreak/>
        <w:t>pagos realizados por el empleador, y el certificado de discapacidad expedido de acuerdo con la normativa del Ministerio de Salud y Protección Social</w:t>
      </w:r>
    </w:p>
    <w:p w14:paraId="4262D730" w14:textId="77777777" w:rsidR="00FE5496" w:rsidRPr="008F5EB5" w:rsidRDefault="00FE5496" w:rsidP="00FE5496">
      <w:pPr>
        <w:spacing w:after="0" w:line="240" w:lineRule="auto"/>
        <w:ind w:left="709" w:right="709"/>
        <w:jc w:val="both"/>
        <w:rPr>
          <w:rFonts w:ascii="Verdana" w:hAnsi="Verdana"/>
          <w:iCs/>
          <w:sz w:val="20"/>
          <w:szCs w:val="20"/>
        </w:rPr>
      </w:pPr>
    </w:p>
    <w:p w14:paraId="64E613D8" w14:textId="77777777" w:rsidR="00FE5496" w:rsidRPr="008F5EB5" w:rsidRDefault="00FE5496" w:rsidP="00FE5496">
      <w:pPr>
        <w:spacing w:after="0" w:line="240" w:lineRule="auto"/>
        <w:ind w:left="709" w:right="709"/>
        <w:jc w:val="both"/>
        <w:rPr>
          <w:rFonts w:ascii="Verdana" w:hAnsi="Verdana"/>
          <w:iCs/>
          <w:sz w:val="20"/>
          <w:szCs w:val="20"/>
        </w:rPr>
      </w:pPr>
      <w:r w:rsidRPr="008F5EB5">
        <w:rPr>
          <w:rFonts w:ascii="Verdana" w:hAnsi="Verdana"/>
          <w:iCs/>
          <w:sz w:val="20"/>
          <w:szCs w:val="20"/>
        </w:rPr>
        <w:t>PARÁGRAFO. Respecto de los incentivos contractuales para los emprendimientos y empresas de personas con discapacidad, las certificaciones de que trata el presente artículo deben expedirse bajo la gravedad de juramento con una fecha de máxima treinta (30) días calendario anteriores a la prevista para el cierre del procedimiento de selección.</w:t>
      </w:r>
    </w:p>
    <w:p w14:paraId="69942347" w14:textId="77777777" w:rsidR="00FE5496" w:rsidRDefault="00FE5496" w:rsidP="00FE5496">
      <w:pPr>
        <w:spacing w:after="0"/>
        <w:ind w:left="709" w:right="709"/>
        <w:jc w:val="both"/>
        <w:rPr>
          <w:rFonts w:ascii="Verdana" w:hAnsi="Verdana"/>
          <w:i/>
          <w:iCs/>
          <w:sz w:val="21"/>
          <w:szCs w:val="21"/>
        </w:rPr>
      </w:pPr>
    </w:p>
    <w:p w14:paraId="731A4484" w14:textId="77777777" w:rsidR="00FE5496" w:rsidRPr="008D0137" w:rsidRDefault="00FE5496" w:rsidP="00FE549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7C3182">
        <w:rPr>
          <w:rFonts w:ascii="Verdana" w:hAnsi="Verdana"/>
        </w:rPr>
        <w:t xml:space="preserve">De acuerdo con el numeral citado, una persona jurídica podrá ser considerada como un </w:t>
      </w:r>
      <w:r w:rsidRPr="008D0137">
        <w:rPr>
          <w:rFonts w:ascii="Verdana" w:eastAsia="Aptos" w:hAnsi="Verdana" w:cs="Times New Roman"/>
          <w:kern w:val="2"/>
          <w14:ligatures w14:val="standardContextual"/>
        </w:rPr>
        <w:t xml:space="preserve">emprendimiento o empresa de </w:t>
      </w:r>
      <w:r>
        <w:rPr>
          <w:rFonts w:ascii="Verdana" w:eastAsia="Aptos" w:hAnsi="Verdana" w:cs="Times New Roman"/>
          <w:kern w:val="2"/>
          <w14:ligatures w14:val="standardContextual"/>
        </w:rPr>
        <w:t xml:space="preserve">PcD </w:t>
      </w:r>
      <w:r w:rsidRPr="008D0137">
        <w:rPr>
          <w:rFonts w:ascii="Verdana" w:eastAsia="Aptos" w:hAnsi="Verdana" w:cs="Times New Roman"/>
          <w:kern w:val="2"/>
          <w14:ligatures w14:val="standardContextual"/>
        </w:rPr>
        <w:t xml:space="preserve">cuando tengan vinculadas laboralmente al menos una persona con discapacidad en empleos del nivel directivo. </w:t>
      </w:r>
      <w:r>
        <w:rPr>
          <w:rFonts w:ascii="Verdana" w:eastAsia="Arial" w:hAnsi="Verdana" w:cs="Arial"/>
        </w:rPr>
        <w:t>Tales empleos son aquellos relacionados con la dirección de áreas misionales y las decisiones de nivel estratégico</w:t>
      </w:r>
      <w:r>
        <w:rPr>
          <w:rFonts w:ascii="Verdana" w:eastAsia="Arial" w:hAnsi="Verdana" w:cs="Arial"/>
          <w:spacing w:val="1"/>
        </w:rPr>
        <w:t xml:space="preserve"> </w:t>
      </w:r>
      <w:r>
        <w:rPr>
          <w:rFonts w:ascii="Verdana" w:eastAsia="Arial" w:hAnsi="Verdana" w:cs="Arial"/>
        </w:rPr>
        <w:t>de la respectiva empresa</w:t>
      </w:r>
      <w:r>
        <w:rPr>
          <w:rFonts w:ascii="Verdana" w:eastAsia="Aptos" w:hAnsi="Verdana" w:cs="Times New Roman"/>
          <w:kern w:val="2"/>
          <w14:ligatures w14:val="standardContextual"/>
        </w:rPr>
        <w:t xml:space="preserve">. </w:t>
      </w:r>
      <w:r w:rsidRPr="008D0137">
        <w:rPr>
          <w:rFonts w:ascii="Verdana" w:eastAsia="Aptos" w:hAnsi="Verdana" w:cs="Times New Roman"/>
          <w:kern w:val="2"/>
          <w14:ligatures w14:val="standardContextual"/>
        </w:rPr>
        <w:t>De esta manera los cargos directivos deben identificarse de acuerdo con la definición que para el efecto estableció el mismo numeral 4. En ese sentido, independientemente de la denominación del cargo, su naturaleza será directiva bien porque se encuentra en un nivel especial de mando o, porque de acuerdo con su jerarquía, representa al empleador en los términos del artículo 32 del Código Sustantivo del Trabajo</w:t>
      </w:r>
      <w:r w:rsidRPr="006351FC">
        <w:rPr>
          <w:rFonts w:eastAsia="Aptos" w:cs="Times New Roman"/>
          <w:kern w:val="2"/>
          <w:vertAlign w:val="superscript"/>
          <w14:ligatures w14:val="standardContextual"/>
        </w:rPr>
        <w:footnoteReference w:id="11"/>
      </w:r>
      <w:r w:rsidRPr="008D0137">
        <w:rPr>
          <w:rFonts w:ascii="Verdana" w:eastAsia="Aptos" w:hAnsi="Verdana" w:cs="Times New Roman"/>
          <w:kern w:val="2"/>
          <w14:ligatures w14:val="standardContextual"/>
        </w:rPr>
        <w:t>.</w:t>
      </w:r>
    </w:p>
    <w:p w14:paraId="51C3611B" w14:textId="77777777" w:rsidR="00FE5496" w:rsidRPr="008D0137" w:rsidRDefault="00FE5496" w:rsidP="00FE549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D0137">
        <w:rPr>
          <w:rFonts w:ascii="Verdana" w:eastAsia="Aptos" w:hAnsi="Verdana" w:cs="Times New Roman"/>
          <w:kern w:val="2"/>
          <w14:ligatures w14:val="standardContextual"/>
        </w:rPr>
        <w:t xml:space="preserve">Para la aplicación de la definición que se comenta, </w:t>
      </w:r>
      <w:r>
        <w:rPr>
          <w:rFonts w:ascii="Verdana" w:eastAsia="Aptos" w:hAnsi="Verdana" w:cs="Times New Roman"/>
          <w:kern w:val="2"/>
          <w14:ligatures w14:val="standardContextual"/>
        </w:rPr>
        <w:t xml:space="preserve">en primer lugar, </w:t>
      </w:r>
      <w:r w:rsidRPr="008D0137">
        <w:rPr>
          <w:rFonts w:ascii="Verdana" w:eastAsia="Aptos" w:hAnsi="Verdana" w:cs="Times New Roman"/>
          <w:kern w:val="2"/>
          <w14:ligatures w14:val="standardContextual"/>
        </w:rPr>
        <w:t xml:space="preserve">debe tenerse en cuenta únicamente a los empleos del nivel directivo, lo que excluye a los demás empleos de planta de personal, como por ejemplo los operativos. </w:t>
      </w:r>
      <w:r>
        <w:rPr>
          <w:rFonts w:ascii="Verdana" w:eastAsia="Arial" w:hAnsi="Verdana" w:cs="Arial"/>
        </w:rPr>
        <w:t>En segundo lugar,</w:t>
      </w:r>
      <w:r>
        <w:rPr>
          <w:rFonts w:ascii="Verdana" w:eastAsia="Arial" w:hAnsi="Verdana" w:cs="Arial"/>
          <w:spacing w:val="1"/>
        </w:rPr>
        <w:t xml:space="preserve"> </w:t>
      </w:r>
      <w:r>
        <w:rPr>
          <w:rFonts w:ascii="Verdana" w:eastAsia="Calibri" w:hAnsi="Verdana" w:cs="Arial"/>
          <w:lang w:val="es-ES_tradnl"/>
        </w:rPr>
        <w:t xml:space="preserve">se excluyen las personas vinculadas mediante </w:t>
      </w:r>
      <w:r>
        <w:rPr>
          <w:rFonts w:ascii="Verdana" w:eastAsia="Calibri" w:hAnsi="Verdana" w:cs="Arial"/>
          <w:color w:val="000000" w:themeColor="text1"/>
          <w:lang w:val="es-ES"/>
        </w:rPr>
        <w:t>figuras jurídicas</w:t>
      </w:r>
      <w:r>
        <w:rPr>
          <w:rFonts w:ascii="Verdana" w:eastAsia="Calibri" w:hAnsi="Verdana" w:cs="Arial"/>
          <w:lang w:val="es-ES_tradnl"/>
        </w:rPr>
        <w:t xml:space="preserve"> diferentes a un contrato de trabajo, como es el caso de los contratos de prestación de servicios. </w:t>
      </w:r>
      <w:r w:rsidRPr="008D0137">
        <w:rPr>
          <w:rFonts w:ascii="Verdana" w:eastAsia="Aptos" w:hAnsi="Verdana" w:cs="Times New Roman"/>
          <w:kern w:val="2"/>
          <w14:ligatures w14:val="standardContextual"/>
        </w:rPr>
        <w:t xml:space="preserve">En </w:t>
      </w:r>
      <w:r>
        <w:rPr>
          <w:rFonts w:ascii="Verdana" w:eastAsia="Aptos" w:hAnsi="Verdana" w:cs="Times New Roman"/>
          <w:kern w:val="2"/>
          <w14:ligatures w14:val="standardContextual"/>
        </w:rPr>
        <w:t>tercer</w:t>
      </w:r>
      <w:r w:rsidRPr="008D0137">
        <w:rPr>
          <w:rFonts w:ascii="Verdana" w:eastAsia="Aptos" w:hAnsi="Verdana" w:cs="Times New Roman"/>
          <w:kern w:val="2"/>
          <w14:ligatures w14:val="standardContextual"/>
        </w:rPr>
        <w:t xml:space="preserve"> lugar, no basta con que </w:t>
      </w:r>
      <w:r w:rsidRPr="009A055B">
        <w:rPr>
          <w:rFonts w:ascii="Verdana" w:eastAsia="Aptos" w:hAnsi="Verdana" w:cs="Times New Roman"/>
          <w:kern w:val="2"/>
          <w14:ligatures w14:val="standardContextual"/>
        </w:rPr>
        <w:t xml:space="preserve">tengan vinculadas laboralmente al menos una persona con discapacidad </w:t>
      </w:r>
      <w:r w:rsidRPr="008D0137">
        <w:rPr>
          <w:rFonts w:ascii="Verdana" w:eastAsia="Aptos" w:hAnsi="Verdana" w:cs="Times New Roman"/>
          <w:kern w:val="2"/>
          <w14:ligatures w14:val="standardContextual"/>
        </w:rPr>
        <w:t>para que sea considerada como empresa o emprendimiento a los que se refiere la norma, sino que además es necesario que dicha vinculación en el mismo cargo</w:t>
      </w:r>
      <w:r>
        <w:rPr>
          <w:rFonts w:ascii="Verdana" w:eastAsia="Aptos" w:hAnsi="Verdana" w:cs="Times New Roman"/>
          <w:kern w:val="2"/>
          <w14:ligatures w14:val="standardContextual"/>
        </w:rPr>
        <w:t xml:space="preserve"> directivo</w:t>
      </w:r>
      <w:r w:rsidRPr="008D0137">
        <w:rPr>
          <w:rFonts w:ascii="Verdana" w:eastAsia="Aptos" w:hAnsi="Verdana" w:cs="Times New Roman"/>
          <w:kern w:val="2"/>
          <w14:ligatures w14:val="standardContextual"/>
        </w:rPr>
        <w:t xml:space="preserve"> u otro del mismo nivel se haya mantenido como mínimo durante el periodo de un año, contado a partir de la fecha de cierre del proceso de selección. De esta manera, el criterio </w:t>
      </w:r>
      <w:r w:rsidRPr="008D0137">
        <w:rPr>
          <w:rFonts w:ascii="Verdana" w:eastAsia="Aptos" w:hAnsi="Verdana" w:cs="Times New Roman"/>
          <w:kern w:val="2"/>
          <w14:ligatures w14:val="standardContextual"/>
        </w:rPr>
        <w:lastRenderedPageBreak/>
        <w:t xml:space="preserve">establecido en la norma para definir los emprendimientos y empresas de </w:t>
      </w:r>
      <w:r>
        <w:rPr>
          <w:rFonts w:ascii="Verdana" w:eastAsia="Aptos" w:hAnsi="Verdana" w:cs="Times New Roman"/>
          <w:kern w:val="2"/>
          <w14:ligatures w14:val="standardContextual"/>
        </w:rPr>
        <w:t>p</w:t>
      </w:r>
      <w:r w:rsidRPr="008D0137">
        <w:rPr>
          <w:rFonts w:ascii="Verdana" w:eastAsia="Aptos" w:hAnsi="Verdana" w:cs="Times New Roman"/>
          <w:kern w:val="2"/>
          <w14:ligatures w14:val="standardContextual"/>
        </w:rPr>
        <w:t xml:space="preserve">ersonas con </w:t>
      </w:r>
      <w:r>
        <w:rPr>
          <w:rFonts w:ascii="Verdana" w:eastAsia="Aptos" w:hAnsi="Verdana" w:cs="Times New Roman"/>
          <w:kern w:val="2"/>
          <w14:ligatures w14:val="standardContextual"/>
        </w:rPr>
        <w:t>d</w:t>
      </w:r>
      <w:r w:rsidRPr="008D0137">
        <w:rPr>
          <w:rFonts w:ascii="Verdana" w:eastAsia="Aptos" w:hAnsi="Verdana" w:cs="Times New Roman"/>
          <w:kern w:val="2"/>
          <w14:ligatures w14:val="standardContextual"/>
        </w:rPr>
        <w:t>iscapacidad deja por fuera de dicha categoría a aquellas sociedades que, a pesar de contar con una vinculación labora</w:t>
      </w:r>
      <w:r>
        <w:rPr>
          <w:rFonts w:ascii="Verdana" w:eastAsia="Aptos" w:hAnsi="Verdana" w:cs="Times New Roman"/>
          <w:kern w:val="2"/>
          <w14:ligatures w14:val="standardContextual"/>
        </w:rPr>
        <w:t>l</w:t>
      </w:r>
      <w:r w:rsidRPr="008D0137">
        <w:rPr>
          <w:rFonts w:ascii="Verdana" w:eastAsia="Aptos" w:hAnsi="Verdana" w:cs="Times New Roman"/>
          <w:kern w:val="2"/>
          <w14:ligatures w14:val="standardContextual"/>
        </w:rPr>
        <w:t xml:space="preserve"> de una </w:t>
      </w:r>
      <w:r>
        <w:rPr>
          <w:rFonts w:ascii="Verdana" w:eastAsia="Aptos" w:hAnsi="Verdana" w:cs="Times New Roman"/>
          <w:kern w:val="2"/>
          <w14:ligatures w14:val="standardContextual"/>
        </w:rPr>
        <w:t>p</w:t>
      </w:r>
      <w:r w:rsidRPr="008D0137">
        <w:rPr>
          <w:rFonts w:ascii="Verdana" w:eastAsia="Aptos" w:hAnsi="Verdana" w:cs="Times New Roman"/>
          <w:kern w:val="2"/>
          <w14:ligatures w14:val="standardContextual"/>
        </w:rPr>
        <w:t xml:space="preserve">ersona con </w:t>
      </w:r>
      <w:r>
        <w:rPr>
          <w:rFonts w:ascii="Verdana" w:eastAsia="Aptos" w:hAnsi="Verdana" w:cs="Times New Roman"/>
          <w:kern w:val="2"/>
          <w14:ligatures w14:val="standardContextual"/>
        </w:rPr>
        <w:t>d</w:t>
      </w:r>
      <w:r w:rsidRPr="008D0137">
        <w:rPr>
          <w:rFonts w:ascii="Verdana" w:eastAsia="Aptos" w:hAnsi="Verdana" w:cs="Times New Roman"/>
          <w:kern w:val="2"/>
          <w14:ligatures w14:val="standardContextual"/>
        </w:rPr>
        <w:t>iscapacidad en el nivel directivo, no cuenten con el requerimiento del tiempo mínimo de un año.</w:t>
      </w:r>
    </w:p>
    <w:p w14:paraId="4F712B0A" w14:textId="77777777" w:rsidR="00FE5496" w:rsidRDefault="00FE5496" w:rsidP="00FE549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D0137">
        <w:rPr>
          <w:rFonts w:ascii="Verdana" w:eastAsia="Aptos" w:hAnsi="Verdana" w:cs="Times New Roman"/>
          <w:kern w:val="2"/>
          <w14:ligatures w14:val="standardContextual"/>
        </w:rPr>
        <w:t>Como medio para la acreditación de la condición en comento, la disposición en cita establece una certificación expedida por el representante legal y el revisor fiscal</w:t>
      </w:r>
      <w:r>
        <w:rPr>
          <w:rFonts w:ascii="Verdana" w:eastAsia="Aptos" w:hAnsi="Verdana" w:cs="Times New Roman"/>
          <w:kern w:val="2"/>
          <w14:ligatures w14:val="standardContextual"/>
        </w:rPr>
        <w:t xml:space="preserve">, cuando exista, en la cual </w:t>
      </w:r>
      <w:r w:rsidRPr="00856DA9">
        <w:rPr>
          <w:rFonts w:ascii="Verdana" w:eastAsia="Aptos" w:hAnsi="Verdana" w:cs="Times New Roman"/>
          <w:kern w:val="2"/>
          <w14:ligatures w14:val="standardContextual"/>
        </w:rPr>
        <w:t>se señale de manera detallada las personas con discapacidad que ocupan cargos de nivel directivo del proponente y el tiempo de vinculación.</w:t>
      </w:r>
      <w:r>
        <w:rPr>
          <w:rFonts w:ascii="Verdana" w:eastAsia="Aptos" w:hAnsi="Verdana" w:cs="Times New Roman"/>
          <w:kern w:val="2"/>
          <w14:ligatures w14:val="standardContextual"/>
        </w:rPr>
        <w:t xml:space="preserve"> </w:t>
      </w:r>
      <w:r w:rsidRPr="008D0137">
        <w:rPr>
          <w:rFonts w:ascii="Verdana" w:eastAsia="Aptos" w:hAnsi="Verdana" w:cs="Times New Roman"/>
          <w:kern w:val="2"/>
          <w14:ligatures w14:val="standardContextual"/>
        </w:rPr>
        <w:t xml:space="preserve">Dicho documento además debe relacionar </w:t>
      </w:r>
      <w:r w:rsidRPr="00D73C8C">
        <w:rPr>
          <w:rFonts w:ascii="Verdana" w:eastAsia="Aptos" w:hAnsi="Verdana" w:cs="Times New Roman"/>
          <w:kern w:val="2"/>
          <w14:ligatures w14:val="standardContextual"/>
        </w:rPr>
        <w:t>el nombre completo y el número de documento de identidad de las personas con discapacidad que ocupan cargos de nivel directivo del proponente</w:t>
      </w:r>
      <w:r w:rsidRPr="008D0137">
        <w:rPr>
          <w:rFonts w:ascii="Verdana" w:eastAsia="Aptos" w:hAnsi="Verdana" w:cs="Times New Roman"/>
          <w:kern w:val="2"/>
          <w14:ligatures w14:val="standardContextual"/>
        </w:rPr>
        <w:t xml:space="preserve">. Adicionalmente, la norma dispone </w:t>
      </w:r>
      <w:r>
        <w:rPr>
          <w:rFonts w:ascii="Verdana" w:eastAsia="Aptos" w:hAnsi="Verdana" w:cs="Times New Roman"/>
          <w:kern w:val="2"/>
          <w14:ligatures w14:val="standardContextual"/>
        </w:rPr>
        <w:t xml:space="preserve">que </w:t>
      </w:r>
      <w:r w:rsidRPr="008D0137">
        <w:rPr>
          <w:rFonts w:ascii="Verdana" w:eastAsia="Aptos" w:hAnsi="Verdana" w:cs="Times New Roman"/>
          <w:kern w:val="2"/>
          <w14:ligatures w14:val="standardContextual"/>
        </w:rPr>
        <w:t>la mencionada certificación de</w:t>
      </w:r>
      <w:r>
        <w:rPr>
          <w:rFonts w:ascii="Verdana" w:eastAsia="Aptos" w:hAnsi="Verdana" w:cs="Times New Roman"/>
          <w:kern w:val="2"/>
          <w14:ligatures w14:val="standardContextual"/>
        </w:rPr>
        <w:t>be</w:t>
      </w:r>
      <w:r w:rsidRPr="008D0137">
        <w:rPr>
          <w:rFonts w:ascii="Verdana" w:eastAsia="Aptos" w:hAnsi="Verdana" w:cs="Times New Roman"/>
          <w:kern w:val="2"/>
          <w14:ligatures w14:val="standardContextual"/>
        </w:rPr>
        <w:t xml:space="preserve"> presentarse acompañada de copia de los respectivos documentos de identidad, copia de los contratos de trabajo o certificación laboral con funciones, así como el certificado de aportes a seguridad social del último año en el que se demuestren los pagos realizados por el empleador, </w:t>
      </w:r>
      <w:r w:rsidRPr="0034693C">
        <w:rPr>
          <w:rFonts w:ascii="Verdana" w:eastAsia="Aptos" w:hAnsi="Verdana" w:cs="Times New Roman"/>
          <w:kern w:val="2"/>
          <w14:ligatures w14:val="standardContextual"/>
        </w:rPr>
        <w:t>y el certificado de discapacidad expedido de acuerdo con la normativa del Ministerio de Salud y Protección Social</w:t>
      </w:r>
      <w:r>
        <w:rPr>
          <w:rFonts w:ascii="Verdana" w:eastAsia="Aptos" w:hAnsi="Verdana" w:cs="Times New Roman"/>
          <w:kern w:val="2"/>
          <w14:ligatures w14:val="standardContextual"/>
        </w:rPr>
        <w:t xml:space="preserve">. </w:t>
      </w:r>
    </w:p>
    <w:p w14:paraId="438CFD7E" w14:textId="77777777" w:rsidR="00FE5496" w:rsidRPr="003F2A16" w:rsidRDefault="00FE5496" w:rsidP="00FE549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F2A16">
        <w:rPr>
          <w:rFonts w:ascii="Verdana" w:eastAsia="Aptos" w:hAnsi="Verdana" w:cs="Times New Roman"/>
          <w:kern w:val="2"/>
          <w14:ligatures w14:val="standardContextual"/>
        </w:rPr>
        <w:t>Respecto de este último requisito, se advierte que la disposición normativa no exige la acreditación de un porcentaje mínimo de pérdida de capacidad laboral o funcional para efectos de</w:t>
      </w:r>
      <w:r>
        <w:rPr>
          <w:rFonts w:ascii="Verdana" w:eastAsia="Aptos" w:hAnsi="Verdana" w:cs="Times New Roman"/>
          <w:kern w:val="2"/>
          <w14:ligatures w14:val="standardContextual"/>
        </w:rPr>
        <w:t xml:space="preserve"> acceder a las medidas afirmativas del Decreto 287 de 2026</w:t>
      </w:r>
      <w:r w:rsidRPr="003F2A16">
        <w:rPr>
          <w:rFonts w:ascii="Verdana" w:eastAsia="Aptos" w:hAnsi="Verdana" w:cs="Times New Roman"/>
          <w:kern w:val="2"/>
          <w14:ligatures w14:val="standardContextual"/>
        </w:rPr>
        <w:t xml:space="preserve">. </w:t>
      </w:r>
      <w:r>
        <w:rPr>
          <w:rFonts w:ascii="Verdana" w:eastAsia="Aptos" w:hAnsi="Verdana" w:cs="Times New Roman"/>
          <w:kern w:val="2"/>
          <w14:ligatures w14:val="standardContextual"/>
        </w:rPr>
        <w:t xml:space="preserve">Esta disposición </w:t>
      </w:r>
      <w:r w:rsidRPr="003F2A16">
        <w:rPr>
          <w:rFonts w:ascii="Verdana" w:eastAsia="Aptos" w:hAnsi="Verdana" w:cs="Times New Roman"/>
          <w:kern w:val="2"/>
          <w14:ligatures w14:val="standardContextual"/>
        </w:rPr>
        <w:t>se limita a señalar que deberá aportarse el certificado de discapacidad expedido conforme a la normativa vigente del Ministerio de Salud y Protección Social.</w:t>
      </w:r>
    </w:p>
    <w:p w14:paraId="12E5A2F8" w14:textId="77777777" w:rsidR="00FE5496" w:rsidRDefault="00FE5496" w:rsidP="00FE549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F2A16">
        <w:rPr>
          <w:rFonts w:ascii="Verdana" w:eastAsia="Aptos" w:hAnsi="Verdana" w:cs="Times New Roman"/>
          <w:kern w:val="2"/>
          <w14:ligatures w14:val="standardContextual"/>
        </w:rPr>
        <w:t xml:space="preserve">En ese sentido, una interpretación literal y sistemática de la norma permite concluir que no </w:t>
      </w:r>
      <w:r>
        <w:rPr>
          <w:rFonts w:ascii="Verdana" w:eastAsia="Aptos" w:hAnsi="Verdana" w:cs="Times New Roman"/>
          <w:kern w:val="2"/>
          <w14:ligatures w14:val="standardContextual"/>
        </w:rPr>
        <w:t xml:space="preserve">se </w:t>
      </w:r>
      <w:r w:rsidRPr="003F2A16">
        <w:rPr>
          <w:rFonts w:ascii="Verdana" w:eastAsia="Aptos" w:hAnsi="Verdana" w:cs="Times New Roman"/>
          <w:kern w:val="2"/>
          <w14:ligatures w14:val="standardContextual"/>
        </w:rPr>
        <w:t>condicionó el acceso a las medidas afirmativas previstas en el Decreto 287 de 2026 a la verificación de un umbral específico de discapacidad, sino únicamente a la existencia de una certificación válida emitida por la autoridad competente.</w:t>
      </w:r>
      <w:r>
        <w:rPr>
          <w:rFonts w:ascii="Verdana" w:eastAsia="Aptos" w:hAnsi="Verdana" w:cs="Times New Roman"/>
          <w:kern w:val="2"/>
          <w14:ligatures w14:val="standardContextual"/>
        </w:rPr>
        <w:t xml:space="preserve"> </w:t>
      </w:r>
      <w:r w:rsidRPr="00CE5DB0">
        <w:rPr>
          <w:rFonts w:ascii="Verdana" w:eastAsia="Aptos" w:hAnsi="Verdana" w:cs="Times New Roman"/>
          <w:kern w:val="2"/>
          <w14:ligatures w14:val="standardContextual"/>
        </w:rPr>
        <w:t>Esto se refuerza a lo largo del Decreto, en la medida en que ninguna de las disposiciones que regulan la exigencia del certificado de discapacidad hace referencia a la acreditación de un porcentaje específico</w:t>
      </w:r>
      <w:r>
        <w:rPr>
          <w:rFonts w:ascii="Verdana" w:eastAsia="Aptos" w:hAnsi="Verdana" w:cs="Times New Roman"/>
          <w:kern w:val="2"/>
          <w14:ligatures w14:val="standardContextual"/>
        </w:rPr>
        <w:t xml:space="preserve">. </w:t>
      </w:r>
      <w:r w:rsidRPr="003F2A16">
        <w:rPr>
          <w:rFonts w:ascii="Verdana" w:eastAsia="Aptos" w:hAnsi="Verdana" w:cs="Times New Roman"/>
          <w:kern w:val="2"/>
          <w14:ligatures w14:val="standardContextual"/>
        </w:rPr>
        <w:t xml:space="preserve">Así, para efectos de la acreditación del requisito, resulta suficiente que el proponente allegue el certificado de discapacidad expedido en los términos </w:t>
      </w:r>
      <w:r>
        <w:rPr>
          <w:rFonts w:ascii="Verdana" w:eastAsia="Aptos" w:hAnsi="Verdana" w:cs="Times New Roman"/>
          <w:kern w:val="2"/>
          <w14:ligatures w14:val="standardContextual"/>
        </w:rPr>
        <w:t xml:space="preserve">establecidos por la normativa del </w:t>
      </w:r>
      <w:r w:rsidRPr="003F2A16">
        <w:rPr>
          <w:rFonts w:ascii="Verdana" w:eastAsia="Aptos" w:hAnsi="Verdana" w:cs="Times New Roman"/>
          <w:kern w:val="2"/>
          <w14:ligatures w14:val="standardContextual"/>
        </w:rPr>
        <w:t xml:space="preserve">Ministerio de Salud y Protección </w:t>
      </w:r>
      <w:r w:rsidRPr="003F2A16">
        <w:rPr>
          <w:rFonts w:ascii="Verdana" w:eastAsia="Aptos" w:hAnsi="Verdana" w:cs="Times New Roman"/>
          <w:kern w:val="2"/>
          <w14:ligatures w14:val="standardContextual"/>
        </w:rPr>
        <w:lastRenderedPageBreak/>
        <w:t>Social, sin que sea procedente exigir porcentajes mínimos</w:t>
      </w:r>
      <w:r>
        <w:rPr>
          <w:rFonts w:ascii="Verdana" w:eastAsia="Aptos" w:hAnsi="Verdana" w:cs="Times New Roman"/>
          <w:kern w:val="2"/>
          <w14:ligatures w14:val="standardContextual"/>
        </w:rPr>
        <w:t xml:space="preserve"> de discapacidad</w:t>
      </w:r>
      <w:r w:rsidRPr="003F2A16">
        <w:rPr>
          <w:rFonts w:ascii="Verdana" w:eastAsia="Aptos" w:hAnsi="Verdana" w:cs="Times New Roman"/>
          <w:kern w:val="2"/>
          <w14:ligatures w14:val="standardContextual"/>
        </w:rPr>
        <w:t xml:space="preserve"> no previstos expresamente en la norma</w:t>
      </w:r>
      <w:r>
        <w:rPr>
          <w:rFonts w:ascii="Verdana" w:eastAsia="Aptos" w:hAnsi="Verdana" w:cs="Times New Roman"/>
          <w:kern w:val="2"/>
          <w14:ligatures w14:val="standardContextual"/>
        </w:rPr>
        <w:t xml:space="preserve">. </w:t>
      </w:r>
    </w:p>
    <w:p w14:paraId="0EA9AF8E" w14:textId="77777777" w:rsidR="00FE5496" w:rsidRPr="008D0137" w:rsidRDefault="00FE5496" w:rsidP="00FE5496">
      <w:pPr>
        <w:widowControl w:val="0"/>
        <w:autoSpaceDE w:val="0"/>
        <w:autoSpaceDN w:val="0"/>
        <w:spacing w:after="120" w:line="276" w:lineRule="auto"/>
        <w:ind w:firstLine="708"/>
        <w:jc w:val="both"/>
        <w:rPr>
          <w:rFonts w:ascii="Verdana" w:eastAsia="Aptos" w:hAnsi="Verdana" w:cs="Times New Roman"/>
          <w:kern w:val="2"/>
          <w14:ligatures w14:val="standardContextual"/>
        </w:rPr>
      </w:pPr>
      <w:r>
        <w:rPr>
          <w:rFonts w:ascii="Verdana" w:eastAsia="Aptos" w:hAnsi="Verdana" w:cs="Times New Roman"/>
          <w:kern w:val="2"/>
          <w14:ligatures w14:val="standardContextual"/>
        </w:rPr>
        <w:t>Sin perjuicio de lo anterior</w:t>
      </w:r>
      <w:r w:rsidRPr="008D0137">
        <w:rPr>
          <w:rFonts w:ascii="Verdana" w:eastAsia="Aptos" w:hAnsi="Verdana" w:cs="Times New Roman"/>
          <w:kern w:val="2"/>
          <w14:ligatures w14:val="standardContextual"/>
        </w:rPr>
        <w:t>,</w:t>
      </w:r>
      <w:r>
        <w:rPr>
          <w:rFonts w:ascii="Verdana" w:eastAsia="Aptos" w:hAnsi="Verdana" w:cs="Times New Roman"/>
          <w:kern w:val="2"/>
          <w14:ligatures w14:val="standardContextual"/>
        </w:rPr>
        <w:t xml:space="preserve"> es pertinente señalar que</w:t>
      </w:r>
      <w:r w:rsidRPr="008D0137">
        <w:rPr>
          <w:rFonts w:ascii="Verdana" w:eastAsia="Aptos" w:hAnsi="Verdana" w:cs="Times New Roman"/>
          <w:kern w:val="2"/>
          <w14:ligatures w14:val="standardContextual"/>
        </w:rPr>
        <w:t xml:space="preserve"> la sola presentación de </w:t>
      </w:r>
      <w:r>
        <w:rPr>
          <w:rFonts w:ascii="Verdana" w:eastAsia="Aptos" w:hAnsi="Verdana" w:cs="Times New Roman"/>
          <w:kern w:val="2"/>
          <w14:ligatures w14:val="standardContextual"/>
        </w:rPr>
        <w:t>dicha documentación</w:t>
      </w:r>
      <w:r w:rsidRPr="008D0137">
        <w:rPr>
          <w:rFonts w:ascii="Verdana" w:eastAsia="Aptos" w:hAnsi="Verdana" w:cs="Times New Roman"/>
          <w:kern w:val="2"/>
          <w14:ligatures w14:val="standardContextual"/>
        </w:rPr>
        <w:t xml:space="preserve"> no confiere automáticamente el acceso a criterios diferenciales</w:t>
      </w:r>
      <w:r>
        <w:rPr>
          <w:rFonts w:ascii="Verdana" w:eastAsia="Aptos" w:hAnsi="Verdana" w:cs="Times New Roman"/>
          <w:kern w:val="2"/>
          <w14:ligatures w14:val="standardContextual"/>
        </w:rPr>
        <w:t xml:space="preserve"> y al puntaje, puesto que </w:t>
      </w:r>
      <w:r w:rsidRPr="008D0137">
        <w:rPr>
          <w:rFonts w:ascii="Verdana" w:eastAsia="Aptos" w:hAnsi="Verdana" w:cs="Times New Roman"/>
          <w:kern w:val="2"/>
          <w14:ligatures w14:val="standardContextual"/>
        </w:rPr>
        <w:t xml:space="preserve">la entidad debe establecer si en efecto </w:t>
      </w:r>
      <w:r>
        <w:rPr>
          <w:rFonts w:ascii="Verdana" w:eastAsia="Aptos" w:hAnsi="Verdana" w:cs="Times New Roman"/>
          <w:kern w:val="2"/>
          <w14:ligatures w14:val="standardContextual"/>
        </w:rPr>
        <w:t xml:space="preserve">las personas con discapacidad vinculadas con contrato laboral </w:t>
      </w:r>
      <w:r w:rsidRPr="008D0137">
        <w:rPr>
          <w:rFonts w:ascii="Verdana" w:eastAsia="Aptos" w:hAnsi="Verdana" w:cs="Times New Roman"/>
          <w:kern w:val="2"/>
          <w14:ligatures w14:val="standardContextual"/>
        </w:rPr>
        <w:t>se ha</w:t>
      </w:r>
      <w:r>
        <w:rPr>
          <w:rFonts w:ascii="Verdana" w:eastAsia="Aptos" w:hAnsi="Verdana" w:cs="Times New Roman"/>
          <w:kern w:val="2"/>
          <w14:ligatures w14:val="standardContextual"/>
        </w:rPr>
        <w:t>n</w:t>
      </w:r>
      <w:r w:rsidRPr="008D0137">
        <w:rPr>
          <w:rFonts w:ascii="Verdana" w:eastAsia="Aptos" w:hAnsi="Verdana" w:cs="Times New Roman"/>
          <w:kern w:val="2"/>
          <w14:ligatures w14:val="standardContextual"/>
        </w:rPr>
        <w:t xml:space="preserve"> mantenido durante al menos un año, contando hasta la fecha de cierre, para lo que son útiles la certificación laboral, el contrato de trabajo y los certificados de aportes a seguridad social. También deberá establecerse si los empleos que ocupan las personas relacionadas en la certificación efectivamente son </w:t>
      </w:r>
      <w:r>
        <w:rPr>
          <w:rFonts w:ascii="Verdana" w:eastAsia="Aptos" w:hAnsi="Verdana" w:cs="Times New Roman"/>
          <w:kern w:val="2"/>
          <w14:ligatures w14:val="standardContextual"/>
        </w:rPr>
        <w:t>en el mismo cargo u otro del</w:t>
      </w:r>
      <w:r w:rsidRPr="008D0137">
        <w:rPr>
          <w:rFonts w:ascii="Verdana" w:eastAsia="Aptos" w:hAnsi="Verdana" w:cs="Times New Roman"/>
          <w:kern w:val="2"/>
          <w14:ligatures w14:val="standardContextual"/>
        </w:rPr>
        <w:t xml:space="preserve"> nivel directivo, para lo que deberá analizarse si las funciones descritas en el contrato o certificación aportada se subsumen en la noción establecida en el segundo inciso</w:t>
      </w:r>
      <w:r>
        <w:rPr>
          <w:rFonts w:ascii="Verdana" w:eastAsia="Aptos" w:hAnsi="Verdana" w:cs="Times New Roman"/>
          <w:kern w:val="2"/>
          <w14:ligatures w14:val="standardContextual"/>
        </w:rPr>
        <w:t xml:space="preserve"> segundo</w:t>
      </w:r>
      <w:r w:rsidRPr="008D0137">
        <w:rPr>
          <w:rFonts w:ascii="Verdana" w:eastAsia="Aptos" w:hAnsi="Verdana" w:cs="Times New Roman"/>
          <w:kern w:val="2"/>
          <w14:ligatures w14:val="standardContextual"/>
        </w:rPr>
        <w:t xml:space="preserve"> del numeral </w:t>
      </w:r>
      <w:r>
        <w:rPr>
          <w:rFonts w:ascii="Verdana" w:eastAsia="Aptos" w:hAnsi="Verdana" w:cs="Times New Roman"/>
          <w:kern w:val="2"/>
          <w14:ligatures w14:val="standardContextual"/>
        </w:rPr>
        <w:t xml:space="preserve">4 </w:t>
      </w:r>
      <w:r w:rsidRPr="008D0137">
        <w:rPr>
          <w:rFonts w:ascii="Verdana" w:eastAsia="Aptos" w:hAnsi="Verdana" w:cs="Times New Roman"/>
          <w:kern w:val="2"/>
          <w14:ligatures w14:val="standardContextual"/>
        </w:rPr>
        <w:t xml:space="preserve">del artículo </w:t>
      </w:r>
      <w:r w:rsidRPr="001B3C5D">
        <w:rPr>
          <w:rFonts w:ascii="Verdana" w:eastAsia="Aptos" w:hAnsi="Verdana" w:cs="Times New Roman"/>
          <w:kern w:val="2"/>
          <w14:ligatures w14:val="standardContextual"/>
        </w:rPr>
        <w:t>2.2.1.2.4.2.6</w:t>
      </w:r>
      <w:r>
        <w:rPr>
          <w:rFonts w:ascii="Verdana" w:eastAsia="Aptos" w:hAnsi="Verdana" w:cs="Times New Roman"/>
          <w:kern w:val="2"/>
          <w14:ligatures w14:val="standardContextual"/>
        </w:rPr>
        <w:t xml:space="preserve"> </w:t>
      </w:r>
      <w:r w:rsidRPr="008D0137">
        <w:rPr>
          <w:rFonts w:ascii="Verdana" w:eastAsia="Aptos" w:hAnsi="Verdana" w:cs="Times New Roman"/>
          <w:kern w:val="2"/>
          <w14:ligatures w14:val="standardContextual"/>
        </w:rPr>
        <w:t>del Decreto 1082 de 2015.</w:t>
      </w:r>
    </w:p>
    <w:p w14:paraId="1EC09B8D" w14:textId="77777777" w:rsidR="00FE5496" w:rsidRDefault="00FE5496" w:rsidP="00FE549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D0137">
        <w:rPr>
          <w:rFonts w:ascii="Verdana" w:eastAsia="Aptos" w:hAnsi="Verdana" w:cs="Times New Roman"/>
          <w:kern w:val="2"/>
          <w14:ligatures w14:val="standardContextual"/>
        </w:rPr>
        <w:t>Conforme a lo anterior, en el evento en que un proponente presenta la referida certificación con los respectivos soportes, pero se encuentre que los mismos no acreditan las condiciones descritas, la entidad deberá tener por no acreditada la condición de emprendimiento o empresa de</w:t>
      </w:r>
      <w:r>
        <w:rPr>
          <w:rFonts w:ascii="Verdana" w:eastAsia="Aptos" w:hAnsi="Verdana" w:cs="Times New Roman"/>
          <w:kern w:val="2"/>
          <w14:ligatures w14:val="standardContextual"/>
        </w:rPr>
        <w:t xml:space="preserve"> Personas con Discapacidad</w:t>
      </w:r>
      <w:r w:rsidRPr="008D0137">
        <w:rPr>
          <w:rFonts w:ascii="Verdana" w:eastAsia="Aptos" w:hAnsi="Verdana" w:cs="Times New Roman"/>
          <w:kern w:val="2"/>
          <w14:ligatures w14:val="standardContextual"/>
        </w:rPr>
        <w:t xml:space="preserve"> y, en consecuencia, abstenerse de aplicar criterios diferenciales</w:t>
      </w:r>
      <w:r>
        <w:rPr>
          <w:rFonts w:ascii="Verdana" w:eastAsia="Aptos" w:hAnsi="Verdana" w:cs="Times New Roman"/>
          <w:kern w:val="2"/>
          <w14:ligatures w14:val="standardContextual"/>
        </w:rPr>
        <w:t xml:space="preserve"> y puntaje</w:t>
      </w:r>
      <w:r w:rsidRPr="008D0137">
        <w:rPr>
          <w:rFonts w:ascii="Verdana" w:eastAsia="Aptos" w:hAnsi="Verdana" w:cs="Times New Roman"/>
          <w:kern w:val="2"/>
          <w14:ligatures w14:val="standardContextual"/>
        </w:rPr>
        <w:t xml:space="preserve"> en favor de este oferente. De esta manera, si, por ejemplo, analizados los documentos presentados la entidad advierte que </w:t>
      </w:r>
      <w:r>
        <w:rPr>
          <w:rFonts w:ascii="Verdana" w:eastAsia="Aptos" w:hAnsi="Verdana" w:cs="Times New Roman"/>
          <w:kern w:val="2"/>
          <w14:ligatures w14:val="standardContextual"/>
        </w:rPr>
        <w:t xml:space="preserve">la vinculación laboral de la persona con discapacidad </w:t>
      </w:r>
      <w:r w:rsidRPr="008D0137">
        <w:rPr>
          <w:rFonts w:ascii="Verdana" w:eastAsia="Aptos" w:hAnsi="Verdana" w:cs="Times New Roman"/>
          <w:kern w:val="2"/>
          <w14:ligatures w14:val="standardContextual"/>
        </w:rPr>
        <w:t>en</w:t>
      </w:r>
      <w:r>
        <w:rPr>
          <w:rFonts w:ascii="Verdana" w:eastAsia="Aptos" w:hAnsi="Verdana" w:cs="Times New Roman"/>
          <w:kern w:val="2"/>
          <w14:ligatures w14:val="standardContextual"/>
        </w:rPr>
        <w:t xml:space="preserve"> un</w:t>
      </w:r>
      <w:r w:rsidRPr="008D0137">
        <w:rPr>
          <w:rFonts w:ascii="Verdana" w:eastAsia="Aptos" w:hAnsi="Verdana" w:cs="Times New Roman"/>
          <w:kern w:val="2"/>
          <w14:ligatures w14:val="standardContextual"/>
        </w:rPr>
        <w:t xml:space="preserve"> empleo del nivel directivo no se ha mantenido durante al meno</w:t>
      </w:r>
      <w:r>
        <w:rPr>
          <w:rFonts w:ascii="Verdana" w:eastAsia="Aptos" w:hAnsi="Verdana" w:cs="Times New Roman"/>
          <w:kern w:val="2"/>
          <w14:ligatures w14:val="standardContextual"/>
        </w:rPr>
        <w:t>s</w:t>
      </w:r>
      <w:r w:rsidRPr="008D0137">
        <w:rPr>
          <w:rFonts w:ascii="Verdana" w:eastAsia="Aptos" w:hAnsi="Verdana" w:cs="Times New Roman"/>
          <w:kern w:val="2"/>
          <w14:ligatures w14:val="standardContextual"/>
        </w:rPr>
        <w:t xml:space="preserve"> el año anterior a la fecha del cierre del proceso de selección, no sería viable aplicar la mencionada definición. La misma consecuencia aplica al supuesto en el que se determine que las funciones de </w:t>
      </w:r>
      <w:r>
        <w:rPr>
          <w:rFonts w:ascii="Verdana" w:eastAsia="Aptos" w:hAnsi="Verdana" w:cs="Times New Roman"/>
          <w:kern w:val="2"/>
          <w14:ligatures w14:val="standardContextual"/>
        </w:rPr>
        <w:t xml:space="preserve">este trabajador </w:t>
      </w:r>
      <w:r w:rsidRPr="008D0137">
        <w:rPr>
          <w:rFonts w:ascii="Verdana" w:eastAsia="Aptos" w:hAnsi="Verdana" w:cs="Times New Roman"/>
          <w:kern w:val="2"/>
          <w14:ligatures w14:val="standardContextual"/>
        </w:rPr>
        <w:t>presuntamente vinculad</w:t>
      </w:r>
      <w:r>
        <w:rPr>
          <w:rFonts w:ascii="Verdana" w:eastAsia="Aptos" w:hAnsi="Verdana" w:cs="Times New Roman"/>
          <w:kern w:val="2"/>
          <w14:ligatures w14:val="standardContextual"/>
        </w:rPr>
        <w:t>o</w:t>
      </w:r>
      <w:r w:rsidRPr="008D0137">
        <w:rPr>
          <w:rFonts w:ascii="Verdana" w:eastAsia="Aptos" w:hAnsi="Verdana" w:cs="Times New Roman"/>
          <w:kern w:val="2"/>
          <w14:ligatures w14:val="standardContextual"/>
        </w:rPr>
        <w:t xml:space="preserve"> a</w:t>
      </w:r>
      <w:r>
        <w:rPr>
          <w:rFonts w:ascii="Verdana" w:eastAsia="Aptos" w:hAnsi="Verdana" w:cs="Times New Roman"/>
          <w:kern w:val="2"/>
          <w14:ligatures w14:val="standardContextual"/>
        </w:rPr>
        <w:t>l</w:t>
      </w:r>
      <w:r w:rsidRPr="008D0137">
        <w:rPr>
          <w:rFonts w:ascii="Verdana" w:eastAsia="Aptos" w:hAnsi="Verdana" w:cs="Times New Roman"/>
          <w:kern w:val="2"/>
          <w14:ligatures w14:val="standardContextual"/>
        </w:rPr>
        <w:t xml:space="preserve"> empleo del nivel directivo no corresponden con las atribuida a ese tipo de cargos de conformidad con lo señalado en la norma.</w:t>
      </w:r>
    </w:p>
    <w:p w14:paraId="5E1C3634" w14:textId="77777777" w:rsidR="00FE5496" w:rsidRDefault="00FE5496" w:rsidP="00FE5496">
      <w:pPr>
        <w:spacing w:after="120" w:line="276" w:lineRule="auto"/>
        <w:ind w:left="119" w:right="79" w:firstLine="709"/>
        <w:jc w:val="both"/>
        <w:rPr>
          <w:rFonts w:ascii="Verdana" w:eastAsia="Arial" w:hAnsi="Verdana" w:cs="Arial"/>
        </w:rPr>
      </w:pPr>
      <w:r>
        <w:rPr>
          <w:rFonts w:ascii="Verdana" w:eastAsia="Arial" w:hAnsi="Verdana" w:cs="Arial"/>
        </w:rPr>
        <w:t>Con todo, debe advertirse que corresponde a las entidades estatales</w:t>
      </w:r>
      <w:r>
        <w:rPr>
          <w:rFonts w:ascii="Verdana" w:eastAsia="Arial" w:hAnsi="Verdana" w:cs="Arial"/>
          <w:spacing w:val="1"/>
        </w:rPr>
        <w:t xml:space="preserve"> </w:t>
      </w:r>
      <w:r>
        <w:rPr>
          <w:rFonts w:ascii="Verdana" w:eastAsia="Arial" w:hAnsi="Verdana" w:cs="Arial"/>
        </w:rPr>
        <w:t>contratantes determinar</w:t>
      </w:r>
      <w:r>
        <w:rPr>
          <w:rFonts w:ascii="Verdana" w:eastAsia="Arial" w:hAnsi="Verdana" w:cs="Arial"/>
          <w:spacing w:val="1"/>
        </w:rPr>
        <w:t xml:space="preserve"> </w:t>
      </w:r>
      <w:r>
        <w:rPr>
          <w:rFonts w:ascii="Verdana" w:eastAsia="Arial" w:hAnsi="Verdana" w:cs="Arial"/>
        </w:rPr>
        <w:t>en cada caso concreto</w:t>
      </w:r>
      <w:r>
        <w:rPr>
          <w:rFonts w:ascii="Verdana" w:eastAsia="Arial" w:hAnsi="Verdana" w:cs="Arial"/>
          <w:spacing w:val="1"/>
        </w:rPr>
        <w:t xml:space="preserve"> </w:t>
      </w:r>
      <w:r>
        <w:rPr>
          <w:rFonts w:ascii="Verdana" w:eastAsia="Arial" w:hAnsi="Verdana" w:cs="Arial"/>
        </w:rPr>
        <w:t>si en efecto</w:t>
      </w:r>
      <w:r>
        <w:rPr>
          <w:rFonts w:ascii="Verdana" w:eastAsia="Arial" w:hAnsi="Verdana" w:cs="Arial"/>
          <w:spacing w:val="1"/>
        </w:rPr>
        <w:t xml:space="preserve"> </w:t>
      </w:r>
      <w:r>
        <w:rPr>
          <w:rFonts w:ascii="Verdana" w:eastAsia="Arial" w:hAnsi="Verdana" w:cs="Arial"/>
        </w:rPr>
        <w:t>se cumplen las condiciones</w:t>
      </w:r>
      <w:r>
        <w:rPr>
          <w:rFonts w:ascii="Verdana" w:eastAsia="Arial" w:hAnsi="Verdana" w:cs="Arial"/>
          <w:spacing w:val="1"/>
        </w:rPr>
        <w:t xml:space="preserve"> </w:t>
      </w:r>
      <w:r>
        <w:rPr>
          <w:rFonts w:ascii="Verdana" w:eastAsia="Arial" w:hAnsi="Verdana" w:cs="Arial"/>
        </w:rPr>
        <w:t>antes</w:t>
      </w:r>
      <w:r>
        <w:rPr>
          <w:rFonts w:ascii="Verdana" w:eastAsia="Arial" w:hAnsi="Verdana" w:cs="Arial"/>
          <w:spacing w:val="1"/>
        </w:rPr>
        <w:t xml:space="preserve"> </w:t>
      </w:r>
      <w:r>
        <w:rPr>
          <w:rFonts w:ascii="Verdana" w:eastAsia="Arial" w:hAnsi="Verdana" w:cs="Arial"/>
        </w:rPr>
        <w:t>explicadas, verificando</w:t>
      </w:r>
      <w:r>
        <w:rPr>
          <w:rFonts w:ascii="Verdana" w:eastAsia="Arial" w:hAnsi="Verdana" w:cs="Arial"/>
          <w:spacing w:val="-10"/>
        </w:rPr>
        <w:t xml:space="preserve"> </w:t>
      </w:r>
      <w:r>
        <w:rPr>
          <w:rFonts w:ascii="Verdana" w:eastAsia="Arial" w:hAnsi="Verdana" w:cs="Arial"/>
        </w:rPr>
        <w:t>además</w:t>
      </w:r>
      <w:r>
        <w:rPr>
          <w:rFonts w:ascii="Verdana" w:eastAsia="Arial" w:hAnsi="Verdana" w:cs="Arial"/>
          <w:spacing w:val="-10"/>
        </w:rPr>
        <w:t xml:space="preserve"> </w:t>
      </w:r>
      <w:r>
        <w:rPr>
          <w:rFonts w:ascii="Verdana" w:eastAsia="Arial" w:hAnsi="Verdana" w:cs="Arial"/>
        </w:rPr>
        <w:t>que</w:t>
      </w:r>
      <w:r>
        <w:rPr>
          <w:rFonts w:ascii="Verdana" w:eastAsia="Arial" w:hAnsi="Verdana" w:cs="Arial"/>
          <w:spacing w:val="-10"/>
        </w:rPr>
        <w:t xml:space="preserve"> </w:t>
      </w:r>
      <w:r>
        <w:rPr>
          <w:rFonts w:ascii="Verdana" w:eastAsia="Arial" w:hAnsi="Verdana" w:cs="Arial"/>
        </w:rPr>
        <w:t>dicha</w:t>
      </w:r>
      <w:r>
        <w:rPr>
          <w:rFonts w:ascii="Verdana" w:eastAsia="Arial" w:hAnsi="Verdana" w:cs="Arial"/>
          <w:spacing w:val="-10"/>
        </w:rPr>
        <w:t xml:space="preserve"> </w:t>
      </w:r>
      <w:r>
        <w:rPr>
          <w:rFonts w:ascii="Verdana" w:eastAsia="Arial" w:hAnsi="Verdana" w:cs="Arial"/>
        </w:rPr>
        <w:t>acreditación</w:t>
      </w:r>
      <w:r>
        <w:rPr>
          <w:rFonts w:ascii="Verdana" w:eastAsia="Arial" w:hAnsi="Verdana" w:cs="Arial"/>
          <w:spacing w:val="-10"/>
        </w:rPr>
        <w:t xml:space="preserve"> </w:t>
      </w:r>
      <w:r>
        <w:rPr>
          <w:rFonts w:ascii="Verdana" w:eastAsia="Arial" w:hAnsi="Verdana" w:cs="Arial"/>
        </w:rPr>
        <w:t>se</w:t>
      </w:r>
      <w:r>
        <w:rPr>
          <w:rFonts w:ascii="Verdana" w:eastAsia="Arial" w:hAnsi="Verdana" w:cs="Arial"/>
          <w:spacing w:val="-10"/>
        </w:rPr>
        <w:t xml:space="preserve"> </w:t>
      </w:r>
      <w:r>
        <w:rPr>
          <w:rFonts w:ascii="Verdana" w:eastAsia="Arial" w:hAnsi="Verdana" w:cs="Arial"/>
        </w:rPr>
        <w:t>haga</w:t>
      </w:r>
      <w:r>
        <w:rPr>
          <w:rFonts w:ascii="Verdana" w:eastAsia="Arial" w:hAnsi="Verdana" w:cs="Arial"/>
          <w:spacing w:val="-10"/>
        </w:rPr>
        <w:t xml:space="preserve"> </w:t>
      </w:r>
      <w:r>
        <w:rPr>
          <w:rFonts w:ascii="Verdana" w:eastAsia="Arial" w:hAnsi="Verdana" w:cs="Arial"/>
        </w:rPr>
        <w:t>con</w:t>
      </w:r>
      <w:r>
        <w:rPr>
          <w:rFonts w:ascii="Verdana" w:eastAsia="Arial" w:hAnsi="Verdana" w:cs="Arial"/>
          <w:spacing w:val="-10"/>
        </w:rPr>
        <w:t xml:space="preserve"> </w:t>
      </w:r>
      <w:r>
        <w:rPr>
          <w:rFonts w:ascii="Verdana" w:eastAsia="Arial" w:hAnsi="Verdana" w:cs="Arial"/>
        </w:rPr>
        <w:t>sujeción</w:t>
      </w:r>
      <w:r>
        <w:rPr>
          <w:rFonts w:ascii="Verdana" w:eastAsia="Arial" w:hAnsi="Verdana" w:cs="Arial"/>
          <w:spacing w:val="-10"/>
        </w:rPr>
        <w:t xml:space="preserve"> </w:t>
      </w:r>
      <w:r>
        <w:rPr>
          <w:rFonts w:ascii="Verdana" w:eastAsia="Arial" w:hAnsi="Verdana" w:cs="Arial"/>
        </w:rPr>
        <w:t>al</w:t>
      </w:r>
      <w:r>
        <w:rPr>
          <w:rFonts w:ascii="Verdana" w:eastAsia="Arial" w:hAnsi="Verdana" w:cs="Arial"/>
          <w:spacing w:val="-10"/>
        </w:rPr>
        <w:t xml:space="preserve"> </w:t>
      </w:r>
      <w:r>
        <w:rPr>
          <w:rFonts w:ascii="Verdana" w:eastAsia="Arial" w:hAnsi="Verdana" w:cs="Arial"/>
        </w:rPr>
        <w:t>marco</w:t>
      </w:r>
      <w:r>
        <w:rPr>
          <w:rFonts w:ascii="Verdana" w:eastAsia="Arial" w:hAnsi="Verdana" w:cs="Arial"/>
          <w:spacing w:val="-10"/>
        </w:rPr>
        <w:t xml:space="preserve"> </w:t>
      </w:r>
      <w:r>
        <w:rPr>
          <w:rFonts w:ascii="Verdana" w:eastAsia="Arial" w:hAnsi="Verdana" w:cs="Arial"/>
        </w:rPr>
        <w:t>jurídico</w:t>
      </w:r>
      <w:r>
        <w:rPr>
          <w:rFonts w:ascii="Verdana" w:eastAsia="Arial" w:hAnsi="Verdana" w:cs="Arial"/>
          <w:spacing w:val="-10"/>
        </w:rPr>
        <w:t xml:space="preserve"> </w:t>
      </w:r>
      <w:r>
        <w:rPr>
          <w:rFonts w:ascii="Verdana" w:eastAsia="Arial" w:hAnsi="Verdana" w:cs="Arial"/>
        </w:rPr>
        <w:t>aplicable.</w:t>
      </w:r>
      <w:r>
        <w:rPr>
          <w:rFonts w:ascii="Verdana" w:eastAsia="Arial" w:hAnsi="Verdana" w:cs="Arial"/>
          <w:spacing w:val="41"/>
        </w:rPr>
        <w:t xml:space="preserve"> </w:t>
      </w:r>
      <w:r>
        <w:rPr>
          <w:rFonts w:ascii="Verdana" w:eastAsia="Arial" w:hAnsi="Verdana" w:cs="Arial"/>
        </w:rPr>
        <w:t>Para estos efectos deberá realizarse el análisis de cada uno de los empleos certificados para verificar si cada</w:t>
      </w:r>
      <w:r>
        <w:rPr>
          <w:rFonts w:ascii="Verdana" w:eastAsia="Arial" w:hAnsi="Verdana" w:cs="Arial"/>
          <w:spacing w:val="1"/>
        </w:rPr>
        <w:t xml:space="preserve"> </w:t>
      </w:r>
      <w:r>
        <w:rPr>
          <w:rFonts w:ascii="Verdana" w:eastAsia="Arial" w:hAnsi="Verdana" w:cs="Arial"/>
        </w:rPr>
        <w:t>uno</w:t>
      </w:r>
      <w:r>
        <w:rPr>
          <w:rFonts w:ascii="Verdana" w:eastAsia="Arial" w:hAnsi="Verdana" w:cs="Arial"/>
          <w:spacing w:val="1"/>
        </w:rPr>
        <w:t xml:space="preserve"> </w:t>
      </w:r>
      <w:r>
        <w:rPr>
          <w:rFonts w:ascii="Verdana" w:eastAsia="Arial" w:hAnsi="Verdana" w:cs="Arial"/>
        </w:rPr>
        <w:t>de ellos</w:t>
      </w:r>
      <w:r>
        <w:rPr>
          <w:rFonts w:ascii="Verdana" w:eastAsia="Arial" w:hAnsi="Verdana" w:cs="Arial"/>
          <w:spacing w:val="1"/>
        </w:rPr>
        <w:t xml:space="preserve"> </w:t>
      </w:r>
      <w:r>
        <w:rPr>
          <w:rFonts w:ascii="Verdana" w:eastAsia="Arial" w:hAnsi="Verdana" w:cs="Arial"/>
        </w:rPr>
        <w:t>puede</w:t>
      </w:r>
      <w:r>
        <w:rPr>
          <w:rFonts w:ascii="Verdana" w:eastAsia="Arial" w:hAnsi="Verdana" w:cs="Arial"/>
          <w:spacing w:val="1"/>
        </w:rPr>
        <w:t xml:space="preserve"> </w:t>
      </w:r>
      <w:r>
        <w:rPr>
          <w:rFonts w:ascii="Verdana" w:eastAsia="Arial" w:hAnsi="Verdana" w:cs="Arial"/>
        </w:rPr>
        <w:t>ser considerado</w:t>
      </w:r>
      <w:r>
        <w:rPr>
          <w:rFonts w:ascii="Verdana" w:eastAsia="Arial" w:hAnsi="Verdana" w:cs="Arial"/>
          <w:spacing w:val="1"/>
        </w:rPr>
        <w:t xml:space="preserve"> </w:t>
      </w:r>
      <w:r>
        <w:rPr>
          <w:rFonts w:ascii="Verdana" w:eastAsia="Arial" w:hAnsi="Verdana" w:cs="Arial"/>
        </w:rPr>
        <w:t>del</w:t>
      </w:r>
      <w:r>
        <w:rPr>
          <w:rFonts w:ascii="Verdana" w:eastAsia="Arial" w:hAnsi="Verdana" w:cs="Arial"/>
          <w:spacing w:val="1"/>
        </w:rPr>
        <w:t xml:space="preserve"> </w:t>
      </w:r>
      <w:r>
        <w:rPr>
          <w:rFonts w:ascii="Verdana" w:eastAsia="Arial" w:hAnsi="Verdana" w:cs="Arial"/>
        </w:rPr>
        <w:t>nivel</w:t>
      </w:r>
      <w:r>
        <w:rPr>
          <w:rFonts w:ascii="Verdana" w:eastAsia="Arial" w:hAnsi="Verdana" w:cs="Arial"/>
          <w:spacing w:val="1"/>
        </w:rPr>
        <w:t xml:space="preserve"> </w:t>
      </w:r>
      <w:r>
        <w:rPr>
          <w:rFonts w:ascii="Verdana" w:eastAsia="Arial" w:hAnsi="Verdana" w:cs="Arial"/>
        </w:rPr>
        <w:t>directivo</w:t>
      </w:r>
      <w:r>
        <w:rPr>
          <w:rFonts w:ascii="Verdana" w:eastAsia="Arial" w:hAnsi="Verdana" w:cs="Arial"/>
          <w:spacing w:val="1"/>
        </w:rPr>
        <w:t xml:space="preserve"> </w:t>
      </w:r>
      <w:r>
        <w:rPr>
          <w:rFonts w:ascii="Verdana" w:eastAsia="Arial" w:hAnsi="Verdana" w:cs="Arial"/>
        </w:rPr>
        <w:t>en virtud</w:t>
      </w:r>
      <w:r>
        <w:rPr>
          <w:rFonts w:ascii="Verdana" w:eastAsia="Arial" w:hAnsi="Verdana" w:cs="Arial"/>
          <w:spacing w:val="1"/>
        </w:rPr>
        <w:t xml:space="preserve"> </w:t>
      </w:r>
      <w:r>
        <w:rPr>
          <w:rFonts w:ascii="Verdana" w:eastAsia="Arial" w:hAnsi="Verdana" w:cs="Arial"/>
        </w:rPr>
        <w:t>de las funciones</w:t>
      </w:r>
      <w:r>
        <w:rPr>
          <w:rFonts w:ascii="Verdana" w:eastAsia="Arial" w:hAnsi="Verdana" w:cs="Arial"/>
          <w:spacing w:val="1"/>
        </w:rPr>
        <w:t xml:space="preserve"> </w:t>
      </w:r>
      <w:r>
        <w:rPr>
          <w:rFonts w:ascii="Verdana" w:eastAsia="Arial" w:hAnsi="Verdana" w:cs="Arial"/>
        </w:rPr>
        <w:t>que</w:t>
      </w:r>
      <w:r>
        <w:rPr>
          <w:rFonts w:ascii="Verdana" w:eastAsia="Arial" w:hAnsi="Verdana" w:cs="Arial"/>
          <w:spacing w:val="1"/>
        </w:rPr>
        <w:t xml:space="preserve"> </w:t>
      </w:r>
      <w:r>
        <w:rPr>
          <w:rFonts w:ascii="Verdana" w:eastAsia="Arial" w:hAnsi="Verdana" w:cs="Arial"/>
        </w:rPr>
        <w:t>tenga asignadas.</w:t>
      </w:r>
    </w:p>
    <w:p w14:paraId="7B585BC1" w14:textId="77777777" w:rsidR="00FE5496" w:rsidRDefault="00FE5496" w:rsidP="00FE5496">
      <w:pPr>
        <w:spacing w:after="120" w:line="276" w:lineRule="auto"/>
        <w:jc w:val="both"/>
        <w:rPr>
          <w:rFonts w:ascii="Verdana" w:eastAsia="Times New Roman" w:hAnsi="Verdana" w:cs="Times New Roman"/>
        </w:rPr>
      </w:pPr>
      <w:r>
        <w:rPr>
          <w:rFonts w:ascii="Verdana" w:eastAsia="Aptos" w:hAnsi="Verdana" w:cs="Times New Roman"/>
          <w:kern w:val="2"/>
          <w14:ligatures w14:val="standardContextual"/>
        </w:rPr>
        <w:lastRenderedPageBreak/>
        <w:t xml:space="preserve">iii. Por otro lado, el artículo </w:t>
      </w:r>
      <w:r w:rsidRPr="001B3C5D">
        <w:rPr>
          <w:rFonts w:ascii="Verdana" w:eastAsia="Aptos" w:hAnsi="Verdana" w:cs="Times New Roman"/>
          <w:kern w:val="2"/>
          <w14:ligatures w14:val="standardContextual"/>
        </w:rPr>
        <w:t xml:space="preserve">2.1.2.4.2.7.4 </w:t>
      </w:r>
      <w:r>
        <w:rPr>
          <w:rFonts w:ascii="Verdana" w:eastAsia="Aptos" w:hAnsi="Verdana" w:cs="Times New Roman"/>
          <w:kern w:val="2"/>
          <w14:ligatures w14:val="standardContextual"/>
        </w:rPr>
        <w:t xml:space="preserve">del Decreto 287 de 2026 contempla </w:t>
      </w:r>
      <w:r>
        <w:rPr>
          <w:rFonts w:ascii="Verdana" w:eastAsia="Times New Roman" w:hAnsi="Verdana" w:cs="Times New Roman"/>
        </w:rPr>
        <w:t>u</w:t>
      </w:r>
      <w:r w:rsidRPr="00E727F0">
        <w:rPr>
          <w:rFonts w:ascii="Verdana" w:eastAsia="Times New Roman" w:hAnsi="Verdana" w:cs="Times New Roman"/>
        </w:rPr>
        <w:t xml:space="preserve">no de los incentivos centrales en favor </w:t>
      </w:r>
      <w:r w:rsidRPr="00916967">
        <w:rPr>
          <w:rFonts w:ascii="Verdana" w:eastAsia="Aptos" w:hAnsi="Verdana" w:cs="Times New Roman"/>
          <w:kern w:val="2"/>
          <w14:ligatures w14:val="standardContextual"/>
        </w:rPr>
        <w:t>de los empleadores de personas con discapacidad y de los emprendimientos y empresas de personas con discapacidad</w:t>
      </w:r>
      <w:r>
        <w:rPr>
          <w:rFonts w:ascii="Verdana" w:eastAsia="Times New Roman" w:hAnsi="Verdana" w:cs="Times New Roman"/>
        </w:rPr>
        <w:t>, referente a</w:t>
      </w:r>
      <w:r w:rsidRPr="00E727F0">
        <w:rPr>
          <w:rFonts w:ascii="Verdana" w:eastAsia="Times New Roman" w:hAnsi="Verdana" w:cs="Times New Roman"/>
        </w:rPr>
        <w:t>l puntaje adicional del 2%</w:t>
      </w:r>
      <w:r>
        <w:rPr>
          <w:rFonts w:ascii="Verdana" w:eastAsia="Times New Roman" w:hAnsi="Verdana" w:cs="Times New Roman"/>
        </w:rPr>
        <w:t xml:space="preserve">. </w:t>
      </w:r>
      <w:r w:rsidRPr="00E727F0">
        <w:rPr>
          <w:rFonts w:ascii="Verdana" w:eastAsia="Times New Roman" w:hAnsi="Verdana" w:cs="Times New Roman"/>
        </w:rPr>
        <w:t xml:space="preserve">Este puntaje puede obtenerse acreditando cualquiera de las dos </w:t>
      </w:r>
      <w:r>
        <w:rPr>
          <w:rFonts w:ascii="Verdana" w:eastAsia="Times New Roman" w:hAnsi="Verdana" w:cs="Times New Roman"/>
        </w:rPr>
        <w:t>situaciones</w:t>
      </w:r>
      <w:r w:rsidRPr="00E727F0">
        <w:rPr>
          <w:rFonts w:ascii="Verdana" w:eastAsia="Times New Roman" w:hAnsi="Verdana" w:cs="Times New Roman"/>
        </w:rPr>
        <w:t xml:space="preserve"> que la norma contempla: </w:t>
      </w:r>
      <w:r>
        <w:rPr>
          <w:rFonts w:ascii="Verdana" w:eastAsia="Times New Roman" w:hAnsi="Verdana" w:cs="Times New Roman"/>
        </w:rPr>
        <w:t xml:space="preserve">i) </w:t>
      </w:r>
      <w:r w:rsidRPr="00E727F0">
        <w:rPr>
          <w:rFonts w:ascii="Verdana" w:eastAsia="Times New Roman" w:hAnsi="Verdana" w:cs="Times New Roman"/>
        </w:rPr>
        <w:t xml:space="preserve">ser emprendimiento o empresa de PcD, conforme a las categorías del artículo 2.2.1.2.4.2.6., o ser </w:t>
      </w:r>
      <w:r>
        <w:rPr>
          <w:rFonts w:ascii="Verdana" w:eastAsia="Times New Roman" w:hAnsi="Verdana" w:cs="Times New Roman"/>
        </w:rPr>
        <w:t xml:space="preserve">ii) </w:t>
      </w:r>
      <w:r w:rsidRPr="00E727F0">
        <w:rPr>
          <w:rFonts w:ascii="Verdana" w:eastAsia="Times New Roman" w:hAnsi="Verdana" w:cs="Times New Roman"/>
        </w:rPr>
        <w:t>empleador de PcD que supere los mínimos de vinculación exigidos por la Ley 2466 de 2025 (Reforma Laboral)</w:t>
      </w:r>
      <w:r>
        <w:rPr>
          <w:rFonts w:ascii="Verdana" w:eastAsia="Times New Roman" w:hAnsi="Verdana" w:cs="Times New Roman"/>
        </w:rPr>
        <w:t xml:space="preserve"> conforme a la tabla establecida</w:t>
      </w:r>
      <w:r w:rsidRPr="00E727F0">
        <w:rPr>
          <w:rFonts w:ascii="Verdana" w:eastAsia="Times New Roman" w:hAnsi="Verdana" w:cs="Times New Roman"/>
        </w:rPr>
        <w:t>. Sin embargo, el hecho de que ambas condiciones puedan acreditarse simultáneamente no significa que el puntaje sea acumulable. El mismo artículo es explícito al disponer que:</w:t>
      </w:r>
    </w:p>
    <w:p w14:paraId="07C4E66A" w14:textId="77777777" w:rsidR="00FE5496" w:rsidRPr="00BA6536" w:rsidRDefault="00FE5496" w:rsidP="00FE5496">
      <w:pPr>
        <w:spacing w:after="0" w:line="240" w:lineRule="auto"/>
        <w:jc w:val="both"/>
        <w:rPr>
          <w:rFonts w:ascii="Verdana" w:eastAsia="Times New Roman" w:hAnsi="Verdana" w:cs="Times New Roman"/>
        </w:rPr>
      </w:pPr>
    </w:p>
    <w:p w14:paraId="27C8282E" w14:textId="77777777" w:rsidR="00FE5496" w:rsidRPr="00B53264" w:rsidRDefault="00FE5496" w:rsidP="00FE5496">
      <w:pPr>
        <w:spacing w:after="0" w:line="240" w:lineRule="auto"/>
        <w:ind w:left="720" w:right="720"/>
        <w:jc w:val="both"/>
        <w:rPr>
          <w:rFonts w:ascii="Verdana" w:eastAsia="Times New Roman" w:hAnsi="Verdana" w:cs="Times New Roman"/>
          <w:sz w:val="20"/>
          <w:szCs w:val="20"/>
        </w:rPr>
      </w:pPr>
      <w:r w:rsidRPr="00B53264">
        <w:rPr>
          <w:rFonts w:ascii="Verdana" w:eastAsia="Times New Roman" w:hAnsi="Verdana" w:cs="Times New Roman"/>
          <w:sz w:val="20"/>
          <w:szCs w:val="20"/>
        </w:rPr>
        <w:t>"El proponente podrá acreditar alguna de las situaciones mencionadas, y en todo caso el puntaje adicional total y único a otorgar por este criterio será del dos por ciento (2%), sin que sean acumulables a efecto de la evaluación de la oferta."</w:t>
      </w:r>
    </w:p>
    <w:p w14:paraId="44BA44FA" w14:textId="77777777" w:rsidR="00FE5496" w:rsidRPr="00E727F0" w:rsidRDefault="00FE5496" w:rsidP="00FE5496">
      <w:pPr>
        <w:spacing w:after="0" w:line="240" w:lineRule="auto"/>
        <w:ind w:left="720" w:right="720"/>
        <w:jc w:val="both"/>
        <w:rPr>
          <w:rFonts w:ascii="Verdana" w:hAnsi="Verdana"/>
          <w:sz w:val="20"/>
          <w:szCs w:val="20"/>
        </w:rPr>
      </w:pPr>
    </w:p>
    <w:p w14:paraId="38F5039C" w14:textId="77777777" w:rsidR="00FE5496" w:rsidRPr="00221C61" w:rsidRDefault="00FE5496" w:rsidP="00FE5496">
      <w:pPr>
        <w:spacing w:after="120" w:line="276" w:lineRule="auto"/>
        <w:ind w:firstLine="709"/>
        <w:jc w:val="both"/>
        <w:rPr>
          <w:rFonts w:ascii="Verdana" w:eastAsia="Times New Roman" w:hAnsi="Verdana" w:cs="Times New Roman"/>
        </w:rPr>
      </w:pPr>
      <w:r w:rsidRPr="00E727F0">
        <w:rPr>
          <w:rFonts w:ascii="Verdana" w:eastAsia="Times New Roman" w:hAnsi="Verdana" w:cs="Times New Roman"/>
        </w:rPr>
        <w:t xml:space="preserve">Esta decisión normativa responde a </w:t>
      </w:r>
      <w:r>
        <w:rPr>
          <w:rFonts w:ascii="Verdana" w:eastAsia="Times New Roman" w:hAnsi="Verdana" w:cs="Times New Roman"/>
        </w:rPr>
        <w:t>que e</w:t>
      </w:r>
      <w:r w:rsidRPr="00E727F0">
        <w:rPr>
          <w:rFonts w:ascii="Verdana" w:eastAsia="Times New Roman" w:hAnsi="Verdana" w:cs="Times New Roman"/>
        </w:rPr>
        <w:t>l 2% incorpora el estímulo suficiente para promover la inclusión de PcD y permitir su acumulación distorsionaría la evaluación de las ofertas en perjuicio de la pluralidad de oferentes y de la selección objetiva, que son principios rectores de la contratación estatal. Es importante distinguir entre la acreditación de condiciones y el puntaje resultante</w:t>
      </w:r>
      <w:r>
        <w:rPr>
          <w:rFonts w:ascii="Verdana" w:eastAsia="Times New Roman" w:hAnsi="Verdana" w:cs="Times New Roman"/>
        </w:rPr>
        <w:t>, ya que</w:t>
      </w:r>
      <w:r w:rsidRPr="00E727F0">
        <w:rPr>
          <w:rFonts w:ascii="Verdana" w:eastAsia="Times New Roman" w:hAnsi="Verdana" w:cs="Times New Roman"/>
        </w:rPr>
        <w:t xml:space="preserve"> el proponente puede acreditar varias condiciones al mismo tiempo, pero el puntaje que recibe siempre será el 2%, sin variación. En términos prácticos, en una licitación de 1.000 puntos el 2% equivale a 20 puntos adicionales, ventaja que puede ser determinante en escenarios de puntuaciones cercanas.</w:t>
      </w:r>
    </w:p>
    <w:p w14:paraId="2A985AE1" w14:textId="77777777" w:rsidR="00FE5496" w:rsidRDefault="00FE5496" w:rsidP="00FE5496">
      <w:pPr>
        <w:spacing w:after="120" w:line="276" w:lineRule="auto"/>
        <w:ind w:firstLine="709"/>
        <w:jc w:val="both"/>
        <w:rPr>
          <w:rFonts w:ascii="Verdana" w:hAnsi="Verdana"/>
        </w:rPr>
      </w:pPr>
      <w:r>
        <w:rPr>
          <w:rFonts w:ascii="Verdana" w:eastAsia="Times New Roman" w:hAnsi="Verdana" w:cs="Times New Roman"/>
        </w:rPr>
        <w:t xml:space="preserve">Para acceder a este puntaje </w:t>
      </w:r>
      <w:r w:rsidRPr="007B01BA">
        <w:rPr>
          <w:rFonts w:ascii="Verdana" w:eastAsia="Times New Roman" w:hAnsi="Verdana" w:cs="Times New Roman"/>
        </w:rPr>
        <w:t xml:space="preserve">debe destacarse </w:t>
      </w:r>
      <w:r>
        <w:rPr>
          <w:rFonts w:ascii="Verdana" w:eastAsia="Times New Roman" w:hAnsi="Verdana" w:cs="Times New Roman"/>
        </w:rPr>
        <w:t>que los requisitos a acreditar se diferencian en atención a</w:t>
      </w:r>
      <w:r w:rsidRPr="007B01BA">
        <w:rPr>
          <w:rFonts w:ascii="Verdana" w:eastAsia="Times New Roman" w:hAnsi="Verdana" w:cs="Times New Roman"/>
        </w:rPr>
        <w:t>l sujeto</w:t>
      </w:r>
      <w:r>
        <w:rPr>
          <w:rFonts w:ascii="Verdana" w:eastAsia="Times New Roman" w:hAnsi="Verdana" w:cs="Times New Roman"/>
        </w:rPr>
        <w:t>. Por un lado,</w:t>
      </w:r>
      <w:r w:rsidRPr="007B01BA">
        <w:rPr>
          <w:rFonts w:ascii="Verdana" w:eastAsia="Times New Roman" w:hAnsi="Verdana" w:cs="Times New Roman"/>
        </w:rPr>
        <w:t xml:space="preserve"> cuando se trata de un empleador de PcD, </w:t>
      </w:r>
      <w:r w:rsidRPr="00D22B7C">
        <w:rPr>
          <w:rFonts w:ascii="Verdana" w:eastAsia="Times New Roman" w:hAnsi="Verdana" w:cs="Times New Roman"/>
        </w:rPr>
        <w:t>el proponente debe acreditar dentro de su planta de personal la vinculación de personas con discapacidad mediante contrato laboral con dedicación exclusiva, superando los mínimos que exige la Ley 2466 de 2025 (Reforma Laboral). El número mínimo de PcD requerido varía según el tamaño de la planta de personal del proponente, conforme a la siguiente tabla:</w:t>
      </w:r>
    </w:p>
    <w:p w14:paraId="31E33019" w14:textId="77777777" w:rsidR="00FE5496" w:rsidRPr="00D22B7C" w:rsidRDefault="00FE5496" w:rsidP="00FE5496">
      <w:pPr>
        <w:spacing w:after="120" w:line="276" w:lineRule="auto"/>
        <w:ind w:firstLine="709"/>
        <w:jc w:val="both"/>
        <w:rPr>
          <w:rFonts w:ascii="Verdana" w:hAnsi="Verdana"/>
        </w:rPr>
      </w:pPr>
    </w:p>
    <w:tbl>
      <w:tblPr>
        <w:tblW w:w="66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56"/>
        <w:gridCol w:w="3107"/>
      </w:tblGrid>
      <w:tr w:rsidR="00FE5496" w:rsidRPr="00D22B7C" w14:paraId="25E3B8D9" w14:textId="77777777" w:rsidTr="004B349E">
        <w:trPr>
          <w:jc w:val="center"/>
        </w:trPr>
        <w:tc>
          <w:tcPr>
            <w:tcW w:w="3556"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73B8F80F" w14:textId="77777777" w:rsidR="00FE5496" w:rsidRPr="00854BD3" w:rsidRDefault="00FE5496" w:rsidP="004B349E">
            <w:pPr>
              <w:jc w:val="center"/>
              <w:rPr>
                <w:rFonts w:ascii="Verdana" w:hAnsi="Verdana"/>
                <w:sz w:val="20"/>
                <w:szCs w:val="20"/>
              </w:rPr>
            </w:pPr>
            <w:r w:rsidRPr="00854BD3">
              <w:rPr>
                <w:rFonts w:ascii="Verdana" w:eastAsia="Times New Roman" w:hAnsi="Verdana" w:cs="Times New Roman"/>
                <w:b/>
                <w:bCs/>
                <w:sz w:val="20"/>
                <w:szCs w:val="20"/>
              </w:rPr>
              <w:lastRenderedPageBreak/>
              <w:t>Número total de trabajadores de la planta de personal del proponente</w:t>
            </w:r>
          </w:p>
        </w:tc>
        <w:tc>
          <w:tcPr>
            <w:tcW w:w="3107"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1A115482" w14:textId="77777777" w:rsidR="00FE5496" w:rsidRPr="00854BD3" w:rsidRDefault="00FE5496" w:rsidP="004B349E">
            <w:pPr>
              <w:jc w:val="center"/>
              <w:rPr>
                <w:rFonts w:ascii="Verdana" w:hAnsi="Verdana"/>
                <w:sz w:val="20"/>
                <w:szCs w:val="20"/>
              </w:rPr>
            </w:pPr>
            <w:r w:rsidRPr="00854BD3">
              <w:rPr>
                <w:rFonts w:ascii="Verdana" w:eastAsia="Times New Roman" w:hAnsi="Verdana" w:cs="Times New Roman"/>
                <w:b/>
                <w:bCs/>
                <w:sz w:val="20"/>
                <w:szCs w:val="20"/>
              </w:rPr>
              <w:t>Número mínimo de trabajadores con discapacidad requerido</w:t>
            </w:r>
          </w:p>
        </w:tc>
      </w:tr>
      <w:tr w:rsidR="00FE5496" w:rsidRPr="00D22B7C" w14:paraId="400A09BE" w14:textId="77777777" w:rsidTr="004B349E">
        <w:trPr>
          <w:jc w:val="center"/>
        </w:trPr>
        <w:tc>
          <w:tcPr>
            <w:tcW w:w="3556"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C372A76" w14:textId="77777777" w:rsidR="00FE5496" w:rsidRPr="00854BD3" w:rsidRDefault="00FE5496" w:rsidP="004B349E">
            <w:pPr>
              <w:jc w:val="center"/>
              <w:rPr>
                <w:rFonts w:ascii="Verdana" w:hAnsi="Verdana"/>
                <w:sz w:val="20"/>
                <w:szCs w:val="20"/>
              </w:rPr>
            </w:pPr>
            <w:r w:rsidRPr="00854BD3">
              <w:rPr>
                <w:rFonts w:ascii="Verdana" w:eastAsia="Times New Roman" w:hAnsi="Verdana" w:cs="Times New Roman"/>
                <w:sz w:val="20"/>
                <w:szCs w:val="20"/>
              </w:rPr>
              <w:t>Entre 1 y 30</w:t>
            </w:r>
          </w:p>
        </w:tc>
        <w:tc>
          <w:tcPr>
            <w:tcW w:w="310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B64AB3C" w14:textId="77777777" w:rsidR="00FE5496" w:rsidRPr="00854BD3" w:rsidRDefault="00FE5496" w:rsidP="004B349E">
            <w:pPr>
              <w:jc w:val="center"/>
              <w:rPr>
                <w:rFonts w:ascii="Verdana" w:hAnsi="Verdana"/>
                <w:sz w:val="20"/>
                <w:szCs w:val="20"/>
              </w:rPr>
            </w:pPr>
            <w:r w:rsidRPr="00854BD3">
              <w:rPr>
                <w:rFonts w:ascii="Verdana" w:eastAsia="Times New Roman" w:hAnsi="Verdana" w:cs="Times New Roman"/>
                <w:sz w:val="20"/>
                <w:szCs w:val="20"/>
              </w:rPr>
              <w:t>2</w:t>
            </w:r>
          </w:p>
        </w:tc>
      </w:tr>
      <w:tr w:rsidR="00FE5496" w:rsidRPr="00D22B7C" w14:paraId="146B487E" w14:textId="77777777" w:rsidTr="004B349E">
        <w:trPr>
          <w:jc w:val="center"/>
        </w:trPr>
        <w:tc>
          <w:tcPr>
            <w:tcW w:w="3556"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C249BE8" w14:textId="77777777" w:rsidR="00FE5496" w:rsidRPr="00854BD3" w:rsidRDefault="00FE5496" w:rsidP="004B349E">
            <w:pPr>
              <w:jc w:val="center"/>
              <w:rPr>
                <w:rFonts w:ascii="Verdana" w:hAnsi="Verdana"/>
                <w:sz w:val="20"/>
                <w:szCs w:val="20"/>
              </w:rPr>
            </w:pPr>
            <w:r w:rsidRPr="00854BD3">
              <w:rPr>
                <w:rFonts w:ascii="Verdana" w:eastAsia="Times New Roman" w:hAnsi="Verdana" w:cs="Times New Roman"/>
                <w:sz w:val="20"/>
                <w:szCs w:val="20"/>
              </w:rPr>
              <w:t>Entre 31 y 100</w:t>
            </w:r>
          </w:p>
        </w:tc>
        <w:tc>
          <w:tcPr>
            <w:tcW w:w="310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37E03FA" w14:textId="77777777" w:rsidR="00FE5496" w:rsidRPr="00854BD3" w:rsidRDefault="00FE5496" w:rsidP="004B349E">
            <w:pPr>
              <w:jc w:val="center"/>
              <w:rPr>
                <w:rFonts w:ascii="Verdana" w:hAnsi="Verdana"/>
                <w:sz w:val="20"/>
                <w:szCs w:val="20"/>
              </w:rPr>
            </w:pPr>
            <w:r w:rsidRPr="00854BD3">
              <w:rPr>
                <w:rFonts w:ascii="Verdana" w:eastAsia="Times New Roman" w:hAnsi="Verdana" w:cs="Times New Roman"/>
                <w:sz w:val="20"/>
                <w:szCs w:val="20"/>
              </w:rPr>
              <w:t>3</w:t>
            </w:r>
          </w:p>
        </w:tc>
      </w:tr>
      <w:tr w:rsidR="00FE5496" w:rsidRPr="00D22B7C" w14:paraId="258AF5A1" w14:textId="77777777" w:rsidTr="004B349E">
        <w:trPr>
          <w:jc w:val="center"/>
        </w:trPr>
        <w:tc>
          <w:tcPr>
            <w:tcW w:w="3556"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2C8C5DD" w14:textId="77777777" w:rsidR="00FE5496" w:rsidRPr="00854BD3" w:rsidRDefault="00FE5496" w:rsidP="004B349E">
            <w:pPr>
              <w:jc w:val="center"/>
              <w:rPr>
                <w:rFonts w:ascii="Verdana" w:hAnsi="Verdana"/>
                <w:sz w:val="20"/>
                <w:szCs w:val="20"/>
              </w:rPr>
            </w:pPr>
            <w:r w:rsidRPr="00854BD3">
              <w:rPr>
                <w:rFonts w:ascii="Verdana" w:eastAsia="Times New Roman" w:hAnsi="Verdana" w:cs="Times New Roman"/>
                <w:sz w:val="20"/>
                <w:szCs w:val="20"/>
              </w:rPr>
              <w:t>Entre 101 y 150</w:t>
            </w:r>
          </w:p>
        </w:tc>
        <w:tc>
          <w:tcPr>
            <w:tcW w:w="310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B5BA30D" w14:textId="77777777" w:rsidR="00FE5496" w:rsidRPr="00854BD3" w:rsidRDefault="00FE5496" w:rsidP="004B349E">
            <w:pPr>
              <w:jc w:val="center"/>
              <w:rPr>
                <w:rFonts w:ascii="Verdana" w:hAnsi="Verdana"/>
                <w:sz w:val="20"/>
                <w:szCs w:val="20"/>
              </w:rPr>
            </w:pPr>
            <w:r w:rsidRPr="00854BD3">
              <w:rPr>
                <w:rFonts w:ascii="Verdana" w:eastAsia="Times New Roman" w:hAnsi="Verdana" w:cs="Times New Roman"/>
                <w:sz w:val="20"/>
                <w:szCs w:val="20"/>
              </w:rPr>
              <w:t>4</w:t>
            </w:r>
          </w:p>
        </w:tc>
      </w:tr>
      <w:tr w:rsidR="00FE5496" w:rsidRPr="00D22B7C" w14:paraId="76EA87B2" w14:textId="77777777" w:rsidTr="004B349E">
        <w:trPr>
          <w:jc w:val="center"/>
        </w:trPr>
        <w:tc>
          <w:tcPr>
            <w:tcW w:w="3556"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EFDD50A" w14:textId="77777777" w:rsidR="00FE5496" w:rsidRPr="00854BD3" w:rsidRDefault="00FE5496" w:rsidP="004B349E">
            <w:pPr>
              <w:jc w:val="center"/>
              <w:rPr>
                <w:rFonts w:ascii="Verdana" w:hAnsi="Verdana"/>
                <w:sz w:val="20"/>
                <w:szCs w:val="20"/>
              </w:rPr>
            </w:pPr>
            <w:r w:rsidRPr="00854BD3">
              <w:rPr>
                <w:rFonts w:ascii="Verdana" w:eastAsia="Times New Roman" w:hAnsi="Verdana" w:cs="Times New Roman"/>
                <w:sz w:val="20"/>
                <w:szCs w:val="20"/>
              </w:rPr>
              <w:t>Entre 151 y 200</w:t>
            </w:r>
          </w:p>
        </w:tc>
        <w:tc>
          <w:tcPr>
            <w:tcW w:w="310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AE2B946" w14:textId="77777777" w:rsidR="00FE5496" w:rsidRPr="00854BD3" w:rsidRDefault="00FE5496" w:rsidP="004B349E">
            <w:pPr>
              <w:jc w:val="center"/>
              <w:rPr>
                <w:rFonts w:ascii="Verdana" w:hAnsi="Verdana"/>
                <w:sz w:val="20"/>
                <w:szCs w:val="20"/>
              </w:rPr>
            </w:pPr>
            <w:r w:rsidRPr="00854BD3">
              <w:rPr>
                <w:rFonts w:ascii="Verdana" w:eastAsia="Times New Roman" w:hAnsi="Verdana" w:cs="Times New Roman"/>
                <w:sz w:val="20"/>
                <w:szCs w:val="20"/>
              </w:rPr>
              <w:t>5</w:t>
            </w:r>
          </w:p>
        </w:tc>
      </w:tr>
      <w:tr w:rsidR="00FE5496" w:rsidRPr="00D22B7C" w14:paraId="760AA472" w14:textId="77777777" w:rsidTr="004B349E">
        <w:trPr>
          <w:jc w:val="center"/>
        </w:trPr>
        <w:tc>
          <w:tcPr>
            <w:tcW w:w="3556"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E64ACA1" w14:textId="77777777" w:rsidR="00FE5496" w:rsidRPr="00854BD3" w:rsidRDefault="00FE5496" w:rsidP="004B349E">
            <w:pPr>
              <w:jc w:val="center"/>
              <w:rPr>
                <w:rFonts w:ascii="Verdana" w:hAnsi="Verdana"/>
                <w:sz w:val="20"/>
                <w:szCs w:val="20"/>
              </w:rPr>
            </w:pPr>
            <w:r w:rsidRPr="00854BD3">
              <w:rPr>
                <w:rFonts w:ascii="Verdana" w:eastAsia="Times New Roman" w:hAnsi="Verdana" w:cs="Times New Roman"/>
                <w:sz w:val="20"/>
                <w:szCs w:val="20"/>
              </w:rPr>
              <w:t>Entre 201 y 300</w:t>
            </w:r>
          </w:p>
        </w:tc>
        <w:tc>
          <w:tcPr>
            <w:tcW w:w="310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73F64CC" w14:textId="77777777" w:rsidR="00FE5496" w:rsidRPr="00854BD3" w:rsidRDefault="00FE5496" w:rsidP="004B349E">
            <w:pPr>
              <w:jc w:val="center"/>
              <w:rPr>
                <w:rFonts w:ascii="Verdana" w:hAnsi="Verdana"/>
                <w:sz w:val="20"/>
                <w:szCs w:val="20"/>
              </w:rPr>
            </w:pPr>
            <w:r w:rsidRPr="00854BD3">
              <w:rPr>
                <w:rFonts w:ascii="Verdana" w:eastAsia="Times New Roman" w:hAnsi="Verdana" w:cs="Times New Roman"/>
                <w:sz w:val="20"/>
                <w:szCs w:val="20"/>
              </w:rPr>
              <w:t>7</w:t>
            </w:r>
          </w:p>
        </w:tc>
      </w:tr>
      <w:tr w:rsidR="00FE5496" w:rsidRPr="00D22B7C" w14:paraId="693DB8CD" w14:textId="77777777" w:rsidTr="004B349E">
        <w:trPr>
          <w:jc w:val="center"/>
        </w:trPr>
        <w:tc>
          <w:tcPr>
            <w:tcW w:w="3556"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153AE6A" w14:textId="77777777" w:rsidR="00FE5496" w:rsidRPr="00854BD3" w:rsidRDefault="00FE5496" w:rsidP="004B349E">
            <w:pPr>
              <w:jc w:val="center"/>
              <w:rPr>
                <w:rFonts w:ascii="Verdana" w:hAnsi="Verdana"/>
                <w:sz w:val="20"/>
                <w:szCs w:val="20"/>
              </w:rPr>
            </w:pPr>
            <w:r w:rsidRPr="00854BD3">
              <w:rPr>
                <w:rFonts w:ascii="Verdana" w:eastAsia="Times New Roman" w:hAnsi="Verdana" w:cs="Times New Roman"/>
                <w:sz w:val="20"/>
                <w:szCs w:val="20"/>
              </w:rPr>
              <w:t>Entre 301 y 400</w:t>
            </w:r>
          </w:p>
        </w:tc>
        <w:tc>
          <w:tcPr>
            <w:tcW w:w="310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256DBDE" w14:textId="77777777" w:rsidR="00FE5496" w:rsidRPr="00854BD3" w:rsidRDefault="00FE5496" w:rsidP="004B349E">
            <w:pPr>
              <w:jc w:val="center"/>
              <w:rPr>
                <w:rFonts w:ascii="Verdana" w:hAnsi="Verdana"/>
                <w:sz w:val="20"/>
                <w:szCs w:val="20"/>
              </w:rPr>
            </w:pPr>
            <w:r w:rsidRPr="00854BD3">
              <w:rPr>
                <w:rFonts w:ascii="Verdana" w:eastAsia="Times New Roman" w:hAnsi="Verdana" w:cs="Times New Roman"/>
                <w:sz w:val="20"/>
                <w:szCs w:val="20"/>
              </w:rPr>
              <w:t>10</w:t>
            </w:r>
          </w:p>
        </w:tc>
      </w:tr>
      <w:tr w:rsidR="00FE5496" w:rsidRPr="00D22B7C" w14:paraId="5FF595A8" w14:textId="77777777" w:rsidTr="004B349E">
        <w:trPr>
          <w:jc w:val="center"/>
        </w:trPr>
        <w:tc>
          <w:tcPr>
            <w:tcW w:w="3556"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FE7728D" w14:textId="77777777" w:rsidR="00FE5496" w:rsidRPr="00854BD3" w:rsidRDefault="00FE5496" w:rsidP="004B349E">
            <w:pPr>
              <w:jc w:val="center"/>
              <w:rPr>
                <w:rFonts w:ascii="Verdana" w:hAnsi="Verdana"/>
                <w:sz w:val="20"/>
                <w:szCs w:val="20"/>
              </w:rPr>
            </w:pPr>
            <w:r w:rsidRPr="00854BD3">
              <w:rPr>
                <w:rFonts w:ascii="Verdana" w:eastAsia="Times New Roman" w:hAnsi="Verdana" w:cs="Times New Roman"/>
                <w:sz w:val="20"/>
                <w:szCs w:val="20"/>
              </w:rPr>
              <w:t>Entre 401 y 500</w:t>
            </w:r>
          </w:p>
        </w:tc>
        <w:tc>
          <w:tcPr>
            <w:tcW w:w="310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D228282" w14:textId="77777777" w:rsidR="00FE5496" w:rsidRPr="00854BD3" w:rsidRDefault="00FE5496" w:rsidP="004B349E">
            <w:pPr>
              <w:jc w:val="center"/>
              <w:rPr>
                <w:rFonts w:ascii="Verdana" w:hAnsi="Verdana"/>
                <w:sz w:val="20"/>
                <w:szCs w:val="20"/>
              </w:rPr>
            </w:pPr>
            <w:r w:rsidRPr="00854BD3">
              <w:rPr>
                <w:rFonts w:ascii="Verdana" w:eastAsia="Times New Roman" w:hAnsi="Verdana" w:cs="Times New Roman"/>
                <w:sz w:val="20"/>
                <w:szCs w:val="20"/>
              </w:rPr>
              <w:t>12</w:t>
            </w:r>
          </w:p>
        </w:tc>
      </w:tr>
      <w:tr w:rsidR="00FE5496" w:rsidRPr="00D22B7C" w14:paraId="55434AD1" w14:textId="77777777" w:rsidTr="004B349E">
        <w:trPr>
          <w:jc w:val="center"/>
        </w:trPr>
        <w:tc>
          <w:tcPr>
            <w:tcW w:w="3556"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B7B458A" w14:textId="77777777" w:rsidR="00FE5496" w:rsidRPr="00854BD3" w:rsidRDefault="00FE5496" w:rsidP="004B349E">
            <w:pPr>
              <w:jc w:val="center"/>
              <w:rPr>
                <w:rFonts w:ascii="Verdana" w:hAnsi="Verdana"/>
                <w:sz w:val="20"/>
                <w:szCs w:val="20"/>
              </w:rPr>
            </w:pPr>
            <w:r w:rsidRPr="00854BD3">
              <w:rPr>
                <w:rFonts w:ascii="Verdana" w:eastAsia="Times New Roman" w:hAnsi="Verdana" w:cs="Times New Roman"/>
                <w:sz w:val="20"/>
                <w:szCs w:val="20"/>
              </w:rPr>
              <w:t>Entre 501 y 600</w:t>
            </w:r>
          </w:p>
        </w:tc>
        <w:tc>
          <w:tcPr>
            <w:tcW w:w="310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327B478" w14:textId="77777777" w:rsidR="00FE5496" w:rsidRPr="00854BD3" w:rsidRDefault="00FE5496" w:rsidP="004B349E">
            <w:pPr>
              <w:jc w:val="center"/>
              <w:rPr>
                <w:rFonts w:ascii="Verdana" w:hAnsi="Verdana"/>
                <w:sz w:val="20"/>
                <w:szCs w:val="20"/>
              </w:rPr>
            </w:pPr>
            <w:r w:rsidRPr="00854BD3">
              <w:rPr>
                <w:rFonts w:ascii="Verdana" w:eastAsia="Times New Roman" w:hAnsi="Verdana" w:cs="Times New Roman"/>
                <w:sz w:val="20"/>
                <w:szCs w:val="20"/>
              </w:rPr>
              <w:t>14</w:t>
            </w:r>
          </w:p>
        </w:tc>
      </w:tr>
      <w:tr w:rsidR="00FE5496" w:rsidRPr="00D22B7C" w14:paraId="7B482BB3" w14:textId="77777777" w:rsidTr="004B349E">
        <w:trPr>
          <w:jc w:val="center"/>
        </w:trPr>
        <w:tc>
          <w:tcPr>
            <w:tcW w:w="3556"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19A0B12" w14:textId="77777777" w:rsidR="00FE5496" w:rsidRPr="00854BD3" w:rsidRDefault="00FE5496" w:rsidP="004B349E">
            <w:pPr>
              <w:jc w:val="center"/>
              <w:rPr>
                <w:rFonts w:ascii="Verdana" w:hAnsi="Verdana"/>
                <w:sz w:val="20"/>
                <w:szCs w:val="20"/>
              </w:rPr>
            </w:pPr>
            <w:r w:rsidRPr="00854BD3">
              <w:rPr>
                <w:rFonts w:ascii="Verdana" w:eastAsia="Times New Roman" w:hAnsi="Verdana" w:cs="Times New Roman"/>
                <w:sz w:val="20"/>
                <w:szCs w:val="20"/>
              </w:rPr>
              <w:t>Entre 601 y 700</w:t>
            </w:r>
          </w:p>
        </w:tc>
        <w:tc>
          <w:tcPr>
            <w:tcW w:w="310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DA76E87" w14:textId="77777777" w:rsidR="00FE5496" w:rsidRPr="00854BD3" w:rsidRDefault="00FE5496" w:rsidP="004B349E">
            <w:pPr>
              <w:jc w:val="center"/>
              <w:rPr>
                <w:rFonts w:ascii="Verdana" w:hAnsi="Verdana"/>
                <w:sz w:val="20"/>
                <w:szCs w:val="20"/>
              </w:rPr>
            </w:pPr>
            <w:r w:rsidRPr="00854BD3">
              <w:rPr>
                <w:rFonts w:ascii="Verdana" w:eastAsia="Times New Roman" w:hAnsi="Verdana" w:cs="Times New Roman"/>
                <w:sz w:val="20"/>
                <w:szCs w:val="20"/>
              </w:rPr>
              <w:t>16</w:t>
            </w:r>
          </w:p>
        </w:tc>
      </w:tr>
      <w:tr w:rsidR="00FE5496" w:rsidRPr="00D22B7C" w14:paraId="3BED3AD4" w14:textId="77777777" w:rsidTr="004B349E">
        <w:trPr>
          <w:jc w:val="center"/>
        </w:trPr>
        <w:tc>
          <w:tcPr>
            <w:tcW w:w="3556"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AC15922" w14:textId="77777777" w:rsidR="00FE5496" w:rsidRPr="00854BD3" w:rsidRDefault="00FE5496" w:rsidP="004B349E">
            <w:pPr>
              <w:jc w:val="center"/>
              <w:rPr>
                <w:rFonts w:ascii="Verdana" w:hAnsi="Verdana"/>
                <w:sz w:val="20"/>
                <w:szCs w:val="20"/>
              </w:rPr>
            </w:pPr>
            <w:r w:rsidRPr="00854BD3">
              <w:rPr>
                <w:rFonts w:ascii="Verdana" w:eastAsia="Times New Roman" w:hAnsi="Verdana" w:cs="Times New Roman"/>
                <w:sz w:val="20"/>
                <w:szCs w:val="20"/>
              </w:rPr>
              <w:t>Más de 700</w:t>
            </w:r>
          </w:p>
        </w:tc>
        <w:tc>
          <w:tcPr>
            <w:tcW w:w="310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6851E6F" w14:textId="77777777" w:rsidR="00FE5496" w:rsidRPr="00854BD3" w:rsidRDefault="00FE5496" w:rsidP="004B349E">
            <w:pPr>
              <w:jc w:val="center"/>
              <w:rPr>
                <w:rFonts w:ascii="Verdana" w:hAnsi="Verdana"/>
                <w:sz w:val="20"/>
                <w:szCs w:val="20"/>
              </w:rPr>
            </w:pPr>
            <w:r w:rsidRPr="00854BD3">
              <w:rPr>
                <w:rFonts w:ascii="Verdana" w:eastAsia="Times New Roman" w:hAnsi="Verdana" w:cs="Times New Roman"/>
                <w:sz w:val="20"/>
                <w:szCs w:val="20"/>
              </w:rPr>
              <w:t>Por cada 100 trabajadores adicionales, se suman 2 trabajadores con discapacidad</w:t>
            </w:r>
          </w:p>
        </w:tc>
      </w:tr>
    </w:tbl>
    <w:p w14:paraId="16F69AD4" w14:textId="77777777" w:rsidR="00FE5496" w:rsidRPr="00D22B7C" w:rsidRDefault="00FE5496" w:rsidP="00FE5496">
      <w:pPr>
        <w:spacing w:after="0" w:line="276" w:lineRule="auto"/>
        <w:rPr>
          <w:rFonts w:ascii="Verdana" w:hAnsi="Verdana"/>
        </w:rPr>
      </w:pPr>
    </w:p>
    <w:p w14:paraId="0D9E7941" w14:textId="77777777" w:rsidR="00FE5496" w:rsidRPr="003E2BDD" w:rsidRDefault="00FE5496" w:rsidP="00FE5496">
      <w:pPr>
        <w:spacing w:after="120" w:line="276" w:lineRule="auto"/>
        <w:ind w:firstLine="709"/>
        <w:jc w:val="both"/>
        <w:rPr>
          <w:rFonts w:ascii="Verdana" w:hAnsi="Verdana"/>
        </w:rPr>
      </w:pPr>
      <w:r w:rsidRPr="00D22B7C">
        <w:rPr>
          <w:rFonts w:ascii="Verdana" w:eastAsia="Times New Roman" w:hAnsi="Verdana" w:cs="Times New Roman"/>
        </w:rPr>
        <w:t>El puntaje no se otorga por cumplir la ley sino por superarla</w:t>
      </w:r>
      <w:r>
        <w:rPr>
          <w:rFonts w:ascii="Verdana" w:eastAsia="Times New Roman" w:hAnsi="Verdana" w:cs="Times New Roman"/>
        </w:rPr>
        <w:t>, pues</w:t>
      </w:r>
      <w:r w:rsidRPr="00D22B7C">
        <w:rPr>
          <w:rFonts w:ascii="Verdana" w:eastAsia="Times New Roman" w:hAnsi="Verdana" w:cs="Times New Roman"/>
        </w:rPr>
        <w:t xml:space="preserve"> solo el proponente que acredite un número de PcD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w:t>
      </w:r>
      <w:r>
        <w:rPr>
          <w:rFonts w:ascii="Verdana" w:eastAsia="Times New Roman" w:hAnsi="Verdana" w:cs="Times New Roman"/>
        </w:rPr>
        <w:t>, sin que se exija el aporte de experiencia</w:t>
      </w:r>
      <w:r w:rsidRPr="00D22B7C">
        <w:rPr>
          <w:rFonts w:ascii="Verdana" w:eastAsia="Times New Roman" w:hAnsi="Verdana" w:cs="Times New Roman"/>
        </w:rPr>
        <w:t>.</w:t>
      </w:r>
    </w:p>
    <w:p w14:paraId="139E7BF9" w14:textId="77777777" w:rsidR="00FE5496" w:rsidRDefault="00FE5496" w:rsidP="00FE5496">
      <w:pPr>
        <w:spacing w:after="120" w:line="276" w:lineRule="auto"/>
        <w:ind w:firstLine="708"/>
        <w:jc w:val="both"/>
        <w:rPr>
          <w:rFonts w:ascii="Verdana" w:eastAsia="Times New Roman" w:hAnsi="Verdana" w:cs="Times New Roman"/>
        </w:rPr>
      </w:pPr>
      <w:r>
        <w:rPr>
          <w:rFonts w:ascii="Verdana" w:eastAsia="Times New Roman" w:hAnsi="Verdana" w:cs="Times New Roman"/>
        </w:rPr>
        <w:t xml:space="preserve">Para tales efectos, el proponente deberá presentar </w:t>
      </w:r>
      <w:r w:rsidRPr="007B01BA">
        <w:rPr>
          <w:rFonts w:ascii="Verdana" w:eastAsia="Times New Roman" w:hAnsi="Verdana" w:cs="Times New Roman"/>
        </w:rPr>
        <w:t xml:space="preserve">los documentos requeridos en el artículo 2.2.1.2.4.2.7.4., que incluye </w:t>
      </w:r>
      <w:r>
        <w:rPr>
          <w:rFonts w:ascii="Verdana" w:eastAsia="Times New Roman" w:hAnsi="Verdana" w:cs="Times New Roman"/>
        </w:rPr>
        <w:t>c</w:t>
      </w:r>
      <w:r w:rsidRPr="00196708">
        <w:rPr>
          <w:rFonts w:ascii="Verdana" w:eastAsia="Times New Roman" w:hAnsi="Verdana" w:cs="Times New Roman"/>
        </w:rPr>
        <w:t>ertificación</w:t>
      </w:r>
      <w:r>
        <w:rPr>
          <w:rFonts w:ascii="Verdana" w:eastAsia="Times New Roman" w:hAnsi="Verdana" w:cs="Times New Roman"/>
        </w:rPr>
        <w:t xml:space="preserve"> </w:t>
      </w:r>
      <w:r w:rsidRPr="00196708">
        <w:rPr>
          <w:rFonts w:ascii="Verdana" w:eastAsia="Times New Roman" w:hAnsi="Verdana" w:cs="Times New Roman"/>
        </w:rPr>
        <w:t xml:space="preserve">suscrita por el representante legal del proponente y el revisor fiscal, cuando exista, o el </w:t>
      </w:r>
      <w:r w:rsidRPr="00196708">
        <w:rPr>
          <w:rFonts w:ascii="Verdana" w:eastAsia="Times New Roman" w:hAnsi="Verdana" w:cs="Times New Roman"/>
        </w:rPr>
        <w:lastRenderedPageBreak/>
        <w:t>contador, en la que conste el número de personas con discapacidad que conforman su planta de personal</w:t>
      </w:r>
      <w:r>
        <w:rPr>
          <w:rFonts w:ascii="Verdana" w:eastAsia="Times New Roman" w:hAnsi="Verdana" w:cs="Times New Roman"/>
        </w:rPr>
        <w:t xml:space="preserve">, con los respectivos soportes que allí se determinan, así como </w:t>
      </w:r>
      <w:r w:rsidRPr="007B01BA">
        <w:rPr>
          <w:rFonts w:ascii="Verdana" w:eastAsia="Times New Roman" w:hAnsi="Verdana" w:cs="Times New Roman"/>
        </w:rPr>
        <w:t xml:space="preserve">el certificado </w:t>
      </w:r>
      <w:r>
        <w:rPr>
          <w:rFonts w:ascii="Verdana" w:eastAsia="Times New Roman" w:hAnsi="Verdana" w:cs="Times New Roman"/>
        </w:rPr>
        <w:t xml:space="preserve">que para el efecto expide </w:t>
      </w:r>
      <w:r w:rsidRPr="007B01BA">
        <w:rPr>
          <w:rFonts w:ascii="Verdana" w:eastAsia="Times New Roman" w:hAnsi="Verdana" w:cs="Times New Roman"/>
        </w:rPr>
        <w:t>el Ministerio del Trabajo</w:t>
      </w:r>
      <w:r>
        <w:rPr>
          <w:rFonts w:ascii="Verdana" w:eastAsia="Times New Roman" w:hAnsi="Verdana" w:cs="Times New Roman"/>
        </w:rPr>
        <w:t xml:space="preserve">. </w:t>
      </w:r>
    </w:p>
    <w:p w14:paraId="4206AC44" w14:textId="77777777" w:rsidR="00FE5496" w:rsidRDefault="00FE5496" w:rsidP="00FE5496">
      <w:pPr>
        <w:spacing w:after="120" w:line="276" w:lineRule="auto"/>
        <w:ind w:firstLine="708"/>
        <w:jc w:val="both"/>
        <w:rPr>
          <w:rFonts w:ascii="Verdana" w:eastAsia="Times New Roman" w:hAnsi="Verdana" w:cs="Times New Roman"/>
        </w:rPr>
      </w:pPr>
      <w:r>
        <w:rPr>
          <w:rFonts w:ascii="Verdana" w:eastAsia="Times New Roman" w:hAnsi="Verdana" w:cs="Times New Roman"/>
        </w:rPr>
        <w:t xml:space="preserve">Por su parte, </w:t>
      </w:r>
      <w:r w:rsidRPr="007B01BA">
        <w:rPr>
          <w:rFonts w:ascii="Verdana" w:eastAsia="Times New Roman" w:hAnsi="Verdana" w:cs="Times New Roman"/>
        </w:rPr>
        <w:t xml:space="preserve">cuando se trata de un emprendimiento o empresa de PcD, los documentos requeridos son los establecidos en el artículo 2.2.1.2.4.2.6., que varían según la categoría que se acredite. En ningún caso los documentos del artículo 2.2.1.2.4.2.7.4. </w:t>
      </w:r>
      <w:r>
        <w:rPr>
          <w:rFonts w:ascii="Verdana" w:eastAsia="Times New Roman" w:hAnsi="Verdana" w:cs="Times New Roman"/>
        </w:rPr>
        <w:t xml:space="preserve">respecto de los empleadores de PcD </w:t>
      </w:r>
      <w:r w:rsidRPr="007B01BA">
        <w:rPr>
          <w:rFonts w:ascii="Verdana" w:eastAsia="Times New Roman" w:hAnsi="Verdana" w:cs="Times New Roman"/>
        </w:rPr>
        <w:t>son exigibles a los emprendimientos y empresas de PcD, ni viceversa</w:t>
      </w:r>
      <w:r>
        <w:rPr>
          <w:rFonts w:ascii="Verdana" w:eastAsia="Times New Roman" w:hAnsi="Verdana" w:cs="Times New Roman"/>
        </w:rPr>
        <w:t xml:space="preserve">. </w:t>
      </w:r>
    </w:p>
    <w:p w14:paraId="150B7802" w14:textId="77777777" w:rsidR="00FE5496" w:rsidRPr="00B53264" w:rsidRDefault="00FE5496" w:rsidP="00FE5496">
      <w:pPr>
        <w:spacing w:after="120" w:line="276" w:lineRule="auto"/>
        <w:ind w:firstLine="708"/>
        <w:jc w:val="both"/>
        <w:rPr>
          <w:rFonts w:ascii="Verdana" w:eastAsia="Times New Roman" w:hAnsi="Verdana" w:cs="Times New Roman"/>
        </w:rPr>
      </w:pPr>
      <w:r w:rsidRPr="00206556">
        <w:rPr>
          <w:rFonts w:ascii="Verdana" w:hAnsi="Verdana"/>
        </w:rPr>
        <w:t xml:space="preserve"> En relación al ámbito de aplicación del puntaje adicional del 2%</w:t>
      </w:r>
      <w:r>
        <w:rPr>
          <w:rFonts w:ascii="Verdana" w:hAnsi="Verdana"/>
        </w:rPr>
        <w:t>, e</w:t>
      </w:r>
      <w:r w:rsidRPr="00206556">
        <w:rPr>
          <w:rFonts w:ascii="Verdana" w:hAnsi="Verdana"/>
        </w:rPr>
        <w:t xml:space="preserve">l artículo 2.2.1.2.4.2.7.4. del Decreto 0287 de 2026 establece este puntaje exclusivamente en los procedimientos de licitación pública y concurso de méritos, para entidades regidas por </w:t>
      </w:r>
      <w:r>
        <w:rPr>
          <w:rFonts w:ascii="Verdana" w:hAnsi="Verdana"/>
        </w:rPr>
        <w:t>el Estatuto General de Contratación Pública</w:t>
      </w:r>
      <w:r w:rsidRPr="00206556">
        <w:rPr>
          <w:rFonts w:ascii="Verdana" w:hAnsi="Verdana"/>
        </w:rPr>
        <w:t xml:space="preserve">. La restricción obedece a que el puntaje solo tiene lugar en procesos de selección competitiva con evaluación comparativa de propuestas; en la contratación directa no hay concurrencia ni asignación de puntos, de modo que técnicamente no es posible aplicarlo. No obstante, la ausencia del puntaje en otras modalidades y regímenes no equivale a la ausencia de medidas afirmativas: los criterios habilitantes diferenciales aplican en régimen especial; las compras públicas accesibles y las condiciones especiales de ejecución aplican en todas las modalidades </w:t>
      </w:r>
      <w:r>
        <w:rPr>
          <w:rFonts w:ascii="Verdana" w:hAnsi="Verdana"/>
        </w:rPr>
        <w:t>de selección</w:t>
      </w:r>
      <w:r w:rsidRPr="00206556">
        <w:rPr>
          <w:rFonts w:ascii="Verdana" w:hAnsi="Verdana"/>
        </w:rPr>
        <w:t>; y la contratación directa tiene su propia medida afirmativa a través de los contratos de prestación de servicios con PcD.</w:t>
      </w:r>
    </w:p>
    <w:p w14:paraId="7407AD41" w14:textId="77777777" w:rsidR="00FE5496" w:rsidRDefault="00FE5496" w:rsidP="00FE5496">
      <w:pPr>
        <w:spacing w:after="120" w:line="276" w:lineRule="auto"/>
        <w:ind w:left="119" w:right="79" w:firstLine="590"/>
        <w:jc w:val="both"/>
        <w:rPr>
          <w:rFonts w:ascii="Verdana" w:eastAsia="Arial" w:hAnsi="Verdana" w:cs="Arial"/>
        </w:rPr>
      </w:pPr>
      <w:r w:rsidRPr="00782E4A">
        <w:rPr>
          <w:rFonts w:ascii="Verdana" w:eastAsia="Arial" w:hAnsi="Verdana" w:cs="Arial"/>
        </w:rPr>
        <w:t>Ahora bien, el parágrafo 2 del artículo</w:t>
      </w:r>
      <w:r>
        <w:rPr>
          <w:rFonts w:ascii="Verdana" w:eastAsia="Arial" w:hAnsi="Verdana" w:cs="Arial"/>
          <w:b/>
          <w:bCs/>
        </w:rPr>
        <w:t xml:space="preserve"> </w:t>
      </w:r>
      <w:r w:rsidRPr="001B3C5D">
        <w:rPr>
          <w:rFonts w:ascii="Verdana" w:eastAsia="Aptos" w:hAnsi="Verdana" w:cs="Times New Roman"/>
          <w:kern w:val="2"/>
          <w14:ligatures w14:val="standardContextual"/>
        </w:rPr>
        <w:t xml:space="preserve">2.1.2.4.2.7.4 </w:t>
      </w:r>
      <w:r>
        <w:rPr>
          <w:rFonts w:ascii="Verdana" w:eastAsia="Aptos" w:hAnsi="Verdana" w:cs="Times New Roman"/>
          <w:kern w:val="2"/>
          <w14:ligatures w14:val="standardContextual"/>
        </w:rPr>
        <w:t>del Decreto 287 de 2026 señala que “</w:t>
      </w:r>
      <w:r>
        <w:rPr>
          <w:rFonts w:ascii="Verdana" w:eastAsia="Arial" w:hAnsi="Verdana" w:cs="Arial"/>
        </w:rPr>
        <w:t>e</w:t>
      </w:r>
      <w:r w:rsidRPr="00064699">
        <w:rPr>
          <w:rFonts w:ascii="Verdana" w:eastAsia="Arial" w:hAnsi="Verdana" w:cs="Arial"/>
        </w:rPr>
        <w:t>l puntaje adicional previsto en este artículo no excluye la aplicación de incentivos contractuales ni de criterios diferenciales en favor de las MiPymes y los emprendimientos y empresas de mujeres</w:t>
      </w:r>
      <w:r>
        <w:rPr>
          <w:rFonts w:ascii="Verdana" w:eastAsia="Arial" w:hAnsi="Verdana" w:cs="Arial"/>
        </w:rPr>
        <w:t>”</w:t>
      </w:r>
      <w:r w:rsidRPr="00064699">
        <w:rPr>
          <w:rFonts w:ascii="Verdana" w:eastAsia="Arial" w:hAnsi="Verdana" w:cs="Arial"/>
        </w:rPr>
        <w:t>.</w:t>
      </w:r>
      <w:r>
        <w:rPr>
          <w:rFonts w:ascii="Verdana" w:eastAsia="Arial" w:hAnsi="Verdana" w:cs="Arial"/>
        </w:rPr>
        <w:t xml:space="preserve"> Esto significa que el puntaje aquí previsto es acumulable con el puntaje </w:t>
      </w:r>
      <w:r w:rsidRPr="00561A43">
        <w:rPr>
          <w:rFonts w:ascii="Verdana" w:eastAsia="Arial" w:hAnsi="Verdana" w:cs="Arial"/>
        </w:rPr>
        <w:t>que</w:t>
      </w:r>
      <w:r>
        <w:rPr>
          <w:rFonts w:ascii="Verdana" w:eastAsia="Arial" w:hAnsi="Verdana" w:cs="Arial"/>
        </w:rPr>
        <w:t xml:space="preserve"> </w:t>
      </w:r>
      <w:r w:rsidRPr="00561A43">
        <w:rPr>
          <w:rFonts w:ascii="Verdana" w:eastAsia="Arial" w:hAnsi="Verdana" w:cs="Arial"/>
        </w:rPr>
        <w:t>favorezca a los proponentes que acrediten la calidad de emprendimiento y empresas</w:t>
      </w:r>
      <w:r>
        <w:rPr>
          <w:rFonts w:ascii="Verdana" w:eastAsia="Arial" w:hAnsi="Verdana" w:cs="Arial"/>
        </w:rPr>
        <w:t xml:space="preserve"> </w:t>
      </w:r>
      <w:r w:rsidRPr="00561A43">
        <w:rPr>
          <w:rFonts w:ascii="Verdana" w:eastAsia="Arial" w:hAnsi="Verdana" w:cs="Arial"/>
        </w:rPr>
        <w:t>de mujeres</w:t>
      </w:r>
      <w:r>
        <w:rPr>
          <w:rFonts w:ascii="Verdana" w:eastAsia="Arial" w:hAnsi="Verdana" w:cs="Arial"/>
        </w:rPr>
        <w:t xml:space="preserve"> y los que ostentan la condición de </w:t>
      </w:r>
      <w:r w:rsidRPr="00561A43">
        <w:rPr>
          <w:rFonts w:ascii="Verdana" w:eastAsia="Arial" w:hAnsi="Verdana" w:cs="Arial"/>
        </w:rPr>
        <w:t>Mipyme</w:t>
      </w:r>
      <w:r>
        <w:rPr>
          <w:rFonts w:ascii="Verdana" w:eastAsia="Arial" w:hAnsi="Verdana" w:cs="Arial"/>
        </w:rPr>
        <w:t>, de conformidad con lo dispuesto en el Decreto 1860 de 2021.</w:t>
      </w:r>
    </w:p>
    <w:p w14:paraId="658E9038" w14:textId="77777777" w:rsidR="00FE5496" w:rsidRDefault="00FE5496" w:rsidP="00FE5496">
      <w:pPr>
        <w:spacing w:after="120" w:line="276" w:lineRule="auto"/>
        <w:ind w:left="119" w:right="79" w:firstLine="590"/>
        <w:jc w:val="both"/>
        <w:rPr>
          <w:rFonts w:ascii="Verdana" w:hAnsi="Verdana" w:cs="Arial"/>
          <w:bCs/>
        </w:rPr>
      </w:pPr>
      <w:r>
        <w:rPr>
          <w:rFonts w:ascii="Verdana" w:eastAsia="Arial" w:hAnsi="Verdana" w:cs="Arial"/>
        </w:rPr>
        <w:t xml:space="preserve">Para tales efectos, es importante recordar que </w:t>
      </w:r>
      <w:r>
        <w:rPr>
          <w:rFonts w:ascii="Verdana" w:hAnsi="Verdana" w:cs="Arial"/>
          <w:bCs/>
        </w:rPr>
        <w:t xml:space="preserve">los artículos 2.2.1.2.4.2.15 y el 2.2.1.2.4.2.18 del Decreto 1082 de 2015, adicionados por el artículo 3 del Decreto 1860 de 2021, también disponen de un puntaje adicional de hasta el cero punto veinticinco (0,25%) del valor total de los puntos establecidos en el pliego de condiciones o documentos equivalentes a los proponentes que </w:t>
      </w:r>
      <w:r>
        <w:rPr>
          <w:rFonts w:ascii="Verdana" w:hAnsi="Verdana" w:cs="Arial"/>
          <w:bCs/>
        </w:rPr>
        <w:lastRenderedPageBreak/>
        <w:t xml:space="preserve">acrediten su condición de Mipymes y/o emprendimiento o empresa de mujeres. Así, respecto del puntaje adicional para Mipymes, el inciso tercero del artículo 2.2.1.2.4.2.18 señala que </w:t>
      </w:r>
      <w:r w:rsidRPr="00664617">
        <w:rPr>
          <w:rFonts w:ascii="Verdana" w:hAnsi="Verdana" w:cs="Arial"/>
          <w:bCs/>
        </w:rPr>
        <w:t>las entidades sometidas al Estatuto General de Contratación de la Administración Pública</w:t>
      </w:r>
      <w:r>
        <w:rPr>
          <w:rFonts w:ascii="Verdana" w:hAnsi="Verdana" w:cs="Arial"/>
          <w:bCs/>
        </w:rPr>
        <w:t xml:space="preserve"> podrán establecer este puntaje adicional en los procedimientos de selección con excepción de la selección </w:t>
      </w:r>
      <w:r w:rsidRPr="00664617">
        <w:rPr>
          <w:rFonts w:ascii="Verdana" w:hAnsi="Verdana" w:cs="Arial"/>
          <w:bCs/>
        </w:rPr>
        <w:t>abreviada por subasta inversa y de mínima cuantía</w:t>
      </w:r>
      <w:r>
        <w:rPr>
          <w:rFonts w:ascii="Verdana" w:hAnsi="Verdana" w:cs="Arial"/>
          <w:bCs/>
        </w:rPr>
        <w:t xml:space="preserve">. A su vez, el artículo </w:t>
      </w:r>
      <w:r w:rsidRPr="008E0213">
        <w:rPr>
          <w:rFonts w:ascii="Verdana" w:hAnsi="Verdana" w:cs="Arial"/>
          <w:bCs/>
        </w:rPr>
        <w:t>2.2.1.2.4.2.15</w:t>
      </w:r>
      <w:r>
        <w:rPr>
          <w:rFonts w:ascii="Verdana" w:hAnsi="Verdana" w:cs="Arial"/>
          <w:bCs/>
        </w:rPr>
        <w:t xml:space="preserve"> indica que, </w:t>
      </w:r>
      <w:r w:rsidRPr="00924DB5">
        <w:rPr>
          <w:rFonts w:ascii="Verdana" w:hAnsi="Verdana" w:cs="Arial"/>
          <w:bCs/>
        </w:rPr>
        <w:t xml:space="preserve">con excepción de los procedimientos donde el menor precio ofrecido sea el único factor de evaluación, las </w:t>
      </w:r>
      <w:r>
        <w:rPr>
          <w:rFonts w:ascii="Verdana" w:hAnsi="Verdana" w:cs="Arial"/>
          <w:bCs/>
        </w:rPr>
        <w:t>e</w:t>
      </w:r>
      <w:r w:rsidRPr="00924DB5">
        <w:rPr>
          <w:rFonts w:ascii="Verdana" w:hAnsi="Verdana" w:cs="Arial"/>
          <w:bCs/>
        </w:rPr>
        <w:t xml:space="preserve">ntidades otorgarán </w:t>
      </w:r>
      <w:r>
        <w:rPr>
          <w:rFonts w:ascii="Verdana" w:hAnsi="Verdana" w:cs="Arial"/>
          <w:bCs/>
        </w:rPr>
        <w:t>el</w:t>
      </w:r>
      <w:r w:rsidRPr="00924DB5">
        <w:rPr>
          <w:rFonts w:ascii="Verdana" w:hAnsi="Verdana" w:cs="Arial"/>
          <w:bCs/>
        </w:rPr>
        <w:t xml:space="preserve"> puntaje, a los proponentes que acrediten alguno de los supuestos del artículo 2.2.1.2.4.2.14 del Decreto</w:t>
      </w:r>
      <w:r>
        <w:rPr>
          <w:rFonts w:ascii="Verdana" w:hAnsi="Verdana" w:cs="Arial"/>
          <w:bCs/>
        </w:rPr>
        <w:t xml:space="preserve"> 1082 de 2015</w:t>
      </w:r>
      <w:r w:rsidRPr="00924DB5">
        <w:rPr>
          <w:rFonts w:ascii="Verdana" w:hAnsi="Verdana" w:cs="Arial"/>
          <w:bCs/>
        </w:rPr>
        <w:t>.</w:t>
      </w:r>
      <w:r>
        <w:rPr>
          <w:rFonts w:ascii="Verdana" w:hAnsi="Verdana" w:cs="Arial"/>
          <w:bCs/>
        </w:rPr>
        <w:t xml:space="preserve"> </w:t>
      </w:r>
    </w:p>
    <w:p w14:paraId="293FAD0E" w14:textId="77777777" w:rsidR="00FE5496" w:rsidRDefault="00FE5496" w:rsidP="00FE5496">
      <w:pPr>
        <w:spacing w:after="120" w:line="276" w:lineRule="auto"/>
        <w:ind w:left="119" w:right="79" w:firstLine="590"/>
        <w:jc w:val="both"/>
        <w:rPr>
          <w:rFonts w:ascii="Verdana" w:eastAsia="Arial" w:hAnsi="Verdana" w:cs="Arial"/>
        </w:rPr>
      </w:pPr>
      <w:r w:rsidRPr="00B976A2">
        <w:rPr>
          <w:rFonts w:ascii="Verdana" w:hAnsi="Verdana" w:cs="Arial"/>
          <w:bCs/>
        </w:rPr>
        <w:t xml:space="preserve">En este sentido, el alcance práctico de lo dispuesto en el parágrafo 2 del artículo 2.2.1.2.4.2.7.4 del Decreto 287 de 2026 consiste en que, en los procedimientos de licitación pública y concurso de méritos, la entidad estatal deberá otorgar: (i) un puntaje de hasta el 0,25% a los proponentes que acrediten la condición de MiPyme; (ii) un puntaje de hasta el 0,25% a quienes acrediten la calidad de emprendimientos </w:t>
      </w:r>
      <w:r>
        <w:rPr>
          <w:rFonts w:ascii="Verdana" w:hAnsi="Verdana" w:cs="Arial"/>
          <w:bCs/>
        </w:rPr>
        <w:t>y</w:t>
      </w:r>
      <w:r w:rsidRPr="00B976A2">
        <w:rPr>
          <w:rFonts w:ascii="Verdana" w:hAnsi="Verdana" w:cs="Arial"/>
          <w:bCs/>
        </w:rPr>
        <w:t xml:space="preserve"> empresas de mujeres; y (iii) un puntaje adicional de hasta el 2% del total de los puntos previstos en los pliegos de condiciones o documentos equivalentes, a los oferentes que acrediten la calidad de emprendimientos </w:t>
      </w:r>
      <w:r>
        <w:rPr>
          <w:rFonts w:ascii="Verdana" w:hAnsi="Verdana" w:cs="Arial"/>
          <w:bCs/>
        </w:rPr>
        <w:t xml:space="preserve">y </w:t>
      </w:r>
      <w:r w:rsidRPr="00B976A2">
        <w:rPr>
          <w:rFonts w:ascii="Verdana" w:hAnsi="Verdana" w:cs="Arial"/>
          <w:bCs/>
        </w:rPr>
        <w:t>empresas de personas con discapacidad, o que sean empleadores de personas con discapacidad</w:t>
      </w:r>
      <w:r>
        <w:rPr>
          <w:rFonts w:ascii="Verdana" w:eastAsia="Arial" w:hAnsi="Verdana" w:cs="Arial"/>
        </w:rPr>
        <w:t xml:space="preserve">. Lo anterior, sin perjuicio de los demás requisitos de evaluación que se deben establecer de acuerdo con cada modalidad de selección.  </w:t>
      </w:r>
    </w:p>
    <w:p w14:paraId="0ADEBD78" w14:textId="77777777" w:rsidR="00FE5496" w:rsidRPr="006332FF" w:rsidRDefault="00FE5496" w:rsidP="00FE5496">
      <w:pPr>
        <w:spacing w:after="120" w:line="276" w:lineRule="auto"/>
        <w:ind w:left="119" w:right="79" w:firstLine="590"/>
        <w:jc w:val="both"/>
        <w:rPr>
          <w:rFonts w:ascii="Verdana" w:eastAsia="Arial" w:hAnsi="Verdana" w:cs="Arial"/>
        </w:rPr>
      </w:pPr>
      <w:r>
        <w:rPr>
          <w:rFonts w:ascii="Verdana" w:eastAsia="Arial" w:hAnsi="Verdana" w:cs="Arial"/>
        </w:rPr>
        <w:t>Finalmente, en relación con el inicio de vigencia del Decreto 287 de 2026</w:t>
      </w:r>
      <w:r w:rsidRPr="001B3C5D">
        <w:rPr>
          <w:rFonts w:ascii="Verdana" w:eastAsia="Aptos" w:hAnsi="Verdana" w:cs="Times New Roman"/>
          <w:kern w:val="2"/>
          <w14:ligatures w14:val="standardContextual"/>
        </w:rPr>
        <w:t>, el artículo 2 establece las vigencias y derogatorias, en los siguiente</w:t>
      </w:r>
      <w:r>
        <w:rPr>
          <w:rFonts w:ascii="Verdana" w:eastAsia="Aptos" w:hAnsi="Verdana" w:cs="Times New Roman"/>
          <w:kern w:val="2"/>
          <w14:ligatures w14:val="standardContextual"/>
        </w:rPr>
        <w:t>s</w:t>
      </w:r>
      <w:r w:rsidRPr="001B3C5D">
        <w:rPr>
          <w:rFonts w:ascii="Verdana" w:eastAsia="Aptos" w:hAnsi="Verdana" w:cs="Times New Roman"/>
          <w:kern w:val="2"/>
          <w14:ligatures w14:val="standardContextual"/>
        </w:rPr>
        <w:t xml:space="preserve"> términos: “El presente Decreto rige a partir del día siguiente a su publicación, modifica los artículos 2.2.1.2.4.2.6., 2.2.1 .2.4.2.7. </w:t>
      </w:r>
      <w:r>
        <w:rPr>
          <w:rFonts w:ascii="Verdana" w:eastAsia="Aptos" w:hAnsi="Verdana" w:cs="Times New Roman"/>
          <w:kern w:val="2"/>
          <w14:ligatures w14:val="standardContextual"/>
        </w:rPr>
        <w:t>y</w:t>
      </w:r>
      <w:r w:rsidRPr="001B3C5D">
        <w:rPr>
          <w:rFonts w:ascii="Verdana" w:eastAsia="Aptos" w:hAnsi="Verdana" w:cs="Times New Roman"/>
          <w:kern w:val="2"/>
          <w14:ligatures w14:val="standardContextual"/>
        </w:rPr>
        <w:t xml:space="preserve"> 2.2.1.2.4.2.8. de la Subsección 2 de la Sección 4 del Capítulo 2 del Título 1 de la Parte 2 del Libro 2 del Decreto 1082 de 2015, Único Reglamentario del Sector Administrativo de Planeación, y deroga todas las disposiciones que le sean contrarias”.</w:t>
      </w:r>
      <w:r>
        <w:rPr>
          <w:rFonts w:ascii="Verdana" w:eastAsia="Aptos" w:hAnsi="Verdana" w:cs="Times New Roman"/>
          <w:kern w:val="2"/>
          <w14:ligatures w14:val="standardContextual"/>
        </w:rPr>
        <w:t xml:space="preserve"> Este decreto fue publicado el 19 de marzo de 2026, por lo que empezó a regir a partir del 20 de marzo.</w:t>
      </w:r>
    </w:p>
    <w:p w14:paraId="1E174DBB" w14:textId="77777777" w:rsidR="00FE5496" w:rsidRPr="00BD2EF9" w:rsidRDefault="00FE5496" w:rsidP="00FE5496">
      <w:pPr>
        <w:widowControl w:val="0"/>
        <w:autoSpaceDE w:val="0"/>
        <w:autoSpaceDN w:val="0"/>
        <w:spacing w:after="120" w:line="276" w:lineRule="auto"/>
        <w:ind w:firstLine="743"/>
        <w:jc w:val="both"/>
        <w:rPr>
          <w:rFonts w:ascii="Verdana" w:eastAsia="Aptos" w:hAnsi="Verdana" w:cs="Times New Roman"/>
          <w:kern w:val="2"/>
          <w14:ligatures w14:val="standardContextual"/>
        </w:rPr>
      </w:pPr>
      <w:r>
        <w:rPr>
          <w:rFonts w:ascii="Verdana" w:eastAsia="Aptos" w:hAnsi="Verdana" w:cs="Times New Roman"/>
          <w:kern w:val="2"/>
          <w14:ligatures w14:val="standardContextual"/>
        </w:rPr>
        <w:t>Así, l</w:t>
      </w:r>
      <w:r w:rsidRPr="00BD2EF9">
        <w:rPr>
          <w:rFonts w:ascii="Verdana" w:eastAsia="Aptos" w:hAnsi="Verdana" w:cs="Times New Roman"/>
          <w:kern w:val="2"/>
          <w14:ligatures w14:val="standardContextual"/>
        </w:rPr>
        <w:t xml:space="preserve">a aplicación del Decreto 287 de 2026 en los procesos de contratación que estén en curso depende de si estos contaban o no con resolución de apertura antes del 20 de marzo de 2026: i) La resolución de apertura fue expedida el 19 de marzo de 2026 o antes de esta fecha, en este caso el proceso continúa con </w:t>
      </w:r>
      <w:r w:rsidRPr="00BD2EF9">
        <w:rPr>
          <w:rFonts w:ascii="Verdana" w:eastAsia="Aptos" w:hAnsi="Verdana" w:cs="Times New Roman"/>
          <w:kern w:val="2"/>
          <w14:ligatures w14:val="standardContextual"/>
        </w:rPr>
        <w:lastRenderedPageBreak/>
        <w:t>las reglas originales sin aplicar el Decreto 287 de 2026; y ii) La resolución de apertura no existe, o fue expedida el 20 de marzo de 2026 o en fecha posterior, por lo que se debe incorporar el Decreto 287 de 2026 al proceso contractual y la entidad debe ajustar sus estudios previos y pliegos de condiciones, incluido el proyecto de pliego, para dar pleno cumplimiento al decreto antes de expedir el acto administrativo de apertura.</w:t>
      </w:r>
    </w:p>
    <w:p w14:paraId="7F0DCE0E" w14:textId="77777777" w:rsidR="00FE5496" w:rsidRDefault="00FE5496" w:rsidP="00FE5496">
      <w:pPr>
        <w:widowControl w:val="0"/>
        <w:autoSpaceDE w:val="0"/>
        <w:autoSpaceDN w:val="0"/>
        <w:spacing w:after="120" w:line="276" w:lineRule="auto"/>
        <w:ind w:firstLine="709"/>
        <w:jc w:val="both"/>
        <w:rPr>
          <w:rFonts w:ascii="Verdana" w:eastAsia="Aptos" w:hAnsi="Verdana" w:cs="Times New Roman"/>
          <w:kern w:val="2"/>
          <w14:ligatures w14:val="standardContextual"/>
        </w:rPr>
      </w:pPr>
      <w:r w:rsidRPr="00BD2EF9">
        <w:rPr>
          <w:rFonts w:ascii="Verdana" w:eastAsia="Aptos" w:hAnsi="Verdana" w:cs="Times New Roman"/>
          <w:kern w:val="2"/>
          <w14:ligatures w14:val="standardContextual"/>
        </w:rPr>
        <w:t>Para los procesos de contratación con proyecto de pliego publicado pero sin apertura al 19 de marzo de 2026, se recomienda que se incorporen las medidas del Decreto 287 de 2026 antes de publicar los pliegos definitivos. En esa etapa aún es posible realizar ajustes sin afectar derechos adquiridos de los proponentes</w:t>
      </w:r>
      <w:bookmarkEnd w:id="1"/>
      <w:r>
        <w:rPr>
          <w:rFonts w:ascii="Verdana" w:eastAsia="Aptos" w:hAnsi="Verdana" w:cs="Times New Roman"/>
          <w:kern w:val="2"/>
          <w14:ligatures w14:val="standardContextual"/>
        </w:rPr>
        <w:t>.</w:t>
      </w:r>
    </w:p>
    <w:p w14:paraId="4FA6E818" w14:textId="77777777" w:rsidR="00FE5496" w:rsidRPr="001B3C5D" w:rsidRDefault="00FE5496" w:rsidP="00FE5496">
      <w:pPr>
        <w:widowControl w:val="0"/>
        <w:autoSpaceDE w:val="0"/>
        <w:autoSpaceDN w:val="0"/>
        <w:spacing w:after="0" w:line="276" w:lineRule="auto"/>
        <w:ind w:firstLine="709"/>
        <w:jc w:val="both"/>
        <w:rPr>
          <w:rFonts w:ascii="Verdana" w:eastAsia="Century Gothic" w:hAnsi="Verdana" w:cs="Century Gothic"/>
          <w:lang w:val="es-ES_tradnl"/>
        </w:rPr>
      </w:pPr>
    </w:p>
    <w:p w14:paraId="5122C80B" w14:textId="77777777" w:rsidR="00FE5496" w:rsidRPr="001B3C5D" w:rsidRDefault="00FE5496" w:rsidP="00FE5496">
      <w:pPr>
        <w:tabs>
          <w:tab w:val="left" w:pos="142"/>
          <w:tab w:val="left" w:pos="284"/>
        </w:tabs>
        <w:spacing w:after="0" w:line="276" w:lineRule="auto"/>
        <w:jc w:val="both"/>
        <w:rPr>
          <w:rFonts w:ascii="Verdana" w:eastAsia="Century Gothic" w:hAnsi="Verdana" w:cs="Century Gothic"/>
          <w:b/>
          <w:bCs/>
          <w:lang w:val="es-ES_tradnl"/>
        </w:rPr>
      </w:pPr>
      <w:r w:rsidRPr="001B3C5D">
        <w:rPr>
          <w:rFonts w:ascii="Verdana" w:eastAsia="Century Gothic" w:hAnsi="Verdana" w:cs="Century Gothic"/>
          <w:b/>
          <w:bCs/>
          <w:lang w:val="es-ES_tradnl"/>
        </w:rPr>
        <w:t>4. Referencias normativas, jurisprudenciales y otras fuentes:</w:t>
      </w:r>
    </w:p>
    <w:p w14:paraId="3E613A58" w14:textId="77777777" w:rsidR="00FE5496" w:rsidRPr="001B3C5D" w:rsidRDefault="00FE5496" w:rsidP="00FE5496">
      <w:pPr>
        <w:spacing w:after="0"/>
        <w:ind w:left="-15840"/>
        <w:jc w:val="both"/>
        <w:rPr>
          <w:rFonts w:ascii="Verdana" w:eastAsia="Calibri" w:hAnsi="Verdana" w:cs="Arial"/>
          <w:b/>
          <w:bCs/>
        </w:rPr>
      </w:pPr>
      <w:r w:rsidRPr="001B3C5D">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FE5496" w:rsidRPr="001B3C5D" w14:paraId="3AAD8C04" w14:textId="77777777" w:rsidTr="004B349E">
        <w:trPr>
          <w:trHeight w:val="870"/>
        </w:trPr>
        <w:tc>
          <w:tcPr>
            <w:tcW w:w="8647" w:type="dxa"/>
            <w:tcBorders>
              <w:top w:val="dotted" w:sz="4" w:space="0" w:color="auto"/>
              <w:left w:val="dotted" w:sz="4" w:space="0" w:color="auto"/>
              <w:bottom w:val="dotted" w:sz="4" w:space="0" w:color="auto"/>
              <w:right w:val="dotted" w:sz="4" w:space="0" w:color="auto"/>
            </w:tcBorders>
          </w:tcPr>
          <w:p w14:paraId="4BEAAC6B" w14:textId="77777777" w:rsidR="00A64619" w:rsidRPr="00F82E0D" w:rsidRDefault="00A64619" w:rsidP="00A64619">
            <w:pPr>
              <w:widowControl w:val="0"/>
              <w:numPr>
                <w:ilvl w:val="0"/>
                <w:numId w:val="17"/>
              </w:numPr>
              <w:autoSpaceDE w:val="0"/>
              <w:autoSpaceDN w:val="0"/>
              <w:spacing w:line="276" w:lineRule="auto"/>
              <w:contextualSpacing/>
              <w:jc w:val="both"/>
              <w:rPr>
                <w:rFonts w:ascii="Verdana" w:eastAsia="Calibri" w:hAnsi="Verdana" w:cs="Arial"/>
              </w:rPr>
            </w:pPr>
            <w:r w:rsidRPr="00F82E0D">
              <w:rPr>
                <w:rFonts w:ascii="Verdana" w:eastAsia="Calibri" w:hAnsi="Verdana" w:cs="Arial"/>
              </w:rPr>
              <w:t>Ley 1618 de 2013</w:t>
            </w:r>
          </w:p>
          <w:p w14:paraId="04E56AEB" w14:textId="77777777" w:rsidR="00A64619" w:rsidRPr="00F82E0D" w:rsidRDefault="00A64619" w:rsidP="00A64619">
            <w:pPr>
              <w:widowControl w:val="0"/>
              <w:numPr>
                <w:ilvl w:val="0"/>
                <w:numId w:val="16"/>
              </w:numPr>
              <w:autoSpaceDE w:val="0"/>
              <w:autoSpaceDN w:val="0"/>
              <w:spacing w:line="276" w:lineRule="auto"/>
              <w:contextualSpacing/>
              <w:jc w:val="both"/>
              <w:rPr>
                <w:rFonts w:ascii="Verdana" w:eastAsia="Calibri" w:hAnsi="Verdana" w:cs="Arial"/>
              </w:rPr>
            </w:pPr>
            <w:r w:rsidRPr="001B3C5D">
              <w:rPr>
                <w:rFonts w:ascii="Verdana" w:eastAsia="Calibri" w:hAnsi="Verdana" w:cs="Arial"/>
                <w:lang w:val="es-ES_tradnl"/>
              </w:rPr>
              <w:t>Decreto 287 de 2026: Artículo 1 y artículo 2.</w:t>
            </w:r>
          </w:p>
          <w:p w14:paraId="5E6BB02B" w14:textId="77777777" w:rsidR="00A64619" w:rsidRDefault="00A64619" w:rsidP="00A64619">
            <w:pPr>
              <w:pStyle w:val="Prrafodelista"/>
              <w:numPr>
                <w:ilvl w:val="0"/>
                <w:numId w:val="16"/>
              </w:numPr>
              <w:jc w:val="both"/>
              <w:rPr>
                <w:rFonts w:ascii="Verdana" w:eastAsia="Calibri" w:hAnsi="Verdana" w:cs="Arial"/>
                <w:lang w:val="es-CO"/>
              </w:rPr>
            </w:pPr>
            <w:r w:rsidRPr="00F82E0D">
              <w:rPr>
                <w:rFonts w:ascii="Verdana" w:eastAsia="Calibri" w:hAnsi="Verdana" w:cs="Arial"/>
                <w:lang w:val="es-CO"/>
              </w:rPr>
              <w:t>Consejo de Estado, Sección Quinta, del 12 de diciembre de 2024 (Rad. 05001-23-33-000-2024-00847-01, M.P. Omar Joaquín Barreto Suárez)</w:t>
            </w:r>
          </w:p>
          <w:p w14:paraId="7F9CBA8C" w14:textId="1BD89227" w:rsidR="00FE5496" w:rsidRPr="00A64619" w:rsidRDefault="00A64619" w:rsidP="00A64619">
            <w:pPr>
              <w:pStyle w:val="Prrafodelista"/>
              <w:numPr>
                <w:ilvl w:val="0"/>
                <w:numId w:val="16"/>
              </w:numPr>
              <w:jc w:val="both"/>
              <w:rPr>
                <w:rFonts w:ascii="Verdana" w:eastAsia="Calibri" w:hAnsi="Verdana" w:cs="Arial"/>
                <w:lang w:val="es-CO"/>
              </w:rPr>
            </w:pPr>
            <w:r w:rsidRPr="00A64619">
              <w:rPr>
                <w:rFonts w:ascii="Verdana" w:eastAsia="Aptos" w:hAnsi="Verdana" w:cs="Times New Roman"/>
                <w:kern w:val="2"/>
                <w14:ligatures w14:val="standardContextual"/>
              </w:rPr>
              <w:t xml:space="preserve">ABC del Decreto 0287 de 2026 “Contratación pública inclusiva para personas con discapacidad” disponible en: </w:t>
            </w:r>
            <w:hyperlink r:id="rId13" w:history="1">
              <w:r w:rsidRPr="00A64619">
                <w:rPr>
                  <w:rStyle w:val="Hipervnculo"/>
                  <w:rFonts w:ascii="Verdana" w:hAnsi="Verdana"/>
                  <w:sz w:val="16"/>
                  <w:szCs w:val="16"/>
                </w:rPr>
                <w:t>https://www.colombiacompra.gov.co/wp-content/uploads/2026/04/ABC-Decreto-0287-de-2026-1.pdf</w:t>
              </w:r>
            </w:hyperlink>
          </w:p>
        </w:tc>
      </w:tr>
    </w:tbl>
    <w:p w14:paraId="2EE13DE9" w14:textId="77777777" w:rsidR="00FE5496" w:rsidRPr="001B3C5D" w:rsidRDefault="00FE5496" w:rsidP="00FE5496">
      <w:pPr>
        <w:tabs>
          <w:tab w:val="left" w:pos="142"/>
          <w:tab w:val="left" w:pos="284"/>
        </w:tabs>
        <w:spacing w:after="0" w:line="276" w:lineRule="auto"/>
        <w:jc w:val="both"/>
        <w:rPr>
          <w:rFonts w:ascii="Verdana" w:eastAsia="Calibri" w:hAnsi="Verdana" w:cs="Arial"/>
        </w:rPr>
      </w:pPr>
    </w:p>
    <w:p w14:paraId="1210DFED" w14:textId="77777777" w:rsidR="00FE5496" w:rsidRPr="001B3C5D" w:rsidRDefault="00FE5496" w:rsidP="00FE5496">
      <w:pPr>
        <w:tabs>
          <w:tab w:val="left" w:pos="142"/>
          <w:tab w:val="left" w:pos="284"/>
        </w:tabs>
        <w:spacing w:after="0" w:line="276" w:lineRule="auto"/>
        <w:jc w:val="both"/>
        <w:rPr>
          <w:rFonts w:ascii="Verdana" w:eastAsia="Century Gothic" w:hAnsi="Verdana" w:cs="Century Gothic"/>
          <w:b/>
          <w:bCs/>
          <w:lang w:val="es-ES"/>
        </w:rPr>
      </w:pPr>
      <w:r w:rsidRPr="001B3C5D">
        <w:rPr>
          <w:rFonts w:ascii="Verdana" w:eastAsia="Calibri" w:hAnsi="Verdana" w:cs="Arial"/>
          <w:b/>
          <w:bCs/>
        </w:rPr>
        <w:t>5</w:t>
      </w:r>
      <w:r w:rsidRPr="001B3C5D">
        <w:rPr>
          <w:rFonts w:ascii="Verdana" w:eastAsia="Calibri" w:hAnsi="Verdana" w:cs="Arial"/>
        </w:rPr>
        <w:t>.</w:t>
      </w:r>
      <w:r w:rsidRPr="001B3C5D">
        <w:rPr>
          <w:rFonts w:ascii="Verdana" w:eastAsia="Century Gothic" w:hAnsi="Verdana" w:cs="Century Gothic"/>
          <w:b/>
          <w:bCs/>
          <w:lang w:val="es-ES"/>
        </w:rPr>
        <w:t>Doctrina de la Agencia Nacional de Contratación Pública:</w:t>
      </w:r>
    </w:p>
    <w:p w14:paraId="2C6B3721" w14:textId="77777777" w:rsidR="00FE5496" w:rsidRPr="001B3C5D" w:rsidRDefault="00FE5496" w:rsidP="00FE5496">
      <w:pPr>
        <w:widowControl w:val="0"/>
        <w:autoSpaceDE w:val="0"/>
        <w:autoSpaceDN w:val="0"/>
        <w:spacing w:after="0" w:line="276" w:lineRule="auto"/>
        <w:jc w:val="both"/>
        <w:rPr>
          <w:rFonts w:ascii="Verdana" w:eastAsia="Calibri" w:hAnsi="Verdana" w:cs="Arial"/>
        </w:rPr>
      </w:pPr>
    </w:p>
    <w:p w14:paraId="282EB106" w14:textId="77777777" w:rsidR="00FE5496" w:rsidRPr="001B3C5D" w:rsidRDefault="00FE5496" w:rsidP="00FE5496">
      <w:pPr>
        <w:widowControl w:val="0"/>
        <w:autoSpaceDE w:val="0"/>
        <w:autoSpaceDN w:val="0"/>
        <w:spacing w:after="0" w:line="276" w:lineRule="auto"/>
        <w:jc w:val="both"/>
        <w:rPr>
          <w:rFonts w:ascii="Verdana" w:eastAsia="Times New Roman" w:hAnsi="Verdana" w:cs="Arial"/>
          <w:shd w:val="clear" w:color="auto" w:fill="FFFFFF"/>
          <w:lang w:val="es-ES"/>
        </w:rPr>
      </w:pPr>
      <w:r w:rsidRPr="00206556">
        <w:rPr>
          <w:rFonts w:ascii="Verdana" w:eastAsia="Calibri" w:hAnsi="Verdana" w:cs="Arial"/>
          <w:lang w:val="es-ES"/>
        </w:rPr>
        <w:t xml:space="preserve">La Agencia Nacional de Contratación Pública – Colombia Compra Eficiente se ha referido </w:t>
      </w:r>
      <w:r w:rsidRPr="00206556">
        <w:rPr>
          <w:rFonts w:ascii="Verdana" w:hAnsi="Verdana" w:cs="Arial"/>
          <w:shd w:val="clear" w:color="auto" w:fill="FFFFFF"/>
          <w:lang w:val="es-ES"/>
        </w:rPr>
        <w:t xml:space="preserve">sobre el alcance del Decreto 0287 de 2026 en </w:t>
      </w:r>
      <w:r>
        <w:rPr>
          <w:rFonts w:ascii="Verdana" w:hAnsi="Verdana" w:cs="Arial"/>
          <w:shd w:val="clear" w:color="auto" w:fill="FFFFFF"/>
          <w:lang w:val="es-ES"/>
        </w:rPr>
        <w:t xml:space="preserve">este </w:t>
      </w:r>
      <w:r w:rsidRPr="00206556">
        <w:rPr>
          <w:rFonts w:ascii="Verdana" w:hAnsi="Verdana" w:cs="Arial"/>
          <w:shd w:val="clear" w:color="auto" w:fill="FFFFFF"/>
          <w:lang w:val="es-ES"/>
        </w:rPr>
        <w:t>concepto</w:t>
      </w:r>
      <w:r>
        <w:rPr>
          <w:rFonts w:ascii="Verdana" w:hAnsi="Verdana" w:cs="Arial"/>
          <w:shd w:val="clear" w:color="auto" w:fill="FFFFFF"/>
          <w:lang w:val="es-ES"/>
        </w:rPr>
        <w:t xml:space="preserve">. </w:t>
      </w:r>
      <w:r>
        <w:rPr>
          <w:rFonts w:ascii="Verdana" w:eastAsia="Calibri" w:hAnsi="Verdana" w:cs="Arial"/>
          <w:color w:val="000000"/>
          <w:shd w:val="clear" w:color="auto" w:fill="FFFFFF"/>
        </w:rPr>
        <w:t xml:space="preserve">Los </w:t>
      </w:r>
      <w:r w:rsidRPr="001B3C5D">
        <w:rPr>
          <w:rFonts w:ascii="Verdana" w:eastAsia="Calibri" w:hAnsi="Verdana" w:cs="Arial"/>
          <w:color w:val="000000"/>
          <w:shd w:val="clear" w:color="auto" w:fill="FFFFFF"/>
        </w:rPr>
        <w:t xml:space="preserve">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history="1">
        <w:r w:rsidRPr="001B3C5D">
          <w:rPr>
            <w:rFonts w:ascii="Verdana" w:eastAsia="Aptos" w:hAnsi="Verdana" w:cs="Arial"/>
            <w:color w:val="0000FF"/>
            <w:kern w:val="2"/>
            <w:u w:val="single"/>
            <w:shd w:val="clear" w:color="auto" w:fill="FFFFFF"/>
            <w14:ligatures w14:val="standardContextual"/>
          </w:rPr>
          <w:t>https://relatoria.colombiacompra.gov.co/busqueda/conceptos</w:t>
        </w:r>
      </w:hyperlink>
      <w:r w:rsidRPr="001B3C5D">
        <w:rPr>
          <w:rFonts w:ascii="Verdana" w:eastAsia="Aptos" w:hAnsi="Verdana" w:cs="Arial"/>
          <w:kern w:val="2"/>
          <w:shd w:val="clear" w:color="auto" w:fill="FFFFFF"/>
          <w14:ligatures w14:val="standardContextual"/>
        </w:rPr>
        <w:t xml:space="preserve">. </w:t>
      </w:r>
      <w:r w:rsidRPr="001B3C5D">
        <w:rPr>
          <w:rFonts w:ascii="Verdana" w:eastAsia="Aptos" w:hAnsi="Verdana" w:cs="Arial"/>
          <w:color w:val="FF0000"/>
          <w:kern w:val="2"/>
          <w:shd w:val="clear" w:color="auto" w:fill="FFFFFF"/>
          <w:lang w:val="es-ES"/>
          <w14:ligatures w14:val="standardContextual"/>
        </w:rPr>
        <w:t xml:space="preserve">  </w:t>
      </w:r>
    </w:p>
    <w:p w14:paraId="224A0A53" w14:textId="77777777" w:rsidR="00FE5496" w:rsidRPr="001B3C5D" w:rsidRDefault="00FE5496" w:rsidP="00FE5496">
      <w:pPr>
        <w:spacing w:after="0" w:line="240" w:lineRule="auto"/>
        <w:jc w:val="both"/>
        <w:rPr>
          <w:rFonts w:ascii="Verdana" w:eastAsia="Calibri" w:hAnsi="Verdana" w:cs="Arial"/>
          <w:color w:val="000000"/>
          <w:shd w:val="clear" w:color="auto" w:fill="FFFFFF"/>
        </w:rPr>
      </w:pPr>
    </w:p>
    <w:p w14:paraId="0D7ACF26" w14:textId="77777777" w:rsidR="00FE5496" w:rsidRPr="001B3C5D" w:rsidRDefault="00FE5496" w:rsidP="00FE5496">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1B3C5D">
        <w:rPr>
          <w:rFonts w:ascii="Verdana" w:eastAsia="Times New Roman" w:hAnsi="Verdana" w:cs="Arial"/>
          <w:b/>
          <w:bCs/>
          <w:lang w:eastAsia="es-MX"/>
        </w:rPr>
        <w:t xml:space="preserve">Curso de Contratación Pública Sostenible y Socialmente </w:t>
      </w:r>
      <w:r w:rsidRPr="001B3C5D">
        <w:rPr>
          <w:rFonts w:ascii="Verdana" w:eastAsia="Times New Roman" w:hAnsi="Verdana" w:cs="Arial"/>
          <w:b/>
          <w:bCs/>
          <w:lang w:eastAsia="es-MX"/>
        </w:rPr>
        <w:lastRenderedPageBreak/>
        <w:t>Responsable</w:t>
      </w:r>
      <w:r w:rsidRPr="001B3C5D">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1B3C5D">
        <w:rPr>
          <w:rFonts w:ascii="Verdana" w:eastAsia="Times New Roman" w:hAnsi="Verdana" w:cs="Arial"/>
          <w:lang w:eastAsia="es-MX"/>
        </w:rPr>
        <w:br/>
      </w:r>
      <w:hyperlink r:id="rId15" w:tgtFrame="_new" w:history="1">
        <w:r w:rsidRPr="001B3C5D">
          <w:rPr>
            <w:rFonts w:ascii="Verdana" w:eastAsia="Times New Roman" w:hAnsi="Verdana" w:cs="Arial"/>
            <w:color w:val="0000FF"/>
            <w:u w:val="single"/>
            <w:lang w:eastAsia="es-MX"/>
          </w:rPr>
          <w:t>https://formacionvirtual.colombiacompra.gov.co/mod/page/view.php?id=3718</w:t>
        </w:r>
      </w:hyperlink>
    </w:p>
    <w:p w14:paraId="3B6992BD" w14:textId="77777777" w:rsidR="00FE5496" w:rsidRPr="001B3C5D" w:rsidRDefault="00FE5496" w:rsidP="00FE5496">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De otro lado, te contamos que esta Agencia ha da un paso decisivo en la estandarización y modernización del </w:t>
      </w:r>
      <w:r w:rsidRPr="001B3C5D">
        <w:rPr>
          <w:rFonts w:ascii="Verdana" w:eastAsia="Times New Roman" w:hAnsi="Verdana" w:cs="Arial"/>
          <w:b/>
          <w:bCs/>
          <w:lang w:eastAsia="es-MX"/>
        </w:rPr>
        <w:t>sector  social</w:t>
      </w:r>
      <w:r w:rsidRPr="001B3C5D">
        <w:rPr>
          <w:rFonts w:ascii="Verdana" w:eastAsia="Times New Roman" w:hAnsi="Verdana" w:cs="Arial"/>
          <w:lang w:eastAsia="es-MX"/>
        </w:rPr>
        <w:t xml:space="preserve"> con la expedición de las </w:t>
      </w:r>
      <w:r w:rsidRPr="001B3C5D">
        <w:rPr>
          <w:rFonts w:ascii="Verdana" w:eastAsia="Times New Roman" w:hAnsi="Verdana" w:cs="Arial"/>
          <w:b/>
          <w:bCs/>
          <w:lang w:eastAsia="es-MX"/>
        </w:rPr>
        <w:t>Resoluciones 539, 540, 541, 952 y 953 de 2025</w:t>
      </w:r>
      <w:r w:rsidRPr="001B3C5D">
        <w:rPr>
          <w:rFonts w:ascii="Verdana" w:eastAsia="Times New Roman" w:hAnsi="Verdana" w:cs="Arial"/>
          <w:lang w:eastAsia="es-MX"/>
        </w:rPr>
        <w:t xml:space="preserve">, </w:t>
      </w:r>
      <w:r w:rsidRPr="001B3C5D">
        <w:rPr>
          <w:rFonts w:ascii="Verdana" w:eastAsia="Times New Roman" w:hAnsi="Verdana" w:cs="Arial"/>
          <w:b/>
          <w:bCs/>
          <w:lang w:eastAsia="es-MX"/>
        </w:rPr>
        <w:t>mediante las cuales adoptó Documentos Tipo</w:t>
      </w:r>
      <w:r w:rsidRPr="001B3C5D">
        <w:rPr>
          <w:rFonts w:ascii="Verdana" w:eastAsia="Times New Roman" w:hAnsi="Verdana" w:cs="Arial"/>
          <w:lang w:eastAsia="es-MX"/>
        </w:rPr>
        <w:t xml:space="preserve"> para las modalidades de selección de</w:t>
      </w:r>
      <w:r w:rsidRPr="001B3C5D">
        <w:rPr>
          <w:rFonts w:ascii="Verdana" w:eastAsia="Times New Roman" w:hAnsi="Verdana" w:cs="Arial"/>
          <w:b/>
          <w:bCs/>
          <w:lang w:eastAsia="es-MX"/>
        </w:rPr>
        <w:t xml:space="preserve"> licitación pública (versión 2), selección abreviada de menor cuantía, mínima cuantía, consultoría e interventoría</w:t>
      </w:r>
      <w:r w:rsidRPr="001B3C5D">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1B3C5D">
          <w:rPr>
            <w:rFonts w:ascii="Verdana" w:eastAsia="Times New Roman" w:hAnsi="Verdana" w:cs="Arial"/>
            <w:color w:val="0000FF"/>
            <w:u w:val="single"/>
            <w:lang w:eastAsia="es-MX"/>
          </w:rPr>
          <w:t>https://www.colombiacompra.gov.co/normativa-y-relatoria/documentos-tipo</w:t>
        </w:r>
      </w:hyperlink>
    </w:p>
    <w:p w14:paraId="5C2F1D66" w14:textId="77777777" w:rsidR="00FE5496" w:rsidRPr="001B3C5D" w:rsidRDefault="00FE5496" w:rsidP="00FE5496">
      <w:pPr>
        <w:spacing w:after="0" w:line="276" w:lineRule="auto"/>
        <w:jc w:val="both"/>
        <w:rPr>
          <w:rFonts w:ascii="Verdana" w:eastAsia="Times New Roman" w:hAnsi="Verdana" w:cs="Arial"/>
          <w:lang w:eastAsia="es-MX"/>
        </w:rPr>
      </w:pPr>
    </w:p>
    <w:p w14:paraId="1687A980" w14:textId="77777777" w:rsidR="00FE5496" w:rsidRPr="001B3C5D" w:rsidRDefault="00FE5496" w:rsidP="00FE5496">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Si quieres conocer más sobre la aplicación de Documentos Tipo puedes consultar la última versión de la </w:t>
      </w:r>
      <w:r w:rsidRPr="001B3C5D">
        <w:rPr>
          <w:rFonts w:ascii="Verdana" w:eastAsia="Times New Roman" w:hAnsi="Verdana" w:cs="Arial"/>
          <w:b/>
          <w:bCs/>
          <w:lang w:eastAsia="es-MX"/>
        </w:rPr>
        <w:t>Guía para la comprensión e implementación de los Documentos Tipo de obra pública de infraestructura de transporte</w:t>
      </w:r>
      <w:r w:rsidRPr="001B3C5D">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B3C5D">
        <w:rPr>
          <w:rFonts w:ascii="Verdana" w:eastAsia="Times New Roman" w:hAnsi="Verdana" w:cs="Arial"/>
          <w:lang w:eastAsia="es-MX"/>
        </w:rPr>
        <w:br/>
      </w:r>
      <w:hyperlink r:id="rId17" w:tgtFrame="_new" w:history="1">
        <w:r w:rsidRPr="001B3C5D">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6D7E4600" w14:textId="77777777" w:rsidR="00FE5496" w:rsidRPr="001B3C5D" w:rsidRDefault="00FE5496" w:rsidP="00FE5496">
      <w:pPr>
        <w:spacing w:after="0"/>
        <w:jc w:val="both"/>
        <w:rPr>
          <w:rFonts w:ascii="Verdana" w:eastAsia="Aptos" w:hAnsi="Verdana" w:cs="Times New Roman"/>
          <w:color w:val="212121"/>
          <w:lang w:eastAsia="es-MX"/>
        </w:rPr>
      </w:pPr>
    </w:p>
    <w:p w14:paraId="2050582D" w14:textId="77777777" w:rsidR="00FE5496" w:rsidRPr="001B3C5D" w:rsidRDefault="00FE5496" w:rsidP="00FE5496">
      <w:pPr>
        <w:spacing w:after="0" w:line="240" w:lineRule="auto"/>
        <w:jc w:val="both"/>
        <w:rPr>
          <w:rFonts w:ascii="Verdana" w:eastAsia="Calibri" w:hAnsi="Verdana" w:cs="Times New Roman"/>
          <w:lang w:eastAsia="es-MX"/>
        </w:rPr>
      </w:pPr>
      <w:r w:rsidRPr="001B3C5D">
        <w:rPr>
          <w:rFonts w:ascii="Verdana" w:eastAsia="Aptos" w:hAnsi="Verdana" w:cs="Times New Roman"/>
          <w:lang w:eastAsia="es-MX"/>
        </w:rPr>
        <w:t xml:space="preserve">Por último, lo invitamos a seguirnos en las redes sociales en las cuales se difunde información institucional: </w:t>
      </w:r>
    </w:p>
    <w:p w14:paraId="455378A9" w14:textId="77777777" w:rsidR="00FE5496" w:rsidRPr="001B3C5D" w:rsidRDefault="00FE5496" w:rsidP="00FE5496">
      <w:pPr>
        <w:spacing w:after="0" w:line="240" w:lineRule="auto"/>
        <w:jc w:val="both"/>
        <w:rPr>
          <w:rFonts w:ascii="Verdana" w:eastAsia="Aptos" w:hAnsi="Verdana" w:cs="Times New Roman"/>
          <w:lang w:eastAsia="es-MX"/>
        </w:rPr>
      </w:pPr>
    </w:p>
    <w:p w14:paraId="2E48BBB8" w14:textId="77777777" w:rsidR="00FE5496" w:rsidRPr="001B3C5D" w:rsidRDefault="00FE5496" w:rsidP="00FE5496">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Twitter: </w:t>
      </w:r>
      <w:r w:rsidRPr="001B3C5D">
        <w:rPr>
          <w:rFonts w:ascii="Verdana" w:eastAsia="Calibri" w:hAnsi="Verdana" w:cs="Times New Roman"/>
          <w:color w:val="156082"/>
          <w:u w:val="single"/>
          <w:lang w:eastAsia="es-MX"/>
        </w:rPr>
        <w:t>@colombiacompra</w:t>
      </w:r>
      <w:r w:rsidRPr="001B3C5D">
        <w:rPr>
          <w:rFonts w:ascii="Verdana" w:eastAsia="Calibri" w:hAnsi="Verdana" w:cs="Times New Roman"/>
          <w:color w:val="156082"/>
          <w:lang w:eastAsia="es-MX"/>
        </w:rPr>
        <w:t xml:space="preserve"> </w:t>
      </w:r>
    </w:p>
    <w:p w14:paraId="375650E5" w14:textId="77777777" w:rsidR="00FE5496" w:rsidRPr="001B3C5D" w:rsidRDefault="00FE5496" w:rsidP="00FE5496">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Facebook: </w:t>
      </w:r>
      <w:r w:rsidRPr="001B3C5D">
        <w:rPr>
          <w:rFonts w:ascii="Verdana" w:eastAsia="Calibri" w:hAnsi="Verdana" w:cs="Times New Roman"/>
          <w:color w:val="156082"/>
          <w:u w:val="single"/>
          <w:lang w:eastAsia="es-MX"/>
        </w:rPr>
        <w:t>ColombiaCompraEficiente</w:t>
      </w:r>
    </w:p>
    <w:p w14:paraId="056A2CDF" w14:textId="77777777" w:rsidR="00FE5496" w:rsidRPr="001B3C5D" w:rsidRDefault="00FE5496" w:rsidP="00FE5496">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LinkedIn: </w:t>
      </w:r>
      <w:r w:rsidRPr="001B3C5D">
        <w:rPr>
          <w:rFonts w:ascii="Verdana" w:eastAsia="Calibri" w:hAnsi="Verdana" w:cs="Times New Roman"/>
          <w:color w:val="156082"/>
          <w:u w:val="single"/>
          <w:lang w:eastAsia="es-MX"/>
        </w:rPr>
        <w:t>Agencia Nacional de Contratación Pública - Colombia Compra Eficiente</w:t>
      </w:r>
      <w:r w:rsidRPr="001B3C5D">
        <w:rPr>
          <w:rFonts w:ascii="Verdana" w:eastAsia="Calibri" w:hAnsi="Verdana" w:cs="Times New Roman"/>
          <w:color w:val="156082"/>
          <w:lang w:eastAsia="es-MX"/>
        </w:rPr>
        <w:t xml:space="preserve"> </w:t>
      </w:r>
      <w:r w:rsidRPr="001B3C5D">
        <w:rPr>
          <w:rFonts w:ascii="Verdana" w:eastAsia="Aptos" w:hAnsi="Verdana" w:cs="Times New Roman"/>
          <w:lang w:eastAsia="es-MX"/>
        </w:rPr>
        <w:t xml:space="preserve">Instagram: </w:t>
      </w:r>
      <w:r w:rsidRPr="001B3C5D">
        <w:rPr>
          <w:rFonts w:ascii="Verdana" w:eastAsia="Calibri" w:hAnsi="Verdana" w:cs="Times New Roman"/>
          <w:color w:val="156082"/>
          <w:u w:val="single"/>
          <w:lang w:eastAsia="es-MX"/>
        </w:rPr>
        <w:t>@colombiacompraeficiente_cce</w:t>
      </w:r>
    </w:p>
    <w:p w14:paraId="55482C05" w14:textId="77777777" w:rsidR="00FE5496" w:rsidRPr="001B3C5D" w:rsidRDefault="00FE5496" w:rsidP="00FE5496">
      <w:pPr>
        <w:spacing w:after="0" w:line="276" w:lineRule="auto"/>
        <w:jc w:val="both"/>
        <w:rPr>
          <w:rFonts w:ascii="Verdana" w:eastAsia="Aptos" w:hAnsi="Verdana" w:cs="Times New Roman"/>
          <w:lang w:eastAsia="es-MX"/>
        </w:rPr>
      </w:pPr>
    </w:p>
    <w:p w14:paraId="4CCDA0D2" w14:textId="77777777" w:rsidR="00FE5496" w:rsidRPr="001B3C5D" w:rsidRDefault="00FE5496" w:rsidP="00FE5496">
      <w:pPr>
        <w:spacing w:after="0" w:line="276" w:lineRule="auto"/>
        <w:jc w:val="both"/>
        <w:rPr>
          <w:rFonts w:ascii="Verdana" w:eastAsia="Calibri" w:hAnsi="Verdana" w:cs="Times New Roman"/>
          <w:bCs/>
          <w:lang w:val="es-ES_tradnl" w:eastAsia="es-MX"/>
        </w:rPr>
      </w:pPr>
      <w:r w:rsidRPr="001B3C5D">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79F6C70" w14:textId="77777777" w:rsidR="00FE5496" w:rsidRPr="001B3C5D" w:rsidRDefault="00FE5496" w:rsidP="00FE5496">
      <w:pPr>
        <w:spacing w:after="0" w:line="276" w:lineRule="auto"/>
        <w:jc w:val="both"/>
        <w:rPr>
          <w:rFonts w:ascii="Verdana" w:eastAsia="Calibri" w:hAnsi="Verdana" w:cs="Times New Roman"/>
          <w:lang w:eastAsia="es-MX"/>
        </w:rPr>
      </w:pPr>
    </w:p>
    <w:p w14:paraId="0A0FB77E" w14:textId="77777777" w:rsidR="00FE5496" w:rsidRPr="001B3C5D" w:rsidRDefault="00FE5496" w:rsidP="00FE5496">
      <w:pPr>
        <w:spacing w:after="0" w:line="276" w:lineRule="auto"/>
        <w:jc w:val="both"/>
        <w:rPr>
          <w:rFonts w:ascii="Verdana" w:eastAsia="Calibri" w:hAnsi="Verdana" w:cs="Times New Roman"/>
          <w:lang w:eastAsia="es-MX"/>
        </w:rPr>
      </w:pPr>
      <w:r w:rsidRPr="001B3C5D">
        <w:rPr>
          <w:rFonts w:ascii="Verdana" w:eastAsia="Calibri" w:hAnsi="Verdana" w:cs="Times New Roman"/>
          <w:lang w:eastAsia="es-MX"/>
        </w:rPr>
        <w:t>Atentamente,</w:t>
      </w:r>
    </w:p>
    <w:p w14:paraId="17FF1619" w14:textId="77777777" w:rsidR="00FE5496" w:rsidRPr="001B3C5D" w:rsidRDefault="00FE5496" w:rsidP="00FE5496">
      <w:pPr>
        <w:tabs>
          <w:tab w:val="left" w:pos="1320"/>
        </w:tabs>
        <w:spacing w:after="0"/>
        <w:jc w:val="center"/>
        <w:rPr>
          <w:rFonts w:ascii="Verdana" w:eastAsia="Calibri" w:hAnsi="Verdana" w:cs="Times New Roman"/>
          <w:lang w:eastAsia="es-MX"/>
        </w:rPr>
      </w:pPr>
    </w:p>
    <w:p w14:paraId="2FFF6ED6" w14:textId="5B3C8267" w:rsidR="00FE5496" w:rsidRPr="00A27102" w:rsidRDefault="00697550" w:rsidP="00FE5496">
      <w:pPr>
        <w:spacing w:line="276" w:lineRule="auto"/>
        <w:jc w:val="center"/>
        <w:rPr>
          <w:rFonts w:ascii="Verdana" w:hAnsi="Verdana" w:cs="Arial"/>
          <w:color w:val="000000"/>
          <w:lang w:val="es-ES_tradnl" w:eastAsia="es-CO"/>
        </w:rPr>
      </w:pPr>
      <w:r w:rsidRPr="00F21F0B">
        <w:rPr>
          <w:rFonts w:ascii="Century Gothic" w:hAnsi="Century Gothic"/>
          <w:noProof/>
        </w:rPr>
        <w:drawing>
          <wp:inline distT="0" distB="0" distL="0" distR="0" wp14:anchorId="3B6389C7" wp14:editId="74A96165">
            <wp:extent cx="3771900" cy="1402080"/>
            <wp:effectExtent l="0" t="0" r="0" b="7620"/>
            <wp:docPr id="246173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71900" cy="140208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E5496" w:rsidRPr="00A27102" w14:paraId="3F1B22C6" w14:textId="77777777" w:rsidTr="004B349E">
        <w:trPr>
          <w:trHeight w:val="315"/>
        </w:trPr>
        <w:tc>
          <w:tcPr>
            <w:tcW w:w="893" w:type="dxa"/>
            <w:vAlign w:val="center"/>
            <w:hideMark/>
          </w:tcPr>
          <w:p w14:paraId="754BD298" w14:textId="77777777" w:rsidR="00FE5496" w:rsidRPr="00A27102" w:rsidRDefault="00FE5496" w:rsidP="004B349E">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8DAFCAA" w14:textId="77777777" w:rsidR="00FE5496" w:rsidRPr="00A27102" w:rsidRDefault="00FE5496" w:rsidP="004B349E">
            <w:pPr>
              <w:contextualSpacing/>
              <w:rPr>
                <w:rFonts w:ascii="Verdana" w:hAnsi="Verdana"/>
                <w:sz w:val="16"/>
                <w:szCs w:val="16"/>
              </w:rPr>
            </w:pPr>
            <w:r w:rsidRPr="00A27102">
              <w:rPr>
                <w:rFonts w:ascii="Verdana" w:hAnsi="Verdana"/>
                <w:sz w:val="16"/>
                <w:szCs w:val="16"/>
              </w:rPr>
              <w:t>Tatiana Baquero Iguarán</w:t>
            </w:r>
          </w:p>
          <w:p w14:paraId="041BF1E2" w14:textId="77777777" w:rsidR="00FE5496" w:rsidRPr="00A27102" w:rsidRDefault="00FE5496" w:rsidP="004B349E">
            <w:pPr>
              <w:contextualSpacing/>
              <w:rPr>
                <w:rFonts w:ascii="Verdana" w:eastAsia="Arial" w:hAnsi="Verdana" w:cs="Arial"/>
                <w:sz w:val="16"/>
                <w:szCs w:val="16"/>
              </w:rPr>
            </w:pPr>
            <w:r w:rsidRPr="00A27102">
              <w:rPr>
                <w:rFonts w:ascii="Verdana" w:hAnsi="Verdana"/>
                <w:sz w:val="16"/>
                <w:szCs w:val="16"/>
              </w:rPr>
              <w:t>Contratista de la Subdirección de Gestión Contractual</w:t>
            </w:r>
          </w:p>
        </w:tc>
      </w:tr>
      <w:tr w:rsidR="00FE5496" w:rsidRPr="00A27102" w14:paraId="7E74EE30" w14:textId="77777777" w:rsidTr="004B349E">
        <w:trPr>
          <w:trHeight w:val="330"/>
        </w:trPr>
        <w:tc>
          <w:tcPr>
            <w:tcW w:w="893" w:type="dxa"/>
            <w:vAlign w:val="center"/>
            <w:hideMark/>
          </w:tcPr>
          <w:p w14:paraId="0F11DE33" w14:textId="77777777" w:rsidR="00FE5496" w:rsidRPr="00A27102" w:rsidRDefault="00FE5496" w:rsidP="004B349E">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B85FCF4" w14:textId="77777777" w:rsidR="00FE5496" w:rsidRPr="00A27102" w:rsidRDefault="00FE5496" w:rsidP="004B349E">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1E45FFD9" w14:textId="77777777" w:rsidR="00FE5496" w:rsidRPr="00A27102" w:rsidRDefault="00FE5496" w:rsidP="004B349E">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FE5496" w:rsidRPr="00A27102" w14:paraId="3E38F7F6" w14:textId="77777777" w:rsidTr="004B349E">
        <w:trPr>
          <w:trHeight w:val="300"/>
        </w:trPr>
        <w:tc>
          <w:tcPr>
            <w:tcW w:w="893" w:type="dxa"/>
            <w:vAlign w:val="center"/>
          </w:tcPr>
          <w:p w14:paraId="66E296C7" w14:textId="77777777" w:rsidR="00FE5496" w:rsidRPr="00A27102" w:rsidRDefault="00FE5496" w:rsidP="004B349E">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DBF4D80" w14:textId="77777777" w:rsidR="00FE5496" w:rsidRPr="00A27102" w:rsidRDefault="00FE5496" w:rsidP="004B349E">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Carolina Quintero Gacharná</w:t>
            </w:r>
          </w:p>
          <w:p w14:paraId="4F0CEEFB" w14:textId="77777777" w:rsidR="00FE5496" w:rsidRPr="00A27102" w:rsidRDefault="00FE5496" w:rsidP="004B349E">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tbl>
    <w:p w14:paraId="2A8D7DF9" w14:textId="77777777" w:rsidR="00FE5496" w:rsidRPr="00E02524" w:rsidRDefault="00FE5496" w:rsidP="00FE5496">
      <w:pPr>
        <w:spacing w:after="0" w:line="240" w:lineRule="auto"/>
        <w:jc w:val="both"/>
        <w:rPr>
          <w:rFonts w:ascii="Verdana" w:eastAsia="Verdana" w:hAnsi="Verdana" w:cs="Verdana"/>
          <w:b/>
          <w:bCs/>
          <w:lang w:val="es-MX"/>
        </w:rPr>
      </w:pPr>
    </w:p>
    <w:p w14:paraId="112678A0" w14:textId="77777777" w:rsidR="00FE5496" w:rsidRPr="000E2B93" w:rsidRDefault="00FE5496" w:rsidP="00FE5496">
      <w:pPr>
        <w:spacing w:after="0" w:line="240" w:lineRule="auto"/>
        <w:jc w:val="both"/>
        <w:textAlignment w:val="baseline"/>
        <w:rPr>
          <w:rFonts w:ascii="Verdana" w:eastAsia="Verdana" w:hAnsi="Verdana" w:cs="Verdana"/>
          <w:lang w:eastAsia="es-CO"/>
        </w:rPr>
      </w:pPr>
    </w:p>
    <w:p w14:paraId="0BEE4A53" w14:textId="454F4736" w:rsidR="00FE5496" w:rsidRPr="000E2B93" w:rsidRDefault="00FE5496" w:rsidP="00FE5496">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4FA60E78" w14:textId="77777777" w:rsidR="00FE5496" w:rsidRPr="0015699B" w:rsidRDefault="00FE5496" w:rsidP="00FE5496">
      <w:pPr>
        <w:spacing w:after="0" w:line="240" w:lineRule="auto"/>
        <w:jc w:val="both"/>
        <w:textAlignment w:val="baseline"/>
        <w:rPr>
          <w:rFonts w:ascii="Verdana" w:eastAsia="Verdana" w:hAnsi="Verdana" w:cs="Verdana"/>
          <w:lang w:eastAsia="es-CO"/>
        </w:rPr>
      </w:pPr>
    </w:p>
    <w:p w14:paraId="0F293BF4" w14:textId="5EE29D61" w:rsidR="00127233" w:rsidRPr="00FE5496" w:rsidRDefault="00127233" w:rsidP="00FE5496"/>
    <w:sectPr w:rsidR="00127233" w:rsidRPr="00FE5496"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5F0CDA" w14:textId="77777777" w:rsidR="00925F99" w:rsidRDefault="00925F99" w:rsidP="004A1847">
      <w:pPr>
        <w:spacing w:after="0" w:line="240" w:lineRule="auto"/>
      </w:pPr>
      <w:r>
        <w:separator/>
      </w:r>
    </w:p>
  </w:endnote>
  <w:endnote w:type="continuationSeparator" w:id="0">
    <w:p w14:paraId="4F61761D" w14:textId="77777777" w:rsidR="00925F99" w:rsidRDefault="00925F9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charset w:val="01"/>
    <w:family w:val="swiss"/>
    <w:pitch w:val="variable"/>
  </w:font>
  <w:font w:name="Helvetica">
    <w:panose1 w:val="020B0604020202020204"/>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Work Sans">
    <w:charset w:val="00"/>
    <w:family w:val="auto"/>
    <w:pitch w:val="variable"/>
    <w:sig w:usb0="A00000FF" w:usb1="5000E07B" w:usb2="00000000" w:usb3="00000000" w:csb0="00000193" w:csb1="00000000"/>
  </w:font>
  <w:font w:name="Segoe UI">
    <w:panose1 w:val="020B0502040204020203"/>
    <w:charset w:val="00"/>
    <w:family w:val="swiss"/>
    <w:pitch w:val="variable"/>
    <w:sig w:usb0="E4002EFF" w:usb1="C000E47F" w:usb2="00000009" w:usb3="00000000" w:csb0="000001FF"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F16D67"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F16D67">
      <w:rPr>
        <w:rFonts w:ascii="Verdana" w:eastAsia="Verdana" w:hAnsi="Verdana" w:cs="Verdana"/>
        <w:b/>
        <w:bCs/>
        <w:color w:val="000000"/>
        <w:sz w:val="18"/>
        <w:szCs w:val="18"/>
        <w:lang w:val="pt-BR" w:eastAsia="es-CO"/>
      </w:rPr>
      <w:t xml:space="preserve">Código: </w:t>
    </w:r>
    <w:r w:rsidRPr="00F16D67">
      <w:rPr>
        <w:rFonts w:ascii="Verdana" w:eastAsia="Verdana" w:hAnsi="Verdana" w:cs="Verdana"/>
        <w:color w:val="000000"/>
        <w:sz w:val="18"/>
        <w:szCs w:val="18"/>
        <w:lang w:val="pt-BR" w:eastAsia="es-CO"/>
      </w:rPr>
      <w:t xml:space="preserve">CCE-REC-FM-17 </w:t>
    </w:r>
    <w:r w:rsidRPr="00F16D67">
      <w:rPr>
        <w:rFonts w:ascii="Verdana" w:eastAsia="Verdana" w:hAnsi="Verdana" w:cs="Verdana"/>
        <w:b/>
        <w:bCs/>
        <w:color w:val="000000"/>
        <w:sz w:val="18"/>
        <w:szCs w:val="18"/>
        <w:lang w:val="pt-BR" w:eastAsia="es-CO"/>
      </w:rPr>
      <w:t xml:space="preserve">V: </w:t>
    </w:r>
    <w:r w:rsidRPr="00F16D67">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63B4F6" w14:textId="77777777" w:rsidR="00925F99" w:rsidRDefault="00925F99" w:rsidP="004A1847">
      <w:pPr>
        <w:spacing w:after="0" w:line="240" w:lineRule="auto"/>
      </w:pPr>
      <w:r>
        <w:separator/>
      </w:r>
    </w:p>
  </w:footnote>
  <w:footnote w:type="continuationSeparator" w:id="0">
    <w:p w14:paraId="74FF7A04" w14:textId="77777777" w:rsidR="00925F99" w:rsidRDefault="00925F99" w:rsidP="004A1847">
      <w:pPr>
        <w:spacing w:after="0" w:line="240" w:lineRule="auto"/>
      </w:pPr>
      <w:r>
        <w:continuationSeparator/>
      </w:r>
    </w:p>
  </w:footnote>
  <w:footnote w:id="1">
    <w:p w14:paraId="19C23E05" w14:textId="77777777" w:rsidR="00FE5496" w:rsidRPr="00206556" w:rsidRDefault="00FE5496" w:rsidP="00FE5496">
      <w:pPr>
        <w:spacing w:after="80" w:line="240" w:lineRule="auto"/>
        <w:ind w:firstLine="708"/>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p w14:paraId="4BD1F732" w14:textId="77777777" w:rsidR="00FE5496" w:rsidRPr="00206556" w:rsidRDefault="00FE5496" w:rsidP="00FE5496">
      <w:pPr>
        <w:spacing w:after="80" w:line="240" w:lineRule="auto"/>
        <w:ind w:firstLine="708"/>
        <w:jc w:val="both"/>
        <w:rPr>
          <w:rFonts w:ascii="Verdana" w:hAnsi="Verdana"/>
          <w:sz w:val="16"/>
          <w:szCs w:val="16"/>
        </w:rPr>
      </w:pPr>
    </w:p>
  </w:footnote>
  <w:footnote w:id="2">
    <w:p w14:paraId="5105078A" w14:textId="77777777" w:rsidR="00FE5496" w:rsidRPr="00206556" w:rsidRDefault="00FE5496" w:rsidP="00FE5496">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p w14:paraId="48FF12D2" w14:textId="77777777" w:rsidR="00FE5496" w:rsidRPr="00206556" w:rsidRDefault="00FE5496" w:rsidP="00FE5496">
      <w:pPr>
        <w:pStyle w:val="Textonotapie"/>
        <w:ind w:firstLine="708"/>
        <w:jc w:val="both"/>
        <w:rPr>
          <w:rFonts w:ascii="Verdana" w:hAnsi="Verdana"/>
          <w:sz w:val="16"/>
          <w:szCs w:val="16"/>
          <w:lang w:val="es-ES"/>
        </w:rPr>
      </w:pPr>
    </w:p>
  </w:footnote>
  <w:footnote w:id="3">
    <w:p w14:paraId="7C81EC62" w14:textId="77777777" w:rsidR="00FE5496" w:rsidRPr="00206556" w:rsidRDefault="00FE5496" w:rsidP="00FE5496">
      <w:pPr>
        <w:spacing w:after="80" w:line="240" w:lineRule="auto"/>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p w14:paraId="1F567399" w14:textId="77777777" w:rsidR="00FE5496" w:rsidRPr="00206556" w:rsidRDefault="00FE5496" w:rsidP="00FE5496">
      <w:pPr>
        <w:spacing w:after="80" w:line="240" w:lineRule="auto"/>
        <w:ind w:firstLine="708"/>
        <w:jc w:val="both"/>
        <w:rPr>
          <w:rFonts w:ascii="Verdana" w:hAnsi="Verdana"/>
          <w:sz w:val="16"/>
          <w:szCs w:val="16"/>
        </w:rPr>
      </w:pPr>
    </w:p>
  </w:footnote>
  <w:footnote w:id="4">
    <w:p w14:paraId="529D8222" w14:textId="77777777" w:rsidR="00FE5496" w:rsidRPr="00206556" w:rsidRDefault="00FE5496" w:rsidP="00FE5496">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7F962C1D" w14:textId="77777777" w:rsidR="00FE5496" w:rsidRPr="00206556" w:rsidRDefault="00FE5496" w:rsidP="00FE5496">
      <w:pPr>
        <w:pStyle w:val="Textonotapie"/>
        <w:ind w:firstLine="708"/>
        <w:jc w:val="both"/>
        <w:rPr>
          <w:rFonts w:ascii="Verdana" w:hAnsi="Verdana"/>
          <w:sz w:val="16"/>
          <w:szCs w:val="16"/>
          <w:lang w:val="es-ES"/>
        </w:rPr>
      </w:pPr>
    </w:p>
  </w:footnote>
  <w:footnote w:id="5">
    <w:p w14:paraId="3F27459A" w14:textId="77777777" w:rsidR="00FE5496" w:rsidRPr="00206556" w:rsidRDefault="00FE5496" w:rsidP="00FE5496">
      <w:pPr>
        <w:pStyle w:val="Textonotapie"/>
        <w:ind w:firstLine="708"/>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p w14:paraId="60A60287" w14:textId="77777777" w:rsidR="00FE5496" w:rsidRPr="00206556" w:rsidRDefault="00FE5496" w:rsidP="00FE5496">
      <w:pPr>
        <w:pStyle w:val="Textonotapie"/>
        <w:ind w:firstLine="708"/>
        <w:jc w:val="both"/>
        <w:rPr>
          <w:rFonts w:ascii="Verdana" w:hAnsi="Verdana"/>
          <w:sz w:val="16"/>
          <w:szCs w:val="16"/>
          <w:lang w:val="es-ES"/>
        </w:rPr>
      </w:pPr>
    </w:p>
  </w:footnote>
  <w:footnote w:id="6">
    <w:p w14:paraId="5BBBF039" w14:textId="77777777" w:rsidR="00FE5496" w:rsidRPr="00206556" w:rsidRDefault="00FE5496" w:rsidP="00FE5496">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p w14:paraId="53FBAC39" w14:textId="77777777" w:rsidR="00FE5496" w:rsidRPr="00206556" w:rsidRDefault="00FE5496" w:rsidP="00FE5496">
      <w:pPr>
        <w:pStyle w:val="Textonotapie"/>
        <w:ind w:firstLine="708"/>
        <w:rPr>
          <w:rFonts w:ascii="Verdana" w:hAnsi="Verdana"/>
          <w:sz w:val="16"/>
          <w:szCs w:val="16"/>
          <w:lang w:val="es-ES"/>
        </w:rPr>
      </w:pPr>
    </w:p>
  </w:footnote>
  <w:footnote w:id="7">
    <w:p w14:paraId="790AE7A9" w14:textId="77777777" w:rsidR="00FE5496" w:rsidRPr="00206556" w:rsidRDefault="00FE5496" w:rsidP="00FE5496">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p w14:paraId="3266403F" w14:textId="77777777" w:rsidR="00FE5496" w:rsidRPr="00206556" w:rsidRDefault="00FE5496" w:rsidP="00FE5496">
      <w:pPr>
        <w:pStyle w:val="Textonotapie"/>
        <w:ind w:firstLine="708"/>
        <w:rPr>
          <w:rFonts w:ascii="Verdana" w:hAnsi="Verdana"/>
          <w:sz w:val="16"/>
          <w:szCs w:val="16"/>
          <w:lang w:val="es-ES"/>
        </w:rPr>
      </w:pPr>
    </w:p>
  </w:footnote>
  <w:footnote w:id="8">
    <w:p w14:paraId="17BB827D" w14:textId="77777777" w:rsidR="00FE5496" w:rsidRPr="00206556" w:rsidRDefault="00FE5496" w:rsidP="00FE5496">
      <w:pPr>
        <w:pStyle w:val="Textonotapie"/>
        <w:ind w:firstLine="708"/>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 w:id="9">
    <w:p w14:paraId="0F89A179" w14:textId="77777777" w:rsidR="00FE5496" w:rsidRPr="00F82E0D" w:rsidRDefault="00FE5496" w:rsidP="00FE5496">
      <w:pPr>
        <w:pStyle w:val="Textonotapie"/>
        <w:ind w:firstLine="708"/>
        <w:jc w:val="both"/>
        <w:rPr>
          <w:rFonts w:ascii="Verdana" w:hAnsi="Verdana"/>
          <w:sz w:val="16"/>
          <w:szCs w:val="16"/>
        </w:rPr>
      </w:pPr>
      <w:r>
        <w:rPr>
          <w:rStyle w:val="Refdenotaalpie"/>
        </w:rPr>
        <w:footnoteRef/>
      </w:r>
      <w:r>
        <w:t xml:space="preserve"> </w:t>
      </w:r>
      <w:r w:rsidRPr="00F82E0D">
        <w:rPr>
          <w:rFonts w:ascii="Verdana" w:hAnsi="Verdana"/>
          <w:sz w:val="16"/>
          <w:szCs w:val="16"/>
        </w:rPr>
        <w:t>Consejo de Estado, Sección Quinta, del 12 de diciembre de 2024 (Rad. 05001-23-33-000-2024-00847-01, M.P. Omar Joaquín Barreto Suárez)</w:t>
      </w:r>
    </w:p>
    <w:p w14:paraId="2E044AF1" w14:textId="77777777" w:rsidR="00FE5496" w:rsidRPr="00B31F9B" w:rsidRDefault="00FE5496" w:rsidP="00FE5496">
      <w:pPr>
        <w:pStyle w:val="Textonotapie"/>
        <w:rPr>
          <w:lang w:val="es-CO"/>
        </w:rPr>
      </w:pPr>
    </w:p>
  </w:footnote>
  <w:footnote w:id="10">
    <w:p w14:paraId="75BBCAED" w14:textId="77777777" w:rsidR="00FE5496" w:rsidRPr="00861BF3" w:rsidRDefault="00FE5496" w:rsidP="00FE5496">
      <w:pPr>
        <w:pStyle w:val="Textonotapie"/>
        <w:ind w:firstLine="708"/>
        <w:jc w:val="both"/>
        <w:rPr>
          <w:rFonts w:ascii="Verdana" w:hAnsi="Verdana"/>
          <w:sz w:val="19"/>
          <w:szCs w:val="19"/>
          <w:lang w:val="es-ES_tradnl"/>
        </w:rPr>
      </w:pPr>
      <w:r w:rsidRPr="00861BF3">
        <w:rPr>
          <w:rStyle w:val="Refdenotaalpie"/>
          <w:rFonts w:ascii="Verdana" w:hAnsi="Verdana"/>
          <w:sz w:val="19"/>
          <w:szCs w:val="19"/>
        </w:rPr>
        <w:footnoteRef/>
      </w:r>
      <w:r w:rsidRPr="00861BF3">
        <w:rPr>
          <w:rFonts w:ascii="Verdana" w:hAnsi="Verdana"/>
          <w:sz w:val="19"/>
          <w:szCs w:val="19"/>
        </w:rPr>
        <w:t xml:space="preserve"> </w:t>
      </w:r>
      <w:r w:rsidRPr="00F82E0D">
        <w:rPr>
          <w:rFonts w:ascii="Verdana" w:hAnsi="Verdana"/>
          <w:sz w:val="16"/>
          <w:szCs w:val="16"/>
        </w:rPr>
        <w:t>Parte considerativa del Decreto 287 de 2026.</w:t>
      </w:r>
    </w:p>
  </w:footnote>
  <w:footnote w:id="11">
    <w:p w14:paraId="4064DBF6" w14:textId="77777777" w:rsidR="00FE5496" w:rsidRDefault="00FE5496" w:rsidP="00FE5496">
      <w:pPr>
        <w:pStyle w:val="Textonotapie"/>
        <w:ind w:firstLine="709"/>
        <w:jc w:val="both"/>
        <w:rPr>
          <w:rFonts w:ascii="Verdana" w:hAnsi="Verdana"/>
          <w:sz w:val="16"/>
          <w:szCs w:val="16"/>
        </w:rPr>
      </w:pPr>
      <w:r w:rsidRPr="008C26F1">
        <w:rPr>
          <w:rStyle w:val="Refdenotaalpie"/>
          <w:rFonts w:ascii="Verdana" w:hAnsi="Verdana"/>
          <w:sz w:val="16"/>
          <w:szCs w:val="16"/>
        </w:rPr>
        <w:footnoteRef/>
      </w:r>
      <w:r w:rsidRPr="008C26F1">
        <w:rPr>
          <w:rFonts w:ascii="Verdana" w:hAnsi="Verdana"/>
          <w:sz w:val="16"/>
          <w:szCs w:val="16"/>
        </w:rPr>
        <w:t xml:space="preserve"> </w:t>
      </w:r>
      <w:r>
        <w:rPr>
          <w:rFonts w:ascii="Verdana" w:hAnsi="Verdana"/>
          <w:sz w:val="16"/>
          <w:szCs w:val="16"/>
        </w:rPr>
        <w:t xml:space="preserve">Código Sustantivo del Trabajo: “Son representantes del [empleador] y como tales lo obligan frente a sus trabajadores además de quienes tiene ese carácter según la ley, la convención o el reglamento de trabajo, las siguientes personas: </w:t>
      </w:r>
    </w:p>
    <w:p w14:paraId="78573B90" w14:textId="77777777" w:rsidR="00FE5496" w:rsidRDefault="00FE5496" w:rsidP="00FE5496">
      <w:pPr>
        <w:pStyle w:val="Textonotapie"/>
        <w:numPr>
          <w:ilvl w:val="0"/>
          <w:numId w:val="21"/>
        </w:numPr>
        <w:rPr>
          <w:rFonts w:ascii="Verdana" w:hAnsi="Verdana"/>
          <w:sz w:val="16"/>
          <w:szCs w:val="16"/>
        </w:rPr>
      </w:pPr>
      <w:r>
        <w:rPr>
          <w:rFonts w:ascii="Verdana" w:hAnsi="Verdana"/>
          <w:sz w:val="16"/>
          <w:szCs w:val="16"/>
        </w:rPr>
        <w:t>Las que ejerzan funciones de dirección o administración, tales como directores, gerentes, administradores, síndicos o liquidadores, mayordomos y capitanes de barco, y quienes ejercitan actos de representación con la aquiescencia expresa o tácita del [empleador];</w:t>
      </w:r>
    </w:p>
    <w:p w14:paraId="4595034A" w14:textId="77777777" w:rsidR="00FE5496" w:rsidRPr="008C26F1" w:rsidRDefault="00FE5496" w:rsidP="00FE5496">
      <w:pPr>
        <w:pStyle w:val="Textonotapie"/>
        <w:numPr>
          <w:ilvl w:val="0"/>
          <w:numId w:val="21"/>
        </w:numPr>
        <w:rPr>
          <w:rFonts w:ascii="Verdana" w:hAnsi="Verdana"/>
          <w:sz w:val="16"/>
          <w:szCs w:val="16"/>
        </w:rPr>
      </w:pPr>
      <w:r>
        <w:rPr>
          <w:rFonts w:ascii="Verdana" w:hAnsi="Verdana"/>
          <w:sz w:val="16"/>
          <w:szCs w:val="16"/>
        </w:rPr>
        <w:t>Los intermediarios”.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6D018E"/>
    <w:multiLevelType w:val="hybridMultilevel"/>
    <w:tmpl w:val="0B4CAD0C"/>
    <w:lvl w:ilvl="0" w:tplc="173EFC8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C0E2B29"/>
    <w:multiLevelType w:val="multilevel"/>
    <w:tmpl w:val="F6B411A0"/>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04C2A5F"/>
    <w:multiLevelType w:val="hybridMultilevel"/>
    <w:tmpl w:val="622ED3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AC42B45"/>
    <w:multiLevelType w:val="hybridMultilevel"/>
    <w:tmpl w:val="7760FC0C"/>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7"/>
  </w:num>
  <w:num w:numId="7" w16cid:durableId="1946422806">
    <w:abstractNumId w:val="5"/>
  </w:num>
  <w:num w:numId="8" w16cid:durableId="152644682">
    <w:abstractNumId w:val="16"/>
  </w:num>
  <w:num w:numId="9" w16cid:durableId="1317221377">
    <w:abstractNumId w:val="7"/>
  </w:num>
  <w:num w:numId="10" w16cid:durableId="1471245386">
    <w:abstractNumId w:val="15"/>
  </w:num>
  <w:num w:numId="11" w16cid:durableId="289172385">
    <w:abstractNumId w:val="8"/>
  </w:num>
  <w:num w:numId="12" w16cid:durableId="1470781324">
    <w:abstractNumId w:val="0"/>
  </w:num>
  <w:num w:numId="13" w16cid:durableId="1512908409">
    <w:abstractNumId w:val="3"/>
  </w:num>
  <w:num w:numId="14" w16cid:durableId="895897244">
    <w:abstractNumId w:val="18"/>
  </w:num>
  <w:num w:numId="15" w16cid:durableId="390349800">
    <w:abstractNumId w:val="13"/>
  </w:num>
  <w:num w:numId="16" w16cid:durableId="679089576">
    <w:abstractNumId w:val="9"/>
  </w:num>
  <w:num w:numId="17" w16cid:durableId="1300108123">
    <w:abstractNumId w:val="11"/>
  </w:num>
  <w:num w:numId="18" w16cid:durableId="1069183687">
    <w:abstractNumId w:val="12"/>
  </w:num>
  <w:num w:numId="19" w16cid:durableId="992828691">
    <w:abstractNumId w:val="10"/>
  </w:num>
  <w:num w:numId="20" w16cid:durableId="1865904539">
    <w:abstractNumId w:val="2"/>
  </w:num>
  <w:num w:numId="21" w16cid:durableId="134867631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C56"/>
    <w:rsid w:val="000044E0"/>
    <w:rsid w:val="00004800"/>
    <w:rsid w:val="000059C7"/>
    <w:rsid w:val="0001207A"/>
    <w:rsid w:val="000129BD"/>
    <w:rsid w:val="00014503"/>
    <w:rsid w:val="00015B0F"/>
    <w:rsid w:val="00016F78"/>
    <w:rsid w:val="00024309"/>
    <w:rsid w:val="00025026"/>
    <w:rsid w:val="000272FE"/>
    <w:rsid w:val="000305F3"/>
    <w:rsid w:val="00031FA0"/>
    <w:rsid w:val="0003312C"/>
    <w:rsid w:val="0003557B"/>
    <w:rsid w:val="0003697D"/>
    <w:rsid w:val="00043D1A"/>
    <w:rsid w:val="00046945"/>
    <w:rsid w:val="000603C6"/>
    <w:rsid w:val="00061B2A"/>
    <w:rsid w:val="00064699"/>
    <w:rsid w:val="000705EB"/>
    <w:rsid w:val="00073825"/>
    <w:rsid w:val="000759FD"/>
    <w:rsid w:val="00082362"/>
    <w:rsid w:val="000978B2"/>
    <w:rsid w:val="000A604B"/>
    <w:rsid w:val="000A683E"/>
    <w:rsid w:val="000B19B9"/>
    <w:rsid w:val="000B4777"/>
    <w:rsid w:val="000C0DDC"/>
    <w:rsid w:val="000C2918"/>
    <w:rsid w:val="000C79DC"/>
    <w:rsid w:val="000D0334"/>
    <w:rsid w:val="000D1CBA"/>
    <w:rsid w:val="000D5DA7"/>
    <w:rsid w:val="000F6486"/>
    <w:rsid w:val="000F72D2"/>
    <w:rsid w:val="00100FCF"/>
    <w:rsid w:val="0010264D"/>
    <w:rsid w:val="00116940"/>
    <w:rsid w:val="00125105"/>
    <w:rsid w:val="00127233"/>
    <w:rsid w:val="00152253"/>
    <w:rsid w:val="00152C22"/>
    <w:rsid w:val="00152EFE"/>
    <w:rsid w:val="001540AF"/>
    <w:rsid w:val="00155335"/>
    <w:rsid w:val="0015699B"/>
    <w:rsid w:val="00156D43"/>
    <w:rsid w:val="001642BF"/>
    <w:rsid w:val="00185D51"/>
    <w:rsid w:val="00196708"/>
    <w:rsid w:val="001A33BF"/>
    <w:rsid w:val="001A4B17"/>
    <w:rsid w:val="001B3C5D"/>
    <w:rsid w:val="001B65B7"/>
    <w:rsid w:val="001E091C"/>
    <w:rsid w:val="001E166A"/>
    <w:rsid w:val="001E4177"/>
    <w:rsid w:val="001F0B24"/>
    <w:rsid w:val="001F6AE7"/>
    <w:rsid w:val="001F7DC6"/>
    <w:rsid w:val="00201242"/>
    <w:rsid w:val="00201758"/>
    <w:rsid w:val="00207570"/>
    <w:rsid w:val="00212160"/>
    <w:rsid w:val="00221C61"/>
    <w:rsid w:val="0022343A"/>
    <w:rsid w:val="00223F0A"/>
    <w:rsid w:val="0022400B"/>
    <w:rsid w:val="00241423"/>
    <w:rsid w:val="002421BB"/>
    <w:rsid w:val="00242C03"/>
    <w:rsid w:val="002508EF"/>
    <w:rsid w:val="00252F69"/>
    <w:rsid w:val="00256F70"/>
    <w:rsid w:val="0025796E"/>
    <w:rsid w:val="00267922"/>
    <w:rsid w:val="002707A2"/>
    <w:rsid w:val="00270BA0"/>
    <w:rsid w:val="00270D03"/>
    <w:rsid w:val="00285AB0"/>
    <w:rsid w:val="00291ABB"/>
    <w:rsid w:val="002923D2"/>
    <w:rsid w:val="002951A0"/>
    <w:rsid w:val="002962BC"/>
    <w:rsid w:val="002A093D"/>
    <w:rsid w:val="002A0DD0"/>
    <w:rsid w:val="002A3E74"/>
    <w:rsid w:val="002A4029"/>
    <w:rsid w:val="002A49AC"/>
    <w:rsid w:val="002A5618"/>
    <w:rsid w:val="002A64FD"/>
    <w:rsid w:val="002C0C08"/>
    <w:rsid w:val="002C207B"/>
    <w:rsid w:val="002C4576"/>
    <w:rsid w:val="002C7A84"/>
    <w:rsid w:val="002D76BC"/>
    <w:rsid w:val="002E2BF8"/>
    <w:rsid w:val="002E48C0"/>
    <w:rsid w:val="002E4FD9"/>
    <w:rsid w:val="002F22AD"/>
    <w:rsid w:val="00300FF2"/>
    <w:rsid w:val="0030657A"/>
    <w:rsid w:val="003174B9"/>
    <w:rsid w:val="0031759C"/>
    <w:rsid w:val="00322A85"/>
    <w:rsid w:val="0032386A"/>
    <w:rsid w:val="00324168"/>
    <w:rsid w:val="00325197"/>
    <w:rsid w:val="003270EB"/>
    <w:rsid w:val="00330834"/>
    <w:rsid w:val="00331D08"/>
    <w:rsid w:val="00333E92"/>
    <w:rsid w:val="003402DD"/>
    <w:rsid w:val="003448F4"/>
    <w:rsid w:val="00344C7B"/>
    <w:rsid w:val="0034693C"/>
    <w:rsid w:val="003530D8"/>
    <w:rsid w:val="00353C74"/>
    <w:rsid w:val="00366CCF"/>
    <w:rsid w:val="00370640"/>
    <w:rsid w:val="003724A1"/>
    <w:rsid w:val="00374F5E"/>
    <w:rsid w:val="00374FD2"/>
    <w:rsid w:val="00376358"/>
    <w:rsid w:val="00376DC9"/>
    <w:rsid w:val="00377E3E"/>
    <w:rsid w:val="00394B90"/>
    <w:rsid w:val="003A2AAB"/>
    <w:rsid w:val="003A779E"/>
    <w:rsid w:val="003C458F"/>
    <w:rsid w:val="003C5D1C"/>
    <w:rsid w:val="003D0F4D"/>
    <w:rsid w:val="003D5B0D"/>
    <w:rsid w:val="003D5CF1"/>
    <w:rsid w:val="003E0499"/>
    <w:rsid w:val="003E2BDD"/>
    <w:rsid w:val="003E4F80"/>
    <w:rsid w:val="003E6439"/>
    <w:rsid w:val="003F2A16"/>
    <w:rsid w:val="003F3941"/>
    <w:rsid w:val="00406575"/>
    <w:rsid w:val="00406C62"/>
    <w:rsid w:val="00411C79"/>
    <w:rsid w:val="0041216B"/>
    <w:rsid w:val="00412A0D"/>
    <w:rsid w:val="00414C74"/>
    <w:rsid w:val="00415096"/>
    <w:rsid w:val="00415772"/>
    <w:rsid w:val="004243CF"/>
    <w:rsid w:val="00424789"/>
    <w:rsid w:val="0042722E"/>
    <w:rsid w:val="00431CED"/>
    <w:rsid w:val="0043267F"/>
    <w:rsid w:val="0044528D"/>
    <w:rsid w:val="00446CCD"/>
    <w:rsid w:val="00446E9F"/>
    <w:rsid w:val="00454524"/>
    <w:rsid w:val="0046297E"/>
    <w:rsid w:val="00466E39"/>
    <w:rsid w:val="004675C3"/>
    <w:rsid w:val="00482194"/>
    <w:rsid w:val="00490D98"/>
    <w:rsid w:val="004A1847"/>
    <w:rsid w:val="004A305D"/>
    <w:rsid w:val="004B7044"/>
    <w:rsid w:val="004C2794"/>
    <w:rsid w:val="004C2BC6"/>
    <w:rsid w:val="004C6D25"/>
    <w:rsid w:val="004C7CF0"/>
    <w:rsid w:val="004D2107"/>
    <w:rsid w:val="004D4F05"/>
    <w:rsid w:val="004D5DD8"/>
    <w:rsid w:val="004D6032"/>
    <w:rsid w:val="004F21C4"/>
    <w:rsid w:val="004F441B"/>
    <w:rsid w:val="004F685F"/>
    <w:rsid w:val="0050097B"/>
    <w:rsid w:val="005018A2"/>
    <w:rsid w:val="0050712A"/>
    <w:rsid w:val="00512C05"/>
    <w:rsid w:val="0053024B"/>
    <w:rsid w:val="00533C31"/>
    <w:rsid w:val="0053524F"/>
    <w:rsid w:val="0055082D"/>
    <w:rsid w:val="005566E8"/>
    <w:rsid w:val="00561A43"/>
    <w:rsid w:val="00574867"/>
    <w:rsid w:val="005862D4"/>
    <w:rsid w:val="00591460"/>
    <w:rsid w:val="005A24AF"/>
    <w:rsid w:val="005A65E0"/>
    <w:rsid w:val="005B4DB5"/>
    <w:rsid w:val="005C3777"/>
    <w:rsid w:val="005C4DC4"/>
    <w:rsid w:val="005C5CDC"/>
    <w:rsid w:val="005D476C"/>
    <w:rsid w:val="005D5C24"/>
    <w:rsid w:val="005E40D6"/>
    <w:rsid w:val="005F1413"/>
    <w:rsid w:val="00602BB9"/>
    <w:rsid w:val="00610AC3"/>
    <w:rsid w:val="00617608"/>
    <w:rsid w:val="006200BF"/>
    <w:rsid w:val="006219F8"/>
    <w:rsid w:val="006227C1"/>
    <w:rsid w:val="00624C07"/>
    <w:rsid w:val="00625A5D"/>
    <w:rsid w:val="006302F7"/>
    <w:rsid w:val="006332FF"/>
    <w:rsid w:val="00633FB4"/>
    <w:rsid w:val="006351FC"/>
    <w:rsid w:val="006358B8"/>
    <w:rsid w:val="0064233F"/>
    <w:rsid w:val="00646B9F"/>
    <w:rsid w:val="006534ED"/>
    <w:rsid w:val="006547FD"/>
    <w:rsid w:val="00660B7B"/>
    <w:rsid w:val="00663328"/>
    <w:rsid w:val="00664617"/>
    <w:rsid w:val="00665D70"/>
    <w:rsid w:val="0066789E"/>
    <w:rsid w:val="00670DE8"/>
    <w:rsid w:val="0067223D"/>
    <w:rsid w:val="00675C12"/>
    <w:rsid w:val="006836FE"/>
    <w:rsid w:val="00684BAF"/>
    <w:rsid w:val="00685A0A"/>
    <w:rsid w:val="006900D9"/>
    <w:rsid w:val="006936F3"/>
    <w:rsid w:val="00697080"/>
    <w:rsid w:val="00697550"/>
    <w:rsid w:val="006A0406"/>
    <w:rsid w:val="006B0744"/>
    <w:rsid w:val="006B5C6C"/>
    <w:rsid w:val="006B6A2B"/>
    <w:rsid w:val="006C4B1D"/>
    <w:rsid w:val="006C5904"/>
    <w:rsid w:val="006E12FC"/>
    <w:rsid w:val="00706C16"/>
    <w:rsid w:val="007073AA"/>
    <w:rsid w:val="00713BC1"/>
    <w:rsid w:val="007340C3"/>
    <w:rsid w:val="007452FF"/>
    <w:rsid w:val="0075235A"/>
    <w:rsid w:val="00752B17"/>
    <w:rsid w:val="00756841"/>
    <w:rsid w:val="00757A63"/>
    <w:rsid w:val="007649AB"/>
    <w:rsid w:val="00765262"/>
    <w:rsid w:val="0077000C"/>
    <w:rsid w:val="00771D0C"/>
    <w:rsid w:val="007735DE"/>
    <w:rsid w:val="00776EA9"/>
    <w:rsid w:val="00782E4A"/>
    <w:rsid w:val="007833AC"/>
    <w:rsid w:val="00792A37"/>
    <w:rsid w:val="00793BD3"/>
    <w:rsid w:val="007A07C2"/>
    <w:rsid w:val="007A6AC8"/>
    <w:rsid w:val="007B268C"/>
    <w:rsid w:val="007B31F5"/>
    <w:rsid w:val="007B62D4"/>
    <w:rsid w:val="007B7171"/>
    <w:rsid w:val="007B75F9"/>
    <w:rsid w:val="007C0C0F"/>
    <w:rsid w:val="007C3DC2"/>
    <w:rsid w:val="007C6E53"/>
    <w:rsid w:val="007D02EF"/>
    <w:rsid w:val="007D3E3D"/>
    <w:rsid w:val="007E2223"/>
    <w:rsid w:val="007E5497"/>
    <w:rsid w:val="008007D9"/>
    <w:rsid w:val="00804AD3"/>
    <w:rsid w:val="00806F5F"/>
    <w:rsid w:val="00811E15"/>
    <w:rsid w:val="00820278"/>
    <w:rsid w:val="00820A1B"/>
    <w:rsid w:val="0082229D"/>
    <w:rsid w:val="008258C9"/>
    <w:rsid w:val="00826017"/>
    <w:rsid w:val="008332CA"/>
    <w:rsid w:val="00844AE9"/>
    <w:rsid w:val="00851566"/>
    <w:rsid w:val="00854BD3"/>
    <w:rsid w:val="00856DA9"/>
    <w:rsid w:val="008571B9"/>
    <w:rsid w:val="008576BF"/>
    <w:rsid w:val="00867F95"/>
    <w:rsid w:val="00881C41"/>
    <w:rsid w:val="008834D7"/>
    <w:rsid w:val="008843B6"/>
    <w:rsid w:val="00885569"/>
    <w:rsid w:val="00886F85"/>
    <w:rsid w:val="00891928"/>
    <w:rsid w:val="0089661E"/>
    <w:rsid w:val="008969AF"/>
    <w:rsid w:val="00897B13"/>
    <w:rsid w:val="008A446D"/>
    <w:rsid w:val="008B25F1"/>
    <w:rsid w:val="008B2C76"/>
    <w:rsid w:val="008D0043"/>
    <w:rsid w:val="008D0137"/>
    <w:rsid w:val="008D180B"/>
    <w:rsid w:val="008E0213"/>
    <w:rsid w:val="008E5128"/>
    <w:rsid w:val="008F0EA7"/>
    <w:rsid w:val="008F54B0"/>
    <w:rsid w:val="008F5EB5"/>
    <w:rsid w:val="00901496"/>
    <w:rsid w:val="00901EF5"/>
    <w:rsid w:val="00903F61"/>
    <w:rsid w:val="0090650D"/>
    <w:rsid w:val="00910CD1"/>
    <w:rsid w:val="009110D3"/>
    <w:rsid w:val="00915323"/>
    <w:rsid w:val="00916967"/>
    <w:rsid w:val="009179FE"/>
    <w:rsid w:val="00923A97"/>
    <w:rsid w:val="00923EEF"/>
    <w:rsid w:val="00924DB5"/>
    <w:rsid w:val="00925F99"/>
    <w:rsid w:val="009419F9"/>
    <w:rsid w:val="0094469E"/>
    <w:rsid w:val="009450CD"/>
    <w:rsid w:val="0095685E"/>
    <w:rsid w:val="00961B09"/>
    <w:rsid w:val="009637DF"/>
    <w:rsid w:val="00963C82"/>
    <w:rsid w:val="00964A8C"/>
    <w:rsid w:val="00965334"/>
    <w:rsid w:val="0096590E"/>
    <w:rsid w:val="0097093E"/>
    <w:rsid w:val="00987C13"/>
    <w:rsid w:val="009927E8"/>
    <w:rsid w:val="009967A3"/>
    <w:rsid w:val="009A055B"/>
    <w:rsid w:val="009A0AA5"/>
    <w:rsid w:val="009A0DFA"/>
    <w:rsid w:val="009A1C6F"/>
    <w:rsid w:val="009A7AFB"/>
    <w:rsid w:val="009B2D26"/>
    <w:rsid w:val="009B6C40"/>
    <w:rsid w:val="009C02AD"/>
    <w:rsid w:val="009C71FA"/>
    <w:rsid w:val="009C72E7"/>
    <w:rsid w:val="009C7F7E"/>
    <w:rsid w:val="009D042A"/>
    <w:rsid w:val="009D3058"/>
    <w:rsid w:val="009E20FB"/>
    <w:rsid w:val="009F3A13"/>
    <w:rsid w:val="00A122D3"/>
    <w:rsid w:val="00A13A93"/>
    <w:rsid w:val="00A14468"/>
    <w:rsid w:val="00A17F13"/>
    <w:rsid w:val="00A20739"/>
    <w:rsid w:val="00A23AF9"/>
    <w:rsid w:val="00A33C78"/>
    <w:rsid w:val="00A410E9"/>
    <w:rsid w:val="00A426E7"/>
    <w:rsid w:val="00A52269"/>
    <w:rsid w:val="00A53E5C"/>
    <w:rsid w:val="00A560D5"/>
    <w:rsid w:val="00A62F8E"/>
    <w:rsid w:val="00A63419"/>
    <w:rsid w:val="00A64619"/>
    <w:rsid w:val="00A66049"/>
    <w:rsid w:val="00A72007"/>
    <w:rsid w:val="00A74B30"/>
    <w:rsid w:val="00A825CF"/>
    <w:rsid w:val="00A84C29"/>
    <w:rsid w:val="00A86033"/>
    <w:rsid w:val="00A93044"/>
    <w:rsid w:val="00AA3D12"/>
    <w:rsid w:val="00AB0ADB"/>
    <w:rsid w:val="00AC0754"/>
    <w:rsid w:val="00AC3513"/>
    <w:rsid w:val="00AD20E6"/>
    <w:rsid w:val="00AD229F"/>
    <w:rsid w:val="00AD323B"/>
    <w:rsid w:val="00AD58FD"/>
    <w:rsid w:val="00AD78E1"/>
    <w:rsid w:val="00AE626F"/>
    <w:rsid w:val="00AF0656"/>
    <w:rsid w:val="00AF1760"/>
    <w:rsid w:val="00B00C0E"/>
    <w:rsid w:val="00B00C5F"/>
    <w:rsid w:val="00B01B1A"/>
    <w:rsid w:val="00B0381D"/>
    <w:rsid w:val="00B05831"/>
    <w:rsid w:val="00B25B10"/>
    <w:rsid w:val="00B3133A"/>
    <w:rsid w:val="00B31F9B"/>
    <w:rsid w:val="00B33ABB"/>
    <w:rsid w:val="00B36620"/>
    <w:rsid w:val="00B372C3"/>
    <w:rsid w:val="00B41E9A"/>
    <w:rsid w:val="00B44A47"/>
    <w:rsid w:val="00B44AC0"/>
    <w:rsid w:val="00B46620"/>
    <w:rsid w:val="00B46ED1"/>
    <w:rsid w:val="00B52F1C"/>
    <w:rsid w:val="00B53264"/>
    <w:rsid w:val="00B57BC2"/>
    <w:rsid w:val="00B64BB4"/>
    <w:rsid w:val="00B72CD3"/>
    <w:rsid w:val="00B72FFF"/>
    <w:rsid w:val="00B73617"/>
    <w:rsid w:val="00B774A7"/>
    <w:rsid w:val="00B8542D"/>
    <w:rsid w:val="00B92A85"/>
    <w:rsid w:val="00B976A2"/>
    <w:rsid w:val="00BA0E9F"/>
    <w:rsid w:val="00BA6536"/>
    <w:rsid w:val="00BA67FD"/>
    <w:rsid w:val="00BB26E9"/>
    <w:rsid w:val="00BC3D36"/>
    <w:rsid w:val="00BC6EEA"/>
    <w:rsid w:val="00BD0AE2"/>
    <w:rsid w:val="00BD2EF9"/>
    <w:rsid w:val="00BD3F1C"/>
    <w:rsid w:val="00BD54A6"/>
    <w:rsid w:val="00BD7F72"/>
    <w:rsid w:val="00BE5525"/>
    <w:rsid w:val="00BE7E5F"/>
    <w:rsid w:val="00BF4213"/>
    <w:rsid w:val="00BF7425"/>
    <w:rsid w:val="00C02240"/>
    <w:rsid w:val="00C04FB3"/>
    <w:rsid w:val="00C07BA5"/>
    <w:rsid w:val="00C11D8B"/>
    <w:rsid w:val="00C15139"/>
    <w:rsid w:val="00C26D25"/>
    <w:rsid w:val="00C330EB"/>
    <w:rsid w:val="00C368AA"/>
    <w:rsid w:val="00C37A9C"/>
    <w:rsid w:val="00C42155"/>
    <w:rsid w:val="00C432C3"/>
    <w:rsid w:val="00C50D69"/>
    <w:rsid w:val="00C5365C"/>
    <w:rsid w:val="00C54C43"/>
    <w:rsid w:val="00C6718E"/>
    <w:rsid w:val="00C754BE"/>
    <w:rsid w:val="00C76B1C"/>
    <w:rsid w:val="00C80535"/>
    <w:rsid w:val="00C925AC"/>
    <w:rsid w:val="00C92A6B"/>
    <w:rsid w:val="00C97E3A"/>
    <w:rsid w:val="00CA640D"/>
    <w:rsid w:val="00CB49AB"/>
    <w:rsid w:val="00CB6357"/>
    <w:rsid w:val="00CB7CAA"/>
    <w:rsid w:val="00CC182C"/>
    <w:rsid w:val="00CC1B26"/>
    <w:rsid w:val="00CC5886"/>
    <w:rsid w:val="00CD3A52"/>
    <w:rsid w:val="00CD6353"/>
    <w:rsid w:val="00CE0CD6"/>
    <w:rsid w:val="00CE5DB0"/>
    <w:rsid w:val="00CF1EE0"/>
    <w:rsid w:val="00CF4A16"/>
    <w:rsid w:val="00CF7370"/>
    <w:rsid w:val="00D05048"/>
    <w:rsid w:val="00D10509"/>
    <w:rsid w:val="00D25885"/>
    <w:rsid w:val="00D2749F"/>
    <w:rsid w:val="00D31406"/>
    <w:rsid w:val="00D35021"/>
    <w:rsid w:val="00D357FA"/>
    <w:rsid w:val="00D361FD"/>
    <w:rsid w:val="00D40887"/>
    <w:rsid w:val="00D423A2"/>
    <w:rsid w:val="00D44E26"/>
    <w:rsid w:val="00D5189B"/>
    <w:rsid w:val="00D520D8"/>
    <w:rsid w:val="00D5412B"/>
    <w:rsid w:val="00D558A8"/>
    <w:rsid w:val="00D60C18"/>
    <w:rsid w:val="00D63AC2"/>
    <w:rsid w:val="00D66D81"/>
    <w:rsid w:val="00D7383B"/>
    <w:rsid w:val="00D73C8C"/>
    <w:rsid w:val="00D7788A"/>
    <w:rsid w:val="00D84F30"/>
    <w:rsid w:val="00D91BB2"/>
    <w:rsid w:val="00D95793"/>
    <w:rsid w:val="00DA231B"/>
    <w:rsid w:val="00DA4CB6"/>
    <w:rsid w:val="00DA7750"/>
    <w:rsid w:val="00DB0CC7"/>
    <w:rsid w:val="00DC39FC"/>
    <w:rsid w:val="00DC62CC"/>
    <w:rsid w:val="00DD0A15"/>
    <w:rsid w:val="00DF1F0B"/>
    <w:rsid w:val="00DF5254"/>
    <w:rsid w:val="00E02524"/>
    <w:rsid w:val="00E16408"/>
    <w:rsid w:val="00E20894"/>
    <w:rsid w:val="00E21B47"/>
    <w:rsid w:val="00E245AB"/>
    <w:rsid w:val="00E2764C"/>
    <w:rsid w:val="00E27F2E"/>
    <w:rsid w:val="00E401E6"/>
    <w:rsid w:val="00E404F6"/>
    <w:rsid w:val="00E50AFE"/>
    <w:rsid w:val="00E513DB"/>
    <w:rsid w:val="00E60FF9"/>
    <w:rsid w:val="00E63384"/>
    <w:rsid w:val="00E63921"/>
    <w:rsid w:val="00E66891"/>
    <w:rsid w:val="00E75C92"/>
    <w:rsid w:val="00E771DC"/>
    <w:rsid w:val="00E84709"/>
    <w:rsid w:val="00E8772A"/>
    <w:rsid w:val="00E90F6B"/>
    <w:rsid w:val="00E92C27"/>
    <w:rsid w:val="00E9436F"/>
    <w:rsid w:val="00EA09E7"/>
    <w:rsid w:val="00EA0E3D"/>
    <w:rsid w:val="00EA2384"/>
    <w:rsid w:val="00EC38A7"/>
    <w:rsid w:val="00EC439B"/>
    <w:rsid w:val="00EE1966"/>
    <w:rsid w:val="00EE1AA8"/>
    <w:rsid w:val="00EE6D78"/>
    <w:rsid w:val="00F115C2"/>
    <w:rsid w:val="00F119B0"/>
    <w:rsid w:val="00F16D67"/>
    <w:rsid w:val="00F23FEA"/>
    <w:rsid w:val="00F31EDC"/>
    <w:rsid w:val="00F462B3"/>
    <w:rsid w:val="00F51A1A"/>
    <w:rsid w:val="00F5664F"/>
    <w:rsid w:val="00F60365"/>
    <w:rsid w:val="00F666C4"/>
    <w:rsid w:val="00F678F4"/>
    <w:rsid w:val="00F71369"/>
    <w:rsid w:val="00F72D67"/>
    <w:rsid w:val="00F7517A"/>
    <w:rsid w:val="00F7669A"/>
    <w:rsid w:val="00F76AFC"/>
    <w:rsid w:val="00F801E8"/>
    <w:rsid w:val="00F82E0D"/>
    <w:rsid w:val="00F83493"/>
    <w:rsid w:val="00F85C9B"/>
    <w:rsid w:val="00F874E9"/>
    <w:rsid w:val="00F92A88"/>
    <w:rsid w:val="00F92B63"/>
    <w:rsid w:val="00F93844"/>
    <w:rsid w:val="00F93B72"/>
    <w:rsid w:val="00F954F7"/>
    <w:rsid w:val="00F95702"/>
    <w:rsid w:val="00F9668D"/>
    <w:rsid w:val="00FA47C0"/>
    <w:rsid w:val="00FB0230"/>
    <w:rsid w:val="00FB45DF"/>
    <w:rsid w:val="00FB5DD1"/>
    <w:rsid w:val="00FC2B5D"/>
    <w:rsid w:val="00FD67A8"/>
    <w:rsid w:val="00FD74CB"/>
    <w:rsid w:val="00FE5496"/>
    <w:rsid w:val="00FF1449"/>
    <w:rsid w:val="00FF35D0"/>
    <w:rsid w:val="00FF40FE"/>
    <w:rsid w:val="00FF4BE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BD5AF39-1E4D-43B2-A996-DC12C9E89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1B3C5D"/>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1B3C5D"/>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1B3C5D"/>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1B3C5D"/>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1B3C5D"/>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1B3C5D"/>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1B3C5D"/>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1B3C5D"/>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1B3C5D"/>
    <w:pPr>
      <w:keepNext/>
      <w:keepLines/>
      <w:spacing w:before="40" w:after="0"/>
      <w:outlineLvl w:val="8"/>
    </w:pPr>
    <w:rPr>
      <w:rFonts w:eastAsia="Times New Roman" w:cs="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Ttulo11">
    <w:name w:val="Título 11"/>
    <w:basedOn w:val="Normal"/>
    <w:next w:val="Normal"/>
    <w:uiPriority w:val="9"/>
    <w:qFormat/>
    <w:rsid w:val="001B3C5D"/>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1B3C5D"/>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1B3C5D"/>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1B3C5D"/>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1B3C5D"/>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1B3C5D"/>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1B3C5D"/>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1B3C5D"/>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1B3C5D"/>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1B3C5D"/>
  </w:style>
  <w:style w:type="character" w:customStyle="1" w:styleId="Ttulo1Car">
    <w:name w:val="Título 1 Car"/>
    <w:basedOn w:val="Fuentedeprrafopredeter"/>
    <w:link w:val="Ttulo1"/>
    <w:uiPriority w:val="9"/>
    <w:rsid w:val="001B3C5D"/>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1B3C5D"/>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1B3C5D"/>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1B3C5D"/>
    <w:rPr>
      <w:rFonts w:eastAsia="Times New Roman" w:cs="Times New Roman"/>
      <w:i/>
      <w:iCs/>
      <w:color w:val="0F4761"/>
    </w:rPr>
  </w:style>
  <w:style w:type="character" w:customStyle="1" w:styleId="Ttulo5Car">
    <w:name w:val="Título 5 Car"/>
    <w:basedOn w:val="Fuentedeprrafopredeter"/>
    <w:link w:val="Ttulo5"/>
    <w:uiPriority w:val="9"/>
    <w:semiHidden/>
    <w:rsid w:val="001B3C5D"/>
    <w:rPr>
      <w:rFonts w:eastAsia="Times New Roman" w:cs="Times New Roman"/>
      <w:color w:val="0F4761"/>
    </w:rPr>
  </w:style>
  <w:style w:type="character" w:customStyle="1" w:styleId="Ttulo6Car">
    <w:name w:val="Título 6 Car"/>
    <w:basedOn w:val="Fuentedeprrafopredeter"/>
    <w:link w:val="Ttulo6"/>
    <w:uiPriority w:val="9"/>
    <w:semiHidden/>
    <w:rsid w:val="001B3C5D"/>
    <w:rPr>
      <w:rFonts w:eastAsia="Times New Roman" w:cs="Times New Roman"/>
      <w:i/>
      <w:iCs/>
      <w:color w:val="595959"/>
    </w:rPr>
  </w:style>
  <w:style w:type="character" w:customStyle="1" w:styleId="Ttulo7Car">
    <w:name w:val="Título 7 Car"/>
    <w:basedOn w:val="Fuentedeprrafopredeter"/>
    <w:link w:val="Ttulo7"/>
    <w:uiPriority w:val="9"/>
    <w:semiHidden/>
    <w:rsid w:val="001B3C5D"/>
    <w:rPr>
      <w:rFonts w:eastAsia="Times New Roman" w:cs="Times New Roman"/>
      <w:color w:val="595959"/>
    </w:rPr>
  </w:style>
  <w:style w:type="character" w:customStyle="1" w:styleId="Ttulo8Car">
    <w:name w:val="Título 8 Car"/>
    <w:basedOn w:val="Fuentedeprrafopredeter"/>
    <w:link w:val="Ttulo8"/>
    <w:uiPriority w:val="9"/>
    <w:semiHidden/>
    <w:rsid w:val="001B3C5D"/>
    <w:rPr>
      <w:rFonts w:eastAsia="Times New Roman" w:cs="Times New Roman"/>
      <w:i/>
      <w:iCs/>
      <w:color w:val="272727"/>
    </w:rPr>
  </w:style>
  <w:style w:type="character" w:customStyle="1" w:styleId="Ttulo9Car">
    <w:name w:val="Título 9 Car"/>
    <w:basedOn w:val="Fuentedeprrafopredeter"/>
    <w:link w:val="Ttulo9"/>
    <w:uiPriority w:val="9"/>
    <w:semiHidden/>
    <w:rsid w:val="001B3C5D"/>
    <w:rPr>
      <w:rFonts w:eastAsia="Times New Roman" w:cs="Times New Roman"/>
      <w:color w:val="272727"/>
    </w:rPr>
  </w:style>
  <w:style w:type="paragraph" w:customStyle="1" w:styleId="Subttulo1">
    <w:name w:val="Subtítulo1"/>
    <w:basedOn w:val="Normal"/>
    <w:next w:val="Normal"/>
    <w:uiPriority w:val="11"/>
    <w:qFormat/>
    <w:rsid w:val="001B3C5D"/>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1B3C5D"/>
    <w:rPr>
      <w:rFonts w:eastAsia="Times New Roman" w:cs="Times New Roman"/>
      <w:color w:val="595959"/>
      <w:spacing w:val="15"/>
      <w:sz w:val="28"/>
      <w:szCs w:val="28"/>
    </w:rPr>
  </w:style>
  <w:style w:type="paragraph" w:customStyle="1" w:styleId="Cita1">
    <w:name w:val="Cita1"/>
    <w:basedOn w:val="Normal"/>
    <w:next w:val="Normal"/>
    <w:uiPriority w:val="29"/>
    <w:qFormat/>
    <w:rsid w:val="001B3C5D"/>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1B3C5D"/>
    <w:rPr>
      <w:i/>
      <w:iCs/>
      <w:color w:val="404040"/>
    </w:rPr>
  </w:style>
  <w:style w:type="character" w:customStyle="1" w:styleId="nfasisintenso1">
    <w:name w:val="Énfasis intenso1"/>
    <w:basedOn w:val="Fuentedeprrafopredeter"/>
    <w:uiPriority w:val="21"/>
    <w:qFormat/>
    <w:rsid w:val="001B3C5D"/>
    <w:rPr>
      <w:i/>
      <w:iCs/>
      <w:color w:val="0F4761"/>
    </w:rPr>
  </w:style>
  <w:style w:type="paragraph" w:customStyle="1" w:styleId="Citadestacada1">
    <w:name w:val="Cita destacada1"/>
    <w:basedOn w:val="Normal"/>
    <w:next w:val="Normal"/>
    <w:uiPriority w:val="30"/>
    <w:qFormat/>
    <w:rsid w:val="001B3C5D"/>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1B3C5D"/>
    <w:rPr>
      <w:i/>
      <w:iCs/>
      <w:color w:val="0F4761"/>
    </w:rPr>
  </w:style>
  <w:style w:type="character" w:customStyle="1" w:styleId="Referenciaintensa1">
    <w:name w:val="Referencia intensa1"/>
    <w:basedOn w:val="Fuentedeprrafopredeter"/>
    <w:uiPriority w:val="32"/>
    <w:qFormat/>
    <w:rsid w:val="001B3C5D"/>
    <w:rPr>
      <w:b/>
      <w:bCs/>
      <w:smallCaps/>
      <w:color w:val="0F4761"/>
      <w:spacing w:val="5"/>
    </w:rPr>
  </w:style>
  <w:style w:type="paragraph" w:customStyle="1" w:styleId="Encabezado1">
    <w:name w:val="Encabezado1"/>
    <w:basedOn w:val="Normal"/>
    <w:next w:val="Encabezado"/>
    <w:uiPriority w:val="99"/>
    <w:unhideWhenUsed/>
    <w:rsid w:val="001B3C5D"/>
    <w:pPr>
      <w:tabs>
        <w:tab w:val="center" w:pos="4419"/>
        <w:tab w:val="right" w:pos="8838"/>
      </w:tabs>
      <w:spacing w:after="0" w:line="240" w:lineRule="auto"/>
    </w:pPr>
    <w:rPr>
      <w:kern w:val="2"/>
      <w:sz w:val="24"/>
      <w:szCs w:val="24"/>
      <w14:ligatures w14:val="standardContextual"/>
    </w:rPr>
  </w:style>
  <w:style w:type="paragraph" w:customStyle="1" w:styleId="Piedepgina1">
    <w:name w:val="Pie de página1"/>
    <w:basedOn w:val="Normal"/>
    <w:next w:val="Piedepgina"/>
    <w:uiPriority w:val="99"/>
    <w:unhideWhenUsed/>
    <w:rsid w:val="001B3C5D"/>
    <w:pPr>
      <w:tabs>
        <w:tab w:val="center" w:pos="4419"/>
        <w:tab w:val="right" w:pos="8838"/>
      </w:tabs>
      <w:spacing w:after="0" w:line="240" w:lineRule="auto"/>
    </w:pPr>
    <w:rPr>
      <w:kern w:val="2"/>
      <w:sz w:val="24"/>
      <w:szCs w:val="24"/>
      <w14:ligatures w14:val="standardContextual"/>
    </w:rPr>
  </w:style>
  <w:style w:type="paragraph" w:customStyle="1" w:styleId="fn1">
    <w:name w:val="fn1"/>
    <w:basedOn w:val="Normal"/>
    <w:next w:val="Textonotapie"/>
    <w:uiPriority w:val="99"/>
    <w:unhideWhenUsed/>
    <w:qFormat/>
    <w:rsid w:val="001B3C5D"/>
    <w:pPr>
      <w:spacing w:after="0" w:line="240" w:lineRule="auto"/>
    </w:pPr>
    <w:rPr>
      <w:sz w:val="20"/>
      <w:szCs w:val="20"/>
      <w:lang w:val="es-MX"/>
    </w:rPr>
  </w:style>
  <w:style w:type="table" w:customStyle="1" w:styleId="Tablaconcuadrcula1">
    <w:name w:val="Tabla con cuadrícula1"/>
    <w:basedOn w:val="Tablanormal"/>
    <w:next w:val="Tablaconcuadrcula"/>
    <w:uiPriority w:val="39"/>
    <w:qFormat/>
    <w:rsid w:val="001B3C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1B3C5D"/>
    <w:pPr>
      <w:spacing w:line="240" w:lineRule="exact"/>
    </w:pPr>
    <w:rPr>
      <w:vertAlign w:val="superscript"/>
    </w:rPr>
  </w:style>
  <w:style w:type="table" w:customStyle="1" w:styleId="Tablaconcuadrcula2">
    <w:name w:val="Tabla con cuadrícula2"/>
    <w:basedOn w:val="Tablanormal"/>
    <w:next w:val="Tablaconcuadrcula"/>
    <w:uiPriority w:val="39"/>
    <w:qFormat/>
    <w:rsid w:val="001B3C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1">
    <w:name w:val="Encabezado Car1"/>
    <w:basedOn w:val="Fuentedeprrafopredeter"/>
    <w:uiPriority w:val="99"/>
    <w:semiHidden/>
    <w:rsid w:val="001B3C5D"/>
  </w:style>
  <w:style w:type="character" w:customStyle="1" w:styleId="PiedepginaCar1">
    <w:name w:val="Pie de página Car1"/>
    <w:basedOn w:val="Fuentedeprrafopredeter"/>
    <w:uiPriority w:val="99"/>
    <w:semiHidden/>
    <w:rsid w:val="001B3C5D"/>
  </w:style>
  <w:style w:type="table" w:customStyle="1" w:styleId="Tablaconcuadrcula3">
    <w:name w:val="Tabla con cuadrícula3"/>
    <w:basedOn w:val="Tablanormal"/>
    <w:next w:val="Tablaconcuadrcula"/>
    <w:uiPriority w:val="39"/>
    <w:rsid w:val="001B3C5D"/>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1">
    <w:name w:val="Titulo 1"/>
    <w:qFormat/>
    <w:rsid w:val="001B3C5D"/>
    <w:rPr>
      <w:rFonts w:ascii="Geomanist Bold" w:eastAsia="Yu Mincho" w:hAnsi="Geomanist Bold" w:cs="Calibri"/>
      <w:color w:val="002060"/>
      <w:sz w:val="24"/>
      <w:lang w:val="es-ES" w:eastAsia="es-CO"/>
    </w:rPr>
  </w:style>
  <w:style w:type="character" w:styleId="Fuerte">
    <w:name w:val="Strong"/>
    <w:basedOn w:val="Fuentedeprrafopredeter"/>
    <w:uiPriority w:val="22"/>
    <w:qFormat/>
    <w:rsid w:val="001B3C5D"/>
    <w:rPr>
      <w:b/>
      <w:bCs/>
    </w:rPr>
  </w:style>
  <w:style w:type="character" w:styleId="Textodelmarcadordeposicin">
    <w:name w:val="Placeholder Text"/>
    <w:basedOn w:val="Fuentedeprrafopredeter"/>
    <w:uiPriority w:val="99"/>
    <w:semiHidden/>
    <w:rsid w:val="001B3C5D"/>
    <w:rPr>
      <w:color w:val="666666"/>
    </w:rPr>
  </w:style>
  <w:style w:type="paragraph" w:customStyle="1" w:styleId="Sinespaciado1">
    <w:name w:val="Sin espaciado1"/>
    <w:next w:val="Sinespaciado"/>
    <w:uiPriority w:val="1"/>
    <w:qFormat/>
    <w:rsid w:val="001B3C5D"/>
    <w:pPr>
      <w:spacing w:after="0" w:line="240" w:lineRule="auto"/>
    </w:pPr>
    <w:rPr>
      <w:kern w:val="2"/>
      <w:sz w:val="24"/>
      <w:szCs w:val="24"/>
      <w14:ligatures w14:val="standardContextual"/>
    </w:rPr>
  </w:style>
  <w:style w:type="character" w:customStyle="1" w:styleId="Ttulo1Car1">
    <w:name w:val="Título 1 Car1"/>
    <w:basedOn w:val="Fuentedeprrafopredeter"/>
    <w:uiPriority w:val="9"/>
    <w:rsid w:val="001B3C5D"/>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1B3C5D"/>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1B3C5D"/>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1B3C5D"/>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1B3C5D"/>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1B3C5D"/>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1B3C5D"/>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1B3C5D"/>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1B3C5D"/>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1B3C5D"/>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1B3C5D"/>
    <w:rPr>
      <w:rFonts w:eastAsiaTheme="minorEastAsia"/>
      <w:color w:val="5A5A5A" w:themeColor="text1" w:themeTint="A5"/>
      <w:spacing w:val="15"/>
    </w:rPr>
  </w:style>
  <w:style w:type="paragraph" w:styleId="Cita">
    <w:name w:val="Quote"/>
    <w:basedOn w:val="Normal"/>
    <w:next w:val="Normal"/>
    <w:link w:val="CitaCar"/>
    <w:uiPriority w:val="29"/>
    <w:qFormat/>
    <w:rsid w:val="001B3C5D"/>
    <w:pPr>
      <w:spacing w:before="200"/>
      <w:ind w:left="864" w:right="864"/>
      <w:jc w:val="center"/>
    </w:pPr>
    <w:rPr>
      <w:i/>
      <w:iCs/>
      <w:color w:val="404040"/>
    </w:rPr>
  </w:style>
  <w:style w:type="character" w:customStyle="1" w:styleId="CitaCar1">
    <w:name w:val="Cita Car1"/>
    <w:basedOn w:val="Fuentedeprrafopredeter"/>
    <w:uiPriority w:val="29"/>
    <w:rsid w:val="001B3C5D"/>
    <w:rPr>
      <w:i/>
      <w:iCs/>
      <w:color w:val="404040" w:themeColor="text1" w:themeTint="BF"/>
    </w:rPr>
  </w:style>
  <w:style w:type="character" w:styleId="nfasisintenso">
    <w:name w:val="Intense Emphasis"/>
    <w:basedOn w:val="Fuentedeprrafopredeter"/>
    <w:uiPriority w:val="21"/>
    <w:qFormat/>
    <w:rsid w:val="001B3C5D"/>
    <w:rPr>
      <w:i/>
      <w:iCs/>
      <w:color w:val="4472C4" w:themeColor="accent1"/>
    </w:rPr>
  </w:style>
  <w:style w:type="paragraph" w:styleId="Citadestacada">
    <w:name w:val="Intense Quote"/>
    <w:basedOn w:val="Normal"/>
    <w:next w:val="Normal"/>
    <w:link w:val="CitadestacadaCar"/>
    <w:uiPriority w:val="30"/>
    <w:qFormat/>
    <w:rsid w:val="001B3C5D"/>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1B3C5D"/>
    <w:rPr>
      <w:i/>
      <w:iCs/>
      <w:color w:val="4472C4" w:themeColor="accent1"/>
    </w:rPr>
  </w:style>
  <w:style w:type="character" w:styleId="Referenciaintensa">
    <w:name w:val="Intense Reference"/>
    <w:basedOn w:val="Fuentedeprrafopredeter"/>
    <w:uiPriority w:val="32"/>
    <w:qFormat/>
    <w:rsid w:val="001B3C5D"/>
    <w:rPr>
      <w:b/>
      <w:bCs/>
      <w:smallCaps/>
      <w:color w:val="4472C4" w:themeColor="accent1"/>
      <w:spacing w:val="5"/>
    </w:rPr>
  </w:style>
  <w:style w:type="paragraph" w:styleId="Sinespaciado">
    <w:name w:val="No Spacing"/>
    <w:uiPriority w:val="1"/>
    <w:qFormat/>
    <w:rsid w:val="001B3C5D"/>
    <w:pPr>
      <w:spacing w:after="0" w:line="240" w:lineRule="auto"/>
    </w:pPr>
  </w:style>
  <w:style w:type="character" w:styleId="Refdecomentario">
    <w:name w:val="annotation reference"/>
    <w:basedOn w:val="Fuentedeprrafopredeter"/>
    <w:uiPriority w:val="99"/>
    <w:semiHidden/>
    <w:unhideWhenUsed/>
    <w:rsid w:val="00CC182C"/>
    <w:rPr>
      <w:sz w:val="16"/>
      <w:szCs w:val="16"/>
    </w:rPr>
  </w:style>
  <w:style w:type="paragraph" w:styleId="Textocomentario">
    <w:name w:val="annotation text"/>
    <w:basedOn w:val="Normal"/>
    <w:link w:val="TextocomentarioCar"/>
    <w:uiPriority w:val="99"/>
    <w:unhideWhenUsed/>
    <w:rsid w:val="00CC182C"/>
    <w:pPr>
      <w:spacing w:line="240" w:lineRule="auto"/>
    </w:pPr>
    <w:rPr>
      <w:sz w:val="20"/>
      <w:szCs w:val="20"/>
    </w:rPr>
  </w:style>
  <w:style w:type="character" w:customStyle="1" w:styleId="TextocomentarioCar">
    <w:name w:val="Texto comentario Car"/>
    <w:basedOn w:val="Fuentedeprrafopredeter"/>
    <w:link w:val="Textocomentario"/>
    <w:uiPriority w:val="99"/>
    <w:rsid w:val="00CC182C"/>
    <w:rPr>
      <w:sz w:val="20"/>
      <w:szCs w:val="20"/>
    </w:rPr>
  </w:style>
  <w:style w:type="paragraph" w:styleId="Asuntodelcomentario">
    <w:name w:val="annotation subject"/>
    <w:basedOn w:val="Textocomentario"/>
    <w:next w:val="Textocomentario"/>
    <w:link w:val="AsuntodelcomentarioCar"/>
    <w:uiPriority w:val="99"/>
    <w:semiHidden/>
    <w:unhideWhenUsed/>
    <w:rsid w:val="00CC182C"/>
    <w:rPr>
      <w:b/>
      <w:bCs/>
    </w:rPr>
  </w:style>
  <w:style w:type="character" w:customStyle="1" w:styleId="AsuntodelcomentarioCar">
    <w:name w:val="Asunto del comentario Car"/>
    <w:basedOn w:val="TextocomentarioCar"/>
    <w:link w:val="Asuntodelcomentario"/>
    <w:uiPriority w:val="99"/>
    <w:semiHidden/>
    <w:rsid w:val="00CC182C"/>
    <w:rPr>
      <w:b/>
      <w:bCs/>
      <w:sz w:val="20"/>
      <w:szCs w:val="20"/>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85D51"/>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wp-content/uploads/2026/04/ABC-Decreto-0287-de-2026-1.pdf"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johana.medina@lockton.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DB9DF7-1B82-4762-BAA1-D3D33E9847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9FF738AF-1971-45E9-9B42-26B230511F4F}">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26</Pages>
  <Words>8919</Words>
  <Characters>49060</Characters>
  <Application>Microsoft Office Word</Application>
  <DocSecurity>0</DocSecurity>
  <Lines>408</Lines>
  <Paragraphs>115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ANCP</cp:lastModifiedBy>
  <cp:revision>4</cp:revision>
  <cp:lastPrinted>2023-01-10T18:18:00Z</cp:lastPrinted>
  <dcterms:created xsi:type="dcterms:W3CDTF">2026-05-11T14:18:00Z</dcterms:created>
  <dcterms:modified xsi:type="dcterms:W3CDTF">2026-05-11T14:19:00Z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