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51658" w14:textId="77777777" w:rsidR="00453918" w:rsidRPr="00F252D7" w:rsidRDefault="00453918" w:rsidP="00453918">
      <w:pPr>
        <w:spacing w:after="0" w:line="240" w:lineRule="auto"/>
        <w:contextualSpacing/>
        <w:jc w:val="both"/>
        <w:rPr>
          <w:rFonts w:ascii="Verdana" w:eastAsia="Calibri" w:hAnsi="Verdana" w:cs="Arial"/>
          <w:b/>
          <w:noProof/>
          <w:lang w:val="es-ES_tradnl" w:eastAsia="es-ES_tradnl"/>
        </w:rPr>
      </w:pPr>
      <w:r w:rsidRPr="00F252D7">
        <w:rPr>
          <w:rFonts w:ascii="Verdana" w:eastAsia="Calibri" w:hAnsi="Verdana" w:cs="Arial"/>
          <w:b/>
          <w:noProof/>
          <w:lang w:val="es-ES_tradnl" w:eastAsia="es-ES_tradnl"/>
        </w:rPr>
        <w:t xml:space="preserve">PLANEACIÓN CONTRACTUAL – Noción </w:t>
      </w:r>
    </w:p>
    <w:p w14:paraId="58070483" w14:textId="77777777" w:rsidR="00453918" w:rsidRPr="00F252D7" w:rsidRDefault="00453918" w:rsidP="00453918">
      <w:pPr>
        <w:spacing w:after="0" w:line="240" w:lineRule="auto"/>
        <w:contextualSpacing/>
        <w:jc w:val="both"/>
        <w:rPr>
          <w:rFonts w:ascii="Verdana" w:eastAsia="Calibri" w:hAnsi="Verdana" w:cs="Arial"/>
          <w:b/>
          <w:noProof/>
          <w:sz w:val="20"/>
          <w:szCs w:val="20"/>
          <w:lang w:val="es-ES_tradnl" w:eastAsia="es-ES_tradnl"/>
        </w:rPr>
      </w:pPr>
    </w:p>
    <w:p w14:paraId="2044E790" w14:textId="77777777" w:rsidR="00453918" w:rsidRPr="00F252D7" w:rsidRDefault="00453918" w:rsidP="00453918">
      <w:pPr>
        <w:spacing w:after="0" w:line="240" w:lineRule="auto"/>
        <w:contextualSpacing/>
        <w:jc w:val="both"/>
        <w:rPr>
          <w:rFonts w:ascii="Verdana" w:eastAsia="Calibri" w:hAnsi="Verdana" w:cs="Arial"/>
          <w:bCs/>
          <w:sz w:val="20"/>
          <w:szCs w:val="20"/>
          <w:lang w:val="es-ES_tradnl" w:eastAsia="es-MX"/>
        </w:rPr>
      </w:pPr>
      <w:r w:rsidRPr="00F252D7">
        <w:rPr>
          <w:rFonts w:ascii="Verdana" w:eastAsia="Calibri" w:hAnsi="Verdana" w:cs="Arial"/>
          <w:bCs/>
          <w:sz w:val="20"/>
          <w:szCs w:val="20"/>
          <w:lang w:val="es-ES_tradnl"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0E744E37" w14:textId="77777777" w:rsidR="00453918" w:rsidRPr="00F252D7" w:rsidRDefault="00453918" w:rsidP="00453918">
      <w:pPr>
        <w:spacing w:after="0" w:line="240" w:lineRule="auto"/>
        <w:contextualSpacing/>
        <w:jc w:val="both"/>
        <w:rPr>
          <w:rFonts w:ascii="Verdana" w:eastAsia="Times New Roman" w:hAnsi="Verdana" w:cs="Arial"/>
          <w:sz w:val="20"/>
          <w:szCs w:val="20"/>
          <w:lang w:val="es-ES_tradnl" w:eastAsia="es-MX"/>
        </w:rPr>
      </w:pPr>
    </w:p>
    <w:p w14:paraId="1EE951B9" w14:textId="77777777" w:rsidR="00453918" w:rsidRPr="00F252D7" w:rsidRDefault="00453918" w:rsidP="00453918">
      <w:pPr>
        <w:spacing w:after="0" w:line="240" w:lineRule="auto"/>
        <w:contextualSpacing/>
        <w:jc w:val="both"/>
        <w:rPr>
          <w:rFonts w:ascii="Verdana" w:eastAsia="Calibri" w:hAnsi="Verdana" w:cs="Arial"/>
          <w:bCs/>
          <w:sz w:val="20"/>
          <w:szCs w:val="20"/>
          <w:lang w:val="es-MX" w:eastAsia="es-ES_tradnl"/>
        </w:rPr>
      </w:pPr>
      <w:r w:rsidRPr="00F252D7">
        <w:rPr>
          <w:rFonts w:ascii="Verdana" w:eastAsia="Calibri" w:hAnsi="Verdana" w:cs="Arial"/>
          <w:bCs/>
          <w:sz w:val="20"/>
          <w:szCs w:val="20"/>
          <w:lang w:val="es-MX" w:eastAsia="es-ES_tradnl"/>
        </w:rPr>
        <w:t>El Estatuto General de Contratación de la Administración Pública – EGCAP –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p>
    <w:p w14:paraId="77F0F374" w14:textId="77777777" w:rsidR="00453918" w:rsidRPr="00F252D7" w:rsidRDefault="00453918" w:rsidP="00453918">
      <w:pPr>
        <w:spacing w:after="0" w:line="240" w:lineRule="auto"/>
        <w:contextualSpacing/>
        <w:jc w:val="both"/>
        <w:rPr>
          <w:rFonts w:ascii="Verdana" w:eastAsia="Calibri" w:hAnsi="Verdana" w:cs="Arial"/>
          <w:b/>
          <w:noProof/>
          <w:sz w:val="20"/>
          <w:szCs w:val="20"/>
          <w:lang w:val="es-ES_tradnl" w:eastAsia="es-ES_tradnl"/>
        </w:rPr>
      </w:pPr>
    </w:p>
    <w:p w14:paraId="71B8B3C1" w14:textId="77777777" w:rsidR="00453918" w:rsidRPr="00F252D7" w:rsidRDefault="00453918" w:rsidP="00453918">
      <w:pPr>
        <w:spacing w:after="0" w:line="240" w:lineRule="auto"/>
        <w:contextualSpacing/>
        <w:jc w:val="both"/>
        <w:rPr>
          <w:rFonts w:ascii="Verdana" w:eastAsia="Times New Roman" w:hAnsi="Verdana" w:cs="Arial"/>
          <w:b/>
          <w:bCs/>
          <w:lang w:eastAsia="es-ES_tradnl"/>
        </w:rPr>
      </w:pPr>
      <w:r w:rsidRPr="00F252D7">
        <w:rPr>
          <w:rFonts w:ascii="Verdana" w:eastAsia="Times New Roman" w:hAnsi="Verdana" w:cs="Arial"/>
          <w:b/>
          <w:bCs/>
          <w:lang w:eastAsia="es-ES_tradnl"/>
        </w:rPr>
        <w:t>ESTUDIOS PREVIOS – Análisis del sector – Planeación en los procesos de contratación pública</w:t>
      </w:r>
    </w:p>
    <w:p w14:paraId="55D4F4AA" w14:textId="77777777" w:rsidR="00453918" w:rsidRPr="00F252D7" w:rsidRDefault="00453918" w:rsidP="00453918">
      <w:pPr>
        <w:spacing w:after="0" w:line="240" w:lineRule="auto"/>
        <w:contextualSpacing/>
        <w:jc w:val="both"/>
        <w:rPr>
          <w:rFonts w:ascii="Verdana" w:eastAsia="Times New Roman" w:hAnsi="Verdana" w:cs="Arial"/>
          <w:sz w:val="20"/>
          <w:szCs w:val="20"/>
          <w:lang w:eastAsia="es-ES_tradnl"/>
        </w:rPr>
      </w:pPr>
    </w:p>
    <w:p w14:paraId="65BAF9D8" w14:textId="77777777" w:rsidR="00453918" w:rsidRDefault="00453918" w:rsidP="00453918">
      <w:pPr>
        <w:spacing w:after="0" w:line="240" w:lineRule="auto"/>
        <w:contextualSpacing/>
        <w:jc w:val="both"/>
        <w:rPr>
          <w:rFonts w:ascii="Verdana" w:eastAsia="Times New Roman" w:hAnsi="Verdana" w:cs="Arial"/>
          <w:sz w:val="20"/>
          <w:szCs w:val="20"/>
          <w:lang w:val="es-ES_tradnl" w:eastAsia="es-MX"/>
        </w:rPr>
      </w:pPr>
      <w:r w:rsidRPr="00F252D7">
        <w:rPr>
          <w:rFonts w:ascii="Verdana" w:eastAsia="Calibri" w:hAnsi="Verdana" w:cs="Arial"/>
          <w:sz w:val="20"/>
          <w:szCs w:val="20"/>
          <w:lang w:eastAsia="es-ES_tradnl"/>
        </w:rPr>
        <w:t xml:space="preserve">[…] </w:t>
      </w:r>
      <w:r w:rsidRPr="00F252D7">
        <w:rPr>
          <w:rFonts w:ascii="Verdana" w:eastAsia="Times New Roman" w:hAnsi="Verdana" w:cs="Arial"/>
          <w:sz w:val="20"/>
          <w:szCs w:val="20"/>
          <w:lang w:val="es-ES_tradnl" w:eastAsia="es-MX"/>
        </w:rPr>
        <w:t xml:space="preserve">antes de iniciar un procedimiento de selección, la Entidad Estatal podrá determinar con los estudios previos: i) la verdadera necesidad de la celebración del contrato; </w:t>
      </w:r>
      <w:proofErr w:type="spellStart"/>
      <w:r w:rsidRPr="00F252D7">
        <w:rPr>
          <w:rFonts w:ascii="Verdana" w:eastAsia="Times New Roman" w:hAnsi="Verdana" w:cs="Arial"/>
          <w:sz w:val="20"/>
          <w:szCs w:val="20"/>
          <w:lang w:val="es-ES_tradnl" w:eastAsia="es-MX"/>
        </w:rPr>
        <w:t>ii</w:t>
      </w:r>
      <w:proofErr w:type="spellEnd"/>
      <w:r w:rsidRPr="00F252D7">
        <w:rPr>
          <w:rFonts w:ascii="Verdana" w:eastAsia="Times New Roman" w:hAnsi="Verdana" w:cs="Arial"/>
          <w:sz w:val="20"/>
          <w:szCs w:val="20"/>
          <w:lang w:val="es-ES_tradnl" w:eastAsia="es-MX"/>
        </w:rPr>
        <w:t xml:space="preserve">) las modalidades existentes para satisfacer esa necesidad y las razones que justifiquen la modalidad o tipo contractual que se escoja; </w:t>
      </w:r>
      <w:proofErr w:type="spellStart"/>
      <w:r w:rsidRPr="00F252D7">
        <w:rPr>
          <w:rFonts w:ascii="Verdana" w:eastAsia="Times New Roman" w:hAnsi="Verdana" w:cs="Arial"/>
          <w:sz w:val="20"/>
          <w:szCs w:val="20"/>
          <w:lang w:val="es-ES_tradnl" w:eastAsia="es-MX"/>
        </w:rPr>
        <w:t>iii</w:t>
      </w:r>
      <w:proofErr w:type="spellEnd"/>
      <w:r w:rsidRPr="00F252D7">
        <w:rPr>
          <w:rFonts w:ascii="Verdana" w:eastAsia="Times New Roman" w:hAnsi="Verdana" w:cs="Arial"/>
          <w:sz w:val="20"/>
          <w:szCs w:val="20"/>
          <w:lang w:val="es-ES_tradnl" w:eastAsia="es-MX"/>
        </w:rPr>
        <w:t xml:space="preserve">) las calidades, especificaciones, cantidades y demás características que puedan o deban reunir los bienes, las obras o los servicios cuya contratación se haya determinado necesaria, </w:t>
      </w:r>
      <w:proofErr w:type="spellStart"/>
      <w:r w:rsidRPr="00F252D7">
        <w:rPr>
          <w:rFonts w:ascii="Verdana" w:eastAsia="Times New Roman" w:hAnsi="Verdana" w:cs="Arial"/>
          <w:sz w:val="20"/>
          <w:szCs w:val="20"/>
          <w:lang w:val="es-ES_tradnl" w:eastAsia="es-MX"/>
        </w:rPr>
        <w:t>iv</w:t>
      </w:r>
      <w:proofErr w:type="spellEnd"/>
      <w:r w:rsidRPr="00F252D7">
        <w:rPr>
          <w:rFonts w:ascii="Verdana" w:eastAsia="Times New Roman" w:hAnsi="Verdana" w:cs="Arial"/>
          <w:sz w:val="20"/>
          <w:szCs w:val="20"/>
          <w:lang w:val="es-ES_tradnl" w:eastAsia="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F252D7">
        <w:rPr>
          <w:rFonts w:ascii="Verdana" w:eastAsia="Times New Roman" w:hAnsi="Verdana" w:cs="Arial"/>
          <w:sz w:val="20"/>
          <w:szCs w:val="20"/>
          <w:lang w:val="es-ES_tradnl" w:eastAsia="es-MX"/>
        </w:rPr>
        <w:t>vii</w:t>
      </w:r>
      <w:proofErr w:type="spellEnd"/>
      <w:r w:rsidRPr="00F252D7">
        <w:rPr>
          <w:rFonts w:ascii="Verdana" w:eastAsia="Times New Roman" w:hAnsi="Verdana" w:cs="Arial"/>
          <w:sz w:val="20"/>
          <w:szCs w:val="20"/>
          <w:lang w:val="es-ES_tradnl" w:eastAsia="es-MX"/>
        </w:rPr>
        <w:t xml:space="preserve">) los procedimientos, trámites y requisitos que deban satisfacerse, reunirse u obtenerse para llevar a cabo la selección del respectivo contratista y la celebración del contrato que se pretenda celebrar. La consideración de todos estos aspectos </w:t>
      </w:r>
      <w:r w:rsidRPr="00F252D7">
        <w:rPr>
          <w:rFonts w:ascii="Verdana" w:eastAsia="Calibri" w:hAnsi="Verdana" w:cs="Arial"/>
          <w:bCs/>
          <w:sz w:val="20"/>
          <w:szCs w:val="20"/>
          <w:lang w:val="es-ES_tradnl" w:eastAsia="es-MX"/>
        </w:rPr>
        <w:t xml:space="preserve">permite que los contratos resultantes de la planeación cuenten con el sustento técnico, económico y jurídico que incidirá </w:t>
      </w:r>
      <w:r w:rsidRPr="00F252D7">
        <w:rPr>
          <w:rFonts w:ascii="Verdana" w:eastAsia="Times New Roman" w:hAnsi="Verdana" w:cs="Arial"/>
          <w:sz w:val="20"/>
          <w:szCs w:val="20"/>
          <w:lang w:val="es-ES_tradnl" w:eastAsia="es-MX"/>
        </w:rPr>
        <w:t>en una adecuada ejecución.</w:t>
      </w:r>
    </w:p>
    <w:p w14:paraId="510FB660" w14:textId="77777777" w:rsidR="00453918" w:rsidRDefault="00453918" w:rsidP="00453918">
      <w:pPr>
        <w:spacing w:after="0" w:line="240" w:lineRule="auto"/>
        <w:contextualSpacing/>
        <w:jc w:val="both"/>
        <w:rPr>
          <w:rFonts w:ascii="Verdana" w:eastAsia="Times New Roman" w:hAnsi="Verdana" w:cs="Arial"/>
          <w:sz w:val="20"/>
          <w:szCs w:val="20"/>
          <w:lang w:val="es-ES_tradnl" w:eastAsia="es-MX"/>
        </w:rPr>
      </w:pPr>
    </w:p>
    <w:p w14:paraId="62D451B9" w14:textId="77777777" w:rsidR="00453918" w:rsidRPr="006D4F5F" w:rsidRDefault="00453918" w:rsidP="00453918">
      <w:pPr>
        <w:spacing w:after="0" w:line="240" w:lineRule="auto"/>
        <w:contextualSpacing/>
        <w:rPr>
          <w:rFonts w:ascii="Verdana" w:eastAsia="Times New Roman" w:hAnsi="Verdana" w:cs="Arial"/>
          <w:b/>
          <w:bCs/>
          <w:lang w:eastAsia="es-ES_tradnl"/>
        </w:rPr>
      </w:pPr>
      <w:r w:rsidRPr="006D4F5F">
        <w:rPr>
          <w:rFonts w:ascii="Verdana" w:eastAsia="Times New Roman" w:hAnsi="Verdana" w:cs="Arial"/>
          <w:b/>
          <w:bCs/>
          <w:lang w:eastAsia="es-ES_tradnl"/>
        </w:rPr>
        <w:t>ESTUDIOS PREVIOS – Estudio del mercado</w:t>
      </w:r>
    </w:p>
    <w:p w14:paraId="064FFFAD" w14:textId="77777777" w:rsidR="00453918" w:rsidRPr="006D4F5F" w:rsidRDefault="00453918" w:rsidP="00453918">
      <w:pPr>
        <w:spacing w:after="0" w:line="240" w:lineRule="auto"/>
        <w:contextualSpacing/>
        <w:jc w:val="both"/>
        <w:rPr>
          <w:rFonts w:ascii="Verdana" w:eastAsia="Calibri" w:hAnsi="Verdana" w:cs="Arial"/>
          <w:sz w:val="20"/>
          <w:szCs w:val="20"/>
          <w:lang w:val="es-ES" w:eastAsia="es-ES_tradnl"/>
        </w:rPr>
      </w:pPr>
    </w:p>
    <w:p w14:paraId="46103EAE" w14:textId="77777777" w:rsidR="00453918" w:rsidRPr="006D4F5F" w:rsidRDefault="00453918" w:rsidP="00453918">
      <w:pPr>
        <w:spacing w:after="0" w:line="240" w:lineRule="auto"/>
        <w:contextualSpacing/>
        <w:jc w:val="both"/>
        <w:rPr>
          <w:rFonts w:ascii="Verdana" w:eastAsia="Calibri" w:hAnsi="Verdana" w:cs="Arial"/>
          <w:sz w:val="20"/>
          <w:szCs w:val="20"/>
          <w:lang w:val="es-ES" w:eastAsia="es-ES_tradnl"/>
        </w:rPr>
      </w:pPr>
      <w:r w:rsidRPr="006D4F5F">
        <w:rPr>
          <w:rFonts w:ascii="Verdana" w:eastAsia="Calibri" w:hAnsi="Verdana" w:cs="Arial"/>
          <w:sz w:val="20"/>
          <w:szCs w:val="20"/>
          <w:lang w:val="es-ES" w:eastAsia="es-ES_tradnl"/>
        </w:rPr>
        <w:t xml:space="preserve">Por último, el </w:t>
      </w:r>
      <w:r w:rsidRPr="006D4F5F">
        <w:rPr>
          <w:rFonts w:ascii="Verdana" w:eastAsia="Calibri" w:hAnsi="Verdana" w:cs="Arial"/>
          <w:i/>
          <w:iCs/>
          <w:sz w:val="20"/>
          <w:szCs w:val="20"/>
          <w:lang w:val="es-ES" w:eastAsia="es-ES_tradnl"/>
        </w:rPr>
        <w:t xml:space="preserve">estudio del mercado, </w:t>
      </w:r>
      <w:r w:rsidRPr="006D4F5F">
        <w:rPr>
          <w:rFonts w:ascii="Verdana" w:eastAsia="Calibri" w:hAnsi="Verdana" w:cs="Arial"/>
          <w:sz w:val="20"/>
          <w:szCs w:val="20"/>
          <w:lang w:val="es-ES" w:eastAsia="es-ES_tradnl"/>
        </w:rPr>
        <w:t xml:space="preserve">al cual hace referencia en su consulta, permite comprender la dinámica de los precios y establecer el presupuesto oficial de la contratación, el cual comprende la realización de un análisis de los diferentes precios de los bienes o servicios a contratar que se registran en el mercado, los cuales pueden </w:t>
      </w:r>
      <w:r w:rsidRPr="006D4F5F">
        <w:rPr>
          <w:rFonts w:ascii="Verdana" w:eastAsia="Calibri" w:hAnsi="Verdana" w:cs="Arial"/>
          <w:sz w:val="20"/>
          <w:szCs w:val="20"/>
          <w:lang w:val="es-ES" w:eastAsia="es-ES_tradnl"/>
        </w:rPr>
        <w:lastRenderedPageBreak/>
        <w:t xml:space="preserve">consultarse a través de mecanismos como la solicitud de cotizaciones, la consulta de bases de datos especializadas y el análisis de precios históricos. Este estudio de mercado debe responder claramente cuáles son las dinámicas de precio y, de esta manera, establecer el presupuesto oficial del proceso de contratación. </w:t>
      </w:r>
    </w:p>
    <w:p w14:paraId="784160D7" w14:textId="77777777" w:rsidR="00453918" w:rsidRPr="006D4F5F" w:rsidRDefault="00453918" w:rsidP="00453918">
      <w:pPr>
        <w:spacing w:after="0" w:line="240" w:lineRule="auto"/>
        <w:contextualSpacing/>
        <w:jc w:val="both"/>
        <w:rPr>
          <w:rFonts w:ascii="Verdana" w:eastAsia="Calibri" w:hAnsi="Verdana" w:cs="Arial"/>
          <w:sz w:val="20"/>
          <w:szCs w:val="20"/>
          <w:lang w:val="es-ES" w:eastAsia="es-ES_tradnl"/>
        </w:rPr>
      </w:pPr>
    </w:p>
    <w:p w14:paraId="7F2D0AD1" w14:textId="77777777" w:rsidR="00453918" w:rsidRDefault="00453918" w:rsidP="00453918">
      <w:pPr>
        <w:spacing w:after="0" w:line="240" w:lineRule="auto"/>
        <w:contextualSpacing/>
        <w:jc w:val="both"/>
        <w:rPr>
          <w:rFonts w:ascii="Verdana" w:eastAsia="Calibri" w:hAnsi="Verdana" w:cs="Arial"/>
          <w:sz w:val="20"/>
          <w:szCs w:val="20"/>
          <w:lang w:val="es-ES" w:eastAsia="es-ES_tradnl"/>
        </w:rPr>
      </w:pPr>
      <w:r w:rsidRPr="006D4F5F">
        <w:rPr>
          <w:rFonts w:ascii="Verdana" w:eastAsia="Calibri" w:hAnsi="Verdana" w:cs="Arial"/>
          <w:sz w:val="20"/>
          <w:szCs w:val="20"/>
          <w:lang w:val="es-ES" w:eastAsia="es-ES_tradnl"/>
        </w:rPr>
        <w:t xml:space="preserve">En relación con la </w:t>
      </w:r>
      <w:r w:rsidRPr="006D4F5F">
        <w:rPr>
          <w:rFonts w:ascii="Verdana" w:eastAsia="Calibri" w:hAnsi="Verdana" w:cs="Arial"/>
          <w:i/>
          <w:iCs/>
          <w:sz w:val="20"/>
          <w:szCs w:val="20"/>
          <w:lang w:val="es-ES" w:eastAsia="es-ES_tradnl"/>
        </w:rPr>
        <w:t>revisión de precios</w:t>
      </w:r>
      <w:r w:rsidRPr="006D4F5F">
        <w:rPr>
          <w:rFonts w:ascii="Verdana" w:eastAsia="Calibri" w:hAnsi="Verdana" w:cs="Arial"/>
          <w:sz w:val="20"/>
          <w:szCs w:val="20"/>
          <w:lang w:val="es-ES" w:eastAsia="es-ES_tradnl"/>
        </w:rPr>
        <w:t xml:space="preserve"> por solicitud de cotizaciones, la Guía recomienda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 como, por ejemplo, especificaciones técnicas del bien o servicio a contratar, plazo del contrato, así como toda aquella información relevante que incida en el precio del bien o servicio. Así mismo, se indica que, al recibir las cotizaciones, debe verificarse la ocurrencia de circunstancias que eventualmente pueden distorsionar los precios del mercado, como ofertas especiales de almacenes de cadena, fenómenos de escasez o abundancia del producto, entre otros aspectos. </w:t>
      </w:r>
    </w:p>
    <w:p w14:paraId="7E04F7B9" w14:textId="77777777" w:rsidR="00453918" w:rsidRPr="00F252D7" w:rsidRDefault="00453918" w:rsidP="00453918">
      <w:pPr>
        <w:spacing w:after="0" w:line="240" w:lineRule="auto"/>
        <w:contextualSpacing/>
        <w:jc w:val="both"/>
        <w:rPr>
          <w:rFonts w:ascii="Verdana" w:eastAsia="Calibri" w:hAnsi="Verdana" w:cs="Arial"/>
          <w:b/>
          <w:noProof/>
          <w:sz w:val="20"/>
          <w:szCs w:val="20"/>
          <w:lang w:val="es-ES_tradnl" w:eastAsia="es-ES_tradnl"/>
        </w:rPr>
      </w:pPr>
    </w:p>
    <w:p w14:paraId="1FA06188" w14:textId="77777777" w:rsidR="00453918" w:rsidRPr="00F6440A" w:rsidRDefault="00453918" w:rsidP="00453918">
      <w:pPr>
        <w:spacing w:after="0" w:line="240" w:lineRule="auto"/>
        <w:contextualSpacing/>
        <w:jc w:val="both"/>
        <w:rPr>
          <w:rFonts w:ascii="Verdana" w:eastAsia="Times New Roman" w:hAnsi="Verdana" w:cs="Arial"/>
          <w:b/>
          <w:bCs/>
          <w:lang w:eastAsia="es-ES_tradnl"/>
        </w:rPr>
      </w:pPr>
      <w:r w:rsidRPr="00F6440A">
        <w:rPr>
          <w:rFonts w:ascii="Verdana" w:eastAsia="Times New Roman" w:hAnsi="Verdana" w:cs="Arial"/>
          <w:b/>
          <w:bCs/>
          <w:lang w:eastAsia="es-ES_tradnl"/>
        </w:rPr>
        <w:t>ESTUDIOS PREVIOS – Metodologías – Cotizaciones – Autonomía</w:t>
      </w:r>
    </w:p>
    <w:p w14:paraId="66CA527B" w14:textId="77777777" w:rsidR="00453918" w:rsidRPr="00867100" w:rsidRDefault="00453918" w:rsidP="00453918">
      <w:pPr>
        <w:spacing w:after="0" w:line="240" w:lineRule="auto"/>
        <w:jc w:val="both"/>
        <w:rPr>
          <w:rFonts w:ascii="Verdana" w:eastAsia="Times New Roman" w:hAnsi="Verdana" w:cs="Arial"/>
          <w:noProof/>
          <w:highlight w:val="yellow"/>
          <w:lang w:val="es-ES_tradnl" w:eastAsia="es-ES_tradnl"/>
        </w:rPr>
      </w:pPr>
    </w:p>
    <w:p w14:paraId="7ACB1BBC" w14:textId="77777777" w:rsidR="00453918" w:rsidRDefault="00453918" w:rsidP="00453918">
      <w:pPr>
        <w:spacing w:after="0" w:line="240" w:lineRule="auto"/>
        <w:jc w:val="both"/>
        <w:rPr>
          <w:rFonts w:ascii="Verdana" w:eastAsia="Times New Roman" w:hAnsi="Verdana" w:cs="Arial"/>
          <w:sz w:val="20"/>
          <w:szCs w:val="20"/>
          <w:lang w:val="es-ES_tradnl" w:eastAsia="es-MX"/>
        </w:rPr>
      </w:pPr>
      <w:r w:rsidRPr="00275981">
        <w:rPr>
          <w:rFonts w:ascii="Verdana" w:eastAsia="Times New Roman" w:hAnsi="Verdana" w:cs="Arial"/>
          <w:sz w:val="20"/>
          <w:szCs w:val="20"/>
          <w:lang w:val="es-ES_tradnl" w:eastAsia="es-MX"/>
        </w:rPr>
        <w:t>En primer lugar, 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w:t>
      </w:r>
    </w:p>
    <w:p w14:paraId="5CF40071" w14:textId="77777777" w:rsidR="00453918" w:rsidRPr="00275981" w:rsidRDefault="00453918" w:rsidP="00453918">
      <w:pPr>
        <w:spacing w:after="0" w:line="240" w:lineRule="auto"/>
        <w:jc w:val="both"/>
        <w:rPr>
          <w:rFonts w:ascii="Verdana" w:eastAsia="Times New Roman" w:hAnsi="Verdana" w:cs="Arial"/>
          <w:sz w:val="20"/>
          <w:szCs w:val="20"/>
          <w:lang w:val="es-ES_tradnl" w:eastAsia="es-MX"/>
        </w:rPr>
      </w:pPr>
    </w:p>
    <w:p w14:paraId="17C1E6B7" w14:textId="77777777" w:rsidR="00453918" w:rsidRPr="00F252D7" w:rsidRDefault="00453918" w:rsidP="00453918">
      <w:pPr>
        <w:spacing w:after="0" w:line="240" w:lineRule="auto"/>
        <w:jc w:val="both"/>
        <w:rPr>
          <w:rFonts w:ascii="Verdana" w:eastAsia="Times New Roman" w:hAnsi="Verdana" w:cs="Arial"/>
          <w:noProof/>
          <w:lang w:val="es-ES" w:eastAsia="es-ES_tradnl"/>
        </w:rPr>
      </w:pPr>
      <w:r w:rsidRPr="00275981">
        <w:rPr>
          <w:rFonts w:ascii="Verdana" w:eastAsia="Times New Roman" w:hAnsi="Verdana" w:cs="Arial"/>
          <w:sz w:val="20"/>
          <w:szCs w:val="20"/>
          <w:lang w:val="es-ES_tradnl" w:eastAsia="es-MX"/>
        </w:rPr>
        <w:t>De acuerdo con la “Guía para la Elaboración de Estudios del Sector” expedida por Agencia Nacional de Contratación Pública – Colombia Compra Eficiente, allí se establecen varias metodologías, como las cotizaciones, que son un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no obstante, las Entidades Públicas gozan de autonomía razonada, a la hora de aplicar una metodología para elaborar el Estudio del Sector, para lo cual dentro de su Manual de Contratación establecerán aquella que consideren pertinente,  siempre y cuando acaten la Ley 1150 de 2007 y el Decreto 1082 de 2015 frente a esta materia.</w:t>
      </w:r>
    </w:p>
    <w:p w14:paraId="3608C679" w14:textId="77777777" w:rsidR="00453918" w:rsidRDefault="00453918" w:rsidP="007464FA">
      <w:pPr>
        <w:spacing w:after="0" w:line="240" w:lineRule="auto"/>
        <w:jc w:val="both"/>
        <w:rPr>
          <w:rFonts w:ascii="Verdana" w:hAnsi="Verdana"/>
        </w:rPr>
      </w:pPr>
    </w:p>
    <w:p w14:paraId="553A3A14" w14:textId="77777777" w:rsidR="00453918" w:rsidRDefault="00453918" w:rsidP="007464FA">
      <w:pPr>
        <w:spacing w:after="0" w:line="240" w:lineRule="auto"/>
        <w:jc w:val="both"/>
        <w:rPr>
          <w:rFonts w:ascii="Verdana" w:hAnsi="Verdana"/>
        </w:rPr>
      </w:pPr>
    </w:p>
    <w:p w14:paraId="7AD996B7" w14:textId="77777777" w:rsidR="00453918" w:rsidRDefault="00453918" w:rsidP="007464FA">
      <w:pPr>
        <w:spacing w:after="0" w:line="240" w:lineRule="auto"/>
        <w:jc w:val="both"/>
        <w:rPr>
          <w:rFonts w:ascii="Verdana" w:hAnsi="Verdana"/>
        </w:rPr>
      </w:pPr>
    </w:p>
    <w:p w14:paraId="79456668" w14:textId="77777777" w:rsidR="00453918" w:rsidRDefault="00453918" w:rsidP="007464FA">
      <w:pPr>
        <w:spacing w:after="0" w:line="240" w:lineRule="auto"/>
        <w:jc w:val="both"/>
        <w:rPr>
          <w:rFonts w:ascii="Verdana" w:hAnsi="Verdana"/>
        </w:rPr>
      </w:pPr>
    </w:p>
    <w:p w14:paraId="2996666D" w14:textId="77777777" w:rsidR="00453918" w:rsidRDefault="00453918" w:rsidP="007464FA">
      <w:pPr>
        <w:spacing w:after="0" w:line="240" w:lineRule="auto"/>
        <w:jc w:val="both"/>
        <w:rPr>
          <w:rFonts w:ascii="Verdana" w:hAnsi="Verdana"/>
        </w:rPr>
      </w:pPr>
    </w:p>
    <w:p w14:paraId="0F27DC23" w14:textId="77777777" w:rsidR="00453918" w:rsidRDefault="00453918" w:rsidP="007464FA">
      <w:pPr>
        <w:spacing w:after="0" w:line="240" w:lineRule="auto"/>
        <w:jc w:val="both"/>
        <w:rPr>
          <w:rFonts w:ascii="Verdana" w:hAnsi="Verdana"/>
        </w:rPr>
      </w:pPr>
    </w:p>
    <w:p w14:paraId="131465C7" w14:textId="77777777" w:rsidR="00453918" w:rsidRDefault="00453918" w:rsidP="007464FA">
      <w:pPr>
        <w:spacing w:after="0" w:line="240" w:lineRule="auto"/>
        <w:jc w:val="both"/>
        <w:rPr>
          <w:rFonts w:ascii="Verdana" w:hAnsi="Verdana"/>
        </w:rPr>
      </w:pPr>
    </w:p>
    <w:p w14:paraId="2D8A59C4" w14:textId="77777777" w:rsidR="00453918" w:rsidRDefault="00453918" w:rsidP="007464FA">
      <w:pPr>
        <w:spacing w:after="0" w:line="240" w:lineRule="auto"/>
        <w:jc w:val="both"/>
        <w:rPr>
          <w:rFonts w:ascii="Verdana" w:hAnsi="Verdana"/>
        </w:rPr>
      </w:pPr>
    </w:p>
    <w:p w14:paraId="08BD3E5B" w14:textId="77777777" w:rsidR="00453918" w:rsidRDefault="00453918" w:rsidP="007464FA">
      <w:pPr>
        <w:spacing w:after="0" w:line="240" w:lineRule="auto"/>
        <w:jc w:val="both"/>
        <w:rPr>
          <w:rFonts w:ascii="Verdana" w:hAnsi="Verdana"/>
        </w:rPr>
      </w:pPr>
    </w:p>
    <w:p w14:paraId="520EB8B7" w14:textId="5313197E" w:rsidR="0075745A" w:rsidRPr="007464FA" w:rsidRDefault="00F92F26" w:rsidP="007464FA">
      <w:pPr>
        <w:spacing w:after="0" w:line="240" w:lineRule="auto"/>
        <w:jc w:val="both"/>
        <w:rPr>
          <w:rFonts w:ascii="Verdana" w:hAnsi="Verdana"/>
        </w:rPr>
      </w:pPr>
      <w:r>
        <w:rPr>
          <w:rFonts w:ascii="Verdana" w:eastAsia="Calibri" w:hAnsi="Verdana" w:cs="Arial"/>
          <w:noProof/>
          <w:lang w:eastAsia="es-ES"/>
        </w:rPr>
        <w:lastRenderedPageBreak/>
        <w:drawing>
          <wp:anchor distT="0" distB="0" distL="114300" distR="114300" simplePos="0" relativeHeight="251658240" behindDoc="0" locked="0" layoutInCell="1" allowOverlap="1" wp14:anchorId="45F9C917" wp14:editId="203625F6">
            <wp:simplePos x="0" y="0"/>
            <wp:positionH relativeFrom="margin">
              <wp:posOffset>2891155</wp:posOffset>
            </wp:positionH>
            <wp:positionV relativeFrom="margin">
              <wp:posOffset>116205</wp:posOffset>
            </wp:positionV>
            <wp:extent cx="2955290" cy="876300"/>
            <wp:effectExtent l="0" t="0" r="3810" b="0"/>
            <wp:wrapSquare wrapText="bothSides"/>
            <wp:docPr id="7651790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179087" name="Imagen 765179087"/>
                    <pic:cNvPicPr/>
                  </pic:nvPicPr>
                  <pic:blipFill>
                    <a:blip r:embed="rId11">
                      <a:extLst>
                        <a:ext uri="{28A0092B-C50C-407E-A947-70E740481C1C}">
                          <a14:useLocalDpi xmlns:a14="http://schemas.microsoft.com/office/drawing/2010/main" val="0"/>
                        </a:ext>
                      </a:extLst>
                    </a:blip>
                    <a:stretch>
                      <a:fillRect/>
                    </a:stretch>
                  </pic:blipFill>
                  <pic:spPr>
                    <a:xfrm>
                      <a:off x="0" y="0"/>
                      <a:ext cx="2955290" cy="876300"/>
                    </a:xfrm>
                    <a:prstGeom prst="rect">
                      <a:avLst/>
                    </a:prstGeom>
                  </pic:spPr>
                </pic:pic>
              </a:graphicData>
            </a:graphic>
            <wp14:sizeRelH relativeFrom="margin">
              <wp14:pctWidth>0</wp14:pctWidth>
            </wp14:sizeRelH>
            <wp14:sizeRelV relativeFrom="margin">
              <wp14:pctHeight>0</wp14:pctHeight>
            </wp14:sizeRelV>
          </wp:anchor>
        </w:drawing>
      </w:r>
      <w:r w:rsidR="0075745A" w:rsidRPr="007464FA">
        <w:rPr>
          <w:rFonts w:ascii="Verdana" w:hAnsi="Verdana"/>
        </w:rPr>
        <w:t xml:space="preserve">Bogotá D.C., </w:t>
      </w:r>
      <w:r>
        <w:rPr>
          <w:rFonts w:ascii="Verdana" w:hAnsi="Verdana"/>
        </w:rPr>
        <w:t>28 de mayo de 2026</w:t>
      </w:r>
    </w:p>
    <w:p w14:paraId="19D11D93" w14:textId="45471590" w:rsidR="0075745A" w:rsidRPr="007464FA" w:rsidRDefault="0075745A" w:rsidP="007464FA">
      <w:pPr>
        <w:spacing w:after="0" w:line="240" w:lineRule="auto"/>
        <w:jc w:val="both"/>
        <w:rPr>
          <w:rFonts w:ascii="Verdana" w:eastAsia="Calibri" w:hAnsi="Verdana" w:cs="Arial"/>
          <w:lang w:eastAsia="es-ES"/>
        </w:rPr>
      </w:pPr>
      <w:bookmarkStart w:id="0" w:name="_Hlk197462763"/>
      <w:bookmarkStart w:id="1" w:name="_Hlk197529996"/>
    </w:p>
    <w:p w14:paraId="2BEAB1BE" w14:textId="77777777" w:rsidR="00F92F26" w:rsidRDefault="00F92F26" w:rsidP="007464FA">
      <w:pPr>
        <w:spacing w:after="0" w:line="240" w:lineRule="auto"/>
        <w:jc w:val="both"/>
        <w:rPr>
          <w:rFonts w:ascii="Verdana" w:eastAsia="Calibri" w:hAnsi="Verdana" w:cs="Arial"/>
          <w:lang w:eastAsia="es-ES"/>
        </w:rPr>
      </w:pPr>
    </w:p>
    <w:p w14:paraId="69AADA54" w14:textId="77777777" w:rsidR="00F92F26" w:rsidRPr="007464FA" w:rsidRDefault="00F92F26" w:rsidP="007464FA">
      <w:pPr>
        <w:spacing w:after="0" w:line="240" w:lineRule="auto"/>
        <w:jc w:val="both"/>
        <w:rPr>
          <w:rFonts w:ascii="Verdana" w:eastAsia="Calibri" w:hAnsi="Verdana" w:cs="Arial"/>
          <w:lang w:eastAsia="es-ES"/>
        </w:rPr>
      </w:pPr>
    </w:p>
    <w:p w14:paraId="68D5C259" w14:textId="77777777" w:rsidR="0075745A" w:rsidRPr="004661B8" w:rsidRDefault="0075745A" w:rsidP="007464FA">
      <w:pPr>
        <w:spacing w:after="0" w:line="240" w:lineRule="auto"/>
        <w:jc w:val="both"/>
        <w:rPr>
          <w:rFonts w:ascii="Verdana" w:eastAsia="Calibri" w:hAnsi="Verdana" w:cs="Arial"/>
          <w:lang w:eastAsia="es-ES"/>
        </w:rPr>
      </w:pPr>
      <w:r w:rsidRPr="004661B8">
        <w:rPr>
          <w:rFonts w:ascii="Verdana" w:eastAsia="Calibri" w:hAnsi="Verdana" w:cs="Arial"/>
          <w:lang w:eastAsia="es-ES"/>
        </w:rPr>
        <w:t>Señor</w:t>
      </w:r>
    </w:p>
    <w:p w14:paraId="6B8DC12C" w14:textId="77777777" w:rsidR="0075745A" w:rsidRPr="004661B8" w:rsidRDefault="0075745A" w:rsidP="007464FA">
      <w:pPr>
        <w:spacing w:after="0" w:line="240" w:lineRule="auto"/>
        <w:jc w:val="both"/>
        <w:rPr>
          <w:rFonts w:ascii="Verdana" w:eastAsia="Calibri" w:hAnsi="Verdana" w:cs="Arial"/>
          <w:lang w:eastAsia="es-ES"/>
        </w:rPr>
      </w:pPr>
      <w:r w:rsidRPr="004661B8">
        <w:rPr>
          <w:rFonts w:ascii="Verdana" w:eastAsia="Calibri" w:hAnsi="Verdana" w:cs="Arial"/>
          <w:b/>
          <w:lang w:eastAsia="es-ES_tradnl"/>
        </w:rPr>
        <w:t xml:space="preserve">Carlos Hernando Moreno Salas </w:t>
      </w:r>
    </w:p>
    <w:p w14:paraId="3838A3F4" w14:textId="77777777" w:rsidR="0075745A" w:rsidRPr="004661B8" w:rsidRDefault="0075745A" w:rsidP="007464FA">
      <w:pPr>
        <w:spacing w:after="0" w:line="240" w:lineRule="auto"/>
        <w:jc w:val="both"/>
        <w:rPr>
          <w:rFonts w:ascii="Verdana" w:eastAsia="Calibri" w:hAnsi="Verdana" w:cs="Arial"/>
          <w:b/>
          <w:highlight w:val="yellow"/>
          <w:lang w:eastAsia="es-ES_tradnl"/>
        </w:rPr>
      </w:pPr>
      <w:hyperlink r:id="rId12" w:history="1">
        <w:r w:rsidRPr="004661B8">
          <w:rPr>
            <w:rStyle w:val="Hipervnculo"/>
            <w:rFonts w:ascii="Verdana" w:eastAsia="Calibri" w:hAnsi="Verdana" w:cs="Arial"/>
            <w:b/>
            <w:lang w:eastAsia="es-ES_tradnl"/>
          </w:rPr>
          <w:t>smorenocarlos@gmail.com</w:t>
        </w:r>
      </w:hyperlink>
      <w:r w:rsidRPr="004661B8">
        <w:rPr>
          <w:rFonts w:ascii="Verdana" w:eastAsia="Calibri" w:hAnsi="Verdana" w:cs="Arial"/>
          <w:b/>
          <w:lang w:eastAsia="es-ES_tradnl"/>
        </w:rPr>
        <w:t xml:space="preserve"> </w:t>
      </w:r>
    </w:p>
    <w:p w14:paraId="6FF6A1ED" w14:textId="77777777" w:rsidR="0075745A" w:rsidRPr="004661B8" w:rsidRDefault="0075745A" w:rsidP="007464FA">
      <w:pPr>
        <w:spacing w:after="0" w:line="240" w:lineRule="auto"/>
        <w:jc w:val="both"/>
        <w:rPr>
          <w:rFonts w:ascii="Verdana" w:eastAsia="Calibri" w:hAnsi="Verdana" w:cs="Arial"/>
          <w:bCs/>
          <w:lang w:eastAsia="es-ES_tradnl"/>
        </w:rPr>
      </w:pPr>
      <w:r w:rsidRPr="004661B8">
        <w:rPr>
          <w:rFonts w:ascii="Verdana" w:eastAsia="Calibri" w:hAnsi="Verdana" w:cs="Arial"/>
          <w:bCs/>
          <w:lang w:eastAsia="es-ES_tradnl"/>
        </w:rPr>
        <w:t>Monterrey, Casanare</w:t>
      </w:r>
    </w:p>
    <w:p w14:paraId="63AEFC94" w14:textId="77777777" w:rsidR="0075745A" w:rsidRPr="005912CC" w:rsidRDefault="0075745A" w:rsidP="007464FA">
      <w:pPr>
        <w:spacing w:after="0" w:line="240" w:lineRule="auto"/>
        <w:jc w:val="both"/>
        <w:rPr>
          <w:rFonts w:ascii="Verdana" w:eastAsia="Calibri" w:hAnsi="Verdana" w:cs="Arial"/>
          <w:b/>
          <w:bCs/>
          <w:color w:val="000000"/>
          <w:lang w:val="it-CH" w:eastAsia="es-ES_tradnl"/>
        </w:rPr>
      </w:pPr>
    </w:p>
    <w:p w14:paraId="3FBA2BAA" w14:textId="77777777" w:rsidR="008C69CA" w:rsidRPr="007464FA" w:rsidRDefault="008C69CA" w:rsidP="007464FA">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5745A" w:rsidRPr="007464FA" w14:paraId="52455950" w14:textId="77777777" w:rsidTr="003F1FE9">
        <w:trPr>
          <w:trHeight w:val="162"/>
        </w:trPr>
        <w:tc>
          <w:tcPr>
            <w:tcW w:w="3119" w:type="dxa"/>
          </w:tcPr>
          <w:p w14:paraId="4B1CA0CB" w14:textId="77777777" w:rsidR="0075745A" w:rsidRPr="007464FA" w:rsidRDefault="0075745A" w:rsidP="007464FA">
            <w:pPr>
              <w:jc w:val="both"/>
              <w:rPr>
                <w:rFonts w:ascii="Verdana" w:eastAsia="Calibri" w:hAnsi="Verdana" w:cs="Arial"/>
                <w:b/>
                <w:bCs/>
                <w:color w:val="7030A0"/>
                <w:lang w:val="it-CH" w:eastAsia="es-ES_tradnl"/>
              </w:rPr>
            </w:pPr>
          </w:p>
        </w:tc>
        <w:tc>
          <w:tcPr>
            <w:tcW w:w="5670" w:type="dxa"/>
          </w:tcPr>
          <w:p w14:paraId="24515C39" w14:textId="77777777" w:rsidR="0075745A" w:rsidRPr="007464FA" w:rsidRDefault="0075745A" w:rsidP="007464FA">
            <w:pPr>
              <w:jc w:val="both"/>
              <w:rPr>
                <w:rFonts w:ascii="Verdana" w:eastAsia="Calibri" w:hAnsi="Verdana" w:cs="Arial"/>
                <w:b/>
                <w:bCs/>
                <w:lang w:eastAsia="es-ES"/>
              </w:rPr>
            </w:pPr>
            <w:r w:rsidRPr="007464FA">
              <w:rPr>
                <w:rFonts w:ascii="Verdana" w:eastAsia="Calibri" w:hAnsi="Verdana" w:cs="Arial"/>
                <w:b/>
                <w:bCs/>
                <w:lang w:eastAsia="es-ES"/>
              </w:rPr>
              <w:t>Concepto C- 633 de 2026</w:t>
            </w:r>
          </w:p>
          <w:p w14:paraId="604BAD54" w14:textId="77777777" w:rsidR="0075745A" w:rsidRPr="007464FA" w:rsidRDefault="0075745A" w:rsidP="007464FA">
            <w:pPr>
              <w:jc w:val="both"/>
              <w:rPr>
                <w:rFonts w:ascii="Verdana" w:eastAsia="Calibri" w:hAnsi="Verdana" w:cs="Arial"/>
                <w:b/>
                <w:bCs/>
                <w:color w:val="7030A0"/>
                <w:lang w:eastAsia="es-ES"/>
              </w:rPr>
            </w:pPr>
          </w:p>
        </w:tc>
      </w:tr>
      <w:tr w:rsidR="0075745A" w:rsidRPr="007464FA" w14:paraId="101C0097" w14:textId="77777777" w:rsidTr="003F1FE9">
        <w:trPr>
          <w:trHeight w:val="884"/>
        </w:trPr>
        <w:tc>
          <w:tcPr>
            <w:tcW w:w="3119" w:type="dxa"/>
          </w:tcPr>
          <w:p w14:paraId="49803E2F" w14:textId="77777777" w:rsidR="0075745A" w:rsidRPr="007464FA" w:rsidRDefault="0075745A" w:rsidP="007464FA">
            <w:pPr>
              <w:jc w:val="both"/>
              <w:rPr>
                <w:rFonts w:ascii="Verdana" w:eastAsia="Calibri" w:hAnsi="Verdana" w:cs="Arial"/>
                <w:color w:val="000000"/>
                <w:lang w:eastAsia="es-ES_tradnl"/>
              </w:rPr>
            </w:pPr>
            <w:r w:rsidRPr="007464FA">
              <w:rPr>
                <w:rFonts w:ascii="Verdana" w:eastAsia="Calibri" w:hAnsi="Verdana" w:cs="Arial"/>
                <w:b/>
                <w:color w:val="000000"/>
                <w:lang w:eastAsia="es-ES_tradnl"/>
              </w:rPr>
              <w:t>Temas:</w:t>
            </w:r>
            <w:r w:rsidRPr="007464FA">
              <w:rPr>
                <w:rFonts w:ascii="Verdana" w:eastAsia="Calibri" w:hAnsi="Verdana" w:cs="Arial"/>
                <w:color w:val="000000"/>
                <w:lang w:eastAsia="es-ES_tradnl"/>
              </w:rPr>
              <w:t xml:space="preserve">                   </w:t>
            </w:r>
          </w:p>
        </w:tc>
        <w:tc>
          <w:tcPr>
            <w:tcW w:w="5670" w:type="dxa"/>
          </w:tcPr>
          <w:p w14:paraId="57DE6F08" w14:textId="77777777" w:rsidR="0075745A" w:rsidRPr="007464FA" w:rsidRDefault="0075745A" w:rsidP="007464FA">
            <w:pPr>
              <w:jc w:val="both"/>
              <w:textAlignment w:val="baseline"/>
              <w:rPr>
                <w:rFonts w:ascii="Verdana" w:eastAsia="Times New Roman" w:hAnsi="Verdana" w:cs="Arial"/>
                <w:lang w:eastAsia="es-ES_tradnl"/>
              </w:rPr>
            </w:pPr>
            <w:r w:rsidRPr="007464FA">
              <w:rPr>
                <w:rFonts w:ascii="Verdana" w:eastAsia="Times New Roman" w:hAnsi="Verdana" w:cs="Arial"/>
                <w:lang w:eastAsia="es-ES_tradnl"/>
              </w:rPr>
              <w:t>PLANEACIÓN – Estudios previos / ESTUDIOS PREVIOS – Análisis del sector – Planeación en los procesos de contratación pública /</w:t>
            </w:r>
            <w:r w:rsidRPr="00BB0DA7">
              <w:rPr>
                <w:rFonts w:ascii="Verdana" w:hAnsi="Verdana"/>
              </w:rPr>
              <w:t xml:space="preserve"> </w:t>
            </w:r>
            <w:r w:rsidRPr="007464FA">
              <w:rPr>
                <w:rFonts w:ascii="Verdana" w:eastAsia="Times New Roman" w:hAnsi="Verdana" w:cs="Arial"/>
                <w:lang w:eastAsia="es-ES_tradnl"/>
              </w:rPr>
              <w:t>ESTUDIOS PREVIOS – Estudio del mercado / ESTUDIOS PREVIOS – Metodologías – Cotizaciones – Autonomía</w:t>
            </w:r>
          </w:p>
          <w:p w14:paraId="0B567D92" w14:textId="77777777" w:rsidR="0075745A" w:rsidRPr="007464FA" w:rsidRDefault="0075745A" w:rsidP="00BB0DA7">
            <w:pPr>
              <w:jc w:val="both"/>
              <w:rPr>
                <w:rFonts w:ascii="Verdana" w:eastAsia="Calibri" w:hAnsi="Verdana" w:cs="Arial"/>
                <w:lang w:eastAsia="es-ES"/>
              </w:rPr>
            </w:pPr>
          </w:p>
        </w:tc>
      </w:tr>
      <w:tr w:rsidR="0075745A" w:rsidRPr="007464FA" w14:paraId="2FCD277E" w14:textId="77777777" w:rsidTr="003F1FE9">
        <w:tc>
          <w:tcPr>
            <w:tcW w:w="3119" w:type="dxa"/>
          </w:tcPr>
          <w:p w14:paraId="1D4F5D53" w14:textId="77777777" w:rsidR="0075745A" w:rsidRPr="007464FA" w:rsidRDefault="0075745A" w:rsidP="007464FA">
            <w:pPr>
              <w:jc w:val="both"/>
              <w:rPr>
                <w:rFonts w:ascii="Verdana" w:eastAsia="Calibri" w:hAnsi="Verdana" w:cs="Arial"/>
                <w:b/>
                <w:color w:val="000000" w:themeColor="text1"/>
                <w:lang w:eastAsia="es-ES_tradnl"/>
              </w:rPr>
            </w:pPr>
            <w:r w:rsidRPr="007464FA">
              <w:rPr>
                <w:rFonts w:ascii="Verdana" w:eastAsia="Calibri" w:hAnsi="Verdana" w:cs="Arial"/>
                <w:b/>
                <w:color w:val="000000" w:themeColor="text1"/>
                <w:lang w:eastAsia="es-ES_tradnl"/>
              </w:rPr>
              <w:t>Radicación:</w:t>
            </w:r>
            <w:r w:rsidRPr="007464FA">
              <w:rPr>
                <w:rFonts w:ascii="Verdana" w:eastAsia="Calibri" w:hAnsi="Verdana" w:cs="Arial"/>
                <w:color w:val="000000" w:themeColor="text1"/>
                <w:lang w:eastAsia="es-ES_tradnl"/>
              </w:rPr>
              <w:t xml:space="preserve">               </w:t>
            </w:r>
          </w:p>
        </w:tc>
        <w:tc>
          <w:tcPr>
            <w:tcW w:w="5670" w:type="dxa"/>
          </w:tcPr>
          <w:p w14:paraId="08BC0309" w14:textId="77777777" w:rsidR="0075745A" w:rsidRPr="007464FA" w:rsidRDefault="0075745A" w:rsidP="007464FA">
            <w:pPr>
              <w:jc w:val="both"/>
              <w:rPr>
                <w:rFonts w:ascii="Verdana" w:eastAsia="Calibri" w:hAnsi="Verdana" w:cs="Arial"/>
                <w:color w:val="000000" w:themeColor="text1"/>
                <w:lang w:eastAsia="es-ES_tradnl"/>
              </w:rPr>
            </w:pPr>
            <w:r w:rsidRPr="007464FA">
              <w:rPr>
                <w:rFonts w:ascii="Verdana" w:eastAsia="Calibri" w:hAnsi="Verdana" w:cs="Arial"/>
                <w:color w:val="000000" w:themeColor="text1"/>
                <w:lang w:eastAsia="es-ES_tradnl"/>
              </w:rPr>
              <w:t xml:space="preserve">Respuesta a consulta con radicado </w:t>
            </w:r>
            <w:r w:rsidRPr="007464FA">
              <w:rPr>
                <w:rFonts w:ascii="Verdana" w:hAnsi="Verdana"/>
                <w:color w:val="000000" w:themeColor="text1"/>
              </w:rPr>
              <w:t>1_2026_04_17_005248</w:t>
            </w:r>
          </w:p>
        </w:tc>
      </w:tr>
    </w:tbl>
    <w:p w14:paraId="6C70E197" w14:textId="77777777" w:rsidR="0075745A" w:rsidRPr="007464FA" w:rsidRDefault="0075745A" w:rsidP="00BB0DA7">
      <w:pPr>
        <w:spacing w:after="0" w:line="240" w:lineRule="auto"/>
        <w:jc w:val="both"/>
        <w:rPr>
          <w:rFonts w:ascii="Verdana" w:eastAsia="Calibri" w:hAnsi="Verdana" w:cs="Arial"/>
          <w:lang w:eastAsia="es-ES_tradnl"/>
        </w:rPr>
      </w:pPr>
    </w:p>
    <w:p w14:paraId="418B4F5F" w14:textId="77777777" w:rsidR="0075745A" w:rsidRPr="007464FA" w:rsidRDefault="0075745A" w:rsidP="001340CE">
      <w:pPr>
        <w:spacing w:after="0" w:line="276" w:lineRule="auto"/>
        <w:jc w:val="both"/>
        <w:rPr>
          <w:rFonts w:ascii="Verdana" w:eastAsia="Calibri" w:hAnsi="Verdana" w:cs="Arial"/>
          <w:lang w:eastAsia="es-ES"/>
        </w:rPr>
      </w:pPr>
      <w:r w:rsidRPr="007464FA">
        <w:rPr>
          <w:rFonts w:ascii="Verdana" w:eastAsia="Calibri" w:hAnsi="Verdana" w:cs="Arial"/>
          <w:lang w:eastAsia="es-ES"/>
        </w:rPr>
        <w:t xml:space="preserve">Estimado señor </w:t>
      </w:r>
      <w:r w:rsidRPr="007464FA">
        <w:rPr>
          <w:rFonts w:ascii="Verdana" w:eastAsia="Calibri" w:hAnsi="Verdana" w:cs="Arial"/>
          <w:bCs/>
          <w:lang w:eastAsia="es-ES_tradnl"/>
        </w:rPr>
        <w:t>Moreno</w:t>
      </w:r>
      <w:r w:rsidRPr="007464FA">
        <w:rPr>
          <w:rFonts w:ascii="Verdana" w:eastAsia="Calibri" w:hAnsi="Verdana" w:cs="Arial"/>
          <w:lang w:eastAsia="es-ES"/>
        </w:rPr>
        <w:t xml:space="preserve">: </w:t>
      </w:r>
    </w:p>
    <w:p w14:paraId="1870D08C" w14:textId="77777777" w:rsidR="0075745A" w:rsidRPr="007464FA" w:rsidRDefault="0075745A" w:rsidP="00BB0DA7">
      <w:pPr>
        <w:tabs>
          <w:tab w:val="left" w:pos="3768"/>
        </w:tabs>
        <w:spacing w:after="0" w:line="276" w:lineRule="auto"/>
        <w:jc w:val="both"/>
        <w:rPr>
          <w:rFonts w:ascii="Verdana" w:eastAsia="Calibri" w:hAnsi="Verdana" w:cs="Arial"/>
          <w:lang w:eastAsia="es-ES"/>
        </w:rPr>
      </w:pPr>
    </w:p>
    <w:p w14:paraId="3AFD46F4" w14:textId="77777777" w:rsidR="0075745A" w:rsidRPr="007464FA" w:rsidRDefault="0075745A" w:rsidP="001340CE">
      <w:pPr>
        <w:tabs>
          <w:tab w:val="left" w:pos="3768"/>
        </w:tabs>
        <w:spacing w:after="0" w:line="276" w:lineRule="auto"/>
        <w:jc w:val="both"/>
        <w:rPr>
          <w:rFonts w:ascii="Verdana" w:eastAsia="Calibri" w:hAnsi="Verdana" w:cs="Arial"/>
          <w:lang w:eastAsia="es-ES"/>
        </w:rPr>
      </w:pPr>
      <w:r w:rsidRPr="007464FA">
        <w:rPr>
          <w:rFonts w:ascii="Verdana" w:eastAsia="Calibri" w:hAnsi="Verdana" w:cs="Arial"/>
          <w:lang w:eastAsia="es-ES"/>
        </w:rPr>
        <w:t>En ejercicio de la competencia otorgada por los artículos 3, numeral 5º, y 11, numeral 8º, del Decreto Ley 4170 de 2011, así como lo establecido en la Resolución 469 de 2025 expedida por esta Entidad, la Agencia Nacional de Contratación Pública – Colombia Compra Eficiente– responde su solicitud de consulta de fecha 17 de abril de 2026, en la cual manifiesta lo siguiente:</w:t>
      </w:r>
    </w:p>
    <w:p w14:paraId="2197CC0B" w14:textId="77777777" w:rsidR="0075745A" w:rsidRPr="007464FA" w:rsidRDefault="0075745A" w:rsidP="00BB0DA7">
      <w:pPr>
        <w:spacing w:after="0" w:line="276" w:lineRule="auto"/>
        <w:ind w:left="709" w:right="709"/>
        <w:jc w:val="both"/>
        <w:rPr>
          <w:rFonts w:ascii="Verdana" w:eastAsia="Calibri" w:hAnsi="Verdana" w:cs="Arial"/>
          <w:color w:val="000000" w:themeColor="text1"/>
          <w:sz w:val="20"/>
          <w:szCs w:val="20"/>
        </w:rPr>
      </w:pPr>
    </w:p>
    <w:p w14:paraId="577B8DD3" w14:textId="77777777" w:rsidR="0075745A" w:rsidRPr="00453E03" w:rsidRDefault="0075745A" w:rsidP="00BB0DA7">
      <w:pPr>
        <w:spacing w:after="0" w:line="240" w:lineRule="auto"/>
        <w:ind w:left="709" w:right="709"/>
        <w:jc w:val="both"/>
        <w:rPr>
          <w:rFonts w:ascii="Verdana" w:eastAsia="Calibri" w:hAnsi="Verdana" w:cs="Arial"/>
          <w:i/>
          <w:iCs/>
          <w:color w:val="000000" w:themeColor="text1"/>
          <w:sz w:val="20"/>
          <w:szCs w:val="20"/>
        </w:rPr>
      </w:pPr>
      <w:bookmarkStart w:id="2" w:name="_Hlk192699624"/>
      <w:bookmarkStart w:id="3" w:name="_Hlk199394899"/>
      <w:r w:rsidRPr="008C54F3">
        <w:rPr>
          <w:rFonts w:ascii="Verdana" w:eastAsia="Calibri" w:hAnsi="Verdana" w:cs="Arial"/>
          <w:i/>
          <w:iCs/>
          <w:color w:val="000000" w:themeColor="text1"/>
          <w:sz w:val="20"/>
          <w:szCs w:val="20"/>
        </w:rPr>
        <w:t>“</w:t>
      </w:r>
      <w:bookmarkEnd w:id="2"/>
      <w:bookmarkEnd w:id="3"/>
      <w:r w:rsidRPr="006F7A2A">
        <w:rPr>
          <w:rFonts w:ascii="Verdana" w:eastAsia="Calibri" w:hAnsi="Verdana" w:cs="Arial"/>
          <w:i/>
          <w:iCs/>
          <w:color w:val="000000" w:themeColor="text1"/>
          <w:sz w:val="20"/>
          <w:szCs w:val="20"/>
        </w:rPr>
        <w:t>¿Puede una entidad estatal adelantar un estudio de mercado solicitando cotizaciones a diferentes Entidades Sin Ánimo de Lucro - ESAL?</w:t>
      </w:r>
      <w:r w:rsidRPr="008C54F3">
        <w:rPr>
          <w:rFonts w:ascii="Verdana" w:eastAsia="Calibri" w:hAnsi="Verdana" w:cs="Arial"/>
          <w:i/>
          <w:iCs/>
          <w:color w:val="000000" w:themeColor="text1"/>
          <w:sz w:val="20"/>
          <w:szCs w:val="20"/>
        </w:rPr>
        <w:t>.”</w:t>
      </w:r>
    </w:p>
    <w:p w14:paraId="58B84413" w14:textId="77777777" w:rsidR="001340CE" w:rsidRDefault="001340CE" w:rsidP="00BB0DA7">
      <w:pPr>
        <w:spacing w:after="0" w:line="276" w:lineRule="auto"/>
        <w:ind w:firstLine="709"/>
        <w:jc w:val="both"/>
        <w:rPr>
          <w:rFonts w:ascii="Verdana" w:eastAsia="Calibri" w:hAnsi="Verdana" w:cs="Arial"/>
          <w:color w:val="000000"/>
          <w:lang w:eastAsia="es-ES"/>
        </w:rPr>
      </w:pPr>
    </w:p>
    <w:p w14:paraId="39FCAA99" w14:textId="7F25659D" w:rsidR="0075745A" w:rsidRDefault="0075745A" w:rsidP="00BB0DA7">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8E4F36">
        <w:rPr>
          <w:rFonts w:ascii="Verdana" w:eastAsia="Calibri" w:hAnsi="Verdana" w:cs="Arial"/>
          <w:color w:val="000000"/>
          <w:lang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D298C58" w14:textId="77777777" w:rsidR="0075745A" w:rsidRPr="00054383" w:rsidRDefault="0075745A" w:rsidP="0075745A">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DF9E0DD" w14:textId="77777777" w:rsidR="0075745A" w:rsidRPr="008E4F36" w:rsidRDefault="0075745A" w:rsidP="0075745A">
      <w:pPr>
        <w:spacing w:after="0"/>
        <w:ind w:firstLine="709"/>
        <w:jc w:val="both"/>
        <w:rPr>
          <w:rFonts w:ascii="Verdana" w:eastAsia="Calibri" w:hAnsi="Verdana" w:cs="Arial"/>
          <w:color w:val="000000"/>
          <w:lang w:eastAsia="es-ES"/>
        </w:rPr>
      </w:pPr>
    </w:p>
    <w:p w14:paraId="66345068" w14:textId="77777777" w:rsidR="0075745A" w:rsidRDefault="0075745A" w:rsidP="0075745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7FFD829D" w14:textId="77777777" w:rsidR="0075745A" w:rsidRDefault="0075745A" w:rsidP="0075745A">
      <w:pPr>
        <w:spacing w:after="0" w:line="276" w:lineRule="auto"/>
        <w:jc w:val="both"/>
        <w:rPr>
          <w:rFonts w:ascii="Verdana" w:eastAsia="Calibri" w:hAnsi="Verdana" w:cs="Arial"/>
          <w:color w:val="000000"/>
          <w:highlight w:val="yellow"/>
          <w:lang w:eastAsia="es-ES"/>
        </w:rPr>
      </w:pPr>
    </w:p>
    <w:p w14:paraId="3B88C343" w14:textId="5638D8DB" w:rsidR="0075745A" w:rsidRPr="005A3B40" w:rsidRDefault="0075745A" w:rsidP="0075745A">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FC4A4E">
        <w:rPr>
          <w:rFonts w:ascii="Verdana" w:eastAsia="Calibri" w:hAnsi="Verdana" w:cs="Arial"/>
          <w:color w:val="000000"/>
          <w:lang w:eastAsia="es-ES"/>
        </w:rPr>
        <w:t>¿Es jurídicamente viable que una entidad estatal solicite cotizaciones a diferentes Entidades</w:t>
      </w:r>
      <w:r w:rsidR="00307141">
        <w:rPr>
          <w:rFonts w:ascii="Verdana" w:eastAsia="Calibri" w:hAnsi="Verdana" w:cs="Arial"/>
          <w:color w:val="000000"/>
          <w:lang w:eastAsia="es-ES"/>
        </w:rPr>
        <w:t xml:space="preserve"> Sin Ánimo Lucro</w:t>
      </w:r>
      <w:r w:rsidR="00FB45B7">
        <w:rPr>
          <w:rFonts w:ascii="Verdana" w:eastAsia="Calibri" w:hAnsi="Verdana" w:cs="Arial"/>
          <w:color w:val="000000"/>
          <w:lang w:eastAsia="es-ES"/>
        </w:rPr>
        <w:t xml:space="preserve"> – en adelante ESAL –</w:t>
      </w:r>
      <w:r w:rsidRPr="00FC4A4E">
        <w:rPr>
          <w:rFonts w:ascii="Verdana" w:eastAsia="Calibri" w:hAnsi="Verdana" w:cs="Arial"/>
          <w:color w:val="000000"/>
          <w:lang w:eastAsia="es-ES"/>
        </w:rPr>
        <w:t xml:space="preserve"> para adelantar un estudio de mercado?</w:t>
      </w:r>
      <w:r>
        <w:rPr>
          <w:rFonts w:ascii="Verdana" w:eastAsia="Calibri" w:hAnsi="Verdana" w:cs="Arial"/>
          <w:color w:val="000000"/>
          <w:lang w:eastAsia="es-ES"/>
        </w:rPr>
        <w:t xml:space="preserve"> </w:t>
      </w:r>
    </w:p>
    <w:p w14:paraId="08B7AF7E" w14:textId="77777777" w:rsidR="0075745A" w:rsidRPr="00BF422F" w:rsidRDefault="0075745A" w:rsidP="0075745A">
      <w:pPr>
        <w:spacing w:after="0" w:line="276" w:lineRule="auto"/>
        <w:jc w:val="both"/>
        <w:rPr>
          <w:rFonts w:ascii="Verdana" w:eastAsia="Calibri" w:hAnsi="Verdana" w:cs="Times New Roman"/>
          <w:i/>
          <w:iCs/>
          <w:lang w:val="es-ES"/>
        </w:rPr>
      </w:pPr>
    </w:p>
    <w:p w14:paraId="09D43990" w14:textId="77777777" w:rsidR="0075745A" w:rsidRPr="008E4F36" w:rsidRDefault="0075745A" w:rsidP="0075745A">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2DB0F30D" w14:textId="77777777" w:rsidR="0075745A" w:rsidRPr="008E4F36" w:rsidRDefault="0075745A" w:rsidP="0075745A">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75745A" w:rsidRPr="008E4F36" w14:paraId="6981A3EF" w14:textId="77777777" w:rsidTr="003F1FE9">
        <w:tc>
          <w:tcPr>
            <w:tcW w:w="8828" w:type="dxa"/>
          </w:tcPr>
          <w:p w14:paraId="7868F3DD" w14:textId="77777777" w:rsidR="0075745A" w:rsidRPr="00D2131D" w:rsidRDefault="0075745A" w:rsidP="003F1FE9">
            <w:pPr>
              <w:spacing w:after="120" w:line="276" w:lineRule="auto"/>
              <w:jc w:val="both"/>
              <w:rPr>
                <w:rFonts w:ascii="Verdana" w:hAnsi="Verdana" w:cs="Arial"/>
                <w:color w:val="000000" w:themeColor="text1"/>
              </w:rPr>
            </w:pPr>
            <w:r>
              <w:rPr>
                <w:rFonts w:ascii="Verdana" w:hAnsi="Verdana" w:cs="Arial"/>
                <w:color w:val="000000" w:themeColor="text1"/>
              </w:rPr>
              <w:t>L</w:t>
            </w:r>
            <w:r w:rsidRPr="00D2131D">
              <w:rPr>
                <w:rFonts w:ascii="Verdana" w:hAnsi="Verdana" w:cs="Arial"/>
                <w:color w:val="000000" w:themeColor="text1"/>
              </w:rPr>
              <w:t>os artículos 25 de la Ley 80 de 1993 y 2.2.1.1.2.1.1 del Decreto 1082 de 2015 imponen a las Entidades Estatales el deber de elaborar estudios previos suficientes antes de iniciar el proceso de selección, incluyendo la determinación del valor estimado del contrato y su respectiva justificación. Para cumplir esta finalidad, la entidad debe realizar un análisis del sector y del mercado que le permita identificar precios, condiciones técnicas, características del bien o servicio, disponibilidad de oferentes y demás variables relevantes para estructurar adecuadamente el proceso contractual.</w:t>
            </w:r>
          </w:p>
          <w:p w14:paraId="6D6063B0" w14:textId="508E08BA" w:rsidR="0075745A" w:rsidRPr="00D2131D" w:rsidRDefault="0075745A" w:rsidP="003F1FE9">
            <w:pPr>
              <w:spacing w:after="120" w:line="276" w:lineRule="auto"/>
              <w:ind w:firstLine="709"/>
              <w:jc w:val="both"/>
              <w:rPr>
                <w:rFonts w:ascii="Verdana" w:hAnsi="Verdana" w:cs="Arial"/>
                <w:color w:val="000000" w:themeColor="text1"/>
              </w:rPr>
            </w:pPr>
            <w:r w:rsidRPr="00D2131D">
              <w:rPr>
                <w:rFonts w:ascii="Verdana" w:hAnsi="Verdana" w:cs="Arial"/>
                <w:color w:val="000000" w:themeColor="text1"/>
              </w:rPr>
              <w:t xml:space="preserve">En desarrollo de lo anterior, la “Guía para la Elaboración de Estudios del Sector” expedida por Agencia Nacional de Contratación Pública – Colombia Compra Eficiente recomienda como una de las metodologías para efectuar estudios de mercado la solicitud de cotizaciones a potenciales proveedores, </w:t>
            </w:r>
            <w:r w:rsidR="00AE3FD0">
              <w:rPr>
                <w:rFonts w:ascii="Verdana" w:hAnsi="Verdana" w:cs="Arial"/>
                <w:color w:val="000000" w:themeColor="text1"/>
              </w:rPr>
              <w:t xml:space="preserve">entre ellos puede considerarse cotizaciones a ESALES que puedan proveedor el bien o servicio a contratar, solicitar </w:t>
            </w:r>
            <w:r w:rsidRPr="00D2131D">
              <w:rPr>
                <w:rFonts w:ascii="Verdana" w:hAnsi="Verdana" w:cs="Arial"/>
                <w:color w:val="000000" w:themeColor="text1"/>
              </w:rPr>
              <w:t xml:space="preserve">con el propósito de obtener información </w:t>
            </w:r>
            <w:r w:rsidRPr="00D2131D">
              <w:rPr>
                <w:rFonts w:ascii="Verdana" w:hAnsi="Verdana" w:cs="Arial"/>
                <w:color w:val="000000" w:themeColor="text1"/>
              </w:rPr>
              <w:lastRenderedPageBreak/>
              <w:t>relacionada con precios, especificaciones técnicas, plazos, condiciones comerciales y demás aspectos relevantes del objeto a contratar.</w:t>
            </w:r>
          </w:p>
          <w:p w14:paraId="25DD4143" w14:textId="77777777" w:rsidR="0075745A" w:rsidRPr="00D2131D" w:rsidRDefault="0075745A" w:rsidP="003F1FE9">
            <w:pPr>
              <w:spacing w:after="120" w:line="276" w:lineRule="auto"/>
              <w:ind w:firstLine="709"/>
              <w:jc w:val="both"/>
              <w:rPr>
                <w:rFonts w:ascii="Verdana" w:hAnsi="Verdana" w:cs="Arial"/>
                <w:color w:val="000000" w:themeColor="text1"/>
              </w:rPr>
            </w:pPr>
            <w:r w:rsidRPr="00D2131D">
              <w:rPr>
                <w:rFonts w:ascii="Verdana" w:hAnsi="Verdana" w:cs="Arial"/>
                <w:color w:val="000000" w:themeColor="text1"/>
              </w:rPr>
              <w:t>No obstante, dichas cotizaciones tienen carácter meramente referencial y no generan obligación contractual para la entidad ni para quien las presenta. Igualmente, la sola participación de un potencial proveedor en el estudio de mercado no le impide participar posteriormente en el proceso de selección, siempre que se respeten los principios de transparencia, igualdad y selección objetiva.</w:t>
            </w:r>
          </w:p>
          <w:p w14:paraId="341D7797" w14:textId="77777777" w:rsidR="0075745A" w:rsidRPr="00B70775" w:rsidRDefault="0075745A" w:rsidP="003F1FE9">
            <w:pPr>
              <w:spacing w:after="120" w:line="276" w:lineRule="auto"/>
              <w:ind w:firstLine="709"/>
              <w:jc w:val="both"/>
              <w:rPr>
                <w:rFonts w:ascii="Verdana" w:hAnsi="Verdana" w:cs="Arial"/>
                <w:color w:val="000000" w:themeColor="text1"/>
              </w:rPr>
            </w:pPr>
            <w:r w:rsidRPr="00D2131D">
              <w:rPr>
                <w:rFonts w:ascii="Verdana" w:hAnsi="Verdana" w:cs="Arial"/>
                <w:color w:val="000000" w:themeColor="text1"/>
              </w:rPr>
              <w:t>Finalmente, las Entidades Estatales cuentan con autonomía para definir la metodología aplicable al estudio del sector y al estudio de mercado, conforme a sus manuales de contratación y a las particularidades del proceso, siempre que se ajusten a lo previsto en la Ley 1150 de 2007 y el Decreto 1082 de 2015.</w:t>
            </w:r>
            <w:r w:rsidRPr="00D2131D">
              <w:rPr>
                <w:rFonts w:ascii="Verdana" w:hAnsi="Verdana" w:cs="Arial"/>
                <w:vanish/>
                <w:color w:val="000000" w:themeColor="text1"/>
              </w:rPr>
              <w:t>Principio del formularioFinal del formulario</w:t>
            </w:r>
          </w:p>
        </w:tc>
      </w:tr>
    </w:tbl>
    <w:p w14:paraId="2D7AFDFD" w14:textId="77777777" w:rsidR="0075745A" w:rsidRDefault="0075745A" w:rsidP="0042480A">
      <w:pPr>
        <w:tabs>
          <w:tab w:val="left" w:pos="142"/>
          <w:tab w:val="left" w:pos="284"/>
        </w:tabs>
        <w:spacing w:after="0" w:line="276" w:lineRule="auto"/>
        <w:jc w:val="both"/>
        <w:rPr>
          <w:rFonts w:ascii="Verdana" w:eastAsia="Century Gothic" w:hAnsi="Verdana" w:cs="Century Gothic"/>
          <w:b/>
          <w:bCs/>
        </w:rPr>
      </w:pPr>
    </w:p>
    <w:p w14:paraId="626E978B" w14:textId="77777777" w:rsidR="0075745A" w:rsidRPr="008E4F36" w:rsidRDefault="0075745A" w:rsidP="0042480A">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47B89805" w14:textId="77777777" w:rsidR="0075745A" w:rsidRDefault="0075745A" w:rsidP="0042480A">
      <w:pPr>
        <w:pStyle w:val="Prrafodelista"/>
        <w:tabs>
          <w:tab w:val="left" w:pos="142"/>
          <w:tab w:val="left" w:pos="284"/>
        </w:tabs>
        <w:spacing w:after="0" w:line="276" w:lineRule="auto"/>
        <w:ind w:left="0"/>
        <w:contextualSpacing w:val="0"/>
        <w:jc w:val="both"/>
        <w:rPr>
          <w:rFonts w:ascii="Verdana" w:eastAsia="Calibri" w:hAnsi="Verdana" w:cs="Arial"/>
        </w:rPr>
      </w:pPr>
    </w:p>
    <w:p w14:paraId="0FACE092" w14:textId="77777777" w:rsidR="0075745A" w:rsidRDefault="0075745A" w:rsidP="0042480A">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762FF1F7" w14:textId="77777777" w:rsidR="0075745A" w:rsidRDefault="0075745A" w:rsidP="00BB0DA7">
      <w:pPr>
        <w:spacing w:after="0" w:line="276" w:lineRule="auto"/>
        <w:jc w:val="both"/>
        <w:rPr>
          <w:rFonts w:ascii="Verdana" w:eastAsia="Calibri" w:hAnsi="Verdana" w:cs="Arial"/>
          <w:color w:val="000000"/>
          <w:shd w:val="clear" w:color="auto" w:fill="FFFFFF"/>
          <w:lang w:val="es-ES"/>
        </w:rPr>
      </w:pPr>
    </w:p>
    <w:p w14:paraId="28628206" w14:textId="77777777" w:rsidR="0075745A" w:rsidRPr="00F252D7" w:rsidRDefault="0075745A" w:rsidP="0075745A">
      <w:pPr>
        <w:spacing w:after="120" w:line="276" w:lineRule="auto"/>
        <w:jc w:val="both"/>
        <w:rPr>
          <w:rFonts w:ascii="Verdana" w:eastAsia="Times New Roman" w:hAnsi="Verdana" w:cs="Arial"/>
          <w:lang w:val="es-ES_tradnl" w:eastAsia="es-MX"/>
        </w:rPr>
      </w:pPr>
      <w:bookmarkStart w:id="4" w:name="_Hlk54011258"/>
      <w:bookmarkStart w:id="5" w:name="_Hlk204856061"/>
      <w:bookmarkStart w:id="6" w:name="_Hlk78820161"/>
      <w:bookmarkStart w:id="7" w:name="_Hlk204854194"/>
      <w:r w:rsidRPr="00F252D7">
        <w:rPr>
          <w:rFonts w:ascii="Verdana" w:eastAsia="Calibri" w:hAnsi="Verdana" w:cs="Arial"/>
          <w:bCs/>
          <w:lang w:val="es-ES_tradnl" w:eastAsia="es-MX"/>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bookmarkEnd w:id="4"/>
      <w:r w:rsidRPr="00F252D7">
        <w:rPr>
          <w:rFonts w:ascii="Verdana" w:eastAsia="Calibri" w:hAnsi="Verdana" w:cs="Arial"/>
          <w:bCs/>
          <w:lang w:val="es-ES_tradnl" w:eastAsia="es-MX"/>
        </w:rPr>
        <w:t>.</w:t>
      </w:r>
      <w:r>
        <w:rPr>
          <w:rFonts w:ascii="Verdana" w:eastAsia="Calibri" w:hAnsi="Verdana" w:cs="Arial"/>
          <w:bCs/>
          <w:lang w:val="es-MX" w:eastAsia="es-ES_tradnl"/>
        </w:rPr>
        <w:tab/>
      </w:r>
    </w:p>
    <w:p w14:paraId="6622EC3B" w14:textId="77777777" w:rsidR="0075745A" w:rsidRPr="00F252D7" w:rsidRDefault="0075745A" w:rsidP="0075745A">
      <w:pPr>
        <w:spacing w:after="120" w:line="276" w:lineRule="auto"/>
        <w:contextualSpacing/>
        <w:jc w:val="both"/>
        <w:rPr>
          <w:rFonts w:ascii="Verdana" w:eastAsia="Calibri" w:hAnsi="Verdana" w:cs="Arial"/>
          <w:bCs/>
          <w:lang w:val="es-ES" w:eastAsia="es-ES_tradnl"/>
        </w:rPr>
      </w:pPr>
      <w:r>
        <w:rPr>
          <w:rFonts w:ascii="Verdana" w:eastAsia="Times New Roman" w:hAnsi="Verdana" w:cs="Arial"/>
          <w:lang w:val="es-ES_tradnl" w:eastAsia="es-MX"/>
        </w:rPr>
        <w:tab/>
      </w:r>
      <w:r w:rsidRPr="00F252D7">
        <w:rPr>
          <w:rFonts w:ascii="Verdana" w:eastAsia="Calibri" w:hAnsi="Verdana" w:cs="Arial"/>
          <w:bCs/>
          <w:lang w:val="es-MX" w:eastAsia="es-ES_tradnl"/>
        </w:rPr>
        <w:t xml:space="preserve">El Estatuto General de Contratación de la Administración Pública – EGCAP – contiene disposiciones que exigen a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w:t>
      </w:r>
      <w:r w:rsidRPr="00F252D7">
        <w:rPr>
          <w:rFonts w:ascii="Verdana" w:eastAsia="Calibri" w:hAnsi="Verdana" w:cs="Arial"/>
          <w:bCs/>
          <w:lang w:val="es-MX" w:eastAsia="es-ES_tradnl"/>
        </w:rPr>
        <w:lastRenderedPageBreak/>
        <w:t xml:space="preserve">aplicación del principio de economía previsto en el artículo 25 de la Ley 80 de 1993: </w:t>
      </w:r>
    </w:p>
    <w:p w14:paraId="64CD7B48" w14:textId="77777777" w:rsidR="0075745A" w:rsidRPr="00F252D7" w:rsidRDefault="0075745A" w:rsidP="0075745A">
      <w:pPr>
        <w:spacing w:after="0" w:line="276" w:lineRule="auto"/>
        <w:ind w:firstLine="709"/>
        <w:jc w:val="both"/>
        <w:rPr>
          <w:rFonts w:ascii="Verdana" w:eastAsia="Calibri" w:hAnsi="Verdana" w:cs="Arial"/>
          <w:bCs/>
          <w:lang w:val="es-ES" w:eastAsia="es-ES_tradnl"/>
        </w:rPr>
      </w:pPr>
    </w:p>
    <w:p w14:paraId="39FF6FEB" w14:textId="77777777" w:rsidR="0075745A" w:rsidRPr="00BB0DA7" w:rsidRDefault="0075745A" w:rsidP="0075745A">
      <w:pPr>
        <w:spacing w:after="0" w:line="240" w:lineRule="auto"/>
        <w:ind w:left="709" w:right="709"/>
        <w:contextualSpacing/>
        <w:jc w:val="both"/>
        <w:rPr>
          <w:rFonts w:ascii="Verdana" w:eastAsia="Calibri" w:hAnsi="Verdana" w:cs="Arial"/>
          <w:sz w:val="20"/>
          <w:szCs w:val="20"/>
          <w:lang w:val="es-MX" w:eastAsia="es-ES_tradnl"/>
        </w:rPr>
      </w:pPr>
      <w:r w:rsidRPr="00BB0DA7">
        <w:rPr>
          <w:rFonts w:ascii="Verdana" w:eastAsia="Calibri" w:hAnsi="Verdana" w:cs="Arial"/>
          <w:sz w:val="20"/>
          <w:szCs w:val="20"/>
          <w:lang w:val="es-MX" w:eastAsia="es-ES_tradnl"/>
        </w:rPr>
        <w:t>“7o. La conveniencia o inconveniencia del objeto a contratar y las autorizaciones y aprobaciones para ello, se analizarán o impartirán con antelación al inicio del proceso de selección del contratista o al de la firma del contrato, según el caso.</w:t>
      </w:r>
    </w:p>
    <w:p w14:paraId="17756064" w14:textId="77777777" w:rsidR="0075745A" w:rsidRPr="00BB0DA7" w:rsidRDefault="0075745A" w:rsidP="0075745A">
      <w:pPr>
        <w:spacing w:after="0" w:line="240" w:lineRule="auto"/>
        <w:ind w:left="709" w:right="709"/>
        <w:contextualSpacing/>
        <w:jc w:val="both"/>
        <w:rPr>
          <w:rFonts w:ascii="Verdana" w:eastAsia="Calibri" w:hAnsi="Verdana" w:cs="Arial"/>
          <w:sz w:val="20"/>
          <w:szCs w:val="20"/>
          <w:lang w:val="es-MX" w:eastAsia="es-ES_tradnl"/>
        </w:rPr>
      </w:pPr>
    </w:p>
    <w:p w14:paraId="0CFFA3E3" w14:textId="77777777" w:rsidR="0075745A" w:rsidRPr="00BB0DA7" w:rsidRDefault="0075745A" w:rsidP="0075745A">
      <w:pPr>
        <w:spacing w:after="0" w:line="240" w:lineRule="auto"/>
        <w:ind w:left="709" w:right="709"/>
        <w:contextualSpacing/>
        <w:jc w:val="both"/>
        <w:rPr>
          <w:rFonts w:ascii="Verdana" w:eastAsia="Calibri" w:hAnsi="Verdana" w:cs="Arial"/>
          <w:sz w:val="20"/>
          <w:szCs w:val="20"/>
          <w:lang w:val="es-MX" w:eastAsia="es-ES_tradnl"/>
        </w:rPr>
      </w:pPr>
      <w:r w:rsidRPr="00BB0DA7">
        <w:rPr>
          <w:rFonts w:ascii="Verdana" w:eastAsia="Calibri" w:hAnsi="Verdana" w:cs="Arial"/>
          <w:sz w:val="20"/>
          <w:szCs w:val="20"/>
          <w:lang w:val="es-MX" w:eastAsia="es-ES_tradnl"/>
        </w:rPr>
        <w:t>[…]</w:t>
      </w:r>
    </w:p>
    <w:p w14:paraId="463F00D9" w14:textId="77777777" w:rsidR="0075745A" w:rsidRPr="00BB0DA7" w:rsidRDefault="0075745A" w:rsidP="0075745A">
      <w:pPr>
        <w:spacing w:after="0" w:line="240" w:lineRule="auto"/>
        <w:ind w:left="709" w:right="709"/>
        <w:contextualSpacing/>
        <w:jc w:val="both"/>
        <w:rPr>
          <w:rFonts w:ascii="Verdana" w:eastAsia="Calibri" w:hAnsi="Verdana" w:cs="Arial"/>
          <w:sz w:val="20"/>
          <w:szCs w:val="20"/>
          <w:lang w:val="es-MX" w:eastAsia="es-ES_tradnl"/>
        </w:rPr>
      </w:pPr>
    </w:p>
    <w:p w14:paraId="7A10664F" w14:textId="77777777" w:rsidR="0075745A" w:rsidRPr="00BB0DA7" w:rsidRDefault="0075745A" w:rsidP="0075745A">
      <w:pPr>
        <w:spacing w:after="0" w:line="240" w:lineRule="auto"/>
        <w:ind w:left="709" w:right="709"/>
        <w:contextualSpacing/>
        <w:jc w:val="both"/>
        <w:rPr>
          <w:rFonts w:ascii="Verdana" w:eastAsia="Calibri" w:hAnsi="Verdana" w:cs="Arial"/>
          <w:sz w:val="20"/>
          <w:szCs w:val="20"/>
          <w:lang w:val="es-MX" w:eastAsia="es-ES_tradnl"/>
        </w:rPr>
      </w:pPr>
      <w:r w:rsidRPr="00BB0DA7">
        <w:rPr>
          <w:rFonts w:ascii="Verdana" w:eastAsia="Calibri" w:hAnsi="Verdana" w:cs="Arial"/>
          <w:sz w:val="20"/>
          <w:szCs w:val="20"/>
          <w:lang w:val="es-MX" w:eastAsia="es-ES_tradnl"/>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6231F0F7" w14:textId="77777777" w:rsidR="0075745A" w:rsidRPr="00BB0DA7" w:rsidRDefault="0075745A" w:rsidP="0075745A">
      <w:pPr>
        <w:spacing w:after="0" w:line="240" w:lineRule="auto"/>
        <w:ind w:left="709" w:right="709"/>
        <w:contextualSpacing/>
        <w:jc w:val="both"/>
        <w:rPr>
          <w:rFonts w:ascii="Verdana" w:eastAsia="Calibri" w:hAnsi="Verdana" w:cs="Arial"/>
          <w:sz w:val="20"/>
          <w:szCs w:val="20"/>
          <w:lang w:val="es-MX" w:eastAsia="es-ES_tradnl"/>
        </w:rPr>
      </w:pPr>
    </w:p>
    <w:p w14:paraId="30F60EC5" w14:textId="77777777" w:rsidR="0075745A" w:rsidRPr="00BB0DA7" w:rsidRDefault="0075745A" w:rsidP="0075745A">
      <w:pPr>
        <w:spacing w:after="0" w:line="240" w:lineRule="auto"/>
        <w:ind w:left="709" w:right="709"/>
        <w:contextualSpacing/>
        <w:jc w:val="both"/>
        <w:rPr>
          <w:rFonts w:ascii="Verdana" w:eastAsia="Calibri" w:hAnsi="Verdana" w:cs="Arial"/>
          <w:sz w:val="20"/>
          <w:szCs w:val="20"/>
          <w:lang w:val="es-MX" w:eastAsia="es-ES_tradnl"/>
        </w:rPr>
      </w:pPr>
      <w:r w:rsidRPr="00BB0DA7">
        <w:rPr>
          <w:rFonts w:ascii="Verdana" w:eastAsia="Calibri" w:hAnsi="Verdana" w:cs="Arial"/>
          <w:sz w:val="20"/>
          <w:szCs w:val="20"/>
          <w:lang w:val="es-MX" w:eastAsia="es-ES_tradnl"/>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6AA169A4" w14:textId="77777777" w:rsidR="0075745A" w:rsidRPr="00BB0DA7" w:rsidRDefault="0075745A" w:rsidP="0075745A">
      <w:pPr>
        <w:spacing w:after="0" w:line="240" w:lineRule="auto"/>
        <w:ind w:left="709" w:right="709"/>
        <w:contextualSpacing/>
        <w:jc w:val="both"/>
        <w:rPr>
          <w:rFonts w:ascii="Verdana" w:eastAsia="Calibri" w:hAnsi="Verdana" w:cs="Arial"/>
          <w:sz w:val="20"/>
          <w:szCs w:val="20"/>
          <w:lang w:val="es-MX" w:eastAsia="es-ES_tradnl"/>
        </w:rPr>
      </w:pPr>
    </w:p>
    <w:p w14:paraId="4D5E9CC2"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41B092B2"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p>
    <w:p w14:paraId="2DF896CC"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p>
    <w:p w14:paraId="34BDEBAC" w14:textId="77777777" w:rsidR="0075745A" w:rsidRPr="00F252D7" w:rsidRDefault="0075745A" w:rsidP="0075745A">
      <w:pPr>
        <w:spacing w:after="0" w:line="276" w:lineRule="auto"/>
        <w:jc w:val="both"/>
        <w:rPr>
          <w:rFonts w:ascii="Verdana" w:eastAsia="Times New Roman" w:hAnsi="Verdana" w:cs="Arial"/>
          <w:lang w:val="es-ES_tradnl" w:eastAsia="es-MX"/>
        </w:rPr>
      </w:pPr>
    </w:p>
    <w:p w14:paraId="7506FDF9" w14:textId="77777777" w:rsidR="0075745A" w:rsidRPr="00F252D7" w:rsidRDefault="0075745A" w:rsidP="0075745A">
      <w:pPr>
        <w:spacing w:after="0" w:line="276" w:lineRule="auto"/>
        <w:ind w:firstLine="708"/>
        <w:contextualSpacing/>
        <w:jc w:val="both"/>
        <w:rPr>
          <w:rFonts w:ascii="Verdana" w:eastAsia="Times New Roman" w:hAnsi="Verdana" w:cs="Arial"/>
          <w:lang w:val="es-ES_tradnl" w:eastAsia="es-MX"/>
        </w:rPr>
      </w:pPr>
      <w:r w:rsidRPr="00F252D7">
        <w:rPr>
          <w:rFonts w:ascii="Verdana" w:eastAsia="Times New Roman" w:hAnsi="Verdana" w:cs="Arial"/>
          <w:lang w:val="es-ES_tradnl" w:eastAsia="es-MX"/>
        </w:rPr>
        <w:t xml:space="preserve">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w:t>
      </w:r>
      <w:r w:rsidRPr="00F252D7">
        <w:rPr>
          <w:rFonts w:ascii="Verdana" w:eastAsia="Times New Roman" w:hAnsi="Verdana" w:cs="Arial"/>
          <w:lang w:val="es-ES_tradnl" w:eastAsia="es-MX"/>
        </w:rPr>
        <w:lastRenderedPageBreak/>
        <w:t>fracaso en la ejecución de contratos estatales”</w:t>
      </w:r>
      <w:r w:rsidRPr="00F252D7">
        <w:rPr>
          <w:rFonts w:ascii="Geomanist Light" w:hAnsi="Geomanist Light"/>
          <w:vertAlign w:val="superscript"/>
          <w:lang w:val="es-ES" w:eastAsia="es-MX"/>
        </w:rPr>
        <w:footnoteReference w:id="1"/>
      </w:r>
      <w:r w:rsidRPr="00F252D7">
        <w:rPr>
          <w:rFonts w:ascii="Verdana" w:eastAsia="Times New Roman" w:hAnsi="Verdana" w:cs="Arial"/>
          <w:lang w:val="es-ES_tradnl" w:eastAsia="es-MX"/>
        </w:rPr>
        <w:t>. En congruencia con el artículo 25 de la Ley 80 de 1993, el Decreto Único Reglamentario del Sector Administrativo de Planeación Nacional –Decreto 1082 de 2015–, dispone en el artículo 2.2.1.1.2.1.1 el contenido mínimo de los estudios y documentos previos:</w:t>
      </w:r>
    </w:p>
    <w:p w14:paraId="284A2727" w14:textId="77777777" w:rsidR="0075745A" w:rsidRPr="00F252D7" w:rsidRDefault="0075745A" w:rsidP="0075745A">
      <w:pPr>
        <w:spacing w:after="0" w:line="276" w:lineRule="auto"/>
        <w:rPr>
          <w:rFonts w:ascii="Verdana" w:eastAsia="Times New Roman" w:hAnsi="Verdana" w:cs="Arial"/>
          <w:lang w:val="es-ES_tradnl" w:eastAsia="es-CO"/>
        </w:rPr>
      </w:pPr>
    </w:p>
    <w:p w14:paraId="3FCCDA03"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30D46C93"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p>
    <w:p w14:paraId="605601D1"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 xml:space="preserve">1. La descripción de la necesidad que la Entidad Estatal pretende satisfacer con el Proceso de Contratación. </w:t>
      </w:r>
      <w:r w:rsidRPr="00BB0DA7">
        <w:rPr>
          <w:rFonts w:ascii="Arial" w:eastAsia="Times New Roman" w:hAnsi="Arial" w:cs="Arial"/>
          <w:sz w:val="20"/>
          <w:szCs w:val="20"/>
          <w:lang w:val="es-ES_tradnl" w:eastAsia="es-MX"/>
        </w:rPr>
        <w:t>​</w:t>
      </w:r>
    </w:p>
    <w:p w14:paraId="5E909487"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p>
    <w:p w14:paraId="6B9EE492"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 xml:space="preserve">2. El objeto a contratar, con sus especificaciones, las autorizaciones, permisos y licencias requeridos para su ejecución, y cuando el contrato incluye diseño y construcción, los documentos técnicos para el desarrollo del proyecto. </w:t>
      </w:r>
    </w:p>
    <w:p w14:paraId="49B39399"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p>
    <w:p w14:paraId="0932376B"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 xml:space="preserve">3. La modalidad de selección del contratista y su justificación, incluyendo los fundamentos jurídicos. </w:t>
      </w:r>
    </w:p>
    <w:p w14:paraId="6684A763"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p>
    <w:p w14:paraId="0A165E8E"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 w:eastAsia="es-MX"/>
        </w:rPr>
      </w:pPr>
      <w:r w:rsidRPr="00BB0DA7">
        <w:rPr>
          <w:rFonts w:ascii="Verdana" w:eastAsia="Times New Roman" w:hAnsi="Verdana" w:cs="Arial"/>
          <w:sz w:val="20"/>
          <w:szCs w:val="20"/>
          <w:lang w:val="es-ES" w:eastAsia="es-MX"/>
        </w:rPr>
        <w:t xml:space="preserve">4. El valor estimado del contrato y la justificación </w:t>
      </w:r>
      <w:proofErr w:type="gramStart"/>
      <w:r w:rsidRPr="00BB0DA7">
        <w:rPr>
          <w:rFonts w:ascii="Verdana" w:eastAsia="Times New Roman" w:hAnsi="Verdana" w:cs="Arial"/>
          <w:sz w:val="20"/>
          <w:szCs w:val="20"/>
          <w:lang w:val="es-ES" w:eastAsia="es-MX"/>
        </w:rPr>
        <w:t>del mismo</w:t>
      </w:r>
      <w:proofErr w:type="gramEnd"/>
      <w:r w:rsidRPr="00BB0DA7">
        <w:rPr>
          <w:rFonts w:ascii="Verdana" w:eastAsia="Times New Roman" w:hAnsi="Verdana" w:cs="Arial"/>
          <w:sz w:val="20"/>
          <w:szCs w:val="20"/>
          <w:lang w:val="es-ES" w:eastAsia="es-MX"/>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17361C0B"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p>
    <w:p w14:paraId="11DE9D27"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 xml:space="preserve">5. Los criterios para seleccionar la oferta más favorable. </w:t>
      </w:r>
    </w:p>
    <w:p w14:paraId="243F9BC4"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p>
    <w:p w14:paraId="37476354"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 xml:space="preserve">6. El análisis de Riesgo y la forma de mitigarlo. </w:t>
      </w:r>
    </w:p>
    <w:p w14:paraId="48BA5F0A"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p>
    <w:p w14:paraId="30DCCE16"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 xml:space="preserve">7. Las garantías que la Entidad Estatal contempla exigir en el proceso de contratación. </w:t>
      </w:r>
    </w:p>
    <w:p w14:paraId="21DAF876"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p>
    <w:p w14:paraId="687A91DE"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 xml:space="preserve">8. La indicación de si el proceso de contratación está cobijado por un acuerdo comercial. </w:t>
      </w:r>
    </w:p>
    <w:p w14:paraId="413AEB08"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p>
    <w:p w14:paraId="0C5775A4" w14:textId="77777777" w:rsidR="0075745A" w:rsidRPr="00BB0DA7" w:rsidRDefault="0075745A" w:rsidP="0075745A">
      <w:pPr>
        <w:spacing w:after="0" w:line="240" w:lineRule="auto"/>
        <w:ind w:left="709" w:right="709"/>
        <w:contextualSpacing/>
        <w:jc w:val="both"/>
        <w:rPr>
          <w:rFonts w:ascii="Verdana" w:eastAsia="Times New Roman" w:hAnsi="Verdana" w:cs="Arial"/>
          <w:sz w:val="20"/>
          <w:szCs w:val="20"/>
          <w:lang w:val="es-ES_tradnl" w:eastAsia="es-MX"/>
        </w:rPr>
      </w:pPr>
      <w:r w:rsidRPr="00BB0DA7">
        <w:rPr>
          <w:rFonts w:ascii="Verdana" w:eastAsia="Times New Roman" w:hAnsi="Verdana" w:cs="Arial"/>
          <w:sz w:val="20"/>
          <w:szCs w:val="20"/>
          <w:lang w:val="es-ES_tradnl" w:eastAsia="es-MX"/>
        </w:rPr>
        <w:t>El presente artículo no es aplicable a la contratación por mínima cuantía”.</w:t>
      </w:r>
    </w:p>
    <w:p w14:paraId="1248BEFE" w14:textId="77777777" w:rsidR="0075745A" w:rsidRPr="00F252D7" w:rsidRDefault="0075745A" w:rsidP="0075745A">
      <w:pPr>
        <w:widowControl w:val="0"/>
        <w:tabs>
          <w:tab w:val="left" w:pos="1305"/>
        </w:tabs>
        <w:autoSpaceDE w:val="0"/>
        <w:autoSpaceDN w:val="0"/>
        <w:spacing w:after="0" w:line="276" w:lineRule="auto"/>
        <w:ind w:left="828" w:right="822"/>
        <w:rPr>
          <w:rFonts w:ascii="Verdana" w:eastAsia="Calibri" w:hAnsi="Verdana" w:cs="Arial"/>
          <w:lang w:val="es-MX" w:eastAsia="es-ES_tradnl"/>
        </w:rPr>
      </w:pPr>
    </w:p>
    <w:p w14:paraId="0BD3C269" w14:textId="77777777" w:rsidR="0075745A" w:rsidRPr="00F252D7" w:rsidRDefault="0075745A" w:rsidP="0075745A">
      <w:pPr>
        <w:spacing w:after="120" w:line="276" w:lineRule="auto"/>
        <w:ind w:firstLine="357"/>
        <w:jc w:val="both"/>
        <w:rPr>
          <w:rFonts w:ascii="Verdana" w:eastAsia="Times New Roman" w:hAnsi="Verdana" w:cs="Arial"/>
          <w:lang w:val="es-ES" w:eastAsia="es-MX"/>
        </w:rPr>
      </w:pPr>
      <w:bookmarkStart w:id="8" w:name="_Hlk54011351"/>
      <w:r w:rsidRPr="67DE658D">
        <w:rPr>
          <w:rFonts w:ascii="Verdana" w:eastAsia="Times New Roman" w:hAnsi="Verdana" w:cs="Arial"/>
          <w:lang w:val="es-ES" w:eastAsia="es-MX"/>
        </w:rPr>
        <w:lastRenderedPageBreak/>
        <w:t xml:space="preserve">De esta manera, antes de iniciar un procedimiento de selección, la Entidad Estatal podrá determinar con los estudios previos: i) la verdadera necesidad de la celebración del contrato; </w:t>
      </w:r>
      <w:proofErr w:type="spellStart"/>
      <w:r w:rsidRPr="67DE658D">
        <w:rPr>
          <w:rFonts w:ascii="Verdana" w:eastAsia="Times New Roman" w:hAnsi="Verdana" w:cs="Arial"/>
          <w:lang w:val="es-ES" w:eastAsia="es-MX"/>
        </w:rPr>
        <w:t>ii</w:t>
      </w:r>
      <w:proofErr w:type="spellEnd"/>
      <w:r w:rsidRPr="67DE658D">
        <w:rPr>
          <w:rFonts w:ascii="Verdana" w:eastAsia="Times New Roman" w:hAnsi="Verdana" w:cs="Arial"/>
          <w:lang w:val="es-ES" w:eastAsia="es-MX"/>
        </w:rPr>
        <w:t xml:space="preserve">) las modalidades existentes para satisfacer esa necesidad y las razones que justifiquen la modalidad o tipo contractual que se escoja; </w:t>
      </w:r>
      <w:proofErr w:type="spellStart"/>
      <w:r w:rsidRPr="67DE658D">
        <w:rPr>
          <w:rFonts w:ascii="Verdana" w:eastAsia="Times New Roman" w:hAnsi="Verdana" w:cs="Arial"/>
          <w:lang w:val="es-ES" w:eastAsia="es-MX"/>
        </w:rPr>
        <w:t>iii</w:t>
      </w:r>
      <w:proofErr w:type="spellEnd"/>
      <w:r w:rsidRPr="67DE658D">
        <w:rPr>
          <w:rFonts w:ascii="Verdana" w:eastAsia="Times New Roman" w:hAnsi="Verdana" w:cs="Arial"/>
          <w:lang w:val="es-ES" w:eastAsia="es-MX"/>
        </w:rPr>
        <w:t xml:space="preserve">) las calidades, especificaciones, cantidades y demás características que puedan o deban reunir los bienes, las obras o los servicios cuya contratación se haya determinado necesaria, </w:t>
      </w:r>
      <w:proofErr w:type="spellStart"/>
      <w:r w:rsidRPr="67DE658D">
        <w:rPr>
          <w:rFonts w:ascii="Verdana" w:eastAsia="Times New Roman" w:hAnsi="Verdana" w:cs="Arial"/>
          <w:lang w:val="es-ES" w:eastAsia="es-MX"/>
        </w:rPr>
        <w:t>iv</w:t>
      </w:r>
      <w:proofErr w:type="spellEnd"/>
      <w:r w:rsidRPr="67DE658D">
        <w:rPr>
          <w:rFonts w:ascii="Verdana" w:eastAsia="Times New Roman" w:hAnsi="Verdana" w:cs="Arial"/>
          <w:lang w:val="es-ES" w:eastAsia="es-MX"/>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67DE658D">
        <w:rPr>
          <w:rFonts w:ascii="Verdana" w:eastAsia="Times New Roman" w:hAnsi="Verdana" w:cs="Arial"/>
          <w:lang w:val="es-ES" w:eastAsia="es-MX"/>
        </w:rPr>
        <w:t>vii</w:t>
      </w:r>
      <w:proofErr w:type="spellEnd"/>
      <w:r w:rsidRPr="67DE658D">
        <w:rPr>
          <w:rFonts w:ascii="Verdana" w:eastAsia="Times New Roman" w:hAnsi="Verdana" w:cs="Arial"/>
          <w:lang w:val="es-ES" w:eastAsia="es-MX"/>
        </w:rPr>
        <w:t xml:space="preserve">) los procedimientos, trámites y requisitos que deban satisfacerse, reunirse u obtenerse para llevar a cabo la selección del respectivo contratista y la celebración del contrato que se pretenda celebrar. La consideración de todos estos aspectos </w:t>
      </w:r>
      <w:bookmarkEnd w:id="8"/>
      <w:r w:rsidRPr="67DE658D">
        <w:rPr>
          <w:rFonts w:ascii="Verdana" w:eastAsia="Calibri" w:hAnsi="Verdana" w:cs="Arial"/>
          <w:lang w:val="es-ES" w:eastAsia="es-MX"/>
        </w:rPr>
        <w:t xml:space="preserve">permite que los contratos resultantes de la planeación cuenten con el sustento técnico, económico y jurídico que incidirá </w:t>
      </w:r>
      <w:r w:rsidRPr="67DE658D">
        <w:rPr>
          <w:rFonts w:ascii="Verdana" w:eastAsia="Times New Roman" w:hAnsi="Verdana" w:cs="Arial"/>
          <w:lang w:val="es-ES" w:eastAsia="es-MX"/>
        </w:rPr>
        <w:t>en una adecuada ejecución.</w:t>
      </w:r>
    </w:p>
    <w:p w14:paraId="55D5E918" w14:textId="77777777" w:rsidR="0075745A" w:rsidRPr="00F252D7" w:rsidRDefault="0075745A" w:rsidP="0075745A">
      <w:pPr>
        <w:spacing w:after="120" w:line="276" w:lineRule="auto"/>
        <w:ind w:firstLine="357"/>
        <w:jc w:val="both"/>
        <w:rPr>
          <w:rFonts w:ascii="Verdana" w:eastAsia="Times New Roman" w:hAnsi="Verdana" w:cs="Arial"/>
          <w:lang w:val="es-ES_tradnl" w:eastAsia="es-MX"/>
        </w:rPr>
      </w:pPr>
      <w:r w:rsidRPr="00F252D7">
        <w:rPr>
          <w:rFonts w:ascii="Verdana" w:eastAsia="Times New Roman" w:hAnsi="Verdana" w:cs="Arial"/>
          <w:lang w:val="es-ES_tradnl" w:eastAsia="es-MX"/>
        </w:rPr>
        <w:t>Más allá del cumplimiento de la normativa, “los estudios y documentos previos son el soporte para elaborar el proyecto de pliegos, los pliegos de condiciones, y el contrato”</w:t>
      </w:r>
      <w:r w:rsidRPr="00F252D7">
        <w:rPr>
          <w:rFonts w:ascii="Geomanist Light" w:hAnsi="Geomanist Light"/>
          <w:vertAlign w:val="superscript"/>
          <w:lang w:val="es-ES" w:eastAsia="es-MX"/>
        </w:rPr>
        <w:footnoteReference w:id="2"/>
      </w:r>
      <w:r w:rsidRPr="00F252D7">
        <w:rPr>
          <w:rFonts w:ascii="Verdana" w:eastAsia="Times New Roman" w:hAnsi="Verdana" w:cs="Arial"/>
          <w:lang w:val="es-ES_tradnl" w:eastAsia="es-MX"/>
        </w:rPr>
        <w:t xml:space="preserve">, por lo que deben publicarse en la etapa precontractual y sirven de motivación para los documentos expedidos unilateralmente por la Entidad Estatal tales como el acto administrativo de apertura, los pliegos de condiciones y el acto de adjudicación, entre otros. En ese sentido, </w:t>
      </w:r>
      <w:bookmarkStart w:id="10" w:name="_Hlk54011438"/>
      <w:r w:rsidRPr="00F252D7">
        <w:rPr>
          <w:rFonts w:ascii="Verdana" w:eastAsia="Times New Roman" w:hAnsi="Verdana" w:cs="Arial"/>
          <w:lang w:val="es-ES_tradnl" w:eastAsia="es-MX"/>
        </w:rPr>
        <w:t>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10"/>
      <w:r w:rsidRPr="00F252D7">
        <w:rPr>
          <w:rFonts w:ascii="Geomanist Light" w:hAnsi="Geomanist Light"/>
          <w:vertAlign w:val="superscript"/>
          <w:lang w:val="es-ES" w:eastAsia="es-MX"/>
        </w:rPr>
        <w:footnoteReference w:id="3"/>
      </w:r>
      <w:r w:rsidRPr="00F252D7">
        <w:rPr>
          <w:rFonts w:ascii="Verdana" w:eastAsia="Times New Roman" w:hAnsi="Verdana" w:cs="Arial"/>
          <w:lang w:val="es-ES_tradnl" w:eastAsia="es-MX"/>
        </w:rPr>
        <w:t>.</w:t>
      </w:r>
    </w:p>
    <w:p w14:paraId="0A5C2B58" w14:textId="77777777" w:rsidR="0075745A" w:rsidRPr="00F252D7" w:rsidRDefault="0075745A" w:rsidP="00BB0DA7">
      <w:pPr>
        <w:spacing w:after="120" w:line="276" w:lineRule="auto"/>
        <w:ind w:firstLine="708"/>
        <w:jc w:val="both"/>
        <w:rPr>
          <w:rFonts w:ascii="Verdana" w:eastAsia="Times New Roman" w:hAnsi="Verdana" w:cs="Arial"/>
          <w:szCs w:val="24"/>
          <w:lang w:val="es-ES" w:eastAsia="es-ES_tradnl"/>
        </w:rPr>
      </w:pPr>
      <w:r w:rsidRPr="00F252D7">
        <w:rPr>
          <w:rFonts w:ascii="Verdana" w:eastAsia="Times New Roman" w:hAnsi="Verdana" w:cs="Arial"/>
          <w:szCs w:val="24"/>
          <w:lang w:val="es-ES" w:eastAsia="es-ES_tradnl"/>
        </w:rPr>
        <w:lastRenderedPageBreak/>
        <w:t xml:space="preserve">Ahora bien, el numeral 12 del artículo 25 de la Ley 80 de 1993, antes citado, establece el deber de las entidades de realizar estudios previos en dos (2) momentos específicos: i) previo a la apertura de un proceso de selección y </w:t>
      </w:r>
      <w:proofErr w:type="spellStart"/>
      <w:r w:rsidRPr="00F252D7">
        <w:rPr>
          <w:rFonts w:ascii="Verdana" w:eastAsia="Times New Roman" w:hAnsi="Verdana" w:cs="Arial"/>
          <w:szCs w:val="24"/>
          <w:lang w:val="es-ES" w:eastAsia="es-ES_tradnl"/>
        </w:rPr>
        <w:t>ii</w:t>
      </w:r>
      <w:proofErr w:type="spellEnd"/>
      <w:r w:rsidRPr="00F252D7">
        <w:rPr>
          <w:rFonts w:ascii="Verdana" w:eastAsia="Times New Roman" w:hAnsi="Verdana" w:cs="Arial"/>
          <w:szCs w:val="24"/>
          <w:lang w:val="es-ES" w:eastAsia="es-ES_tradnl"/>
        </w:rPr>
        <w:t xml:space="preserve">) previo a la firma del contrato en el caso en que la modalidad de selección sea contratación directa. </w:t>
      </w:r>
    </w:p>
    <w:p w14:paraId="0CF7787C" w14:textId="77777777" w:rsidR="0075745A" w:rsidRPr="00F252D7" w:rsidRDefault="0075745A" w:rsidP="00BB0DA7">
      <w:pPr>
        <w:spacing w:after="120" w:line="276" w:lineRule="auto"/>
        <w:ind w:firstLine="708"/>
        <w:jc w:val="both"/>
        <w:rPr>
          <w:rFonts w:ascii="Verdana" w:eastAsia="Calibri" w:hAnsi="Verdana" w:cs="Arial"/>
          <w:bCs/>
          <w:lang w:val="es-ES_tradnl" w:eastAsia="es-MX"/>
        </w:rPr>
      </w:pPr>
      <w:r w:rsidRPr="00F252D7">
        <w:rPr>
          <w:rFonts w:ascii="Verdana" w:eastAsia="Times New Roman" w:hAnsi="Verdana" w:cs="Arial"/>
          <w:lang w:val="es-ES_tradnl" w:eastAsia="es-MX"/>
        </w:rPr>
        <w:t xml:space="preserve">Por otra parte, conforme se desprende de los numerales 2 y 4 del artículo 2.2.1.1.2.1.1 del Decreto 1082 de 2015, uno de los aspectos principales que deben abarcar los estudios previos es la determinación del objeto a contratar con sus especificaciones y el valor estimado del contrato aparejado de su respectiva justificación. </w:t>
      </w:r>
      <w:r w:rsidRPr="00F252D7">
        <w:rPr>
          <w:rFonts w:ascii="Verdana" w:eastAsia="Calibri" w:hAnsi="Verdana" w:cs="Arial"/>
          <w:bCs/>
          <w:lang w:val="es-ES_tradnl" w:eastAsia="es-MX"/>
        </w:rPr>
        <w:t xml:space="preserve">Para estos efectos resulta relevante </w:t>
      </w:r>
      <w:bookmarkStart w:id="11" w:name="_Hlk139465916"/>
      <w:r w:rsidRPr="00F252D7">
        <w:rPr>
          <w:rFonts w:ascii="Verdana" w:eastAsia="Calibri" w:hAnsi="Verdana" w:cs="Arial"/>
          <w:bCs/>
          <w:lang w:val="es-ES_tradnl" w:eastAsia="es-MX"/>
        </w:rPr>
        <w:t xml:space="preserve">la información recolectada en el marco del </w:t>
      </w:r>
      <w:r w:rsidRPr="00F252D7">
        <w:rPr>
          <w:rFonts w:ascii="Verdana" w:eastAsia="Calibri" w:hAnsi="Verdana" w:cs="Arial"/>
          <w:bCs/>
          <w:i/>
          <w:iCs/>
          <w:lang w:val="es-ES_tradnl" w:eastAsia="es-MX"/>
        </w:rPr>
        <w:t>estudio del mercado</w:t>
      </w:r>
      <w:r w:rsidRPr="00F252D7">
        <w:rPr>
          <w:rFonts w:ascii="Verdana" w:eastAsia="Calibri" w:hAnsi="Verdana" w:cs="Arial"/>
          <w:bCs/>
          <w:lang w:val="es-ES_tradnl" w:eastAsia="es-MX"/>
        </w:rPr>
        <w:t xml:space="preserve"> y el análisis del sector económico y de los potenciales oferentes, actividades de planeación previa que sirven para identificar aspectos concretos del mercado que pueden afectar el proceso de selección o las condiciones del negocio a realizar mediante el proceso de contratación. En este sentido, el análisis del sector de las perspectivas legal, comercial, financiera, organizacional, técnica, y de análisis de Riesgo, al que se refiere el artículo </w:t>
      </w:r>
      <w:bookmarkStart w:id="12" w:name="_Hlk36117416"/>
      <w:r w:rsidRPr="00F252D7">
        <w:rPr>
          <w:rFonts w:ascii="Verdana" w:eastAsia="Calibri" w:hAnsi="Verdana" w:cs="Arial"/>
          <w:bCs/>
          <w:lang w:val="es-ES_tradnl" w:eastAsia="es-MX"/>
        </w:rPr>
        <w:t>2.2.1.1.1.6.1 del Decreto 1082 de 2015</w:t>
      </w:r>
      <w:bookmarkEnd w:id="12"/>
      <w:r w:rsidRPr="00F252D7">
        <w:rPr>
          <w:rFonts w:ascii="Verdana" w:eastAsia="Calibri" w:hAnsi="Verdana" w:cs="Arial"/>
          <w:bCs/>
          <w:lang w:val="es-ES_tradnl" w:eastAsia="es-MX"/>
        </w:rPr>
        <w:t>, constituye un insumo importante para determinar factores que pudieran determinar el valor del contrato y orientar a la entidad en torno al monto de la disponibilidad presupuestal que requiere para realizar la contratación</w:t>
      </w:r>
      <w:bookmarkEnd w:id="11"/>
      <w:r w:rsidRPr="00F252D7">
        <w:rPr>
          <w:rFonts w:ascii="Geomanist Light" w:eastAsia="Calibri" w:hAnsi="Geomanist Light"/>
          <w:bCs/>
          <w:vertAlign w:val="superscript"/>
          <w:lang w:val="es-ES" w:eastAsia="es-MX"/>
        </w:rPr>
        <w:footnoteReference w:id="4"/>
      </w:r>
      <w:r w:rsidRPr="00F252D7">
        <w:rPr>
          <w:rFonts w:ascii="Verdana" w:eastAsia="Calibri" w:hAnsi="Verdana" w:cs="Arial"/>
          <w:bCs/>
          <w:lang w:val="es-ES_tradnl" w:eastAsia="es-MX"/>
        </w:rPr>
        <w:t xml:space="preserve">. </w:t>
      </w:r>
    </w:p>
    <w:p w14:paraId="0CD5D24A" w14:textId="77777777" w:rsidR="0075745A" w:rsidRPr="00F252D7" w:rsidRDefault="0075745A" w:rsidP="00BB0DA7">
      <w:pPr>
        <w:spacing w:after="120" w:line="276" w:lineRule="auto"/>
        <w:ind w:firstLine="708"/>
        <w:jc w:val="both"/>
        <w:rPr>
          <w:rFonts w:ascii="Verdana" w:eastAsia="Calibri" w:hAnsi="Verdana" w:cs="Arial"/>
          <w:lang w:val="es-ES" w:eastAsia="es-MX"/>
        </w:rPr>
      </w:pPr>
      <w:r w:rsidRPr="41260AC2">
        <w:rPr>
          <w:rFonts w:ascii="Verdana" w:eastAsia="Calibri" w:hAnsi="Verdana" w:cs="Arial"/>
          <w:lang w:val="es-ES" w:eastAsia="es-MX"/>
        </w:rPr>
        <w:t xml:space="preserve">De acuerdo con la norma citada, </w:t>
      </w:r>
      <w:bookmarkStart w:id="13" w:name="_Hlk36140682"/>
      <w:r w:rsidRPr="41260AC2">
        <w:rPr>
          <w:rFonts w:ascii="Verdana" w:eastAsia="Calibri" w:hAnsi="Verdana" w:cs="Arial"/>
          <w:lang w:val="es-ES" w:eastAsia="es-MX"/>
        </w:rPr>
        <w:t xml:space="preserve">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w:t>
      </w:r>
      <w:r w:rsidRPr="41260AC2">
        <w:rPr>
          <w:rFonts w:ascii="Verdana" w:eastAsia="Calibri" w:hAnsi="Verdana" w:cs="Arial"/>
          <w:lang w:val="es-ES" w:eastAsia="es-MX"/>
        </w:rPr>
        <w:lastRenderedPageBreak/>
        <w:t>naturales que ofrecen dicho bien o servicio. Con la perspectiva organizacional se pretende que la Entidad Estatal entienda cómo están organizados internamente los posibles oferentes y de qué manera realizan sus negocios y operaciones.</w:t>
      </w:r>
    </w:p>
    <w:p w14:paraId="01F11EED" w14:textId="77777777" w:rsidR="0075745A" w:rsidRPr="00F252D7" w:rsidRDefault="0075745A" w:rsidP="00BB0DA7">
      <w:pPr>
        <w:spacing w:after="120" w:line="276" w:lineRule="auto"/>
        <w:ind w:firstLine="708"/>
        <w:jc w:val="both"/>
        <w:rPr>
          <w:rFonts w:ascii="Verdana" w:eastAsia="Calibri" w:hAnsi="Verdana" w:cs="Arial"/>
          <w:bCs/>
          <w:lang w:val="es-ES_tradnl" w:eastAsia="es-MX"/>
        </w:rPr>
      </w:pPr>
      <w:r w:rsidRPr="00F252D7">
        <w:rPr>
          <w:rFonts w:ascii="Verdana" w:eastAsia="Calibri" w:hAnsi="Verdana" w:cs="Arial"/>
          <w:bCs/>
          <w:lang w:val="es-ES_tradnl" w:eastAsia="es-MX"/>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1A3C2CDD" w14:textId="77777777" w:rsidR="0075745A" w:rsidRPr="00F252D7" w:rsidRDefault="0075745A" w:rsidP="00BB0DA7">
      <w:pPr>
        <w:spacing w:after="120" w:line="276" w:lineRule="auto"/>
        <w:ind w:firstLine="360"/>
        <w:jc w:val="both"/>
        <w:rPr>
          <w:rFonts w:ascii="Verdana" w:eastAsia="Calibri" w:hAnsi="Verdana" w:cs="Arial"/>
          <w:lang w:val="es-ES" w:eastAsia="es-MX"/>
        </w:rPr>
      </w:pPr>
      <w:r w:rsidRPr="58B0B659">
        <w:rPr>
          <w:rFonts w:ascii="Verdana" w:eastAsia="Calibri" w:hAnsi="Verdana" w:cs="Arial"/>
          <w:lang w:val="es-ES" w:eastAsia="es-MX"/>
        </w:rPr>
        <w:t xml:space="preserve">Dicho análisis facilita tanto el conocimiento del sector, desde una perspectiva multidisciplinaria, como de los proveedores disponibles en el mercado para satisfacer la necesidad de la entidad contratante. Igualmente,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cómo las Entidades Estatales y los particulares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1191C7B2" w14:textId="77777777" w:rsidR="0075745A" w:rsidRPr="00F252D7" w:rsidRDefault="0075745A" w:rsidP="00BB0DA7">
      <w:pPr>
        <w:spacing w:after="120" w:line="276" w:lineRule="auto"/>
        <w:ind w:firstLine="708"/>
        <w:contextualSpacing/>
        <w:jc w:val="both"/>
        <w:rPr>
          <w:rFonts w:ascii="Verdana" w:eastAsia="Calibri" w:hAnsi="Verdana" w:cs="Arial"/>
          <w:bCs/>
          <w:lang w:val="es-ES_tradnl" w:eastAsia="es-MX"/>
        </w:rPr>
      </w:pPr>
      <w:r w:rsidRPr="00F252D7">
        <w:rPr>
          <w:rFonts w:ascii="Verdana" w:eastAsia="Calibri" w:hAnsi="Verdana" w:cs="Arial"/>
          <w:bCs/>
          <w:lang w:val="es-ES_tradnl" w:eastAsia="es-MX"/>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F252D7">
        <w:rPr>
          <w:rFonts w:ascii="Verdana" w:eastAsia="Times New Roman" w:hAnsi="Verdana" w:cs="Arial"/>
          <w:lang w:val="es-ES_tradnl" w:eastAsia="es-CO"/>
        </w:rPr>
        <w:t xml:space="preserve">son autónomas para estructurarlo, para lo cual deberán cumplir lo dispuesto en el artículo </w:t>
      </w:r>
      <w:r w:rsidRPr="00F252D7">
        <w:rPr>
          <w:rFonts w:ascii="Verdana" w:eastAsia="Calibri" w:hAnsi="Verdana" w:cs="Arial"/>
          <w:bCs/>
          <w:lang w:val="es-ES_tradnl" w:eastAsia="es-MX"/>
        </w:rPr>
        <w:t xml:space="preserve">2.2.1.1.1.6.1 del Decreto 1082 de 2015 y realizar un análisis integral de planeación que </w:t>
      </w:r>
      <w:r w:rsidRPr="00F252D7">
        <w:rPr>
          <w:rFonts w:ascii="Verdana" w:eastAsia="Times New Roman" w:hAnsi="Verdana" w:cs="Arial"/>
          <w:lang w:val="es-ES_tradnl" w:eastAsia="es-MX"/>
        </w:rPr>
        <w:t xml:space="preserve">sirva de sustento a la decisión de </w:t>
      </w:r>
      <w:r w:rsidRPr="00F252D7">
        <w:rPr>
          <w:rFonts w:ascii="Verdana" w:eastAsia="Times New Roman" w:hAnsi="Verdana" w:cs="Arial"/>
          <w:bCs/>
          <w:lang w:val="es-ES_tradnl" w:eastAsia="es-MX"/>
        </w:rPr>
        <w:t>realizar un Proceso de Contratación.</w:t>
      </w:r>
    </w:p>
    <w:p w14:paraId="20A6C4FE" w14:textId="77777777" w:rsidR="0075745A" w:rsidRDefault="0075745A" w:rsidP="00BB0DA7">
      <w:pPr>
        <w:spacing w:after="120" w:line="276" w:lineRule="auto"/>
        <w:ind w:firstLine="709"/>
        <w:jc w:val="both"/>
        <w:rPr>
          <w:rFonts w:ascii="Verdana" w:eastAsia="Calibri" w:hAnsi="Verdana" w:cs="Arial"/>
          <w:bCs/>
          <w:szCs w:val="24"/>
          <w:lang w:val="es-ES" w:eastAsia="es-ES_tradnl"/>
        </w:rPr>
      </w:pPr>
      <w:bookmarkStart w:id="14" w:name="_Hlk139466113"/>
      <w:bookmarkEnd w:id="13"/>
      <w:r w:rsidRPr="00F252D7">
        <w:rPr>
          <w:rFonts w:ascii="Verdana" w:eastAsia="Calibri" w:hAnsi="Verdana" w:cs="Arial"/>
          <w:bCs/>
          <w:lang w:val="es-ES_tradnl" w:eastAsia="es-MX"/>
        </w:rPr>
        <w:lastRenderedPageBreak/>
        <w:t>La Agencia Nacional de Contratación Pública – Colombia Compra Eficiente dispone de una “Guía para la Elaboración de Estudios del Sector”</w:t>
      </w:r>
      <w:r w:rsidRPr="00F252D7">
        <w:rPr>
          <w:rFonts w:ascii="Verdana" w:eastAsia="Times New Roman" w:hAnsi="Verdana" w:cs="Arial"/>
          <w:vertAlign w:val="superscript"/>
          <w:lang w:val="es-ES_tradnl" w:eastAsia="es-CO"/>
        </w:rPr>
        <w:t xml:space="preserve"> </w:t>
      </w:r>
      <w:r w:rsidRPr="00F252D7">
        <w:rPr>
          <w:rFonts w:ascii="Geomanist Light" w:eastAsia="Times New Roman" w:hAnsi="Geomanist Light"/>
          <w:vertAlign w:val="superscript"/>
          <w:lang w:val="es-ES" w:eastAsia="es-CO"/>
        </w:rPr>
        <w:footnoteReference w:id="5"/>
      </w:r>
      <w:r w:rsidRPr="00F252D7">
        <w:rPr>
          <w:rFonts w:ascii="Verdana" w:eastAsia="Calibri" w:hAnsi="Verdana" w:cs="Arial"/>
          <w:bCs/>
          <w:lang w:val="es-ES_tradnl" w:eastAsia="es-MX"/>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bookmarkEnd w:id="14"/>
      <w:r w:rsidRPr="00F252D7">
        <w:rPr>
          <w:rFonts w:ascii="Verdana" w:eastAsia="Calibri" w:hAnsi="Verdana" w:cs="Arial"/>
          <w:bCs/>
          <w:lang w:val="es-ES_tradnl" w:eastAsia="es-MX"/>
        </w:rPr>
        <w:t xml:space="preserve"> </w:t>
      </w:r>
      <w:r w:rsidRPr="00F252D7">
        <w:rPr>
          <w:rFonts w:ascii="Verdana" w:eastAsia="Calibri" w:hAnsi="Verdana" w:cs="Arial"/>
          <w:bCs/>
          <w:szCs w:val="24"/>
          <w:lang w:val="es-ES_tradnl" w:eastAsia="es-ES_tradnl"/>
        </w:rPr>
        <w:t>Esta Guía es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w:t>
      </w:r>
      <w:r w:rsidRPr="00F252D7">
        <w:rPr>
          <w:rFonts w:ascii="Verdana" w:eastAsia="Calibri" w:hAnsi="Verdana" w:cs="Arial"/>
          <w:bCs/>
          <w:szCs w:val="24"/>
          <w:lang w:val="es-ES" w:eastAsia="es-ES_tradnl"/>
        </w:rPr>
        <w:t xml:space="preserve"> recomendaciones generales por lo que no debe aplicarse de manera mecánica, pues la profundidad del estudio del sector depende de la complejidad y particularidades de cada Proceso de Contratación. </w:t>
      </w:r>
    </w:p>
    <w:p w14:paraId="38E00922" w14:textId="77777777" w:rsidR="0075745A" w:rsidRPr="00FE365D" w:rsidRDefault="0075745A" w:rsidP="00BB0DA7">
      <w:pPr>
        <w:spacing w:after="120" w:line="276" w:lineRule="auto"/>
        <w:ind w:firstLine="709"/>
        <w:jc w:val="both"/>
        <w:rPr>
          <w:rFonts w:ascii="Verdana" w:eastAsia="Calibri" w:hAnsi="Verdana" w:cs="Arial"/>
          <w:lang w:eastAsia="es-MX"/>
        </w:rPr>
      </w:pPr>
      <w:r w:rsidRPr="003E2550">
        <w:rPr>
          <w:rFonts w:ascii="Verdana" w:eastAsia="Calibri" w:hAnsi="Verdana" w:cs="Arial"/>
          <w:lang w:eastAsia="es-MX"/>
        </w:rPr>
        <w:t xml:space="preserve">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 </w:t>
      </w:r>
    </w:p>
    <w:p w14:paraId="05CB346C" w14:textId="77777777" w:rsidR="0075745A" w:rsidRPr="00FE365D" w:rsidRDefault="0075745A" w:rsidP="00BB0DA7">
      <w:pPr>
        <w:spacing w:after="120" w:line="276" w:lineRule="auto"/>
        <w:ind w:firstLine="709"/>
        <w:jc w:val="both"/>
        <w:rPr>
          <w:rFonts w:ascii="Verdana" w:hAnsi="Verdana"/>
          <w:lang w:eastAsia="es-ES_tradnl"/>
        </w:rPr>
      </w:pPr>
      <w:r w:rsidRPr="003E2550">
        <w:rPr>
          <w:rFonts w:ascii="Verdana" w:eastAsia="Calibri" w:hAnsi="Verdana" w:cs="Arial"/>
          <w:szCs w:val="24"/>
          <w:lang w:val="es-ES_tradnl" w:eastAsia="es-ES_tradnl"/>
        </w:rPr>
        <w:t xml:space="preserve">Así mismo, en </w:t>
      </w:r>
      <w:bookmarkStart w:id="15" w:name="_Hlk139466181"/>
      <w:r w:rsidRPr="003E2550">
        <w:rPr>
          <w:rFonts w:ascii="Verdana" w:eastAsia="Calibri" w:hAnsi="Verdana" w:cs="Arial"/>
          <w:szCs w:val="24"/>
          <w:lang w:val="es-ES_tradnl" w:eastAsia="es-ES_tradnl"/>
        </w:rPr>
        <w:t xml:space="preserve">la Guía se indica que como parte de la estructura del estudio del sector se debe realizar un análisis del comportamiento del gasto histórico, el estudio de la oferta y el estudio del mercado. </w:t>
      </w:r>
      <w:bookmarkStart w:id="16" w:name="_Hlk78204338"/>
      <w:bookmarkEnd w:id="15"/>
      <w:r w:rsidRPr="003E2550">
        <w:rPr>
          <w:rFonts w:ascii="Verdana" w:eastAsia="Calibri" w:hAnsi="Verdana" w:cs="Arial"/>
          <w:lang w:eastAsia="es-ES_tradnl"/>
        </w:rPr>
        <w:t>D</w:t>
      </w:r>
      <w:r w:rsidRPr="003E2550">
        <w:rPr>
          <w:rFonts w:ascii="Verdana" w:hAnsi="Verdana"/>
          <w:lang w:eastAsia="es-ES_tradnl"/>
        </w:rPr>
        <w:t>e forma puntual, la Guía indica que “la Entidad Estatal debe identificar los proveedores en el mercado del bien o servicio, así como sus principales características como tamaño empresarial, ubicación, esquemas de producción y comportamiento financiero”.</w:t>
      </w:r>
      <w:bookmarkEnd w:id="16"/>
      <w:r w:rsidRPr="003E2550">
        <w:rPr>
          <w:rFonts w:ascii="Verdana" w:hAnsi="Verdana"/>
          <w:lang w:eastAsia="es-ES_tradnl"/>
        </w:rPr>
        <w:t xml:space="preserve"> </w:t>
      </w:r>
    </w:p>
    <w:p w14:paraId="5FA6C942" w14:textId="77777777" w:rsidR="0075745A" w:rsidRPr="003E2550" w:rsidRDefault="0075745A" w:rsidP="00BB0DA7">
      <w:pPr>
        <w:spacing w:after="120" w:line="276" w:lineRule="auto"/>
        <w:ind w:firstLine="708"/>
        <w:contextualSpacing/>
        <w:jc w:val="both"/>
        <w:rPr>
          <w:rFonts w:ascii="Verdana" w:eastAsia="Calibri" w:hAnsi="Verdana" w:cs="Arial"/>
          <w:szCs w:val="24"/>
          <w:lang w:eastAsia="es-ES_tradnl"/>
        </w:rPr>
      </w:pPr>
      <w:r w:rsidRPr="003E2550">
        <w:rPr>
          <w:rFonts w:ascii="Verdana" w:eastAsia="Calibri" w:hAnsi="Verdana" w:cs="Arial"/>
          <w:szCs w:val="24"/>
          <w:lang w:eastAsia="es-ES_tradnl"/>
        </w:rPr>
        <w:t xml:space="preserve">Ahora bien, </w:t>
      </w:r>
      <w:bookmarkStart w:id="17" w:name="_Hlk139466204"/>
      <w:r w:rsidRPr="003E2550">
        <w:rPr>
          <w:rFonts w:ascii="Verdana" w:eastAsia="Calibri" w:hAnsi="Verdana" w:cs="Arial"/>
          <w:szCs w:val="24"/>
          <w:lang w:eastAsia="es-ES_tradnl"/>
        </w:rPr>
        <w:t xml:space="preserve">respecto a el </w:t>
      </w:r>
      <w:r w:rsidRPr="003E2550">
        <w:rPr>
          <w:rFonts w:ascii="Verdana" w:eastAsia="Calibri" w:hAnsi="Verdana" w:cs="Arial"/>
          <w:i/>
          <w:szCs w:val="24"/>
          <w:lang w:eastAsia="es-ES_tradnl"/>
        </w:rPr>
        <w:t xml:space="preserve">estudio del mercado, </w:t>
      </w:r>
      <w:r w:rsidRPr="003E2550">
        <w:rPr>
          <w:rFonts w:ascii="Verdana" w:eastAsia="Calibri" w:hAnsi="Verdana" w:cs="Arial"/>
          <w:szCs w:val="24"/>
          <w:lang w:eastAsia="es-ES_tradnl"/>
        </w:rPr>
        <w:t xml:space="preserve">este se encuentra inmerso dentro del análisis del sector y permite comprender la dinámica de los precios y establecer el presupuesto oficial de la contratación, el cual incluye la realización de un análisis de los diferentes precios de los bienes o servicios a contratar que </w:t>
      </w:r>
      <w:r w:rsidRPr="003E2550">
        <w:rPr>
          <w:rFonts w:ascii="Verdana" w:eastAsia="Calibri" w:hAnsi="Verdana" w:cs="Arial"/>
          <w:szCs w:val="24"/>
          <w:lang w:eastAsia="es-ES_tradnl"/>
        </w:rPr>
        <w:lastRenderedPageBreak/>
        <w:t>se registran en el mercado, los cuales pueden consultarse a través de mecanismos como:</w:t>
      </w:r>
    </w:p>
    <w:p w14:paraId="1C83C165" w14:textId="77777777" w:rsidR="0075745A" w:rsidRDefault="0075745A" w:rsidP="00BB0DA7">
      <w:pPr>
        <w:pStyle w:val="Prrafodelista"/>
        <w:numPr>
          <w:ilvl w:val="0"/>
          <w:numId w:val="18"/>
        </w:numPr>
        <w:spacing w:after="120" w:line="276" w:lineRule="auto"/>
        <w:ind w:left="360"/>
        <w:jc w:val="both"/>
        <w:rPr>
          <w:rFonts w:ascii="Verdana" w:eastAsia="Calibri" w:hAnsi="Verdana" w:cs="Arial"/>
          <w:szCs w:val="24"/>
          <w:lang w:eastAsia="es-ES_tradnl"/>
        </w:rPr>
      </w:pPr>
      <w:r>
        <w:rPr>
          <w:rFonts w:ascii="Verdana" w:eastAsia="Calibri" w:hAnsi="Verdana" w:cs="Arial"/>
          <w:szCs w:val="24"/>
          <w:lang w:eastAsia="es-ES_tradnl"/>
        </w:rPr>
        <w:t>R</w:t>
      </w:r>
      <w:r w:rsidRPr="00A34454">
        <w:rPr>
          <w:rFonts w:ascii="Verdana" w:eastAsia="Calibri" w:hAnsi="Verdana" w:cs="Arial"/>
          <w:szCs w:val="24"/>
          <w:lang w:eastAsia="es-ES_tradnl"/>
        </w:rPr>
        <w:t>evisión de precios</w:t>
      </w:r>
      <w:r w:rsidRPr="006D7828">
        <w:rPr>
          <w:rFonts w:ascii="Verdana" w:eastAsia="Calibri" w:hAnsi="Verdana" w:cs="Arial"/>
          <w:szCs w:val="24"/>
          <w:lang w:eastAsia="es-ES_tradnl"/>
        </w:rPr>
        <w:t xml:space="preserve"> por solicitud de cotizaciones</w:t>
      </w:r>
      <w:r>
        <w:rPr>
          <w:rFonts w:ascii="Verdana" w:eastAsia="Calibri" w:hAnsi="Verdana" w:cs="Arial"/>
          <w:szCs w:val="24"/>
          <w:lang w:eastAsia="es-ES_tradnl"/>
        </w:rPr>
        <w:t xml:space="preserve">: </w:t>
      </w:r>
      <w:r w:rsidRPr="006D7828">
        <w:rPr>
          <w:rFonts w:ascii="Verdana" w:eastAsia="Calibri" w:hAnsi="Verdana" w:cs="Arial"/>
          <w:szCs w:val="24"/>
          <w:lang w:eastAsia="es-ES_tradnl"/>
        </w:rPr>
        <w:t>la Guía recomienda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w:t>
      </w:r>
      <w:r>
        <w:rPr>
          <w:rFonts w:ascii="Verdana" w:eastAsia="Calibri" w:hAnsi="Verdana" w:cs="Arial"/>
          <w:szCs w:val="24"/>
          <w:lang w:eastAsia="es-ES_tradnl"/>
        </w:rPr>
        <w:t>.</w:t>
      </w:r>
    </w:p>
    <w:p w14:paraId="7027B2AA" w14:textId="77777777" w:rsidR="00AE3FD0" w:rsidRDefault="00AE3FD0" w:rsidP="00483DEA">
      <w:pPr>
        <w:pStyle w:val="Prrafodelista"/>
        <w:spacing w:after="120" w:line="276" w:lineRule="auto"/>
        <w:ind w:left="360"/>
        <w:jc w:val="both"/>
        <w:rPr>
          <w:rFonts w:ascii="Verdana" w:eastAsia="Calibri" w:hAnsi="Verdana" w:cs="Arial"/>
          <w:szCs w:val="24"/>
          <w:lang w:eastAsia="es-ES_tradnl"/>
        </w:rPr>
      </w:pPr>
    </w:p>
    <w:p w14:paraId="059F000F" w14:textId="4F905C09" w:rsidR="0075745A" w:rsidRPr="00A34454" w:rsidRDefault="0075745A" w:rsidP="00BB0DA7">
      <w:pPr>
        <w:pStyle w:val="Prrafodelista"/>
        <w:spacing w:after="120" w:line="276" w:lineRule="auto"/>
        <w:ind w:left="360"/>
        <w:jc w:val="both"/>
        <w:rPr>
          <w:rFonts w:ascii="Verdana" w:eastAsia="Calibri" w:hAnsi="Verdana" w:cs="Arial"/>
          <w:szCs w:val="24"/>
          <w:lang w:eastAsia="es-ES_tradnl"/>
        </w:rPr>
      </w:pPr>
      <w:r w:rsidRPr="00A34454">
        <w:rPr>
          <w:rFonts w:ascii="Verdana" w:eastAsia="Calibri" w:hAnsi="Verdana" w:cs="Arial"/>
          <w:szCs w:val="24"/>
          <w:lang w:eastAsia="es-ES_tradnl"/>
        </w:rPr>
        <w:t xml:space="preserve">Así mismo, se indica que, al recibir las cotizaciones, debe verificarse la ocurrencia de circunstancias que eventualmente pueden distorsionar los precios del mercado, como ofertas especiales de almacenes de cadena, fenómenos de escasez o abundancia del producto, entre otros aspectos. </w:t>
      </w:r>
    </w:p>
    <w:p w14:paraId="3FD1F40D" w14:textId="77777777" w:rsidR="0075745A" w:rsidRDefault="0075745A" w:rsidP="00BB0DA7">
      <w:pPr>
        <w:pStyle w:val="Prrafodelista"/>
        <w:spacing w:after="120" w:line="276" w:lineRule="auto"/>
        <w:ind w:left="360"/>
        <w:jc w:val="both"/>
        <w:rPr>
          <w:rFonts w:ascii="Verdana" w:eastAsia="Calibri" w:hAnsi="Verdana" w:cs="Arial"/>
          <w:szCs w:val="24"/>
          <w:lang w:eastAsia="es-ES_tradnl"/>
        </w:rPr>
      </w:pPr>
    </w:p>
    <w:p w14:paraId="748C5DD4" w14:textId="77777777" w:rsidR="0075745A" w:rsidRDefault="0075745A" w:rsidP="00BB0DA7">
      <w:pPr>
        <w:pStyle w:val="Prrafodelista"/>
        <w:numPr>
          <w:ilvl w:val="0"/>
          <w:numId w:val="18"/>
        </w:numPr>
        <w:spacing w:after="120" w:line="276" w:lineRule="auto"/>
        <w:ind w:left="360"/>
        <w:jc w:val="both"/>
        <w:rPr>
          <w:rFonts w:ascii="Verdana" w:eastAsia="Calibri" w:hAnsi="Verdana" w:cs="Arial"/>
          <w:szCs w:val="24"/>
          <w:lang w:eastAsia="es-ES_tradnl"/>
        </w:rPr>
      </w:pPr>
      <w:r>
        <w:rPr>
          <w:rFonts w:ascii="Verdana" w:eastAsia="Calibri" w:hAnsi="Verdana" w:cs="Arial"/>
          <w:szCs w:val="24"/>
          <w:lang w:eastAsia="es-ES_tradnl"/>
        </w:rPr>
        <w:t>R</w:t>
      </w:r>
      <w:r w:rsidRPr="00A34454">
        <w:rPr>
          <w:rFonts w:ascii="Verdana" w:eastAsia="Calibri" w:hAnsi="Verdana" w:cs="Arial"/>
          <w:szCs w:val="24"/>
          <w:lang w:eastAsia="es-ES_tradnl"/>
        </w:rPr>
        <w:t>evisión de bases de datos especializadas</w:t>
      </w:r>
      <w:r>
        <w:rPr>
          <w:rFonts w:ascii="Verdana" w:eastAsia="Calibri" w:hAnsi="Verdana" w:cs="Arial"/>
          <w:szCs w:val="24"/>
          <w:lang w:eastAsia="es-ES_tradnl"/>
        </w:rPr>
        <w:t>:</w:t>
      </w:r>
      <w:r w:rsidRPr="006D7828">
        <w:rPr>
          <w:rFonts w:ascii="Verdana" w:eastAsia="Calibri" w:hAnsi="Verdana" w:cs="Arial"/>
          <w:szCs w:val="24"/>
          <w:lang w:eastAsia="es-ES_tradnl"/>
        </w:rPr>
        <w:t xml:space="preserve"> la Guía señala que es conveniente adelantarla cuando por las condiciones del mercado del bien o servicio a contratar se requiera, y el responsable deberá dejar constancia de las consultas realizadas y de los precios que soportan su estudio. Las bases de datos consultadas deben ser especializadas y representativas en el mercado del bien o servicio a contratar. </w:t>
      </w:r>
    </w:p>
    <w:p w14:paraId="47F87651" w14:textId="77777777" w:rsidR="0075745A" w:rsidRDefault="0075745A" w:rsidP="00BB0DA7">
      <w:pPr>
        <w:pStyle w:val="Prrafodelista"/>
        <w:spacing w:after="120" w:line="276" w:lineRule="auto"/>
        <w:ind w:left="360"/>
        <w:jc w:val="both"/>
        <w:rPr>
          <w:rFonts w:ascii="Verdana" w:eastAsia="Calibri" w:hAnsi="Verdana" w:cs="Arial"/>
          <w:szCs w:val="24"/>
          <w:lang w:eastAsia="es-ES_tradnl"/>
        </w:rPr>
      </w:pPr>
    </w:p>
    <w:p w14:paraId="21DFD546" w14:textId="77777777" w:rsidR="0075745A" w:rsidRDefault="0075745A" w:rsidP="00BB0DA7">
      <w:pPr>
        <w:pStyle w:val="Prrafodelista"/>
        <w:numPr>
          <w:ilvl w:val="0"/>
          <w:numId w:val="18"/>
        </w:numPr>
        <w:spacing w:after="120" w:line="276" w:lineRule="auto"/>
        <w:ind w:left="360"/>
        <w:jc w:val="both"/>
        <w:rPr>
          <w:rFonts w:ascii="Verdana" w:eastAsia="Calibri" w:hAnsi="Verdana" w:cs="Arial"/>
          <w:szCs w:val="24"/>
          <w:lang w:eastAsia="es-ES_tradnl"/>
        </w:rPr>
      </w:pPr>
      <w:r>
        <w:rPr>
          <w:rFonts w:ascii="Verdana" w:eastAsia="Calibri" w:hAnsi="Verdana" w:cs="Arial"/>
          <w:szCs w:val="24"/>
          <w:lang w:eastAsia="es-ES_tradnl"/>
        </w:rPr>
        <w:t>R</w:t>
      </w:r>
      <w:r w:rsidRPr="006D7828">
        <w:rPr>
          <w:rFonts w:ascii="Verdana" w:eastAsia="Calibri" w:hAnsi="Verdana" w:cs="Arial"/>
          <w:szCs w:val="24"/>
          <w:lang w:eastAsia="es-ES_tradnl"/>
        </w:rPr>
        <w:t xml:space="preserve">evisión de precios históricos se sugiere verificar la variación de los precios históricos derivados del índice de precios al consumidor en cada año, examinando si se han presentado fenómenos económicos que hayan implicado fluctuaciones importantes en el comercio del bien o servicio, siempre que las características del bien o servicio sean las mismas entre una contratación y otra.  </w:t>
      </w:r>
    </w:p>
    <w:bookmarkEnd w:id="17"/>
    <w:p w14:paraId="23059BB9" w14:textId="77777777" w:rsidR="0075745A" w:rsidRPr="009E579A" w:rsidRDefault="0075745A" w:rsidP="00BB0DA7">
      <w:pPr>
        <w:pStyle w:val="Prrafodelista"/>
        <w:spacing w:after="0" w:line="276" w:lineRule="auto"/>
        <w:jc w:val="both"/>
        <w:rPr>
          <w:rFonts w:ascii="Verdana" w:eastAsia="Calibri" w:hAnsi="Verdana" w:cs="Arial"/>
          <w:szCs w:val="24"/>
          <w:lang w:eastAsia="es-ES_tradnl"/>
        </w:rPr>
      </w:pPr>
    </w:p>
    <w:p w14:paraId="2933D203" w14:textId="77777777" w:rsidR="0075745A" w:rsidRPr="00FE365D" w:rsidRDefault="0075745A" w:rsidP="00BB0DA7">
      <w:pPr>
        <w:spacing w:after="120" w:line="276" w:lineRule="auto"/>
        <w:ind w:firstLine="708"/>
        <w:jc w:val="both"/>
        <w:rPr>
          <w:rFonts w:ascii="Verdana" w:eastAsia="Calibri" w:hAnsi="Verdana" w:cs="Arial"/>
          <w:szCs w:val="24"/>
          <w:lang w:eastAsia="es-ES_tradnl"/>
        </w:rPr>
      </w:pPr>
      <w:bookmarkStart w:id="18" w:name="_Hlk139466471"/>
      <w:r w:rsidRPr="003E2550">
        <w:rPr>
          <w:rFonts w:ascii="Verdana" w:eastAsia="Calibri" w:hAnsi="Verdana" w:cs="Arial"/>
          <w:szCs w:val="24"/>
          <w:lang w:eastAsia="es-ES_tradnl"/>
        </w:rPr>
        <w:t xml:space="preserve">Como se observa, la “Guía de Elaboración de Estudios del Sector” recomienda como mecanismo para la elaboración de </w:t>
      </w:r>
      <w:r w:rsidRPr="003E2550">
        <w:rPr>
          <w:rFonts w:ascii="Verdana" w:eastAsia="Calibri" w:hAnsi="Verdana" w:cs="Arial"/>
          <w:i/>
          <w:szCs w:val="24"/>
          <w:lang w:eastAsia="es-ES_tradnl"/>
        </w:rPr>
        <w:t>estudios del mercado</w:t>
      </w:r>
      <w:r w:rsidRPr="003E2550">
        <w:rPr>
          <w:rFonts w:ascii="Verdana" w:eastAsia="Calibri" w:hAnsi="Verdana" w:cs="Arial"/>
          <w:szCs w:val="24"/>
          <w:lang w:eastAsia="es-ES_tradnl"/>
        </w:rPr>
        <w:t xml:space="preserve">, que sirvan para entender la dinámica de los precios y establecer el presupuesto oficial de la contratación, requerir a los potenciales proveedores a fin de que remitan la información necesaria para determinar diversos aspectos de los bienes o servicios a contratar, entre ellos su valor, especificaciones técnicas, el plazo, entre otra información relevante. En principio, que un potencial proveedor </w:t>
      </w:r>
      <w:r w:rsidRPr="003E2550">
        <w:rPr>
          <w:rFonts w:ascii="Verdana" w:eastAsia="Calibri" w:hAnsi="Verdana" w:cs="Arial"/>
          <w:szCs w:val="24"/>
          <w:lang w:eastAsia="es-ES_tradnl"/>
        </w:rPr>
        <w:lastRenderedPageBreak/>
        <w:t>participe en estos estudios del mercado, remitiendo cotizaciones por citar un ejemplo, no implica que en el futuro no pueda participar del Proceso de Contratación que se adelante; ni tampoco estas son vinculantes para la entidad contratante.</w:t>
      </w:r>
      <w:bookmarkEnd w:id="18"/>
    </w:p>
    <w:p w14:paraId="440C93B5" w14:textId="77777777" w:rsidR="0075745A" w:rsidRPr="00FE365D" w:rsidRDefault="0075745A" w:rsidP="00BB0DA7">
      <w:pPr>
        <w:spacing w:after="120" w:line="276" w:lineRule="auto"/>
        <w:ind w:firstLine="708"/>
        <w:jc w:val="both"/>
        <w:rPr>
          <w:rFonts w:ascii="Verdana" w:eastAsia="Times New Roman" w:hAnsi="Verdana" w:cs="Arial"/>
          <w:szCs w:val="24"/>
          <w:lang w:eastAsia="es-ES_tradnl"/>
        </w:rPr>
      </w:pPr>
      <w:r w:rsidRPr="003E2550">
        <w:rPr>
          <w:rFonts w:ascii="Verdana" w:eastAsia="Calibri" w:hAnsi="Verdana" w:cs="Arial"/>
          <w:szCs w:val="24"/>
          <w:lang w:eastAsia="es-ES_tradnl"/>
        </w:rPr>
        <w:t>En ese orden de ideas,</w:t>
      </w:r>
      <w:r w:rsidRPr="003E2550">
        <w:rPr>
          <w:rFonts w:ascii="Verdana" w:eastAsia="Calibri" w:hAnsi="Verdana" w:cs="Arial"/>
          <w:szCs w:val="24"/>
          <w:lang w:val="es-ES_tradnl" w:eastAsia="es-ES_tradnl"/>
        </w:rPr>
        <w:t xml:space="preserve"> el análisis del sector </w:t>
      </w:r>
      <w:r w:rsidRPr="003E2550">
        <w:rPr>
          <w:rFonts w:ascii="Verdana" w:eastAsia="Times New Roman" w:hAnsi="Verdana" w:cs="Arial"/>
          <w:szCs w:val="24"/>
          <w:lang w:val="es-ES_tradnl" w:eastAsia="es-ES_tradnl"/>
        </w:rPr>
        <w:t xml:space="preserve">parte de un estudio desde una perspectiva multidisciplinaria, que implica los aspectos generales del mercado, el análisis de la demanda y de la oferta, así como el estudio del mercado que le permite a la entidad entender el mercado del bien, obra o servicio que pretenden adquirir, así como identificar los factores que inciden en el valor del contrato, tales como el análisis de precios, las cargas tributarias, la tasa de cambio, las garantías, los gastos de transporte, etc. Este análisis se </w:t>
      </w:r>
      <w:r w:rsidRPr="003E2550">
        <w:rPr>
          <w:rFonts w:ascii="Verdana" w:eastAsia="Times New Roman" w:hAnsi="Verdana" w:cs="Arial"/>
          <w:szCs w:val="24"/>
          <w:lang w:eastAsia="es-ES_tradnl"/>
        </w:rPr>
        <w:t xml:space="preserve">debe consignar en los Documentos del Proceso, bien sea en los estudios previos o en la información soporte de estos. </w:t>
      </w:r>
    </w:p>
    <w:p w14:paraId="318B5FB2" w14:textId="77777777" w:rsidR="0075745A" w:rsidRPr="003E2550" w:rsidRDefault="0075745A" w:rsidP="00BB0DA7">
      <w:pPr>
        <w:spacing w:after="0" w:line="276" w:lineRule="auto"/>
        <w:ind w:firstLine="708"/>
        <w:jc w:val="both"/>
        <w:rPr>
          <w:rFonts w:ascii="Verdana" w:eastAsia="Calibri" w:hAnsi="Verdana" w:cs="Arial"/>
          <w:szCs w:val="24"/>
          <w:lang w:eastAsia="es-ES_tradnl"/>
        </w:rPr>
      </w:pPr>
      <w:r w:rsidRPr="003E2550">
        <w:rPr>
          <w:rFonts w:ascii="Verdana" w:eastAsia="Times New Roman" w:hAnsi="Verdana" w:cs="Arial"/>
          <w:szCs w:val="24"/>
          <w:lang w:eastAsia="es-ES_tradnl"/>
        </w:rPr>
        <w:t xml:space="preserve">En conclusión, las entidades estales son autónomas para establecer en su Manual de Contratación la </w:t>
      </w:r>
      <w:r w:rsidRPr="003E2550">
        <w:rPr>
          <w:rFonts w:ascii="Verdana" w:eastAsia="Calibri" w:hAnsi="Verdana" w:cs="Arial"/>
          <w:szCs w:val="24"/>
          <w:lang w:eastAsia="es-ES_tradnl"/>
        </w:rPr>
        <w:t xml:space="preserve">metodología para elaborar el Estudio del Sector y en especial la forma como desarrollar los estudios de mercado, siempre y cuando acaten la Ley 1150 de 2007 y el Decreto 1082 de 2015 frente a esta materia, estableciendo siempre </w:t>
      </w:r>
      <w:r w:rsidRPr="003E2550">
        <w:rPr>
          <w:rFonts w:ascii="Verdana" w:eastAsia="Times New Roman" w:hAnsi="Verdana" w:cs="Arial"/>
          <w:szCs w:val="24"/>
          <w:lang w:eastAsia="es-ES_tradnl"/>
        </w:rPr>
        <w:t>argumentos financieros que permitirán escoger el mejor precio de conformidad con los criterios establecidos por la misma.</w:t>
      </w:r>
    </w:p>
    <w:p w14:paraId="4AE2FA71" w14:textId="77777777" w:rsidR="0075745A" w:rsidRPr="002B616B" w:rsidRDefault="0075745A" w:rsidP="00483DEA">
      <w:pPr>
        <w:widowControl w:val="0"/>
        <w:autoSpaceDE w:val="0"/>
        <w:autoSpaceDN w:val="0"/>
        <w:spacing w:after="0" w:line="276" w:lineRule="auto"/>
        <w:ind w:firstLine="708"/>
        <w:jc w:val="both"/>
        <w:rPr>
          <w:rFonts w:ascii="Verdana" w:hAnsi="Verdana" w:cs="Arial"/>
          <w:lang w:eastAsia="es-ES"/>
        </w:rPr>
      </w:pPr>
    </w:p>
    <w:bookmarkEnd w:id="5"/>
    <w:bookmarkEnd w:id="6"/>
    <w:p w14:paraId="00AEA589" w14:textId="77777777" w:rsidR="0075745A" w:rsidRPr="001F283D" w:rsidRDefault="0075745A" w:rsidP="00483DEA">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7"/>
    <w:p w14:paraId="47111C23" w14:textId="77777777" w:rsidR="0075745A" w:rsidRPr="00593A5F" w:rsidRDefault="0075745A" w:rsidP="00483DE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5745A" w:rsidRPr="002407CE" w14:paraId="7666E92D" w14:textId="77777777" w:rsidTr="003F1FE9">
        <w:trPr>
          <w:trHeight w:val="870"/>
          <w:jc w:val="center"/>
        </w:trPr>
        <w:tc>
          <w:tcPr>
            <w:tcW w:w="8647" w:type="dxa"/>
          </w:tcPr>
          <w:p w14:paraId="76713A5D" w14:textId="77777777" w:rsidR="0075745A" w:rsidRPr="00F252D7" w:rsidRDefault="0075745A" w:rsidP="00BB0DA7">
            <w:pPr>
              <w:widowControl w:val="0"/>
              <w:numPr>
                <w:ilvl w:val="0"/>
                <w:numId w:val="17"/>
              </w:numPr>
              <w:autoSpaceDE w:val="0"/>
              <w:autoSpaceDN w:val="0"/>
              <w:spacing w:line="276" w:lineRule="auto"/>
              <w:contextualSpacing/>
              <w:jc w:val="both"/>
              <w:rPr>
                <w:rFonts w:ascii="Verdana" w:hAnsi="Verdana" w:cs="Arial"/>
                <w:lang w:val="es-ES"/>
              </w:rPr>
            </w:pPr>
            <w:r w:rsidRPr="00F252D7">
              <w:rPr>
                <w:rFonts w:ascii="Verdana" w:hAnsi="Verdana" w:cs="Arial"/>
                <w:lang w:val="es-ES"/>
              </w:rPr>
              <w:t xml:space="preserve">Ley 80 de 1993, artículo 25. </w:t>
            </w:r>
          </w:p>
          <w:p w14:paraId="70D8EA4F" w14:textId="77777777" w:rsidR="0075745A" w:rsidRPr="00F252D7" w:rsidRDefault="0075745A" w:rsidP="00BB0DA7">
            <w:pPr>
              <w:widowControl w:val="0"/>
              <w:numPr>
                <w:ilvl w:val="0"/>
                <w:numId w:val="17"/>
              </w:numPr>
              <w:autoSpaceDE w:val="0"/>
              <w:autoSpaceDN w:val="0"/>
              <w:spacing w:line="276" w:lineRule="auto"/>
              <w:contextualSpacing/>
              <w:jc w:val="both"/>
              <w:rPr>
                <w:rFonts w:ascii="Verdana" w:hAnsi="Verdana" w:cs="Arial"/>
                <w:lang w:val="es-ES"/>
              </w:rPr>
            </w:pPr>
            <w:r w:rsidRPr="00F252D7">
              <w:rPr>
                <w:rFonts w:ascii="Verdana" w:hAnsi="Verdana" w:cs="Arial"/>
                <w:lang w:val="es-ES"/>
              </w:rPr>
              <w:t>Decreto 1082 de 2015, artículos 2.2.1.1.2.1.1. y 2.2.1.1.1.6.1.</w:t>
            </w:r>
          </w:p>
          <w:p w14:paraId="4CA1C186" w14:textId="77777777" w:rsidR="0075745A" w:rsidRPr="00F252D7" w:rsidRDefault="0075745A" w:rsidP="00BB0DA7">
            <w:pPr>
              <w:widowControl w:val="0"/>
              <w:numPr>
                <w:ilvl w:val="0"/>
                <w:numId w:val="17"/>
              </w:numPr>
              <w:autoSpaceDE w:val="0"/>
              <w:autoSpaceDN w:val="0"/>
              <w:spacing w:line="276" w:lineRule="auto"/>
              <w:contextualSpacing/>
              <w:jc w:val="both"/>
              <w:rPr>
                <w:rFonts w:ascii="Verdana" w:hAnsi="Verdana" w:cs="Arial"/>
                <w:lang w:val="es-ES"/>
              </w:rPr>
            </w:pPr>
            <w:r w:rsidRPr="00F252D7">
              <w:rPr>
                <w:rFonts w:ascii="Verdana" w:hAnsi="Verdana" w:cs="Arial"/>
              </w:rPr>
              <w:t xml:space="preserve">Consejo de Estado. Sección Tercera. Subsección B. Sentencia del 31 de agosto de 2011. </w:t>
            </w:r>
            <w:proofErr w:type="spellStart"/>
            <w:r w:rsidRPr="00F252D7">
              <w:rPr>
                <w:rFonts w:ascii="Verdana" w:hAnsi="Verdana" w:cs="Arial"/>
              </w:rPr>
              <w:t>Exp</w:t>
            </w:r>
            <w:proofErr w:type="spellEnd"/>
            <w:r w:rsidRPr="00F252D7">
              <w:rPr>
                <w:rFonts w:ascii="Verdana" w:hAnsi="Verdana" w:cs="Arial"/>
              </w:rPr>
              <w:t>. 18.080.</w:t>
            </w:r>
          </w:p>
          <w:p w14:paraId="748A1003" w14:textId="77777777" w:rsidR="0075745A" w:rsidRPr="00F252D7" w:rsidRDefault="0075745A" w:rsidP="00BB0DA7">
            <w:pPr>
              <w:widowControl w:val="0"/>
              <w:numPr>
                <w:ilvl w:val="0"/>
                <w:numId w:val="17"/>
              </w:numPr>
              <w:tabs>
                <w:tab w:val="left" w:pos="8419"/>
              </w:tabs>
              <w:autoSpaceDE w:val="0"/>
              <w:autoSpaceDN w:val="0"/>
              <w:spacing w:line="276" w:lineRule="auto"/>
              <w:jc w:val="both"/>
              <w:rPr>
                <w:rFonts w:ascii="Verdana" w:hAnsi="Verdana" w:cs="Arial"/>
                <w:lang w:val="es-ES"/>
              </w:rPr>
            </w:pPr>
            <w:r w:rsidRPr="00F252D7">
              <w:rPr>
                <w:rFonts w:ascii="Verdana" w:hAnsi="Verdana" w:cs="Arial"/>
                <w:lang w:val="es-ES"/>
              </w:rPr>
              <w:t xml:space="preserve">Colombia Compra Eficiente, Guía de Elaboración de Estudios de Sector - GEES del 24 de junio de 2022. Disponible en: </w:t>
            </w:r>
            <w:r w:rsidRPr="00F252D7">
              <w:rPr>
                <w:rFonts w:ascii="Geomanist Light" w:hAnsi="Geomanist Light"/>
                <w:lang w:val="es-ES"/>
              </w:rPr>
              <w:t xml:space="preserve"> </w:t>
            </w:r>
            <w:r w:rsidRPr="00F252D7">
              <w:rPr>
                <w:rFonts w:ascii="Verdana" w:hAnsi="Verdana" w:cs="Arial"/>
                <w:lang w:val="es-ES"/>
              </w:rPr>
              <w:t>chrome-extension://efaidnbmnnnibpcajpcglclefindmkaj/https://www.colombiacompra.gov.co/sites/cce_public/files/cce_documentos/cce-eicp-gi-18._gees_v.2_2.pdf</w:t>
            </w:r>
          </w:p>
          <w:p w14:paraId="4A749AE4" w14:textId="5B75F899" w:rsidR="0075745A" w:rsidRPr="00BB0DA7" w:rsidRDefault="0075745A" w:rsidP="00BB0DA7">
            <w:pPr>
              <w:pStyle w:val="Prrafodelista"/>
              <w:numPr>
                <w:ilvl w:val="0"/>
                <w:numId w:val="17"/>
              </w:numPr>
              <w:spacing w:line="276" w:lineRule="auto"/>
              <w:jc w:val="both"/>
              <w:rPr>
                <w:rFonts w:ascii="Verdana" w:hAnsi="Verdana" w:cs="Arial"/>
                <w:color w:val="000000" w:themeColor="text1"/>
              </w:rPr>
            </w:pPr>
            <w:r w:rsidRPr="00F252D7">
              <w:rPr>
                <w:rFonts w:ascii="Verdana" w:hAnsi="Verdana" w:cs="Arial"/>
              </w:rPr>
              <w:t>DEIK ACOSTAMADIEDO, Carolina, Guía de Contratación Estatal: Deber de planeación y modalidades de selección, Buenos Aires, 2015.</w:t>
            </w:r>
            <w:r w:rsidRPr="00A57FA0">
              <w:rPr>
                <w:rFonts w:ascii="Verdana" w:hAnsi="Verdana" w:cs="Arial"/>
                <w:color w:val="000000" w:themeColor="text1"/>
              </w:rPr>
              <w:t xml:space="preserve"> </w:t>
            </w:r>
          </w:p>
        </w:tc>
      </w:tr>
    </w:tbl>
    <w:p w14:paraId="650C6712" w14:textId="77777777" w:rsidR="0075745A" w:rsidRPr="00277E26" w:rsidRDefault="0075745A" w:rsidP="00483DEA">
      <w:pPr>
        <w:widowControl w:val="0"/>
        <w:autoSpaceDE w:val="0"/>
        <w:autoSpaceDN w:val="0"/>
        <w:spacing w:after="0" w:line="276" w:lineRule="auto"/>
        <w:jc w:val="both"/>
        <w:rPr>
          <w:rFonts w:ascii="Verdana" w:hAnsi="Verdana" w:cs="Arial"/>
        </w:rPr>
      </w:pPr>
    </w:p>
    <w:p w14:paraId="27DB03F8" w14:textId="77777777" w:rsidR="0075745A" w:rsidRPr="001F283D" w:rsidRDefault="0075745A" w:rsidP="00483DEA">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18340030" w14:textId="77777777" w:rsidR="0075745A" w:rsidRDefault="0075745A" w:rsidP="00483DEA">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1DF7E2AB" w14:textId="77777777" w:rsidR="0075745A" w:rsidRPr="00593A5F" w:rsidRDefault="0075745A" w:rsidP="00483DEA">
      <w:pPr>
        <w:widowControl w:val="0"/>
        <w:autoSpaceDE w:val="0"/>
        <w:autoSpaceDN w:val="0"/>
        <w:spacing w:after="0" w:line="276" w:lineRule="auto"/>
        <w:jc w:val="both"/>
        <w:rPr>
          <w:rFonts w:ascii="Verdana" w:hAnsi="Verdana" w:cs="Arial"/>
        </w:rPr>
      </w:pPr>
    </w:p>
    <w:p w14:paraId="49BF7A8F" w14:textId="77777777" w:rsidR="0075745A" w:rsidRPr="00F252D7" w:rsidRDefault="0075745A" w:rsidP="00483DEA">
      <w:pPr>
        <w:widowControl w:val="0"/>
        <w:autoSpaceDE w:val="0"/>
        <w:autoSpaceDN w:val="0"/>
        <w:spacing w:after="0" w:line="276" w:lineRule="auto"/>
        <w:jc w:val="both"/>
        <w:rPr>
          <w:rFonts w:ascii="Verdana" w:hAnsi="Verdana" w:cs="Arial"/>
          <w:color w:val="000000" w:themeColor="text1"/>
          <w:shd w:val="clear" w:color="auto" w:fill="FFFFFF"/>
          <w:lang w:val="es-ES"/>
        </w:rPr>
      </w:pPr>
      <w:r w:rsidRPr="00F252D7">
        <w:rPr>
          <w:rFonts w:ascii="Verdana" w:eastAsia="Calibri" w:hAnsi="Verdana" w:cs="Arial"/>
          <w:lang w:val="es-ES_tradnl" w:eastAsia="es-ES_tradnl"/>
        </w:rPr>
        <w:t xml:space="preserve">Sobre el deber de elaborar análisis del sector frente a procesos de contratación se pronunció esta Subdirección en los conceptos 2202013000000037 del 7 de enero de 2020, C-223 del 29 de abril de 2020 y C-148 de 2021. Igualmente, se reiteran los </w:t>
      </w:r>
      <w:r>
        <w:rPr>
          <w:rFonts w:ascii="Verdana" w:eastAsia="Calibri" w:hAnsi="Verdana" w:cs="Arial"/>
          <w:lang w:val="es-ES_tradnl" w:eastAsia="es-ES_tradnl"/>
        </w:rPr>
        <w:t>c</w:t>
      </w:r>
      <w:r w:rsidRPr="00F252D7">
        <w:rPr>
          <w:rFonts w:ascii="Verdana" w:eastAsia="Calibri" w:hAnsi="Verdana" w:cs="Arial"/>
          <w:lang w:val="es-ES_tradnl" w:eastAsia="es-ES_tradnl"/>
        </w:rPr>
        <w:t xml:space="preserve">onceptos C-387 del 23 de junio de 2020, </w:t>
      </w:r>
      <w:r w:rsidRPr="00F252D7">
        <w:rPr>
          <w:rFonts w:ascii="Verdana" w:eastAsia="Calibri" w:hAnsi="Verdana" w:cs="Arial"/>
          <w:lang w:eastAsia="es-ES_tradnl"/>
        </w:rPr>
        <w:t xml:space="preserve">C-415 del 7 de julio </w:t>
      </w:r>
      <w:r w:rsidRPr="00F252D7">
        <w:rPr>
          <w:rFonts w:ascii="Verdana" w:eastAsia="Calibri" w:hAnsi="Verdana" w:cs="Arial"/>
          <w:lang w:val="es-ES_tradnl" w:eastAsia="es-ES_tradnl"/>
        </w:rPr>
        <w:t>de 2020</w:t>
      </w:r>
      <w:r w:rsidRPr="00F252D7">
        <w:rPr>
          <w:rFonts w:ascii="Verdana" w:eastAsia="Calibri" w:hAnsi="Verdana" w:cs="Arial"/>
          <w:lang w:eastAsia="es-ES_tradnl"/>
        </w:rPr>
        <w:t xml:space="preserve">, C-443 del 7 de julio de 2020, </w:t>
      </w:r>
      <w:r w:rsidRPr="00F252D7">
        <w:rPr>
          <w:rFonts w:ascii="Verdana" w:eastAsia="Times New Roman" w:hAnsi="Verdana" w:cs="Arial"/>
          <w:lang w:eastAsia="es-ES_tradnl"/>
        </w:rPr>
        <w:t>C-387 del 23 de junio de 2020</w:t>
      </w:r>
      <w:r w:rsidRPr="00F252D7">
        <w:rPr>
          <w:rFonts w:ascii="Verdana" w:eastAsia="Calibri" w:hAnsi="Verdana" w:cs="Arial"/>
          <w:lang w:val="es-ES_tradnl" w:eastAsia="es-ES_tradnl"/>
        </w:rPr>
        <w:t xml:space="preserve">, C-223 del 29 de abril de 2020, C-671 de 2020 de 23 de noviembre de 2020, C-215 del 12 de mayo de 2021, C-742 del 27 de diciembre de 2021, </w:t>
      </w:r>
      <w:r w:rsidRPr="00F252D7">
        <w:rPr>
          <w:rFonts w:ascii="Verdana" w:eastAsia="Calibri" w:hAnsi="Verdana" w:cs="Arial"/>
          <w:lang w:val="es-ES" w:eastAsia="es-ES_tradnl"/>
        </w:rPr>
        <w:t>C-519 del 13 de septiembre de 2022, C-716 del 15 de noviembre de 2022, C-856 del 13 de diciembre de 2022, C-235 del 5 de julio de 2023</w:t>
      </w:r>
      <w:r>
        <w:rPr>
          <w:rFonts w:ascii="Verdana" w:eastAsia="Calibri" w:hAnsi="Verdana" w:cs="Arial"/>
          <w:lang w:val="es-ES" w:eastAsia="es-ES_tradnl"/>
        </w:rPr>
        <w:t>, C-258 del 12 de agosto de 2024</w:t>
      </w:r>
      <w:r w:rsidRPr="00F252D7">
        <w:rPr>
          <w:rFonts w:ascii="Verdana" w:eastAsia="Calibri" w:hAnsi="Verdana" w:cs="Arial"/>
          <w:lang w:val="es-ES" w:eastAsia="es-ES_tradnl"/>
        </w:rPr>
        <w:t>.</w:t>
      </w:r>
      <w:r>
        <w:rPr>
          <w:rFonts w:ascii="Verdana" w:eastAsia="Calibri" w:hAnsi="Verdana" w:cs="Arial"/>
          <w:lang w:val="es-ES" w:eastAsia="es-ES_tradnl"/>
        </w:rPr>
        <w:t xml:space="preserve"> Por otra parte, sobre la </w:t>
      </w:r>
      <w:r w:rsidRPr="006849F1">
        <w:rPr>
          <w:rFonts w:ascii="Verdana" w:hAnsi="Verdana" w:cs="Arial"/>
          <w:shd w:val="clear" w:color="auto" w:fill="FFFFFF"/>
          <w:lang w:val="es-ES"/>
        </w:rPr>
        <w:t>determinación</w:t>
      </w:r>
      <w:r>
        <w:rPr>
          <w:rFonts w:ascii="Verdana" w:hAnsi="Verdana" w:cs="Arial"/>
          <w:shd w:val="clear" w:color="auto" w:fill="FFFFFF"/>
          <w:lang w:val="es-ES"/>
        </w:rPr>
        <w:t xml:space="preserve"> y verificación</w:t>
      </w:r>
      <w:r w:rsidRPr="006849F1">
        <w:rPr>
          <w:rFonts w:ascii="Verdana" w:hAnsi="Verdana" w:cs="Arial"/>
          <w:shd w:val="clear" w:color="auto" w:fill="FFFFFF"/>
          <w:lang w:val="es-ES"/>
        </w:rPr>
        <w:t xml:space="preserve"> del precio o valor en los contratos estatales</w:t>
      </w:r>
      <w:r>
        <w:rPr>
          <w:rFonts w:ascii="Verdana" w:hAnsi="Verdana" w:cs="Arial"/>
          <w:shd w:val="clear" w:color="auto" w:fill="FFFFFF"/>
          <w:lang w:val="es-ES"/>
        </w:rPr>
        <w:t xml:space="preserve"> se pronunció</w:t>
      </w:r>
      <w:r w:rsidRPr="006849F1">
        <w:rPr>
          <w:rFonts w:ascii="Verdana" w:hAnsi="Verdana" w:cs="Arial"/>
          <w:shd w:val="clear" w:color="auto" w:fill="FFFFFF"/>
          <w:lang w:val="es-ES"/>
        </w:rPr>
        <w:t xml:space="preserve"> en los conceptos</w:t>
      </w:r>
      <w:r w:rsidRPr="006849F1">
        <w:rPr>
          <w:rFonts w:ascii="Verdana" w:hAnsi="Verdana" w:cs="Calibri"/>
          <w:shd w:val="clear" w:color="auto" w:fill="FFFFFF"/>
        </w:rPr>
        <w:t xml:space="preserve"> </w:t>
      </w:r>
      <w:r w:rsidRPr="006849F1">
        <w:rPr>
          <w:rFonts w:ascii="Verdana" w:hAnsi="Verdana" w:cs="Arial"/>
          <w:shd w:val="clear" w:color="auto" w:fill="FFFFFF"/>
          <w:lang w:val="es-ES"/>
        </w:rPr>
        <w:t xml:space="preserve">C-064 del 28 de febrero de 2020, C-150 del 18 de marzo de 2020, C-075 del 26 de marzo de 2020, C-180 del 13 de abril de 2020, C-344 del 26 de mayo de 2020, C-765 del 7 de enero de 2021, C-411 del 17 de agosto de 2021, C-650 del 22 de diciembre de 2021, C-238 del 27 de abril de 2022, C-432 del 13 de julio de 2022, C-590 del 20 de septiembre de 2022, C-716 del 15 de noviembre de 2022, C-114 del 4 de mayo de 2023, C-198 del 16 de junio de 2023, C-250 del 31 de julio de 2023 </w:t>
      </w:r>
      <w:r>
        <w:rPr>
          <w:rFonts w:ascii="Verdana" w:hAnsi="Verdana" w:cs="Arial"/>
          <w:shd w:val="clear" w:color="auto" w:fill="FFFFFF"/>
          <w:lang w:val="es-ES"/>
        </w:rPr>
        <w:t xml:space="preserve">, </w:t>
      </w:r>
      <w:r w:rsidRPr="006849F1">
        <w:rPr>
          <w:rFonts w:ascii="Verdana" w:hAnsi="Verdana" w:cs="Arial"/>
          <w:shd w:val="clear" w:color="auto" w:fill="FFFFFF"/>
          <w:lang w:val="es-ES"/>
        </w:rPr>
        <w:t>C-288 del 14 de julio de 2023,</w:t>
      </w:r>
      <w:r>
        <w:rPr>
          <w:rFonts w:ascii="Verdana" w:hAnsi="Verdana" w:cs="Arial"/>
          <w:shd w:val="clear" w:color="auto" w:fill="FFFFFF"/>
          <w:lang w:val="es-ES"/>
        </w:rPr>
        <w:t xml:space="preserve"> C-167 del 23 de julio de 2024, C-1018 del 6 de enero de 2025, C-212 del 28 de marzo de 2025</w:t>
      </w:r>
      <w:r>
        <w:rPr>
          <w:rFonts w:ascii="Verdana" w:eastAsia="Calibri" w:hAnsi="Verdana" w:cs="Arial"/>
          <w:lang w:val="es-ES" w:eastAsia="es-ES_tradnl"/>
        </w:rPr>
        <w:t xml:space="preserve">, C-980 del 29 de agosto de 2025 y C-1437 del 29 de octubre de 2025. </w:t>
      </w:r>
      <w:r w:rsidRPr="00F252D7">
        <w:rPr>
          <w:rFonts w:ascii="Verdana" w:eastAsia="Calibri" w:hAnsi="Verdana" w:cs="Arial"/>
          <w:lang w:val="es-ES" w:eastAsia="es-ES_tradnl"/>
        </w:rPr>
        <w:t>Estos</w:t>
      </w:r>
      <w:r w:rsidRPr="00F252D7">
        <w:rPr>
          <w:rFonts w:ascii="Verdana" w:hAnsi="Verdana"/>
        </w:rPr>
        <w:t xml:space="preserve"> y otros conceptos se encuentran disponibles para consulta en el Sistema de relatoría de la Agencia, al cual se puede acceder a través del siguiente enlace:</w:t>
      </w:r>
      <w:r w:rsidRPr="00F252D7">
        <w:rPr>
          <w:rFonts w:ascii="Verdana" w:hAnsi="Verdana" w:cs="Arial"/>
          <w:shd w:val="clear" w:color="auto" w:fill="FFFFFF"/>
          <w:lang w:val="es-ES"/>
        </w:rPr>
        <w:t xml:space="preserve"> </w:t>
      </w:r>
      <w:hyperlink r:id="rId13" w:history="1">
        <w:r w:rsidRPr="00F252D7">
          <w:rPr>
            <w:rFonts w:ascii="Verdana" w:hAnsi="Verdana" w:cs="Arial"/>
            <w:color w:val="0563C1" w:themeColor="hyperlink"/>
            <w:u w:val="single"/>
            <w:shd w:val="clear" w:color="auto" w:fill="FFFFFF"/>
            <w:lang w:val="es-ES"/>
          </w:rPr>
          <w:t>https://relatoria.colombiacompra.gov.co/busqueda/conceptos</w:t>
        </w:r>
      </w:hyperlink>
    </w:p>
    <w:p w14:paraId="58C81E16" w14:textId="77777777" w:rsidR="0075745A" w:rsidRPr="00EC5A84" w:rsidRDefault="0075745A" w:rsidP="00483DEA">
      <w:pPr>
        <w:widowControl w:val="0"/>
        <w:autoSpaceDE w:val="0"/>
        <w:autoSpaceDN w:val="0"/>
        <w:spacing w:after="0" w:line="276" w:lineRule="auto"/>
        <w:jc w:val="both"/>
        <w:rPr>
          <w:rStyle w:val="normaltextrun"/>
          <w:rFonts w:ascii="Verdana" w:hAnsi="Verdana" w:cs="Arial"/>
          <w:shd w:val="clear" w:color="auto" w:fill="FFFFFF"/>
        </w:rPr>
      </w:pPr>
    </w:p>
    <w:p w14:paraId="10371AAC" w14:textId="77777777" w:rsidR="0075745A" w:rsidRPr="00237766" w:rsidRDefault="0075745A" w:rsidP="00BB0DA7">
      <w:pPr>
        <w:spacing w:after="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D06E272" w14:textId="77777777" w:rsidR="0075745A" w:rsidRPr="008E4F36" w:rsidRDefault="0075745A" w:rsidP="00483DEA">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7C29FE76" w14:textId="77777777" w:rsidR="0075745A" w:rsidRPr="008E4F36" w:rsidRDefault="0075745A" w:rsidP="00483DEA">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7213E6E8" w14:textId="77777777" w:rsidR="0075745A" w:rsidRPr="008E4F36" w:rsidRDefault="0075745A" w:rsidP="00483DEA">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008E3DCF" w14:textId="77777777" w:rsidR="0075745A" w:rsidRPr="008E4F36" w:rsidRDefault="0075745A" w:rsidP="00483DEA">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4" w:history="1">
        <w:r w:rsidRPr="008E4F36">
          <w:rPr>
            <w:rStyle w:val="Hipervnculo"/>
            <w:rFonts w:ascii="Verdana" w:hAnsi="Verdana"/>
          </w:rPr>
          <w:t>www.colombiacompra.gov.co</w:t>
        </w:r>
      </w:hyperlink>
    </w:p>
    <w:p w14:paraId="6BE5D47C" w14:textId="77777777" w:rsidR="0075745A" w:rsidRPr="008E4F36" w:rsidRDefault="0075745A" w:rsidP="00BB0DA7">
      <w:pPr>
        <w:spacing w:after="0" w:line="276" w:lineRule="auto"/>
        <w:jc w:val="both"/>
        <w:rPr>
          <w:rFonts w:ascii="Verdana" w:hAnsi="Verdana"/>
        </w:rPr>
      </w:pPr>
      <w:r w:rsidRPr="008E4F36">
        <w:rPr>
          <w:rFonts w:ascii="Verdana" w:hAnsi="Verdana"/>
        </w:rPr>
        <w:lastRenderedPageBreak/>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6B159248" w14:textId="77777777" w:rsidR="0075745A" w:rsidRPr="008E4F36" w:rsidRDefault="0075745A" w:rsidP="00483DEA">
      <w:pPr>
        <w:spacing w:after="0" w:line="276" w:lineRule="auto"/>
        <w:jc w:val="both"/>
        <w:rPr>
          <w:rFonts w:ascii="Verdana" w:hAnsi="Verdana"/>
        </w:rPr>
      </w:pPr>
    </w:p>
    <w:p w14:paraId="3599B57D" w14:textId="77777777" w:rsidR="0075745A" w:rsidRPr="008E4F36" w:rsidRDefault="0075745A" w:rsidP="00483DEA">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64D45473" w14:textId="77777777" w:rsidR="0075745A" w:rsidRPr="008E4F36" w:rsidRDefault="0075745A" w:rsidP="00483DEA">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40B8AA07" w14:textId="77777777" w:rsidR="0075745A" w:rsidRPr="008E4F36" w:rsidRDefault="0075745A" w:rsidP="00483DEA">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075F97C0" w14:textId="77777777" w:rsidR="0075745A" w:rsidRDefault="0075745A" w:rsidP="00BB0DA7">
      <w:pPr>
        <w:spacing w:after="0" w:line="276" w:lineRule="auto"/>
        <w:jc w:val="both"/>
        <w:rPr>
          <w:rFonts w:ascii="Verdana" w:hAnsi="Verdana"/>
        </w:rPr>
      </w:pPr>
    </w:p>
    <w:p w14:paraId="794D65FB" w14:textId="77777777" w:rsidR="0075745A" w:rsidRPr="00FB6C33" w:rsidRDefault="0075745A" w:rsidP="00BB0DA7">
      <w:pPr>
        <w:spacing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94E4818" w14:textId="77777777" w:rsidR="0075745A" w:rsidRPr="008E4F36" w:rsidRDefault="0075745A" w:rsidP="00483DEA">
      <w:pPr>
        <w:spacing w:after="0" w:line="276" w:lineRule="auto"/>
        <w:jc w:val="both"/>
        <w:rPr>
          <w:rFonts w:ascii="Verdana" w:eastAsia="Calibri" w:hAnsi="Verdana" w:cs="Times New Roman"/>
        </w:rPr>
      </w:pPr>
    </w:p>
    <w:p w14:paraId="4FF450A9" w14:textId="5A9B7C19" w:rsidR="0075745A" w:rsidRDefault="0075745A" w:rsidP="00453918">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62F08114" w14:textId="4E5CD671" w:rsidR="0075745A" w:rsidRPr="00453918" w:rsidRDefault="00453918" w:rsidP="00453918">
      <w:pPr>
        <w:spacing w:after="0" w:line="256" w:lineRule="auto"/>
        <w:jc w:val="center"/>
        <w:rPr>
          <w:noProof/>
        </w:rPr>
      </w:pPr>
      <w:r w:rsidRPr="002C3AD6">
        <w:rPr>
          <w:rFonts w:ascii="Century Gothic" w:hAnsi="Century Gothic"/>
          <w:noProof/>
        </w:rPr>
        <w:drawing>
          <wp:inline distT="0" distB="0" distL="0" distR="0" wp14:anchorId="32E7D420" wp14:editId="02C1A47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bookmarkEnd w:id="0"/>
      <w:bookmarkEnd w:id="1"/>
    </w:p>
    <w:p w14:paraId="4C733DEC" w14:textId="77777777" w:rsidR="0075745A" w:rsidRDefault="0075745A" w:rsidP="0075745A">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5745A" w:rsidRPr="002423D6" w14:paraId="2F42C778" w14:textId="77777777" w:rsidTr="003F1FE9">
        <w:trPr>
          <w:trHeight w:val="315"/>
        </w:trPr>
        <w:tc>
          <w:tcPr>
            <w:tcW w:w="893" w:type="dxa"/>
            <w:vAlign w:val="center"/>
            <w:hideMark/>
          </w:tcPr>
          <w:p w14:paraId="7C1B5B06" w14:textId="77777777" w:rsidR="0075745A" w:rsidRPr="002423D6" w:rsidRDefault="0075745A" w:rsidP="003F1FE9">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08002A5" w14:textId="77777777" w:rsidR="0075745A" w:rsidRPr="002423D6" w:rsidRDefault="0075745A" w:rsidP="003F1FE9">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An</w:t>
            </w:r>
            <w:r>
              <w:rPr>
                <w:rFonts w:ascii="Verdana" w:eastAsia="Arial" w:hAnsi="Verdana" w:cs="Arial"/>
                <w:color w:val="000000" w:themeColor="text1"/>
                <w:sz w:val="16"/>
                <w:szCs w:val="16"/>
              </w:rPr>
              <w:t xml:space="preserve">dreina Cerpa Muñoz </w:t>
            </w:r>
          </w:p>
          <w:p w14:paraId="09F24B63" w14:textId="77777777" w:rsidR="0075745A" w:rsidRPr="002423D6" w:rsidRDefault="0075745A" w:rsidP="003F1FE9">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75745A" w:rsidRPr="002423D6" w14:paraId="1CF47A28" w14:textId="77777777" w:rsidTr="003F1FE9">
        <w:trPr>
          <w:trHeight w:val="330"/>
        </w:trPr>
        <w:tc>
          <w:tcPr>
            <w:tcW w:w="893" w:type="dxa"/>
            <w:vAlign w:val="center"/>
            <w:hideMark/>
          </w:tcPr>
          <w:p w14:paraId="2FEB0A68" w14:textId="77777777" w:rsidR="0075745A" w:rsidRPr="002423D6" w:rsidRDefault="0075745A" w:rsidP="003F1FE9">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6FAFA04" w14:textId="77777777" w:rsidR="0075745A" w:rsidRPr="002423D6" w:rsidRDefault="0075745A" w:rsidP="003F1FE9">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45565B2C" w14:textId="77777777" w:rsidR="0075745A" w:rsidRPr="002423D6" w:rsidRDefault="0075745A" w:rsidP="003F1FE9">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75745A" w:rsidRPr="002423D6" w14:paraId="21BB8032" w14:textId="77777777" w:rsidTr="003F1FE9">
        <w:trPr>
          <w:trHeight w:val="300"/>
        </w:trPr>
        <w:tc>
          <w:tcPr>
            <w:tcW w:w="893" w:type="dxa"/>
            <w:vAlign w:val="center"/>
          </w:tcPr>
          <w:p w14:paraId="69FF1BD5" w14:textId="77777777" w:rsidR="0075745A" w:rsidRPr="002423D6" w:rsidRDefault="0075745A" w:rsidP="003F1FE9">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DBA945" w14:textId="77777777" w:rsidR="0075745A" w:rsidRPr="002423D6" w:rsidRDefault="0075745A" w:rsidP="003F1FE9">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57F9B5AD" w14:textId="77777777" w:rsidR="0075745A" w:rsidRPr="002423D6" w:rsidRDefault="0075745A" w:rsidP="003F1FE9">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3131C98B" w14:textId="77777777" w:rsidR="0075745A" w:rsidRDefault="0075745A" w:rsidP="0075745A"/>
    <w:p w14:paraId="5E0DA8FE" w14:textId="5F0DD69D" w:rsidR="0075745A" w:rsidRPr="00823C60" w:rsidRDefault="0075745A" w:rsidP="0075745A"/>
    <w:p w14:paraId="4D190DC3" w14:textId="77777777" w:rsidR="0075745A" w:rsidRDefault="0075745A" w:rsidP="0075745A"/>
    <w:p w14:paraId="5531C47C" w14:textId="77777777" w:rsidR="0075745A" w:rsidRDefault="0075745A" w:rsidP="0075745A"/>
    <w:p w14:paraId="714BB04C" w14:textId="77777777" w:rsidR="0075745A" w:rsidRDefault="0075745A" w:rsidP="0075745A"/>
    <w:p w14:paraId="7FB738FC" w14:textId="77777777" w:rsidR="0075745A" w:rsidRDefault="0075745A" w:rsidP="0075745A"/>
    <w:p w14:paraId="3312129C" w14:textId="77777777" w:rsidR="0075745A" w:rsidRPr="00C84654" w:rsidRDefault="0075745A" w:rsidP="0075745A">
      <w:pPr>
        <w:rPr>
          <w:b/>
          <w:bCs/>
        </w:rPr>
      </w:pPr>
    </w:p>
    <w:p w14:paraId="5760B646" w14:textId="77777777" w:rsidR="0075745A" w:rsidRDefault="0075745A" w:rsidP="0075745A"/>
    <w:p w14:paraId="343D7FD6" w14:textId="77777777" w:rsidR="0075745A" w:rsidRDefault="0075745A" w:rsidP="0075745A"/>
    <w:p w14:paraId="365DF781" w14:textId="77777777" w:rsidR="0075745A" w:rsidRDefault="0075745A" w:rsidP="0075745A"/>
    <w:p w14:paraId="0F293BF4" w14:textId="63FA85D1" w:rsidR="00127233" w:rsidRPr="006F16DC" w:rsidRDefault="00127233" w:rsidP="006F16DC"/>
    <w:sectPr w:rsidR="00127233" w:rsidRPr="006F16DC"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89755" w14:textId="77777777" w:rsidR="004D6339" w:rsidRDefault="004D6339" w:rsidP="004A1847">
      <w:pPr>
        <w:spacing w:after="0" w:line="240" w:lineRule="auto"/>
      </w:pPr>
      <w:r>
        <w:separator/>
      </w:r>
    </w:p>
  </w:endnote>
  <w:endnote w:type="continuationSeparator" w:id="0">
    <w:p w14:paraId="53FFA9AF" w14:textId="77777777" w:rsidR="004D6339" w:rsidRDefault="004D633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A7603" w14:textId="77777777" w:rsidR="004D6339" w:rsidRDefault="004D6339" w:rsidP="004A1847">
      <w:pPr>
        <w:spacing w:after="0" w:line="240" w:lineRule="auto"/>
      </w:pPr>
      <w:r>
        <w:separator/>
      </w:r>
    </w:p>
  </w:footnote>
  <w:footnote w:type="continuationSeparator" w:id="0">
    <w:p w14:paraId="496CB0AF" w14:textId="77777777" w:rsidR="004D6339" w:rsidRDefault="004D6339" w:rsidP="004A1847">
      <w:pPr>
        <w:spacing w:after="0" w:line="240" w:lineRule="auto"/>
      </w:pPr>
      <w:r>
        <w:continuationSeparator/>
      </w:r>
    </w:p>
  </w:footnote>
  <w:footnote w:id="1">
    <w:p w14:paraId="686261C3" w14:textId="77777777" w:rsidR="0075745A" w:rsidRPr="00BB0DA7" w:rsidRDefault="0075745A" w:rsidP="0075745A">
      <w:pPr>
        <w:spacing w:after="0" w:line="240" w:lineRule="auto"/>
        <w:ind w:firstLine="707"/>
        <w:contextualSpacing/>
        <w:jc w:val="both"/>
        <w:rPr>
          <w:rFonts w:ascii="Verdana" w:hAnsi="Verdana" w:cs="Arial"/>
          <w:sz w:val="14"/>
          <w:szCs w:val="14"/>
        </w:rPr>
      </w:pPr>
      <w:r w:rsidRPr="00BB0DA7">
        <w:rPr>
          <w:rStyle w:val="Refdenotaalpie"/>
          <w:rFonts w:ascii="Verdana" w:hAnsi="Verdana" w:cs="Arial"/>
          <w:sz w:val="14"/>
          <w:szCs w:val="14"/>
        </w:rPr>
        <w:footnoteRef/>
      </w:r>
      <w:r w:rsidRPr="00BB0DA7">
        <w:rPr>
          <w:rFonts w:ascii="Verdana" w:hAnsi="Verdana" w:cs="Arial"/>
          <w:position w:val="6"/>
          <w:sz w:val="14"/>
          <w:szCs w:val="14"/>
        </w:rPr>
        <w:t xml:space="preserve"> </w:t>
      </w:r>
      <w:r w:rsidRPr="00BB0DA7">
        <w:rPr>
          <w:rFonts w:ascii="Verdana" w:hAnsi="Verdana" w:cs="Arial"/>
          <w:sz w:val="14"/>
          <w:szCs w:val="14"/>
        </w:rPr>
        <w:t>DEIK ACOSTAMADIEDO, Carolina, Guía de Contratación Estatal: Deber de planeación y modalidades de selección, Buenos Aires, 2015, p. 59.</w:t>
      </w:r>
    </w:p>
    <w:p w14:paraId="214D5560" w14:textId="77777777" w:rsidR="0075745A" w:rsidRPr="00BB0DA7" w:rsidRDefault="0075745A" w:rsidP="0075745A">
      <w:pPr>
        <w:pStyle w:val="Textonotapie"/>
        <w:contextualSpacing/>
        <w:jc w:val="both"/>
        <w:rPr>
          <w:rFonts w:ascii="Verdana" w:hAnsi="Verdana" w:cs="Arial"/>
          <w:sz w:val="14"/>
          <w:szCs w:val="14"/>
        </w:rPr>
      </w:pPr>
    </w:p>
  </w:footnote>
  <w:footnote w:id="2">
    <w:p w14:paraId="2ED10E0E" w14:textId="77777777" w:rsidR="0075745A" w:rsidRPr="00BB0DA7" w:rsidRDefault="0075745A" w:rsidP="0075745A">
      <w:pPr>
        <w:pStyle w:val="Textoindependiente"/>
        <w:spacing w:after="0" w:line="240" w:lineRule="auto"/>
        <w:ind w:firstLine="709"/>
        <w:contextualSpacing/>
        <w:jc w:val="both"/>
        <w:rPr>
          <w:rFonts w:ascii="Verdana" w:hAnsi="Verdana" w:cs="Arial"/>
          <w:sz w:val="14"/>
          <w:szCs w:val="14"/>
        </w:rPr>
      </w:pPr>
      <w:r w:rsidRPr="00BB0DA7">
        <w:rPr>
          <w:rStyle w:val="Refdenotaalpie"/>
          <w:rFonts w:ascii="Verdana" w:hAnsi="Verdana" w:cs="Arial"/>
          <w:sz w:val="14"/>
          <w:szCs w:val="14"/>
        </w:rPr>
        <w:footnoteRef/>
      </w:r>
      <w:r w:rsidRPr="00BB0DA7">
        <w:rPr>
          <w:rFonts w:ascii="Verdana" w:hAnsi="Verdana" w:cs="Arial"/>
          <w:sz w:val="14"/>
          <w:szCs w:val="14"/>
        </w:rPr>
        <w:t xml:space="preserve"> “Artículo </w:t>
      </w:r>
      <w:bookmarkStart w:id="9" w:name="_Hlk54173885"/>
      <w:r w:rsidRPr="00BB0DA7">
        <w:rPr>
          <w:rFonts w:ascii="Verdana" w:hAnsi="Verdana" w:cs="Arial"/>
          <w:sz w:val="14"/>
          <w:szCs w:val="14"/>
        </w:rPr>
        <w:t>2.2.1.1.2.1.1</w:t>
      </w:r>
      <w:bookmarkEnd w:id="9"/>
      <w:r w:rsidRPr="00BB0DA7">
        <w:rPr>
          <w:rFonts w:ascii="Verdana" w:hAnsi="Verdana" w:cs="Arial"/>
          <w:sz w:val="14"/>
          <w:szCs w:val="14"/>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32018969" w14:textId="77777777" w:rsidR="0075745A" w:rsidRPr="00BB0DA7" w:rsidRDefault="0075745A" w:rsidP="0075745A">
      <w:pPr>
        <w:pStyle w:val="Textonotapie"/>
        <w:ind w:firstLine="709"/>
        <w:contextualSpacing/>
        <w:jc w:val="both"/>
        <w:rPr>
          <w:rFonts w:ascii="Verdana" w:hAnsi="Verdana" w:cs="Arial"/>
          <w:sz w:val="14"/>
          <w:szCs w:val="14"/>
        </w:rPr>
      </w:pPr>
    </w:p>
  </w:footnote>
  <w:footnote w:id="3">
    <w:p w14:paraId="00014DCD" w14:textId="77777777" w:rsidR="0075745A" w:rsidRPr="005F69B9" w:rsidRDefault="0075745A" w:rsidP="0075745A">
      <w:pPr>
        <w:pStyle w:val="Textoindependiente"/>
        <w:spacing w:after="0" w:line="240" w:lineRule="auto"/>
        <w:ind w:firstLine="709"/>
        <w:contextualSpacing/>
        <w:jc w:val="both"/>
        <w:rPr>
          <w:rFonts w:ascii="Verdana" w:hAnsi="Verdana" w:cs="Arial"/>
          <w:sz w:val="14"/>
          <w:szCs w:val="14"/>
        </w:rPr>
      </w:pPr>
      <w:r w:rsidRPr="005F69B9">
        <w:rPr>
          <w:rStyle w:val="Refdenotaalpie"/>
          <w:rFonts w:ascii="Verdana" w:hAnsi="Verdana" w:cs="Arial"/>
          <w:sz w:val="14"/>
          <w:szCs w:val="14"/>
        </w:rPr>
        <w:footnoteRef/>
      </w:r>
      <w:r w:rsidRPr="005F69B9">
        <w:rPr>
          <w:rFonts w:ascii="Verdana" w:hAnsi="Verdana" w:cs="Arial"/>
          <w:sz w:val="14"/>
          <w:szCs w:val="14"/>
        </w:rPr>
        <w:t xml:space="preserve"> Consejo de Estado. Sección Tercera. Subsección B. Sentencia del 31 de agosto de 2011. </w:t>
      </w:r>
      <w:r w:rsidRPr="005F69B9">
        <w:rPr>
          <w:rFonts w:ascii="Verdana" w:hAnsi="Verdana" w:cs="Arial"/>
          <w:sz w:val="14"/>
          <w:szCs w:val="14"/>
        </w:rPr>
        <w:t>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p w14:paraId="4D125DFB" w14:textId="77777777" w:rsidR="0075745A" w:rsidRPr="005F69B9" w:rsidRDefault="0075745A" w:rsidP="0075745A">
      <w:pPr>
        <w:pStyle w:val="Textonotapie"/>
        <w:contextualSpacing/>
        <w:jc w:val="both"/>
        <w:rPr>
          <w:rFonts w:ascii="Verdana" w:hAnsi="Verdana" w:cs="Arial"/>
          <w:sz w:val="14"/>
          <w:szCs w:val="14"/>
        </w:rPr>
      </w:pPr>
    </w:p>
  </w:footnote>
  <w:footnote w:id="4">
    <w:p w14:paraId="54AC3BFA" w14:textId="77777777" w:rsidR="0075745A" w:rsidRPr="00BB0DA7" w:rsidRDefault="0075745A" w:rsidP="0075745A">
      <w:pPr>
        <w:pStyle w:val="Textonotapie"/>
        <w:ind w:firstLine="708"/>
        <w:contextualSpacing/>
        <w:jc w:val="both"/>
        <w:rPr>
          <w:rFonts w:ascii="Verdana" w:hAnsi="Verdana" w:cs="Arial"/>
          <w:sz w:val="14"/>
          <w:szCs w:val="14"/>
        </w:rPr>
      </w:pPr>
      <w:r w:rsidRPr="005F69B9">
        <w:rPr>
          <w:rStyle w:val="Refdenotaalpie"/>
          <w:rFonts w:ascii="Verdana" w:hAnsi="Verdana" w:cs="Arial"/>
          <w:sz w:val="14"/>
          <w:szCs w:val="14"/>
        </w:rPr>
        <w:footnoteRef/>
      </w:r>
      <w:r w:rsidRPr="005F69B9">
        <w:rPr>
          <w:rFonts w:ascii="Verdana" w:hAnsi="Verdana" w:cs="Arial"/>
          <w:sz w:val="14"/>
          <w:szCs w:val="14"/>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footnote>
  <w:footnote w:id="5">
    <w:p w14:paraId="6E85CCB2" w14:textId="77777777" w:rsidR="0075745A" w:rsidRPr="005F69B9" w:rsidRDefault="0075745A" w:rsidP="0075745A">
      <w:pPr>
        <w:pStyle w:val="Textonotapie"/>
        <w:ind w:firstLine="708"/>
        <w:contextualSpacing/>
        <w:jc w:val="both"/>
        <w:rPr>
          <w:rFonts w:ascii="Verdana" w:hAnsi="Verdana" w:cs="Arial"/>
          <w:sz w:val="14"/>
          <w:szCs w:val="14"/>
        </w:rPr>
      </w:pPr>
      <w:r w:rsidRPr="005F69B9">
        <w:rPr>
          <w:rStyle w:val="Refdenotaalpie"/>
          <w:rFonts w:ascii="Verdana" w:hAnsi="Verdana" w:cs="Arial"/>
          <w:sz w:val="14"/>
          <w:szCs w:val="14"/>
        </w:rPr>
        <w:footnoteRef/>
      </w:r>
      <w:r w:rsidRPr="005F69B9">
        <w:rPr>
          <w:rFonts w:ascii="Verdana" w:hAnsi="Verdana" w:cs="Arial"/>
          <w:sz w:val="14"/>
          <w:szCs w:val="14"/>
        </w:rPr>
        <w:t xml:space="preserve"> Colombia Compra Eficiente. </w:t>
      </w:r>
      <w:r w:rsidRPr="005F69B9">
        <w:rPr>
          <w:rFonts w:ascii="Verdana" w:eastAsia="Calibri" w:hAnsi="Verdana" w:cs="Arial"/>
          <w:bCs/>
          <w:sz w:val="14"/>
          <w:szCs w:val="14"/>
          <w:lang w:val="es-ES_tradnl" w:eastAsia="es-ES_tradnl"/>
        </w:rPr>
        <w:t>Guía de Elaboración de Estudios del Sector</w:t>
      </w:r>
      <w:r w:rsidRPr="005F69B9">
        <w:rPr>
          <w:rFonts w:ascii="Verdana" w:hAnsi="Verdana" w:cs="Arial"/>
          <w:sz w:val="14"/>
          <w:szCs w:val="14"/>
        </w:rPr>
        <w:t xml:space="preserve">. Disponible en: </w:t>
      </w:r>
      <w:hyperlink r:id="rId1" w:history="1">
        <w:r w:rsidRPr="005F69B9">
          <w:rPr>
            <w:rStyle w:val="Hipervnculo"/>
            <w:rFonts w:ascii="Verdana" w:hAnsi="Verdana" w:cs="Arial"/>
            <w:sz w:val="14"/>
            <w:szCs w:val="14"/>
          </w:rPr>
          <w:t>https://www.colombiacompra.gov.co/manuales-guias-y-pliegos-tipo/manuales-y-guias</w:t>
        </w:r>
      </w:hyperlink>
      <w:r w:rsidRPr="005F69B9">
        <w:rPr>
          <w:rFonts w:ascii="Verdana" w:hAnsi="Verdana" w:cs="Arial"/>
          <w:sz w:val="14"/>
          <w:szCs w:val="14"/>
        </w:rPr>
        <w:t xml:space="preserve"> </w:t>
      </w:r>
    </w:p>
    <w:p w14:paraId="1E0AB191" w14:textId="77777777" w:rsidR="0075745A" w:rsidRPr="00BB0DA7" w:rsidRDefault="0075745A" w:rsidP="0075745A">
      <w:pPr>
        <w:pStyle w:val="Textonotapie"/>
        <w:ind w:firstLine="708"/>
        <w:contextualSpacing/>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C466FB6"/>
    <w:multiLevelType w:val="hybridMultilevel"/>
    <w:tmpl w:val="E168DEFA"/>
    <w:lvl w:ilvl="0" w:tplc="240A0017">
      <w:start w:val="1"/>
      <w:numFmt w:val="lowerLetter"/>
      <w:lvlText w:val="%1)"/>
      <w:lvlJc w:val="left"/>
      <w:pPr>
        <w:ind w:left="2220" w:hanging="360"/>
      </w:pPr>
    </w:lvl>
    <w:lvl w:ilvl="1" w:tplc="240A0019" w:tentative="1">
      <w:start w:val="1"/>
      <w:numFmt w:val="lowerLetter"/>
      <w:lvlText w:val="%2."/>
      <w:lvlJc w:val="left"/>
      <w:pPr>
        <w:ind w:left="2940" w:hanging="360"/>
      </w:pPr>
    </w:lvl>
    <w:lvl w:ilvl="2" w:tplc="240A001B" w:tentative="1">
      <w:start w:val="1"/>
      <w:numFmt w:val="lowerRoman"/>
      <w:lvlText w:val="%3."/>
      <w:lvlJc w:val="right"/>
      <w:pPr>
        <w:ind w:left="3660" w:hanging="180"/>
      </w:pPr>
    </w:lvl>
    <w:lvl w:ilvl="3" w:tplc="240A000F" w:tentative="1">
      <w:start w:val="1"/>
      <w:numFmt w:val="decimal"/>
      <w:lvlText w:val="%4."/>
      <w:lvlJc w:val="left"/>
      <w:pPr>
        <w:ind w:left="4380" w:hanging="360"/>
      </w:pPr>
    </w:lvl>
    <w:lvl w:ilvl="4" w:tplc="240A0019" w:tentative="1">
      <w:start w:val="1"/>
      <w:numFmt w:val="lowerLetter"/>
      <w:lvlText w:val="%5."/>
      <w:lvlJc w:val="left"/>
      <w:pPr>
        <w:ind w:left="5100" w:hanging="360"/>
      </w:pPr>
    </w:lvl>
    <w:lvl w:ilvl="5" w:tplc="240A001B" w:tentative="1">
      <w:start w:val="1"/>
      <w:numFmt w:val="lowerRoman"/>
      <w:lvlText w:val="%6."/>
      <w:lvlJc w:val="right"/>
      <w:pPr>
        <w:ind w:left="5820" w:hanging="180"/>
      </w:pPr>
    </w:lvl>
    <w:lvl w:ilvl="6" w:tplc="240A000F" w:tentative="1">
      <w:start w:val="1"/>
      <w:numFmt w:val="decimal"/>
      <w:lvlText w:val="%7."/>
      <w:lvlJc w:val="left"/>
      <w:pPr>
        <w:ind w:left="6540" w:hanging="360"/>
      </w:pPr>
    </w:lvl>
    <w:lvl w:ilvl="7" w:tplc="240A0019" w:tentative="1">
      <w:start w:val="1"/>
      <w:numFmt w:val="lowerLetter"/>
      <w:lvlText w:val="%8."/>
      <w:lvlJc w:val="left"/>
      <w:pPr>
        <w:ind w:left="7260" w:hanging="360"/>
      </w:pPr>
    </w:lvl>
    <w:lvl w:ilvl="8" w:tplc="240A001B" w:tentative="1">
      <w:start w:val="1"/>
      <w:numFmt w:val="lowerRoman"/>
      <w:lvlText w:val="%9."/>
      <w:lvlJc w:val="right"/>
      <w:pPr>
        <w:ind w:left="79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4722185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3CF"/>
    <w:rsid w:val="00046945"/>
    <w:rsid w:val="00061B2A"/>
    <w:rsid w:val="00082362"/>
    <w:rsid w:val="000A683E"/>
    <w:rsid w:val="000B19B9"/>
    <w:rsid w:val="000D0334"/>
    <w:rsid w:val="000D5DA7"/>
    <w:rsid w:val="000F6486"/>
    <w:rsid w:val="00116940"/>
    <w:rsid w:val="00125105"/>
    <w:rsid w:val="00127233"/>
    <w:rsid w:val="001340CE"/>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07141"/>
    <w:rsid w:val="00322A85"/>
    <w:rsid w:val="00324168"/>
    <w:rsid w:val="00330834"/>
    <w:rsid w:val="003448F4"/>
    <w:rsid w:val="00374F5E"/>
    <w:rsid w:val="00377E3E"/>
    <w:rsid w:val="00397B67"/>
    <w:rsid w:val="003A779E"/>
    <w:rsid w:val="003D0F4D"/>
    <w:rsid w:val="003D2080"/>
    <w:rsid w:val="003D5B0D"/>
    <w:rsid w:val="003E0499"/>
    <w:rsid w:val="003E4F80"/>
    <w:rsid w:val="003E6439"/>
    <w:rsid w:val="003F3941"/>
    <w:rsid w:val="00406575"/>
    <w:rsid w:val="00414C74"/>
    <w:rsid w:val="0042480A"/>
    <w:rsid w:val="0042722E"/>
    <w:rsid w:val="0044528D"/>
    <w:rsid w:val="00453918"/>
    <w:rsid w:val="004661B8"/>
    <w:rsid w:val="00466E39"/>
    <w:rsid w:val="00483DEA"/>
    <w:rsid w:val="004A1847"/>
    <w:rsid w:val="004A305D"/>
    <w:rsid w:val="004D6339"/>
    <w:rsid w:val="004F21C4"/>
    <w:rsid w:val="004F685F"/>
    <w:rsid w:val="005566E8"/>
    <w:rsid w:val="00574867"/>
    <w:rsid w:val="00591460"/>
    <w:rsid w:val="005A65E0"/>
    <w:rsid w:val="005C3777"/>
    <w:rsid w:val="005C5CDC"/>
    <w:rsid w:val="005D476C"/>
    <w:rsid w:val="005F69B9"/>
    <w:rsid w:val="006200BF"/>
    <w:rsid w:val="006219F8"/>
    <w:rsid w:val="006302F7"/>
    <w:rsid w:val="00646B9F"/>
    <w:rsid w:val="00665D70"/>
    <w:rsid w:val="006900D9"/>
    <w:rsid w:val="006E666E"/>
    <w:rsid w:val="006F16DC"/>
    <w:rsid w:val="00706C16"/>
    <w:rsid w:val="007340C3"/>
    <w:rsid w:val="007464FA"/>
    <w:rsid w:val="0075235A"/>
    <w:rsid w:val="00756841"/>
    <w:rsid w:val="0075745A"/>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C69CA"/>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65A6"/>
    <w:rsid w:val="00A7208B"/>
    <w:rsid w:val="00AB0ADB"/>
    <w:rsid w:val="00AE3FD0"/>
    <w:rsid w:val="00B00C0E"/>
    <w:rsid w:val="00B01B1A"/>
    <w:rsid w:val="00B0381D"/>
    <w:rsid w:val="00B44A47"/>
    <w:rsid w:val="00B72CD3"/>
    <w:rsid w:val="00B72FFF"/>
    <w:rsid w:val="00BB0DA7"/>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7C4C"/>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77D6B"/>
    <w:rsid w:val="00E8772A"/>
    <w:rsid w:val="00E90F6B"/>
    <w:rsid w:val="00E92C27"/>
    <w:rsid w:val="00EA0E3D"/>
    <w:rsid w:val="00EC38A7"/>
    <w:rsid w:val="00EE1AA8"/>
    <w:rsid w:val="00F23FEA"/>
    <w:rsid w:val="00F31EDC"/>
    <w:rsid w:val="00F336B1"/>
    <w:rsid w:val="00F462B3"/>
    <w:rsid w:val="00F5664F"/>
    <w:rsid w:val="00F666C4"/>
    <w:rsid w:val="00F76AFC"/>
    <w:rsid w:val="00F92F26"/>
    <w:rsid w:val="00FA47C0"/>
    <w:rsid w:val="00FB45B7"/>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5745A"/>
    <w:rPr>
      <w:rFonts w:ascii="Geomanist Light" w:hAnsi="Geomanist Light"/>
      <w:lang w:val="es-ES"/>
    </w:rPr>
  </w:style>
  <w:style w:type="character" w:customStyle="1" w:styleId="NormalWebCar">
    <w:name w:val="Normal (Web) Car"/>
    <w:link w:val="NormalWeb"/>
    <w:uiPriority w:val="99"/>
    <w:locked/>
    <w:rsid w:val="0075745A"/>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75745A"/>
    <w:pPr>
      <w:spacing w:line="240" w:lineRule="exact"/>
    </w:pPr>
    <w:rPr>
      <w:vertAlign w:val="superscript"/>
    </w:rPr>
  </w:style>
  <w:style w:type="paragraph" w:styleId="Textoindependiente">
    <w:name w:val="Body Text"/>
    <w:basedOn w:val="Normal"/>
    <w:link w:val="TextoindependienteCar"/>
    <w:uiPriority w:val="99"/>
    <w:semiHidden/>
    <w:unhideWhenUsed/>
    <w:rsid w:val="0075745A"/>
    <w:pPr>
      <w:spacing w:after="120"/>
    </w:pPr>
  </w:style>
  <w:style w:type="character" w:customStyle="1" w:styleId="TextoindependienteCar">
    <w:name w:val="Texto independiente Car"/>
    <w:basedOn w:val="Fuentedeprrafopredeter"/>
    <w:link w:val="Textoindependiente"/>
    <w:uiPriority w:val="99"/>
    <w:semiHidden/>
    <w:rsid w:val="007574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morenocarlos@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47A521-E846-4028-A8C9-8D2E8AE9B968}">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2BCAF64-D24B-4030-8B5C-44D43AC32E04}"/>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11</TotalTime>
  <Pages>16</Pages>
  <Words>5015</Words>
  <Characters>27586</Characters>
  <Application>Microsoft Office Word</Application>
  <DocSecurity>0</DocSecurity>
  <Lines>229</Lines>
  <Paragraphs>65</Paragraphs>
  <ScaleCrop>false</ScaleCrop>
  <Company/>
  <LinksUpToDate>false</LinksUpToDate>
  <CharactersWithSpaces>32536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5</cp:revision>
  <cp:lastPrinted>2023-01-10T21:18:00Z</cp:lastPrinted>
  <dcterms:created xsi:type="dcterms:W3CDTF">2026-05-28T15:52:00Z</dcterms:created>
  <dcterms:modified xsi:type="dcterms:W3CDTF">2026-05-29T02:04:00Z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