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4CABB7" w14:textId="12176006" w:rsidR="006A11D8" w:rsidRPr="006A11D8" w:rsidRDefault="006A11D8" w:rsidP="006A11D8">
      <w:pPr>
        <w:snapToGrid w:val="0"/>
        <w:spacing w:line="240" w:lineRule="auto"/>
        <w:contextualSpacing/>
        <w:jc w:val="both"/>
        <w:rPr>
          <w:rFonts w:ascii="Verdana" w:eastAsia="Calibri" w:hAnsi="Verdana" w:cs="Arial"/>
          <w:b/>
          <w:bCs/>
          <w:color w:val="000000"/>
          <w:kern w:val="2"/>
          <w14:ligatures w14:val="standardContextual"/>
        </w:rPr>
      </w:pPr>
      <w:bookmarkStart w:id="0" w:name="_Hlk143780582"/>
      <w:r w:rsidRPr="006A11D8">
        <w:rPr>
          <w:rFonts w:ascii="Verdana" w:eastAsia="Calibri" w:hAnsi="Verdana" w:cs="Arial"/>
          <w:b/>
          <w:bCs/>
          <w:color w:val="000000"/>
          <w:kern w:val="2"/>
          <w14:ligatures w14:val="standardContextual"/>
        </w:rPr>
        <w:t>INHABILIDADES E INCOMPATIBILIDADES – Concepto – Principio de legalidad – Interpretación restrictiva</w:t>
      </w:r>
    </w:p>
    <w:p w14:paraId="6964313E" w14:textId="77777777" w:rsidR="006A11D8" w:rsidRPr="006A11D8" w:rsidRDefault="006A11D8" w:rsidP="006A11D8">
      <w:pPr>
        <w:widowControl w:val="0"/>
        <w:autoSpaceDE w:val="0"/>
        <w:autoSpaceDN w:val="0"/>
        <w:snapToGrid w:val="0"/>
        <w:spacing w:line="240" w:lineRule="auto"/>
        <w:contextualSpacing/>
        <w:jc w:val="both"/>
        <w:rPr>
          <w:rFonts w:ascii="Verdana" w:eastAsia="Calibri" w:hAnsi="Verdana" w:cs="Arial"/>
          <w:b/>
          <w:bCs/>
          <w:color w:val="000000"/>
          <w:kern w:val="2"/>
          <w:sz w:val="20"/>
          <w:szCs w:val="20"/>
          <w14:ligatures w14:val="standardContextual"/>
        </w:rPr>
      </w:pPr>
    </w:p>
    <w:p w14:paraId="43C20658" w14:textId="77777777" w:rsidR="006A11D8" w:rsidRPr="006A11D8" w:rsidRDefault="006A11D8" w:rsidP="006A11D8">
      <w:pPr>
        <w:widowControl w:val="0"/>
        <w:autoSpaceDE w:val="0"/>
        <w:autoSpaceDN w:val="0"/>
        <w:snapToGrid w:val="0"/>
        <w:spacing w:after="0" w:line="240" w:lineRule="auto"/>
        <w:contextualSpacing/>
        <w:jc w:val="both"/>
        <w:rPr>
          <w:rFonts w:ascii="Verdana" w:eastAsia="Calibri" w:hAnsi="Verdana" w:cs="Arial"/>
          <w:color w:val="000000"/>
          <w:sz w:val="20"/>
          <w:szCs w:val="20"/>
          <w:lang w:val="es-ES_tradnl"/>
        </w:rPr>
      </w:pPr>
      <w:r w:rsidRPr="006A11D8">
        <w:rPr>
          <w:rFonts w:ascii="Verdana" w:eastAsia="Arial" w:hAnsi="Verdana" w:cs="Arial"/>
          <w:sz w:val="20"/>
          <w:szCs w:val="20"/>
        </w:rPr>
        <w:t xml:space="preserve">Con respecto a la aplicación de las inhabilidades o incompatibilidades, es importante resaltar que </w:t>
      </w:r>
      <w:r w:rsidRPr="006A11D8">
        <w:rPr>
          <w:rFonts w:ascii="Verdana" w:eastAsia="Arial MT" w:hAnsi="Verdana" w:cs="Arial"/>
          <w:sz w:val="20"/>
          <w:szCs w:val="20"/>
          <w:lang w:eastAsia="es-ES" w:bidi="es-ES"/>
        </w:rPr>
        <w:t>su aplicación siempre debe estar ajustada a los presupuestos que para cada causal señale el constituyente o el legislador. De este modo, no es posible que las entidades realicen una aplicación extensiva o analógica.</w:t>
      </w:r>
      <w:r w:rsidRPr="006A11D8">
        <w:rPr>
          <w:rFonts w:ascii="Verdana" w:eastAsia="Calibri" w:hAnsi="Verdana" w:cs="Arial"/>
          <w:color w:val="000000"/>
          <w:sz w:val="20"/>
          <w:szCs w:val="20"/>
          <w:lang w:val="es-ES_tradnl"/>
        </w:rPr>
        <w:t xml:space="preserve"> Las inhabilidades e incompatibilidades son restricciones o límites especiales a la capacidad para presentar ofertas y celebrar contratos estatales, en consecuencia, solo pueden tipificarse en la ley y su interpretación debe ser </w:t>
      </w:r>
      <w:r w:rsidRPr="006A11D8">
        <w:rPr>
          <w:rFonts w:ascii="Verdana" w:eastAsia="Calibri" w:hAnsi="Verdana" w:cs="Arial"/>
          <w:i/>
          <w:iCs/>
          <w:color w:val="000000"/>
          <w:sz w:val="20"/>
          <w:szCs w:val="20"/>
          <w:lang w:val="es-ES_tradnl"/>
        </w:rPr>
        <w:t>restrictiva</w:t>
      </w:r>
      <w:r w:rsidRPr="006A11D8">
        <w:rPr>
          <w:rFonts w:ascii="Verdana" w:eastAsia="Calibri" w:hAnsi="Verdana" w:cs="Arial"/>
          <w:color w:val="000000"/>
          <w:sz w:val="20"/>
          <w:szCs w:val="20"/>
          <w:lang w:val="es-ES_tradnl"/>
        </w:rPr>
        <w:t>, pues si se admitiera una interpretación amplia, extensiva o finalista de las mismas, los enunciados normativos podrían contemplar múltiples supuestos indeterminados, según el parecer o el sentido común de los operadores jurídicos, poniendo en riesgo principios como la igualdad, el debido proceso, la libre concurrencia y el ejercicio de la profesión u oficio.</w:t>
      </w:r>
    </w:p>
    <w:p w14:paraId="057A2A40" w14:textId="77777777" w:rsidR="006A11D8" w:rsidRPr="006A11D8" w:rsidRDefault="006A11D8" w:rsidP="006A11D8">
      <w:pPr>
        <w:snapToGrid w:val="0"/>
        <w:spacing w:line="240" w:lineRule="auto"/>
        <w:contextualSpacing/>
        <w:jc w:val="both"/>
        <w:rPr>
          <w:rFonts w:ascii="Verdana" w:eastAsia="Calibri" w:hAnsi="Verdana" w:cs="Arial"/>
          <w:color w:val="000000"/>
          <w:sz w:val="20"/>
          <w:szCs w:val="20"/>
          <w:lang w:val="es-ES"/>
        </w:rPr>
      </w:pPr>
    </w:p>
    <w:p w14:paraId="3AB38948" w14:textId="77777777" w:rsidR="006A11D8" w:rsidRPr="006A11D8" w:rsidRDefault="006A11D8" w:rsidP="006A11D8">
      <w:pPr>
        <w:snapToGrid w:val="0"/>
        <w:spacing w:line="240" w:lineRule="auto"/>
        <w:contextualSpacing/>
        <w:jc w:val="both"/>
        <w:rPr>
          <w:rFonts w:ascii="Verdana" w:eastAsia="Calibri" w:hAnsi="Verdana" w:cs="Arial"/>
          <w:color w:val="000000"/>
          <w:sz w:val="20"/>
          <w:szCs w:val="20"/>
          <w:lang w:val="es-ES"/>
        </w:rPr>
      </w:pPr>
      <w:r w:rsidRPr="006A11D8">
        <w:rPr>
          <w:rFonts w:ascii="Verdana" w:eastAsia="Calibri" w:hAnsi="Verdana" w:cs="Arial"/>
          <w:color w:val="000000"/>
          <w:sz w:val="20"/>
          <w:szCs w:val="20"/>
          <w:lang w:val="es-ES"/>
        </w:rPr>
        <w:t xml:space="preserve">Como se aprecia, el principio </w:t>
      </w:r>
      <w:r w:rsidRPr="006A11D8">
        <w:rPr>
          <w:rFonts w:ascii="Verdana" w:eastAsia="Calibri" w:hAnsi="Verdana" w:cs="Arial"/>
          <w:i/>
          <w:color w:val="000000"/>
          <w:sz w:val="20"/>
          <w:szCs w:val="20"/>
          <w:lang w:val="es-ES"/>
        </w:rPr>
        <w:t>pro libertate</w:t>
      </w:r>
      <w:r w:rsidRPr="006A11D8">
        <w:rPr>
          <w:rFonts w:ascii="Verdana" w:eastAsia="Calibri" w:hAnsi="Verdana" w:cs="Arial"/>
          <w:color w:val="000000"/>
          <w:sz w:val="20"/>
          <w:szCs w:val="20"/>
          <w:lang w:val="es-ES"/>
        </w:rPr>
        <w:t xml:space="preserve"> debe dirigir la interpretación de las disposiciones normativas que consagran restricciones de derechos, como sucede con las causales de inhabilidad e incompatibilidad en la contratación estatal. De esta forma, dado que el régimen de inhabilidades e incompatibilidades no se refirió al supuesto objeto de consulta, no será posible que las entidades interpreten la existencia de una inhabilidad que impida participar en un proceso de contratación al consorcio compuesto por una persona natural y por una SAS cuyo único socio y representante legal sea esa misma persona. </w:t>
      </w:r>
    </w:p>
    <w:p w14:paraId="14A65332" w14:textId="77777777" w:rsidR="006A11D8" w:rsidRPr="006A11D8" w:rsidRDefault="006A11D8" w:rsidP="006A11D8">
      <w:pPr>
        <w:spacing w:after="0" w:line="240" w:lineRule="auto"/>
        <w:jc w:val="both"/>
        <w:rPr>
          <w:rFonts w:ascii="Verdana" w:eastAsia="Geomanist Light" w:hAnsi="Verdana" w:cs="Arial"/>
          <w:b/>
          <w:bCs/>
          <w:color w:val="000000"/>
          <w:sz w:val="20"/>
          <w:szCs w:val="20"/>
          <w:highlight w:val="yellow"/>
          <w:lang w:val="es-MX"/>
        </w:rPr>
      </w:pPr>
    </w:p>
    <w:p w14:paraId="4BD255F1" w14:textId="77777777" w:rsidR="006A11D8" w:rsidRPr="006A11D8" w:rsidRDefault="006A11D8" w:rsidP="006A11D8">
      <w:pPr>
        <w:snapToGrid w:val="0"/>
        <w:spacing w:after="0" w:line="240" w:lineRule="auto"/>
        <w:contextualSpacing/>
        <w:jc w:val="both"/>
        <w:rPr>
          <w:rFonts w:ascii="Verdana" w:eastAsia="Calibri" w:hAnsi="Verdana" w:cs="Arial"/>
          <w:b/>
          <w:bCs/>
          <w:lang w:val="es-ES" w:eastAsia="es-ES"/>
        </w:rPr>
      </w:pPr>
      <w:r w:rsidRPr="006A11D8">
        <w:rPr>
          <w:rFonts w:ascii="Verdana" w:eastAsia="Calibri" w:hAnsi="Verdana" w:cs="Arial"/>
          <w:b/>
          <w:bCs/>
          <w:lang w:val="es-ES" w:eastAsia="es-ES"/>
        </w:rPr>
        <w:t>SOCIEDADES POR ACCIONES SIMPLIFICADAS – Participación de servidor público – Inaplicación de inhabilidad - Aclaración</w:t>
      </w:r>
    </w:p>
    <w:p w14:paraId="5F37E1E7" w14:textId="77777777" w:rsidR="006A11D8" w:rsidRPr="006A11D8" w:rsidRDefault="006A11D8" w:rsidP="006A11D8">
      <w:pPr>
        <w:snapToGrid w:val="0"/>
        <w:spacing w:after="0" w:line="240" w:lineRule="auto"/>
        <w:contextualSpacing/>
        <w:jc w:val="both"/>
        <w:rPr>
          <w:rFonts w:ascii="Verdana" w:eastAsia="Calibri" w:hAnsi="Verdana" w:cs="Arial"/>
          <w:lang w:val="es-ES" w:eastAsia="es-ES"/>
        </w:rPr>
      </w:pPr>
    </w:p>
    <w:p w14:paraId="7DE25592" w14:textId="77777777" w:rsidR="006A11D8" w:rsidRPr="006A11D8" w:rsidRDefault="006A11D8" w:rsidP="006A11D8">
      <w:pPr>
        <w:spacing w:after="0" w:line="240" w:lineRule="auto"/>
        <w:jc w:val="both"/>
        <w:rPr>
          <w:rFonts w:ascii="Verdana" w:eastAsia="Calibri" w:hAnsi="Verdana" w:cs="Arial"/>
          <w:sz w:val="20"/>
          <w:szCs w:val="20"/>
          <w:lang w:val="es-ES"/>
        </w:rPr>
      </w:pPr>
      <w:r w:rsidRPr="006A11D8">
        <w:rPr>
          <w:rFonts w:ascii="Verdana" w:eastAsia="Calibri" w:hAnsi="Verdana" w:cs="Arial"/>
          <w:sz w:val="20"/>
          <w:szCs w:val="20"/>
          <w:lang w:val="es-ES" w:eastAsia="es-ES"/>
        </w:rPr>
        <w:t>[…]</w:t>
      </w:r>
      <w:r w:rsidRPr="006A11D8">
        <w:rPr>
          <w:rFonts w:ascii="Verdana" w:eastAsia="Calibri" w:hAnsi="Verdana" w:cs="Arial"/>
          <w:sz w:val="20"/>
          <w:szCs w:val="20"/>
          <w:lang w:val="es-ES"/>
        </w:rPr>
        <w:t>el literal d) del numeral 2 de la referida norma, como se observa, inhabilita para contratar con una Entidad Estatal a ciertas sociedades en las que un servidor público tenga participación o ejerza un cargo de dirección o manejo, esto, siempre y cuando dicho funcionario pertenezca al nivel directivo, asesor, ejecutivo o sea miembro de la junta o consejo directivo de la entidad contratante. Sin embargo, vale la pena aclarar que esta restricción no resulta extensible a las Sociedades por Acciones Simplificadas –SAS– que, de acuerdo con lo indicado en el artículo 3 de la Ley 1258 de 2008 son consideradas como sociedades capitales, por lo que no se encuentran en la singularización que, respecto del tipo de sociedad y denominación, efectúa el referido literal d), ya que sólo limita la capacidad para contratar en dicho supuesto fáctico, a las sociedades anónimas que no tengan el carácter de abiertas, las sociedades de responsabilidad limitada y las demás sociedades de personas.</w:t>
      </w:r>
    </w:p>
    <w:p w14:paraId="6EF9CF80" w14:textId="77777777" w:rsidR="006A11D8" w:rsidRPr="006A11D8" w:rsidRDefault="006A11D8" w:rsidP="006A11D8">
      <w:pPr>
        <w:snapToGrid w:val="0"/>
        <w:spacing w:after="0" w:line="240" w:lineRule="auto"/>
        <w:contextualSpacing/>
        <w:jc w:val="both"/>
        <w:rPr>
          <w:rFonts w:ascii="Verdana" w:eastAsia="Calibri" w:hAnsi="Verdana" w:cs="Arial"/>
          <w:sz w:val="20"/>
          <w:szCs w:val="20"/>
          <w:lang w:val="es-ES"/>
        </w:rPr>
      </w:pPr>
    </w:p>
    <w:p w14:paraId="009A5F4F" w14:textId="77777777" w:rsidR="006A11D8" w:rsidRPr="006A11D8" w:rsidRDefault="006A11D8" w:rsidP="006A11D8">
      <w:pPr>
        <w:snapToGrid w:val="0"/>
        <w:spacing w:after="0" w:line="240" w:lineRule="auto"/>
        <w:contextualSpacing/>
        <w:jc w:val="both"/>
        <w:rPr>
          <w:rFonts w:ascii="Verdana" w:eastAsia="Calibri" w:hAnsi="Verdana" w:cs="Arial"/>
          <w:sz w:val="20"/>
          <w:szCs w:val="20"/>
          <w:lang w:val="es-ES" w:eastAsia="es-ES"/>
        </w:rPr>
      </w:pPr>
      <w:r w:rsidRPr="006A11D8">
        <w:rPr>
          <w:rFonts w:ascii="Verdana" w:eastAsia="Calibri" w:hAnsi="Verdana" w:cs="Arial"/>
          <w:sz w:val="20"/>
          <w:szCs w:val="20"/>
          <w:lang w:val="es-ES"/>
        </w:rPr>
        <w:t>De conformidad con lo anterior, la Superintendencia de Sociedades, en el Oficio. No. 220-087303 del 16 de agosto de 2019, señaló que las inhabilidades son de aplicación excepcional y restrictivo, por lo tanto, no pueden ser impuestas a los socios de una sociedad de capitales como lo es la Sociedad por Acciones Simplificadas –SAS–[…].</w:t>
      </w:r>
    </w:p>
    <w:p w14:paraId="3D470C47" w14:textId="77777777" w:rsidR="006A11D8" w:rsidRPr="006A11D8" w:rsidRDefault="006A11D8" w:rsidP="006A11D8">
      <w:pPr>
        <w:spacing w:after="0" w:line="240" w:lineRule="auto"/>
        <w:rPr>
          <w:rFonts w:ascii="Verdana" w:eastAsia="Aptos" w:hAnsi="Verdana" w:cs="Times New Roman"/>
          <w:sz w:val="20"/>
          <w:szCs w:val="20"/>
        </w:rPr>
      </w:pPr>
    </w:p>
    <w:p w14:paraId="69AECA92" w14:textId="69C68FB5" w:rsidR="006A11D8" w:rsidRPr="006A11D8" w:rsidRDefault="006A11D8" w:rsidP="006A11D8">
      <w:pPr>
        <w:spacing w:after="0" w:line="240" w:lineRule="auto"/>
        <w:jc w:val="both"/>
        <w:rPr>
          <w:rFonts w:ascii="Verdana" w:eastAsia="Calibri" w:hAnsi="Verdana" w:cs="Arial"/>
          <w:lang w:val="es-ES"/>
        </w:rPr>
      </w:pPr>
      <w:r w:rsidRPr="006A11D8">
        <w:rPr>
          <w:rFonts w:ascii="Verdana" w:eastAsia="Geomanist Light" w:hAnsi="Verdana" w:cs="Arial"/>
          <w:lang w:val="es-MX"/>
        </w:rPr>
        <w:lastRenderedPageBreak/>
        <w:t>Bogotá D.C., </w:t>
      </w:r>
      <w:r w:rsidR="00661907">
        <w:rPr>
          <w:rFonts w:ascii="Verdana" w:eastAsia="Geomanist Light" w:hAnsi="Verdana" w:cs="Arial"/>
          <w:lang w:val="es-MX"/>
        </w:rPr>
        <w:t>28 de mayo de 2026</w:t>
      </w:r>
    </w:p>
    <w:p w14:paraId="719E32FB" w14:textId="77777777" w:rsidR="006A11D8" w:rsidRPr="006A11D8" w:rsidRDefault="006A11D8" w:rsidP="006A11D8">
      <w:pPr>
        <w:spacing w:after="0" w:line="240" w:lineRule="auto"/>
        <w:jc w:val="both"/>
        <w:rPr>
          <w:rFonts w:ascii="Verdana" w:eastAsia="Calibri" w:hAnsi="Verdana" w:cs="Arial"/>
          <w:lang w:val="es-ES"/>
        </w:rPr>
      </w:pPr>
    </w:p>
    <w:p w14:paraId="5D16AF42" w14:textId="06AE03D1" w:rsidR="006A11D8" w:rsidRPr="006A11D8" w:rsidRDefault="00713007" w:rsidP="006A11D8">
      <w:pPr>
        <w:spacing w:after="0" w:line="240" w:lineRule="auto"/>
        <w:jc w:val="right"/>
        <w:rPr>
          <w:rFonts w:ascii="Verdana" w:eastAsia="Calibri" w:hAnsi="Verdana" w:cs="Arial"/>
          <w:lang w:val="es-ES"/>
        </w:rPr>
      </w:pPr>
      <w:r w:rsidRPr="00713007">
        <w:rPr>
          <w:rFonts w:ascii="Verdana" w:eastAsia="Calibri" w:hAnsi="Verdana" w:cs="Arial"/>
          <w:lang w:val="es-ES"/>
        </w:rPr>
        <w:drawing>
          <wp:inline distT="0" distB="0" distL="0" distR="0" wp14:anchorId="5CD525B1" wp14:editId="7813DD0D">
            <wp:extent cx="1667108" cy="504895"/>
            <wp:effectExtent l="0" t="0" r="9525" b="0"/>
            <wp:docPr id="991941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94170" name=""/>
                    <pic:cNvPicPr/>
                  </pic:nvPicPr>
                  <pic:blipFill>
                    <a:blip r:embed="rId10"/>
                    <a:stretch>
                      <a:fillRect/>
                    </a:stretch>
                  </pic:blipFill>
                  <pic:spPr>
                    <a:xfrm>
                      <a:off x="0" y="0"/>
                      <a:ext cx="1667108" cy="504895"/>
                    </a:xfrm>
                    <a:prstGeom prst="rect">
                      <a:avLst/>
                    </a:prstGeom>
                  </pic:spPr>
                </pic:pic>
              </a:graphicData>
            </a:graphic>
          </wp:inline>
        </w:drawing>
      </w:r>
    </w:p>
    <w:p w14:paraId="4A4E5C5B" w14:textId="77777777" w:rsidR="006A11D8" w:rsidRPr="006A11D8" w:rsidRDefault="006A11D8" w:rsidP="006A11D8">
      <w:pPr>
        <w:spacing w:after="0" w:line="240" w:lineRule="auto"/>
        <w:jc w:val="both"/>
        <w:rPr>
          <w:rFonts w:ascii="Verdana" w:eastAsia="Calibri" w:hAnsi="Verdana" w:cs="Arial"/>
          <w:lang w:val="es-ES" w:eastAsia="es-ES"/>
        </w:rPr>
      </w:pPr>
      <w:r w:rsidRPr="006A11D8">
        <w:rPr>
          <w:rFonts w:ascii="Verdana" w:eastAsia="Calibri" w:hAnsi="Verdana" w:cs="Arial"/>
          <w:lang w:val="es-ES" w:eastAsia="es-ES"/>
        </w:rPr>
        <w:t>Señor</w:t>
      </w:r>
    </w:p>
    <w:p w14:paraId="3B39DFAF" w14:textId="77777777" w:rsidR="006A11D8" w:rsidRPr="006A11D8" w:rsidRDefault="006A11D8" w:rsidP="006A11D8">
      <w:pPr>
        <w:spacing w:after="0" w:line="240" w:lineRule="auto"/>
        <w:rPr>
          <w:rFonts w:ascii="Verdana" w:eastAsia="Calibri" w:hAnsi="Verdana" w:cs="Arial"/>
          <w:b/>
          <w:lang w:val="es-ES" w:eastAsia="es-ES"/>
        </w:rPr>
      </w:pPr>
      <w:r w:rsidRPr="006A11D8">
        <w:rPr>
          <w:rFonts w:ascii="Verdana" w:eastAsia="Calibri" w:hAnsi="Verdana" w:cs="Arial"/>
          <w:b/>
          <w:lang w:val="es-ES" w:eastAsia="es-ES"/>
        </w:rPr>
        <w:t>Bertulio Cabrera Plazas</w:t>
      </w:r>
    </w:p>
    <w:p w14:paraId="36470122" w14:textId="77777777" w:rsidR="006A11D8" w:rsidRPr="006A11D8" w:rsidRDefault="006A11D8" w:rsidP="006A11D8">
      <w:pPr>
        <w:spacing w:after="0" w:line="240" w:lineRule="auto"/>
        <w:rPr>
          <w:rFonts w:ascii="Verdana" w:eastAsia="Calibri" w:hAnsi="Verdana" w:cs="Arial"/>
          <w:lang w:val="es-ES" w:eastAsia="es-ES"/>
        </w:rPr>
      </w:pPr>
      <w:hyperlink r:id="rId11" w:history="1">
        <w:r w:rsidRPr="006A11D8">
          <w:rPr>
            <w:rFonts w:ascii="Verdana" w:eastAsia="Aptos" w:hAnsi="Verdana" w:cs="Arial"/>
            <w:color w:val="0000FF"/>
            <w:u w:val="single"/>
          </w:rPr>
          <w:t>bertulioc@yahoo.com</w:t>
        </w:r>
      </w:hyperlink>
      <w:r w:rsidRPr="006A11D8">
        <w:rPr>
          <w:rFonts w:ascii="Verdana" w:eastAsia="Aptos" w:hAnsi="Verdana" w:cs="Arial"/>
        </w:rPr>
        <w:t xml:space="preserve"> </w:t>
      </w:r>
      <w:r w:rsidRPr="006A11D8">
        <w:rPr>
          <w:rFonts w:ascii="Verdana" w:eastAsia="Calibri" w:hAnsi="Verdana" w:cs="Arial"/>
          <w:lang w:val="es-ES" w:eastAsia="es-ES"/>
        </w:rPr>
        <w:t xml:space="preserve"> </w:t>
      </w:r>
    </w:p>
    <w:p w14:paraId="5D0356E8" w14:textId="77777777" w:rsidR="006A11D8" w:rsidRPr="006A11D8" w:rsidRDefault="006A11D8" w:rsidP="006A11D8">
      <w:pPr>
        <w:spacing w:after="0" w:line="240" w:lineRule="auto"/>
        <w:rPr>
          <w:rFonts w:ascii="Verdana" w:eastAsia="Calibri" w:hAnsi="Verdana" w:cs="Arial"/>
          <w:b/>
          <w:bCs/>
          <w:lang w:val="es-ES" w:eastAsia="es-ES"/>
        </w:rPr>
      </w:pPr>
      <w:r w:rsidRPr="006A11D8">
        <w:rPr>
          <w:rFonts w:ascii="Verdana" w:eastAsia="Calibri" w:hAnsi="Verdana" w:cs="Arial"/>
          <w:lang w:val="es-ES" w:eastAsia="es-ES"/>
        </w:rPr>
        <w:t>Florencia, Caquetá</w:t>
      </w:r>
    </w:p>
    <w:p w14:paraId="6429EF26" w14:textId="77777777" w:rsidR="006A11D8" w:rsidRPr="006A11D8" w:rsidRDefault="006A11D8" w:rsidP="006A11D8">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A11D8" w:rsidRPr="006A11D8" w14:paraId="4D072CBB" w14:textId="77777777" w:rsidTr="00896634">
        <w:trPr>
          <w:trHeight w:val="308"/>
        </w:trPr>
        <w:tc>
          <w:tcPr>
            <w:tcW w:w="2689" w:type="dxa"/>
          </w:tcPr>
          <w:p w14:paraId="37C88216" w14:textId="77777777" w:rsidR="006A11D8" w:rsidRPr="006A11D8" w:rsidRDefault="006A11D8" w:rsidP="006A11D8">
            <w:pPr>
              <w:jc w:val="both"/>
              <w:rPr>
                <w:rFonts w:ascii="Verdana" w:eastAsia="Calibri" w:hAnsi="Verdana" w:cs="Arial"/>
                <w:b/>
                <w:bCs/>
                <w:lang w:val="es-ES_tradnl" w:eastAsia="es-ES_tradnl"/>
              </w:rPr>
            </w:pPr>
          </w:p>
        </w:tc>
        <w:tc>
          <w:tcPr>
            <w:tcW w:w="6100" w:type="dxa"/>
          </w:tcPr>
          <w:p w14:paraId="22335472" w14:textId="77777777" w:rsidR="006A11D8" w:rsidRPr="006A11D8" w:rsidRDefault="006A11D8" w:rsidP="006A11D8">
            <w:pPr>
              <w:jc w:val="both"/>
              <w:rPr>
                <w:rFonts w:ascii="Verdana" w:eastAsia="Calibri" w:hAnsi="Verdana" w:cs="Arial"/>
                <w:b/>
                <w:bCs/>
                <w:lang w:val="es-ES" w:eastAsia="es-ES"/>
              </w:rPr>
            </w:pPr>
            <w:r w:rsidRPr="006A11D8">
              <w:rPr>
                <w:rFonts w:ascii="Verdana" w:eastAsia="Calibri" w:hAnsi="Verdana" w:cs="Arial"/>
                <w:b/>
                <w:bCs/>
                <w:lang w:val="es-ES" w:eastAsia="es-ES"/>
              </w:rPr>
              <w:t>Concepto C-637 de 2026</w:t>
            </w:r>
          </w:p>
          <w:p w14:paraId="263B53B6" w14:textId="77777777" w:rsidR="006A11D8" w:rsidRPr="006A11D8" w:rsidRDefault="006A11D8" w:rsidP="006A11D8">
            <w:pPr>
              <w:jc w:val="both"/>
              <w:rPr>
                <w:rFonts w:ascii="Verdana" w:eastAsia="Calibri" w:hAnsi="Verdana" w:cs="Arial"/>
                <w:b/>
                <w:bCs/>
                <w:lang w:val="es-ES" w:eastAsia="es-ES"/>
              </w:rPr>
            </w:pPr>
          </w:p>
        </w:tc>
      </w:tr>
      <w:tr w:rsidR="006A11D8" w:rsidRPr="006A11D8" w14:paraId="7C5A5F6A" w14:textId="77777777" w:rsidTr="00896634">
        <w:trPr>
          <w:trHeight w:val="884"/>
        </w:trPr>
        <w:tc>
          <w:tcPr>
            <w:tcW w:w="2689" w:type="dxa"/>
          </w:tcPr>
          <w:p w14:paraId="274BE3F1" w14:textId="77777777" w:rsidR="006A11D8" w:rsidRPr="006A11D8" w:rsidRDefault="006A11D8" w:rsidP="006A11D8">
            <w:pPr>
              <w:jc w:val="both"/>
              <w:rPr>
                <w:rFonts w:ascii="Verdana" w:eastAsia="Calibri" w:hAnsi="Verdana" w:cs="Arial"/>
                <w:lang w:val="es-ES_tradnl" w:eastAsia="es-ES_tradnl"/>
              </w:rPr>
            </w:pPr>
            <w:r w:rsidRPr="006A11D8">
              <w:rPr>
                <w:rFonts w:ascii="Verdana" w:eastAsia="Calibri" w:hAnsi="Verdana" w:cs="Arial"/>
                <w:b/>
                <w:lang w:val="es-ES_tradnl" w:eastAsia="es-ES_tradnl"/>
              </w:rPr>
              <w:t>Temas:</w:t>
            </w:r>
            <w:r w:rsidRPr="006A11D8">
              <w:rPr>
                <w:rFonts w:ascii="Verdana" w:eastAsia="Calibri" w:hAnsi="Verdana" w:cs="Arial"/>
                <w:lang w:val="es-ES_tradnl" w:eastAsia="es-ES_tradnl"/>
              </w:rPr>
              <w:t xml:space="preserve">                   </w:t>
            </w:r>
          </w:p>
        </w:tc>
        <w:tc>
          <w:tcPr>
            <w:tcW w:w="6100" w:type="dxa"/>
          </w:tcPr>
          <w:p w14:paraId="25745E82" w14:textId="77777777" w:rsidR="006A11D8" w:rsidRPr="006A11D8" w:rsidRDefault="006A11D8" w:rsidP="006A11D8">
            <w:pPr>
              <w:spacing w:line="276" w:lineRule="auto"/>
              <w:jc w:val="both"/>
              <w:rPr>
                <w:rFonts w:ascii="Verdana" w:eastAsia="Calibri" w:hAnsi="Verdana" w:cs="Arial"/>
                <w:lang w:val="es-ES" w:eastAsia="es-ES"/>
              </w:rPr>
            </w:pPr>
            <w:r w:rsidRPr="006A11D8">
              <w:rPr>
                <w:rFonts w:ascii="Verdana" w:eastAsia="Calibri" w:hAnsi="Verdana" w:cs="Arial"/>
                <w:lang w:val="es-ES" w:eastAsia="es-ES"/>
              </w:rPr>
              <w:t>INHABILIDADES E INCOMPATIBILIDADES – Concepto – Principio de legalidad – Interpretación restrictiva /</w:t>
            </w:r>
            <w:r w:rsidRPr="006A11D8">
              <w:rPr>
                <w:rFonts w:ascii="Aptos" w:eastAsia="Aptos" w:hAnsi="Aptos" w:cs="Arial"/>
              </w:rPr>
              <w:t xml:space="preserve"> </w:t>
            </w:r>
            <w:r w:rsidRPr="006A11D8">
              <w:rPr>
                <w:rFonts w:ascii="Verdana" w:eastAsia="Calibri" w:hAnsi="Verdana" w:cs="Arial"/>
                <w:lang w:val="es-ES" w:eastAsia="es-ES"/>
              </w:rPr>
              <w:t>SOCIEDADES POR ACCIONES SIMPLIFICADAS – Participación de servidor público – Inaplicación de inhabilidad - Aclaración</w:t>
            </w:r>
          </w:p>
        </w:tc>
      </w:tr>
    </w:tbl>
    <w:p w14:paraId="320B5C92" w14:textId="77777777" w:rsidR="006A11D8" w:rsidRPr="006A11D8" w:rsidRDefault="006A11D8" w:rsidP="006A11D8">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A11D8" w:rsidRPr="006A11D8" w14:paraId="70C6994E" w14:textId="77777777" w:rsidTr="00896634">
        <w:tc>
          <w:tcPr>
            <w:tcW w:w="2689" w:type="dxa"/>
          </w:tcPr>
          <w:p w14:paraId="78EB18A3" w14:textId="77777777" w:rsidR="006A11D8" w:rsidRPr="006A11D8" w:rsidRDefault="006A11D8" w:rsidP="006A11D8">
            <w:pPr>
              <w:jc w:val="both"/>
              <w:rPr>
                <w:rFonts w:ascii="Verdana" w:eastAsia="Calibri" w:hAnsi="Verdana" w:cs="Arial"/>
                <w:b/>
                <w:lang w:val="es-ES_tradnl" w:eastAsia="es-ES_tradnl"/>
              </w:rPr>
            </w:pPr>
            <w:r w:rsidRPr="006A11D8">
              <w:rPr>
                <w:rFonts w:ascii="Verdana" w:eastAsia="Calibri" w:hAnsi="Verdana" w:cs="Arial"/>
                <w:b/>
                <w:lang w:val="es-ES_tradnl" w:eastAsia="es-ES_tradnl"/>
              </w:rPr>
              <w:t>Radicación:</w:t>
            </w:r>
            <w:r w:rsidRPr="006A11D8">
              <w:rPr>
                <w:rFonts w:ascii="Verdana" w:eastAsia="Calibri" w:hAnsi="Verdana" w:cs="Arial"/>
                <w:lang w:val="es-ES_tradnl" w:eastAsia="es-ES_tradnl"/>
              </w:rPr>
              <w:t xml:space="preserve">               </w:t>
            </w:r>
          </w:p>
        </w:tc>
        <w:tc>
          <w:tcPr>
            <w:tcW w:w="6100" w:type="dxa"/>
          </w:tcPr>
          <w:p w14:paraId="6E1D2FFB" w14:textId="77777777" w:rsidR="006A11D8" w:rsidRPr="006A11D8" w:rsidRDefault="006A11D8" w:rsidP="006A11D8">
            <w:pPr>
              <w:jc w:val="both"/>
              <w:rPr>
                <w:rFonts w:ascii="Verdana" w:eastAsia="Calibri" w:hAnsi="Verdana" w:cs="Arial"/>
                <w:lang w:val="es-ES_tradnl" w:eastAsia="es-ES_tradnl"/>
              </w:rPr>
            </w:pPr>
            <w:r w:rsidRPr="006A11D8">
              <w:rPr>
                <w:rFonts w:ascii="Verdana" w:eastAsia="Calibri" w:hAnsi="Verdana" w:cs="Arial"/>
                <w:lang w:val="es-ES_tradnl" w:eastAsia="es-ES_tradnl"/>
              </w:rPr>
              <w:t>Respuesta a consulta con radicado No. 1_2026_04_19_005260</w:t>
            </w:r>
          </w:p>
        </w:tc>
      </w:tr>
    </w:tbl>
    <w:p w14:paraId="0DF43F8C" w14:textId="77777777" w:rsidR="006A11D8" w:rsidRPr="006A11D8" w:rsidRDefault="006A11D8" w:rsidP="006A11D8">
      <w:pPr>
        <w:spacing w:after="0" w:line="240" w:lineRule="auto"/>
        <w:jc w:val="both"/>
        <w:rPr>
          <w:rFonts w:ascii="Verdana" w:eastAsia="Calibri" w:hAnsi="Verdana" w:cs="Arial"/>
          <w:lang w:val="es-ES_tradnl" w:eastAsia="es-ES_tradnl"/>
        </w:rPr>
      </w:pPr>
    </w:p>
    <w:p w14:paraId="6E369B39" w14:textId="77777777" w:rsidR="006A11D8" w:rsidRPr="006A11D8" w:rsidRDefault="006A11D8" w:rsidP="006A11D8">
      <w:pPr>
        <w:spacing w:after="0" w:line="240" w:lineRule="auto"/>
        <w:jc w:val="both"/>
        <w:rPr>
          <w:rFonts w:ascii="Verdana" w:eastAsia="Calibri" w:hAnsi="Verdana" w:cs="Arial"/>
          <w:lang w:val="es-ES_tradnl" w:eastAsia="es-ES_tradnl"/>
        </w:rPr>
      </w:pPr>
    </w:p>
    <w:p w14:paraId="3FEDD0D8" w14:textId="77777777" w:rsidR="006A11D8" w:rsidRPr="006A11D8" w:rsidRDefault="006A11D8" w:rsidP="006A11D8">
      <w:pPr>
        <w:spacing w:after="0" w:line="276" w:lineRule="auto"/>
        <w:jc w:val="both"/>
        <w:rPr>
          <w:rFonts w:ascii="Verdana" w:eastAsia="Calibri" w:hAnsi="Verdana" w:cs="Arial"/>
          <w:lang w:val="es-ES" w:eastAsia="es-ES"/>
        </w:rPr>
      </w:pPr>
      <w:r w:rsidRPr="006A11D8">
        <w:rPr>
          <w:rFonts w:ascii="Verdana" w:eastAsia="Calibri" w:hAnsi="Verdana" w:cs="Arial"/>
          <w:lang w:val="es-ES" w:eastAsia="es-ES"/>
        </w:rPr>
        <w:t xml:space="preserve">Estimado Señor Cabrera: </w:t>
      </w:r>
    </w:p>
    <w:p w14:paraId="2171C11E" w14:textId="77777777" w:rsidR="006A11D8" w:rsidRPr="006A11D8" w:rsidRDefault="006A11D8" w:rsidP="006A11D8">
      <w:pPr>
        <w:tabs>
          <w:tab w:val="left" w:pos="3768"/>
        </w:tabs>
        <w:spacing w:after="0" w:line="276" w:lineRule="auto"/>
        <w:jc w:val="both"/>
        <w:rPr>
          <w:rFonts w:ascii="Verdana" w:eastAsia="Calibri" w:hAnsi="Verdana" w:cs="Arial"/>
          <w:lang w:val="es-ES" w:eastAsia="es-ES"/>
        </w:rPr>
      </w:pPr>
    </w:p>
    <w:p w14:paraId="240A5CCA" w14:textId="77777777" w:rsidR="006A11D8" w:rsidRPr="006A11D8" w:rsidRDefault="006A11D8" w:rsidP="006A11D8">
      <w:pPr>
        <w:spacing w:after="0" w:line="276" w:lineRule="auto"/>
        <w:jc w:val="both"/>
        <w:rPr>
          <w:rFonts w:ascii="Verdana" w:eastAsia="Calibri" w:hAnsi="Verdana" w:cs="Arial"/>
          <w:lang w:val="es-ES" w:eastAsia="es-ES"/>
        </w:rPr>
      </w:pPr>
      <w:r w:rsidRPr="006A11D8">
        <w:rPr>
          <w:rFonts w:ascii="Verdana" w:eastAsia="Calibri" w:hAnsi="Verdana" w:cs="Arial"/>
          <w:lang w:val="es-ES" w:eastAsia="es-ES"/>
        </w:rPr>
        <w:t>En ejercicio de la competencia otorgada por los artículos 3, numeral 5º, y 11, numeral 8º, del Decreto Ley 4170 de 2011,</w:t>
      </w:r>
      <w:r w:rsidRPr="006A11D8">
        <w:rPr>
          <w:rFonts w:ascii="Verdana" w:eastAsia="Arial MT" w:hAnsi="Verdana" w:cs="Arial MT"/>
          <w:lang w:val="es-ES" w:eastAsia="es-ES"/>
        </w:rPr>
        <w:t xml:space="preserve"> </w:t>
      </w:r>
      <w:r w:rsidRPr="006A11D8">
        <w:rPr>
          <w:rFonts w:ascii="Verdana" w:eastAsia="Aptos" w:hAnsi="Verdana" w:cs="Arial"/>
        </w:rPr>
        <w:t xml:space="preserve">así como lo establecido en el artículo 4 de la Resolución 1707 de 2018 expedida por esta Entidad, </w:t>
      </w:r>
      <w:r w:rsidRPr="006A11D8">
        <w:rPr>
          <w:rFonts w:ascii="Verdana" w:eastAsia="Calibri" w:hAnsi="Verdana" w:cs="Arial"/>
          <w:lang w:val="es-ES" w:eastAsia="es-ES"/>
        </w:rPr>
        <w:t xml:space="preserve">la Agencia Nacional de Contratación Pública – Colombia Compra Eficiente– responde su petición del 19 de abril de 2026, en la que realiza la siguiente consulta: </w:t>
      </w:r>
    </w:p>
    <w:p w14:paraId="3C967066" w14:textId="77777777" w:rsidR="006A11D8" w:rsidRPr="006A11D8" w:rsidRDefault="006A11D8" w:rsidP="006A11D8">
      <w:pPr>
        <w:spacing w:after="0" w:line="276" w:lineRule="auto"/>
        <w:jc w:val="both"/>
        <w:rPr>
          <w:rFonts w:ascii="Verdana" w:eastAsia="Calibri" w:hAnsi="Verdana" w:cs="Arial"/>
          <w:lang w:val="es-ES" w:eastAsia="es-ES"/>
        </w:rPr>
      </w:pPr>
    </w:p>
    <w:p w14:paraId="7262C9AD" w14:textId="77777777" w:rsidR="006A11D8" w:rsidRPr="006A11D8" w:rsidRDefault="006A11D8" w:rsidP="006A11D8">
      <w:pPr>
        <w:spacing w:after="0" w:line="240" w:lineRule="auto"/>
        <w:ind w:left="709" w:right="709"/>
        <w:jc w:val="both"/>
        <w:rPr>
          <w:rFonts w:ascii="Verdana" w:eastAsia="Calibri" w:hAnsi="Verdana" w:cs="Arial"/>
          <w:sz w:val="20"/>
          <w:szCs w:val="20"/>
          <w:lang w:val="es-MX"/>
        </w:rPr>
      </w:pPr>
      <w:r w:rsidRPr="006A11D8">
        <w:rPr>
          <w:rFonts w:ascii="Verdana" w:eastAsia="Calibri" w:hAnsi="Verdana" w:cs="Arial"/>
          <w:sz w:val="20"/>
          <w:szCs w:val="20"/>
          <w:lang w:val="es-MX"/>
        </w:rPr>
        <w:t>“¿Puede un servidor público hacer parte de una Sociedad por Acciones Simplificadas (SAS), sin que ello genere la consecuencia jurídica de inhabilidad o incompatibilidad de contratar con el Estado a la SAS?</w:t>
      </w:r>
    </w:p>
    <w:p w14:paraId="52DFDCC5" w14:textId="77777777" w:rsidR="006A11D8" w:rsidRPr="006A11D8" w:rsidRDefault="006A11D8" w:rsidP="006A11D8">
      <w:pPr>
        <w:spacing w:before="120" w:after="0" w:line="240" w:lineRule="auto"/>
        <w:ind w:left="709" w:right="709"/>
        <w:jc w:val="both"/>
        <w:rPr>
          <w:rFonts w:ascii="Verdana" w:eastAsia="Calibri" w:hAnsi="Verdana" w:cs="Arial"/>
          <w:sz w:val="20"/>
          <w:szCs w:val="20"/>
          <w:lang w:val="es-MX"/>
        </w:rPr>
      </w:pPr>
      <w:r w:rsidRPr="006A11D8">
        <w:rPr>
          <w:rFonts w:ascii="Verdana" w:eastAsia="Calibri" w:hAnsi="Verdana" w:cs="Arial"/>
          <w:sz w:val="20"/>
          <w:szCs w:val="20"/>
          <w:lang w:val="es-MX"/>
        </w:rPr>
        <w:t>¿Si una persona que ha sido inhabilitada para contratar con el Estado hace parte de una Sociedad por Acciones Simplificada (SAS) ello genera la consecuencia jurídica de inhabilidad o incompatibilidad de contratar con el Estado a la SAS?</w:t>
      </w:r>
    </w:p>
    <w:p w14:paraId="71255332" w14:textId="77777777" w:rsidR="006A11D8" w:rsidRPr="006A11D8" w:rsidRDefault="006A11D8" w:rsidP="006A11D8">
      <w:pPr>
        <w:spacing w:before="120" w:after="0" w:line="240" w:lineRule="auto"/>
        <w:ind w:left="709" w:right="709"/>
        <w:jc w:val="both"/>
        <w:rPr>
          <w:rFonts w:ascii="Verdana" w:eastAsia="Calibri" w:hAnsi="Verdana" w:cs="Arial"/>
          <w:sz w:val="20"/>
          <w:szCs w:val="20"/>
          <w:lang w:val="es-MX"/>
        </w:rPr>
      </w:pPr>
      <w:r w:rsidRPr="006A11D8">
        <w:rPr>
          <w:rFonts w:ascii="Verdana" w:eastAsia="Calibri" w:hAnsi="Verdana" w:cs="Arial"/>
          <w:sz w:val="20"/>
          <w:szCs w:val="20"/>
          <w:lang w:val="es-MX"/>
        </w:rPr>
        <w:t xml:space="preserve">¿Si alguna de las respuestas a las preguntas anteriores son positivas, cómo controla esta situación la entidad contratante en el entendido que el </w:t>
      </w:r>
      <w:r w:rsidRPr="006A11D8">
        <w:rPr>
          <w:rFonts w:ascii="Verdana" w:eastAsia="Calibri" w:hAnsi="Verdana" w:cs="Arial"/>
          <w:sz w:val="20"/>
          <w:szCs w:val="20"/>
          <w:lang w:val="es-MX"/>
        </w:rPr>
        <w:lastRenderedPageBreak/>
        <w:t>Certificado de Existencia y Representación Legal de la SAS no indica quiénes son sus socios?” [sic]</w:t>
      </w:r>
    </w:p>
    <w:p w14:paraId="3FF59901" w14:textId="77777777" w:rsidR="006A11D8" w:rsidRPr="006A11D8" w:rsidRDefault="006A11D8" w:rsidP="006A11D8">
      <w:pPr>
        <w:spacing w:after="0" w:line="276" w:lineRule="auto"/>
        <w:jc w:val="both"/>
        <w:rPr>
          <w:rFonts w:ascii="Verdana" w:eastAsia="Calibri" w:hAnsi="Verdana" w:cs="Arial"/>
          <w:lang w:val="es-ES" w:eastAsia="es-ES"/>
        </w:rPr>
      </w:pPr>
    </w:p>
    <w:p w14:paraId="4BFB8E4F" w14:textId="77777777" w:rsidR="006A11D8" w:rsidRPr="006A11D8" w:rsidRDefault="006A11D8" w:rsidP="006A11D8">
      <w:pPr>
        <w:spacing w:after="120" w:line="276" w:lineRule="auto"/>
        <w:jc w:val="both"/>
        <w:rPr>
          <w:rFonts w:ascii="Verdana" w:eastAsia="Calibri" w:hAnsi="Verdana" w:cs="Arial"/>
          <w:lang w:val="es-ES" w:eastAsia="es-ES"/>
        </w:rPr>
      </w:pPr>
      <w:r w:rsidRPr="006A11D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C8F4977" w14:textId="77777777" w:rsidR="006A11D8" w:rsidRPr="006A11D8" w:rsidRDefault="006A11D8" w:rsidP="006A11D8">
      <w:pPr>
        <w:spacing w:after="0" w:line="276" w:lineRule="auto"/>
        <w:ind w:firstLine="709"/>
        <w:jc w:val="both"/>
        <w:rPr>
          <w:rFonts w:ascii="Verdana" w:eastAsia="Calibri" w:hAnsi="Verdana" w:cs="Arial"/>
          <w:lang w:val="es-ES" w:eastAsia="es-ES"/>
        </w:rPr>
      </w:pPr>
      <w:r w:rsidRPr="006A11D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700208C2" w14:textId="77777777" w:rsidR="006A11D8" w:rsidRPr="006A11D8" w:rsidRDefault="006A11D8" w:rsidP="006A11D8">
      <w:pPr>
        <w:spacing w:after="0" w:line="276" w:lineRule="auto"/>
        <w:ind w:firstLine="709"/>
        <w:jc w:val="both"/>
        <w:rPr>
          <w:rFonts w:ascii="Verdana" w:eastAsia="Calibri" w:hAnsi="Verdana" w:cs="Arial"/>
          <w:lang w:val="es-ES" w:eastAsia="es-ES"/>
        </w:rPr>
      </w:pPr>
    </w:p>
    <w:p w14:paraId="1916F2F7" w14:textId="77777777" w:rsidR="006A11D8" w:rsidRPr="006A11D8" w:rsidRDefault="006A11D8" w:rsidP="006A11D8">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6A11D8">
        <w:rPr>
          <w:rFonts w:ascii="Verdana" w:eastAsia="Arial" w:hAnsi="Verdana" w:cs="Arial"/>
          <w:b/>
          <w:bCs/>
          <w:lang w:val="es-ES"/>
        </w:rPr>
        <w:t>1. Problema planteado:</w:t>
      </w:r>
    </w:p>
    <w:p w14:paraId="2073A435" w14:textId="77777777" w:rsidR="006A11D8" w:rsidRPr="006A11D8" w:rsidRDefault="006A11D8" w:rsidP="006A11D8">
      <w:pPr>
        <w:tabs>
          <w:tab w:val="left" w:pos="426"/>
        </w:tabs>
        <w:spacing w:after="0" w:line="276" w:lineRule="auto"/>
        <w:jc w:val="both"/>
        <w:rPr>
          <w:rFonts w:ascii="Verdana" w:eastAsia="Century Gothic" w:hAnsi="Verdana" w:cs="Century Gothic"/>
          <w:lang w:val="es-ES"/>
        </w:rPr>
      </w:pPr>
    </w:p>
    <w:p w14:paraId="0F6F3AC2" w14:textId="77777777" w:rsidR="006A11D8" w:rsidRPr="006A11D8" w:rsidRDefault="006A11D8" w:rsidP="006A11D8">
      <w:pPr>
        <w:spacing w:after="0"/>
        <w:jc w:val="both"/>
        <w:rPr>
          <w:rFonts w:ascii="Verdana" w:eastAsia="Aptos" w:hAnsi="Verdana" w:cs="Arial"/>
        </w:rPr>
      </w:pPr>
      <w:r w:rsidRPr="006A11D8">
        <w:rPr>
          <w:rFonts w:ascii="Verdana" w:eastAsia="Century Gothic" w:hAnsi="Verdana" w:cs="Century Gothic"/>
        </w:rPr>
        <w:t xml:space="preserve">De acuerdo con el contenido de su solicitud, le informamos que la misma se resolverá desde los siguientes </w:t>
      </w:r>
      <w:bookmarkStart w:id="1" w:name="_Hlk171070029"/>
      <w:r w:rsidRPr="006A11D8">
        <w:rPr>
          <w:rFonts w:ascii="Verdana" w:eastAsia="Century Gothic" w:hAnsi="Verdana" w:cs="Century Gothic"/>
        </w:rPr>
        <w:t>interrogantes: i) De acuerdo con el régimen de inhabilidades e incompatibilidades contenido en el artículo 8 de la Ley 80 de 1993, ¿En qué circunstancias la inhabilidad del socio para participar en procesos de contratación y celebrar contratos con las Entidades Estatales se extiende a la sociedad en la que tiene participación?; y ii) ¿La participación de un servidor público en un Sociedad por Acciones Simplificadas –SAS–, le genera inhabilidad a esta para participar en los procesos de contratación pública y celebrar contratos con las Entidades Estatales?</w:t>
      </w:r>
    </w:p>
    <w:p w14:paraId="392DCC1D" w14:textId="77777777" w:rsidR="006A11D8" w:rsidRPr="006A11D8" w:rsidRDefault="006A11D8" w:rsidP="006A11D8">
      <w:pPr>
        <w:spacing w:after="0"/>
        <w:jc w:val="both"/>
        <w:rPr>
          <w:rFonts w:ascii="Verdana" w:eastAsia="Aptos" w:hAnsi="Verdana" w:cs="Arial"/>
        </w:rPr>
      </w:pPr>
    </w:p>
    <w:bookmarkEnd w:id="1"/>
    <w:p w14:paraId="2CFC51BF" w14:textId="77777777" w:rsidR="006A11D8" w:rsidRPr="006A11D8" w:rsidRDefault="006A11D8" w:rsidP="006A11D8">
      <w:pPr>
        <w:widowControl w:val="0"/>
        <w:autoSpaceDE w:val="0"/>
        <w:autoSpaceDN w:val="0"/>
        <w:spacing w:before="1" w:after="0" w:line="240" w:lineRule="auto"/>
        <w:jc w:val="both"/>
        <w:outlineLvl w:val="0"/>
        <w:rPr>
          <w:rFonts w:ascii="Verdana" w:eastAsia="Arial" w:hAnsi="Verdana" w:cs="Arial"/>
          <w:b/>
          <w:bCs/>
          <w:lang w:val="es-ES"/>
        </w:rPr>
      </w:pPr>
      <w:r w:rsidRPr="006A11D8">
        <w:rPr>
          <w:rFonts w:ascii="Verdana" w:eastAsia="Arial" w:hAnsi="Verdana" w:cs="Arial"/>
          <w:b/>
          <w:bCs/>
          <w:lang w:val="es-ES"/>
        </w:rPr>
        <w:t>2. Respuesta:</w:t>
      </w:r>
    </w:p>
    <w:p w14:paraId="66D8E4BA" w14:textId="77777777" w:rsidR="006A11D8" w:rsidRPr="006A11D8" w:rsidRDefault="006A11D8" w:rsidP="006A11D8">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A11D8" w:rsidRPr="006A11D8" w14:paraId="6A3C2EE7" w14:textId="77777777" w:rsidTr="00896634">
        <w:tc>
          <w:tcPr>
            <w:tcW w:w="8828" w:type="dxa"/>
          </w:tcPr>
          <w:p w14:paraId="29CB9355" w14:textId="77777777" w:rsidR="006A11D8" w:rsidRPr="006A11D8" w:rsidRDefault="006A11D8" w:rsidP="006A11D8">
            <w:pPr>
              <w:snapToGrid w:val="0"/>
              <w:spacing w:line="276" w:lineRule="auto"/>
              <w:contextualSpacing/>
              <w:jc w:val="both"/>
              <w:rPr>
                <w:rFonts w:ascii="Verdana" w:eastAsia="Calibri" w:hAnsi="Verdana" w:cs="Arial"/>
                <w:lang w:val="es-ES" w:eastAsia="es-ES"/>
              </w:rPr>
            </w:pPr>
            <w:bookmarkStart w:id="2" w:name="_Hlk171067516"/>
            <w:r w:rsidRPr="006A11D8">
              <w:rPr>
                <w:rFonts w:ascii="Verdana" w:eastAsia="Times New Roman" w:hAnsi="Verdana" w:cs="Arial"/>
                <w:bdr w:val="none" w:sz="0" w:space="0" w:color="auto" w:frame="1"/>
                <w:shd w:val="clear" w:color="auto" w:fill="FFFFFF"/>
                <w:lang w:val="es-ES" w:eastAsia="es-ES_tradnl"/>
              </w:rPr>
              <w:lastRenderedPageBreak/>
              <w:t xml:space="preserve">i) </w:t>
            </w:r>
            <w:r w:rsidRPr="006A11D8">
              <w:rPr>
                <w:rFonts w:ascii="Verdana" w:eastAsia="Calibri" w:hAnsi="Verdana" w:cs="Arial"/>
                <w:lang w:val="es-ES" w:eastAsia="es-ES"/>
              </w:rPr>
              <w:t>i) Sobre el particular se precisa que, al estudiar el contenido del artículo 8 de la Ley 80 de 1993, se observan las siguientes situaciones que limitan la capacidad de las sociedades para participar en procesos de contratación pública y celebrar contratos con las Entidades Estatales:</w:t>
            </w:r>
          </w:p>
          <w:p w14:paraId="01DFDC9B" w14:textId="77777777" w:rsidR="006A11D8" w:rsidRPr="006A11D8" w:rsidRDefault="006A11D8" w:rsidP="006A11D8">
            <w:pPr>
              <w:snapToGrid w:val="0"/>
              <w:spacing w:line="276" w:lineRule="auto"/>
              <w:contextualSpacing/>
              <w:jc w:val="both"/>
              <w:rPr>
                <w:rFonts w:ascii="Verdana" w:eastAsia="Calibri" w:hAnsi="Verdana" w:cs="Arial"/>
                <w:lang w:val="es-ES" w:eastAsia="es-ES"/>
              </w:rPr>
            </w:pPr>
          </w:p>
          <w:p w14:paraId="041EC6AE" w14:textId="77777777" w:rsidR="006A11D8" w:rsidRPr="006A11D8" w:rsidRDefault="006A11D8" w:rsidP="006A11D8">
            <w:pPr>
              <w:snapToGrid w:val="0"/>
              <w:ind w:left="720"/>
              <w:contextualSpacing/>
              <w:jc w:val="both"/>
              <w:rPr>
                <w:rFonts w:ascii="Verdana" w:eastAsia="Calibri" w:hAnsi="Verdana" w:cs="Arial"/>
                <w:sz w:val="20"/>
                <w:szCs w:val="20"/>
                <w:lang w:val="es-ES" w:eastAsia="es-ES"/>
              </w:rPr>
            </w:pPr>
            <w:r w:rsidRPr="006A11D8">
              <w:rPr>
                <w:rFonts w:ascii="Verdana" w:eastAsia="Calibri" w:hAnsi="Verdana" w:cs="Arial"/>
                <w:sz w:val="20"/>
                <w:szCs w:val="20"/>
                <w:lang w:val="es-ES" w:eastAsia="es-ES"/>
              </w:rPr>
              <w:t>“1º. Son inhábiles para participar en licitaciones y para celebrar contratos con las entidades estatales:</w:t>
            </w:r>
          </w:p>
          <w:p w14:paraId="2BB8C6AC" w14:textId="77777777" w:rsidR="006A11D8" w:rsidRPr="006A11D8" w:rsidRDefault="006A11D8" w:rsidP="006A11D8">
            <w:pPr>
              <w:snapToGrid w:val="0"/>
              <w:ind w:left="720"/>
              <w:contextualSpacing/>
              <w:jc w:val="both"/>
              <w:rPr>
                <w:rFonts w:ascii="Verdana" w:eastAsia="Calibri" w:hAnsi="Verdana" w:cs="Arial"/>
                <w:sz w:val="20"/>
                <w:szCs w:val="20"/>
                <w:lang w:val="es-ES" w:eastAsia="es-ES"/>
              </w:rPr>
            </w:pPr>
            <w:r w:rsidRPr="006A11D8">
              <w:rPr>
                <w:rFonts w:ascii="Verdana" w:eastAsia="Calibri" w:hAnsi="Verdana" w:cs="Arial"/>
                <w:sz w:val="20"/>
                <w:szCs w:val="20"/>
                <w:lang w:val="es-ES" w:eastAsia="es-ES"/>
              </w:rPr>
              <w:t>[…]</w:t>
            </w:r>
          </w:p>
          <w:p w14:paraId="6AAA8D90" w14:textId="77777777" w:rsidR="006A11D8" w:rsidRPr="006A11D8" w:rsidRDefault="006A11D8" w:rsidP="006A11D8">
            <w:pPr>
              <w:snapToGrid w:val="0"/>
              <w:ind w:left="720"/>
              <w:contextualSpacing/>
              <w:jc w:val="both"/>
              <w:rPr>
                <w:rFonts w:ascii="Verdana" w:eastAsia="Calibri" w:hAnsi="Verdana" w:cs="Arial"/>
                <w:sz w:val="20"/>
                <w:szCs w:val="20"/>
                <w:lang w:val="es-ES" w:eastAsia="es-ES"/>
              </w:rPr>
            </w:pPr>
            <w:r w:rsidRPr="006A11D8">
              <w:rPr>
                <w:rFonts w:ascii="Verdana" w:eastAsia="Calibri" w:hAnsi="Verdana" w:cs="Arial"/>
                <w:sz w:val="20"/>
                <w:szCs w:val="20"/>
                <w:lang w:val="es-ES" w:eastAsia="es-E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w:t>
            </w:r>
          </w:p>
          <w:p w14:paraId="2C05BD25" w14:textId="77777777" w:rsidR="006A11D8" w:rsidRPr="006A11D8" w:rsidRDefault="006A11D8" w:rsidP="006A11D8">
            <w:pPr>
              <w:snapToGrid w:val="0"/>
              <w:ind w:left="720"/>
              <w:contextualSpacing/>
              <w:jc w:val="both"/>
              <w:rPr>
                <w:rFonts w:ascii="Verdana" w:eastAsia="Calibri" w:hAnsi="Verdana" w:cs="Arial"/>
                <w:sz w:val="20"/>
                <w:szCs w:val="20"/>
                <w:lang w:val="es-ES" w:eastAsia="es-ES"/>
              </w:rPr>
            </w:pPr>
          </w:p>
          <w:p w14:paraId="7335FEEB" w14:textId="77777777" w:rsidR="006A11D8" w:rsidRPr="006A11D8" w:rsidRDefault="006A11D8" w:rsidP="006A11D8">
            <w:pPr>
              <w:snapToGrid w:val="0"/>
              <w:ind w:left="720"/>
              <w:contextualSpacing/>
              <w:jc w:val="both"/>
              <w:rPr>
                <w:rFonts w:ascii="Verdana" w:eastAsia="Calibri" w:hAnsi="Verdana" w:cs="Arial"/>
                <w:sz w:val="20"/>
                <w:szCs w:val="20"/>
                <w:lang w:val="es-ES" w:eastAsia="es-ES"/>
              </w:rPr>
            </w:pPr>
            <w:r w:rsidRPr="006A11D8">
              <w:rPr>
                <w:rFonts w:ascii="Verdana" w:eastAsia="Calibri" w:hAnsi="Verdana" w:cs="Arial"/>
                <w:sz w:val="20"/>
                <w:szCs w:val="20"/>
                <w:lang w:val="es-ES" w:eastAsia="es-ES"/>
              </w:rPr>
              <w:t>i)Los socios de sociedades de personas a las cuales se haya declarado la caducidad, así como las sociedades de personas de las que aquellos formen parte con posterioridad a dicha declaratoria.</w:t>
            </w:r>
          </w:p>
          <w:p w14:paraId="79816C56" w14:textId="77777777" w:rsidR="006A11D8" w:rsidRPr="006A11D8" w:rsidRDefault="006A11D8" w:rsidP="006A11D8">
            <w:pPr>
              <w:snapToGrid w:val="0"/>
              <w:ind w:left="720"/>
              <w:contextualSpacing/>
              <w:jc w:val="both"/>
              <w:rPr>
                <w:rFonts w:ascii="Verdana" w:eastAsia="Calibri" w:hAnsi="Verdana" w:cs="Arial"/>
                <w:sz w:val="20"/>
                <w:szCs w:val="20"/>
                <w:lang w:val="es-ES" w:eastAsia="es-ES"/>
              </w:rPr>
            </w:pPr>
            <w:r w:rsidRPr="006A11D8">
              <w:rPr>
                <w:rFonts w:ascii="Verdana" w:eastAsia="Calibri" w:hAnsi="Verdana" w:cs="Arial"/>
                <w:sz w:val="20"/>
                <w:szCs w:val="20"/>
                <w:lang w:val="es-ES" w:eastAsia="es-ES"/>
              </w:rPr>
              <w:t>[…]</w:t>
            </w:r>
          </w:p>
          <w:p w14:paraId="75261FE4" w14:textId="77777777" w:rsidR="006A11D8" w:rsidRPr="006A11D8" w:rsidRDefault="006A11D8" w:rsidP="006A11D8">
            <w:pPr>
              <w:snapToGrid w:val="0"/>
              <w:ind w:left="720"/>
              <w:contextualSpacing/>
              <w:jc w:val="both"/>
              <w:rPr>
                <w:rFonts w:ascii="Verdana" w:eastAsia="Calibri" w:hAnsi="Verdana" w:cs="Arial"/>
                <w:sz w:val="20"/>
                <w:szCs w:val="20"/>
                <w:lang w:val="es-ES" w:eastAsia="es-ES"/>
              </w:rPr>
            </w:pPr>
            <w:r w:rsidRPr="006A11D8">
              <w:rPr>
                <w:rFonts w:ascii="Verdana" w:eastAsia="Calibri" w:hAnsi="Verdana" w:cs="Arial"/>
                <w:sz w:val="20"/>
                <w:szCs w:val="20"/>
                <w:lang w:val="es-ES" w:eastAsia="es-ES"/>
              </w:rPr>
              <w:t>j) Las personas naturales que hayan sido declaradas responsables judicialmente por la comisión de delitos contra Administración pública, o de cualquiera de los delitos o faltas contempladas por la Ley 1474 de 2011[…], así como las personas jurídicas que hayan sido declaradas responsables administrativamente por la conducta de soborno internacional.</w:t>
            </w:r>
          </w:p>
          <w:p w14:paraId="52A26962" w14:textId="77777777" w:rsidR="006A11D8" w:rsidRPr="006A11D8" w:rsidRDefault="006A11D8" w:rsidP="006A11D8">
            <w:pPr>
              <w:snapToGrid w:val="0"/>
              <w:ind w:left="720"/>
              <w:contextualSpacing/>
              <w:jc w:val="both"/>
              <w:rPr>
                <w:rFonts w:ascii="Verdana" w:eastAsia="Calibri" w:hAnsi="Verdana" w:cs="Arial"/>
                <w:sz w:val="20"/>
                <w:szCs w:val="20"/>
                <w:lang w:val="es-ES" w:eastAsia="es-ES"/>
              </w:rPr>
            </w:pPr>
            <w:r w:rsidRPr="006A11D8">
              <w:rPr>
                <w:rFonts w:ascii="Verdana" w:eastAsia="Calibri" w:hAnsi="Verdana" w:cs="Arial"/>
                <w:sz w:val="20"/>
                <w:szCs w:val="20"/>
                <w:lang w:val="es-ES" w:eastAsia="es-ES"/>
              </w:rPr>
              <w:t>[…]</w:t>
            </w:r>
          </w:p>
          <w:p w14:paraId="3BB1C2AC" w14:textId="77777777" w:rsidR="006A11D8" w:rsidRPr="006A11D8" w:rsidRDefault="006A11D8" w:rsidP="006A11D8">
            <w:pPr>
              <w:snapToGrid w:val="0"/>
              <w:ind w:left="720"/>
              <w:contextualSpacing/>
              <w:jc w:val="both"/>
              <w:rPr>
                <w:rFonts w:ascii="Verdana" w:eastAsia="Calibri" w:hAnsi="Verdana" w:cs="Arial"/>
                <w:sz w:val="20"/>
                <w:szCs w:val="20"/>
                <w:lang w:val="es-ES" w:eastAsia="es-ES"/>
              </w:rPr>
            </w:pPr>
            <w:r w:rsidRPr="006A11D8">
              <w:rPr>
                <w:rFonts w:ascii="Verdana" w:eastAsia="Calibri" w:hAnsi="Verdana" w:cs="Arial"/>
                <w:sz w:val="20"/>
                <w:szCs w:val="20"/>
                <w:lang w:val="es-ES" w:eastAsia="es-ES"/>
              </w:rPr>
              <w:t>Asimismo, la inhabilidad se extenderá a las sociedades de las que hagan parte dichas personas en calidad de administradores, representantes legales, miembros de juntas directiva o de socios controlantes, […] a los que estas pertenezcan cuando la conducta delictiva haya sido de una política de grupo […]”.</w:t>
            </w:r>
          </w:p>
          <w:p w14:paraId="2D8613CE" w14:textId="77777777" w:rsidR="006A11D8" w:rsidRPr="006A11D8" w:rsidRDefault="006A11D8" w:rsidP="006A11D8">
            <w:pPr>
              <w:snapToGrid w:val="0"/>
              <w:contextualSpacing/>
              <w:jc w:val="both"/>
              <w:rPr>
                <w:rFonts w:ascii="Verdana" w:eastAsia="Calibri" w:hAnsi="Verdana" w:cs="Arial"/>
                <w:b/>
                <w:bCs/>
                <w:lang w:val="es-ES" w:eastAsia="es-ES"/>
              </w:rPr>
            </w:pPr>
          </w:p>
          <w:p w14:paraId="0BB29F14" w14:textId="77777777" w:rsidR="006A11D8" w:rsidRPr="006A11D8" w:rsidRDefault="006A11D8" w:rsidP="006A11D8">
            <w:pPr>
              <w:snapToGrid w:val="0"/>
              <w:spacing w:line="276" w:lineRule="auto"/>
              <w:ind w:firstLine="708"/>
              <w:contextualSpacing/>
              <w:jc w:val="both"/>
              <w:rPr>
                <w:rFonts w:ascii="Verdana" w:eastAsia="Calibri" w:hAnsi="Verdana" w:cs="Arial"/>
                <w:lang w:val="es-ES" w:eastAsia="es-ES"/>
              </w:rPr>
            </w:pPr>
            <w:r w:rsidRPr="006A11D8">
              <w:rPr>
                <w:rFonts w:ascii="Verdana" w:eastAsia="Calibri" w:hAnsi="Verdana" w:cs="Arial"/>
                <w:lang w:val="es-ES" w:eastAsia="es-ES"/>
              </w:rPr>
              <w:t>Como se observa, el legislador estableció supuestos fácticos que restringen o limitan la capacidad de ciertas sociedades para participar de los procesos de contratación pública y celebrar contratos estatales que se derivan de: i) vínculos de parentesco de sus representantes legales o cualquiera de sus socios respecto de otras sociedades que participen en el mismo proceso de contratación; ii) antecedentes en la declaratoria de caducidad del contrato a alguno de sus socios; y iii) responsabilidades penales o administrativas de cualquiera de sus socios.</w:t>
            </w:r>
          </w:p>
          <w:p w14:paraId="5E8D828D" w14:textId="77777777" w:rsidR="006A11D8" w:rsidRPr="006A11D8" w:rsidRDefault="006A11D8" w:rsidP="006A11D8">
            <w:pPr>
              <w:snapToGrid w:val="0"/>
              <w:spacing w:line="276" w:lineRule="auto"/>
              <w:ind w:firstLine="708"/>
              <w:contextualSpacing/>
              <w:jc w:val="both"/>
              <w:rPr>
                <w:rFonts w:ascii="Verdana" w:eastAsia="Calibri" w:hAnsi="Verdana" w:cs="Arial"/>
                <w:lang w:val="es-ES" w:eastAsia="es-ES"/>
              </w:rPr>
            </w:pPr>
          </w:p>
          <w:p w14:paraId="75D65594" w14:textId="77777777" w:rsidR="006A11D8" w:rsidRPr="006A11D8" w:rsidRDefault="006A11D8" w:rsidP="006A11D8">
            <w:pPr>
              <w:snapToGrid w:val="0"/>
              <w:spacing w:line="276" w:lineRule="auto"/>
              <w:contextualSpacing/>
              <w:jc w:val="both"/>
              <w:rPr>
                <w:rFonts w:ascii="Verdana" w:eastAsia="Calibri" w:hAnsi="Verdana" w:cs="Arial"/>
                <w:lang w:val="es-ES" w:eastAsia="es-ES"/>
              </w:rPr>
            </w:pPr>
            <w:r w:rsidRPr="006A11D8">
              <w:rPr>
                <w:rFonts w:ascii="Verdana" w:eastAsia="Calibri" w:hAnsi="Verdana" w:cs="Arial"/>
                <w:lang w:val="es-ES" w:eastAsia="es-ES"/>
              </w:rPr>
              <w:t xml:space="preserve">ii) En lo concerniente a este aspecto, se indica que el literal d) del numeral 2 del artículo 8 de la Ley 80 de 1993, inhabilita para contratar con una Entidad </w:t>
            </w:r>
            <w:r w:rsidRPr="006A11D8">
              <w:rPr>
                <w:rFonts w:ascii="Verdana" w:eastAsia="Calibri" w:hAnsi="Verdana" w:cs="Arial"/>
                <w:lang w:val="es-ES" w:eastAsia="es-ES"/>
              </w:rPr>
              <w:lastRenderedPageBreak/>
              <w:t>Estatal a ciertas sociedades en las que un servidor público tenga participación o ejerza un cargo de dirección o manejo, esto, siempre y cuando dicho funcionario pertenezca al nivel directivo, asesor, ejecutivo o sea miembro de la junta o consejo directivo de la entidad contratante. Sin embargo, vale la pena aclarar que esta restricción no resulta extensible a las Sociedades por Acciones Simplificadas –SAS– que, de acuerdo con lo indicado en el artículo 3 de la Ley 1258 de 2008 son consideradas como sociedades capitales, por lo que no se encuentran en la singularización que, respecto del tipo de sociedad y denominación, efectúa el referido literal d), ya que sólo limita la capacidad para contratar en dicho supuesto fáctico, a las sociedades anónimas que no tengan el carácter de abiertas, las sociedades de responsabilidad limitada y las demás sociedades de personas.</w:t>
            </w:r>
          </w:p>
          <w:p w14:paraId="3A9E005C" w14:textId="77777777" w:rsidR="006A11D8" w:rsidRPr="006A11D8" w:rsidRDefault="006A11D8" w:rsidP="006A11D8">
            <w:pPr>
              <w:spacing w:before="120" w:line="276" w:lineRule="auto"/>
              <w:ind w:firstLine="709"/>
              <w:jc w:val="both"/>
              <w:rPr>
                <w:rFonts w:ascii="Verdana" w:eastAsia="Calibri" w:hAnsi="Verdana" w:cs="Arial"/>
                <w:b/>
                <w:bCs/>
                <w:lang w:val="es-ES" w:eastAsia="es-ES"/>
              </w:rPr>
            </w:pPr>
            <w:r w:rsidRPr="006A11D8">
              <w:rPr>
                <w:rFonts w:ascii="Verdana" w:eastAsia="Calibri" w:hAnsi="Verdana" w:cs="Arial"/>
                <w:lang w:val="es-ES"/>
              </w:rPr>
              <w:t xml:space="preserve">De conformidad con lo anterior, la Superintendencia de Sociedades, en el Oficio. No. 220-087303 del 16 de agosto de 2019, señaló que las inhabilidades son de aplicación excepcional y restrictivo, por lo tanto, no pueden ser impuestas a los socios de una sociedad de capitales como lo es la Sociedad por Acciones Simplificadas –SAS–. En consecuencia, la inhabilidad prevista en el literal d) del numeral 2 del artículo 8 de la Ley 80 de 1993, no le aplica a los socios de las Sociedades por Acciones Simplificadas –SAS–, ni a este tipo de sociedades cuando entre socios por ejemplo, se encuentra una persona inhabilitada. </w:t>
            </w:r>
          </w:p>
          <w:p w14:paraId="5A808AFC" w14:textId="77777777" w:rsidR="006A11D8" w:rsidRPr="006A11D8" w:rsidRDefault="006A11D8" w:rsidP="006A11D8">
            <w:pPr>
              <w:snapToGrid w:val="0"/>
              <w:contextualSpacing/>
              <w:jc w:val="both"/>
              <w:rPr>
                <w:rFonts w:ascii="Verdana" w:eastAsia="Calibri" w:hAnsi="Verdana" w:cs="Arial"/>
                <w:b/>
                <w:bCs/>
                <w:lang w:val="es-ES" w:eastAsia="es-ES"/>
              </w:rPr>
            </w:pPr>
          </w:p>
          <w:p w14:paraId="1060BCEB" w14:textId="77777777" w:rsidR="006A11D8" w:rsidRPr="006A11D8" w:rsidRDefault="006A11D8" w:rsidP="006A11D8">
            <w:pPr>
              <w:snapToGrid w:val="0"/>
              <w:spacing w:line="276" w:lineRule="auto"/>
              <w:contextualSpacing/>
              <w:jc w:val="both"/>
              <w:rPr>
                <w:rFonts w:ascii="Verdana" w:eastAsia="Geomanist Light" w:hAnsi="Verdana" w:cs="Arial"/>
                <w:color w:val="000000"/>
                <w:lang w:val="es-MX"/>
              </w:rPr>
            </w:pPr>
            <w:r w:rsidRPr="006A11D8">
              <w:rPr>
                <w:rFonts w:ascii="Verdana" w:eastAsia="Calibri" w:hAnsi="Verdana" w:cs="Arial"/>
                <w:lang w:val="es-ES_tradnl"/>
              </w:rPr>
              <w:t xml:space="preserve">Finalmente, </w:t>
            </w:r>
            <w:r w:rsidRPr="006A11D8">
              <w:rPr>
                <w:rFonts w:ascii="Verdana" w:eastAsia="Calibri" w:hAnsi="Verdana" w:cs="Arial"/>
              </w:rPr>
              <w:t xml:space="preserve">el régimen de inhabilidades en la contratación estatal constituye un conjunto de restricciones de origen legal que limitan la posibilidad de contratar con el Estado, con el fin de salvaguardar principios como la transparencia, la moralidad administrativa, la imparcialidad y la selección objetiva. Estas restricciones, al ser de carácter excepcional y restrictivo, solo pueden estar previstas expresamente en la ley y no admiten interpretaciones extensivas que amplíen su alcance más allá de lo dispuesto por el legislador. En este contexto, Colombia Compra Eficiente, en su calidad de ente rector de la contratación pública, desempeña un rol eminentemente interpretativo y orientador, mas no decisorio, por lo que no emite conceptos para resolver consultas particulares ni determina la configuración de inhabilidades en casos concretos. Así, la verificación de la existencia de una inhabilidad o incompatibilidad corresponde a las autoridades competentes, quienes deberán analizar caso por caso a la luz de la normatividad aplicable y con observancia </w:t>
            </w:r>
            <w:r w:rsidRPr="006A11D8">
              <w:rPr>
                <w:rFonts w:ascii="Verdana" w:eastAsia="Calibri" w:hAnsi="Verdana" w:cs="Arial"/>
              </w:rPr>
              <w:lastRenderedPageBreak/>
              <w:t>estricta del principio de legalidad, garantizando que estas restricciones cumplan su propósito de proteger el interés general sin vulnerar derechos ni limitar indebidamente la participación en los procesos de contratación estatal.</w:t>
            </w:r>
          </w:p>
        </w:tc>
      </w:tr>
      <w:bookmarkEnd w:id="2"/>
    </w:tbl>
    <w:p w14:paraId="21E04237" w14:textId="77777777" w:rsidR="006A11D8" w:rsidRPr="006A11D8" w:rsidRDefault="006A11D8" w:rsidP="006A11D8">
      <w:pPr>
        <w:widowControl w:val="0"/>
        <w:autoSpaceDE w:val="0"/>
        <w:autoSpaceDN w:val="0"/>
        <w:spacing w:before="1" w:after="0" w:line="240" w:lineRule="auto"/>
        <w:ind w:left="360" w:hanging="360"/>
        <w:outlineLvl w:val="0"/>
        <w:rPr>
          <w:rFonts w:ascii="Verdana" w:eastAsia="Arial" w:hAnsi="Verdana" w:cs="Arial"/>
          <w:b/>
        </w:rPr>
      </w:pPr>
    </w:p>
    <w:p w14:paraId="3358F9D8" w14:textId="77777777" w:rsidR="006A11D8" w:rsidRPr="006A11D8" w:rsidRDefault="006A11D8" w:rsidP="006A11D8">
      <w:pPr>
        <w:widowControl w:val="0"/>
        <w:autoSpaceDE w:val="0"/>
        <w:autoSpaceDN w:val="0"/>
        <w:spacing w:before="1" w:after="0" w:line="240" w:lineRule="auto"/>
        <w:ind w:left="360" w:hanging="360"/>
        <w:outlineLvl w:val="0"/>
        <w:rPr>
          <w:rFonts w:ascii="Verdana" w:eastAsia="Arial" w:hAnsi="Verdana" w:cs="Arial"/>
          <w:b/>
          <w:bCs/>
          <w:lang w:val="es-ES"/>
        </w:rPr>
      </w:pPr>
      <w:r w:rsidRPr="006A11D8">
        <w:rPr>
          <w:rFonts w:ascii="Verdana" w:eastAsia="Arial" w:hAnsi="Verdana" w:cs="Arial"/>
          <w:b/>
          <w:bCs/>
          <w:lang w:val="es-ES"/>
        </w:rPr>
        <w:t>3. Razones de la respuesta</w:t>
      </w:r>
    </w:p>
    <w:p w14:paraId="7775A058" w14:textId="77777777" w:rsidR="006A11D8" w:rsidRPr="006A11D8" w:rsidRDefault="006A11D8" w:rsidP="006A11D8">
      <w:pPr>
        <w:spacing w:after="0" w:line="276" w:lineRule="auto"/>
        <w:jc w:val="both"/>
        <w:rPr>
          <w:rFonts w:ascii="Verdana" w:eastAsia="Calibri" w:hAnsi="Verdana" w:cs="Arial"/>
          <w:lang w:val="es-ES"/>
        </w:rPr>
      </w:pPr>
    </w:p>
    <w:p w14:paraId="769537BE" w14:textId="77777777" w:rsidR="006A11D8" w:rsidRPr="006A11D8" w:rsidRDefault="006A11D8" w:rsidP="006A11D8">
      <w:pPr>
        <w:spacing w:after="0" w:line="276" w:lineRule="auto"/>
        <w:jc w:val="both"/>
        <w:rPr>
          <w:rFonts w:ascii="Verdana" w:eastAsia="Calibri" w:hAnsi="Verdana" w:cs="Arial"/>
          <w:lang w:val="es-ES"/>
        </w:rPr>
      </w:pPr>
      <w:r w:rsidRPr="006A11D8">
        <w:rPr>
          <w:rFonts w:ascii="Verdana" w:eastAsia="Calibri" w:hAnsi="Verdana" w:cs="Arial"/>
          <w:lang w:val="es-ES"/>
        </w:rPr>
        <w:t xml:space="preserve">Las respuestas anteriores se sustentan en las siguientes consideraciones: </w:t>
      </w:r>
    </w:p>
    <w:p w14:paraId="558863E4" w14:textId="77777777" w:rsidR="006A11D8" w:rsidRPr="006A11D8" w:rsidRDefault="006A11D8" w:rsidP="006A11D8">
      <w:pPr>
        <w:spacing w:after="0" w:line="276" w:lineRule="auto"/>
        <w:jc w:val="both"/>
        <w:rPr>
          <w:rFonts w:ascii="Verdana" w:eastAsia="Calibri" w:hAnsi="Verdana" w:cs="Arial"/>
          <w:lang w:val="es-ES"/>
        </w:rPr>
      </w:pPr>
    </w:p>
    <w:p w14:paraId="6C6D0302" w14:textId="77777777" w:rsidR="006A11D8" w:rsidRPr="006A11D8" w:rsidRDefault="006A11D8" w:rsidP="006A11D8">
      <w:pPr>
        <w:spacing w:after="120" w:line="276" w:lineRule="auto"/>
        <w:jc w:val="both"/>
        <w:rPr>
          <w:rFonts w:ascii="Verdana" w:eastAsia="Calibri" w:hAnsi="Verdana" w:cs="Arial"/>
          <w:lang w:val="es-ES"/>
        </w:rPr>
      </w:pPr>
      <w:r w:rsidRPr="006A11D8">
        <w:rPr>
          <w:rFonts w:ascii="Verdana" w:eastAsia="Calibri" w:hAnsi="Verdana" w:cs="Arial"/>
          <w:lang w:val="es-ES"/>
        </w:rPr>
        <w:t>De manera preliminar debe precisarse que, en la contratación estatal la capacidad constituye uno de los requisitos de validez de los contratos, tanto en los procesos de contractuales adelantados por Entidades Estatales sujetas al Estatuto General de Contratación de la Administración Pública –Ley 80 de 1993, Ley 1150 de 2007, Decreto 1082 de 2015 y demás normas que lo sustituyan y/o complementen–, como en los que desarrollan las Entidades Estatales exceptuadas de este</w:t>
      </w:r>
      <w:r w:rsidRPr="006A11D8">
        <w:rPr>
          <w:rFonts w:ascii="Aptos" w:eastAsia="Aptos" w:hAnsi="Aptos" w:cs="Arial"/>
          <w:vertAlign w:val="superscript"/>
        </w:rPr>
        <w:footnoteReference w:id="1"/>
      </w:r>
      <w:r w:rsidRPr="006A11D8">
        <w:rPr>
          <w:rFonts w:ascii="Verdana" w:eastAsia="Calibri" w:hAnsi="Verdana" w:cs="Arial"/>
          <w:color w:val="000000"/>
          <w:lang w:val="es-ES_tradnl"/>
        </w:rPr>
        <w:t>. Dicha capacidad está sujeta al régimen de inhabilidades e incompatibilidades, definido como el conjunto de normas que imponen restricciones para los sujetos que, eventualmente, pretendan participar en los procesos de selección pública o celebrar contratos con las Entidades Estatales</w:t>
      </w:r>
      <w:r w:rsidRPr="006A11D8">
        <w:rPr>
          <w:rFonts w:ascii="Aptos" w:eastAsia="Aptos" w:hAnsi="Aptos" w:cs="Arial"/>
          <w:vertAlign w:val="superscript"/>
        </w:rPr>
        <w:footnoteReference w:id="2"/>
      </w:r>
      <w:r w:rsidRPr="006A11D8">
        <w:rPr>
          <w:rFonts w:ascii="Verdana" w:eastAsia="Calibri" w:hAnsi="Verdana" w:cs="Arial"/>
          <w:color w:val="000000"/>
          <w:lang w:val="es-ES_tradnl"/>
        </w:rPr>
        <w:t>.</w:t>
      </w:r>
    </w:p>
    <w:p w14:paraId="2D19541F" w14:textId="77777777" w:rsidR="006A11D8" w:rsidRPr="006A11D8" w:rsidRDefault="006A11D8" w:rsidP="006A11D8">
      <w:pPr>
        <w:spacing w:after="120" w:line="276" w:lineRule="auto"/>
        <w:jc w:val="both"/>
        <w:rPr>
          <w:rFonts w:ascii="Verdana" w:eastAsia="Calibri" w:hAnsi="Verdana" w:cs="Arial"/>
          <w:lang w:val="es-ES"/>
        </w:rPr>
      </w:pPr>
      <w:r w:rsidRPr="006A11D8">
        <w:rPr>
          <w:rFonts w:ascii="Verdana" w:eastAsia="Calibri" w:hAnsi="Verdana" w:cs="Arial"/>
          <w:lang w:val="es-ES"/>
        </w:rPr>
        <w:tab/>
        <w:t>En ese sentido, el régimen de inhabilidades para contratar con el Estado, se traduce en las restricciones establecidas por el Legislador que afectan directamente la capacidad de las personas naturales o jurídicas, para concurrir a los procesos de contratación pública, que se derivan de: i) la existencia de comportamientos reprochables o de sanciones anteriormente impuestas</w:t>
      </w:r>
      <w:r w:rsidRPr="006A11D8">
        <w:rPr>
          <w:rFonts w:ascii="Verdana" w:eastAsia="Calibri" w:hAnsi="Verdana" w:cs="Arial"/>
          <w:color w:val="000000"/>
          <w:vertAlign w:val="superscript"/>
          <w:lang w:val="es-ES"/>
        </w:rPr>
        <w:footnoteReference w:id="3"/>
      </w:r>
      <w:r w:rsidRPr="006A11D8">
        <w:rPr>
          <w:rFonts w:ascii="Verdana" w:eastAsia="Calibri" w:hAnsi="Verdana" w:cs="Arial"/>
          <w:color w:val="000000"/>
          <w:lang w:val="es-ES"/>
        </w:rPr>
        <w:t xml:space="preserve">; ii) </w:t>
      </w:r>
      <w:r w:rsidRPr="006A11D8">
        <w:rPr>
          <w:rFonts w:ascii="Verdana" w:eastAsia="Calibri" w:hAnsi="Verdana" w:cs="Arial"/>
          <w:color w:val="000000"/>
          <w:lang w:val="es-ES"/>
        </w:rPr>
        <w:lastRenderedPageBreak/>
        <w:t>vínculos personales relativos al parentesco o el estado civil</w:t>
      </w:r>
      <w:r w:rsidRPr="006A11D8">
        <w:rPr>
          <w:rFonts w:ascii="Verdana" w:eastAsia="Calibri" w:hAnsi="Verdana" w:cs="Arial"/>
          <w:color w:val="000000"/>
          <w:vertAlign w:val="superscript"/>
          <w:lang w:val="es-ES"/>
        </w:rPr>
        <w:footnoteReference w:id="4"/>
      </w:r>
      <w:r w:rsidRPr="006A11D8">
        <w:rPr>
          <w:rFonts w:ascii="Verdana" w:eastAsia="Calibri" w:hAnsi="Verdana" w:cs="Arial"/>
          <w:color w:val="000000"/>
          <w:lang w:val="es-ES"/>
        </w:rPr>
        <w:t>; o iii) una actividad u oficio que se desempeñó en el pasado</w:t>
      </w:r>
      <w:r w:rsidRPr="006A11D8">
        <w:rPr>
          <w:rFonts w:ascii="Verdana" w:eastAsia="Calibri" w:hAnsi="Verdana" w:cs="Arial"/>
          <w:color w:val="000000"/>
          <w:vertAlign w:val="superscript"/>
          <w:lang w:val="es-ES"/>
        </w:rPr>
        <w:footnoteReference w:id="5"/>
      </w:r>
      <w:r w:rsidRPr="006A11D8">
        <w:rPr>
          <w:rFonts w:ascii="Verdana" w:eastAsia="Calibri" w:hAnsi="Verdana" w:cs="Arial"/>
          <w:color w:val="000000"/>
          <w:lang w:val="es-ES"/>
        </w:rPr>
        <w:t xml:space="preserve">. De otro lado, las incompatibilidades son prohibiciones para participar en los procesos de contratación pública que se </w:t>
      </w:r>
      <w:r w:rsidRPr="006A11D8">
        <w:rPr>
          <w:rFonts w:ascii="Verdana" w:eastAsia="Calibri" w:hAnsi="Verdana" w:cs="Arial"/>
          <w:color w:val="000000"/>
          <w:lang w:val="es-ES"/>
        </w:rPr>
        <w:lastRenderedPageBreak/>
        <w:t>fundamentan en la calidad que ostenta el sujeto interesado en dicho proceso, que impide la coexistencia con el rol de proponente o contratista del Estado</w:t>
      </w:r>
      <w:r w:rsidRPr="006A11D8">
        <w:rPr>
          <w:rFonts w:ascii="Verdana" w:eastAsia="Calibri" w:hAnsi="Verdana" w:cs="Arial"/>
          <w:color w:val="000000"/>
          <w:vertAlign w:val="superscript"/>
          <w:lang w:val="es-ES"/>
        </w:rPr>
        <w:footnoteReference w:id="6"/>
      </w:r>
      <w:r w:rsidRPr="006A11D8">
        <w:rPr>
          <w:rFonts w:ascii="Verdana" w:eastAsia="Calibri" w:hAnsi="Verdana" w:cs="Arial"/>
          <w:color w:val="000000"/>
          <w:lang w:val="es-ES"/>
        </w:rPr>
        <w:t>.</w:t>
      </w:r>
    </w:p>
    <w:p w14:paraId="3FBCEE6C" w14:textId="77777777" w:rsidR="006A11D8" w:rsidRPr="006A11D8" w:rsidRDefault="006A11D8" w:rsidP="006A11D8">
      <w:pPr>
        <w:spacing w:after="120" w:line="276" w:lineRule="auto"/>
        <w:ind w:firstLine="709"/>
        <w:jc w:val="both"/>
        <w:rPr>
          <w:rFonts w:ascii="Verdana" w:eastAsia="Calibri" w:hAnsi="Verdana" w:cs="Arial"/>
          <w:color w:val="000000"/>
          <w:lang w:val="es-ES"/>
        </w:rPr>
      </w:pPr>
      <w:r w:rsidRPr="006A11D8">
        <w:rPr>
          <w:rFonts w:ascii="Verdana" w:eastAsia="Calibri" w:hAnsi="Verdana" w:cs="Arial"/>
          <w:lang w:val="es-ES"/>
        </w:rPr>
        <w:t xml:space="preserve">Con todo, el régimen de inhabilidades e incompatibilidades en la contratación pública, responde a la tendencia de asegurar que la provisión de los bienes, obras y servicios por parte de las Entidades Estatales, se realice cumpliendo con los principios de la función administrativa y de la gestión fiscal, especialmente con probidad y transparencia. Por ello, ha destacado la doctrina, que las inhabilidades e incompatibilidades son herramientas </w:t>
      </w:r>
      <w:r w:rsidRPr="006A11D8">
        <w:rPr>
          <w:rFonts w:ascii="Verdana" w:eastAsia="Calibri" w:hAnsi="Verdana" w:cs="Arial"/>
          <w:color w:val="000000"/>
          <w:lang w:val="es-ES"/>
        </w:rPr>
        <w:t>en la lucha contra la corrupción, adoptando paulatinamente un carácter sancionatorio o “neopunitivo”</w:t>
      </w:r>
      <w:r w:rsidRPr="006A11D8">
        <w:rPr>
          <w:rFonts w:ascii="Verdana" w:eastAsia="Calibri" w:hAnsi="Verdana" w:cs="Arial"/>
          <w:color w:val="000000"/>
          <w:vertAlign w:val="superscript"/>
          <w:lang w:val="es-ES"/>
        </w:rPr>
        <w:footnoteReference w:id="7"/>
      </w:r>
      <w:r w:rsidRPr="006A11D8">
        <w:rPr>
          <w:rFonts w:ascii="Verdana" w:eastAsia="Calibri" w:hAnsi="Verdana" w:cs="Arial"/>
          <w:color w:val="000000"/>
          <w:lang w:val="es-ES"/>
        </w:rPr>
        <w:t>. Si bien no todas las causales de inhabilidad y de incompatibilidad son consecuencia de una medida de reproche ni de una sanción previa,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4E1371D0" w14:textId="77777777" w:rsidR="006A11D8" w:rsidRPr="006A11D8" w:rsidRDefault="006A11D8" w:rsidP="006A11D8">
      <w:pPr>
        <w:spacing w:after="120" w:line="276" w:lineRule="auto"/>
        <w:ind w:firstLine="709"/>
        <w:jc w:val="both"/>
        <w:rPr>
          <w:rFonts w:ascii="Verdana" w:eastAsia="Calibri" w:hAnsi="Verdana" w:cs="Arial"/>
          <w:color w:val="000000"/>
          <w:lang w:val="es-ES_tradnl"/>
        </w:rPr>
      </w:pPr>
      <w:r w:rsidRPr="006A11D8">
        <w:rPr>
          <w:rFonts w:ascii="Verdana" w:eastAsia="Calibri" w:hAnsi="Verdana" w:cs="Arial"/>
          <w:lang w:val="es-ES"/>
        </w:rPr>
        <w:t xml:space="preserve">Por su parte, resulta a bien aclarar que las inhabilidades e incompatibilidades, como se indicó, al ser restricciones a los límites especiales a la capacidad para presentar ofertas y celebrar contratos estatales, solo pueden tipificarse en la ley, </w:t>
      </w:r>
      <w:r w:rsidRPr="006A11D8">
        <w:rPr>
          <w:rFonts w:ascii="Verdana" w:eastAsia="Calibri" w:hAnsi="Verdana" w:cs="Arial"/>
          <w:color w:val="000000"/>
          <w:lang w:val="es-ES_tradnl"/>
        </w:rPr>
        <w:t xml:space="preserve">–o sea, deben satisfacer el principio de legalidad– y su interpretación debe ser </w:t>
      </w:r>
      <w:r w:rsidRPr="006A11D8">
        <w:rPr>
          <w:rFonts w:ascii="Verdana" w:eastAsia="Calibri" w:hAnsi="Verdana" w:cs="Arial"/>
          <w:i/>
          <w:iCs/>
          <w:color w:val="000000"/>
          <w:lang w:val="es-ES_tradnl"/>
        </w:rPr>
        <w:t>restrictiva</w:t>
      </w:r>
      <w:r w:rsidRPr="006A11D8">
        <w:rPr>
          <w:rFonts w:ascii="Verdana" w:eastAsia="Calibri" w:hAnsi="Verdana" w:cs="Arial"/>
          <w:color w:val="000000"/>
          <w:vertAlign w:val="superscript"/>
          <w:lang w:val="es-ES_tradnl"/>
        </w:rPr>
        <w:footnoteReference w:id="8"/>
      </w:r>
      <w:r w:rsidRPr="006A11D8">
        <w:rPr>
          <w:rFonts w:ascii="Verdana" w:eastAsia="Calibri" w:hAnsi="Verdana" w:cs="Arial"/>
          <w:color w:val="000000"/>
          <w:lang w:val="es-ES_tradnl"/>
        </w:rPr>
        <w:t xml:space="preserve">. En efecto, si se admitiera una interpretación amplia, extensiva o finalista de las mismas, tales enunciados normativos podrían </w:t>
      </w:r>
      <w:r w:rsidRPr="006A11D8">
        <w:rPr>
          <w:rFonts w:ascii="Verdana" w:eastAsia="Calibri" w:hAnsi="Verdana" w:cs="Arial"/>
          <w:color w:val="000000"/>
          <w:lang w:val="es-ES_tradnl"/>
        </w:rPr>
        <w:lastRenderedPageBreak/>
        <w:t xml:space="preserve">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5B020477" w14:textId="77777777" w:rsidR="006A11D8" w:rsidRPr="006A11D8" w:rsidRDefault="006A11D8" w:rsidP="006A11D8">
      <w:pPr>
        <w:spacing w:after="0" w:line="276" w:lineRule="auto"/>
        <w:ind w:firstLine="709"/>
        <w:jc w:val="both"/>
        <w:rPr>
          <w:rFonts w:ascii="Verdana" w:eastAsia="Calibri" w:hAnsi="Verdana" w:cs="Arial"/>
          <w:color w:val="000000"/>
          <w:lang w:val="es-ES_tradnl"/>
        </w:rPr>
      </w:pPr>
      <w:r w:rsidRPr="006A11D8">
        <w:rPr>
          <w:rFonts w:ascii="Verdana" w:eastAsia="Calibri" w:hAnsi="Verdana" w:cs="Arial"/>
          <w:color w:val="000000"/>
          <w:lang w:val="es-ES_tradnl"/>
        </w:rPr>
        <w:t xml:space="preserve">En efecto, el máximo tribunal constitucional ha indicado que, al tratar de precisar el sentido de este tipo de normas, “[…] el intérprete de las disposiciones legislativas en la materia ha de ceñirse en la mayor medida posible al tenor literal y gramatical de los enunciados normativos, sin que pueda acudir </w:t>
      </w:r>
      <w:r w:rsidRPr="006A11D8">
        <w:rPr>
          <w:rFonts w:ascii="Verdana" w:eastAsia="Calibri" w:hAnsi="Verdana" w:cs="Arial"/>
          <w:i/>
          <w:iCs/>
          <w:color w:val="000000"/>
          <w:lang w:val="es-ES_tradnl"/>
        </w:rPr>
        <w:t>prima facie</w:t>
      </w:r>
      <w:r w:rsidRPr="006A11D8">
        <w:rPr>
          <w:rFonts w:ascii="Verdana" w:eastAsia="Calibri" w:hAnsi="Verdana" w:cs="Arial"/>
          <w:color w:val="000000"/>
          <w:lang w:val="es-ES_tradnl"/>
        </w:rPr>
        <w:t xml:space="preserve"> a criterios interpretativos tales como la analogía, la interpretación extensiva para ampliar el alcance de las causales legalmente fijadas”</w:t>
      </w:r>
      <w:r w:rsidRPr="006A11D8">
        <w:rPr>
          <w:rFonts w:ascii="Verdana" w:eastAsia="Calibri" w:hAnsi="Verdana" w:cs="Arial"/>
          <w:color w:val="000000"/>
          <w:vertAlign w:val="superscript"/>
          <w:lang w:val="es-ES_tradnl"/>
        </w:rPr>
        <w:footnoteReference w:id="9"/>
      </w:r>
      <w:r w:rsidRPr="006A11D8">
        <w:rPr>
          <w:rFonts w:ascii="Verdana" w:eastAsia="Calibri" w:hAnsi="Verdana" w:cs="Arial"/>
          <w:color w:val="000000"/>
          <w:lang w:val="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A11D8">
        <w:rPr>
          <w:rFonts w:ascii="Verdana" w:eastAsia="Calibri" w:hAnsi="Verdana" w:cs="Arial"/>
          <w:color w:val="000000"/>
          <w:vertAlign w:val="superscript"/>
          <w:lang w:val="es-ES_tradnl"/>
        </w:rPr>
        <w:footnoteReference w:id="10"/>
      </w:r>
      <w:r w:rsidRPr="006A11D8">
        <w:rPr>
          <w:rFonts w:ascii="Verdana" w:eastAsia="Calibri" w:hAnsi="Verdana" w:cs="Arial"/>
          <w:color w:val="000000"/>
          <w:lang w:val="es-ES_tradnl"/>
        </w:rPr>
        <w:t>. En tal sentido, la Sección Tercera ha señalado que:</w:t>
      </w:r>
    </w:p>
    <w:p w14:paraId="77722324" w14:textId="77777777" w:rsidR="006A11D8" w:rsidRPr="006A11D8" w:rsidRDefault="006A11D8" w:rsidP="006A11D8">
      <w:pPr>
        <w:spacing w:after="0" w:line="240" w:lineRule="auto"/>
        <w:ind w:firstLine="709"/>
        <w:rPr>
          <w:rFonts w:ascii="Verdana" w:eastAsia="Calibri" w:hAnsi="Verdana" w:cs="Arial"/>
          <w:color w:val="000000"/>
          <w:lang w:val="es-ES_tradnl"/>
        </w:rPr>
      </w:pPr>
    </w:p>
    <w:p w14:paraId="70BB1B14" w14:textId="77777777" w:rsidR="006A11D8" w:rsidRPr="006A11D8" w:rsidRDefault="006A11D8" w:rsidP="006A11D8">
      <w:pPr>
        <w:spacing w:after="0" w:line="240" w:lineRule="auto"/>
        <w:ind w:left="709" w:right="709"/>
        <w:jc w:val="both"/>
        <w:rPr>
          <w:rFonts w:ascii="Verdana" w:eastAsia="Calibri" w:hAnsi="Verdana" w:cs="Arial"/>
          <w:color w:val="000000"/>
          <w:sz w:val="20"/>
          <w:szCs w:val="20"/>
          <w:lang w:val="es-ES_tradnl"/>
        </w:rPr>
      </w:pPr>
      <w:r w:rsidRPr="006A11D8">
        <w:rPr>
          <w:rFonts w:ascii="Verdana" w:eastAsia="Calibri" w:hAnsi="Verdana" w:cs="Arial"/>
          <w:color w:val="000000"/>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6A11D8">
        <w:rPr>
          <w:rFonts w:ascii="Verdana" w:eastAsia="Calibri" w:hAnsi="Verdana" w:cs="Arial"/>
          <w:color w:val="000000"/>
          <w:sz w:val="20"/>
          <w:szCs w:val="20"/>
          <w:vertAlign w:val="superscript"/>
          <w:lang w:val="es-ES_tradnl"/>
        </w:rPr>
        <w:footnoteReference w:id="11"/>
      </w:r>
      <w:r w:rsidRPr="006A11D8">
        <w:rPr>
          <w:rFonts w:ascii="Verdana" w:eastAsia="Calibri" w:hAnsi="Verdana" w:cs="Arial"/>
          <w:color w:val="000000"/>
          <w:sz w:val="20"/>
          <w:szCs w:val="20"/>
          <w:lang w:val="es-ES_tradnl"/>
        </w:rPr>
        <w:t>.</w:t>
      </w:r>
    </w:p>
    <w:p w14:paraId="550AC9F9" w14:textId="77777777" w:rsidR="006A11D8" w:rsidRPr="006A11D8" w:rsidRDefault="006A11D8" w:rsidP="006A11D8">
      <w:pPr>
        <w:spacing w:after="0" w:line="240" w:lineRule="auto"/>
        <w:ind w:left="709" w:right="709"/>
        <w:jc w:val="both"/>
        <w:rPr>
          <w:rFonts w:ascii="Verdana" w:eastAsia="Calibri" w:hAnsi="Verdana" w:cs="Arial"/>
          <w:bCs/>
          <w:color w:val="000000"/>
          <w:sz w:val="20"/>
          <w:szCs w:val="20"/>
          <w:lang w:val="es-ES_tradnl"/>
        </w:rPr>
      </w:pPr>
    </w:p>
    <w:p w14:paraId="19F32B1A" w14:textId="77777777" w:rsidR="006A11D8" w:rsidRPr="006A11D8" w:rsidRDefault="006A11D8" w:rsidP="006A11D8">
      <w:pPr>
        <w:spacing w:after="0" w:line="240" w:lineRule="auto"/>
        <w:ind w:firstLine="709"/>
        <w:jc w:val="both"/>
        <w:rPr>
          <w:rFonts w:ascii="Verdana" w:eastAsia="Calibri" w:hAnsi="Verdana" w:cs="Arial"/>
          <w:color w:val="000000"/>
          <w:sz w:val="20"/>
          <w:szCs w:val="20"/>
          <w:lang w:val="es-ES_tradnl"/>
        </w:rPr>
      </w:pPr>
      <w:r w:rsidRPr="006A11D8">
        <w:rPr>
          <w:rFonts w:ascii="Verdana" w:eastAsia="Calibri" w:hAnsi="Verdana" w:cs="Arial"/>
          <w:color w:val="000000"/>
          <w:sz w:val="20"/>
          <w:szCs w:val="20"/>
          <w:lang w:val="es-ES_tradnl"/>
        </w:rPr>
        <w:t>También ha dicho que:</w:t>
      </w:r>
    </w:p>
    <w:p w14:paraId="20C94F87" w14:textId="77777777" w:rsidR="006A11D8" w:rsidRPr="006A11D8" w:rsidRDefault="006A11D8" w:rsidP="006A11D8">
      <w:pPr>
        <w:spacing w:after="0" w:line="240" w:lineRule="auto"/>
        <w:ind w:firstLine="709"/>
        <w:jc w:val="both"/>
        <w:rPr>
          <w:rFonts w:ascii="Verdana" w:eastAsia="Calibri" w:hAnsi="Verdana" w:cs="Arial"/>
          <w:color w:val="000000"/>
          <w:sz w:val="20"/>
          <w:szCs w:val="20"/>
          <w:lang w:val="es-ES_tradnl"/>
        </w:rPr>
      </w:pPr>
    </w:p>
    <w:p w14:paraId="65FCA1AB" w14:textId="77777777" w:rsidR="006A11D8" w:rsidRPr="006A11D8" w:rsidRDefault="006A11D8" w:rsidP="006A11D8">
      <w:pPr>
        <w:spacing w:after="0" w:line="240" w:lineRule="auto"/>
        <w:ind w:left="708"/>
        <w:jc w:val="both"/>
        <w:rPr>
          <w:rFonts w:ascii="Verdana" w:eastAsia="Calibri" w:hAnsi="Verdana" w:cs="Arial"/>
          <w:color w:val="000000"/>
          <w:lang w:val="es-ES"/>
        </w:rPr>
      </w:pPr>
      <w:r w:rsidRPr="006A11D8">
        <w:rPr>
          <w:rFonts w:ascii="Verdana" w:eastAsia="Calibri" w:hAnsi="Verdana" w:cs="Arial"/>
          <w:color w:val="000000"/>
          <w:sz w:val="20"/>
          <w:szCs w:val="20"/>
          <w:lang w:val="es-ES"/>
        </w:rPr>
        <w:t xml:space="preserve">“[…] la aplicación de estos preceptos exige una interpretación restrictiva, dado que según el principio hermenéutico </w:t>
      </w:r>
      <w:r w:rsidRPr="006A11D8">
        <w:rPr>
          <w:rFonts w:ascii="Verdana" w:eastAsia="Calibri" w:hAnsi="Verdana" w:cs="Arial"/>
          <w:i/>
          <w:iCs/>
          <w:color w:val="000000"/>
          <w:sz w:val="20"/>
          <w:szCs w:val="20"/>
          <w:lang w:val="es-ES"/>
        </w:rPr>
        <w:t>pro libertate</w:t>
      </w:r>
      <w:r w:rsidRPr="006A11D8">
        <w:rPr>
          <w:rFonts w:ascii="Verdana" w:eastAsia="Calibri" w:hAnsi="Verdana" w:cs="Arial"/>
          <w:color w:val="000000"/>
          <w:sz w:val="20"/>
          <w:szCs w:val="20"/>
          <w:lang w:val="es-ES"/>
        </w:rPr>
        <w:t xml:space="preserve">, entre varias interpretaciones </w:t>
      </w:r>
      <w:r w:rsidRPr="006A11D8">
        <w:rPr>
          <w:rFonts w:ascii="Verdana" w:eastAsia="Calibri" w:hAnsi="Verdana" w:cs="Arial"/>
          <w:color w:val="000000"/>
          <w:sz w:val="20"/>
          <w:szCs w:val="20"/>
          <w:lang w:val="es-ES"/>
        </w:rPr>
        <w:lastRenderedPageBreak/>
        <w:t>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6A11D8">
        <w:rPr>
          <w:rFonts w:ascii="Verdana" w:eastAsia="Calibri" w:hAnsi="Verdana" w:cs="Arial"/>
          <w:color w:val="000000"/>
          <w:sz w:val="20"/>
          <w:szCs w:val="20"/>
          <w:vertAlign w:val="superscript"/>
          <w:lang w:val="es-ES"/>
        </w:rPr>
        <w:footnoteReference w:id="12"/>
      </w:r>
      <w:r w:rsidRPr="006A11D8">
        <w:rPr>
          <w:rFonts w:ascii="Verdana" w:eastAsia="Calibri" w:hAnsi="Verdana" w:cs="Arial"/>
          <w:color w:val="000000"/>
          <w:sz w:val="20"/>
          <w:szCs w:val="20"/>
          <w:lang w:val="es-ES"/>
        </w:rPr>
        <w:t>.</w:t>
      </w:r>
    </w:p>
    <w:p w14:paraId="27D2FCBB" w14:textId="77777777" w:rsidR="006A11D8" w:rsidRPr="006A11D8" w:rsidRDefault="006A11D8" w:rsidP="006A11D8">
      <w:pPr>
        <w:spacing w:after="0" w:line="276" w:lineRule="auto"/>
        <w:ind w:firstLine="709"/>
        <w:jc w:val="both"/>
        <w:rPr>
          <w:rFonts w:ascii="Verdana" w:eastAsia="Calibri" w:hAnsi="Verdana" w:cs="Arial"/>
          <w:color w:val="000000"/>
          <w:lang w:val="es-ES"/>
        </w:rPr>
      </w:pPr>
    </w:p>
    <w:p w14:paraId="64366314" w14:textId="77777777" w:rsidR="006A11D8" w:rsidRPr="006A11D8" w:rsidRDefault="006A11D8" w:rsidP="006A11D8">
      <w:pPr>
        <w:spacing w:after="0" w:line="276" w:lineRule="auto"/>
        <w:ind w:firstLine="709"/>
        <w:jc w:val="both"/>
        <w:rPr>
          <w:rFonts w:ascii="Verdana" w:eastAsia="Calibri" w:hAnsi="Verdana" w:cs="Arial"/>
          <w:color w:val="000000"/>
          <w:lang w:val="es-ES"/>
        </w:rPr>
      </w:pPr>
      <w:r w:rsidRPr="006A11D8">
        <w:rPr>
          <w:rFonts w:ascii="Verdana" w:eastAsia="Calibri" w:hAnsi="Verdana" w:cs="Arial"/>
          <w:color w:val="000000"/>
          <w:lang w:val="es-ES"/>
        </w:rPr>
        <w:t xml:space="preserve">Como se aprecia, el principio </w:t>
      </w:r>
      <w:r w:rsidRPr="006A11D8">
        <w:rPr>
          <w:rFonts w:ascii="Verdana" w:eastAsia="Calibri" w:hAnsi="Verdana" w:cs="Arial"/>
          <w:i/>
          <w:color w:val="000000"/>
          <w:lang w:val="es-ES"/>
        </w:rPr>
        <w:t>pro libertate</w:t>
      </w:r>
      <w:r w:rsidRPr="006A11D8">
        <w:rPr>
          <w:rFonts w:ascii="Verdana" w:eastAsia="Calibri" w:hAnsi="Verdana" w:cs="Arial"/>
          <w:color w:val="000000"/>
          <w:lang w:val="es-ES"/>
        </w:rPr>
        <w:t xml:space="preserve"> es el que debe dirigir la interpretación de las disposiciones normativas que consagran restricciones de derechos, como sucede con las causales de inhabilidad e incompatibilidad en la contratación estatal.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w:t>
      </w:r>
    </w:p>
    <w:p w14:paraId="1583EB9B" w14:textId="77777777" w:rsidR="006A11D8" w:rsidRPr="006A11D8" w:rsidRDefault="006A11D8" w:rsidP="006A11D8">
      <w:pPr>
        <w:spacing w:before="120" w:after="0" w:line="276" w:lineRule="auto"/>
        <w:jc w:val="both"/>
        <w:rPr>
          <w:rFonts w:ascii="Verdana" w:eastAsia="Calibri" w:hAnsi="Verdana" w:cs="Arial"/>
          <w:lang w:val="es-ES"/>
        </w:rPr>
      </w:pPr>
      <w:r w:rsidRPr="006A11D8">
        <w:rPr>
          <w:rFonts w:ascii="Verdana" w:eastAsia="Calibri" w:hAnsi="Verdana" w:cs="Arial"/>
          <w:lang w:val="es-ES"/>
        </w:rPr>
        <w:tab/>
        <w:t>Adicionalmente, resulta a bien distinguir entre las fuentes de inhabilidades, las cuales han sido clasificadas en dos grupos: i) inhabilidades-sanción e ii) inhabilidades-requisito. En el primer grupo se encuentran las inhabilidades que surgen como consecuencia de un proceso sancionatorio, en los ámbitos penal, disciplinario, contravencional o de punición por indignidad política – pérdida de investidura–. En el segundo grupo están aquellas que no devienen de un proceso sancionatorio sino de condiciones propias de la persona y buscan garantizar la moralidad, la imparcialidad, la eficacia y la transparencia</w:t>
      </w:r>
      <w:r w:rsidRPr="006A11D8">
        <w:rPr>
          <w:rFonts w:ascii="Verdana" w:eastAsia="Calibri" w:hAnsi="Verdana" w:cs="Arial"/>
          <w:vertAlign w:val="superscript"/>
          <w:lang w:val="es-ES"/>
        </w:rPr>
        <w:footnoteReference w:id="13"/>
      </w:r>
      <w:r w:rsidRPr="006A11D8">
        <w:rPr>
          <w:rFonts w:ascii="Verdana" w:eastAsia="Calibri" w:hAnsi="Verdana" w:cs="Arial"/>
          <w:lang w:val="es-ES"/>
        </w:rPr>
        <w:t>.</w:t>
      </w:r>
    </w:p>
    <w:p w14:paraId="00F25E06" w14:textId="77777777" w:rsidR="006A11D8" w:rsidRPr="006A11D8" w:rsidRDefault="006A11D8" w:rsidP="006A11D8">
      <w:pPr>
        <w:spacing w:before="120" w:after="0" w:line="276" w:lineRule="auto"/>
        <w:jc w:val="both"/>
        <w:rPr>
          <w:rFonts w:ascii="Verdana" w:eastAsia="Calibri" w:hAnsi="Verdana" w:cs="Arial"/>
          <w:lang w:val="es-ES"/>
        </w:rPr>
      </w:pPr>
      <w:r w:rsidRPr="006A11D8">
        <w:rPr>
          <w:rFonts w:ascii="Verdana" w:eastAsia="Calibri" w:hAnsi="Verdana" w:cs="Arial"/>
          <w:lang w:val="es-ES"/>
        </w:rPr>
        <w:tab/>
        <w:t xml:space="preserve">De manera ilustrativa, se tiene que en materia contractual los literales c), d) y j) del numeral 1 del artículo de la Ley 80 de 1993, establecen inhabilidades sanción, porque la prohibición para contratar con el Estado en esos eventos es una consecuencia de una declaratoria de responsabilidad que surge luego de un proceso sancionatorio –administrativo, disciplinario o penal–. Por su parte, las inhabilidades de los literales f), g) y h) del numeral 1 del referido artículo, establecen inhabilidades-requisito, pues no se configuran por la comisión previa de una falta o delito que dio lugar a la imposición de una sanción por parte de la administración o el juez, sino de aspectos propios de la persona, derivados </w:t>
      </w:r>
      <w:r w:rsidRPr="006A11D8">
        <w:rPr>
          <w:rFonts w:ascii="Verdana" w:eastAsia="Calibri" w:hAnsi="Verdana" w:cs="Arial"/>
          <w:lang w:val="es-ES"/>
        </w:rPr>
        <w:lastRenderedPageBreak/>
        <w:t>por ejemplo, del parentesco o la afinidad o de la condición de servidor público. En ambos eventos, la inhabilidad tiene como fuente una situación o un hecho propio del proponente –una conducta o una condición– y no de su oferta. La inhabilidad surge, entre otros, por su grado de parentesco o afinidad, por su condición de servidor público o porque sobre él existe una declaratoria de responsabilidad en firme –penal, disciplinaria o sancionatoria contractual–.</w:t>
      </w:r>
    </w:p>
    <w:p w14:paraId="6D0DAEF2" w14:textId="77777777" w:rsidR="006A11D8" w:rsidRPr="006A11D8" w:rsidRDefault="006A11D8" w:rsidP="006A11D8">
      <w:pPr>
        <w:spacing w:before="120" w:after="0" w:line="276" w:lineRule="auto"/>
        <w:ind w:firstLine="708"/>
        <w:jc w:val="both"/>
        <w:rPr>
          <w:rFonts w:ascii="Verdana" w:eastAsia="Calibri" w:hAnsi="Verdana" w:cs="Arial"/>
          <w:lang w:val="es-ES"/>
        </w:rPr>
      </w:pPr>
      <w:r w:rsidRPr="006A11D8">
        <w:rPr>
          <w:rFonts w:ascii="Verdana" w:eastAsia="Calibri" w:hAnsi="Verdana" w:cs="Arial"/>
          <w:lang w:val="es-ES"/>
        </w:rPr>
        <w:t>Ahora bien, se precisa que al estudiar el contenido del artículo 8 de la Ley 80 de 1993, se identificaron las siguientes restricciones que en materia de contratación pública aplican a las sociedades:</w:t>
      </w:r>
    </w:p>
    <w:p w14:paraId="40FD5E8B" w14:textId="77777777" w:rsidR="006A11D8" w:rsidRPr="006A11D8" w:rsidRDefault="006A11D8" w:rsidP="006A11D8">
      <w:pPr>
        <w:spacing w:after="0" w:line="276" w:lineRule="auto"/>
        <w:jc w:val="both"/>
        <w:rPr>
          <w:rFonts w:ascii="Verdana" w:eastAsia="Calibri" w:hAnsi="Verdana" w:cs="Arial"/>
          <w:lang w:val="es-ES"/>
        </w:rPr>
      </w:pPr>
    </w:p>
    <w:p w14:paraId="5320DDC6" w14:textId="77777777" w:rsidR="006A11D8" w:rsidRPr="006A11D8" w:rsidRDefault="006A11D8" w:rsidP="006A11D8">
      <w:pPr>
        <w:spacing w:after="0" w:line="276" w:lineRule="auto"/>
        <w:ind w:left="709" w:right="709"/>
        <w:jc w:val="both"/>
        <w:rPr>
          <w:rFonts w:ascii="Verdana" w:eastAsia="Calibri" w:hAnsi="Verdana" w:cs="Arial"/>
          <w:sz w:val="20"/>
          <w:szCs w:val="20"/>
        </w:rPr>
      </w:pPr>
      <w:r w:rsidRPr="006A11D8">
        <w:rPr>
          <w:rFonts w:ascii="Verdana" w:eastAsia="Calibri" w:hAnsi="Verdana" w:cs="Arial"/>
          <w:sz w:val="20"/>
          <w:szCs w:val="20"/>
          <w:lang w:val="es-ES"/>
        </w:rPr>
        <w:t>“1</w:t>
      </w:r>
      <w:r w:rsidRPr="006A11D8">
        <w:rPr>
          <w:rFonts w:ascii="Verdana" w:eastAsia="Calibri" w:hAnsi="Verdana" w:cs="Arial"/>
          <w:sz w:val="20"/>
          <w:szCs w:val="20"/>
        </w:rPr>
        <w:t>º. Son inhábiles para participar en licitaciones y para celebrar contratos con las entidades estatales:</w:t>
      </w:r>
    </w:p>
    <w:p w14:paraId="2EE8E89F" w14:textId="77777777" w:rsidR="006A11D8" w:rsidRPr="006A11D8" w:rsidRDefault="006A11D8" w:rsidP="006A11D8">
      <w:pPr>
        <w:spacing w:after="0" w:line="276" w:lineRule="auto"/>
        <w:ind w:left="709" w:right="709"/>
        <w:jc w:val="both"/>
        <w:rPr>
          <w:rFonts w:ascii="Verdana" w:eastAsia="Calibri" w:hAnsi="Verdana" w:cs="Arial"/>
          <w:sz w:val="20"/>
          <w:szCs w:val="20"/>
        </w:rPr>
      </w:pPr>
      <w:r w:rsidRPr="006A11D8">
        <w:rPr>
          <w:rFonts w:ascii="Verdana" w:eastAsia="Calibri" w:hAnsi="Verdana" w:cs="Arial"/>
          <w:sz w:val="20"/>
          <w:szCs w:val="20"/>
        </w:rPr>
        <w:t>[…]</w:t>
      </w:r>
    </w:p>
    <w:p w14:paraId="3830E09F" w14:textId="77777777" w:rsidR="006A11D8" w:rsidRPr="006A11D8" w:rsidRDefault="006A11D8" w:rsidP="006A11D8">
      <w:pPr>
        <w:spacing w:after="0" w:line="276" w:lineRule="auto"/>
        <w:ind w:left="709" w:right="709"/>
        <w:jc w:val="both"/>
        <w:rPr>
          <w:rFonts w:ascii="Verdana" w:eastAsia="Calibri" w:hAnsi="Verdana" w:cs="Arial"/>
          <w:sz w:val="20"/>
          <w:szCs w:val="20"/>
        </w:rPr>
      </w:pPr>
      <w:r w:rsidRPr="006A11D8">
        <w:rPr>
          <w:rFonts w:ascii="Verdana" w:eastAsia="Calibri" w:hAnsi="Verdana" w:cs="Arial"/>
          <w:sz w:val="20"/>
          <w:szCs w:val="20"/>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w:t>
      </w:r>
    </w:p>
    <w:p w14:paraId="46260AD4" w14:textId="77777777" w:rsidR="006A11D8" w:rsidRPr="006A11D8" w:rsidRDefault="006A11D8" w:rsidP="006A11D8">
      <w:pPr>
        <w:spacing w:after="0" w:line="276" w:lineRule="auto"/>
        <w:ind w:left="709" w:right="709"/>
        <w:jc w:val="both"/>
        <w:rPr>
          <w:rFonts w:ascii="Verdana" w:eastAsia="Calibri" w:hAnsi="Verdana" w:cs="Arial"/>
          <w:sz w:val="20"/>
          <w:szCs w:val="20"/>
        </w:rPr>
      </w:pPr>
    </w:p>
    <w:p w14:paraId="3C7A4367" w14:textId="77777777" w:rsidR="006A11D8" w:rsidRPr="006A11D8" w:rsidRDefault="006A11D8" w:rsidP="006A11D8">
      <w:pPr>
        <w:spacing w:after="0" w:line="276" w:lineRule="auto"/>
        <w:ind w:left="709" w:right="709"/>
        <w:jc w:val="both"/>
        <w:rPr>
          <w:rFonts w:ascii="Verdana" w:eastAsia="Calibri" w:hAnsi="Verdana" w:cs="Arial"/>
          <w:sz w:val="20"/>
          <w:szCs w:val="20"/>
        </w:rPr>
      </w:pPr>
      <w:r w:rsidRPr="006A11D8">
        <w:rPr>
          <w:rFonts w:ascii="Verdana" w:eastAsia="Calibri" w:hAnsi="Verdana" w:cs="Arial"/>
          <w:sz w:val="20"/>
          <w:szCs w:val="20"/>
        </w:rPr>
        <w:t>i)Los socios de sociedades de personas a las cuales se haya declarado la caducidad, así como las sociedades de personas de las que aquellos formen parte con posterioridad a dicha declaratoria.</w:t>
      </w:r>
    </w:p>
    <w:p w14:paraId="39789ED6" w14:textId="77777777" w:rsidR="006A11D8" w:rsidRPr="006A11D8" w:rsidRDefault="006A11D8" w:rsidP="006A11D8">
      <w:pPr>
        <w:spacing w:after="0" w:line="276" w:lineRule="auto"/>
        <w:ind w:left="709" w:right="709"/>
        <w:jc w:val="both"/>
        <w:rPr>
          <w:rFonts w:ascii="Verdana" w:eastAsia="Calibri" w:hAnsi="Verdana" w:cs="Arial"/>
          <w:sz w:val="20"/>
          <w:szCs w:val="20"/>
        </w:rPr>
      </w:pPr>
      <w:r w:rsidRPr="006A11D8">
        <w:rPr>
          <w:rFonts w:ascii="Verdana" w:eastAsia="Calibri" w:hAnsi="Verdana" w:cs="Arial"/>
          <w:sz w:val="20"/>
          <w:szCs w:val="20"/>
        </w:rPr>
        <w:t>[…]</w:t>
      </w:r>
    </w:p>
    <w:p w14:paraId="6372381B" w14:textId="77777777" w:rsidR="006A11D8" w:rsidRPr="006A11D8" w:rsidRDefault="006A11D8" w:rsidP="006A11D8">
      <w:pPr>
        <w:spacing w:after="0" w:line="276" w:lineRule="auto"/>
        <w:ind w:left="709" w:right="709"/>
        <w:jc w:val="both"/>
        <w:rPr>
          <w:rFonts w:ascii="Verdana" w:eastAsia="Calibri" w:hAnsi="Verdana" w:cs="Arial"/>
          <w:sz w:val="20"/>
          <w:szCs w:val="20"/>
        </w:rPr>
      </w:pPr>
      <w:r w:rsidRPr="006A11D8">
        <w:rPr>
          <w:rFonts w:ascii="Verdana" w:eastAsia="Calibri" w:hAnsi="Verdana" w:cs="Arial"/>
          <w:sz w:val="20"/>
          <w:szCs w:val="20"/>
        </w:rPr>
        <w:t>j) Las personas naturales que hayan sido declaradas responsables judicialmente por la comisión de delitos contra Administración pública, o de cualquiera de los delitos o faltas contempladas por la Ley 1474 de 2011[…], así como las personas jurídicas que hayan sido declaradas responsables administrativamente por la conducta de soborno internacional.</w:t>
      </w:r>
    </w:p>
    <w:p w14:paraId="2FDF3EC6" w14:textId="77777777" w:rsidR="006A11D8" w:rsidRPr="006A11D8" w:rsidRDefault="006A11D8" w:rsidP="006A11D8">
      <w:pPr>
        <w:spacing w:after="0" w:line="276" w:lineRule="auto"/>
        <w:ind w:left="709" w:right="709"/>
        <w:jc w:val="both"/>
        <w:rPr>
          <w:rFonts w:ascii="Verdana" w:eastAsia="Calibri" w:hAnsi="Verdana" w:cs="Arial"/>
          <w:sz w:val="20"/>
          <w:szCs w:val="20"/>
        </w:rPr>
      </w:pPr>
      <w:r w:rsidRPr="006A11D8">
        <w:rPr>
          <w:rFonts w:ascii="Verdana" w:eastAsia="Calibri" w:hAnsi="Verdana" w:cs="Arial"/>
          <w:sz w:val="20"/>
          <w:szCs w:val="20"/>
        </w:rPr>
        <w:t>[…]</w:t>
      </w:r>
    </w:p>
    <w:p w14:paraId="2277F90A" w14:textId="77777777" w:rsidR="006A11D8" w:rsidRPr="006A11D8" w:rsidRDefault="006A11D8" w:rsidP="006A11D8">
      <w:pPr>
        <w:spacing w:after="0" w:line="276" w:lineRule="auto"/>
        <w:ind w:left="709" w:right="709"/>
        <w:jc w:val="both"/>
        <w:rPr>
          <w:rFonts w:ascii="Verdana" w:eastAsia="Calibri" w:hAnsi="Verdana" w:cs="Arial"/>
          <w:sz w:val="20"/>
          <w:szCs w:val="20"/>
        </w:rPr>
      </w:pPr>
      <w:r w:rsidRPr="006A11D8">
        <w:rPr>
          <w:rFonts w:ascii="Verdana" w:eastAsia="Calibri" w:hAnsi="Verdana" w:cs="Arial"/>
          <w:sz w:val="20"/>
          <w:szCs w:val="20"/>
        </w:rPr>
        <w:t>Asimismo, la inhabilidad se extenderá a las sociedades de las que hagan parte dichas personas en calidad de administradores, representantes legales, miembros de juntas directiva o de socios controlantes, […] a los que estas pertenezcan cuando la conducta delictiva haya sido de una política de grupo […]</w:t>
      </w:r>
    </w:p>
    <w:p w14:paraId="6F99B691" w14:textId="77777777" w:rsidR="006A11D8" w:rsidRPr="006A11D8" w:rsidRDefault="006A11D8" w:rsidP="006A11D8">
      <w:pPr>
        <w:spacing w:after="0" w:line="276" w:lineRule="auto"/>
        <w:ind w:left="709" w:right="709"/>
        <w:jc w:val="both"/>
        <w:rPr>
          <w:rFonts w:ascii="Verdana" w:eastAsia="Calibri" w:hAnsi="Verdana" w:cs="Arial"/>
          <w:sz w:val="20"/>
          <w:szCs w:val="20"/>
        </w:rPr>
      </w:pPr>
      <w:r w:rsidRPr="006A11D8">
        <w:rPr>
          <w:rFonts w:ascii="Verdana" w:eastAsia="Calibri" w:hAnsi="Verdana" w:cs="Arial"/>
          <w:sz w:val="20"/>
          <w:szCs w:val="20"/>
        </w:rPr>
        <w:t>[…]</w:t>
      </w:r>
    </w:p>
    <w:p w14:paraId="76FDD2E1" w14:textId="77777777" w:rsidR="006A11D8" w:rsidRPr="006A11D8" w:rsidRDefault="006A11D8" w:rsidP="006A11D8">
      <w:pPr>
        <w:spacing w:after="0" w:line="276" w:lineRule="auto"/>
        <w:ind w:left="709" w:right="709"/>
        <w:jc w:val="both"/>
        <w:rPr>
          <w:rFonts w:ascii="Verdana" w:eastAsia="Calibri" w:hAnsi="Verdana" w:cs="Arial"/>
          <w:sz w:val="20"/>
          <w:szCs w:val="20"/>
        </w:rPr>
      </w:pPr>
      <w:r w:rsidRPr="006A11D8">
        <w:rPr>
          <w:rFonts w:ascii="Verdana" w:eastAsia="Calibri" w:hAnsi="Verdana" w:cs="Arial"/>
          <w:sz w:val="20"/>
          <w:szCs w:val="20"/>
        </w:rPr>
        <w:t>2º. Tampoco podrán participar en licitaciones ni celebrar contratos estatales con la entidad respectiva:</w:t>
      </w:r>
    </w:p>
    <w:p w14:paraId="02900BD6" w14:textId="77777777" w:rsidR="006A11D8" w:rsidRPr="006A11D8" w:rsidRDefault="006A11D8" w:rsidP="006A11D8">
      <w:pPr>
        <w:spacing w:after="0" w:line="276" w:lineRule="auto"/>
        <w:ind w:left="709" w:right="709"/>
        <w:jc w:val="both"/>
        <w:rPr>
          <w:rFonts w:ascii="Verdana" w:eastAsia="Calibri" w:hAnsi="Verdana" w:cs="Arial"/>
          <w:sz w:val="20"/>
          <w:szCs w:val="20"/>
        </w:rPr>
      </w:pPr>
    </w:p>
    <w:p w14:paraId="6B22BB39" w14:textId="77777777" w:rsidR="006A11D8" w:rsidRPr="006A11D8" w:rsidRDefault="006A11D8" w:rsidP="006A11D8">
      <w:pPr>
        <w:spacing w:after="0" w:line="276" w:lineRule="auto"/>
        <w:ind w:left="709" w:right="709"/>
        <w:jc w:val="both"/>
        <w:rPr>
          <w:rFonts w:ascii="Verdana" w:eastAsia="Calibri" w:hAnsi="Verdana" w:cs="Arial"/>
          <w:sz w:val="20"/>
          <w:szCs w:val="20"/>
        </w:rPr>
      </w:pPr>
      <w:r w:rsidRPr="006A11D8">
        <w:rPr>
          <w:rFonts w:ascii="Verdana" w:eastAsia="Calibri" w:hAnsi="Verdana" w:cs="Arial"/>
          <w:sz w:val="20"/>
          <w:szCs w:val="20"/>
        </w:rPr>
        <w:lastRenderedPageBreak/>
        <w:t xml:space="preserve">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2E75798A" w14:textId="77777777" w:rsidR="006A11D8" w:rsidRPr="006A11D8" w:rsidRDefault="006A11D8" w:rsidP="006A11D8">
      <w:pPr>
        <w:spacing w:after="0" w:line="276" w:lineRule="auto"/>
        <w:ind w:left="709" w:right="709"/>
        <w:jc w:val="both"/>
        <w:rPr>
          <w:rFonts w:ascii="Verdana" w:eastAsia="Calibri" w:hAnsi="Verdana" w:cs="Arial"/>
          <w:sz w:val="20"/>
          <w:szCs w:val="20"/>
        </w:rPr>
      </w:pPr>
      <w:r w:rsidRPr="006A11D8">
        <w:rPr>
          <w:rFonts w:ascii="Verdana" w:eastAsia="Calibri" w:hAnsi="Verdana" w:cs="Arial"/>
          <w:sz w:val="20"/>
          <w:szCs w:val="20"/>
        </w:rPr>
        <w:t>[…]”.</w:t>
      </w:r>
    </w:p>
    <w:p w14:paraId="6BC4690A" w14:textId="77777777" w:rsidR="006A11D8" w:rsidRPr="006A11D8" w:rsidRDefault="006A11D8" w:rsidP="006A11D8">
      <w:pPr>
        <w:spacing w:after="0" w:line="276" w:lineRule="auto"/>
        <w:jc w:val="both"/>
        <w:rPr>
          <w:rFonts w:ascii="Verdana" w:eastAsia="Calibri" w:hAnsi="Verdana" w:cs="Arial"/>
          <w:lang w:val="es-ES"/>
        </w:rPr>
      </w:pPr>
    </w:p>
    <w:p w14:paraId="68FE9087" w14:textId="77777777" w:rsidR="006A11D8" w:rsidRPr="006A11D8" w:rsidRDefault="006A11D8" w:rsidP="006A11D8">
      <w:pPr>
        <w:spacing w:after="120" w:line="276" w:lineRule="auto"/>
        <w:jc w:val="both"/>
        <w:rPr>
          <w:rFonts w:ascii="Verdana" w:eastAsia="Calibri" w:hAnsi="Verdana" w:cs="Arial"/>
          <w:lang w:val="es-ES"/>
        </w:rPr>
      </w:pPr>
      <w:r w:rsidRPr="006A11D8">
        <w:rPr>
          <w:rFonts w:ascii="Verdana" w:eastAsia="Calibri" w:hAnsi="Verdana" w:cs="Arial"/>
          <w:lang w:val="es-ES"/>
        </w:rPr>
        <w:tab/>
        <w:t xml:space="preserve">Como se observa, el legislador estableció supuestos fácticos que restringen o limitan la capacidad de ciertas sociedades para participar de los procesos de contratación pública y celebrar contratos estatales que se derivan de: i) vínculos de parentesco de sus </w:t>
      </w:r>
      <w:r w:rsidRPr="006A11D8">
        <w:rPr>
          <w:rFonts w:ascii="Verdana" w:eastAsia="Calibri" w:hAnsi="Verdana" w:cs="Arial"/>
          <w:i/>
          <w:iCs/>
          <w:lang w:val="es-ES"/>
        </w:rPr>
        <w:t>representantes legales</w:t>
      </w:r>
      <w:r w:rsidRPr="006A11D8">
        <w:rPr>
          <w:rFonts w:ascii="Verdana" w:eastAsia="Calibri" w:hAnsi="Verdana" w:cs="Arial"/>
          <w:lang w:val="es-ES"/>
        </w:rPr>
        <w:t xml:space="preserve"> o cualquiera de sus </w:t>
      </w:r>
      <w:r w:rsidRPr="006A11D8">
        <w:rPr>
          <w:rFonts w:ascii="Verdana" w:eastAsia="Calibri" w:hAnsi="Verdana" w:cs="Arial"/>
          <w:i/>
          <w:iCs/>
          <w:lang w:val="es-ES"/>
        </w:rPr>
        <w:t>socios</w:t>
      </w:r>
      <w:r w:rsidRPr="006A11D8">
        <w:rPr>
          <w:rFonts w:ascii="Verdana" w:eastAsia="Calibri" w:hAnsi="Verdana" w:cs="Arial"/>
          <w:lang w:val="es-ES"/>
        </w:rPr>
        <w:t xml:space="preserve"> respecto de otras sociedades que participen en el mismo proceso de contratación; ii) antecedentes en la declaratoria de caducidad del contrato a alguno de sus </w:t>
      </w:r>
      <w:r w:rsidRPr="006A11D8">
        <w:rPr>
          <w:rFonts w:ascii="Verdana" w:eastAsia="Calibri" w:hAnsi="Verdana" w:cs="Arial"/>
          <w:i/>
          <w:iCs/>
          <w:lang w:val="es-ES"/>
        </w:rPr>
        <w:t>socios</w:t>
      </w:r>
      <w:r w:rsidRPr="006A11D8">
        <w:rPr>
          <w:rFonts w:ascii="Verdana" w:eastAsia="Calibri" w:hAnsi="Verdana" w:cs="Arial"/>
          <w:lang w:val="es-ES"/>
        </w:rPr>
        <w:t xml:space="preserve">; y iii) responsabilidades penales o administrativas de cualquiera de sus </w:t>
      </w:r>
      <w:r w:rsidRPr="006A11D8">
        <w:rPr>
          <w:rFonts w:ascii="Verdana" w:eastAsia="Calibri" w:hAnsi="Verdana" w:cs="Arial"/>
          <w:i/>
          <w:iCs/>
          <w:lang w:val="es-ES"/>
        </w:rPr>
        <w:t>socios.</w:t>
      </w:r>
      <w:r w:rsidRPr="006A11D8">
        <w:rPr>
          <w:rFonts w:ascii="Verdana" w:eastAsia="Calibri" w:hAnsi="Verdana" w:cs="Arial"/>
          <w:lang w:val="es-ES"/>
        </w:rPr>
        <w:t xml:space="preserve"> </w:t>
      </w:r>
    </w:p>
    <w:p w14:paraId="08FB7A77" w14:textId="77777777" w:rsidR="006A11D8" w:rsidRPr="006A11D8" w:rsidRDefault="006A11D8" w:rsidP="006A11D8">
      <w:pPr>
        <w:spacing w:after="120" w:line="276" w:lineRule="auto"/>
        <w:ind w:firstLine="708"/>
        <w:jc w:val="both"/>
        <w:rPr>
          <w:rFonts w:ascii="Verdana" w:eastAsia="Calibri" w:hAnsi="Verdana" w:cs="Arial"/>
          <w:lang w:val="es-ES"/>
        </w:rPr>
      </w:pPr>
      <w:r w:rsidRPr="006A11D8">
        <w:rPr>
          <w:rFonts w:ascii="Verdana" w:eastAsia="Calibri" w:hAnsi="Verdana" w:cs="Arial"/>
          <w:lang w:val="es-ES"/>
        </w:rPr>
        <w:t>Por su parte, el literal d) del numeral 2 de la referida norma, como se observa, inhabilita para contratar con una Entidad Estatal a ciertas sociedades en las que un servidor público tenga participación o ejerza un cargo de dirección o manejo, esto, siempre y cuando dicho funcionario pertenezca al nivel directivo, asesor, ejecutivo o sea miembro de la junta o consejo directivo de la entidad contratante. Sin embargo, vale la pena aclarar que esta restricción no resulta extensible a las Sociedades por Acciones Simplificadas –SAS– que, de acuerdo con lo indicado en el artículo 3 de la Ley 1258 de 2008 son consideradas como sociedades capitales, por lo que no se encuentran en la singularización que, respecto del tipo de sociedad y denominación, efectúa el referido literal d), ya que sólo limita la capacidad para contratar en dicho supuesto fáctico, a las sociedades anónimas que no tengan el carácter de abiertas, las sociedades de responsabilidad limitada y las demás sociedades de personas.</w:t>
      </w:r>
    </w:p>
    <w:p w14:paraId="3295DE87" w14:textId="77777777" w:rsidR="006A11D8" w:rsidRPr="006A11D8" w:rsidRDefault="006A11D8" w:rsidP="006A11D8">
      <w:pPr>
        <w:spacing w:after="0" w:line="276" w:lineRule="auto"/>
        <w:ind w:firstLine="709"/>
        <w:jc w:val="both"/>
        <w:rPr>
          <w:rFonts w:ascii="Verdana" w:eastAsia="Calibri" w:hAnsi="Verdana" w:cs="Arial"/>
          <w:lang w:val="es-ES"/>
        </w:rPr>
      </w:pPr>
      <w:r w:rsidRPr="006A11D8">
        <w:rPr>
          <w:rFonts w:ascii="Verdana" w:eastAsia="Calibri" w:hAnsi="Verdana" w:cs="Arial"/>
          <w:lang w:val="es-ES"/>
        </w:rPr>
        <w:t>De conformidad con lo anterior, la Superintendencia de Sociedades, en el Oficio. No. 220-087303 del 16 de agosto de 2019, señaló que las inhabilidades son de aplicación excepcional y restrictivo, por lo tanto, no pueden ser impuestas a los socios de una sociedad de capitales como lo es la Sociedad por Acciones Simplificadas –SAS–, así:</w:t>
      </w:r>
    </w:p>
    <w:p w14:paraId="3A86BCD5" w14:textId="77777777" w:rsidR="006A11D8" w:rsidRPr="006A11D8" w:rsidRDefault="006A11D8" w:rsidP="006A11D8">
      <w:pPr>
        <w:spacing w:after="0" w:line="276" w:lineRule="auto"/>
        <w:ind w:firstLine="709"/>
        <w:jc w:val="both"/>
        <w:rPr>
          <w:rFonts w:ascii="Verdana" w:eastAsia="Calibri" w:hAnsi="Verdana" w:cs="Arial"/>
          <w:lang w:val="es-ES"/>
        </w:rPr>
      </w:pPr>
    </w:p>
    <w:p w14:paraId="5E06FE69" w14:textId="77777777" w:rsidR="006A11D8" w:rsidRPr="006A11D8" w:rsidRDefault="006A11D8" w:rsidP="006A11D8">
      <w:pPr>
        <w:spacing w:after="0" w:line="240" w:lineRule="auto"/>
        <w:ind w:left="709" w:right="709"/>
        <w:jc w:val="both"/>
        <w:rPr>
          <w:rFonts w:ascii="Verdana" w:eastAsia="Calibri" w:hAnsi="Verdana" w:cs="Arial"/>
          <w:sz w:val="20"/>
          <w:szCs w:val="20"/>
          <w:lang w:val="es-ES"/>
        </w:rPr>
      </w:pPr>
      <w:r w:rsidRPr="006A11D8">
        <w:rPr>
          <w:rFonts w:ascii="Verdana" w:eastAsia="Calibri" w:hAnsi="Verdana" w:cs="Arial"/>
          <w:sz w:val="20"/>
          <w:szCs w:val="20"/>
          <w:lang w:val="es-ES"/>
        </w:rPr>
        <w:t>“En estas disposiciones se establece que la sociedad por acciones simplifica es una sociedad de capitales, que constituye una persona jurídica distinta de los socios y por lo tanto, estos son terceros respecto de los contratos que celebre el ente societario; que el régimen de inhabilidades e incompatibilidades para contratar con el Estado es de índole excepcional y aplicación restrictiva, en la medida en que limitan la capacidad jurídica de las personas; que las causales están previstas en el artículo 8 de la Ley 80 de 1993 y en los artículos 5 y 90 de la Ley 1474 de 2011, y que la sanción disciplinaria de suspensión en el ejercicio de la profesión impuesta a uno de los socios no está consagrada como causal de inhabilidad para que la sociedad de capitales participe en procesos de selección y contrate con entidades estatales”.</w:t>
      </w:r>
    </w:p>
    <w:p w14:paraId="4D5AE37A" w14:textId="77777777" w:rsidR="006A11D8" w:rsidRPr="006A11D8" w:rsidRDefault="006A11D8" w:rsidP="006A11D8">
      <w:pPr>
        <w:spacing w:after="0" w:line="276" w:lineRule="auto"/>
        <w:ind w:firstLine="708"/>
        <w:jc w:val="both"/>
        <w:rPr>
          <w:rFonts w:ascii="Verdana" w:eastAsia="Calibri" w:hAnsi="Verdana" w:cs="Arial"/>
          <w:lang w:val="es-ES"/>
        </w:rPr>
      </w:pPr>
    </w:p>
    <w:p w14:paraId="32D5974A" w14:textId="77777777" w:rsidR="006A11D8" w:rsidRPr="006A11D8" w:rsidRDefault="006A11D8" w:rsidP="006A11D8">
      <w:pPr>
        <w:spacing w:after="0" w:line="276" w:lineRule="auto"/>
        <w:ind w:firstLine="708"/>
        <w:jc w:val="both"/>
        <w:rPr>
          <w:rFonts w:ascii="Verdana" w:eastAsia="Calibri" w:hAnsi="Verdana" w:cs="Arial"/>
          <w:lang w:val="es-ES"/>
        </w:rPr>
      </w:pPr>
      <w:r w:rsidRPr="006A11D8">
        <w:rPr>
          <w:rFonts w:ascii="Verdana" w:eastAsia="Calibri" w:hAnsi="Verdana" w:cs="Arial"/>
          <w:lang w:val="es-ES"/>
        </w:rPr>
        <w:t>En consecuencia, la inhabilidad prevista en el literal d) del numeral 2 del artículo 8 de la Ley 80 de 1993, no le aplica a los socios de las Sociedades por Acciones Simplificadas –SAS–, ni a este tipo de sociedades cuando entre socios por ejemplo, se encuentra una persona inhabilitada. De esta forma, es pertinente reiterar que en materia contractual, el artículo 8 de la Ley 80 de 1993 expresa de manera taxativa los supuestos fácticos que limitan o restringen la capacidad para contratar de ciertas sociedades, singularizándolas respecto de su tipología y denominación.</w:t>
      </w:r>
    </w:p>
    <w:p w14:paraId="4719AECD" w14:textId="77777777" w:rsidR="006A11D8" w:rsidRPr="006A11D8" w:rsidRDefault="006A11D8" w:rsidP="006A11D8">
      <w:pPr>
        <w:spacing w:before="120" w:after="120" w:line="276" w:lineRule="auto"/>
        <w:ind w:firstLine="709"/>
        <w:jc w:val="both"/>
        <w:rPr>
          <w:rFonts w:ascii="Verdana" w:eastAsia="Calibri" w:hAnsi="Verdana" w:cs="Arial"/>
        </w:rPr>
      </w:pPr>
      <w:r w:rsidRPr="006A11D8">
        <w:rPr>
          <w:rFonts w:ascii="Verdana" w:eastAsia="Calibri" w:hAnsi="Verdana" w:cs="Arial"/>
          <w:lang w:val="es-ES_tradnl"/>
        </w:rPr>
        <w:t xml:space="preserve">Finalmente, </w:t>
      </w:r>
      <w:r w:rsidRPr="006A11D8">
        <w:rPr>
          <w:rFonts w:ascii="Verdana" w:eastAsia="Calibri" w:hAnsi="Verdana" w:cs="Arial"/>
        </w:rPr>
        <w:t xml:space="preserve">el régimen de inhabilidades en la contratación estatal constituye un conjunto de restricciones de origen legal que limitan la posibilidad de contratar con el Estado, con el fin de salvaguardar principios como la transparencia, la moralidad administrativa, la imparcialidad y la selección objetiva. Estas restricciones, al ser de carácter excepcional y restrictivo, solo pueden estar previstas expresamente en la ley y no admiten interpretaciones extensivas que amplíen su alcance más allá de lo dispuesto por el legislador. En este contexto, Colombia Compra Eficiente, en su calidad de ente rector de la contratación pública, desempeña un rol eminentemente interpretativo y orientador, mas no decisorio, por lo que no emite conceptos para resolver consultas particulares ni determina la configuración de inhabilidades en casos concretos. Así, la verificación de la existencia de una inhabilidad o incompatibilidad corresponde a las autoridades competentes, quienes deberán analizar caso por caso a la luz de la normatividad aplicable y con observancia estricta del principio de legalidad, garantizando que estas restricciones cumplan </w:t>
      </w:r>
      <w:r w:rsidRPr="006A11D8">
        <w:rPr>
          <w:rFonts w:ascii="Verdana" w:eastAsia="Calibri" w:hAnsi="Verdana" w:cs="Arial"/>
        </w:rPr>
        <w:lastRenderedPageBreak/>
        <w:t>su propósito de proteger el interés general sin vulnerar derechos ni limitar indebidamente la participación en los procesos de contratación estatal.</w:t>
      </w:r>
    </w:p>
    <w:p w14:paraId="3F53BBCD" w14:textId="77777777" w:rsidR="006A11D8" w:rsidRPr="006A11D8" w:rsidRDefault="006A11D8" w:rsidP="006A11D8">
      <w:pPr>
        <w:widowControl w:val="0"/>
        <w:autoSpaceDE w:val="0"/>
        <w:autoSpaceDN w:val="0"/>
        <w:spacing w:before="120" w:after="0" w:line="276" w:lineRule="auto"/>
        <w:ind w:firstLine="709"/>
        <w:jc w:val="both"/>
        <w:rPr>
          <w:rFonts w:ascii="Verdana" w:eastAsia="Calibri" w:hAnsi="Verdana" w:cs="Arial"/>
        </w:rPr>
      </w:pPr>
      <w:r w:rsidRPr="006A11D8">
        <w:rPr>
          <w:rFonts w:ascii="Verdana" w:eastAsia="Calibri" w:hAnsi="Verdana" w:cs="Arial"/>
        </w:rPr>
        <w:t>Dentro de este marco, la entidad contratante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A586C56" w14:textId="77777777" w:rsidR="006A11D8" w:rsidRPr="006A11D8" w:rsidRDefault="006A11D8" w:rsidP="006A11D8">
      <w:pPr>
        <w:spacing w:after="0" w:line="276" w:lineRule="auto"/>
        <w:jc w:val="both"/>
        <w:rPr>
          <w:rFonts w:ascii="Verdana" w:eastAsia="Calibri" w:hAnsi="Verdana" w:cs="Arial"/>
          <w:lang w:val="es-ES" w:eastAsia="es-CO"/>
        </w:rPr>
      </w:pPr>
    </w:p>
    <w:p w14:paraId="7D40CFF1" w14:textId="77777777" w:rsidR="006A11D8" w:rsidRPr="006A11D8" w:rsidRDefault="006A11D8" w:rsidP="006A11D8">
      <w:pPr>
        <w:widowControl w:val="0"/>
        <w:autoSpaceDE w:val="0"/>
        <w:autoSpaceDN w:val="0"/>
        <w:spacing w:before="1" w:after="0" w:line="240" w:lineRule="auto"/>
        <w:outlineLvl w:val="0"/>
        <w:rPr>
          <w:rFonts w:ascii="Verdana" w:eastAsia="Arial" w:hAnsi="Verdana" w:cs="Arial"/>
          <w:b/>
          <w:bCs/>
          <w:lang w:val="es-ES"/>
        </w:rPr>
      </w:pPr>
      <w:r w:rsidRPr="006A11D8">
        <w:rPr>
          <w:rFonts w:ascii="Verdana" w:eastAsia="Arial" w:hAnsi="Verdana" w:cs="Arial"/>
          <w:b/>
          <w:bCs/>
          <w:lang w:val="es-ES"/>
        </w:rPr>
        <w:t>4.Referencias normativas, jurisprudenciales y otras fuentes:</w:t>
      </w:r>
    </w:p>
    <w:p w14:paraId="3A76534D" w14:textId="77777777" w:rsidR="006A11D8" w:rsidRPr="006A11D8" w:rsidRDefault="006A11D8" w:rsidP="006A11D8">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A11D8" w:rsidRPr="006A11D8" w14:paraId="576F68E0" w14:textId="77777777" w:rsidTr="00896634">
        <w:trPr>
          <w:trHeight w:val="870"/>
        </w:trPr>
        <w:tc>
          <w:tcPr>
            <w:tcW w:w="8647" w:type="dxa"/>
          </w:tcPr>
          <w:p w14:paraId="68668976" w14:textId="77777777" w:rsidR="006A11D8" w:rsidRPr="006A11D8" w:rsidRDefault="006A11D8" w:rsidP="006A11D8">
            <w:pPr>
              <w:numPr>
                <w:ilvl w:val="0"/>
                <w:numId w:val="16"/>
              </w:numPr>
              <w:contextualSpacing/>
              <w:jc w:val="both"/>
              <w:rPr>
                <w:rFonts w:ascii="Verdana" w:eastAsia="Geomanist Light" w:hAnsi="Verdana" w:cs="Arial"/>
                <w:color w:val="000000"/>
                <w:lang w:val="es-MX"/>
              </w:rPr>
            </w:pPr>
            <w:r w:rsidRPr="006A11D8">
              <w:rPr>
                <w:rFonts w:ascii="Verdana" w:eastAsia="Geomanist Light" w:hAnsi="Verdana" w:cs="Arial"/>
                <w:color w:val="000000"/>
                <w:lang w:val="es-MX"/>
              </w:rPr>
              <w:t>Ley 80 de 1993. Artículo 8, numeral 1 , literales h), i) y j); Artículo 8, numeral 2; literal d).</w:t>
            </w:r>
          </w:p>
          <w:p w14:paraId="40B46190" w14:textId="77777777" w:rsidR="006A11D8" w:rsidRPr="006A11D8" w:rsidRDefault="006A11D8" w:rsidP="006A11D8">
            <w:pPr>
              <w:numPr>
                <w:ilvl w:val="0"/>
                <w:numId w:val="16"/>
              </w:numPr>
              <w:contextualSpacing/>
              <w:jc w:val="both"/>
              <w:rPr>
                <w:rFonts w:ascii="Verdana" w:eastAsia="Geomanist Light" w:hAnsi="Verdana" w:cs="Arial"/>
                <w:color w:val="000000"/>
                <w:lang w:val="es-MX"/>
              </w:rPr>
            </w:pPr>
            <w:r w:rsidRPr="006A11D8">
              <w:rPr>
                <w:rFonts w:ascii="Verdana" w:eastAsia="Geomanist Light" w:hAnsi="Verdana" w:cs="Arial"/>
                <w:color w:val="000000"/>
                <w:lang w:val="es-MX"/>
              </w:rPr>
              <w:t>Código Civil. Artículo 1502.</w:t>
            </w:r>
          </w:p>
          <w:p w14:paraId="630FA827" w14:textId="77777777" w:rsidR="006A11D8" w:rsidRPr="006A11D8" w:rsidRDefault="006A11D8" w:rsidP="006A11D8">
            <w:pPr>
              <w:numPr>
                <w:ilvl w:val="0"/>
                <w:numId w:val="16"/>
              </w:numPr>
              <w:contextualSpacing/>
              <w:jc w:val="both"/>
              <w:rPr>
                <w:rFonts w:ascii="Verdana" w:eastAsia="Geomanist Light" w:hAnsi="Verdana" w:cs="Arial"/>
                <w:color w:val="000000"/>
                <w:lang w:val="es-MX"/>
              </w:rPr>
            </w:pPr>
            <w:r w:rsidRPr="006A11D8">
              <w:rPr>
                <w:rFonts w:ascii="Verdana" w:eastAsia="Geomanist Light" w:hAnsi="Verdana" w:cs="Arial"/>
                <w:color w:val="000000"/>
                <w:lang w:val="es-MX"/>
              </w:rPr>
              <w:t>Corte Constitucional. Sentencia T-1039 de 2006. Magistrado Ponente: Humberto Sierra Porto. La Corte ha mantenido este criterio en las sentencias: C-903 de 2008. Magistrado Ponente: Jaime Araujo Rentería; C-101 de 2018. Magistrada Ponente Gloria Stella Ortiz Delgado; entre otras.</w:t>
            </w:r>
          </w:p>
          <w:p w14:paraId="6AB2CE03" w14:textId="77777777" w:rsidR="006A11D8" w:rsidRPr="006A11D8" w:rsidRDefault="006A11D8" w:rsidP="006A11D8">
            <w:pPr>
              <w:numPr>
                <w:ilvl w:val="0"/>
                <w:numId w:val="16"/>
              </w:numPr>
              <w:contextualSpacing/>
              <w:jc w:val="both"/>
              <w:rPr>
                <w:rFonts w:ascii="Verdana" w:eastAsia="Geomanist Light" w:hAnsi="Verdana" w:cs="Arial"/>
                <w:color w:val="000000"/>
                <w:lang w:val="es-MX"/>
              </w:rPr>
            </w:pPr>
            <w:r w:rsidRPr="006A11D8">
              <w:rPr>
                <w:rFonts w:ascii="Verdana" w:eastAsia="Geomanist Light" w:hAnsi="Verdana" w:cs="Arial"/>
                <w:color w:val="000000"/>
                <w:lang w:val="es-MX"/>
              </w:rPr>
              <w:t>Consejo de Estado. Sala de Consulta y Servicio Civil. Concepto del 30 de abril de 2015. Expediente: 2251. Consejero Ponente: Álvaro Namén Vargas.</w:t>
            </w:r>
          </w:p>
          <w:p w14:paraId="68962DDE" w14:textId="77777777" w:rsidR="006A11D8" w:rsidRPr="006A11D8" w:rsidRDefault="006A11D8" w:rsidP="006A11D8">
            <w:pPr>
              <w:numPr>
                <w:ilvl w:val="0"/>
                <w:numId w:val="16"/>
              </w:numPr>
              <w:contextualSpacing/>
              <w:jc w:val="both"/>
              <w:rPr>
                <w:rFonts w:ascii="Verdana" w:eastAsia="Geomanist Light" w:hAnsi="Verdana" w:cs="Arial"/>
                <w:color w:val="000000"/>
                <w:lang w:val="es-MX"/>
              </w:rPr>
            </w:pPr>
            <w:r w:rsidRPr="006A11D8">
              <w:rPr>
                <w:rFonts w:ascii="Verdana" w:eastAsia="Geomanist Light" w:hAnsi="Verdana" w:cs="Arial"/>
                <w:color w:val="000000"/>
                <w:lang w:val="es-MX"/>
              </w:rPr>
              <w:t>Consejo de Estado. Sala de lo Contencioso Administrativo. Sección Tercera. Subsección A. Sentencia del 24 de junio de 2015. Exp. 40.635. Consejero Ponente: Hernán Andrade Rincón (E).</w:t>
            </w:r>
          </w:p>
          <w:p w14:paraId="646A8340" w14:textId="77777777" w:rsidR="006A11D8" w:rsidRPr="006A11D8" w:rsidRDefault="006A11D8" w:rsidP="006A11D8">
            <w:pPr>
              <w:numPr>
                <w:ilvl w:val="0"/>
                <w:numId w:val="16"/>
              </w:numPr>
              <w:contextualSpacing/>
              <w:jc w:val="both"/>
              <w:rPr>
                <w:rFonts w:ascii="Verdana" w:eastAsia="Geomanist Light" w:hAnsi="Verdana" w:cs="Arial"/>
                <w:color w:val="000000"/>
                <w:lang w:val="es-MX"/>
              </w:rPr>
            </w:pPr>
            <w:r w:rsidRPr="006A11D8">
              <w:rPr>
                <w:rFonts w:ascii="Verdana" w:eastAsia="Geomanist Light" w:hAnsi="Verdana" w:cs="Arial"/>
                <w:color w:val="000000"/>
                <w:lang w:val="es-MX"/>
              </w:rPr>
              <w:t>Consejo de Estado. Sala de lo Contencioso Administrativo. Sección Tercera. Subsección C. Sentencia del 22 de mayo de 2013. Exp. 24.057. Consejera Ponente: Olga Melida Valle De De La Hoz.</w:t>
            </w:r>
          </w:p>
          <w:p w14:paraId="653A13C7" w14:textId="77777777" w:rsidR="006A11D8" w:rsidRPr="006A11D8" w:rsidRDefault="006A11D8" w:rsidP="006A11D8">
            <w:pPr>
              <w:numPr>
                <w:ilvl w:val="0"/>
                <w:numId w:val="16"/>
              </w:numPr>
              <w:contextualSpacing/>
              <w:jc w:val="both"/>
              <w:rPr>
                <w:rFonts w:ascii="Verdana" w:eastAsia="Geomanist Light" w:hAnsi="Verdana" w:cs="Arial"/>
                <w:color w:val="000000"/>
                <w:lang w:val="es-MX"/>
              </w:rPr>
            </w:pPr>
            <w:r w:rsidRPr="006A11D8">
              <w:rPr>
                <w:rFonts w:ascii="Verdana" w:eastAsia="Geomanist Light" w:hAnsi="Verdana" w:cs="Arial"/>
                <w:color w:val="000000"/>
                <w:lang w:val="es-MX"/>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p w14:paraId="001597DB" w14:textId="77777777" w:rsidR="006A11D8" w:rsidRPr="006A11D8" w:rsidRDefault="006A11D8" w:rsidP="006A11D8">
            <w:pPr>
              <w:numPr>
                <w:ilvl w:val="0"/>
                <w:numId w:val="16"/>
              </w:numPr>
              <w:contextualSpacing/>
              <w:jc w:val="both"/>
              <w:rPr>
                <w:rFonts w:ascii="Verdana" w:eastAsia="Geomanist Light" w:hAnsi="Verdana" w:cs="Arial"/>
                <w:color w:val="000000"/>
                <w:lang w:val="es-MX"/>
              </w:rPr>
            </w:pPr>
            <w:r w:rsidRPr="006A11D8">
              <w:rPr>
                <w:rFonts w:ascii="Verdana" w:eastAsia="Geomanist Light" w:hAnsi="Verdana" w:cs="Arial"/>
                <w:color w:val="000000"/>
                <w:lang w:val="es-MX"/>
              </w:rPr>
              <w:t>Superintendencia de Sociedades. Oficio No. 220-087303 del 16 de agosto de 2019.</w:t>
            </w:r>
          </w:p>
        </w:tc>
      </w:tr>
    </w:tbl>
    <w:p w14:paraId="68173BAE" w14:textId="77777777" w:rsidR="006A11D8" w:rsidRPr="006A11D8" w:rsidRDefault="006A11D8" w:rsidP="006A11D8">
      <w:pPr>
        <w:widowControl w:val="0"/>
        <w:autoSpaceDE w:val="0"/>
        <w:autoSpaceDN w:val="0"/>
        <w:spacing w:after="0" w:line="276" w:lineRule="auto"/>
        <w:jc w:val="both"/>
        <w:rPr>
          <w:rFonts w:ascii="Verdana" w:eastAsia="Aptos" w:hAnsi="Verdana" w:cs="Arial"/>
        </w:rPr>
      </w:pPr>
    </w:p>
    <w:p w14:paraId="5E5975AD" w14:textId="77777777" w:rsidR="006A11D8" w:rsidRPr="006A11D8" w:rsidRDefault="006A11D8" w:rsidP="006A11D8">
      <w:pPr>
        <w:widowControl w:val="0"/>
        <w:autoSpaceDE w:val="0"/>
        <w:autoSpaceDN w:val="0"/>
        <w:spacing w:before="1" w:after="0" w:line="276" w:lineRule="auto"/>
        <w:outlineLvl w:val="0"/>
        <w:rPr>
          <w:rFonts w:ascii="Verdana" w:eastAsia="Arial" w:hAnsi="Verdana" w:cs="Arial"/>
          <w:b/>
          <w:bCs/>
          <w:lang w:val="es-ES"/>
        </w:rPr>
      </w:pPr>
      <w:r w:rsidRPr="006A11D8">
        <w:rPr>
          <w:rFonts w:ascii="Verdana" w:eastAsia="Arial" w:hAnsi="Verdana" w:cs="Arial"/>
          <w:b/>
          <w:bCs/>
          <w:lang w:val="es-ES"/>
        </w:rPr>
        <w:t>5. Doctrina de la Agencia Nacional de Contratación Pública:</w:t>
      </w:r>
    </w:p>
    <w:p w14:paraId="2904442B" w14:textId="77777777" w:rsidR="006A11D8" w:rsidRPr="006A11D8" w:rsidRDefault="006A11D8" w:rsidP="006A11D8">
      <w:pPr>
        <w:widowControl w:val="0"/>
        <w:autoSpaceDE w:val="0"/>
        <w:autoSpaceDN w:val="0"/>
        <w:spacing w:after="0" w:line="276" w:lineRule="auto"/>
        <w:jc w:val="both"/>
        <w:rPr>
          <w:rFonts w:ascii="Verdana" w:eastAsia="Aptos" w:hAnsi="Verdana" w:cs="Arial"/>
        </w:rPr>
      </w:pPr>
    </w:p>
    <w:p w14:paraId="23B7E2B1" w14:textId="77777777" w:rsidR="006A11D8" w:rsidRPr="006A11D8" w:rsidRDefault="006A11D8" w:rsidP="006A11D8">
      <w:pPr>
        <w:jc w:val="both"/>
        <w:rPr>
          <w:rFonts w:ascii="Verdana" w:eastAsia="Aptos" w:hAnsi="Verdana" w:cs="Arial"/>
          <w:shd w:val="clear" w:color="auto" w:fill="FFFFFF"/>
          <w:lang w:val="es-ES"/>
        </w:rPr>
      </w:pPr>
      <w:r w:rsidRPr="006A11D8">
        <w:rPr>
          <w:rFonts w:ascii="Verdana" w:eastAsia="Aptos" w:hAnsi="Verdana" w:cs="Arial"/>
          <w:color w:val="000000"/>
          <w:shd w:val="clear" w:color="auto" w:fill="FFFFFF"/>
          <w:lang w:val="es-ES"/>
        </w:rPr>
        <w:t xml:space="preserve">La Agencia Nacional de Contratación Pública – Colombia Compra Eficiente </w:t>
      </w:r>
      <w:r w:rsidRPr="006A11D8">
        <w:rPr>
          <w:rFonts w:ascii="Verdana" w:eastAsia="Calibri" w:hAnsi="Verdana" w:cs="Arial"/>
          <w:lang w:val="es-ES_tradnl" w:eastAsia="es-ES_tradnl"/>
        </w:rPr>
        <w:t>se ha pronunciado sobre el régimen de inhabilidades e incompatibilidades en los conceptos</w:t>
      </w:r>
      <w:r w:rsidRPr="006A11D8">
        <w:rPr>
          <w:rFonts w:ascii="Verdana" w:eastAsia="Calibri" w:hAnsi="Verdana" w:cs="Arial"/>
          <w:lang w:val="es-MX"/>
        </w:rPr>
        <w:t xml:space="preserve">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C-039 del 23 de abril de 2024, </w:t>
      </w:r>
      <w:r w:rsidRPr="006A11D8">
        <w:rPr>
          <w:rFonts w:ascii="Verdana" w:eastAsia="Calibri" w:hAnsi="Verdana" w:cs="Arial"/>
          <w:lang w:val="es-ES" w:eastAsia="es-ES"/>
        </w:rPr>
        <w:t>C-1009 del 03 de agosto de 2025, C-1463 del 20 de noviembre de 2025, entre otros</w:t>
      </w:r>
      <w:r w:rsidRPr="006A11D8">
        <w:rPr>
          <w:rFonts w:ascii="Verdana" w:eastAsia="Aptos" w:hAnsi="Verdana" w:cs="Arial"/>
        </w:rPr>
        <w:t xml:space="preserve">. </w:t>
      </w:r>
      <w:r w:rsidRPr="006A11D8">
        <w:rPr>
          <w:rFonts w:ascii="Verdana" w:eastAsia="Calibri" w:hAnsi="Verdana" w:cs="Arial"/>
          <w:bCs/>
          <w:shd w:val="clear" w:color="auto" w:fill="FFFFFF"/>
          <w:lang w:val="es-ES"/>
        </w:rPr>
        <w:t xml:space="preserve">En tal sentido, recoge los conceptos expuestos, sin perjuicio de otras consideraciones. </w:t>
      </w:r>
      <w:r w:rsidRPr="006A11D8">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6A11D8">
          <w:rPr>
            <w:rFonts w:ascii="Verdana" w:eastAsia="Aptos" w:hAnsi="Verdana" w:cs="Arial"/>
            <w:u w:val="single"/>
            <w:shd w:val="clear" w:color="auto" w:fill="FFFFFF"/>
            <w:lang w:val="es-ES"/>
          </w:rPr>
          <w:t>https://relatoria.colombiacompra.gov.co/</w:t>
        </w:r>
      </w:hyperlink>
      <w:r w:rsidRPr="006A11D8">
        <w:rPr>
          <w:rFonts w:ascii="Verdana" w:eastAsia="Aptos" w:hAnsi="Verdana" w:cs="Arial"/>
          <w:shd w:val="clear" w:color="auto" w:fill="FFFFFF"/>
          <w:lang w:val="es-ES"/>
        </w:rPr>
        <w:t xml:space="preserve">. </w:t>
      </w:r>
    </w:p>
    <w:p w14:paraId="60805533" w14:textId="77777777" w:rsidR="006A11D8" w:rsidRPr="006A11D8" w:rsidRDefault="006A11D8" w:rsidP="006A11D8">
      <w:pPr>
        <w:spacing w:before="120" w:after="120" w:line="276" w:lineRule="auto"/>
        <w:ind w:firstLine="709"/>
        <w:jc w:val="both"/>
        <w:rPr>
          <w:rFonts w:ascii="Verdana" w:eastAsia="Aptos" w:hAnsi="Verdana" w:cs="Times New Roman"/>
        </w:rPr>
      </w:pPr>
      <w:r w:rsidRPr="006A11D8">
        <w:rPr>
          <w:rFonts w:ascii="Verdana" w:eastAsia="Aptos" w:hAnsi="Verdana" w:cs="Times New Roman"/>
        </w:rPr>
        <w:t xml:space="preserve">La sostenibilidad no es una opción, es una obligación. Por ello, la Agencia Nacional de Contratación Pública –Colombia Compra Eficiente– te invita a realizar el </w:t>
      </w:r>
      <w:r w:rsidRPr="006A11D8">
        <w:rPr>
          <w:rFonts w:ascii="Verdana" w:eastAsia="Aptos" w:hAnsi="Verdana" w:cs="Times New Roman"/>
          <w:b/>
          <w:bCs/>
        </w:rPr>
        <w:t>Curso de Contratación Pública Sostenible y Socialmente Responsable</w:t>
      </w:r>
      <w:r w:rsidRPr="006A11D8">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A11D8">
        <w:rPr>
          <w:rFonts w:ascii="Verdana" w:eastAsia="Aptos" w:hAnsi="Verdana" w:cs="Times New Roman"/>
        </w:rPr>
        <w:br/>
      </w:r>
      <w:hyperlink r:id="rId13" w:tgtFrame="_new" w:history="1">
        <w:r w:rsidRPr="006A11D8">
          <w:rPr>
            <w:rFonts w:ascii="Verdana" w:eastAsia="Aptos" w:hAnsi="Verdana" w:cs="Times New Roman"/>
            <w:u w:val="single"/>
          </w:rPr>
          <w:t>https://formacionvirtual.colombiacompra.gov.co/mod/page/view.php?id=3718</w:t>
        </w:r>
      </w:hyperlink>
    </w:p>
    <w:p w14:paraId="36516882" w14:textId="77777777" w:rsidR="006A11D8" w:rsidRPr="006A11D8" w:rsidRDefault="006A11D8" w:rsidP="006A11D8">
      <w:pPr>
        <w:spacing w:line="276" w:lineRule="auto"/>
        <w:ind w:firstLine="708"/>
        <w:jc w:val="both"/>
        <w:rPr>
          <w:rFonts w:ascii="Verdana" w:eastAsia="Aptos" w:hAnsi="Verdana" w:cs="Times New Roman"/>
        </w:rPr>
      </w:pPr>
      <w:r w:rsidRPr="006A11D8">
        <w:rPr>
          <w:rFonts w:ascii="Verdana" w:eastAsia="Aptos" w:hAnsi="Verdana" w:cs="Times New Roman"/>
        </w:rPr>
        <w:t xml:space="preserve">De otro lado, te contamos que esta Agencia ha da un paso decisivo en la estandarización y modernización del </w:t>
      </w:r>
      <w:r w:rsidRPr="006A11D8">
        <w:rPr>
          <w:rFonts w:ascii="Verdana" w:eastAsia="Aptos" w:hAnsi="Verdana" w:cs="Times New Roman"/>
          <w:b/>
          <w:bCs/>
        </w:rPr>
        <w:t>sector  social</w:t>
      </w:r>
      <w:r w:rsidRPr="006A11D8">
        <w:rPr>
          <w:rFonts w:ascii="Verdana" w:eastAsia="Aptos" w:hAnsi="Verdana" w:cs="Times New Roman"/>
        </w:rPr>
        <w:t xml:space="preserve"> con la expedición de las </w:t>
      </w:r>
      <w:r w:rsidRPr="006A11D8">
        <w:rPr>
          <w:rFonts w:ascii="Verdana" w:eastAsia="Aptos" w:hAnsi="Verdana" w:cs="Times New Roman"/>
          <w:b/>
          <w:bCs/>
        </w:rPr>
        <w:t>Resoluciones 539, 540, 541, 952 y 953 de 2025</w:t>
      </w:r>
      <w:r w:rsidRPr="006A11D8">
        <w:rPr>
          <w:rFonts w:ascii="Verdana" w:eastAsia="Aptos" w:hAnsi="Verdana" w:cs="Times New Roman"/>
        </w:rPr>
        <w:t xml:space="preserve">, </w:t>
      </w:r>
      <w:r w:rsidRPr="006A11D8">
        <w:rPr>
          <w:rFonts w:ascii="Verdana" w:eastAsia="Aptos" w:hAnsi="Verdana" w:cs="Times New Roman"/>
          <w:b/>
          <w:bCs/>
        </w:rPr>
        <w:t>mediante las cuales adoptó Documentos Tipo</w:t>
      </w:r>
      <w:r w:rsidRPr="006A11D8">
        <w:rPr>
          <w:rFonts w:ascii="Verdana" w:eastAsia="Aptos" w:hAnsi="Verdana" w:cs="Times New Roman"/>
        </w:rPr>
        <w:t xml:space="preserve"> para las modalidades de selección de</w:t>
      </w:r>
      <w:r w:rsidRPr="006A11D8">
        <w:rPr>
          <w:rFonts w:ascii="Verdana" w:eastAsia="Aptos" w:hAnsi="Verdana" w:cs="Times New Roman"/>
          <w:b/>
          <w:bCs/>
        </w:rPr>
        <w:t xml:space="preserve"> licitación pública (versión 2), selección abreviada de menor cuantía, mínima cuantía, consultoría e interventoría</w:t>
      </w:r>
      <w:r w:rsidRPr="006A11D8">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6A11D8">
          <w:rPr>
            <w:rFonts w:ascii="Verdana" w:eastAsia="Aptos" w:hAnsi="Verdana" w:cs="Times New Roman"/>
            <w:u w:val="single"/>
          </w:rPr>
          <w:t>https://www.colombiacompra.gov.co/normativa-y-relatoria/documentos-tipo</w:t>
        </w:r>
      </w:hyperlink>
    </w:p>
    <w:p w14:paraId="6C231B0A" w14:textId="77777777" w:rsidR="006A11D8" w:rsidRPr="006A11D8" w:rsidRDefault="006A11D8" w:rsidP="006A11D8">
      <w:pPr>
        <w:spacing w:after="0" w:line="276" w:lineRule="auto"/>
        <w:ind w:firstLine="708"/>
        <w:jc w:val="both"/>
        <w:rPr>
          <w:rFonts w:ascii="Verdana" w:eastAsia="Aptos" w:hAnsi="Verdana" w:cs="Times New Roman"/>
        </w:rPr>
      </w:pPr>
      <w:r w:rsidRPr="006A11D8">
        <w:rPr>
          <w:rFonts w:ascii="Verdana" w:eastAsia="Aptos" w:hAnsi="Verdana" w:cs="Times New Roman"/>
        </w:rPr>
        <w:lastRenderedPageBreak/>
        <w:t xml:space="preserve">Si quieres conocer más sobre la aplicación de Documentos Tipo puedes consultar la última versión de la </w:t>
      </w:r>
      <w:r w:rsidRPr="006A11D8">
        <w:rPr>
          <w:rFonts w:ascii="Verdana" w:eastAsia="Aptos" w:hAnsi="Verdana" w:cs="Times New Roman"/>
          <w:b/>
          <w:bCs/>
        </w:rPr>
        <w:t>Guía para la comprensión e implementación de los Documentos Tipo de obra pública de infraestructura de transporte</w:t>
      </w:r>
      <w:r w:rsidRPr="006A11D8">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A11D8">
        <w:rPr>
          <w:rFonts w:ascii="Verdana" w:eastAsia="Aptos" w:hAnsi="Verdana" w:cs="Times New Roman"/>
        </w:rPr>
        <w:br/>
      </w:r>
      <w:hyperlink r:id="rId15" w:tgtFrame="_new" w:history="1">
        <w:r w:rsidRPr="006A11D8">
          <w:rPr>
            <w:rFonts w:ascii="Verdana" w:eastAsia="Aptos" w:hAnsi="Verdana" w:cs="Times New Roman"/>
            <w:u w:val="single"/>
          </w:rPr>
          <w:t>https://www.colombiacompra.gov.co/archivos/manual/guia-para-la-comprension-e-implementacion-de-los-documentos-tipo-de-obra-publica-de-infraestructura-de-transporte-bajo-las-diferentes-modalidades-de-contratacion-vigentes</w:t>
        </w:r>
      </w:hyperlink>
    </w:p>
    <w:p w14:paraId="19D14A58" w14:textId="77777777" w:rsidR="006A11D8" w:rsidRPr="006A11D8" w:rsidRDefault="006A11D8" w:rsidP="006A11D8">
      <w:pPr>
        <w:spacing w:before="120" w:after="0" w:line="276" w:lineRule="auto"/>
        <w:ind w:firstLine="708"/>
        <w:jc w:val="both"/>
        <w:rPr>
          <w:rFonts w:ascii="Verdana" w:eastAsia="Aptos" w:hAnsi="Verdana" w:cs="Times New Roman"/>
        </w:rPr>
      </w:pPr>
      <w:r w:rsidRPr="006A11D8">
        <w:rPr>
          <w:rFonts w:ascii="Verdana" w:eastAsia="Aptos" w:hAnsi="Verdana" w:cs="Times New Roman"/>
        </w:rPr>
        <w:t xml:space="preserve">Por último, lo invitamos a seguirnos en las redes sociales en las cuales se difunde información institucional: </w:t>
      </w:r>
    </w:p>
    <w:p w14:paraId="0D1DC140" w14:textId="77777777" w:rsidR="006A11D8" w:rsidRPr="006A11D8" w:rsidRDefault="006A11D8" w:rsidP="006A11D8">
      <w:pPr>
        <w:spacing w:after="0" w:line="276" w:lineRule="auto"/>
        <w:jc w:val="both"/>
        <w:rPr>
          <w:rFonts w:ascii="Verdana" w:eastAsia="Aptos" w:hAnsi="Verdana" w:cs="Times New Roman"/>
        </w:rPr>
      </w:pPr>
    </w:p>
    <w:p w14:paraId="498B7F54" w14:textId="77777777" w:rsidR="006A11D8" w:rsidRPr="006A11D8" w:rsidRDefault="006A11D8" w:rsidP="006A11D8">
      <w:pPr>
        <w:spacing w:after="0" w:line="276" w:lineRule="auto"/>
        <w:jc w:val="both"/>
        <w:rPr>
          <w:rFonts w:ascii="Verdana" w:eastAsia="Aptos" w:hAnsi="Verdana" w:cs="Times New Roman"/>
        </w:rPr>
      </w:pPr>
      <w:r w:rsidRPr="006A11D8">
        <w:rPr>
          <w:rFonts w:ascii="Verdana" w:eastAsia="Aptos" w:hAnsi="Verdana" w:cs="Times New Roman"/>
        </w:rPr>
        <w:t xml:space="preserve">Twitter: </w:t>
      </w:r>
      <w:r w:rsidRPr="006A11D8">
        <w:rPr>
          <w:rFonts w:ascii="Verdana" w:eastAsia="Aptos" w:hAnsi="Verdana" w:cs="Arial"/>
          <w:u w:val="single"/>
          <w:shd w:val="clear" w:color="auto" w:fill="FFFFFF"/>
          <w:lang w:val="es-ES"/>
        </w:rPr>
        <w:t>@colombiacompra</w:t>
      </w:r>
      <w:r w:rsidRPr="006A11D8">
        <w:rPr>
          <w:rFonts w:ascii="Verdana" w:eastAsia="Aptos" w:hAnsi="Verdana" w:cs="Times New Roman"/>
        </w:rPr>
        <w:t xml:space="preserve"> </w:t>
      </w:r>
    </w:p>
    <w:p w14:paraId="07A09382" w14:textId="77777777" w:rsidR="006A11D8" w:rsidRPr="006A11D8" w:rsidRDefault="006A11D8" w:rsidP="006A11D8">
      <w:pPr>
        <w:spacing w:after="0" w:line="276" w:lineRule="auto"/>
        <w:jc w:val="both"/>
        <w:rPr>
          <w:rFonts w:ascii="Verdana" w:eastAsia="Aptos" w:hAnsi="Verdana" w:cs="Times New Roman"/>
        </w:rPr>
      </w:pPr>
      <w:r w:rsidRPr="006A11D8">
        <w:rPr>
          <w:rFonts w:ascii="Verdana" w:eastAsia="Aptos" w:hAnsi="Verdana" w:cs="Times New Roman"/>
        </w:rPr>
        <w:t xml:space="preserve">Facebook: </w:t>
      </w:r>
      <w:r w:rsidRPr="006A11D8">
        <w:rPr>
          <w:rFonts w:ascii="Verdana" w:eastAsia="Aptos" w:hAnsi="Verdana" w:cs="Arial"/>
          <w:u w:val="single"/>
          <w:shd w:val="clear" w:color="auto" w:fill="FFFFFF"/>
          <w:lang w:val="es-ES"/>
        </w:rPr>
        <w:t>ColombiaCompraEficiente</w:t>
      </w:r>
    </w:p>
    <w:p w14:paraId="36479B79" w14:textId="77777777" w:rsidR="006A11D8" w:rsidRPr="006A11D8" w:rsidRDefault="006A11D8" w:rsidP="006A11D8">
      <w:pPr>
        <w:spacing w:after="0" w:line="276" w:lineRule="auto"/>
        <w:jc w:val="both"/>
        <w:rPr>
          <w:rFonts w:ascii="Verdana" w:eastAsia="Aptos" w:hAnsi="Verdana" w:cs="Times New Roman"/>
        </w:rPr>
      </w:pPr>
      <w:r w:rsidRPr="006A11D8">
        <w:rPr>
          <w:rFonts w:ascii="Verdana" w:eastAsia="Aptos" w:hAnsi="Verdana" w:cs="Times New Roman"/>
        </w:rPr>
        <w:t xml:space="preserve">LinkedIn: </w:t>
      </w:r>
      <w:r w:rsidRPr="006A11D8">
        <w:rPr>
          <w:rFonts w:ascii="Verdana" w:eastAsia="Aptos" w:hAnsi="Verdana" w:cs="Arial"/>
          <w:u w:val="single"/>
          <w:shd w:val="clear" w:color="auto" w:fill="FFFFFF"/>
          <w:lang w:val="es-ES"/>
        </w:rPr>
        <w:t>Agencia Nacional de Contratación Pública - Colombia Compra Eficiente</w:t>
      </w:r>
      <w:r w:rsidRPr="006A11D8">
        <w:rPr>
          <w:rFonts w:ascii="Verdana" w:eastAsia="Aptos" w:hAnsi="Verdana" w:cs="Times New Roman"/>
        </w:rPr>
        <w:t xml:space="preserve"> Instagram: </w:t>
      </w:r>
      <w:r w:rsidRPr="006A11D8">
        <w:rPr>
          <w:rFonts w:ascii="Verdana" w:eastAsia="Aptos" w:hAnsi="Verdana" w:cs="Arial"/>
          <w:u w:val="single"/>
          <w:shd w:val="clear" w:color="auto" w:fill="FFFFFF"/>
          <w:lang w:val="es-ES"/>
        </w:rPr>
        <w:t>@colombiacompraeficiente_cce</w:t>
      </w:r>
    </w:p>
    <w:p w14:paraId="7424421A" w14:textId="77777777" w:rsidR="006A11D8" w:rsidRPr="006A11D8" w:rsidRDefault="006A11D8" w:rsidP="006A11D8">
      <w:pPr>
        <w:widowControl w:val="0"/>
        <w:autoSpaceDE w:val="0"/>
        <w:autoSpaceDN w:val="0"/>
        <w:spacing w:after="0" w:line="276" w:lineRule="auto"/>
        <w:jc w:val="both"/>
        <w:rPr>
          <w:rFonts w:ascii="Verdana" w:eastAsia="Aptos" w:hAnsi="Verdana" w:cs="Arial"/>
        </w:rPr>
      </w:pPr>
    </w:p>
    <w:p w14:paraId="2E08D4C9" w14:textId="77777777" w:rsidR="006A11D8" w:rsidRPr="006A11D8" w:rsidRDefault="006A11D8" w:rsidP="006A11D8">
      <w:pPr>
        <w:widowControl w:val="0"/>
        <w:autoSpaceDE w:val="0"/>
        <w:autoSpaceDN w:val="0"/>
        <w:spacing w:after="0" w:line="276" w:lineRule="auto"/>
        <w:jc w:val="both"/>
        <w:rPr>
          <w:rFonts w:ascii="Verdana" w:eastAsia="Aptos" w:hAnsi="Verdana" w:cs="Arial"/>
          <w:lang w:val="es-ES_tradnl"/>
        </w:rPr>
      </w:pPr>
      <w:r w:rsidRPr="006A11D8">
        <w:rPr>
          <w:rFonts w:ascii="Verdana" w:eastAsia="Aptos" w:hAnsi="Verdana" w:cs="Arial"/>
        </w:rPr>
        <w:t xml:space="preserve">Este concepto tiene el alcance previsto en el artículo 28 del Código de Procedimiento Administrativo y de lo Contencioso Administrativo </w:t>
      </w:r>
      <w:r w:rsidRPr="006A11D8">
        <w:rPr>
          <w:rFonts w:ascii="Verdana" w:eastAsia="Aptos" w:hAnsi="Verdana" w:cs="Arial"/>
          <w:lang w:val="es-ES_tradnl"/>
        </w:rPr>
        <w:t>y las expresiones aquí utilizadas con mayúscula inicial deben ser entendidas con el significado que les otorga el artículo 2.2.1.1.1.3.1. del Decreto 1082 de 2015.</w:t>
      </w:r>
    </w:p>
    <w:p w14:paraId="23D7E7E1" w14:textId="77777777" w:rsidR="006A11D8" w:rsidRPr="006A11D8" w:rsidRDefault="006A11D8" w:rsidP="006A11D8">
      <w:pPr>
        <w:widowControl w:val="0"/>
        <w:autoSpaceDE w:val="0"/>
        <w:autoSpaceDN w:val="0"/>
        <w:spacing w:after="0" w:line="276" w:lineRule="auto"/>
        <w:jc w:val="both"/>
        <w:rPr>
          <w:rFonts w:ascii="Verdana" w:eastAsia="Aptos" w:hAnsi="Verdana" w:cs="Arial"/>
        </w:rPr>
      </w:pPr>
    </w:p>
    <w:p w14:paraId="2CE779CE" w14:textId="77777777" w:rsidR="006A11D8" w:rsidRPr="006A11D8" w:rsidRDefault="006A11D8" w:rsidP="006A11D8">
      <w:pPr>
        <w:spacing w:after="0" w:line="276" w:lineRule="auto"/>
        <w:rPr>
          <w:rFonts w:ascii="Verdana" w:eastAsia="Aptos" w:hAnsi="Verdana" w:cs="Arial"/>
          <w:lang w:eastAsia="es-CO"/>
        </w:rPr>
      </w:pPr>
      <w:r w:rsidRPr="006A11D8">
        <w:rPr>
          <w:rFonts w:ascii="Verdana" w:eastAsia="Times New Roman" w:hAnsi="Verdana" w:cs="Arial"/>
          <w:lang w:eastAsia="es-CO"/>
        </w:rPr>
        <w:t>Atentamente,</w:t>
      </w:r>
      <w:r w:rsidRPr="006A11D8">
        <w:rPr>
          <w:rFonts w:ascii="Verdana" w:eastAsia="Aptos" w:hAnsi="Verdana" w:cs="Arial"/>
          <w:lang w:eastAsia="es-CO"/>
        </w:rPr>
        <w:t xml:space="preserve"> </w:t>
      </w:r>
    </w:p>
    <w:p w14:paraId="4738B039" w14:textId="77777777" w:rsidR="006A11D8" w:rsidRPr="006A11D8" w:rsidRDefault="006A11D8" w:rsidP="006A11D8">
      <w:pPr>
        <w:spacing w:after="0" w:line="276" w:lineRule="auto"/>
        <w:jc w:val="center"/>
        <w:rPr>
          <w:rFonts w:ascii="Verdana" w:eastAsia="Aptos" w:hAnsi="Verdana" w:cs="Arial"/>
          <w:lang w:val="es-ES_tradnl" w:eastAsia="es-CO"/>
        </w:rPr>
      </w:pPr>
    </w:p>
    <w:p w14:paraId="64CD531F" w14:textId="3C908AB4" w:rsidR="006A11D8" w:rsidRPr="006A11D8" w:rsidRDefault="00B85571" w:rsidP="006A11D8">
      <w:pPr>
        <w:spacing w:after="0" w:line="276" w:lineRule="auto"/>
        <w:jc w:val="center"/>
        <w:rPr>
          <w:rFonts w:ascii="Verdana" w:eastAsia="Aptos" w:hAnsi="Verdana" w:cs="Arial"/>
          <w:lang w:val="es-ES_tradnl" w:eastAsia="es-CO"/>
        </w:rPr>
      </w:pPr>
      <w:r>
        <w:rPr>
          <w:noProof/>
        </w:rPr>
        <w:drawing>
          <wp:inline distT="0" distB="0" distL="0" distR="0" wp14:anchorId="1025F3CF" wp14:editId="1B070C91">
            <wp:extent cx="3257550" cy="1390650"/>
            <wp:effectExtent l="0" t="0" r="0" b="0"/>
            <wp:docPr id="160631609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o&#10;&#10;El contenido generado por IA puede ser incorrect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57550" cy="1390650"/>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6A11D8" w:rsidRPr="006A11D8" w14:paraId="028AACFD" w14:textId="77777777" w:rsidTr="00896634">
        <w:trPr>
          <w:trHeight w:val="286"/>
        </w:trPr>
        <w:tc>
          <w:tcPr>
            <w:tcW w:w="901" w:type="dxa"/>
            <w:vAlign w:val="center"/>
            <w:hideMark/>
          </w:tcPr>
          <w:p w14:paraId="33FAB2FD" w14:textId="77777777" w:rsidR="006A11D8" w:rsidRPr="006A11D8" w:rsidRDefault="006A11D8" w:rsidP="006A11D8">
            <w:pPr>
              <w:rPr>
                <w:rFonts w:ascii="Verdana" w:eastAsia="Aptos" w:hAnsi="Verdana" w:cs="Arial"/>
                <w:sz w:val="14"/>
                <w:szCs w:val="14"/>
                <w:lang w:eastAsia="es-ES"/>
              </w:rPr>
            </w:pPr>
            <w:r w:rsidRPr="006A11D8">
              <w:rPr>
                <w:rFonts w:ascii="Verdana" w:eastAsia="Aptos" w:hAnsi="Verdana" w:cs="Arial"/>
                <w:sz w:val="14"/>
                <w:szCs w:val="14"/>
                <w:lang w:eastAsia="es-ES"/>
              </w:rPr>
              <w:lastRenderedPageBreak/>
              <w:t>Elaboró:</w:t>
            </w:r>
          </w:p>
        </w:tc>
        <w:tc>
          <w:tcPr>
            <w:tcW w:w="4344" w:type="dxa"/>
            <w:tcBorders>
              <w:top w:val="nil"/>
              <w:left w:val="nil"/>
              <w:bottom w:val="dotted" w:sz="4" w:space="0" w:color="7F7F7F"/>
              <w:right w:val="nil"/>
            </w:tcBorders>
            <w:vAlign w:val="center"/>
            <w:hideMark/>
          </w:tcPr>
          <w:p w14:paraId="33B16EE0" w14:textId="77777777" w:rsidR="006A11D8" w:rsidRPr="006A11D8" w:rsidRDefault="006A11D8" w:rsidP="006A11D8">
            <w:pPr>
              <w:rPr>
                <w:rFonts w:ascii="Verdana" w:eastAsia="Aptos" w:hAnsi="Verdana" w:cs="Arial"/>
                <w:sz w:val="14"/>
                <w:szCs w:val="14"/>
                <w:lang w:eastAsia="es-ES"/>
              </w:rPr>
            </w:pPr>
            <w:r w:rsidRPr="006A11D8">
              <w:rPr>
                <w:rFonts w:ascii="Verdana" w:eastAsia="Aptos" w:hAnsi="Verdana" w:cs="Arial"/>
                <w:sz w:val="14"/>
                <w:szCs w:val="14"/>
                <w:lang w:eastAsia="es-ES"/>
              </w:rPr>
              <w:t>Nasly Yeana Mosquera Rivas</w:t>
            </w:r>
          </w:p>
          <w:p w14:paraId="38F74E7C" w14:textId="77777777" w:rsidR="006A11D8" w:rsidRPr="006A11D8" w:rsidRDefault="006A11D8" w:rsidP="006A11D8">
            <w:pPr>
              <w:rPr>
                <w:rFonts w:ascii="Verdana" w:eastAsia="Aptos" w:hAnsi="Verdana" w:cs="Arial"/>
                <w:sz w:val="14"/>
                <w:szCs w:val="14"/>
                <w:lang w:eastAsia="es-ES"/>
              </w:rPr>
            </w:pPr>
            <w:r w:rsidRPr="006A11D8">
              <w:rPr>
                <w:rFonts w:ascii="Verdana" w:eastAsia="Aptos" w:hAnsi="Verdana" w:cs="Arial"/>
                <w:sz w:val="14"/>
                <w:szCs w:val="14"/>
                <w:lang w:eastAsia="es-ES"/>
              </w:rPr>
              <w:t>Analista T2–06 de la Subdirección de Gestión Contractual</w:t>
            </w:r>
          </w:p>
        </w:tc>
      </w:tr>
      <w:tr w:rsidR="006A11D8" w:rsidRPr="006A11D8" w14:paraId="1FBC7A9D" w14:textId="77777777" w:rsidTr="00896634">
        <w:trPr>
          <w:trHeight w:val="299"/>
        </w:trPr>
        <w:tc>
          <w:tcPr>
            <w:tcW w:w="901" w:type="dxa"/>
            <w:vAlign w:val="center"/>
          </w:tcPr>
          <w:p w14:paraId="1D1B1365" w14:textId="77777777" w:rsidR="006A11D8" w:rsidRPr="006A11D8" w:rsidRDefault="006A11D8" w:rsidP="006A11D8">
            <w:pPr>
              <w:rPr>
                <w:rFonts w:ascii="Verdana" w:eastAsia="Aptos" w:hAnsi="Verdana" w:cs="Arial"/>
                <w:sz w:val="14"/>
                <w:szCs w:val="14"/>
                <w:lang w:eastAsia="es-ES"/>
              </w:rPr>
            </w:pPr>
            <w:r w:rsidRPr="006A11D8">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32C3C6FC" w14:textId="77777777" w:rsidR="006A11D8" w:rsidRPr="006A11D8" w:rsidRDefault="006A11D8" w:rsidP="006A11D8">
            <w:pPr>
              <w:rPr>
                <w:rFonts w:ascii="Verdana" w:eastAsia="Aptos" w:hAnsi="Verdana" w:cs="Arial"/>
                <w:sz w:val="14"/>
                <w:szCs w:val="14"/>
                <w:lang w:eastAsia="es-ES"/>
              </w:rPr>
            </w:pPr>
            <w:r w:rsidRPr="006A11D8">
              <w:rPr>
                <w:rFonts w:ascii="Verdana" w:eastAsia="Aptos" w:hAnsi="Verdana" w:cs="Arial"/>
                <w:sz w:val="14"/>
                <w:szCs w:val="14"/>
                <w:lang w:eastAsia="es-ES"/>
              </w:rPr>
              <w:t>Juan David Cárdenas Cabeza</w:t>
            </w:r>
          </w:p>
          <w:p w14:paraId="1BB5925B" w14:textId="77777777" w:rsidR="006A11D8" w:rsidRPr="006A11D8" w:rsidRDefault="006A11D8" w:rsidP="006A11D8">
            <w:pPr>
              <w:rPr>
                <w:rFonts w:ascii="Verdana" w:eastAsia="Aptos" w:hAnsi="Verdana" w:cs="Arial"/>
                <w:sz w:val="14"/>
                <w:szCs w:val="14"/>
                <w:lang w:eastAsia="es-ES"/>
              </w:rPr>
            </w:pPr>
            <w:r w:rsidRPr="006A11D8">
              <w:rPr>
                <w:rFonts w:ascii="Verdana" w:eastAsia="Aptos" w:hAnsi="Verdana" w:cs="Arial"/>
                <w:sz w:val="14"/>
                <w:szCs w:val="14"/>
                <w:lang w:eastAsia="es-ES"/>
              </w:rPr>
              <w:t>Contratista de la Subdirección de Gestión Contractual</w:t>
            </w:r>
          </w:p>
        </w:tc>
      </w:tr>
      <w:tr w:rsidR="006A11D8" w:rsidRPr="006A11D8" w14:paraId="043B01F6" w14:textId="77777777" w:rsidTr="00896634">
        <w:trPr>
          <w:trHeight w:val="272"/>
        </w:trPr>
        <w:tc>
          <w:tcPr>
            <w:tcW w:w="901" w:type="dxa"/>
            <w:vAlign w:val="center"/>
            <w:hideMark/>
          </w:tcPr>
          <w:p w14:paraId="1CB88C70" w14:textId="77777777" w:rsidR="006A11D8" w:rsidRPr="006A11D8" w:rsidRDefault="006A11D8" w:rsidP="006A11D8">
            <w:pPr>
              <w:rPr>
                <w:rFonts w:ascii="Verdana" w:eastAsia="Aptos" w:hAnsi="Verdana" w:cs="Arial"/>
                <w:sz w:val="14"/>
                <w:szCs w:val="14"/>
                <w:lang w:eastAsia="es-ES"/>
              </w:rPr>
            </w:pPr>
            <w:r w:rsidRPr="006A11D8">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6EF06F63" w14:textId="77777777" w:rsidR="006A11D8" w:rsidRPr="006A11D8" w:rsidRDefault="006A11D8" w:rsidP="006A11D8">
            <w:pPr>
              <w:rPr>
                <w:rFonts w:ascii="Verdana" w:eastAsia="Aptos" w:hAnsi="Verdana" w:cs="Arial"/>
                <w:sz w:val="14"/>
                <w:szCs w:val="14"/>
                <w:lang w:eastAsia="es-ES"/>
              </w:rPr>
            </w:pPr>
            <w:r w:rsidRPr="006A11D8">
              <w:rPr>
                <w:rFonts w:ascii="Verdana" w:eastAsia="Aptos" w:hAnsi="Verdana" w:cs="Arial"/>
                <w:sz w:val="14"/>
                <w:szCs w:val="14"/>
                <w:lang w:eastAsia="es-ES"/>
              </w:rPr>
              <w:t>Carolina Quintero Gacharná</w:t>
            </w:r>
          </w:p>
          <w:p w14:paraId="18EE2CD7" w14:textId="77777777" w:rsidR="006A11D8" w:rsidRPr="006A11D8" w:rsidRDefault="006A11D8" w:rsidP="006A11D8">
            <w:pPr>
              <w:rPr>
                <w:rFonts w:ascii="Verdana" w:eastAsia="Aptos" w:hAnsi="Verdana" w:cs="Arial"/>
                <w:sz w:val="14"/>
                <w:szCs w:val="14"/>
                <w:lang w:eastAsia="es-ES"/>
              </w:rPr>
            </w:pPr>
            <w:r w:rsidRPr="006A11D8">
              <w:rPr>
                <w:rFonts w:ascii="Verdana" w:eastAsia="Aptos" w:hAnsi="Verdana" w:cs="Arial"/>
                <w:sz w:val="14"/>
                <w:szCs w:val="14"/>
                <w:lang w:eastAsia="es-ES"/>
              </w:rPr>
              <w:t>Subdirectora de Gestión Contractual ANCP – CCE</w:t>
            </w:r>
          </w:p>
        </w:tc>
      </w:tr>
    </w:tbl>
    <w:p w14:paraId="66C6E347" w14:textId="77777777" w:rsidR="006A11D8" w:rsidRPr="006A11D8" w:rsidRDefault="006A11D8" w:rsidP="006A11D8">
      <w:pPr>
        <w:spacing w:after="0" w:line="240" w:lineRule="auto"/>
        <w:rPr>
          <w:rFonts w:ascii="Verdana" w:eastAsia="Times New Roman" w:hAnsi="Verdana" w:cs="Arial"/>
          <w:sz w:val="24"/>
          <w:szCs w:val="24"/>
          <w:lang w:eastAsia="es-ES"/>
        </w:rPr>
      </w:pPr>
    </w:p>
    <w:p w14:paraId="7709FB5F" w14:textId="77777777" w:rsidR="006A11D8" w:rsidRPr="006A11D8" w:rsidRDefault="006A11D8" w:rsidP="006A11D8">
      <w:pPr>
        <w:rPr>
          <w:rFonts w:ascii="Verdana" w:eastAsia="Aptos" w:hAnsi="Verdana" w:cs="Times New Roman"/>
        </w:rPr>
      </w:pPr>
    </w:p>
    <w:p w14:paraId="54FD70E2" w14:textId="77777777" w:rsidR="006A11D8" w:rsidRPr="006A11D8" w:rsidRDefault="006A11D8" w:rsidP="006A11D8">
      <w:pPr>
        <w:rPr>
          <w:rFonts w:ascii="Verdana" w:eastAsia="Aptos" w:hAnsi="Verdana" w:cs="Arial"/>
        </w:rPr>
      </w:pPr>
    </w:p>
    <w:p w14:paraId="69BC4D14" w14:textId="4FAB3D3B" w:rsidR="00C15139" w:rsidRPr="00B85571" w:rsidRDefault="00C15139" w:rsidP="30821638">
      <w:pPr>
        <w:spacing w:after="0" w:line="240" w:lineRule="auto"/>
        <w:textAlignment w:val="baseline"/>
        <w:rPr>
          <w:rFonts w:ascii="Verdana" w:eastAsia="Aptos" w:hAnsi="Verdana" w:cs="Arial"/>
        </w:rPr>
      </w:pPr>
      <w:r w:rsidRPr="30821638">
        <w:rPr>
          <w:rFonts w:ascii="Verdana" w:eastAsia="Verdana" w:hAnsi="Verdana" w:cs="Verdana"/>
          <w:lang w:eastAsia="es-CO"/>
        </w:rPr>
        <w:t> </w:t>
      </w:r>
      <w:bookmarkEnd w:id="0"/>
    </w:p>
    <w:sectPr w:rsidR="00C15139" w:rsidRPr="00B85571"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E8466B" w14:textId="77777777" w:rsidR="000D2F37" w:rsidRDefault="000D2F37" w:rsidP="004A1847">
      <w:pPr>
        <w:spacing w:after="0" w:line="240" w:lineRule="auto"/>
      </w:pPr>
      <w:r>
        <w:separator/>
      </w:r>
    </w:p>
  </w:endnote>
  <w:endnote w:type="continuationSeparator" w:id="0">
    <w:p w14:paraId="1F9611F4" w14:textId="77777777" w:rsidR="000D2F37" w:rsidRDefault="000D2F3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6A11D8">
      <w:rPr>
        <w:rFonts w:ascii="Verdana" w:eastAsia="Verdana" w:hAnsi="Verdana" w:cs="Verdana"/>
        <w:b/>
        <w:bCs/>
        <w:color w:val="000000"/>
        <w:sz w:val="18"/>
        <w:szCs w:val="18"/>
        <w:lang w:eastAsia="es-CO"/>
      </w:rPr>
      <w:t xml:space="preserve">Código: </w:t>
    </w:r>
    <w:r w:rsidRPr="006A11D8">
      <w:rPr>
        <w:rFonts w:ascii="Verdana" w:eastAsia="Verdana" w:hAnsi="Verdana" w:cs="Verdana"/>
        <w:color w:val="000000"/>
        <w:sz w:val="18"/>
        <w:szCs w:val="18"/>
        <w:lang w:eastAsia="es-CO"/>
      </w:rPr>
      <w:t xml:space="preserve">CCE-REC-FM-17 </w:t>
    </w:r>
    <w:r w:rsidRPr="006A11D8">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14385D" w14:textId="77777777" w:rsidR="000D2F37" w:rsidRDefault="000D2F37" w:rsidP="004A1847">
      <w:pPr>
        <w:spacing w:after="0" w:line="240" w:lineRule="auto"/>
      </w:pPr>
      <w:r>
        <w:separator/>
      </w:r>
    </w:p>
  </w:footnote>
  <w:footnote w:type="continuationSeparator" w:id="0">
    <w:p w14:paraId="4EFD58B8" w14:textId="77777777" w:rsidR="000D2F37" w:rsidRDefault="000D2F37" w:rsidP="004A1847">
      <w:pPr>
        <w:spacing w:after="0" w:line="240" w:lineRule="auto"/>
      </w:pPr>
      <w:r>
        <w:continuationSeparator/>
      </w:r>
    </w:p>
  </w:footnote>
  <w:footnote w:id="1">
    <w:p w14:paraId="3D49EC90" w14:textId="77777777" w:rsidR="006A11D8" w:rsidRPr="006A11D8" w:rsidRDefault="006A11D8" w:rsidP="006A11D8">
      <w:pPr>
        <w:pStyle w:val="Textonotapie"/>
        <w:ind w:firstLine="709"/>
        <w:jc w:val="both"/>
        <w:rPr>
          <w:rFonts w:ascii="Verdana" w:hAnsi="Verdana" w:cs="Arial"/>
          <w:color w:val="000000"/>
          <w:sz w:val="16"/>
          <w:szCs w:val="16"/>
        </w:rPr>
      </w:pPr>
      <w:r w:rsidRPr="006A11D8">
        <w:rPr>
          <w:rStyle w:val="Refdenotaalpie"/>
          <w:rFonts w:ascii="Verdana" w:hAnsi="Verdana" w:cs="Arial"/>
          <w:color w:val="000000"/>
          <w:sz w:val="16"/>
          <w:szCs w:val="16"/>
        </w:rPr>
        <w:footnoteRef/>
      </w:r>
      <w:r w:rsidRPr="006A11D8">
        <w:rPr>
          <w:rFonts w:ascii="Verdana" w:hAnsi="Verdana" w:cs="Arial"/>
          <w:color w:val="000000"/>
          <w:sz w:val="16"/>
          <w:szCs w:val="16"/>
        </w:rPr>
        <w:t xml:space="preserve"> El artículo 1502 del Código Civil prevé la capacidad legal como requisito para obligarse contractualmente, en los siguientes términos: “Para que una persona se obligue a otra por un acto o declaración de voluntad, es necesario:</w:t>
      </w:r>
    </w:p>
    <w:p w14:paraId="580519F7" w14:textId="77777777" w:rsidR="006A11D8" w:rsidRPr="006A11D8" w:rsidRDefault="006A11D8" w:rsidP="006A11D8">
      <w:pPr>
        <w:pStyle w:val="Textonotapie"/>
        <w:ind w:firstLine="709"/>
        <w:jc w:val="both"/>
        <w:rPr>
          <w:rFonts w:ascii="Verdana" w:hAnsi="Verdana" w:cs="Arial"/>
          <w:color w:val="000000"/>
          <w:sz w:val="16"/>
          <w:szCs w:val="16"/>
        </w:rPr>
      </w:pPr>
      <w:r w:rsidRPr="006A11D8">
        <w:rPr>
          <w:rFonts w:ascii="Verdana" w:hAnsi="Verdana" w:cs="Arial"/>
          <w:color w:val="000000"/>
          <w:sz w:val="16"/>
          <w:szCs w:val="16"/>
        </w:rPr>
        <w:t>1o.) que sea legalmente capaz.</w:t>
      </w:r>
    </w:p>
    <w:p w14:paraId="56C207C6" w14:textId="77777777" w:rsidR="006A11D8" w:rsidRPr="006A11D8" w:rsidRDefault="006A11D8" w:rsidP="006A11D8">
      <w:pPr>
        <w:pStyle w:val="Textonotapie"/>
        <w:ind w:firstLine="709"/>
        <w:jc w:val="both"/>
        <w:rPr>
          <w:rFonts w:ascii="Verdana" w:hAnsi="Verdana" w:cs="Arial"/>
          <w:color w:val="000000"/>
          <w:sz w:val="16"/>
          <w:szCs w:val="16"/>
        </w:rPr>
      </w:pPr>
      <w:r w:rsidRPr="006A11D8">
        <w:rPr>
          <w:rFonts w:ascii="Verdana" w:hAnsi="Verdana" w:cs="Arial"/>
          <w:color w:val="000000"/>
          <w:sz w:val="16"/>
          <w:szCs w:val="16"/>
        </w:rPr>
        <w:t>[…]</w:t>
      </w:r>
    </w:p>
    <w:p w14:paraId="6CB1181C" w14:textId="77777777" w:rsidR="006A11D8" w:rsidRPr="006A11D8" w:rsidRDefault="006A11D8" w:rsidP="006A11D8">
      <w:pPr>
        <w:pStyle w:val="Textonotapie"/>
        <w:ind w:firstLine="709"/>
        <w:jc w:val="both"/>
        <w:rPr>
          <w:rFonts w:ascii="Verdana" w:hAnsi="Verdana" w:cs="Arial"/>
          <w:color w:val="000000"/>
          <w:sz w:val="16"/>
          <w:szCs w:val="16"/>
        </w:rPr>
      </w:pPr>
      <w:r w:rsidRPr="006A11D8">
        <w:rPr>
          <w:rFonts w:ascii="Verdana" w:hAnsi="Verdana" w:cs="Arial"/>
          <w:color w:val="000000"/>
          <w:sz w:val="16"/>
          <w:szCs w:val="16"/>
        </w:rPr>
        <w:t>La capacidad legal de una persona consiste en poderse obligar por sí misma, sin el ministerio o la autorización de otra”.</w:t>
      </w:r>
    </w:p>
  </w:footnote>
  <w:footnote w:id="2">
    <w:p w14:paraId="60F6DA90" w14:textId="77777777" w:rsidR="006A11D8" w:rsidRPr="006A11D8" w:rsidRDefault="006A11D8" w:rsidP="006A11D8">
      <w:pPr>
        <w:pStyle w:val="Textonotapie"/>
        <w:jc w:val="both"/>
        <w:rPr>
          <w:rFonts w:ascii="Verdana" w:hAnsi="Verdana" w:cs="Arial"/>
          <w:color w:val="000000"/>
          <w:sz w:val="16"/>
          <w:szCs w:val="16"/>
          <w:lang w:val="es-ES"/>
        </w:rPr>
      </w:pPr>
    </w:p>
  </w:footnote>
  <w:footnote w:id="3">
    <w:p w14:paraId="792BB1D5" w14:textId="77777777" w:rsidR="006A11D8" w:rsidRPr="006A11D8" w:rsidRDefault="006A11D8" w:rsidP="006A11D8">
      <w:pPr>
        <w:spacing w:after="0" w:line="240" w:lineRule="auto"/>
        <w:ind w:firstLine="709"/>
        <w:jc w:val="both"/>
        <w:rPr>
          <w:rFonts w:ascii="Verdana" w:hAnsi="Verdana" w:cs="Arial"/>
          <w:color w:val="000000"/>
          <w:sz w:val="16"/>
          <w:szCs w:val="16"/>
          <w:lang w:val="es-ES"/>
        </w:rPr>
      </w:pPr>
      <w:r w:rsidRPr="006A11D8">
        <w:rPr>
          <w:rStyle w:val="Refdenotaalpie"/>
          <w:rFonts w:ascii="Verdana" w:hAnsi="Verdana" w:cs="Arial"/>
          <w:color w:val="000000"/>
          <w:sz w:val="16"/>
          <w:szCs w:val="16"/>
        </w:rPr>
        <w:footnoteRef/>
      </w:r>
      <w:r w:rsidRPr="006A11D8">
        <w:rPr>
          <w:rFonts w:ascii="Verdana" w:hAnsi="Verdana" w:cs="Arial"/>
          <w:color w:val="000000"/>
          <w:sz w:val="16"/>
          <w:szCs w:val="16"/>
        </w:rPr>
        <w:t xml:space="preserve"> </w:t>
      </w:r>
      <w:r w:rsidRPr="006A11D8">
        <w:rPr>
          <w:rFonts w:ascii="Verdana" w:hAnsi="Verdana" w:cs="Arial"/>
          <w:color w:val="000000"/>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1C522B52" w14:textId="77777777" w:rsidR="006A11D8" w:rsidRPr="006A11D8" w:rsidRDefault="006A11D8" w:rsidP="006A11D8">
      <w:pPr>
        <w:spacing w:after="0" w:line="240" w:lineRule="auto"/>
        <w:ind w:firstLine="709"/>
        <w:jc w:val="both"/>
        <w:rPr>
          <w:rFonts w:ascii="Verdana" w:hAnsi="Verdana" w:cs="Arial"/>
          <w:color w:val="000000"/>
          <w:sz w:val="16"/>
          <w:szCs w:val="16"/>
          <w:lang w:val="es-ES"/>
        </w:rPr>
      </w:pPr>
    </w:p>
  </w:footnote>
  <w:footnote w:id="4">
    <w:p w14:paraId="1754B4D8" w14:textId="77777777" w:rsidR="006A11D8" w:rsidRPr="006A11D8" w:rsidRDefault="006A11D8" w:rsidP="006A11D8">
      <w:pPr>
        <w:pStyle w:val="Textonotapie"/>
        <w:ind w:firstLine="709"/>
        <w:jc w:val="both"/>
        <w:rPr>
          <w:rFonts w:ascii="Verdana" w:hAnsi="Verdana" w:cs="Arial"/>
          <w:color w:val="000000"/>
          <w:sz w:val="16"/>
          <w:szCs w:val="16"/>
          <w:lang w:val="es-ES"/>
        </w:rPr>
      </w:pPr>
      <w:r w:rsidRPr="006A11D8">
        <w:rPr>
          <w:rStyle w:val="Refdenotaalpie"/>
          <w:rFonts w:ascii="Verdana" w:hAnsi="Verdana" w:cs="Arial"/>
          <w:color w:val="000000"/>
          <w:sz w:val="16"/>
          <w:szCs w:val="16"/>
        </w:rPr>
        <w:footnoteRef/>
      </w:r>
      <w:r w:rsidRPr="006A11D8">
        <w:rPr>
          <w:rFonts w:ascii="Verdana" w:hAnsi="Verdana" w:cs="Arial"/>
          <w:color w:val="000000"/>
          <w:sz w:val="16"/>
          <w:szCs w:val="16"/>
        </w:rPr>
        <w:t xml:space="preserve"> </w:t>
      </w:r>
      <w:r w:rsidRPr="006A11D8">
        <w:rPr>
          <w:rFonts w:ascii="Verdana" w:hAnsi="Verdana" w:cs="Arial"/>
          <w:color w:val="000000"/>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27AA83F5" w14:textId="77777777" w:rsidR="006A11D8" w:rsidRPr="006A11D8" w:rsidRDefault="006A11D8" w:rsidP="006A11D8">
      <w:pPr>
        <w:pStyle w:val="Textonotapie"/>
        <w:ind w:firstLine="709"/>
        <w:jc w:val="both"/>
        <w:rPr>
          <w:rFonts w:ascii="Verdana" w:hAnsi="Verdana" w:cs="Arial"/>
          <w:color w:val="000000"/>
          <w:sz w:val="16"/>
          <w:szCs w:val="16"/>
          <w:lang w:val="es-CO"/>
        </w:rPr>
      </w:pPr>
    </w:p>
  </w:footnote>
  <w:footnote w:id="5">
    <w:p w14:paraId="53951E67" w14:textId="77777777" w:rsidR="006A11D8" w:rsidRPr="006A11D8" w:rsidRDefault="006A11D8" w:rsidP="006A11D8">
      <w:pPr>
        <w:pStyle w:val="Textonotapie"/>
        <w:ind w:firstLine="709"/>
        <w:jc w:val="both"/>
        <w:rPr>
          <w:rFonts w:ascii="Verdana" w:hAnsi="Verdana" w:cs="Arial"/>
          <w:color w:val="000000"/>
          <w:sz w:val="16"/>
          <w:szCs w:val="16"/>
          <w:lang w:val="es-ES"/>
        </w:rPr>
      </w:pPr>
      <w:r w:rsidRPr="006A11D8">
        <w:rPr>
          <w:rStyle w:val="Refdenotaalpie"/>
          <w:rFonts w:ascii="Verdana" w:hAnsi="Verdana" w:cs="Arial"/>
          <w:color w:val="000000"/>
          <w:sz w:val="16"/>
          <w:szCs w:val="16"/>
        </w:rPr>
        <w:footnoteRef/>
      </w:r>
      <w:r w:rsidRPr="006A11D8">
        <w:rPr>
          <w:rFonts w:ascii="Verdana" w:hAnsi="Verdana" w:cs="Arial"/>
          <w:color w:val="000000"/>
          <w:sz w:val="16"/>
          <w:szCs w:val="16"/>
        </w:rPr>
        <w:t xml:space="preserve"> </w:t>
      </w:r>
      <w:r w:rsidRPr="006A11D8">
        <w:rPr>
          <w:rFonts w:ascii="Verdana" w:hAnsi="Verdana" w:cs="Arial"/>
          <w:color w:val="000000"/>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1ABC2B70" w14:textId="77777777" w:rsidR="006A11D8" w:rsidRPr="006A11D8" w:rsidRDefault="006A11D8" w:rsidP="006A11D8">
      <w:pPr>
        <w:pStyle w:val="Textonotapie"/>
        <w:ind w:firstLine="709"/>
        <w:jc w:val="both"/>
        <w:rPr>
          <w:rFonts w:ascii="Verdana" w:hAnsi="Verdana" w:cs="Arial"/>
          <w:color w:val="000000"/>
          <w:sz w:val="16"/>
          <w:szCs w:val="16"/>
          <w:lang w:val="es-CO"/>
        </w:rPr>
      </w:pPr>
      <w:r w:rsidRPr="006A11D8">
        <w:rPr>
          <w:rFonts w:ascii="Verdana" w:hAnsi="Verdana" w:cs="Arial"/>
          <w:color w:val="000000"/>
          <w:sz w:val="16"/>
          <w:szCs w:val="16"/>
          <w:lang w:val="es-ES"/>
        </w:rPr>
        <w:t xml:space="preserve">  </w:t>
      </w:r>
    </w:p>
  </w:footnote>
  <w:footnote w:id="6">
    <w:p w14:paraId="3FDB2F3F" w14:textId="77777777" w:rsidR="006A11D8" w:rsidRPr="006A11D8" w:rsidRDefault="006A11D8" w:rsidP="006A11D8">
      <w:pPr>
        <w:spacing w:after="0" w:line="240" w:lineRule="auto"/>
        <w:ind w:firstLine="709"/>
        <w:jc w:val="both"/>
        <w:rPr>
          <w:rFonts w:ascii="Verdana" w:hAnsi="Verdana" w:cs="Arial"/>
          <w:color w:val="000000"/>
          <w:sz w:val="16"/>
          <w:szCs w:val="16"/>
          <w:lang w:val="es-ES"/>
        </w:rPr>
      </w:pPr>
      <w:r w:rsidRPr="006A11D8">
        <w:rPr>
          <w:rStyle w:val="Refdenotaalpie"/>
          <w:rFonts w:ascii="Verdana" w:hAnsi="Verdana" w:cs="Arial"/>
          <w:color w:val="000000"/>
          <w:sz w:val="16"/>
          <w:szCs w:val="16"/>
        </w:rPr>
        <w:footnoteRef/>
      </w:r>
      <w:r w:rsidRPr="006A11D8">
        <w:rPr>
          <w:rFonts w:ascii="Verdana" w:hAnsi="Verdana" w:cs="Arial"/>
          <w:color w:val="000000"/>
          <w:sz w:val="16"/>
          <w:szCs w:val="16"/>
        </w:rPr>
        <w:t xml:space="preserve"> </w:t>
      </w:r>
      <w:r w:rsidRPr="006A11D8">
        <w:rPr>
          <w:rFonts w:ascii="Verdana" w:hAnsi="Verdana" w:cs="Arial"/>
          <w:color w:val="000000"/>
          <w:sz w:val="16"/>
          <w:szCs w:val="16"/>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56B04945" w14:textId="77777777" w:rsidR="006A11D8" w:rsidRPr="006A11D8" w:rsidRDefault="006A11D8" w:rsidP="006A11D8">
      <w:pPr>
        <w:spacing w:after="0" w:line="240" w:lineRule="auto"/>
        <w:ind w:firstLine="709"/>
        <w:jc w:val="both"/>
        <w:rPr>
          <w:rFonts w:ascii="Verdana" w:hAnsi="Verdana" w:cs="Arial"/>
          <w:color w:val="000000"/>
          <w:sz w:val="16"/>
          <w:szCs w:val="16"/>
          <w:lang w:val="es-ES"/>
        </w:rPr>
      </w:pPr>
    </w:p>
  </w:footnote>
  <w:footnote w:id="7">
    <w:p w14:paraId="43F7BD8C" w14:textId="77777777" w:rsidR="006A11D8" w:rsidRPr="006A11D8" w:rsidRDefault="006A11D8" w:rsidP="006A11D8">
      <w:pPr>
        <w:pStyle w:val="Textonotapie"/>
        <w:ind w:firstLine="709"/>
        <w:jc w:val="both"/>
        <w:rPr>
          <w:rFonts w:ascii="Verdana" w:hAnsi="Verdana" w:cs="Arial"/>
          <w:color w:val="000000"/>
          <w:sz w:val="16"/>
          <w:szCs w:val="16"/>
          <w:lang w:val="es-ES"/>
        </w:rPr>
      </w:pPr>
      <w:r w:rsidRPr="006A11D8">
        <w:rPr>
          <w:rStyle w:val="Refdenotaalpie"/>
          <w:rFonts w:ascii="Verdana" w:hAnsi="Verdana" w:cs="Arial"/>
          <w:color w:val="000000"/>
          <w:sz w:val="16"/>
          <w:szCs w:val="16"/>
        </w:rPr>
        <w:footnoteRef/>
      </w:r>
      <w:r w:rsidRPr="006A11D8">
        <w:rPr>
          <w:rFonts w:ascii="Verdana" w:hAnsi="Verdana" w:cs="Arial"/>
          <w:color w:val="000000"/>
          <w:sz w:val="16"/>
          <w:szCs w:val="16"/>
        </w:rPr>
        <w:t xml:space="preserve"> </w:t>
      </w:r>
      <w:r w:rsidRPr="006A11D8">
        <w:rPr>
          <w:rFonts w:ascii="Verdana" w:hAnsi="Verdana" w:cs="Arial"/>
          <w:color w:val="000000"/>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p w14:paraId="122F89C4" w14:textId="77777777" w:rsidR="006A11D8" w:rsidRPr="006A11D8" w:rsidRDefault="006A11D8" w:rsidP="006A11D8">
      <w:pPr>
        <w:pStyle w:val="Textonotapie"/>
        <w:ind w:firstLine="709"/>
        <w:jc w:val="both"/>
        <w:rPr>
          <w:rFonts w:ascii="Verdana" w:hAnsi="Verdana" w:cs="Arial"/>
          <w:color w:val="000000"/>
          <w:sz w:val="16"/>
          <w:szCs w:val="16"/>
          <w:lang w:val="es-ES"/>
        </w:rPr>
      </w:pPr>
    </w:p>
  </w:footnote>
  <w:footnote w:id="8">
    <w:p w14:paraId="44C4D8E1" w14:textId="77777777" w:rsidR="006A11D8" w:rsidRPr="005F0339" w:rsidRDefault="006A11D8" w:rsidP="006A11D8">
      <w:pPr>
        <w:pStyle w:val="Textonotapie"/>
        <w:ind w:firstLine="709"/>
        <w:jc w:val="both"/>
        <w:rPr>
          <w:rFonts w:ascii="Verdana" w:hAnsi="Verdana" w:cs="Arial"/>
          <w:color w:val="000000"/>
          <w:sz w:val="16"/>
          <w:szCs w:val="16"/>
          <w:lang w:val="es-ES"/>
        </w:rPr>
      </w:pPr>
      <w:r w:rsidRPr="005F0339">
        <w:rPr>
          <w:rStyle w:val="Refdenotaalpie"/>
          <w:rFonts w:ascii="Verdana" w:hAnsi="Verdana" w:cs="Arial"/>
          <w:color w:val="000000"/>
          <w:sz w:val="16"/>
          <w:szCs w:val="16"/>
        </w:rPr>
        <w:footnoteRef/>
      </w:r>
      <w:r w:rsidRPr="005F0339">
        <w:rPr>
          <w:rFonts w:ascii="Verdana" w:hAnsi="Verdana" w:cs="Arial"/>
          <w:color w:val="000000"/>
          <w:sz w:val="16"/>
          <w:szCs w:val="16"/>
        </w:rPr>
        <w:t xml:space="preserve"> </w:t>
      </w:r>
      <w:r w:rsidRPr="005F0339">
        <w:rPr>
          <w:rFonts w:ascii="Verdana" w:hAnsi="Verdana" w:cs="Arial"/>
          <w:color w:val="000000"/>
          <w:sz w:val="16"/>
          <w:szCs w:val="16"/>
          <w:lang w:val="es-ES"/>
        </w:rPr>
        <w:t>Ibíd., p. 69.</w:t>
      </w:r>
    </w:p>
    <w:p w14:paraId="4EC0FDD0" w14:textId="77777777" w:rsidR="006A11D8" w:rsidRPr="005F0339" w:rsidRDefault="006A11D8" w:rsidP="006A11D8">
      <w:pPr>
        <w:pStyle w:val="Textonotapie"/>
        <w:ind w:firstLine="709"/>
        <w:jc w:val="both"/>
        <w:rPr>
          <w:rFonts w:ascii="Verdana" w:hAnsi="Verdana" w:cs="Arial"/>
          <w:color w:val="000000"/>
          <w:sz w:val="16"/>
          <w:szCs w:val="16"/>
          <w:lang w:val="es-ES"/>
        </w:rPr>
      </w:pPr>
    </w:p>
  </w:footnote>
  <w:footnote w:id="9">
    <w:p w14:paraId="5CD5F8BD" w14:textId="77777777" w:rsidR="006A11D8" w:rsidRPr="000B604E" w:rsidRDefault="006A11D8" w:rsidP="006A11D8">
      <w:pPr>
        <w:pStyle w:val="Textonotapie"/>
        <w:ind w:firstLine="709"/>
        <w:jc w:val="both"/>
        <w:rPr>
          <w:rFonts w:ascii="Verdana" w:hAnsi="Verdana" w:cs="Arial"/>
          <w:color w:val="000000"/>
          <w:sz w:val="16"/>
          <w:szCs w:val="16"/>
          <w:lang w:val="es-ES"/>
        </w:rPr>
      </w:pPr>
      <w:r w:rsidRPr="000B604E">
        <w:rPr>
          <w:rStyle w:val="Refdenotaalpie"/>
          <w:rFonts w:ascii="Verdana" w:hAnsi="Verdana" w:cs="Arial"/>
          <w:color w:val="000000"/>
          <w:sz w:val="16"/>
          <w:szCs w:val="16"/>
        </w:rPr>
        <w:footnoteRef/>
      </w:r>
      <w:r w:rsidRPr="000B604E">
        <w:rPr>
          <w:rFonts w:ascii="Verdana" w:hAnsi="Verdana" w:cs="Arial"/>
          <w:color w:val="000000"/>
          <w:sz w:val="16"/>
          <w:szCs w:val="16"/>
        </w:rPr>
        <w:t xml:space="preserve"> </w:t>
      </w:r>
      <w:r w:rsidRPr="000B604E">
        <w:rPr>
          <w:rFonts w:ascii="Verdana" w:hAnsi="Verdana" w:cs="Arial"/>
          <w:color w:val="000000"/>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p w14:paraId="17B4653F" w14:textId="77777777" w:rsidR="006A11D8" w:rsidRPr="000B604E" w:rsidRDefault="006A11D8" w:rsidP="006A11D8">
      <w:pPr>
        <w:pStyle w:val="Textonotapie"/>
        <w:ind w:firstLine="709"/>
        <w:jc w:val="both"/>
        <w:rPr>
          <w:rFonts w:ascii="Verdana" w:hAnsi="Verdana" w:cs="Arial"/>
          <w:color w:val="000000"/>
          <w:sz w:val="16"/>
          <w:szCs w:val="16"/>
          <w:lang w:val="es-ES"/>
        </w:rPr>
      </w:pPr>
    </w:p>
  </w:footnote>
  <w:footnote w:id="10">
    <w:p w14:paraId="7E9CDBA7" w14:textId="77777777" w:rsidR="006A11D8" w:rsidRPr="000B604E" w:rsidRDefault="006A11D8" w:rsidP="006A11D8">
      <w:pPr>
        <w:pStyle w:val="Textonotapie"/>
        <w:ind w:firstLine="709"/>
        <w:jc w:val="both"/>
        <w:rPr>
          <w:rFonts w:ascii="Verdana" w:hAnsi="Verdana" w:cs="Arial"/>
          <w:color w:val="000000"/>
          <w:sz w:val="16"/>
          <w:szCs w:val="16"/>
          <w:lang w:val="es-ES"/>
        </w:rPr>
      </w:pPr>
      <w:r w:rsidRPr="000B604E">
        <w:rPr>
          <w:rStyle w:val="Refdenotaalpie"/>
          <w:rFonts w:ascii="Verdana" w:hAnsi="Verdana" w:cs="Arial"/>
          <w:color w:val="000000"/>
          <w:sz w:val="16"/>
          <w:szCs w:val="16"/>
        </w:rPr>
        <w:footnoteRef/>
      </w:r>
      <w:r w:rsidRPr="000B604E">
        <w:rPr>
          <w:rFonts w:ascii="Verdana" w:hAnsi="Verdana" w:cs="Arial"/>
          <w:color w:val="000000"/>
          <w:sz w:val="16"/>
          <w:szCs w:val="16"/>
        </w:rPr>
        <w:t xml:space="preserve"> </w:t>
      </w:r>
      <w:r w:rsidRPr="000B604E">
        <w:rPr>
          <w:rFonts w:ascii="Verdana" w:hAnsi="Verdana" w:cs="Arial"/>
          <w:color w:val="000000"/>
          <w:sz w:val="16"/>
          <w:szCs w:val="16"/>
          <w:lang w:val="es-ES"/>
        </w:rPr>
        <w:t>Consejo de Estado. Sala de Consulta y Servicio Civil. Concepto del 30 de abril de 2015. Expediente: 2251. Consejero Ponente: Álvaro Namén Vargas.</w:t>
      </w:r>
    </w:p>
    <w:p w14:paraId="62A39798" w14:textId="77777777" w:rsidR="006A11D8" w:rsidRPr="000B604E" w:rsidRDefault="006A11D8" w:rsidP="006A11D8">
      <w:pPr>
        <w:pStyle w:val="Textonotapie"/>
        <w:ind w:firstLine="709"/>
        <w:jc w:val="both"/>
        <w:rPr>
          <w:rFonts w:ascii="Verdana" w:hAnsi="Verdana" w:cs="Arial"/>
          <w:color w:val="000000"/>
          <w:sz w:val="16"/>
          <w:szCs w:val="16"/>
          <w:lang w:val="es-ES"/>
        </w:rPr>
      </w:pPr>
    </w:p>
  </w:footnote>
  <w:footnote w:id="11">
    <w:p w14:paraId="38FB7ADC" w14:textId="77777777" w:rsidR="006A11D8" w:rsidRPr="000B604E" w:rsidRDefault="006A11D8" w:rsidP="006A11D8">
      <w:pPr>
        <w:pStyle w:val="Textonotapie"/>
        <w:ind w:firstLine="709"/>
        <w:jc w:val="both"/>
        <w:rPr>
          <w:rFonts w:ascii="Verdana" w:hAnsi="Verdana" w:cs="Arial"/>
          <w:color w:val="000000"/>
          <w:sz w:val="16"/>
          <w:szCs w:val="16"/>
        </w:rPr>
      </w:pPr>
      <w:r w:rsidRPr="000B604E">
        <w:rPr>
          <w:rStyle w:val="Refdenotaalpie"/>
          <w:rFonts w:ascii="Verdana" w:hAnsi="Verdana" w:cs="Arial"/>
          <w:color w:val="000000"/>
          <w:sz w:val="16"/>
          <w:szCs w:val="16"/>
        </w:rPr>
        <w:footnoteRef/>
      </w:r>
      <w:r w:rsidRPr="000B604E">
        <w:rPr>
          <w:rFonts w:ascii="Verdana" w:hAnsi="Verdana" w:cs="Arial"/>
          <w:color w:val="000000"/>
          <w:sz w:val="16"/>
          <w:szCs w:val="16"/>
        </w:rPr>
        <w:t xml:space="preserve"> Consejo de Estado. Sala de lo Contencioso Administrativo. Sección Tercera. Subsección A. Sentencia del 24 de junio de 2015. Exp. 40.635. Consejero Ponente: Hernán Andrade Rincón (E).</w:t>
      </w:r>
    </w:p>
    <w:p w14:paraId="22A51F31" w14:textId="77777777" w:rsidR="006A11D8" w:rsidRPr="000B604E" w:rsidRDefault="006A11D8" w:rsidP="006A11D8">
      <w:pPr>
        <w:pStyle w:val="Textonotapie"/>
        <w:ind w:firstLine="709"/>
        <w:jc w:val="both"/>
        <w:rPr>
          <w:rFonts w:ascii="Verdana" w:hAnsi="Verdana" w:cs="Arial"/>
          <w:color w:val="000000"/>
          <w:sz w:val="16"/>
          <w:szCs w:val="16"/>
          <w:lang w:val="es-ES"/>
        </w:rPr>
      </w:pPr>
    </w:p>
  </w:footnote>
  <w:footnote w:id="12">
    <w:p w14:paraId="33AA6967" w14:textId="77777777" w:rsidR="006A11D8" w:rsidRPr="000B604E" w:rsidRDefault="006A11D8" w:rsidP="006A11D8">
      <w:pPr>
        <w:pStyle w:val="Textonotapie"/>
        <w:ind w:firstLine="709"/>
        <w:jc w:val="both"/>
        <w:rPr>
          <w:rFonts w:ascii="Verdana" w:hAnsi="Verdana" w:cs="Arial"/>
          <w:color w:val="000000"/>
          <w:sz w:val="16"/>
          <w:szCs w:val="16"/>
        </w:rPr>
      </w:pPr>
      <w:r w:rsidRPr="000B604E">
        <w:rPr>
          <w:rStyle w:val="Refdenotaalpie"/>
          <w:rFonts w:ascii="Verdana" w:hAnsi="Verdana" w:cs="Arial"/>
          <w:color w:val="000000"/>
          <w:sz w:val="16"/>
          <w:szCs w:val="16"/>
        </w:rPr>
        <w:footnoteRef/>
      </w:r>
      <w:r w:rsidRPr="000B604E">
        <w:rPr>
          <w:rFonts w:ascii="Verdana" w:hAnsi="Verdana" w:cs="Arial"/>
          <w:color w:val="000000"/>
          <w:sz w:val="16"/>
          <w:szCs w:val="16"/>
        </w:rPr>
        <w:t xml:space="preserve"> Consejo de Estado. Sala de lo Contencioso Administrativo. Sección Tercera. Subsección C. Sentencia del 22 de mayo de 2013. Exp. 24.057. Consejera Ponente: Olga Melida Valle De De La Hoz.</w:t>
      </w:r>
    </w:p>
    <w:p w14:paraId="2B9A5CA7" w14:textId="77777777" w:rsidR="006A11D8" w:rsidRPr="000B604E" w:rsidRDefault="006A11D8" w:rsidP="006A11D8">
      <w:pPr>
        <w:pStyle w:val="Textonotapie"/>
        <w:ind w:firstLine="709"/>
        <w:jc w:val="both"/>
        <w:rPr>
          <w:rFonts w:ascii="Verdana" w:hAnsi="Verdana" w:cs="Arial"/>
          <w:color w:val="000000"/>
          <w:sz w:val="16"/>
          <w:szCs w:val="16"/>
          <w:lang w:val="es-ES"/>
        </w:rPr>
      </w:pPr>
    </w:p>
  </w:footnote>
  <w:footnote w:id="13">
    <w:p w14:paraId="5BE12A0A" w14:textId="77777777" w:rsidR="006A11D8" w:rsidRPr="00F61A1D" w:rsidRDefault="006A11D8" w:rsidP="006A11D8">
      <w:pPr>
        <w:pStyle w:val="Textonotapie"/>
        <w:rPr>
          <w:lang w:val="es-CO"/>
        </w:rPr>
      </w:pPr>
      <w:r>
        <w:rPr>
          <w:rStyle w:val="Refdenotaalpie"/>
        </w:rPr>
        <w:footnoteRef/>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2F37"/>
    <w:rsid w:val="000D5DA7"/>
    <w:rsid w:val="000F6486"/>
    <w:rsid w:val="00116940"/>
    <w:rsid w:val="00125105"/>
    <w:rsid w:val="00127233"/>
    <w:rsid w:val="0015699B"/>
    <w:rsid w:val="001A33BF"/>
    <w:rsid w:val="001E0390"/>
    <w:rsid w:val="001E4177"/>
    <w:rsid w:val="001F0B24"/>
    <w:rsid w:val="001F7DC6"/>
    <w:rsid w:val="0022400B"/>
    <w:rsid w:val="002421BB"/>
    <w:rsid w:val="0025796E"/>
    <w:rsid w:val="002625F2"/>
    <w:rsid w:val="002707A2"/>
    <w:rsid w:val="002748FB"/>
    <w:rsid w:val="002951A0"/>
    <w:rsid w:val="002962BC"/>
    <w:rsid w:val="002A093D"/>
    <w:rsid w:val="002A0DD0"/>
    <w:rsid w:val="002A49AC"/>
    <w:rsid w:val="002A64FD"/>
    <w:rsid w:val="002C7A84"/>
    <w:rsid w:val="002E2BF8"/>
    <w:rsid w:val="002E4FD9"/>
    <w:rsid w:val="0030657A"/>
    <w:rsid w:val="00322A85"/>
    <w:rsid w:val="0032414F"/>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92A3F"/>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1907"/>
    <w:rsid w:val="00665D70"/>
    <w:rsid w:val="006900D9"/>
    <w:rsid w:val="006A11D8"/>
    <w:rsid w:val="00706C16"/>
    <w:rsid w:val="00713007"/>
    <w:rsid w:val="007340C3"/>
    <w:rsid w:val="0075235A"/>
    <w:rsid w:val="00756841"/>
    <w:rsid w:val="007649AB"/>
    <w:rsid w:val="00771D0C"/>
    <w:rsid w:val="007833AC"/>
    <w:rsid w:val="00791F8E"/>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8F5BB8"/>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85571"/>
    <w:rsid w:val="00BC0D9E"/>
    <w:rsid w:val="00BC1681"/>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0030A"/>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A11D8"/>
    <w:pPr>
      <w:spacing w:line="240" w:lineRule="exact"/>
    </w:pPr>
    <w:rPr>
      <w:vertAlign w:val="superscript"/>
    </w:rPr>
  </w:style>
  <w:style w:type="table" w:customStyle="1" w:styleId="Tablaconcuadrcula11">
    <w:name w:val="Tabla con cuadrícula11"/>
    <w:basedOn w:val="Tablanormal"/>
    <w:next w:val="Tablaconcuadrcula"/>
    <w:uiPriority w:val="59"/>
    <w:qFormat/>
    <w:rsid w:val="006A11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ertulioc@yahoo.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32A0387D-C74F-4563-B48B-FB05DF45F5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17</Pages>
  <Words>5117</Words>
  <Characters>28145</Characters>
  <Application>Microsoft Office Word</Application>
  <DocSecurity>0</DocSecurity>
  <Lines>234</Lines>
  <Paragraphs>66</Paragraphs>
  <ScaleCrop>false</ScaleCrop>
  <Company/>
  <LinksUpToDate>false</LinksUpToDate>
  <CharactersWithSpaces>33196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Nasly Yeana Mosquera Rivas</cp:lastModifiedBy>
  <cp:revision>3</cp:revision>
  <cp:lastPrinted>2023-01-10T21:18:00Z</cp:lastPrinted>
  <dcterms:created xsi:type="dcterms:W3CDTF">2026-05-28T20:04:00Z</dcterms:created>
  <dcterms:modified xsi:type="dcterms:W3CDTF">2026-05-28T20:07:00Z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