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594C4D" w14:textId="7DE99AD8" w:rsidR="00446305" w:rsidRDefault="00446305" w:rsidP="00446305">
      <w:pPr>
        <w:spacing w:after="0" w:line="240" w:lineRule="auto"/>
        <w:rPr>
          <w:rFonts w:ascii="Verdana" w:hAnsi="Verdana" w:cs="Arial"/>
          <w:b/>
          <w:bCs/>
          <w:color w:val="000000" w:themeColor="text1"/>
        </w:rPr>
      </w:pPr>
      <w:bookmarkStart w:id="0" w:name="_Hlk143780582"/>
      <w:r w:rsidRPr="00446305">
        <w:rPr>
          <w:rFonts w:ascii="Verdana" w:hAnsi="Verdana" w:cs="Arial"/>
          <w:b/>
          <w:bCs/>
          <w:color w:val="000000" w:themeColor="text1"/>
        </w:rPr>
        <w:t xml:space="preserve">LEY DE GARANTÍAS ELECTORALES – Propósito </w:t>
      </w:r>
    </w:p>
    <w:p w14:paraId="6E4D3844" w14:textId="77777777" w:rsidR="00446305" w:rsidRDefault="00446305" w:rsidP="00446305">
      <w:pPr>
        <w:spacing w:after="0" w:line="240" w:lineRule="auto"/>
        <w:rPr>
          <w:rFonts w:ascii="Verdana" w:hAnsi="Verdana" w:cs="Arial"/>
          <w:b/>
          <w:bCs/>
          <w:color w:val="000000" w:themeColor="text1"/>
        </w:rPr>
      </w:pPr>
    </w:p>
    <w:p w14:paraId="74BB1D4E" w14:textId="63AD2495" w:rsidR="00446305" w:rsidRPr="00446305" w:rsidRDefault="00446305" w:rsidP="00446305">
      <w:pPr>
        <w:tabs>
          <w:tab w:val="left" w:pos="426"/>
        </w:tabs>
        <w:spacing w:after="0" w:line="240" w:lineRule="auto"/>
        <w:jc w:val="both"/>
        <w:rPr>
          <w:rFonts w:ascii="Verdana" w:eastAsia="Calibri" w:hAnsi="Verdana" w:cs="Arial"/>
          <w:noProof/>
          <w:sz w:val="20"/>
          <w:szCs w:val="20"/>
          <w:lang w:val="es-ES_tradnl"/>
        </w:rPr>
      </w:pPr>
      <w:r w:rsidRPr="00446305">
        <w:rPr>
          <w:rFonts w:ascii="Verdana" w:eastAsia="Times New Roman" w:hAnsi="Verdana" w:cs="Arial"/>
          <w:bCs/>
          <w:sz w:val="20"/>
          <w:szCs w:val="20"/>
          <w:lang w:eastAsia="es-CO"/>
        </w:rPr>
        <w:t xml:space="preserve">[…] </w:t>
      </w:r>
      <w:r w:rsidRPr="00446305">
        <w:rPr>
          <w:rFonts w:ascii="Verdana" w:eastAsia="Times New Roman" w:hAnsi="Verdana" w:cs="Arial"/>
          <w:bCs/>
          <w:sz w:val="20"/>
          <w:szCs w:val="20"/>
          <w:lang w:eastAsia="es-CO"/>
        </w:rPr>
        <w:t>la Ley 996 de 2005, conocida como “Ley de Garantías Electorales”</w:t>
      </w:r>
      <w:r w:rsidR="00157FB2">
        <w:rPr>
          <w:rFonts w:ascii="Verdana" w:eastAsia="Times New Roman" w:hAnsi="Verdana" w:cs="Arial"/>
          <w:bCs/>
          <w:sz w:val="20"/>
          <w:szCs w:val="20"/>
          <w:lang w:eastAsia="es-CO"/>
        </w:rPr>
        <w:t xml:space="preserve"> […] </w:t>
      </w:r>
      <w:r w:rsidRPr="00446305">
        <w:rPr>
          <w:rFonts w:ascii="Verdana" w:eastAsia="Times New Roman" w:hAnsi="Verdana" w:cs="Arial"/>
          <w:bCs/>
          <w:sz w:val="20"/>
          <w:szCs w:val="20"/>
          <w:lang w:eastAsia="es-CO"/>
        </w:rPr>
        <w:t>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446305">
        <w:rPr>
          <w:rFonts w:ascii="Verdana" w:eastAsia="Calibri" w:hAnsi="Verdana" w:cs="Arial"/>
          <w:noProof/>
          <w:sz w:val="20"/>
          <w:szCs w:val="20"/>
          <w:lang w:val="es-ES_tradnl"/>
        </w:rPr>
        <w:t xml:space="preserve"> </w:t>
      </w:r>
    </w:p>
    <w:p w14:paraId="45C6BFDB" w14:textId="77777777" w:rsidR="00446305" w:rsidRPr="00446305" w:rsidRDefault="00446305" w:rsidP="00446305">
      <w:pPr>
        <w:spacing w:after="0" w:line="240" w:lineRule="auto"/>
        <w:rPr>
          <w:rFonts w:ascii="Verdana" w:hAnsi="Verdana" w:cs="Arial"/>
          <w:b/>
          <w:bCs/>
          <w:color w:val="000000" w:themeColor="text1"/>
          <w:lang w:val="es-ES_tradnl"/>
        </w:rPr>
      </w:pPr>
    </w:p>
    <w:p w14:paraId="73E70FB1" w14:textId="77777777" w:rsidR="00446305" w:rsidRDefault="00446305" w:rsidP="00446305">
      <w:pPr>
        <w:spacing w:after="0" w:line="240" w:lineRule="auto"/>
        <w:rPr>
          <w:rFonts w:ascii="Verdana" w:hAnsi="Verdana" w:cs="Arial"/>
          <w:b/>
          <w:bCs/>
          <w:color w:val="000000" w:themeColor="text1"/>
        </w:rPr>
      </w:pPr>
      <w:r w:rsidRPr="00446305">
        <w:rPr>
          <w:rFonts w:ascii="Verdana" w:hAnsi="Verdana" w:cs="Arial"/>
          <w:b/>
          <w:bCs/>
          <w:color w:val="000000" w:themeColor="text1"/>
        </w:rPr>
        <w:t xml:space="preserve">LEY DE GARANTÍAS ELECTORALES – Prohibiciones – Restricciones </w:t>
      </w:r>
    </w:p>
    <w:p w14:paraId="27B8A458" w14:textId="77777777" w:rsidR="00157FB2" w:rsidRPr="00EA0D0B" w:rsidRDefault="00157FB2" w:rsidP="00EA0D0B">
      <w:pPr>
        <w:spacing w:after="0" w:line="240" w:lineRule="auto"/>
        <w:rPr>
          <w:rFonts w:ascii="Verdana" w:hAnsi="Verdana" w:cs="Arial"/>
          <w:b/>
          <w:bCs/>
          <w:color w:val="000000" w:themeColor="text1"/>
          <w:sz w:val="20"/>
          <w:szCs w:val="20"/>
        </w:rPr>
      </w:pPr>
    </w:p>
    <w:p w14:paraId="2F7BC732" w14:textId="6BA2D1C6" w:rsidR="00EA0D0B" w:rsidRPr="00EA0D0B" w:rsidRDefault="00EA0D0B" w:rsidP="00EA0D0B">
      <w:pPr>
        <w:spacing w:after="0" w:line="240" w:lineRule="auto"/>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 xml:space="preserve">[…] </w:t>
      </w:r>
      <w:r w:rsidRPr="00EA0D0B">
        <w:rPr>
          <w:rFonts w:ascii="Verdana" w:eastAsia="Arial" w:hAnsi="Verdana" w:cs="Arial"/>
          <w:sz w:val="20"/>
          <w:szCs w:val="20"/>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71B9C7A6" w14:textId="77777777" w:rsidR="00EA0D0B" w:rsidRDefault="00EA0D0B" w:rsidP="00EA0D0B">
      <w:pPr>
        <w:spacing w:after="0" w:line="240" w:lineRule="auto"/>
        <w:jc w:val="both"/>
        <w:rPr>
          <w:rFonts w:ascii="Verdana" w:eastAsia="Arial" w:hAnsi="Verdana" w:cs="Arial"/>
          <w:sz w:val="20"/>
          <w:szCs w:val="20"/>
          <w:lang w:val="es-ES" w:eastAsia="es-ES" w:bidi="es-ES"/>
        </w:rPr>
      </w:pPr>
    </w:p>
    <w:p w14:paraId="6FDB0F2E" w14:textId="77777777" w:rsidR="00EA0D0B" w:rsidRDefault="00EA0D0B" w:rsidP="00EA0D0B">
      <w:pPr>
        <w:spacing w:after="0" w:line="240" w:lineRule="auto"/>
        <w:jc w:val="both"/>
        <w:rPr>
          <w:rFonts w:ascii="Verdana" w:eastAsia="Arial" w:hAnsi="Verdana" w:cs="Arial"/>
          <w:sz w:val="20"/>
          <w:szCs w:val="20"/>
          <w:lang w:val="es-ES" w:eastAsia="es-ES" w:bidi="es-ES"/>
        </w:rPr>
      </w:pPr>
      <w:r w:rsidRPr="00EA0D0B">
        <w:rPr>
          <w:rFonts w:ascii="Verdana" w:eastAsia="Arial" w:hAnsi="Verdana" w:cs="Arial"/>
          <w:sz w:val="20"/>
          <w:szCs w:val="20"/>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20AA5369" w14:textId="77777777" w:rsidR="00EA0D0B" w:rsidRDefault="00EA0D0B" w:rsidP="00EA0D0B">
      <w:pPr>
        <w:spacing w:after="0" w:line="240" w:lineRule="auto"/>
        <w:jc w:val="both"/>
        <w:rPr>
          <w:rFonts w:ascii="Verdana" w:eastAsia="Arial" w:hAnsi="Verdana" w:cs="Arial"/>
          <w:sz w:val="20"/>
          <w:szCs w:val="20"/>
          <w:lang w:val="es-ES" w:eastAsia="es-ES" w:bidi="es-ES"/>
        </w:rPr>
      </w:pPr>
    </w:p>
    <w:p w14:paraId="16DAEEB9" w14:textId="414EA5AE" w:rsidR="00EA0D0B" w:rsidRPr="00EA0D0B" w:rsidRDefault="00EA0D0B" w:rsidP="00EA0D0B">
      <w:pPr>
        <w:spacing w:after="0" w:line="240" w:lineRule="auto"/>
        <w:jc w:val="both"/>
        <w:rPr>
          <w:rFonts w:ascii="Verdana" w:eastAsia="Arial" w:hAnsi="Verdana" w:cs="Arial"/>
          <w:sz w:val="20"/>
          <w:szCs w:val="20"/>
          <w:lang w:val="es-ES" w:eastAsia="es-ES" w:bidi="es-ES"/>
        </w:rPr>
      </w:pPr>
      <w:r w:rsidRPr="00EA0D0B">
        <w:rPr>
          <w:rFonts w:ascii="Verdana" w:eastAsia="Calibri" w:hAnsi="Verdana" w:cs="Arial"/>
          <w:sz w:val="20"/>
          <w:szCs w:val="20"/>
        </w:rPr>
        <w:t>Por un lado, el artículo 33 de la Ley 996 de 2005 prohíbe “</w:t>
      </w:r>
      <w:r w:rsidRPr="00EA0D0B">
        <w:rPr>
          <w:rFonts w:ascii="Verdana" w:eastAsia="Calibri" w:hAnsi="Verdana" w:cs="Arial"/>
          <w:bCs/>
          <w:sz w:val="20"/>
          <w:szCs w:val="20"/>
        </w:rPr>
        <w:t xml:space="preserve">(…) </w:t>
      </w:r>
      <w:r w:rsidRPr="00EA0D0B">
        <w:rPr>
          <w:rFonts w:ascii="Verdana" w:eastAsia="Calibri" w:hAnsi="Verdana" w:cs="Arial"/>
          <w:sz w:val="20"/>
          <w:szCs w:val="20"/>
        </w:rPr>
        <w:t>la contratación directa por parte de todos los entes del Estado</w:t>
      </w:r>
      <w:r w:rsidRPr="00EA0D0B">
        <w:rPr>
          <w:rFonts w:ascii="Verdana" w:eastAsia="Calibri" w:hAnsi="Verdana" w:cs="Arial"/>
          <w:bCs/>
          <w:sz w:val="20"/>
          <w:szCs w:val="20"/>
        </w:rPr>
        <w:t>”</w:t>
      </w:r>
      <w:r w:rsidRPr="00EA0D0B">
        <w:rPr>
          <w:rFonts w:ascii="Verdana" w:eastAsia="Calibri" w:hAnsi="Verdana" w:cs="Arial"/>
          <w:sz w:val="20"/>
          <w:szCs w:val="20"/>
        </w:rPr>
        <w:t xml:space="preserve"> durante los cuatro (4) meses anteriores a las elecciones presidenciales, salvo </w:t>
      </w:r>
      <w:r w:rsidRPr="00EA0D0B">
        <w:rPr>
          <w:rFonts w:ascii="Verdana" w:eastAsia="Calibri" w:hAnsi="Verdana" w:cs="Arial"/>
          <w:bCs/>
          <w:sz w:val="20"/>
          <w:szCs w:val="20"/>
        </w:rPr>
        <w:t xml:space="preserve">“(…) </w:t>
      </w:r>
      <w:r w:rsidRPr="00EA0D0B">
        <w:rPr>
          <w:rFonts w:ascii="Verdana" w:eastAsia="Calibri" w:hAnsi="Verdana" w:cs="Arial"/>
          <w:sz w:val="20"/>
          <w:szCs w:val="20"/>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A0D0B">
        <w:rPr>
          <w:rFonts w:ascii="Verdana" w:eastAsia="Calibri" w:hAnsi="Verdana" w:cs="Arial"/>
          <w:bCs/>
          <w:sz w:val="20"/>
          <w:szCs w:val="20"/>
        </w:rPr>
        <w:t>”</w:t>
      </w:r>
      <w:r w:rsidRPr="00EA0D0B">
        <w:rPr>
          <w:rFonts w:ascii="Verdana" w:eastAsia="Calibri" w:hAnsi="Verdana" w:cs="Arial"/>
          <w:sz w:val="20"/>
          <w:szCs w:val="20"/>
        </w:rPr>
        <w:t>.</w:t>
      </w:r>
    </w:p>
    <w:p w14:paraId="32A656BD" w14:textId="77777777" w:rsidR="00EA0D0B" w:rsidRDefault="00EA0D0B" w:rsidP="00EA0D0B">
      <w:pPr>
        <w:spacing w:after="0" w:line="240" w:lineRule="auto"/>
        <w:rPr>
          <w:rFonts w:ascii="Verdana" w:eastAsia="Calibri" w:hAnsi="Verdana" w:cs="Arial"/>
          <w:sz w:val="20"/>
          <w:szCs w:val="20"/>
        </w:rPr>
      </w:pPr>
    </w:p>
    <w:p w14:paraId="2C5D52E2" w14:textId="325A5D77" w:rsidR="00157FB2" w:rsidRPr="00EA0D0B" w:rsidRDefault="00EA0D0B" w:rsidP="00EA0D0B">
      <w:pPr>
        <w:spacing w:after="0" w:line="240" w:lineRule="auto"/>
        <w:jc w:val="both"/>
        <w:rPr>
          <w:rFonts w:ascii="Verdana" w:hAnsi="Verdana" w:cs="Arial"/>
          <w:b/>
          <w:bCs/>
          <w:color w:val="000000" w:themeColor="text1"/>
          <w:sz w:val="20"/>
          <w:szCs w:val="20"/>
        </w:rPr>
      </w:pPr>
      <w:r w:rsidRPr="00EA0D0B">
        <w:rPr>
          <w:rFonts w:ascii="Verdana" w:eastAsia="Calibri" w:hAnsi="Verdana" w:cs="Arial"/>
          <w:sz w:val="20"/>
          <w:szCs w:val="20"/>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EA0D0B">
        <w:rPr>
          <w:rFonts w:ascii="Verdana" w:eastAsia="Calibri" w:hAnsi="Verdana" w:cs="Arial"/>
          <w:bCs/>
          <w:sz w:val="20"/>
          <w:szCs w:val="20"/>
        </w:rPr>
        <w:t xml:space="preserve">“(…) </w:t>
      </w:r>
      <w:r w:rsidRPr="00EA0D0B">
        <w:rPr>
          <w:rFonts w:ascii="Verdana" w:eastAsia="Calibri" w:hAnsi="Verdana" w:cs="Arial"/>
          <w:sz w:val="20"/>
          <w:szCs w:val="20"/>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sz w:val="20"/>
          <w:szCs w:val="20"/>
        </w:rPr>
        <w:t>.</w:t>
      </w:r>
    </w:p>
    <w:p w14:paraId="1CF4C62A" w14:textId="77777777" w:rsidR="00446305" w:rsidRDefault="00446305" w:rsidP="00446305">
      <w:pPr>
        <w:spacing w:after="0" w:line="240" w:lineRule="auto"/>
        <w:rPr>
          <w:rFonts w:ascii="Verdana" w:hAnsi="Verdana" w:cs="Arial"/>
          <w:b/>
          <w:bCs/>
          <w:color w:val="000000" w:themeColor="text1"/>
        </w:rPr>
      </w:pPr>
    </w:p>
    <w:p w14:paraId="70802D41" w14:textId="77777777" w:rsidR="00446305" w:rsidRDefault="00446305" w:rsidP="00446305">
      <w:pPr>
        <w:spacing w:after="0" w:line="240" w:lineRule="auto"/>
        <w:rPr>
          <w:rFonts w:ascii="Verdana" w:hAnsi="Verdana" w:cs="Arial"/>
          <w:b/>
          <w:bCs/>
          <w:color w:val="000000" w:themeColor="text1"/>
        </w:rPr>
      </w:pPr>
      <w:r w:rsidRPr="00446305">
        <w:rPr>
          <w:rFonts w:ascii="Verdana" w:hAnsi="Verdana" w:cs="Arial"/>
          <w:b/>
          <w:bCs/>
          <w:color w:val="000000" w:themeColor="text1"/>
        </w:rPr>
        <w:t xml:space="preserve">LEY DE GARANTÍAS ELECTORALES – Artículo 33 – Ámbito material </w:t>
      </w:r>
    </w:p>
    <w:p w14:paraId="22CFEE8D" w14:textId="77777777" w:rsidR="00EA0D0B" w:rsidRDefault="00EA0D0B" w:rsidP="00446305">
      <w:pPr>
        <w:spacing w:after="0" w:line="240" w:lineRule="auto"/>
        <w:rPr>
          <w:rFonts w:ascii="Verdana" w:hAnsi="Verdana" w:cs="Arial"/>
          <w:b/>
          <w:bCs/>
          <w:color w:val="000000" w:themeColor="text1"/>
        </w:rPr>
      </w:pPr>
    </w:p>
    <w:p w14:paraId="65EFE60D" w14:textId="5D4FC862" w:rsidR="00EA0D0B" w:rsidRDefault="00EA0D0B" w:rsidP="00EA0D0B">
      <w:pPr>
        <w:spacing w:after="0" w:line="240" w:lineRule="auto"/>
        <w:jc w:val="both"/>
        <w:rPr>
          <w:rFonts w:ascii="Verdana" w:hAnsi="Verdana" w:cs="Arial"/>
          <w:sz w:val="20"/>
          <w:szCs w:val="20"/>
          <w:lang w:eastAsia="x-none"/>
        </w:rPr>
      </w:pPr>
      <w:r w:rsidRPr="0033195A">
        <w:rPr>
          <w:rFonts w:ascii="Verdana" w:hAnsi="Verdana" w:cs="Arial"/>
          <w:bCs/>
          <w:sz w:val="20"/>
          <w:szCs w:val="20"/>
          <w:lang w:eastAsia="x-none"/>
        </w:rPr>
        <w:t xml:space="preserve">El ámbito material de la prohibición contenida en el artículo 33 de la Ley 996 de 2005 está delimitado por la expresión </w:t>
      </w:r>
      <w:r w:rsidRPr="0033195A">
        <w:rPr>
          <w:rFonts w:ascii="Verdana" w:eastAsia="Calibri" w:hAnsi="Verdana" w:cs="Arial"/>
          <w:bCs/>
          <w:i/>
          <w:iCs/>
          <w:sz w:val="20"/>
          <w:szCs w:val="20"/>
        </w:rPr>
        <w:t>“</w:t>
      </w:r>
      <w:r w:rsidRPr="0033195A">
        <w:rPr>
          <w:rFonts w:ascii="Verdana" w:hAnsi="Verdana" w:cs="Arial"/>
          <w:bCs/>
          <w:i/>
          <w:iCs/>
          <w:sz w:val="20"/>
          <w:szCs w:val="20"/>
          <w:lang w:eastAsia="x-none"/>
        </w:rPr>
        <w:t>queda prohibida la contratación directa</w:t>
      </w:r>
      <w:r w:rsidRPr="0033195A">
        <w:rPr>
          <w:rFonts w:ascii="Verdana" w:hAnsi="Verdana" w:cs="Arial"/>
          <w:sz w:val="20"/>
          <w:szCs w:val="20"/>
        </w:rPr>
        <w:t>”</w:t>
      </w:r>
      <w:r w:rsidR="0033195A" w:rsidRPr="0033195A">
        <w:rPr>
          <w:rFonts w:ascii="Verdana" w:hAnsi="Verdana" w:cs="Arial"/>
          <w:bCs/>
          <w:sz w:val="20"/>
          <w:szCs w:val="20"/>
          <w:lang w:eastAsia="x-none"/>
        </w:rPr>
        <w:t xml:space="preserve"> […] </w:t>
      </w:r>
      <w:r w:rsidR="0033195A" w:rsidRPr="0033195A">
        <w:rPr>
          <w:rFonts w:ascii="Verdana" w:hAnsi="Verdana" w:cs="Arial"/>
          <w:sz w:val="20"/>
          <w:szCs w:val="20"/>
          <w:lang w:eastAsia="x-none"/>
        </w:rPr>
        <w:t xml:space="preserve">la prohibición del artículo 33 de la Ley de Garantías Electorales se refiere a </w:t>
      </w:r>
      <w:r w:rsidR="0033195A" w:rsidRPr="0033195A">
        <w:rPr>
          <w:rFonts w:ascii="Verdana" w:hAnsi="Verdana" w:cs="Arial"/>
          <w:sz w:val="20"/>
          <w:szCs w:val="20"/>
          <w:lang w:eastAsia="en-GB"/>
        </w:rPr>
        <w:t>“</w:t>
      </w:r>
      <w:r w:rsidR="0033195A" w:rsidRPr="0033195A">
        <w:rPr>
          <w:rFonts w:ascii="Verdana" w:hAnsi="Verdana" w:cs="Arial"/>
          <w:sz w:val="20"/>
          <w:szCs w:val="20"/>
          <w:lang w:eastAsia="x-none"/>
        </w:rPr>
        <w:t xml:space="preserve">cualquier </w:t>
      </w:r>
      <w:r w:rsidR="0033195A" w:rsidRPr="0033195A">
        <w:rPr>
          <w:rFonts w:ascii="Verdana" w:hAnsi="Verdana" w:cs="Arial"/>
          <w:sz w:val="20"/>
          <w:szCs w:val="20"/>
          <w:lang w:eastAsia="x-none"/>
        </w:rPr>
        <w:lastRenderedPageBreak/>
        <w:t>sistema que no implique convocatoria pública y posibilidad de pluralidad de oferentes</w:t>
      </w:r>
      <w:r w:rsidR="0033195A" w:rsidRPr="0033195A">
        <w:rPr>
          <w:rFonts w:ascii="Verdana" w:hAnsi="Verdana" w:cs="Arial"/>
          <w:sz w:val="20"/>
          <w:szCs w:val="20"/>
          <w:lang w:eastAsia="en-GB"/>
        </w:rPr>
        <w:t>”</w:t>
      </w:r>
      <w:r w:rsidR="0033195A" w:rsidRPr="0033195A">
        <w:rPr>
          <w:rFonts w:ascii="Verdana" w:hAnsi="Verdana" w:cs="Arial"/>
          <w:sz w:val="20"/>
          <w:szCs w:val="20"/>
          <w:lang w:eastAsia="x-none"/>
        </w:rPr>
        <w:t>, por lo que excluye las demás modalidades de contratación previstas en la Ley 1150 de 2007</w:t>
      </w:r>
      <w:r w:rsidR="0033195A">
        <w:rPr>
          <w:rFonts w:ascii="Verdana" w:hAnsi="Verdana" w:cs="Arial"/>
          <w:sz w:val="20"/>
          <w:szCs w:val="20"/>
          <w:lang w:eastAsia="x-none"/>
        </w:rPr>
        <w:t>.</w:t>
      </w:r>
    </w:p>
    <w:p w14:paraId="6D954426" w14:textId="77777777" w:rsidR="0033195A" w:rsidRDefault="0033195A" w:rsidP="00EA0D0B">
      <w:pPr>
        <w:spacing w:after="0" w:line="240" w:lineRule="auto"/>
        <w:jc w:val="both"/>
        <w:rPr>
          <w:rFonts w:ascii="Verdana" w:hAnsi="Verdana" w:cs="Arial"/>
          <w:sz w:val="20"/>
          <w:szCs w:val="20"/>
          <w:lang w:eastAsia="x-none"/>
        </w:rPr>
      </w:pPr>
    </w:p>
    <w:p w14:paraId="30E3A9E3" w14:textId="6D6B0991" w:rsidR="0033195A" w:rsidRPr="009D76DA" w:rsidRDefault="0033195A" w:rsidP="009D76DA">
      <w:pPr>
        <w:spacing w:after="0" w:line="240" w:lineRule="auto"/>
        <w:jc w:val="both"/>
        <w:rPr>
          <w:rFonts w:ascii="Verdana" w:hAnsi="Verdana" w:cs="Arial"/>
          <w:color w:val="000000" w:themeColor="text1"/>
          <w:sz w:val="20"/>
          <w:szCs w:val="20"/>
        </w:rPr>
      </w:pPr>
      <w:r w:rsidRPr="009D76DA">
        <w:rPr>
          <w:rFonts w:ascii="Verdana" w:hAnsi="Verdana" w:cs="Arial"/>
          <w:color w:val="000000" w:themeColor="text1"/>
          <w:sz w:val="20"/>
          <w:szCs w:val="20"/>
        </w:rPr>
        <w:t xml:space="preserve">[…] </w:t>
      </w:r>
    </w:p>
    <w:p w14:paraId="437353EF" w14:textId="77777777" w:rsidR="0033195A" w:rsidRPr="009D76DA" w:rsidRDefault="0033195A" w:rsidP="009D76DA">
      <w:pPr>
        <w:spacing w:after="0" w:line="240" w:lineRule="auto"/>
        <w:jc w:val="both"/>
        <w:rPr>
          <w:rFonts w:ascii="Verdana" w:hAnsi="Verdana" w:cs="Arial"/>
          <w:b/>
          <w:bCs/>
          <w:color w:val="000000" w:themeColor="text1"/>
          <w:sz w:val="20"/>
          <w:szCs w:val="20"/>
        </w:rPr>
      </w:pPr>
    </w:p>
    <w:p w14:paraId="36FB68C3" w14:textId="262C7157" w:rsidR="0033195A" w:rsidRPr="009D76DA" w:rsidRDefault="0033195A" w:rsidP="009D76DA">
      <w:pPr>
        <w:spacing w:after="0" w:line="240" w:lineRule="auto"/>
        <w:jc w:val="both"/>
        <w:rPr>
          <w:rFonts w:ascii="Verdana" w:eastAsia="Arial" w:hAnsi="Verdana" w:cs="Arial"/>
          <w:color w:val="1A1A1A" w:themeColor="background1" w:themeShade="1A"/>
          <w:sz w:val="20"/>
          <w:szCs w:val="20"/>
          <w:lang w:val="es-ES_tradnl"/>
        </w:rPr>
      </w:pPr>
      <w:r w:rsidRPr="009D76DA">
        <w:rPr>
          <w:rFonts w:ascii="Verdana" w:hAnsi="Verdana" w:cs="Arial"/>
          <w:sz w:val="20"/>
          <w:szCs w:val="20"/>
          <w:lang w:eastAsia="x-none"/>
        </w:rPr>
        <w:t xml:space="preserve">[…] </w:t>
      </w:r>
      <w:r w:rsidRPr="009D76DA">
        <w:rPr>
          <w:rFonts w:ascii="Verdana" w:hAnsi="Verdana" w:cs="Arial"/>
          <w:sz w:val="20"/>
          <w:szCs w:val="20"/>
          <w:lang w:eastAsia="x-none"/>
        </w:rPr>
        <w:t xml:space="preserve">la celebración del contrato entre una entidad pública y una persona jurídica de naturaleza privada podrá realizarse en el periodo de restricciones electorales de que trata el artículo 33 de la Ley 996 de 2005 siempre que dicha contratación se derive de un proceso de selección distinto a la contratación directa. </w:t>
      </w:r>
      <w:r w:rsidRPr="009D76DA">
        <w:rPr>
          <w:rFonts w:ascii="Verdana" w:hAnsi="Verdana" w:cs="Arial"/>
          <w:color w:val="1A1A1A" w:themeColor="background1" w:themeShade="1A"/>
          <w:sz w:val="20"/>
          <w:szCs w:val="20"/>
          <w:shd w:val="clear" w:color="auto" w:fill="FFFFFF"/>
          <w:lang w:val="es-ES_tradnl"/>
        </w:rPr>
        <w:t xml:space="preserve">Por lo tanto, en principio lo que está prohibida es </w:t>
      </w:r>
      <w:r w:rsidRPr="009D76DA">
        <w:rPr>
          <w:rFonts w:ascii="Verdana" w:hAnsi="Verdana" w:cs="Arial"/>
          <w:i/>
          <w:iCs/>
          <w:color w:val="1A1A1A" w:themeColor="background1" w:themeShade="1A"/>
          <w:sz w:val="20"/>
          <w:szCs w:val="20"/>
          <w:shd w:val="clear" w:color="auto" w:fill="FFFFFF"/>
          <w:lang w:val="es-ES_tradnl"/>
        </w:rPr>
        <w:t>la contratación directa</w:t>
      </w:r>
      <w:r w:rsidRPr="009D76DA">
        <w:rPr>
          <w:rFonts w:ascii="Verdana" w:hAnsi="Verdana" w:cs="Arial"/>
          <w:color w:val="1A1A1A" w:themeColor="background1" w:themeShade="1A"/>
          <w:sz w:val="20"/>
          <w:szCs w:val="20"/>
          <w:shd w:val="clear" w:color="auto" w:fill="FFFFFF"/>
          <w:lang w:val="es-ES_tradnl"/>
        </w:rPr>
        <w:t xml:space="preserve">, salvo que la contratación que se va a realizar se encuadre en alguna de las excepciones consagradas en el mismo artículo. Lo que está permitido en dicha época son los contratos que se celebren </w:t>
      </w:r>
      <w:r w:rsidRPr="009D76DA">
        <w:rPr>
          <w:rFonts w:ascii="Verdana" w:hAnsi="Verdana" w:cs="Arial"/>
          <w:i/>
          <w:iCs/>
          <w:color w:val="1A1A1A" w:themeColor="background1" w:themeShade="1A"/>
          <w:sz w:val="20"/>
          <w:szCs w:val="20"/>
          <w:shd w:val="clear" w:color="auto" w:fill="FFFFFF"/>
          <w:lang w:val="es-ES_tradnl"/>
        </w:rPr>
        <w:t xml:space="preserve">de manera competitiva. </w:t>
      </w:r>
    </w:p>
    <w:p w14:paraId="38DDFB38" w14:textId="77777777" w:rsidR="0033195A" w:rsidRDefault="0033195A" w:rsidP="00EA0D0B">
      <w:pPr>
        <w:spacing w:after="0" w:line="240" w:lineRule="auto"/>
        <w:jc w:val="both"/>
        <w:rPr>
          <w:rFonts w:ascii="Verdana" w:hAnsi="Verdana" w:cs="Arial"/>
          <w:b/>
          <w:bCs/>
          <w:color w:val="000000" w:themeColor="text1"/>
          <w:sz w:val="20"/>
          <w:szCs w:val="20"/>
          <w:lang w:val="es-ES_tradnl"/>
        </w:rPr>
      </w:pPr>
    </w:p>
    <w:p w14:paraId="4F90F6AE" w14:textId="77777777" w:rsidR="00446305" w:rsidRDefault="00446305" w:rsidP="00446305">
      <w:pPr>
        <w:spacing w:after="0" w:line="240" w:lineRule="auto"/>
        <w:rPr>
          <w:rFonts w:ascii="Verdana" w:hAnsi="Verdana" w:cs="Arial"/>
          <w:b/>
          <w:bCs/>
          <w:color w:val="000000" w:themeColor="text1"/>
        </w:rPr>
      </w:pPr>
      <w:r w:rsidRPr="00446305">
        <w:rPr>
          <w:rFonts w:ascii="Verdana" w:hAnsi="Verdana" w:cs="Arial"/>
          <w:b/>
          <w:bCs/>
          <w:color w:val="000000" w:themeColor="text1"/>
        </w:rPr>
        <w:t xml:space="preserve">LEY DE GARANTÍAS ELECTORALES – Destinatarios </w:t>
      </w:r>
    </w:p>
    <w:p w14:paraId="0F39C42A" w14:textId="77777777" w:rsidR="009D76DA" w:rsidRDefault="009D76DA" w:rsidP="00446305">
      <w:pPr>
        <w:spacing w:after="0" w:line="240" w:lineRule="auto"/>
        <w:rPr>
          <w:rFonts w:ascii="Verdana" w:hAnsi="Verdana" w:cs="Arial"/>
          <w:b/>
          <w:bCs/>
          <w:color w:val="000000" w:themeColor="text1"/>
        </w:rPr>
      </w:pPr>
    </w:p>
    <w:p w14:paraId="1AFFCEE2" w14:textId="71F9A414" w:rsidR="009D76DA" w:rsidRDefault="009D76DA" w:rsidP="009D76DA">
      <w:pPr>
        <w:spacing w:after="0" w:line="240" w:lineRule="auto"/>
        <w:jc w:val="both"/>
        <w:rPr>
          <w:rFonts w:ascii="Verdana" w:hAnsi="Verdana" w:cs="Arial"/>
          <w:color w:val="000000" w:themeColor="text1"/>
          <w:sz w:val="20"/>
          <w:szCs w:val="20"/>
          <w:lang w:val="es-MX"/>
        </w:rPr>
      </w:pPr>
      <w:r w:rsidRPr="009D76DA">
        <w:rPr>
          <w:rFonts w:ascii="Verdana" w:hAnsi="Verdana" w:cs="Arial"/>
          <w:color w:val="000000" w:themeColor="text1"/>
          <w:sz w:val="20"/>
          <w:szCs w:val="20"/>
          <w:lang w:val="es-MX"/>
        </w:rPr>
        <w:t>Ahora bien, en relación con los destinatarios de las restricciones, el artículo 33 de la Ley 996 de 2005 los señala expresamente, en el sentido de que son “</w:t>
      </w:r>
      <w:r w:rsidRPr="009D76DA">
        <w:rPr>
          <w:rFonts w:ascii="Verdana" w:hAnsi="Verdana" w:cs="Arial"/>
          <w:i/>
          <w:color w:val="000000" w:themeColor="text1"/>
          <w:sz w:val="20"/>
          <w:szCs w:val="20"/>
          <w:lang w:val="es-MX"/>
        </w:rPr>
        <w:t>todos los entes del Estado</w:t>
      </w:r>
      <w:r w:rsidRPr="009D76DA">
        <w:rPr>
          <w:rFonts w:ascii="Verdana" w:hAnsi="Verdana" w:cs="Arial"/>
          <w:color w:val="000000" w:themeColor="text1"/>
          <w:sz w:val="20"/>
          <w:szCs w:val="20"/>
          <w:lang w:val="es-MX"/>
        </w:rPr>
        <w:t>”,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cs="Arial"/>
          <w:color w:val="000000" w:themeColor="text1"/>
          <w:sz w:val="20"/>
          <w:szCs w:val="20"/>
          <w:lang w:val="es-MX"/>
        </w:rPr>
        <w:t>.</w:t>
      </w:r>
    </w:p>
    <w:p w14:paraId="7243A95D" w14:textId="77777777" w:rsidR="009D76DA" w:rsidRPr="009D76DA" w:rsidRDefault="009D76DA" w:rsidP="009D76DA">
      <w:pPr>
        <w:spacing w:after="0" w:line="240" w:lineRule="auto"/>
        <w:jc w:val="both"/>
        <w:rPr>
          <w:rFonts w:ascii="Verdana" w:hAnsi="Verdana" w:cs="Arial"/>
          <w:b/>
          <w:bCs/>
          <w:color w:val="000000" w:themeColor="text1"/>
          <w:sz w:val="20"/>
          <w:szCs w:val="20"/>
        </w:rPr>
      </w:pPr>
    </w:p>
    <w:p w14:paraId="44F844E0" w14:textId="77777777" w:rsidR="00446305" w:rsidRDefault="00446305" w:rsidP="00446305">
      <w:pPr>
        <w:spacing w:after="0" w:line="240" w:lineRule="auto"/>
        <w:rPr>
          <w:rFonts w:ascii="Verdana" w:hAnsi="Verdana" w:cs="Arial"/>
          <w:b/>
          <w:bCs/>
          <w:color w:val="000000" w:themeColor="text1"/>
        </w:rPr>
      </w:pPr>
      <w:r w:rsidRPr="00446305">
        <w:rPr>
          <w:rFonts w:ascii="Verdana" w:hAnsi="Verdana" w:cs="Arial"/>
          <w:b/>
          <w:bCs/>
          <w:color w:val="000000" w:themeColor="text1"/>
        </w:rPr>
        <w:t xml:space="preserve">LEY DE GARANTÍAS ELECTORALES – Excepciones </w:t>
      </w:r>
    </w:p>
    <w:p w14:paraId="30D3D3B4" w14:textId="77777777" w:rsidR="009D76DA" w:rsidRDefault="009D76DA" w:rsidP="00446305">
      <w:pPr>
        <w:spacing w:after="0" w:line="240" w:lineRule="auto"/>
        <w:rPr>
          <w:rFonts w:ascii="Verdana" w:hAnsi="Verdana" w:cs="Arial"/>
          <w:b/>
          <w:bCs/>
          <w:color w:val="000000" w:themeColor="text1"/>
        </w:rPr>
      </w:pPr>
    </w:p>
    <w:p w14:paraId="7DEC66B4" w14:textId="77777777" w:rsidR="009D76DA" w:rsidRPr="009D76DA" w:rsidRDefault="009D76DA" w:rsidP="009D76DA">
      <w:pPr>
        <w:spacing w:after="0" w:line="240" w:lineRule="auto"/>
        <w:jc w:val="both"/>
        <w:rPr>
          <w:rFonts w:ascii="Verdana" w:hAnsi="Verdana" w:cs="Arial"/>
          <w:bCs/>
          <w:sz w:val="20"/>
          <w:szCs w:val="20"/>
          <w:lang w:eastAsia="x-none"/>
        </w:rPr>
      </w:pPr>
      <w:r w:rsidRPr="009D76DA">
        <w:rPr>
          <w:rFonts w:ascii="Verdana" w:eastAsia="Times New Roman" w:hAnsi="Verdana" w:cs="Arial"/>
          <w:bCs/>
          <w:sz w:val="20"/>
          <w:szCs w:val="20"/>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9D76DA">
        <w:rPr>
          <w:rFonts w:ascii="Verdana" w:eastAsia="Times New Roman" w:hAnsi="Verdana" w:cs="Arial"/>
          <w:bCs/>
          <w:sz w:val="20"/>
          <w:szCs w:val="20"/>
          <w:lang w:val="es-ES" w:eastAsia="es-CO" w:bidi="es-ES"/>
        </w:rPr>
        <w:t>ii</w:t>
      </w:r>
      <w:proofErr w:type="spellEnd"/>
      <w:r w:rsidRPr="009D76DA">
        <w:rPr>
          <w:rFonts w:ascii="Verdana" w:eastAsia="Times New Roman" w:hAnsi="Verdana" w:cs="Arial"/>
          <w:bCs/>
          <w:sz w:val="20"/>
          <w:szCs w:val="20"/>
          <w:lang w:val="es-ES" w:eastAsia="es-CO" w:bidi="es-ES"/>
        </w:rPr>
        <w:t xml:space="preserve">) los contratos de crédito público; </w:t>
      </w:r>
      <w:proofErr w:type="spellStart"/>
      <w:r w:rsidRPr="009D76DA">
        <w:rPr>
          <w:rFonts w:ascii="Verdana" w:eastAsia="Times New Roman" w:hAnsi="Verdana" w:cs="Arial"/>
          <w:bCs/>
          <w:sz w:val="20"/>
          <w:szCs w:val="20"/>
          <w:lang w:val="es-ES" w:eastAsia="es-CO" w:bidi="es-ES"/>
        </w:rPr>
        <w:t>iii</w:t>
      </w:r>
      <w:proofErr w:type="spellEnd"/>
      <w:r w:rsidRPr="009D76DA">
        <w:rPr>
          <w:rFonts w:ascii="Verdana" w:eastAsia="Times New Roman" w:hAnsi="Verdana" w:cs="Arial"/>
          <w:bCs/>
          <w:sz w:val="20"/>
          <w:szCs w:val="20"/>
          <w:lang w:val="es-ES" w:eastAsia="es-CO" w:bidi="es-ES"/>
        </w:rPr>
        <w:t xml:space="preserve">) los requeridos para cubrir las emergencias educativas, sanitarias y desastres; </w:t>
      </w:r>
      <w:proofErr w:type="spellStart"/>
      <w:r w:rsidRPr="009D76DA">
        <w:rPr>
          <w:rFonts w:ascii="Verdana" w:eastAsia="Times New Roman" w:hAnsi="Verdana" w:cs="Arial"/>
          <w:bCs/>
          <w:sz w:val="20"/>
          <w:szCs w:val="20"/>
          <w:lang w:val="es-ES" w:eastAsia="es-CO" w:bidi="es-ES"/>
        </w:rPr>
        <w:t>iv</w:t>
      </w:r>
      <w:proofErr w:type="spellEnd"/>
      <w:r w:rsidRPr="009D76DA">
        <w:rPr>
          <w:rFonts w:ascii="Verdana" w:eastAsia="Times New Roman" w:hAnsi="Verdana" w:cs="Arial"/>
          <w:bCs/>
          <w:sz w:val="20"/>
          <w:szCs w:val="20"/>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9D76DA">
        <w:rPr>
          <w:rFonts w:ascii="Verdana" w:hAnsi="Verdana" w:cs="Arial"/>
          <w:bCs/>
          <w:sz w:val="20"/>
          <w:szCs w:val="20"/>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03D24AD5" w14:textId="77777777" w:rsidR="009D76DA" w:rsidRDefault="009D76DA" w:rsidP="00446305">
      <w:pPr>
        <w:spacing w:after="0" w:line="240" w:lineRule="auto"/>
        <w:rPr>
          <w:rFonts w:ascii="Verdana" w:hAnsi="Verdana" w:cs="Arial"/>
          <w:b/>
          <w:bCs/>
          <w:color w:val="000000" w:themeColor="text1"/>
        </w:rPr>
      </w:pPr>
    </w:p>
    <w:p w14:paraId="091B6D2C" w14:textId="4F8DC145" w:rsidR="00446305" w:rsidRDefault="009D76DA" w:rsidP="00446305">
      <w:pPr>
        <w:spacing w:after="0" w:line="240" w:lineRule="auto"/>
        <w:rPr>
          <w:rFonts w:ascii="Verdana" w:hAnsi="Verdana" w:cs="Arial"/>
          <w:b/>
          <w:bCs/>
          <w:color w:val="000000" w:themeColor="text1"/>
        </w:rPr>
      </w:pPr>
      <w:r>
        <w:rPr>
          <w:rFonts w:ascii="Verdana" w:hAnsi="Verdana" w:cs="Arial"/>
          <w:b/>
          <w:bCs/>
          <w:color w:val="000000" w:themeColor="text1"/>
        </w:rPr>
        <w:t xml:space="preserve">LEY </w:t>
      </w:r>
      <w:r w:rsidR="00446305" w:rsidRPr="00446305">
        <w:rPr>
          <w:rFonts w:ascii="Verdana" w:hAnsi="Verdana" w:cs="Arial"/>
          <w:b/>
          <w:bCs/>
          <w:color w:val="000000" w:themeColor="text1"/>
        </w:rPr>
        <w:t xml:space="preserve">DE GARANTÍAS ELECTORALES – Parágrafo del artículo 38 </w:t>
      </w:r>
    </w:p>
    <w:p w14:paraId="7EA8646B" w14:textId="77777777" w:rsidR="009D76DA" w:rsidRDefault="009D76DA" w:rsidP="00446305">
      <w:pPr>
        <w:spacing w:after="0" w:line="240" w:lineRule="auto"/>
        <w:rPr>
          <w:rFonts w:ascii="Verdana" w:hAnsi="Verdana" w:cs="Arial"/>
          <w:b/>
          <w:bCs/>
          <w:color w:val="000000" w:themeColor="text1"/>
        </w:rPr>
      </w:pPr>
    </w:p>
    <w:p w14:paraId="22F3FF8D" w14:textId="35097E4F" w:rsidR="009D76DA" w:rsidRPr="009D76DA" w:rsidRDefault="009D76DA" w:rsidP="009D76DA">
      <w:pPr>
        <w:spacing w:after="0" w:line="240" w:lineRule="auto"/>
        <w:jc w:val="both"/>
        <w:rPr>
          <w:rFonts w:ascii="Verdana" w:hAnsi="Verdana" w:cs="Arial"/>
          <w:b/>
          <w:bCs/>
          <w:color w:val="000000" w:themeColor="text1"/>
          <w:sz w:val="20"/>
          <w:szCs w:val="20"/>
        </w:rPr>
      </w:pPr>
      <w:r>
        <w:rPr>
          <w:rFonts w:ascii="Verdana" w:hAnsi="Verdana" w:cs="Arial"/>
          <w:sz w:val="20"/>
          <w:szCs w:val="20"/>
          <w:lang w:val="es-ES"/>
        </w:rPr>
        <w:t xml:space="preserve">[…] </w:t>
      </w:r>
      <w:r w:rsidRPr="009D76DA">
        <w:rPr>
          <w:rFonts w:ascii="Verdana" w:hAnsi="Verdana" w:cs="Arial"/>
          <w:sz w:val="20"/>
          <w:szCs w:val="20"/>
          <w:lang w:val="es-ES"/>
        </w:rPr>
        <w:t xml:space="preserve">respecto del alcance del parágrafo </w:t>
      </w:r>
      <w:r w:rsidRPr="009D76DA">
        <w:rPr>
          <w:rFonts w:ascii="Verdana" w:hAnsi="Verdana" w:cs="Arial"/>
          <w:sz w:val="20"/>
          <w:szCs w:val="20"/>
        </w:rPr>
        <w:t xml:space="preserve">del artículo 38 de la Ley 996 de 2005, esta prohibición dispone en primera medida que: “[l]os Gobernadores, </w:t>
      </w:r>
      <w:proofErr w:type="gramStart"/>
      <w:r w:rsidRPr="009D76DA">
        <w:rPr>
          <w:rFonts w:ascii="Verdana" w:hAnsi="Verdana" w:cs="Arial"/>
          <w:sz w:val="20"/>
          <w:szCs w:val="20"/>
        </w:rPr>
        <w:t>Alcaldes</w:t>
      </w:r>
      <w:proofErr w:type="gramEnd"/>
      <w:r w:rsidRPr="009D76DA">
        <w:rPr>
          <w:rFonts w:ascii="Verdana" w:hAnsi="Verdana" w:cs="Arial"/>
          <w:sz w:val="20"/>
          <w:szCs w:val="20"/>
        </w:rPr>
        <w:t xml:space="preserve"> Municipales y/o Distritales, </w:t>
      </w:r>
      <w:proofErr w:type="gramStart"/>
      <w:r w:rsidRPr="009D76DA">
        <w:rPr>
          <w:rFonts w:ascii="Verdana" w:hAnsi="Verdana" w:cs="Arial"/>
          <w:sz w:val="20"/>
          <w:szCs w:val="20"/>
        </w:rPr>
        <w:t>Secretarios</w:t>
      </w:r>
      <w:proofErr w:type="gramEnd"/>
      <w:r w:rsidRPr="009D76DA">
        <w:rPr>
          <w:rFonts w:ascii="Verdana" w:hAnsi="Verdana" w:cs="Arial"/>
          <w:sz w:val="20"/>
          <w:szCs w:val="20"/>
        </w:rPr>
        <w:t xml:space="preserve">, Gerentes y directores de Entidades Descentralizadas del orden Municipal, Departamental o Distrital, dentro de los cuatro (4) meses anteriores a las elecciones, no podrán celebrar </w:t>
      </w:r>
      <w:r w:rsidRPr="009D76DA">
        <w:rPr>
          <w:rFonts w:ascii="Verdana" w:hAnsi="Verdana" w:cs="Arial"/>
          <w:i/>
          <w:iCs/>
          <w:sz w:val="20"/>
          <w:szCs w:val="20"/>
        </w:rPr>
        <w:t>convenios interadministrativos</w:t>
      </w:r>
      <w:r w:rsidRPr="009D76DA">
        <w:rPr>
          <w:rFonts w:ascii="Verdana" w:hAnsi="Verdana" w:cs="Arial"/>
          <w:sz w:val="20"/>
          <w:szCs w:val="20"/>
        </w:rPr>
        <w:t xml:space="preserve"> </w:t>
      </w:r>
      <w:r w:rsidRPr="009D76DA">
        <w:rPr>
          <w:rFonts w:ascii="Verdana" w:hAnsi="Verdana" w:cs="Arial"/>
          <w:i/>
          <w:iCs/>
          <w:sz w:val="20"/>
          <w:szCs w:val="20"/>
        </w:rPr>
        <w:t>para la ejecución de recursos públicos</w:t>
      </w:r>
      <w:r w:rsidRPr="009D76DA">
        <w:rPr>
          <w:rFonts w:ascii="Verdana" w:hAnsi="Verdana" w:cs="Arial"/>
          <w:sz w:val="20"/>
          <w:szCs w:val="20"/>
        </w:rPr>
        <w:t>”.</w:t>
      </w:r>
    </w:p>
    <w:p w14:paraId="061F21BC" w14:textId="77777777" w:rsidR="00446305" w:rsidRDefault="00446305" w:rsidP="00446305">
      <w:pPr>
        <w:spacing w:after="0" w:line="240" w:lineRule="auto"/>
        <w:rPr>
          <w:rFonts w:ascii="Verdana" w:hAnsi="Verdana" w:cs="Arial"/>
          <w:b/>
          <w:bCs/>
          <w:color w:val="000000" w:themeColor="text1"/>
        </w:rPr>
      </w:pPr>
    </w:p>
    <w:p w14:paraId="4E5C359B" w14:textId="77777777" w:rsidR="00446305" w:rsidRDefault="00446305" w:rsidP="009D76DA">
      <w:pPr>
        <w:spacing w:after="0" w:line="240" w:lineRule="auto"/>
        <w:jc w:val="both"/>
        <w:rPr>
          <w:rFonts w:ascii="Verdana" w:hAnsi="Verdana" w:cs="Arial"/>
          <w:b/>
          <w:bCs/>
          <w:color w:val="000000" w:themeColor="text1"/>
        </w:rPr>
      </w:pPr>
      <w:r w:rsidRPr="00446305">
        <w:rPr>
          <w:rFonts w:ascii="Verdana" w:hAnsi="Verdana" w:cs="Arial"/>
          <w:b/>
          <w:bCs/>
          <w:color w:val="000000" w:themeColor="text1"/>
        </w:rPr>
        <w:t xml:space="preserve">LEY DE GARANTÍAS ELECTORALES – Convenios y contratos interadministrativos  </w:t>
      </w:r>
    </w:p>
    <w:p w14:paraId="05317F9D" w14:textId="77777777" w:rsidR="009D76DA" w:rsidRPr="009D76DA" w:rsidRDefault="009D76DA" w:rsidP="009D76DA">
      <w:pPr>
        <w:spacing w:after="0" w:line="240" w:lineRule="auto"/>
        <w:jc w:val="both"/>
        <w:rPr>
          <w:rFonts w:ascii="Verdana" w:hAnsi="Verdana" w:cs="Arial"/>
          <w:b/>
          <w:bCs/>
          <w:color w:val="000000" w:themeColor="text1"/>
          <w:sz w:val="20"/>
          <w:szCs w:val="20"/>
        </w:rPr>
      </w:pPr>
    </w:p>
    <w:p w14:paraId="0A57F248" w14:textId="77777777" w:rsidR="009D76DA" w:rsidRDefault="009D76DA" w:rsidP="009D76DA">
      <w:pPr>
        <w:spacing w:after="0" w:line="240" w:lineRule="auto"/>
        <w:jc w:val="both"/>
        <w:rPr>
          <w:rFonts w:ascii="Verdana" w:eastAsia="Calibri" w:hAnsi="Verdana" w:cs="Arial"/>
          <w:sz w:val="20"/>
          <w:szCs w:val="20"/>
          <w:lang w:val="es-ES"/>
        </w:rPr>
      </w:pPr>
      <w:r>
        <w:rPr>
          <w:rFonts w:ascii="Verdana" w:eastAsia="Times New Roman" w:hAnsi="Verdana" w:cs="Arial"/>
          <w:sz w:val="20"/>
          <w:szCs w:val="20"/>
          <w:lang w:val="es-ES" w:eastAsia="es-ES"/>
        </w:rPr>
        <w:t xml:space="preserve">[…] </w:t>
      </w:r>
      <w:r w:rsidRPr="009D76DA">
        <w:rPr>
          <w:rFonts w:ascii="Verdana" w:eastAsia="Times New Roman" w:hAnsi="Verdana" w:cs="Arial"/>
          <w:sz w:val="20"/>
          <w:szCs w:val="20"/>
          <w:lang w:val="es-ES" w:eastAsia="es-ES"/>
        </w:rPr>
        <w:t xml:space="preserve">debe precisarse que </w:t>
      </w:r>
      <w:r w:rsidRPr="009D76DA">
        <w:rPr>
          <w:rFonts w:ascii="Verdana" w:eastAsia="Times New Roman" w:hAnsi="Verdana" w:cs="Arial"/>
          <w:color w:val="000000" w:themeColor="text1"/>
          <w:sz w:val="20"/>
          <w:szCs w:val="20"/>
          <w:lang w:val="es-ES" w:eastAsia="es-CO"/>
        </w:rPr>
        <w:t xml:space="preserve">los contratos o convenios interadministrativos están determinados por un criterio orgánico, pues es necesario que los extremos de la relación contractual sean entidades públicas, </w:t>
      </w:r>
      <w:r w:rsidRPr="009D76DA">
        <w:rPr>
          <w:rFonts w:ascii="Verdana" w:hAnsi="Verdana" w:cs="Arial"/>
          <w:sz w:val="20"/>
          <w:szCs w:val="20"/>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0D289E8A" w14:textId="77777777" w:rsidR="009D76DA" w:rsidRDefault="009D76DA" w:rsidP="009D76DA">
      <w:pPr>
        <w:spacing w:after="0" w:line="240" w:lineRule="auto"/>
        <w:jc w:val="both"/>
        <w:rPr>
          <w:rFonts w:ascii="Verdana" w:eastAsia="Calibri" w:hAnsi="Verdana" w:cs="Arial"/>
          <w:sz w:val="20"/>
          <w:szCs w:val="20"/>
          <w:lang w:val="es-ES"/>
        </w:rPr>
      </w:pPr>
    </w:p>
    <w:p w14:paraId="0DC716F6" w14:textId="6AF67D0F" w:rsidR="009D76DA" w:rsidRDefault="009D76DA" w:rsidP="009D76DA">
      <w:pPr>
        <w:spacing w:after="0" w:line="240" w:lineRule="auto"/>
        <w:jc w:val="both"/>
        <w:rPr>
          <w:rFonts w:ascii="Verdana" w:hAnsi="Verdana" w:cs="Arial"/>
          <w:color w:val="000000" w:themeColor="text1"/>
          <w:sz w:val="20"/>
          <w:szCs w:val="20"/>
          <w:lang w:val="es-ES_tradnl"/>
        </w:rPr>
      </w:pPr>
      <w:r w:rsidRPr="009D76DA">
        <w:rPr>
          <w:rFonts w:ascii="Verdana" w:hAnsi="Verdana" w:cs="Arial"/>
          <w:color w:val="000000" w:themeColor="text1"/>
          <w:sz w:val="20"/>
          <w:szCs w:val="20"/>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6E9F546C" w14:textId="77777777" w:rsidR="009D76DA" w:rsidRDefault="009D76DA" w:rsidP="009D76DA">
      <w:pPr>
        <w:spacing w:after="0" w:line="240" w:lineRule="auto"/>
        <w:jc w:val="both"/>
        <w:rPr>
          <w:rFonts w:ascii="Verdana" w:hAnsi="Verdana" w:cs="Arial"/>
          <w:color w:val="000000" w:themeColor="text1"/>
          <w:sz w:val="20"/>
          <w:szCs w:val="20"/>
          <w:lang w:val="es-ES_tradnl"/>
        </w:rPr>
      </w:pPr>
    </w:p>
    <w:p w14:paraId="6D79135A" w14:textId="704ADAAB" w:rsidR="009D76DA" w:rsidRPr="009D76DA" w:rsidRDefault="009D76DA" w:rsidP="009D76DA">
      <w:pPr>
        <w:spacing w:after="0" w:line="240" w:lineRule="auto"/>
        <w:jc w:val="both"/>
        <w:rPr>
          <w:rFonts w:ascii="Verdana" w:eastAsia="Calibri" w:hAnsi="Verdana" w:cs="Arial"/>
          <w:sz w:val="20"/>
          <w:szCs w:val="20"/>
          <w:lang w:val="es-ES_tradnl"/>
        </w:rPr>
      </w:pPr>
      <w:r w:rsidRPr="009D76DA">
        <w:rPr>
          <w:rFonts w:ascii="Verdana" w:eastAsia="Calibri" w:hAnsi="Verdana" w:cs="Arial"/>
          <w:sz w:val="20"/>
          <w:szCs w:val="20"/>
          <w:lang w:val="es-ES_tradnl"/>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 Nótese que, en este caso, lo que cambia es la modalidad de selección y no la naturaleza de contrato interadministrativo.</w:t>
      </w:r>
    </w:p>
    <w:p w14:paraId="37825C64" w14:textId="77777777" w:rsidR="009D76DA" w:rsidRPr="009D76DA" w:rsidRDefault="009D76DA" w:rsidP="009D76DA">
      <w:pPr>
        <w:spacing w:after="0" w:line="240" w:lineRule="auto"/>
        <w:jc w:val="both"/>
        <w:rPr>
          <w:rFonts w:ascii="Verdana" w:hAnsi="Verdana" w:cs="Arial"/>
          <w:b/>
          <w:bCs/>
          <w:color w:val="000000" w:themeColor="text1"/>
          <w:lang w:val="es-ES"/>
        </w:rPr>
      </w:pPr>
    </w:p>
    <w:p w14:paraId="4A870C6F" w14:textId="48049EB1" w:rsidR="00446305" w:rsidRPr="009D76DA" w:rsidRDefault="009D76DA" w:rsidP="009D76DA">
      <w:pPr>
        <w:spacing w:after="0" w:line="240" w:lineRule="auto"/>
        <w:jc w:val="both"/>
        <w:rPr>
          <w:rFonts w:ascii="Verdana" w:hAnsi="Verdana" w:cs="Arial"/>
          <w:color w:val="000000" w:themeColor="text1"/>
          <w:sz w:val="20"/>
          <w:szCs w:val="20"/>
          <w:lang w:val="es-MX"/>
        </w:rPr>
      </w:pPr>
      <w:r w:rsidRPr="009D76DA">
        <w:rPr>
          <w:rFonts w:ascii="Verdana" w:hAnsi="Verdana" w:cs="Arial"/>
          <w:color w:val="000000" w:themeColor="text1"/>
          <w:sz w:val="20"/>
          <w:szCs w:val="20"/>
        </w:rPr>
        <w:t xml:space="preserve">[…] </w:t>
      </w:r>
      <w:r w:rsidRPr="009D76DA">
        <w:rPr>
          <w:rFonts w:ascii="Verdana" w:hAnsi="Verdana" w:cs="Arial"/>
          <w:color w:val="000000" w:themeColor="text1"/>
          <w:sz w:val="20"/>
          <w:szCs w:val="20"/>
        </w:rPr>
        <w:t xml:space="preserve">el parágrafo del artículo 38 de la Ley 996 de 2005 prohíbe a los </w:t>
      </w:r>
      <w:proofErr w:type="gramStart"/>
      <w:r w:rsidRPr="009D76DA">
        <w:rPr>
          <w:rFonts w:ascii="Verdana" w:hAnsi="Verdana" w:cs="Arial"/>
          <w:color w:val="000000" w:themeColor="text1"/>
          <w:sz w:val="20"/>
          <w:szCs w:val="20"/>
        </w:rPr>
        <w:t>Alcaldes</w:t>
      </w:r>
      <w:proofErr w:type="gramEnd"/>
      <w:r w:rsidRPr="009D76DA">
        <w:rPr>
          <w:rFonts w:ascii="Verdana" w:hAnsi="Verdana" w:cs="Arial"/>
          <w:color w:val="000000" w:themeColor="text1"/>
          <w:sz w:val="20"/>
          <w:szCs w:val="20"/>
        </w:rPr>
        <w:t xml:space="preserve">, Gobernadores, </w:t>
      </w:r>
      <w:proofErr w:type="gramStart"/>
      <w:r w:rsidRPr="009D76DA">
        <w:rPr>
          <w:rFonts w:ascii="Verdana" w:hAnsi="Verdana" w:cs="Arial"/>
          <w:color w:val="000000" w:themeColor="text1"/>
          <w:sz w:val="20"/>
          <w:szCs w:val="20"/>
        </w:rPr>
        <w:t>Secretarios</w:t>
      </w:r>
      <w:proofErr w:type="gramEnd"/>
      <w:r w:rsidRPr="009D76DA">
        <w:rPr>
          <w:rFonts w:ascii="Verdana" w:hAnsi="Verdana" w:cs="Arial"/>
          <w:color w:val="000000" w:themeColor="text1"/>
          <w:sz w:val="20"/>
          <w:szCs w:val="20"/>
        </w:rPr>
        <w:t xml:space="preserve">, Gerentes y </w:t>
      </w:r>
      <w:proofErr w:type="gramStart"/>
      <w:r w:rsidRPr="009D76DA">
        <w:rPr>
          <w:rFonts w:ascii="Verdana" w:hAnsi="Verdana" w:cs="Arial"/>
          <w:color w:val="000000" w:themeColor="text1"/>
          <w:sz w:val="20"/>
          <w:szCs w:val="20"/>
        </w:rPr>
        <w:t>Directores</w:t>
      </w:r>
      <w:proofErr w:type="gramEnd"/>
      <w:r w:rsidRPr="009D76DA">
        <w:rPr>
          <w:rFonts w:ascii="Verdana" w:hAnsi="Verdana" w:cs="Arial"/>
          <w:color w:val="000000" w:themeColor="text1"/>
          <w:sz w:val="20"/>
          <w:szCs w:val="20"/>
        </w:rPr>
        <w:t xml:space="preserve"> de las entidades del orden municipal, departamental o distrital celebrar convenios interadministrativos para la ejecución de recursos públicos. En este sentido, si una o ambas partes de la relación contractual es una entidad de aquellas descritas en el parágrafo ibidem, es decir, alcaldías, gobernaciones, secretarías de despacho, así como entidades descentralizadas por servicios del orden municipal, departamental o distrital no podrá celebrar tales convenios durante la aplicación de la Ley de Garantías Electorales, toda vez que la citada disposición se refiere a dicha tipología contractual sin que el legislador hubiere contemplado un efecto extensivo a otra tipología.</w:t>
      </w:r>
    </w:p>
    <w:p w14:paraId="28D48E82" w14:textId="77777777" w:rsidR="009D76DA" w:rsidRDefault="009D76DA" w:rsidP="00446305">
      <w:pPr>
        <w:spacing w:after="0" w:line="240" w:lineRule="auto"/>
        <w:rPr>
          <w:rFonts w:ascii="Verdana" w:hAnsi="Verdana" w:cs="Arial"/>
          <w:b/>
          <w:bCs/>
          <w:color w:val="000000" w:themeColor="text1"/>
        </w:rPr>
      </w:pPr>
    </w:p>
    <w:p w14:paraId="4B47E3A0" w14:textId="7448D306" w:rsidR="00446305" w:rsidRDefault="00446305" w:rsidP="00446305">
      <w:pPr>
        <w:spacing w:after="0" w:line="240" w:lineRule="auto"/>
        <w:rPr>
          <w:rFonts w:ascii="Verdana" w:hAnsi="Verdana" w:cs="Arial"/>
          <w:b/>
          <w:bCs/>
          <w:color w:val="000000" w:themeColor="text1"/>
        </w:rPr>
      </w:pPr>
      <w:r w:rsidRPr="00446305">
        <w:rPr>
          <w:rFonts w:ascii="Verdana" w:hAnsi="Verdana" w:cs="Arial"/>
          <w:b/>
          <w:bCs/>
          <w:color w:val="000000" w:themeColor="text1"/>
        </w:rPr>
        <w:t xml:space="preserve">LEY DE GARANTÁS ELECTORALES – Posición jurisprudencial  </w:t>
      </w:r>
    </w:p>
    <w:p w14:paraId="5E94157C" w14:textId="77777777" w:rsidR="009D76DA" w:rsidRDefault="009D76DA" w:rsidP="00446305">
      <w:pPr>
        <w:spacing w:after="0" w:line="240" w:lineRule="auto"/>
        <w:rPr>
          <w:rFonts w:ascii="Verdana" w:hAnsi="Verdana" w:cs="Arial"/>
          <w:b/>
          <w:bCs/>
          <w:color w:val="000000" w:themeColor="text1"/>
        </w:rPr>
      </w:pPr>
    </w:p>
    <w:p w14:paraId="645F3ED8" w14:textId="286F6D5C" w:rsidR="009D76DA" w:rsidRDefault="009D76DA" w:rsidP="009D76DA">
      <w:pPr>
        <w:spacing w:after="0" w:line="240" w:lineRule="auto"/>
        <w:jc w:val="both"/>
        <w:rPr>
          <w:rFonts w:ascii="Verdana" w:eastAsia="Times New Roman" w:hAnsi="Verdana" w:cs="Times New Roman"/>
          <w:sz w:val="20"/>
          <w:szCs w:val="20"/>
          <w:lang w:eastAsia="es-ES"/>
        </w:rPr>
      </w:pPr>
      <w:r w:rsidRPr="009D76DA">
        <w:rPr>
          <w:rFonts w:ascii="Verdana" w:hAnsi="Verdana" w:cs="Arial"/>
          <w:color w:val="000000" w:themeColor="text1"/>
          <w:sz w:val="20"/>
          <w:szCs w:val="20"/>
        </w:rPr>
        <w:t xml:space="preserve">[…] </w:t>
      </w:r>
      <w:r w:rsidRPr="009D76DA">
        <w:rPr>
          <w:rFonts w:ascii="Verdana" w:eastAsia="Times New Roman" w:hAnsi="Verdana" w:cs="Times New Roman"/>
          <w:sz w:val="20"/>
          <w:szCs w:val="20"/>
          <w:lang w:eastAsia="es-ES"/>
        </w:rPr>
        <w:t>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w:t>
      </w:r>
    </w:p>
    <w:p w14:paraId="2C9FB6A9" w14:textId="77777777" w:rsidR="009D76DA" w:rsidRDefault="009D76DA" w:rsidP="009D76DA">
      <w:pPr>
        <w:spacing w:after="0" w:line="240" w:lineRule="auto"/>
        <w:jc w:val="both"/>
        <w:rPr>
          <w:rFonts w:ascii="Verdana" w:eastAsia="Times New Roman" w:hAnsi="Verdana" w:cs="Times New Roman"/>
          <w:sz w:val="20"/>
          <w:szCs w:val="20"/>
          <w:lang w:eastAsia="es-ES"/>
        </w:rPr>
      </w:pPr>
    </w:p>
    <w:p w14:paraId="5CA8AE06" w14:textId="1EF6CCFA" w:rsidR="009D76DA" w:rsidRPr="009D76DA" w:rsidRDefault="009D76DA" w:rsidP="009D76DA">
      <w:pPr>
        <w:spacing w:after="0" w:line="240" w:lineRule="auto"/>
        <w:jc w:val="both"/>
        <w:rPr>
          <w:rFonts w:ascii="Verdana" w:eastAsia="Times New Roman" w:hAnsi="Verdana" w:cs="Times New Roman"/>
          <w:sz w:val="20"/>
          <w:szCs w:val="20"/>
          <w:lang w:eastAsia="es-ES"/>
        </w:rPr>
      </w:pPr>
      <w:r w:rsidRPr="009D76DA">
        <w:rPr>
          <w:rFonts w:ascii="Verdana" w:eastAsia="Times New Roman" w:hAnsi="Verdana" w:cs="Times New Roman"/>
          <w:sz w:val="20"/>
          <w:szCs w:val="20"/>
          <w:lang w:eastAsia="es-ES"/>
        </w:rPr>
        <w:t xml:space="preserve">[…] </w:t>
      </w:r>
    </w:p>
    <w:p w14:paraId="26C1A55A" w14:textId="77777777" w:rsidR="009D76DA" w:rsidRPr="009D76DA" w:rsidRDefault="009D76DA" w:rsidP="009D76DA">
      <w:pPr>
        <w:spacing w:after="0" w:line="240" w:lineRule="auto"/>
        <w:jc w:val="both"/>
        <w:rPr>
          <w:rFonts w:ascii="Verdana" w:eastAsia="Times New Roman" w:hAnsi="Verdana" w:cs="Times New Roman"/>
          <w:sz w:val="20"/>
          <w:szCs w:val="20"/>
          <w:lang w:eastAsia="es-ES"/>
        </w:rPr>
      </w:pPr>
    </w:p>
    <w:p w14:paraId="1597A4C6" w14:textId="34DE07FF" w:rsidR="009D76DA" w:rsidRPr="009D76DA" w:rsidRDefault="009D76DA" w:rsidP="009D76DA">
      <w:pPr>
        <w:spacing w:after="0" w:line="240" w:lineRule="auto"/>
        <w:jc w:val="both"/>
        <w:rPr>
          <w:rFonts w:ascii="Verdana" w:eastAsia="Times New Roman" w:hAnsi="Verdana" w:cs="Arial"/>
          <w:sz w:val="20"/>
          <w:szCs w:val="20"/>
          <w:lang w:eastAsia="es-CO"/>
        </w:rPr>
      </w:pPr>
      <w:r w:rsidRPr="009D76DA">
        <w:rPr>
          <w:rFonts w:ascii="Verdana" w:eastAsia="Times New Roman" w:hAnsi="Verdana" w:cs="Arial"/>
          <w:sz w:val="20"/>
          <w:szCs w:val="20"/>
          <w:lang w:eastAsia="es-CO"/>
        </w:rPr>
        <w:t xml:space="preserve">[…] </w:t>
      </w:r>
      <w:r w:rsidRPr="009D76DA">
        <w:rPr>
          <w:rFonts w:ascii="Verdana" w:eastAsia="Times New Roman" w:hAnsi="Verdana" w:cs="Arial"/>
          <w:sz w:val="20"/>
          <w:szCs w:val="20"/>
          <w:lang w:eastAsia="es-CO"/>
        </w:rPr>
        <w:t xml:space="preserve">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9D76DA">
        <w:rPr>
          <w:rFonts w:ascii="Verdana" w:eastAsia="Times New Roman" w:hAnsi="Verdana" w:cs="Arial"/>
          <w:i/>
          <w:iCs/>
          <w:sz w:val="20"/>
          <w:szCs w:val="20"/>
          <w:lang w:eastAsia="es-CO"/>
        </w:rPr>
        <w:t>contratos interadministrativos</w:t>
      </w:r>
      <w:r w:rsidRPr="009D76DA">
        <w:rPr>
          <w:rFonts w:ascii="Verdana" w:eastAsia="Times New Roman" w:hAnsi="Verdana" w:cs="Arial"/>
          <w:sz w:val="20"/>
          <w:szCs w:val="20"/>
          <w:lang w:eastAsia="es-CO"/>
        </w:rPr>
        <w:t xml:space="preserve">, esta prohibición solo aplicaría a los convenios interadministrativos que impliquen la ejecución de recursos públicos. Conforme a lo señalado por el Consejo de Estado, cuando dos entidades públicas celebren un </w:t>
      </w:r>
      <w:r w:rsidRPr="009D76DA">
        <w:rPr>
          <w:rFonts w:ascii="Verdana" w:eastAsia="Times New Roman" w:hAnsi="Verdana" w:cs="Arial"/>
          <w:i/>
          <w:iCs/>
          <w:sz w:val="20"/>
          <w:szCs w:val="20"/>
          <w:lang w:eastAsia="es-CO"/>
        </w:rPr>
        <w:t>contrato interadministrativo,</w:t>
      </w:r>
      <w:r w:rsidRPr="009D76DA">
        <w:rPr>
          <w:rFonts w:ascii="Verdana" w:eastAsia="Times New Roman" w:hAnsi="Verdana" w:cs="Arial"/>
          <w:sz w:val="20"/>
          <w:szCs w:val="20"/>
          <w:lang w:eastAsia="es-CO"/>
        </w:rPr>
        <w:t xml:space="preserve"> independientemente del objeto, dicho contrato puede suscribirse durante el periodo preelectoral.</w:t>
      </w:r>
    </w:p>
    <w:p w14:paraId="5AA8B795" w14:textId="77777777" w:rsidR="009D76DA" w:rsidRPr="009D76DA" w:rsidRDefault="009D76DA" w:rsidP="009D76DA">
      <w:pPr>
        <w:spacing w:after="0" w:line="240" w:lineRule="auto"/>
        <w:jc w:val="both"/>
        <w:rPr>
          <w:rFonts w:ascii="Verdana" w:hAnsi="Verdana" w:cs="Arial"/>
          <w:color w:val="000000" w:themeColor="text1"/>
          <w:sz w:val="20"/>
          <w:szCs w:val="20"/>
        </w:rPr>
      </w:pPr>
    </w:p>
    <w:p w14:paraId="7D964DD2" w14:textId="1FF445CC" w:rsidR="00446305" w:rsidRDefault="00446305" w:rsidP="009D76DA">
      <w:pPr>
        <w:spacing w:after="0" w:line="240" w:lineRule="auto"/>
        <w:jc w:val="both"/>
        <w:rPr>
          <w:rFonts w:ascii="Verdana" w:hAnsi="Verdana" w:cs="Arial"/>
          <w:b/>
          <w:bCs/>
          <w:color w:val="000000" w:themeColor="text1"/>
        </w:rPr>
      </w:pPr>
      <w:r w:rsidRPr="00446305">
        <w:rPr>
          <w:rFonts w:ascii="Verdana" w:hAnsi="Verdana" w:cs="Arial"/>
          <w:b/>
          <w:bCs/>
          <w:color w:val="000000" w:themeColor="text1"/>
        </w:rPr>
        <w:t xml:space="preserve">INSTITUCIONES EDUCATIVAS OFICIALES – Naturaleza jurídica – Capacidad para contratar </w:t>
      </w:r>
    </w:p>
    <w:p w14:paraId="359EDF1C" w14:textId="77777777" w:rsidR="009D76DA" w:rsidRDefault="009D76DA" w:rsidP="009D76DA">
      <w:pPr>
        <w:spacing w:after="0" w:line="240" w:lineRule="auto"/>
        <w:jc w:val="both"/>
        <w:rPr>
          <w:rFonts w:ascii="Verdana" w:hAnsi="Verdana" w:cs="Arial"/>
          <w:b/>
          <w:bCs/>
          <w:color w:val="000000" w:themeColor="text1"/>
        </w:rPr>
      </w:pPr>
    </w:p>
    <w:p w14:paraId="6C9E841D" w14:textId="6AA9C323" w:rsidR="009D76DA" w:rsidRPr="009D76DA" w:rsidRDefault="009D76DA" w:rsidP="009D76DA">
      <w:pPr>
        <w:spacing w:after="0" w:line="240" w:lineRule="auto"/>
        <w:jc w:val="both"/>
        <w:rPr>
          <w:rFonts w:ascii="Verdana" w:eastAsia="Arial" w:hAnsi="Verdana" w:cs="Arial"/>
          <w:sz w:val="20"/>
          <w:szCs w:val="20"/>
          <w:lang w:eastAsia="es-MX"/>
        </w:rPr>
      </w:pPr>
      <w:r w:rsidRPr="009D76DA">
        <w:rPr>
          <w:rFonts w:ascii="Verdana" w:eastAsia="Arial" w:hAnsi="Verdana" w:cs="Arial"/>
          <w:sz w:val="20"/>
          <w:szCs w:val="20"/>
          <w:lang w:eastAsia="es-MX"/>
        </w:rPr>
        <w:t xml:space="preserve">[…] </w:t>
      </w:r>
      <w:r w:rsidRPr="009D76DA">
        <w:rPr>
          <w:rFonts w:ascii="Verdana" w:eastAsia="Arial" w:hAnsi="Verdana" w:cs="Arial"/>
          <w:sz w:val="20"/>
          <w:szCs w:val="20"/>
          <w:lang w:eastAsia="es-MX"/>
        </w:rPr>
        <w:t>las instituciones educativas pertenecen a la entidad territorial que haya efectuado su reconocimiento de carácter oficial. Es decir, el sistema educativo es descentralizado por las competencias propias que se les ha otorgado a las entidades territoriales (Departamentos, Municipios, Distritos) para administrar las instituciones educativas, que pueden ser de los diferentes niveles, pero estas no son entidades descentralizadas.</w:t>
      </w:r>
    </w:p>
    <w:p w14:paraId="0E87D1E7" w14:textId="77777777" w:rsidR="009D76DA" w:rsidRDefault="009D76DA" w:rsidP="009D76DA">
      <w:pPr>
        <w:spacing w:after="0" w:line="240" w:lineRule="auto"/>
        <w:jc w:val="both"/>
        <w:rPr>
          <w:rFonts w:ascii="Verdana" w:eastAsia="Arial" w:hAnsi="Verdana" w:cs="Arial"/>
          <w:sz w:val="20"/>
          <w:szCs w:val="20"/>
          <w:lang w:eastAsia="es-MX"/>
        </w:rPr>
      </w:pPr>
    </w:p>
    <w:p w14:paraId="183F45D9" w14:textId="4CEF2C6B" w:rsidR="009D76DA" w:rsidRPr="009D76DA" w:rsidRDefault="009D76DA" w:rsidP="009D76DA">
      <w:pPr>
        <w:spacing w:after="0" w:line="240" w:lineRule="auto"/>
        <w:jc w:val="both"/>
        <w:rPr>
          <w:rFonts w:ascii="Verdana" w:eastAsia="Arial" w:hAnsi="Verdana" w:cs="Arial"/>
          <w:sz w:val="20"/>
          <w:szCs w:val="20"/>
          <w:lang w:eastAsia="es-MX"/>
        </w:rPr>
      </w:pPr>
      <w:r w:rsidRPr="009D76DA">
        <w:rPr>
          <w:rFonts w:ascii="Verdana" w:eastAsia="Arial" w:hAnsi="Verdana" w:cs="Arial"/>
          <w:sz w:val="20"/>
          <w:szCs w:val="20"/>
          <w:lang w:eastAsia="es-MX"/>
        </w:rPr>
        <w:t>Así, las instituciones educativas carecen de personería jurídica, pero tienen capacidad para contratar y se concreta en la competencia que le otorgó el legislador en la Ley 715 de 2001 para administrar los fondos de servicios educativos. Estas son cuentas contables que le permiten a las instituciones realizar la gestión y ejecución presupuestal de los recursos que reciben los establecimientos educativos.</w:t>
      </w:r>
    </w:p>
    <w:p w14:paraId="39B50250" w14:textId="77777777" w:rsidR="009D76DA" w:rsidRDefault="009D76DA" w:rsidP="009D76DA">
      <w:pPr>
        <w:spacing w:after="0" w:line="240" w:lineRule="auto"/>
        <w:jc w:val="both"/>
        <w:rPr>
          <w:rFonts w:ascii="Verdana" w:hAnsi="Verdana" w:cs="Arial"/>
          <w:b/>
          <w:bCs/>
          <w:color w:val="000000" w:themeColor="text1"/>
        </w:rPr>
      </w:pPr>
    </w:p>
    <w:p w14:paraId="28DB327C" w14:textId="30F6EA8E" w:rsidR="009D76DA" w:rsidRPr="009D76DA" w:rsidRDefault="009D76DA" w:rsidP="009D76DA">
      <w:pPr>
        <w:spacing w:after="0" w:line="240" w:lineRule="auto"/>
        <w:jc w:val="both"/>
        <w:rPr>
          <w:rFonts w:ascii="Verdana" w:eastAsia="Arial" w:hAnsi="Verdana" w:cs="Arial"/>
          <w:sz w:val="20"/>
          <w:szCs w:val="20"/>
          <w:lang w:eastAsia="es-MX"/>
        </w:rPr>
      </w:pPr>
      <w:r w:rsidRPr="009D76DA">
        <w:rPr>
          <w:rFonts w:ascii="Verdana" w:eastAsia="Arial" w:hAnsi="Verdana" w:cs="Arial"/>
          <w:sz w:val="20"/>
          <w:szCs w:val="20"/>
          <w:lang w:eastAsia="es-MX"/>
        </w:rPr>
        <w:t>Los fondos de servicios educativos tampoco cuentan con personería jurídica según lo previsto en el artículo 2.3.1.6.3.4 del Decreto 1075 de 2015</w:t>
      </w:r>
      <w:r w:rsidRPr="009D76DA">
        <w:rPr>
          <w:rFonts w:ascii="Verdana" w:eastAsia="Arial" w:hAnsi="Verdana" w:cs="Arial"/>
          <w:sz w:val="20"/>
          <w:szCs w:val="20"/>
          <w:lang w:eastAsia="es-MX"/>
        </w:rPr>
        <w:t>.</w:t>
      </w:r>
    </w:p>
    <w:p w14:paraId="581794A4" w14:textId="77777777" w:rsidR="009D76DA" w:rsidRPr="009D76DA" w:rsidRDefault="009D76DA" w:rsidP="009D76DA">
      <w:pPr>
        <w:spacing w:after="0" w:line="240" w:lineRule="auto"/>
        <w:jc w:val="both"/>
        <w:rPr>
          <w:rFonts w:ascii="Verdana" w:eastAsia="Arial" w:hAnsi="Verdana" w:cs="Arial"/>
          <w:sz w:val="20"/>
          <w:szCs w:val="20"/>
          <w:lang w:eastAsia="es-MX"/>
        </w:rPr>
      </w:pPr>
    </w:p>
    <w:p w14:paraId="14D27ECE" w14:textId="77777777" w:rsidR="009D76DA" w:rsidRPr="009D76DA" w:rsidRDefault="009D76DA" w:rsidP="009D76DA">
      <w:pPr>
        <w:spacing w:after="0" w:line="240" w:lineRule="auto"/>
        <w:jc w:val="both"/>
        <w:rPr>
          <w:rFonts w:ascii="Verdana" w:eastAsia="Arial" w:hAnsi="Verdana" w:cs="Arial"/>
          <w:sz w:val="20"/>
          <w:szCs w:val="20"/>
          <w:lang w:eastAsia="es-MX"/>
        </w:rPr>
      </w:pPr>
      <w:r w:rsidRPr="009D76DA">
        <w:rPr>
          <w:rFonts w:ascii="Verdana" w:eastAsia="Arial" w:hAnsi="Verdana" w:cs="Arial"/>
          <w:sz w:val="20"/>
          <w:szCs w:val="20"/>
          <w:lang w:eastAsia="es-MX"/>
        </w:rPr>
        <w:t xml:space="preserve">[…] </w:t>
      </w:r>
    </w:p>
    <w:p w14:paraId="32799708" w14:textId="77777777" w:rsidR="009D76DA" w:rsidRPr="009D76DA" w:rsidRDefault="009D76DA" w:rsidP="009D76DA">
      <w:pPr>
        <w:spacing w:after="0" w:line="240" w:lineRule="auto"/>
        <w:jc w:val="both"/>
        <w:rPr>
          <w:rFonts w:ascii="Verdana" w:eastAsia="Arial" w:hAnsi="Verdana" w:cs="Arial"/>
          <w:sz w:val="20"/>
          <w:szCs w:val="20"/>
          <w:lang w:eastAsia="es-MX"/>
        </w:rPr>
      </w:pPr>
    </w:p>
    <w:p w14:paraId="3EF199E1" w14:textId="77777777" w:rsidR="004D6B33" w:rsidRDefault="009D76DA" w:rsidP="009D76DA">
      <w:pPr>
        <w:spacing w:after="0" w:line="240" w:lineRule="auto"/>
        <w:jc w:val="both"/>
        <w:rPr>
          <w:rFonts w:ascii="Verdana" w:eastAsia="Arial" w:hAnsi="Verdana" w:cs="Arial"/>
          <w:sz w:val="20"/>
          <w:szCs w:val="20"/>
          <w:lang w:eastAsia="es-MX"/>
        </w:rPr>
      </w:pPr>
      <w:r w:rsidRPr="009D76DA">
        <w:rPr>
          <w:rFonts w:ascii="Verdana" w:eastAsia="Arial" w:hAnsi="Verdana" w:cs="Arial"/>
          <w:sz w:val="20"/>
          <w:szCs w:val="20"/>
          <w:lang w:eastAsia="es-MX"/>
        </w:rPr>
        <w:t>En relación con la capacidad para contratar con la que cuentan las instituciones educativas por medio de los fondos de servicios educativos, es necesario precisar que cuando se trate de actos y contratos cuya cuantía no exceda los veinte (20) salarios mínimos mensuales legales vigentes, se sujetarán a las condiciones previstas en el reglamento de contratación que expida el consejo directivo de la institución, de conformidad con lo dispuesto en el artículo 13 de la Ley 715 de 2001</w:t>
      </w:r>
      <w:r w:rsidRPr="009D76DA">
        <w:rPr>
          <w:rFonts w:ascii="Verdana" w:eastAsia="Arial" w:hAnsi="Verdana" w:cs="Arial"/>
          <w:sz w:val="20"/>
          <w:szCs w:val="20"/>
          <w:lang w:eastAsia="es-MX"/>
        </w:rPr>
        <w:t>.</w:t>
      </w:r>
    </w:p>
    <w:p w14:paraId="74D562F2" w14:textId="4C1E3C06" w:rsidR="009D76DA" w:rsidRPr="009D76DA" w:rsidRDefault="009D76DA" w:rsidP="009D76DA">
      <w:pPr>
        <w:spacing w:after="0" w:line="240" w:lineRule="auto"/>
        <w:jc w:val="both"/>
        <w:rPr>
          <w:rFonts w:ascii="Verdana" w:eastAsia="Arial" w:hAnsi="Verdana" w:cs="Arial"/>
          <w:sz w:val="20"/>
          <w:szCs w:val="20"/>
          <w:lang w:eastAsia="es-MX"/>
        </w:rPr>
      </w:pPr>
      <w:r w:rsidRPr="009D76DA">
        <w:rPr>
          <w:rFonts w:ascii="Verdana" w:eastAsia="Arial" w:hAnsi="Verdana" w:cs="Arial"/>
          <w:sz w:val="20"/>
          <w:szCs w:val="20"/>
          <w:lang w:eastAsia="es-MX"/>
        </w:rPr>
        <w:t xml:space="preserve">[…] </w:t>
      </w:r>
    </w:p>
    <w:p w14:paraId="03AA7216" w14:textId="77777777" w:rsidR="009D76DA" w:rsidRDefault="009D76DA" w:rsidP="009D76DA">
      <w:pPr>
        <w:spacing w:after="0" w:line="240" w:lineRule="auto"/>
        <w:jc w:val="both"/>
        <w:rPr>
          <w:rFonts w:ascii="Verdana" w:eastAsia="Arial" w:hAnsi="Verdana" w:cs="Arial"/>
          <w:sz w:val="20"/>
          <w:szCs w:val="20"/>
          <w:lang w:eastAsia="es-MX"/>
        </w:rPr>
      </w:pPr>
    </w:p>
    <w:p w14:paraId="2831E7A9" w14:textId="6AF993DD" w:rsidR="009D76DA" w:rsidRPr="009D76DA" w:rsidRDefault="009D76DA" w:rsidP="009D76DA">
      <w:pPr>
        <w:spacing w:after="0" w:line="240" w:lineRule="auto"/>
        <w:jc w:val="both"/>
        <w:rPr>
          <w:rFonts w:ascii="Verdana" w:eastAsia="Arial" w:hAnsi="Verdana" w:cs="Arial"/>
          <w:sz w:val="20"/>
          <w:szCs w:val="20"/>
          <w:lang w:eastAsia="es-MX"/>
        </w:rPr>
      </w:pPr>
      <w:r w:rsidRPr="009D76DA">
        <w:rPr>
          <w:rFonts w:ascii="Verdana" w:eastAsia="Arial" w:hAnsi="Verdana" w:cs="Arial"/>
          <w:sz w:val="20"/>
          <w:szCs w:val="20"/>
          <w:lang w:eastAsia="es-MX"/>
        </w:rPr>
        <w:t xml:space="preserve">Esto significa que la contratación que realicen las instituciones educativas, siempre que se ubique por debajo del referido umbral, no deberá ceñirse a las reglas del Estatuto General de Contratación de la Administración Pública, sino a las determinadas por el reglamento expedido por el consejo directivo de la institución educativa conforme al artículo 13 de la Ley 715 de 2001. Los reglamentos que se expidan de conformidad con los principios de igualdad, moralidad, imparcialidad y publicidad, así como de acuerdo con la experiencia y el análisis concreto de las necesidades del establecimiento, deben definir los trámites, garantías y constancias que deben cumplirse para que el rector o director celebre cualquier acto o contrato que cree, extinga o modifique obligaciones con cargo al respectivo fondo de servicios educativos. </w:t>
      </w:r>
    </w:p>
    <w:p w14:paraId="04B9E7AD" w14:textId="77777777" w:rsidR="009D76DA" w:rsidRDefault="009D76DA" w:rsidP="009D76DA">
      <w:pPr>
        <w:spacing w:after="0" w:line="240" w:lineRule="auto"/>
        <w:jc w:val="both"/>
        <w:rPr>
          <w:rFonts w:ascii="Verdana" w:hAnsi="Verdana" w:cs="Arial"/>
          <w:b/>
          <w:bCs/>
          <w:color w:val="000000" w:themeColor="text1"/>
        </w:rPr>
      </w:pPr>
    </w:p>
    <w:p w14:paraId="388DEBED" w14:textId="604CFE05" w:rsidR="00446305" w:rsidRDefault="00446305" w:rsidP="009D76DA">
      <w:pPr>
        <w:spacing w:after="0" w:line="240" w:lineRule="auto"/>
        <w:jc w:val="both"/>
        <w:rPr>
          <w:rFonts w:ascii="Verdana" w:eastAsia="Verdana" w:hAnsi="Verdana" w:cs="Verdana"/>
          <w:b/>
          <w:bCs/>
        </w:rPr>
      </w:pPr>
      <w:r w:rsidRPr="00446305">
        <w:rPr>
          <w:rFonts w:ascii="Verdana" w:hAnsi="Verdana" w:cs="Arial"/>
          <w:b/>
          <w:bCs/>
          <w:color w:val="000000" w:themeColor="text1"/>
        </w:rPr>
        <w:t xml:space="preserve">INSTITUCIONES EDUCATIVAS OFICIALES – Ley de Garantías Electorales – Aplicación  </w:t>
      </w:r>
    </w:p>
    <w:p w14:paraId="2E7917C6" w14:textId="77777777" w:rsidR="009D76DA" w:rsidRPr="009D76DA" w:rsidRDefault="009D76DA" w:rsidP="009D76DA">
      <w:pPr>
        <w:spacing w:after="0" w:line="240" w:lineRule="auto"/>
        <w:jc w:val="both"/>
        <w:rPr>
          <w:rFonts w:ascii="Verdana" w:eastAsia="Verdana" w:hAnsi="Verdana" w:cs="Verdana"/>
          <w:b/>
          <w:bCs/>
          <w:sz w:val="20"/>
          <w:szCs w:val="20"/>
        </w:rPr>
      </w:pPr>
    </w:p>
    <w:p w14:paraId="37C5D5E0" w14:textId="77777777" w:rsidR="009D76DA" w:rsidRPr="009D76DA" w:rsidRDefault="009D76DA" w:rsidP="009D76DA">
      <w:pPr>
        <w:spacing w:after="0" w:line="240" w:lineRule="auto"/>
        <w:jc w:val="both"/>
        <w:rPr>
          <w:rFonts w:ascii="Verdana" w:eastAsia="Arial" w:hAnsi="Verdana" w:cs="Arial"/>
          <w:color w:val="000000" w:themeColor="text1"/>
          <w:sz w:val="20"/>
          <w:szCs w:val="20"/>
          <w:lang w:eastAsia="es-CO"/>
        </w:rPr>
      </w:pPr>
      <w:r w:rsidRPr="009D76DA">
        <w:rPr>
          <w:rFonts w:ascii="Verdana" w:eastAsia="Arial" w:hAnsi="Verdana" w:cs="Arial"/>
          <w:color w:val="000000" w:themeColor="text1"/>
          <w:sz w:val="20"/>
          <w:szCs w:val="20"/>
          <w:lang w:eastAsia="es-MX"/>
        </w:rPr>
        <w:t xml:space="preserve">En este contexto, respecto del análisis sobre la aplicación a la restricción del artículo 33 de la </w:t>
      </w:r>
      <w:r w:rsidRPr="009D76DA">
        <w:rPr>
          <w:rFonts w:ascii="Verdana" w:eastAsia="Arial" w:hAnsi="Verdana" w:cs="Arial"/>
          <w:color w:val="000000" w:themeColor="text1"/>
          <w:sz w:val="20"/>
          <w:szCs w:val="20"/>
          <w:lang w:eastAsia="es-CO"/>
        </w:rPr>
        <w:t xml:space="preserve">Ley 996 de 2005 es necesario considerar que, si bien </w:t>
      </w:r>
      <w:r w:rsidRPr="009D76DA">
        <w:rPr>
          <w:rFonts w:ascii="Verdana" w:eastAsia="Arial" w:hAnsi="Verdana" w:cs="Arial"/>
          <w:sz w:val="20"/>
          <w:szCs w:val="20"/>
          <w:lang w:val="es-ES" w:eastAsia="es-MX"/>
        </w:rPr>
        <w:t xml:space="preserve">el artículo </w:t>
      </w:r>
      <w:r w:rsidRPr="009D76DA">
        <w:rPr>
          <w:rFonts w:ascii="Verdana" w:eastAsia="Arial" w:hAnsi="Verdana" w:cs="Arial"/>
          <w:sz w:val="20"/>
          <w:szCs w:val="20"/>
          <w:lang w:eastAsia="es-MX"/>
        </w:rPr>
        <w:t>13 de la Ley 715 de 2001</w:t>
      </w:r>
      <w:r w:rsidRPr="009D76DA">
        <w:rPr>
          <w:rFonts w:ascii="Verdana" w:eastAsia="Arial" w:hAnsi="Verdana" w:cs="Arial"/>
          <w:color w:val="000000" w:themeColor="text1"/>
          <w:sz w:val="20"/>
          <w:szCs w:val="20"/>
          <w:lang w:eastAsia="es-CO"/>
        </w:rPr>
        <w:t xml:space="preserve"> consagra un régimen jurídico que exceptúa la aplicación del Estatuto General de Contratación de la Administración Pública en los contratos de los fondos de servicios educativos inferiores a veinte (20) SMLMV con el objetivo de flexibilizar el régimen contractual aplicable, lo cierto es que la prohibición de contratación directa de la Ley de Garantías Electorales aplica independientemente del régimen contractual, por lo que se extiende a los contratos celebrados con cargo a los fondos de servicios educativos, por ser Entes del Estado.</w:t>
      </w:r>
    </w:p>
    <w:p w14:paraId="37D05CED" w14:textId="77777777" w:rsidR="009D76DA" w:rsidRDefault="009D76DA" w:rsidP="009D76DA">
      <w:pPr>
        <w:spacing w:after="0" w:line="240" w:lineRule="auto"/>
        <w:jc w:val="both"/>
        <w:rPr>
          <w:rFonts w:ascii="Verdana" w:eastAsia="Arial" w:hAnsi="Verdana" w:cs="Arial"/>
          <w:color w:val="000000" w:themeColor="text1"/>
          <w:sz w:val="20"/>
          <w:szCs w:val="20"/>
          <w:lang w:eastAsia="es-CO"/>
        </w:rPr>
      </w:pPr>
    </w:p>
    <w:p w14:paraId="3CAA3A14" w14:textId="2060ACC2" w:rsidR="009D76DA" w:rsidRPr="009D76DA" w:rsidRDefault="009D76DA" w:rsidP="009D76DA">
      <w:pPr>
        <w:spacing w:after="0" w:line="240" w:lineRule="auto"/>
        <w:jc w:val="both"/>
        <w:rPr>
          <w:rFonts w:ascii="Verdana" w:eastAsia="Arial" w:hAnsi="Verdana" w:cs="Arial"/>
          <w:color w:val="000000" w:themeColor="text1"/>
          <w:sz w:val="20"/>
          <w:szCs w:val="20"/>
          <w:lang w:eastAsia="es-CO"/>
        </w:rPr>
      </w:pPr>
      <w:r w:rsidRPr="009D76DA">
        <w:rPr>
          <w:rFonts w:ascii="Verdana" w:eastAsia="Arial" w:hAnsi="Verdana" w:cs="Arial"/>
          <w:color w:val="000000" w:themeColor="text1"/>
          <w:sz w:val="20"/>
          <w:szCs w:val="20"/>
          <w:lang w:eastAsia="es-CO"/>
        </w:rPr>
        <w:t xml:space="preserve">[…] </w:t>
      </w:r>
    </w:p>
    <w:p w14:paraId="751A6216" w14:textId="77777777" w:rsidR="009D76DA" w:rsidRDefault="009D76DA" w:rsidP="009D76DA">
      <w:pPr>
        <w:spacing w:after="0" w:line="240" w:lineRule="auto"/>
        <w:jc w:val="both"/>
        <w:rPr>
          <w:rFonts w:ascii="Verdana" w:eastAsia="Arial" w:hAnsi="Verdana" w:cs="Arial"/>
          <w:color w:val="000000"/>
          <w:sz w:val="20"/>
          <w:szCs w:val="20"/>
          <w:lang w:eastAsia="es-CO"/>
        </w:rPr>
      </w:pPr>
    </w:p>
    <w:p w14:paraId="58EE4352" w14:textId="4F89D0C1" w:rsidR="009D76DA" w:rsidRPr="009D76DA" w:rsidRDefault="009D76DA" w:rsidP="009D76DA">
      <w:pPr>
        <w:spacing w:after="0" w:line="240" w:lineRule="auto"/>
        <w:jc w:val="both"/>
        <w:rPr>
          <w:rFonts w:ascii="Verdana" w:eastAsia="Arial" w:hAnsi="Verdana" w:cs="Arial"/>
          <w:color w:val="000000"/>
          <w:sz w:val="20"/>
          <w:szCs w:val="20"/>
          <w:lang w:eastAsia="es-CO"/>
        </w:rPr>
      </w:pPr>
      <w:r w:rsidRPr="009D76DA">
        <w:rPr>
          <w:rFonts w:ascii="Verdana" w:eastAsia="Arial" w:hAnsi="Verdana" w:cs="Arial"/>
          <w:color w:val="000000"/>
          <w:sz w:val="20"/>
          <w:szCs w:val="20"/>
          <w:lang w:eastAsia="es-CO"/>
        </w:rPr>
        <w:t xml:space="preserve">Por tanto, durante la vigencia de la prohibición del artículo 33 de la Ley 996 de 2005 está restringida </w:t>
      </w:r>
      <w:r w:rsidRPr="009D76DA">
        <w:rPr>
          <w:rFonts w:ascii="Verdana" w:eastAsia="Arial" w:hAnsi="Verdana" w:cs="Arial"/>
          <w:i/>
          <w:iCs/>
          <w:color w:val="000000"/>
          <w:sz w:val="20"/>
          <w:szCs w:val="20"/>
          <w:lang w:eastAsia="es-CO"/>
        </w:rPr>
        <w:t>cualquier modalidad de selección que excluya la pluralidad de oferentes</w:t>
      </w:r>
      <w:r w:rsidRPr="009D76DA">
        <w:rPr>
          <w:rFonts w:ascii="Verdana" w:eastAsia="Arial" w:hAnsi="Verdana" w:cs="Arial"/>
          <w:color w:val="000000"/>
          <w:sz w:val="20"/>
          <w:szCs w:val="20"/>
          <w:lang w:eastAsia="es-CO"/>
        </w:rPr>
        <w:t xml:space="preserve">, incluso aunque se realice con fundamento en el régimen especial de contratación realizado con recursos de los fondos de servicios educativos por valor inferior a veinte (20) SMLMV, por implicar una forma de contratación directa. Ahora bien, en vigencia de la Ley de será posible realizar procesos contractuales, siempre que estos incluyan la posibilidad de participación de una pluralidad de oferentes, ya que estos no implicarían una contratación </w:t>
      </w:r>
      <w:r w:rsidRPr="009D76DA">
        <w:rPr>
          <w:rFonts w:ascii="Verdana" w:eastAsia="Arial" w:hAnsi="Verdana" w:cs="Arial"/>
          <w:i/>
          <w:iCs/>
          <w:color w:val="000000"/>
          <w:sz w:val="20"/>
          <w:szCs w:val="20"/>
          <w:lang w:eastAsia="es-CO"/>
        </w:rPr>
        <w:t>directa.</w:t>
      </w:r>
      <w:r w:rsidRPr="009D76DA">
        <w:rPr>
          <w:rFonts w:ascii="Verdana" w:eastAsia="Arial" w:hAnsi="Verdana" w:cs="Arial"/>
          <w:color w:val="000000"/>
          <w:sz w:val="20"/>
          <w:szCs w:val="20"/>
          <w:lang w:eastAsia="es-CO"/>
        </w:rPr>
        <w:t xml:space="preserve"> En conclusión, la prohibición del artículo 33 de la Ley 996 de 2005 se extiende a cualquier contrato realizado con recursos de fondos de servicios educativos, sean inferiores o superiores a veinte (20) SMLMV siempre que el contrato se celebre sin que esté antecedido de un procedimiento que admita la posible participación de una pluralidad de oferentes, toda vez que la prohibición recae sobre la </w:t>
      </w:r>
      <w:r w:rsidRPr="009D76DA">
        <w:rPr>
          <w:rFonts w:ascii="Verdana" w:eastAsia="Arial" w:hAnsi="Verdana" w:cs="Arial"/>
          <w:i/>
          <w:iCs/>
          <w:color w:val="000000"/>
          <w:sz w:val="20"/>
          <w:szCs w:val="20"/>
          <w:lang w:eastAsia="es-CO"/>
        </w:rPr>
        <w:t>contratación directa</w:t>
      </w:r>
      <w:r w:rsidRPr="009D76DA">
        <w:rPr>
          <w:rFonts w:ascii="Verdana" w:eastAsia="Arial" w:hAnsi="Verdana" w:cs="Arial"/>
          <w:color w:val="000000"/>
          <w:sz w:val="20"/>
          <w:szCs w:val="20"/>
          <w:lang w:eastAsia="es-CO"/>
        </w:rPr>
        <w:t xml:space="preserve">.  </w:t>
      </w:r>
    </w:p>
    <w:p w14:paraId="66922FBD" w14:textId="77777777" w:rsidR="009D76DA" w:rsidRDefault="009D76DA" w:rsidP="009D76DA">
      <w:pPr>
        <w:spacing w:after="0" w:line="240" w:lineRule="auto"/>
        <w:jc w:val="both"/>
        <w:rPr>
          <w:rFonts w:ascii="Verdana" w:eastAsia="Arial" w:hAnsi="Verdana" w:cs="Arial"/>
          <w:color w:val="000000"/>
          <w:sz w:val="20"/>
          <w:szCs w:val="20"/>
          <w:lang w:eastAsia="es-CO"/>
        </w:rPr>
      </w:pPr>
    </w:p>
    <w:p w14:paraId="47998CC3" w14:textId="1031EE5D" w:rsidR="009D76DA" w:rsidRPr="009D76DA" w:rsidRDefault="009D76DA" w:rsidP="009D76DA">
      <w:pPr>
        <w:spacing w:after="0" w:line="240" w:lineRule="auto"/>
        <w:jc w:val="both"/>
        <w:rPr>
          <w:rFonts w:ascii="Verdana" w:eastAsia="Arial" w:hAnsi="Verdana" w:cs="Arial"/>
          <w:color w:val="000000"/>
          <w:sz w:val="20"/>
          <w:szCs w:val="20"/>
          <w:lang w:val="es-MX" w:eastAsia="es-CO"/>
        </w:rPr>
      </w:pPr>
      <w:r w:rsidRPr="009D76DA">
        <w:rPr>
          <w:rFonts w:ascii="Verdana" w:eastAsia="Arial" w:hAnsi="Verdana" w:cs="Arial"/>
          <w:color w:val="000000"/>
          <w:sz w:val="20"/>
          <w:szCs w:val="20"/>
          <w:lang w:eastAsia="es-CO"/>
        </w:rPr>
        <w:t xml:space="preserve">En relación </w:t>
      </w:r>
      <w:r w:rsidRPr="009D76DA">
        <w:rPr>
          <w:rFonts w:ascii="Verdana" w:eastAsia="Arial" w:hAnsi="Verdana" w:cs="Arial"/>
          <w:sz w:val="20"/>
          <w:szCs w:val="20"/>
          <w:lang w:val="es-MX" w:eastAsia="es-ES" w:bidi="es-ES"/>
        </w:rPr>
        <w:t>a la prohibición prevista en</w:t>
      </w:r>
      <w:r w:rsidRPr="009D76DA">
        <w:rPr>
          <w:rFonts w:ascii="Verdana" w:eastAsia="Times New Roman" w:hAnsi="Verdana" w:cs="Arial"/>
          <w:sz w:val="20"/>
          <w:szCs w:val="20"/>
          <w:lang w:eastAsia="es-CO"/>
        </w:rPr>
        <w:t xml:space="preserve"> </w:t>
      </w:r>
      <w:r w:rsidRPr="009D76DA">
        <w:rPr>
          <w:rFonts w:ascii="Verdana" w:eastAsia="Times New Roman" w:hAnsi="Verdana" w:cs="Arial"/>
          <w:sz w:val="20"/>
          <w:szCs w:val="20"/>
          <w:lang w:val="es-MX" w:eastAsia="es-CO"/>
        </w:rPr>
        <w:t xml:space="preserve">el parágrafo del artículo 38 de la Ley 996 de 2005 para los Alcaldes, Gobernadores, Secretarios, Gerentes y Directores de las entidades descentralizadas del orden municipal, departamental o distrital en celebrar </w:t>
      </w:r>
      <w:r w:rsidRPr="009D76DA">
        <w:rPr>
          <w:rFonts w:ascii="Verdana" w:eastAsia="Times New Roman" w:hAnsi="Verdana" w:cs="Arial"/>
          <w:i/>
          <w:iCs/>
          <w:sz w:val="20"/>
          <w:szCs w:val="20"/>
          <w:lang w:val="es-MX" w:eastAsia="es-CO"/>
        </w:rPr>
        <w:t>convenios interadministrativos</w:t>
      </w:r>
      <w:r w:rsidRPr="009D76DA">
        <w:rPr>
          <w:rFonts w:ascii="Verdana" w:eastAsia="Times New Roman" w:hAnsi="Verdana" w:cs="Arial"/>
          <w:sz w:val="20"/>
          <w:szCs w:val="20"/>
          <w:lang w:val="es-MX" w:eastAsia="es-CO"/>
        </w:rPr>
        <w:t xml:space="preserve"> para la ejecución de recursos públicos, si una o ambas partes de la relación contractual es una entidad de aquellas descritas en el parágrafo </w:t>
      </w:r>
      <w:r w:rsidRPr="009D76DA">
        <w:rPr>
          <w:rFonts w:ascii="Verdana" w:eastAsia="Times New Roman" w:hAnsi="Verdana" w:cs="Arial"/>
          <w:i/>
          <w:sz w:val="20"/>
          <w:szCs w:val="20"/>
          <w:lang w:val="es-MX" w:eastAsia="es-CO"/>
        </w:rPr>
        <w:t>ibidem</w:t>
      </w:r>
      <w:r w:rsidRPr="009D76DA">
        <w:rPr>
          <w:rFonts w:ascii="Verdana" w:eastAsia="Times New Roman" w:hAnsi="Verdana" w:cs="Arial"/>
          <w:sz w:val="20"/>
          <w:szCs w:val="20"/>
          <w:lang w:val="es-MX" w:eastAsia="es-CO"/>
        </w:rPr>
        <w:t xml:space="preserve">, no podrá celebrar tales </w:t>
      </w:r>
      <w:r w:rsidRPr="009D76DA">
        <w:rPr>
          <w:rFonts w:ascii="Verdana" w:eastAsia="Times New Roman" w:hAnsi="Verdana" w:cs="Arial"/>
          <w:i/>
          <w:iCs/>
          <w:sz w:val="20"/>
          <w:szCs w:val="20"/>
          <w:lang w:val="es-MX" w:eastAsia="es-CO"/>
        </w:rPr>
        <w:t>convenios</w:t>
      </w:r>
      <w:r w:rsidRPr="009D76DA">
        <w:rPr>
          <w:rFonts w:ascii="Verdana" w:eastAsia="Times New Roman" w:hAnsi="Verdana" w:cs="Arial"/>
          <w:sz w:val="20"/>
          <w:szCs w:val="20"/>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51976335" w14:textId="77777777" w:rsidR="009D76DA" w:rsidRDefault="009D76DA" w:rsidP="009D76DA">
      <w:pPr>
        <w:spacing w:after="0" w:line="240" w:lineRule="auto"/>
        <w:jc w:val="both"/>
        <w:rPr>
          <w:rFonts w:ascii="Verdana" w:eastAsia="Verdana" w:hAnsi="Verdana" w:cs="Verdana"/>
        </w:rPr>
      </w:pPr>
    </w:p>
    <w:p w14:paraId="1DB1F0AE" w14:textId="77777777" w:rsidR="009D76DA" w:rsidRDefault="009D76DA" w:rsidP="00267D00">
      <w:pPr>
        <w:spacing w:after="0"/>
        <w:rPr>
          <w:rFonts w:ascii="Verdana" w:eastAsia="Verdana" w:hAnsi="Verdana" w:cs="Verdana"/>
        </w:rPr>
      </w:pPr>
    </w:p>
    <w:p w14:paraId="7C214618" w14:textId="77777777" w:rsidR="009D76DA" w:rsidRDefault="009D76DA" w:rsidP="00267D00">
      <w:pPr>
        <w:spacing w:after="0"/>
        <w:rPr>
          <w:rFonts w:ascii="Verdana" w:eastAsia="Verdana" w:hAnsi="Verdana" w:cs="Verdana"/>
        </w:rPr>
      </w:pPr>
    </w:p>
    <w:p w14:paraId="24BE1E47" w14:textId="77777777" w:rsidR="009D76DA" w:rsidRDefault="009D76DA" w:rsidP="00267D00">
      <w:pPr>
        <w:spacing w:after="0"/>
        <w:rPr>
          <w:rFonts w:ascii="Verdana" w:eastAsia="Verdana" w:hAnsi="Verdana" w:cs="Verdana"/>
        </w:rPr>
      </w:pPr>
    </w:p>
    <w:p w14:paraId="03F24EB2" w14:textId="77777777" w:rsidR="009D76DA" w:rsidRDefault="009D76DA" w:rsidP="00267D00">
      <w:pPr>
        <w:spacing w:after="0"/>
        <w:rPr>
          <w:rFonts w:ascii="Verdana" w:eastAsia="Verdana" w:hAnsi="Verdana" w:cs="Verdana"/>
        </w:rPr>
      </w:pPr>
    </w:p>
    <w:p w14:paraId="7EC03CE5" w14:textId="77777777" w:rsidR="009D76DA" w:rsidRDefault="009D76DA" w:rsidP="00267D00">
      <w:pPr>
        <w:spacing w:after="0"/>
        <w:rPr>
          <w:rFonts w:ascii="Verdana" w:eastAsia="Verdana" w:hAnsi="Verdana" w:cs="Verdana"/>
        </w:rPr>
      </w:pPr>
    </w:p>
    <w:p w14:paraId="3526449C" w14:textId="77777777" w:rsidR="009D76DA" w:rsidRDefault="009D76DA" w:rsidP="00267D00">
      <w:pPr>
        <w:spacing w:after="0"/>
        <w:rPr>
          <w:rFonts w:ascii="Verdana" w:eastAsia="Verdana" w:hAnsi="Verdana" w:cs="Verdana"/>
        </w:rPr>
      </w:pPr>
    </w:p>
    <w:p w14:paraId="0B78F38E" w14:textId="77777777" w:rsidR="009D76DA" w:rsidRDefault="009D76DA" w:rsidP="00267D00">
      <w:pPr>
        <w:spacing w:after="0"/>
        <w:rPr>
          <w:rFonts w:ascii="Verdana" w:eastAsia="Verdana" w:hAnsi="Verdana" w:cs="Verdana"/>
        </w:rPr>
      </w:pPr>
    </w:p>
    <w:p w14:paraId="1CB0C9DB" w14:textId="77777777" w:rsidR="009D76DA" w:rsidRDefault="009D76DA" w:rsidP="00267D00">
      <w:pPr>
        <w:spacing w:after="0"/>
        <w:rPr>
          <w:rFonts w:ascii="Verdana" w:eastAsia="Verdana" w:hAnsi="Verdana" w:cs="Verdana"/>
        </w:rPr>
      </w:pPr>
    </w:p>
    <w:p w14:paraId="424581E0" w14:textId="77777777" w:rsidR="009D76DA" w:rsidRDefault="009D76DA" w:rsidP="00267D00">
      <w:pPr>
        <w:spacing w:after="0"/>
        <w:rPr>
          <w:rFonts w:ascii="Verdana" w:eastAsia="Verdana" w:hAnsi="Verdana" w:cs="Verdana"/>
        </w:rPr>
      </w:pPr>
    </w:p>
    <w:p w14:paraId="77E2494B" w14:textId="77777777" w:rsidR="009D76DA" w:rsidRDefault="009D76DA" w:rsidP="00267D00">
      <w:pPr>
        <w:spacing w:after="0"/>
        <w:rPr>
          <w:rFonts w:ascii="Verdana" w:eastAsia="Verdana" w:hAnsi="Verdana" w:cs="Verdana"/>
        </w:rPr>
      </w:pPr>
    </w:p>
    <w:p w14:paraId="33EC4321" w14:textId="77777777" w:rsidR="009D76DA" w:rsidRDefault="009D76DA" w:rsidP="00267D00">
      <w:pPr>
        <w:spacing w:after="0"/>
        <w:rPr>
          <w:rFonts w:ascii="Verdana" w:eastAsia="Verdana" w:hAnsi="Verdana" w:cs="Verdana"/>
        </w:rPr>
      </w:pPr>
    </w:p>
    <w:p w14:paraId="40F6F0A2" w14:textId="77777777" w:rsidR="009D76DA" w:rsidRDefault="009D76DA" w:rsidP="00267D00">
      <w:pPr>
        <w:spacing w:after="0"/>
        <w:rPr>
          <w:rFonts w:ascii="Verdana" w:eastAsia="Verdana" w:hAnsi="Verdana" w:cs="Verdana"/>
        </w:rPr>
      </w:pPr>
    </w:p>
    <w:p w14:paraId="58B627A8" w14:textId="77777777" w:rsidR="009D76DA" w:rsidRDefault="009D76DA" w:rsidP="00267D00">
      <w:pPr>
        <w:spacing w:after="0"/>
        <w:rPr>
          <w:rFonts w:ascii="Verdana" w:eastAsia="Verdana" w:hAnsi="Verdana" w:cs="Verdana"/>
        </w:rPr>
      </w:pPr>
    </w:p>
    <w:p w14:paraId="59755561" w14:textId="77777777" w:rsidR="009D76DA" w:rsidRDefault="009D76DA" w:rsidP="00267D00">
      <w:pPr>
        <w:spacing w:after="0"/>
        <w:rPr>
          <w:rFonts w:ascii="Verdana" w:eastAsia="Verdana" w:hAnsi="Verdana" w:cs="Verdana"/>
        </w:rPr>
      </w:pPr>
    </w:p>
    <w:p w14:paraId="4D4A9CCA" w14:textId="77777777" w:rsidR="009D76DA" w:rsidRDefault="009D76DA" w:rsidP="00267D00">
      <w:pPr>
        <w:spacing w:after="0"/>
        <w:rPr>
          <w:rFonts w:ascii="Verdana" w:eastAsia="Verdana" w:hAnsi="Verdana" w:cs="Verdana"/>
        </w:rPr>
      </w:pPr>
    </w:p>
    <w:p w14:paraId="0A5EECC5" w14:textId="77777777" w:rsidR="009D76DA" w:rsidRDefault="009D76DA" w:rsidP="00267D00">
      <w:pPr>
        <w:spacing w:after="0"/>
        <w:rPr>
          <w:rFonts w:ascii="Verdana" w:eastAsia="Verdana" w:hAnsi="Verdana" w:cs="Verdana"/>
        </w:rPr>
      </w:pPr>
    </w:p>
    <w:p w14:paraId="09C122A1" w14:textId="77777777" w:rsidR="009D76DA" w:rsidRDefault="009D76DA" w:rsidP="00267D00">
      <w:pPr>
        <w:spacing w:after="0"/>
        <w:rPr>
          <w:rFonts w:ascii="Verdana" w:eastAsia="Verdana" w:hAnsi="Verdana" w:cs="Verdana"/>
        </w:rPr>
      </w:pPr>
    </w:p>
    <w:p w14:paraId="0D235D13" w14:textId="77777777" w:rsidR="009D76DA" w:rsidRDefault="009D76DA" w:rsidP="00267D00">
      <w:pPr>
        <w:spacing w:after="0"/>
        <w:rPr>
          <w:rFonts w:ascii="Verdana" w:eastAsia="Verdana" w:hAnsi="Verdana" w:cs="Verdana"/>
        </w:rPr>
      </w:pPr>
    </w:p>
    <w:p w14:paraId="11601499" w14:textId="77777777" w:rsidR="009D76DA" w:rsidRDefault="009D76DA" w:rsidP="00267D00">
      <w:pPr>
        <w:spacing w:after="0"/>
        <w:rPr>
          <w:rFonts w:ascii="Verdana" w:eastAsia="Verdana" w:hAnsi="Verdana" w:cs="Verdana"/>
        </w:rPr>
      </w:pPr>
    </w:p>
    <w:p w14:paraId="4202EC23" w14:textId="77777777" w:rsidR="009D76DA" w:rsidRDefault="009D76DA" w:rsidP="00267D00">
      <w:pPr>
        <w:spacing w:after="0"/>
        <w:rPr>
          <w:rFonts w:ascii="Verdana" w:eastAsia="Verdana" w:hAnsi="Verdana" w:cs="Verdana"/>
        </w:rPr>
      </w:pPr>
    </w:p>
    <w:p w14:paraId="2F39AF5D" w14:textId="77777777" w:rsidR="009D76DA" w:rsidRDefault="009D76DA" w:rsidP="00267D00">
      <w:pPr>
        <w:spacing w:after="0"/>
        <w:rPr>
          <w:rFonts w:ascii="Verdana" w:eastAsia="Verdana" w:hAnsi="Verdana" w:cs="Verdana"/>
        </w:rPr>
      </w:pPr>
    </w:p>
    <w:p w14:paraId="295B75FD" w14:textId="77777777" w:rsidR="009D76DA" w:rsidRDefault="009D76DA" w:rsidP="00267D00">
      <w:pPr>
        <w:spacing w:after="0"/>
        <w:rPr>
          <w:rFonts w:ascii="Verdana" w:eastAsia="Verdana" w:hAnsi="Verdana" w:cs="Verdana"/>
        </w:rPr>
      </w:pPr>
    </w:p>
    <w:p w14:paraId="4BC56D90" w14:textId="77777777" w:rsidR="009D76DA" w:rsidRDefault="009D76DA" w:rsidP="00267D00">
      <w:pPr>
        <w:spacing w:after="0"/>
        <w:rPr>
          <w:rFonts w:ascii="Verdana" w:eastAsia="Verdana" w:hAnsi="Verdana" w:cs="Verdana"/>
        </w:rPr>
      </w:pPr>
    </w:p>
    <w:p w14:paraId="2763DDD2" w14:textId="77777777" w:rsidR="009D76DA" w:rsidRDefault="009D76DA" w:rsidP="00267D00">
      <w:pPr>
        <w:spacing w:after="0"/>
        <w:rPr>
          <w:rFonts w:ascii="Verdana" w:eastAsia="Verdana" w:hAnsi="Verdana" w:cs="Verdana"/>
        </w:rPr>
      </w:pPr>
    </w:p>
    <w:p w14:paraId="18259B75" w14:textId="77777777" w:rsidR="009D76DA" w:rsidRDefault="009D76DA" w:rsidP="00267D00">
      <w:pPr>
        <w:spacing w:after="0"/>
        <w:rPr>
          <w:rFonts w:ascii="Verdana" w:eastAsia="Verdana" w:hAnsi="Verdana" w:cs="Verdana"/>
        </w:rPr>
      </w:pPr>
    </w:p>
    <w:p w14:paraId="5194BD75" w14:textId="77777777" w:rsidR="009D76DA" w:rsidRDefault="009D76DA" w:rsidP="00267D00">
      <w:pPr>
        <w:spacing w:after="0"/>
        <w:rPr>
          <w:rFonts w:ascii="Verdana" w:eastAsia="Verdana" w:hAnsi="Verdana" w:cs="Verdana"/>
        </w:rPr>
      </w:pPr>
    </w:p>
    <w:p w14:paraId="574908EB" w14:textId="77777777" w:rsidR="009D76DA" w:rsidRDefault="009D76DA" w:rsidP="00267D00">
      <w:pPr>
        <w:spacing w:after="0"/>
        <w:rPr>
          <w:rFonts w:ascii="Verdana" w:eastAsia="Verdana" w:hAnsi="Verdana" w:cs="Verdana"/>
        </w:rPr>
      </w:pPr>
    </w:p>
    <w:p w14:paraId="08872758" w14:textId="77777777" w:rsidR="009D76DA" w:rsidRDefault="009D76DA" w:rsidP="00267D00">
      <w:pPr>
        <w:spacing w:after="0"/>
        <w:rPr>
          <w:rFonts w:ascii="Verdana" w:eastAsia="Verdana" w:hAnsi="Verdana" w:cs="Verdana"/>
        </w:rPr>
      </w:pPr>
    </w:p>
    <w:p w14:paraId="610B5B76" w14:textId="77777777" w:rsidR="009D76DA" w:rsidRDefault="009D76DA" w:rsidP="00267D00">
      <w:pPr>
        <w:spacing w:after="0"/>
        <w:rPr>
          <w:rFonts w:ascii="Verdana" w:eastAsia="Verdana" w:hAnsi="Verdana" w:cs="Verdana"/>
        </w:rPr>
      </w:pPr>
    </w:p>
    <w:p w14:paraId="76DF088B" w14:textId="77777777" w:rsidR="009D76DA" w:rsidRDefault="009D76DA" w:rsidP="00267D00">
      <w:pPr>
        <w:spacing w:after="0"/>
        <w:rPr>
          <w:rFonts w:ascii="Verdana" w:eastAsia="Verdana" w:hAnsi="Verdana" w:cs="Verdana"/>
        </w:rPr>
      </w:pPr>
    </w:p>
    <w:p w14:paraId="7096004A" w14:textId="77777777" w:rsidR="009D76DA" w:rsidRDefault="009D76DA" w:rsidP="00267D00">
      <w:pPr>
        <w:spacing w:after="0"/>
        <w:rPr>
          <w:rFonts w:ascii="Verdana" w:eastAsia="Verdana" w:hAnsi="Verdana" w:cs="Verdana"/>
        </w:rPr>
      </w:pPr>
    </w:p>
    <w:p w14:paraId="2A5994CE" w14:textId="77777777" w:rsidR="009D76DA" w:rsidRDefault="009D76DA" w:rsidP="00267D00">
      <w:pPr>
        <w:spacing w:after="0"/>
        <w:rPr>
          <w:rFonts w:ascii="Verdana" w:eastAsia="Verdana" w:hAnsi="Verdana" w:cs="Verdana"/>
        </w:rPr>
      </w:pPr>
    </w:p>
    <w:p w14:paraId="46116919" w14:textId="77777777" w:rsidR="009D76DA" w:rsidRDefault="009D76DA" w:rsidP="00267D00">
      <w:pPr>
        <w:spacing w:after="0"/>
        <w:rPr>
          <w:rFonts w:ascii="Verdana" w:eastAsia="Verdana" w:hAnsi="Verdana" w:cs="Verdana"/>
        </w:rPr>
      </w:pPr>
    </w:p>
    <w:p w14:paraId="1ADB4536" w14:textId="77777777" w:rsidR="009D76DA" w:rsidRDefault="009D76DA" w:rsidP="00267D00">
      <w:pPr>
        <w:spacing w:after="0"/>
        <w:rPr>
          <w:rFonts w:ascii="Verdana" w:eastAsia="Verdana" w:hAnsi="Verdana" w:cs="Verdana"/>
        </w:rPr>
      </w:pPr>
    </w:p>
    <w:p w14:paraId="57946C04" w14:textId="24F9B681" w:rsidR="00B06DB0" w:rsidRDefault="00267D00" w:rsidP="00267D00">
      <w:pPr>
        <w:spacing w:after="0"/>
        <w:rPr>
          <w:rFonts w:ascii="Verdana" w:eastAsia="Verdana" w:hAnsi="Verdana" w:cs="Verdana"/>
        </w:rPr>
      </w:pPr>
      <w:r w:rsidRPr="30821638">
        <w:rPr>
          <w:rFonts w:ascii="Verdana" w:eastAsia="Verdana" w:hAnsi="Verdana" w:cs="Verdana"/>
        </w:rPr>
        <w:t>Bogotá D.C.,</w:t>
      </w:r>
      <w:r w:rsidR="00B06DB0">
        <w:rPr>
          <w:rFonts w:ascii="Verdana" w:eastAsia="Verdana" w:hAnsi="Verdana" w:cs="Verdana"/>
        </w:rPr>
        <w:t xml:space="preserve">28 </w:t>
      </w:r>
      <w:proofErr w:type="gramStart"/>
      <w:r w:rsidR="00B06DB0">
        <w:rPr>
          <w:rFonts w:ascii="Verdana" w:eastAsia="Verdana" w:hAnsi="Verdana" w:cs="Verdana"/>
        </w:rPr>
        <w:t>Mayo</w:t>
      </w:r>
      <w:proofErr w:type="gramEnd"/>
      <w:r w:rsidR="00B06DB0">
        <w:rPr>
          <w:rFonts w:ascii="Verdana" w:eastAsia="Verdana" w:hAnsi="Verdana" w:cs="Verdana"/>
        </w:rPr>
        <w:t xml:space="preserve"> 2026</w:t>
      </w:r>
    </w:p>
    <w:p w14:paraId="6283AF63" w14:textId="159FF294" w:rsidR="00267D00" w:rsidRPr="0024624F" w:rsidRDefault="00B06DB0" w:rsidP="00B06DB0">
      <w:pPr>
        <w:spacing w:after="0"/>
        <w:jc w:val="right"/>
        <w:rPr>
          <w:rFonts w:ascii="Verdana" w:eastAsia="Verdana" w:hAnsi="Verdana" w:cs="Verdana"/>
        </w:rPr>
      </w:pPr>
      <w:r>
        <w:rPr>
          <w:noProof/>
        </w:rPr>
        <w:drawing>
          <wp:inline distT="0" distB="0" distL="0" distR="0" wp14:anchorId="3429E072" wp14:editId="78110575">
            <wp:extent cx="1807845" cy="381000"/>
            <wp:effectExtent l="0" t="0" r="1905" b="0"/>
            <wp:docPr id="203730357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303572" name=""/>
                    <pic:cNvPicPr/>
                  </pic:nvPicPr>
                  <pic:blipFill>
                    <a:blip r:embed="rId10"/>
                    <a:stretch>
                      <a:fillRect/>
                    </a:stretch>
                  </pic:blipFill>
                  <pic:spPr>
                    <a:xfrm>
                      <a:off x="0" y="0"/>
                      <a:ext cx="1823703" cy="384342"/>
                    </a:xfrm>
                    <a:prstGeom prst="rect">
                      <a:avLst/>
                    </a:prstGeom>
                  </pic:spPr>
                </pic:pic>
              </a:graphicData>
            </a:graphic>
          </wp:inline>
        </w:drawing>
      </w:r>
      <w:r w:rsidR="00267D00">
        <w:tab/>
      </w:r>
      <w:r w:rsidR="00267D00">
        <w:br/>
      </w:r>
      <w:r w:rsidR="00267D00">
        <w:tab/>
      </w:r>
    </w:p>
    <w:p w14:paraId="70EC56CF" w14:textId="77777777" w:rsidR="00267D00" w:rsidRDefault="00267D00" w:rsidP="00267D00">
      <w:pPr>
        <w:spacing w:after="0" w:line="240" w:lineRule="auto"/>
        <w:jc w:val="both"/>
        <w:rPr>
          <w:rFonts w:ascii="Verdana" w:eastAsia="Calibri" w:hAnsi="Verdana" w:cs="Arial"/>
          <w:b/>
          <w:bCs/>
          <w:lang w:eastAsia="es-ES"/>
        </w:rPr>
      </w:pPr>
      <w:bookmarkStart w:id="1" w:name="_Hlk214366482"/>
      <w:r>
        <w:rPr>
          <w:rFonts w:ascii="Verdana" w:eastAsia="Calibri" w:hAnsi="Verdana" w:cs="Arial"/>
          <w:b/>
          <w:bCs/>
          <w:lang w:eastAsia="es-ES"/>
        </w:rPr>
        <w:t>Señor</w:t>
      </w:r>
    </w:p>
    <w:p w14:paraId="35CB27FB" w14:textId="77777777" w:rsidR="00267D00" w:rsidRDefault="00267D00" w:rsidP="00267D00">
      <w:pPr>
        <w:spacing w:after="0" w:line="240" w:lineRule="auto"/>
        <w:jc w:val="both"/>
        <w:rPr>
          <w:rFonts w:ascii="Verdana" w:eastAsia="Calibri" w:hAnsi="Verdana" w:cs="Arial"/>
          <w:b/>
          <w:bCs/>
          <w:lang w:eastAsia="es-ES"/>
        </w:rPr>
      </w:pPr>
      <w:r w:rsidRPr="00C052D3">
        <w:rPr>
          <w:rFonts w:ascii="Verdana" w:eastAsia="Calibri" w:hAnsi="Verdana" w:cs="Arial"/>
          <w:b/>
          <w:bCs/>
          <w:lang w:eastAsia="es-ES"/>
        </w:rPr>
        <w:t>Julio C</w:t>
      </w:r>
      <w:r>
        <w:rPr>
          <w:rFonts w:ascii="Verdana" w:eastAsia="Calibri" w:hAnsi="Verdana" w:cs="Arial"/>
          <w:b/>
          <w:bCs/>
          <w:lang w:eastAsia="es-ES"/>
        </w:rPr>
        <w:t>é</w:t>
      </w:r>
      <w:r w:rsidRPr="00C052D3">
        <w:rPr>
          <w:rFonts w:ascii="Verdana" w:eastAsia="Calibri" w:hAnsi="Verdana" w:cs="Arial"/>
          <w:b/>
          <w:bCs/>
          <w:lang w:eastAsia="es-ES"/>
        </w:rPr>
        <w:t>sar N</w:t>
      </w:r>
      <w:r>
        <w:rPr>
          <w:rFonts w:ascii="Verdana" w:eastAsia="Calibri" w:hAnsi="Verdana" w:cs="Arial"/>
          <w:b/>
          <w:bCs/>
          <w:lang w:eastAsia="es-ES"/>
        </w:rPr>
        <w:t xml:space="preserve">úñez </w:t>
      </w:r>
      <w:r w:rsidRPr="00C052D3">
        <w:rPr>
          <w:rFonts w:ascii="Verdana" w:eastAsia="Calibri" w:hAnsi="Verdana" w:cs="Arial"/>
          <w:b/>
          <w:bCs/>
          <w:lang w:eastAsia="es-ES"/>
        </w:rPr>
        <w:t>Romero</w:t>
      </w:r>
    </w:p>
    <w:p w14:paraId="4DC9877F" w14:textId="77777777" w:rsidR="00267D00" w:rsidRDefault="00267D00" w:rsidP="00267D00">
      <w:pPr>
        <w:spacing w:after="0" w:line="240" w:lineRule="auto"/>
        <w:jc w:val="both"/>
        <w:rPr>
          <w:rFonts w:ascii="Verdana" w:eastAsia="Calibri" w:hAnsi="Verdana" w:cs="Arial"/>
          <w:b/>
          <w:bCs/>
          <w:lang w:eastAsia="es-ES"/>
        </w:rPr>
      </w:pPr>
      <w:r>
        <w:rPr>
          <w:rFonts w:ascii="Verdana" w:eastAsia="Calibri" w:hAnsi="Verdana" w:cs="Arial"/>
          <w:b/>
          <w:bCs/>
          <w:lang w:eastAsia="es-ES"/>
        </w:rPr>
        <w:t xml:space="preserve">Rector </w:t>
      </w:r>
    </w:p>
    <w:p w14:paraId="475FFFA2" w14:textId="77777777" w:rsidR="00267D00" w:rsidRDefault="00267D00" w:rsidP="00267D00">
      <w:pPr>
        <w:spacing w:after="0" w:line="240" w:lineRule="auto"/>
        <w:jc w:val="both"/>
        <w:rPr>
          <w:rFonts w:ascii="Verdana" w:eastAsia="Calibri" w:hAnsi="Verdana" w:cs="Arial"/>
          <w:b/>
          <w:bCs/>
          <w:lang w:eastAsia="es-ES"/>
        </w:rPr>
      </w:pPr>
      <w:r>
        <w:rPr>
          <w:rFonts w:ascii="Verdana" w:eastAsia="Calibri" w:hAnsi="Verdana" w:cs="Arial"/>
          <w:b/>
          <w:bCs/>
          <w:lang w:eastAsia="es-ES"/>
        </w:rPr>
        <w:t xml:space="preserve">Institución Educativa Instituto Agrícola </w:t>
      </w:r>
    </w:p>
    <w:p w14:paraId="48DEC44A" w14:textId="77777777" w:rsidR="00267D00" w:rsidRPr="00C052D3" w:rsidRDefault="00267D00" w:rsidP="00267D00">
      <w:pPr>
        <w:spacing w:after="0" w:line="240" w:lineRule="auto"/>
        <w:jc w:val="both"/>
        <w:rPr>
          <w:rFonts w:ascii="Verdana" w:hAnsi="Verdana"/>
          <w:b/>
          <w:bCs/>
        </w:rPr>
      </w:pPr>
      <w:hyperlink r:id="rId11" w:history="1">
        <w:r w:rsidRPr="00C052D3">
          <w:rPr>
            <w:rStyle w:val="Hipervnculo"/>
            <w:rFonts w:ascii="Verdana" w:hAnsi="Verdana"/>
            <w:b/>
            <w:bCs/>
          </w:rPr>
          <w:t>pagaduria.eeagricolacopey@educacioncesar.gov.co</w:t>
        </w:r>
      </w:hyperlink>
    </w:p>
    <w:p w14:paraId="251D2DF1" w14:textId="77777777" w:rsidR="00267D00" w:rsidRPr="007F2AEC" w:rsidRDefault="00267D00" w:rsidP="00267D00">
      <w:pPr>
        <w:spacing w:after="0" w:line="240" w:lineRule="auto"/>
        <w:jc w:val="both"/>
        <w:rPr>
          <w:rFonts w:ascii="Verdana" w:hAnsi="Verdana"/>
        </w:rPr>
      </w:pPr>
      <w:r>
        <w:rPr>
          <w:rFonts w:ascii="Verdana" w:hAnsi="Verdana"/>
        </w:rPr>
        <w:t xml:space="preserve">Ciudad </w:t>
      </w:r>
    </w:p>
    <w:p w14:paraId="6B782EF8" w14:textId="77777777" w:rsidR="00267D00" w:rsidRPr="007F2AEC" w:rsidRDefault="00267D00" w:rsidP="00267D00">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267D00" w:rsidRPr="005644FE" w14:paraId="5831D5A3" w14:textId="77777777" w:rsidTr="00C57709">
        <w:trPr>
          <w:trHeight w:val="162"/>
        </w:trPr>
        <w:tc>
          <w:tcPr>
            <w:tcW w:w="3119" w:type="dxa"/>
          </w:tcPr>
          <w:p w14:paraId="7CAED7AD" w14:textId="77777777" w:rsidR="00267D00" w:rsidRPr="007F2AEC" w:rsidRDefault="00267D00" w:rsidP="00C57709">
            <w:pPr>
              <w:jc w:val="both"/>
              <w:rPr>
                <w:rFonts w:ascii="Verdana" w:eastAsia="Calibri" w:hAnsi="Verdana" w:cs="Arial"/>
                <w:b/>
                <w:bCs/>
                <w:color w:val="7030A0"/>
                <w:lang w:eastAsia="es-ES_tradnl"/>
              </w:rPr>
            </w:pPr>
          </w:p>
        </w:tc>
        <w:tc>
          <w:tcPr>
            <w:tcW w:w="5670" w:type="dxa"/>
          </w:tcPr>
          <w:p w14:paraId="5A950427" w14:textId="77777777" w:rsidR="00267D00" w:rsidRPr="005644FE" w:rsidRDefault="00267D00" w:rsidP="00C57709">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646 de 2026</w:t>
            </w:r>
          </w:p>
          <w:p w14:paraId="21CD3332" w14:textId="77777777" w:rsidR="00267D00" w:rsidRPr="005644FE" w:rsidRDefault="00267D00" w:rsidP="00C57709">
            <w:pPr>
              <w:jc w:val="both"/>
              <w:rPr>
                <w:rFonts w:ascii="Verdana" w:eastAsia="Calibri" w:hAnsi="Verdana" w:cs="Arial"/>
                <w:b/>
                <w:bCs/>
                <w:color w:val="7030A0"/>
                <w:lang w:eastAsia="es-ES"/>
              </w:rPr>
            </w:pPr>
          </w:p>
        </w:tc>
      </w:tr>
      <w:tr w:rsidR="00267D00" w:rsidRPr="005644FE" w14:paraId="42EF3546" w14:textId="77777777" w:rsidTr="00C57709">
        <w:trPr>
          <w:trHeight w:val="884"/>
        </w:trPr>
        <w:tc>
          <w:tcPr>
            <w:tcW w:w="3119" w:type="dxa"/>
          </w:tcPr>
          <w:p w14:paraId="0ADDAB34" w14:textId="77777777" w:rsidR="00267D00" w:rsidRPr="005644FE" w:rsidRDefault="00267D00" w:rsidP="00C57709">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74FDAD53" w14:textId="77777777" w:rsidR="00267D00" w:rsidRPr="00305F79" w:rsidRDefault="00267D00" w:rsidP="00C57709">
            <w:pPr>
              <w:spacing w:line="276" w:lineRule="auto"/>
              <w:jc w:val="both"/>
              <w:rPr>
                <w:rFonts w:ascii="Verdana" w:hAnsi="Verdana" w:cs="Arial"/>
                <w:color w:val="000000" w:themeColor="text1"/>
              </w:rPr>
            </w:pPr>
            <w:r w:rsidRPr="00DD0073">
              <w:rPr>
                <w:rFonts w:ascii="Verdana" w:hAnsi="Verdana" w:cs="Arial"/>
                <w:color w:val="000000" w:themeColor="text1"/>
              </w:rPr>
              <w:t xml:space="preserve">LEY DE GARANTÍAS ELECTORALES – Propósito / LEY DE GARANTÍAS ELECTORALES – Prohibiciones – Restricciones / LEY DE GARANTÍAS ELECTORALES – Artículo 33 – Ámbito material / LEY DE GARANTÍAS ELECTORALES – Destinatarios / LEY DE GARANTÍAS ELECTORALES – Excepciones / LEY DE GARANTÍAS ELECTORALES – Parágrafo del artículo 38 </w:t>
            </w:r>
            <w:r>
              <w:rPr>
                <w:rFonts w:ascii="Verdana" w:hAnsi="Verdana" w:cs="Arial"/>
                <w:color w:val="000000" w:themeColor="text1"/>
              </w:rPr>
              <w:t xml:space="preserve">– LEY DE GARANTÍAS ELECTORALES – Convenios y contratos interadministrativos  / LEY DE GARANTÁS ELECTORALES – Posición jurisprudencial / </w:t>
            </w:r>
            <w:r w:rsidRPr="00DD0073">
              <w:rPr>
                <w:rFonts w:ascii="Verdana" w:hAnsi="Verdana" w:cs="Arial"/>
                <w:color w:val="000000" w:themeColor="text1"/>
              </w:rPr>
              <w:t xml:space="preserve">INSTITUCIONES EDUCATIVAS OFICIALES – Naturaleza jurídica – Capacidad para contratar / INSTITUCIONES EDUCATIVAS OFICIALES – Ley de Garantías Electorales – Aplicación  </w:t>
            </w:r>
          </w:p>
        </w:tc>
      </w:tr>
      <w:tr w:rsidR="00267D00" w:rsidRPr="005644FE" w14:paraId="4A8C3614" w14:textId="77777777" w:rsidTr="00C57709">
        <w:tc>
          <w:tcPr>
            <w:tcW w:w="3119" w:type="dxa"/>
          </w:tcPr>
          <w:p w14:paraId="6DDB9C76" w14:textId="77777777" w:rsidR="00267D00" w:rsidRPr="005644FE" w:rsidRDefault="00267D00" w:rsidP="00C57709">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1D0E5980" w14:textId="77777777" w:rsidR="00267D00" w:rsidRPr="00F04657" w:rsidRDefault="00267D00" w:rsidP="00C57709">
            <w:pPr>
              <w:jc w:val="both"/>
              <w:rPr>
                <w:rFonts w:ascii="Verdana" w:eastAsia="Calibri" w:hAnsi="Verdana" w:cs="Arial"/>
                <w:lang w:eastAsia="es-ES"/>
              </w:rPr>
            </w:pPr>
            <w:r w:rsidRPr="74C89D8F">
              <w:rPr>
                <w:rFonts w:ascii="Verdana" w:eastAsia="Calibri" w:hAnsi="Verdana" w:cs="Arial"/>
                <w:lang w:eastAsia="es-ES"/>
              </w:rPr>
              <w:t>Respuesta a consulta con radicado</w:t>
            </w:r>
            <w:r>
              <w:rPr>
                <w:rFonts w:ascii="Verdana" w:eastAsia="Calibri" w:hAnsi="Verdana" w:cs="Arial"/>
                <w:lang w:eastAsia="es-ES"/>
              </w:rPr>
              <w:t xml:space="preserve"> </w:t>
            </w:r>
            <w:r w:rsidRPr="00C052D3">
              <w:rPr>
                <w:rFonts w:ascii="Verdana" w:eastAsia="Calibri" w:hAnsi="Verdana" w:cs="Arial"/>
                <w:lang w:eastAsia="es-ES"/>
              </w:rPr>
              <w:t>1_2026_04_21_005353</w:t>
            </w:r>
          </w:p>
        </w:tc>
      </w:tr>
    </w:tbl>
    <w:p w14:paraId="0003680C" w14:textId="77777777" w:rsidR="00267D00" w:rsidRPr="005644FE" w:rsidRDefault="00267D00" w:rsidP="00267D00">
      <w:pPr>
        <w:spacing w:after="0" w:line="276" w:lineRule="auto"/>
        <w:jc w:val="both"/>
        <w:rPr>
          <w:rFonts w:ascii="Verdana" w:eastAsia="Calibri" w:hAnsi="Verdana" w:cs="Arial"/>
          <w:lang w:eastAsia="es-ES_tradnl"/>
        </w:rPr>
      </w:pPr>
      <w:r>
        <w:rPr>
          <w:rFonts w:ascii="Verdana" w:eastAsia="Calibri" w:hAnsi="Verdana" w:cs="Arial"/>
          <w:lang w:eastAsia="es-ES_tradnl"/>
        </w:rPr>
        <w:t xml:space="preserve"> </w:t>
      </w:r>
    </w:p>
    <w:p w14:paraId="1DBB527A" w14:textId="77777777" w:rsidR="00267D00" w:rsidRPr="005644FE" w:rsidRDefault="00267D00" w:rsidP="00267D00">
      <w:pPr>
        <w:spacing w:after="0" w:line="276" w:lineRule="auto"/>
        <w:jc w:val="both"/>
        <w:rPr>
          <w:rFonts w:ascii="Verdana" w:eastAsia="Calibri" w:hAnsi="Verdana" w:cs="Arial"/>
          <w:lang w:eastAsia="es-ES"/>
        </w:rPr>
      </w:pPr>
      <w:r>
        <w:rPr>
          <w:rFonts w:ascii="Verdana" w:eastAsia="Calibri" w:hAnsi="Verdana" w:cs="Arial"/>
          <w:lang w:eastAsia="es-ES"/>
        </w:rPr>
        <w:t xml:space="preserve">Estimado señor Núñez: </w:t>
      </w:r>
    </w:p>
    <w:p w14:paraId="3657DC0D" w14:textId="77777777" w:rsidR="00267D00" w:rsidRPr="00E02524" w:rsidRDefault="00267D00" w:rsidP="00267D00">
      <w:pPr>
        <w:spacing w:after="0" w:line="240" w:lineRule="auto"/>
        <w:jc w:val="both"/>
        <w:rPr>
          <w:rFonts w:ascii="Verdana" w:hAnsi="Verdana"/>
          <w:lang w:val="es-MX"/>
        </w:rPr>
      </w:pPr>
    </w:p>
    <w:p w14:paraId="63A1BC32" w14:textId="77777777" w:rsidR="00267D00" w:rsidRDefault="00267D00" w:rsidP="00267D00">
      <w:pPr>
        <w:spacing w:after="120" w:line="276" w:lineRule="auto"/>
        <w:jc w:val="both"/>
        <w:rPr>
          <w:rFonts w:ascii="Verdana" w:eastAsia="Calibri" w:hAnsi="Verdana" w:cs="Arial"/>
          <w:lang w:eastAsia="es-ES"/>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 xml:space="preserve"> y </w:t>
      </w:r>
      <w:r w:rsidRPr="00E02524">
        <w:rPr>
          <w:rFonts w:ascii="Verdana" w:hAnsi="Verdana"/>
        </w:rPr>
        <w:t>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 xml:space="preserve">responde su solicitud de consulta </w:t>
      </w:r>
      <w:r>
        <w:rPr>
          <w:rFonts w:ascii="Verdana" w:eastAsia="Calibri" w:hAnsi="Verdana" w:cs="Arial"/>
          <w:lang w:eastAsia="es-ES"/>
        </w:rPr>
        <w:t xml:space="preserve">de fecha del 21 de abril de 2026, </w:t>
      </w:r>
      <w:r w:rsidRPr="005644FE">
        <w:rPr>
          <w:rFonts w:ascii="Verdana" w:eastAsia="Calibri" w:hAnsi="Verdana" w:cs="Arial"/>
          <w:lang w:eastAsia="es-ES"/>
        </w:rPr>
        <w:t>en la cual manifiesta lo siguiente:</w:t>
      </w:r>
    </w:p>
    <w:p w14:paraId="4EBDA7AD" w14:textId="77777777" w:rsidR="00267D00" w:rsidRPr="002D339E" w:rsidRDefault="00267D00" w:rsidP="00267D00">
      <w:pPr>
        <w:spacing w:after="120" w:line="276" w:lineRule="auto"/>
        <w:jc w:val="both"/>
        <w:rPr>
          <w:rFonts w:ascii="Verdana" w:eastAsia="Calibri" w:hAnsi="Verdana" w:cs="Arial"/>
          <w:lang w:eastAsia="es-ES"/>
        </w:rPr>
      </w:pPr>
      <w:r w:rsidRPr="00E02524">
        <w:rPr>
          <w:rFonts w:ascii="Verdana" w:hAnsi="Verdana"/>
        </w:rPr>
        <w:t xml:space="preserve">PETICIÓN REALIZADA </w:t>
      </w:r>
    </w:p>
    <w:p w14:paraId="5CD665B2" w14:textId="77777777" w:rsidR="00267D00" w:rsidRDefault="00267D00" w:rsidP="00267D00">
      <w:pPr>
        <w:spacing w:after="0" w:line="240" w:lineRule="auto"/>
        <w:ind w:left="709" w:right="709"/>
        <w:jc w:val="both"/>
        <w:rPr>
          <w:rFonts w:ascii="Verdana" w:hAnsi="Verdana"/>
          <w:sz w:val="20"/>
          <w:szCs w:val="20"/>
        </w:rPr>
      </w:pPr>
      <w:r>
        <w:rPr>
          <w:rFonts w:ascii="Verdana" w:hAnsi="Verdana"/>
          <w:sz w:val="20"/>
          <w:szCs w:val="20"/>
        </w:rPr>
        <w:t xml:space="preserve">“(…) En concordancia con la normatividad vigente y las directrices impartidas referentes a la contratación de las instituciones educativas durante la vigencia de la Ley de garantías, hacemos la siguiente consulta, con la finalidad de tener claridad en la contratación con recursos del Fondo de Servicios Educativos de esta institución, durante la actual vigencia fiscal 2026; para lo cual hacemos las siguientes precisiones: </w:t>
      </w:r>
    </w:p>
    <w:p w14:paraId="2808534E" w14:textId="77777777" w:rsidR="00267D00" w:rsidRDefault="00267D00" w:rsidP="00267D00">
      <w:pPr>
        <w:spacing w:after="0" w:line="240" w:lineRule="auto"/>
        <w:ind w:left="709" w:right="709"/>
        <w:jc w:val="both"/>
        <w:rPr>
          <w:rFonts w:ascii="Verdana" w:hAnsi="Verdana"/>
          <w:sz w:val="20"/>
          <w:szCs w:val="20"/>
        </w:rPr>
      </w:pPr>
    </w:p>
    <w:p w14:paraId="6270918E" w14:textId="77777777" w:rsidR="00267D00" w:rsidRDefault="00267D00" w:rsidP="00267D00">
      <w:pPr>
        <w:spacing w:after="0" w:line="240" w:lineRule="auto"/>
        <w:ind w:left="709" w:right="709"/>
        <w:jc w:val="both"/>
        <w:rPr>
          <w:rFonts w:ascii="Verdana" w:hAnsi="Verdana"/>
          <w:sz w:val="20"/>
          <w:szCs w:val="20"/>
        </w:rPr>
      </w:pPr>
      <w:r>
        <w:rPr>
          <w:rFonts w:ascii="Verdana" w:hAnsi="Verdana"/>
          <w:sz w:val="20"/>
          <w:szCs w:val="20"/>
        </w:rPr>
        <w:t xml:space="preserve">Históricamente en esta Institución Educativa, ser celebran los siguientes tipos de contratos: </w:t>
      </w:r>
    </w:p>
    <w:p w14:paraId="138CD399" w14:textId="77777777" w:rsidR="00267D00" w:rsidRDefault="00267D00" w:rsidP="00267D00">
      <w:pPr>
        <w:spacing w:after="0" w:line="240" w:lineRule="auto"/>
        <w:ind w:left="709" w:right="709"/>
        <w:jc w:val="both"/>
        <w:rPr>
          <w:rFonts w:ascii="Verdana" w:hAnsi="Verdana"/>
          <w:sz w:val="20"/>
          <w:szCs w:val="20"/>
        </w:rPr>
      </w:pPr>
    </w:p>
    <w:p w14:paraId="1C9E5459" w14:textId="77777777" w:rsidR="00267D00" w:rsidRDefault="00267D00" w:rsidP="00267D00">
      <w:pPr>
        <w:spacing w:after="0" w:line="240" w:lineRule="auto"/>
        <w:ind w:left="709" w:right="709"/>
        <w:jc w:val="both"/>
        <w:rPr>
          <w:rFonts w:ascii="Verdana" w:hAnsi="Verdana"/>
          <w:sz w:val="20"/>
          <w:szCs w:val="20"/>
        </w:rPr>
      </w:pPr>
      <w:r w:rsidRPr="007B3771">
        <w:rPr>
          <w:rFonts w:ascii="Verdana" w:hAnsi="Verdana"/>
          <w:b/>
          <w:bCs/>
          <w:sz w:val="20"/>
          <w:szCs w:val="20"/>
        </w:rPr>
        <w:t>Contratos de Obra</w:t>
      </w:r>
      <w:r>
        <w:rPr>
          <w:rFonts w:ascii="Verdana" w:hAnsi="Verdana"/>
          <w:sz w:val="20"/>
          <w:szCs w:val="20"/>
        </w:rPr>
        <w:t xml:space="preserve"> (…)</w:t>
      </w:r>
    </w:p>
    <w:p w14:paraId="0116A3EA" w14:textId="786A18F9" w:rsidR="00267D00" w:rsidRDefault="00267D00" w:rsidP="00423A72">
      <w:pPr>
        <w:tabs>
          <w:tab w:val="left" w:pos="6380"/>
        </w:tabs>
        <w:spacing w:after="0" w:line="240" w:lineRule="auto"/>
        <w:ind w:left="709" w:right="709"/>
        <w:jc w:val="both"/>
        <w:rPr>
          <w:rFonts w:ascii="Verdana" w:hAnsi="Verdana"/>
          <w:sz w:val="20"/>
          <w:szCs w:val="20"/>
        </w:rPr>
      </w:pPr>
      <w:r>
        <w:rPr>
          <w:rFonts w:ascii="Verdana" w:hAnsi="Verdana"/>
          <w:b/>
          <w:bCs/>
          <w:sz w:val="20"/>
          <w:szCs w:val="20"/>
        </w:rPr>
        <w:t xml:space="preserve">Contratos de Compraventa </w:t>
      </w:r>
      <w:r w:rsidRPr="007B3771">
        <w:rPr>
          <w:rFonts w:ascii="Verdana" w:hAnsi="Verdana"/>
          <w:sz w:val="20"/>
          <w:szCs w:val="20"/>
        </w:rPr>
        <w:t>(…)</w:t>
      </w:r>
      <w:r w:rsidR="00423A72">
        <w:rPr>
          <w:rFonts w:ascii="Verdana" w:hAnsi="Verdana"/>
          <w:sz w:val="20"/>
          <w:szCs w:val="20"/>
        </w:rPr>
        <w:tab/>
      </w:r>
    </w:p>
    <w:p w14:paraId="5C9B09B8" w14:textId="77777777" w:rsidR="00267D00" w:rsidRDefault="00267D00" w:rsidP="00267D00">
      <w:pPr>
        <w:spacing w:after="0" w:line="240" w:lineRule="auto"/>
        <w:ind w:left="709" w:right="709"/>
        <w:jc w:val="both"/>
        <w:rPr>
          <w:rFonts w:ascii="Verdana" w:hAnsi="Verdana"/>
          <w:sz w:val="20"/>
          <w:szCs w:val="20"/>
        </w:rPr>
      </w:pPr>
      <w:r>
        <w:rPr>
          <w:rFonts w:ascii="Verdana" w:hAnsi="Verdana"/>
          <w:b/>
          <w:bCs/>
          <w:sz w:val="20"/>
          <w:szCs w:val="20"/>
        </w:rPr>
        <w:t xml:space="preserve">Contratos de Suministro </w:t>
      </w:r>
      <w:r>
        <w:rPr>
          <w:rFonts w:ascii="Verdana" w:hAnsi="Verdana"/>
          <w:sz w:val="20"/>
          <w:szCs w:val="20"/>
        </w:rPr>
        <w:t>(…)</w:t>
      </w:r>
    </w:p>
    <w:p w14:paraId="42D0BD26" w14:textId="77777777" w:rsidR="00267D00" w:rsidRDefault="00267D00" w:rsidP="00267D00">
      <w:pPr>
        <w:spacing w:after="0" w:line="240" w:lineRule="auto"/>
        <w:ind w:left="709" w:right="709"/>
        <w:jc w:val="both"/>
        <w:rPr>
          <w:rFonts w:ascii="Verdana" w:hAnsi="Verdana"/>
          <w:sz w:val="20"/>
          <w:szCs w:val="20"/>
        </w:rPr>
      </w:pPr>
      <w:r>
        <w:rPr>
          <w:rFonts w:ascii="Verdana" w:hAnsi="Verdana"/>
          <w:b/>
          <w:bCs/>
          <w:sz w:val="20"/>
          <w:szCs w:val="20"/>
        </w:rPr>
        <w:t xml:space="preserve">Contratos de Prestación de Servicios </w:t>
      </w:r>
      <w:r>
        <w:rPr>
          <w:rFonts w:ascii="Verdana" w:hAnsi="Verdana"/>
          <w:sz w:val="20"/>
          <w:szCs w:val="20"/>
        </w:rPr>
        <w:t xml:space="preserve">(…) </w:t>
      </w:r>
    </w:p>
    <w:p w14:paraId="5CF52FEC" w14:textId="77777777" w:rsidR="00267D00" w:rsidRDefault="00267D00" w:rsidP="00267D00">
      <w:pPr>
        <w:spacing w:after="0" w:line="240" w:lineRule="auto"/>
        <w:ind w:left="709" w:right="709"/>
        <w:jc w:val="both"/>
        <w:rPr>
          <w:rFonts w:ascii="Verdana" w:hAnsi="Verdana"/>
          <w:sz w:val="20"/>
          <w:szCs w:val="20"/>
        </w:rPr>
      </w:pPr>
    </w:p>
    <w:p w14:paraId="453C57C3" w14:textId="77777777" w:rsidR="00267D00" w:rsidRDefault="00267D00" w:rsidP="00267D00">
      <w:pPr>
        <w:spacing w:after="0" w:line="240" w:lineRule="auto"/>
        <w:ind w:left="709" w:right="709"/>
        <w:jc w:val="both"/>
        <w:rPr>
          <w:rFonts w:ascii="Verdana" w:hAnsi="Verdana"/>
          <w:sz w:val="20"/>
          <w:szCs w:val="20"/>
        </w:rPr>
      </w:pPr>
      <w:r>
        <w:rPr>
          <w:rFonts w:ascii="Verdana" w:hAnsi="Verdana"/>
          <w:sz w:val="20"/>
          <w:szCs w:val="20"/>
        </w:rPr>
        <w:t xml:space="preserve">Cabe recordar que todos los contratos son de cuantía inferior a veinte (20) salarios mínimos mensuales vigentes, celebrados en la modalidad de Régimen Especial, sujeto al Manual de Contratación aprobado por el Consejo Directivo, siguiendo los principios de igualdad, moralidad, imparcialidad y publicidad; contemplado en el artículo 13 de la Ley 715 de 2001. En ese sentido, el procedimiento para escoger a todos los proveedores de bienes y </w:t>
      </w:r>
      <w:proofErr w:type="gramStart"/>
      <w:r>
        <w:rPr>
          <w:rFonts w:ascii="Verdana" w:hAnsi="Verdana"/>
          <w:sz w:val="20"/>
          <w:szCs w:val="20"/>
        </w:rPr>
        <w:t>servicios,</w:t>
      </w:r>
      <w:proofErr w:type="gramEnd"/>
      <w:r>
        <w:rPr>
          <w:rFonts w:ascii="Verdana" w:hAnsi="Verdana"/>
          <w:sz w:val="20"/>
          <w:szCs w:val="20"/>
        </w:rPr>
        <w:t xml:space="preserve"> es igual para todos los contratos, desarrollándose de la siguiente manera: </w:t>
      </w:r>
    </w:p>
    <w:p w14:paraId="36FFA450" w14:textId="77777777" w:rsidR="00267D00" w:rsidRDefault="00267D00" w:rsidP="00267D00">
      <w:pPr>
        <w:spacing w:after="0" w:line="240" w:lineRule="auto"/>
        <w:ind w:left="709" w:right="709"/>
        <w:jc w:val="both"/>
        <w:rPr>
          <w:rFonts w:ascii="Verdana" w:hAnsi="Verdana"/>
          <w:sz w:val="20"/>
          <w:szCs w:val="20"/>
        </w:rPr>
      </w:pPr>
    </w:p>
    <w:p w14:paraId="084F6E0D" w14:textId="77777777" w:rsidR="00267D00" w:rsidRDefault="00267D00" w:rsidP="00267D00">
      <w:pPr>
        <w:spacing w:after="0" w:line="240" w:lineRule="auto"/>
        <w:ind w:left="709" w:right="709"/>
        <w:jc w:val="both"/>
        <w:rPr>
          <w:rFonts w:ascii="Verdana" w:hAnsi="Verdana"/>
          <w:sz w:val="20"/>
          <w:szCs w:val="20"/>
        </w:rPr>
      </w:pPr>
      <w:r>
        <w:rPr>
          <w:rFonts w:ascii="Verdana" w:hAnsi="Verdana"/>
          <w:sz w:val="20"/>
          <w:szCs w:val="20"/>
        </w:rPr>
        <w:t>(…)</w:t>
      </w:r>
    </w:p>
    <w:p w14:paraId="6A3DAC28" w14:textId="77777777" w:rsidR="00267D00" w:rsidRDefault="00267D00" w:rsidP="00267D00">
      <w:pPr>
        <w:spacing w:after="0" w:line="240" w:lineRule="auto"/>
        <w:ind w:left="709" w:right="709"/>
        <w:jc w:val="both"/>
        <w:rPr>
          <w:rFonts w:ascii="Verdana" w:hAnsi="Verdana"/>
          <w:sz w:val="20"/>
          <w:szCs w:val="20"/>
        </w:rPr>
      </w:pPr>
    </w:p>
    <w:p w14:paraId="5B0266A7" w14:textId="77777777" w:rsidR="00267D00" w:rsidRPr="002A0834" w:rsidRDefault="00267D00" w:rsidP="00267D00">
      <w:pPr>
        <w:spacing w:after="0" w:line="240" w:lineRule="auto"/>
        <w:ind w:left="709" w:right="709"/>
        <w:jc w:val="both"/>
        <w:rPr>
          <w:rFonts w:ascii="Verdana" w:hAnsi="Verdana"/>
          <w:b/>
          <w:bCs/>
          <w:sz w:val="20"/>
          <w:szCs w:val="20"/>
        </w:rPr>
      </w:pPr>
      <w:r w:rsidRPr="006375B2">
        <w:rPr>
          <w:rFonts w:ascii="Verdana" w:hAnsi="Verdana"/>
          <w:b/>
          <w:bCs/>
          <w:sz w:val="20"/>
          <w:szCs w:val="20"/>
        </w:rPr>
        <w:t>Consulta:</w:t>
      </w:r>
      <w:r>
        <w:rPr>
          <w:rFonts w:ascii="Verdana" w:hAnsi="Verdana"/>
          <w:b/>
          <w:bCs/>
          <w:sz w:val="20"/>
          <w:szCs w:val="20"/>
        </w:rPr>
        <w:t xml:space="preserve"> </w:t>
      </w:r>
      <w:r>
        <w:rPr>
          <w:rFonts w:ascii="Verdana" w:hAnsi="Verdana"/>
          <w:sz w:val="20"/>
          <w:szCs w:val="20"/>
        </w:rPr>
        <w:t xml:space="preserve">de acuerdo con la información anterior </w:t>
      </w:r>
      <w:r w:rsidRPr="002A0834">
        <w:rPr>
          <w:rFonts w:ascii="Verdana" w:hAnsi="Verdana"/>
          <w:b/>
          <w:bCs/>
          <w:sz w:val="20"/>
          <w:szCs w:val="20"/>
        </w:rPr>
        <w:t>¿</w:t>
      </w:r>
      <w:r>
        <w:rPr>
          <w:rFonts w:ascii="Verdana" w:hAnsi="Verdana"/>
          <w:b/>
          <w:bCs/>
          <w:sz w:val="20"/>
          <w:szCs w:val="20"/>
        </w:rPr>
        <w:t>Cuáles contratos se pueden celebrar y cuales no durante la vigencia de la Ley de Garantías?</w:t>
      </w:r>
      <w:r>
        <w:rPr>
          <w:rFonts w:ascii="Verdana" w:hAnsi="Verdana"/>
          <w:sz w:val="20"/>
          <w:szCs w:val="20"/>
        </w:rPr>
        <w:t xml:space="preserve"> (…)”.</w:t>
      </w:r>
    </w:p>
    <w:p w14:paraId="0628F2A2" w14:textId="77777777" w:rsidR="00267D00" w:rsidRPr="00647D77" w:rsidRDefault="00267D00" w:rsidP="00267D00">
      <w:pPr>
        <w:spacing w:after="0" w:line="240" w:lineRule="auto"/>
        <w:ind w:right="709"/>
        <w:jc w:val="both"/>
        <w:rPr>
          <w:rFonts w:ascii="Verdana" w:hAnsi="Verdana"/>
        </w:rPr>
      </w:pPr>
    </w:p>
    <w:p w14:paraId="6BF0DBC8" w14:textId="77777777" w:rsidR="00267D00" w:rsidRPr="00F64722" w:rsidRDefault="00267D00" w:rsidP="00267D00">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eastAsia="es-ES"/>
        </w:rPr>
        <w:t xml:space="preserve">la Agencia Nacional de Contratación Pública - </w:t>
      </w:r>
      <w:r w:rsidRPr="005644FE">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22C8AEF" w14:textId="77777777" w:rsidR="00267D00" w:rsidRPr="00DB6A18" w:rsidRDefault="00267D00" w:rsidP="00267D00">
      <w:pPr>
        <w:spacing w:after="120" w:line="276" w:lineRule="auto"/>
        <w:ind w:firstLine="709"/>
        <w:jc w:val="both"/>
        <w:rPr>
          <w:rFonts w:ascii="Verdana" w:eastAsia="Calibri" w:hAnsi="Verdana" w:cs="Arial"/>
          <w:lang w:eastAsia="es-ES"/>
        </w:rPr>
      </w:pPr>
      <w:r w:rsidRPr="00A24186">
        <w:rPr>
          <w:rFonts w:ascii="Verdana" w:eastAsia="Calibri" w:hAnsi="Verdana" w:cs="Arial"/>
          <w:color w:val="000000"/>
          <w:lang w:eastAsia="es-ES"/>
        </w:rPr>
        <w:t>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al problema jurídico de su consulta.</w:t>
      </w:r>
      <w:r w:rsidRPr="00DB6A18">
        <w:rPr>
          <w:rFonts w:ascii="Verdana" w:eastAsia="Calibri" w:hAnsi="Verdana" w:cs="Arial"/>
          <w:lang w:eastAsia="es-ES"/>
        </w:rPr>
        <w:t xml:space="preserve">  </w:t>
      </w:r>
    </w:p>
    <w:p w14:paraId="51DAAF4A" w14:textId="77777777" w:rsidR="00267D00" w:rsidRPr="00DB6A18" w:rsidRDefault="00267D00" w:rsidP="00267D0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DB6A18">
        <w:rPr>
          <w:rFonts w:ascii="Verdana" w:eastAsia="Century Gothic" w:hAnsi="Verdana" w:cs="Century Gothic"/>
          <w:b/>
          <w:bCs/>
        </w:rPr>
        <w:t>Problema planteado:</w:t>
      </w:r>
    </w:p>
    <w:p w14:paraId="4D839A20" w14:textId="77777777" w:rsidR="00267D00" w:rsidRPr="00DB6A18" w:rsidRDefault="00267D00" w:rsidP="00267D00">
      <w:pPr>
        <w:spacing w:after="0" w:line="240" w:lineRule="auto"/>
        <w:jc w:val="both"/>
        <w:rPr>
          <w:rFonts w:ascii="Verdana" w:eastAsia="Calibri" w:hAnsi="Verdana" w:cs="Arial"/>
          <w:color w:val="000000"/>
          <w:lang w:eastAsia="es-ES"/>
        </w:rPr>
      </w:pPr>
    </w:p>
    <w:p w14:paraId="4CBC9B36" w14:textId="77777777" w:rsidR="00267D00" w:rsidRDefault="00267D00" w:rsidP="00267D00">
      <w:pPr>
        <w:spacing w:after="0" w:line="276" w:lineRule="auto"/>
        <w:jc w:val="both"/>
        <w:rPr>
          <w:rFonts w:ascii="Verdana" w:eastAsia="Century Gothic" w:hAnsi="Verdana" w:cs="Century Gothic"/>
        </w:rPr>
      </w:pPr>
      <w:r w:rsidRPr="00DB6A18">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w:t>
      </w:r>
      <w:r w:rsidRPr="00DB6A18">
        <w:rPr>
          <w:rFonts w:ascii="Verdana" w:eastAsia="Calibri" w:hAnsi="Verdana" w:cs="Arial"/>
          <w:color w:val="000000"/>
          <w:lang w:eastAsia="es-ES"/>
        </w:rPr>
        <w:t xml:space="preserve"> siguiente problema jurídico</w:t>
      </w:r>
      <w:r w:rsidRPr="007620A2">
        <w:rPr>
          <w:rFonts w:ascii="Verdana" w:eastAsia="Calibri" w:hAnsi="Verdana" w:cs="Arial"/>
          <w:color w:val="000000"/>
          <w:lang w:eastAsia="es-ES"/>
        </w:rPr>
        <w:t xml:space="preserve">: </w:t>
      </w:r>
      <w:r w:rsidRPr="005649AA">
        <w:rPr>
          <w:rFonts w:ascii="Verdana" w:eastAsia="Century Gothic" w:hAnsi="Verdana" w:cs="Century Gothic"/>
        </w:rPr>
        <w:t>¿</w:t>
      </w:r>
      <w:r>
        <w:rPr>
          <w:rFonts w:ascii="Verdana" w:eastAsia="Century Gothic" w:hAnsi="Verdana" w:cs="Century Gothic"/>
        </w:rPr>
        <w:t xml:space="preserve">Cuáles son los contratos que las instituciones educativas oficiales con régimen especial pueden celebrar en vigencia de la </w:t>
      </w:r>
      <w:r w:rsidRPr="005649AA">
        <w:rPr>
          <w:rFonts w:ascii="Verdana" w:eastAsia="Century Gothic" w:hAnsi="Verdana" w:cs="Century Gothic"/>
        </w:rPr>
        <w:t>Ley de Garantías Electorales?</w:t>
      </w:r>
    </w:p>
    <w:p w14:paraId="7A9B3B6F" w14:textId="77777777" w:rsidR="00267D00" w:rsidRDefault="00267D00" w:rsidP="00267D00">
      <w:pPr>
        <w:spacing w:after="0" w:line="240" w:lineRule="auto"/>
        <w:jc w:val="both"/>
        <w:rPr>
          <w:rFonts w:ascii="Verdana" w:hAnsi="Verdana"/>
        </w:rPr>
      </w:pPr>
    </w:p>
    <w:p w14:paraId="304402D8" w14:textId="77777777" w:rsidR="00267D00" w:rsidRPr="00000E3C" w:rsidRDefault="00267D00" w:rsidP="00267D00">
      <w:pPr>
        <w:spacing w:after="0" w:line="240" w:lineRule="auto"/>
        <w:jc w:val="both"/>
        <w:rPr>
          <w:rFonts w:ascii="Verdana" w:hAnsi="Verdana"/>
        </w:rPr>
      </w:pPr>
      <w:r w:rsidRPr="00B33011">
        <w:rPr>
          <w:rFonts w:ascii="Verdana" w:eastAsia="Century Gothic" w:hAnsi="Verdana" w:cs="Century Gothic"/>
          <w:b/>
          <w:bCs/>
        </w:rPr>
        <w:t>2. Respuesta:</w:t>
      </w:r>
    </w:p>
    <w:p w14:paraId="3C2DD323" w14:textId="77777777" w:rsidR="00267D00" w:rsidRPr="005644FE" w:rsidRDefault="00267D00" w:rsidP="00267D00">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267D00" w:rsidRPr="005644FE" w14:paraId="1BF2EB00" w14:textId="77777777" w:rsidTr="00C57709">
        <w:tc>
          <w:tcPr>
            <w:tcW w:w="8828" w:type="dxa"/>
          </w:tcPr>
          <w:p w14:paraId="4509C82C" w14:textId="77777777" w:rsidR="00267D00" w:rsidRDefault="00267D00" w:rsidP="00C57709">
            <w:pPr>
              <w:spacing w:after="120" w:line="276" w:lineRule="auto"/>
              <w:jc w:val="both"/>
              <w:rPr>
                <w:rFonts w:ascii="Verdana" w:eastAsia="Calibri" w:hAnsi="Verdana" w:cs="Arial"/>
                <w:lang w:eastAsia="es-ES"/>
              </w:rPr>
            </w:pPr>
            <w:r w:rsidRPr="006A09E3">
              <w:rPr>
                <w:rFonts w:ascii="Verdana" w:eastAsia="Calibri" w:hAnsi="Verdana" w:cs="Arial"/>
                <w:lang w:eastAsia="es-ES"/>
              </w:rPr>
              <w:t xml:space="preserve">Las restricciones contenidas en el artículo 33 de la Ley 996 de 2005 aplica para “la contratación directa” de todos los entes del Estado, </w:t>
            </w:r>
            <w:r w:rsidRPr="006A09E3">
              <w:rPr>
                <w:rFonts w:ascii="Verdana" w:hAnsi="Verdana" w:cs="Arial"/>
                <w:color w:val="000000" w:themeColor="text1"/>
                <w:lang w:val="es-MX"/>
              </w:rPr>
              <w:t xml:space="preserve">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6A09E3">
              <w:rPr>
                <w:rFonts w:ascii="Verdana" w:eastAsia="Calibri" w:hAnsi="Verdana" w:cs="Arial"/>
                <w:lang w:eastAsia="es-ES"/>
              </w:rPr>
              <w:t xml:space="preserve"> Se trata de la prohibición de </w:t>
            </w:r>
            <w:r w:rsidRPr="006A09E3">
              <w:rPr>
                <w:rFonts w:ascii="Verdana" w:hAnsi="Verdana" w:cs="Arial"/>
                <w:bCs/>
                <w:lang w:eastAsia="x-none"/>
              </w:rPr>
              <w:t>aquellos contratos en los que no exista un proceso abierto y competitivo.</w:t>
            </w:r>
            <w:r w:rsidRPr="006A09E3">
              <w:rPr>
                <w:rFonts w:ascii="Verdana" w:hAnsi="Verdana" w:cs="Arial"/>
                <w:lang w:eastAsia="x-none"/>
              </w:rPr>
              <w:t xml:space="preserve"> Por lo tanto, no son materia de la prohibición las demás modalidades de selección previstas en la Ley 1150 de 2007, esto es, la licitación pública, el concurso de méritos, la selección abreviada y la contratación de mínima cuantía. Adicionalmente, la celebración de la contratación directa </w:t>
            </w:r>
            <w:r w:rsidRPr="006A09E3">
              <w:rPr>
                <w:rFonts w:ascii="Verdana" w:eastAsia="Calibri" w:hAnsi="Verdana" w:cs="Arial"/>
                <w:lang w:eastAsia="es-ES"/>
              </w:rPr>
              <w:t xml:space="preserve">no se encuentra condicionada por la ejecución de recursos en el marco de los respectivos contratos o el origen de estos, de manera que aplica las restricciones independientemente de que el contrato implique o no la ejecución de recursos o si los recursos destinados son de naturaleza pública o privada. </w:t>
            </w:r>
          </w:p>
          <w:p w14:paraId="23510D63" w14:textId="77777777" w:rsidR="00267D00" w:rsidRDefault="00267D00" w:rsidP="00C57709">
            <w:pPr>
              <w:spacing w:after="120" w:line="276" w:lineRule="auto"/>
              <w:ind w:firstLine="709"/>
              <w:jc w:val="both"/>
              <w:rPr>
                <w:rFonts w:ascii="Verdana" w:eastAsia="Calibri" w:hAnsi="Verdana" w:cs="Arial"/>
                <w:lang w:eastAsia="es-ES"/>
              </w:rPr>
            </w:pPr>
            <w:r w:rsidRPr="00671AB3">
              <w:rPr>
                <w:rFonts w:ascii="Verdana" w:eastAsia="Calibri" w:hAnsi="Verdana" w:cs="Arial"/>
                <w:lang w:eastAsia="es-ES"/>
              </w:rPr>
              <w:t>La restricción contemplada en el parágrafo del artículo 38 de la Ley 996 de 2005 se refiere a la celebración de convenios interadministrativos para la ejecución de recursos públicos, independientemente de que se configuren los supuestos de excepción que señala en artículo 33 de la misma ley.  Actualmente, las restricciones del artículo 33 y del parágrafo del artículo 38 de la Ley están en curso, de tal manera que los gobernadores, secretarios, gerentes y directores de las entidades del orden municipal, departamental o distrital no podrán no solo celebrar convenios interadministrativos para la ejecución de recursos sino también cualquier contratación directa.</w:t>
            </w:r>
          </w:p>
          <w:p w14:paraId="777B5ACA" w14:textId="77777777" w:rsidR="00267D00" w:rsidRPr="00671AB3" w:rsidRDefault="00267D00" w:rsidP="00C57709">
            <w:pPr>
              <w:spacing w:after="120" w:line="276" w:lineRule="auto"/>
              <w:ind w:firstLine="709"/>
              <w:jc w:val="both"/>
              <w:rPr>
                <w:rFonts w:ascii="Verdana" w:eastAsia="Calibri" w:hAnsi="Verdana" w:cs="Arial"/>
                <w:lang w:eastAsia="es-ES"/>
              </w:rPr>
            </w:pPr>
            <w:r>
              <w:rPr>
                <w:rFonts w:ascii="Verdana" w:eastAsia="Calibri" w:hAnsi="Verdana" w:cs="Arial"/>
              </w:rPr>
              <w:t>E</w:t>
            </w:r>
            <w:r w:rsidRPr="009C10B7">
              <w:rPr>
                <w:rFonts w:ascii="Verdana" w:eastAsia="Calibri" w:hAnsi="Verdana" w:cs="Arial"/>
              </w:rPr>
              <w:t xml:space="preserve">n relación con el problema jurídico planteado, se resalta que </w:t>
            </w:r>
            <w:r w:rsidRPr="009C10B7">
              <w:rPr>
                <w:rFonts w:ascii="Verdana" w:eastAsia="Arial" w:hAnsi="Verdana" w:cs="Arial"/>
                <w:lang w:eastAsia="es-MX"/>
              </w:rPr>
              <w:t>las instituciones educativas pertenecen a la entidad territorial que haya efectuado su reconocimiento de carácter oficial. Es decir, el sistema educativo es descentralizado por las competencias propias que se les ha otorgado a las entidades territoriales (Departamentos, Municipios, Distritos) para administrar las instituciones educativas, que pueden ser de los diferentes niveles, pero estas no son entidades descentralizadas.</w:t>
            </w:r>
          </w:p>
          <w:p w14:paraId="5256F0B1" w14:textId="77777777" w:rsidR="00267D00" w:rsidRPr="00072C23" w:rsidRDefault="00267D00" w:rsidP="00C57709">
            <w:pPr>
              <w:spacing w:after="120" w:line="276" w:lineRule="auto"/>
              <w:ind w:firstLine="709"/>
              <w:jc w:val="both"/>
              <w:rPr>
                <w:rFonts w:ascii="Verdana" w:eastAsia="Arial" w:hAnsi="Verdana" w:cs="Arial"/>
                <w:lang w:eastAsia="es-MX"/>
              </w:rPr>
            </w:pPr>
            <w:r>
              <w:rPr>
                <w:rFonts w:ascii="Verdana" w:eastAsia="Arial" w:hAnsi="Verdana" w:cs="Arial"/>
                <w:lang w:eastAsia="es-MX"/>
              </w:rPr>
              <w:t>Así, las instituciones educativas</w:t>
            </w:r>
            <w:r w:rsidRPr="00072C23">
              <w:rPr>
                <w:rFonts w:ascii="Verdana" w:eastAsia="Arial" w:hAnsi="Verdana" w:cs="Arial"/>
                <w:lang w:eastAsia="es-MX"/>
              </w:rPr>
              <w:t xml:space="preserve"> carecen de personería jurídica, pero tienen capacidad para contratar y se concreta en la competencia que le otorgó el legislador en la Ley 715 de 2001 para administrar los fondos de servicios educativos. Estas son cuentas contables que le permiten a las instituciones realizar la gestión y ejecución presupuestal de los recursos que reciben los establecimientos educativos.</w:t>
            </w:r>
          </w:p>
          <w:p w14:paraId="6C5C9322" w14:textId="77777777" w:rsidR="00267D00" w:rsidRPr="00B96E97" w:rsidRDefault="00267D00" w:rsidP="00C57709">
            <w:pPr>
              <w:spacing w:after="120" w:line="276" w:lineRule="auto"/>
              <w:ind w:firstLine="709"/>
              <w:jc w:val="both"/>
              <w:rPr>
                <w:rFonts w:ascii="Verdana" w:eastAsia="Arial" w:hAnsi="Verdana" w:cs="Arial"/>
                <w:lang w:eastAsia="es-MX"/>
              </w:rPr>
            </w:pPr>
            <w:r w:rsidRPr="00072C23">
              <w:rPr>
                <w:rFonts w:ascii="Verdana" w:eastAsia="Arial" w:hAnsi="Verdana" w:cs="Arial"/>
                <w:lang w:eastAsia="es-MX"/>
              </w:rPr>
              <w:t>Los fondos de servicios educativos tampoco cuentan con personería jurídica según lo previsto en el artículo 2.3.1.6.3.4 del Decreto 1075 de 2015, Decreto Único Reglamentario del Sector Educación</w:t>
            </w:r>
            <w:r>
              <w:rPr>
                <w:rFonts w:ascii="Verdana" w:eastAsia="Arial" w:hAnsi="Verdana" w:cs="Arial"/>
                <w:lang w:eastAsia="es-MX"/>
              </w:rPr>
              <w:t>, de tal manera que el rector o director rural es el ordenador del gasto del Fondo de Servicios educativos.</w:t>
            </w:r>
          </w:p>
          <w:p w14:paraId="36858194" w14:textId="77777777" w:rsidR="00267D00" w:rsidRDefault="00267D00" w:rsidP="00C57709">
            <w:pPr>
              <w:spacing w:after="120" w:line="276" w:lineRule="auto"/>
              <w:ind w:firstLine="709"/>
              <w:jc w:val="both"/>
              <w:rPr>
                <w:rFonts w:ascii="Verdana" w:eastAsia="Arial" w:hAnsi="Verdana" w:cs="Arial"/>
                <w:lang w:eastAsia="es-MX"/>
              </w:rPr>
            </w:pPr>
            <w:r w:rsidRPr="00072C23">
              <w:rPr>
                <w:rFonts w:ascii="Verdana" w:eastAsia="Arial" w:hAnsi="Verdana" w:cs="Arial"/>
                <w:lang w:eastAsia="es-MX"/>
              </w:rPr>
              <w:t xml:space="preserve">En relación con la capacidad para contratar con la que cuentan las instituciones educativas por medio de los fondos de servicios educativos, es necesario precisar que cuando se trate de actos y contratos cuya cuantía no exceda los veinte (20) salarios mínimos mensuales legales vigentes, se sujetarán a las condiciones previstas en el reglamento de contratación que expida el consejo directivo de la institución, de conformidad con lo dispuesto en el artículo 13 de la Ley 715 de 2001. </w:t>
            </w:r>
          </w:p>
          <w:p w14:paraId="3AC8D8EB" w14:textId="77777777" w:rsidR="00267D00" w:rsidRDefault="00267D00" w:rsidP="00C57709">
            <w:pPr>
              <w:spacing w:after="120" w:line="276" w:lineRule="auto"/>
              <w:ind w:firstLine="709"/>
              <w:jc w:val="both"/>
              <w:rPr>
                <w:rFonts w:ascii="Verdana" w:eastAsia="Arial" w:hAnsi="Verdana" w:cs="Arial"/>
                <w:lang w:eastAsia="es-MX"/>
              </w:rPr>
            </w:pPr>
            <w:r w:rsidRPr="00072C23">
              <w:rPr>
                <w:rFonts w:ascii="Verdana" w:eastAsia="Arial" w:hAnsi="Verdana" w:cs="Arial"/>
                <w:lang w:eastAsia="es-MX"/>
              </w:rPr>
              <w:t xml:space="preserve">Esto significa que la contratación que realicen las instituciones educativas, siempre que se ubique por debajo del referido umbral, no deberá ceñirse a las reglas del Estatuto General de Contratación de la Administración Pública, sino a las determinadas por el reglamento expedido por el consejo directivo de la institución educativa conforme al artículo 13 de la Ley 715 de 2001. Los reglamentos que se expidan de conformidad con los principios de igualdad, moralidad, imparcialidad y publicidad, así como de acuerdo con la experiencia y el análisis concreto de las necesidades del establecimiento, deben definir los trámites, garantías y constancias que deben cumplirse para que el rector o director celebre cualquier acto o contrato que cree, extinga o modifique obligaciones con cargo al respectivo fondo de servicios educativos. </w:t>
            </w:r>
          </w:p>
          <w:p w14:paraId="46367428" w14:textId="77777777" w:rsidR="00267D00" w:rsidRPr="00072C23" w:rsidRDefault="00267D00" w:rsidP="00C57709">
            <w:pPr>
              <w:spacing w:after="120" w:line="276" w:lineRule="auto"/>
              <w:ind w:firstLine="709"/>
              <w:jc w:val="both"/>
              <w:rPr>
                <w:rFonts w:ascii="Verdana" w:eastAsia="Arial" w:hAnsi="Verdana" w:cs="Arial"/>
                <w:color w:val="000000"/>
                <w:lang w:eastAsia="es-CO"/>
              </w:rPr>
            </w:pPr>
            <w:r w:rsidRPr="00072C23">
              <w:rPr>
                <w:rFonts w:ascii="Verdana" w:eastAsia="Arial" w:hAnsi="Verdana" w:cs="Arial"/>
                <w:color w:val="000000" w:themeColor="text1"/>
                <w:lang w:eastAsia="es-MX"/>
              </w:rPr>
              <w:t xml:space="preserve">En este contexto, </w:t>
            </w:r>
            <w:r>
              <w:rPr>
                <w:rFonts w:ascii="Verdana" w:eastAsia="Arial" w:hAnsi="Verdana" w:cs="Arial"/>
                <w:color w:val="000000" w:themeColor="text1"/>
                <w:lang w:eastAsia="es-MX"/>
              </w:rPr>
              <w:t>respecto del análisis sobre la aplicación a</w:t>
            </w:r>
            <w:r w:rsidRPr="00072C23">
              <w:rPr>
                <w:rFonts w:ascii="Verdana" w:eastAsia="Arial" w:hAnsi="Verdana" w:cs="Arial"/>
                <w:color w:val="000000" w:themeColor="text1"/>
                <w:lang w:eastAsia="es-MX"/>
              </w:rPr>
              <w:t xml:space="preserve"> la restricción del artículo 33 de la </w:t>
            </w:r>
            <w:r w:rsidRPr="00072C23">
              <w:rPr>
                <w:rFonts w:ascii="Verdana" w:eastAsia="Arial" w:hAnsi="Verdana" w:cs="Arial"/>
                <w:color w:val="000000" w:themeColor="text1"/>
                <w:lang w:eastAsia="es-CO"/>
              </w:rPr>
              <w:t>Ley 996 de 2005 es necesario considerar que</w:t>
            </w:r>
            <w:r>
              <w:rPr>
                <w:rFonts w:ascii="Verdana" w:eastAsia="Arial" w:hAnsi="Verdana" w:cs="Arial"/>
                <w:color w:val="000000" w:themeColor="text1"/>
                <w:lang w:eastAsia="es-CO"/>
              </w:rPr>
              <w:t>, si bien</w:t>
            </w:r>
            <w:r w:rsidRPr="00072C23">
              <w:rPr>
                <w:rFonts w:ascii="Verdana" w:eastAsia="Arial" w:hAnsi="Verdana" w:cs="Arial"/>
                <w:color w:val="000000" w:themeColor="text1"/>
                <w:lang w:eastAsia="es-CO"/>
              </w:rPr>
              <w:t xml:space="preserve"> </w:t>
            </w:r>
            <w:r w:rsidRPr="00072C23">
              <w:rPr>
                <w:rFonts w:ascii="Verdana" w:eastAsia="Arial" w:hAnsi="Verdana" w:cs="Arial"/>
                <w:lang w:val="es-ES" w:eastAsia="es-MX"/>
              </w:rPr>
              <w:t xml:space="preserve">el artículo </w:t>
            </w:r>
            <w:r w:rsidRPr="00072C23">
              <w:rPr>
                <w:rFonts w:ascii="Verdana" w:eastAsia="Arial" w:hAnsi="Verdana" w:cs="Arial"/>
                <w:lang w:eastAsia="es-MX"/>
              </w:rPr>
              <w:t>13 de la Ley 715 de 2001</w:t>
            </w:r>
            <w:r w:rsidRPr="00072C23">
              <w:rPr>
                <w:rFonts w:ascii="Verdana" w:eastAsia="Arial" w:hAnsi="Verdana" w:cs="Arial"/>
                <w:color w:val="000000" w:themeColor="text1"/>
                <w:lang w:eastAsia="es-CO"/>
              </w:rPr>
              <w:t xml:space="preserve"> consagra un régimen jurídico que exceptúa la aplicación del Estatuto General de Contratación de la Administración Pública en los contratos de los fondos de servicios educativos inferiores a veinte (20) SMLMV con el objetivo de flexibilizar el régimen contractual aplicable</w:t>
            </w:r>
            <w:r>
              <w:rPr>
                <w:rFonts w:ascii="Verdana" w:eastAsia="Arial" w:hAnsi="Verdana" w:cs="Arial"/>
                <w:color w:val="000000" w:themeColor="text1"/>
                <w:lang w:eastAsia="es-CO"/>
              </w:rPr>
              <w:t xml:space="preserve">, lo cierto es que </w:t>
            </w:r>
            <w:r w:rsidRPr="00072C23">
              <w:rPr>
                <w:rFonts w:ascii="Verdana" w:eastAsia="Arial" w:hAnsi="Verdana" w:cs="Arial"/>
                <w:color w:val="000000" w:themeColor="text1"/>
                <w:lang w:eastAsia="es-CO"/>
              </w:rPr>
              <w:t>la prohibición de contratación directa de la Ley de Garantías</w:t>
            </w:r>
            <w:r>
              <w:rPr>
                <w:rFonts w:ascii="Verdana" w:eastAsia="Arial" w:hAnsi="Verdana" w:cs="Arial"/>
                <w:color w:val="000000" w:themeColor="text1"/>
                <w:lang w:eastAsia="es-CO"/>
              </w:rPr>
              <w:t xml:space="preserve"> Electorales aplica</w:t>
            </w:r>
            <w:r w:rsidRPr="00072C23">
              <w:rPr>
                <w:rFonts w:ascii="Verdana" w:eastAsia="Arial" w:hAnsi="Verdana" w:cs="Arial"/>
                <w:color w:val="000000" w:themeColor="text1"/>
                <w:lang w:eastAsia="es-CO"/>
              </w:rPr>
              <w:t xml:space="preserve"> independiente</w:t>
            </w:r>
            <w:r>
              <w:rPr>
                <w:rFonts w:ascii="Verdana" w:eastAsia="Arial" w:hAnsi="Verdana" w:cs="Arial"/>
                <w:color w:val="000000" w:themeColor="text1"/>
                <w:lang w:eastAsia="es-CO"/>
              </w:rPr>
              <w:t>mente</w:t>
            </w:r>
            <w:r w:rsidRPr="00072C23">
              <w:rPr>
                <w:rFonts w:ascii="Verdana" w:eastAsia="Arial" w:hAnsi="Verdana" w:cs="Arial"/>
                <w:color w:val="000000" w:themeColor="text1"/>
                <w:lang w:eastAsia="es-CO"/>
              </w:rPr>
              <w:t xml:space="preserve"> del régimen contractual, por lo que se extiende a los contratos celebrados con cargo a los fondos de servicios educativos</w:t>
            </w:r>
            <w:r>
              <w:rPr>
                <w:rFonts w:ascii="Verdana" w:eastAsia="Arial" w:hAnsi="Verdana" w:cs="Arial"/>
                <w:color w:val="000000" w:themeColor="text1"/>
                <w:lang w:eastAsia="es-CO"/>
              </w:rPr>
              <w:t>, por ser Entes del Estado</w:t>
            </w:r>
            <w:r w:rsidRPr="00072C23">
              <w:rPr>
                <w:rFonts w:ascii="Verdana" w:eastAsia="Arial" w:hAnsi="Verdana" w:cs="Arial"/>
                <w:color w:val="000000" w:themeColor="text1"/>
                <w:lang w:eastAsia="es-CO"/>
              </w:rPr>
              <w:t>.</w:t>
            </w:r>
          </w:p>
          <w:p w14:paraId="3212F2A1" w14:textId="77777777" w:rsidR="00267D00" w:rsidRPr="00E568D5" w:rsidRDefault="00267D00" w:rsidP="00C57709">
            <w:pPr>
              <w:spacing w:after="120" w:line="276" w:lineRule="auto"/>
              <w:jc w:val="both"/>
              <w:rPr>
                <w:rFonts w:ascii="Verdana" w:hAnsi="Verdana" w:cs="Arial"/>
              </w:rPr>
            </w:pPr>
            <w:r w:rsidRPr="00072C23">
              <w:rPr>
                <w:rFonts w:ascii="Verdana" w:eastAsia="Arial" w:hAnsi="Verdana" w:cs="Arial"/>
                <w:color w:val="000000"/>
                <w:lang w:eastAsia="es-CO"/>
              </w:rPr>
              <w:t xml:space="preserve">Por tanto, durante la vigencia de la prohibición del artículo 33 de la Ley 996 de 2005 está restringida </w:t>
            </w:r>
            <w:r w:rsidRPr="00072C23">
              <w:rPr>
                <w:rFonts w:ascii="Verdana" w:eastAsia="Arial" w:hAnsi="Verdana" w:cs="Arial"/>
                <w:i/>
                <w:iCs/>
                <w:color w:val="000000"/>
                <w:lang w:eastAsia="es-CO"/>
              </w:rPr>
              <w:t>cualquier modalidad de selección que excluya la pluralidad de oferentes</w:t>
            </w:r>
            <w:r w:rsidRPr="00072C23">
              <w:rPr>
                <w:rFonts w:ascii="Verdana" w:eastAsia="Arial" w:hAnsi="Verdana" w:cs="Arial"/>
                <w:color w:val="000000"/>
                <w:lang w:eastAsia="es-CO"/>
              </w:rPr>
              <w:t xml:space="preserve">, incluso aunque se realice con fundamento en el régimen especial de contratación realizado con recursos de los fondos de servicios educativos por valor inferior a veinte (20) SMLMV, por implicar una forma de contratación directa. </w:t>
            </w:r>
            <w:r>
              <w:rPr>
                <w:rFonts w:ascii="Verdana" w:eastAsia="Arial" w:hAnsi="Verdana" w:cs="Arial"/>
                <w:color w:val="000000"/>
                <w:lang w:eastAsia="es-CO"/>
              </w:rPr>
              <w:t>Ahora bien</w:t>
            </w:r>
            <w:r w:rsidRPr="00072C23">
              <w:rPr>
                <w:rFonts w:ascii="Verdana" w:eastAsia="Arial" w:hAnsi="Verdana" w:cs="Arial"/>
                <w:color w:val="000000"/>
                <w:lang w:eastAsia="es-CO"/>
              </w:rPr>
              <w:t>,</w:t>
            </w:r>
            <w:r>
              <w:rPr>
                <w:rFonts w:ascii="Verdana" w:eastAsia="Arial" w:hAnsi="Verdana" w:cs="Arial"/>
                <w:color w:val="000000"/>
                <w:lang w:eastAsia="es-CO"/>
              </w:rPr>
              <w:t xml:space="preserve"> en vigencia de la Ley de</w:t>
            </w:r>
            <w:r w:rsidRPr="00072C23">
              <w:rPr>
                <w:rFonts w:ascii="Verdana" w:eastAsia="Arial" w:hAnsi="Verdana" w:cs="Arial"/>
                <w:color w:val="000000"/>
                <w:lang w:eastAsia="es-CO"/>
              </w:rPr>
              <w:t xml:space="preserve"> será posible realizar procesos contractuales, siempre que estos incluyan la posibilidad de participación de una pluralidad de oferentes, ya que estos no implicarían una contratación </w:t>
            </w:r>
            <w:r w:rsidRPr="00072C23">
              <w:rPr>
                <w:rFonts w:ascii="Verdana" w:eastAsia="Arial" w:hAnsi="Verdana" w:cs="Arial"/>
                <w:i/>
                <w:iCs/>
                <w:color w:val="000000"/>
                <w:lang w:eastAsia="es-CO"/>
              </w:rPr>
              <w:t>directa.</w:t>
            </w:r>
            <w:r w:rsidRPr="00072C23">
              <w:rPr>
                <w:rFonts w:ascii="Verdana" w:eastAsia="Arial" w:hAnsi="Verdana" w:cs="Arial"/>
                <w:color w:val="000000"/>
                <w:lang w:eastAsia="es-CO"/>
              </w:rPr>
              <w:t xml:space="preserve"> En conclusión, la prohibición del artículo 33 de la Ley 996 de 2005 se extiende a cualquier contrato realizado con recursos de fondos de servicios educativos, sean inferiores o superiores a </w:t>
            </w:r>
            <w:r>
              <w:rPr>
                <w:rFonts w:ascii="Verdana" w:eastAsia="Arial" w:hAnsi="Verdana" w:cs="Arial"/>
                <w:color w:val="000000"/>
                <w:lang w:eastAsia="es-CO"/>
              </w:rPr>
              <w:t>veinte (</w:t>
            </w:r>
            <w:r w:rsidRPr="00072C23">
              <w:rPr>
                <w:rFonts w:ascii="Verdana" w:eastAsia="Arial" w:hAnsi="Verdana" w:cs="Arial"/>
                <w:color w:val="000000"/>
                <w:lang w:eastAsia="es-CO"/>
              </w:rPr>
              <w:t>20</w:t>
            </w:r>
            <w:r>
              <w:rPr>
                <w:rFonts w:ascii="Verdana" w:eastAsia="Arial" w:hAnsi="Verdana" w:cs="Arial"/>
                <w:color w:val="000000"/>
                <w:lang w:eastAsia="es-CO"/>
              </w:rPr>
              <w:t>)</w:t>
            </w:r>
            <w:r w:rsidRPr="00072C23">
              <w:rPr>
                <w:rFonts w:ascii="Verdana" w:eastAsia="Arial" w:hAnsi="Verdana" w:cs="Arial"/>
                <w:color w:val="000000"/>
                <w:lang w:eastAsia="es-CO"/>
              </w:rPr>
              <w:t xml:space="preserve"> SMLMV siempre que el contrato se celebre sin que esté antecedido de un procedimiento que admita la posible participación de una pluralidad de oferentes, toda vez que la prohibición recae sobre la </w:t>
            </w:r>
            <w:r w:rsidRPr="00072C23">
              <w:rPr>
                <w:rFonts w:ascii="Verdana" w:eastAsia="Arial" w:hAnsi="Verdana" w:cs="Arial"/>
                <w:i/>
                <w:iCs/>
                <w:color w:val="000000"/>
                <w:lang w:eastAsia="es-CO"/>
              </w:rPr>
              <w:t>contratación directa</w:t>
            </w:r>
            <w:r w:rsidRPr="00072C23">
              <w:rPr>
                <w:rFonts w:ascii="Verdana" w:eastAsia="Arial" w:hAnsi="Verdana" w:cs="Arial"/>
                <w:color w:val="000000"/>
                <w:lang w:eastAsia="es-CO"/>
              </w:rPr>
              <w:t xml:space="preserve">.  </w:t>
            </w:r>
          </w:p>
        </w:tc>
      </w:tr>
    </w:tbl>
    <w:p w14:paraId="6F42A718" w14:textId="77777777" w:rsidR="00267D00" w:rsidRPr="005644FE" w:rsidRDefault="00267D00" w:rsidP="00267D00">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6B113349" w14:textId="77777777" w:rsidR="00267D00" w:rsidRPr="005644FE" w:rsidRDefault="00267D00" w:rsidP="00267D00">
      <w:pPr>
        <w:pStyle w:val="Prrafodelista"/>
        <w:tabs>
          <w:tab w:val="left" w:pos="142"/>
          <w:tab w:val="left" w:pos="284"/>
        </w:tabs>
        <w:spacing w:after="0" w:line="240" w:lineRule="auto"/>
        <w:ind w:left="0"/>
        <w:contextualSpacing w:val="0"/>
        <w:jc w:val="both"/>
        <w:rPr>
          <w:rFonts w:ascii="Verdana" w:eastAsia="Calibri" w:hAnsi="Verdana" w:cs="Arial"/>
        </w:rPr>
      </w:pPr>
    </w:p>
    <w:p w14:paraId="0DE96332" w14:textId="77777777" w:rsidR="00267D00" w:rsidRDefault="00267D00" w:rsidP="00267D00">
      <w:pPr>
        <w:tabs>
          <w:tab w:val="left" w:pos="142"/>
          <w:tab w:val="left" w:pos="284"/>
          <w:tab w:val="left" w:pos="6975"/>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4D8F2963" w14:textId="77777777" w:rsidR="00267D00" w:rsidRDefault="00267D00" w:rsidP="00267D00">
      <w:pPr>
        <w:tabs>
          <w:tab w:val="left" w:pos="142"/>
          <w:tab w:val="left" w:pos="284"/>
          <w:tab w:val="left" w:pos="6912"/>
        </w:tabs>
        <w:spacing w:after="0" w:line="240" w:lineRule="auto"/>
        <w:jc w:val="both"/>
        <w:rPr>
          <w:rFonts w:ascii="Verdana" w:eastAsia="Times New Roman" w:hAnsi="Verdana" w:cs="Arial"/>
          <w:bCs/>
          <w:lang w:eastAsia="es-CO"/>
        </w:rPr>
      </w:pPr>
    </w:p>
    <w:p w14:paraId="0833ABF6" w14:textId="77777777" w:rsidR="00267D00" w:rsidRPr="009D221F" w:rsidRDefault="00267D00" w:rsidP="00267D00">
      <w:pPr>
        <w:tabs>
          <w:tab w:val="left" w:pos="142"/>
          <w:tab w:val="left" w:pos="284"/>
          <w:tab w:val="left" w:pos="6912"/>
        </w:tabs>
        <w:spacing w:after="120" w:line="276" w:lineRule="auto"/>
        <w:jc w:val="both"/>
        <w:rPr>
          <w:rFonts w:ascii="Verdana" w:eastAsia="Times New Roman" w:hAnsi="Verdana" w:cs="Arial"/>
          <w:bCs/>
          <w:lang w:eastAsia="es-CO"/>
        </w:rPr>
      </w:pPr>
      <w:r>
        <w:rPr>
          <w:rFonts w:ascii="Verdana" w:eastAsia="Times New Roman" w:hAnsi="Verdana" w:cs="Arial"/>
          <w:bCs/>
          <w:lang w:eastAsia="es-CO"/>
        </w:rPr>
        <w:t>E</w:t>
      </w:r>
      <w:r w:rsidRPr="002D6B92">
        <w:rPr>
          <w:rFonts w:ascii="Verdana" w:eastAsia="Times New Roman" w:hAnsi="Verdana" w:cs="Arial"/>
          <w:bCs/>
          <w:lang w:eastAsia="es-CO"/>
        </w:rPr>
        <w:t>l ordenamiento jurídico colombiano contempla previsiones claras para evitar la obtención de beneficios personales en asuntos propios de la administración pública. Por ejemplo, el artículo 127 de la Constitución Política establece una prohibición contractual a los servidores públicos y en cuanto a aspectos políticos establece restricciones a ciertos empleados del Estado, incluso en época no electoral</w:t>
      </w:r>
      <w:r w:rsidRPr="00F10E52">
        <w:rPr>
          <w:rStyle w:val="Refdenotaalpie"/>
          <w:rFonts w:ascii="Verdana" w:eastAsia="Calibri" w:hAnsi="Verdana" w:cs="Arial"/>
          <w:bCs/>
        </w:rPr>
        <w:footnoteReference w:id="1"/>
      </w:r>
      <w:r w:rsidRPr="00F10E52">
        <w:rPr>
          <w:rFonts w:ascii="Verdana" w:eastAsia="Calibri" w:hAnsi="Verdana" w:cs="Arial"/>
          <w:bCs/>
        </w:rPr>
        <w:t xml:space="preserve">. </w:t>
      </w:r>
    </w:p>
    <w:p w14:paraId="4158AC8C" w14:textId="77777777" w:rsidR="00267D00" w:rsidRDefault="00267D00" w:rsidP="00267D00">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xml:space="preserve">, se suma al andamiaje de orden constitucional y legal que se ha ocupado de evitar la injerencia inadecuada de intereses particulares en el ejercicio de la función pública. Esta </w:t>
      </w:r>
      <w:r>
        <w:rPr>
          <w:rFonts w:ascii="Verdana" w:eastAsia="Times New Roman" w:hAnsi="Verdana" w:cs="Arial"/>
          <w:bCs/>
          <w:lang w:eastAsia="es-CO"/>
        </w:rPr>
        <w:t>L</w:t>
      </w:r>
      <w:r w:rsidRPr="00F10E52">
        <w:rPr>
          <w:rFonts w:ascii="Verdana" w:eastAsia="Times New Roman" w:hAnsi="Verdana" w:cs="Arial"/>
          <w:bCs/>
          <w:lang w:eastAsia="es-CO"/>
        </w:rPr>
        <w:t>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2"/>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01E048D6" w14:textId="77777777" w:rsidR="00267D00" w:rsidRPr="00F10E52" w:rsidRDefault="00267D00" w:rsidP="00267D00">
      <w:pPr>
        <w:tabs>
          <w:tab w:val="left" w:pos="426"/>
        </w:tabs>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1456E248" w14:textId="77777777" w:rsidR="00267D00" w:rsidRPr="007777F3" w:rsidRDefault="00267D00" w:rsidP="00267D00">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6A51F6">
        <w:rPr>
          <w:rFonts w:ascii="Verdana" w:eastAsia="Times New Roman" w:hAnsi="Verdana" w:cs="Arial"/>
          <w:sz w:val="20"/>
          <w:szCs w:val="20"/>
          <w:lang w:val="es-ES" w:eastAsia="es-CO"/>
        </w:rPr>
        <w:t xml:space="preserve"> </w:t>
      </w:r>
      <w:r w:rsidRPr="009E6EDF">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6433A1E6" w14:textId="77777777" w:rsidR="00267D00" w:rsidRPr="009E6EDF" w:rsidRDefault="00267D00" w:rsidP="00267D00">
      <w:pPr>
        <w:spacing w:after="0" w:line="240" w:lineRule="auto"/>
        <w:ind w:left="709" w:right="709"/>
        <w:jc w:val="both"/>
        <w:rPr>
          <w:rFonts w:ascii="Verdana" w:eastAsia="Times New Roman" w:hAnsi="Verdana" w:cs="Arial"/>
          <w:bCs/>
          <w:sz w:val="20"/>
          <w:szCs w:val="20"/>
          <w:lang w:eastAsia="es-CO"/>
        </w:rPr>
      </w:pPr>
    </w:p>
    <w:p w14:paraId="2BD6D8CF" w14:textId="77777777" w:rsidR="00267D00" w:rsidRPr="00E80F85" w:rsidRDefault="00267D00" w:rsidP="00267D00">
      <w:pPr>
        <w:spacing w:after="0" w:line="240" w:lineRule="auto"/>
        <w:ind w:left="709" w:right="709"/>
        <w:jc w:val="both"/>
        <w:rPr>
          <w:rFonts w:ascii="Verdana" w:eastAsia="Times New Roman" w:hAnsi="Verdana" w:cs="Arial"/>
          <w:bCs/>
          <w:sz w:val="20"/>
          <w:szCs w:val="20"/>
          <w:lang w:eastAsia="es-CO"/>
        </w:rPr>
      </w:pPr>
      <w:r w:rsidRPr="009E6EDF">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 xml:space="preserve"> (…)”</w:t>
      </w:r>
      <w:r w:rsidRPr="009E6EDF">
        <w:rPr>
          <w:rStyle w:val="Refdenotaalpie"/>
          <w:rFonts w:ascii="Verdana" w:hAnsi="Verdana" w:cs="Arial"/>
          <w:sz w:val="20"/>
          <w:szCs w:val="20"/>
        </w:rPr>
        <w:footnoteReference w:id="3"/>
      </w:r>
      <w:r>
        <w:rPr>
          <w:rFonts w:ascii="Verdana" w:eastAsia="Times New Roman" w:hAnsi="Verdana" w:cs="Arial"/>
          <w:bCs/>
          <w:sz w:val="20"/>
          <w:szCs w:val="20"/>
          <w:lang w:eastAsia="es-CO"/>
        </w:rPr>
        <w:t>.</w:t>
      </w:r>
      <w:r w:rsidRPr="006A51F6">
        <w:rPr>
          <w:rFonts w:ascii="Verdana" w:eastAsia="Times New Roman" w:hAnsi="Verdana" w:cs="Arial"/>
          <w:bCs/>
          <w:sz w:val="20"/>
          <w:szCs w:val="20"/>
          <w:lang w:eastAsia="es-CO"/>
        </w:rPr>
        <w:t xml:space="preserve"> </w:t>
      </w:r>
      <w:bookmarkStart w:id="2" w:name="_Hlk78818186"/>
    </w:p>
    <w:p w14:paraId="6C485862" w14:textId="77777777" w:rsidR="00267D00" w:rsidRDefault="00267D00" w:rsidP="00267D00">
      <w:pPr>
        <w:spacing w:after="0" w:line="240" w:lineRule="auto"/>
        <w:ind w:firstLine="709"/>
        <w:jc w:val="both"/>
        <w:rPr>
          <w:rFonts w:ascii="Verdana" w:eastAsia="Times New Roman" w:hAnsi="Verdana" w:cs="Arial"/>
          <w:bCs/>
          <w:lang w:eastAsia="es-CO"/>
        </w:rPr>
      </w:pPr>
    </w:p>
    <w:p w14:paraId="2E73A9FA" w14:textId="77777777" w:rsidR="00267D00" w:rsidRDefault="00267D00" w:rsidP="00267D00">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2"/>
      <w:r w:rsidRPr="00F10E52">
        <w:rPr>
          <w:rFonts w:ascii="Verdana" w:eastAsia="Times New Roman" w:hAnsi="Verdana" w:cs="Arial"/>
          <w:bCs/>
          <w:lang w:eastAsia="es-CO"/>
        </w:rPr>
        <w:t xml:space="preserve">Por ello, varias de las disposiciones de la Ley 996 de 2005, al contener normas prohibitivas, no admiten una interpretación amplia, sino que deben interpretarse restrictivamente. </w:t>
      </w:r>
    </w:p>
    <w:p w14:paraId="264CB7C2" w14:textId="77777777" w:rsidR="00267D00" w:rsidRPr="002D6B92" w:rsidRDefault="00267D00" w:rsidP="00267D00">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efecto, la Sala de Consulta y Servicio Civil del Consejo de Estado al analizar la referida ley, precisó lo siguiente:</w:t>
      </w:r>
    </w:p>
    <w:p w14:paraId="68326271" w14:textId="77777777" w:rsidR="00267D00" w:rsidRPr="009B20C5" w:rsidRDefault="00267D00" w:rsidP="00267D00">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w:t>
      </w: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6FF78880" w14:textId="77777777" w:rsidR="00267D00" w:rsidRDefault="00267D00" w:rsidP="00267D00">
      <w:pPr>
        <w:spacing w:after="0" w:line="240" w:lineRule="auto"/>
        <w:ind w:left="709" w:right="709"/>
        <w:jc w:val="both"/>
        <w:rPr>
          <w:rFonts w:ascii="Verdana" w:eastAsia="Times New Roman" w:hAnsi="Verdana" w:cs="Arial"/>
          <w:bCs/>
          <w:sz w:val="20"/>
          <w:szCs w:val="20"/>
          <w:lang w:eastAsia="es-CO"/>
        </w:rPr>
      </w:pPr>
    </w:p>
    <w:p w14:paraId="063C9595" w14:textId="77777777" w:rsidR="00267D00" w:rsidRPr="009B20C5" w:rsidRDefault="00267D00" w:rsidP="00267D00">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4"/>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w:t>
      </w:r>
    </w:p>
    <w:p w14:paraId="5D432B00" w14:textId="77777777" w:rsidR="00267D00" w:rsidRDefault="00267D00" w:rsidP="00267D00">
      <w:pPr>
        <w:spacing w:after="0" w:line="276" w:lineRule="auto"/>
        <w:jc w:val="both"/>
        <w:rPr>
          <w:rFonts w:ascii="Verdana" w:eastAsia="Times New Roman" w:hAnsi="Verdana" w:cs="Arial"/>
          <w:bCs/>
          <w:lang w:eastAsia="es-CO"/>
        </w:rPr>
      </w:pPr>
      <w:r w:rsidRPr="00F10E52">
        <w:rPr>
          <w:rFonts w:ascii="Verdana" w:eastAsia="Times New Roman" w:hAnsi="Verdana" w:cs="Arial"/>
          <w:bCs/>
          <w:lang w:eastAsia="es-CO"/>
        </w:rPr>
        <w:tab/>
      </w:r>
    </w:p>
    <w:p w14:paraId="74D58FD7" w14:textId="77777777" w:rsidR="00267D00" w:rsidRDefault="00267D00" w:rsidP="00267D00">
      <w:pPr>
        <w:spacing w:after="120" w:line="276" w:lineRule="auto"/>
        <w:ind w:firstLine="709"/>
        <w:jc w:val="both"/>
        <w:rPr>
          <w:rFonts w:ascii="Verdana" w:eastAsia="Arial" w:hAnsi="Verdana" w:cs="Arial"/>
          <w:lang w:val="es-ES" w:eastAsia="es-ES" w:bidi="es-ES"/>
        </w:rPr>
      </w:pPr>
      <w:r w:rsidRPr="00F10E52">
        <w:rPr>
          <w:rFonts w:ascii="Verdana" w:eastAsia="Times New Roman" w:hAnsi="Verdana" w:cs="Arial"/>
          <w:bCs/>
          <w:lang w:eastAsia="es-CO"/>
        </w:rPr>
        <w:t>De</w:t>
      </w:r>
      <w:r w:rsidRPr="00F10E52">
        <w:rPr>
          <w:rFonts w:ascii="Verdana" w:eastAsia="Arial" w:hAnsi="Verdana" w:cs="Arial"/>
          <w:lang w:val="es-ES" w:eastAsia="es-ES" w:bidi="es-ES"/>
        </w:rPr>
        <w:t xml:space="preserve"> conformidad con lo anterior, </w:t>
      </w:r>
      <w:bookmarkStart w:id="3"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3FFC1A13" w14:textId="77777777" w:rsidR="00267D00" w:rsidRPr="00F10E52" w:rsidRDefault="00267D00" w:rsidP="00267D00">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3"/>
    </w:p>
    <w:p w14:paraId="45812531" w14:textId="77777777" w:rsidR="00267D00" w:rsidRPr="00F10E52" w:rsidRDefault="00267D00" w:rsidP="00267D00">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7"/>
      </w:r>
      <w:r w:rsidRPr="00F10E52">
        <w:rPr>
          <w:rFonts w:ascii="Verdana" w:eastAsia="Calibri" w:hAnsi="Verdana" w:cs="Arial"/>
        </w:rPr>
        <w:t>.</w:t>
      </w:r>
    </w:p>
    <w:p w14:paraId="067C9DEC" w14:textId="77777777" w:rsidR="00267D00" w:rsidRDefault="00267D00" w:rsidP="00267D00">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8"/>
      </w:r>
      <w:r w:rsidRPr="00F10E52">
        <w:rPr>
          <w:rFonts w:ascii="Verdana" w:eastAsia="Calibri" w:hAnsi="Verdana" w:cs="Arial"/>
        </w:rPr>
        <w:t>.</w:t>
      </w:r>
      <w:r w:rsidRPr="00F10E52">
        <w:rPr>
          <w:rFonts w:ascii="Verdana" w:eastAsia="Arial" w:hAnsi="Verdana" w:cs="Arial"/>
          <w:lang w:val="es-ES" w:eastAsia="es-ES" w:bidi="es-ES"/>
        </w:rPr>
        <w:t xml:space="preserve"> </w:t>
      </w:r>
    </w:p>
    <w:p w14:paraId="75C32765" w14:textId="77777777" w:rsidR="00267D00" w:rsidRPr="006A51F6" w:rsidRDefault="00267D00" w:rsidP="00267D00">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5ACB4487" w14:textId="77777777" w:rsidR="00267D00" w:rsidRDefault="00267D00" w:rsidP="00267D00">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6" w:name="_Hlk76109421"/>
      <w:r w:rsidRPr="009B20C5">
        <w:rPr>
          <w:rFonts w:ascii="Verdana" w:eastAsia="Arial" w:hAnsi="Verdana" w:cs="Arial"/>
          <w:sz w:val="20"/>
          <w:szCs w:val="20"/>
          <w:lang w:val="es-ES" w:eastAsia="es-ES" w:bidi="es-ES"/>
        </w:rPr>
        <w:t>se integran parcialmente</w:t>
      </w:r>
      <w:bookmarkEnd w:id="6"/>
      <w:r w:rsidRPr="009B20C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9B20C5">
        <w:rPr>
          <w:rFonts w:ascii="Verdana" w:eastAsia="Arial" w:hAnsi="Verdana" w:cs="Arial"/>
          <w:bCs/>
          <w:sz w:val="20"/>
          <w:szCs w:val="20"/>
          <w:lang w:val="es-ES" w:eastAsia="es-ES" w:bidi="es-ES"/>
        </w:rPr>
        <w:t>En cambio, para elecciones en general, excluyendo las correspondientes a Presidente de la República, a las autoridades territoriales allí mencionadas sólo se aplican las restricciones contenidas en el parágrafo del artículo 38</w:t>
      </w:r>
      <w:r>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9"/>
      </w:r>
      <w:r>
        <w:rPr>
          <w:rFonts w:ascii="Verdana" w:eastAsia="Arial" w:hAnsi="Verdana" w:cs="Arial"/>
          <w:sz w:val="20"/>
          <w:szCs w:val="20"/>
          <w:lang w:val="es-ES" w:eastAsia="es-ES" w:bidi="es-ES"/>
        </w:rPr>
        <w:t>.</w:t>
      </w:r>
    </w:p>
    <w:p w14:paraId="4310CC2E" w14:textId="77777777" w:rsidR="00267D00" w:rsidRPr="00647D77" w:rsidRDefault="00267D00" w:rsidP="00267D00">
      <w:pPr>
        <w:widowControl w:val="0"/>
        <w:autoSpaceDE w:val="0"/>
        <w:autoSpaceDN w:val="0"/>
        <w:spacing w:after="0" w:line="240" w:lineRule="auto"/>
        <w:ind w:left="709" w:right="709"/>
        <w:jc w:val="both"/>
        <w:rPr>
          <w:rFonts w:ascii="Verdana" w:eastAsia="Arial" w:hAnsi="Verdana" w:cs="Arial"/>
          <w:lang w:val="es-ES" w:eastAsia="es-ES" w:bidi="es-ES"/>
        </w:rPr>
      </w:pPr>
    </w:p>
    <w:p w14:paraId="7675D214" w14:textId="77777777" w:rsidR="00267D00" w:rsidRPr="00F10E52" w:rsidRDefault="00267D00" w:rsidP="00267D00">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7" w:name="_Hlk99438241"/>
      <w:r w:rsidRPr="00F10E52">
        <w:rPr>
          <w:rFonts w:ascii="Verdana" w:eastAsia="Arial" w:hAnsi="Verdana" w:cs="Arial"/>
          <w:lang w:val="es-ES" w:eastAsia="es-ES" w:bidi="es-ES"/>
        </w:rPr>
        <w:t xml:space="preserve">, </w:t>
      </w:r>
      <w:bookmarkStart w:id="8" w:name="_Hlk77236420"/>
      <w:bookmarkStart w:id="9" w:name="_Hlk78818435"/>
      <w:bookmarkStart w:id="10"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7"/>
    <w:bookmarkEnd w:id="9"/>
    <w:p w14:paraId="21095383" w14:textId="77777777" w:rsidR="00267D00" w:rsidRPr="00F10E52" w:rsidRDefault="00267D00" w:rsidP="00267D00">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0"/>
    <w:p w14:paraId="7DD58102" w14:textId="77777777" w:rsidR="00267D00" w:rsidRDefault="00267D00" w:rsidP="00267D00">
      <w:pPr>
        <w:spacing w:after="120" w:line="276" w:lineRule="auto"/>
        <w:ind w:firstLine="709"/>
        <w:jc w:val="both"/>
        <w:rPr>
          <w:rFonts w:ascii="Verdana" w:eastAsia="Times New Roman" w:hAnsi="Verdana" w:cs="Arial"/>
          <w:bCs/>
          <w:lang w:val="es-ES" w:eastAsia="es-CO"/>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w:t>
      </w:r>
      <w:r>
        <w:rPr>
          <w:rFonts w:ascii="Verdana" w:eastAsia="Arial" w:hAnsi="Verdana" w:cs="Arial"/>
          <w:lang w:val="es-ES" w:eastAsia="es-ES" w:bidi="es-ES"/>
        </w:rPr>
        <w:t xml:space="preserve">(6) </w:t>
      </w:r>
      <w:r w:rsidRPr="00F10E52">
        <w:rPr>
          <w:rFonts w:ascii="Verdana" w:eastAsia="Arial" w:hAnsi="Verdana" w:cs="Arial"/>
          <w:lang w:val="es-ES" w:eastAsia="es-ES" w:bidi="es-ES"/>
        </w:rPr>
        <w:t xml:space="preserve">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02C32151" w14:textId="77777777" w:rsidR="00267D00" w:rsidRDefault="00267D00" w:rsidP="00267D00">
      <w:pPr>
        <w:spacing w:after="120" w:line="276" w:lineRule="auto"/>
        <w:ind w:firstLine="709"/>
        <w:jc w:val="both"/>
        <w:rPr>
          <w:rFonts w:ascii="Verdana" w:eastAsia="Times New Roman" w:hAnsi="Verdana" w:cs="Arial"/>
          <w:lang w:val="es-ES" w:eastAsia="es-CO"/>
        </w:rPr>
      </w:pPr>
      <w:r w:rsidRPr="00647D77">
        <w:rPr>
          <w:rFonts w:ascii="Verdana" w:eastAsia="Times New Roman" w:hAnsi="Verdana" w:cs="Arial"/>
          <w:lang w:val="es-ES" w:eastAsia="es-CO"/>
        </w:rPr>
        <w:t xml:space="preserve">Teniendo en cuenta lo anterior, a continuación, se hará un análisis sobre la aplicación de la prohibición contenida en el artículo 33 </w:t>
      </w:r>
      <w:r w:rsidRPr="00647D77">
        <w:rPr>
          <w:rFonts w:ascii="Verdana" w:eastAsia="Times New Roman" w:hAnsi="Verdana" w:cs="Arial"/>
          <w:bCs/>
          <w:lang w:val="es-ES" w:eastAsia="es-CO"/>
        </w:rPr>
        <w:t>de la Ley de Garantías Electorales</w:t>
      </w:r>
      <w:r w:rsidRPr="00647D77">
        <w:rPr>
          <w:rFonts w:ascii="Verdana" w:eastAsia="Times New Roman" w:hAnsi="Verdana" w:cs="Arial"/>
          <w:lang w:val="es-ES" w:eastAsia="es-CO"/>
        </w:rPr>
        <w:t>, relacionada con su ámbito de aplicación</w:t>
      </w:r>
      <w:r w:rsidRPr="00647D77">
        <w:rPr>
          <w:rFonts w:ascii="Verdana" w:eastAsia="Times New Roman" w:hAnsi="Verdana" w:cs="Arial"/>
          <w:bCs/>
          <w:lang w:val="es-ES" w:eastAsia="es-CO"/>
        </w:rPr>
        <w:t xml:space="preserve">, </w:t>
      </w:r>
      <w:r w:rsidRPr="00647D77">
        <w:rPr>
          <w:rFonts w:ascii="Verdana" w:eastAsia="Times New Roman" w:hAnsi="Verdana" w:cs="Arial"/>
          <w:lang w:val="es-ES" w:eastAsia="es-CO"/>
        </w:rPr>
        <w:t>sus destinatarios</w:t>
      </w:r>
      <w:r w:rsidRPr="00647D77">
        <w:rPr>
          <w:rFonts w:ascii="Verdana" w:eastAsia="Times New Roman" w:hAnsi="Verdana" w:cs="Arial"/>
          <w:bCs/>
          <w:lang w:val="es-ES" w:eastAsia="es-CO"/>
        </w:rPr>
        <w:t xml:space="preserve"> y sus excepciones</w:t>
      </w:r>
      <w:r w:rsidRPr="00647D77">
        <w:rPr>
          <w:rFonts w:ascii="Verdana" w:eastAsia="Times New Roman" w:hAnsi="Verdana" w:cs="Arial"/>
          <w:lang w:val="es-ES" w:eastAsia="es-CO"/>
        </w:rPr>
        <w:t>.</w:t>
      </w:r>
      <w:r>
        <w:rPr>
          <w:rFonts w:ascii="Verdana" w:eastAsia="Times New Roman" w:hAnsi="Verdana" w:cs="Arial"/>
          <w:bCs/>
          <w:lang w:val="es-ES" w:eastAsia="es-CO"/>
        </w:rPr>
        <w:t xml:space="preserve"> </w:t>
      </w:r>
    </w:p>
    <w:p w14:paraId="12E1D002" w14:textId="77777777" w:rsidR="00267D00" w:rsidRPr="00C16480" w:rsidRDefault="00267D00" w:rsidP="00267D00">
      <w:pPr>
        <w:spacing w:after="120" w:line="276" w:lineRule="auto"/>
        <w:ind w:firstLine="709"/>
        <w:jc w:val="both"/>
        <w:rPr>
          <w:rFonts w:ascii="Verdana" w:eastAsia="Times New Roman" w:hAnsi="Verdana" w:cs="Arial"/>
          <w:lang w:val="es-ES" w:eastAsia="es-CO"/>
        </w:rPr>
      </w:pPr>
      <w:r w:rsidRPr="00195E24">
        <w:rPr>
          <w:rFonts w:ascii="Verdana" w:hAnsi="Verdana" w:cs="Arial"/>
          <w:bCs/>
          <w:lang w:eastAsia="x-none"/>
        </w:rPr>
        <w:t xml:space="preserve">El ámbito material de la prohibición contenida </w:t>
      </w:r>
      <w:bookmarkStart w:id="11" w:name="_Hlk75628761"/>
      <w:r w:rsidRPr="00195E24">
        <w:rPr>
          <w:rFonts w:ascii="Verdana" w:hAnsi="Verdana" w:cs="Arial"/>
          <w:bCs/>
          <w:lang w:eastAsia="x-none"/>
        </w:rPr>
        <w:t xml:space="preserve">en el artículo 33 de la </w:t>
      </w:r>
      <w:r>
        <w:rPr>
          <w:rFonts w:ascii="Verdana" w:hAnsi="Verdana" w:cs="Arial"/>
          <w:bCs/>
          <w:lang w:eastAsia="x-none"/>
        </w:rPr>
        <w:t>L</w:t>
      </w:r>
      <w:r w:rsidRPr="00195E24">
        <w:rPr>
          <w:rFonts w:ascii="Verdana" w:hAnsi="Verdana" w:cs="Arial"/>
          <w:bCs/>
          <w:lang w:eastAsia="x-none"/>
        </w:rPr>
        <w:t xml:space="preserve">ey 996 de 2005 </w:t>
      </w:r>
      <w:bookmarkEnd w:id="11"/>
      <w:r w:rsidRPr="00195E24">
        <w:rPr>
          <w:rFonts w:ascii="Verdana" w:hAnsi="Verdana" w:cs="Arial"/>
          <w:bCs/>
          <w:lang w:eastAsia="x-none"/>
        </w:rPr>
        <w:t xml:space="preserve">está delimitado por la expresión </w:t>
      </w:r>
      <w:r w:rsidRPr="00195E24">
        <w:rPr>
          <w:rFonts w:ascii="Verdana" w:eastAsia="Calibri" w:hAnsi="Verdana" w:cs="Arial"/>
          <w:bCs/>
          <w:i/>
          <w:iCs/>
          <w:sz w:val="20"/>
          <w:szCs w:val="20"/>
        </w:rPr>
        <w:t>“</w:t>
      </w:r>
      <w:r w:rsidRPr="00195E24">
        <w:rPr>
          <w:rFonts w:ascii="Verdana" w:hAnsi="Verdana" w:cs="Arial"/>
          <w:bCs/>
          <w:i/>
          <w:iCs/>
          <w:lang w:eastAsia="x-none"/>
        </w:rPr>
        <w:t>queda prohibida la contratación directa</w:t>
      </w:r>
      <w:r w:rsidRPr="00195E24">
        <w:rPr>
          <w:rFonts w:ascii="Verdana" w:hAnsi="Verdana" w:cs="Arial"/>
          <w:sz w:val="20"/>
          <w:szCs w:val="20"/>
        </w:rPr>
        <w:t>”</w:t>
      </w:r>
      <w:r w:rsidRPr="00195E24">
        <w:rPr>
          <w:rFonts w:ascii="Verdana" w:hAnsi="Verdana" w:cs="Arial"/>
          <w:bCs/>
          <w:lang w:eastAsia="x-none"/>
        </w:rPr>
        <w:t>.</w:t>
      </w:r>
      <w:r w:rsidRPr="00195E24">
        <w:rPr>
          <w:rFonts w:ascii="Verdana" w:hAnsi="Verdana" w:cs="Arial"/>
          <w:lang w:eastAsia="es-CO"/>
        </w:rPr>
        <w:t xml:space="preserve"> A propósito de esta restricción de la Ley de Garantías Electorales, la Sala de Consulta y Servicio Civil del Consejo de Estado ha considerado que:</w:t>
      </w:r>
    </w:p>
    <w:p w14:paraId="7BF59D50" w14:textId="77777777" w:rsidR="00267D00" w:rsidRPr="005800D0" w:rsidRDefault="00267D00" w:rsidP="00267D00">
      <w:pPr>
        <w:spacing w:after="0" w:line="240" w:lineRule="auto"/>
        <w:ind w:left="709" w:right="709"/>
        <w:jc w:val="both"/>
        <w:rPr>
          <w:rFonts w:ascii="Verdana" w:hAnsi="Verdana" w:cs="Arial"/>
          <w:sz w:val="20"/>
          <w:szCs w:val="20"/>
        </w:rPr>
      </w:pPr>
      <w:r w:rsidRPr="005800D0">
        <w:rPr>
          <w:rFonts w:ascii="Verdana" w:hAnsi="Verdana" w:cs="Arial"/>
          <w:sz w:val="20"/>
          <w:szCs w:val="20"/>
        </w:rPr>
        <w:t>“</w:t>
      </w:r>
      <w:r>
        <w:rPr>
          <w:rFonts w:ascii="Verdana" w:hAnsi="Verdana" w:cs="Arial"/>
          <w:sz w:val="20"/>
          <w:szCs w:val="20"/>
        </w:rPr>
        <w:t xml:space="preserve">(…) </w:t>
      </w:r>
      <w:r w:rsidRPr="005800D0">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800D0">
        <w:rPr>
          <w:rFonts w:ascii="Verdana" w:hAnsi="Verdana" w:cs="Arial"/>
          <w:sz w:val="20"/>
          <w:szCs w:val="20"/>
          <w:vertAlign w:val="superscript"/>
          <w:lang w:eastAsia="es-CO"/>
        </w:rPr>
        <w:footnoteReference w:id="10"/>
      </w:r>
      <w:r w:rsidRPr="005800D0">
        <w:rPr>
          <w:rFonts w:ascii="Verdana" w:hAnsi="Verdana" w:cs="Arial"/>
          <w:sz w:val="20"/>
          <w:szCs w:val="20"/>
        </w:rPr>
        <w:t>.</w:t>
      </w:r>
    </w:p>
    <w:p w14:paraId="18A10CF0" w14:textId="77777777" w:rsidR="00267D00" w:rsidRDefault="00267D00" w:rsidP="00267D00">
      <w:pPr>
        <w:spacing w:after="0" w:line="240" w:lineRule="auto"/>
        <w:ind w:left="709" w:right="709"/>
        <w:jc w:val="both"/>
        <w:rPr>
          <w:rFonts w:ascii="Verdana" w:hAnsi="Verdana" w:cs="Arial"/>
          <w:sz w:val="20"/>
          <w:szCs w:val="20"/>
        </w:rPr>
      </w:pPr>
    </w:p>
    <w:p w14:paraId="757A04DD" w14:textId="77777777" w:rsidR="00267D00" w:rsidRPr="005703BF" w:rsidRDefault="00267D00" w:rsidP="00267D00">
      <w:pPr>
        <w:spacing w:after="0" w:line="240" w:lineRule="auto"/>
        <w:ind w:left="709" w:right="709"/>
        <w:jc w:val="both"/>
        <w:rPr>
          <w:rFonts w:ascii="Verdana" w:hAnsi="Verdana" w:cs="Arial"/>
          <w:sz w:val="20"/>
          <w:szCs w:val="20"/>
        </w:rPr>
      </w:pPr>
      <w:r w:rsidRPr="005800D0">
        <w:rPr>
          <w:rFonts w:ascii="Verdana" w:hAnsi="Verdana" w:cs="Arial"/>
          <w:sz w:val="20"/>
          <w:szCs w:val="20"/>
        </w:rPr>
        <w:t xml:space="preserve">Esta Sala ha entendido que para los efectos de la ley de garantías, y dada su finalidad, el enunciado ´contratación directa´ es sinónimo </w:t>
      </w:r>
      <w:bookmarkStart w:id="12" w:name="_Hlk75741738"/>
      <w:r w:rsidRPr="005800D0">
        <w:rPr>
          <w:rFonts w:ascii="Verdana" w:hAnsi="Verdana" w:cs="Arial"/>
          <w:sz w:val="20"/>
          <w:szCs w:val="20"/>
        </w:rPr>
        <w:t xml:space="preserve">de cualquier sistema que no implique convocatoria pública y posibilidad de pluralidad de oferentes, </w:t>
      </w:r>
      <w:bookmarkEnd w:id="12"/>
      <w:r w:rsidRPr="005800D0">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5800D0">
        <w:rPr>
          <w:rFonts w:ascii="Verdana" w:hAnsi="Verdana" w:cs="Arial"/>
          <w:sz w:val="20"/>
          <w:szCs w:val="20"/>
          <w:vertAlign w:val="superscript"/>
        </w:rPr>
        <w:footnoteReference w:id="11"/>
      </w:r>
      <w:r w:rsidRPr="005800D0">
        <w:rPr>
          <w:rFonts w:ascii="Verdana" w:hAnsi="Verdana" w:cs="Arial"/>
          <w:sz w:val="20"/>
          <w:szCs w:val="20"/>
          <w:vertAlign w:val="superscript"/>
        </w:rPr>
        <w:t>.</w:t>
      </w:r>
      <w:r w:rsidRPr="005800D0">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rPr>
        <w:t>(…)”</w:t>
      </w:r>
      <w:r w:rsidRPr="005800D0">
        <w:rPr>
          <w:rFonts w:ascii="Verdana" w:hAnsi="Verdana" w:cs="Arial"/>
          <w:sz w:val="20"/>
          <w:szCs w:val="20"/>
          <w:vertAlign w:val="superscript"/>
          <w:lang w:eastAsia="es-CO"/>
        </w:rPr>
        <w:footnoteReference w:id="12"/>
      </w:r>
      <w:r w:rsidRPr="005800D0">
        <w:rPr>
          <w:rFonts w:ascii="Verdana" w:hAnsi="Verdana" w:cs="Arial"/>
          <w:sz w:val="20"/>
          <w:szCs w:val="20"/>
        </w:rPr>
        <w:t>.</w:t>
      </w:r>
    </w:p>
    <w:p w14:paraId="65197C88" w14:textId="77777777" w:rsidR="00267D00" w:rsidRDefault="00267D00" w:rsidP="00267D00">
      <w:pPr>
        <w:spacing w:after="0" w:line="240" w:lineRule="auto"/>
        <w:ind w:firstLine="709"/>
        <w:jc w:val="both"/>
        <w:rPr>
          <w:rFonts w:ascii="Verdana" w:hAnsi="Verdana" w:cs="Arial"/>
          <w:lang w:eastAsia="x-none"/>
        </w:rPr>
      </w:pPr>
      <w:bookmarkStart w:id="14" w:name="_Hlk94521748"/>
    </w:p>
    <w:p w14:paraId="1DCB5D20" w14:textId="77777777" w:rsidR="00267D00" w:rsidRPr="00195E24" w:rsidRDefault="00267D00" w:rsidP="00267D00">
      <w:pPr>
        <w:spacing w:after="120" w:line="276" w:lineRule="auto"/>
        <w:ind w:firstLine="709"/>
        <w:jc w:val="both"/>
        <w:rPr>
          <w:rFonts w:ascii="Verdana" w:hAnsi="Verdana" w:cs="Arial"/>
          <w:bCs/>
          <w:lang w:eastAsia="x-none"/>
        </w:rPr>
      </w:pPr>
      <w:r w:rsidRPr="00195E24">
        <w:rPr>
          <w:rFonts w:ascii="Verdana" w:hAnsi="Verdana" w:cs="Arial"/>
          <w:lang w:eastAsia="x-none"/>
        </w:rPr>
        <w:t xml:space="preserve">De acuerdo con el citado concepto, la prohibición del artículo 33 de la Ley de Garantías Electorales se refiere a </w:t>
      </w:r>
      <w:r w:rsidRPr="007E27D9">
        <w:rPr>
          <w:rFonts w:ascii="Verdana" w:hAnsi="Verdana" w:cs="Arial"/>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xml:space="preserve">, por lo que excluye las demás modalidades de contratación previstas en la Ley 1150 de 2007, es decir, la licitación pública, la selección abreviada, el concurso de méritos </w:t>
      </w:r>
      <w:r w:rsidRPr="00195E24">
        <w:rPr>
          <w:rFonts w:ascii="Verdana" w:hAnsi="Verdana" w:cs="Arial"/>
          <w:lang w:val="es-ES_tradnl" w:eastAsia="x-none"/>
        </w:rPr>
        <w:t>y la mínima cuantía</w:t>
      </w:r>
      <w:r w:rsidRPr="00195E24" w:rsidDel="00A85D9F">
        <w:rPr>
          <w:rFonts w:ascii="Verdana" w:hAnsi="Verdana" w:cs="Arial"/>
          <w:lang w:eastAsia="x-none"/>
        </w:rPr>
        <w:t xml:space="preserve"> </w:t>
      </w:r>
      <w:r w:rsidRPr="00195E24">
        <w:rPr>
          <w:rFonts w:ascii="Verdana" w:hAnsi="Verdana" w:cs="Arial"/>
          <w:lang w:eastAsia="x-none"/>
        </w:rPr>
        <w:t xml:space="preserve">u otros previstos </w:t>
      </w:r>
      <w:r w:rsidRPr="00130C72">
        <w:rPr>
          <w:rFonts w:ascii="Verdana" w:hAnsi="Verdana" w:cs="Arial"/>
          <w:lang w:eastAsia="x-none"/>
        </w:rPr>
        <w:t>sistemas abiertos y competitivos dispuestos en normas especiales.</w:t>
      </w:r>
      <w:r w:rsidRPr="00195E24">
        <w:rPr>
          <w:rFonts w:ascii="Verdana" w:hAnsi="Verdana" w:cs="Arial"/>
          <w:lang w:eastAsia="x-none"/>
        </w:rPr>
        <w:t xml:space="preserve"> Esta posición es congruente con la expedición de la Ley 1150 de 2007 que, entre otras reformas, introdujo la selección abreviada, rediseñó el concurso de méritos</w:t>
      </w:r>
      <w:r w:rsidRPr="00195E24">
        <w:rPr>
          <w:rFonts w:ascii="Verdana" w:hAnsi="Verdana" w:cs="Arial"/>
          <w:vertAlign w:val="superscript"/>
          <w:lang w:val="en-GB" w:eastAsia="x-none"/>
        </w:rPr>
        <w:footnoteReference w:id="13"/>
      </w:r>
      <w:r w:rsidRPr="00195E24">
        <w:rPr>
          <w:rFonts w:ascii="Verdana" w:hAnsi="Verdana" w:cs="Arial"/>
          <w:lang w:eastAsia="x-none"/>
        </w:rPr>
        <w:t xml:space="preserve"> y sistematizó las causales de contratación directa</w:t>
      </w:r>
      <w:r w:rsidRPr="00195E24">
        <w:rPr>
          <w:rFonts w:ascii="Verdana" w:hAnsi="Verdana" w:cs="Arial"/>
          <w:vertAlign w:val="superscript"/>
          <w:lang w:val="en-GB" w:eastAsia="x-none"/>
        </w:rPr>
        <w:footnoteReference w:id="14"/>
      </w:r>
      <w:r w:rsidRPr="00195E24">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4"/>
    <w:p w14:paraId="1DC067CC" w14:textId="77777777" w:rsidR="00267D00" w:rsidRPr="00195E24" w:rsidRDefault="00267D00" w:rsidP="00267D00">
      <w:pPr>
        <w:spacing w:after="120" w:line="276" w:lineRule="auto"/>
        <w:ind w:firstLine="709"/>
        <w:jc w:val="both"/>
        <w:rPr>
          <w:rFonts w:ascii="Verdana" w:hAnsi="Verdana" w:cs="Arial"/>
          <w:lang w:eastAsia="x-none"/>
        </w:rPr>
      </w:pPr>
      <w:r w:rsidRPr="00195E24">
        <w:rPr>
          <w:rFonts w:ascii="Verdana" w:hAnsi="Verdana" w:cs="Arial"/>
          <w:lang w:eastAsia="x-none"/>
        </w:rPr>
        <w:t xml:space="preserve">De esta forma, con fundamento en la evolución de la normativa sobre la contratación pública, se ha depurado la noción de </w:t>
      </w:r>
      <w:r w:rsidRPr="007E27D9">
        <w:rPr>
          <w:rFonts w:ascii="Verdana" w:hAnsi="Verdana" w:cs="Arial"/>
          <w:i/>
          <w:lang w:eastAsia="en-GB"/>
        </w:rPr>
        <w:t>“</w:t>
      </w:r>
      <w:r w:rsidRPr="00195E24">
        <w:rPr>
          <w:rFonts w:ascii="Verdana" w:hAnsi="Verdana" w:cs="Arial"/>
          <w:i/>
          <w:iCs/>
          <w:lang w:eastAsia="x-none"/>
        </w:rPr>
        <w:t>contratación directa</w:t>
      </w:r>
      <w:r w:rsidRPr="00195E24">
        <w:rPr>
          <w:rFonts w:ascii="Verdana" w:hAnsi="Verdana" w:cs="Arial"/>
          <w:lang w:eastAsia="en-GB"/>
        </w:rPr>
        <w:t>”</w:t>
      </w:r>
      <w:r w:rsidRPr="00195E24">
        <w:rPr>
          <w:rFonts w:ascii="Verdana" w:hAnsi="Verdana" w:cs="Arial"/>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95E24">
        <w:rPr>
          <w:rFonts w:ascii="Verdana" w:hAnsi="Verdana" w:cs="Arial"/>
          <w:vertAlign w:val="superscript"/>
          <w:lang w:val="en-GB" w:eastAsia="x-none"/>
        </w:rPr>
        <w:footnoteReference w:id="15"/>
      </w:r>
      <w:r w:rsidRPr="00195E24">
        <w:rPr>
          <w:rFonts w:ascii="Verdana" w:hAnsi="Verdana" w:cs="Arial"/>
          <w:lang w:eastAsia="x-none"/>
        </w:rPr>
        <w:t>, han establecido sistemas de contratación que implican convocatoria pública y participación de varios oferentes</w:t>
      </w:r>
      <w:r w:rsidRPr="00195E24">
        <w:rPr>
          <w:rFonts w:ascii="Verdana" w:hAnsi="Verdana" w:cs="Arial"/>
          <w:lang w:eastAsia="en-GB"/>
        </w:rPr>
        <w:t>”</w:t>
      </w:r>
      <w:r w:rsidRPr="00195E24">
        <w:rPr>
          <w:rFonts w:ascii="Verdana" w:hAnsi="Verdana" w:cs="Arial"/>
          <w:lang w:eastAsia="x-none"/>
        </w:rPr>
        <w:t>.</w:t>
      </w:r>
    </w:p>
    <w:p w14:paraId="795AC869" w14:textId="77777777" w:rsidR="00267D00" w:rsidRPr="00195E24" w:rsidRDefault="00267D00" w:rsidP="00267D00">
      <w:pPr>
        <w:spacing w:after="120" w:line="276" w:lineRule="auto"/>
        <w:ind w:firstLine="709"/>
        <w:jc w:val="both"/>
        <w:rPr>
          <w:rFonts w:ascii="Verdana" w:hAnsi="Verdana" w:cs="Arial"/>
          <w:bCs/>
          <w:lang w:eastAsia="es-CO"/>
        </w:rPr>
      </w:pPr>
      <w:r w:rsidRPr="00195E24">
        <w:rPr>
          <w:rFonts w:ascii="Verdana" w:hAnsi="Verdana" w:cs="Arial"/>
          <w:bCs/>
          <w:lang w:eastAsia="x-none"/>
        </w:rPr>
        <w:t>E</w:t>
      </w:r>
      <w:r w:rsidRPr="00195E24">
        <w:rPr>
          <w:rFonts w:ascii="Verdana" w:hAnsi="Verdana" w:cs="Arial"/>
          <w:lang w:eastAsia="x-none"/>
        </w:rPr>
        <w:t xml:space="preserve">n efecto, vale la pena mencionar que, </w:t>
      </w:r>
      <w:bookmarkStart w:id="15" w:name="_Hlk75636073"/>
      <w:r w:rsidRPr="00195E24">
        <w:rPr>
          <w:rFonts w:ascii="Verdana"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195E24">
        <w:rPr>
          <w:rFonts w:ascii="Verdana" w:hAnsi="Verdana" w:cs="Arial"/>
          <w:i/>
          <w:iCs/>
          <w:lang w:eastAsia="x-none"/>
        </w:rPr>
        <w:t>“contratación directa</w:t>
      </w:r>
      <w:r w:rsidRPr="00195E24">
        <w:rPr>
          <w:rFonts w:ascii="Verdana" w:hAnsi="Verdana" w:cs="Arial"/>
          <w:lang w:eastAsia="x-none"/>
        </w:rPr>
        <w:t>”, es que la convocatoria para inscribirse en forma previa se haga de manera pública, y que se permita la participación de una pluralidad de oferentes</w:t>
      </w:r>
      <w:bookmarkEnd w:id="15"/>
      <w:r w:rsidRPr="00195E24">
        <w:rPr>
          <w:rFonts w:ascii="Verdana" w:hAnsi="Verdana" w:cs="Arial"/>
          <w:vertAlign w:val="superscript"/>
          <w:lang w:eastAsia="x-none"/>
        </w:rPr>
        <w:footnoteReference w:id="16"/>
      </w:r>
      <w:r w:rsidRPr="00195E24">
        <w:rPr>
          <w:rFonts w:ascii="Verdana" w:hAnsi="Verdana" w:cs="Arial"/>
          <w:lang w:eastAsia="x-none"/>
        </w:rPr>
        <w:t xml:space="preserve">. </w:t>
      </w:r>
    </w:p>
    <w:p w14:paraId="2AC7530A" w14:textId="77777777" w:rsidR="00267D00" w:rsidRPr="00CE0712" w:rsidRDefault="00267D00" w:rsidP="00267D00">
      <w:pPr>
        <w:spacing w:after="120" w:line="276" w:lineRule="auto"/>
        <w:ind w:firstLine="709"/>
        <w:jc w:val="both"/>
        <w:rPr>
          <w:rFonts w:ascii="Verdana" w:hAnsi="Verdana" w:cs="Arial"/>
          <w:bCs/>
          <w:lang w:eastAsia="es-CO"/>
        </w:rPr>
      </w:pPr>
      <w:r w:rsidRPr="00195E24">
        <w:rPr>
          <w:rFonts w:ascii="Verdana" w:hAnsi="Verdana" w:cs="Arial"/>
          <w:bCs/>
          <w:lang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195E24">
        <w:rPr>
          <w:rFonts w:ascii="Verdana" w:hAnsi="Verdana" w:cs="Arial"/>
          <w:bCs/>
          <w:i/>
          <w:iCs/>
          <w:lang w:eastAsia="es-CO"/>
        </w:rPr>
        <w:t>“contratación directa”.</w:t>
      </w:r>
    </w:p>
    <w:p w14:paraId="3BC979E1" w14:textId="77777777" w:rsidR="00267D00" w:rsidRDefault="00267D00" w:rsidP="00267D00">
      <w:pPr>
        <w:spacing w:after="120" w:line="276" w:lineRule="auto"/>
        <w:ind w:firstLine="709"/>
        <w:jc w:val="both"/>
        <w:rPr>
          <w:rFonts w:ascii="Verdana" w:hAnsi="Verdana" w:cs="Arial"/>
          <w:vertAlign w:val="superscript"/>
          <w:lang w:eastAsia="x-none"/>
        </w:rPr>
      </w:pPr>
      <w:bookmarkStart w:id="16" w:name="_Hlk78818796"/>
      <w:r w:rsidRPr="00195E24">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7E27D9">
        <w:rPr>
          <w:rFonts w:ascii="Verdana" w:hAnsi="Verdana" w:cs="Arial"/>
          <w:vertAlign w:val="superscript"/>
          <w:lang w:eastAsia="x-none"/>
        </w:rPr>
        <w:footnoteReference w:id="17"/>
      </w:r>
      <w:r w:rsidRPr="007E27D9">
        <w:rPr>
          <w:rFonts w:ascii="Verdana" w:hAnsi="Verdana" w:cs="Arial"/>
          <w:lang w:eastAsia="x-none"/>
        </w:rPr>
        <w:t>.</w:t>
      </w:r>
      <w:r w:rsidRPr="007E27D9">
        <w:rPr>
          <w:rFonts w:ascii="Verdana" w:hAnsi="Verdana" w:cs="Arial"/>
          <w:vertAlign w:val="superscript"/>
          <w:lang w:eastAsia="x-none"/>
        </w:rPr>
        <w:t xml:space="preserve"> </w:t>
      </w:r>
    </w:p>
    <w:p w14:paraId="3B557F03" w14:textId="77777777" w:rsidR="00267D00" w:rsidRDefault="00267D00" w:rsidP="00267D00">
      <w:pPr>
        <w:spacing w:after="120" w:line="276" w:lineRule="auto"/>
        <w:ind w:firstLine="709"/>
        <w:jc w:val="both"/>
        <w:rPr>
          <w:rFonts w:ascii="Verdana" w:hAnsi="Verdana" w:cs="Arial"/>
          <w:lang w:eastAsia="x-none"/>
        </w:rPr>
      </w:pPr>
      <w:r w:rsidRPr="00AD17FF">
        <w:rPr>
          <w:rFonts w:ascii="Verdana" w:hAnsi="Verdana" w:cs="Arial"/>
          <w:lang w:eastAsia="x-none"/>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r>
        <w:rPr>
          <w:rStyle w:val="Refdenotaalpie"/>
          <w:rFonts w:ascii="Verdana" w:hAnsi="Verdana" w:cs="Arial"/>
          <w:lang w:eastAsia="x-none"/>
        </w:rPr>
        <w:footnoteReference w:id="18"/>
      </w:r>
      <w:r w:rsidRPr="00AD17FF">
        <w:rPr>
          <w:rFonts w:ascii="Verdana" w:hAnsi="Verdana" w:cs="Arial"/>
          <w:lang w:eastAsia="x-none"/>
        </w:rPr>
        <w:t>.</w:t>
      </w:r>
    </w:p>
    <w:p w14:paraId="59F65A80" w14:textId="77777777" w:rsidR="00267D00" w:rsidRDefault="00267D00" w:rsidP="00267D00">
      <w:pPr>
        <w:spacing w:after="120" w:line="276" w:lineRule="auto"/>
        <w:ind w:firstLine="709"/>
        <w:jc w:val="both"/>
        <w:rPr>
          <w:rFonts w:ascii="Verdana" w:hAnsi="Verdana" w:cs="Arial"/>
          <w:lang w:eastAsia="x-none"/>
        </w:rPr>
      </w:pPr>
      <w:r>
        <w:rPr>
          <w:rFonts w:ascii="Verdana" w:hAnsi="Verdana" w:cs="Arial"/>
          <w:lang w:eastAsia="x-none"/>
        </w:rPr>
        <w:t xml:space="preserve">En este sentido la Agencia Nacional de Contratación Pública </w:t>
      </w:r>
      <w:r w:rsidRPr="00066B32">
        <w:rPr>
          <w:rFonts w:ascii="Verdana" w:hAnsi="Verdana" w:cs="Arial"/>
          <w:lang w:eastAsia="x-none"/>
        </w:rPr>
        <w:t xml:space="preserve">– Colombia </w:t>
      </w:r>
      <w:r w:rsidRPr="00360AB5">
        <w:rPr>
          <w:rFonts w:ascii="Verdana" w:hAnsi="Verdana" w:cs="Arial"/>
          <w:lang w:eastAsia="x-none"/>
        </w:rPr>
        <w:t>Compra Eficiente,</w:t>
      </w:r>
      <w:r w:rsidRPr="001D6D08">
        <w:rPr>
          <w:rFonts w:ascii="Verdana" w:hAnsi="Verdana" w:cs="Arial"/>
          <w:lang w:eastAsia="x-none"/>
        </w:rPr>
        <w:t xml:space="preserve"> en </w:t>
      </w:r>
      <w:r w:rsidRPr="00A53A1E">
        <w:rPr>
          <w:rFonts w:ascii="Verdana" w:hAnsi="Verdana" w:cs="Arial"/>
          <w:lang w:eastAsia="x-none"/>
        </w:rPr>
        <w:t>el</w:t>
      </w:r>
      <w:r>
        <w:rPr>
          <w:rFonts w:ascii="Verdana" w:hAnsi="Verdana" w:cs="Arial"/>
          <w:lang w:eastAsia="x-none"/>
        </w:rPr>
        <w:t xml:space="preserve"> concepto </w:t>
      </w:r>
      <w:r w:rsidRPr="004A2E70">
        <w:rPr>
          <w:rFonts w:ascii="Verdana" w:eastAsia="Verdana" w:hAnsi="Verdana" w:cs="Verdana"/>
          <w:bCs/>
        </w:rPr>
        <w:t>C-048 de 2026</w:t>
      </w:r>
      <w:r w:rsidRPr="004A2E70">
        <w:rPr>
          <w:rStyle w:val="Refdenotaalpie"/>
          <w:rFonts w:ascii="Verdana" w:eastAsia="Verdana" w:hAnsi="Verdana" w:cs="Verdana"/>
          <w:bCs/>
        </w:rPr>
        <w:footnoteReference w:id="19"/>
      </w:r>
      <w:r w:rsidRPr="00130C72">
        <w:rPr>
          <w:rFonts w:ascii="Verdana" w:eastAsia="Verdana" w:hAnsi="Verdana" w:cs="Verdana"/>
          <w:bCs/>
        </w:rPr>
        <w:t>,</w:t>
      </w:r>
      <w:r>
        <w:rPr>
          <w:rFonts w:ascii="Verdana" w:eastAsia="Verdana" w:hAnsi="Verdana" w:cs="Verdana"/>
          <w:bCs/>
        </w:rPr>
        <w:t xml:space="preserve"> reitera la anterior postura al sostener que</w:t>
      </w:r>
      <w:r w:rsidRPr="004A2E70">
        <w:rPr>
          <w:rFonts w:ascii="Verdana" w:eastAsia="Verdana" w:hAnsi="Verdana" w:cs="Verdana"/>
          <w:bCs/>
        </w:rPr>
        <w:t xml:space="preserve"> </w:t>
      </w:r>
      <w:r w:rsidRPr="00647D77">
        <w:rPr>
          <w:rFonts w:ascii="Verdana" w:eastAsia="Verdana" w:hAnsi="Verdana" w:cs="Verdana"/>
          <w:i/>
        </w:rPr>
        <w:t>“</w:t>
      </w:r>
      <w:r w:rsidRPr="00095A89">
        <w:rPr>
          <w:rFonts w:ascii="Verdana" w:eastAsia="Times New Roman" w:hAnsi="Verdana" w:cs="Arial"/>
          <w:bCs/>
          <w:lang w:eastAsia="x-none"/>
        </w:rPr>
        <w:t xml:space="preserve">para determinar la aplicación de la restricción prevista en el artículo 33 de la Ley de Garantías Electorales en aquellos sistemas de contratación en los cuales se invita a presentar propuesta […] seleccionados de un banco de proveedores, resulta fundamental que se cumplan los dos criterios señalados. De un lado, es indispensable que tanto la inscripción en la lista de precalificados o en el banco de proveedores como el acceso a la etapa de presentación de ofertas se encuentren precedidos de mecanismos de convocatoria pública que garanticen la participación real de una pluralidad de oferentes, en condiciones de igualdad y transparencia. De otro lado, la selección del contratista debe estar sometida a criterios objetivos de tal manera que la escogencia del contratista sea el resultado de un ejercicio de comparación de propuestas en competencia y no de decisiones discrecionales de la entidad”. </w:t>
      </w:r>
    </w:p>
    <w:p w14:paraId="5AFAB41E" w14:textId="77777777" w:rsidR="00267D00" w:rsidRPr="00095A89" w:rsidRDefault="00267D00" w:rsidP="00267D00">
      <w:pPr>
        <w:spacing w:after="120" w:line="276" w:lineRule="auto"/>
        <w:ind w:firstLine="709"/>
        <w:jc w:val="both"/>
        <w:rPr>
          <w:rFonts w:ascii="Verdana" w:hAnsi="Verdana" w:cs="Arial"/>
          <w:lang w:eastAsia="x-none"/>
        </w:rPr>
      </w:pPr>
      <w:r w:rsidRPr="00095A89">
        <w:rPr>
          <w:rFonts w:ascii="Verdana" w:eastAsia="Verdana" w:hAnsi="Verdana" w:cs="Verdana"/>
          <w:bCs/>
        </w:rPr>
        <w:t>“</w:t>
      </w:r>
      <w:r w:rsidRPr="00095A89">
        <w:rPr>
          <w:rFonts w:ascii="Verdana" w:eastAsia="Times New Roman" w:hAnsi="Verdana" w:cs="Arial"/>
          <w:bCs/>
          <w:lang w:eastAsia="x-none"/>
        </w:rPr>
        <w:t xml:space="preserve">En todo caso, las entidades sometidas a regímenes especiales o al derecho privado son responsables de evaluar, en cada caso concreto, si la implementación de sistemas como listas de precalificados, bancos de proveedores o esquemas de invitación cerrada comporta efectivamente la realización de una convocatoria pública y asegura la participación real de una pluralidad de oferentes. Dicha valoración debe efectuarse a la luz de las reglas previstas en sus respectivos manuales de contratación, lo cual exige un análisis del procedimiento adoptado, de manera que se garantice que la selección del contratista se derive de un escenario de competencia efectiva y no de mecanismos que, bajo una apariencia de pluralidad de oferentes, habiliten contrataciones que se encuentra bajo el ámbito de aplicación del artículo 33 de la Ley de Garantías Electorales”.  </w:t>
      </w:r>
    </w:p>
    <w:bookmarkEnd w:id="16"/>
    <w:p w14:paraId="5EDCD803" w14:textId="77777777" w:rsidR="00267D00" w:rsidRDefault="00267D00" w:rsidP="00267D00">
      <w:pPr>
        <w:spacing w:after="120" w:line="276" w:lineRule="auto"/>
        <w:ind w:firstLine="709"/>
        <w:jc w:val="both"/>
        <w:rPr>
          <w:rFonts w:ascii="Verdana" w:hAnsi="Verdana" w:cs="Arial"/>
          <w:lang w:eastAsia="x-none"/>
        </w:rPr>
      </w:pPr>
      <w:r w:rsidRPr="00195E24">
        <w:rPr>
          <w:rFonts w:ascii="Verdana" w:hAnsi="Verdana" w:cs="Arial"/>
          <w:bCs/>
          <w:lang w:eastAsia="x-none"/>
        </w:rPr>
        <w:t xml:space="preserve">De lo anterior se desprende que la restricción aplica, sin perjuicio de las excepciones establecidas en la misma </w:t>
      </w:r>
      <w:r w:rsidRPr="00130C72">
        <w:rPr>
          <w:rFonts w:ascii="Verdana" w:hAnsi="Verdana" w:cs="Arial"/>
          <w:bCs/>
          <w:lang w:eastAsia="x-none"/>
        </w:rPr>
        <w:t>L</w:t>
      </w:r>
      <w:r w:rsidRPr="00195E24">
        <w:rPr>
          <w:rFonts w:ascii="Verdana" w:hAnsi="Verdana" w:cs="Arial"/>
          <w:bCs/>
          <w:lang w:eastAsia="x-none"/>
        </w:rPr>
        <w:t>ey</w:t>
      </w:r>
      <w:r w:rsidRPr="00671D27">
        <w:rPr>
          <w:rFonts w:ascii="Verdana" w:hAnsi="Verdana" w:cs="Arial"/>
          <w:bCs/>
          <w:lang w:eastAsia="x-none"/>
        </w:rPr>
        <w:t>, para celebrar cualquier contrato de forma directa, esto es, sin que exista un proceso abierto y competitivo.</w:t>
      </w:r>
      <w:r w:rsidRPr="00671D27">
        <w:rPr>
          <w:rFonts w:ascii="Verdana" w:hAnsi="Verdana" w:cs="Arial"/>
          <w:lang w:eastAsia="x-none"/>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w:t>
      </w:r>
      <w:r w:rsidRPr="00195E24">
        <w:rPr>
          <w:rFonts w:ascii="Verdana" w:hAnsi="Verdana" w:cs="Arial"/>
          <w:lang w:eastAsia="x-none"/>
        </w:rPr>
        <w:t xml:space="preserve"> período preelectoral de que trata la disposición las entidades públicas pueden seguir contratando bajo estos sistemas</w:t>
      </w:r>
      <w:r w:rsidRPr="007E27D9">
        <w:rPr>
          <w:rFonts w:ascii="Verdana" w:hAnsi="Verdana" w:cs="Arial"/>
          <w:lang w:eastAsia="x-none"/>
        </w:rPr>
        <w:t>.</w:t>
      </w:r>
      <w:r>
        <w:rPr>
          <w:rFonts w:ascii="Verdana" w:hAnsi="Verdana" w:cs="Arial"/>
          <w:lang w:eastAsia="x-none"/>
        </w:rPr>
        <w:t xml:space="preserve"> </w:t>
      </w:r>
    </w:p>
    <w:p w14:paraId="5957C142" w14:textId="77777777" w:rsidR="00267D00" w:rsidRDefault="00267D00" w:rsidP="00267D00">
      <w:pPr>
        <w:spacing w:after="120" w:line="276" w:lineRule="auto"/>
        <w:ind w:firstLine="709"/>
        <w:jc w:val="both"/>
        <w:rPr>
          <w:rFonts w:ascii="Verdana" w:eastAsia="Arial" w:hAnsi="Verdana" w:cs="Arial"/>
          <w:color w:val="1A1A1A" w:themeColor="background1" w:themeShade="1A"/>
          <w:lang w:val="es-ES_tradnl"/>
        </w:rPr>
      </w:pPr>
      <w:r>
        <w:rPr>
          <w:rFonts w:ascii="Verdana" w:hAnsi="Verdana" w:cs="Arial"/>
          <w:lang w:eastAsia="x-none"/>
        </w:rPr>
        <w:t xml:space="preserve">De acuerdo con lo anterior, la celebración del contrato entre una entidad pública y una persona jurídica de naturaleza privada podrá realizarse en el periodo de restricciones electorales de que trata el artículo 33 de la Ley 996 de 2005 siempre que dicha contratación se derive de un proceso de selección distinto a la contratación directa. </w:t>
      </w:r>
      <w:r>
        <w:rPr>
          <w:rFonts w:ascii="Verdana" w:hAnsi="Verdana" w:cs="Arial"/>
          <w:color w:val="1A1A1A" w:themeColor="background1" w:themeShade="1A"/>
          <w:shd w:val="clear" w:color="auto" w:fill="FFFFFF"/>
          <w:lang w:val="es-ES_tradnl"/>
        </w:rPr>
        <w:t>Por lo tanto,</w:t>
      </w:r>
      <w:r w:rsidRPr="008363F8">
        <w:rPr>
          <w:rFonts w:ascii="Verdana" w:hAnsi="Verdana" w:cs="Arial"/>
          <w:color w:val="1A1A1A" w:themeColor="background1" w:themeShade="1A"/>
          <w:shd w:val="clear" w:color="auto" w:fill="FFFFFF"/>
          <w:lang w:val="es-ES_tradnl"/>
        </w:rPr>
        <w:t xml:space="preserve"> en principio </w:t>
      </w:r>
      <w:r>
        <w:rPr>
          <w:rFonts w:ascii="Verdana" w:hAnsi="Verdana" w:cs="Arial"/>
          <w:color w:val="1A1A1A" w:themeColor="background1" w:themeShade="1A"/>
          <w:shd w:val="clear" w:color="auto" w:fill="FFFFFF"/>
          <w:lang w:val="es-ES_tradnl"/>
        </w:rPr>
        <w:t>lo que</w:t>
      </w:r>
      <w:r w:rsidRPr="00AD294A">
        <w:rPr>
          <w:rFonts w:ascii="Verdana" w:hAnsi="Verdana" w:cs="Arial"/>
          <w:color w:val="1A1A1A" w:themeColor="background1" w:themeShade="1A"/>
          <w:shd w:val="clear" w:color="auto" w:fill="FFFFFF"/>
          <w:lang w:val="es-ES_tradnl"/>
        </w:rPr>
        <w:t xml:space="preserve"> </w:t>
      </w:r>
      <w:r w:rsidRPr="008363F8">
        <w:rPr>
          <w:rFonts w:ascii="Verdana" w:hAnsi="Verdana" w:cs="Arial"/>
          <w:color w:val="1A1A1A" w:themeColor="background1" w:themeShade="1A"/>
          <w:shd w:val="clear" w:color="auto" w:fill="FFFFFF"/>
          <w:lang w:val="es-ES_tradnl"/>
        </w:rPr>
        <w:t xml:space="preserve">está prohibida </w:t>
      </w:r>
      <w:r>
        <w:rPr>
          <w:rFonts w:ascii="Verdana" w:hAnsi="Verdana" w:cs="Arial"/>
          <w:color w:val="1A1A1A" w:themeColor="background1" w:themeShade="1A"/>
          <w:shd w:val="clear" w:color="auto" w:fill="FFFFFF"/>
          <w:lang w:val="es-ES_tradnl"/>
        </w:rPr>
        <w:t>es</w:t>
      </w:r>
      <w:r w:rsidRPr="00AD294A">
        <w:rPr>
          <w:rFonts w:ascii="Verdana" w:hAnsi="Verdana" w:cs="Arial"/>
          <w:color w:val="1A1A1A" w:themeColor="background1" w:themeShade="1A"/>
          <w:shd w:val="clear" w:color="auto" w:fill="FFFFFF"/>
          <w:lang w:val="es-ES_tradnl"/>
        </w:rPr>
        <w:t xml:space="preserve"> </w:t>
      </w:r>
      <w:r w:rsidRPr="008363F8">
        <w:rPr>
          <w:rFonts w:ascii="Verdana" w:hAnsi="Verdana" w:cs="Arial"/>
          <w:i/>
          <w:iCs/>
          <w:color w:val="1A1A1A" w:themeColor="background1" w:themeShade="1A"/>
          <w:shd w:val="clear" w:color="auto" w:fill="FFFFFF"/>
          <w:lang w:val="es-ES_tradnl"/>
        </w:rPr>
        <w:t>la contratación directa</w:t>
      </w:r>
      <w:r w:rsidRPr="008363F8">
        <w:rPr>
          <w:rFonts w:ascii="Verdana" w:hAnsi="Verdana" w:cs="Arial"/>
          <w:color w:val="1A1A1A" w:themeColor="background1" w:themeShade="1A"/>
          <w:shd w:val="clear" w:color="auto" w:fill="FFFFFF"/>
          <w:lang w:val="es-ES_tradnl"/>
        </w:rPr>
        <w:t xml:space="preserve">, salvo que </w:t>
      </w:r>
      <w:r>
        <w:rPr>
          <w:rFonts w:ascii="Verdana" w:hAnsi="Verdana" w:cs="Arial"/>
          <w:color w:val="1A1A1A" w:themeColor="background1" w:themeShade="1A"/>
          <w:shd w:val="clear" w:color="auto" w:fill="FFFFFF"/>
          <w:lang w:val="es-ES_tradnl"/>
        </w:rPr>
        <w:t>la contratación que se va a realizar se encuadre en alguna de las excepciones consagradas en el mismo artículo. Lo que está permitido en dicha época son los contratos que se</w:t>
      </w:r>
      <w:r w:rsidRPr="00AD294A">
        <w:rPr>
          <w:rFonts w:ascii="Verdana" w:hAnsi="Verdana" w:cs="Arial"/>
          <w:color w:val="1A1A1A" w:themeColor="background1" w:themeShade="1A"/>
          <w:shd w:val="clear" w:color="auto" w:fill="FFFFFF"/>
          <w:lang w:val="es-ES_tradnl"/>
        </w:rPr>
        <w:t xml:space="preserve"> celebr</w:t>
      </w:r>
      <w:r>
        <w:rPr>
          <w:rFonts w:ascii="Verdana" w:hAnsi="Verdana" w:cs="Arial"/>
          <w:color w:val="1A1A1A" w:themeColor="background1" w:themeShade="1A"/>
          <w:shd w:val="clear" w:color="auto" w:fill="FFFFFF"/>
          <w:lang w:val="es-ES_tradnl"/>
        </w:rPr>
        <w:t xml:space="preserve">en </w:t>
      </w:r>
      <w:r w:rsidRPr="008363F8">
        <w:rPr>
          <w:rFonts w:ascii="Verdana" w:hAnsi="Verdana" w:cs="Arial"/>
          <w:i/>
          <w:iCs/>
          <w:color w:val="1A1A1A" w:themeColor="background1" w:themeShade="1A"/>
          <w:shd w:val="clear" w:color="auto" w:fill="FFFFFF"/>
          <w:lang w:val="es-ES_tradnl"/>
        </w:rPr>
        <w:t>de manera competitiva</w:t>
      </w:r>
      <w:r>
        <w:rPr>
          <w:rFonts w:ascii="Verdana" w:hAnsi="Verdana" w:cs="Arial"/>
          <w:i/>
          <w:iCs/>
          <w:color w:val="1A1A1A" w:themeColor="background1" w:themeShade="1A"/>
          <w:shd w:val="clear" w:color="auto" w:fill="FFFFFF"/>
          <w:lang w:val="es-ES_tradnl"/>
        </w:rPr>
        <w:t xml:space="preserve">. </w:t>
      </w:r>
    </w:p>
    <w:p w14:paraId="169DD679" w14:textId="77777777" w:rsidR="00267D00" w:rsidRPr="00012D64" w:rsidRDefault="00267D00" w:rsidP="00267D00">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Ahora bien, en relación con los destinatarios de las restricciones, el artículo 33 de la Ley 996 de 2005 los señala expresamente, en el sentido de que son “</w:t>
      </w:r>
      <w:r w:rsidRPr="73D21086">
        <w:rPr>
          <w:rFonts w:ascii="Verdana" w:hAnsi="Verdana" w:cs="Arial"/>
          <w:i/>
          <w:color w:val="000000" w:themeColor="text1"/>
          <w:lang w:val="es-MX"/>
        </w:rPr>
        <w:t>todos los entes del Estado</w:t>
      </w:r>
      <w:r w:rsidRPr="73D21086">
        <w:rPr>
          <w:rFonts w:ascii="Verdana" w:hAnsi="Verdana" w:cs="Arial"/>
          <w:color w:val="000000" w:themeColor="text1"/>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40399D19" w14:textId="77777777" w:rsidR="00267D00" w:rsidRDefault="00267D00" w:rsidP="00267D00">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La Sala de Consulta y Servicio Civil del Consejo de Estado, en Concepto 1727 del 20 de febrero de 2006, consideró que 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73D21086">
        <w:rPr>
          <w:rFonts w:ascii="Verdana" w:hAnsi="Verdana" w:cs="Arial"/>
          <w:color w:val="000000" w:themeColor="text1"/>
          <w:vertAlign w:val="superscript"/>
          <w:lang w:val="es-MX"/>
        </w:rPr>
        <w:footnoteReference w:id="20"/>
      </w:r>
      <w:r w:rsidRPr="73D21086">
        <w:rPr>
          <w:rFonts w:ascii="Verdana" w:hAnsi="Verdana" w:cs="Arial"/>
          <w:color w:val="000000" w:themeColor="text1"/>
          <w:lang w:val="es-MX"/>
        </w:rPr>
        <w:t xml:space="preserve">. </w:t>
      </w:r>
    </w:p>
    <w:p w14:paraId="7D4CAA4F" w14:textId="77777777" w:rsidR="00267D00" w:rsidRPr="002D6B92" w:rsidRDefault="00267D00" w:rsidP="00267D00">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CE0D82">
        <w:rPr>
          <w:rFonts w:ascii="Verdana" w:hAnsi="Verdana" w:cs="Arial"/>
          <w:color w:val="000000" w:themeColor="text1"/>
          <w:vertAlign w:val="superscript"/>
          <w:lang w:val="es-MX"/>
        </w:rPr>
        <w:footnoteReference w:id="21"/>
      </w:r>
      <w:r w:rsidRPr="73D21086">
        <w:rPr>
          <w:rFonts w:ascii="Verdana" w:hAnsi="Verdana" w:cs="Arial"/>
          <w:color w:val="000000" w:themeColor="text1"/>
          <w:lang w:val="es-MX"/>
        </w:rPr>
        <w:t>.</w:t>
      </w:r>
      <w:r w:rsidRPr="00CE0D82">
        <w:rPr>
          <w:rFonts w:ascii="Verdana" w:hAnsi="Verdana" w:cs="Arial"/>
          <w:color w:val="000000" w:themeColor="text1"/>
          <w:lang w:val="es-MX"/>
        </w:rPr>
        <w:t xml:space="preserve"> Además, la Sala de Consulta y Servicio Civil del Consejo de Estado realizó la siguiente distinción, retomando el pronunciamiento de la misma sala del 20 de febrero de 2006, citado anteriormente:</w:t>
      </w:r>
    </w:p>
    <w:p w14:paraId="012E9DED" w14:textId="77777777" w:rsidR="00267D00" w:rsidRDefault="00267D00" w:rsidP="00267D00">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w:t>
      </w:r>
      <w:r>
        <w:rPr>
          <w:rFonts w:ascii="Verdana" w:hAnsi="Verdana" w:cs="Arial"/>
          <w:color w:val="000000" w:themeColor="text1"/>
          <w:sz w:val="20"/>
          <w:szCs w:val="20"/>
          <w:lang w:val="es-MX"/>
        </w:rPr>
        <w:t>(…)</w:t>
      </w:r>
      <w:r w:rsidRPr="005800D0">
        <w:rPr>
          <w:rFonts w:ascii="Verdana" w:hAnsi="Verdana" w:cs="Arial"/>
          <w:color w:val="000000" w:themeColor="text1"/>
          <w:sz w:val="20"/>
          <w:szCs w:val="20"/>
          <w:lang w:val="es-MX"/>
        </w:rPr>
        <w:t xml:space="preserve"> 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746D3F12" w14:textId="77777777" w:rsidR="00267D00" w:rsidRPr="00435A6A" w:rsidRDefault="00267D00" w:rsidP="00267D00">
      <w:pPr>
        <w:spacing w:after="0" w:line="240" w:lineRule="auto"/>
        <w:ind w:left="709" w:right="709"/>
        <w:jc w:val="both"/>
        <w:rPr>
          <w:rFonts w:ascii="Verdana" w:hAnsi="Verdana" w:cs="Arial"/>
          <w:color w:val="000000" w:themeColor="text1"/>
          <w:sz w:val="20"/>
          <w:szCs w:val="20"/>
          <w:lang w:val="es-MX" w:eastAsia="x-none"/>
        </w:rPr>
      </w:pPr>
      <w:r w:rsidRPr="005800D0">
        <w:rPr>
          <w:rFonts w:ascii="Verdana" w:hAnsi="Verdana" w:cs="Arial"/>
          <w:color w:val="000000" w:themeColor="text1"/>
          <w:sz w:val="20"/>
          <w:szCs w:val="20"/>
          <w:lang w:val="es-MX"/>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hAnsi="Verdana" w:cs="Arial"/>
          <w:color w:val="000000" w:themeColor="text1"/>
          <w:sz w:val="20"/>
          <w:szCs w:val="20"/>
          <w:lang w:val="es-MX"/>
        </w:rPr>
        <w:t>”</w:t>
      </w:r>
      <w:r w:rsidRPr="005800D0">
        <w:rPr>
          <w:rFonts w:ascii="Verdana" w:hAnsi="Verdana" w:cs="Arial"/>
          <w:color w:val="000000" w:themeColor="text1"/>
          <w:sz w:val="20"/>
          <w:szCs w:val="20"/>
          <w:vertAlign w:val="superscript"/>
          <w:lang w:val="es-MX"/>
        </w:rPr>
        <w:footnoteReference w:id="22"/>
      </w:r>
      <w:r w:rsidRPr="005800D0">
        <w:rPr>
          <w:rFonts w:ascii="Verdana" w:hAnsi="Verdana" w:cs="Arial"/>
          <w:color w:val="000000" w:themeColor="text1"/>
          <w:sz w:val="20"/>
          <w:szCs w:val="20"/>
          <w:lang w:val="es-MX" w:eastAsia="x-none"/>
        </w:rPr>
        <w:t>.</w:t>
      </w:r>
    </w:p>
    <w:p w14:paraId="1E199BAA" w14:textId="77777777" w:rsidR="00267D00" w:rsidRDefault="00267D00" w:rsidP="00267D00">
      <w:pPr>
        <w:spacing w:after="0" w:line="240" w:lineRule="auto"/>
        <w:jc w:val="both"/>
        <w:rPr>
          <w:rFonts w:ascii="Verdana" w:hAnsi="Verdana" w:cs="Arial"/>
          <w:color w:val="000000" w:themeColor="text1"/>
          <w:lang w:val="es-MX"/>
        </w:rPr>
      </w:pPr>
    </w:p>
    <w:p w14:paraId="57758D04" w14:textId="77777777" w:rsidR="00267D00" w:rsidRDefault="00267D00" w:rsidP="00267D00">
      <w:pPr>
        <w:spacing w:after="120" w:line="276" w:lineRule="auto"/>
        <w:ind w:firstLine="709"/>
        <w:jc w:val="both"/>
        <w:rPr>
          <w:rFonts w:ascii="Verdana" w:hAnsi="Verdana" w:cs="Arial"/>
          <w:color w:val="000000" w:themeColor="text1"/>
          <w:lang w:eastAsia="es-CO"/>
        </w:rPr>
      </w:pPr>
      <w:r w:rsidRPr="00195E24">
        <w:rPr>
          <w:rFonts w:ascii="Verdana" w:hAnsi="Verdana" w:cs="Arial"/>
          <w:color w:val="000000" w:themeColor="text1"/>
          <w:lang w:val="es-MX"/>
        </w:rPr>
        <w:t>De acuerdo con estos pronunciamientos de la Sala de Consulta y Servicio Civil del Consejo de Estado, la prohibición de la contratación directa también aplica frente a las entidades exceptuadas del E</w:t>
      </w:r>
      <w:r>
        <w:rPr>
          <w:rFonts w:ascii="Verdana" w:hAnsi="Verdana" w:cs="Arial"/>
          <w:color w:val="000000" w:themeColor="text1"/>
          <w:lang w:val="es-MX"/>
        </w:rPr>
        <w:t xml:space="preserve">statuto </w:t>
      </w:r>
      <w:r w:rsidRPr="00195E24">
        <w:rPr>
          <w:rFonts w:ascii="Verdana" w:hAnsi="Verdana" w:cs="Arial"/>
          <w:color w:val="000000" w:themeColor="text1"/>
          <w:lang w:val="es-MX"/>
        </w:rPr>
        <w:t>G</w:t>
      </w:r>
      <w:r>
        <w:rPr>
          <w:rFonts w:ascii="Verdana" w:hAnsi="Verdana" w:cs="Arial"/>
          <w:color w:val="000000" w:themeColor="text1"/>
          <w:lang w:val="es-MX"/>
        </w:rPr>
        <w:t xml:space="preserve">eneral de </w:t>
      </w:r>
      <w:r w:rsidRPr="00195E24">
        <w:rPr>
          <w:rFonts w:ascii="Verdana" w:hAnsi="Verdana" w:cs="Arial"/>
          <w:color w:val="000000" w:themeColor="text1"/>
          <w:lang w:val="es-MX"/>
        </w:rPr>
        <w:t>C</w:t>
      </w:r>
      <w:r>
        <w:rPr>
          <w:rFonts w:ascii="Verdana" w:hAnsi="Verdana" w:cs="Arial"/>
          <w:color w:val="000000" w:themeColor="text1"/>
          <w:lang w:val="es-MX"/>
        </w:rPr>
        <w:t xml:space="preserve">ontratación de la </w:t>
      </w:r>
      <w:r w:rsidRPr="00195E24">
        <w:rPr>
          <w:rFonts w:ascii="Verdana" w:hAnsi="Verdana" w:cs="Arial"/>
          <w:color w:val="000000" w:themeColor="text1"/>
          <w:lang w:val="es-MX"/>
        </w:rPr>
        <w:t>A</w:t>
      </w:r>
      <w:r>
        <w:rPr>
          <w:rFonts w:ascii="Verdana" w:hAnsi="Verdana" w:cs="Arial"/>
          <w:color w:val="000000" w:themeColor="text1"/>
          <w:lang w:val="es-MX"/>
        </w:rPr>
        <w:t xml:space="preserve">dministración </w:t>
      </w:r>
      <w:r w:rsidRPr="00195E24">
        <w:rPr>
          <w:rFonts w:ascii="Verdana" w:hAnsi="Verdana" w:cs="Arial"/>
          <w:color w:val="000000" w:themeColor="text1"/>
          <w:lang w:val="es-MX"/>
        </w:rPr>
        <w:t>P</w:t>
      </w:r>
      <w:r>
        <w:rPr>
          <w:rFonts w:ascii="Verdana" w:hAnsi="Verdana" w:cs="Arial"/>
          <w:color w:val="000000" w:themeColor="text1"/>
          <w:lang w:val="es-MX"/>
        </w:rPr>
        <w:t>ública</w:t>
      </w:r>
      <w:r w:rsidRPr="00195E24">
        <w:rPr>
          <w:rFonts w:ascii="Verdana" w:hAnsi="Verdana" w:cs="Arial"/>
          <w:color w:val="000000" w:themeColor="text1"/>
          <w:lang w:val="es-MX"/>
        </w:rPr>
        <w:t xml:space="preserve"> y que se rigen en materia contractual por el derecho privado. Sin embargo, señaló que algunas de estas entidades, como sucede con las empresas de servicios públicos domiciliarios, los </w:t>
      </w:r>
      <w:r w:rsidRPr="73D21086">
        <w:rPr>
          <w:rFonts w:ascii="Verdana" w:hAnsi="Verdana" w:cs="Arial"/>
          <w:color w:val="000000" w:themeColor="text1"/>
          <w:lang w:val="es-MX"/>
        </w:rPr>
        <w:t>establecimientos de crédito, las sociedades de servicios financieros y las entidades aseguradoras</w:t>
      </w:r>
      <w:r w:rsidRPr="00195E24">
        <w:rPr>
          <w:rFonts w:ascii="Verdana" w:hAnsi="Verdana" w:cs="Arial"/>
          <w:color w:val="000000" w:themeColor="text1"/>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195E24">
        <w:rPr>
          <w:rFonts w:ascii="Verdana" w:hAnsi="Verdana" w:cs="Arial"/>
          <w:color w:val="000000" w:themeColor="text1"/>
          <w:vertAlign w:val="superscript"/>
          <w:lang w:val="es-MX"/>
        </w:rPr>
        <w:footnoteReference w:id="23"/>
      </w:r>
      <w:r w:rsidRPr="00195E24">
        <w:rPr>
          <w:rFonts w:ascii="Verdana" w:hAnsi="Verdana" w:cs="Arial"/>
          <w:color w:val="000000" w:themeColor="text1"/>
          <w:lang w:val="es-MX"/>
        </w:rPr>
        <w:t>.</w:t>
      </w:r>
      <w:r w:rsidRPr="00195E24">
        <w:rPr>
          <w:rFonts w:ascii="Verdana" w:hAnsi="Verdana" w:cs="Arial"/>
          <w:color w:val="000000" w:themeColor="text1"/>
          <w:lang w:eastAsia="es-CO"/>
        </w:rPr>
        <w:t xml:space="preserve"> </w:t>
      </w:r>
    </w:p>
    <w:p w14:paraId="53AFBE80" w14:textId="77777777" w:rsidR="00267D00" w:rsidRPr="00195E24" w:rsidRDefault="00267D00" w:rsidP="00267D00">
      <w:pPr>
        <w:spacing w:after="120" w:line="276" w:lineRule="auto"/>
        <w:ind w:firstLine="709"/>
        <w:jc w:val="both"/>
        <w:rPr>
          <w:rFonts w:ascii="Verdana" w:hAnsi="Verdana" w:cs="Arial"/>
          <w:color w:val="000000" w:themeColor="text1"/>
          <w:lang w:eastAsia="es-CO"/>
        </w:rPr>
      </w:pPr>
      <w:r w:rsidRPr="00CE0D82">
        <w:rPr>
          <w:rFonts w:ascii="Verdana" w:hAnsi="Verdana" w:cs="Arial"/>
          <w:color w:val="000000" w:themeColor="text1"/>
          <w:lang w:eastAsia="es-CO"/>
        </w:rPr>
        <w:t>Sin perjuicio de estos pronunciamientos de la Sala de Consulta y Servicio Civil</w:t>
      </w:r>
      <w:r w:rsidRPr="00CE0D82">
        <w:rPr>
          <w:rFonts w:ascii="Verdana" w:hAnsi="Verdana" w:cs="Arial"/>
          <w:color w:val="000000" w:themeColor="text1"/>
          <w:lang w:val="es-MX"/>
        </w:rPr>
        <w:t xml:space="preserve">, como la ha señalado esa misma Corporación, la restricción prevista en la 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p>
    <w:p w14:paraId="182C0B7F" w14:textId="77777777" w:rsidR="00267D00" w:rsidRPr="00CE0712" w:rsidRDefault="00267D00" w:rsidP="00267D00">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 xml:space="preserve">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6CC1B630" w14:textId="77777777" w:rsidR="00267D00" w:rsidRDefault="00267D00" w:rsidP="00267D00">
      <w:pPr>
        <w:spacing w:after="120" w:line="276" w:lineRule="auto"/>
        <w:ind w:firstLine="709"/>
        <w:jc w:val="both"/>
        <w:rPr>
          <w:rFonts w:ascii="Verdana" w:hAnsi="Verdana" w:cs="Arial"/>
          <w:bCs/>
          <w:lang w:eastAsia="x-none"/>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E36918">
        <w:rPr>
          <w:rFonts w:ascii="Verdana" w:eastAsia="Times New Roman" w:hAnsi="Verdana" w:cs="Arial"/>
          <w:bCs/>
          <w:lang w:val="es-ES" w:eastAsia="es-CO" w:bidi="es-ES"/>
        </w:rPr>
        <w:t>ii</w:t>
      </w:r>
      <w:proofErr w:type="spellEnd"/>
      <w:r w:rsidRPr="00E36918">
        <w:rPr>
          <w:rFonts w:ascii="Verdana" w:eastAsia="Times New Roman" w:hAnsi="Verdana" w:cs="Arial"/>
          <w:bCs/>
          <w:lang w:val="es-ES" w:eastAsia="es-CO" w:bidi="es-ES"/>
        </w:rPr>
        <w:t xml:space="preserve">) los contratos de crédito público; </w:t>
      </w:r>
      <w:proofErr w:type="spellStart"/>
      <w:r w:rsidRPr="00E36918">
        <w:rPr>
          <w:rFonts w:ascii="Verdana" w:eastAsia="Times New Roman" w:hAnsi="Verdana" w:cs="Arial"/>
          <w:bCs/>
          <w:lang w:val="es-ES" w:eastAsia="es-CO" w:bidi="es-ES"/>
        </w:rPr>
        <w:t>iii</w:t>
      </w:r>
      <w:proofErr w:type="spellEnd"/>
      <w:r w:rsidRPr="00E36918">
        <w:rPr>
          <w:rFonts w:ascii="Verdana" w:eastAsia="Times New Roman" w:hAnsi="Verdana" w:cs="Arial"/>
          <w:bCs/>
          <w:lang w:val="es-ES" w:eastAsia="es-CO" w:bidi="es-ES"/>
        </w:rPr>
        <w:t xml:space="preserve">) los requeridos para cubrir las emergencias educativas, sanitarias y desastres; </w:t>
      </w:r>
      <w:proofErr w:type="spellStart"/>
      <w:r w:rsidRPr="00E36918">
        <w:rPr>
          <w:rFonts w:ascii="Verdana" w:eastAsia="Times New Roman" w:hAnsi="Verdana" w:cs="Arial"/>
          <w:bCs/>
          <w:lang w:val="es-ES" w:eastAsia="es-CO" w:bidi="es-ES"/>
        </w:rPr>
        <w:t>iv</w:t>
      </w:r>
      <w:proofErr w:type="spellEnd"/>
      <w:r w:rsidRPr="00E36918">
        <w:rPr>
          <w:rFonts w:ascii="Verdana" w:eastAsia="Times New Roman" w:hAnsi="Verdana" w:cs="Arial"/>
          <w:bCs/>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5E775256" w14:textId="77777777" w:rsidR="00267D00" w:rsidRDefault="00267D00" w:rsidP="00267D00">
      <w:pPr>
        <w:spacing w:after="120" w:line="276" w:lineRule="auto"/>
        <w:ind w:firstLine="709"/>
        <w:jc w:val="both"/>
        <w:rPr>
          <w:rFonts w:ascii="Verdana" w:hAnsi="Verdana" w:cs="Arial"/>
          <w:bCs/>
          <w:lang w:val="es-MX" w:eastAsia="x-none"/>
        </w:rPr>
      </w:pPr>
      <w:r w:rsidRPr="00F8199A">
        <w:rPr>
          <w:rFonts w:ascii="Verdana" w:hAnsi="Verdana" w:cs="Arial"/>
          <w:bCs/>
          <w:lang w:val="es-MX" w:eastAsia="x-none"/>
        </w:rPr>
        <w:t xml:space="preserve">En esta labor es importante tener en cuenta, como lo anotó la Corte Constitucional, en Sentencia C-1153 de noviembre 11 de 2005 </w:t>
      </w:r>
      <w:bookmarkStart w:id="18" w:name="_Hlk74309042"/>
      <w:r w:rsidRPr="00F8199A">
        <w:rPr>
          <w:rFonts w:ascii="Verdana" w:hAnsi="Verdana" w:cs="Arial"/>
          <w:bCs/>
          <w:lang w:val="es-MX" w:eastAsia="x-none"/>
        </w:rPr>
        <w:t xml:space="preserve">que </w:t>
      </w:r>
      <w:r>
        <w:rPr>
          <w:rFonts w:ascii="Verdana" w:hAnsi="Verdana" w:cs="Arial"/>
          <w:bCs/>
          <w:lang w:val="es-MX" w:eastAsia="x-none"/>
        </w:rPr>
        <w:t>“</w:t>
      </w:r>
      <w:bookmarkEnd w:id="18"/>
      <w:r w:rsidRPr="00F8199A">
        <w:rPr>
          <w:rFonts w:ascii="Verdana" w:hAnsi="Verdana" w:cs="Arial"/>
          <w:bCs/>
          <w:lang w:val="es-MX" w:eastAsia="x-none"/>
        </w:rPr>
        <w:t xml:space="preserve">si bien la limitación garantiza la igualdad de condiciones, también es necesario que tal limitación que pretende la igualdad </w:t>
      </w:r>
      <w:bookmarkStart w:id="19" w:name="_Hlk75768308"/>
      <w:r w:rsidRPr="00F8199A">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bCs/>
          <w:lang w:val="es-MX" w:eastAsia="x-none"/>
        </w:rPr>
        <w:t>”</w:t>
      </w:r>
      <w:r w:rsidRPr="00F8199A">
        <w:rPr>
          <w:rFonts w:ascii="Verdana" w:hAnsi="Verdana" w:cs="Arial"/>
          <w:vertAlign w:val="superscript"/>
          <w:lang w:val="es-MX"/>
        </w:rPr>
        <w:footnoteReference w:id="24"/>
      </w:r>
      <w:r w:rsidRPr="00F8199A">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9"/>
    </w:p>
    <w:p w14:paraId="229E93AC" w14:textId="77777777" w:rsidR="00267D00" w:rsidRPr="0004207F" w:rsidRDefault="00267D00" w:rsidP="00267D00">
      <w:pPr>
        <w:shd w:val="clear" w:color="auto" w:fill="FFFFFF" w:themeFill="background1"/>
        <w:spacing w:after="120" w:line="276" w:lineRule="auto"/>
        <w:ind w:firstLine="709"/>
        <w:jc w:val="both"/>
        <w:rPr>
          <w:rFonts w:ascii="Verdana" w:hAnsi="Verdana" w:cs="Arial"/>
          <w:lang w:val="es-ES" w:eastAsia="es-CO"/>
        </w:rPr>
      </w:pPr>
      <w:r w:rsidRPr="2E79A5E2">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w:t>
      </w:r>
      <w:proofErr w:type="spellStart"/>
      <w:r w:rsidRPr="2E79A5E2">
        <w:rPr>
          <w:rFonts w:ascii="Verdana" w:hAnsi="Verdana" w:cs="Arial"/>
          <w:lang w:val="es-ES" w:eastAsia="es-CO"/>
        </w:rPr>
        <w:t>exequibilidad</w:t>
      </w:r>
      <w:proofErr w:type="spellEnd"/>
      <w:r w:rsidRPr="2E79A5E2">
        <w:rPr>
          <w:rFonts w:ascii="Verdana" w:hAnsi="Verdana" w:cs="Arial"/>
          <w:lang w:val="es-ES" w:eastAsia="es-CO"/>
        </w:rPr>
        <w:t>. Así, por ejemplo, la Corte Constitucional explicó que “</w:t>
      </w:r>
      <w:r>
        <w:rPr>
          <w:rFonts w:ascii="Verdana" w:hAnsi="Verdana" w:cs="Arial"/>
          <w:lang w:val="es-ES" w:eastAsia="es-CO"/>
        </w:rPr>
        <w:t>(…)</w:t>
      </w:r>
      <w:r w:rsidRPr="2E79A5E2">
        <w:rPr>
          <w:rFonts w:ascii="Verdana" w:hAnsi="Verdana" w:cs="Arial"/>
          <w:lang w:val="es-ES" w:eastAsia="es-CO"/>
        </w:rPr>
        <w:t xml:space="preserve">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2E79A5E2">
        <w:rPr>
          <w:rStyle w:val="Refdenotaalpie"/>
          <w:rFonts w:ascii="Verdana" w:hAnsi="Verdana" w:cs="Arial"/>
          <w:lang w:val="es-ES" w:eastAsia="es-CO"/>
        </w:rPr>
        <w:footnoteReference w:id="25"/>
      </w:r>
      <w:r w:rsidRPr="2E79A5E2">
        <w:rPr>
          <w:rFonts w:ascii="Verdana" w:hAnsi="Verdana" w:cs="Arial"/>
          <w:lang w:val="es-ES" w:eastAsia="es-CO"/>
        </w:rPr>
        <w:t xml:space="preserve">. </w:t>
      </w:r>
    </w:p>
    <w:p w14:paraId="3893EC93" w14:textId="77777777" w:rsidR="00267D00" w:rsidRPr="0004207F" w:rsidRDefault="00267D00" w:rsidP="00267D00">
      <w:pPr>
        <w:spacing w:after="120" w:line="276" w:lineRule="auto"/>
        <w:ind w:firstLine="709"/>
        <w:jc w:val="both"/>
        <w:rPr>
          <w:rFonts w:ascii="Verdana" w:hAnsi="Verdana" w:cs="Arial"/>
          <w:lang w:val="es-ES" w:eastAsia="es-CO"/>
        </w:rPr>
      </w:pPr>
      <w:r>
        <w:rPr>
          <w:rFonts w:ascii="Verdana" w:hAnsi="Verdana" w:cs="Arial"/>
          <w:bCs/>
          <w:lang w:val="es-MX" w:eastAsia="x-none"/>
        </w:rPr>
        <w:t>Igualmente,</w:t>
      </w:r>
      <w:r w:rsidRPr="0004207F">
        <w:rPr>
          <w:rFonts w:ascii="Verdana" w:hAnsi="Verdana" w:cs="Arial"/>
          <w:bCs/>
          <w:lang w:val="es-MX" w:eastAsia="x-none"/>
        </w:rPr>
        <w:t xml:space="preserve"> </w:t>
      </w:r>
      <w:r>
        <w:rPr>
          <w:rFonts w:ascii="Verdana" w:hAnsi="Verdana" w:cs="Arial"/>
          <w:bCs/>
          <w:lang w:val="es-MX" w:eastAsia="x-none"/>
        </w:rPr>
        <w:t>l</w:t>
      </w:r>
      <w:r w:rsidRPr="0004207F">
        <w:rPr>
          <w:rFonts w:ascii="Verdana" w:hAnsi="Verdana" w:cs="Arial"/>
          <w:bCs/>
          <w:lang w:val="es-MX" w:eastAsia="x-none"/>
        </w:rPr>
        <w:t>a Sala de Consulta y Servicio Civil del Consejo de Estado, en Concepto del 4 de febrero de 2010, explica que “</w:t>
      </w:r>
      <w:r>
        <w:rPr>
          <w:rFonts w:ascii="Verdana" w:hAnsi="Verdana" w:cs="Arial"/>
          <w:bCs/>
          <w:lang w:val="es-MX" w:eastAsia="x-none"/>
        </w:rPr>
        <w:t>(…)</w:t>
      </w:r>
      <w:r w:rsidRPr="0004207F">
        <w:rPr>
          <w:rFonts w:ascii="Verdana" w:hAnsi="Verdana" w:cs="Arial"/>
          <w:bCs/>
          <w:lang w:val="es-MX" w:eastAsia="x-none"/>
        </w:rPr>
        <w:t xml:space="preserve"> Las excepciones establecidas en los artículos 32 y 33 en comento, guardan relación, exclusivamente, con algunos servicios públicos que por su naturaleza no admiten postergaciones en la atención de sus necesidades de personal, bienes y servicios </w:t>
      </w:r>
      <w:r>
        <w:rPr>
          <w:rFonts w:ascii="Verdana" w:hAnsi="Verdana" w:cs="Arial"/>
          <w:bCs/>
          <w:lang w:val="es-MX" w:eastAsia="x-none"/>
        </w:rPr>
        <w:t>(…)</w:t>
      </w:r>
      <w:r w:rsidRPr="0004207F">
        <w:rPr>
          <w:rFonts w:ascii="Verdana" w:hAnsi="Verdana" w:cs="Arial"/>
          <w:bCs/>
          <w:lang w:val="es-MX" w:eastAsia="x-none"/>
        </w:rPr>
        <w:t>”</w:t>
      </w:r>
      <w:r w:rsidRPr="0004207F">
        <w:rPr>
          <w:rStyle w:val="Refdenotaalpie"/>
          <w:rFonts w:ascii="Verdana" w:hAnsi="Verdana" w:cs="Arial"/>
          <w:lang w:val="es-ES_tradnl" w:eastAsia="es-CO"/>
        </w:rPr>
        <w:footnoteReference w:id="26"/>
      </w:r>
      <w:r w:rsidRPr="0004207F">
        <w:rPr>
          <w:rFonts w:ascii="Verdana" w:hAnsi="Verdana" w:cs="Arial"/>
          <w:bCs/>
          <w:lang w:val="es-MX" w:eastAsia="x-none"/>
        </w:rPr>
        <w:t>.</w:t>
      </w:r>
    </w:p>
    <w:p w14:paraId="1DE79AFF" w14:textId="77777777" w:rsidR="00267D00" w:rsidRDefault="00267D00" w:rsidP="00267D00">
      <w:pPr>
        <w:shd w:val="clear" w:color="auto" w:fill="FFFFFF"/>
        <w:spacing w:after="120" w:line="276" w:lineRule="auto"/>
        <w:ind w:firstLine="709"/>
        <w:jc w:val="both"/>
        <w:rPr>
          <w:rFonts w:ascii="Verdana" w:hAnsi="Verdana" w:cs="Arial"/>
          <w:bCs/>
          <w:lang w:val="es-ES_tradnl"/>
        </w:rPr>
      </w:pPr>
      <w:r w:rsidRPr="0004207F">
        <w:rPr>
          <w:rFonts w:ascii="Verdana" w:hAnsi="Verdana" w:cs="Arial"/>
          <w:bCs/>
          <w:lang w:val="es-ES_tradnl"/>
        </w:rPr>
        <w:t>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5931E913" w14:textId="77777777" w:rsidR="00267D00" w:rsidRDefault="00267D00" w:rsidP="00267D00">
      <w:pPr>
        <w:spacing w:after="120" w:line="276" w:lineRule="auto"/>
        <w:ind w:firstLine="709"/>
        <w:jc w:val="both"/>
        <w:rPr>
          <w:rFonts w:ascii="Verdana" w:eastAsia="Calibri" w:hAnsi="Verdana" w:cs="Arial"/>
          <w:lang w:val="es-ES"/>
        </w:rPr>
      </w:pPr>
      <w:r>
        <w:rPr>
          <w:rFonts w:ascii="Verdana" w:hAnsi="Verdana" w:cs="Arial"/>
          <w:lang w:val="es-ES"/>
        </w:rPr>
        <w:t>En segundo lugar</w:t>
      </w:r>
      <w:r w:rsidRPr="00B91291">
        <w:rPr>
          <w:rFonts w:ascii="Verdana" w:hAnsi="Verdana" w:cs="Arial"/>
          <w:lang w:val="es-ES"/>
        </w:rPr>
        <w:t xml:space="preserve">, respecto del alcance del parágrafo </w:t>
      </w:r>
      <w:r w:rsidRPr="00B91291">
        <w:rPr>
          <w:rFonts w:ascii="Verdana" w:hAnsi="Verdana" w:cs="Arial"/>
        </w:rPr>
        <w:t xml:space="preserve">del artículo 38 de la Ley 996 de 2005, esta prohibición dispone en primera medida que: “[l]os Gobernadores, Alcaldes Municipales y/o Distritales, Secretarios, Gerentes y directores de Entidades Descentralizadas del orden Municipal, Departamental o Distrital, dentro de los cuatro (4) meses anteriores a las elecciones, no podrán celebrar </w:t>
      </w:r>
      <w:r w:rsidRPr="00B91291">
        <w:rPr>
          <w:rFonts w:ascii="Verdana" w:hAnsi="Verdana" w:cs="Arial"/>
          <w:i/>
          <w:iCs/>
        </w:rPr>
        <w:t>convenios interadministrativos</w:t>
      </w:r>
      <w:r w:rsidRPr="00B91291">
        <w:rPr>
          <w:rFonts w:ascii="Verdana" w:hAnsi="Verdana" w:cs="Arial"/>
        </w:rPr>
        <w:t xml:space="preserve"> </w:t>
      </w:r>
      <w:r w:rsidRPr="00B91291">
        <w:rPr>
          <w:rFonts w:ascii="Verdana" w:hAnsi="Verdana" w:cs="Arial"/>
          <w:i/>
          <w:iCs/>
        </w:rPr>
        <w:t>para la ejecución de recursos públicos</w:t>
      </w:r>
      <w:r w:rsidRPr="00B91291">
        <w:rPr>
          <w:rFonts w:ascii="Verdana" w:hAnsi="Verdana" w:cs="Arial"/>
        </w:rPr>
        <w:t>”.</w:t>
      </w:r>
      <w:r w:rsidRPr="00B91291">
        <w:rPr>
          <w:rFonts w:ascii="Verdana" w:eastAsia="Times New Roman" w:hAnsi="Verdana" w:cs="Arial"/>
          <w:lang w:val="es-MX" w:eastAsia="x-none"/>
        </w:rPr>
        <w:t xml:space="preserve"> </w:t>
      </w:r>
      <w:r>
        <w:rPr>
          <w:rFonts w:ascii="Verdana" w:eastAsia="Times New Roman" w:hAnsi="Verdana" w:cs="Arial"/>
          <w:lang w:val="es-MX" w:eastAsia="x-none"/>
        </w:rPr>
        <w:t>(</w:t>
      </w:r>
      <w:r w:rsidRPr="00B91291">
        <w:rPr>
          <w:rFonts w:ascii="Verdana" w:eastAsia="Times New Roman" w:hAnsi="Verdana" w:cs="Arial"/>
          <w:lang w:val="es-MX" w:eastAsia="x-none"/>
        </w:rPr>
        <w:t>Énfasis fuera del texto original</w:t>
      </w:r>
      <w:r>
        <w:rPr>
          <w:rFonts w:ascii="Verdana" w:eastAsia="Times New Roman" w:hAnsi="Verdana" w:cs="Arial"/>
          <w:lang w:val="es-MX" w:eastAsia="x-none"/>
        </w:rPr>
        <w:t>)</w:t>
      </w:r>
    </w:p>
    <w:p w14:paraId="6AC75FD5" w14:textId="77777777" w:rsidR="00267D00" w:rsidRDefault="00267D00" w:rsidP="00267D00">
      <w:pPr>
        <w:spacing w:after="120" w:line="276" w:lineRule="auto"/>
        <w:ind w:firstLine="709"/>
        <w:jc w:val="both"/>
        <w:rPr>
          <w:rFonts w:ascii="Verdana" w:eastAsia="Calibri" w:hAnsi="Verdana" w:cs="Arial"/>
          <w:lang w:val="es-ES"/>
        </w:rPr>
      </w:pPr>
      <w:r w:rsidRPr="00B91291">
        <w:rPr>
          <w:rFonts w:ascii="Verdana" w:eastAsia="Times New Roman" w:hAnsi="Verdana" w:cs="Arial"/>
          <w:lang w:val="es-ES" w:eastAsia="es-ES"/>
        </w:rPr>
        <w:t xml:space="preserve">Para tales efectos, debe precisarse que </w:t>
      </w:r>
      <w:r w:rsidRPr="00B91291">
        <w:rPr>
          <w:rFonts w:ascii="Verdana" w:eastAsia="Times New Roman" w:hAnsi="Verdana" w:cs="Arial"/>
          <w:color w:val="000000" w:themeColor="text1"/>
          <w:lang w:val="es-ES" w:eastAsia="es-CO"/>
        </w:rPr>
        <w:t>los contratos o convenios interadministrativos están determinados</w:t>
      </w:r>
      <w:r w:rsidRPr="00667CD6">
        <w:rPr>
          <w:rFonts w:ascii="Verdana" w:eastAsia="Times New Roman" w:hAnsi="Verdana" w:cs="Arial"/>
          <w:color w:val="000000" w:themeColor="text1"/>
          <w:lang w:val="es-ES" w:eastAsia="es-CO"/>
        </w:rPr>
        <w:t xml:space="preserve"> por un criterio orgánico, pues es necesario que los extremos de la relación contractual sean entidades públicas, </w:t>
      </w:r>
      <w:r w:rsidRPr="00667CD6">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27"/>
      </w:r>
      <w:r w:rsidRPr="00667CD6">
        <w:rPr>
          <w:rFonts w:ascii="Verdana" w:hAnsi="Verdana" w:cs="Arial"/>
          <w:lang w:eastAsia="es-ES"/>
        </w:rPr>
        <w:t>.</w:t>
      </w:r>
    </w:p>
    <w:p w14:paraId="7DB457BA" w14:textId="77777777" w:rsidR="00267D00" w:rsidRPr="00AD17FF" w:rsidRDefault="00267D00" w:rsidP="00267D00">
      <w:pPr>
        <w:spacing w:after="120" w:line="276" w:lineRule="auto"/>
        <w:ind w:firstLine="709"/>
        <w:jc w:val="both"/>
        <w:rPr>
          <w:rFonts w:ascii="Verdana" w:eastAsia="Calibri" w:hAnsi="Verdana" w:cs="Arial"/>
          <w:lang w:val="es-ES"/>
        </w:rPr>
      </w:pPr>
      <w:r w:rsidRPr="00667CD6">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0A966366" w14:textId="77777777" w:rsidR="00267D00" w:rsidRPr="00667CD6" w:rsidRDefault="00267D00" w:rsidP="00267D00">
      <w:pPr>
        <w:spacing w:after="120" w:line="276" w:lineRule="auto"/>
        <w:ind w:firstLine="708"/>
        <w:jc w:val="both"/>
        <w:rPr>
          <w:rFonts w:ascii="Verdana" w:hAnsi="Verdana" w:cs="Arial"/>
          <w:lang w:val="es-ES_tradnl"/>
        </w:rPr>
      </w:pPr>
      <w:r w:rsidRPr="2035D652">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2035D652">
        <w:rPr>
          <w:rFonts w:ascii="Verdana" w:hAnsi="Verdana" w:cs="Arial"/>
          <w:vertAlign w:val="superscript"/>
          <w:lang w:val="es-ES"/>
        </w:rPr>
        <w:footnoteReference w:id="28"/>
      </w:r>
      <w:r w:rsidRPr="2035D652">
        <w:rPr>
          <w:rFonts w:ascii="Verdana" w:hAnsi="Verdana" w:cs="Arial"/>
          <w:lang w:val="es-ES"/>
        </w:rPr>
        <w:t>. Nótese que, en este caso, lo que cambia es la modalidad de selección y no la naturaleza de contrato interadministrativo.</w:t>
      </w:r>
    </w:p>
    <w:p w14:paraId="466FF807" w14:textId="77777777" w:rsidR="00267D00" w:rsidRPr="00667CD6" w:rsidRDefault="00267D00" w:rsidP="00267D00">
      <w:pPr>
        <w:spacing w:after="120" w:line="276" w:lineRule="auto"/>
        <w:ind w:firstLine="709"/>
        <w:jc w:val="both"/>
        <w:rPr>
          <w:rFonts w:ascii="Verdana" w:hAnsi="Verdana" w:cs="Arial"/>
          <w:lang w:val="es-ES_tradnl"/>
        </w:rPr>
      </w:pPr>
      <w:r w:rsidRPr="2035D652">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29"/>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508AF251" w14:textId="77777777" w:rsidR="00267D00" w:rsidRPr="00B8078E" w:rsidRDefault="00267D00" w:rsidP="00267D00">
      <w:pPr>
        <w:spacing w:after="120" w:line="276" w:lineRule="auto"/>
        <w:ind w:firstLine="709"/>
        <w:jc w:val="both"/>
        <w:rPr>
          <w:rFonts w:ascii="Verdana" w:hAnsi="Verdana"/>
          <w:lang w:eastAsia="es-CO"/>
        </w:rPr>
      </w:pPr>
      <w:r w:rsidRPr="2035D652">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2035D652">
        <w:rPr>
          <w:rFonts w:ascii="Verdana" w:hAnsi="Verdana" w:cs="Arial"/>
          <w:vertAlign w:val="superscript"/>
          <w:lang w:val="es-ES"/>
        </w:rPr>
        <w:footnoteReference w:id="30"/>
      </w:r>
      <w:r w:rsidRPr="2035D652">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B8078E">
        <w:rPr>
          <w:rFonts w:ascii="Verdana" w:hAnsi="Verdana"/>
          <w:lang w:eastAsia="es-CO"/>
        </w:rPr>
        <w:t>.</w:t>
      </w:r>
    </w:p>
    <w:p w14:paraId="7D7EFC17" w14:textId="77777777" w:rsidR="00267D00" w:rsidRDefault="00267D00" w:rsidP="00267D00">
      <w:pPr>
        <w:spacing w:after="120" w:line="276" w:lineRule="auto"/>
        <w:ind w:firstLine="709"/>
        <w:jc w:val="both"/>
        <w:rPr>
          <w:rFonts w:ascii="Verdana" w:eastAsia="Times New Roman" w:hAnsi="Verdana" w:cs="Arial"/>
          <w:lang w:val="es-MX" w:eastAsia="es-CO"/>
        </w:rPr>
      </w:pPr>
      <w:r w:rsidRPr="00667CD6">
        <w:rPr>
          <w:rFonts w:ascii="Verdana" w:eastAsia="Arial" w:hAnsi="Verdana" w:cs="Arial"/>
          <w:lang w:val="es-MX" w:eastAsia="es-ES" w:bidi="es-ES"/>
        </w:rPr>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w:t>
      </w:r>
      <w:r>
        <w:rPr>
          <w:rFonts w:ascii="Verdana" w:eastAsia="Times New Roman" w:hAnsi="Verdana" w:cs="Arial"/>
          <w:lang w:val="es-MX" w:eastAsia="es-CO"/>
        </w:rPr>
        <w:t xml:space="preserve">es decir, </w:t>
      </w:r>
      <w:r w:rsidRPr="00E60AD8">
        <w:rPr>
          <w:rFonts w:ascii="Verdana" w:eastAsia="Times New Roman" w:hAnsi="Verdana" w:cs="Arial"/>
          <w:lang w:eastAsia="es-CO"/>
        </w:rPr>
        <w:t>alcaldías, gobernaciones, secretarías de despacho, así como entidades</w:t>
      </w:r>
      <w:r>
        <w:rPr>
          <w:rFonts w:ascii="Verdana" w:eastAsia="Times New Roman" w:hAnsi="Verdana" w:cs="Arial"/>
          <w:lang w:eastAsia="es-CO"/>
        </w:rPr>
        <w:t xml:space="preserve"> descentralizadas por servicios del orden municipal, departamental o distrital</w:t>
      </w:r>
      <w:r w:rsidRPr="00E60AD8">
        <w:rPr>
          <w:rFonts w:ascii="Verdana" w:eastAsia="Times New Roman" w:hAnsi="Verdana" w:cs="Arial"/>
          <w:lang w:eastAsia="es-CO"/>
        </w:rPr>
        <w:t xml:space="preserve"> </w:t>
      </w:r>
      <w:r w:rsidRPr="00667CD6">
        <w:rPr>
          <w:rFonts w:ascii="Verdana" w:eastAsia="Times New Roman" w:hAnsi="Verdana" w:cs="Arial"/>
          <w:lang w:val="es-MX" w:eastAsia="es-CO"/>
        </w:rPr>
        <w:t xml:space="preserve">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w:t>
      </w:r>
      <w:r>
        <w:rPr>
          <w:rFonts w:ascii="Verdana" w:eastAsia="Times New Roman" w:hAnsi="Verdana" w:cs="Arial"/>
          <w:lang w:val="es-MX" w:eastAsia="es-CO"/>
        </w:rPr>
        <w:t xml:space="preserve">se refiere </w:t>
      </w:r>
      <w:r w:rsidRPr="00667CD6">
        <w:rPr>
          <w:rFonts w:ascii="Verdana" w:eastAsia="Times New Roman" w:hAnsi="Verdana" w:cs="Arial"/>
          <w:lang w:val="es-MX" w:eastAsia="es-CO"/>
        </w:rPr>
        <w:t xml:space="preserve">a dicha tipología contractual sin que el legislador hubiere contemplado un efecto extensivo a otra tipología. </w:t>
      </w:r>
    </w:p>
    <w:p w14:paraId="0B9A096D" w14:textId="77777777" w:rsidR="00267D00" w:rsidRDefault="00267D00" w:rsidP="00267D00">
      <w:pPr>
        <w:spacing w:after="120" w:line="276" w:lineRule="auto"/>
        <w:ind w:firstLine="709"/>
        <w:jc w:val="both"/>
        <w:rPr>
          <w:rFonts w:ascii="Verdana" w:eastAsia="Times New Roman" w:hAnsi="Verdana" w:cs="Arial"/>
          <w:lang w:eastAsia="es-CO"/>
        </w:rPr>
      </w:pPr>
      <w:r w:rsidRPr="00667CD6">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667CD6">
        <w:rPr>
          <w:rFonts w:ascii="Verdana" w:eastAsia="Times New Roman" w:hAnsi="Verdana" w:cs="Arial"/>
          <w:lang w:val="es-MX" w:eastAsia="es-CO"/>
        </w:rPr>
        <w:t>ii</w:t>
      </w:r>
      <w:proofErr w:type="spellEnd"/>
      <w:r w:rsidRPr="00667CD6">
        <w:rPr>
          <w:rFonts w:ascii="Verdana" w:eastAsia="Times New Roman" w:hAnsi="Verdana" w:cs="Arial"/>
          <w:lang w:val="es-MX" w:eastAsia="es-CO"/>
        </w:rPr>
        <w:t xml:space="preserve">) y </w:t>
      </w:r>
      <w:proofErr w:type="spellStart"/>
      <w:r w:rsidRPr="00667CD6">
        <w:rPr>
          <w:rFonts w:ascii="Verdana" w:eastAsia="Times New Roman" w:hAnsi="Verdana" w:cs="Arial"/>
          <w:lang w:val="es-MX" w:eastAsia="es-CO"/>
        </w:rPr>
        <w:t>iv</w:t>
      </w:r>
      <w:proofErr w:type="spellEnd"/>
      <w:r w:rsidRPr="00667CD6">
        <w:rPr>
          <w:rFonts w:ascii="Verdana" w:eastAsia="Times New Roman" w:hAnsi="Verdana" w:cs="Arial"/>
          <w:lang w:val="es-MX" w:eastAsia="es-CO"/>
        </w:rPr>
        <w:t>)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667CD6">
        <w:rPr>
          <w:rFonts w:ascii="Verdana" w:eastAsia="Times New Roman" w:hAnsi="Verdana" w:cs="Arial"/>
          <w:lang w:eastAsia="es-CO"/>
        </w:rPr>
        <w:t xml:space="preserve"> </w:t>
      </w:r>
    </w:p>
    <w:p w14:paraId="2F6852DF" w14:textId="77777777" w:rsidR="00267D00" w:rsidRPr="00667CD6" w:rsidRDefault="00267D00" w:rsidP="00267D00">
      <w:pPr>
        <w:spacing w:after="120" w:line="276" w:lineRule="auto"/>
        <w:ind w:firstLine="709"/>
        <w:jc w:val="both"/>
        <w:rPr>
          <w:rFonts w:ascii="Verdana" w:eastAsia="Times New Roman" w:hAnsi="Verdana" w:cs="Arial"/>
          <w:lang w:eastAsia="es-CO"/>
        </w:rPr>
      </w:pPr>
      <w:r w:rsidRPr="00667CD6">
        <w:rPr>
          <w:rFonts w:ascii="Verdana" w:eastAsia="Times New Roman" w:hAnsi="Verdana" w:cs="Arial"/>
          <w:lang w:eastAsia="es-CO"/>
        </w:rPr>
        <w:t xml:space="preserve">Sin embargo, el ámbito de aplicación de la restricción prevista en el parágrafo del artículo 38 de la Ley 996 de 2005 </w:t>
      </w:r>
      <w:r>
        <w:rPr>
          <w:rFonts w:ascii="Verdana" w:eastAsia="Times New Roman" w:hAnsi="Verdana" w:cs="Arial"/>
          <w:lang w:eastAsia="es-CO"/>
        </w:rPr>
        <w:t>comprende</w:t>
      </w:r>
      <w:r w:rsidRPr="00667CD6">
        <w:rPr>
          <w:rFonts w:ascii="Verdana" w:eastAsia="Times New Roman" w:hAnsi="Verdana" w:cs="Arial"/>
          <w:lang w:eastAsia="es-CO"/>
        </w:rPr>
        <w:t xml:space="preserv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w:t>
      </w:r>
      <w:r>
        <w:rPr>
          <w:rFonts w:ascii="Verdana" w:eastAsia="Times New Roman" w:hAnsi="Verdana" w:cs="Arial"/>
          <w:lang w:eastAsia="es-CO"/>
        </w:rPr>
        <w:t>exista</w:t>
      </w:r>
      <w:r w:rsidRPr="00667CD6">
        <w:rPr>
          <w:rFonts w:ascii="Verdana" w:eastAsia="Times New Roman" w:hAnsi="Verdana" w:cs="Arial"/>
          <w:lang w:eastAsia="es-CO"/>
        </w:rPr>
        <w:t xml:space="preserve"> </w:t>
      </w:r>
      <w:r w:rsidRPr="00667CD6">
        <w:rPr>
          <w:rFonts w:ascii="Verdana" w:eastAsia="Times New Roman" w:hAnsi="Verdana" w:cs="Arial"/>
          <w:i/>
          <w:iCs/>
          <w:lang w:eastAsia="es-CO"/>
        </w:rPr>
        <w:t>ejecución de recursos públicos</w:t>
      </w:r>
      <w:r>
        <w:rPr>
          <w:rFonts w:ascii="Verdana" w:eastAsia="Times New Roman" w:hAnsi="Verdana" w:cs="Arial"/>
          <w:lang w:eastAsia="es-CO"/>
        </w:rPr>
        <w:t>, sin importar de que estos sean en dinero o en especie, ya que la norma no distingue</w:t>
      </w:r>
      <w:r w:rsidRPr="00667CD6">
        <w:rPr>
          <w:rFonts w:ascii="Verdana" w:eastAsia="Times New Roman" w:hAnsi="Verdana" w:cs="Arial"/>
          <w:lang w:eastAsia="es-CO"/>
        </w:rPr>
        <w:t xml:space="preserve">. </w:t>
      </w:r>
      <w:r w:rsidRPr="00C016C8">
        <w:rPr>
          <w:rFonts w:ascii="Verdana" w:eastAsia="Times New Roman" w:hAnsi="Verdana" w:cs="Arial"/>
          <w:lang w:val="es-ES" w:eastAsia="es-CO"/>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Pr>
          <w:rStyle w:val="Refdenotaalpie"/>
          <w:rFonts w:ascii="Verdana" w:hAnsi="Verdana" w:cs="Arial"/>
          <w:lang w:val="es-ES"/>
        </w:rPr>
        <w:footnoteReference w:id="31"/>
      </w:r>
      <w:r>
        <w:rPr>
          <w:rFonts w:ascii="Verdana" w:eastAsia="Times New Roman" w:hAnsi="Verdana" w:cs="Arial"/>
          <w:lang w:val="es-ES" w:eastAsia="es-CO"/>
        </w:rPr>
        <w:t>.</w:t>
      </w:r>
      <w:r w:rsidRPr="00667CD6">
        <w:rPr>
          <w:rFonts w:ascii="Verdana" w:eastAsia="Times New Roman" w:hAnsi="Verdana" w:cs="Arial"/>
          <w:lang w:eastAsia="es-CO"/>
        </w:rPr>
        <w:t xml:space="preserve"> </w:t>
      </w:r>
      <w:r>
        <w:rPr>
          <w:rFonts w:ascii="Verdana" w:eastAsia="Times New Roman" w:hAnsi="Verdana" w:cs="Arial"/>
          <w:lang w:eastAsia="es-CO"/>
        </w:rPr>
        <w:t xml:space="preserve">Por ello, en el Concepto </w:t>
      </w:r>
      <w:r w:rsidRPr="00C016C8">
        <w:rPr>
          <w:rFonts w:ascii="Verdana" w:eastAsia="Times New Roman" w:hAnsi="Verdana" w:cs="Arial"/>
          <w:lang w:eastAsia="es-CO"/>
        </w:rPr>
        <w:t>2201913000006634</w:t>
      </w:r>
      <w:r>
        <w:rPr>
          <w:rFonts w:ascii="Verdana" w:eastAsia="Times New Roman" w:hAnsi="Verdana" w:cs="Arial"/>
          <w:lang w:eastAsia="es-CO"/>
        </w:rPr>
        <w:t xml:space="preserve"> del 6 de septiembre de 2019, la Agencia sostuvo que la ejecución de recursos no se agota en el “[…] </w:t>
      </w:r>
      <w:r w:rsidRPr="00C016C8">
        <w:rPr>
          <w:rFonts w:ascii="Verdana" w:eastAsia="Times New Roman" w:hAnsi="Verdana" w:cs="Arial"/>
          <w:lang w:eastAsia="es-CO"/>
        </w:rPr>
        <w:t>el dinero que integra el ciclo presupuestal de la entidad</w:t>
      </w:r>
      <w:r>
        <w:rPr>
          <w:rFonts w:ascii="Verdana" w:eastAsia="Times New Roman" w:hAnsi="Verdana" w:cs="Arial"/>
          <w:lang w:eastAsia="es-CO"/>
        </w:rPr>
        <w:t xml:space="preserve"> […]”, pues “[…] </w:t>
      </w:r>
      <w:r w:rsidRPr="00C016C8">
        <w:rPr>
          <w:rFonts w:ascii="Verdana" w:eastAsia="Times New Roman" w:hAnsi="Verdana" w:cs="Arial"/>
          <w:lang w:eastAsia="es-CO"/>
        </w:rPr>
        <w:t xml:space="preserve">también los bienes muebles, inmuebles y personal hacen parte del concepto de </w:t>
      </w:r>
      <w:r>
        <w:rPr>
          <w:rFonts w:ascii="Verdana" w:eastAsia="Times New Roman" w:hAnsi="Verdana" w:cs="Arial"/>
          <w:lang w:eastAsia="es-CO"/>
        </w:rPr>
        <w:t>‘</w:t>
      </w:r>
      <w:r w:rsidRPr="00C016C8">
        <w:rPr>
          <w:rFonts w:ascii="Verdana" w:eastAsia="Times New Roman" w:hAnsi="Verdana" w:cs="Arial"/>
          <w:lang w:eastAsia="es-CO"/>
        </w:rPr>
        <w:t>recursos públicos</w:t>
      </w:r>
      <w:r>
        <w:rPr>
          <w:rFonts w:ascii="Verdana" w:eastAsia="Times New Roman" w:hAnsi="Verdana" w:cs="Arial"/>
          <w:lang w:eastAsia="es-CO"/>
        </w:rPr>
        <w:t>’”.</w:t>
      </w:r>
    </w:p>
    <w:p w14:paraId="503FF84C" w14:textId="77777777" w:rsidR="00267D00" w:rsidRPr="00667CD6" w:rsidRDefault="00267D00" w:rsidP="00267D00">
      <w:pPr>
        <w:spacing w:after="120" w:line="276" w:lineRule="auto"/>
        <w:ind w:firstLine="709"/>
        <w:jc w:val="both"/>
        <w:rPr>
          <w:rFonts w:ascii="Verdana" w:eastAsia="Times New Roman" w:hAnsi="Verdana" w:cs="Arial"/>
          <w:lang w:eastAsia="es-CO"/>
        </w:rPr>
      </w:pPr>
      <w:r w:rsidRPr="00667CD6">
        <w:rPr>
          <w:rFonts w:ascii="Verdana" w:eastAsia="Times New Roman" w:hAnsi="Verdana" w:cs="Arial"/>
          <w:lang w:eastAsia="es-CO"/>
        </w:rPr>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independientemente de que se configure 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w:t>
      </w:r>
      <w:proofErr w:type="spellStart"/>
      <w:r w:rsidRPr="00667CD6">
        <w:rPr>
          <w:rFonts w:ascii="Verdana" w:hAnsi="Verdana" w:cs="Arial"/>
          <w:bCs/>
          <w:lang w:val="es-MX" w:eastAsia="x-none"/>
        </w:rPr>
        <w:t>ii</w:t>
      </w:r>
      <w:proofErr w:type="spellEnd"/>
      <w:r w:rsidRPr="00667CD6">
        <w:rPr>
          <w:rFonts w:ascii="Verdana" w:hAnsi="Verdana" w:cs="Arial"/>
          <w:bCs/>
          <w:lang w:val="es-MX" w:eastAsia="x-none"/>
        </w:rPr>
        <w:t xml:space="preserve">) los contratos de crédito público; </w:t>
      </w:r>
      <w:proofErr w:type="spellStart"/>
      <w:r w:rsidRPr="00667CD6">
        <w:rPr>
          <w:rFonts w:ascii="Verdana" w:hAnsi="Verdana" w:cs="Arial"/>
          <w:bCs/>
          <w:lang w:val="es-MX" w:eastAsia="x-none"/>
        </w:rPr>
        <w:t>iii</w:t>
      </w:r>
      <w:proofErr w:type="spellEnd"/>
      <w:r w:rsidRPr="00667CD6">
        <w:rPr>
          <w:rFonts w:ascii="Verdana" w:hAnsi="Verdana" w:cs="Arial"/>
          <w:bCs/>
          <w:lang w:val="es-MX" w:eastAsia="x-none"/>
        </w:rPr>
        <w:t xml:space="preserve">) los requeridos para cubrir las emergencias educativas, sanitarias y desastres; </w:t>
      </w:r>
      <w:proofErr w:type="spellStart"/>
      <w:r w:rsidRPr="00667CD6">
        <w:rPr>
          <w:rFonts w:ascii="Verdana" w:hAnsi="Verdana" w:cs="Arial"/>
          <w:bCs/>
          <w:lang w:val="es-MX" w:eastAsia="x-none"/>
        </w:rPr>
        <w:t>iv</w:t>
      </w:r>
      <w:proofErr w:type="spellEnd"/>
      <w:r w:rsidRPr="00667CD6">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Pr>
          <w:rFonts w:ascii="Verdana" w:eastAsia="Times New Roman" w:hAnsi="Verdana" w:cs="Arial"/>
          <w:lang w:eastAsia="es-CO"/>
        </w:rPr>
        <w:t xml:space="preserve">Es decir, las excepciones contempladas en el artículo 33 no son aplicables a la restricción del artículo 38. </w:t>
      </w:r>
    </w:p>
    <w:p w14:paraId="412559CB" w14:textId="77777777" w:rsidR="00267D00" w:rsidRPr="00AB4B99" w:rsidRDefault="00267D00" w:rsidP="00267D00">
      <w:pPr>
        <w:spacing w:after="120" w:line="276" w:lineRule="auto"/>
        <w:ind w:firstLine="709"/>
        <w:jc w:val="both"/>
        <w:rPr>
          <w:rFonts w:ascii="Verdana" w:eastAsia="Times New Roman" w:hAnsi="Verdana" w:cs="Arial"/>
          <w:lang w:eastAsia="es-CO"/>
        </w:rPr>
      </w:pPr>
      <w:r w:rsidRPr="00667CD6">
        <w:rPr>
          <w:rFonts w:ascii="Verdana" w:eastAsia="Times New Roman" w:hAnsi="Verdana" w:cs="Arial"/>
          <w:lang w:eastAsia="es-CO"/>
        </w:rPr>
        <w:t>En este punto, vale la pena destacar que</w:t>
      </w:r>
      <w:r>
        <w:rPr>
          <w:rFonts w:ascii="Verdana" w:eastAsia="Times New Roman" w:hAnsi="Verdana" w:cs="Arial"/>
          <w:lang w:eastAsia="es-CO"/>
        </w:rPr>
        <w:t>,</w:t>
      </w:r>
      <w:r w:rsidRPr="00667CD6">
        <w:rPr>
          <w:rFonts w:ascii="Verdana" w:eastAsia="Times New Roman" w:hAnsi="Verdana" w:cs="Arial"/>
          <w:lang w:eastAsia="es-CO"/>
        </w:rPr>
        <w:t xml:space="preserv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 xml:space="preserve">numeral 16.2 de la Circular Externa Única de 2022 expedida por la Agencia Nacional de Contratación Pública </w:t>
      </w:r>
      <w:r>
        <w:rPr>
          <w:rFonts w:ascii="Verdana" w:hAnsi="Verdana" w:cs="Arial"/>
        </w:rPr>
        <w:t xml:space="preserve">– </w:t>
      </w:r>
      <w:r w:rsidRPr="00667CD6">
        <w:rPr>
          <w:rFonts w:ascii="Verdana" w:hAnsi="Verdana" w:cs="Arial"/>
        </w:rPr>
        <w:t>Colombia Compra Eficiente, concretamente, respecto de los siguientes apartes normativos</w:t>
      </w:r>
      <w:r w:rsidRPr="00667CD6">
        <w:rPr>
          <w:rFonts w:ascii="Verdana" w:hAnsi="Verdana" w:cs="Arial"/>
          <w:vertAlign w:val="superscript"/>
        </w:rPr>
        <w:footnoteReference w:id="32"/>
      </w:r>
      <w:r w:rsidRPr="00667CD6">
        <w:rPr>
          <w:rFonts w:ascii="Verdana" w:hAnsi="Verdana" w:cs="Arial"/>
        </w:rPr>
        <w:t xml:space="preserve">: </w:t>
      </w:r>
    </w:p>
    <w:p w14:paraId="50F2A6F3" w14:textId="77777777" w:rsidR="00267D00" w:rsidRDefault="00267D00" w:rsidP="00267D00">
      <w:pPr>
        <w:spacing w:after="0" w:line="240" w:lineRule="auto"/>
        <w:ind w:left="709" w:right="709"/>
        <w:jc w:val="both"/>
        <w:rPr>
          <w:rFonts w:ascii="Verdana" w:hAnsi="Verdana" w:cs="Arial"/>
          <w:sz w:val="20"/>
          <w:szCs w:val="20"/>
        </w:rPr>
      </w:pPr>
      <w:r>
        <w:rPr>
          <w:rFonts w:ascii="Verdana" w:hAnsi="Verdana" w:cs="Arial"/>
          <w:sz w:val="20"/>
          <w:szCs w:val="20"/>
          <w:lang w:val="es-MX"/>
        </w:rPr>
        <w:t>“</w:t>
      </w:r>
      <w:r w:rsidRPr="00667CD6">
        <w:rPr>
          <w:rFonts w:ascii="Verdana" w:hAnsi="Verdana" w:cs="Arial"/>
          <w:sz w:val="20"/>
          <w:szCs w:val="20"/>
          <w:lang w:val="es-MX"/>
        </w:rPr>
        <w:t>i)</w:t>
      </w:r>
      <w:r w:rsidRPr="00667CD6">
        <w:rPr>
          <w:rFonts w:ascii="Verdana" w:hAnsi="Verdana" w:cs="Arial"/>
          <w:sz w:val="20"/>
          <w:szCs w:val="20"/>
        </w:rPr>
        <w:t xml:space="preserve"> el inciso segundo 2 que dispone: </w:t>
      </w:r>
      <w:r>
        <w:rPr>
          <w:rFonts w:ascii="Verdana" w:hAnsi="Verdana" w:cs="Arial"/>
          <w:sz w:val="20"/>
          <w:szCs w:val="20"/>
        </w:rPr>
        <w:t>‘</w:t>
      </w:r>
      <w:r w:rsidRPr="00667CD6">
        <w:rPr>
          <w:rFonts w:ascii="Verdana" w:hAnsi="Verdana" w:cs="Arial"/>
          <w:sz w:val="20"/>
          <w:szCs w:val="20"/>
        </w:rPr>
        <w:t>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Pr>
          <w:rFonts w:ascii="Verdana" w:hAnsi="Verdana" w:cs="Arial"/>
          <w:sz w:val="20"/>
          <w:szCs w:val="20"/>
        </w:rPr>
        <w:t>’</w:t>
      </w:r>
      <w:r w:rsidRPr="00667CD6">
        <w:rPr>
          <w:rFonts w:ascii="Verdana" w:hAnsi="Verdana" w:cs="Arial"/>
          <w:sz w:val="20"/>
          <w:szCs w:val="20"/>
        </w:rPr>
        <w:t xml:space="preserve"> y, </w:t>
      </w:r>
    </w:p>
    <w:p w14:paraId="07FB88D4" w14:textId="77777777" w:rsidR="00267D00" w:rsidRPr="00667CD6" w:rsidRDefault="00267D00" w:rsidP="00267D00">
      <w:pPr>
        <w:spacing w:after="0" w:line="240" w:lineRule="auto"/>
        <w:ind w:left="709" w:right="709"/>
        <w:jc w:val="both"/>
        <w:rPr>
          <w:rFonts w:ascii="Verdana" w:hAnsi="Verdana" w:cs="Arial"/>
          <w:sz w:val="20"/>
          <w:szCs w:val="20"/>
        </w:rPr>
      </w:pPr>
    </w:p>
    <w:p w14:paraId="57BCEA9B" w14:textId="77777777" w:rsidR="00267D00" w:rsidRPr="00667CD6" w:rsidRDefault="00267D00" w:rsidP="00267D00">
      <w:pPr>
        <w:spacing w:after="0" w:line="240" w:lineRule="auto"/>
        <w:ind w:left="709" w:right="709"/>
        <w:jc w:val="both"/>
        <w:rPr>
          <w:rFonts w:ascii="Verdana" w:hAnsi="Verdana" w:cs="Arial"/>
          <w:sz w:val="20"/>
          <w:szCs w:val="20"/>
        </w:rPr>
      </w:pPr>
      <w:proofErr w:type="spellStart"/>
      <w:r w:rsidRPr="00667CD6">
        <w:rPr>
          <w:rFonts w:ascii="Verdana" w:hAnsi="Verdana" w:cs="Arial"/>
          <w:sz w:val="20"/>
          <w:szCs w:val="20"/>
        </w:rPr>
        <w:t>ii</w:t>
      </w:r>
      <w:proofErr w:type="spellEnd"/>
      <w:r w:rsidRPr="00667CD6">
        <w:rPr>
          <w:rFonts w:ascii="Verdana" w:hAnsi="Verdana" w:cs="Arial"/>
          <w:sz w:val="20"/>
          <w:szCs w:val="20"/>
        </w:rPr>
        <w:t xml:space="preserve">) la expresión y el siguiente párrafo contenidos en el inciso cuarto </w:t>
      </w:r>
      <w:r>
        <w:rPr>
          <w:rFonts w:ascii="Verdana" w:hAnsi="Verdana" w:cs="Arial"/>
          <w:sz w:val="20"/>
          <w:szCs w:val="20"/>
        </w:rPr>
        <w:t>‘</w:t>
      </w:r>
      <w:r w:rsidRPr="00667CD6">
        <w:rPr>
          <w:rFonts w:ascii="Verdana" w:hAnsi="Verdana" w:cs="Arial"/>
          <w:sz w:val="20"/>
          <w:szCs w:val="20"/>
        </w:rPr>
        <w:t>contratos</w:t>
      </w:r>
      <w:r>
        <w:rPr>
          <w:rFonts w:ascii="Verdana" w:hAnsi="Verdana" w:cs="Arial"/>
          <w:sz w:val="20"/>
          <w:szCs w:val="20"/>
        </w:rPr>
        <w:t>’</w:t>
      </w:r>
      <w:r w:rsidRPr="00667CD6">
        <w:rPr>
          <w:rFonts w:ascii="Verdana" w:hAnsi="Verdana" w:cs="Arial"/>
          <w:sz w:val="20"/>
          <w:szCs w:val="20"/>
        </w:rPr>
        <w:t xml:space="preserve"> y </w:t>
      </w:r>
      <w:r>
        <w:rPr>
          <w:rFonts w:ascii="Verdana" w:hAnsi="Verdana" w:cs="Arial"/>
          <w:sz w:val="20"/>
          <w:szCs w:val="20"/>
        </w:rPr>
        <w:t>‘</w:t>
      </w:r>
      <w:r w:rsidRPr="00667CD6">
        <w:rPr>
          <w:rFonts w:ascii="Verdana" w:hAnsi="Verdana" w:cs="Arial"/>
          <w:sz w:val="20"/>
          <w:szCs w:val="20"/>
        </w:rPr>
        <w:t>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r>
        <w:rPr>
          <w:rFonts w:ascii="Verdana" w:hAnsi="Verdana" w:cs="Arial"/>
          <w:sz w:val="20"/>
          <w:szCs w:val="20"/>
        </w:rPr>
        <w:t>’”</w:t>
      </w:r>
      <w:r w:rsidRPr="00667CD6">
        <w:rPr>
          <w:rFonts w:ascii="Verdana" w:hAnsi="Verdana" w:cs="Arial"/>
          <w:sz w:val="20"/>
          <w:szCs w:val="20"/>
        </w:rPr>
        <w:t xml:space="preserve">. </w:t>
      </w:r>
    </w:p>
    <w:p w14:paraId="058121FD" w14:textId="77777777" w:rsidR="00267D00" w:rsidRPr="00667CD6" w:rsidRDefault="00267D00" w:rsidP="00267D00">
      <w:pPr>
        <w:spacing w:after="0" w:line="276" w:lineRule="auto"/>
        <w:ind w:left="709" w:right="709"/>
        <w:jc w:val="both"/>
        <w:rPr>
          <w:rFonts w:ascii="Verdana" w:hAnsi="Verdana" w:cs="Arial"/>
        </w:rPr>
      </w:pPr>
    </w:p>
    <w:p w14:paraId="4601AD0B" w14:textId="77777777" w:rsidR="00267D00" w:rsidRPr="00667CD6" w:rsidRDefault="00267D00" w:rsidP="00267D00">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Pr>
          <w:rFonts w:ascii="Verdana" w:eastAsia="Arial" w:hAnsi="Verdana" w:cs="Arial"/>
          <w:lang w:eastAsia="es-ES" w:bidi="es-ES"/>
        </w:rPr>
        <w:t>”</w:t>
      </w:r>
      <w:r w:rsidRPr="00667CD6">
        <w:rPr>
          <w:rFonts w:ascii="Verdana" w:eastAsia="Arial" w:hAnsi="Verdana" w:cs="Arial"/>
          <w:i/>
          <w:iCs/>
          <w:lang w:eastAsia="es-ES" w:bidi="es-ES"/>
        </w:rPr>
        <w:t xml:space="preserve">. </w:t>
      </w:r>
    </w:p>
    <w:p w14:paraId="4958596F" w14:textId="77777777" w:rsidR="00267D00" w:rsidRPr="00667CD6" w:rsidRDefault="00267D00" w:rsidP="00267D00">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eastAsia="Arial" w:hAnsi="Verdana" w:cs="Arial"/>
          <w:vertAlign w:val="superscript"/>
          <w:lang w:eastAsia="es-ES" w:bidi="es-ES"/>
        </w:rPr>
        <w:footnoteReference w:id="33"/>
      </w:r>
      <w:r w:rsidRPr="00667CD6">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667CD6">
        <w:rPr>
          <w:rFonts w:ascii="Verdana" w:eastAsia="Arial" w:hAnsi="Verdana" w:cs="Arial"/>
          <w:lang w:eastAsia="es-ES" w:bidi="es-ES"/>
        </w:rPr>
        <w:t>legis</w:t>
      </w:r>
      <w:proofErr w:type="spellEnd"/>
      <w:r w:rsidRPr="00667CD6">
        <w:rPr>
          <w:rFonts w:ascii="Verdana" w:eastAsia="Arial" w:hAnsi="Verdana" w:cs="Arial"/>
          <w:lang w:eastAsia="es-ES" w:bidi="es-ES"/>
        </w:rPr>
        <w:t xml:space="preserve"> o iuris y la interpretación extensiva y reiteró los argumentos sobre la diferencia entre contratos y convenios interadministrativos. </w:t>
      </w:r>
    </w:p>
    <w:p w14:paraId="5D6BDA61" w14:textId="77777777" w:rsidR="00267D00" w:rsidRDefault="00267D00" w:rsidP="00267D00">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Finalmente, mediante sentencia del 17 de octubre de 2025, emitida por la S</w:t>
      </w:r>
      <w:r>
        <w:rPr>
          <w:rFonts w:ascii="Verdana" w:eastAsia="Arial" w:hAnsi="Verdana" w:cs="Arial"/>
          <w:lang w:eastAsia="es-ES" w:bidi="es-ES"/>
        </w:rPr>
        <w:t xml:space="preserve">ección Tercera del </w:t>
      </w:r>
      <w:r w:rsidRPr="31E4E861">
        <w:rPr>
          <w:rFonts w:ascii="Verdana" w:eastAsia="Arial" w:hAnsi="Verdana" w:cs="Arial"/>
          <w:lang w:eastAsia="es-ES" w:bidi="es-ES"/>
        </w:rPr>
        <w:t xml:space="preserve">Consejo de Estado, dentro del expediente </w:t>
      </w:r>
      <w:r w:rsidRPr="31E4E861">
        <w:rPr>
          <w:rFonts w:ascii="Verdana" w:eastAsia="Times New Roman" w:hAnsi="Verdana" w:cs="Times New Roman"/>
          <w:lang w:eastAsia="es-ES"/>
        </w:rPr>
        <w:t>11001-03-26-000-2023-00139-00, se declaró la nulidad parcial del numeral 16.2 de la Circular Externa Única de 2022 expedida por la Agencia Nacional de Contratación Pública - Colombia Compra Eficiente que indicaba: “Esta restricción es aplicable tanto a los convenios como a los</w:t>
      </w:r>
      <w:r>
        <w:rPr>
          <w:rFonts w:ascii="Verdana" w:eastAsia="Times New Roman" w:hAnsi="Verdana" w:cs="Times New Roman"/>
          <w:lang w:eastAsia="es-ES"/>
        </w:rPr>
        <w:t xml:space="preserve"> contratos interadministrativos (…)</w:t>
      </w:r>
      <w:r w:rsidRPr="31E4E861">
        <w:rPr>
          <w:rFonts w:ascii="Verdana" w:eastAsia="Times New Roman" w:hAnsi="Verdana" w:cs="Times New Roman"/>
          <w:lang w:eastAsia="es-ES"/>
        </w:rPr>
        <w:t xml:space="preserve">”. </w:t>
      </w:r>
    </w:p>
    <w:p w14:paraId="0DA59A07" w14:textId="77777777" w:rsidR="00267D00" w:rsidRDefault="00267D00" w:rsidP="00267D00">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34"/>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2512A967" w14:textId="77777777" w:rsidR="00267D00" w:rsidRDefault="00267D00" w:rsidP="00267D00">
      <w:pPr>
        <w:spacing w:after="120" w:line="276" w:lineRule="auto"/>
        <w:ind w:firstLine="709"/>
        <w:jc w:val="both"/>
        <w:rPr>
          <w:rFonts w:ascii="Verdana" w:eastAsia="Times New Roman" w:hAnsi="Verdana" w:cs="Arial"/>
          <w:lang w:eastAsia="es-CO"/>
        </w:rPr>
      </w:pPr>
      <w:r w:rsidRPr="2035D652">
        <w:rPr>
          <w:rFonts w:ascii="Verdana" w:eastAsia="Times New Roman" w:hAnsi="Verdana" w:cs="Times New Roman"/>
          <w:lang w:eastAsia="es-ES"/>
        </w:rPr>
        <w:t xml:space="preserve">A juicio de la Sala, aunque el propósito de la Circular Externa era legítimo </w:t>
      </w:r>
      <w:r>
        <w:rPr>
          <w:rFonts w:ascii="Verdana" w:eastAsia="Times New Roman" w:hAnsi="Verdana" w:cs="Times New Roman"/>
          <w:lang w:eastAsia="es-ES"/>
        </w:rPr>
        <w:t>–</w:t>
      </w:r>
      <w:r w:rsidRPr="2035D652">
        <w:rPr>
          <w:rFonts w:ascii="Verdana" w:eastAsia="Times New Roman" w:hAnsi="Verdana" w:cs="Times New Roman"/>
          <w:lang w:eastAsia="es-ES"/>
        </w:rPr>
        <w:t>evitar el uso indebido de recursos en época electoral</w:t>
      </w:r>
      <w:r>
        <w:rPr>
          <w:rFonts w:ascii="Verdana" w:eastAsia="Times New Roman" w:hAnsi="Verdana" w:cs="Times New Roman"/>
          <w:lang w:eastAsia="es-ES"/>
        </w:rPr>
        <w:t>–</w:t>
      </w:r>
      <w:r w:rsidRPr="2035D652">
        <w:rPr>
          <w:rFonts w:ascii="Verdana" w:eastAsia="Times New Roman" w:hAnsi="Verdana" w:cs="Times New Roman"/>
          <w:lang w:eastAsia="es-ES"/>
        </w:rPr>
        <w:t>, el numeral 16.2. desconoció el alcance literal del artículo 38 de la Ley 996 de 2005 y los límites de la potestad reglamentaria, lo que configuró un vicio de contenido.</w:t>
      </w:r>
      <w:r>
        <w:rPr>
          <w:rFonts w:ascii="Verdana" w:eastAsia="Times New Roman" w:hAnsi="Verdana" w:cs="Times New Roman"/>
          <w:lang w:eastAsia="es-ES"/>
        </w:rPr>
        <w:t xml:space="preserve"> </w:t>
      </w: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35"/>
      </w:r>
      <w:r>
        <w:rPr>
          <w:rFonts w:ascii="Verdana" w:eastAsia="Times New Roman" w:hAnsi="Verdana" w:cs="Arial"/>
          <w:lang w:eastAsia="es-CO"/>
        </w:rPr>
        <w:t>. C</w:t>
      </w:r>
      <w:r w:rsidRPr="00667CD6">
        <w:rPr>
          <w:rFonts w:ascii="Verdana" w:eastAsia="Times New Roman" w:hAnsi="Verdana" w:cs="Arial"/>
          <w:lang w:eastAsia="es-CO"/>
        </w:rPr>
        <w:t xml:space="preserve">onforme a lo señalado por el Consejo de Estado, cuando dos entidades públicas celebren un </w:t>
      </w:r>
      <w:r w:rsidRPr="00667CD6">
        <w:rPr>
          <w:rFonts w:ascii="Verdana" w:eastAsia="Times New Roman" w:hAnsi="Verdana" w:cs="Arial"/>
          <w:i/>
          <w:iCs/>
          <w:lang w:eastAsia="es-CO"/>
        </w:rPr>
        <w:t>contrato interadministrativo,</w:t>
      </w:r>
      <w:r w:rsidRPr="00667CD6">
        <w:rPr>
          <w:rFonts w:ascii="Verdana" w:eastAsia="Times New Roman" w:hAnsi="Verdana" w:cs="Arial"/>
          <w:lang w:eastAsia="es-CO"/>
        </w:rPr>
        <w:t xml:space="preserve"> independientemente del objeto, dicho contrato puede suscribirse durante el periodo preelectoral.</w:t>
      </w:r>
    </w:p>
    <w:p w14:paraId="57F9AA5C" w14:textId="77777777" w:rsidR="00267D00" w:rsidRDefault="00267D00" w:rsidP="00267D00">
      <w:pPr>
        <w:spacing w:after="120" w:line="276" w:lineRule="auto"/>
        <w:ind w:firstLine="709"/>
        <w:jc w:val="both"/>
        <w:rPr>
          <w:rFonts w:ascii="Verdana" w:eastAsia="Times New Roman" w:hAnsi="Verdana" w:cs="Arial"/>
          <w:lang w:eastAsia="es-CO"/>
        </w:rPr>
      </w:pPr>
      <w:r>
        <w:rPr>
          <w:rFonts w:ascii="Verdana" w:eastAsia="Times New Roman" w:hAnsi="Verdana" w:cs="Arial"/>
          <w:lang w:eastAsia="es-CO"/>
        </w:rPr>
        <w:t>En este aspecto, se encuentra que la restricción para la celebración de convenios interadministrativos para la ejecución de recursos públicos no puede aludirse a contratantes o contratistas, sino de partes cooperantes o colaboradoras. Así mismo, aplica para cualquier tipo de elección, lo que implica que la restricción del parágrafo del artículo 38</w:t>
      </w:r>
      <w:r>
        <w:rPr>
          <w:rFonts w:ascii="Verdana" w:eastAsia="Times New Roman" w:hAnsi="Verdana" w:cs="Arial"/>
          <w:bCs/>
          <w:lang w:val="es-MX" w:eastAsia="x-none"/>
        </w:rPr>
        <w:t xml:space="preserve"> aplica desde el 8 de noviembre de 2025, teniendo en cuenta que la Resolución 02580 del 5 de marzo de 2025 de la Registraduría Nacional del Estado Civil dispuso que las elecciones de senado y cámara se celebraron el 8 de marzo de 2026. Esta restricción se extiende a las elecciones presidenciales que se celebrarán el 31 de mayo de 2026, así como una posible segunda vuelta tres semanas después, es decir, el 21 de junio de 2026. </w:t>
      </w:r>
    </w:p>
    <w:p w14:paraId="20097260" w14:textId="77777777" w:rsidR="00267D00" w:rsidRDefault="00267D00" w:rsidP="00267D00">
      <w:pPr>
        <w:spacing w:after="120" w:line="276" w:lineRule="auto"/>
        <w:ind w:firstLine="709"/>
        <w:jc w:val="both"/>
        <w:rPr>
          <w:rFonts w:ascii="Verdana" w:eastAsia="Calibri" w:hAnsi="Verdana" w:cs="Arial"/>
          <w:lang w:val="es-ES" w:eastAsia="es-ES"/>
        </w:rPr>
      </w:pPr>
      <w:r w:rsidRPr="00667CD6">
        <w:rPr>
          <w:rFonts w:ascii="Verdana" w:eastAsia="Times New Roman" w:hAnsi="Verdana" w:cs="Arial"/>
          <w:lang w:eastAsia="es-CO"/>
        </w:rPr>
        <w:t xml:space="preserve"> </w:t>
      </w:r>
      <w:r w:rsidRPr="605533EB">
        <w:rPr>
          <w:rFonts w:ascii="Verdana" w:eastAsia="Times New Roman" w:hAnsi="Verdana" w:cs="Arial"/>
          <w:lang w:eastAsia="es-CO"/>
        </w:rPr>
        <w:t xml:space="preserve">No </w:t>
      </w:r>
      <w:r>
        <w:rPr>
          <w:rFonts w:ascii="Verdana" w:eastAsia="Times New Roman" w:hAnsi="Verdana" w:cs="Arial"/>
          <w:lang w:eastAsia="es-CO"/>
        </w:rPr>
        <w:t>obstante</w:t>
      </w:r>
      <w:r w:rsidRPr="605533EB">
        <w:rPr>
          <w:rFonts w:ascii="Verdana" w:eastAsia="Times New Roman" w:hAnsi="Verdana" w:cs="Arial"/>
          <w:lang w:eastAsia="es-CO"/>
        </w:rPr>
        <w:t xml:space="preserve">, es importante mencionar que aún se encuentra por definir la demanda </w:t>
      </w:r>
      <w:r w:rsidRPr="605533EB">
        <w:rPr>
          <w:rFonts w:ascii="Verdana" w:eastAsia="Calibri" w:hAnsi="Verdana" w:cs="Arial"/>
          <w:lang w:val="es-ES" w:eastAsia="es-ES"/>
        </w:rPr>
        <w:t xml:space="preserve">de nulidad simple, identificada con el Radicado número 11001-03-26-000-2025-00016-00, en la cual se cuestiona </w:t>
      </w:r>
      <w:r w:rsidRPr="605533EB">
        <w:rPr>
          <w:rFonts w:ascii="Verdana" w:eastAsia="Calibri" w:hAnsi="Verdana" w:cs="Arial"/>
          <w:lang w:eastAsia="es-ES"/>
        </w:rPr>
        <w:t>parcialmente el numeral 16.2 de la Circular Externa Única CCE-EICP-MA-06, Versión 03 del 27 de diciembre de 2023.</w:t>
      </w:r>
      <w:r w:rsidRPr="605533EB">
        <w:rPr>
          <w:rFonts w:ascii="Verdana" w:eastAsia="Calibri" w:hAnsi="Verdana" w:cs="Arial"/>
          <w:lang w:val="es-ES" w:eastAsia="es-ES"/>
        </w:rPr>
        <w:t xml:space="preserve"> </w:t>
      </w:r>
    </w:p>
    <w:p w14:paraId="25759662" w14:textId="77777777" w:rsidR="00267D00" w:rsidRDefault="00267D00" w:rsidP="00267D00">
      <w:pPr>
        <w:spacing w:after="0" w:line="276" w:lineRule="auto"/>
        <w:ind w:firstLine="708"/>
        <w:jc w:val="both"/>
        <w:rPr>
          <w:rFonts w:ascii="Verdana" w:eastAsia="Calibri" w:hAnsi="Verdana" w:cs="Arial"/>
          <w:lang w:val="es-ES" w:eastAsia="es-ES"/>
        </w:rPr>
      </w:pPr>
      <w:r>
        <w:rPr>
          <w:rFonts w:ascii="Verdana" w:eastAsia="Calibri" w:hAnsi="Verdana" w:cs="Arial"/>
          <w:lang w:val="es-ES" w:eastAsia="es-ES"/>
        </w:rPr>
        <w:t xml:space="preserve">De acuerdo con lo anterior se presentan las siguientes conclusiones: </w:t>
      </w:r>
    </w:p>
    <w:p w14:paraId="2B16E859" w14:textId="77777777" w:rsidR="00267D00" w:rsidRDefault="00267D00" w:rsidP="00267D00">
      <w:pPr>
        <w:spacing w:after="0" w:line="240" w:lineRule="auto"/>
        <w:jc w:val="both"/>
        <w:rPr>
          <w:rFonts w:ascii="Verdana" w:eastAsia="Calibri" w:hAnsi="Verdana" w:cs="Arial"/>
          <w:lang w:val="es-ES" w:eastAsia="es-ES"/>
        </w:rPr>
      </w:pPr>
    </w:p>
    <w:p w14:paraId="28DC6165" w14:textId="77777777" w:rsidR="00267D00" w:rsidRPr="00E64C1B" w:rsidRDefault="00267D00" w:rsidP="00267D00">
      <w:pPr>
        <w:pStyle w:val="Prrafodelista"/>
        <w:numPr>
          <w:ilvl w:val="0"/>
          <w:numId w:val="18"/>
        </w:numPr>
        <w:spacing w:after="120" w:line="276" w:lineRule="auto"/>
        <w:ind w:left="357" w:hanging="357"/>
        <w:jc w:val="both"/>
        <w:rPr>
          <w:rFonts w:ascii="Verdana" w:hAnsi="Verdana" w:cs="Arial"/>
          <w:bCs/>
          <w:color w:val="000000" w:themeColor="text1"/>
          <w:lang w:val="es-MX" w:eastAsia="x-none"/>
        </w:rPr>
      </w:pPr>
      <w:r w:rsidRPr="00954F55">
        <w:rPr>
          <w:rFonts w:ascii="Verdana" w:eastAsia="Calibri" w:hAnsi="Verdana" w:cs="Arial"/>
          <w:lang w:eastAsia="es-ES"/>
        </w:rPr>
        <w:t xml:space="preserve">Las restricciones contenidas en el artículo 33 de la Ley 996 de 2005 aplica para “la contratación directa” de todos los entes del Estado, </w:t>
      </w:r>
      <w:r w:rsidRPr="00954F55">
        <w:rPr>
          <w:rFonts w:ascii="Verdana" w:hAnsi="Verdana" w:cs="Arial"/>
          <w:color w:val="000000" w:themeColor="text1"/>
          <w:lang w:val="es-MX"/>
        </w:rPr>
        <w:t xml:space="preserve">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954F55">
        <w:rPr>
          <w:rFonts w:ascii="Verdana" w:eastAsia="Calibri" w:hAnsi="Verdana" w:cs="Arial"/>
          <w:lang w:eastAsia="es-ES"/>
        </w:rPr>
        <w:t xml:space="preserve">Se trata de la prohibición de </w:t>
      </w:r>
      <w:r w:rsidRPr="00954F55">
        <w:rPr>
          <w:rFonts w:ascii="Verdana" w:hAnsi="Verdana" w:cs="Arial"/>
          <w:bCs/>
          <w:lang w:eastAsia="x-none"/>
        </w:rPr>
        <w:t>aquellos contratos en los que no exista un proceso abierto y competitivo.</w:t>
      </w:r>
      <w:r w:rsidRPr="00954F55">
        <w:rPr>
          <w:rFonts w:ascii="Verdana" w:hAnsi="Verdana" w:cs="Arial"/>
          <w:lang w:eastAsia="x-none"/>
        </w:rPr>
        <w:t xml:space="preserve"> Por lo tanto, no son materia de la prohibición las demás modalidades de selección previstas en la Ley 1150 de 2007, esto es, la licitación pública, el concurso de méritos, la selección abreviada y la contratación de mínima cuantía</w:t>
      </w:r>
      <w:r>
        <w:rPr>
          <w:rFonts w:ascii="Verdana" w:hAnsi="Verdana" w:cs="Arial"/>
          <w:lang w:eastAsia="x-none"/>
        </w:rPr>
        <w:t xml:space="preserve"> o los procesos competitivos establecidos en los manuales de contratación de las entidades con regímenes exceptuados</w:t>
      </w:r>
      <w:r w:rsidRPr="00954F55">
        <w:rPr>
          <w:rFonts w:ascii="Verdana" w:hAnsi="Verdana" w:cs="Arial"/>
          <w:lang w:eastAsia="x-none"/>
        </w:rPr>
        <w:t xml:space="preserve">. Adicionalmente, la celebración de la contratación directa </w:t>
      </w:r>
      <w:r w:rsidRPr="00954F55">
        <w:rPr>
          <w:rFonts w:ascii="Verdana" w:eastAsia="Calibri" w:hAnsi="Verdana" w:cs="Arial"/>
          <w:lang w:val="es-CO" w:eastAsia="es-ES"/>
        </w:rPr>
        <w:t>no se encuentra condicionada por la ejecución de recursos en el marco de los respectivos contratos o el origen de estos, de manera que aplica las restricciones independientemente de que el contrato implique o no la ejecución de recursos o si los recursos destinados son de naturaleza pública o privada</w:t>
      </w:r>
      <w:r w:rsidRPr="00954F55">
        <w:rPr>
          <w:rStyle w:val="Refdenotaalpie"/>
          <w:rFonts w:ascii="Verdana" w:eastAsia="Calibri" w:hAnsi="Verdana" w:cs="Arial"/>
          <w:lang w:val="es-CO" w:eastAsia="es-ES"/>
        </w:rPr>
        <w:footnoteReference w:id="36"/>
      </w:r>
      <w:r w:rsidRPr="00954F55">
        <w:rPr>
          <w:rFonts w:ascii="Verdana" w:eastAsia="Calibri" w:hAnsi="Verdana" w:cs="Arial"/>
          <w:lang w:val="es-CO" w:eastAsia="es-ES"/>
        </w:rPr>
        <w:t xml:space="preserve">. </w:t>
      </w:r>
    </w:p>
    <w:p w14:paraId="299128F9" w14:textId="77777777" w:rsidR="00267D00" w:rsidRPr="00E64C1B" w:rsidRDefault="00267D00" w:rsidP="00267D00">
      <w:pPr>
        <w:pStyle w:val="Prrafodelista"/>
        <w:spacing w:after="0" w:line="240" w:lineRule="auto"/>
        <w:ind w:left="0"/>
        <w:jc w:val="both"/>
        <w:rPr>
          <w:rFonts w:ascii="Verdana" w:hAnsi="Verdana" w:cs="Arial"/>
          <w:bCs/>
          <w:color w:val="000000" w:themeColor="text1"/>
          <w:lang w:val="es-MX" w:eastAsia="x-none"/>
        </w:rPr>
      </w:pPr>
    </w:p>
    <w:p w14:paraId="40DDA4A9" w14:textId="77777777" w:rsidR="00267D00" w:rsidRDefault="00267D00" w:rsidP="00267D00">
      <w:pPr>
        <w:pStyle w:val="Prrafodelista"/>
        <w:numPr>
          <w:ilvl w:val="0"/>
          <w:numId w:val="18"/>
        </w:numPr>
        <w:spacing w:after="120" w:line="276" w:lineRule="auto"/>
        <w:ind w:left="357" w:hanging="357"/>
        <w:jc w:val="both"/>
        <w:rPr>
          <w:rFonts w:ascii="Verdana" w:eastAsia="Calibri" w:hAnsi="Verdana" w:cs="Arial"/>
          <w:lang w:eastAsia="es-ES"/>
        </w:rPr>
      </w:pPr>
      <w:r w:rsidRPr="00E64C1B">
        <w:rPr>
          <w:rFonts w:ascii="Verdana" w:eastAsia="Calibri" w:hAnsi="Verdana" w:cs="Arial"/>
          <w:lang w:eastAsia="es-ES"/>
        </w:rPr>
        <w:t xml:space="preserve">La entidad definirá si la contratación que pretende celebrar se enmarca en alguna de las excepciones definidas en el artículo 33 de la Ley 996 de 2005, esto es, que se pretenda cubrir emergencias educativas, de tal manera que las excepciones contempladas no permiten efectuar una interpretación extensiva para incluir otros supuestos. </w:t>
      </w:r>
    </w:p>
    <w:p w14:paraId="1202B6D2" w14:textId="77777777" w:rsidR="00267D00" w:rsidRPr="00E80F85" w:rsidRDefault="00267D00" w:rsidP="00267D00">
      <w:pPr>
        <w:pStyle w:val="Prrafodelista"/>
        <w:spacing w:after="0" w:line="240" w:lineRule="auto"/>
        <w:ind w:left="0"/>
        <w:rPr>
          <w:rFonts w:ascii="Verdana" w:eastAsia="Calibri" w:hAnsi="Verdana" w:cs="Arial"/>
          <w:lang w:eastAsia="es-ES"/>
        </w:rPr>
      </w:pPr>
    </w:p>
    <w:p w14:paraId="0D2C5E73" w14:textId="77777777" w:rsidR="00267D00" w:rsidRDefault="00267D00" w:rsidP="00267D00">
      <w:pPr>
        <w:pStyle w:val="Prrafodelista"/>
        <w:numPr>
          <w:ilvl w:val="0"/>
          <w:numId w:val="18"/>
        </w:numPr>
        <w:spacing w:after="120" w:line="276" w:lineRule="auto"/>
        <w:ind w:left="360"/>
        <w:jc w:val="both"/>
        <w:rPr>
          <w:rFonts w:ascii="Verdana" w:eastAsia="Calibri" w:hAnsi="Verdana" w:cs="Arial"/>
          <w:lang w:eastAsia="es-ES"/>
        </w:rPr>
      </w:pPr>
      <w:r w:rsidRPr="00E80F85">
        <w:rPr>
          <w:rFonts w:ascii="Verdana" w:eastAsia="Calibri" w:hAnsi="Verdana" w:cs="Arial"/>
          <w:lang w:eastAsia="es-ES"/>
        </w:rPr>
        <w:t xml:space="preserve">La restricción </w:t>
      </w:r>
      <w:r>
        <w:rPr>
          <w:rFonts w:ascii="Verdana" w:eastAsia="Calibri" w:hAnsi="Verdana" w:cs="Arial"/>
          <w:lang w:eastAsia="es-ES"/>
        </w:rPr>
        <w:t>contemplada</w:t>
      </w:r>
      <w:r w:rsidRPr="00E80F85">
        <w:rPr>
          <w:rFonts w:ascii="Verdana" w:eastAsia="Calibri" w:hAnsi="Verdana" w:cs="Arial"/>
          <w:lang w:eastAsia="es-ES"/>
        </w:rPr>
        <w:t xml:space="preserve"> en el </w:t>
      </w:r>
      <w:r>
        <w:rPr>
          <w:rFonts w:ascii="Verdana" w:eastAsia="Calibri" w:hAnsi="Verdana" w:cs="Arial"/>
          <w:lang w:eastAsia="es-ES"/>
        </w:rPr>
        <w:t xml:space="preserve">parágrafo del </w:t>
      </w:r>
      <w:r w:rsidRPr="00E80F85">
        <w:rPr>
          <w:rFonts w:ascii="Verdana" w:eastAsia="Calibri" w:hAnsi="Verdana" w:cs="Arial"/>
          <w:lang w:eastAsia="es-ES"/>
        </w:rPr>
        <w:t>artículo 38 de la Ley 996 de 2005 se refiere a la celebración de convenios interadministrativos para la ejecución de recursos públicos, independientemente de que se configuren los supuestos de excepción que señala en artículo 33 de la misma ley.</w:t>
      </w:r>
      <w:r>
        <w:rPr>
          <w:rFonts w:ascii="Verdana" w:eastAsia="Calibri" w:hAnsi="Verdana" w:cs="Arial"/>
          <w:lang w:eastAsia="es-ES"/>
        </w:rPr>
        <w:t xml:space="preserve"> </w:t>
      </w:r>
      <w:r w:rsidRPr="00E80F85">
        <w:rPr>
          <w:rFonts w:ascii="Verdana" w:eastAsia="Calibri" w:hAnsi="Verdana" w:cs="Arial"/>
          <w:lang w:eastAsia="es-ES"/>
        </w:rPr>
        <w:t xml:space="preserve"> </w:t>
      </w:r>
    </w:p>
    <w:p w14:paraId="7A30122E" w14:textId="77777777" w:rsidR="00267D00" w:rsidRPr="00DD5A6D" w:rsidRDefault="00267D00" w:rsidP="00267D00">
      <w:pPr>
        <w:pStyle w:val="Prrafodelista"/>
        <w:spacing w:after="0" w:line="240" w:lineRule="auto"/>
        <w:rPr>
          <w:rFonts w:ascii="Verdana" w:eastAsia="Calibri" w:hAnsi="Verdana" w:cs="Arial"/>
          <w:lang w:eastAsia="es-ES"/>
        </w:rPr>
      </w:pPr>
    </w:p>
    <w:p w14:paraId="21365597" w14:textId="77777777" w:rsidR="00267D00" w:rsidRDefault="00267D00" w:rsidP="00267D00">
      <w:pPr>
        <w:pStyle w:val="Prrafodelista"/>
        <w:numPr>
          <w:ilvl w:val="0"/>
          <w:numId w:val="18"/>
        </w:numPr>
        <w:spacing w:after="120" w:line="276" w:lineRule="auto"/>
        <w:ind w:left="357" w:hanging="357"/>
        <w:jc w:val="both"/>
        <w:rPr>
          <w:rFonts w:ascii="Verdana" w:eastAsia="Calibri" w:hAnsi="Verdana" w:cs="Arial"/>
          <w:lang w:eastAsia="es-ES"/>
        </w:rPr>
      </w:pPr>
      <w:r>
        <w:rPr>
          <w:rFonts w:ascii="Verdana" w:eastAsia="Calibri" w:hAnsi="Verdana" w:cs="Arial"/>
          <w:lang w:eastAsia="es-ES"/>
        </w:rPr>
        <w:t xml:space="preserve">La posición definida en las decisiones adoptadas por la Sección Tercera del Consejo de Estado se enmarcó en la imposibilidad de extender la aplicación de la restricción a los contratos interadministrativos que, en vigencia de la prohibición del parágrafo del artículo 38 de la Ley de Garantías Electorales se trata, esto es, en las elecciones distintas a las presidenciales. Específicamente, en la sentencia del 17 de octubre de 2025, el alto tribunal declaró la nulidad </w:t>
      </w:r>
      <w:r w:rsidRPr="00F35E92">
        <w:rPr>
          <w:rFonts w:ascii="Verdana" w:eastAsia="Calibri" w:hAnsi="Verdana" w:cs="Arial"/>
          <w:lang w:eastAsia="es-ES"/>
        </w:rPr>
        <w:t xml:space="preserve">parcial del numeral 16.2 de la Circular Externa Única de 2022, por lo tanto, cuando dos entidades públicas celebran un contrato interadministrativo, independientemente del objeto, dicho contrato puede suscribirse durante el periodo preelectoral. </w:t>
      </w:r>
    </w:p>
    <w:p w14:paraId="3C7E4478" w14:textId="77777777" w:rsidR="00267D00" w:rsidRPr="00A97278" w:rsidRDefault="00267D00" w:rsidP="00267D00">
      <w:pPr>
        <w:pStyle w:val="Prrafodelista"/>
        <w:spacing w:after="0" w:line="240" w:lineRule="auto"/>
        <w:rPr>
          <w:rFonts w:ascii="Verdana" w:eastAsia="Calibri" w:hAnsi="Verdana" w:cs="Arial"/>
          <w:lang w:eastAsia="es-ES"/>
        </w:rPr>
      </w:pPr>
    </w:p>
    <w:p w14:paraId="5315756D" w14:textId="77777777" w:rsidR="00267D00" w:rsidRPr="00C57B8D" w:rsidRDefault="00267D00" w:rsidP="00267D00">
      <w:pPr>
        <w:pStyle w:val="Prrafodelista"/>
        <w:numPr>
          <w:ilvl w:val="0"/>
          <w:numId w:val="18"/>
        </w:numPr>
        <w:spacing w:after="120" w:line="276" w:lineRule="auto"/>
        <w:ind w:left="357" w:hanging="357"/>
        <w:jc w:val="both"/>
        <w:rPr>
          <w:rFonts w:ascii="Verdana" w:eastAsia="Calibri" w:hAnsi="Verdana" w:cs="Arial"/>
          <w:lang w:eastAsia="es-ES"/>
        </w:rPr>
      </w:pPr>
      <w:r w:rsidRPr="00A97278">
        <w:rPr>
          <w:rFonts w:ascii="Verdana" w:eastAsia="Calibri" w:hAnsi="Verdana" w:cs="Arial"/>
          <w:lang w:eastAsia="es-ES"/>
        </w:rPr>
        <w:t>Actualmente, las restricciones del artículo 33 y del parágrafo del artículo 38 de la Ley están en curso, de tal manera que los gobernadores, secretarios, gerentes y directores de las entidades del orden municipal, departamental o distrital no podrán no solo celebrar convenios interadministrativos para la ejecución de recursos sino también cualquier contratación directa.</w:t>
      </w:r>
    </w:p>
    <w:p w14:paraId="7946BB86" w14:textId="77777777" w:rsidR="00267D00" w:rsidRDefault="00267D00" w:rsidP="00267D00">
      <w:pPr>
        <w:spacing w:after="120" w:line="276" w:lineRule="auto"/>
        <w:ind w:firstLine="709"/>
        <w:jc w:val="both"/>
        <w:rPr>
          <w:rFonts w:ascii="Verdana" w:eastAsia="Arial" w:hAnsi="Verdana" w:cs="Arial"/>
          <w:lang w:eastAsia="es-MX"/>
        </w:rPr>
      </w:pPr>
      <w:r w:rsidRPr="009C10B7">
        <w:rPr>
          <w:rFonts w:ascii="Verdana" w:eastAsia="Calibri" w:hAnsi="Verdana" w:cs="Arial"/>
        </w:rPr>
        <w:t xml:space="preserve">Precisado lo anterior, en relación con el problema jurídico planteado, se resalta que </w:t>
      </w:r>
      <w:bookmarkStart w:id="20" w:name="_Hlk100224224"/>
      <w:r w:rsidRPr="009C10B7">
        <w:rPr>
          <w:rFonts w:ascii="Verdana" w:eastAsia="Arial" w:hAnsi="Verdana" w:cs="Arial"/>
          <w:lang w:eastAsia="es-MX"/>
        </w:rPr>
        <w:t>las instituciones educativas pertenecen a la entidad territorial que haya efectuado su reconocimiento de carácter oficial. Es decir, el sistema educativo es descentralizado</w:t>
      </w:r>
      <w:r w:rsidRPr="009C10B7">
        <w:rPr>
          <w:rStyle w:val="Refdenotaalpie"/>
          <w:rFonts w:ascii="Verdana" w:eastAsia="Arial" w:hAnsi="Verdana" w:cs="Arial"/>
          <w:lang w:eastAsia="es-MX"/>
        </w:rPr>
        <w:footnoteReference w:id="37"/>
      </w:r>
      <w:r w:rsidRPr="009C10B7">
        <w:rPr>
          <w:rFonts w:ascii="Verdana" w:eastAsia="Arial" w:hAnsi="Verdana" w:cs="Arial"/>
          <w:lang w:eastAsia="es-MX"/>
        </w:rPr>
        <w:t xml:space="preserve"> por las competencias propias que se les ha otorgado a las entidades territoriales (Departamentos, Municipios, Distritos) para administrar las instituciones educativas, que pueden ser de los diferentes niveles, pero estas no son entidades descentralizadas.</w:t>
      </w:r>
    </w:p>
    <w:p w14:paraId="2994F739" w14:textId="77777777" w:rsidR="00267D00" w:rsidRPr="00072C23" w:rsidRDefault="00267D00" w:rsidP="00267D00">
      <w:pPr>
        <w:spacing w:after="120" w:line="276" w:lineRule="auto"/>
        <w:ind w:firstLine="709"/>
        <w:jc w:val="both"/>
        <w:rPr>
          <w:rFonts w:ascii="Verdana" w:eastAsia="Arial" w:hAnsi="Verdana" w:cs="Arial"/>
          <w:lang w:eastAsia="es-MX"/>
        </w:rPr>
      </w:pPr>
      <w:r>
        <w:rPr>
          <w:rFonts w:ascii="Verdana" w:eastAsia="Arial" w:hAnsi="Verdana" w:cs="Arial"/>
          <w:lang w:eastAsia="es-MX"/>
        </w:rPr>
        <w:t>Así, las instituciones educativas</w:t>
      </w:r>
      <w:r w:rsidRPr="00072C23">
        <w:rPr>
          <w:rFonts w:ascii="Verdana" w:eastAsia="Arial" w:hAnsi="Verdana" w:cs="Arial"/>
          <w:lang w:eastAsia="es-MX"/>
        </w:rPr>
        <w:t xml:space="preserve"> carecen de personería jurídica, pero tienen capacidad para contratar y se concreta en la competencia que le otorgó el legislador en la Ley 715 de 2001 para administrar los fondos de servicios educativos. Estas son cuentas contables que le permiten a las instituciones realizar la gestión y ejecución presupuestal de los recursos que reciben los establecimientos educativos</w:t>
      </w:r>
      <w:bookmarkEnd w:id="20"/>
      <w:r w:rsidRPr="00072C23">
        <w:rPr>
          <w:rFonts w:ascii="Verdana" w:eastAsia="Arial" w:hAnsi="Verdana" w:cs="Arial"/>
          <w:vertAlign w:val="superscript"/>
          <w:lang w:eastAsia="es-MX"/>
        </w:rPr>
        <w:footnoteReference w:id="38"/>
      </w:r>
      <w:r w:rsidRPr="00072C23">
        <w:rPr>
          <w:rFonts w:ascii="Verdana" w:eastAsia="Arial" w:hAnsi="Verdana" w:cs="Arial"/>
          <w:lang w:eastAsia="es-MX"/>
        </w:rPr>
        <w:t xml:space="preserve"> </w:t>
      </w:r>
      <w:r w:rsidRPr="00072C23">
        <w:rPr>
          <w:rFonts w:ascii="Verdana" w:eastAsia="Arial" w:hAnsi="Verdana" w:cs="Arial"/>
          <w:vertAlign w:val="superscript"/>
          <w:lang w:eastAsia="es-MX"/>
        </w:rPr>
        <w:footnoteReference w:id="39"/>
      </w:r>
      <w:r w:rsidRPr="00072C23">
        <w:rPr>
          <w:rFonts w:ascii="Verdana" w:eastAsia="Arial" w:hAnsi="Verdana" w:cs="Arial"/>
          <w:lang w:eastAsia="es-MX"/>
        </w:rPr>
        <w:t>.</w:t>
      </w:r>
    </w:p>
    <w:p w14:paraId="52DCFCC7" w14:textId="77777777" w:rsidR="00267D00" w:rsidRPr="00072C23" w:rsidRDefault="00267D00" w:rsidP="00267D00">
      <w:pPr>
        <w:spacing w:after="120" w:line="276" w:lineRule="auto"/>
        <w:ind w:firstLine="709"/>
        <w:jc w:val="both"/>
        <w:rPr>
          <w:rFonts w:ascii="Verdana" w:eastAsia="Arial" w:hAnsi="Verdana" w:cs="Arial"/>
          <w:lang w:eastAsia="es-MX"/>
        </w:rPr>
      </w:pPr>
      <w:r w:rsidRPr="00072C23">
        <w:rPr>
          <w:rFonts w:ascii="Verdana" w:eastAsia="Arial" w:hAnsi="Verdana" w:cs="Arial"/>
          <w:lang w:eastAsia="es-MX"/>
        </w:rPr>
        <w:t>Los fondos de servicios educativos tampoco cuentan con personería jurídica según lo previsto en el artículo 2.3.1.6.3.4 del Decreto 1075 de 2015, Decreto Único Reglamentario del Sector Educación:</w:t>
      </w:r>
    </w:p>
    <w:p w14:paraId="02DA4B8B" w14:textId="77777777" w:rsidR="00267D00" w:rsidRDefault="00267D00" w:rsidP="00267D00">
      <w:pPr>
        <w:spacing w:after="0" w:line="240" w:lineRule="auto"/>
        <w:ind w:left="709" w:right="709"/>
        <w:jc w:val="both"/>
        <w:rPr>
          <w:rFonts w:ascii="Verdana" w:eastAsia="Arial" w:hAnsi="Verdana" w:cs="Arial"/>
          <w:sz w:val="20"/>
          <w:szCs w:val="20"/>
          <w:lang w:eastAsia="es-MX"/>
        </w:rPr>
      </w:pPr>
      <w:r>
        <w:rPr>
          <w:rFonts w:ascii="Verdana" w:eastAsia="Arial" w:hAnsi="Verdana" w:cs="Arial"/>
          <w:sz w:val="20"/>
          <w:szCs w:val="20"/>
          <w:lang w:eastAsia="es-MX"/>
        </w:rPr>
        <w:t>“</w:t>
      </w:r>
      <w:r w:rsidRPr="00072C23">
        <w:rPr>
          <w:rFonts w:ascii="Verdana" w:eastAsia="Arial" w:hAnsi="Verdana" w:cs="Arial"/>
          <w:sz w:val="20"/>
          <w:szCs w:val="20"/>
          <w:lang w:eastAsia="es-MX"/>
        </w:rPr>
        <w:t>Artículo 2.3.1.6.3.4. Ordenación del gasto. Los fondos de servicios educativos carecen de personería jurídica. El rector o director rural es el ordenador del gasto del Fondo de Servicios Educativos y su ejercicio no implica representación legal</w:t>
      </w:r>
      <w:r>
        <w:rPr>
          <w:rFonts w:ascii="Verdana" w:eastAsia="Arial" w:hAnsi="Verdana" w:cs="Arial"/>
          <w:sz w:val="20"/>
          <w:szCs w:val="20"/>
          <w:lang w:eastAsia="es-MX"/>
        </w:rPr>
        <w:t>”</w:t>
      </w:r>
      <w:r w:rsidRPr="00072C23">
        <w:rPr>
          <w:rFonts w:ascii="Verdana" w:eastAsia="Arial" w:hAnsi="Verdana" w:cs="Arial"/>
          <w:sz w:val="20"/>
          <w:szCs w:val="20"/>
          <w:lang w:eastAsia="es-MX"/>
        </w:rPr>
        <w:t>.</w:t>
      </w:r>
    </w:p>
    <w:p w14:paraId="0B90C088" w14:textId="77777777" w:rsidR="00267D00" w:rsidRPr="00B96E97" w:rsidRDefault="00267D00" w:rsidP="00267D00">
      <w:pPr>
        <w:spacing w:after="0" w:line="276" w:lineRule="auto"/>
        <w:ind w:left="709" w:right="709"/>
        <w:jc w:val="both"/>
        <w:rPr>
          <w:rFonts w:ascii="Verdana" w:eastAsia="Arial" w:hAnsi="Verdana" w:cs="Arial"/>
          <w:lang w:eastAsia="es-MX"/>
        </w:rPr>
      </w:pPr>
    </w:p>
    <w:p w14:paraId="4B36DB41" w14:textId="77777777" w:rsidR="00267D00" w:rsidRPr="00AB4B99" w:rsidRDefault="00267D00" w:rsidP="00267D00">
      <w:pPr>
        <w:spacing w:after="120" w:line="276" w:lineRule="auto"/>
        <w:ind w:firstLine="709"/>
        <w:jc w:val="both"/>
        <w:rPr>
          <w:rFonts w:ascii="Verdana" w:eastAsia="Arial" w:hAnsi="Verdana" w:cs="Arial"/>
          <w:lang w:eastAsia="es-MX"/>
        </w:rPr>
      </w:pPr>
      <w:r w:rsidRPr="00072C23">
        <w:rPr>
          <w:rFonts w:ascii="Verdana" w:eastAsia="Arial" w:hAnsi="Verdana" w:cs="Arial"/>
          <w:lang w:eastAsia="es-MX"/>
        </w:rPr>
        <w:t>En relación con la capacidad para contratar con la que cuentan las instituciones educativas por medio de los fondos de servicios educativos, es necesario precisar que cuando se trate de actos y contratos cuya cuantía no exceda los veinte (20) salarios mínimos mensuales legales vigentes, se sujetarán a las condiciones previstas en el reglamento de contratación que expida el consejo directivo de la institución, de conformidad con lo dispuesto en el artículo 13 de la Ley 715 de 2001</w:t>
      </w:r>
      <w:r w:rsidRPr="00072C23">
        <w:rPr>
          <w:rFonts w:ascii="Verdana" w:eastAsia="Arial" w:hAnsi="Verdana" w:cs="Arial"/>
          <w:vertAlign w:val="superscript"/>
          <w:lang w:eastAsia="es-MX"/>
        </w:rPr>
        <w:footnoteReference w:id="40"/>
      </w:r>
      <w:r w:rsidRPr="00072C23">
        <w:rPr>
          <w:rFonts w:ascii="Verdana" w:eastAsia="Arial" w:hAnsi="Verdana" w:cs="Arial"/>
          <w:lang w:eastAsia="es-MX"/>
        </w:rPr>
        <w:t>. Para estos efectos, el artículo 2.3.1.6.3.17. del Decreto 1075 de 2015 dispone lo siguiente:</w:t>
      </w:r>
    </w:p>
    <w:p w14:paraId="12861FC7" w14:textId="77777777" w:rsidR="00267D00" w:rsidRPr="003A37DA" w:rsidRDefault="00267D00" w:rsidP="00267D00">
      <w:pPr>
        <w:spacing w:after="0" w:line="240" w:lineRule="auto"/>
        <w:ind w:left="709" w:right="709"/>
        <w:jc w:val="both"/>
        <w:textAlignment w:val="baseline"/>
        <w:rPr>
          <w:rFonts w:ascii="Verdana" w:eastAsia="Arial" w:hAnsi="Verdana" w:cs="Arial"/>
          <w:sz w:val="20"/>
          <w:szCs w:val="20"/>
          <w:lang w:val="es-ES" w:eastAsia="es-ES"/>
        </w:rPr>
      </w:pPr>
      <w:r>
        <w:rPr>
          <w:rFonts w:ascii="Verdana" w:eastAsia="Arial" w:hAnsi="Verdana" w:cs="Arial"/>
          <w:color w:val="000000" w:themeColor="text1"/>
          <w:sz w:val="20"/>
          <w:szCs w:val="20"/>
          <w:lang w:val="es-ES" w:eastAsia="es-ES"/>
        </w:rPr>
        <w:t>“</w:t>
      </w:r>
      <w:r w:rsidRPr="003A37DA">
        <w:rPr>
          <w:rFonts w:ascii="Verdana" w:eastAsia="Arial" w:hAnsi="Verdana" w:cs="Arial"/>
          <w:color w:val="000000" w:themeColor="text1"/>
          <w:sz w:val="20"/>
          <w:szCs w:val="20"/>
          <w:lang w:val="es-ES" w:eastAsia="es-ES"/>
        </w:rPr>
        <w:t>La celebración de contratos a que haya lugar con recursos del Fondo de Servicios Educativos, debe realizarse con estricta sujeción a lo dispuesto en el estatuto contractual de la administración pública, cuando supere la cuantía de veinte (20) salarios mínimos legales mensuales vigentes.  </w:t>
      </w:r>
    </w:p>
    <w:p w14:paraId="3E7DD150" w14:textId="77777777" w:rsidR="00267D00" w:rsidRDefault="00267D00" w:rsidP="00267D00">
      <w:pPr>
        <w:spacing w:after="0" w:line="240" w:lineRule="auto"/>
        <w:ind w:left="709" w:right="709"/>
        <w:jc w:val="both"/>
        <w:textAlignment w:val="baseline"/>
        <w:rPr>
          <w:rFonts w:ascii="Verdana" w:eastAsia="Arial" w:hAnsi="Verdana" w:cs="Arial"/>
          <w:color w:val="000000" w:themeColor="text1"/>
          <w:sz w:val="20"/>
          <w:szCs w:val="20"/>
          <w:lang w:val="es-ES" w:eastAsia="es-ES"/>
        </w:rPr>
      </w:pPr>
    </w:p>
    <w:p w14:paraId="7BD3B07E" w14:textId="77777777" w:rsidR="00267D00" w:rsidRDefault="00267D00" w:rsidP="00267D00">
      <w:pPr>
        <w:spacing w:after="0" w:line="240" w:lineRule="auto"/>
        <w:ind w:left="709" w:right="709"/>
        <w:jc w:val="both"/>
        <w:textAlignment w:val="baseline"/>
        <w:rPr>
          <w:rFonts w:ascii="Verdana" w:eastAsia="Arial" w:hAnsi="Verdana" w:cs="Arial"/>
          <w:color w:val="000000" w:themeColor="text1"/>
          <w:sz w:val="20"/>
          <w:szCs w:val="20"/>
          <w:lang w:val="es-ES" w:eastAsia="es-ES"/>
        </w:rPr>
      </w:pPr>
      <w:r w:rsidRPr="003A37DA">
        <w:rPr>
          <w:rFonts w:ascii="Verdana" w:eastAsia="Arial" w:hAnsi="Verdana" w:cs="Arial"/>
          <w:color w:val="000000" w:themeColor="text1"/>
          <w:sz w:val="20"/>
          <w:szCs w:val="20"/>
          <w:lang w:val="es-ES" w:eastAsia="es-ES"/>
        </w:rPr>
        <w:t>Si la cuantía es inferior a los veinte (20) salarios mínimos legales mensuales vigentes se deben seguir los procedimientos establecidos en el reglamento expedido por el consejo directivo, de conformidad con lo dispuesto en el artículo 13 de la Ley 715 de 2001, y en todo caso siguiendo los principios de transparencia, economía, publicidad, y responsabilidad, de conformidad con los postulados de la función administrativa</w:t>
      </w:r>
      <w:r>
        <w:rPr>
          <w:rFonts w:ascii="Verdana" w:eastAsia="Arial" w:hAnsi="Verdana" w:cs="Arial"/>
          <w:color w:val="000000" w:themeColor="text1"/>
          <w:sz w:val="20"/>
          <w:szCs w:val="20"/>
          <w:lang w:val="es-ES" w:eastAsia="es-ES"/>
        </w:rPr>
        <w:t>”</w:t>
      </w:r>
      <w:r w:rsidRPr="003A37DA">
        <w:rPr>
          <w:rFonts w:ascii="Verdana" w:eastAsia="Arial" w:hAnsi="Verdana" w:cs="Arial"/>
          <w:color w:val="000000" w:themeColor="text1"/>
          <w:sz w:val="20"/>
          <w:szCs w:val="20"/>
          <w:lang w:val="es-ES" w:eastAsia="es-ES"/>
        </w:rPr>
        <w:t>.  </w:t>
      </w:r>
    </w:p>
    <w:p w14:paraId="0326C817" w14:textId="77777777" w:rsidR="00267D00" w:rsidRPr="003A37DA" w:rsidRDefault="00267D00" w:rsidP="00267D00">
      <w:pPr>
        <w:spacing w:after="0" w:line="240" w:lineRule="auto"/>
        <w:ind w:left="709" w:right="709"/>
        <w:jc w:val="both"/>
        <w:textAlignment w:val="baseline"/>
        <w:rPr>
          <w:rFonts w:ascii="Verdana" w:eastAsia="Arial" w:hAnsi="Verdana" w:cs="Arial"/>
          <w:sz w:val="20"/>
          <w:szCs w:val="20"/>
          <w:lang w:val="es-ES" w:eastAsia="es-ES"/>
        </w:rPr>
      </w:pPr>
    </w:p>
    <w:p w14:paraId="01D6C6A4" w14:textId="77777777" w:rsidR="00267D00" w:rsidRPr="00072C23" w:rsidRDefault="00267D00" w:rsidP="00267D00">
      <w:pPr>
        <w:spacing w:after="120" w:line="276" w:lineRule="auto"/>
        <w:ind w:firstLine="709"/>
        <w:jc w:val="both"/>
        <w:rPr>
          <w:rFonts w:ascii="Verdana" w:eastAsia="Arial" w:hAnsi="Verdana" w:cs="Arial"/>
          <w:lang w:eastAsia="es-MX"/>
        </w:rPr>
      </w:pPr>
      <w:r w:rsidRPr="00072C23">
        <w:rPr>
          <w:rFonts w:ascii="Verdana" w:eastAsia="Arial" w:hAnsi="Verdana" w:cs="Arial"/>
          <w:lang w:eastAsia="es-MX"/>
        </w:rPr>
        <w:t xml:space="preserve">Esto significa que la contratación que realicen las instituciones educativas, siempre que se ubique por debajo del referido umbral, no deberá ceñirse a las reglas del Estatuto General de Contratación de la Administración Pública, sino a las determinadas por el reglamento expedido por el consejo directivo de la institución educativa conforme al </w:t>
      </w:r>
      <w:bookmarkStart w:id="22" w:name="_Hlk61284209"/>
      <w:r w:rsidRPr="00072C23">
        <w:rPr>
          <w:rFonts w:ascii="Verdana" w:eastAsia="Arial" w:hAnsi="Verdana" w:cs="Arial"/>
          <w:lang w:eastAsia="es-MX"/>
        </w:rPr>
        <w:t>artículo 13 de la Ley 715 de 2001</w:t>
      </w:r>
      <w:bookmarkEnd w:id="22"/>
      <w:r w:rsidRPr="00072C23">
        <w:rPr>
          <w:rFonts w:ascii="Verdana" w:eastAsia="Arial" w:hAnsi="Verdana" w:cs="Arial"/>
          <w:lang w:eastAsia="es-MX"/>
        </w:rPr>
        <w:t xml:space="preserve">. Los reglamentos que se expidan de conformidad con los principios de igualdad, moralidad, imparcialidad y publicidad, así como de acuerdo con la experiencia y el análisis concreto de las necesidades del establecimiento, deben definir los trámites, garantías y constancias que deben cumplirse para que el rector o director celebre cualquier acto o contrato que cree, extinga o modifique obligaciones con cargo al respectivo fondo de servicios educativos. </w:t>
      </w:r>
    </w:p>
    <w:p w14:paraId="278F4278" w14:textId="77777777" w:rsidR="00267D00" w:rsidRPr="00072C23" w:rsidRDefault="00267D00" w:rsidP="00267D00">
      <w:pPr>
        <w:spacing w:after="120" w:line="276" w:lineRule="auto"/>
        <w:ind w:firstLine="709"/>
        <w:jc w:val="both"/>
        <w:rPr>
          <w:rFonts w:ascii="Verdana" w:eastAsia="Arial" w:hAnsi="Verdana" w:cs="Arial"/>
          <w:color w:val="000000"/>
          <w:lang w:eastAsia="es-CO"/>
        </w:rPr>
      </w:pPr>
      <w:r w:rsidRPr="00072C23">
        <w:rPr>
          <w:rFonts w:ascii="Verdana" w:eastAsia="Arial" w:hAnsi="Verdana" w:cs="Arial"/>
          <w:color w:val="000000" w:themeColor="text1"/>
          <w:lang w:eastAsia="es-MX"/>
        </w:rPr>
        <w:t xml:space="preserve">En este contexto, </w:t>
      </w:r>
      <w:r>
        <w:rPr>
          <w:rFonts w:ascii="Verdana" w:eastAsia="Arial" w:hAnsi="Verdana" w:cs="Arial"/>
          <w:color w:val="000000" w:themeColor="text1"/>
          <w:lang w:eastAsia="es-MX"/>
        </w:rPr>
        <w:t>respecto del análisis sobre la aplicación a</w:t>
      </w:r>
      <w:r w:rsidRPr="00072C23">
        <w:rPr>
          <w:rFonts w:ascii="Verdana" w:eastAsia="Arial" w:hAnsi="Verdana" w:cs="Arial"/>
          <w:color w:val="000000" w:themeColor="text1"/>
          <w:lang w:eastAsia="es-MX"/>
        </w:rPr>
        <w:t xml:space="preserve"> la restricción del artículo 33 de la </w:t>
      </w:r>
      <w:r w:rsidRPr="00072C23">
        <w:rPr>
          <w:rFonts w:ascii="Verdana" w:eastAsia="Arial" w:hAnsi="Verdana" w:cs="Arial"/>
          <w:color w:val="000000" w:themeColor="text1"/>
          <w:lang w:eastAsia="es-CO"/>
        </w:rPr>
        <w:t>Ley 996 de 2005 es necesario considerar que</w:t>
      </w:r>
      <w:r>
        <w:rPr>
          <w:rFonts w:ascii="Verdana" w:eastAsia="Arial" w:hAnsi="Verdana" w:cs="Arial"/>
          <w:color w:val="000000" w:themeColor="text1"/>
          <w:lang w:eastAsia="es-CO"/>
        </w:rPr>
        <w:t>, si bien</w:t>
      </w:r>
      <w:r w:rsidRPr="00072C23">
        <w:rPr>
          <w:rFonts w:ascii="Verdana" w:eastAsia="Arial" w:hAnsi="Verdana" w:cs="Arial"/>
          <w:color w:val="000000" w:themeColor="text1"/>
          <w:lang w:eastAsia="es-CO"/>
        </w:rPr>
        <w:t xml:space="preserve"> </w:t>
      </w:r>
      <w:r w:rsidRPr="00072C23">
        <w:rPr>
          <w:rFonts w:ascii="Verdana" w:eastAsia="Arial" w:hAnsi="Verdana" w:cs="Arial"/>
          <w:lang w:val="es-ES" w:eastAsia="es-MX"/>
        </w:rPr>
        <w:t xml:space="preserve">el artículo </w:t>
      </w:r>
      <w:r w:rsidRPr="00072C23">
        <w:rPr>
          <w:rFonts w:ascii="Verdana" w:eastAsia="Arial" w:hAnsi="Verdana" w:cs="Arial"/>
          <w:lang w:eastAsia="es-MX"/>
        </w:rPr>
        <w:t>13 de la Ley 715 de 2001</w:t>
      </w:r>
      <w:r w:rsidRPr="00072C23">
        <w:rPr>
          <w:rFonts w:ascii="Verdana" w:eastAsia="Arial" w:hAnsi="Verdana" w:cs="Arial"/>
          <w:color w:val="000000" w:themeColor="text1"/>
          <w:lang w:eastAsia="es-CO"/>
        </w:rPr>
        <w:t xml:space="preserve"> consagra un régimen jurídico que exceptúa la aplicación del Estatuto General de Contratación de la Administración Pública en los contratos de los fondos de servicios educativos inferiores a veinte (20) SMLMV con el objetivo de flexibilizar el régimen contractual aplicable</w:t>
      </w:r>
      <w:r>
        <w:rPr>
          <w:rFonts w:ascii="Verdana" w:eastAsia="Arial" w:hAnsi="Verdana" w:cs="Arial"/>
          <w:color w:val="000000" w:themeColor="text1"/>
          <w:lang w:eastAsia="es-CO"/>
        </w:rPr>
        <w:t xml:space="preserve">, lo cierto es que </w:t>
      </w:r>
      <w:r w:rsidRPr="00072C23">
        <w:rPr>
          <w:rFonts w:ascii="Verdana" w:eastAsia="Arial" w:hAnsi="Verdana" w:cs="Arial"/>
          <w:color w:val="000000" w:themeColor="text1"/>
          <w:lang w:eastAsia="es-CO"/>
        </w:rPr>
        <w:t>la prohibición de contratación directa de la Ley de Garantías</w:t>
      </w:r>
      <w:r>
        <w:rPr>
          <w:rFonts w:ascii="Verdana" w:eastAsia="Arial" w:hAnsi="Verdana" w:cs="Arial"/>
          <w:color w:val="000000" w:themeColor="text1"/>
          <w:lang w:eastAsia="es-CO"/>
        </w:rPr>
        <w:t xml:space="preserve"> Electorales aplica</w:t>
      </w:r>
      <w:r w:rsidRPr="00072C23">
        <w:rPr>
          <w:rFonts w:ascii="Verdana" w:eastAsia="Arial" w:hAnsi="Verdana" w:cs="Arial"/>
          <w:color w:val="000000" w:themeColor="text1"/>
          <w:lang w:eastAsia="es-CO"/>
        </w:rPr>
        <w:t xml:space="preserve"> independiente</w:t>
      </w:r>
      <w:r>
        <w:rPr>
          <w:rFonts w:ascii="Verdana" w:eastAsia="Arial" w:hAnsi="Verdana" w:cs="Arial"/>
          <w:color w:val="000000" w:themeColor="text1"/>
          <w:lang w:eastAsia="es-CO"/>
        </w:rPr>
        <w:t>mente</w:t>
      </w:r>
      <w:r w:rsidRPr="00072C23">
        <w:rPr>
          <w:rFonts w:ascii="Verdana" w:eastAsia="Arial" w:hAnsi="Verdana" w:cs="Arial"/>
          <w:color w:val="000000" w:themeColor="text1"/>
          <w:lang w:eastAsia="es-CO"/>
        </w:rPr>
        <w:t xml:space="preserve"> del régimen contractual, por lo que se extiende a los contratos celebrados con cargo a los fondos de servicios educativos</w:t>
      </w:r>
      <w:r>
        <w:rPr>
          <w:rFonts w:ascii="Verdana" w:eastAsia="Arial" w:hAnsi="Verdana" w:cs="Arial"/>
          <w:color w:val="000000" w:themeColor="text1"/>
          <w:lang w:eastAsia="es-CO"/>
        </w:rPr>
        <w:t>, por ser Entes del Estado</w:t>
      </w:r>
      <w:r w:rsidRPr="00072C23">
        <w:rPr>
          <w:rFonts w:ascii="Verdana" w:eastAsia="Arial" w:hAnsi="Verdana" w:cs="Arial"/>
          <w:color w:val="000000" w:themeColor="text1"/>
          <w:lang w:eastAsia="es-CO"/>
        </w:rPr>
        <w:t>.</w:t>
      </w:r>
    </w:p>
    <w:p w14:paraId="3DF5CB9B" w14:textId="77777777" w:rsidR="00267D00" w:rsidRDefault="00267D00" w:rsidP="00267D00">
      <w:pPr>
        <w:spacing w:after="120" w:line="276" w:lineRule="auto"/>
        <w:ind w:firstLine="709"/>
        <w:jc w:val="both"/>
        <w:rPr>
          <w:rFonts w:ascii="Verdana" w:eastAsia="Arial" w:hAnsi="Verdana" w:cs="Arial"/>
          <w:color w:val="000000"/>
          <w:lang w:eastAsia="es-CO"/>
        </w:rPr>
      </w:pPr>
      <w:r>
        <w:rPr>
          <w:rFonts w:ascii="Verdana" w:eastAsia="Arial" w:hAnsi="Verdana" w:cs="Arial"/>
          <w:color w:val="000000"/>
          <w:lang w:eastAsia="es-CO"/>
        </w:rPr>
        <w:t>Por su parte, respecto del alcance de la prohibición</w:t>
      </w:r>
      <w:r w:rsidRPr="00072C23">
        <w:rPr>
          <w:rFonts w:ascii="Verdana" w:eastAsia="Arial" w:hAnsi="Verdana" w:cs="Arial"/>
          <w:color w:val="000000"/>
          <w:lang w:eastAsia="es-CO"/>
        </w:rPr>
        <w:t>,</w:t>
      </w:r>
      <w:r>
        <w:rPr>
          <w:rFonts w:ascii="Verdana" w:eastAsia="Arial" w:hAnsi="Verdana" w:cs="Arial"/>
          <w:color w:val="000000"/>
          <w:lang w:eastAsia="es-CO"/>
        </w:rPr>
        <w:t xml:space="preserve"> debe tenerse en cuenta que</w:t>
      </w:r>
      <w:r w:rsidRPr="00072C23">
        <w:rPr>
          <w:rFonts w:ascii="Verdana" w:eastAsia="Arial" w:hAnsi="Verdana" w:cs="Arial"/>
          <w:color w:val="000000"/>
          <w:lang w:eastAsia="es-CO"/>
        </w:rPr>
        <w:t xml:space="preserve"> la Sala de Consulta y Servicio Civil del Consejo de Estado explica que “La prohibición contenida en el artículo 33, desde el punto de vista objetivo o material, comprende la contratación directa, entendida como cualquier mecanismo de escogencia del contratista en el que se prescinde de la licitación o concurso, </w:t>
      </w:r>
      <w:r w:rsidRPr="00072C23">
        <w:rPr>
          <w:rFonts w:ascii="Verdana" w:eastAsia="Arial" w:hAnsi="Verdana" w:cs="Arial"/>
          <w:i/>
          <w:iCs/>
          <w:color w:val="000000"/>
          <w:lang w:eastAsia="es-CO"/>
        </w:rPr>
        <w:t>sin que se tenga en cuenta por el legislador estatutario el régimen de contratación aplicable, ya sea contenido en el Estatuto General de Contratación de la Administración Pública o uno especial en razón del objeto, del contrato o del órgano que contrata</w:t>
      </w:r>
      <w:r w:rsidRPr="00072C23">
        <w:rPr>
          <w:rFonts w:ascii="Verdana" w:eastAsia="Arial" w:hAnsi="Verdana" w:cs="Arial"/>
          <w:color w:val="000000"/>
          <w:lang w:eastAsia="es-CO"/>
        </w:rPr>
        <w:t>”</w:t>
      </w:r>
      <w:r w:rsidRPr="00072C23">
        <w:rPr>
          <w:rFonts w:ascii="Verdana" w:eastAsia="Arial" w:hAnsi="Verdana" w:cs="Arial"/>
          <w:color w:val="000000"/>
          <w:vertAlign w:val="superscript"/>
          <w:lang w:eastAsia="es-CO"/>
        </w:rPr>
        <w:footnoteReference w:id="41"/>
      </w:r>
      <w:r w:rsidRPr="00072C23">
        <w:rPr>
          <w:rFonts w:ascii="Verdana" w:eastAsia="Arial" w:hAnsi="Verdana" w:cs="Arial"/>
          <w:color w:val="000000"/>
          <w:lang w:eastAsia="es-CO"/>
        </w:rPr>
        <w:t xml:space="preserve"> (Énfasis fuera de texto). </w:t>
      </w:r>
    </w:p>
    <w:p w14:paraId="1990DF97" w14:textId="77777777" w:rsidR="00267D00" w:rsidRDefault="00267D00" w:rsidP="00267D00">
      <w:pPr>
        <w:spacing w:after="120" w:line="276" w:lineRule="auto"/>
        <w:ind w:firstLine="709"/>
        <w:jc w:val="both"/>
        <w:rPr>
          <w:rFonts w:ascii="Verdana" w:eastAsia="Arial" w:hAnsi="Verdana" w:cs="Arial"/>
          <w:color w:val="000000"/>
          <w:lang w:eastAsia="es-CO"/>
        </w:rPr>
      </w:pPr>
      <w:r w:rsidRPr="00072C23">
        <w:rPr>
          <w:rFonts w:ascii="Verdana" w:eastAsia="Arial" w:hAnsi="Verdana" w:cs="Arial"/>
          <w:color w:val="000000"/>
          <w:lang w:eastAsia="es-CO"/>
        </w:rPr>
        <w:t xml:space="preserve">Por tanto, durante la vigencia de la prohibición del artículo 33 de la Ley 996 de 2005 está restringida </w:t>
      </w:r>
      <w:r w:rsidRPr="00072C23">
        <w:rPr>
          <w:rFonts w:ascii="Verdana" w:eastAsia="Arial" w:hAnsi="Verdana" w:cs="Arial"/>
          <w:i/>
          <w:iCs/>
          <w:color w:val="000000"/>
          <w:lang w:eastAsia="es-CO"/>
        </w:rPr>
        <w:t>cualquier modalidad de selección que excluya la pluralidad de oferentes</w:t>
      </w:r>
      <w:r w:rsidRPr="00072C23">
        <w:rPr>
          <w:rFonts w:ascii="Verdana" w:eastAsia="Arial" w:hAnsi="Verdana" w:cs="Arial"/>
          <w:color w:val="000000"/>
          <w:lang w:eastAsia="es-CO"/>
        </w:rPr>
        <w:t xml:space="preserve">, incluso aunque se realice con fundamento en el régimen especial de contratación realizado con recursos de los fondos de servicios educativos por valor inferior a veinte (20) SMLMV, por implicar una forma de contratación directa. </w:t>
      </w:r>
      <w:r>
        <w:rPr>
          <w:rFonts w:ascii="Verdana" w:eastAsia="Arial" w:hAnsi="Verdana" w:cs="Arial"/>
          <w:color w:val="000000"/>
          <w:lang w:eastAsia="es-CO"/>
        </w:rPr>
        <w:t>Ahora bien</w:t>
      </w:r>
      <w:r w:rsidRPr="00072C23">
        <w:rPr>
          <w:rFonts w:ascii="Verdana" w:eastAsia="Arial" w:hAnsi="Verdana" w:cs="Arial"/>
          <w:color w:val="000000"/>
          <w:lang w:eastAsia="es-CO"/>
        </w:rPr>
        <w:t>,</w:t>
      </w:r>
      <w:r>
        <w:rPr>
          <w:rFonts w:ascii="Verdana" w:eastAsia="Arial" w:hAnsi="Verdana" w:cs="Arial"/>
          <w:color w:val="000000"/>
          <w:lang w:eastAsia="es-CO"/>
        </w:rPr>
        <w:t xml:space="preserve"> en vigencia de la Ley de</w:t>
      </w:r>
      <w:r w:rsidRPr="00072C23">
        <w:rPr>
          <w:rFonts w:ascii="Verdana" w:eastAsia="Arial" w:hAnsi="Verdana" w:cs="Arial"/>
          <w:color w:val="000000"/>
          <w:lang w:eastAsia="es-CO"/>
        </w:rPr>
        <w:t xml:space="preserve"> será posible realizar procesos contractuales, siempre que estos incluyan la posibilidad de participación de una pluralidad de oferentes, ya que estos no implicarían una contratación </w:t>
      </w:r>
      <w:r w:rsidRPr="00072C23">
        <w:rPr>
          <w:rFonts w:ascii="Verdana" w:eastAsia="Arial" w:hAnsi="Verdana" w:cs="Arial"/>
          <w:i/>
          <w:iCs/>
          <w:color w:val="000000"/>
          <w:lang w:eastAsia="es-CO"/>
        </w:rPr>
        <w:t>directa.</w:t>
      </w:r>
      <w:r w:rsidRPr="00072C23">
        <w:rPr>
          <w:rFonts w:ascii="Verdana" w:eastAsia="Arial" w:hAnsi="Verdana" w:cs="Arial"/>
          <w:color w:val="000000"/>
          <w:lang w:eastAsia="es-CO"/>
        </w:rPr>
        <w:t xml:space="preserve"> En conclusión, la prohibición del artículo 33 de la Ley 996 de 2005 se extiende a cualquier contrato realizado con recursos de fondos de servicios educativos, sean inferiores o superiores a </w:t>
      </w:r>
      <w:r>
        <w:rPr>
          <w:rFonts w:ascii="Verdana" w:eastAsia="Arial" w:hAnsi="Verdana" w:cs="Arial"/>
          <w:color w:val="000000"/>
          <w:lang w:eastAsia="es-CO"/>
        </w:rPr>
        <w:t>veinte (</w:t>
      </w:r>
      <w:r w:rsidRPr="00072C23">
        <w:rPr>
          <w:rFonts w:ascii="Verdana" w:eastAsia="Arial" w:hAnsi="Verdana" w:cs="Arial"/>
          <w:color w:val="000000"/>
          <w:lang w:eastAsia="es-CO"/>
        </w:rPr>
        <w:t>20</w:t>
      </w:r>
      <w:r>
        <w:rPr>
          <w:rFonts w:ascii="Verdana" w:eastAsia="Arial" w:hAnsi="Verdana" w:cs="Arial"/>
          <w:color w:val="000000"/>
          <w:lang w:eastAsia="es-CO"/>
        </w:rPr>
        <w:t>)</w:t>
      </w:r>
      <w:r w:rsidRPr="00072C23">
        <w:rPr>
          <w:rFonts w:ascii="Verdana" w:eastAsia="Arial" w:hAnsi="Verdana" w:cs="Arial"/>
          <w:color w:val="000000"/>
          <w:lang w:eastAsia="es-CO"/>
        </w:rPr>
        <w:t xml:space="preserve"> SMLMV siempre que el contrato se celebre sin que esté antecedido de un procedimiento que admita la posible participación de una pluralidad de oferentes, toda vez que la prohibición recae sobre la </w:t>
      </w:r>
      <w:r w:rsidRPr="00072C23">
        <w:rPr>
          <w:rFonts w:ascii="Verdana" w:eastAsia="Arial" w:hAnsi="Verdana" w:cs="Arial"/>
          <w:i/>
          <w:iCs/>
          <w:color w:val="000000"/>
          <w:lang w:eastAsia="es-CO"/>
        </w:rPr>
        <w:t>contratación directa</w:t>
      </w:r>
      <w:r w:rsidRPr="00072C23">
        <w:rPr>
          <w:rFonts w:ascii="Verdana" w:eastAsia="Arial" w:hAnsi="Verdana" w:cs="Arial"/>
          <w:color w:val="000000"/>
          <w:lang w:eastAsia="es-CO"/>
        </w:rPr>
        <w:t xml:space="preserve">.  </w:t>
      </w:r>
    </w:p>
    <w:p w14:paraId="65DE5502" w14:textId="77777777" w:rsidR="00267D00" w:rsidRDefault="00267D00" w:rsidP="00267D00">
      <w:pPr>
        <w:spacing w:after="120" w:line="276" w:lineRule="auto"/>
        <w:ind w:firstLine="709"/>
        <w:jc w:val="both"/>
        <w:rPr>
          <w:rFonts w:ascii="Verdana" w:eastAsia="Arial" w:hAnsi="Verdana" w:cs="Arial"/>
          <w:color w:val="000000"/>
          <w:lang w:val="es-MX" w:eastAsia="es-CO"/>
        </w:rPr>
      </w:pPr>
      <w:r>
        <w:rPr>
          <w:rFonts w:ascii="Verdana" w:eastAsia="Arial" w:hAnsi="Verdana" w:cs="Arial"/>
          <w:color w:val="000000"/>
          <w:lang w:eastAsia="es-CO"/>
        </w:rPr>
        <w:t xml:space="preserve">En relación </w:t>
      </w:r>
      <w:bookmarkStart w:id="23" w:name="_Hlk207205098"/>
      <w:r>
        <w:rPr>
          <w:rFonts w:ascii="Verdana" w:eastAsia="Arial" w:hAnsi="Verdana" w:cs="Arial"/>
          <w:lang w:val="es-MX" w:eastAsia="es-ES" w:bidi="es-ES"/>
        </w:rPr>
        <w:t>a la prohibición prevista en</w:t>
      </w:r>
      <w:r w:rsidRPr="00E2397D">
        <w:rPr>
          <w:rFonts w:ascii="Verdana" w:eastAsia="Times New Roman" w:hAnsi="Verdana" w:cs="Arial"/>
          <w:lang w:eastAsia="es-CO"/>
        </w:rPr>
        <w:t xml:space="preserve"> </w:t>
      </w:r>
      <w:r w:rsidRPr="00E2397D">
        <w:rPr>
          <w:rFonts w:ascii="Verdana" w:eastAsia="Times New Roman" w:hAnsi="Verdana" w:cs="Arial"/>
          <w:lang w:val="es-MX" w:eastAsia="es-CO"/>
        </w:rPr>
        <w:t xml:space="preserve">el parágrafo del artículo 38 de la Ley 996 de 2005 </w:t>
      </w:r>
      <w:r>
        <w:rPr>
          <w:rFonts w:ascii="Verdana" w:eastAsia="Times New Roman" w:hAnsi="Verdana" w:cs="Arial"/>
          <w:lang w:val="es-MX" w:eastAsia="es-CO"/>
        </w:rPr>
        <w:t xml:space="preserve">para </w:t>
      </w:r>
      <w:r w:rsidRPr="00E2397D">
        <w:rPr>
          <w:rFonts w:ascii="Verdana" w:eastAsia="Times New Roman" w:hAnsi="Verdana" w:cs="Arial"/>
          <w:lang w:val="es-MX" w:eastAsia="es-CO"/>
        </w:rPr>
        <w:t xml:space="preserve">los Alcaldes, Gobernadores, Secretarios, Gerentes y Directores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w:t>
      </w:r>
      <w:r>
        <w:rPr>
          <w:rFonts w:ascii="Verdana" w:eastAsia="Times New Roman" w:hAnsi="Verdana" w:cs="Arial"/>
          <w:lang w:val="es-MX" w:eastAsia="es-CO"/>
        </w:rPr>
        <w:t xml:space="preserve">en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bookmarkEnd w:id="23"/>
    </w:p>
    <w:p w14:paraId="1D700D90" w14:textId="77777777" w:rsidR="00267D00" w:rsidRDefault="00267D00" w:rsidP="00267D00">
      <w:pPr>
        <w:spacing w:after="120" w:line="276" w:lineRule="auto"/>
        <w:ind w:firstLine="709"/>
        <w:jc w:val="both"/>
        <w:rPr>
          <w:rFonts w:ascii="Verdana" w:eastAsia="Arial" w:hAnsi="Verdana" w:cs="Arial"/>
          <w:color w:val="000000"/>
          <w:lang w:eastAsia="es-CO"/>
        </w:rPr>
      </w:pPr>
      <w:r w:rsidRPr="00FF007A">
        <w:rPr>
          <w:rFonts w:ascii="Verdana" w:eastAsia="Arial" w:hAnsi="Verdana" w:cs="Arial"/>
          <w:bCs/>
          <w:color w:val="000000" w:themeColor="text1"/>
        </w:rPr>
        <w:t xml:space="preserve">Conforme con lo expuesto, las entidades que requieran adelantar procesos de contratación directa durante el periodo de garantías electorales deberán analizar, primero, </w:t>
      </w:r>
      <w:r w:rsidRPr="006E6949">
        <w:rPr>
          <w:rFonts w:ascii="Verdana" w:eastAsia="Arial" w:hAnsi="Verdana" w:cs="Arial"/>
          <w:bCs/>
          <w:color w:val="000000" w:themeColor="text1"/>
        </w:rPr>
        <w:t xml:space="preserve">si se configuran los supuestos establecidos en </w:t>
      </w:r>
      <w:r w:rsidRPr="006E6949">
        <w:rPr>
          <w:rFonts w:ascii="Verdana" w:eastAsia="Arial" w:hAnsi="Verdana" w:cs="Arial"/>
          <w:bCs/>
          <w:i/>
          <w:iCs/>
          <w:color w:val="000000" w:themeColor="text1"/>
        </w:rPr>
        <w:t>el artículo 33</w:t>
      </w:r>
      <w:r w:rsidRPr="006E6949">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si se configura alguna de las excepciones previstas en la norma. </w:t>
      </w:r>
    </w:p>
    <w:p w14:paraId="6EC50D00" w14:textId="77777777" w:rsidR="00267D00" w:rsidRDefault="00267D00" w:rsidP="00267D00">
      <w:pPr>
        <w:spacing w:after="120" w:line="276" w:lineRule="auto"/>
        <w:ind w:firstLine="709"/>
        <w:jc w:val="both"/>
        <w:rPr>
          <w:rFonts w:ascii="Verdana" w:eastAsia="Arial" w:hAnsi="Verdana" w:cs="Arial"/>
          <w:color w:val="000000"/>
          <w:lang w:eastAsia="es-CO"/>
        </w:rPr>
      </w:pPr>
      <w:r w:rsidRPr="00FF007A">
        <w:rPr>
          <w:rFonts w:ascii="Verdana" w:eastAsia="Calibri" w:hAnsi="Verdana" w:cs="Arial"/>
        </w:rPr>
        <w:t xml:space="preserve">En particular, </w:t>
      </w:r>
      <w:r>
        <w:rPr>
          <w:rFonts w:ascii="Verdana" w:eastAsia="Calibri" w:hAnsi="Verdana" w:cs="Arial"/>
        </w:rPr>
        <w:t>cada</w:t>
      </w:r>
      <w:r w:rsidRPr="00FF007A">
        <w:rPr>
          <w:rFonts w:ascii="Verdana" w:eastAsia="Calibri" w:hAnsi="Verdana" w:cs="Arial"/>
        </w:rPr>
        <w:t xml:space="preserve"> Entidad Estatal </w:t>
      </w:r>
      <w:r>
        <w:rPr>
          <w:rFonts w:ascii="Verdana" w:eastAsia="Calibri" w:hAnsi="Verdana" w:cs="Arial"/>
        </w:rPr>
        <w:t xml:space="preserve">deberá </w:t>
      </w:r>
      <w:r w:rsidRPr="00FF007A">
        <w:rPr>
          <w:rFonts w:ascii="Verdana" w:eastAsia="Calibri" w:hAnsi="Verdana" w:cs="Arial"/>
        </w:rPr>
        <w:t xml:space="preserve">realizar el correspondiente análisis para </w:t>
      </w:r>
      <w:r>
        <w:rPr>
          <w:rFonts w:ascii="Verdana" w:eastAsia="Calibri" w:hAnsi="Verdana" w:cs="Arial"/>
        </w:rPr>
        <w:t xml:space="preserve">definir </w:t>
      </w:r>
      <w:r w:rsidRPr="00FF007A">
        <w:rPr>
          <w:rFonts w:ascii="Verdana" w:eastAsia="Calibri" w:hAnsi="Verdana" w:cs="Arial"/>
        </w:rPr>
        <w:t>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FF007A">
        <w:rPr>
          <w:rFonts w:ascii="Verdana" w:hAnsi="Verdana" w:cs="Arial"/>
          <w:lang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w:t>
      </w:r>
    </w:p>
    <w:p w14:paraId="1890A1FA" w14:textId="77777777" w:rsidR="00267D00" w:rsidRPr="000305E5" w:rsidRDefault="00267D00" w:rsidP="00267D00">
      <w:pPr>
        <w:spacing w:after="120" w:line="276" w:lineRule="auto"/>
        <w:ind w:firstLine="709"/>
        <w:jc w:val="both"/>
        <w:rPr>
          <w:rFonts w:ascii="Verdana" w:eastAsia="Arial" w:hAnsi="Verdana" w:cs="Arial"/>
          <w:color w:val="000000"/>
          <w:lang w:eastAsia="es-CO"/>
        </w:rPr>
      </w:pPr>
      <w:r w:rsidRPr="001450CA">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FA2B9BA" w14:textId="77777777" w:rsidR="00267D00" w:rsidRDefault="00267D00" w:rsidP="00267D00">
      <w:pPr>
        <w:spacing w:after="120" w:line="276" w:lineRule="auto"/>
        <w:ind w:firstLine="709"/>
        <w:jc w:val="both"/>
        <w:rPr>
          <w:rFonts w:ascii="Verdana" w:hAnsi="Verdana" w:cs="Arial"/>
          <w:bCs/>
          <w:color w:val="000000" w:themeColor="text1"/>
        </w:rPr>
      </w:pPr>
      <w:r w:rsidRPr="001450CA">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676AC4A6" w14:textId="25CEAD67" w:rsidR="00267D00" w:rsidRPr="00305F79" w:rsidRDefault="00267D00" w:rsidP="00267D00">
      <w:pPr>
        <w:spacing w:after="0" w:line="276" w:lineRule="auto"/>
        <w:jc w:val="both"/>
        <w:rPr>
          <w:rFonts w:ascii="Verdana" w:eastAsia="Century Gothic" w:hAnsi="Verdana" w:cs="Century Gothic"/>
          <w:b/>
          <w:bCs/>
        </w:rPr>
      </w:pPr>
      <w:bookmarkStart w:id="24" w:name="_Hlk204854194"/>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24"/>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67D00" w:rsidRPr="002D2C18" w14:paraId="27CB9202" w14:textId="77777777" w:rsidTr="00C57709">
        <w:trPr>
          <w:trHeight w:val="56"/>
          <w:jc w:val="center"/>
        </w:trPr>
        <w:tc>
          <w:tcPr>
            <w:tcW w:w="8647" w:type="dxa"/>
          </w:tcPr>
          <w:p w14:paraId="0606F1F8" w14:textId="77777777" w:rsidR="00267D00" w:rsidRPr="00B51E0F" w:rsidRDefault="00267D00" w:rsidP="00C57709">
            <w:pPr>
              <w:pStyle w:val="Prrafodelista"/>
              <w:numPr>
                <w:ilvl w:val="0"/>
                <w:numId w:val="17"/>
              </w:numPr>
              <w:spacing w:after="120" w:line="276" w:lineRule="auto"/>
              <w:jc w:val="both"/>
              <w:rPr>
                <w:rFonts w:ascii="Verdana" w:hAnsi="Verdana" w:cs="Arial"/>
                <w:lang w:eastAsia="es-ES"/>
              </w:rPr>
            </w:pPr>
            <w:r w:rsidRPr="00071DB3">
              <w:rPr>
                <w:rFonts w:ascii="Verdana" w:hAnsi="Verdana" w:cs="Arial"/>
                <w:lang w:eastAsia="es-ES"/>
              </w:rPr>
              <w:t>Constitución Política. Artículo</w:t>
            </w:r>
            <w:r>
              <w:rPr>
                <w:rFonts w:ascii="Verdana" w:hAnsi="Verdana" w:cs="Arial"/>
                <w:lang w:eastAsia="es-ES"/>
              </w:rPr>
              <w:t>s 69,</w:t>
            </w:r>
            <w:r w:rsidRPr="00071DB3">
              <w:rPr>
                <w:rFonts w:ascii="Verdana" w:hAnsi="Verdana" w:cs="Arial"/>
                <w:lang w:eastAsia="es-ES"/>
              </w:rPr>
              <w:t xml:space="preserve"> 127.</w:t>
            </w:r>
            <w:r w:rsidRPr="00B51E0F">
              <w:rPr>
                <w:rFonts w:ascii="Verdana" w:hAnsi="Verdana" w:cs="Arial"/>
                <w:lang w:eastAsia="es-ES"/>
              </w:rPr>
              <w:t xml:space="preserve"> </w:t>
            </w:r>
          </w:p>
          <w:p w14:paraId="537D6C84" w14:textId="77777777" w:rsidR="00267D00" w:rsidRDefault="00267D00" w:rsidP="00C57709">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Ley 996 de 2005. Artículos 33 y 38.</w:t>
            </w:r>
          </w:p>
          <w:p w14:paraId="0DB8F15A" w14:textId="77777777" w:rsidR="00267D00" w:rsidRDefault="00267D00" w:rsidP="00C57709">
            <w:pPr>
              <w:pStyle w:val="Prrafodelista"/>
              <w:numPr>
                <w:ilvl w:val="0"/>
                <w:numId w:val="17"/>
              </w:numPr>
              <w:spacing w:after="120" w:line="276" w:lineRule="auto"/>
              <w:jc w:val="both"/>
              <w:rPr>
                <w:rFonts w:ascii="Verdana" w:hAnsi="Verdana" w:cs="Arial"/>
                <w:lang w:eastAsia="es-ES"/>
              </w:rPr>
            </w:pPr>
            <w:r w:rsidRPr="00B51E0F">
              <w:rPr>
                <w:rFonts w:ascii="Verdana" w:hAnsi="Verdana" w:cs="Arial"/>
                <w:lang w:eastAsia="es-ES"/>
              </w:rPr>
              <w:t xml:space="preserve">Ley 60 de 1993 </w:t>
            </w:r>
          </w:p>
          <w:p w14:paraId="0B0FC4AB" w14:textId="77777777" w:rsidR="00267D00" w:rsidRDefault="00267D00" w:rsidP="00C57709">
            <w:pPr>
              <w:pStyle w:val="Prrafodelista"/>
              <w:numPr>
                <w:ilvl w:val="0"/>
                <w:numId w:val="17"/>
              </w:numPr>
              <w:spacing w:after="120" w:line="276" w:lineRule="auto"/>
              <w:jc w:val="both"/>
              <w:rPr>
                <w:rFonts w:ascii="Verdana" w:hAnsi="Verdana" w:cs="Arial"/>
                <w:lang w:eastAsia="es-ES"/>
              </w:rPr>
            </w:pPr>
            <w:r w:rsidRPr="00B51E0F">
              <w:rPr>
                <w:rFonts w:ascii="Verdana" w:hAnsi="Verdana" w:cs="Arial"/>
                <w:lang w:eastAsia="es-ES"/>
              </w:rPr>
              <w:t xml:space="preserve">Ley 715 de 2001. </w:t>
            </w:r>
            <w:r>
              <w:rPr>
                <w:rFonts w:ascii="Verdana" w:hAnsi="Verdana" w:cs="Arial"/>
                <w:lang w:eastAsia="es-ES"/>
              </w:rPr>
              <w:t>Artículos 11, 13.</w:t>
            </w:r>
          </w:p>
          <w:p w14:paraId="76F885B8" w14:textId="77777777" w:rsidR="00267D00" w:rsidRDefault="00267D00" w:rsidP="00C57709">
            <w:pPr>
              <w:pStyle w:val="Prrafodelista"/>
              <w:numPr>
                <w:ilvl w:val="0"/>
                <w:numId w:val="17"/>
              </w:numPr>
              <w:spacing w:after="120" w:line="276" w:lineRule="auto"/>
              <w:jc w:val="both"/>
              <w:rPr>
                <w:rFonts w:ascii="Verdana" w:hAnsi="Verdana" w:cs="Arial"/>
                <w:lang w:eastAsia="es-ES"/>
              </w:rPr>
            </w:pPr>
            <w:r w:rsidRPr="00072C23">
              <w:rPr>
                <w:rFonts w:ascii="Verdana" w:eastAsia="Arial" w:hAnsi="Verdana" w:cs="Arial"/>
                <w:lang w:eastAsia="es-MX"/>
              </w:rPr>
              <w:t>Decreto 1075 de 2015</w:t>
            </w:r>
            <w:r>
              <w:rPr>
                <w:rFonts w:ascii="Verdana" w:eastAsia="Arial" w:hAnsi="Verdana" w:cs="Arial"/>
                <w:lang w:eastAsia="es-MX"/>
              </w:rPr>
              <w:t xml:space="preserve">. Artículo </w:t>
            </w:r>
            <w:r w:rsidRPr="00072C23">
              <w:rPr>
                <w:rFonts w:ascii="Verdana" w:eastAsia="Arial" w:hAnsi="Verdana" w:cs="Arial"/>
                <w:lang w:eastAsia="es-MX"/>
              </w:rPr>
              <w:t>2.3.1.6.3.4</w:t>
            </w:r>
            <w:r>
              <w:rPr>
                <w:rFonts w:ascii="Verdana" w:eastAsia="Arial" w:hAnsi="Verdana" w:cs="Arial"/>
                <w:lang w:eastAsia="es-MX"/>
              </w:rPr>
              <w:t xml:space="preserve">, </w:t>
            </w:r>
            <w:r w:rsidRPr="00B51E0F">
              <w:rPr>
                <w:rFonts w:ascii="Verdana" w:eastAsia="Arial" w:hAnsi="Verdana" w:cs="Arial"/>
                <w:lang w:eastAsia="es-MX"/>
              </w:rPr>
              <w:t>2.3.1.6.3.5</w:t>
            </w:r>
            <w:r>
              <w:rPr>
                <w:rFonts w:ascii="Verdana" w:eastAsia="Arial" w:hAnsi="Verdana" w:cs="Arial"/>
                <w:lang w:eastAsia="es-MX"/>
              </w:rPr>
              <w:t xml:space="preserve">, </w:t>
            </w:r>
            <w:r w:rsidRPr="00072C23">
              <w:rPr>
                <w:rFonts w:ascii="Verdana" w:eastAsia="Arial" w:hAnsi="Verdana" w:cs="Arial"/>
                <w:lang w:eastAsia="es-MX"/>
              </w:rPr>
              <w:t>2.3.1.6.3.17</w:t>
            </w:r>
            <w:r>
              <w:rPr>
                <w:rFonts w:ascii="Verdana" w:eastAsia="Arial" w:hAnsi="Verdana" w:cs="Arial"/>
                <w:lang w:eastAsia="es-MX"/>
              </w:rPr>
              <w:t>.</w:t>
            </w:r>
          </w:p>
          <w:p w14:paraId="372EED7D" w14:textId="77777777" w:rsidR="00267D00" w:rsidRDefault="00267D00" w:rsidP="00C57709">
            <w:pPr>
              <w:pStyle w:val="Prrafodelista"/>
              <w:numPr>
                <w:ilvl w:val="0"/>
                <w:numId w:val="17"/>
              </w:numPr>
              <w:spacing w:after="120" w:line="276" w:lineRule="auto"/>
              <w:jc w:val="both"/>
              <w:rPr>
                <w:rFonts w:ascii="Verdana" w:hAnsi="Verdana" w:cs="Arial"/>
                <w:lang w:eastAsia="es-ES"/>
              </w:rPr>
            </w:pPr>
            <w:r w:rsidRPr="00071DB3">
              <w:rPr>
                <w:rFonts w:ascii="Verdana" w:hAnsi="Verdana" w:cs="Arial"/>
                <w:lang w:eastAsia="es-ES"/>
              </w:rPr>
              <w:t xml:space="preserve">Consejo de Estado. Sala de lo Contencioso Administrativo. Sección Primera. Sentencia de 3 de marzo de 2005. Radicado: 25001-23-15-000-2004-00823-01 (PI). C.P: Camilo Arciniegas Andrade. </w:t>
            </w:r>
          </w:p>
          <w:p w14:paraId="1E59A1D0" w14:textId="77777777" w:rsidR="00267D00" w:rsidRDefault="00267D00" w:rsidP="00C57709">
            <w:pPr>
              <w:pStyle w:val="Prrafodelista"/>
              <w:numPr>
                <w:ilvl w:val="0"/>
                <w:numId w:val="17"/>
              </w:numPr>
              <w:spacing w:after="120" w:line="276" w:lineRule="auto"/>
              <w:jc w:val="both"/>
              <w:rPr>
                <w:rFonts w:ascii="Verdana" w:hAnsi="Verdana" w:cs="Arial"/>
                <w:lang w:eastAsia="es-ES"/>
              </w:rPr>
            </w:pPr>
            <w:r w:rsidRPr="00071DB3">
              <w:rPr>
                <w:rFonts w:ascii="Verdana" w:hAnsi="Verdana" w:cs="Arial"/>
                <w:lang w:eastAsia="es-ES"/>
              </w:rPr>
              <w:t>Consejo de Estado. Sala de lo Contencioso Administrativo Sección Tercera. Sentencia de 22 de enero de 2002, expediente número 2001-0148-01</w:t>
            </w:r>
            <w:r>
              <w:rPr>
                <w:rFonts w:ascii="Verdana" w:hAnsi="Verdana" w:cs="Arial"/>
                <w:lang w:eastAsia="es-ES"/>
              </w:rPr>
              <w:t>.</w:t>
            </w:r>
          </w:p>
          <w:p w14:paraId="6FA17463" w14:textId="77777777" w:rsidR="00267D00" w:rsidRDefault="00267D00" w:rsidP="00C57709">
            <w:pPr>
              <w:pStyle w:val="Prrafodelista"/>
              <w:numPr>
                <w:ilvl w:val="0"/>
                <w:numId w:val="17"/>
              </w:numPr>
              <w:spacing w:after="120" w:line="276" w:lineRule="auto"/>
              <w:jc w:val="both"/>
              <w:rPr>
                <w:rFonts w:ascii="Verdana" w:hAnsi="Verdana" w:cs="Arial"/>
                <w:lang w:eastAsia="es-ES"/>
              </w:rPr>
            </w:pPr>
            <w:r w:rsidRPr="00071DB3">
              <w:rPr>
                <w:rFonts w:ascii="Verdana" w:hAnsi="Verdana" w:cs="Arial"/>
                <w:lang w:eastAsia="es-ES"/>
              </w:rPr>
              <w:t>Consejo de Estado. Sala de lo Contencioso Administrativo</w:t>
            </w:r>
            <w:r>
              <w:rPr>
                <w:rFonts w:ascii="Verdana" w:hAnsi="Verdana" w:cs="Arial"/>
                <w:lang w:eastAsia="es-ES"/>
              </w:rPr>
              <w:t>.</w:t>
            </w:r>
            <w:r w:rsidRPr="00071DB3">
              <w:rPr>
                <w:rFonts w:ascii="Verdana" w:hAnsi="Verdana" w:cs="Arial"/>
                <w:lang w:eastAsia="es-ES"/>
              </w:rPr>
              <w:t xml:space="preserve"> Sección Tercera. Sentencia de 20 de noviembre de 2001, expediente número 2001-0130-01(PI)</w:t>
            </w:r>
            <w:r>
              <w:rPr>
                <w:rFonts w:ascii="Verdana" w:hAnsi="Verdana" w:cs="Arial"/>
                <w:lang w:eastAsia="es-ES"/>
              </w:rPr>
              <w:t>.</w:t>
            </w:r>
          </w:p>
          <w:p w14:paraId="1FFAF347" w14:textId="77777777" w:rsidR="00267D00" w:rsidRDefault="00267D00" w:rsidP="00C57709">
            <w:pPr>
              <w:pStyle w:val="Prrafodelista"/>
              <w:numPr>
                <w:ilvl w:val="0"/>
                <w:numId w:val="17"/>
              </w:numPr>
              <w:spacing w:after="120" w:line="276" w:lineRule="auto"/>
              <w:jc w:val="both"/>
              <w:rPr>
                <w:rFonts w:ascii="Verdana" w:hAnsi="Verdana" w:cs="Arial"/>
                <w:lang w:eastAsia="es-ES"/>
              </w:rPr>
            </w:pPr>
            <w:r w:rsidRPr="00051C50">
              <w:rPr>
                <w:rFonts w:ascii="Verdana" w:hAnsi="Verdana" w:cs="Arial"/>
                <w:lang w:eastAsia="es-ES"/>
              </w:rPr>
              <w:t xml:space="preserve">Consejo de Estado, Sala de Consulta y Servicio Civil. 24 de julio de 2013. Radicado: 11001-03-06-000-2013-00407-00 (2166). C.P. Álvaro Namén Vargas.  </w:t>
            </w:r>
          </w:p>
          <w:p w14:paraId="7953A143" w14:textId="77777777" w:rsidR="00267D00" w:rsidRDefault="00267D00" w:rsidP="00C57709">
            <w:pPr>
              <w:pStyle w:val="Prrafodelista"/>
              <w:numPr>
                <w:ilvl w:val="0"/>
                <w:numId w:val="17"/>
              </w:numPr>
              <w:spacing w:after="120" w:line="276" w:lineRule="auto"/>
              <w:jc w:val="both"/>
              <w:rPr>
                <w:rFonts w:ascii="Verdana" w:hAnsi="Verdana" w:cs="Arial"/>
                <w:lang w:eastAsia="es-ES"/>
              </w:rPr>
            </w:pPr>
            <w:r w:rsidRPr="00051C50">
              <w:rPr>
                <w:rFonts w:ascii="Verdana" w:hAnsi="Verdana" w:cs="Arial"/>
                <w:lang w:eastAsia="es-ES"/>
              </w:rPr>
              <w:t>Consejo de Estado. Sala de Consulta y Servicio Civil. Concepto del 17 de febrero de 2015. Radicado: 11001-03-06-000-2015-00164-00 (2269). C.P. William Zambrano Cetina.</w:t>
            </w:r>
          </w:p>
          <w:p w14:paraId="185E8991" w14:textId="77777777" w:rsidR="00267D00" w:rsidRDefault="00267D00" w:rsidP="00C57709">
            <w:pPr>
              <w:pStyle w:val="Prrafodelista"/>
              <w:numPr>
                <w:ilvl w:val="0"/>
                <w:numId w:val="17"/>
              </w:numPr>
              <w:spacing w:after="120" w:line="276" w:lineRule="auto"/>
              <w:jc w:val="both"/>
              <w:rPr>
                <w:rFonts w:ascii="Verdana" w:hAnsi="Verdana" w:cs="Arial"/>
                <w:lang w:eastAsia="es-ES"/>
              </w:rPr>
            </w:pPr>
            <w:r w:rsidRPr="00051C50">
              <w:rPr>
                <w:rFonts w:ascii="Verdana" w:hAnsi="Verdana" w:cs="Arial"/>
                <w:lang w:eastAsia="es-ES"/>
              </w:rPr>
              <w:t>Consejo de Estado. Sala de Consulta y Servicio Civil. Concepto del 2 de septiembre de 2013. Radicación número: 11001-03-06-000-2013-00412-00 (2168). C.P: Álvaro Namén Vargas.</w:t>
            </w:r>
          </w:p>
          <w:p w14:paraId="7DD04DD3" w14:textId="77777777" w:rsidR="00267D00" w:rsidRDefault="00267D00" w:rsidP="00C57709">
            <w:pPr>
              <w:pStyle w:val="Prrafodelista"/>
              <w:numPr>
                <w:ilvl w:val="0"/>
                <w:numId w:val="17"/>
              </w:numPr>
              <w:spacing w:after="120" w:line="276" w:lineRule="auto"/>
              <w:jc w:val="both"/>
              <w:rPr>
                <w:rFonts w:ascii="Verdana" w:hAnsi="Verdana" w:cs="Arial"/>
                <w:lang w:eastAsia="es-ES"/>
              </w:rPr>
            </w:pPr>
            <w:r w:rsidRPr="00051C50">
              <w:rPr>
                <w:rFonts w:ascii="Verdana" w:hAnsi="Verdana" w:cs="Arial"/>
                <w:lang w:eastAsia="es-ES"/>
              </w:rPr>
              <w:t>Consejo de Estado. Sala de Consulta y Servicio Civil, Concepto de 8 de mayo de 2018. Radicación Número: 11001-03-06-000-2018-00095-00 (2382). C.P: Álvaro Namén Vargas.</w:t>
            </w:r>
          </w:p>
          <w:p w14:paraId="3B4682CD" w14:textId="77777777" w:rsidR="00267D00" w:rsidRDefault="00267D00" w:rsidP="00C57709">
            <w:pPr>
              <w:pStyle w:val="Prrafodelista"/>
              <w:numPr>
                <w:ilvl w:val="0"/>
                <w:numId w:val="17"/>
              </w:numPr>
              <w:spacing w:after="120" w:line="276" w:lineRule="auto"/>
              <w:jc w:val="both"/>
              <w:rPr>
                <w:rFonts w:ascii="Verdana" w:hAnsi="Verdana" w:cs="Arial"/>
                <w:lang w:eastAsia="es-ES"/>
              </w:rPr>
            </w:pPr>
            <w:r w:rsidRPr="00051C50">
              <w:rPr>
                <w:rFonts w:ascii="Verdana" w:hAnsi="Verdana" w:cs="Arial"/>
                <w:lang w:eastAsia="es-ES"/>
              </w:rPr>
              <w:t>Consejo de Estado. Sala de Consulta y Servicio Civil. Concepto de 20 de febrero de 2006. Radicación Número: 11001-03-06-000-2006-00026-00 (1727). C.P: Enrique José Arboleda Perdomo</w:t>
            </w:r>
            <w:r>
              <w:rPr>
                <w:rFonts w:ascii="Verdana" w:hAnsi="Verdana" w:cs="Arial"/>
                <w:lang w:eastAsia="es-ES"/>
              </w:rPr>
              <w:t>.</w:t>
            </w:r>
          </w:p>
          <w:p w14:paraId="1B14C2B9" w14:textId="77777777" w:rsidR="00267D00" w:rsidRDefault="00267D00" w:rsidP="00C57709">
            <w:pPr>
              <w:pStyle w:val="Prrafodelista"/>
              <w:numPr>
                <w:ilvl w:val="0"/>
                <w:numId w:val="17"/>
              </w:numPr>
              <w:spacing w:after="120" w:line="276" w:lineRule="auto"/>
              <w:jc w:val="both"/>
              <w:rPr>
                <w:rFonts w:ascii="Verdana" w:hAnsi="Verdana" w:cs="Arial"/>
                <w:lang w:eastAsia="es-ES"/>
              </w:rPr>
            </w:pPr>
            <w:r w:rsidRPr="00051C50">
              <w:rPr>
                <w:rFonts w:ascii="Verdana" w:hAnsi="Verdana" w:cs="Arial"/>
                <w:lang w:eastAsia="es-ES"/>
              </w:rPr>
              <w:t>Consejo de Estado. Sala de Consulta y Servicio Civil. Concepto de 6 de abril de 2006. Radicación Número: 11001-03-06-000-2006-00038-00 (1738). C.P: Enrique José Arboleda Perdomo</w:t>
            </w:r>
            <w:r>
              <w:rPr>
                <w:rFonts w:ascii="Verdana" w:hAnsi="Verdana" w:cs="Arial"/>
                <w:lang w:eastAsia="es-ES"/>
              </w:rPr>
              <w:t>.</w:t>
            </w:r>
          </w:p>
          <w:p w14:paraId="067EFB4B" w14:textId="77777777" w:rsidR="00267D00" w:rsidRDefault="00267D00" w:rsidP="00C57709">
            <w:pPr>
              <w:pStyle w:val="Prrafodelista"/>
              <w:numPr>
                <w:ilvl w:val="0"/>
                <w:numId w:val="17"/>
              </w:numPr>
              <w:spacing w:after="120" w:line="276" w:lineRule="auto"/>
              <w:jc w:val="both"/>
              <w:rPr>
                <w:rFonts w:ascii="Verdana" w:hAnsi="Verdana" w:cs="Arial"/>
                <w:lang w:eastAsia="es-ES"/>
              </w:rPr>
            </w:pPr>
            <w:r w:rsidRPr="00051C50">
              <w:rPr>
                <w:rFonts w:ascii="Verdana" w:hAnsi="Verdana" w:cs="Arial"/>
                <w:lang w:eastAsia="es-ES"/>
              </w:rPr>
              <w:t>Consejo de Estado. Sala de Consulta y Servicio Civil. Concepto del 18 de febrero 2010. Rad. 11001-03-06-000-2010-00006-00 (1985). C.P. Enrique José Arboleda Perdomo.</w:t>
            </w:r>
          </w:p>
          <w:p w14:paraId="507B15AE" w14:textId="77777777" w:rsidR="00267D00" w:rsidRPr="00B51E0F" w:rsidRDefault="00267D00" w:rsidP="00C57709">
            <w:pPr>
              <w:pStyle w:val="Prrafodelista"/>
              <w:numPr>
                <w:ilvl w:val="0"/>
                <w:numId w:val="17"/>
              </w:numPr>
              <w:spacing w:after="120" w:line="276" w:lineRule="auto"/>
              <w:jc w:val="both"/>
              <w:rPr>
                <w:rFonts w:ascii="Verdana" w:hAnsi="Verdana" w:cs="Arial"/>
                <w:lang w:eastAsia="es-ES"/>
              </w:rPr>
            </w:pPr>
            <w:r w:rsidRPr="00B51E0F">
              <w:rPr>
                <w:rFonts w:ascii="Verdana" w:hAnsi="Verdana" w:cs="Arial"/>
                <w:lang w:eastAsia="es-ES"/>
              </w:rPr>
              <w:t>Consejo de Estado. Sección Tercera Subsección A. Sentencia del 12 de octubre de 2017. Radicación número: 68001-23-31-000-2005-03845-01(51.634). C.P: Marta Nubia Velásquez Rico.</w:t>
            </w:r>
          </w:p>
          <w:p w14:paraId="1CFB9F36" w14:textId="77777777" w:rsidR="00267D00" w:rsidRPr="00071DB3" w:rsidRDefault="00267D00" w:rsidP="00C57709">
            <w:pPr>
              <w:pStyle w:val="Prrafodelista"/>
              <w:numPr>
                <w:ilvl w:val="0"/>
                <w:numId w:val="17"/>
              </w:numPr>
              <w:spacing w:line="276" w:lineRule="auto"/>
              <w:ind w:left="714" w:hanging="357"/>
              <w:jc w:val="both"/>
              <w:rPr>
                <w:rFonts w:ascii="Verdana" w:hAnsi="Verdana" w:cs="Arial"/>
                <w:lang w:eastAsia="es-ES"/>
              </w:rPr>
            </w:pPr>
            <w:r w:rsidRPr="00071DB3">
              <w:rPr>
                <w:rFonts w:ascii="Verdana" w:hAnsi="Verdana" w:cs="Arial"/>
                <w:lang w:eastAsia="es-ES"/>
              </w:rPr>
              <w:t>Corte Constitucional. Sentencia C- 1153 de 2005, M.P: Marco Gerardo Monroy Cabra.</w:t>
            </w:r>
            <w:r w:rsidRPr="00071DB3">
              <w:rPr>
                <w:rFonts w:ascii="Verdana" w:hAnsi="Verdana" w:cs="Arial"/>
                <w:lang w:eastAsia="es-ES"/>
              </w:rPr>
              <w:tab/>
            </w:r>
          </w:p>
          <w:p w14:paraId="7C179CC7" w14:textId="77777777" w:rsidR="00267D00" w:rsidRDefault="00267D00" w:rsidP="00C57709">
            <w:pPr>
              <w:pStyle w:val="Prrafodelista"/>
              <w:numPr>
                <w:ilvl w:val="0"/>
                <w:numId w:val="17"/>
              </w:numPr>
              <w:spacing w:after="120" w:line="276" w:lineRule="auto"/>
              <w:jc w:val="both"/>
              <w:rPr>
                <w:rFonts w:ascii="Verdana" w:hAnsi="Verdana" w:cs="Arial"/>
                <w:lang w:eastAsia="es-ES"/>
              </w:rPr>
            </w:pPr>
            <w:r w:rsidRPr="00071DB3">
              <w:rPr>
                <w:rFonts w:ascii="Verdana" w:hAnsi="Verdana" w:cs="Arial"/>
                <w:lang w:eastAsia="es-ES"/>
              </w:rPr>
              <w:t>Corte Constitucional. Sentencia C-233 de 4 de abril de 2002. M.P: Álvaro Tafur Galvis</w:t>
            </w:r>
            <w:r>
              <w:rPr>
                <w:rFonts w:ascii="Verdana" w:hAnsi="Verdana" w:cs="Arial"/>
                <w:lang w:eastAsia="es-ES"/>
              </w:rPr>
              <w:t>.</w:t>
            </w:r>
          </w:p>
          <w:p w14:paraId="30E6670B" w14:textId="77777777" w:rsidR="00267D00" w:rsidRDefault="00267D00" w:rsidP="00C57709">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Corte Constitucional. Sentencia</w:t>
            </w:r>
            <w:r w:rsidRPr="00071DB3">
              <w:rPr>
                <w:rFonts w:ascii="Verdana" w:hAnsi="Verdana" w:cs="Arial"/>
                <w:lang w:eastAsia="es-ES"/>
              </w:rPr>
              <w:t xml:space="preserve"> C-551 de 9 de julio de 2003. M.P: Eduardo Montealegre Lynnet</w:t>
            </w:r>
            <w:r>
              <w:rPr>
                <w:rFonts w:ascii="Verdana" w:hAnsi="Verdana" w:cs="Arial"/>
                <w:lang w:eastAsia="es-ES"/>
              </w:rPr>
              <w:t>.</w:t>
            </w:r>
          </w:p>
          <w:p w14:paraId="120BE871" w14:textId="77777777" w:rsidR="00267D00" w:rsidRDefault="00267D00" w:rsidP="00C57709">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Corte Constitucional. Sentencia</w:t>
            </w:r>
            <w:r w:rsidRPr="00071DB3">
              <w:rPr>
                <w:rFonts w:ascii="Verdana" w:hAnsi="Verdana" w:cs="Arial"/>
                <w:lang w:eastAsia="es-ES"/>
              </w:rPr>
              <w:t xml:space="preserve"> C-353 de 20 de mayo de 2009. M.P: Jorge Iván Palacio </w:t>
            </w:r>
            <w:proofErr w:type="spellStart"/>
            <w:r w:rsidRPr="00071DB3">
              <w:rPr>
                <w:rFonts w:ascii="Verdana" w:hAnsi="Verdana" w:cs="Arial"/>
                <w:lang w:eastAsia="es-ES"/>
              </w:rPr>
              <w:t>Palacio</w:t>
            </w:r>
            <w:proofErr w:type="spellEnd"/>
            <w:r>
              <w:rPr>
                <w:rFonts w:ascii="Verdana" w:hAnsi="Verdana" w:cs="Arial"/>
                <w:lang w:eastAsia="es-ES"/>
              </w:rPr>
              <w:t>.</w:t>
            </w:r>
          </w:p>
          <w:p w14:paraId="6DE0E98D" w14:textId="77777777" w:rsidR="00267D00" w:rsidRDefault="00267D00" w:rsidP="00C57709">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Corte Constitucional. Sentencia</w:t>
            </w:r>
            <w:r w:rsidRPr="00071DB3">
              <w:rPr>
                <w:rFonts w:ascii="Verdana" w:hAnsi="Verdana" w:cs="Arial"/>
                <w:lang w:eastAsia="es-ES"/>
              </w:rPr>
              <w:t xml:space="preserve"> C-541 de 30 de junio de 2010. M.P: Gabriel Eduardo Mendoza Martelo</w:t>
            </w:r>
            <w:r>
              <w:rPr>
                <w:rFonts w:ascii="Verdana" w:hAnsi="Verdana" w:cs="Arial"/>
                <w:lang w:eastAsia="es-ES"/>
              </w:rPr>
              <w:t>.</w:t>
            </w:r>
          </w:p>
          <w:p w14:paraId="686CB065" w14:textId="77777777" w:rsidR="00267D00" w:rsidRDefault="00267D00" w:rsidP="00C57709">
            <w:pPr>
              <w:pStyle w:val="Prrafodelista"/>
              <w:numPr>
                <w:ilvl w:val="0"/>
                <w:numId w:val="17"/>
              </w:numPr>
              <w:spacing w:after="120" w:line="276" w:lineRule="auto"/>
              <w:jc w:val="both"/>
              <w:rPr>
                <w:rFonts w:ascii="Verdana" w:hAnsi="Verdana" w:cs="Arial"/>
                <w:lang w:eastAsia="es-ES"/>
              </w:rPr>
            </w:pPr>
            <w:r w:rsidRPr="00051C50">
              <w:rPr>
                <w:rFonts w:ascii="Verdana" w:hAnsi="Verdana" w:cs="Arial"/>
                <w:lang w:eastAsia="es-ES"/>
              </w:rPr>
              <w:t>Corte Constitucional. Sentencia C-121 de 2003. M.P. Clara Inés Vargas Hernández.</w:t>
            </w:r>
          </w:p>
          <w:p w14:paraId="2CB7FB5E" w14:textId="77777777" w:rsidR="00267D00" w:rsidRDefault="00267D00" w:rsidP="00C57709">
            <w:pPr>
              <w:pStyle w:val="Prrafodelista"/>
              <w:numPr>
                <w:ilvl w:val="0"/>
                <w:numId w:val="17"/>
              </w:numPr>
              <w:spacing w:after="120" w:line="276" w:lineRule="auto"/>
              <w:jc w:val="both"/>
              <w:rPr>
                <w:rFonts w:ascii="Verdana" w:hAnsi="Verdana" w:cs="Arial"/>
                <w:lang w:eastAsia="es-ES"/>
              </w:rPr>
            </w:pPr>
            <w:r w:rsidRPr="00051C50">
              <w:rPr>
                <w:rFonts w:ascii="Verdana" w:hAnsi="Verdana" w:cs="Arial"/>
                <w:lang w:eastAsia="es-ES"/>
              </w:rPr>
              <w:t>Corte Constitucional. Sentencia C-1019 del 28 de noviembre de 2012. M.P. Mauricio González.</w:t>
            </w:r>
          </w:p>
          <w:p w14:paraId="29331579" w14:textId="77777777" w:rsidR="00267D00" w:rsidRPr="003B4475" w:rsidRDefault="00267D00" w:rsidP="00C57709">
            <w:pPr>
              <w:pStyle w:val="Prrafodelista"/>
              <w:numPr>
                <w:ilvl w:val="0"/>
                <w:numId w:val="17"/>
              </w:numPr>
              <w:jc w:val="both"/>
              <w:rPr>
                <w:rFonts w:ascii="Verdana" w:hAnsi="Verdana" w:cs="Arial"/>
                <w:lang w:eastAsia="es-ES"/>
              </w:rPr>
            </w:pPr>
            <w:r w:rsidRPr="00051C50">
              <w:rPr>
                <w:rFonts w:ascii="Verdana" w:hAnsi="Verdana"/>
              </w:rPr>
              <w:t xml:space="preserve">Agencia Nacional de Contratación Pública – Colombia Compra Eficiente. Circular Externa 006 del 25 de septiembre de 2025. Disponible en </w:t>
            </w:r>
            <w:hyperlink r:id="rId12" w:history="1">
              <w:r w:rsidRPr="00051C50">
                <w:rPr>
                  <w:rStyle w:val="Hipervnculo"/>
                  <w:rFonts w:ascii="Verdana" w:hAnsi="Verdana"/>
                  <w:lang w:val="es-CO"/>
                </w:rPr>
                <w:t>006-de-2025-Circular-Externa-L996-ajustado-comentarios-BM-BID-Rev-ARSC-V3.d-1.pdf</w:t>
              </w:r>
            </w:hyperlink>
          </w:p>
        </w:tc>
      </w:tr>
    </w:tbl>
    <w:p w14:paraId="47AD2267" w14:textId="77777777" w:rsidR="00267D00" w:rsidRDefault="00267D00" w:rsidP="00267D00">
      <w:pPr>
        <w:tabs>
          <w:tab w:val="left" w:pos="142"/>
          <w:tab w:val="left" w:pos="284"/>
          <w:tab w:val="left" w:pos="3828"/>
        </w:tabs>
        <w:spacing w:after="0" w:line="276" w:lineRule="auto"/>
        <w:jc w:val="both"/>
        <w:rPr>
          <w:rFonts w:ascii="Verdana" w:eastAsia="Century Gothic" w:hAnsi="Verdana" w:cs="Century Gothic"/>
          <w:b/>
          <w:bCs/>
        </w:rPr>
      </w:pPr>
    </w:p>
    <w:p w14:paraId="580DB4CA" w14:textId="77777777" w:rsidR="00267D00" w:rsidRPr="0091091D" w:rsidRDefault="00267D00" w:rsidP="00267D00">
      <w:pPr>
        <w:tabs>
          <w:tab w:val="left" w:pos="142"/>
          <w:tab w:val="left" w:pos="284"/>
          <w:tab w:val="left" w:pos="3828"/>
        </w:tabs>
        <w:spacing w:after="0" w:line="276" w:lineRule="auto"/>
        <w:jc w:val="both"/>
        <w:rPr>
          <w:rFonts w:ascii="Verdana" w:eastAsia="Century Gothic" w:hAnsi="Verdana" w:cs="Century Gothic"/>
          <w:b/>
          <w:bCs/>
        </w:rPr>
      </w:pPr>
      <w:r w:rsidRPr="0091091D">
        <w:rPr>
          <w:rFonts w:ascii="Verdana" w:eastAsia="Century Gothic" w:hAnsi="Verdana" w:cs="Century Gothic"/>
          <w:b/>
          <w:bCs/>
        </w:rPr>
        <w:t>5. Doctrina de la Agencia Nacional de Contratación Pública:</w:t>
      </w:r>
    </w:p>
    <w:p w14:paraId="20DD8E63" w14:textId="77777777" w:rsidR="00267D00" w:rsidRPr="007A3DD4" w:rsidRDefault="00267D00" w:rsidP="00267D00">
      <w:pPr>
        <w:widowControl w:val="0"/>
        <w:autoSpaceDE w:val="0"/>
        <w:autoSpaceDN w:val="0"/>
        <w:spacing w:after="0" w:line="240" w:lineRule="auto"/>
        <w:jc w:val="both"/>
        <w:rPr>
          <w:rStyle w:val="normaltextrun"/>
          <w:rFonts w:ascii="Verdana" w:hAnsi="Verdana" w:cs="Arial"/>
          <w:shd w:val="clear" w:color="auto" w:fill="FFFFFF"/>
        </w:rPr>
      </w:pPr>
    </w:p>
    <w:p w14:paraId="6EAC401B" w14:textId="77777777" w:rsidR="00267D00" w:rsidRDefault="00267D00" w:rsidP="00267D00">
      <w:pPr>
        <w:widowControl w:val="0"/>
        <w:autoSpaceDE w:val="0"/>
        <w:autoSpaceDN w:val="0"/>
        <w:spacing w:after="120" w:line="276" w:lineRule="auto"/>
        <w:jc w:val="both"/>
        <w:rPr>
          <w:rFonts w:ascii="Verdana" w:hAnsi="Verdana" w:cs="Arial"/>
          <w:color w:val="000000" w:themeColor="text1"/>
          <w:shd w:val="clear" w:color="auto" w:fill="FFFFFF"/>
        </w:rPr>
      </w:pPr>
      <w:r w:rsidRPr="00147D6A">
        <w:rPr>
          <w:rFonts w:ascii="Verdana" w:hAnsi="Verdana" w:cs="Arial"/>
          <w:shd w:val="clear" w:color="auto" w:fill="FFFFFF"/>
        </w:rPr>
        <w:t xml:space="preserve">Esta Subdirección se ha pronunciado sobre la Ley de Garantías Electorales en  los conceptos C-681 del 7 de diciembre de 2021, C-686 del 21 de diciembre de 2021, C-134 del 7 de abril de 2022, C-697 del 3 de enero de 2022, C-180 del 21 de marzo de 2025, C-317 del 25 de abril de 2025, C-510 del 4 de junio de 2025, C -635 del 27 de junio de 2025, C–750 de 17 de julio 2025, C-868 del 12 de agosto de 2025, C-1124 del 18 de septiembre de 2025, C-1174 del 29 de septiembre de 2025, C-1491 del 20 de noviembre de 2025, C- 1492 del </w:t>
      </w:r>
      <w:r w:rsidRPr="00147D6A">
        <w:rPr>
          <w:rFonts w:ascii="Verdana" w:hAnsi="Verdana"/>
        </w:rPr>
        <w:t>21 de noviembre del 2025, C-1629, C-1646 del 17 de diciembre de 2025, C-1662 del 22 de diciembre de 2025</w:t>
      </w:r>
      <w:r w:rsidRPr="00147D6A">
        <w:rPr>
          <w:rStyle w:val="normaltextrun"/>
          <w:rFonts w:ascii="Verdana" w:hAnsi="Verdana" w:cs="Arial"/>
          <w:shd w:val="clear" w:color="auto" w:fill="FFFFFF"/>
          <w:lang w:val="es-ES"/>
        </w:rPr>
        <w:t xml:space="preserve">, </w:t>
      </w:r>
      <w:r>
        <w:rPr>
          <w:rStyle w:val="normaltextrun"/>
          <w:rFonts w:ascii="Verdana" w:hAnsi="Verdana" w:cs="Arial"/>
          <w:shd w:val="clear" w:color="auto" w:fill="FFFFFF"/>
          <w:lang w:val="es-ES"/>
        </w:rPr>
        <w:t xml:space="preserve">C- 102 del 16 de abril de 2026, </w:t>
      </w:r>
      <w:r w:rsidRPr="00147D6A">
        <w:rPr>
          <w:rStyle w:val="normaltextrun"/>
          <w:rFonts w:ascii="Verdana" w:hAnsi="Verdana" w:cs="Arial"/>
          <w:shd w:val="clear" w:color="auto" w:fill="FFFFFF"/>
          <w:lang w:val="es-ES"/>
        </w:rPr>
        <w:t>C-063 del 23 de febrero de 2026, C-160 del 24 de febrero de 2026, C-108 del 4 de marzo de 2026, C-177 del 16 de marzo de 2026, entre otros</w:t>
      </w:r>
      <w:r w:rsidRPr="007A50A7">
        <w:rPr>
          <w:rFonts w:ascii="Verdana" w:hAnsi="Verdana" w:cs="Arial"/>
          <w:shd w:val="clear" w:color="auto" w:fill="FFFFFF"/>
          <w:lang w:val="es-ES"/>
        </w:rPr>
        <w:t xml:space="preserve">. </w:t>
      </w:r>
      <w:r w:rsidRPr="007A50A7">
        <w:rPr>
          <w:rFonts w:ascii="Verdana" w:hAnsi="Verdana" w:cs="Arial"/>
        </w:rPr>
        <w:t xml:space="preserve">Estos y otros </w:t>
      </w:r>
      <w:r w:rsidRPr="007A50A7">
        <w:rPr>
          <w:rFonts w:ascii="Verdana" w:hAnsi="Verdana"/>
        </w:rPr>
        <w:t>conceptos se encuentran disponibles para consulta en el Sistema de relatoría de la Agencia, al cual se puede acceder a través del siguiente enlace:</w:t>
      </w:r>
      <w:r w:rsidRPr="007A50A7">
        <w:rPr>
          <w:rFonts w:ascii="Verdana" w:hAnsi="Verdana" w:cs="Arial"/>
          <w:shd w:val="clear" w:color="auto" w:fill="FFFFFF"/>
        </w:rPr>
        <w:t xml:space="preserve"> </w:t>
      </w:r>
      <w:hyperlink r:id="rId13" w:history="1">
        <w:r w:rsidRPr="007A50A7">
          <w:rPr>
            <w:rFonts w:ascii="Verdana" w:hAnsi="Verdana" w:cs="Arial"/>
            <w:color w:val="0563C1" w:themeColor="hyperlink"/>
            <w:u w:val="single"/>
            <w:shd w:val="clear" w:color="auto" w:fill="FFFFFF"/>
          </w:rPr>
          <w:t>https://relatoria.colombiacompra.gov.co/busqueda/conceptos</w:t>
        </w:r>
      </w:hyperlink>
      <w:r w:rsidRPr="007A50A7">
        <w:rPr>
          <w:rFonts w:ascii="Verdana" w:hAnsi="Verdana" w:cs="Arial"/>
          <w:shd w:val="clear" w:color="auto" w:fill="FFFFFF"/>
        </w:rPr>
        <w:t>.</w:t>
      </w:r>
      <w:r w:rsidRPr="00147D6A">
        <w:rPr>
          <w:rFonts w:ascii="Verdana" w:hAnsi="Verdana" w:cs="Arial"/>
          <w:color w:val="FF0000"/>
          <w:shd w:val="clear" w:color="auto" w:fill="FFFFFF"/>
        </w:rPr>
        <w:t xml:space="preserve"> </w:t>
      </w:r>
    </w:p>
    <w:p w14:paraId="61244B56" w14:textId="77777777" w:rsidR="00267D00" w:rsidRPr="00AB4B99" w:rsidRDefault="00267D00" w:rsidP="00267D00">
      <w:pPr>
        <w:widowControl w:val="0"/>
        <w:autoSpaceDE w:val="0"/>
        <w:autoSpaceDN w:val="0"/>
        <w:spacing w:after="120" w:line="276" w:lineRule="auto"/>
        <w:jc w:val="both"/>
        <w:rPr>
          <w:rFonts w:ascii="Verdana" w:hAnsi="Verdana" w:cs="Arial"/>
          <w:shd w:val="clear" w:color="auto" w:fill="FFFFFF"/>
        </w:rPr>
      </w:pPr>
      <w:r w:rsidRPr="00147D6A">
        <w:rPr>
          <w:rFonts w:ascii="Verdana" w:hAnsi="Verdana"/>
        </w:rPr>
        <w:t>La sostenibilidad no es una opción, es una obligación. Por ello</w:t>
      </w:r>
      <w:r w:rsidRPr="009A385A">
        <w:rPr>
          <w:rFonts w:ascii="Verdana" w:hAnsi="Verdana"/>
        </w:rPr>
        <w:t xml:space="preserve">,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8746BD">
          <w:rPr>
            <w:rStyle w:val="Hipervnculo"/>
            <w:rFonts w:ascii="Verdana" w:hAnsi="Verdana"/>
          </w:rPr>
          <w:t>https://formacionvirtual.colombiacompra.gov.co/mod/page/view.php?id=3718</w:t>
        </w:r>
      </w:hyperlink>
    </w:p>
    <w:p w14:paraId="486B0213" w14:textId="77777777" w:rsidR="00267D00" w:rsidRPr="000E1EA7" w:rsidRDefault="00267D00" w:rsidP="00267D00">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da</w:t>
      </w:r>
      <w:r>
        <w:rPr>
          <w:rFonts w:ascii="Verdana" w:hAnsi="Verdana"/>
        </w:rPr>
        <w:t>do</w:t>
      </w:r>
      <w:r w:rsidRPr="00635F16">
        <w:rPr>
          <w:rFonts w:ascii="Verdana" w:hAnsi="Verdana"/>
        </w:rPr>
        <w:t xml:space="preserve">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0E1EA7">
        <w:rPr>
          <w:rFonts w:ascii="Verdana" w:hAnsi="Verdana"/>
          <w:b/>
          <w:bCs/>
        </w:rPr>
        <w:t>Resoluciones 539, 540, 541, 952 y 953 de 2025</w:t>
      </w:r>
      <w:r w:rsidRPr="000E1EA7">
        <w:rPr>
          <w:rFonts w:ascii="Verdana" w:hAnsi="Verdana"/>
        </w:rPr>
        <w:t xml:space="preserve">, </w:t>
      </w:r>
      <w:r w:rsidRPr="000E1EA7">
        <w:rPr>
          <w:rFonts w:ascii="Verdana" w:hAnsi="Verdana"/>
          <w:b/>
          <w:bCs/>
        </w:rPr>
        <w:t>mediante las cuales adoptó Documentos Tipo</w:t>
      </w:r>
      <w:r w:rsidRPr="000E1EA7">
        <w:rPr>
          <w:rFonts w:ascii="Verdana" w:hAnsi="Verdana"/>
        </w:rPr>
        <w:t xml:space="preserve"> para las modalidades de selección de</w:t>
      </w:r>
      <w:r w:rsidRPr="000E1EA7">
        <w:rPr>
          <w:rFonts w:ascii="Verdana" w:hAnsi="Verdana"/>
          <w:b/>
          <w:bCs/>
        </w:rPr>
        <w:t xml:space="preserve"> licitación pública (versión 2), selección abreviada de menor cuantía, mínima cuantía, consultoría e interventoría</w:t>
      </w:r>
      <w:r w:rsidRPr="000E1EA7">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0E1EA7">
          <w:rPr>
            <w:rStyle w:val="Hipervnculo"/>
            <w:rFonts w:ascii="Verdana" w:hAnsi="Verdana"/>
          </w:rPr>
          <w:t>https://www.colombiacompra.gov.co/normativa-y-relatoria/documentos-tipo</w:t>
        </w:r>
      </w:hyperlink>
    </w:p>
    <w:p w14:paraId="4C3B78F4" w14:textId="77777777" w:rsidR="00267D00" w:rsidRDefault="00267D00" w:rsidP="00267D00">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8746BD">
        <w:rPr>
          <w:rFonts w:ascii="Verdana" w:hAnsi="Verdana"/>
        </w:rPr>
        <w:t>Además se incluyeron lineamientos que orientan la implementación de los criterios ambientales y sociales incluidos en los documentos tipo: Consulta la guía aquí:</w:t>
      </w:r>
      <w:r w:rsidRPr="008746BD">
        <w:rPr>
          <w:rFonts w:ascii="Verdana" w:hAnsi="Verdana"/>
        </w:rPr>
        <w:br/>
      </w:r>
      <w:hyperlink r:id="rId16" w:tgtFrame="_new" w:history="1">
        <w:r w:rsidRPr="008746BD">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09C119E" w14:textId="77777777" w:rsidR="00267D00" w:rsidRPr="007A3DD4" w:rsidRDefault="00267D00" w:rsidP="00267D00">
      <w:pPr>
        <w:widowControl w:val="0"/>
        <w:autoSpaceDE w:val="0"/>
        <w:autoSpaceDN w:val="0"/>
        <w:spacing w:after="120" w:line="276" w:lineRule="auto"/>
        <w:jc w:val="both"/>
        <w:rPr>
          <w:rFonts w:ascii="Verdana" w:hAnsi="Verdana" w:cs="Arial"/>
        </w:rPr>
      </w:pPr>
      <w:r w:rsidRPr="001A68F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r w:rsidRPr="00116940">
        <w:rPr>
          <w:rFonts w:ascii="Verdana" w:hAnsi="Verdana"/>
        </w:rPr>
        <w:t xml:space="preserve"> </w:t>
      </w:r>
    </w:p>
    <w:p w14:paraId="1E5CA03C" w14:textId="77777777" w:rsidR="00267D00" w:rsidRPr="00116940" w:rsidRDefault="00267D00" w:rsidP="00267D00">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627BDC5C" w14:textId="77777777" w:rsidR="00267D00" w:rsidRPr="00116940" w:rsidRDefault="00267D00" w:rsidP="00267D00">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44C1A8F6" w14:textId="77777777" w:rsidR="00267D00" w:rsidRPr="00116940" w:rsidRDefault="00267D00" w:rsidP="00267D00">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7">
        <w:r w:rsidRPr="00116940">
          <w:rPr>
            <w:rStyle w:val="Hipervnculo"/>
            <w:rFonts w:ascii="Verdana" w:eastAsia="Verdana" w:hAnsi="Verdana" w:cs="Verdana"/>
            <w:lang w:val="es-MX"/>
          </w:rPr>
          <w:t>ventanilladeradicacion@colombiacompra.gov.co</w:t>
        </w:r>
      </w:hyperlink>
    </w:p>
    <w:p w14:paraId="547BC2A7" w14:textId="77777777" w:rsidR="00267D00" w:rsidRPr="00116940" w:rsidRDefault="00267D00" w:rsidP="00267D00">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8">
        <w:r w:rsidRPr="00116940">
          <w:rPr>
            <w:rStyle w:val="Hipervnculo"/>
            <w:rFonts w:ascii="Verdana" w:eastAsia="Verdana" w:hAnsi="Verdana" w:cs="Verdana"/>
            <w:lang w:val="es-MX"/>
          </w:rPr>
          <w:t>https://www.colombiacompra.gov.co/pqrsd/informacion-importante-antes-de-formular-una-pqrsd</w:t>
        </w:r>
      </w:hyperlink>
    </w:p>
    <w:p w14:paraId="2AE75FFA" w14:textId="77777777" w:rsidR="00267D00" w:rsidRDefault="00267D00" w:rsidP="00267D00">
      <w:pPr>
        <w:spacing w:after="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9" w:history="1">
        <w:r w:rsidRPr="008746BD">
          <w:rPr>
            <w:rStyle w:val="Hipervnculo"/>
            <w:rFonts w:ascii="Verdana" w:eastAsia="Verdana" w:hAnsi="Verdana" w:cs="Verdana"/>
            <w:lang w:val="es-MX"/>
          </w:rPr>
          <w:t>https://forms.office.com/r/pPHyWVs2SZ</w:t>
        </w:r>
      </w:hyperlink>
      <w:r w:rsidRPr="008746BD">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0959D576" w14:textId="77777777" w:rsidR="00267D00" w:rsidRDefault="00267D00" w:rsidP="00267D00">
      <w:pPr>
        <w:spacing w:after="0" w:line="240" w:lineRule="auto"/>
        <w:jc w:val="both"/>
        <w:rPr>
          <w:rFonts w:ascii="Verdana" w:hAnsi="Verdana"/>
        </w:rPr>
      </w:pPr>
    </w:p>
    <w:p w14:paraId="565EC8F6" w14:textId="77777777" w:rsidR="00267D00" w:rsidRPr="00116940" w:rsidRDefault="00267D00" w:rsidP="00267D00">
      <w:pPr>
        <w:spacing w:after="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0D506EF2" w14:textId="77777777" w:rsidR="00267D00" w:rsidRPr="008746BD" w:rsidRDefault="00267D00" w:rsidP="00267D00">
      <w:pPr>
        <w:spacing w:after="0" w:line="240" w:lineRule="auto"/>
        <w:jc w:val="both"/>
        <w:rPr>
          <w:rFonts w:ascii="Verdana" w:hAnsi="Verdana"/>
        </w:rPr>
      </w:pPr>
    </w:p>
    <w:p w14:paraId="61BCEAC4" w14:textId="77777777" w:rsidR="00267D00" w:rsidRPr="00116940" w:rsidRDefault="00267D00" w:rsidP="00267D00">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7874B87" w14:textId="77777777" w:rsidR="00267D00" w:rsidRPr="00116940" w:rsidRDefault="00267D00" w:rsidP="00267D00">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0C694A38" w14:textId="77777777" w:rsidR="00267D00" w:rsidRPr="00116940" w:rsidRDefault="00267D00" w:rsidP="00267D00">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3E510775" w14:textId="77777777" w:rsidR="00267D00" w:rsidRDefault="00267D00" w:rsidP="00267D00">
      <w:pPr>
        <w:spacing w:after="0" w:line="276" w:lineRule="auto"/>
        <w:jc w:val="both"/>
        <w:rPr>
          <w:rFonts w:ascii="Century Gothic" w:eastAsia="Century Gothic" w:hAnsi="Century Gothic" w:cs="Century Gothic"/>
          <w:lang w:val="es-ES" w:eastAsia="es-ES_tradnl"/>
        </w:rPr>
      </w:pPr>
    </w:p>
    <w:p w14:paraId="4597E76C" w14:textId="77777777" w:rsidR="00267D00" w:rsidRPr="00842775" w:rsidRDefault="00267D00" w:rsidP="00267D00">
      <w:pPr>
        <w:spacing w:after="0" w:line="276" w:lineRule="auto"/>
        <w:jc w:val="both"/>
        <w:rPr>
          <w:rFonts w:ascii="Verdana" w:hAnsi="Verdana"/>
          <w:lang w:val="es-MX"/>
        </w:rPr>
      </w:pPr>
      <w:r w:rsidRPr="00842775">
        <w:rPr>
          <w:rFonts w:ascii="Verdana" w:eastAsia="Century Gothic" w:hAnsi="Verdana" w:cs="Century Gothic"/>
          <w:lang w:val="es-ES" w:eastAsia="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r>
        <w:rPr>
          <w:rFonts w:ascii="Verdana" w:eastAsia="Century Gothic" w:hAnsi="Verdana" w:cs="Century Gothic"/>
          <w:lang w:val="es-ES" w:eastAsia="es-ES_tradnl"/>
        </w:rPr>
        <w:t>.</w:t>
      </w:r>
    </w:p>
    <w:p w14:paraId="6F9604DB" w14:textId="77777777" w:rsidR="00267D00" w:rsidRDefault="00267D00" w:rsidP="00267D00">
      <w:pPr>
        <w:spacing w:after="0" w:line="276" w:lineRule="auto"/>
        <w:jc w:val="both"/>
        <w:rPr>
          <w:rFonts w:ascii="Verdana" w:hAnsi="Verdana"/>
          <w:lang w:val="es-MX"/>
        </w:rPr>
      </w:pPr>
    </w:p>
    <w:p w14:paraId="1E8CDE74" w14:textId="04DF19CB" w:rsidR="00267D00" w:rsidRPr="00B06DB0" w:rsidRDefault="00267D00" w:rsidP="00B06DB0">
      <w:pPr>
        <w:spacing w:after="0" w:line="276" w:lineRule="auto"/>
        <w:jc w:val="both"/>
        <w:rPr>
          <w:rFonts w:ascii="Verdana" w:hAnsi="Verdana"/>
          <w:lang w:val="es-MX"/>
        </w:rPr>
      </w:pPr>
      <w:r w:rsidRPr="00E02524">
        <w:rPr>
          <w:rFonts w:ascii="Verdana" w:hAnsi="Verdana"/>
          <w:lang w:val="es-MX"/>
        </w:rPr>
        <w:t>Cordialmente,</w:t>
      </w:r>
    </w:p>
    <w:p w14:paraId="1D3EC522" w14:textId="19FB391A" w:rsidR="00267D00" w:rsidRDefault="00B06DB0" w:rsidP="00267D00">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55CA6D51" wp14:editId="62EBF066">
            <wp:extent cx="2412235" cy="1136534"/>
            <wp:effectExtent l="0" t="0" r="7620" b="6985"/>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20"/>
                    <a:stretch>
                      <a:fillRect/>
                    </a:stretch>
                  </pic:blipFill>
                  <pic:spPr>
                    <a:xfrm>
                      <a:off x="0" y="0"/>
                      <a:ext cx="2421419" cy="1140861"/>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267D00" w:rsidRPr="005644FE" w14:paraId="1A92E48E" w14:textId="77777777" w:rsidTr="00C57709">
        <w:trPr>
          <w:trHeight w:val="288"/>
        </w:trPr>
        <w:tc>
          <w:tcPr>
            <w:tcW w:w="893" w:type="dxa"/>
            <w:vAlign w:val="center"/>
            <w:hideMark/>
          </w:tcPr>
          <w:p w14:paraId="0C1D7DA6" w14:textId="77777777" w:rsidR="00267D00" w:rsidRPr="005644FE" w:rsidRDefault="00267D00" w:rsidP="00C57709">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626A0A0A" w14:textId="77777777" w:rsidR="00267D00" w:rsidRPr="005644FE" w:rsidRDefault="00267D00" w:rsidP="00C57709">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19101F71" w14:textId="77777777" w:rsidR="00267D00" w:rsidRPr="005644FE" w:rsidRDefault="00267D00" w:rsidP="00C57709">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267D00" w:rsidRPr="005644FE" w14:paraId="32D01331" w14:textId="77777777" w:rsidTr="00C57709">
        <w:trPr>
          <w:trHeight w:val="330"/>
        </w:trPr>
        <w:tc>
          <w:tcPr>
            <w:tcW w:w="893" w:type="dxa"/>
            <w:vAlign w:val="center"/>
            <w:hideMark/>
          </w:tcPr>
          <w:p w14:paraId="1056DF66" w14:textId="77777777" w:rsidR="00267D00" w:rsidRPr="005644FE" w:rsidRDefault="00267D00" w:rsidP="00C57709">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6FC50E4A" w14:textId="107541EE" w:rsidR="00267D00" w:rsidRPr="00B25B15" w:rsidRDefault="00B06DB0" w:rsidP="00C57709">
            <w:pPr>
              <w:pStyle w:val="paragraph"/>
              <w:spacing w:before="0" w:beforeAutospacing="0" w:after="0" w:afterAutospacing="0"/>
              <w:contextualSpacing/>
              <w:textAlignment w:val="baseline"/>
              <w:rPr>
                <w:rStyle w:val="normaltextrun"/>
                <w:rFonts w:ascii="Verdana" w:hAnsi="Verdana"/>
                <w:sz w:val="16"/>
                <w:szCs w:val="16"/>
              </w:rPr>
            </w:pPr>
            <w:r w:rsidRPr="00B06DB0">
              <w:rPr>
                <w:rFonts w:ascii="Verdana" w:hAnsi="Verdana"/>
                <w:sz w:val="16"/>
                <w:szCs w:val="16"/>
              </w:rPr>
              <w:t xml:space="preserve">Adriana </w:t>
            </w:r>
            <w:proofErr w:type="spellStart"/>
            <w:r w:rsidRPr="00B06DB0">
              <w:rPr>
                <w:rFonts w:ascii="Verdana" w:hAnsi="Verdana"/>
                <w:sz w:val="16"/>
                <w:szCs w:val="16"/>
              </w:rPr>
              <w:t>Katerine</w:t>
            </w:r>
            <w:proofErr w:type="spellEnd"/>
            <w:r w:rsidRPr="00B06DB0">
              <w:rPr>
                <w:rFonts w:ascii="Verdana" w:hAnsi="Verdana"/>
                <w:sz w:val="16"/>
                <w:szCs w:val="16"/>
              </w:rPr>
              <w:t xml:space="preserve"> </w:t>
            </w:r>
            <w:proofErr w:type="spellStart"/>
            <w:r w:rsidRPr="00B06DB0">
              <w:rPr>
                <w:rFonts w:ascii="Verdana" w:hAnsi="Verdana"/>
                <w:sz w:val="16"/>
                <w:szCs w:val="16"/>
              </w:rPr>
              <w:t>Lopez</w:t>
            </w:r>
            <w:proofErr w:type="spellEnd"/>
            <w:r w:rsidRPr="00B06DB0">
              <w:rPr>
                <w:rFonts w:ascii="Verdana" w:hAnsi="Verdana"/>
                <w:sz w:val="16"/>
                <w:szCs w:val="16"/>
              </w:rPr>
              <w:t xml:space="preserve"> R</w:t>
            </w:r>
            <w:r w:rsidR="00267D00" w:rsidRPr="00B25B15">
              <w:rPr>
                <w:rStyle w:val="normaltextrun"/>
                <w:rFonts w:ascii="Verdana" w:hAnsi="Verdana"/>
                <w:sz w:val="16"/>
                <w:szCs w:val="16"/>
              </w:rPr>
              <w:t xml:space="preserve">. </w:t>
            </w:r>
          </w:p>
          <w:p w14:paraId="75C21C99" w14:textId="77777777" w:rsidR="00267D00" w:rsidRPr="00147D6A" w:rsidRDefault="00267D00" w:rsidP="00C57709">
            <w:pPr>
              <w:pStyle w:val="paragraph"/>
              <w:spacing w:before="0" w:beforeAutospacing="0" w:after="0" w:afterAutospacing="0"/>
              <w:contextualSpacing/>
              <w:textAlignment w:val="baseline"/>
              <w:rPr>
                <w:rFonts w:ascii="Verdana" w:hAnsi="Verdana" w:cs="Segoe UI"/>
                <w:sz w:val="16"/>
                <w:szCs w:val="16"/>
              </w:rPr>
            </w:pPr>
            <w:r w:rsidRPr="00147D6A">
              <w:rPr>
                <w:rStyle w:val="normaltextrun"/>
                <w:rFonts w:ascii="Verdana" w:hAnsi="Verdana"/>
                <w:sz w:val="16"/>
                <w:szCs w:val="16"/>
              </w:rPr>
              <w:t xml:space="preserve">Contratista Subdirección Gestión Contractual  </w:t>
            </w:r>
          </w:p>
        </w:tc>
      </w:tr>
      <w:tr w:rsidR="00267D00" w:rsidRPr="005644FE" w14:paraId="08414246" w14:textId="77777777" w:rsidTr="00C57709">
        <w:trPr>
          <w:trHeight w:val="300"/>
        </w:trPr>
        <w:tc>
          <w:tcPr>
            <w:tcW w:w="893" w:type="dxa"/>
            <w:vAlign w:val="center"/>
          </w:tcPr>
          <w:p w14:paraId="737D1125" w14:textId="77777777" w:rsidR="00267D00" w:rsidRPr="005644FE" w:rsidRDefault="00267D00" w:rsidP="00C57709">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2007AA2F" w14:textId="77777777" w:rsidR="00267D00" w:rsidRPr="00147D6A" w:rsidRDefault="00267D00" w:rsidP="00C57709">
            <w:pPr>
              <w:contextualSpacing/>
              <w:rPr>
                <w:rFonts w:ascii="Verdana" w:eastAsia="Calibri" w:hAnsi="Verdana" w:cs="Arial"/>
                <w:sz w:val="16"/>
                <w:szCs w:val="16"/>
                <w:lang w:eastAsia="es-ES"/>
              </w:rPr>
            </w:pPr>
            <w:r w:rsidRPr="00147D6A">
              <w:rPr>
                <w:rFonts w:ascii="Verdana" w:eastAsia="Calibri" w:hAnsi="Verdana" w:cs="Arial"/>
                <w:sz w:val="16"/>
                <w:szCs w:val="16"/>
                <w:lang w:eastAsia="es-ES"/>
              </w:rPr>
              <w:t>Carolina Quintero Gacharná</w:t>
            </w:r>
          </w:p>
          <w:p w14:paraId="61189CB9" w14:textId="77777777" w:rsidR="00267D00" w:rsidRPr="00147D6A" w:rsidRDefault="00267D00" w:rsidP="00C57709">
            <w:pPr>
              <w:contextualSpacing/>
              <w:rPr>
                <w:rFonts w:ascii="Verdana" w:eastAsia="Calibri" w:hAnsi="Verdana" w:cs="Arial"/>
                <w:sz w:val="16"/>
                <w:szCs w:val="16"/>
                <w:lang w:eastAsia="es-ES"/>
              </w:rPr>
            </w:pPr>
            <w:r w:rsidRPr="00147D6A">
              <w:rPr>
                <w:rFonts w:ascii="Verdana" w:eastAsia="Calibri" w:hAnsi="Verdana" w:cs="Arial"/>
                <w:sz w:val="16"/>
                <w:szCs w:val="16"/>
                <w:lang w:eastAsia="es-ES"/>
              </w:rPr>
              <w:t>Subdirectora de Gestión Contractual ANCP – CCE</w:t>
            </w:r>
          </w:p>
        </w:tc>
      </w:tr>
      <w:bookmarkEnd w:id="0"/>
      <w:bookmarkEnd w:id="1"/>
    </w:tbl>
    <w:p w14:paraId="0F293BF4" w14:textId="6F1DBD12" w:rsidR="00127233" w:rsidRPr="00DE741C" w:rsidRDefault="00127233" w:rsidP="00DE741C"/>
    <w:sectPr w:rsidR="00127233" w:rsidRPr="00DE741C"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4CB48D" w14:textId="77777777" w:rsidR="008E79A3" w:rsidRDefault="008E79A3" w:rsidP="004A1847">
      <w:pPr>
        <w:spacing w:after="0" w:line="240" w:lineRule="auto"/>
      </w:pPr>
      <w:r>
        <w:separator/>
      </w:r>
    </w:p>
  </w:endnote>
  <w:endnote w:type="continuationSeparator" w:id="0">
    <w:p w14:paraId="1EC76887" w14:textId="77777777" w:rsidR="008E79A3" w:rsidRDefault="008E79A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7CDD1C" w14:textId="77777777" w:rsidR="008E79A3" w:rsidRDefault="008E79A3" w:rsidP="004A1847">
      <w:pPr>
        <w:spacing w:after="0" w:line="240" w:lineRule="auto"/>
      </w:pPr>
      <w:r>
        <w:separator/>
      </w:r>
    </w:p>
  </w:footnote>
  <w:footnote w:type="continuationSeparator" w:id="0">
    <w:p w14:paraId="2BC62AF0" w14:textId="77777777" w:rsidR="008E79A3" w:rsidRDefault="008E79A3" w:rsidP="004A1847">
      <w:pPr>
        <w:spacing w:after="0" w:line="240" w:lineRule="auto"/>
      </w:pPr>
      <w:r>
        <w:continuationSeparator/>
      </w:r>
    </w:p>
  </w:footnote>
  <w:footnote w:id="1">
    <w:p w14:paraId="7B24370E" w14:textId="77777777" w:rsidR="00267D00" w:rsidRPr="00C32EC0" w:rsidRDefault="00267D00" w:rsidP="00267D00">
      <w:pPr>
        <w:pStyle w:val="Textonotapie"/>
        <w:ind w:firstLine="709"/>
        <w:jc w:val="both"/>
        <w:rPr>
          <w:rFonts w:ascii="Verdana" w:hAnsi="Verdana" w:cs="Arial"/>
          <w:sz w:val="16"/>
          <w:szCs w:val="16"/>
        </w:rPr>
      </w:pPr>
      <w:r w:rsidRPr="00C32EC0">
        <w:rPr>
          <w:rStyle w:val="Refdenotaalpie"/>
          <w:rFonts w:ascii="Verdana" w:hAnsi="Verdana" w:cs="Arial"/>
          <w:sz w:val="16"/>
          <w:szCs w:val="16"/>
        </w:rPr>
        <w:footnoteRef/>
      </w:r>
      <w:r w:rsidRPr="00C32EC0">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37611916" w14:textId="77777777" w:rsidR="00267D00" w:rsidRPr="00C32EC0" w:rsidRDefault="00267D00" w:rsidP="00267D00">
      <w:pPr>
        <w:pStyle w:val="Textonotapie"/>
        <w:ind w:firstLine="709"/>
        <w:jc w:val="both"/>
        <w:rPr>
          <w:rFonts w:ascii="Verdana" w:hAnsi="Verdana" w:cs="Arial"/>
          <w:sz w:val="16"/>
          <w:szCs w:val="16"/>
        </w:rPr>
      </w:pPr>
      <w:r w:rsidRPr="00C32EC0">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230C245B" w14:textId="77777777" w:rsidR="00267D00" w:rsidRPr="00C32EC0" w:rsidRDefault="00267D00" w:rsidP="00267D00">
      <w:pPr>
        <w:pStyle w:val="Textonotapie"/>
        <w:ind w:firstLine="709"/>
        <w:jc w:val="both"/>
        <w:rPr>
          <w:rFonts w:ascii="Verdana" w:hAnsi="Verdana" w:cs="Arial"/>
          <w:sz w:val="16"/>
          <w:szCs w:val="16"/>
        </w:rPr>
      </w:pPr>
    </w:p>
  </w:footnote>
  <w:footnote w:id="2">
    <w:p w14:paraId="23DB75DA" w14:textId="77777777" w:rsidR="00267D00" w:rsidRPr="00C32EC0" w:rsidRDefault="00267D00" w:rsidP="00267D00">
      <w:pPr>
        <w:pStyle w:val="Textonotapie"/>
        <w:ind w:firstLine="709"/>
        <w:jc w:val="both"/>
        <w:rPr>
          <w:rFonts w:ascii="Verdana" w:hAnsi="Verdana" w:cs="Arial"/>
          <w:sz w:val="16"/>
          <w:szCs w:val="16"/>
        </w:rPr>
      </w:pPr>
      <w:r w:rsidRPr="00C32EC0">
        <w:rPr>
          <w:rStyle w:val="Refdenotaalpie"/>
          <w:rFonts w:ascii="Verdana" w:hAnsi="Verdana" w:cs="Arial"/>
          <w:sz w:val="16"/>
          <w:szCs w:val="16"/>
        </w:rPr>
        <w:footnoteRef/>
      </w:r>
      <w:r w:rsidRPr="00C32EC0">
        <w:rPr>
          <w:rFonts w:ascii="Verdana" w:hAnsi="Verdana" w:cs="Arial"/>
          <w:sz w:val="16"/>
          <w:szCs w:val="16"/>
        </w:rPr>
        <w:t xml:space="preserve"> Gaceta del Congreso de la República No. 71 del 2005.</w:t>
      </w:r>
    </w:p>
    <w:p w14:paraId="3544E7EA" w14:textId="77777777" w:rsidR="00267D00" w:rsidRPr="00C32EC0" w:rsidRDefault="00267D00" w:rsidP="00267D00">
      <w:pPr>
        <w:pStyle w:val="Textonotapie"/>
        <w:ind w:firstLine="709"/>
        <w:jc w:val="both"/>
        <w:rPr>
          <w:rFonts w:ascii="Verdana" w:hAnsi="Verdana" w:cs="Arial"/>
          <w:sz w:val="16"/>
          <w:szCs w:val="16"/>
        </w:rPr>
      </w:pPr>
    </w:p>
  </w:footnote>
  <w:footnote w:id="3">
    <w:p w14:paraId="2F81CCEF" w14:textId="77777777" w:rsidR="00267D00" w:rsidRPr="00C32EC0" w:rsidRDefault="00267D00" w:rsidP="00267D00">
      <w:pPr>
        <w:pStyle w:val="Textonotapie"/>
        <w:tabs>
          <w:tab w:val="left" w:pos="8145"/>
        </w:tabs>
        <w:ind w:firstLine="709"/>
        <w:jc w:val="both"/>
        <w:rPr>
          <w:rFonts w:ascii="Verdana" w:hAnsi="Verdana" w:cs="Arial"/>
          <w:sz w:val="16"/>
          <w:szCs w:val="16"/>
          <w:lang w:val="pt-PT"/>
        </w:rPr>
      </w:pPr>
      <w:r w:rsidRPr="00C32EC0">
        <w:rPr>
          <w:rStyle w:val="Refdenotaalpie"/>
          <w:rFonts w:ascii="Verdana" w:hAnsi="Verdana" w:cs="Arial"/>
          <w:sz w:val="16"/>
          <w:szCs w:val="16"/>
        </w:rPr>
        <w:footnoteRef/>
      </w:r>
      <w:r w:rsidRPr="00C32EC0">
        <w:rPr>
          <w:rFonts w:ascii="Verdana" w:hAnsi="Verdana" w:cs="Arial"/>
          <w:sz w:val="16"/>
          <w:szCs w:val="16"/>
          <w:lang w:val="pt-PT"/>
        </w:rPr>
        <w:t xml:space="preserve"> Corte Constitucional. Sentencia C- 1153 de 2005, M.P: Marco Gerardo Monroy Cabra.</w:t>
      </w:r>
      <w:r w:rsidRPr="00C32EC0">
        <w:rPr>
          <w:rFonts w:ascii="Verdana" w:hAnsi="Verdana" w:cs="Arial"/>
          <w:sz w:val="16"/>
          <w:szCs w:val="16"/>
          <w:lang w:val="pt-PT"/>
        </w:rPr>
        <w:tab/>
      </w:r>
    </w:p>
    <w:p w14:paraId="219FA6E5" w14:textId="77777777" w:rsidR="00267D00" w:rsidRPr="00C32EC0" w:rsidRDefault="00267D00" w:rsidP="00267D00">
      <w:pPr>
        <w:pStyle w:val="Textonotapie"/>
        <w:tabs>
          <w:tab w:val="left" w:pos="8145"/>
        </w:tabs>
        <w:ind w:firstLine="709"/>
        <w:jc w:val="both"/>
        <w:rPr>
          <w:rFonts w:ascii="Verdana" w:hAnsi="Verdana" w:cs="Arial"/>
          <w:sz w:val="16"/>
          <w:szCs w:val="16"/>
          <w:lang w:val="pt-PT"/>
        </w:rPr>
      </w:pPr>
    </w:p>
  </w:footnote>
  <w:footnote w:id="4">
    <w:p w14:paraId="04D27045" w14:textId="77777777" w:rsidR="00267D00" w:rsidRPr="0032596E" w:rsidRDefault="00267D00" w:rsidP="00267D00">
      <w:pPr>
        <w:pStyle w:val="Textonotapie"/>
        <w:ind w:firstLine="709"/>
        <w:jc w:val="both"/>
        <w:rPr>
          <w:rFonts w:ascii="Verdana" w:hAnsi="Verdana" w:cs="Arial"/>
          <w:sz w:val="16"/>
          <w:szCs w:val="16"/>
          <w:lang w:val="pt-PT"/>
        </w:rPr>
      </w:pPr>
      <w:r w:rsidRPr="0032596E">
        <w:rPr>
          <w:rStyle w:val="Refdenotaalpie"/>
          <w:rFonts w:ascii="Verdana" w:hAnsi="Verdana" w:cs="Arial"/>
          <w:sz w:val="16"/>
          <w:szCs w:val="16"/>
        </w:rPr>
        <w:footnoteRef/>
      </w:r>
      <w:r w:rsidRPr="0032596E">
        <w:rPr>
          <w:rFonts w:ascii="Verdana" w:hAnsi="Verdana" w:cs="Arial"/>
          <w:sz w:val="16"/>
          <w:szCs w:val="16"/>
          <w:lang w:val="pt-PT"/>
        </w:rPr>
        <w:t xml:space="preserve"> </w:t>
      </w:r>
      <w:r w:rsidRPr="0032596E">
        <w:rPr>
          <w:rFonts w:ascii="Verdana" w:hAnsi="Verdana" w:cs="Arial"/>
          <w:sz w:val="16"/>
          <w:szCs w:val="16"/>
          <w:lang w:val="es-CO"/>
        </w:rPr>
        <w:t>Corte Constitucional. Sentencias: C-233 de 4 de abril de 2002. M.P: Álvaro Tafur Galvis; C-551 de 9 de julio de 2003. M.P: Eduardo Montealegre Lynnet; C-353 de 20 de mayo de 2009. M.P: Jorge Iván Palacio Palacio; C-541 de 30 de junio de 2010. M.P: Gabriel Eduardo Mendoza Martelo; entre otras.</w:t>
      </w:r>
    </w:p>
    <w:p w14:paraId="1829A8B6" w14:textId="77777777" w:rsidR="00267D00" w:rsidRPr="0032596E" w:rsidRDefault="00267D00" w:rsidP="00267D00">
      <w:pPr>
        <w:pStyle w:val="Textonotapie"/>
        <w:ind w:firstLine="709"/>
        <w:jc w:val="both"/>
        <w:rPr>
          <w:rFonts w:ascii="Verdana" w:hAnsi="Verdana" w:cs="Arial"/>
          <w:sz w:val="16"/>
          <w:szCs w:val="16"/>
          <w:lang w:val="pt-PT"/>
        </w:rPr>
      </w:pPr>
    </w:p>
  </w:footnote>
  <w:footnote w:id="5">
    <w:p w14:paraId="113A16F3" w14:textId="77777777" w:rsidR="00267D00" w:rsidRPr="0032596E" w:rsidRDefault="00267D00" w:rsidP="00267D00">
      <w:pPr>
        <w:pStyle w:val="Textonotapie"/>
        <w:ind w:firstLine="709"/>
        <w:jc w:val="both"/>
        <w:rPr>
          <w:rFonts w:ascii="Verdana" w:hAnsi="Verdana" w:cs="Arial"/>
          <w:sz w:val="16"/>
          <w:szCs w:val="16"/>
          <w:lang w:val="es-CO"/>
        </w:rPr>
      </w:pPr>
      <w:r w:rsidRPr="0032596E">
        <w:rPr>
          <w:rStyle w:val="Refdenotaalpie"/>
          <w:rFonts w:ascii="Verdana" w:hAnsi="Verdana" w:cs="Arial"/>
          <w:sz w:val="16"/>
          <w:szCs w:val="16"/>
        </w:rPr>
        <w:footnoteRef/>
      </w:r>
      <w:r w:rsidRPr="0032596E">
        <w:rPr>
          <w:rFonts w:ascii="Verdana" w:hAnsi="Verdana" w:cs="Arial"/>
          <w:sz w:val="16"/>
          <w:szCs w:val="16"/>
          <w:lang w:val="es-CO"/>
        </w:rPr>
        <w:t xml:space="preserve"> Consejo de Estado. Sala de lo Contencioso Administrativo. Sección Primera. Sentencia de 3 de marzo de 2005. Radicado: </w:t>
      </w:r>
      <w:r w:rsidRPr="0032596E">
        <w:rPr>
          <w:rFonts w:ascii="Verdana" w:hAnsi="Verdana" w:cs="Arial"/>
          <w:sz w:val="16"/>
          <w:szCs w:val="16"/>
          <w:lang w:val="es-ES"/>
        </w:rPr>
        <w:t xml:space="preserve">25001-23-15-000-2004-00823-01 (PI). </w:t>
      </w:r>
      <w:r w:rsidRPr="0032596E">
        <w:rPr>
          <w:rFonts w:ascii="Verdana" w:hAnsi="Verdana" w:cs="Arial"/>
          <w:sz w:val="16"/>
          <w:szCs w:val="16"/>
          <w:lang w:val="es-CO"/>
        </w:rPr>
        <w:t>C.P: Camilo Arciniegas Andrade. Ver también, de la Sección Tercera. Sentencia de 22 de enero de 2002, expediente número 2001-0148-01 y, Sección Tercera. Sentencia de 20 de noviembre de 2001, expediente número 2001-0130-01(PI), entre otras.</w:t>
      </w:r>
    </w:p>
    <w:p w14:paraId="7C8F3108" w14:textId="77777777" w:rsidR="00267D00" w:rsidRPr="0032596E" w:rsidRDefault="00267D00" w:rsidP="00267D00">
      <w:pPr>
        <w:pStyle w:val="Textonotapie"/>
        <w:ind w:firstLine="709"/>
        <w:jc w:val="both"/>
        <w:rPr>
          <w:rFonts w:ascii="Verdana" w:hAnsi="Verdana" w:cs="Arial"/>
          <w:sz w:val="16"/>
          <w:szCs w:val="16"/>
          <w:lang w:val="es-CO"/>
        </w:rPr>
      </w:pPr>
    </w:p>
  </w:footnote>
  <w:footnote w:id="6">
    <w:p w14:paraId="1C58E80F" w14:textId="77777777" w:rsidR="00267D00" w:rsidRPr="0032596E" w:rsidRDefault="00267D00" w:rsidP="00267D00">
      <w:pPr>
        <w:pStyle w:val="Textonotapie"/>
        <w:ind w:firstLine="709"/>
        <w:jc w:val="both"/>
        <w:rPr>
          <w:rFonts w:ascii="Verdana" w:hAnsi="Verdana" w:cs="Arial"/>
          <w:sz w:val="16"/>
          <w:szCs w:val="16"/>
        </w:rPr>
      </w:pPr>
      <w:r w:rsidRPr="0032596E">
        <w:rPr>
          <w:rStyle w:val="Refdenotaalpie"/>
          <w:rFonts w:ascii="Verdana" w:hAnsi="Verdana" w:cs="Arial"/>
          <w:sz w:val="16"/>
          <w:szCs w:val="16"/>
        </w:rPr>
        <w:footnoteRef/>
      </w:r>
      <w:r w:rsidRPr="0032596E">
        <w:rPr>
          <w:rFonts w:ascii="Verdana" w:hAnsi="Verdana" w:cs="Arial"/>
          <w:sz w:val="16"/>
          <w:szCs w:val="16"/>
        </w:rPr>
        <w:t xml:space="preserve"> Consejo de Estado, Sala de Consulta y Servicio Civil. 24 de julio de 2013. Radicado: </w:t>
      </w:r>
      <w:r w:rsidRPr="0032596E">
        <w:rPr>
          <w:rFonts w:ascii="Verdana" w:hAnsi="Verdana" w:cs="Arial"/>
          <w:sz w:val="16"/>
          <w:szCs w:val="16"/>
          <w:lang w:val="es-CO"/>
        </w:rPr>
        <w:t xml:space="preserve">11001-03-06-000-2013-00407-00 </w:t>
      </w:r>
      <w:r w:rsidRPr="0032596E">
        <w:rPr>
          <w:rFonts w:ascii="Verdana" w:hAnsi="Verdana" w:cs="Arial"/>
          <w:sz w:val="16"/>
          <w:szCs w:val="16"/>
        </w:rPr>
        <w:t xml:space="preserve">(2166). C.P. Álvaro Namén Vargas.  </w:t>
      </w:r>
    </w:p>
    <w:p w14:paraId="19CB4D83" w14:textId="77777777" w:rsidR="00267D00" w:rsidRPr="003E253F" w:rsidRDefault="00267D00" w:rsidP="00267D00">
      <w:pPr>
        <w:pStyle w:val="Textonotapie"/>
        <w:ind w:firstLine="709"/>
        <w:jc w:val="both"/>
        <w:rPr>
          <w:rFonts w:ascii="Verdana" w:hAnsi="Verdana" w:cs="Arial"/>
          <w:sz w:val="14"/>
          <w:szCs w:val="14"/>
        </w:rPr>
      </w:pPr>
    </w:p>
  </w:footnote>
  <w:footnote w:id="7">
    <w:p w14:paraId="276947B3" w14:textId="77777777" w:rsidR="00267D00" w:rsidRPr="0032596E" w:rsidRDefault="00267D00" w:rsidP="00267D00">
      <w:pPr>
        <w:spacing w:after="0" w:line="240" w:lineRule="auto"/>
        <w:ind w:firstLine="709"/>
        <w:jc w:val="both"/>
        <w:rPr>
          <w:rFonts w:ascii="Verdana" w:eastAsia="Times New Roman" w:hAnsi="Verdana" w:cs="Arial"/>
          <w:sz w:val="16"/>
          <w:szCs w:val="16"/>
        </w:rPr>
      </w:pPr>
      <w:r w:rsidRPr="0032596E">
        <w:rPr>
          <w:rStyle w:val="Refdenotaalpie"/>
          <w:rFonts w:ascii="Verdana" w:hAnsi="Verdana" w:cs="Arial"/>
          <w:sz w:val="16"/>
          <w:szCs w:val="16"/>
        </w:rPr>
        <w:footnoteRef/>
      </w:r>
      <w:r w:rsidRPr="0032596E">
        <w:rPr>
          <w:rFonts w:ascii="Verdana" w:hAnsi="Verdana" w:cs="Arial"/>
          <w:sz w:val="16"/>
          <w:szCs w:val="16"/>
        </w:rPr>
        <w:t xml:space="preserve"> </w:t>
      </w:r>
      <w:bookmarkStart w:id="4" w:name="33"/>
      <w:r w:rsidRPr="0032596E">
        <w:rPr>
          <w:rFonts w:ascii="Verdana" w:eastAsia="Calibri" w:hAnsi="Verdana" w:cs="Arial"/>
          <w:color w:val="000000"/>
          <w:sz w:val="16"/>
          <w:szCs w:val="16"/>
        </w:rPr>
        <w:t>“</w:t>
      </w:r>
      <w:r w:rsidRPr="0032596E">
        <w:rPr>
          <w:rFonts w:ascii="Verdana" w:eastAsia="Times New Roman" w:hAnsi="Verdana" w:cs="Arial"/>
          <w:sz w:val="16"/>
          <w:szCs w:val="16"/>
        </w:rPr>
        <w:t>Artículo 33. Restricciones a la contratación pública.</w:t>
      </w:r>
      <w:bookmarkEnd w:id="4"/>
      <w:r w:rsidRPr="0032596E">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0CF05ED8" w14:textId="77777777" w:rsidR="00267D00" w:rsidRPr="0032596E" w:rsidRDefault="00267D00" w:rsidP="00267D00">
      <w:pPr>
        <w:spacing w:after="0" w:line="240" w:lineRule="auto"/>
        <w:ind w:firstLine="709"/>
        <w:jc w:val="both"/>
        <w:rPr>
          <w:rFonts w:ascii="Verdana" w:eastAsia="Times New Roman" w:hAnsi="Verdana" w:cs="Arial"/>
          <w:sz w:val="16"/>
          <w:szCs w:val="16"/>
        </w:rPr>
      </w:pPr>
      <w:r w:rsidRPr="0032596E">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7C733C83" w14:textId="77777777" w:rsidR="00267D00" w:rsidRPr="0032596E" w:rsidRDefault="00267D00" w:rsidP="00267D00">
      <w:pPr>
        <w:spacing w:after="0" w:line="240" w:lineRule="auto"/>
        <w:ind w:firstLine="709"/>
        <w:jc w:val="both"/>
        <w:rPr>
          <w:rFonts w:ascii="Verdana" w:eastAsia="Times New Roman" w:hAnsi="Verdana" w:cs="Arial"/>
          <w:sz w:val="16"/>
          <w:szCs w:val="16"/>
        </w:rPr>
      </w:pPr>
    </w:p>
  </w:footnote>
  <w:footnote w:id="8">
    <w:p w14:paraId="6BE568B2" w14:textId="77777777" w:rsidR="00267D00" w:rsidRPr="0032596E" w:rsidRDefault="00267D00" w:rsidP="00267D00">
      <w:pPr>
        <w:pStyle w:val="NormalWeb"/>
        <w:spacing w:before="0" w:beforeAutospacing="0" w:after="0" w:afterAutospacing="0"/>
        <w:ind w:firstLine="709"/>
        <w:jc w:val="both"/>
        <w:rPr>
          <w:rFonts w:ascii="Verdana" w:hAnsi="Verdana" w:cs="Arial"/>
          <w:sz w:val="16"/>
          <w:szCs w:val="16"/>
          <w:lang w:val="es-MX"/>
        </w:rPr>
      </w:pPr>
      <w:r w:rsidRPr="0032596E">
        <w:rPr>
          <w:rStyle w:val="Refdenotaalpie"/>
          <w:rFonts w:ascii="Verdana" w:eastAsiaTheme="majorEastAsia" w:hAnsi="Verdana" w:cs="Arial"/>
          <w:sz w:val="16"/>
          <w:szCs w:val="16"/>
        </w:rPr>
        <w:footnoteRef/>
      </w:r>
      <w:r w:rsidRPr="0032596E">
        <w:rPr>
          <w:rFonts w:ascii="Verdana" w:hAnsi="Verdana" w:cs="Arial"/>
          <w:sz w:val="16"/>
          <w:szCs w:val="16"/>
        </w:rPr>
        <w:t xml:space="preserve"> </w:t>
      </w:r>
      <w:bookmarkStart w:id="5" w:name="38"/>
      <w:r w:rsidRPr="0032596E">
        <w:rPr>
          <w:rFonts w:ascii="Verdana" w:eastAsia="Calibri" w:hAnsi="Verdana" w:cs="Arial"/>
          <w:color w:val="000000"/>
          <w:sz w:val="16"/>
          <w:szCs w:val="16"/>
        </w:rPr>
        <w:t>“</w:t>
      </w:r>
      <w:r w:rsidRPr="0032596E">
        <w:rPr>
          <w:rFonts w:ascii="Verdana" w:hAnsi="Verdana" w:cs="Arial"/>
          <w:sz w:val="16"/>
          <w:szCs w:val="16"/>
          <w:lang w:val="es-MX"/>
        </w:rPr>
        <w:t>Artículo 38. Prohibiciones para los servidores públicos. A los empleados del Estado les está prohibido:</w:t>
      </w:r>
      <w:bookmarkEnd w:id="5"/>
    </w:p>
    <w:p w14:paraId="5AEE5F49" w14:textId="77777777" w:rsidR="00267D00" w:rsidRPr="0032596E" w:rsidRDefault="00267D00" w:rsidP="00267D00">
      <w:pPr>
        <w:pStyle w:val="NormalWeb"/>
        <w:spacing w:before="0" w:beforeAutospacing="0" w:after="0" w:afterAutospacing="0"/>
        <w:ind w:firstLine="709"/>
        <w:jc w:val="both"/>
        <w:rPr>
          <w:rFonts w:ascii="Verdana" w:hAnsi="Verdana" w:cs="Arial"/>
          <w:sz w:val="16"/>
          <w:szCs w:val="16"/>
          <w:lang w:val="es-MX"/>
        </w:rPr>
      </w:pPr>
      <w:r w:rsidRPr="0032596E">
        <w:rPr>
          <w:rFonts w:ascii="Verdana" w:hAnsi="Verdana" w:cs="Arial"/>
          <w:sz w:val="16"/>
          <w:szCs w:val="16"/>
          <w:lang w:val="es-MX"/>
        </w:rPr>
        <w:t>(…)</w:t>
      </w:r>
    </w:p>
    <w:p w14:paraId="05CA5FA5" w14:textId="77777777" w:rsidR="00267D00" w:rsidRPr="0032596E" w:rsidRDefault="00267D00" w:rsidP="00267D00">
      <w:pPr>
        <w:pStyle w:val="NormalWeb"/>
        <w:spacing w:before="0" w:beforeAutospacing="0" w:after="0" w:afterAutospacing="0"/>
        <w:ind w:firstLine="709"/>
        <w:jc w:val="both"/>
        <w:rPr>
          <w:rFonts w:ascii="Verdana" w:eastAsia="Calibri" w:hAnsi="Verdana" w:cs="Arial"/>
          <w:color w:val="000000"/>
          <w:sz w:val="16"/>
          <w:szCs w:val="16"/>
        </w:rPr>
      </w:pPr>
      <w:r w:rsidRPr="0032596E">
        <w:rPr>
          <w:rStyle w:val="baj"/>
          <w:rFonts w:ascii="Verdana" w:hAnsi="Verdana" w:cs="Arial"/>
          <w:sz w:val="16"/>
          <w:szCs w:val="16"/>
          <w:lang w:val="es-MX"/>
        </w:rPr>
        <w:t>Parágrafo.</w:t>
      </w:r>
      <w:r w:rsidRPr="0032596E">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32596E">
        <w:rPr>
          <w:rFonts w:ascii="Verdana" w:eastAsia="Calibri" w:hAnsi="Verdana" w:cs="Arial"/>
          <w:color w:val="000000"/>
          <w:sz w:val="16"/>
          <w:szCs w:val="16"/>
        </w:rPr>
        <w:t>”.</w:t>
      </w:r>
    </w:p>
    <w:p w14:paraId="3FC3F48A" w14:textId="77777777" w:rsidR="00267D00" w:rsidRPr="0032596E" w:rsidRDefault="00267D00" w:rsidP="00267D00">
      <w:pPr>
        <w:pStyle w:val="NormalWeb"/>
        <w:spacing w:before="0" w:beforeAutospacing="0" w:after="0" w:afterAutospacing="0"/>
        <w:ind w:firstLine="709"/>
        <w:jc w:val="both"/>
        <w:rPr>
          <w:rFonts w:ascii="Verdana" w:eastAsia="Calibri" w:hAnsi="Verdana" w:cs="Arial"/>
          <w:color w:val="000000"/>
          <w:sz w:val="16"/>
          <w:szCs w:val="16"/>
        </w:rPr>
      </w:pPr>
    </w:p>
  </w:footnote>
  <w:footnote w:id="9">
    <w:p w14:paraId="5B89236E" w14:textId="77777777" w:rsidR="00267D00" w:rsidRPr="005703BF" w:rsidRDefault="00267D00" w:rsidP="00267D00">
      <w:pPr>
        <w:tabs>
          <w:tab w:val="left" w:pos="2127"/>
        </w:tabs>
        <w:spacing w:after="0" w:line="240" w:lineRule="auto"/>
        <w:ind w:left="100" w:right="244" w:firstLine="709"/>
        <w:jc w:val="both"/>
        <w:rPr>
          <w:rFonts w:ascii="Verdana" w:hAnsi="Verdana" w:cs="Arial"/>
          <w:sz w:val="16"/>
          <w:szCs w:val="16"/>
        </w:rPr>
      </w:pPr>
      <w:r w:rsidRPr="005703BF">
        <w:rPr>
          <w:rStyle w:val="Refdenotaalpie"/>
          <w:rFonts w:ascii="Verdana" w:hAnsi="Verdana" w:cs="Arial"/>
          <w:sz w:val="16"/>
          <w:szCs w:val="16"/>
        </w:rPr>
        <w:footnoteRef/>
      </w:r>
      <w:r w:rsidRPr="005703BF">
        <w:rPr>
          <w:rFonts w:ascii="Verdana" w:hAnsi="Verdana" w:cs="Arial"/>
          <w:sz w:val="16"/>
          <w:szCs w:val="16"/>
        </w:rPr>
        <w:t xml:space="preserve"> Consejo de Estado. Sala de Consulta y Servicio Civil. Concepto del 17 de febrero de 2015. Radicado: 11001-03-06-000-2015-00164-00 (2269). C.P. William Zambrano Cetina.</w:t>
      </w:r>
    </w:p>
    <w:p w14:paraId="37210FDF" w14:textId="77777777" w:rsidR="00267D00" w:rsidRPr="005703BF" w:rsidRDefault="00267D00" w:rsidP="00267D00">
      <w:pPr>
        <w:spacing w:after="0" w:line="240" w:lineRule="auto"/>
        <w:ind w:left="100" w:right="244" w:firstLine="709"/>
        <w:jc w:val="both"/>
        <w:rPr>
          <w:rFonts w:ascii="Verdana" w:hAnsi="Verdana" w:cs="Arial"/>
          <w:sz w:val="16"/>
          <w:szCs w:val="16"/>
          <w:lang w:val="es-ES"/>
        </w:rPr>
      </w:pPr>
    </w:p>
  </w:footnote>
  <w:footnote w:id="10">
    <w:p w14:paraId="0A6AC0D9" w14:textId="77777777" w:rsidR="00267D00" w:rsidRPr="005703BF" w:rsidRDefault="00267D00" w:rsidP="00267D00">
      <w:pPr>
        <w:pStyle w:val="Textonotapie"/>
        <w:ind w:firstLine="709"/>
        <w:jc w:val="both"/>
        <w:rPr>
          <w:rFonts w:ascii="Verdana" w:hAnsi="Verdana" w:cs="Arial"/>
          <w:sz w:val="16"/>
          <w:szCs w:val="16"/>
        </w:rPr>
      </w:pPr>
      <w:r w:rsidRPr="005703BF">
        <w:rPr>
          <w:rStyle w:val="Refdenotaalpie"/>
          <w:rFonts w:ascii="Verdana" w:hAnsi="Verdana" w:cs="Arial"/>
          <w:sz w:val="16"/>
          <w:szCs w:val="16"/>
        </w:rPr>
        <w:footnoteRef/>
      </w:r>
      <w:r w:rsidRPr="005703BF">
        <w:rPr>
          <w:rFonts w:ascii="Verdana" w:hAnsi="Verdana" w:cs="Arial"/>
          <w:sz w:val="16"/>
          <w:szCs w:val="16"/>
        </w:rPr>
        <w:t xml:space="preserve"> “</w:t>
      </w:r>
      <w:r w:rsidRPr="005703BF">
        <w:rPr>
          <w:rFonts w:ascii="Verdana" w:hAnsi="Verdana" w:cs="Arial"/>
          <w:sz w:val="16"/>
          <w:szCs w:val="16"/>
          <w:lang w:val="es-ES"/>
        </w:rPr>
        <w:t xml:space="preserve">[25] </w:t>
      </w:r>
      <w:r w:rsidRPr="005703BF">
        <w:rPr>
          <w:rFonts w:ascii="Verdana" w:hAnsi="Verdana" w:cs="Arial"/>
          <w:sz w:val="16"/>
          <w:szCs w:val="16"/>
        </w:rPr>
        <w:t>Cfr. Consejo de Estado. Sección Tercera. Sentencia de 3 de diciembre de 2007. Radicados: 24.715, 25.206, 25.409, 24.524, 27.834, 25.410, 26.105, 28.244, 31.447 -acumulados-“.</w:t>
      </w:r>
    </w:p>
    <w:p w14:paraId="3C74E859" w14:textId="77777777" w:rsidR="00267D00" w:rsidRPr="005703BF" w:rsidRDefault="00267D00" w:rsidP="00267D00">
      <w:pPr>
        <w:pStyle w:val="Textonotapie"/>
        <w:ind w:firstLine="709"/>
        <w:jc w:val="both"/>
        <w:rPr>
          <w:rFonts w:ascii="Verdana" w:hAnsi="Verdana" w:cs="Arial"/>
          <w:sz w:val="16"/>
          <w:szCs w:val="16"/>
        </w:rPr>
      </w:pPr>
    </w:p>
  </w:footnote>
  <w:footnote w:id="11">
    <w:p w14:paraId="6C027BEA" w14:textId="77777777" w:rsidR="00267D00" w:rsidRPr="005703BF" w:rsidRDefault="00267D00" w:rsidP="00267D00">
      <w:pPr>
        <w:pStyle w:val="Textonotapie"/>
        <w:ind w:firstLine="709"/>
        <w:jc w:val="both"/>
        <w:rPr>
          <w:rFonts w:ascii="Verdana" w:hAnsi="Verdana" w:cs="Arial"/>
          <w:sz w:val="16"/>
          <w:szCs w:val="16"/>
        </w:rPr>
      </w:pPr>
      <w:r w:rsidRPr="005703BF">
        <w:rPr>
          <w:rStyle w:val="Refdenotaalpie"/>
          <w:rFonts w:ascii="Verdana" w:hAnsi="Verdana" w:cs="Arial"/>
          <w:sz w:val="16"/>
          <w:szCs w:val="16"/>
        </w:rPr>
        <w:footnoteRef/>
      </w:r>
      <w:r w:rsidRPr="005703BF">
        <w:rPr>
          <w:rFonts w:ascii="Verdana" w:hAnsi="Verdana" w:cs="Arial"/>
          <w:sz w:val="16"/>
          <w:szCs w:val="16"/>
        </w:rPr>
        <w:t xml:space="preserve"> </w:t>
      </w:r>
      <w:bookmarkStart w:id="13" w:name="_Hlk74294506"/>
      <w:r w:rsidRPr="005703BF">
        <w:rPr>
          <w:rFonts w:ascii="Verdana" w:hAnsi="Verdana" w:cs="Arial"/>
          <w:sz w:val="16"/>
          <w:szCs w:val="16"/>
        </w:rPr>
        <w:t>“</w:t>
      </w:r>
      <w:r w:rsidRPr="005703BF">
        <w:rPr>
          <w:rFonts w:ascii="Verdana" w:hAnsi="Verdana" w:cs="Arial"/>
          <w:sz w:val="16"/>
          <w:szCs w:val="16"/>
          <w:lang w:val="es-ES"/>
        </w:rPr>
        <w:t xml:space="preserve">[26] </w:t>
      </w:r>
      <w:bookmarkEnd w:id="13"/>
      <w:r w:rsidRPr="005703BF">
        <w:rPr>
          <w:rFonts w:ascii="Verdana" w:hAnsi="Verdana" w:cs="Arial"/>
          <w:sz w:val="16"/>
          <w:szCs w:val="16"/>
        </w:rPr>
        <w:t>Al respecto ver el concepto 1712 de 2 de febrero de 2006. Consejo de Estado Sala de Consulta y Servicio Civil”.</w:t>
      </w:r>
    </w:p>
    <w:p w14:paraId="3658BB31" w14:textId="77777777" w:rsidR="00267D00" w:rsidRPr="005703BF" w:rsidRDefault="00267D00" w:rsidP="00267D00">
      <w:pPr>
        <w:pStyle w:val="Textonotapie"/>
        <w:ind w:firstLine="709"/>
        <w:jc w:val="both"/>
        <w:rPr>
          <w:rFonts w:ascii="Verdana" w:hAnsi="Verdana" w:cs="Arial"/>
          <w:sz w:val="16"/>
          <w:szCs w:val="16"/>
        </w:rPr>
      </w:pPr>
    </w:p>
  </w:footnote>
  <w:footnote w:id="12">
    <w:p w14:paraId="051211F5" w14:textId="77777777" w:rsidR="00267D00" w:rsidRPr="005703BF" w:rsidRDefault="00267D00" w:rsidP="00267D00">
      <w:pPr>
        <w:pStyle w:val="Textonotapie"/>
        <w:ind w:firstLine="709"/>
        <w:jc w:val="both"/>
        <w:rPr>
          <w:rFonts w:ascii="Verdana" w:hAnsi="Verdana" w:cs="Arial"/>
          <w:sz w:val="16"/>
          <w:szCs w:val="16"/>
        </w:rPr>
      </w:pPr>
      <w:r w:rsidRPr="005703BF">
        <w:rPr>
          <w:rStyle w:val="Refdenotaalpie"/>
          <w:rFonts w:ascii="Verdana" w:hAnsi="Verdana" w:cs="Arial"/>
          <w:sz w:val="16"/>
          <w:szCs w:val="16"/>
        </w:rPr>
        <w:footnoteRef/>
      </w:r>
      <w:r w:rsidRPr="005703BF">
        <w:rPr>
          <w:rFonts w:ascii="Verdana" w:hAnsi="Verdana" w:cs="Arial"/>
          <w:sz w:val="16"/>
          <w:szCs w:val="16"/>
        </w:rPr>
        <w:t xml:space="preserve"> Consejo de Estado. Sala de Consulta y Servicio Civil. Concepto del 2 de septiembre de 2013. Radicación número: 11001-03-06-000-2013-00412-00 (2168). C.P: Álvaro Namén Vargas.</w:t>
      </w:r>
    </w:p>
  </w:footnote>
  <w:footnote w:id="13">
    <w:p w14:paraId="21479E9A" w14:textId="77777777" w:rsidR="00267D00" w:rsidRPr="005703BF" w:rsidRDefault="00267D00" w:rsidP="00267D00">
      <w:pPr>
        <w:pStyle w:val="Textonotapie"/>
        <w:ind w:firstLine="709"/>
        <w:jc w:val="both"/>
        <w:rPr>
          <w:rFonts w:ascii="Verdana" w:hAnsi="Verdana" w:cs="Arial"/>
          <w:sz w:val="16"/>
          <w:szCs w:val="16"/>
          <w:lang w:val="es-ES"/>
        </w:rPr>
      </w:pPr>
      <w:r w:rsidRPr="005703BF">
        <w:rPr>
          <w:rStyle w:val="Refdenotaalpie"/>
          <w:rFonts w:ascii="Verdana" w:hAnsi="Verdana" w:cs="Arial"/>
          <w:sz w:val="16"/>
          <w:szCs w:val="16"/>
        </w:rPr>
        <w:footnoteRef/>
      </w:r>
      <w:r w:rsidRPr="005703BF">
        <w:rPr>
          <w:rFonts w:ascii="Verdana" w:hAnsi="Verdana" w:cs="Arial"/>
          <w:sz w:val="16"/>
          <w:szCs w:val="16"/>
        </w:rPr>
        <w:t xml:space="preserve"> </w:t>
      </w:r>
      <w:r w:rsidRPr="005703BF">
        <w:rPr>
          <w:rFonts w:ascii="Verdana" w:hAnsi="Verdana" w:cs="Arial"/>
          <w:sz w:val="16"/>
          <w:szCs w:val="16"/>
          <w:lang w:val="es-ES"/>
        </w:rPr>
        <w:t xml:space="preserve">Artículo 2. </w:t>
      </w:r>
    </w:p>
    <w:p w14:paraId="539C2F12" w14:textId="77777777" w:rsidR="00267D00" w:rsidRPr="005703BF" w:rsidRDefault="00267D00" w:rsidP="00267D00">
      <w:pPr>
        <w:pStyle w:val="Textonotapie"/>
        <w:ind w:firstLine="709"/>
        <w:jc w:val="both"/>
        <w:rPr>
          <w:rFonts w:ascii="Verdana" w:hAnsi="Verdana" w:cs="Arial"/>
          <w:sz w:val="16"/>
          <w:szCs w:val="16"/>
          <w:lang w:val="es-ES"/>
        </w:rPr>
      </w:pPr>
    </w:p>
  </w:footnote>
  <w:footnote w:id="14">
    <w:p w14:paraId="29C69710" w14:textId="77777777" w:rsidR="00267D00" w:rsidRPr="005703BF" w:rsidRDefault="00267D00" w:rsidP="00267D00">
      <w:pPr>
        <w:pStyle w:val="Textonotapie"/>
        <w:ind w:firstLine="709"/>
        <w:jc w:val="both"/>
        <w:rPr>
          <w:rFonts w:ascii="Verdana" w:hAnsi="Verdana" w:cs="Arial"/>
          <w:sz w:val="16"/>
          <w:szCs w:val="16"/>
          <w:lang w:val="es-ES"/>
        </w:rPr>
      </w:pPr>
      <w:r w:rsidRPr="005703BF">
        <w:rPr>
          <w:rStyle w:val="Refdenotaalpie"/>
          <w:rFonts w:ascii="Verdana" w:hAnsi="Verdana" w:cs="Arial"/>
          <w:sz w:val="16"/>
          <w:szCs w:val="16"/>
        </w:rPr>
        <w:footnoteRef/>
      </w:r>
      <w:r w:rsidRPr="005703BF">
        <w:rPr>
          <w:rFonts w:ascii="Verdana" w:hAnsi="Verdana" w:cs="Arial"/>
          <w:sz w:val="16"/>
          <w:szCs w:val="16"/>
        </w:rPr>
        <w:t xml:space="preserve"> </w:t>
      </w:r>
      <w:r w:rsidRPr="005703BF">
        <w:rPr>
          <w:rFonts w:ascii="Verdana" w:hAnsi="Verdana" w:cs="Arial"/>
          <w:i/>
          <w:sz w:val="16"/>
          <w:szCs w:val="16"/>
          <w:lang w:val="es-ES"/>
        </w:rPr>
        <w:t>Ídem</w:t>
      </w:r>
      <w:r w:rsidRPr="005703BF">
        <w:rPr>
          <w:rFonts w:ascii="Verdana" w:hAnsi="Verdana" w:cs="Arial"/>
          <w:sz w:val="16"/>
          <w:szCs w:val="16"/>
          <w:lang w:val="es-ES"/>
        </w:rPr>
        <w:t>.</w:t>
      </w:r>
    </w:p>
    <w:p w14:paraId="429E0C44" w14:textId="77777777" w:rsidR="00267D00" w:rsidRPr="005703BF" w:rsidRDefault="00267D00" w:rsidP="00267D00">
      <w:pPr>
        <w:pStyle w:val="Textonotapie"/>
        <w:ind w:firstLine="709"/>
        <w:jc w:val="both"/>
        <w:rPr>
          <w:rFonts w:ascii="Verdana" w:hAnsi="Verdana" w:cs="Arial"/>
          <w:sz w:val="16"/>
          <w:szCs w:val="16"/>
          <w:lang w:val="es-ES"/>
        </w:rPr>
      </w:pPr>
    </w:p>
  </w:footnote>
  <w:footnote w:id="15">
    <w:p w14:paraId="4449632C" w14:textId="77777777" w:rsidR="00267D00" w:rsidRPr="005703BF" w:rsidRDefault="00267D00" w:rsidP="00267D00">
      <w:pPr>
        <w:pStyle w:val="Textonotapie"/>
        <w:ind w:firstLine="709"/>
        <w:jc w:val="both"/>
        <w:rPr>
          <w:rFonts w:ascii="Verdana" w:hAnsi="Verdana" w:cs="Arial"/>
          <w:sz w:val="16"/>
          <w:szCs w:val="16"/>
          <w:lang w:val="es-ES"/>
        </w:rPr>
      </w:pPr>
      <w:r w:rsidRPr="005703BF">
        <w:rPr>
          <w:rStyle w:val="Refdenotaalpie"/>
          <w:rFonts w:ascii="Verdana" w:hAnsi="Verdana" w:cs="Arial"/>
          <w:sz w:val="16"/>
          <w:szCs w:val="16"/>
        </w:rPr>
        <w:footnoteRef/>
      </w:r>
      <w:r w:rsidRPr="005703BF">
        <w:rPr>
          <w:rStyle w:val="Refdenotaalpie"/>
          <w:rFonts w:ascii="Verdana" w:hAnsi="Verdana" w:cs="Arial"/>
          <w:sz w:val="16"/>
          <w:szCs w:val="16"/>
        </w:rPr>
        <w:t xml:space="preserve"> </w:t>
      </w:r>
      <w:r w:rsidRPr="005703BF">
        <w:rPr>
          <w:rFonts w:ascii="Verdana" w:hAnsi="Verdana" w:cs="Arial"/>
          <w:sz w:val="16"/>
          <w:szCs w:val="16"/>
          <w:lang w:val="es-ES"/>
        </w:rPr>
        <w:t xml:space="preserve">[…] A este respecto, cabe recordar que el artículo 860 del Código de Comercio regula la licitación en el derecho privado. </w:t>
      </w:r>
    </w:p>
    <w:p w14:paraId="4E6E59FD" w14:textId="77777777" w:rsidR="00267D00" w:rsidRPr="005703BF" w:rsidRDefault="00267D00" w:rsidP="00267D00">
      <w:pPr>
        <w:pStyle w:val="Textonotapie"/>
        <w:ind w:firstLine="709"/>
        <w:jc w:val="both"/>
        <w:rPr>
          <w:rFonts w:ascii="Verdana" w:hAnsi="Verdana" w:cs="Arial"/>
          <w:sz w:val="16"/>
          <w:szCs w:val="16"/>
          <w:lang w:val="es-ES"/>
        </w:rPr>
      </w:pPr>
    </w:p>
  </w:footnote>
  <w:footnote w:id="16">
    <w:p w14:paraId="7A7F11ED" w14:textId="77777777" w:rsidR="00267D00" w:rsidRPr="005703BF" w:rsidRDefault="00267D00" w:rsidP="00267D00">
      <w:pPr>
        <w:shd w:val="clear" w:color="auto" w:fill="FFFFFF"/>
        <w:spacing w:after="0" w:line="240" w:lineRule="auto"/>
        <w:ind w:firstLine="709"/>
        <w:jc w:val="both"/>
        <w:rPr>
          <w:rFonts w:ascii="Verdana" w:hAnsi="Verdana" w:cs="Arial"/>
          <w:sz w:val="16"/>
          <w:szCs w:val="16"/>
          <w:lang w:val="es-ES"/>
        </w:rPr>
      </w:pPr>
      <w:r w:rsidRPr="005703BF">
        <w:rPr>
          <w:rStyle w:val="Refdenotaalpie"/>
          <w:rFonts w:ascii="Verdana" w:hAnsi="Verdana" w:cs="Arial"/>
          <w:sz w:val="16"/>
          <w:szCs w:val="16"/>
        </w:rPr>
        <w:footnoteRef/>
      </w:r>
      <w:r w:rsidRPr="005703BF">
        <w:rPr>
          <w:rStyle w:val="Refdenotaalpie"/>
          <w:rFonts w:ascii="Verdana" w:hAnsi="Verdana" w:cs="Arial"/>
          <w:sz w:val="16"/>
          <w:szCs w:val="16"/>
        </w:rPr>
        <w:t xml:space="preserve"> </w:t>
      </w:r>
      <w:r w:rsidRPr="005703BF">
        <w:rPr>
          <w:rFonts w:ascii="Verdana" w:hAnsi="Verdana" w:cs="Arial"/>
          <w:sz w:val="16"/>
          <w:szCs w:val="16"/>
          <w:lang w:val="es-ES"/>
        </w:rPr>
        <w:t>Consejo de Estado. Sala de Consulta y Servicio Civil, Concepto de 8 de mayo de 2018. Radicación Número: 11001-03-06-000-2018-00095-00 (2382). C.P: Álvaro Namén Vargas.</w:t>
      </w:r>
    </w:p>
    <w:p w14:paraId="77DFBB30" w14:textId="77777777" w:rsidR="00267D00" w:rsidRPr="005703BF" w:rsidRDefault="00267D00" w:rsidP="00267D00">
      <w:pPr>
        <w:shd w:val="clear" w:color="auto" w:fill="FFFFFF"/>
        <w:spacing w:after="0" w:line="240" w:lineRule="auto"/>
        <w:ind w:firstLine="709"/>
        <w:jc w:val="both"/>
        <w:rPr>
          <w:rFonts w:ascii="Verdana" w:hAnsi="Verdana" w:cs="Arial"/>
          <w:sz w:val="16"/>
          <w:szCs w:val="16"/>
          <w:lang w:val="es-ES"/>
        </w:rPr>
      </w:pPr>
    </w:p>
  </w:footnote>
  <w:footnote w:id="17">
    <w:p w14:paraId="5D1D17A6" w14:textId="77777777" w:rsidR="00267D00" w:rsidRPr="005703BF" w:rsidRDefault="00267D00" w:rsidP="00267D00">
      <w:pPr>
        <w:pStyle w:val="Textonotapie"/>
        <w:ind w:firstLine="709"/>
        <w:jc w:val="both"/>
        <w:rPr>
          <w:rFonts w:ascii="Verdana" w:hAnsi="Verdana" w:cs="Arial"/>
          <w:sz w:val="16"/>
          <w:szCs w:val="16"/>
        </w:rPr>
      </w:pPr>
      <w:r w:rsidRPr="005703BF">
        <w:rPr>
          <w:rStyle w:val="Refdenotaalpie"/>
          <w:rFonts w:ascii="Verdana" w:hAnsi="Verdana" w:cs="Arial"/>
          <w:sz w:val="16"/>
          <w:szCs w:val="16"/>
        </w:rPr>
        <w:footnoteRef/>
      </w:r>
      <w:r w:rsidRPr="005703BF">
        <w:rPr>
          <w:rFonts w:ascii="Verdana" w:hAnsi="Verdana" w:cs="Arial"/>
          <w:sz w:val="16"/>
          <w:szCs w:val="16"/>
        </w:rPr>
        <w:t xml:space="preserve"> Consejo de Estado. Sala de Consulta y Servicio Civil. Concepto del 08 de mayo de 2018. Exp. 2.382. C.P. Álvaro Namén Vargas.</w:t>
      </w:r>
    </w:p>
    <w:p w14:paraId="402114D8" w14:textId="77777777" w:rsidR="00267D00" w:rsidRPr="005703BF" w:rsidRDefault="00267D00" w:rsidP="00267D00">
      <w:pPr>
        <w:pStyle w:val="Textonotapie"/>
        <w:ind w:firstLine="709"/>
        <w:jc w:val="both"/>
        <w:rPr>
          <w:rFonts w:ascii="Verdana" w:hAnsi="Verdana" w:cs="Arial"/>
          <w:sz w:val="16"/>
          <w:szCs w:val="16"/>
        </w:rPr>
      </w:pPr>
    </w:p>
  </w:footnote>
  <w:footnote w:id="18">
    <w:p w14:paraId="50297EA1" w14:textId="77777777" w:rsidR="00267D00" w:rsidRPr="005703BF" w:rsidRDefault="00267D00" w:rsidP="00267D00">
      <w:pPr>
        <w:pStyle w:val="Textonotapie"/>
        <w:ind w:firstLine="709"/>
        <w:jc w:val="both"/>
        <w:rPr>
          <w:rFonts w:ascii="Verdana" w:hAnsi="Verdana"/>
          <w:sz w:val="16"/>
          <w:szCs w:val="16"/>
          <w:lang w:val="es-ES"/>
        </w:rPr>
      </w:pPr>
      <w:r w:rsidRPr="005703BF">
        <w:rPr>
          <w:rStyle w:val="Refdenotaalpie"/>
          <w:rFonts w:ascii="Verdana" w:hAnsi="Verdana"/>
          <w:sz w:val="16"/>
          <w:szCs w:val="16"/>
        </w:rPr>
        <w:footnoteRef/>
      </w:r>
      <w:r w:rsidRPr="005703BF">
        <w:rPr>
          <w:rFonts w:ascii="Verdana" w:hAnsi="Verdana"/>
          <w:sz w:val="16"/>
          <w:szCs w:val="16"/>
        </w:rPr>
        <w:t xml:space="preserve"> </w:t>
      </w:r>
      <w:r w:rsidRPr="005703BF">
        <w:rPr>
          <w:rFonts w:ascii="Verdana" w:hAnsi="Verdana"/>
          <w:sz w:val="16"/>
          <w:szCs w:val="16"/>
          <w:lang w:val="es-ES"/>
        </w:rPr>
        <w:t xml:space="preserve">Agencia Nacional de Contratación Pública – Colombia Compra Eficiente. Circular Externa 006 del 25 de septiembre de 2025. Disponible en </w:t>
      </w:r>
      <w:hyperlink r:id="rId1" w:history="1">
        <w:r w:rsidRPr="005703BF">
          <w:rPr>
            <w:rStyle w:val="Hipervnculo"/>
            <w:rFonts w:ascii="Verdana" w:hAnsi="Verdana"/>
            <w:sz w:val="16"/>
            <w:szCs w:val="16"/>
            <w:lang w:val="es-CO"/>
          </w:rPr>
          <w:t>006-de-2025-Circular-Externa-L996-ajustado-comentarios-BM-BID-Rev-ARSC-V3.d-1.pdf</w:t>
        </w:r>
      </w:hyperlink>
    </w:p>
    <w:p w14:paraId="62EBD05C" w14:textId="77777777" w:rsidR="00267D00" w:rsidRPr="005703BF" w:rsidRDefault="00267D00" w:rsidP="00267D00">
      <w:pPr>
        <w:pStyle w:val="Textonotapie"/>
        <w:ind w:firstLine="709"/>
        <w:jc w:val="both"/>
        <w:rPr>
          <w:rFonts w:ascii="Verdana" w:hAnsi="Verdana"/>
          <w:sz w:val="16"/>
          <w:szCs w:val="16"/>
          <w:lang w:val="es-ES"/>
        </w:rPr>
      </w:pPr>
    </w:p>
  </w:footnote>
  <w:footnote w:id="19">
    <w:p w14:paraId="0BA54C84" w14:textId="77777777" w:rsidR="00267D00" w:rsidRPr="005703BF" w:rsidRDefault="00267D00" w:rsidP="00267D00">
      <w:pPr>
        <w:pStyle w:val="Textonotapie"/>
        <w:ind w:firstLine="709"/>
        <w:jc w:val="both"/>
        <w:rPr>
          <w:rFonts w:ascii="Verdana" w:hAnsi="Verdana"/>
          <w:sz w:val="16"/>
          <w:szCs w:val="16"/>
          <w:lang w:val="es-ES"/>
        </w:rPr>
      </w:pPr>
      <w:r w:rsidRPr="005703BF">
        <w:rPr>
          <w:rStyle w:val="Refdenotaalpie"/>
          <w:rFonts w:ascii="Verdana" w:hAnsi="Verdana"/>
          <w:sz w:val="16"/>
          <w:szCs w:val="16"/>
        </w:rPr>
        <w:footnoteRef/>
      </w:r>
      <w:r w:rsidRPr="005703BF">
        <w:rPr>
          <w:rFonts w:ascii="Verdana" w:hAnsi="Verdana"/>
          <w:sz w:val="16"/>
          <w:szCs w:val="16"/>
        </w:rPr>
        <w:t xml:space="preserve"> </w:t>
      </w:r>
      <w:r w:rsidRPr="005703BF">
        <w:rPr>
          <w:rFonts w:ascii="Verdana" w:hAnsi="Verdana"/>
          <w:sz w:val="16"/>
          <w:szCs w:val="16"/>
          <w:lang w:val="es-ES"/>
        </w:rPr>
        <w:t xml:space="preserve">Agencia Nacional de Contratación Pública - Colombia Compra Eficiente. Concepto </w:t>
      </w:r>
      <w:hyperlink r:id="rId2" w:history="1">
        <w:r w:rsidRPr="005703BF">
          <w:rPr>
            <w:rStyle w:val="Hipervnculo"/>
            <w:rFonts w:ascii="Verdana" w:hAnsi="Verdana"/>
            <w:sz w:val="16"/>
            <w:szCs w:val="16"/>
          </w:rPr>
          <w:t>C-048 de 2026 – Relatoria ANCP-CCE</w:t>
        </w:r>
      </w:hyperlink>
      <w:r w:rsidRPr="005703BF">
        <w:rPr>
          <w:rFonts w:ascii="Verdana" w:hAnsi="Verdana"/>
          <w:sz w:val="16"/>
          <w:szCs w:val="16"/>
          <w:lang w:val="es-ES"/>
        </w:rPr>
        <w:t>.</w:t>
      </w:r>
    </w:p>
  </w:footnote>
  <w:footnote w:id="20">
    <w:p w14:paraId="5F75176D" w14:textId="77777777" w:rsidR="00267D00" w:rsidRPr="007269D0" w:rsidRDefault="00267D00" w:rsidP="00267D00">
      <w:pPr>
        <w:spacing w:after="0" w:line="240" w:lineRule="auto"/>
        <w:ind w:firstLine="709"/>
        <w:jc w:val="both"/>
        <w:rPr>
          <w:rFonts w:ascii="Verdana" w:hAnsi="Verdana" w:cs="Arial"/>
          <w:color w:val="000000" w:themeColor="text1"/>
          <w:sz w:val="16"/>
          <w:szCs w:val="16"/>
        </w:rPr>
      </w:pPr>
      <w:r w:rsidRPr="007269D0">
        <w:rPr>
          <w:rStyle w:val="Refdenotaalpie"/>
          <w:rFonts w:ascii="Verdana" w:hAnsi="Verdana" w:cs="Arial"/>
          <w:color w:val="000000" w:themeColor="text1"/>
          <w:sz w:val="16"/>
          <w:szCs w:val="16"/>
        </w:rPr>
        <w:footnoteRef/>
      </w:r>
      <w:r w:rsidRPr="007269D0">
        <w:rPr>
          <w:rFonts w:ascii="Verdana" w:hAnsi="Verdana" w:cs="Arial"/>
          <w:color w:val="000000" w:themeColor="text1"/>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2A10A8A2" w14:textId="77777777" w:rsidR="00267D00" w:rsidRPr="007269D0" w:rsidRDefault="00267D00" w:rsidP="00267D00">
      <w:pPr>
        <w:spacing w:after="0" w:line="240" w:lineRule="auto"/>
        <w:ind w:firstLine="709"/>
        <w:jc w:val="both"/>
        <w:rPr>
          <w:rFonts w:ascii="Verdana" w:hAnsi="Verdana" w:cs="Arial"/>
          <w:color w:val="000000" w:themeColor="text1"/>
          <w:sz w:val="16"/>
          <w:szCs w:val="16"/>
        </w:rPr>
      </w:pPr>
    </w:p>
  </w:footnote>
  <w:footnote w:id="21">
    <w:p w14:paraId="5C22283D" w14:textId="77777777" w:rsidR="00267D00" w:rsidRPr="007269D0" w:rsidRDefault="00267D00" w:rsidP="00267D00">
      <w:pPr>
        <w:pStyle w:val="Textonotapie"/>
        <w:ind w:firstLine="709"/>
        <w:jc w:val="both"/>
        <w:rPr>
          <w:rFonts w:ascii="Verdana" w:eastAsia="Times New Roman" w:hAnsi="Verdana" w:cs="Arial"/>
          <w:color w:val="000000" w:themeColor="text1"/>
          <w:sz w:val="16"/>
          <w:szCs w:val="16"/>
          <w:lang w:eastAsia="x-none"/>
        </w:rPr>
      </w:pPr>
      <w:r w:rsidRPr="007269D0">
        <w:rPr>
          <w:rStyle w:val="Refdenotaalpie"/>
          <w:rFonts w:ascii="Verdana" w:hAnsi="Verdana" w:cs="Arial"/>
          <w:color w:val="000000" w:themeColor="text1"/>
          <w:sz w:val="16"/>
          <w:szCs w:val="16"/>
        </w:rPr>
        <w:footnoteRef/>
      </w:r>
      <w:r w:rsidRPr="007269D0">
        <w:rPr>
          <w:rFonts w:ascii="Verdana" w:hAnsi="Verdana" w:cs="Arial"/>
          <w:color w:val="000000" w:themeColor="text1"/>
          <w:sz w:val="16"/>
          <w:szCs w:val="16"/>
        </w:rPr>
        <w:t xml:space="preserve"> Consejo de Estado. Sala de Consulta y Servicio Civil. Concepto de 6 de abril de 2006. Radicación Número: 11001-03-06-000-2006-00038-00 (1738). C.P: Enrique José Arboleda Perdomo:</w:t>
      </w:r>
      <w:r w:rsidRPr="007269D0">
        <w:rPr>
          <w:rFonts w:ascii="Verdana" w:eastAsia="Times New Roman" w:hAnsi="Verdana" w:cs="Arial"/>
          <w:color w:val="000000" w:themeColor="text1"/>
          <w:sz w:val="16"/>
          <w:szCs w:val="16"/>
          <w:lang w:eastAsia="x-none"/>
        </w:rPr>
        <w:t xml:space="preserve"> </w:t>
      </w:r>
      <w:bookmarkStart w:id="17" w:name="_Hlk97890572"/>
      <w:r w:rsidRPr="007269D0">
        <w:rPr>
          <w:rFonts w:ascii="Verdana" w:eastAsia="Times New Roman" w:hAnsi="Verdana" w:cs="Arial"/>
          <w:color w:val="000000" w:themeColor="text1"/>
          <w:sz w:val="16"/>
          <w:szCs w:val="16"/>
          <w:lang w:eastAsia="x-none"/>
        </w:rPr>
        <w:t>“</w:t>
      </w:r>
      <w:r w:rsidRPr="007269D0">
        <w:rPr>
          <w:rFonts w:ascii="Verdana" w:hAnsi="Verdana" w:cs="Arial"/>
          <w:color w:val="000000" w:themeColor="text1"/>
          <w:sz w:val="16"/>
          <w:szCs w:val="16"/>
        </w:rPr>
        <w:t xml:space="preserve">Si bien en el tema del concepto del que se extractaron </w:t>
      </w:r>
      <w:bookmarkEnd w:id="17"/>
      <w:r w:rsidRPr="007269D0">
        <w:rPr>
          <w:rFonts w:ascii="Verdana" w:hAnsi="Verdana" w:cs="Arial"/>
          <w:color w:val="000000" w:themeColor="text1"/>
          <w:sz w:val="16"/>
          <w:szCs w:val="16"/>
        </w:rPr>
        <w:t>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7269D0">
        <w:rPr>
          <w:rFonts w:ascii="Verdana" w:eastAsia="Times New Roman" w:hAnsi="Verdana" w:cs="Arial"/>
          <w:color w:val="000000" w:themeColor="text1"/>
          <w:sz w:val="16"/>
          <w:szCs w:val="16"/>
          <w:lang w:eastAsia="x-none"/>
        </w:rPr>
        <w:t>”.</w:t>
      </w:r>
    </w:p>
    <w:p w14:paraId="256EA0C0" w14:textId="77777777" w:rsidR="00267D00" w:rsidRPr="007269D0" w:rsidRDefault="00267D00" w:rsidP="00267D00">
      <w:pPr>
        <w:pStyle w:val="Textonotapie"/>
        <w:ind w:firstLine="709"/>
        <w:jc w:val="both"/>
        <w:rPr>
          <w:rFonts w:ascii="Verdana" w:hAnsi="Verdana" w:cs="Arial"/>
          <w:color w:val="000000" w:themeColor="text1"/>
          <w:sz w:val="16"/>
          <w:szCs w:val="16"/>
        </w:rPr>
      </w:pPr>
    </w:p>
  </w:footnote>
  <w:footnote w:id="22">
    <w:p w14:paraId="2019B181" w14:textId="77777777" w:rsidR="00267D00" w:rsidRPr="0032596E" w:rsidRDefault="00267D00" w:rsidP="00267D00">
      <w:pPr>
        <w:spacing w:after="0" w:line="240" w:lineRule="auto"/>
        <w:ind w:firstLine="709"/>
        <w:jc w:val="both"/>
        <w:rPr>
          <w:rFonts w:ascii="Verdana" w:hAnsi="Verdana" w:cs="Arial"/>
          <w:color w:val="000000" w:themeColor="text1"/>
          <w:sz w:val="16"/>
          <w:szCs w:val="16"/>
        </w:rPr>
      </w:pPr>
      <w:r w:rsidRPr="0032596E">
        <w:rPr>
          <w:rStyle w:val="Refdenotaalpie"/>
          <w:rFonts w:ascii="Verdana" w:hAnsi="Verdana" w:cs="Arial"/>
          <w:color w:val="000000" w:themeColor="text1"/>
          <w:sz w:val="16"/>
          <w:szCs w:val="16"/>
        </w:rPr>
        <w:footnoteRef/>
      </w:r>
      <w:r w:rsidRPr="0032596E">
        <w:rPr>
          <w:rFonts w:ascii="Verdana" w:hAnsi="Verdana" w:cs="Arial"/>
          <w:color w:val="000000" w:themeColor="text1"/>
          <w:sz w:val="16"/>
          <w:szCs w:val="16"/>
        </w:rPr>
        <w:t xml:space="preserve"> Consejo de Estado. Sala de Consulta y Servicio Civil. Concepto de 6 de abril de 2006. Radicación Número: 11001-03-06-000-2006-00038-00(1738). C.P: Enrique José Arboleda Perdomo. </w:t>
      </w:r>
    </w:p>
    <w:p w14:paraId="14BB6DD8" w14:textId="77777777" w:rsidR="00267D00" w:rsidRPr="0032596E" w:rsidRDefault="00267D00" w:rsidP="00267D00">
      <w:pPr>
        <w:spacing w:after="0" w:line="240" w:lineRule="auto"/>
        <w:ind w:firstLine="709"/>
        <w:jc w:val="both"/>
        <w:rPr>
          <w:rFonts w:ascii="Verdana" w:hAnsi="Verdana" w:cs="Arial"/>
          <w:color w:val="000000" w:themeColor="text1"/>
          <w:sz w:val="16"/>
          <w:szCs w:val="16"/>
        </w:rPr>
      </w:pPr>
    </w:p>
  </w:footnote>
  <w:footnote w:id="23">
    <w:p w14:paraId="7571B1FC" w14:textId="77777777" w:rsidR="00267D00" w:rsidRPr="0032596E" w:rsidRDefault="00267D00" w:rsidP="00267D00">
      <w:pPr>
        <w:pStyle w:val="Textonotapie"/>
        <w:ind w:firstLine="709"/>
        <w:jc w:val="both"/>
        <w:rPr>
          <w:rFonts w:ascii="Verdana" w:hAnsi="Verdana" w:cs="Arial"/>
          <w:color w:val="000000" w:themeColor="text1"/>
          <w:sz w:val="16"/>
          <w:szCs w:val="16"/>
        </w:rPr>
      </w:pPr>
      <w:r w:rsidRPr="0032596E">
        <w:rPr>
          <w:rStyle w:val="Refdenotaalpie"/>
          <w:rFonts w:ascii="Verdana" w:hAnsi="Verdana" w:cs="Arial"/>
          <w:color w:val="000000" w:themeColor="text1"/>
          <w:sz w:val="16"/>
          <w:szCs w:val="16"/>
        </w:rPr>
        <w:footnoteRef/>
      </w:r>
      <w:r w:rsidRPr="0032596E">
        <w:rPr>
          <w:rFonts w:ascii="Verdana" w:hAnsi="Verdana" w:cs="Arial"/>
          <w:color w:val="000000" w:themeColor="text1"/>
          <w:sz w:val="16"/>
          <w:szCs w:val="16"/>
        </w:rPr>
        <w:t xml:space="preserve"> Consejo de Estado. Sala de Consulta y Servicio Civil, ídem.</w:t>
      </w:r>
    </w:p>
    <w:p w14:paraId="25C60B6E" w14:textId="77777777" w:rsidR="00267D00" w:rsidRPr="003E253F" w:rsidRDefault="00267D00" w:rsidP="00267D00">
      <w:pPr>
        <w:pStyle w:val="Textonotapie"/>
        <w:ind w:firstLine="709"/>
        <w:jc w:val="both"/>
        <w:rPr>
          <w:rFonts w:ascii="Verdana" w:hAnsi="Verdana" w:cs="Arial"/>
          <w:color w:val="000000" w:themeColor="text1"/>
          <w:sz w:val="14"/>
          <w:szCs w:val="14"/>
        </w:rPr>
      </w:pPr>
    </w:p>
  </w:footnote>
  <w:footnote w:id="24">
    <w:p w14:paraId="39B1509B" w14:textId="77777777" w:rsidR="00267D00" w:rsidRPr="006E3E52" w:rsidRDefault="00267D00" w:rsidP="00267D00">
      <w:pPr>
        <w:pStyle w:val="Textonotapie"/>
        <w:ind w:firstLine="709"/>
        <w:jc w:val="both"/>
        <w:rPr>
          <w:rFonts w:ascii="Verdana" w:hAnsi="Verdana" w:cs="Arial"/>
          <w:sz w:val="16"/>
          <w:szCs w:val="16"/>
        </w:rPr>
      </w:pPr>
      <w:r w:rsidRPr="006E3E52">
        <w:rPr>
          <w:rStyle w:val="Refdenotaalpie"/>
          <w:rFonts w:ascii="Verdana" w:hAnsi="Verdana" w:cs="Arial"/>
          <w:sz w:val="16"/>
          <w:szCs w:val="16"/>
        </w:rPr>
        <w:footnoteRef/>
      </w:r>
      <w:r w:rsidRPr="006E3E52">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p w14:paraId="626E1563" w14:textId="77777777" w:rsidR="00267D00" w:rsidRPr="006E3E52" w:rsidRDefault="00267D00" w:rsidP="00267D00">
      <w:pPr>
        <w:pStyle w:val="Textonotapie"/>
        <w:ind w:firstLine="709"/>
        <w:jc w:val="both"/>
        <w:rPr>
          <w:rFonts w:ascii="Verdana" w:hAnsi="Verdana" w:cs="Arial"/>
          <w:sz w:val="16"/>
          <w:szCs w:val="16"/>
        </w:rPr>
      </w:pPr>
    </w:p>
  </w:footnote>
  <w:footnote w:id="25">
    <w:p w14:paraId="343750F4" w14:textId="77777777" w:rsidR="00267D00" w:rsidRPr="004824B3" w:rsidRDefault="00267D00" w:rsidP="00267D00">
      <w:pPr>
        <w:pStyle w:val="Textonotapie"/>
        <w:ind w:firstLine="709"/>
        <w:jc w:val="both"/>
        <w:rPr>
          <w:rFonts w:ascii="Verdana" w:hAnsi="Verdana" w:cs="Arial"/>
          <w:sz w:val="16"/>
          <w:szCs w:val="16"/>
        </w:rPr>
      </w:pPr>
      <w:r w:rsidRPr="004824B3">
        <w:rPr>
          <w:rStyle w:val="Refdenotaalpie"/>
          <w:rFonts w:ascii="Verdana" w:hAnsi="Verdana" w:cs="Arial"/>
          <w:sz w:val="16"/>
          <w:szCs w:val="16"/>
        </w:rPr>
        <w:footnoteRef/>
      </w:r>
      <w:r w:rsidRPr="004824B3">
        <w:rPr>
          <w:rFonts w:ascii="Verdana" w:hAnsi="Verdana" w:cs="Arial"/>
          <w:sz w:val="16"/>
          <w:szCs w:val="16"/>
        </w:rPr>
        <w:t xml:space="preserve"> Corte Constitucional. Sentencia C-1153 de 2005 M.P. Marco Gerardo Monroy Cabra. </w:t>
      </w:r>
    </w:p>
    <w:p w14:paraId="49298040" w14:textId="77777777" w:rsidR="00267D00" w:rsidRPr="004824B3" w:rsidRDefault="00267D00" w:rsidP="00267D00">
      <w:pPr>
        <w:pStyle w:val="Textonotapie"/>
        <w:ind w:firstLine="709"/>
        <w:jc w:val="both"/>
        <w:rPr>
          <w:rFonts w:ascii="Verdana" w:hAnsi="Verdana" w:cs="Arial"/>
          <w:sz w:val="16"/>
          <w:szCs w:val="16"/>
        </w:rPr>
      </w:pPr>
    </w:p>
  </w:footnote>
  <w:footnote w:id="26">
    <w:p w14:paraId="5829E865" w14:textId="77777777" w:rsidR="00267D00" w:rsidRPr="004824B3" w:rsidRDefault="00267D00" w:rsidP="00267D00">
      <w:pPr>
        <w:pStyle w:val="Textonotapie"/>
        <w:ind w:firstLine="709"/>
        <w:jc w:val="both"/>
        <w:rPr>
          <w:rFonts w:ascii="Verdana" w:hAnsi="Verdana" w:cs="Arial"/>
          <w:sz w:val="16"/>
          <w:szCs w:val="16"/>
        </w:rPr>
      </w:pPr>
      <w:r w:rsidRPr="004824B3">
        <w:rPr>
          <w:rStyle w:val="Refdenotaalpie"/>
          <w:rFonts w:ascii="Verdana" w:hAnsi="Verdana" w:cs="Arial"/>
          <w:sz w:val="16"/>
          <w:szCs w:val="16"/>
        </w:rPr>
        <w:footnoteRef/>
      </w:r>
      <w:r w:rsidRPr="004824B3">
        <w:rPr>
          <w:rFonts w:ascii="Verdana" w:hAnsi="Verdana" w:cs="Arial"/>
          <w:sz w:val="16"/>
          <w:szCs w:val="16"/>
        </w:rPr>
        <w:t xml:space="preserve"> Consejo de Estado. Sala de Consulta y Servicio Civil. Concepto del 18 de febrero 2010. Rad. 11001-03-06-000-2010-00006-00 (1985). C.P. Enrique José Arboleda Perdomo.</w:t>
      </w:r>
    </w:p>
    <w:p w14:paraId="5AC56007" w14:textId="77777777" w:rsidR="00267D00" w:rsidRPr="004824B3" w:rsidRDefault="00267D00" w:rsidP="00267D00">
      <w:pPr>
        <w:pStyle w:val="Textonotapie"/>
        <w:ind w:firstLine="709"/>
        <w:jc w:val="both"/>
        <w:rPr>
          <w:rFonts w:ascii="Verdana" w:hAnsi="Verdana" w:cs="Arial"/>
          <w:sz w:val="16"/>
          <w:szCs w:val="16"/>
        </w:rPr>
      </w:pPr>
    </w:p>
  </w:footnote>
  <w:footnote w:id="27">
    <w:p w14:paraId="6101D79D" w14:textId="77777777" w:rsidR="00267D00" w:rsidRPr="009D0D83" w:rsidRDefault="00267D00" w:rsidP="00267D00">
      <w:pPr>
        <w:pStyle w:val="Textonotapie"/>
        <w:ind w:firstLine="709"/>
        <w:contextualSpacing/>
        <w:jc w:val="both"/>
        <w:rPr>
          <w:rFonts w:ascii="Verdana" w:hAnsi="Verdana" w:cs="Arial"/>
          <w:sz w:val="16"/>
          <w:szCs w:val="16"/>
        </w:rPr>
      </w:pPr>
      <w:r w:rsidRPr="00B8078E">
        <w:rPr>
          <w:rStyle w:val="Refdenotaalpie"/>
          <w:rFonts w:ascii="Verdana" w:hAnsi="Verdana"/>
          <w:sz w:val="16"/>
          <w:szCs w:val="16"/>
        </w:rPr>
        <w:footnoteRef/>
      </w:r>
      <w:r w:rsidRPr="00B8078E">
        <w:rPr>
          <w:rFonts w:ascii="Verdana" w:hAnsi="Verdana"/>
          <w:sz w:val="16"/>
          <w:szCs w:val="16"/>
        </w:rPr>
        <w:t xml:space="preserve"> </w:t>
      </w:r>
      <w:r w:rsidRPr="00B8078E">
        <w:rPr>
          <w:rFonts w:ascii="Verdana" w:hAnsi="Verdana" w:cs="Arial"/>
          <w:sz w:val="16"/>
          <w:szCs w:val="16"/>
        </w:rPr>
        <w:t>Consejo de Estado. Sala de lo Contencioso Administrativo. Sección Tercera. Sentencia del 21 de febrero de 2025. Exp. 68.280. CP: José Roberto Sáchica Méndez.</w:t>
      </w:r>
    </w:p>
  </w:footnote>
  <w:footnote w:id="28">
    <w:p w14:paraId="1EB99188" w14:textId="77777777" w:rsidR="00267D00" w:rsidRDefault="00267D00" w:rsidP="00267D00">
      <w:pPr>
        <w:pStyle w:val="Textonotapie"/>
        <w:ind w:firstLine="709"/>
        <w:contextualSpacing/>
        <w:jc w:val="both"/>
        <w:rPr>
          <w:rFonts w:ascii="Verdana" w:hAnsi="Verdana"/>
          <w:sz w:val="16"/>
          <w:szCs w:val="16"/>
          <w:vertAlign w:val="superscript"/>
        </w:rPr>
      </w:pPr>
    </w:p>
    <w:p w14:paraId="5010CCAC" w14:textId="77777777" w:rsidR="00267D00" w:rsidRPr="00B8078E" w:rsidRDefault="00267D00" w:rsidP="00267D00">
      <w:pPr>
        <w:pStyle w:val="Textonotapie"/>
        <w:ind w:firstLine="709"/>
        <w:contextualSpacing/>
        <w:jc w:val="both"/>
        <w:rPr>
          <w:rFonts w:ascii="Verdana" w:hAnsi="Verdana" w:cs="Arial"/>
          <w:sz w:val="16"/>
          <w:szCs w:val="16"/>
        </w:rPr>
      </w:pPr>
      <w:r w:rsidRPr="00B8078E">
        <w:rPr>
          <w:rFonts w:ascii="Verdana" w:hAnsi="Verdana"/>
          <w:sz w:val="16"/>
          <w:szCs w:val="16"/>
          <w:vertAlign w:val="superscript"/>
        </w:rPr>
        <w:footnoteRef/>
      </w:r>
      <w:r w:rsidRPr="00B8078E">
        <w:rPr>
          <w:rFonts w:ascii="Verdana" w:hAnsi="Verdana"/>
          <w:sz w:val="16"/>
          <w:szCs w:val="16"/>
          <w:vertAlign w:val="superscript"/>
        </w:rPr>
        <w:t xml:space="preserve"> </w:t>
      </w:r>
      <w:r w:rsidRPr="00B8078E">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2F88BA27" w14:textId="77777777" w:rsidR="00267D00" w:rsidRPr="00B8078E" w:rsidRDefault="00267D00" w:rsidP="00267D00">
      <w:pPr>
        <w:pStyle w:val="Textonotapie"/>
        <w:ind w:firstLine="709"/>
        <w:contextualSpacing/>
        <w:jc w:val="both"/>
        <w:rPr>
          <w:rFonts w:ascii="Verdana" w:hAnsi="Verdana" w:cs="Arial"/>
          <w:sz w:val="16"/>
          <w:szCs w:val="16"/>
        </w:rPr>
      </w:pPr>
    </w:p>
  </w:footnote>
  <w:footnote w:id="29">
    <w:p w14:paraId="2B5A3194" w14:textId="77777777" w:rsidR="00267D00" w:rsidRPr="00B8078E" w:rsidRDefault="00267D00" w:rsidP="00267D00">
      <w:pPr>
        <w:pStyle w:val="Textonotapie"/>
        <w:ind w:firstLine="709"/>
        <w:contextualSpacing/>
        <w:jc w:val="both"/>
        <w:rPr>
          <w:rFonts w:ascii="Verdana" w:hAnsi="Verdana" w:cs="Arial"/>
          <w:sz w:val="16"/>
          <w:szCs w:val="16"/>
        </w:rPr>
      </w:pPr>
      <w:r w:rsidRPr="00B8078E">
        <w:rPr>
          <w:rFonts w:ascii="Verdana" w:hAnsi="Verdana"/>
          <w:sz w:val="16"/>
          <w:szCs w:val="16"/>
          <w:vertAlign w:val="superscript"/>
        </w:rPr>
        <w:footnoteRef/>
      </w:r>
      <w:r w:rsidRPr="00B8078E">
        <w:rPr>
          <w:rFonts w:ascii="Verdana" w:hAnsi="Verdana" w:cs="Arial"/>
          <w:sz w:val="16"/>
          <w:szCs w:val="16"/>
          <w:vertAlign w:val="superscript"/>
        </w:rPr>
        <w:t xml:space="preserve"> </w:t>
      </w:r>
      <w:r w:rsidRPr="00B8078E">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3E2CB237" w14:textId="77777777" w:rsidR="00267D00" w:rsidRPr="00B8078E" w:rsidRDefault="00267D00" w:rsidP="00267D00">
      <w:pPr>
        <w:pStyle w:val="Textonotapie"/>
        <w:ind w:firstLine="709"/>
        <w:contextualSpacing/>
        <w:jc w:val="both"/>
        <w:rPr>
          <w:rFonts w:ascii="Verdana" w:hAnsi="Verdana" w:cs="Arial"/>
          <w:sz w:val="16"/>
          <w:szCs w:val="16"/>
        </w:rPr>
      </w:pPr>
    </w:p>
  </w:footnote>
  <w:footnote w:id="30">
    <w:p w14:paraId="53BDAB57" w14:textId="77777777" w:rsidR="00267D00" w:rsidRDefault="00267D00" w:rsidP="00267D00">
      <w:pPr>
        <w:pStyle w:val="Textonotapie"/>
        <w:ind w:firstLine="709"/>
        <w:contextualSpacing/>
        <w:jc w:val="both"/>
        <w:rPr>
          <w:rFonts w:ascii="Verdana" w:hAnsi="Verdana" w:cs="Arial"/>
          <w:sz w:val="16"/>
          <w:szCs w:val="16"/>
        </w:rPr>
      </w:pPr>
      <w:r w:rsidRPr="00B8078E">
        <w:rPr>
          <w:rFonts w:ascii="Verdana" w:hAnsi="Verdana"/>
          <w:sz w:val="16"/>
          <w:szCs w:val="16"/>
          <w:vertAlign w:val="superscript"/>
        </w:rPr>
        <w:footnoteRef/>
      </w:r>
      <w:r w:rsidRPr="00B8078E">
        <w:rPr>
          <w:rFonts w:ascii="Verdana" w:hAnsi="Verdana" w:cs="Arial"/>
          <w:sz w:val="16"/>
          <w:szCs w:val="16"/>
          <w:vertAlign w:val="superscript"/>
        </w:rPr>
        <w:t xml:space="preserve"> </w:t>
      </w:r>
      <w:r w:rsidRPr="00B8078E">
        <w:rPr>
          <w:rFonts w:ascii="Verdana" w:hAnsi="Verdana" w:cs="Arial"/>
          <w:sz w:val="16"/>
          <w:szCs w:val="16"/>
        </w:rPr>
        <w:t>Código Civil: “Artículo 27. Cuando el sentido de la ley sea claro, no se desatenderá su tenor a pretexto de consultar su espíritu”.</w:t>
      </w:r>
    </w:p>
    <w:p w14:paraId="2E630DC3" w14:textId="77777777" w:rsidR="00267D00" w:rsidRPr="00852048" w:rsidRDefault="00267D00" w:rsidP="00267D00">
      <w:pPr>
        <w:pStyle w:val="Textonotapie"/>
        <w:ind w:firstLine="709"/>
        <w:contextualSpacing/>
        <w:jc w:val="both"/>
        <w:rPr>
          <w:rFonts w:ascii="Verdana" w:hAnsi="Verdana" w:cs="Arial"/>
          <w:sz w:val="16"/>
          <w:szCs w:val="16"/>
        </w:rPr>
      </w:pPr>
    </w:p>
  </w:footnote>
  <w:footnote w:id="31">
    <w:p w14:paraId="2913AD8F" w14:textId="77777777" w:rsidR="00267D00" w:rsidRPr="00B8078E" w:rsidRDefault="00267D00" w:rsidP="00267D00">
      <w:pPr>
        <w:pStyle w:val="Textonotapie"/>
        <w:ind w:firstLine="708"/>
        <w:jc w:val="both"/>
        <w:rPr>
          <w:rFonts w:ascii="Verdana" w:hAnsi="Verdana"/>
          <w:sz w:val="16"/>
          <w:szCs w:val="16"/>
          <w:lang w:val="es-ES"/>
        </w:rPr>
      </w:pPr>
      <w:r w:rsidRPr="00B8078E">
        <w:rPr>
          <w:rStyle w:val="Refdenotaalpie"/>
          <w:rFonts w:ascii="Verdana" w:hAnsi="Verdana"/>
          <w:sz w:val="16"/>
          <w:szCs w:val="16"/>
        </w:rPr>
        <w:footnoteRef/>
      </w:r>
      <w:r w:rsidRPr="00B8078E">
        <w:rPr>
          <w:rFonts w:ascii="Verdana" w:hAnsi="Verdana"/>
          <w:sz w:val="16"/>
          <w:szCs w:val="16"/>
        </w:rPr>
        <w:t xml:space="preserve"> </w:t>
      </w:r>
      <w:r w:rsidRPr="00B8078E">
        <w:rPr>
          <w:rFonts w:ascii="Verdana" w:hAnsi="Verdana"/>
          <w:sz w:val="16"/>
          <w:szCs w:val="16"/>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r w:rsidRPr="00B8078E">
        <w:rPr>
          <w:rFonts w:ascii="Verdana" w:hAnsi="Verdana"/>
          <w:i/>
          <w:sz w:val="16"/>
          <w:szCs w:val="16"/>
          <w:lang w:val="es-ES"/>
        </w:rPr>
        <w:t>Ubi lex non distinguit nec nos distinguere debemus</w:t>
      </w:r>
      <w:r w:rsidRPr="00B8078E">
        <w:rPr>
          <w:rFonts w:ascii="Verdana" w:hAnsi="Verdana"/>
          <w:sz w:val="16"/>
          <w:szCs w:val="16"/>
          <w:lang w:val="es-ES"/>
        </w:rPr>
        <w:t>, ‘donde la ley no distingue no puede el hombre distinguir’. ‘La extensión que deba dársele a la ley se determinará por su genuino sentido y según las reglas de interpretación precedentes’, dice el artículo 23.</w:t>
      </w:r>
    </w:p>
    <w:p w14:paraId="72F617DE" w14:textId="77777777" w:rsidR="00267D00" w:rsidRPr="00B8078E" w:rsidRDefault="00267D00" w:rsidP="00267D00">
      <w:pPr>
        <w:pStyle w:val="Textonotapie"/>
        <w:ind w:firstLine="708"/>
        <w:jc w:val="both"/>
        <w:rPr>
          <w:rFonts w:ascii="Verdana" w:hAnsi="Verdana"/>
          <w:sz w:val="16"/>
          <w:szCs w:val="16"/>
        </w:rPr>
      </w:pPr>
      <w:r w:rsidRPr="00B8078E">
        <w:rPr>
          <w:rFonts w:ascii="Verdana" w:hAnsi="Verdana"/>
          <w:sz w:val="16"/>
          <w:szCs w:val="16"/>
          <w:lang w:val="es-ES"/>
        </w:rPr>
        <w:t xml:space="preserve">En el derecho antiguo y en el derecho canónico se distinguían las leyes en favorables y odiosas, para ampliar o restringir su interpretación. </w:t>
      </w:r>
      <w:r w:rsidRPr="00B8078E">
        <w:rPr>
          <w:rFonts w:ascii="Verdana" w:hAnsi="Verdana"/>
          <w:i/>
          <w:sz w:val="16"/>
          <w:szCs w:val="16"/>
          <w:lang w:val="es-ES"/>
        </w:rPr>
        <w:t>Odia restringí et favores convenit ampliari</w:t>
      </w:r>
      <w:r w:rsidRPr="00B8078E">
        <w:rPr>
          <w:rFonts w:ascii="Verdana" w:hAnsi="Verdana"/>
          <w:sz w:val="16"/>
          <w:szCs w:val="16"/>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B8078E">
        <w:rPr>
          <w:rFonts w:ascii="Verdana" w:hAnsi="Verdana"/>
          <w:sz w:val="16"/>
          <w:szCs w:val="16"/>
        </w:rPr>
        <w:t>CLARO SOLAR, Luis. Explicaciones de derecho civil chileno y comparado. Volumen I. Tomo I. Santiago: Editorial Jurídica de Chile, 2013. p. 119. Énfasis dentro del texto).</w:t>
      </w:r>
    </w:p>
    <w:p w14:paraId="65FEA671" w14:textId="77777777" w:rsidR="00267D00" w:rsidRPr="00B8078E" w:rsidRDefault="00267D00" w:rsidP="00267D00">
      <w:pPr>
        <w:pStyle w:val="Textonotapie"/>
        <w:ind w:firstLine="708"/>
        <w:jc w:val="both"/>
        <w:rPr>
          <w:rFonts w:ascii="Verdana" w:hAnsi="Verdana"/>
          <w:sz w:val="16"/>
          <w:szCs w:val="16"/>
          <w:lang w:val="es-CO"/>
        </w:rPr>
      </w:pPr>
    </w:p>
  </w:footnote>
  <w:footnote w:id="32">
    <w:p w14:paraId="7544348F" w14:textId="77777777" w:rsidR="00267D00" w:rsidRPr="00B8078E" w:rsidRDefault="00267D00" w:rsidP="00267D00">
      <w:pPr>
        <w:spacing w:after="0" w:line="240" w:lineRule="auto"/>
        <w:ind w:firstLine="709"/>
        <w:jc w:val="both"/>
        <w:rPr>
          <w:rFonts w:ascii="Verdana" w:hAnsi="Verdana" w:cs="Arial"/>
          <w:sz w:val="16"/>
          <w:szCs w:val="16"/>
          <w:lang w:eastAsia="es-ES"/>
        </w:rPr>
      </w:pPr>
      <w:r w:rsidRPr="00B8078E">
        <w:rPr>
          <w:rStyle w:val="Refdenotaalpie"/>
          <w:rFonts w:ascii="Verdana" w:hAnsi="Verdana"/>
          <w:sz w:val="16"/>
          <w:szCs w:val="16"/>
        </w:rPr>
        <w:footnoteRef/>
      </w:r>
      <w:r w:rsidRPr="00B8078E">
        <w:rPr>
          <w:rFonts w:ascii="Verdana" w:hAnsi="Verdana"/>
          <w:sz w:val="16"/>
          <w:szCs w:val="16"/>
        </w:rPr>
        <w:t xml:space="preserve"> Consejo de Estado. Sala de lo Contencioso Administrativo. Sección Tercera. Subsección B. Auto del 4 de octubre de 2024. Exp. 70.313. C.P: Fredy Ibarra Martínez.</w:t>
      </w:r>
    </w:p>
    <w:p w14:paraId="54A14749" w14:textId="77777777" w:rsidR="00267D00" w:rsidRPr="00B8078E" w:rsidRDefault="00267D00" w:rsidP="00267D00">
      <w:pPr>
        <w:pStyle w:val="Textonotapie"/>
        <w:ind w:firstLine="709"/>
        <w:contextualSpacing/>
        <w:jc w:val="both"/>
        <w:rPr>
          <w:rFonts w:ascii="Verdana" w:hAnsi="Verdana"/>
          <w:sz w:val="16"/>
          <w:szCs w:val="16"/>
          <w:lang w:val="es-CO"/>
        </w:rPr>
      </w:pPr>
    </w:p>
  </w:footnote>
  <w:footnote w:id="33">
    <w:p w14:paraId="4A38A6BE" w14:textId="77777777" w:rsidR="00267D00" w:rsidRPr="00B8078E" w:rsidRDefault="00267D00" w:rsidP="00267D00">
      <w:pPr>
        <w:pStyle w:val="Textonotapie"/>
        <w:ind w:firstLine="709"/>
        <w:contextualSpacing/>
        <w:jc w:val="both"/>
        <w:rPr>
          <w:rFonts w:ascii="Verdana" w:hAnsi="Verdana"/>
          <w:sz w:val="16"/>
          <w:szCs w:val="16"/>
          <w:lang w:val="es-CO"/>
        </w:rPr>
      </w:pPr>
      <w:r w:rsidRPr="00B8078E">
        <w:rPr>
          <w:rStyle w:val="Refdenotaalpie"/>
          <w:rFonts w:ascii="Verdana" w:hAnsi="Verdana"/>
          <w:sz w:val="16"/>
          <w:szCs w:val="16"/>
        </w:rPr>
        <w:footnoteRef/>
      </w:r>
      <w:r w:rsidRPr="00B8078E">
        <w:rPr>
          <w:rFonts w:ascii="Verdana" w:hAnsi="Verdana"/>
          <w:sz w:val="16"/>
          <w:szCs w:val="16"/>
        </w:rPr>
        <w:t xml:space="preserve"> La parte resolutiva del auto dispone lo siguiente; “</w:t>
      </w:r>
      <w:r w:rsidRPr="00B8078E">
        <w:rPr>
          <w:rFonts w:ascii="Verdana" w:hAnsi="Verdana"/>
          <w:b/>
          <w:sz w:val="16"/>
          <w:szCs w:val="16"/>
          <w:lang w:val="es-CO"/>
        </w:rPr>
        <w:t xml:space="preserve">PRIMERO: DECRETAR </w:t>
      </w:r>
      <w:r w:rsidRPr="00B8078E">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B8078E">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B8078E">
        <w:rPr>
          <w:rFonts w:ascii="Verdana" w:hAnsi="Verdana"/>
          <w:sz w:val="16"/>
          <w:szCs w:val="16"/>
          <w:lang w:val="es-CO"/>
        </w:rPr>
        <w:t xml:space="preserve">, por las razones expuestas en precedencia. </w:t>
      </w:r>
    </w:p>
    <w:p w14:paraId="7A619E16" w14:textId="77777777" w:rsidR="00267D00" w:rsidRDefault="00267D00" w:rsidP="00267D00">
      <w:pPr>
        <w:pStyle w:val="Textonotapie"/>
        <w:ind w:firstLine="709"/>
        <w:contextualSpacing/>
        <w:jc w:val="both"/>
        <w:rPr>
          <w:rFonts w:ascii="Verdana" w:hAnsi="Verdana"/>
          <w:sz w:val="16"/>
          <w:szCs w:val="16"/>
          <w:lang w:val="es-CO"/>
        </w:rPr>
      </w:pPr>
      <w:r w:rsidRPr="00B8078E">
        <w:rPr>
          <w:rFonts w:ascii="Verdana" w:hAnsi="Verdana"/>
          <w:b/>
          <w:sz w:val="16"/>
          <w:szCs w:val="16"/>
          <w:lang w:val="es-CO"/>
        </w:rPr>
        <w:t xml:space="preserve">SEGUNDO: DECRETAR </w:t>
      </w:r>
      <w:r w:rsidRPr="00B8078E">
        <w:rPr>
          <w:rFonts w:ascii="Verdana" w:hAnsi="Verdana"/>
          <w:sz w:val="16"/>
          <w:szCs w:val="16"/>
          <w:lang w:val="es-CO"/>
        </w:rPr>
        <w:t>la suspensión provisional de la expresión “</w:t>
      </w:r>
      <w:r w:rsidRPr="00B8078E">
        <w:rPr>
          <w:rFonts w:ascii="Verdana" w:hAnsi="Verdana"/>
          <w:i/>
          <w:sz w:val="16"/>
          <w:szCs w:val="16"/>
          <w:lang w:val="es-CO"/>
        </w:rPr>
        <w:t>contratos</w:t>
      </w:r>
      <w:r w:rsidRPr="00B8078E">
        <w:rPr>
          <w:rFonts w:ascii="Verdana" w:hAnsi="Verdana"/>
          <w:sz w:val="16"/>
          <w:szCs w:val="16"/>
          <w:lang w:val="es-CO"/>
        </w:rPr>
        <w:t xml:space="preserve">” y del párrafo </w:t>
      </w:r>
      <w:r w:rsidRPr="00B8078E">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B8078E">
        <w:rPr>
          <w:rFonts w:ascii="Verdana" w:hAnsi="Verdana"/>
          <w:sz w:val="16"/>
          <w:szCs w:val="16"/>
          <w:lang w:val="es-CO"/>
        </w:rPr>
        <w:t>”,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w:t>
      </w:r>
      <w:r w:rsidRPr="009D0D83">
        <w:rPr>
          <w:rFonts w:ascii="Verdana" w:hAnsi="Verdana"/>
          <w:sz w:val="16"/>
          <w:szCs w:val="16"/>
          <w:lang w:val="es-CO"/>
        </w:rPr>
        <w:t xml:space="preserve"> </w:t>
      </w:r>
    </w:p>
    <w:p w14:paraId="0DFAB4BF" w14:textId="77777777" w:rsidR="00267D00" w:rsidRPr="009D0D83" w:rsidRDefault="00267D00" w:rsidP="00267D00">
      <w:pPr>
        <w:pStyle w:val="Textonotapie"/>
        <w:ind w:firstLine="709"/>
        <w:contextualSpacing/>
        <w:jc w:val="both"/>
        <w:rPr>
          <w:rFonts w:ascii="Verdana" w:hAnsi="Verdana"/>
          <w:sz w:val="16"/>
          <w:szCs w:val="16"/>
          <w:lang w:val="es-CO"/>
        </w:rPr>
      </w:pPr>
    </w:p>
  </w:footnote>
  <w:footnote w:id="34">
    <w:p w14:paraId="65F4B583" w14:textId="77777777" w:rsidR="00267D00" w:rsidRDefault="00267D00" w:rsidP="00267D00">
      <w:pPr>
        <w:spacing w:after="0" w:line="240" w:lineRule="auto"/>
        <w:ind w:firstLine="709"/>
        <w:contextualSpacing/>
        <w:jc w:val="both"/>
        <w:rPr>
          <w:rFonts w:ascii="Verdana" w:eastAsia="Times New Roman" w:hAnsi="Verdana" w:cs="Times New Roman"/>
          <w:sz w:val="16"/>
          <w:szCs w:val="16"/>
          <w:lang w:eastAsia="es-ES"/>
        </w:rPr>
      </w:pPr>
      <w:r w:rsidRPr="00B8078E">
        <w:rPr>
          <w:rStyle w:val="Refdenotaalpie"/>
          <w:rFonts w:ascii="Verdana" w:hAnsi="Verdana"/>
          <w:sz w:val="16"/>
          <w:szCs w:val="16"/>
        </w:rPr>
        <w:footnoteRef/>
      </w:r>
      <w:r w:rsidRPr="00B8078E">
        <w:rPr>
          <w:rFonts w:ascii="Verdana" w:hAnsi="Verdana"/>
          <w:sz w:val="16"/>
          <w:szCs w:val="16"/>
        </w:rPr>
        <w:t xml:space="preserve"> </w:t>
      </w:r>
      <w:r w:rsidRPr="00B8078E">
        <w:rPr>
          <w:rFonts w:ascii="Verdana" w:eastAsia="Times New Roman" w:hAnsi="Verdana" w:cs="Times New Roman"/>
          <w:sz w:val="16"/>
          <w:szCs w:val="16"/>
          <w:lang w:eastAsia="es-ES"/>
        </w:rPr>
        <w:t xml:space="preserve">Consejo de Estado. Sala de lo Contencioso Administrativo. Sección Tercera. Subsección B. 17 de octubre de 2025. C.P. Fredy Ibarra Martínez. </w:t>
      </w:r>
      <w:r w:rsidRPr="00B8078E">
        <w:rPr>
          <w:rFonts w:ascii="Verdana" w:hAnsi="Verdana"/>
          <w:sz w:val="16"/>
          <w:szCs w:val="16"/>
        </w:rPr>
        <w:t xml:space="preserve">La parte de la providencia señala: </w:t>
      </w:r>
      <w:r w:rsidRPr="00B8078E">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77E45048" w14:textId="77777777" w:rsidR="00267D00" w:rsidRPr="00852048" w:rsidRDefault="00267D00" w:rsidP="00267D00">
      <w:pPr>
        <w:spacing w:after="0" w:line="240" w:lineRule="auto"/>
        <w:ind w:firstLine="709"/>
        <w:contextualSpacing/>
        <w:jc w:val="both"/>
        <w:rPr>
          <w:rFonts w:ascii="Verdana" w:eastAsia="Times New Roman" w:hAnsi="Verdana" w:cs="Times New Roman"/>
          <w:sz w:val="16"/>
          <w:szCs w:val="16"/>
          <w:lang w:eastAsia="es-ES"/>
        </w:rPr>
      </w:pPr>
    </w:p>
  </w:footnote>
  <w:footnote w:id="35">
    <w:p w14:paraId="0CE8D75D" w14:textId="77777777" w:rsidR="00267D00" w:rsidRDefault="00267D00" w:rsidP="00267D00">
      <w:pPr>
        <w:pStyle w:val="Textonotapie"/>
        <w:ind w:firstLine="709"/>
        <w:jc w:val="both"/>
        <w:rPr>
          <w:rFonts w:ascii="Verdana" w:hAnsi="Verdana"/>
          <w:sz w:val="16"/>
          <w:szCs w:val="16"/>
        </w:rPr>
      </w:pPr>
      <w:r w:rsidRPr="00B8078E">
        <w:rPr>
          <w:rStyle w:val="Refdenotaalpie"/>
          <w:rFonts w:ascii="Verdana" w:hAnsi="Verdana"/>
          <w:sz w:val="16"/>
          <w:szCs w:val="16"/>
        </w:rPr>
        <w:footnoteRef/>
      </w:r>
      <w:r w:rsidRPr="00B8078E">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p w14:paraId="5B9AD257" w14:textId="77777777" w:rsidR="00267D00" w:rsidRPr="00B8078E" w:rsidRDefault="00267D00" w:rsidP="00267D00">
      <w:pPr>
        <w:pStyle w:val="Textonotapie"/>
        <w:ind w:firstLine="709"/>
        <w:jc w:val="both"/>
        <w:rPr>
          <w:rFonts w:ascii="Verdana" w:hAnsi="Verdana"/>
          <w:sz w:val="16"/>
          <w:szCs w:val="16"/>
          <w:lang w:val="es-CO"/>
        </w:rPr>
      </w:pPr>
    </w:p>
  </w:footnote>
  <w:footnote w:id="36">
    <w:p w14:paraId="5D843F5A" w14:textId="77777777" w:rsidR="00267D00" w:rsidRPr="00DD5A6D" w:rsidRDefault="00267D00" w:rsidP="00267D00">
      <w:pPr>
        <w:pStyle w:val="Textonotapie"/>
        <w:ind w:firstLine="709"/>
        <w:rPr>
          <w:rFonts w:ascii="Verdana" w:hAnsi="Verdana"/>
          <w:sz w:val="16"/>
          <w:szCs w:val="16"/>
          <w:lang w:val="es-ES"/>
        </w:rPr>
      </w:pPr>
      <w:r w:rsidRPr="00DD5A6D">
        <w:rPr>
          <w:rStyle w:val="Refdenotaalpie"/>
          <w:rFonts w:ascii="Verdana" w:hAnsi="Verdana"/>
          <w:sz w:val="16"/>
          <w:szCs w:val="16"/>
        </w:rPr>
        <w:footnoteRef/>
      </w:r>
      <w:r w:rsidRPr="00DD5A6D">
        <w:rPr>
          <w:rFonts w:ascii="Verdana" w:hAnsi="Verdana"/>
          <w:sz w:val="16"/>
          <w:szCs w:val="16"/>
        </w:rPr>
        <w:t xml:space="preserve"> </w:t>
      </w:r>
      <w:r w:rsidRPr="00DD5A6D">
        <w:rPr>
          <w:rFonts w:ascii="Verdana" w:hAnsi="Verdana"/>
          <w:sz w:val="16"/>
          <w:szCs w:val="16"/>
          <w:lang w:val="es-ES"/>
        </w:rPr>
        <w:t xml:space="preserve">Agencia Nacional de Contratación Pública – Colombia Compra Eficiente. Circular Externa No. 006 del 25 de septiembre de 2025. Disponible en </w:t>
      </w:r>
      <w:hyperlink r:id="rId3" w:history="1">
        <w:r w:rsidRPr="00DD5A6D">
          <w:rPr>
            <w:rStyle w:val="Hipervnculo"/>
            <w:rFonts w:ascii="Verdana" w:hAnsi="Verdana"/>
            <w:sz w:val="16"/>
            <w:szCs w:val="16"/>
            <w:lang w:val="es-CO"/>
          </w:rPr>
          <w:t>006-de-2025-Circular-Externa-L996-ajustado-comentarios-BM-BID-Rev-ARSC-V3.d-1.pdf</w:t>
        </w:r>
      </w:hyperlink>
    </w:p>
  </w:footnote>
  <w:footnote w:id="37">
    <w:p w14:paraId="357F412E" w14:textId="77777777" w:rsidR="00267D00" w:rsidRPr="00B96E97" w:rsidRDefault="00267D00" w:rsidP="00267D00">
      <w:pPr>
        <w:pStyle w:val="Textonotapie"/>
        <w:ind w:firstLine="708"/>
        <w:jc w:val="both"/>
        <w:rPr>
          <w:rFonts w:ascii="Verdana" w:hAnsi="Verdana"/>
          <w:sz w:val="16"/>
          <w:szCs w:val="16"/>
          <w:lang w:val="es-ES"/>
        </w:rPr>
      </w:pPr>
      <w:r w:rsidRPr="00B96E97">
        <w:rPr>
          <w:rStyle w:val="Refdenotaalpie"/>
          <w:rFonts w:ascii="Verdana" w:hAnsi="Verdana"/>
          <w:sz w:val="16"/>
          <w:szCs w:val="16"/>
        </w:rPr>
        <w:footnoteRef/>
      </w:r>
      <w:r w:rsidRPr="00B96E97">
        <w:rPr>
          <w:rFonts w:ascii="Verdana" w:hAnsi="Verdana"/>
          <w:sz w:val="16"/>
          <w:szCs w:val="16"/>
        </w:rPr>
        <w:t xml:space="preserve"> </w:t>
      </w:r>
      <w:r w:rsidRPr="00B96E97">
        <w:rPr>
          <w:rFonts w:ascii="Verdana" w:hAnsi="Verdana"/>
          <w:sz w:val="16"/>
          <w:szCs w:val="16"/>
          <w:lang w:val="es-ES"/>
        </w:rPr>
        <w:t xml:space="preserve">Ley 60 de 1993 y Ley 715 de 2001. </w:t>
      </w:r>
    </w:p>
    <w:p w14:paraId="6DF4413F" w14:textId="77777777" w:rsidR="00267D00" w:rsidRPr="00B96E97" w:rsidRDefault="00267D00" w:rsidP="00267D00">
      <w:pPr>
        <w:pStyle w:val="Textonotapie"/>
        <w:jc w:val="both"/>
        <w:rPr>
          <w:rFonts w:ascii="Verdana" w:hAnsi="Verdana"/>
          <w:sz w:val="16"/>
          <w:szCs w:val="16"/>
          <w:lang w:val="es-ES"/>
        </w:rPr>
      </w:pPr>
    </w:p>
  </w:footnote>
  <w:footnote w:id="38">
    <w:p w14:paraId="4E780F4A" w14:textId="77777777" w:rsidR="00267D00" w:rsidRPr="00104FCB" w:rsidRDefault="00267D00" w:rsidP="00267D00">
      <w:pPr>
        <w:pStyle w:val="Textonotapie"/>
        <w:ind w:firstLine="708"/>
        <w:jc w:val="both"/>
        <w:rPr>
          <w:rFonts w:ascii="Verdana" w:hAnsi="Verdana" w:cs="Arial"/>
          <w:color w:val="000000" w:themeColor="text1"/>
          <w:sz w:val="16"/>
          <w:szCs w:val="16"/>
        </w:rPr>
      </w:pPr>
      <w:r w:rsidRPr="00104FCB">
        <w:rPr>
          <w:rStyle w:val="Refdenotaalpie"/>
          <w:rFonts w:ascii="Verdana" w:hAnsi="Verdana" w:cs="Arial"/>
          <w:color w:val="000000" w:themeColor="text1"/>
          <w:sz w:val="16"/>
          <w:szCs w:val="16"/>
        </w:rPr>
        <w:footnoteRef/>
      </w:r>
      <w:r w:rsidRPr="00104FCB">
        <w:rPr>
          <w:rFonts w:ascii="Verdana" w:hAnsi="Verdana" w:cs="Arial"/>
          <w:color w:val="000000" w:themeColor="text1"/>
          <w:sz w:val="16"/>
          <w:szCs w:val="16"/>
        </w:rPr>
        <w:t xml:space="preserve"> “Artículo 11. Fondos De Servicios Educativos. Las instituciones educativas estatales podrán administrar Fondos de Servicios Educativos en los cuales se manejarán los recursos destinados a financiar gastos distintos a los de personal, que faciliten el funcionamiento de la institución”.</w:t>
      </w:r>
    </w:p>
  </w:footnote>
  <w:footnote w:id="39">
    <w:p w14:paraId="6EEF5808" w14:textId="77777777" w:rsidR="00267D00" w:rsidRPr="00104FCB" w:rsidRDefault="00267D00" w:rsidP="00267D00">
      <w:pPr>
        <w:pStyle w:val="Textonotapie"/>
        <w:ind w:firstLine="708"/>
        <w:jc w:val="both"/>
        <w:rPr>
          <w:rFonts w:ascii="Verdana" w:hAnsi="Verdana" w:cs="Arial"/>
          <w:color w:val="000000" w:themeColor="text1"/>
          <w:sz w:val="16"/>
          <w:szCs w:val="16"/>
        </w:rPr>
      </w:pPr>
    </w:p>
    <w:p w14:paraId="6F11160D" w14:textId="77777777" w:rsidR="00267D00" w:rsidRPr="00104FCB" w:rsidRDefault="00267D00" w:rsidP="00267D00">
      <w:pPr>
        <w:pStyle w:val="Textonotapie"/>
        <w:ind w:firstLine="708"/>
        <w:jc w:val="both"/>
        <w:rPr>
          <w:rFonts w:ascii="Verdana" w:hAnsi="Verdana" w:cs="Arial"/>
          <w:color w:val="000000" w:themeColor="text1"/>
          <w:sz w:val="16"/>
          <w:szCs w:val="16"/>
        </w:rPr>
      </w:pPr>
      <w:r w:rsidRPr="00104FCB">
        <w:rPr>
          <w:rStyle w:val="Refdenotaalpie"/>
          <w:rFonts w:ascii="Verdana" w:hAnsi="Verdana" w:cs="Arial"/>
          <w:color w:val="000000" w:themeColor="text1"/>
          <w:sz w:val="16"/>
          <w:szCs w:val="16"/>
        </w:rPr>
        <w:footnoteRef/>
      </w:r>
      <w:r w:rsidRPr="00104FCB">
        <w:rPr>
          <w:rStyle w:val="Refdenotaalpie"/>
          <w:rFonts w:ascii="Verdana" w:hAnsi="Verdana" w:cs="Arial"/>
          <w:color w:val="000000" w:themeColor="text1"/>
          <w:sz w:val="16"/>
          <w:szCs w:val="16"/>
        </w:rPr>
        <w:t xml:space="preserve"> </w:t>
      </w:r>
      <w:r w:rsidRPr="00104FCB">
        <w:rPr>
          <w:rFonts w:ascii="Verdana" w:hAnsi="Verdana" w:cs="Arial"/>
          <w:color w:val="000000" w:themeColor="text1"/>
          <w:sz w:val="16"/>
          <w:szCs w:val="16"/>
        </w:rPr>
        <w:t>Consejo de Estado. Sección Tercera Subsección A. Sentencia del 12 de octubre de 2017. Radicación número: 68001-23-31-000-2005-03845-01(51.634).</w:t>
      </w:r>
      <w:r>
        <w:rPr>
          <w:rFonts w:ascii="Verdana" w:hAnsi="Verdana" w:cs="Arial"/>
          <w:color w:val="000000" w:themeColor="text1"/>
          <w:sz w:val="16"/>
          <w:szCs w:val="16"/>
        </w:rPr>
        <w:t xml:space="preserve"> </w:t>
      </w:r>
      <w:r w:rsidRPr="00104FCB">
        <w:rPr>
          <w:rFonts w:ascii="Verdana" w:hAnsi="Verdana" w:cs="Arial"/>
          <w:color w:val="000000" w:themeColor="text1"/>
          <w:sz w:val="16"/>
          <w:szCs w:val="16"/>
        </w:rPr>
        <w:t>C</w:t>
      </w:r>
      <w:r>
        <w:rPr>
          <w:rFonts w:ascii="Verdana" w:hAnsi="Verdana" w:cs="Arial"/>
          <w:color w:val="000000" w:themeColor="text1"/>
          <w:sz w:val="16"/>
          <w:szCs w:val="16"/>
        </w:rPr>
        <w:t>.</w:t>
      </w:r>
      <w:r w:rsidRPr="00104FCB">
        <w:rPr>
          <w:rFonts w:ascii="Verdana" w:hAnsi="Verdana" w:cs="Arial"/>
          <w:color w:val="000000" w:themeColor="text1"/>
          <w:sz w:val="16"/>
          <w:szCs w:val="16"/>
        </w:rPr>
        <w:t>P: Marta Nubia Velásquez Rico</w:t>
      </w:r>
      <w:r>
        <w:rPr>
          <w:rFonts w:ascii="Verdana" w:hAnsi="Verdana" w:cs="Arial"/>
          <w:color w:val="000000" w:themeColor="text1"/>
          <w:sz w:val="16"/>
          <w:szCs w:val="16"/>
        </w:rPr>
        <w:t>.</w:t>
      </w:r>
    </w:p>
    <w:p w14:paraId="7D87E755" w14:textId="77777777" w:rsidR="00267D00" w:rsidRPr="00104FCB" w:rsidRDefault="00267D00" w:rsidP="00267D00">
      <w:pPr>
        <w:pStyle w:val="Textonotapie"/>
        <w:ind w:firstLine="708"/>
        <w:jc w:val="both"/>
        <w:rPr>
          <w:rFonts w:ascii="Verdana" w:hAnsi="Verdana" w:cs="Arial"/>
          <w:color w:val="000000" w:themeColor="text1"/>
          <w:sz w:val="16"/>
          <w:szCs w:val="16"/>
        </w:rPr>
      </w:pPr>
    </w:p>
  </w:footnote>
  <w:footnote w:id="40">
    <w:p w14:paraId="61C29665" w14:textId="77777777" w:rsidR="00267D00" w:rsidRPr="00104FCB" w:rsidRDefault="00267D00" w:rsidP="00267D00">
      <w:pPr>
        <w:pStyle w:val="NormalWeb"/>
        <w:spacing w:before="0" w:beforeAutospacing="0" w:after="0" w:afterAutospacing="0"/>
        <w:ind w:firstLine="708"/>
        <w:jc w:val="both"/>
        <w:rPr>
          <w:rFonts w:ascii="Verdana" w:hAnsi="Verdana" w:cs="Arial"/>
          <w:sz w:val="16"/>
          <w:szCs w:val="16"/>
        </w:rPr>
      </w:pPr>
      <w:r w:rsidRPr="00104FCB">
        <w:rPr>
          <w:rStyle w:val="Refdenotaalpie"/>
          <w:rFonts w:ascii="Verdana" w:hAnsi="Verdana" w:cs="Arial"/>
          <w:sz w:val="16"/>
          <w:szCs w:val="16"/>
        </w:rPr>
        <w:footnoteRef/>
      </w:r>
      <w:r w:rsidRPr="00104FCB">
        <w:rPr>
          <w:rStyle w:val="Refdenotaalpie"/>
          <w:rFonts w:ascii="Verdana" w:hAnsi="Verdana" w:cs="Arial"/>
          <w:sz w:val="16"/>
          <w:szCs w:val="16"/>
        </w:rPr>
        <w:t xml:space="preserve"> </w:t>
      </w:r>
      <w:r w:rsidRPr="00104FCB">
        <w:rPr>
          <w:rFonts w:ascii="Verdana" w:hAnsi="Verdana" w:cs="Arial"/>
          <w:sz w:val="16"/>
          <w:szCs w:val="16"/>
        </w:rPr>
        <w:t>“Artículo 13. Procedimientos de contratación de los fondos de servicios educativos. Todos los actos y contratos que tengan por objeto bienes y obligaciones que hayan de registrarse en la contabilidad de los Fondos de servicios educativos a los que se refiere el artículo anterior, se harán respetando los principios de igualdad, moralidad, imparcialidad y publicidad, aplicados en forma razonable a las circunstancias concretas en las que hayan de celebrarse. Se harán con el propósito fundamental de proteger los derechos de los niños y de los jóvenes, y de conseguir eficacia y celeridad en la atención del servicio educativo, y economía en el uso de los recursos públicos.</w:t>
      </w:r>
    </w:p>
    <w:p w14:paraId="01109DE7" w14:textId="77777777" w:rsidR="00267D00" w:rsidRPr="00104FCB" w:rsidRDefault="00267D00" w:rsidP="00267D00">
      <w:pPr>
        <w:spacing w:after="0" w:line="240" w:lineRule="auto"/>
        <w:ind w:firstLine="708"/>
        <w:jc w:val="both"/>
        <w:rPr>
          <w:rFonts w:ascii="Verdana" w:hAnsi="Verdana" w:cs="Arial"/>
          <w:sz w:val="16"/>
          <w:szCs w:val="16"/>
          <w:lang w:eastAsia="es-CO"/>
        </w:rPr>
      </w:pPr>
      <w:r w:rsidRPr="00104FCB">
        <w:rPr>
          <w:rFonts w:ascii="Verdana" w:hAnsi="Verdana" w:cs="Arial"/>
          <w:sz w:val="16"/>
          <w:szCs w:val="16"/>
          <w:lang w:eastAsia="es-CO"/>
        </w:rPr>
        <w:t xml:space="preserve">“Los actos y contratos de cuantía superior a veinte (20) salarios mínimos mensuales se regirán por las reglas de la contratación estatal, teniendo en cuenta su valor y naturaleza, y las circunstancias en las que se celebren. El Gobierno Nacional podrá indicar los casos en los cuales la cuantía señalada en el presente inciso será menor. </w:t>
      </w:r>
    </w:p>
    <w:p w14:paraId="75864809" w14:textId="77777777" w:rsidR="00267D00" w:rsidRPr="00104FCB" w:rsidRDefault="00267D00" w:rsidP="00267D00">
      <w:pPr>
        <w:spacing w:after="0" w:line="240" w:lineRule="auto"/>
        <w:ind w:firstLine="708"/>
        <w:jc w:val="both"/>
        <w:rPr>
          <w:rFonts w:ascii="Verdana" w:hAnsi="Verdana" w:cs="Arial"/>
          <w:sz w:val="16"/>
          <w:szCs w:val="16"/>
          <w:lang w:eastAsia="es-CO"/>
        </w:rPr>
      </w:pPr>
      <w:r w:rsidRPr="00104FCB">
        <w:rPr>
          <w:rFonts w:ascii="Verdana" w:hAnsi="Verdana" w:cs="Arial"/>
          <w:sz w:val="16"/>
          <w:szCs w:val="16"/>
          <w:lang w:eastAsia="es-CO"/>
        </w:rPr>
        <w:t>“El rector o director celebrará los contratos que hayan de pagarse con cargo a los recursos vinculados a los Fondos, en las condiciones y dentro de los límites que fijen los reglamentos.</w:t>
      </w:r>
    </w:p>
    <w:p w14:paraId="3B86660D" w14:textId="77777777" w:rsidR="00267D00" w:rsidRPr="00104FCB" w:rsidRDefault="00267D00" w:rsidP="00267D00">
      <w:pPr>
        <w:spacing w:after="0" w:line="240" w:lineRule="auto"/>
        <w:ind w:firstLine="708"/>
        <w:jc w:val="both"/>
        <w:rPr>
          <w:rFonts w:ascii="Verdana" w:hAnsi="Verdana" w:cs="Arial"/>
          <w:sz w:val="16"/>
          <w:szCs w:val="16"/>
          <w:lang w:eastAsia="es-CO"/>
        </w:rPr>
      </w:pPr>
      <w:r w:rsidRPr="00104FCB">
        <w:rPr>
          <w:rFonts w:ascii="Verdana" w:hAnsi="Verdana" w:cs="Arial"/>
          <w:sz w:val="16"/>
          <w:szCs w:val="16"/>
          <w:lang w:eastAsia="es-CO"/>
        </w:rPr>
        <w:t>“</w:t>
      </w:r>
      <w:r w:rsidRPr="00104FCB">
        <w:rPr>
          <w:rFonts w:ascii="Verdana" w:hAnsi="Verdana" w:cs="Arial"/>
          <w:i/>
          <w:iCs/>
          <w:sz w:val="16"/>
          <w:szCs w:val="16"/>
          <w:lang w:eastAsia="es-CO"/>
        </w:rPr>
        <w:t xml:space="preserve">Con estricta sujeción a los principios y propósitos enunciados en el primer inciso de este artículo, y a los reglamentos de esta Ley, el Consejo Directivo de cada establecimiento podrá señalar, con base en la experiencia y en el análisis concreto de las necesidades del establecimiento, </w:t>
      </w:r>
      <w:bookmarkStart w:id="21" w:name="_Hlk61284561"/>
      <w:r w:rsidRPr="00104FCB">
        <w:rPr>
          <w:rFonts w:ascii="Verdana" w:hAnsi="Verdana" w:cs="Arial"/>
          <w:i/>
          <w:iCs/>
          <w:sz w:val="16"/>
          <w:szCs w:val="16"/>
          <w:lang w:eastAsia="es-CO"/>
        </w:rPr>
        <w:t>los trámites, garantías y constancias que deben cumplirse para que el rector o director celebre cualquier acto o contrato que cree, extinga o modifique obligaciones que deban registrarse en el Fondo</w:t>
      </w:r>
      <w:bookmarkEnd w:id="21"/>
      <w:r w:rsidRPr="00104FCB">
        <w:rPr>
          <w:rFonts w:ascii="Verdana" w:hAnsi="Verdana" w:cs="Arial"/>
          <w:i/>
          <w:iCs/>
          <w:sz w:val="16"/>
          <w:szCs w:val="16"/>
          <w:lang w:eastAsia="es-CO"/>
        </w:rPr>
        <w:t>, y cuya cuantía sea inferior a veinte (20) salarios mínimos mensuales. El Consejo puede exigir, además, que ciertos actos o contratos requieran una autorización suya específica</w:t>
      </w:r>
      <w:r w:rsidRPr="00104FCB">
        <w:rPr>
          <w:rFonts w:ascii="Verdana" w:hAnsi="Verdana" w:cs="Arial"/>
          <w:sz w:val="16"/>
          <w:szCs w:val="16"/>
          <w:lang w:eastAsia="es-CO"/>
        </w:rPr>
        <w:t>.</w:t>
      </w:r>
    </w:p>
    <w:p w14:paraId="2E05CB94" w14:textId="77777777" w:rsidR="00267D00" w:rsidRPr="00104FCB" w:rsidRDefault="00267D00" w:rsidP="00267D00">
      <w:pPr>
        <w:spacing w:after="0" w:line="240" w:lineRule="auto"/>
        <w:ind w:firstLine="708"/>
        <w:jc w:val="both"/>
        <w:rPr>
          <w:rFonts w:ascii="Verdana" w:hAnsi="Verdana" w:cs="Arial"/>
          <w:sz w:val="16"/>
          <w:szCs w:val="16"/>
          <w:lang w:eastAsia="es-CO"/>
        </w:rPr>
      </w:pPr>
      <w:r w:rsidRPr="00104FCB">
        <w:rPr>
          <w:rFonts w:ascii="Verdana" w:hAnsi="Verdana" w:cs="Arial"/>
          <w:sz w:val="16"/>
          <w:szCs w:val="16"/>
          <w:lang w:eastAsia="es-CO"/>
        </w:rPr>
        <w:t>[…]” (Énfasis fuera de texto).</w:t>
      </w:r>
    </w:p>
    <w:p w14:paraId="2F5FB1DA" w14:textId="77777777" w:rsidR="00267D00" w:rsidRPr="00104FCB" w:rsidRDefault="00267D00" w:rsidP="00267D00">
      <w:pPr>
        <w:spacing w:after="0" w:line="240" w:lineRule="auto"/>
        <w:ind w:firstLine="708"/>
        <w:jc w:val="both"/>
        <w:rPr>
          <w:rFonts w:ascii="Verdana" w:hAnsi="Verdana" w:cs="Arial"/>
          <w:sz w:val="16"/>
          <w:szCs w:val="16"/>
          <w:lang w:eastAsia="es-CO"/>
        </w:rPr>
      </w:pPr>
    </w:p>
    <w:p w14:paraId="0536BDCF" w14:textId="77777777" w:rsidR="00267D00" w:rsidRPr="00104FCB" w:rsidRDefault="00267D00" w:rsidP="00267D00">
      <w:pPr>
        <w:pStyle w:val="Textonotapie"/>
        <w:ind w:firstLine="708"/>
        <w:jc w:val="both"/>
        <w:rPr>
          <w:rFonts w:ascii="Verdana" w:hAnsi="Verdana" w:cs="Arial"/>
          <w:color w:val="000000" w:themeColor="text1"/>
          <w:sz w:val="16"/>
          <w:szCs w:val="16"/>
        </w:rPr>
      </w:pPr>
      <w:r w:rsidRPr="00104FCB">
        <w:rPr>
          <w:rFonts w:ascii="Verdana" w:hAnsi="Verdana" w:cs="Arial"/>
          <w:color w:val="000000" w:themeColor="text1"/>
          <w:sz w:val="16"/>
          <w:szCs w:val="16"/>
        </w:rPr>
        <w:t>Decreto 1075 de 2015: “Artículo 2.3.1.6.3.5. Funciones del Consejo Directivo. (…) 6. Reglamentar mediante acuerdo los procedimientos, formalidades y garantías para toda contratación que no supere los veinte (20) salarios mínimos legales mensuales vigentes (SMLMV)”.</w:t>
      </w:r>
    </w:p>
  </w:footnote>
  <w:footnote w:id="41">
    <w:p w14:paraId="201C57DD" w14:textId="77777777" w:rsidR="00267D00" w:rsidRPr="00104FCB" w:rsidRDefault="00267D00" w:rsidP="00267D00">
      <w:pPr>
        <w:pStyle w:val="Textonotapie"/>
        <w:ind w:firstLine="708"/>
        <w:jc w:val="both"/>
        <w:rPr>
          <w:rFonts w:ascii="Verdana" w:hAnsi="Verdana" w:cs="Arial"/>
          <w:sz w:val="16"/>
          <w:szCs w:val="16"/>
        </w:rPr>
      </w:pPr>
      <w:r w:rsidRPr="00104FCB">
        <w:rPr>
          <w:rStyle w:val="Refdenotaalpie"/>
          <w:rFonts w:ascii="Verdana" w:hAnsi="Verdana" w:cs="Arial"/>
          <w:sz w:val="16"/>
          <w:szCs w:val="16"/>
        </w:rPr>
        <w:footnoteRef/>
      </w:r>
      <w:r w:rsidRPr="00104FCB">
        <w:rPr>
          <w:rFonts w:ascii="Verdana" w:hAnsi="Verdana" w:cs="Arial"/>
          <w:sz w:val="16"/>
          <w:szCs w:val="16"/>
        </w:rPr>
        <w:t xml:space="preserve"> Consejo </w:t>
      </w:r>
      <w:r>
        <w:rPr>
          <w:rFonts w:ascii="Verdana" w:hAnsi="Verdana" w:cs="Arial"/>
          <w:sz w:val="16"/>
          <w:szCs w:val="16"/>
        </w:rPr>
        <w:t>d</w:t>
      </w:r>
      <w:r w:rsidRPr="00104FCB">
        <w:rPr>
          <w:rFonts w:ascii="Verdana" w:hAnsi="Verdana" w:cs="Arial"/>
          <w:sz w:val="16"/>
          <w:szCs w:val="16"/>
        </w:rPr>
        <w:t>e Estado. Sala de Consulta y Servicio Civil. Concepto del 27 de abril de 2006. Rad:1712. C.P. Enrique José Arboleda Perdomo.</w:t>
      </w:r>
    </w:p>
    <w:p w14:paraId="7A636C75" w14:textId="77777777" w:rsidR="00267D00" w:rsidRPr="00104FCB" w:rsidRDefault="00267D00" w:rsidP="00267D00">
      <w:pPr>
        <w:pStyle w:val="Textonotapie"/>
        <w:ind w:firstLine="708"/>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BC25EC"/>
    <w:multiLevelType w:val="hybridMultilevel"/>
    <w:tmpl w:val="903CB15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E30246E"/>
    <w:multiLevelType w:val="hybridMultilevel"/>
    <w:tmpl w:val="5718B7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1358431546">
    <w:abstractNumId w:val="3"/>
  </w:num>
  <w:num w:numId="18" w16cid:durableId="1290621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57FB2"/>
    <w:rsid w:val="001A33BF"/>
    <w:rsid w:val="001E4177"/>
    <w:rsid w:val="001F0B24"/>
    <w:rsid w:val="001F7DC6"/>
    <w:rsid w:val="0022400B"/>
    <w:rsid w:val="002421BB"/>
    <w:rsid w:val="0025796E"/>
    <w:rsid w:val="00267D00"/>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3195A"/>
    <w:rsid w:val="003448F4"/>
    <w:rsid w:val="00374F5E"/>
    <w:rsid w:val="00377E3E"/>
    <w:rsid w:val="003A779E"/>
    <w:rsid w:val="003D0F4D"/>
    <w:rsid w:val="003D5B0D"/>
    <w:rsid w:val="003E0499"/>
    <w:rsid w:val="003E4F80"/>
    <w:rsid w:val="003E6439"/>
    <w:rsid w:val="003F3941"/>
    <w:rsid w:val="00406575"/>
    <w:rsid w:val="00414C74"/>
    <w:rsid w:val="00423A72"/>
    <w:rsid w:val="0042722E"/>
    <w:rsid w:val="0044528D"/>
    <w:rsid w:val="00446305"/>
    <w:rsid w:val="00466E39"/>
    <w:rsid w:val="004A1847"/>
    <w:rsid w:val="004A305D"/>
    <w:rsid w:val="004D6B33"/>
    <w:rsid w:val="004F21C4"/>
    <w:rsid w:val="004F685F"/>
    <w:rsid w:val="005566E8"/>
    <w:rsid w:val="00574867"/>
    <w:rsid w:val="00591460"/>
    <w:rsid w:val="005A65E0"/>
    <w:rsid w:val="005C3777"/>
    <w:rsid w:val="005C5CDC"/>
    <w:rsid w:val="005D476C"/>
    <w:rsid w:val="005D4E22"/>
    <w:rsid w:val="005D6D84"/>
    <w:rsid w:val="006200BF"/>
    <w:rsid w:val="006219F8"/>
    <w:rsid w:val="006302F7"/>
    <w:rsid w:val="00646B9F"/>
    <w:rsid w:val="00656E10"/>
    <w:rsid w:val="00665D70"/>
    <w:rsid w:val="006900D9"/>
    <w:rsid w:val="006F683A"/>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E79A3"/>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D76DA"/>
    <w:rsid w:val="009F3A13"/>
    <w:rsid w:val="00A122D3"/>
    <w:rsid w:val="00A14468"/>
    <w:rsid w:val="00A17F13"/>
    <w:rsid w:val="00A20739"/>
    <w:rsid w:val="00A23AF9"/>
    <w:rsid w:val="00A33C78"/>
    <w:rsid w:val="00AB0ADB"/>
    <w:rsid w:val="00B00C0E"/>
    <w:rsid w:val="00B01B1A"/>
    <w:rsid w:val="00B0381D"/>
    <w:rsid w:val="00B06DB0"/>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3AF7"/>
    <w:rsid w:val="00CB6357"/>
    <w:rsid w:val="00CC1B26"/>
    <w:rsid w:val="00D361FD"/>
    <w:rsid w:val="00D423A2"/>
    <w:rsid w:val="00D44E26"/>
    <w:rsid w:val="00D520D8"/>
    <w:rsid w:val="00D63AC2"/>
    <w:rsid w:val="00D7383B"/>
    <w:rsid w:val="00D7788A"/>
    <w:rsid w:val="00D80497"/>
    <w:rsid w:val="00DA231B"/>
    <w:rsid w:val="00DC39FC"/>
    <w:rsid w:val="00DE741C"/>
    <w:rsid w:val="00DF5254"/>
    <w:rsid w:val="00E02524"/>
    <w:rsid w:val="00E16408"/>
    <w:rsid w:val="00E20894"/>
    <w:rsid w:val="00E245AB"/>
    <w:rsid w:val="00E2764C"/>
    <w:rsid w:val="00E27F2E"/>
    <w:rsid w:val="00E50AFE"/>
    <w:rsid w:val="00E75C92"/>
    <w:rsid w:val="00E771DC"/>
    <w:rsid w:val="00E8772A"/>
    <w:rsid w:val="00E90F6B"/>
    <w:rsid w:val="00E92C27"/>
    <w:rsid w:val="00EA0D0B"/>
    <w:rsid w:val="00EA0E3D"/>
    <w:rsid w:val="00EC38A7"/>
    <w:rsid w:val="00EE1AA8"/>
    <w:rsid w:val="00F23FEA"/>
    <w:rsid w:val="00F31EDC"/>
    <w:rsid w:val="00F462B3"/>
    <w:rsid w:val="00F515F7"/>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67D00"/>
    <w:rPr>
      <w:rFonts w:ascii="Geomanist Light" w:hAnsi="Geomanist Light"/>
      <w:lang w:val="es-ES"/>
    </w:rPr>
  </w:style>
  <w:style w:type="paragraph" w:customStyle="1" w:styleId="Appelnotedebasde">
    <w:name w:val="Appel note de bas de..."/>
    <w:basedOn w:val="Normal"/>
    <w:link w:val="Refdenotaalpie"/>
    <w:uiPriority w:val="99"/>
    <w:rsid w:val="00267D00"/>
    <w:pPr>
      <w:spacing w:line="240" w:lineRule="exact"/>
    </w:pPr>
    <w:rPr>
      <w:vertAlign w:val="superscript"/>
    </w:rPr>
  </w:style>
  <w:style w:type="character" w:customStyle="1" w:styleId="NormalWebCar">
    <w:name w:val="Normal (Web) Car"/>
    <w:link w:val="NormalWeb"/>
    <w:uiPriority w:val="99"/>
    <w:locked/>
    <w:rsid w:val="00267D00"/>
    <w:rPr>
      <w:rFonts w:ascii="Times New Roman" w:eastAsia="Times New Roman" w:hAnsi="Times New Roman" w:cs="Times New Roman"/>
      <w:sz w:val="24"/>
      <w:szCs w:val="24"/>
      <w:lang w:eastAsia="es-CO"/>
    </w:rPr>
  </w:style>
  <w:style w:type="character" w:customStyle="1" w:styleId="baj">
    <w:name w:val="b_aj"/>
    <w:basedOn w:val="Fuentedeprrafopredeter"/>
    <w:rsid w:val="00267D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colombiacompra.gov.co/wp-content/uploads/2025/09/006-de-2025-Circular-Externa-L996-ajustado-comentarios-BM-BID-Rev-ARSC-V3.d-1.pdf"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agaduria.eeagricolacopey@educacioncesar.gov.co"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forms.office.com/r/pPHyWVs2S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colombiacompra.gov.co/wp-content/uploads/2025/09/006-de-2025-Circular-Externa-L996-ajustado-comentarios-BM-BID-Rev-ARSC-V3.d-1.pdf" TargetMode="External"/><Relationship Id="rId2" Type="http://schemas.openxmlformats.org/officeDocument/2006/relationships/hyperlink" Target="https://relatoria.colombiacompra.gov.co/conceptos/c-048-de-2026/" TargetMode="External"/><Relationship Id="rId1" Type="http://schemas.openxmlformats.org/officeDocument/2006/relationships/hyperlink" Target="https://colombiacompra.gov.co/wp-content/uploads/2025/09/006-de-2025-Circular-Externa-L996-ajustado-comentarios-BM-BID-Rev-ARSC-V3.d-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11263A6-FA4D-4CA7-8486-94B186C98DB0}"/>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42</Pages>
  <Words>13768</Words>
  <Characters>75725</Characters>
  <Application>Microsoft Office Word</Application>
  <DocSecurity>0</DocSecurity>
  <Lines>631</Lines>
  <Paragraphs>178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2</cp:revision>
  <cp:lastPrinted>2023-01-10T21:18:00Z</cp:lastPrinted>
  <dcterms:created xsi:type="dcterms:W3CDTF">2026-05-29T15:47:00Z</dcterms:created>
  <dcterms:modified xsi:type="dcterms:W3CDTF">2026-05-29T15:47:00Z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